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3" w:line="440" w:lineRule="exact"/>
        <w:jc w:val="center"/>
        <w:outlineLvl w:val="0"/>
        <w:rPr>
          <w:rFonts w:hint="eastAsia" w:ascii="黑体" w:hAnsi="黑体" w:eastAsia="黑体"/>
          <w:bCs/>
          <w:spacing w:val="11"/>
          <w:sz w:val="40"/>
          <w:szCs w:val="40"/>
          <w:lang w:eastAsia="zh-CN"/>
        </w:rPr>
      </w:pPr>
      <w:bookmarkStart w:id="0" w:name="OLE_LINK1"/>
      <w:r>
        <w:rPr>
          <w:rFonts w:hint="eastAsia"/>
          <w:b/>
          <w:bCs/>
          <w:spacing w:val="11"/>
          <w:sz w:val="40"/>
          <w:szCs w:val="40"/>
          <w:lang w:eastAsia="zh-CN"/>
        </w:rPr>
        <w:t xml:space="preserve"> </w:t>
      </w:r>
      <w:r>
        <w:rPr>
          <w:rFonts w:hint="eastAsia" w:ascii="黑体" w:hAnsi="黑体" w:eastAsia="黑体"/>
          <w:bCs/>
          <w:spacing w:val="11"/>
          <w:sz w:val="40"/>
          <w:szCs w:val="40"/>
          <w:lang w:eastAsia="zh-CN"/>
        </w:rPr>
        <w:t>东方阿尔法</w:t>
      </w:r>
      <w:r>
        <w:rPr>
          <w:rFonts w:ascii="黑体" w:hAnsi="黑体" w:eastAsia="黑体"/>
          <w:bCs/>
          <w:spacing w:val="11"/>
          <w:sz w:val="40"/>
          <w:szCs w:val="40"/>
          <w:lang w:eastAsia="zh-CN"/>
        </w:rPr>
        <w:t>基金管理</w:t>
      </w:r>
      <w:r>
        <w:rPr>
          <w:rFonts w:hint="eastAsia" w:ascii="黑体" w:hAnsi="黑体" w:eastAsia="黑体"/>
          <w:bCs/>
          <w:spacing w:val="11"/>
          <w:sz w:val="40"/>
          <w:szCs w:val="40"/>
          <w:lang w:eastAsia="zh-CN"/>
        </w:rPr>
        <w:t>有限</w:t>
      </w:r>
      <w:r>
        <w:rPr>
          <w:rFonts w:ascii="黑体" w:hAnsi="黑体" w:eastAsia="黑体"/>
          <w:bCs/>
          <w:spacing w:val="11"/>
          <w:sz w:val="40"/>
          <w:szCs w:val="40"/>
          <w:lang w:eastAsia="zh-CN"/>
        </w:rPr>
        <w:t>公司</w:t>
      </w:r>
      <w:bookmarkEnd w:id="0"/>
      <w:r>
        <w:rPr>
          <w:rFonts w:ascii="黑体" w:hAnsi="黑体" w:eastAsia="黑体"/>
          <w:bCs/>
          <w:spacing w:val="11"/>
          <w:sz w:val="40"/>
          <w:szCs w:val="40"/>
          <w:lang w:eastAsia="zh-CN"/>
        </w:rPr>
        <w:t>旗下公募基金</w:t>
      </w:r>
    </w:p>
    <w:p>
      <w:pPr>
        <w:pStyle w:val="3"/>
        <w:spacing w:before="33" w:line="440" w:lineRule="exact"/>
        <w:jc w:val="center"/>
        <w:outlineLvl w:val="0"/>
        <w:rPr>
          <w:rFonts w:hint="eastAsia" w:ascii="黑体" w:hAnsi="黑体" w:eastAsia="黑体"/>
          <w:bCs/>
          <w:spacing w:val="11"/>
          <w:sz w:val="40"/>
          <w:szCs w:val="40"/>
          <w:lang w:eastAsia="zh-CN"/>
        </w:rPr>
      </w:pPr>
      <w:bookmarkStart w:id="1" w:name="OLE_LINK2"/>
      <w:r>
        <w:rPr>
          <w:rFonts w:ascii="黑体" w:hAnsi="黑体" w:eastAsia="黑体"/>
          <w:bCs/>
          <w:spacing w:val="11"/>
          <w:sz w:val="40"/>
          <w:szCs w:val="40"/>
          <w:lang w:eastAsia="zh-CN"/>
        </w:rPr>
        <w:t>通过证券公司</w:t>
      </w:r>
      <w:bookmarkStart w:id="11" w:name="_GoBack"/>
      <w:bookmarkEnd w:id="11"/>
      <w:r>
        <w:rPr>
          <w:rFonts w:ascii="黑体" w:hAnsi="黑体" w:eastAsia="黑体"/>
          <w:bCs/>
          <w:spacing w:val="11"/>
          <w:sz w:val="40"/>
          <w:szCs w:val="40"/>
          <w:lang w:eastAsia="zh-CN"/>
        </w:rPr>
        <w:t>交易及佣金支付情况</w:t>
      </w:r>
      <w:r>
        <w:rPr>
          <w:rFonts w:hint="eastAsia" w:ascii="黑体" w:hAnsi="黑体" w:eastAsia="黑体"/>
          <w:bCs/>
          <w:spacing w:val="11"/>
          <w:sz w:val="40"/>
          <w:szCs w:val="40"/>
          <w:lang w:eastAsia="zh-CN"/>
        </w:rPr>
        <w:t>公告</w:t>
      </w:r>
    </w:p>
    <w:bookmarkEnd w:id="1"/>
    <w:p>
      <w:pPr>
        <w:pStyle w:val="3"/>
        <w:spacing w:before="33" w:line="440" w:lineRule="exact"/>
        <w:jc w:val="center"/>
        <w:outlineLvl w:val="0"/>
        <w:rPr>
          <w:rFonts w:hint="eastAsia" w:ascii="黑体" w:hAnsi="黑体" w:eastAsia="黑体"/>
          <w:bCs/>
          <w:spacing w:val="11"/>
          <w:sz w:val="40"/>
          <w:szCs w:val="40"/>
          <w:lang w:eastAsia="zh-CN"/>
        </w:rPr>
      </w:pPr>
      <w:r>
        <w:rPr>
          <w:rFonts w:ascii="黑体" w:hAnsi="黑体" w:eastAsia="黑体"/>
          <w:bCs/>
          <w:spacing w:val="11"/>
          <w:sz w:val="40"/>
          <w:szCs w:val="40"/>
          <w:lang w:eastAsia="zh-CN"/>
        </w:rPr>
        <w:t>（2025年度）</w:t>
      </w:r>
    </w:p>
    <w:p>
      <w:pPr>
        <w:spacing w:line="560" w:lineRule="exact"/>
        <w:rPr>
          <w:lang w:eastAsia="zh-CN"/>
        </w:rPr>
      </w:pPr>
    </w:p>
    <w:p>
      <w:pPr>
        <w:spacing w:line="560" w:lineRule="exact"/>
        <w:ind w:firstLine="656" w:firstLineChars="20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9"/>
          <w:sz w:val="31"/>
          <w:szCs w:val="31"/>
          <w:lang w:eastAsia="zh-CN"/>
        </w:rPr>
        <w:t>一、选择证券公司参与证券交易的标准和程序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东方阿尔法基金管理有限公司（以下简称“公司”）旗下公募基金均采用券商结算模式。公司作为基金管理人，负责选择财务状况良好、经营行为规范、合规风控能力和交易、研究等服务能力较强的证券公司参与证券交易。</w:t>
      </w:r>
    </w:p>
    <w:p>
      <w:pPr>
        <w:pStyle w:val="3"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（一）选择标准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1．经营行为稳健规范，内控制度健全，在业内有良好的声誉，遵守国家及证券监督机构各项法律法规、监管规定；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</w:t>
      </w:r>
      <w:r>
        <w:rPr>
          <w:rFonts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具备基金运作所需的高效、安全的通讯条件，交易设施稳定、响应支持及时、能满足公募基金采用券商结算模式进行证券交易和结算的需要；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</w:t>
      </w:r>
      <w:r>
        <w:rPr>
          <w:rFonts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具有较强的全方位金融服务能力和水平，包括但不限于：有较好的研究能力和行业分析能力，能及时、全面地向公司提供高质量的关于宏观、行业及市场走向、个股分析的报告及丰富全面的信息服务；能根据公司所管理基金的特定要求，提供专门研究报告，具有开发量化投资组合模型的能力；能积极为公司投资业务的开展，投资信息的交流以及其他方面业务的开展提供良好的服务和支持；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4</w:t>
      </w:r>
      <w:r>
        <w:rPr>
          <w:rFonts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资金划付、交收、调整、差异处理及时，且基金交易、结算、对账等数据的提供能满足券商结算模式下</w:t>
      </w:r>
      <w:r>
        <w:rPr>
          <w:rFonts w:ascii="仿宋" w:hAnsi="仿宋" w:eastAsia="仿宋"/>
          <w:sz w:val="28"/>
          <w:szCs w:val="28"/>
          <w:lang w:eastAsia="zh-CN"/>
        </w:rPr>
        <w:t>T+0</w:t>
      </w:r>
      <w:r>
        <w:rPr>
          <w:rFonts w:hint="eastAsia" w:ascii="仿宋" w:hAnsi="仿宋" w:eastAsia="仿宋"/>
          <w:sz w:val="28"/>
          <w:szCs w:val="28"/>
          <w:lang w:eastAsia="zh-CN"/>
        </w:rPr>
        <w:t>估值的时效性要求。</w:t>
      </w:r>
    </w:p>
    <w:p>
      <w:pPr>
        <w:pStyle w:val="3"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（二）选择程序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选择的证券公司应符合公司规章制度的基本条件；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/>
          <w:sz w:val="28"/>
          <w:szCs w:val="28"/>
          <w:lang w:eastAsia="zh-CN"/>
        </w:rPr>
        <w:t>中央交易室征求投研部门及运作保障部意见，筛选候选证券公司，并提交投委会审定；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 xml:space="preserve">3. </w:t>
      </w:r>
      <w:r>
        <w:rPr>
          <w:rFonts w:hint="eastAsia" w:ascii="仿宋" w:hAnsi="仿宋" w:eastAsia="仿宋"/>
          <w:sz w:val="28"/>
          <w:szCs w:val="28"/>
          <w:lang w:eastAsia="zh-CN"/>
        </w:rPr>
        <w:t>中央交易室负责与选定的证券公司签订经纪服务协议，运作保障部和监察稽核部协助对合同进行审核，确保条款严谨且符合合规要求；</w:t>
      </w:r>
    </w:p>
    <w:p>
      <w:pPr>
        <w:pStyle w:val="3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．经纪服务协议签订后，由中央交易室与证券公司完成开户，并与运作保障部共同完成与证券公司的系统对接、参数设置等交易准备工作，确保系统稳定性和交易流程顺畅。</w:t>
      </w:r>
    </w:p>
    <w:p>
      <w:pPr>
        <w:spacing w:line="560" w:lineRule="exact"/>
        <w:ind w:firstLine="656" w:firstLineChars="200"/>
        <w:rPr>
          <w:rFonts w:ascii="黑体" w:hAnsi="黑体" w:eastAsia="黑体" w:cs="黑体"/>
          <w:spacing w:val="9"/>
          <w:sz w:val="31"/>
          <w:szCs w:val="31"/>
          <w:lang w:eastAsia="zh-CN"/>
        </w:rPr>
      </w:pPr>
    </w:p>
    <w:p>
      <w:pPr>
        <w:spacing w:line="560" w:lineRule="exact"/>
        <w:ind w:firstLine="656" w:firstLineChars="20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9"/>
          <w:sz w:val="31"/>
          <w:szCs w:val="31"/>
          <w:lang w:eastAsia="zh-CN"/>
        </w:rPr>
        <w:t>二、交易量、交易佣金年度汇总及分配情况</w:t>
      </w:r>
    </w:p>
    <w:p>
      <w:pPr>
        <w:spacing w:line="560" w:lineRule="exact"/>
        <w:ind w:firstLine="664" w:firstLineChars="200"/>
        <w:outlineLvl w:val="2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ascii="楷体" w:hAnsi="楷体" w:eastAsia="楷体" w:cs="楷体"/>
          <w:bCs/>
          <w:spacing w:val="6"/>
          <w:sz w:val="32"/>
          <w:szCs w:val="32"/>
          <w:lang w:eastAsia="zh-CN"/>
        </w:rPr>
        <w:t>（一）租用证券公司交易单元进行证券投资及佣金支付情</w:t>
      </w:r>
      <w:r>
        <w:rPr>
          <w:rFonts w:ascii="楷体" w:hAnsi="楷体" w:eastAsia="楷体" w:cs="楷体"/>
          <w:bCs/>
          <w:spacing w:val="-4"/>
          <w:sz w:val="32"/>
          <w:szCs w:val="32"/>
          <w:lang w:eastAsia="zh-CN"/>
        </w:rPr>
        <w:t>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微软雅黑"/>
          <w:sz w:val="28"/>
          <w:szCs w:val="28"/>
          <w:lang w:eastAsia="zh-CN"/>
        </w:rPr>
      </w:pPr>
      <w:bookmarkStart w:id="2" w:name="bookmark2"/>
      <w:bookmarkEnd w:id="2"/>
      <w:bookmarkStart w:id="3" w:name="bookmark1"/>
      <w:bookmarkEnd w:id="3"/>
      <w:r>
        <w:rPr>
          <w:rFonts w:hint="eastAsia" w:ascii="仿宋" w:hAnsi="仿宋" w:eastAsia="仿宋" w:cs="微软雅黑"/>
          <w:sz w:val="28"/>
          <w:szCs w:val="28"/>
          <w:lang w:eastAsia="zh-CN"/>
        </w:rPr>
        <w:t>本年度，公司无租用证券公司交易单元进行证券投资的情况。</w:t>
      </w:r>
    </w:p>
    <w:p>
      <w:pPr>
        <w:spacing w:line="560" w:lineRule="exact"/>
        <w:ind w:firstLine="664" w:firstLineChars="200"/>
        <w:outlineLvl w:val="1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bookmarkStart w:id="4" w:name="bookmark3"/>
      <w:bookmarkEnd w:id="4"/>
      <w:bookmarkStart w:id="5" w:name="bookmark4"/>
      <w:bookmarkEnd w:id="5"/>
      <w:r>
        <w:rPr>
          <w:rFonts w:ascii="楷体" w:hAnsi="楷体" w:eastAsia="楷体" w:cs="楷体"/>
          <w:bCs/>
          <w:spacing w:val="6"/>
          <w:sz w:val="32"/>
          <w:szCs w:val="32"/>
          <w:lang w:eastAsia="zh-CN"/>
        </w:rPr>
        <w:t>（二）委托</w:t>
      </w:r>
      <w:bookmarkStart w:id="6" w:name="OLE_LINK5"/>
      <w:r>
        <w:rPr>
          <w:rFonts w:ascii="楷体" w:hAnsi="楷体" w:eastAsia="楷体" w:cs="楷体"/>
          <w:bCs/>
          <w:spacing w:val="6"/>
          <w:sz w:val="32"/>
          <w:szCs w:val="32"/>
          <w:lang w:eastAsia="zh-CN"/>
        </w:rPr>
        <w:t>证券公司</w:t>
      </w:r>
      <w:bookmarkEnd w:id="6"/>
      <w:r>
        <w:rPr>
          <w:rFonts w:ascii="楷体" w:hAnsi="楷体" w:eastAsia="楷体" w:cs="楷体"/>
          <w:bCs/>
          <w:spacing w:val="6"/>
          <w:sz w:val="32"/>
          <w:szCs w:val="32"/>
          <w:lang w:eastAsia="zh-CN"/>
        </w:rPr>
        <w:t>办理股票投资及佣金支付情况</w:t>
      </w:r>
    </w:p>
    <w:p>
      <w:pPr>
        <w:pStyle w:val="3"/>
        <w:spacing w:before="176" w:line="560" w:lineRule="exact"/>
        <w:jc w:val="right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  <w:bCs/>
          <w:sz w:val="22"/>
          <w:szCs w:val="22"/>
        </w:rPr>
        <w:t>金额单位：人民币元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28" w:type="dxa"/>
          <w:bottom w:w="0" w:type="dxa"/>
          <w:right w:w="57" w:type="dxa"/>
        </w:tblCellMar>
      </w:tblPr>
      <w:tblGrid>
        <w:gridCol w:w="973"/>
        <w:gridCol w:w="666"/>
        <w:gridCol w:w="901"/>
        <w:gridCol w:w="760"/>
        <w:gridCol w:w="1779"/>
        <w:gridCol w:w="1510"/>
        <w:gridCol w:w="883"/>
        <w:gridCol w:w="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1271" w:hRule="atLeast"/>
          <w:jc w:val="center"/>
        </w:trPr>
        <w:tc>
          <w:tcPr>
            <w:tcW w:w="580" w:type="pct"/>
            <w:vMerge w:val="restart"/>
            <w:tcBorders>
              <w:bottom w:val="nil"/>
            </w:tcBorders>
            <w:vAlign w:val="center"/>
          </w:tcPr>
          <w:p>
            <w:pPr>
              <w:spacing w:before="103"/>
              <w:jc w:val="center"/>
              <w:rPr>
                <w:rFonts w:hint="eastAsia" w:cs="Times New Roman" w:asciiTheme="minorEastAsia" w:hAnsiTheme="minorEastAsia" w:eastAsiaTheme="minorEastAsia"/>
                <w:sz w:val="16"/>
                <w:szCs w:val="16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1"/>
                <w:sz w:val="22"/>
                <w:szCs w:val="22"/>
              </w:rPr>
              <w:t>证券公司名称</w:t>
            </w:r>
          </w:p>
        </w:tc>
        <w:tc>
          <w:tcPr>
            <w:tcW w:w="1387" w:type="pct"/>
            <w:gridSpan w:val="3"/>
            <w:vAlign w:val="center"/>
          </w:tcPr>
          <w:p>
            <w:pPr>
              <w:spacing w:before="103"/>
              <w:jc w:val="center"/>
              <w:rPr>
                <w:rFonts w:hint="eastAsia"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1"/>
                <w:sz w:val="22"/>
                <w:szCs w:val="22"/>
              </w:rPr>
              <w:t>被动股票型基金</w:t>
            </w:r>
          </w:p>
        </w:tc>
        <w:tc>
          <w:tcPr>
            <w:tcW w:w="2486" w:type="pct"/>
            <w:gridSpan w:val="3"/>
            <w:vAlign w:val="center"/>
          </w:tcPr>
          <w:p>
            <w:pPr>
              <w:spacing w:before="103"/>
              <w:jc w:val="center"/>
              <w:rPr>
                <w:rFonts w:hint="eastAsia"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1"/>
                <w:sz w:val="22"/>
                <w:szCs w:val="22"/>
              </w:rPr>
              <w:t>其他类型基金</w:t>
            </w:r>
          </w:p>
        </w:tc>
        <w:tc>
          <w:tcPr>
            <w:tcW w:w="547" w:type="pct"/>
            <w:vMerge w:val="restart"/>
            <w:vAlign w:val="center"/>
          </w:tcPr>
          <w:p>
            <w:pPr>
              <w:spacing w:before="103"/>
              <w:ind w:left="15" w:firstLine="29"/>
              <w:jc w:val="center"/>
              <w:rPr>
                <w:rFonts w:hint="eastAsia" w:cs="Times New Roman" w:asciiTheme="minorEastAsia" w:hAnsiTheme="minorEastAsia" w:eastAsiaTheme="minorEastAsia"/>
                <w:sz w:val="15"/>
                <w:szCs w:val="15"/>
                <w:lang w:eastAsia="zh-CN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3"/>
                <w:sz w:val="22"/>
                <w:szCs w:val="22"/>
                <w:lang w:eastAsia="zh-CN"/>
              </w:rPr>
              <w:t>是否与管理人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lang w:eastAsia="zh-CN"/>
              </w:rPr>
              <w:instrText xml:space="preserve"> HYPERLINK \l "bookmark8"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cs="微软雅黑" w:asciiTheme="minorEastAsia" w:hAnsiTheme="minorEastAsia" w:eastAsiaTheme="minorEastAsia"/>
                <w:bCs/>
                <w:spacing w:val="-3"/>
                <w:sz w:val="22"/>
                <w:szCs w:val="22"/>
                <w:lang w:eastAsia="zh-CN"/>
              </w:rPr>
              <w:t>存在关联关系</w:t>
            </w:r>
            <w:r>
              <w:rPr>
                <w:rFonts w:cs="微软雅黑" w:asciiTheme="minorEastAsia" w:hAnsiTheme="minorEastAsia" w:eastAsiaTheme="minorEastAsia"/>
                <w:bCs/>
                <w:spacing w:val="-3"/>
                <w:sz w:val="22"/>
                <w:szCs w:val="22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1890" w:hRule="atLeast"/>
          <w:jc w:val="center"/>
        </w:trPr>
        <w:tc>
          <w:tcPr>
            <w:tcW w:w="580" w:type="pct"/>
            <w:vMerge w:val="continue"/>
            <w:tcBorders>
              <w:top w:val="nil"/>
            </w:tcBorders>
            <w:vAlign w:val="center"/>
          </w:tcPr>
          <w:p>
            <w:pPr>
              <w:pStyle w:val="12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97" w:type="pct"/>
            <w:vAlign w:val="center"/>
          </w:tcPr>
          <w:p>
            <w:pPr>
              <w:spacing w:before="103"/>
              <w:ind w:left="12" w:right="13"/>
              <w:jc w:val="center"/>
              <w:rPr>
                <w:rFonts w:hint="eastAsia"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1"/>
                <w:sz w:val="22"/>
                <w:szCs w:val="22"/>
              </w:rPr>
              <w:t>股票交易成交金额</w:t>
            </w:r>
          </w:p>
        </w:tc>
        <w:tc>
          <w:tcPr>
            <w:tcW w:w="537" w:type="pct"/>
            <w:vAlign w:val="center"/>
          </w:tcPr>
          <w:p>
            <w:pPr>
              <w:spacing w:before="197"/>
              <w:ind w:left="44" w:right="32" w:hanging="13"/>
              <w:jc w:val="center"/>
              <w:rPr>
                <w:rFonts w:hint="eastAsia" w:cs="Times New Roman" w:asciiTheme="minorEastAsia" w:hAnsiTheme="minorEastAsia" w:eastAsiaTheme="minorEastAsia"/>
                <w:sz w:val="13"/>
                <w:szCs w:val="13"/>
                <w:lang w:eastAsia="zh-CN"/>
              </w:rPr>
            </w:pPr>
            <w:r>
              <w:rPr>
                <w:rFonts w:cs="微软雅黑" w:asciiTheme="minorEastAsia" w:hAnsiTheme="minorEastAsia" w:eastAsiaTheme="minorEastAsia"/>
                <w:bCs/>
                <w:sz w:val="22"/>
                <w:szCs w:val="22"/>
                <w:lang w:eastAsia="zh-CN"/>
              </w:rPr>
              <w:t>应支付该证券公</w:t>
            </w:r>
            <w:r>
              <w:rPr>
                <w:rFonts w:cs="微软雅黑" w:asciiTheme="minorEastAsia" w:hAnsiTheme="minorEastAsia" w:eastAsiaTheme="minorEastAsia"/>
                <w:bCs/>
                <w:spacing w:val="-2"/>
                <w:sz w:val="22"/>
                <w:szCs w:val="22"/>
                <w:lang w:eastAsia="zh-CN"/>
              </w:rPr>
              <w:t>司的股票交易佣</w:t>
            </w:r>
            <w:r>
              <w:rPr>
                <w:rFonts w:cs="微软雅黑" w:asciiTheme="minorEastAsia" w:hAnsiTheme="minorEastAsia" w:eastAsiaTheme="minorEastAsia"/>
                <w:bCs/>
                <w:spacing w:val="-1"/>
                <w:sz w:val="22"/>
                <w:szCs w:val="22"/>
                <w:lang w:eastAsia="zh-CN"/>
              </w:rPr>
              <w:t>金金额</w:t>
            </w:r>
          </w:p>
        </w:tc>
        <w:tc>
          <w:tcPr>
            <w:tcW w:w="453" w:type="pct"/>
            <w:vAlign w:val="center"/>
          </w:tcPr>
          <w:p>
            <w:pPr>
              <w:spacing w:before="103"/>
              <w:ind w:left="13" w:right="98"/>
              <w:jc w:val="center"/>
              <w:rPr>
                <w:rFonts w:hint="eastAsia"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1"/>
                <w:sz w:val="22"/>
                <w:szCs w:val="22"/>
              </w:rPr>
              <w:t>平均佣金</w:t>
            </w:r>
            <w:r>
              <w:rPr>
                <w:rFonts w:cs="微软雅黑" w:asciiTheme="minorEastAsia" w:hAnsiTheme="minorEastAsia" w:eastAsiaTheme="minorEastAsia"/>
                <w:bCs/>
                <w:spacing w:val="24"/>
                <w:sz w:val="22"/>
                <w:szCs w:val="22"/>
              </w:rPr>
              <w:t>费</w:t>
            </w:r>
            <w:r>
              <w:rPr>
                <w:rFonts w:hint="eastAsia" w:cs="微软雅黑" w:asciiTheme="minorEastAsia" w:hAnsiTheme="minorEastAsia" w:eastAsiaTheme="minorEastAsia"/>
                <w:bCs/>
                <w:spacing w:val="24"/>
                <w:sz w:val="22"/>
                <w:szCs w:val="22"/>
                <w:lang w:eastAsia="zh-CN"/>
              </w:rPr>
              <w:t>率</w:t>
            </w:r>
            <w:r>
              <w:rPr>
                <w:rFonts w:cs="微软雅黑" w:asciiTheme="minorEastAsia" w:hAnsiTheme="minorEastAsia" w:eastAsiaTheme="minorEastAsia"/>
                <w:bCs/>
                <w:spacing w:val="24"/>
                <w:sz w:val="22"/>
                <w:szCs w:val="22"/>
              </w:rPr>
              <w:t xml:space="preserve"> (</w:t>
            </w:r>
            <w:r>
              <w:rPr>
                <w:rFonts w:hint="eastAsia" w:cs="Times New Roman" w:asciiTheme="minorEastAsia" w:hAnsiTheme="minorEastAsia" w:eastAsiaTheme="minorEastAsia"/>
                <w:bCs/>
                <w:spacing w:val="24"/>
                <w:sz w:val="22"/>
                <w:szCs w:val="22"/>
              </w:rPr>
              <w:t>‰</w:t>
            </w:r>
            <w:r>
              <w:rPr>
                <w:rFonts w:cs="微软雅黑" w:asciiTheme="minorEastAsia" w:hAnsiTheme="minorEastAsia" w:eastAsiaTheme="minorEastAsia"/>
                <w:bCs/>
                <w:spacing w:val="24"/>
                <w:sz w:val="22"/>
                <w:szCs w:val="22"/>
              </w:rPr>
              <w:t>)</w:t>
            </w:r>
          </w:p>
        </w:tc>
        <w:tc>
          <w:tcPr>
            <w:tcW w:w="1060" w:type="pct"/>
            <w:vAlign w:val="center"/>
          </w:tcPr>
          <w:p>
            <w:pPr>
              <w:spacing w:before="103"/>
              <w:ind w:left="44" w:right="42"/>
              <w:jc w:val="center"/>
              <w:rPr>
                <w:rFonts w:hint="eastAsia"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2"/>
                <w:sz w:val="22"/>
                <w:szCs w:val="22"/>
              </w:rPr>
              <w:t>股票交易成交金额</w:t>
            </w:r>
          </w:p>
        </w:tc>
        <w:tc>
          <w:tcPr>
            <w:tcW w:w="900" w:type="pct"/>
            <w:vAlign w:val="center"/>
          </w:tcPr>
          <w:p>
            <w:pPr>
              <w:spacing w:before="103"/>
              <w:ind w:left="44" w:right="42"/>
              <w:jc w:val="center"/>
              <w:rPr>
                <w:rFonts w:hint="eastAsia" w:cs="微软雅黑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2"/>
                <w:sz w:val="22"/>
                <w:szCs w:val="22"/>
                <w:lang w:eastAsia="zh-CN"/>
              </w:rPr>
              <w:t>应支付该证券公司的股票交易佣金金额</w:t>
            </w:r>
          </w:p>
        </w:tc>
        <w:tc>
          <w:tcPr>
            <w:tcW w:w="526" w:type="pct"/>
            <w:vAlign w:val="center"/>
          </w:tcPr>
          <w:p>
            <w:pPr>
              <w:spacing w:before="103"/>
              <w:ind w:left="15" w:firstLine="29"/>
              <w:jc w:val="center"/>
              <w:rPr>
                <w:rFonts w:hint="eastAsia" w:cs="微软雅黑" w:asciiTheme="minorEastAsia" w:hAnsiTheme="minorEastAsia" w:eastAsiaTheme="minorEastAsia"/>
                <w:sz w:val="22"/>
                <w:szCs w:val="22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3"/>
                <w:sz w:val="22"/>
                <w:szCs w:val="22"/>
              </w:rPr>
              <w:t>平均佣金</w:t>
            </w:r>
            <w:r>
              <w:rPr>
                <w:rFonts w:cs="微软雅黑" w:asciiTheme="minorEastAsia" w:hAnsiTheme="minorEastAsia" w:eastAsiaTheme="minorEastAsia"/>
                <w:bCs/>
                <w:spacing w:val="36"/>
                <w:sz w:val="22"/>
                <w:szCs w:val="22"/>
              </w:rPr>
              <w:t>费率(</w:t>
            </w:r>
            <w:r>
              <w:rPr>
                <w:rFonts w:hint="eastAsia" w:cs="Times New Roman" w:asciiTheme="minorEastAsia" w:hAnsiTheme="minorEastAsia" w:eastAsiaTheme="minorEastAsia"/>
                <w:bCs/>
                <w:spacing w:val="24"/>
                <w:sz w:val="22"/>
                <w:szCs w:val="22"/>
              </w:rPr>
              <w:t>‰</w:t>
            </w:r>
            <w:r>
              <w:rPr>
                <w:rFonts w:cs="微软雅黑" w:asciiTheme="minorEastAsia" w:hAnsiTheme="minorEastAsia" w:eastAsiaTheme="minorEastAsia"/>
                <w:bCs/>
                <w:spacing w:val="36"/>
                <w:sz w:val="22"/>
                <w:szCs w:val="22"/>
              </w:rPr>
              <w:t>)</w:t>
            </w:r>
          </w:p>
        </w:tc>
        <w:tc>
          <w:tcPr>
            <w:tcW w:w="547" w:type="pct"/>
            <w:vMerge w:val="continue"/>
          </w:tcPr>
          <w:p>
            <w:pPr>
              <w:pStyle w:val="12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申万宏源证券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6,504,723,796.65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2,887,164.58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国联民生证券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5,727,015,204.99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2,551,146.25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0.45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667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中信证券</w:t>
            </w:r>
            <w:r>
              <w:t>(</w:t>
            </w:r>
            <w:r>
              <w:rPr>
                <w:rFonts w:hint="eastAsia" w:ascii="宋体" w:hAnsi="宋体" w:eastAsia="宋体" w:cs="宋体"/>
              </w:rPr>
              <w:t>山东</w:t>
            </w:r>
            <w:r>
              <w:t>)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5,710,090,260.80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2,507,159.56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广发证券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5,695,627,850.65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2,456,300.12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0.43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国投证券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5,180,402,840.53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2,300,558.70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东方财富证券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5,144,423,405.73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2,268,242.13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中信建投证券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4,798,547,596.70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2,114,992.43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中信证券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2,092,065,431.25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919,812.45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国泰海通证券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1,315,626,678.88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576,903.39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长江证券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1,249,357,497.97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555,600.90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中国国际金融股份有限公司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779,989,297.28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347,985.73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0.45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兴业证券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775,241,542.03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337,946.71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国盛证券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666,973,678.18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290,774.81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国信证券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302,723,585.07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134,380.71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华西证券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174,591,360.74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72,279.32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0.41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580" w:type="pct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宋体" w:hAnsi="宋体" w:eastAsia="宋体" w:cs="宋体"/>
              </w:rPr>
              <w:t>渤海证券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17,044,512.31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7,686.80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0.45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580" w:type="pct"/>
            <w:vAlign w:val="center"/>
          </w:tcPr>
          <w:p>
            <w:pPr>
              <w:spacing w:before="198" w:line="360" w:lineRule="auto"/>
              <w:jc w:val="center"/>
              <w:rPr>
                <w:rFonts w:hint="eastAsia" w:cs="微软雅黑" w:asciiTheme="minorEastAsia" w:hAnsiTheme="minorEastAsia" w:eastAsiaTheme="minorEastAsia"/>
              </w:rPr>
            </w:pPr>
            <w:r>
              <w:rPr>
                <w:rFonts w:cs="微软雅黑" w:asciiTheme="minorEastAsia" w:hAnsiTheme="minorEastAsia" w:eastAsiaTheme="minorEastAsia"/>
                <w:bCs/>
                <w:spacing w:val="-2"/>
              </w:rPr>
              <w:t>合计</w:t>
            </w:r>
          </w:p>
        </w:tc>
        <w:tc>
          <w:tcPr>
            <w:tcW w:w="39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-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-</w:t>
            </w:r>
          </w:p>
        </w:tc>
        <w:tc>
          <w:tcPr>
            <w:tcW w:w="453" w:type="pct"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-</w:t>
            </w:r>
          </w:p>
        </w:tc>
        <w:tc>
          <w:tcPr>
            <w:tcW w:w="1060" w:type="pct"/>
            <w:vAlign w:val="center"/>
          </w:tcPr>
          <w:p>
            <w:pPr>
              <w:spacing w:line="360" w:lineRule="auto"/>
              <w:jc w:val="righ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46,134,444,539.76 </w:t>
            </w:r>
          </w:p>
        </w:tc>
        <w:tc>
          <w:tcPr>
            <w:tcW w:w="900" w:type="pct"/>
            <w:vAlign w:val="center"/>
          </w:tcPr>
          <w:p>
            <w:pPr>
              <w:spacing w:line="360" w:lineRule="auto"/>
              <w:jc w:val="righ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20,328,934.59 </w:t>
            </w:r>
          </w:p>
        </w:tc>
        <w:tc>
          <w:tcPr>
            <w:tcW w:w="526" w:type="pct"/>
            <w:vAlign w:val="center"/>
          </w:tcPr>
          <w:p>
            <w:pPr>
              <w:spacing w:line="360" w:lineRule="auto"/>
              <w:jc w:val="righ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</w:rPr>
              <w:t>0.4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4</w:t>
            </w:r>
          </w:p>
        </w:tc>
        <w:tc>
          <w:tcPr>
            <w:tcW w:w="54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spacing w:before="178" w:line="560" w:lineRule="exact"/>
        <w:rPr>
          <w:rFonts w:hint="eastAsia" w:asciiTheme="minorEastAsia" w:hAnsiTheme="minorEastAsia" w:eastAsiaTheme="minorEastAsia"/>
          <w:spacing w:val="-6"/>
          <w:lang w:eastAsia="zh-CN"/>
        </w:rPr>
      </w:pPr>
      <w:r>
        <w:rPr>
          <w:rFonts w:asciiTheme="minorEastAsia" w:hAnsiTheme="minorEastAsia" w:eastAsiaTheme="minorEastAsia"/>
          <w:spacing w:val="-6"/>
          <w:lang w:eastAsia="zh-CN"/>
        </w:rPr>
        <w:t>注：本报告披露的报告期为</w:t>
      </w:r>
      <w:r>
        <w:rPr>
          <w:rFonts w:hint="eastAsia" w:asciiTheme="minorEastAsia" w:hAnsiTheme="minorEastAsia" w:eastAsiaTheme="minorEastAsia"/>
          <w:spacing w:val="-6"/>
          <w:lang w:eastAsia="zh-CN"/>
        </w:rPr>
        <w:t>2</w:t>
      </w:r>
      <w:r>
        <w:rPr>
          <w:rFonts w:asciiTheme="minorEastAsia" w:hAnsiTheme="minorEastAsia" w:eastAsiaTheme="minorEastAsia"/>
          <w:spacing w:val="-6"/>
          <w:lang w:eastAsia="zh-CN"/>
        </w:rPr>
        <w:t>025年</w:t>
      </w:r>
      <w:r>
        <w:rPr>
          <w:rFonts w:hint="eastAsia" w:asciiTheme="minorEastAsia" w:hAnsiTheme="minorEastAsia" w:eastAsiaTheme="minorEastAsia"/>
          <w:spacing w:val="-6"/>
          <w:lang w:eastAsia="zh-CN"/>
        </w:rPr>
        <w:t>1月1日至2</w:t>
      </w:r>
      <w:r>
        <w:rPr>
          <w:rFonts w:asciiTheme="minorEastAsia" w:hAnsiTheme="minorEastAsia" w:eastAsiaTheme="minorEastAsia"/>
          <w:spacing w:val="-6"/>
          <w:lang w:eastAsia="zh-CN"/>
        </w:rPr>
        <w:t>025年</w:t>
      </w:r>
      <w:r>
        <w:rPr>
          <w:rFonts w:hint="eastAsia" w:asciiTheme="minorEastAsia" w:hAnsiTheme="minorEastAsia" w:eastAsiaTheme="minorEastAsia"/>
          <w:spacing w:val="-6"/>
          <w:lang w:eastAsia="zh-CN"/>
        </w:rPr>
        <w:t>1</w:t>
      </w:r>
      <w:r>
        <w:rPr>
          <w:rFonts w:asciiTheme="minorEastAsia" w:hAnsiTheme="minorEastAsia" w:eastAsiaTheme="minorEastAsia"/>
          <w:spacing w:val="-6"/>
          <w:lang w:eastAsia="zh-CN"/>
        </w:rPr>
        <w:t>2月</w:t>
      </w:r>
      <w:r>
        <w:rPr>
          <w:rFonts w:hint="eastAsia" w:asciiTheme="minorEastAsia" w:hAnsiTheme="minorEastAsia" w:eastAsiaTheme="minorEastAsia"/>
          <w:spacing w:val="-6"/>
          <w:lang w:eastAsia="zh-CN"/>
        </w:rPr>
        <w:t>3</w:t>
      </w:r>
      <w:r>
        <w:rPr>
          <w:rFonts w:asciiTheme="minorEastAsia" w:hAnsiTheme="minorEastAsia" w:eastAsiaTheme="minorEastAsia"/>
          <w:spacing w:val="-6"/>
          <w:lang w:eastAsia="zh-CN"/>
        </w:rPr>
        <w:t>1日。在该数据期间内，</w:t>
      </w:r>
      <w:r>
        <w:rPr>
          <w:rFonts w:hint="eastAsia" w:asciiTheme="minorEastAsia" w:hAnsiTheme="minorEastAsia" w:eastAsiaTheme="minorEastAsia"/>
          <w:spacing w:val="-6"/>
          <w:lang w:eastAsia="zh-CN"/>
        </w:rPr>
        <w:t>公司旗下无被动股票型基金，故未涉及相关费率。</w:t>
      </w:r>
    </w:p>
    <w:p>
      <w:pPr>
        <w:spacing w:before="3" w:line="560" w:lineRule="exact"/>
        <w:rPr>
          <w:rFonts w:hint="eastAsia" w:asciiTheme="minorEastAsia" w:hAnsiTheme="minorEastAsia" w:eastAsiaTheme="minorEastAsia"/>
          <w:lang w:eastAsia="zh-CN"/>
        </w:rPr>
      </w:pPr>
      <w:bookmarkStart w:id="7" w:name="bookmark5"/>
      <w:bookmarkEnd w:id="7"/>
      <w:bookmarkStart w:id="8" w:name="bookmark8"/>
      <w:bookmarkEnd w:id="8"/>
      <w:bookmarkStart w:id="9" w:name="bookmark6"/>
      <w:bookmarkEnd w:id="9"/>
      <w:bookmarkStart w:id="10" w:name="bookmark9"/>
      <w:bookmarkEnd w:id="10"/>
    </w:p>
    <w:sectPr>
      <w:pgSz w:w="11906" w:h="16839"/>
      <w:pgMar w:top="1440" w:right="1800" w:bottom="1440" w:left="1800" w:header="0" w:footer="123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98"/>
    <w:rsid w:val="000120B0"/>
    <w:rsid w:val="00020F78"/>
    <w:rsid w:val="0003208F"/>
    <w:rsid w:val="0005701E"/>
    <w:rsid w:val="000741B5"/>
    <w:rsid w:val="0008362D"/>
    <w:rsid w:val="000A1614"/>
    <w:rsid w:val="000A6AA2"/>
    <w:rsid w:val="000C5BA9"/>
    <w:rsid w:val="000D6FD7"/>
    <w:rsid w:val="000E5A9E"/>
    <w:rsid w:val="001006B9"/>
    <w:rsid w:val="00107822"/>
    <w:rsid w:val="00134B06"/>
    <w:rsid w:val="00154ED3"/>
    <w:rsid w:val="00155F27"/>
    <w:rsid w:val="00170358"/>
    <w:rsid w:val="001C7E33"/>
    <w:rsid w:val="00211414"/>
    <w:rsid w:val="0024145E"/>
    <w:rsid w:val="002626C4"/>
    <w:rsid w:val="002627D3"/>
    <w:rsid w:val="002A03D6"/>
    <w:rsid w:val="002A71ED"/>
    <w:rsid w:val="002B3104"/>
    <w:rsid w:val="002E4000"/>
    <w:rsid w:val="002F7DFF"/>
    <w:rsid w:val="00306472"/>
    <w:rsid w:val="00364FD0"/>
    <w:rsid w:val="003A0F87"/>
    <w:rsid w:val="003B4494"/>
    <w:rsid w:val="003D5A22"/>
    <w:rsid w:val="003D78BE"/>
    <w:rsid w:val="00421530"/>
    <w:rsid w:val="00436F59"/>
    <w:rsid w:val="0045663E"/>
    <w:rsid w:val="0045767D"/>
    <w:rsid w:val="004A4A9A"/>
    <w:rsid w:val="004C3791"/>
    <w:rsid w:val="004E7DCA"/>
    <w:rsid w:val="00517190"/>
    <w:rsid w:val="00550374"/>
    <w:rsid w:val="00563F33"/>
    <w:rsid w:val="0064733E"/>
    <w:rsid w:val="00652AD4"/>
    <w:rsid w:val="006D318C"/>
    <w:rsid w:val="006E2C6D"/>
    <w:rsid w:val="006E5889"/>
    <w:rsid w:val="006F22C0"/>
    <w:rsid w:val="0070160B"/>
    <w:rsid w:val="00702DFE"/>
    <w:rsid w:val="00715571"/>
    <w:rsid w:val="00767BCC"/>
    <w:rsid w:val="007A1DEC"/>
    <w:rsid w:val="007A61A1"/>
    <w:rsid w:val="007B28E8"/>
    <w:rsid w:val="0081442C"/>
    <w:rsid w:val="00823265"/>
    <w:rsid w:val="00846944"/>
    <w:rsid w:val="00863C63"/>
    <w:rsid w:val="00871A0F"/>
    <w:rsid w:val="00896C13"/>
    <w:rsid w:val="008C45F3"/>
    <w:rsid w:val="008E6E1C"/>
    <w:rsid w:val="008F11F3"/>
    <w:rsid w:val="0093768D"/>
    <w:rsid w:val="00944072"/>
    <w:rsid w:val="009F77A9"/>
    <w:rsid w:val="00A14563"/>
    <w:rsid w:val="00A37F9E"/>
    <w:rsid w:val="00A87F8E"/>
    <w:rsid w:val="00A9307F"/>
    <w:rsid w:val="00AA19B0"/>
    <w:rsid w:val="00AB0D03"/>
    <w:rsid w:val="00AD13C2"/>
    <w:rsid w:val="00AE0568"/>
    <w:rsid w:val="00B041CA"/>
    <w:rsid w:val="00B079D9"/>
    <w:rsid w:val="00B1024E"/>
    <w:rsid w:val="00B25048"/>
    <w:rsid w:val="00B423E6"/>
    <w:rsid w:val="00B83E25"/>
    <w:rsid w:val="00B919B8"/>
    <w:rsid w:val="00B92498"/>
    <w:rsid w:val="00B9351E"/>
    <w:rsid w:val="00BA599F"/>
    <w:rsid w:val="00BC2739"/>
    <w:rsid w:val="00BE1493"/>
    <w:rsid w:val="00BE1886"/>
    <w:rsid w:val="00C04CD0"/>
    <w:rsid w:val="00C0557D"/>
    <w:rsid w:val="00C212C3"/>
    <w:rsid w:val="00C43030"/>
    <w:rsid w:val="00C615CF"/>
    <w:rsid w:val="00C73D09"/>
    <w:rsid w:val="00C83742"/>
    <w:rsid w:val="00C92E65"/>
    <w:rsid w:val="00C97F63"/>
    <w:rsid w:val="00CB2D30"/>
    <w:rsid w:val="00CC428F"/>
    <w:rsid w:val="00CC68E0"/>
    <w:rsid w:val="00CE6B6F"/>
    <w:rsid w:val="00CF739C"/>
    <w:rsid w:val="00D05343"/>
    <w:rsid w:val="00D05869"/>
    <w:rsid w:val="00D21C61"/>
    <w:rsid w:val="00D4045F"/>
    <w:rsid w:val="00D5216C"/>
    <w:rsid w:val="00D74699"/>
    <w:rsid w:val="00D804EE"/>
    <w:rsid w:val="00D878A5"/>
    <w:rsid w:val="00DD04D2"/>
    <w:rsid w:val="00E075FE"/>
    <w:rsid w:val="00E1735A"/>
    <w:rsid w:val="00E2425D"/>
    <w:rsid w:val="00E321EC"/>
    <w:rsid w:val="00E331FB"/>
    <w:rsid w:val="00E40598"/>
    <w:rsid w:val="00E50DE6"/>
    <w:rsid w:val="00E54797"/>
    <w:rsid w:val="00E61FBD"/>
    <w:rsid w:val="00E754A0"/>
    <w:rsid w:val="00EE4EA6"/>
    <w:rsid w:val="00EF52CA"/>
    <w:rsid w:val="00F03ECC"/>
    <w:rsid w:val="00F17B38"/>
    <w:rsid w:val="00F518A2"/>
    <w:rsid w:val="00F53C87"/>
    <w:rsid w:val="00F56124"/>
    <w:rsid w:val="00FE1490"/>
    <w:rsid w:val="01D474BE"/>
    <w:rsid w:val="092E6688"/>
    <w:rsid w:val="0C8E2968"/>
    <w:rsid w:val="0D234873"/>
    <w:rsid w:val="0D6E42F3"/>
    <w:rsid w:val="0F4E4459"/>
    <w:rsid w:val="161A3A8D"/>
    <w:rsid w:val="1B55264E"/>
    <w:rsid w:val="206B6DF3"/>
    <w:rsid w:val="277930A0"/>
    <w:rsid w:val="2EE21B01"/>
    <w:rsid w:val="33AE7D7A"/>
    <w:rsid w:val="3927715C"/>
    <w:rsid w:val="432804C5"/>
    <w:rsid w:val="43C46718"/>
    <w:rsid w:val="4DBB5936"/>
    <w:rsid w:val="4E37780E"/>
    <w:rsid w:val="4F00436E"/>
    <w:rsid w:val="513801F7"/>
    <w:rsid w:val="541A0CB8"/>
    <w:rsid w:val="54224ABC"/>
    <w:rsid w:val="55486D0F"/>
    <w:rsid w:val="57D02009"/>
    <w:rsid w:val="586548B4"/>
    <w:rsid w:val="648A76E6"/>
    <w:rsid w:val="70D67C19"/>
    <w:rsid w:val="794D2001"/>
    <w:rsid w:val="79C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</w:style>
  <w:style w:type="character" w:customStyle="1" w:styleId="13">
    <w:name w:val="页眉 字符"/>
    <w:basedOn w:val="9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批注框文本 字符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6">
    <w:name w:val="批注文字 字符"/>
    <w:basedOn w:val="9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7">
    <w:name w:val="批注主题 字符"/>
    <w:basedOn w:val="16"/>
    <w:link w:val="7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customStyle="1" w:styleId="18">
    <w:name w:val="修订1"/>
    <w:hidden/>
    <w:unhideWhenUsed/>
    <w:qFormat/>
    <w:uiPriority w:val="99"/>
    <w:pPr>
      <w:spacing w:after="160" w:line="278" w:lineRule="auto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9">
    <w:name w:val="修订2"/>
    <w:hidden/>
    <w:semiHidden/>
    <w:qFormat/>
    <w:uiPriority w:val="99"/>
    <w:pPr>
      <w:spacing w:after="160" w:line="278" w:lineRule="auto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F84FF-5F12-4708-80DE-004AE22B34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1101</Characters>
  <Lines>183</Lines>
  <Paragraphs>171</Paragraphs>
  <TotalTime>6</TotalTime>
  <ScaleCrop>false</ScaleCrop>
  <LinksUpToDate>false</LinksUpToDate>
  <CharactersWithSpaces>1715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2026-03-26T02:32:00Z</dcterms:created>
  <dc:creator>罗晨</dc:creator>
  <cp:lastModifiedBy>聪子</cp:lastModifiedBy>
  <cp:lastPrinted>2025-03-28T06:52:00Z</cp:lastPrinted>
  <dcterms:modified xsi:type="dcterms:W3CDTF">2026-03-26T07:45:23Z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2025-03-03T10:56:37Z</vt:filetime>
  </property>
  <property fmtid="{D5CDD505-2E9C-101B-9397-08002B2CF9AE}" pid="4" name="KSOTemplateDocerSaveRecord">
    <vt:lpwstr>eyJoZGlkIjoiNDlmZDQ1NzE5ZjE5YTIwNzY1NzE5N2I3MjBkYWExNjEiLCJ1c2VySWQiOiIxMDI2NTI0Njg4In0=</vt:lpwstr>
  </property>
  <property fmtid="{D5CDD505-2E9C-101B-9397-08002B2CF9AE}" pid="5" name="KSOProductBuildVer">
    <vt:lpwstr>2052-11.1.0.10314</vt:lpwstr>
  </property>
  <property fmtid="{D5CDD505-2E9C-101B-9397-08002B2CF9AE}" pid="6" name="ICV">
    <vt:lpwstr>F191C5ABEC4749C285DC91DAEB184818_12</vt:lpwstr>
  </property>
</Properties>
</file>