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360" w:lineRule="auto"/>
        <w:jc w:val="center"/>
        <w:rPr>
          <w:rFonts w:ascii="宋体" w:hAnsi="宋体" w:cs="宋体"/>
          <w:szCs w:val="21"/>
        </w:rPr>
      </w:pPr>
      <w:bookmarkStart w:id="0" w:name="CLAUSE_468ded6493c9462ebc131b865f5d7da2"/>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b/>
          <w:sz w:val="44"/>
          <w:szCs w:val="21"/>
        </w:rPr>
      </w:pPr>
      <w:r>
        <w:rPr>
          <w:rFonts w:hint="eastAsia" w:ascii="宋体" w:hAnsi="宋体" w:cs="宋体"/>
          <w:b/>
          <w:sz w:val="44"/>
          <w:szCs w:val="21"/>
        </w:rPr>
        <w:t>东方阿尔法瑞利混合型发起式</w:t>
      </w:r>
    </w:p>
    <w:p>
      <w:pPr>
        <w:adjustRightInd w:val="0"/>
        <w:snapToGrid w:val="0"/>
        <w:spacing w:line="360" w:lineRule="auto"/>
        <w:jc w:val="center"/>
        <w:rPr>
          <w:rFonts w:ascii="宋体" w:hAnsi="宋体" w:cs="宋体"/>
          <w:b/>
          <w:sz w:val="44"/>
          <w:szCs w:val="21"/>
        </w:rPr>
      </w:pPr>
      <w:r>
        <w:rPr>
          <w:rFonts w:hint="eastAsia" w:ascii="宋体" w:hAnsi="宋体" w:cs="宋体"/>
          <w:b/>
          <w:sz w:val="44"/>
          <w:szCs w:val="21"/>
        </w:rPr>
        <w:t>证券投资基金托管协议</w:t>
      </w:r>
    </w:p>
    <w:p>
      <w:pPr>
        <w:adjustRightInd w:val="0"/>
        <w:snapToGrid w:val="0"/>
        <w:spacing w:line="360" w:lineRule="auto"/>
        <w:jc w:val="center"/>
        <w:rPr>
          <w:rFonts w:ascii="宋体" w:hAnsi="宋体" w:cs="宋体"/>
          <w:b/>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ind w:firstLine="1680" w:firstLineChars="600"/>
        <w:rPr>
          <w:rFonts w:ascii="宋体" w:hAnsi="宋体" w:cs="宋体"/>
          <w:bCs/>
          <w:sz w:val="28"/>
          <w:szCs w:val="21"/>
        </w:rPr>
      </w:pPr>
      <w:r>
        <w:rPr>
          <w:rFonts w:hint="eastAsia" w:ascii="宋体" w:hAnsi="宋体" w:cs="宋体"/>
          <w:bCs/>
          <w:sz w:val="28"/>
          <w:szCs w:val="21"/>
        </w:rPr>
        <w:t>基金管理人：东方阿尔法基金管理有限公司</w:t>
      </w:r>
    </w:p>
    <w:p>
      <w:pPr>
        <w:adjustRightInd w:val="0"/>
        <w:snapToGrid w:val="0"/>
        <w:spacing w:line="360" w:lineRule="auto"/>
        <w:ind w:firstLine="1680" w:firstLineChars="600"/>
        <w:rPr>
          <w:rFonts w:ascii="宋体" w:hAnsi="宋体" w:cs="宋体"/>
          <w:bCs/>
          <w:sz w:val="28"/>
          <w:szCs w:val="21"/>
        </w:rPr>
      </w:pPr>
      <w:r>
        <w:rPr>
          <w:rFonts w:hint="eastAsia" w:ascii="宋体" w:hAnsi="宋体" w:cs="宋体"/>
          <w:bCs/>
          <w:sz w:val="28"/>
          <w:szCs w:val="21"/>
        </w:rPr>
        <w:t>基金托管人：招商银行股份有限公司</w:t>
      </w:r>
    </w:p>
    <w:p>
      <w:pPr>
        <w:jc w:val="left"/>
        <w:rPr>
          <w:rFonts w:ascii="宋体" w:hAnsi="宋体" w:cs="宋体"/>
          <w:szCs w:val="21"/>
        </w:rPr>
      </w:pPr>
      <w:r>
        <w:rPr>
          <w:rFonts w:hint="eastAsia" w:ascii="宋体" w:hAnsi="宋体" w:cs="宋体"/>
          <w:szCs w:val="21"/>
        </w:rPr>
        <w:br w:type="page"/>
      </w: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bookmarkEnd w:id="0"/>
    <w:sdt>
      <w:sdtPr>
        <w:rPr>
          <w:rFonts w:ascii="宋体" w:hAnsi="宋体"/>
        </w:rPr>
        <w:id w:val="147458597"/>
        <w15:color w:val="DBDBDB"/>
        <w:docPartObj>
          <w:docPartGallery w:val="Table of Contents"/>
          <w:docPartUnique/>
        </w:docPartObj>
      </w:sdtPr>
      <w:sdtEndPr>
        <w:rPr>
          <w:rFonts w:hint="eastAsia" w:ascii="宋体" w:hAnsi="宋体" w:cs="宋体"/>
          <w:sz w:val="24"/>
        </w:rPr>
      </w:sdtEndPr>
      <w:sdtContent>
        <w:p>
          <w:pPr>
            <w:jc w:val="center"/>
          </w:pPr>
          <w:r>
            <w:rPr>
              <w:rFonts w:ascii="宋体" w:hAnsi="宋体"/>
            </w:rPr>
            <w:t>目录</w:t>
          </w:r>
        </w:p>
        <w:p>
          <w:pPr>
            <w:pStyle w:val="17"/>
            <w:tabs>
              <w:tab w:val="right" w:leader="dot" w:pos="8504"/>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"_Toc15390" </w:instrText>
          </w:r>
          <w:r>
            <w:fldChar w:fldCharType="separate"/>
          </w:r>
          <w:r>
            <w:rPr>
              <w:rFonts w:hint="eastAsia"/>
              <w:sz w:val="24"/>
            </w:rPr>
            <w:t>一、基金托管协议当事人</w:t>
          </w:r>
          <w:r>
            <w:rPr>
              <w:sz w:val="24"/>
            </w:rPr>
            <w:tab/>
          </w:r>
          <w:r>
            <w:rPr>
              <w:sz w:val="24"/>
            </w:rPr>
            <w:fldChar w:fldCharType="begin"/>
          </w:r>
          <w:r>
            <w:rPr>
              <w:sz w:val="24"/>
            </w:rPr>
            <w:instrText xml:space="preserve"> PAGEREF _Toc15390 \h </w:instrText>
          </w:r>
          <w:r>
            <w:rPr>
              <w:sz w:val="24"/>
            </w:rPr>
            <w:fldChar w:fldCharType="separate"/>
          </w:r>
          <w:r>
            <w:rPr>
              <w:sz w:val="24"/>
            </w:rPr>
            <w:t>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"_Toc31118" </w:instrText>
          </w:r>
          <w:r>
            <w:fldChar w:fldCharType="separate"/>
          </w:r>
          <w:r>
            <w:rPr>
              <w:rFonts w:hint="eastAsia"/>
              <w:sz w:val="24"/>
            </w:rPr>
            <w:t>二、基金托管协议的依据、目的和原则</w:t>
          </w:r>
          <w:r>
            <w:rPr>
              <w:sz w:val="24"/>
            </w:rPr>
            <w:tab/>
          </w:r>
          <w:r>
            <w:rPr>
              <w:sz w:val="24"/>
            </w:rPr>
            <w:fldChar w:fldCharType="begin"/>
          </w:r>
          <w:r>
            <w:rPr>
              <w:sz w:val="24"/>
            </w:rPr>
            <w:instrText xml:space="preserve"> PAGEREF _Toc31118 \h </w:instrText>
          </w:r>
          <w:r>
            <w:rPr>
              <w:sz w:val="24"/>
            </w:rPr>
            <w:fldChar w:fldCharType="separate"/>
          </w:r>
          <w:r>
            <w:rPr>
              <w:sz w:val="24"/>
            </w:rPr>
            <w:t>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"_Toc1109" </w:instrText>
          </w:r>
          <w:r>
            <w:fldChar w:fldCharType="separate"/>
          </w:r>
          <w:r>
            <w:rPr>
              <w:rFonts w:hint="eastAsia"/>
              <w:sz w:val="24"/>
            </w:rPr>
            <w:t>三、基金托管人对基金管理人的业务监督和核查</w:t>
          </w:r>
          <w:r>
            <w:rPr>
              <w:sz w:val="24"/>
            </w:rPr>
            <w:tab/>
          </w:r>
          <w:r>
            <w:rPr>
              <w:sz w:val="24"/>
            </w:rPr>
            <w:fldChar w:fldCharType="begin"/>
          </w:r>
          <w:r>
            <w:rPr>
              <w:sz w:val="24"/>
            </w:rPr>
            <w:instrText xml:space="preserve"> PAGEREF _Toc1109 \h </w:instrText>
          </w:r>
          <w:r>
            <w:rPr>
              <w:sz w:val="24"/>
            </w:rPr>
            <w:fldChar w:fldCharType="separate"/>
          </w:r>
          <w:r>
            <w:rPr>
              <w:sz w:val="24"/>
            </w:rPr>
            <w:t>5</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"_Toc22055" </w:instrText>
          </w:r>
          <w:r>
            <w:fldChar w:fldCharType="separate"/>
          </w:r>
          <w:r>
            <w:rPr>
              <w:rFonts w:hint="eastAsia"/>
              <w:sz w:val="24"/>
            </w:rPr>
            <w:t>四、基金管理人对基金托管人的业务核查</w:t>
          </w:r>
          <w:r>
            <w:rPr>
              <w:sz w:val="24"/>
            </w:rPr>
            <w:tab/>
          </w:r>
          <w:r>
            <w:rPr>
              <w:sz w:val="24"/>
            </w:rPr>
            <w:fldChar w:fldCharType="begin"/>
          </w:r>
          <w:r>
            <w:rPr>
              <w:sz w:val="24"/>
            </w:rPr>
            <w:instrText xml:space="preserve"> PAGEREF _Toc22055 \h </w:instrText>
          </w:r>
          <w:r>
            <w:rPr>
              <w:sz w:val="24"/>
            </w:rPr>
            <w:fldChar w:fldCharType="separate"/>
          </w:r>
          <w:r>
            <w:rPr>
              <w:sz w:val="24"/>
            </w:rPr>
            <w:t>17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"_Toc6122" </w:instrText>
          </w:r>
          <w:r>
            <w:fldChar w:fldCharType="separate"/>
          </w:r>
          <w:r>
            <w:rPr>
              <w:rFonts w:hint="eastAsia"/>
              <w:sz w:val="24"/>
            </w:rPr>
            <w:t>五、基金财产的保管</w:t>
          </w:r>
          <w:r>
            <w:rPr>
              <w:sz w:val="24"/>
            </w:rPr>
            <w:tab/>
          </w:r>
          <w:r>
            <w:rPr>
              <w:sz w:val="24"/>
            </w:rPr>
            <w:fldChar w:fldCharType="begin"/>
          </w:r>
          <w:r>
            <w:rPr>
              <w:sz w:val="24"/>
            </w:rPr>
            <w:instrText xml:space="preserve"> PAGEREF _Toc6122 \h </w:instrText>
          </w:r>
          <w:r>
            <w:rPr>
              <w:sz w:val="24"/>
            </w:rPr>
            <w:fldChar w:fldCharType="separate"/>
          </w:r>
          <w:r>
            <w:rPr>
              <w:sz w:val="24"/>
            </w:rPr>
            <w:t>18</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"_Toc17383" </w:instrText>
          </w:r>
          <w:r>
            <w:fldChar w:fldCharType="separate"/>
          </w:r>
          <w:r>
            <w:rPr>
              <w:rFonts w:hint="eastAsia"/>
              <w:sz w:val="24"/>
            </w:rPr>
            <w:t>六、指令的发送、确认及执行</w:t>
          </w:r>
          <w:r>
            <w:rPr>
              <w:sz w:val="24"/>
            </w:rPr>
            <w:tab/>
          </w:r>
          <w:r>
            <w:rPr>
              <w:sz w:val="24"/>
            </w:rPr>
            <w:fldChar w:fldCharType="begin"/>
          </w:r>
          <w:r>
            <w:rPr>
              <w:sz w:val="24"/>
            </w:rPr>
            <w:instrText xml:space="preserve"> PAGEREF _Toc17383 \h </w:instrText>
          </w:r>
          <w:r>
            <w:rPr>
              <w:sz w:val="24"/>
            </w:rPr>
            <w:fldChar w:fldCharType="separate"/>
          </w:r>
          <w:r>
            <w:rPr>
              <w:sz w:val="24"/>
            </w:rPr>
            <w:t>22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"_Toc26448" </w:instrText>
          </w:r>
          <w:r>
            <w:fldChar w:fldCharType="separate"/>
          </w:r>
          <w:r>
            <w:rPr>
              <w:rFonts w:hint="eastAsia"/>
              <w:sz w:val="24"/>
            </w:rPr>
            <w:t>七、交易及清算交收安排</w:t>
          </w:r>
          <w:r>
            <w:rPr>
              <w:sz w:val="24"/>
            </w:rPr>
            <w:tab/>
          </w:r>
          <w:r>
            <w:rPr>
              <w:sz w:val="24"/>
            </w:rPr>
            <w:fldChar w:fldCharType="begin"/>
          </w:r>
          <w:r>
            <w:rPr>
              <w:sz w:val="24"/>
            </w:rPr>
            <w:instrText xml:space="preserve"> PAGEREF _Toc26448 \h </w:instrText>
          </w:r>
          <w:r>
            <w:rPr>
              <w:sz w:val="24"/>
            </w:rPr>
            <w:fldChar w:fldCharType="separate"/>
          </w:r>
          <w:r>
            <w:rPr>
              <w:sz w:val="24"/>
            </w:rPr>
            <w:t>28</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"_Toc21859" </w:instrText>
          </w:r>
          <w:r>
            <w:fldChar w:fldCharType="separate"/>
          </w:r>
          <w:r>
            <w:rPr>
              <w:rFonts w:hint="eastAsia"/>
              <w:sz w:val="24"/>
            </w:rPr>
            <w:t>八、基金资产净值计算、估值和会计核算</w:t>
          </w:r>
          <w:r>
            <w:rPr>
              <w:sz w:val="24"/>
            </w:rPr>
            <w:tab/>
          </w:r>
          <w:r>
            <w:rPr>
              <w:sz w:val="24"/>
            </w:rPr>
            <w:fldChar w:fldCharType="begin"/>
          </w:r>
          <w:r>
            <w:rPr>
              <w:sz w:val="24"/>
            </w:rPr>
            <w:instrText xml:space="preserve"> PAGEREF _Toc21859 \h </w:instrText>
          </w:r>
          <w:r>
            <w:rPr>
              <w:sz w:val="24"/>
            </w:rPr>
            <w:fldChar w:fldCharType="separate"/>
          </w:r>
          <w:r>
            <w:rPr>
              <w:sz w:val="24"/>
            </w:rPr>
            <w:t>32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"_Toc22259" </w:instrText>
          </w:r>
          <w:r>
            <w:fldChar w:fldCharType="separate"/>
          </w:r>
          <w:r>
            <w:rPr>
              <w:rFonts w:hint="eastAsia"/>
              <w:sz w:val="24"/>
            </w:rPr>
            <w:t>九、基金收益分配</w:t>
          </w:r>
          <w:r>
            <w:rPr>
              <w:sz w:val="24"/>
            </w:rPr>
            <w:tab/>
          </w:r>
          <w:r>
            <w:rPr>
              <w:sz w:val="24"/>
            </w:rPr>
            <w:fldChar w:fldCharType="begin"/>
          </w:r>
          <w:r>
            <w:rPr>
              <w:sz w:val="24"/>
            </w:rPr>
            <w:instrText xml:space="preserve"> PAGEREF _Toc22259 \h </w:instrText>
          </w:r>
          <w:r>
            <w:rPr>
              <w:sz w:val="24"/>
            </w:rPr>
            <w:fldChar w:fldCharType="separate"/>
          </w:r>
          <w:r>
            <w:rPr>
              <w:sz w:val="24"/>
            </w:rPr>
            <w:t>34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"_Toc12507" </w:instrText>
          </w:r>
          <w:r>
            <w:fldChar w:fldCharType="separate"/>
          </w:r>
          <w:r>
            <w:rPr>
              <w:rFonts w:hint="eastAsia"/>
              <w:sz w:val="24"/>
            </w:rPr>
            <w:t>十、基金信息披露</w:t>
          </w:r>
          <w:r>
            <w:rPr>
              <w:sz w:val="24"/>
            </w:rPr>
            <w:tab/>
          </w:r>
          <w:r>
            <w:rPr>
              <w:sz w:val="24"/>
            </w:rPr>
            <w:fldChar w:fldCharType="begin"/>
          </w:r>
          <w:r>
            <w:rPr>
              <w:sz w:val="24"/>
            </w:rPr>
            <w:instrText xml:space="preserve"> PAGEREF _Toc12507 \h </w:instrText>
          </w:r>
          <w:r>
            <w:rPr>
              <w:sz w:val="24"/>
            </w:rPr>
            <w:fldChar w:fldCharType="separate"/>
          </w:r>
          <w:r>
            <w:rPr>
              <w:sz w:val="24"/>
            </w:rPr>
            <w:t>35</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"_Toc393" </w:instrText>
          </w:r>
          <w:r>
            <w:fldChar w:fldCharType="separate"/>
          </w:r>
          <w:r>
            <w:rPr>
              <w:rFonts w:hint="eastAsia"/>
              <w:sz w:val="24"/>
            </w:rPr>
            <w:t>十一、基金费用</w:t>
          </w:r>
          <w:r>
            <w:rPr>
              <w:sz w:val="24"/>
            </w:rPr>
            <w:tab/>
          </w:r>
          <w:r>
            <w:rPr>
              <w:sz w:val="24"/>
            </w:rPr>
            <w:fldChar w:fldCharType="begin"/>
          </w:r>
          <w:r>
            <w:rPr>
              <w:sz w:val="24"/>
            </w:rPr>
            <w:instrText xml:space="preserve"> PAGEREF _Toc393 \h </w:instrText>
          </w:r>
          <w:r>
            <w:rPr>
              <w:sz w:val="24"/>
            </w:rPr>
            <w:fldChar w:fldCharType="separate"/>
          </w:r>
          <w:r>
            <w:rPr>
              <w:sz w:val="24"/>
            </w:rPr>
            <w:t>38</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"_Toc17853" </w:instrText>
          </w:r>
          <w:r>
            <w:fldChar w:fldCharType="separate"/>
          </w:r>
          <w:r>
            <w:rPr>
              <w:rFonts w:hint="eastAsia"/>
              <w:sz w:val="24"/>
            </w:rPr>
            <w:t>十二、基金份额持有人名册的保管</w:t>
          </w:r>
          <w:r>
            <w:rPr>
              <w:sz w:val="24"/>
            </w:rPr>
            <w:tab/>
          </w:r>
          <w:r>
            <w:rPr>
              <w:sz w:val="24"/>
            </w:rPr>
            <w:fldChar w:fldCharType="begin"/>
          </w:r>
          <w:r>
            <w:rPr>
              <w:sz w:val="24"/>
            </w:rPr>
            <w:instrText xml:space="preserve"> PAGEREF _Toc17853 \h </w:instrText>
          </w:r>
          <w:r>
            <w:rPr>
              <w:sz w:val="24"/>
            </w:rPr>
            <w:fldChar w:fldCharType="separate"/>
          </w:r>
          <w:r>
            <w:rPr>
              <w:sz w:val="24"/>
            </w:rPr>
            <w:t>40</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"_Toc8723" </w:instrText>
          </w:r>
          <w:r>
            <w:fldChar w:fldCharType="separate"/>
          </w:r>
          <w:r>
            <w:rPr>
              <w:rFonts w:hint="eastAsia"/>
              <w:sz w:val="24"/>
            </w:rPr>
            <w:t>十三、基金有关文件档案的保存</w:t>
          </w:r>
          <w:r>
            <w:rPr>
              <w:sz w:val="24"/>
            </w:rPr>
            <w:tab/>
          </w:r>
          <w:r>
            <w:rPr>
              <w:sz w:val="24"/>
            </w:rPr>
            <w:fldChar w:fldCharType="begin"/>
          </w:r>
          <w:r>
            <w:rPr>
              <w:sz w:val="24"/>
            </w:rPr>
            <w:instrText xml:space="preserve"> PAGEREF _Toc8723 \h </w:instrText>
          </w:r>
          <w:r>
            <w:rPr>
              <w:sz w:val="24"/>
            </w:rPr>
            <w:fldChar w:fldCharType="separate"/>
          </w:r>
          <w:r>
            <w:rPr>
              <w:sz w:val="24"/>
            </w:rPr>
            <w:t>41</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"_Toc28459" </w:instrText>
          </w:r>
          <w:r>
            <w:fldChar w:fldCharType="separate"/>
          </w:r>
          <w:r>
            <w:rPr>
              <w:rFonts w:hint="eastAsia"/>
              <w:sz w:val="24"/>
            </w:rPr>
            <w:t>十四、基金管理人和基金托管人的更换</w:t>
          </w:r>
          <w:r>
            <w:rPr>
              <w:sz w:val="24"/>
            </w:rPr>
            <w:tab/>
          </w:r>
          <w:r>
            <w:rPr>
              <w:sz w:val="24"/>
            </w:rPr>
            <w:fldChar w:fldCharType="begin"/>
          </w:r>
          <w:r>
            <w:rPr>
              <w:sz w:val="24"/>
            </w:rPr>
            <w:instrText xml:space="preserve"> PAGEREF _Toc28459 \h </w:instrText>
          </w:r>
          <w:r>
            <w:rPr>
              <w:sz w:val="24"/>
            </w:rPr>
            <w:fldChar w:fldCharType="separate"/>
          </w:r>
          <w:r>
            <w:rPr>
              <w:sz w:val="24"/>
            </w:rPr>
            <w:t>42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"_Toc2763" </w:instrText>
          </w:r>
          <w:r>
            <w:fldChar w:fldCharType="separate"/>
          </w:r>
          <w:r>
            <w:rPr>
              <w:rFonts w:hint="eastAsia"/>
              <w:sz w:val="24"/>
            </w:rPr>
            <w:t>十五、禁止行为</w:t>
          </w:r>
          <w:r>
            <w:rPr>
              <w:sz w:val="24"/>
            </w:rPr>
            <w:tab/>
          </w:r>
          <w:r>
            <w:rPr>
              <w:sz w:val="24"/>
            </w:rPr>
            <w:fldChar w:fldCharType="begin"/>
          </w:r>
          <w:r>
            <w:rPr>
              <w:sz w:val="24"/>
            </w:rPr>
            <w:instrText xml:space="preserve"> PAGEREF _Toc2763 \h </w:instrText>
          </w:r>
          <w:r>
            <w:rPr>
              <w:sz w:val="24"/>
            </w:rPr>
            <w:fldChar w:fldCharType="separate"/>
          </w:r>
          <w:r>
            <w:rPr>
              <w:sz w:val="24"/>
            </w:rPr>
            <w:t>43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"_Toc29607" </w:instrText>
          </w:r>
          <w:r>
            <w:fldChar w:fldCharType="separate"/>
          </w:r>
          <w:r>
            <w:rPr>
              <w:rFonts w:hint="eastAsia"/>
              <w:sz w:val="24"/>
            </w:rPr>
            <w:t>十六、托管协议的变更、终止与基金财产的清算</w:t>
          </w:r>
          <w:r>
            <w:rPr>
              <w:sz w:val="24"/>
            </w:rPr>
            <w:tab/>
          </w:r>
          <w:r>
            <w:rPr>
              <w:sz w:val="24"/>
            </w:rPr>
            <w:fldChar w:fldCharType="begin"/>
          </w:r>
          <w:r>
            <w:rPr>
              <w:sz w:val="24"/>
            </w:rPr>
            <w:instrText xml:space="preserve"> PAGEREF _Toc29607 \h </w:instrText>
          </w:r>
          <w:r>
            <w:rPr>
              <w:sz w:val="24"/>
            </w:rPr>
            <w:fldChar w:fldCharType="separate"/>
          </w:r>
          <w:r>
            <w:rPr>
              <w:sz w:val="24"/>
            </w:rPr>
            <w:t>44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"_Toc30859" </w:instrText>
          </w:r>
          <w:r>
            <w:fldChar w:fldCharType="separate"/>
          </w:r>
          <w:r>
            <w:rPr>
              <w:rFonts w:hint="eastAsia"/>
              <w:sz w:val="24"/>
            </w:rPr>
            <w:t>十七、违约责任</w:t>
          </w:r>
          <w:r>
            <w:rPr>
              <w:sz w:val="24"/>
            </w:rPr>
            <w:tab/>
          </w:r>
          <w:r>
            <w:rPr>
              <w:sz w:val="24"/>
            </w:rPr>
            <w:fldChar w:fldCharType="begin"/>
          </w:r>
          <w:r>
            <w:rPr>
              <w:sz w:val="24"/>
            </w:rPr>
            <w:instrText xml:space="preserve"> PAGEREF _Toc30859 \h </w:instrText>
          </w:r>
          <w:r>
            <w:rPr>
              <w:sz w:val="24"/>
            </w:rPr>
            <w:fldChar w:fldCharType="separate"/>
          </w:r>
          <w:r>
            <w:rPr>
              <w:sz w:val="24"/>
            </w:rPr>
            <w:t>45</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"_Toc4965" </w:instrText>
          </w:r>
          <w:r>
            <w:fldChar w:fldCharType="separate"/>
          </w:r>
          <w:r>
            <w:rPr>
              <w:rFonts w:hint="eastAsia"/>
              <w:sz w:val="24"/>
            </w:rPr>
            <w:t>十八、争议解决方式</w:t>
          </w:r>
          <w:r>
            <w:rPr>
              <w:sz w:val="24"/>
            </w:rPr>
            <w:tab/>
          </w:r>
          <w:r>
            <w:rPr>
              <w:sz w:val="24"/>
            </w:rPr>
            <w:fldChar w:fldCharType="begin"/>
          </w:r>
          <w:r>
            <w:rPr>
              <w:sz w:val="24"/>
            </w:rPr>
            <w:instrText xml:space="preserve"> PAGEREF _Toc4965 \h </w:instrText>
          </w:r>
          <w:r>
            <w:rPr>
              <w:sz w:val="24"/>
            </w:rPr>
            <w:fldChar w:fldCharType="separate"/>
          </w:r>
          <w:r>
            <w:rPr>
              <w:sz w:val="24"/>
            </w:rPr>
            <w:t>46</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"_Toc20088" </w:instrText>
          </w:r>
          <w:r>
            <w:fldChar w:fldCharType="separate"/>
          </w:r>
          <w:r>
            <w:rPr>
              <w:rFonts w:hint="eastAsia"/>
              <w:sz w:val="24"/>
            </w:rPr>
            <w:t>十九、托管协议的效力</w:t>
          </w:r>
          <w:r>
            <w:rPr>
              <w:sz w:val="24"/>
            </w:rPr>
            <w:tab/>
          </w:r>
          <w:r>
            <w:rPr>
              <w:sz w:val="24"/>
            </w:rPr>
            <w:fldChar w:fldCharType="begin"/>
          </w:r>
          <w:r>
            <w:rPr>
              <w:sz w:val="24"/>
            </w:rPr>
            <w:instrText xml:space="preserve"> PAGEREF _Toc20088 \h </w:instrText>
          </w:r>
          <w:r>
            <w:rPr>
              <w:sz w:val="24"/>
            </w:rPr>
            <w:fldChar w:fldCharType="separate"/>
          </w:r>
          <w:r>
            <w:rPr>
              <w:sz w:val="24"/>
            </w:rPr>
            <w:t>47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"_Toc8648" </w:instrText>
          </w:r>
          <w:r>
            <w:fldChar w:fldCharType="separate"/>
          </w:r>
          <w:r>
            <w:rPr>
              <w:rFonts w:hint="eastAsia"/>
              <w:sz w:val="24"/>
            </w:rPr>
            <w:t>二十、其他事项</w:t>
          </w:r>
          <w:r>
            <w:rPr>
              <w:sz w:val="24"/>
            </w:rPr>
            <w:tab/>
          </w:r>
          <w:r>
            <w:rPr>
              <w:sz w:val="24"/>
            </w:rPr>
            <w:fldChar w:fldCharType="begin"/>
          </w:r>
          <w:r>
            <w:rPr>
              <w:sz w:val="24"/>
            </w:rPr>
            <w:instrText xml:space="preserve"> PAGEREF _Toc8648 \h </w:instrText>
          </w:r>
          <w:r>
            <w:rPr>
              <w:sz w:val="24"/>
            </w:rPr>
            <w:fldChar w:fldCharType="separate"/>
          </w:r>
          <w:r>
            <w:rPr>
              <w:sz w:val="24"/>
            </w:rPr>
            <w:t>48</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"_Toc25588" </w:instrText>
          </w:r>
          <w:r>
            <w:fldChar w:fldCharType="separate"/>
          </w:r>
          <w:r>
            <w:rPr>
              <w:rFonts w:hint="eastAsia"/>
              <w:sz w:val="24"/>
            </w:rPr>
            <w:t>二十一、托管协议的签订</w:t>
          </w:r>
          <w:r>
            <w:rPr>
              <w:sz w:val="24"/>
            </w:rPr>
            <w:tab/>
          </w:r>
          <w:r>
            <w:rPr>
              <w:sz w:val="24"/>
            </w:rPr>
            <w:fldChar w:fldCharType="begin"/>
          </w:r>
          <w:r>
            <w:rPr>
              <w:sz w:val="24"/>
            </w:rPr>
            <w:instrText xml:space="preserve"> PAGEREF _Toc25588 \h </w:instrText>
          </w:r>
          <w:r>
            <w:rPr>
              <w:sz w:val="24"/>
            </w:rPr>
            <w:fldChar w:fldCharType="separate"/>
          </w:r>
          <w:r>
            <w:rPr>
              <w:sz w:val="24"/>
            </w:rPr>
            <w:t>49</w:t>
          </w:r>
          <w:r>
            <w:rPr>
              <w:sz w:val="24"/>
            </w:rPr>
            <w:fldChar w:fldCharType="end"/>
          </w:r>
          <w:r>
            <w:rPr>
              <w:sz w:val="24"/>
            </w:rPr>
            <w:fldChar w:fldCharType="end"/>
          </w:r>
        </w:p>
        <w:p>
          <w:pPr>
            <w:spacing w:line="360" w:lineRule="auto"/>
            <w:rPr>
              <w:rFonts w:ascii="宋体" w:hAnsi="宋体" w:cs="宋体"/>
              <w:sz w:val="24"/>
            </w:rPr>
          </w:pPr>
          <w:r>
            <w:rPr>
              <w:rFonts w:hint="eastAsia" w:ascii="宋体" w:hAnsi="宋体" w:cs="宋体"/>
              <w:sz w:val="24"/>
            </w:rPr>
            <w:fldChar w:fldCharType="end"/>
          </w:r>
        </w:p>
      </w:sdtContent>
    </w:sdt>
    <w:p>
      <w:pPr>
        <w:rPr>
          <w:rFonts w:ascii="宋体" w:hAnsi="宋体" w:cs="宋体"/>
        </w:rPr>
      </w:pPr>
    </w:p>
    <w:p>
      <w:pPr>
        <w:rPr>
          <w:rFonts w:ascii="宋体" w:hAnsi="宋体" w:cs="宋体"/>
        </w:rPr>
        <w:sectPr>
          <w:headerReference r:id="rId3" w:type="default"/>
          <w:footerReference r:id="rId4" w:type="default"/>
          <w:pgSz w:w="11906" w:h="16838"/>
          <w:pgMar w:top="1418" w:right="1701" w:bottom="1418" w:left="1701" w:header="851" w:footer="992" w:gutter="0"/>
          <w:pgNumType w:start="1"/>
          <w:cols w:space="425" w:num="1"/>
          <w:docGrid w:type="lines" w:linePitch="312" w:charSpace="0"/>
        </w:sectPr>
      </w:pPr>
    </w:p>
    <w:p>
      <w:pPr>
        <w:rPr>
          <w:rFonts w:ascii="宋体" w:hAnsi="宋体" w:cs="宋体"/>
        </w:rPr>
      </w:pPr>
    </w:p>
    <w:p>
      <w:pPr>
        <w:widowControl/>
        <w:spacing w:line="360" w:lineRule="auto"/>
        <w:ind w:firstLine="480" w:firstLineChars="200"/>
        <w:rPr>
          <w:rFonts w:ascii="宋体" w:hAnsi="宋体" w:cs="宋体"/>
          <w:sz w:val="24"/>
        </w:rPr>
      </w:pPr>
      <w:r>
        <w:rPr>
          <w:rFonts w:hint="eastAsia" w:ascii="宋体" w:hAnsi="宋体" w:cs="宋体"/>
          <w:sz w:val="24"/>
        </w:rPr>
        <w:t>鉴于东方阿尔法基金管理有限公司系一家依照中国法律合法成立并有效存续的有限责任公司，按照相关法律法规的规定具备担任基金管理人的资格和能力，拟募集发行东方阿尔法瑞利混合型发起式证券投资基金；</w:t>
      </w:r>
    </w:p>
    <w:p>
      <w:pPr>
        <w:widowControl/>
        <w:spacing w:line="360" w:lineRule="auto"/>
        <w:ind w:firstLine="480" w:firstLineChars="200"/>
        <w:rPr>
          <w:rFonts w:ascii="宋体" w:hAnsi="宋体" w:cs="宋体"/>
          <w:sz w:val="24"/>
        </w:rPr>
      </w:pPr>
      <w:r>
        <w:rPr>
          <w:rFonts w:hint="eastAsia" w:ascii="宋体" w:hAnsi="宋体" w:cs="宋体"/>
          <w:sz w:val="24"/>
        </w:rPr>
        <w:t>鉴于招商银行股份有限公司系一家依照中国法律合法成立并有效存续的银行，按照相关法律法规的规定具备担任基金托管人的资格和能力；</w:t>
      </w:r>
    </w:p>
    <w:p>
      <w:pPr>
        <w:widowControl/>
        <w:spacing w:line="360" w:lineRule="auto"/>
        <w:ind w:firstLine="480" w:firstLineChars="200"/>
        <w:rPr>
          <w:rFonts w:ascii="宋体" w:hAnsi="宋体" w:cs="宋体"/>
          <w:sz w:val="24"/>
        </w:rPr>
      </w:pPr>
      <w:r>
        <w:rPr>
          <w:rFonts w:hint="eastAsia" w:ascii="宋体" w:hAnsi="宋体" w:cs="宋体"/>
          <w:sz w:val="24"/>
        </w:rPr>
        <w:t>鉴于东方阿尔法基金管理有限公司拟担任东方阿尔法瑞利混合型发起式证券投资基金的基金管理人，招商银行股份有限公司拟担任东方阿尔法瑞利混合型发起式证券投资基金的基金托管人；</w:t>
      </w:r>
    </w:p>
    <w:p>
      <w:pPr>
        <w:widowControl/>
        <w:spacing w:line="360" w:lineRule="auto"/>
        <w:ind w:firstLine="480" w:firstLineChars="200"/>
        <w:rPr>
          <w:rFonts w:ascii="宋体" w:hAnsi="宋体" w:cs="宋体"/>
          <w:sz w:val="24"/>
        </w:rPr>
      </w:pPr>
      <w:r>
        <w:rPr>
          <w:rFonts w:hint="eastAsia" w:ascii="宋体" w:hAnsi="宋体" w:cs="宋体"/>
          <w:sz w:val="24"/>
        </w:rPr>
        <w:t>为明确东方阿尔法瑞利混合型发起式证券投资基金（以下简称“基金”或“本基金”）的基金管理人和基金托管人之间的权利义务关系，特制订本托管协议；</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除非另有约定，《</w:t>
      </w:r>
      <w:r>
        <w:rPr>
          <w:rFonts w:hint="eastAsia" w:ascii="宋体" w:hAnsi="宋体" w:cs="宋体"/>
          <w:sz w:val="24"/>
        </w:rPr>
        <w:t>东方阿尔法瑞利混合型发起式证券投资基金</w:t>
      </w:r>
      <w:r>
        <w:rPr>
          <w:rFonts w:hint="eastAsia" w:ascii="宋体" w:hAnsi="宋体" w:cs="宋体"/>
          <w:sz w:val="24"/>
          <w:lang w:val="en-GB"/>
        </w:rPr>
        <w:t>基金合同》(以下简称“基金合同”)中定义的术语在用于本托管协议时应具有相同的含义，若有抵触应以基金合同为准。</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若本基金实施侧袋机制的，侧袋机制实施期间的相关安排按照基金合同的规定执行。</w:t>
      </w:r>
    </w:p>
    <w:p>
      <w:pPr>
        <w:widowControl/>
        <w:spacing w:line="360" w:lineRule="auto"/>
        <w:ind w:firstLine="480" w:firstLineChars="200"/>
        <w:rPr>
          <w:rFonts w:hint="eastAsia" w:ascii="宋体" w:hAnsi="宋体" w:cs="宋体"/>
          <w:sz w:val="24"/>
          <w:lang w:val="en-GB"/>
        </w:rPr>
      </w:pPr>
      <w:r>
        <w:rPr>
          <w:rFonts w:hint="eastAsia" w:ascii="宋体" w:hAnsi="宋体" w:cs="宋体"/>
          <w:sz w:val="24"/>
          <w:lang w:val="en-GB"/>
        </w:rPr>
        <w:t>基金管理人应按中国反洗钱与制裁合规法律法规相关要求履行各项反洗钱和反恐怖融资义务。在建立业务关系时，采取符合要求的客户尽职调查措施，识别并采取合理措施核实基金受益所有人。在业务关系存续期间，持续关注并评估基金整体状况和交易情况，了解洗钱风险状况，发现交易与客户身份、风险状况等不符的，应当进一步核实相关情况；对存在洗钱高风险情形的，必要时可以采取相应的洗钱风险管理措施；在法律法规允许范围内，配合基金托管人开展尽职调查，提供相关客户身份信息和资料，并确保已获得客户的合法有效授权；妥善保管、更新客户及投资者身份资料及交易记录；根据反洗钱法律法规，要求投资者积极配合完成反洗钱调查等必要程序；与基金托管人在法律法规允许范围内积极开展反洗钱领域的信息支持与合作；落实反洗钱法律法规要求的其他反洗钱、反恐怖融资、反逃税工作。</w:t>
      </w:r>
    </w:p>
    <w:p>
      <w:pPr>
        <w:widowControl/>
        <w:spacing w:line="360" w:lineRule="auto"/>
        <w:ind w:firstLine="480" w:firstLineChars="200"/>
        <w:rPr>
          <w:rFonts w:hint="eastAsia" w:ascii="宋体" w:hAnsi="宋体" w:cs="宋体"/>
          <w:sz w:val="24"/>
          <w:lang w:val="en-GB"/>
        </w:rPr>
      </w:pPr>
      <w:r>
        <w:rPr>
          <w:rFonts w:hint="eastAsia" w:ascii="宋体" w:hAnsi="宋体" w:cs="宋体"/>
          <w:sz w:val="24"/>
          <w:lang w:val="en-GB"/>
        </w:rPr>
        <w:t>基金管理人应采取适当措施，确保基金的受益所有人及其主要关联方、投资者及其主要关联方等不得为我国有关机关发布的反洗钱特别预防措施名单所列对象，不得为联合国、我国及其他可适用的反洗钱、反恐怖融资、涉及制裁的名单所列对象，或中国人民银行及其他监管机构要求执行的反洗钱和反恐怖融资名单。</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基金管理人承诺基金的投资行为、资金交易不得违反我国、联合国及其他可适用的有关制裁或反洗钱法律法规，或用于其他洗钱、恐怖融资、逃税、欺诈等违法违规用途。</w:t>
      </w:r>
    </w:p>
    <w:p>
      <w:pPr>
        <w:spacing w:line="360" w:lineRule="auto"/>
        <w:ind w:firstLine="480" w:firstLineChars="200"/>
        <w:rPr>
          <w:rFonts w:ascii="宋体" w:hAnsi="宋体" w:cs="宋体"/>
          <w:sz w:val="24"/>
          <w:lang w:val="en-GB"/>
        </w:rPr>
      </w:pPr>
    </w:p>
    <w:p>
      <w:pPr>
        <w:pStyle w:val="2"/>
        <w:jc w:val="center"/>
        <w:rPr>
          <w:rFonts w:ascii="宋体" w:hAnsi="宋体" w:cs="宋体"/>
          <w:sz w:val="30"/>
          <w:szCs w:val="24"/>
        </w:rPr>
      </w:pPr>
      <w:r>
        <w:rPr>
          <w:rFonts w:hint="eastAsia" w:ascii="宋体" w:hAnsi="宋体" w:cs="宋体"/>
          <w:sz w:val="21"/>
          <w:szCs w:val="24"/>
        </w:rPr>
        <w:br w:type="page"/>
      </w:r>
      <w:bookmarkStart w:id="1" w:name="_Toc348082029"/>
      <w:bookmarkStart w:id="2" w:name="_Toc449"/>
      <w:bookmarkStart w:id="3" w:name="_Toc384992691"/>
      <w:bookmarkStart w:id="4" w:name="_Toc15390"/>
      <w:r>
        <w:rPr>
          <w:rFonts w:hint="eastAsia" w:ascii="宋体" w:hAnsi="宋体" w:cs="宋体"/>
          <w:sz w:val="30"/>
          <w:szCs w:val="30"/>
        </w:rPr>
        <w:t>一、基金托管协议当事人</w:t>
      </w:r>
      <w:bookmarkEnd w:id="1"/>
      <w:bookmarkEnd w:id="2"/>
      <w:bookmarkEnd w:id="3"/>
      <w:bookmarkEnd w:id="4"/>
    </w:p>
    <w:p>
      <w:pPr>
        <w:spacing w:line="360" w:lineRule="auto"/>
        <w:ind w:firstLine="480" w:firstLineChars="200"/>
        <w:rPr>
          <w:rFonts w:ascii="宋体" w:hAnsi="宋体" w:cs="宋体"/>
          <w:sz w:val="24"/>
        </w:rPr>
      </w:pPr>
      <w:r>
        <w:rPr>
          <w:rFonts w:hint="eastAsia" w:ascii="宋体" w:hAnsi="宋体" w:cs="宋体"/>
          <w:sz w:val="24"/>
        </w:rPr>
        <w:t>（一）基金管理人（也可称资产管理人）</w:t>
      </w:r>
    </w:p>
    <w:p>
      <w:pPr>
        <w:spacing w:line="360" w:lineRule="auto"/>
        <w:ind w:firstLine="480" w:firstLineChars="200"/>
        <w:rPr>
          <w:rFonts w:ascii="宋体" w:hAnsi="宋体" w:cs="宋体"/>
          <w:sz w:val="24"/>
        </w:rPr>
      </w:pPr>
      <w:r>
        <w:rPr>
          <w:rFonts w:hint="eastAsia" w:ascii="宋体" w:hAnsi="宋体" w:cs="宋体"/>
          <w:sz w:val="24"/>
        </w:rPr>
        <w:t>名称：东方阿尔法基金管理有限公司</w:t>
      </w:r>
    </w:p>
    <w:p>
      <w:pPr>
        <w:spacing w:line="360" w:lineRule="auto"/>
        <w:ind w:firstLine="480" w:firstLineChars="200"/>
        <w:rPr>
          <w:rFonts w:ascii="宋体" w:hAnsi="宋体" w:cs="宋体"/>
          <w:sz w:val="24"/>
        </w:rPr>
      </w:pPr>
      <w:r>
        <w:rPr>
          <w:rFonts w:hint="eastAsia" w:ascii="宋体" w:hAnsi="宋体" w:cs="宋体"/>
          <w:sz w:val="24"/>
        </w:rPr>
        <w:t>住所：深圳市福田区莲花街道紫荆社区深南大道6008号深圳特区报业大厦23楼BC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办公地址：深圳市福田区莲花街道紫荆社区深南大道6008号深圳特区报业大厦23楼BC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邮政编码：518034</w:t>
      </w:r>
    </w:p>
    <w:p>
      <w:pPr>
        <w:spacing w:line="360" w:lineRule="auto"/>
        <w:ind w:firstLine="480" w:firstLineChars="200"/>
        <w:rPr>
          <w:rFonts w:ascii="宋体" w:hAnsi="宋体" w:cs="宋体"/>
          <w:sz w:val="24"/>
        </w:rPr>
      </w:pPr>
      <w:r>
        <w:rPr>
          <w:rFonts w:hint="eastAsia" w:ascii="宋体" w:hAnsi="宋体" w:cs="宋体"/>
          <w:sz w:val="24"/>
        </w:rPr>
        <w:t>法定代表人：刘明</w:t>
      </w:r>
    </w:p>
    <w:p>
      <w:pPr>
        <w:spacing w:line="360" w:lineRule="auto"/>
        <w:ind w:firstLine="480" w:firstLineChars="200"/>
        <w:rPr>
          <w:rFonts w:ascii="宋体" w:hAnsi="宋体" w:cs="宋体"/>
          <w:sz w:val="24"/>
        </w:rPr>
      </w:pPr>
      <w:r>
        <w:rPr>
          <w:rFonts w:hint="eastAsia" w:ascii="宋体" w:hAnsi="宋体" w:cs="宋体"/>
          <w:sz w:val="24"/>
        </w:rPr>
        <w:t>成立时间：2017年7月4日</w:t>
      </w:r>
    </w:p>
    <w:p>
      <w:pPr>
        <w:spacing w:line="360" w:lineRule="auto"/>
        <w:ind w:firstLine="480" w:firstLineChars="200"/>
        <w:rPr>
          <w:rFonts w:ascii="宋体" w:hAnsi="宋体" w:cs="宋体"/>
          <w:sz w:val="24"/>
        </w:rPr>
      </w:pPr>
      <w:r>
        <w:rPr>
          <w:rFonts w:hint="eastAsia" w:ascii="宋体" w:hAnsi="宋体" w:cs="宋体"/>
          <w:sz w:val="24"/>
        </w:rPr>
        <w:t>批准设立机关：中国证券监督管理委员会</w:t>
      </w:r>
    </w:p>
    <w:p>
      <w:pPr>
        <w:spacing w:line="360" w:lineRule="auto"/>
        <w:ind w:firstLine="480" w:firstLineChars="200"/>
        <w:rPr>
          <w:rFonts w:ascii="宋体" w:hAnsi="宋体" w:cs="宋体"/>
          <w:sz w:val="24"/>
        </w:rPr>
      </w:pPr>
      <w:r>
        <w:rPr>
          <w:rFonts w:hint="eastAsia" w:ascii="宋体" w:hAnsi="宋体" w:cs="宋体"/>
          <w:sz w:val="24"/>
        </w:rPr>
        <w:t>批准设立文号： 证监许可〔2017〕1031号</w:t>
      </w:r>
    </w:p>
    <w:p>
      <w:pPr>
        <w:spacing w:line="360" w:lineRule="auto"/>
        <w:ind w:firstLine="480" w:firstLineChars="200"/>
        <w:rPr>
          <w:rFonts w:ascii="宋体" w:hAnsi="宋体" w:cs="宋体"/>
          <w:sz w:val="24"/>
        </w:rPr>
      </w:pPr>
      <w:r>
        <w:rPr>
          <w:rFonts w:hint="eastAsia" w:ascii="宋体" w:hAnsi="宋体" w:cs="宋体"/>
          <w:sz w:val="24"/>
        </w:rPr>
        <w:t xml:space="preserve">组织形式：有限责任公司 </w:t>
      </w:r>
    </w:p>
    <w:p>
      <w:pPr>
        <w:spacing w:line="360" w:lineRule="auto"/>
        <w:ind w:firstLine="480" w:firstLineChars="200"/>
        <w:rPr>
          <w:rFonts w:ascii="宋体" w:hAnsi="宋体" w:cs="宋体"/>
          <w:sz w:val="24"/>
        </w:rPr>
      </w:pPr>
      <w:r>
        <w:rPr>
          <w:rFonts w:hint="eastAsia" w:ascii="宋体" w:hAnsi="宋体" w:cs="宋体"/>
          <w:sz w:val="24"/>
        </w:rPr>
        <w:t xml:space="preserve">注册资本：人民币1亿元 </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spacing w:line="360" w:lineRule="auto"/>
        <w:ind w:firstLine="480" w:firstLineChars="200"/>
        <w:rPr>
          <w:rFonts w:ascii="宋体" w:hAnsi="宋体" w:cs="宋体"/>
          <w:sz w:val="24"/>
        </w:rPr>
      </w:pPr>
      <w:r>
        <w:rPr>
          <w:rFonts w:hint="eastAsia" w:ascii="宋体" w:hAnsi="宋体" w:cs="宋体"/>
          <w:sz w:val="24"/>
        </w:rPr>
        <w:t>经营范围：公开募集证券投资基金管理；基金销售；特定客户资产管理。</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（二）基金托管人（也可称资产托管人）</w:t>
      </w:r>
    </w:p>
    <w:p>
      <w:pPr>
        <w:spacing w:line="360" w:lineRule="auto"/>
        <w:ind w:firstLine="480" w:firstLineChars="200"/>
        <w:rPr>
          <w:rFonts w:ascii="宋体" w:hAnsi="宋体" w:cs="宋体"/>
          <w:sz w:val="24"/>
        </w:rPr>
      </w:pPr>
      <w:r>
        <w:rPr>
          <w:rFonts w:hint="eastAsia" w:ascii="宋体" w:hAnsi="宋体" w:cs="宋体"/>
          <w:sz w:val="24"/>
        </w:rPr>
        <w:t>名称：招商银行股份有限公司(简称：招商银行)</w:t>
      </w:r>
    </w:p>
    <w:p>
      <w:pPr>
        <w:spacing w:line="360" w:lineRule="auto"/>
        <w:ind w:firstLine="480" w:firstLineChars="200"/>
        <w:rPr>
          <w:rFonts w:ascii="宋体" w:hAnsi="宋体" w:cs="宋体"/>
          <w:sz w:val="24"/>
        </w:rPr>
      </w:pPr>
      <w:r>
        <w:rPr>
          <w:rFonts w:hint="eastAsia" w:ascii="宋体" w:hAnsi="宋体" w:cs="宋体"/>
          <w:sz w:val="24"/>
        </w:rPr>
        <w:t>住所：深圳市深南大道7088号招商银行大厦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办公地址：深圳市深南大道7088号招商银行大厦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邮政编码：518040</w:t>
      </w:r>
    </w:p>
    <w:p>
      <w:pPr>
        <w:spacing w:line="360" w:lineRule="auto"/>
        <w:ind w:firstLine="480" w:firstLineChars="200"/>
        <w:rPr>
          <w:rFonts w:ascii="宋体" w:hAnsi="宋体" w:cs="宋体"/>
          <w:sz w:val="24"/>
        </w:rPr>
      </w:pPr>
      <w:r>
        <w:rPr>
          <w:rFonts w:hint="eastAsia" w:ascii="宋体" w:hAnsi="宋体" w:cs="宋体"/>
          <w:sz w:val="24"/>
        </w:rPr>
        <w:t>法定代表人：缪建民</w:t>
      </w:r>
    </w:p>
    <w:p>
      <w:pPr>
        <w:spacing w:line="360" w:lineRule="auto"/>
        <w:ind w:firstLine="480" w:firstLineChars="200"/>
        <w:rPr>
          <w:rFonts w:ascii="宋体" w:hAnsi="宋体" w:cs="宋体"/>
          <w:sz w:val="24"/>
        </w:rPr>
      </w:pPr>
      <w:r>
        <w:rPr>
          <w:rFonts w:hint="eastAsia" w:ascii="宋体" w:hAnsi="宋体" w:cs="宋体"/>
          <w:sz w:val="24"/>
        </w:rPr>
        <w:t>成立时间：1987年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31</w:t>
      </w:r>
      <w:bookmarkStart w:id="161" w:name="_GoBack"/>
      <w:bookmarkEnd w:id="161"/>
      <w:r>
        <w:rPr>
          <w:rFonts w:hint="eastAsia" w:ascii="宋体" w:hAnsi="宋体" w:cs="宋体"/>
          <w:sz w:val="24"/>
        </w:rPr>
        <w:t>日</w:t>
      </w:r>
    </w:p>
    <w:p>
      <w:pPr>
        <w:spacing w:line="360" w:lineRule="auto"/>
        <w:ind w:firstLine="480" w:firstLineChars="200"/>
        <w:rPr>
          <w:rFonts w:ascii="宋体" w:hAnsi="宋体" w:cs="宋体"/>
          <w:sz w:val="24"/>
        </w:rPr>
      </w:pPr>
      <w:r>
        <w:rPr>
          <w:rFonts w:hint="eastAsia" w:ascii="宋体" w:hAnsi="宋体" w:cs="宋体"/>
          <w:sz w:val="24"/>
        </w:rPr>
        <w:t>基金托管业务批准文号：证监基金字[2002]83号</w:t>
      </w:r>
    </w:p>
    <w:p>
      <w:pPr>
        <w:spacing w:line="360" w:lineRule="auto"/>
        <w:ind w:firstLine="480" w:firstLineChars="200"/>
        <w:rPr>
          <w:rFonts w:ascii="宋体" w:hAnsi="宋体" w:cs="宋体"/>
          <w:sz w:val="24"/>
        </w:rPr>
      </w:pPr>
      <w:r>
        <w:rPr>
          <w:rFonts w:hint="eastAsia" w:ascii="宋体" w:hAnsi="宋体" w:cs="宋体"/>
          <w:sz w:val="24"/>
        </w:rPr>
        <w:t>组织形式：股份有限公司</w:t>
      </w:r>
    </w:p>
    <w:p>
      <w:pPr>
        <w:spacing w:line="360" w:lineRule="auto"/>
        <w:ind w:firstLine="480" w:firstLineChars="200"/>
        <w:rPr>
          <w:rFonts w:ascii="宋体" w:hAnsi="宋体" w:cs="宋体"/>
          <w:sz w:val="24"/>
        </w:rPr>
      </w:pPr>
      <w:r>
        <w:rPr>
          <w:rFonts w:hint="eastAsia" w:ascii="宋体" w:hAnsi="宋体" w:cs="宋体"/>
          <w:sz w:val="24"/>
        </w:rPr>
        <w:t>注册资本：人民币252.20亿元</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pStyle w:val="2"/>
        <w:jc w:val="center"/>
        <w:rPr>
          <w:rFonts w:ascii="宋体" w:hAnsi="宋体" w:cs="宋体"/>
          <w:sz w:val="30"/>
          <w:szCs w:val="30"/>
        </w:rPr>
      </w:pPr>
      <w:bookmarkStart w:id="5" w:name="_Toc31118"/>
      <w:r>
        <w:rPr>
          <w:rFonts w:hint="eastAsia" w:ascii="宋体" w:hAnsi="宋体" w:cs="宋体"/>
          <w:sz w:val="30"/>
          <w:szCs w:val="30"/>
        </w:rPr>
        <w:t>二、</w:t>
      </w:r>
      <w:bookmarkStart w:id="6" w:name="_Toc384992692"/>
      <w:bookmarkStart w:id="7" w:name="_Toc348082030"/>
      <w:bookmarkStart w:id="8" w:name="_Toc2183"/>
      <w:r>
        <w:rPr>
          <w:rFonts w:hint="eastAsia" w:ascii="宋体" w:hAnsi="宋体" w:cs="宋体"/>
          <w:sz w:val="30"/>
          <w:szCs w:val="30"/>
        </w:rPr>
        <w:t>基金托管协议的依据、目的和原则</w:t>
      </w:r>
      <w:bookmarkEnd w:id="5"/>
      <w:bookmarkEnd w:id="6"/>
      <w:bookmarkEnd w:id="7"/>
      <w:bookmarkEnd w:id="8"/>
    </w:p>
    <w:p>
      <w:pPr>
        <w:spacing w:line="360" w:lineRule="auto"/>
        <w:ind w:firstLine="480" w:firstLineChars="200"/>
        <w:rPr>
          <w:rFonts w:ascii="宋体" w:hAnsi="宋体" w:cs="宋体"/>
          <w:sz w:val="24"/>
        </w:rPr>
      </w:pPr>
      <w:r>
        <w:rPr>
          <w:rFonts w:hint="eastAsia" w:ascii="宋体" w:hAnsi="宋体" w:cs="宋体"/>
          <w:sz w:val="24"/>
        </w:rPr>
        <w:t>（一）订立托管协议的依据</w:t>
      </w:r>
    </w:p>
    <w:p>
      <w:pPr>
        <w:spacing w:line="360" w:lineRule="auto"/>
        <w:ind w:firstLine="480" w:firstLineChars="200"/>
        <w:rPr>
          <w:rFonts w:ascii="宋体" w:hAnsi="宋体" w:cs="宋体"/>
          <w:sz w:val="24"/>
        </w:rPr>
      </w:pPr>
      <w:r>
        <w:rPr>
          <w:rFonts w:hint="eastAsia" w:ascii="宋体" w:hAnsi="宋体" w:cs="宋体"/>
          <w:sz w:val="24"/>
        </w:rPr>
        <w:t>本协议依据《中华人民共和国证券投资基金法》(以下简称“《基金法》”)、《公开募集证券投资基金运作管理办法》（以下简称“《运作办法》”）、《公开募集开放式证券投资基金流动性风险管理规定》（以下简称“《流动性风险管理规定》”）、《公开募集证券投资基金信息披露管理办法》（以下简称“《信息披露办法》”）等有关法律法规、基金合同及其他有关规定制订。</w:t>
      </w:r>
    </w:p>
    <w:p>
      <w:pPr>
        <w:spacing w:line="360" w:lineRule="auto"/>
        <w:ind w:firstLine="480" w:firstLineChars="200"/>
        <w:rPr>
          <w:rFonts w:ascii="宋体" w:hAnsi="宋体" w:cs="宋体"/>
          <w:sz w:val="24"/>
        </w:rPr>
      </w:pPr>
      <w:r>
        <w:rPr>
          <w:rFonts w:hint="eastAsia" w:ascii="宋体" w:hAnsi="宋体" w:cs="宋体"/>
          <w:sz w:val="24"/>
        </w:rPr>
        <w:t>（二）订立托管协议的目的</w:t>
      </w:r>
    </w:p>
    <w:p>
      <w:pPr>
        <w:spacing w:line="360" w:lineRule="auto"/>
        <w:ind w:firstLine="480" w:firstLineChars="200"/>
        <w:rPr>
          <w:rFonts w:ascii="宋体" w:hAnsi="宋体" w:cs="宋体"/>
          <w:sz w:val="24"/>
        </w:rPr>
      </w:pPr>
      <w:r>
        <w:rPr>
          <w:rFonts w:hint="eastAsia" w:ascii="宋体" w:hAnsi="宋体" w:cs="宋体"/>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spacing w:line="360" w:lineRule="auto"/>
        <w:ind w:firstLine="480" w:firstLineChars="200"/>
        <w:rPr>
          <w:rFonts w:ascii="宋体" w:hAnsi="宋体" w:cs="宋体"/>
          <w:sz w:val="24"/>
        </w:rPr>
      </w:pPr>
      <w:r>
        <w:rPr>
          <w:rFonts w:hint="eastAsia" w:ascii="宋体" w:hAnsi="宋体" w:cs="宋体"/>
          <w:sz w:val="24"/>
        </w:rPr>
        <w:t>（三）订立托管协议的原则</w:t>
      </w:r>
    </w:p>
    <w:p>
      <w:pPr>
        <w:spacing w:line="360" w:lineRule="auto"/>
        <w:ind w:firstLine="480" w:firstLineChars="200"/>
        <w:rPr>
          <w:rFonts w:ascii="宋体" w:hAnsi="宋体" w:cs="宋体"/>
          <w:sz w:val="24"/>
        </w:rPr>
      </w:pPr>
      <w:r>
        <w:rPr>
          <w:rFonts w:hint="eastAsia" w:ascii="宋体" w:hAnsi="宋体" w:cs="宋体"/>
          <w:sz w:val="24"/>
        </w:rPr>
        <w:t>基金管理人和基金托管人本着平等自愿、诚实信用、充分保护基金份额持有人合法权益的原则，经协商一致，签订本协议。</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30"/>
          <w:szCs w:val="24"/>
        </w:rPr>
      </w:pPr>
      <w:r>
        <w:rPr>
          <w:rFonts w:hint="eastAsia" w:ascii="宋体" w:hAnsi="宋体" w:cs="宋体"/>
          <w:sz w:val="24"/>
          <w:szCs w:val="24"/>
        </w:rPr>
        <w:br w:type="page"/>
      </w:r>
      <w:bookmarkStart w:id="9" w:name="_Toc384992693"/>
      <w:bookmarkStart w:id="10" w:name="_Toc1109"/>
      <w:bookmarkStart w:id="11" w:name="_Toc1620"/>
      <w:bookmarkStart w:id="12" w:name="_Toc348082031"/>
      <w:r>
        <w:rPr>
          <w:rFonts w:hint="eastAsia" w:ascii="宋体" w:hAnsi="宋体" w:cs="宋体"/>
          <w:sz w:val="30"/>
          <w:szCs w:val="30"/>
        </w:rPr>
        <w:t>三、基金托管人对基金管理人的业务监督和核查</w:t>
      </w:r>
      <w:bookmarkEnd w:id="9"/>
      <w:bookmarkEnd w:id="10"/>
      <w:bookmarkEnd w:id="11"/>
      <w:bookmarkEnd w:id="12"/>
    </w:p>
    <w:p>
      <w:pPr>
        <w:spacing w:line="360" w:lineRule="auto"/>
        <w:ind w:firstLine="480" w:firstLineChars="200"/>
        <w:rPr>
          <w:rFonts w:ascii="宋体" w:hAnsi="宋体" w:cs="宋体"/>
          <w:sz w:val="24"/>
        </w:rPr>
      </w:pPr>
      <w:r>
        <w:rPr>
          <w:rFonts w:hint="eastAsia" w:ascii="宋体" w:hAnsi="宋体" w:cs="宋体"/>
          <w:sz w:val="24"/>
        </w:rPr>
        <w:t>（一）基金托管人根据有关法律法规的规定以及《基金合同》的约定，对基金投资范围、投资比例、投资限制、关联方交易等进行监督。</w:t>
      </w:r>
    </w:p>
    <w:p>
      <w:pPr>
        <w:spacing w:line="360" w:lineRule="auto"/>
        <w:ind w:firstLine="480" w:firstLineChars="200"/>
        <w:rPr>
          <w:rFonts w:ascii="宋体" w:hAnsi="宋体" w:cs="宋体"/>
          <w:sz w:val="24"/>
        </w:rPr>
      </w:pPr>
      <w:r>
        <w:rPr>
          <w:rFonts w:hint="eastAsia" w:ascii="宋体" w:hAnsi="宋体" w:cs="宋体"/>
          <w:sz w:val="24"/>
        </w:rPr>
        <w:t>1.本基金的投资范围为：</w:t>
      </w:r>
    </w:p>
    <w:p>
      <w:pPr>
        <w:spacing w:line="360" w:lineRule="auto"/>
        <w:ind w:firstLine="480"/>
        <w:rPr>
          <w:rFonts w:ascii="宋体" w:hAnsi="宋体" w:cs="宋体"/>
          <w:sz w:val="24"/>
        </w:rPr>
      </w:pPr>
      <w:r>
        <w:rPr>
          <w:rFonts w:hint="eastAsia" w:ascii="宋体" w:hAnsi="宋体" w:cs="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firstLineChars="200"/>
        <w:rPr>
          <w:rFonts w:ascii="宋体" w:hAnsi="宋体" w:cs="宋体"/>
          <w:sz w:val="24"/>
        </w:rPr>
      </w:pPr>
      <w:r>
        <w:rPr>
          <w:rFonts w:hint="eastAsia" w:ascii="宋体" w:hAnsi="宋体" w:cs="宋体"/>
          <w:sz w:val="24"/>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firstLineChars="200"/>
        <w:rPr>
          <w:rFonts w:ascii="宋体" w:hAnsi="宋体" w:cs="宋体"/>
          <w:sz w:val="24"/>
        </w:rPr>
      </w:pPr>
      <w:r>
        <w:rPr>
          <w:rFonts w:hint="eastAsia" w:ascii="宋体" w:hAnsi="宋体" w:cs="宋体"/>
          <w:sz w:val="24"/>
        </w:rPr>
        <w:t>2.本基金各类品种的投资比例、投资限制为：</w:t>
      </w:r>
    </w:p>
    <w:p>
      <w:pPr>
        <w:spacing w:line="360" w:lineRule="auto"/>
        <w:ind w:firstLine="480"/>
        <w:rPr>
          <w:rFonts w:ascii="宋体" w:hAnsi="宋体" w:cs="宋体"/>
          <w:sz w:val="24"/>
        </w:rPr>
      </w:pPr>
      <w:r>
        <w:rPr>
          <w:rFonts w:hint="eastAsia" w:ascii="宋体" w:hAnsi="宋体" w:cs="宋体"/>
          <w:sz w:val="24"/>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rPr>
          <w:rFonts w:ascii="宋体" w:hAnsi="宋体" w:cs="宋体"/>
          <w:sz w:val="24"/>
        </w:rPr>
      </w:pPr>
      <w:r>
        <w:rPr>
          <w:rFonts w:hint="eastAsia" w:ascii="宋体" w:hAnsi="宋体" w:cs="宋体"/>
          <w:sz w:val="24"/>
        </w:rPr>
        <w:t>如果法律法规或中国证监会变更投资品种的投资比例限制，基金管理人在履行适当程序后，可以调整上述投资品种的投资比例。</w:t>
      </w:r>
    </w:p>
    <w:p>
      <w:pPr>
        <w:spacing w:line="360" w:lineRule="auto"/>
        <w:ind w:firstLine="480" w:firstLineChars="200"/>
        <w:rPr>
          <w:rFonts w:ascii="宋体" w:hAnsi="宋体" w:cs="宋体"/>
          <w:sz w:val="24"/>
        </w:rPr>
      </w:pPr>
      <w:r>
        <w:rPr>
          <w:rFonts w:hint="eastAsia" w:ascii="宋体" w:hAnsi="宋体" w:cs="宋体"/>
          <w:sz w:val="24"/>
        </w:rPr>
        <w:t>基金的投资组合应遵循以下限制：</w:t>
      </w:r>
    </w:p>
    <w:p>
      <w:pPr>
        <w:spacing w:line="360" w:lineRule="auto"/>
        <w:ind w:firstLine="480" w:firstLineChars="200"/>
        <w:rPr>
          <w:rFonts w:ascii="宋体" w:hAnsi="宋体" w:cs="宋体"/>
          <w:sz w:val="24"/>
        </w:rPr>
      </w:pPr>
      <w:r>
        <w:rPr>
          <w:rFonts w:hint="eastAsia" w:ascii="宋体" w:hAnsi="宋体" w:cs="宋体"/>
          <w:sz w:val="24"/>
        </w:rPr>
        <w:t>（1）本基金投资组合中股票资产投资比例为基金资产的60%-95%，其中对港股通标的股票（包括沪港通股票及深港通股票）的投资比例不超过股票资产的50%；</w:t>
      </w:r>
    </w:p>
    <w:p>
      <w:pPr>
        <w:spacing w:line="360" w:lineRule="auto"/>
        <w:ind w:firstLine="480" w:firstLineChars="200"/>
        <w:rPr>
          <w:rFonts w:ascii="宋体" w:hAnsi="宋体" w:cs="宋体"/>
          <w:sz w:val="24"/>
        </w:rPr>
      </w:pPr>
      <w:r>
        <w:rPr>
          <w:rFonts w:hint="eastAsia" w:ascii="宋体" w:hAnsi="宋体" w:cs="宋体"/>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ascii="宋体" w:hAnsi="宋体" w:cs="宋体"/>
          <w:sz w:val="24"/>
        </w:rPr>
      </w:pPr>
      <w:r>
        <w:rPr>
          <w:rFonts w:hint="eastAsia" w:ascii="宋体" w:hAnsi="宋体" w:cs="宋体"/>
          <w:sz w:val="24"/>
        </w:rPr>
        <w:t>（3）本基金持有一家公司发行的证券其市值（若同时持有一家公司发行的A股和H股，则为A股与H股合计市值）不超过基金资产净值的10％；</w:t>
      </w:r>
    </w:p>
    <w:p>
      <w:pPr>
        <w:spacing w:line="360" w:lineRule="auto"/>
        <w:ind w:firstLine="480" w:firstLineChars="200"/>
        <w:rPr>
          <w:rFonts w:ascii="宋体" w:hAnsi="宋体" w:cs="宋体"/>
          <w:sz w:val="24"/>
        </w:rPr>
      </w:pPr>
      <w:r>
        <w:rPr>
          <w:rFonts w:hint="eastAsia" w:ascii="宋体" w:hAnsi="宋体" w:cs="宋体"/>
          <w:sz w:val="24"/>
        </w:rPr>
        <w:t>（4）本基金管理人管理的全部基金持有一家公司发行的证券（A股与H股合计），不超过该证券的10％；</w:t>
      </w:r>
    </w:p>
    <w:p>
      <w:pPr>
        <w:spacing w:line="360" w:lineRule="auto"/>
        <w:ind w:firstLine="480" w:firstLineChars="200"/>
        <w:rPr>
          <w:rFonts w:ascii="宋体" w:hAnsi="宋体" w:cs="宋体"/>
          <w:sz w:val="24"/>
        </w:rPr>
      </w:pPr>
      <w:r>
        <w:rPr>
          <w:rFonts w:hint="eastAsia" w:ascii="宋体" w:hAnsi="宋体" w:cs="宋体"/>
          <w:sz w:val="24"/>
        </w:rPr>
        <w:t>（5）本基金投资于同一原始权益人的各类资产支持证券的比例，不得超过基金资产净值的10％；</w:t>
      </w:r>
    </w:p>
    <w:p>
      <w:pPr>
        <w:spacing w:line="360" w:lineRule="auto"/>
        <w:ind w:firstLine="480" w:firstLineChars="200"/>
        <w:rPr>
          <w:rFonts w:ascii="宋体" w:hAnsi="宋体" w:cs="宋体"/>
          <w:sz w:val="24"/>
        </w:rPr>
      </w:pPr>
      <w:r>
        <w:rPr>
          <w:rFonts w:hint="eastAsia" w:ascii="宋体" w:hAnsi="宋体" w:cs="宋体"/>
          <w:sz w:val="24"/>
        </w:rPr>
        <w:t>（6）本基金持有的全部资产支持证券，其市值不得超过基金资产净值的20％；</w:t>
      </w:r>
    </w:p>
    <w:p>
      <w:pPr>
        <w:spacing w:line="360" w:lineRule="auto"/>
        <w:ind w:firstLine="480" w:firstLineChars="200"/>
        <w:rPr>
          <w:rFonts w:ascii="宋体" w:hAnsi="宋体" w:cs="宋体"/>
          <w:sz w:val="24"/>
        </w:rPr>
      </w:pPr>
      <w:r>
        <w:rPr>
          <w:rFonts w:hint="eastAsia" w:ascii="宋体" w:hAnsi="宋体" w:cs="宋体"/>
          <w:sz w:val="24"/>
        </w:rPr>
        <w:t>（7）本基金持有的同一(指同一信用级别)资产支持证券的比例，不得超过该资产支持证券规模的10％；</w:t>
      </w:r>
    </w:p>
    <w:p>
      <w:pPr>
        <w:spacing w:line="360" w:lineRule="auto"/>
        <w:ind w:firstLine="480" w:firstLineChars="200"/>
        <w:rPr>
          <w:rFonts w:ascii="宋体" w:hAnsi="宋体" w:cs="宋体"/>
          <w:sz w:val="24"/>
        </w:rPr>
      </w:pPr>
      <w:r>
        <w:rPr>
          <w:rFonts w:hint="eastAsia" w:ascii="宋体" w:hAnsi="宋体" w:cs="宋体"/>
          <w:sz w:val="24"/>
        </w:rPr>
        <w:t>（8）本基金管理人管理的全部基金投资于同一原始权益人的各类资产支持证券，不得超过其各类资产支持证券合计规模的10％；</w:t>
      </w:r>
    </w:p>
    <w:p>
      <w:pPr>
        <w:spacing w:line="360" w:lineRule="auto"/>
        <w:ind w:firstLine="480" w:firstLineChars="200"/>
        <w:rPr>
          <w:rFonts w:ascii="宋体" w:hAnsi="宋体" w:cs="宋体"/>
          <w:sz w:val="24"/>
        </w:rPr>
      </w:pPr>
      <w:r>
        <w:rPr>
          <w:rFonts w:hint="eastAsia" w:ascii="宋体" w:hAnsi="宋体" w:cs="宋体"/>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ascii="宋体" w:hAnsi="宋体" w:cs="宋体"/>
          <w:sz w:val="24"/>
        </w:rPr>
      </w:pPr>
      <w:r>
        <w:rPr>
          <w:rFonts w:hint="eastAsia" w:ascii="宋体" w:hAnsi="宋体" w:cs="宋体"/>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ascii="宋体" w:hAnsi="宋体" w:cs="宋体"/>
          <w:sz w:val="24"/>
        </w:rPr>
      </w:pPr>
      <w:r>
        <w:rPr>
          <w:rFonts w:hint="eastAsia" w:ascii="宋体" w:hAnsi="宋体" w:cs="宋体"/>
          <w:sz w:val="24"/>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ascii="宋体" w:hAnsi="宋体" w:cs="宋体"/>
          <w:sz w:val="24"/>
        </w:rPr>
      </w:pPr>
      <w:r>
        <w:rPr>
          <w:rFonts w:hint="eastAsia" w:ascii="宋体" w:hAnsi="宋体" w:cs="宋体"/>
          <w:sz w:val="24"/>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ascii="宋体" w:hAnsi="宋体" w:cs="宋体"/>
          <w:sz w:val="24"/>
        </w:rPr>
      </w:pPr>
      <w:r>
        <w:rPr>
          <w:rFonts w:hint="eastAsia" w:ascii="宋体" w:hAnsi="宋体" w:cs="宋体"/>
          <w:sz w:val="24"/>
        </w:rPr>
        <w:t>（13）本基金与私募类证券资管产品及中国证监会认定的其他主体为交易对手开展逆回购交易的，可接受质押品的资质要求应当与基金合同约定的投资范围保持一致；</w:t>
      </w:r>
    </w:p>
    <w:p>
      <w:pPr>
        <w:spacing w:line="360" w:lineRule="auto"/>
        <w:ind w:firstLine="480" w:firstLineChars="200"/>
        <w:rPr>
          <w:rFonts w:ascii="宋体" w:hAnsi="宋体" w:cs="宋体"/>
          <w:sz w:val="24"/>
        </w:rPr>
      </w:pPr>
      <w:r>
        <w:rPr>
          <w:rFonts w:hint="eastAsia" w:ascii="宋体" w:hAnsi="宋体" w:cs="宋体"/>
          <w:sz w:val="24"/>
        </w:rPr>
        <w:t>（14）本基金资产总值不超过基金资产净值的140%；</w:t>
      </w:r>
    </w:p>
    <w:p>
      <w:pPr>
        <w:spacing w:line="360" w:lineRule="auto"/>
        <w:ind w:firstLine="480" w:firstLineChars="200"/>
        <w:rPr>
          <w:rFonts w:ascii="宋体" w:hAnsi="宋体" w:cs="宋体"/>
          <w:sz w:val="24"/>
        </w:rPr>
      </w:pPr>
      <w:r>
        <w:rPr>
          <w:rFonts w:hint="eastAsia" w:ascii="宋体" w:hAnsi="宋体" w:cs="宋体"/>
          <w:sz w:val="24"/>
        </w:rPr>
        <w:t>（15）本基金参与股指期货、国债期货交易，需遵守下列规定：</w:t>
      </w:r>
    </w:p>
    <w:p>
      <w:pPr>
        <w:spacing w:line="360" w:lineRule="auto"/>
        <w:ind w:firstLine="480" w:firstLineChars="200"/>
        <w:rPr>
          <w:rFonts w:ascii="宋体" w:hAnsi="宋体" w:cs="宋体"/>
          <w:sz w:val="24"/>
        </w:rPr>
      </w:pPr>
      <w:r>
        <w:rPr>
          <w:rFonts w:hint="eastAsia" w:ascii="宋体" w:hAnsi="宋体" w:cs="宋体"/>
          <w:sz w:val="24"/>
        </w:rPr>
        <w:t>1)本基金在任何交易日日终，持有的买入股指期货合约价值，不得超过基金资产净值的10%；</w:t>
      </w:r>
    </w:p>
    <w:p>
      <w:pPr>
        <w:spacing w:line="360" w:lineRule="auto"/>
        <w:ind w:firstLine="480" w:firstLineChars="200"/>
        <w:rPr>
          <w:rFonts w:ascii="宋体" w:hAnsi="宋体" w:cs="宋体"/>
          <w:sz w:val="24"/>
        </w:rPr>
      </w:pPr>
      <w:r>
        <w:rPr>
          <w:rFonts w:hint="eastAsia" w:ascii="宋体" w:hAnsi="宋体" w:cs="宋体"/>
          <w:sz w:val="24"/>
        </w:rPr>
        <w:t>2)本基金在任何交易日日终，持有的买入国债期货合约价值，不得超过基金资产净值的15%；</w:t>
      </w:r>
    </w:p>
    <w:p>
      <w:pPr>
        <w:spacing w:line="360" w:lineRule="auto"/>
        <w:ind w:firstLine="480" w:firstLineChars="200"/>
        <w:rPr>
          <w:rFonts w:ascii="宋体" w:hAnsi="宋体" w:cs="宋体"/>
          <w:sz w:val="24"/>
        </w:rPr>
      </w:pPr>
      <w:r>
        <w:rPr>
          <w:rFonts w:hint="eastAsia" w:ascii="宋体" w:hAnsi="宋体" w:cs="宋体"/>
          <w:sz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ascii="宋体" w:hAnsi="宋体" w:cs="宋体"/>
          <w:sz w:val="24"/>
        </w:rPr>
      </w:pPr>
      <w:r>
        <w:rPr>
          <w:rFonts w:hint="eastAsia" w:ascii="宋体" w:hAnsi="宋体" w:cs="宋体"/>
          <w:sz w:val="24"/>
        </w:rPr>
        <w:t>4)本基金在任何交易日日终，持有的卖出股指期货合约价值不得超过基金持有的股票总市值的20%；</w:t>
      </w:r>
    </w:p>
    <w:p>
      <w:pPr>
        <w:spacing w:line="360" w:lineRule="auto"/>
        <w:ind w:firstLine="480" w:firstLineChars="200"/>
        <w:rPr>
          <w:rFonts w:ascii="宋体" w:hAnsi="宋体" w:cs="宋体"/>
          <w:sz w:val="24"/>
        </w:rPr>
      </w:pPr>
      <w:r>
        <w:rPr>
          <w:rFonts w:hint="eastAsia" w:ascii="宋体" w:hAnsi="宋体" w:cs="宋体"/>
          <w:sz w:val="24"/>
        </w:rPr>
        <w:t>5)本基金在任何交易日日终，持有的卖出国债期货合约价值不得超过基金持有的债券总市值的30%；</w:t>
      </w:r>
    </w:p>
    <w:p>
      <w:pPr>
        <w:spacing w:line="360" w:lineRule="auto"/>
        <w:ind w:firstLine="480" w:firstLineChars="200"/>
        <w:rPr>
          <w:rFonts w:ascii="宋体" w:hAnsi="宋体" w:cs="宋体"/>
          <w:sz w:val="24"/>
        </w:rPr>
      </w:pPr>
      <w:r>
        <w:rPr>
          <w:rFonts w:hint="eastAsia" w:ascii="宋体" w:hAnsi="宋体" w:cs="宋体"/>
          <w:sz w:val="24"/>
        </w:rPr>
        <w:t>6)本基金在任何交易日内交易（不包括平仓）的股指期货合约的成交金额不得超过上一交易日基金资产净值的20%；</w:t>
      </w:r>
    </w:p>
    <w:p>
      <w:pPr>
        <w:spacing w:line="360" w:lineRule="auto"/>
        <w:ind w:firstLine="480" w:firstLineChars="200"/>
        <w:rPr>
          <w:rFonts w:ascii="宋体" w:hAnsi="宋体" w:cs="宋体"/>
          <w:sz w:val="24"/>
        </w:rPr>
      </w:pPr>
      <w:r>
        <w:rPr>
          <w:rFonts w:hint="eastAsia" w:ascii="宋体" w:hAnsi="宋体" w:cs="宋体"/>
          <w:sz w:val="24"/>
        </w:rPr>
        <w:t>7)本基金在任何交易日内交易（不包括平仓）的国债期货合约的成交金额不得超过上一交易日基金资产净值的30%；</w:t>
      </w:r>
    </w:p>
    <w:p>
      <w:pPr>
        <w:spacing w:line="360" w:lineRule="auto"/>
        <w:ind w:firstLine="480" w:firstLineChars="200"/>
        <w:rPr>
          <w:rFonts w:ascii="宋体" w:hAnsi="宋体" w:cs="宋体"/>
          <w:sz w:val="24"/>
        </w:rPr>
      </w:pPr>
      <w:r>
        <w:rPr>
          <w:rFonts w:hint="eastAsia" w:ascii="宋体" w:hAnsi="宋体" w:cs="宋体"/>
          <w:sz w:val="24"/>
        </w:rPr>
        <w:t>8)本基金所持有的股票市值和买入、卖出股指期货合约价值，合计（轧差计算）应当符合基金合同关于股票投资比例的有关规定；</w:t>
      </w:r>
    </w:p>
    <w:p>
      <w:pPr>
        <w:spacing w:line="360" w:lineRule="auto"/>
        <w:ind w:firstLine="480" w:firstLineChars="200"/>
        <w:rPr>
          <w:rFonts w:ascii="宋体" w:hAnsi="宋体" w:cs="宋体"/>
          <w:sz w:val="24"/>
        </w:rPr>
      </w:pPr>
      <w:r>
        <w:rPr>
          <w:rFonts w:hint="eastAsia" w:ascii="宋体" w:hAnsi="宋体" w:cs="宋体"/>
          <w:sz w:val="24"/>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ascii="宋体" w:hAnsi="宋体" w:cs="宋体"/>
          <w:sz w:val="24"/>
        </w:rPr>
      </w:pPr>
      <w:r>
        <w:rPr>
          <w:rFonts w:hint="eastAsia" w:ascii="宋体" w:hAnsi="宋体" w:cs="宋体"/>
          <w:sz w:val="24"/>
        </w:rPr>
        <w:t>（16）本基金参与股票期权交易的，需遵守下列投资比例限制：</w:t>
      </w:r>
    </w:p>
    <w:p>
      <w:pPr>
        <w:spacing w:line="360" w:lineRule="auto"/>
        <w:ind w:firstLine="480" w:firstLineChars="200"/>
        <w:rPr>
          <w:rFonts w:ascii="宋体" w:hAnsi="宋体" w:cs="宋体"/>
          <w:sz w:val="24"/>
        </w:rPr>
      </w:pPr>
      <w:r>
        <w:rPr>
          <w:rFonts w:hint="eastAsia" w:ascii="宋体" w:hAnsi="宋体" w:cs="宋体"/>
          <w:sz w:val="24"/>
        </w:rPr>
        <w:t>1)本基金因未平仓的股票期权合约支付和收取的权利金总额不得超过基金资产净值的 10%；</w:t>
      </w:r>
    </w:p>
    <w:p>
      <w:pPr>
        <w:spacing w:line="360" w:lineRule="auto"/>
        <w:ind w:firstLine="480" w:firstLineChars="200"/>
        <w:rPr>
          <w:rFonts w:ascii="宋体" w:hAnsi="宋体" w:cs="宋体"/>
          <w:sz w:val="24"/>
        </w:rPr>
      </w:pPr>
      <w:r>
        <w:rPr>
          <w:rFonts w:hint="eastAsia" w:ascii="宋体" w:hAnsi="宋体" w:cs="宋体"/>
          <w:sz w:val="24"/>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ascii="宋体" w:hAnsi="宋体" w:cs="宋体"/>
          <w:sz w:val="24"/>
        </w:rPr>
      </w:pPr>
      <w:r>
        <w:rPr>
          <w:rFonts w:hint="eastAsia" w:ascii="宋体" w:hAnsi="宋体" w:cs="宋体"/>
          <w:sz w:val="24"/>
        </w:rPr>
        <w:t>3)本基金未平仓的股票期权合约面值不得超过基金资产净值的 20%。其中，合约面值按照行权价乘以合约乘数计算；</w:t>
      </w:r>
    </w:p>
    <w:p>
      <w:pPr>
        <w:spacing w:line="360" w:lineRule="auto"/>
        <w:ind w:firstLine="480" w:firstLineChars="200"/>
        <w:rPr>
          <w:rFonts w:ascii="宋体" w:hAnsi="宋体" w:cs="宋体"/>
          <w:sz w:val="24"/>
        </w:rPr>
      </w:pPr>
      <w:r>
        <w:rPr>
          <w:rFonts w:hint="eastAsia" w:ascii="宋体" w:hAnsi="宋体" w:cs="宋体"/>
          <w:sz w:val="24"/>
        </w:rPr>
        <w:t>（17）本基金参与融资的，每个交易日日终，本基金持有的融资买入股票与 其他有价证券市值之和，不得超过基金资产净值的 95%；</w:t>
      </w:r>
    </w:p>
    <w:p>
      <w:pPr>
        <w:spacing w:line="360" w:lineRule="auto"/>
        <w:ind w:firstLine="480" w:firstLineChars="200"/>
        <w:rPr>
          <w:rFonts w:ascii="宋体" w:hAnsi="宋体" w:cs="宋体"/>
          <w:sz w:val="24"/>
        </w:rPr>
      </w:pPr>
      <w:r>
        <w:rPr>
          <w:rFonts w:hint="eastAsia" w:ascii="宋体" w:hAnsi="宋体" w:cs="宋体"/>
          <w:sz w:val="24"/>
        </w:rPr>
        <w:t>（18）本基金投资存托凭证的比例限制依照境内上市交易的股票执行，与境内上市交易的股票合并计算；</w:t>
      </w:r>
    </w:p>
    <w:p>
      <w:pPr>
        <w:spacing w:line="360" w:lineRule="auto"/>
        <w:ind w:firstLine="480" w:firstLineChars="200"/>
        <w:rPr>
          <w:rFonts w:ascii="宋体" w:hAnsi="宋体" w:cs="宋体"/>
          <w:sz w:val="24"/>
        </w:rPr>
      </w:pPr>
      <w:r>
        <w:rPr>
          <w:rFonts w:hint="eastAsia" w:ascii="宋体" w:hAnsi="宋体" w:cs="宋体"/>
          <w:sz w:val="24"/>
        </w:rPr>
        <w:t>（19）法律法规及中国证监会规定的和《基金合同》约定的其他投资限制。</w:t>
      </w:r>
    </w:p>
    <w:p>
      <w:pPr>
        <w:spacing w:line="360" w:lineRule="auto"/>
        <w:ind w:firstLine="480" w:firstLineChars="200"/>
        <w:rPr>
          <w:rFonts w:ascii="宋体" w:hAnsi="宋体" w:cs="宋体"/>
          <w:sz w:val="24"/>
        </w:rPr>
      </w:pPr>
      <w:r>
        <w:rPr>
          <w:rFonts w:hint="eastAsia" w:ascii="宋体" w:hAnsi="宋体" w:cs="宋体"/>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ascii="宋体" w:hAnsi="宋体" w:cs="宋体"/>
          <w:sz w:val="24"/>
        </w:rPr>
      </w:pPr>
      <w:r>
        <w:rPr>
          <w:rFonts w:hint="eastAsia" w:ascii="宋体" w:hAnsi="宋体" w:cs="宋体"/>
          <w:sz w:val="24"/>
        </w:rPr>
        <w:t>3.本基金财产不得用于以下投资或者活动：</w:t>
      </w:r>
    </w:p>
    <w:p>
      <w:pPr>
        <w:spacing w:line="360" w:lineRule="auto"/>
        <w:ind w:firstLine="480" w:firstLineChars="200"/>
        <w:rPr>
          <w:rFonts w:ascii="宋体" w:hAnsi="宋体" w:cs="宋体"/>
          <w:sz w:val="24"/>
        </w:rPr>
      </w:pPr>
      <w:r>
        <w:rPr>
          <w:rFonts w:hint="eastAsia" w:ascii="宋体" w:hAnsi="宋体" w:cs="宋体"/>
          <w:sz w:val="24"/>
        </w:rPr>
        <w:t>（1）承销证券；</w:t>
      </w:r>
    </w:p>
    <w:p>
      <w:pPr>
        <w:spacing w:line="360" w:lineRule="auto"/>
        <w:ind w:firstLine="480" w:firstLineChars="200"/>
        <w:rPr>
          <w:rFonts w:ascii="宋体" w:hAnsi="宋体" w:cs="宋体"/>
          <w:sz w:val="24"/>
        </w:rPr>
      </w:pPr>
      <w:r>
        <w:rPr>
          <w:rFonts w:hint="eastAsia" w:ascii="宋体" w:hAnsi="宋体" w:cs="宋体"/>
          <w:sz w:val="24"/>
        </w:rPr>
        <w:t>（2）违反规定向他人贷款或者提供担保；</w:t>
      </w:r>
    </w:p>
    <w:p>
      <w:pPr>
        <w:spacing w:line="360" w:lineRule="auto"/>
        <w:ind w:firstLine="480" w:firstLineChars="200"/>
        <w:rPr>
          <w:rFonts w:ascii="宋体" w:hAnsi="宋体" w:cs="宋体"/>
          <w:sz w:val="24"/>
        </w:rPr>
      </w:pPr>
      <w:r>
        <w:rPr>
          <w:rFonts w:hint="eastAsia" w:ascii="宋体" w:hAnsi="宋体" w:cs="宋体"/>
          <w:sz w:val="24"/>
        </w:rPr>
        <w:t>（3）从事承担无限责任的投资；</w:t>
      </w:r>
    </w:p>
    <w:p>
      <w:pPr>
        <w:spacing w:line="360" w:lineRule="auto"/>
        <w:ind w:firstLine="480" w:firstLineChars="200"/>
        <w:rPr>
          <w:rFonts w:ascii="宋体" w:hAnsi="宋体" w:cs="宋体"/>
          <w:sz w:val="24"/>
        </w:rPr>
      </w:pPr>
      <w:r>
        <w:rPr>
          <w:rFonts w:hint="eastAsia" w:ascii="宋体" w:hAnsi="宋体" w:cs="宋体"/>
          <w:sz w:val="24"/>
        </w:rPr>
        <w:t>（4）买卖其他基金份额，但是中国证监会另有规定的除外；</w:t>
      </w:r>
    </w:p>
    <w:p>
      <w:pPr>
        <w:spacing w:line="360" w:lineRule="auto"/>
        <w:ind w:firstLine="480" w:firstLineChars="200"/>
        <w:rPr>
          <w:rFonts w:ascii="宋体" w:hAnsi="宋体" w:cs="宋体"/>
          <w:sz w:val="24"/>
        </w:rPr>
      </w:pPr>
      <w:r>
        <w:rPr>
          <w:rFonts w:hint="eastAsia" w:ascii="宋体" w:hAnsi="宋体" w:cs="宋体"/>
          <w:sz w:val="24"/>
        </w:rPr>
        <w:t>（5）向基金管理人、基金托管人出资；</w:t>
      </w:r>
    </w:p>
    <w:p>
      <w:pPr>
        <w:spacing w:line="360" w:lineRule="auto"/>
        <w:ind w:firstLine="480" w:firstLineChars="200"/>
        <w:rPr>
          <w:rFonts w:ascii="宋体" w:hAnsi="宋体" w:cs="宋体"/>
          <w:sz w:val="24"/>
        </w:rPr>
      </w:pPr>
      <w:r>
        <w:rPr>
          <w:rFonts w:hint="eastAsia" w:ascii="宋体" w:hAnsi="宋体" w:cs="宋体"/>
          <w:sz w:val="24"/>
        </w:rPr>
        <w:t>（6）从事内幕交易、操纵证券交易价格及其他不正当的证券交易活动；</w:t>
      </w:r>
    </w:p>
    <w:p>
      <w:pPr>
        <w:spacing w:line="360" w:lineRule="auto"/>
        <w:ind w:firstLine="480" w:firstLineChars="200"/>
        <w:rPr>
          <w:rFonts w:ascii="宋体" w:hAnsi="宋体" w:cs="宋体"/>
          <w:sz w:val="24"/>
        </w:rPr>
      </w:pPr>
      <w:r>
        <w:rPr>
          <w:rFonts w:hint="eastAsia" w:ascii="宋体" w:hAnsi="宋体" w:cs="宋体"/>
          <w:sz w:val="24"/>
        </w:rPr>
        <w:t>（7）法律、行政法规或者中国证监会规定禁止的其他活动。</w:t>
      </w:r>
    </w:p>
    <w:p>
      <w:pPr>
        <w:spacing w:line="360" w:lineRule="auto"/>
        <w:ind w:firstLine="480" w:firstLineChars="200"/>
        <w:rPr>
          <w:rFonts w:ascii="宋体" w:hAnsi="宋体" w:cs="宋体"/>
          <w:sz w:val="24"/>
        </w:rPr>
      </w:pPr>
      <w:r>
        <w:rPr>
          <w:rFonts w:hint="eastAsia" w:ascii="宋体" w:hAnsi="宋体" w:cs="宋体"/>
          <w:sz w:val="24"/>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ascii="宋体" w:hAnsi="宋体" w:cs="宋体"/>
          <w:sz w:val="24"/>
        </w:rPr>
      </w:pPr>
      <w:r>
        <w:rPr>
          <w:rFonts w:hint="eastAsia" w:ascii="宋体" w:hAnsi="宋体" w:cs="宋体"/>
          <w:sz w:val="24"/>
        </w:rPr>
        <w:t>5.基金管理人应当自基金合同生效日起6个月内使基金的投资组合比例符合基金合同的有关约定。在上述期间内，本基金的投资范围、投资策略应当符合基金合同的约定。</w:t>
      </w:r>
    </w:p>
    <w:p>
      <w:pPr>
        <w:spacing w:line="360" w:lineRule="auto"/>
        <w:ind w:firstLine="480" w:firstLineChars="200"/>
        <w:rPr>
          <w:rFonts w:ascii="宋体" w:hAnsi="宋体" w:cs="宋体"/>
          <w:sz w:val="24"/>
        </w:rPr>
      </w:pPr>
      <w:r>
        <w:rPr>
          <w:rFonts w:hint="eastAsia" w:ascii="宋体" w:hAnsi="宋体" w:cs="宋体"/>
          <w:sz w:val="24"/>
        </w:rPr>
        <w:t>基金托管人对基金的投资的监督与检查自基金合同生效之日起开始。</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6.如果法律法规及监管政策等对基金合同约定的投资禁止行为和投资组合比例限制进行变更的，本基金可相应调整禁止行为和投资比例限制规定。《基金法》及其他有关法律法规或监管部门取消上述限制的，履行适当程序后，基金不受上述限制。</w:t>
      </w:r>
    </w:p>
    <w:p>
      <w:pPr>
        <w:spacing w:line="360" w:lineRule="auto"/>
        <w:ind w:firstLine="480" w:firstLineChars="200"/>
        <w:rPr>
          <w:rFonts w:ascii="宋体" w:hAnsi="宋体" w:cs="宋体"/>
          <w:sz w:val="24"/>
        </w:rPr>
      </w:pPr>
      <w:r>
        <w:rPr>
          <w:rFonts w:hint="eastAsia" w:ascii="宋体" w:hAnsi="宋体" w:cs="宋体"/>
          <w:sz w:val="24"/>
        </w:rPr>
        <w:t>7.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ascii="宋体" w:hAnsi="宋体" w:cs="宋体"/>
          <w:sz w:val="24"/>
        </w:rPr>
      </w:pPr>
      <w:r>
        <w:rPr>
          <w:rFonts w:hint="eastAsia" w:ascii="宋体" w:hAnsi="宋体" w:cs="宋体"/>
          <w:sz w:val="24"/>
        </w:rPr>
        <w:t>侧袋机制实施期间，本部分约定的投资组合比例、组合限制等约定仅适用于主袋账户。</w:t>
      </w:r>
    </w:p>
    <w:p>
      <w:pPr>
        <w:spacing w:line="360" w:lineRule="auto"/>
        <w:ind w:firstLine="480" w:firstLineChars="200"/>
        <w:rPr>
          <w:rFonts w:ascii="宋体" w:hAnsi="宋体" w:cs="宋体"/>
          <w:sz w:val="24"/>
        </w:rPr>
      </w:pPr>
      <w:r>
        <w:rPr>
          <w:rFonts w:hint="eastAsia" w:ascii="宋体" w:hAnsi="宋体" w:cs="宋体"/>
          <w:sz w:val="24"/>
        </w:rPr>
        <w:t>侧袋机制的具体规则依照相关法律法规的规定和基金合同的约定执行。</w:t>
      </w:r>
    </w:p>
    <w:p>
      <w:pPr>
        <w:spacing w:line="360" w:lineRule="auto"/>
        <w:ind w:firstLine="480" w:firstLineChars="200"/>
        <w:rPr>
          <w:rFonts w:ascii="宋体" w:hAnsi="宋体" w:cs="宋体"/>
          <w:sz w:val="24"/>
        </w:rPr>
      </w:pPr>
      <w:r>
        <w:rPr>
          <w:rFonts w:hint="eastAsia" w:ascii="宋体" w:hAnsi="宋体" w:cs="宋体"/>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pPr>
        <w:spacing w:line="360" w:lineRule="auto"/>
        <w:ind w:firstLine="480" w:firstLineChars="200"/>
        <w:rPr>
          <w:rFonts w:ascii="宋体" w:hAnsi="宋体" w:cs="宋体"/>
          <w:sz w:val="24"/>
        </w:rPr>
      </w:pPr>
      <w:r>
        <w:rPr>
          <w:rFonts w:hint="eastAsia" w:ascii="宋体" w:hAnsi="宋体" w:cs="宋体"/>
          <w:sz w:val="24"/>
        </w:rPr>
        <w:t>本基金投资银行存款应符合如下规定：</w:t>
      </w:r>
    </w:p>
    <w:p>
      <w:pPr>
        <w:spacing w:line="360" w:lineRule="auto"/>
        <w:ind w:firstLine="480" w:firstLineChars="200"/>
        <w:rPr>
          <w:rFonts w:ascii="宋体" w:hAnsi="宋体" w:cs="宋体"/>
          <w:sz w:val="24"/>
        </w:rPr>
      </w:pPr>
      <w:r>
        <w:rPr>
          <w:rFonts w:hint="eastAsia" w:ascii="宋体" w:hAnsi="宋体" w:cs="宋体"/>
          <w:sz w:val="24"/>
        </w:rPr>
        <w:t>1. 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pPr>
        <w:spacing w:line="360" w:lineRule="auto"/>
        <w:ind w:firstLine="480" w:firstLineChars="200"/>
        <w:rPr>
          <w:rFonts w:ascii="宋体" w:hAnsi="宋体" w:cs="宋体"/>
          <w:sz w:val="24"/>
        </w:rPr>
      </w:pPr>
      <w:r>
        <w:rPr>
          <w:rFonts w:hint="eastAsia" w:ascii="宋体" w:hAnsi="宋体" w:cs="宋体"/>
          <w:sz w:val="24"/>
        </w:rPr>
        <w:t>有关法律法规或监管部门制定或修改新的定期存款投资政策，基金管理人履行适当程序后，可相应调整投资组合限制的规定。</w:t>
      </w:r>
    </w:p>
    <w:p>
      <w:pPr>
        <w:spacing w:line="360" w:lineRule="auto"/>
        <w:ind w:firstLine="480" w:firstLineChars="200"/>
        <w:rPr>
          <w:rFonts w:ascii="宋体" w:hAnsi="宋体" w:cs="宋体"/>
          <w:sz w:val="24"/>
        </w:rPr>
      </w:pPr>
      <w:r>
        <w:rPr>
          <w:rFonts w:hint="eastAsia" w:ascii="宋体" w:hAnsi="宋体" w:cs="宋体"/>
          <w:sz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pPr>
        <w:spacing w:line="360" w:lineRule="auto"/>
        <w:ind w:firstLine="480" w:firstLineChars="200"/>
        <w:rPr>
          <w:rFonts w:ascii="宋体" w:hAnsi="宋体" w:cs="宋体"/>
          <w:sz w:val="24"/>
        </w:rPr>
      </w:pPr>
      <w:r>
        <w:rPr>
          <w:rFonts w:hint="eastAsia" w:ascii="宋体" w:hAnsi="宋体" w:cs="宋体"/>
          <w:sz w:val="24"/>
        </w:rPr>
        <w:t>（1）基金管理人负责控制信用风险。信用风险主要包括存款银行的信用等级、存款银行的支付能力等涉及到存款银行选择方面的风险。因选择存款银行不当造成基金财产损失的，由基金管理人承担责任。</w:t>
      </w:r>
    </w:p>
    <w:p>
      <w:pPr>
        <w:spacing w:line="360" w:lineRule="auto"/>
        <w:ind w:firstLine="480" w:firstLineChars="200"/>
        <w:rPr>
          <w:rFonts w:ascii="宋体" w:hAnsi="宋体" w:cs="宋体"/>
          <w:sz w:val="24"/>
        </w:rPr>
      </w:pPr>
      <w:r>
        <w:rPr>
          <w:rFonts w:hint="eastAsia" w:ascii="宋体" w:hAnsi="宋体" w:cs="宋体"/>
          <w:sz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pPr>
        <w:spacing w:line="360" w:lineRule="auto"/>
        <w:ind w:firstLine="480" w:firstLineChars="200"/>
        <w:rPr>
          <w:rFonts w:ascii="宋体" w:hAnsi="宋体" w:cs="宋体"/>
          <w:sz w:val="24"/>
        </w:rPr>
      </w:pPr>
      <w:r>
        <w:rPr>
          <w:rFonts w:hint="eastAsia" w:ascii="宋体" w:hAnsi="宋体" w:cs="宋体"/>
          <w:sz w:val="24"/>
        </w:rPr>
        <w:t>（3）基金管理人须加强内部风险控制制度的建设。如因基金管理人员工职务行为导致基金财产受到损失的，需由基金管理人在其责任范围内承担由此造成的损失。</w:t>
      </w:r>
    </w:p>
    <w:p>
      <w:pPr>
        <w:spacing w:line="360" w:lineRule="auto"/>
        <w:ind w:firstLine="480" w:firstLineChars="200"/>
        <w:rPr>
          <w:rFonts w:ascii="宋体" w:hAnsi="宋体" w:cs="宋体"/>
          <w:sz w:val="24"/>
        </w:rPr>
      </w:pPr>
      <w:r>
        <w:rPr>
          <w:rFonts w:hint="eastAsia" w:ascii="宋体" w:hAnsi="宋体" w:cs="宋体"/>
          <w:sz w:val="24"/>
        </w:rPr>
        <w:t>（4）基金管理人与基金托管人在开展基金存款业务时，应严格遵守《基金法》、《运作办法》等有关法律法规，以及国家有关账户管理、利率管理、支付结算等的各项规定。</w:t>
      </w:r>
    </w:p>
    <w:p>
      <w:pPr>
        <w:spacing w:line="360" w:lineRule="auto"/>
        <w:ind w:firstLine="480" w:firstLineChars="200"/>
        <w:rPr>
          <w:rFonts w:ascii="宋体" w:hAnsi="宋体" w:cs="宋体"/>
          <w:sz w:val="24"/>
        </w:rPr>
      </w:pPr>
      <w:r>
        <w:rPr>
          <w:rFonts w:hint="eastAsia" w:ascii="宋体" w:hAnsi="宋体" w:cs="宋体"/>
          <w:sz w:val="24"/>
        </w:rPr>
        <w:t>（三）基金投资银行存款协议的签订、账户开设与管理、投资指令与资金划付、账目核对、到期兑付、提前支取</w:t>
      </w:r>
    </w:p>
    <w:p>
      <w:pPr>
        <w:spacing w:line="360" w:lineRule="auto"/>
        <w:ind w:firstLine="480" w:firstLineChars="200"/>
        <w:rPr>
          <w:rFonts w:ascii="宋体" w:hAnsi="宋体" w:cs="宋体"/>
          <w:sz w:val="24"/>
        </w:rPr>
      </w:pPr>
      <w:r>
        <w:rPr>
          <w:rFonts w:hint="eastAsia" w:ascii="宋体" w:hAnsi="宋体" w:cs="宋体"/>
          <w:sz w:val="24"/>
        </w:rPr>
        <w:t>1.基金投资银行存款协议的签订</w:t>
      </w:r>
    </w:p>
    <w:p>
      <w:pPr>
        <w:spacing w:line="360" w:lineRule="auto"/>
        <w:ind w:firstLine="480" w:firstLineChars="200"/>
        <w:rPr>
          <w:rFonts w:ascii="宋体" w:hAnsi="宋体" w:cs="宋体"/>
          <w:sz w:val="24"/>
        </w:rPr>
      </w:pPr>
      <w:r>
        <w:rPr>
          <w:rFonts w:hint="eastAsia" w:ascii="宋体" w:hAnsi="宋体" w:cs="宋体"/>
          <w:sz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pPr>
        <w:spacing w:line="360" w:lineRule="auto"/>
        <w:ind w:firstLine="480" w:firstLineChars="200"/>
        <w:rPr>
          <w:rFonts w:ascii="宋体" w:hAnsi="宋体" w:cs="宋体"/>
          <w:sz w:val="24"/>
        </w:rPr>
      </w:pPr>
      <w:r>
        <w:rPr>
          <w:rFonts w:hint="eastAsia" w:ascii="宋体" w:hAnsi="宋体" w:cs="宋体"/>
          <w:sz w:val="24"/>
        </w:rPr>
        <w:t>（2）基金托管人依据相关法规对《总体合作协议》和《存款协议书》的内容进行复核，审查存款银行资格等。</w:t>
      </w:r>
    </w:p>
    <w:p>
      <w:pPr>
        <w:spacing w:line="360" w:lineRule="auto"/>
        <w:ind w:firstLine="480" w:firstLineChars="200"/>
        <w:rPr>
          <w:rFonts w:ascii="宋体" w:hAnsi="宋体" w:cs="宋体"/>
          <w:sz w:val="24"/>
        </w:rPr>
      </w:pPr>
      <w:r>
        <w:rPr>
          <w:rFonts w:hint="eastAsia" w:ascii="宋体" w:hAnsi="宋体" w:cs="宋体"/>
          <w:sz w:val="24"/>
        </w:rPr>
        <w:t>（3）基金管理人应在《存款协议书》中明确存款证实书或其他有效存款凭证的办理方式、邮寄地址、联系人和联系电话，以及存款证实书或其他有效凭证在邮寄过程中遗失后，存款余额的确认及兑付办法等。</w:t>
      </w:r>
    </w:p>
    <w:p>
      <w:pPr>
        <w:spacing w:line="360" w:lineRule="auto"/>
        <w:ind w:firstLine="480" w:firstLineChars="200"/>
        <w:rPr>
          <w:rFonts w:ascii="宋体" w:hAnsi="宋体" w:cs="宋体"/>
          <w:sz w:val="24"/>
        </w:rPr>
      </w:pPr>
      <w:r>
        <w:rPr>
          <w:rFonts w:hint="eastAsia" w:ascii="宋体" w:hAnsi="宋体" w:cs="宋体"/>
          <w:sz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pPr>
        <w:spacing w:line="360" w:lineRule="auto"/>
        <w:ind w:firstLine="480" w:firstLineChars="200"/>
        <w:rPr>
          <w:rFonts w:ascii="宋体" w:hAnsi="宋体" w:cs="宋体"/>
          <w:sz w:val="24"/>
        </w:rPr>
      </w:pPr>
      <w:r>
        <w:rPr>
          <w:rFonts w:hint="eastAsia" w:ascii="宋体" w:hAnsi="宋体" w:cs="宋体"/>
          <w:sz w:val="24"/>
        </w:rPr>
        <w:t>（5）基金管理人应在《存款协议书》中规定，基金存放到期或提前兑付的资金应全部划转到指定的基金托管账户，并在《存款协议书》写明账户名称和账号，未划入指定账户的，由存款银行承担一切责任。</w:t>
      </w:r>
    </w:p>
    <w:p>
      <w:pPr>
        <w:spacing w:line="360" w:lineRule="auto"/>
        <w:ind w:firstLine="480" w:firstLineChars="200"/>
        <w:rPr>
          <w:rFonts w:ascii="宋体" w:hAnsi="宋体" w:cs="宋体"/>
          <w:sz w:val="24"/>
        </w:rPr>
      </w:pPr>
      <w:r>
        <w:rPr>
          <w:rFonts w:hint="eastAsia" w:ascii="宋体" w:hAnsi="宋体" w:cs="宋体"/>
          <w:sz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pPr>
        <w:spacing w:line="360" w:lineRule="auto"/>
        <w:ind w:firstLine="480" w:firstLineChars="200"/>
        <w:rPr>
          <w:rFonts w:ascii="宋体" w:hAnsi="宋体" w:cs="宋体"/>
          <w:sz w:val="24"/>
        </w:rPr>
      </w:pPr>
      <w:r>
        <w:rPr>
          <w:rFonts w:hint="eastAsia" w:ascii="宋体" w:hAnsi="宋体" w:cs="宋体"/>
          <w:sz w:val="24"/>
        </w:rPr>
        <w:t>（7）基金管理人应在《存款协议书》中规定，因定期存款产生的存单不得被质押或以任何方式被抵押，不得用于转让和背书。</w:t>
      </w:r>
    </w:p>
    <w:p>
      <w:pPr>
        <w:spacing w:line="360" w:lineRule="auto"/>
        <w:ind w:firstLine="480" w:firstLineChars="200"/>
        <w:rPr>
          <w:rFonts w:ascii="宋体" w:hAnsi="宋体" w:cs="宋体"/>
          <w:sz w:val="24"/>
        </w:rPr>
      </w:pPr>
      <w:r>
        <w:rPr>
          <w:rFonts w:hint="eastAsia" w:ascii="宋体" w:hAnsi="宋体" w:cs="宋体"/>
          <w:sz w:val="24"/>
        </w:rPr>
        <w:t>2.基金投资银行存款时的账户开设与管理</w:t>
      </w:r>
    </w:p>
    <w:p>
      <w:pPr>
        <w:spacing w:line="360" w:lineRule="auto"/>
        <w:ind w:firstLine="480" w:firstLineChars="200"/>
        <w:rPr>
          <w:rFonts w:ascii="宋体" w:hAnsi="宋体" w:cs="宋体"/>
          <w:sz w:val="24"/>
        </w:rPr>
      </w:pPr>
      <w:r>
        <w:rPr>
          <w:rFonts w:hint="eastAsia" w:ascii="宋体" w:hAnsi="宋体" w:cs="宋体"/>
          <w:sz w:val="24"/>
        </w:rPr>
        <w:t>（1）基金投资于银行存款时，基金管理人应当依据基金管理人与存款银行签订的《总体合作协议》、《存款协议书》等，以基金的名义在存款银行总行或授权分行指定的分支机构开立银行账户。</w:t>
      </w:r>
    </w:p>
    <w:p>
      <w:pPr>
        <w:spacing w:line="360" w:lineRule="auto"/>
        <w:ind w:firstLine="480" w:firstLineChars="200"/>
        <w:rPr>
          <w:rFonts w:ascii="宋体" w:hAnsi="宋体" w:cs="宋体"/>
          <w:sz w:val="24"/>
        </w:rPr>
      </w:pPr>
      <w:r>
        <w:rPr>
          <w:rFonts w:hint="eastAsia" w:ascii="宋体" w:hAnsi="宋体" w:cs="宋体"/>
          <w:sz w:val="24"/>
        </w:rPr>
        <w:t>（2）基金投资于银行存款时的预留印鉴由基金托管人保管和使用。</w:t>
      </w:r>
    </w:p>
    <w:p>
      <w:pPr>
        <w:spacing w:line="360" w:lineRule="auto"/>
        <w:ind w:firstLine="480" w:firstLineChars="200"/>
        <w:rPr>
          <w:rFonts w:ascii="宋体" w:hAnsi="宋体" w:cs="宋体"/>
          <w:sz w:val="24"/>
        </w:rPr>
      </w:pPr>
      <w:r>
        <w:rPr>
          <w:rFonts w:hint="eastAsia" w:ascii="宋体" w:hAnsi="宋体" w:cs="宋体"/>
          <w:sz w:val="24"/>
        </w:rPr>
        <w:t>3.存款凭证传递、账目核对及到期兑付</w:t>
      </w:r>
    </w:p>
    <w:p>
      <w:pPr>
        <w:spacing w:line="360" w:lineRule="auto"/>
        <w:ind w:firstLine="480" w:firstLineChars="200"/>
        <w:rPr>
          <w:rFonts w:ascii="宋体" w:hAnsi="宋体" w:cs="宋体"/>
          <w:sz w:val="24"/>
        </w:rPr>
      </w:pPr>
      <w:r>
        <w:rPr>
          <w:rFonts w:hint="eastAsia" w:ascii="宋体" w:hAnsi="宋体" w:cs="宋体"/>
          <w:sz w:val="24"/>
        </w:rPr>
        <w:t>（1）存款证实书等存款凭证传递</w:t>
      </w:r>
    </w:p>
    <w:p>
      <w:pPr>
        <w:spacing w:line="360" w:lineRule="auto"/>
        <w:ind w:firstLine="480" w:firstLineChars="200"/>
        <w:rPr>
          <w:rFonts w:ascii="宋体" w:hAnsi="宋体" w:cs="宋体"/>
          <w:sz w:val="24"/>
        </w:rPr>
      </w:pPr>
      <w:r>
        <w:rPr>
          <w:rFonts w:hint="eastAsia" w:ascii="宋体" w:hAnsi="宋体" w:cs="宋体"/>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pPr>
        <w:spacing w:line="360" w:lineRule="auto"/>
        <w:ind w:firstLine="480" w:firstLineChars="200"/>
        <w:rPr>
          <w:rFonts w:ascii="宋体" w:hAnsi="宋体" w:cs="宋体"/>
          <w:sz w:val="24"/>
        </w:rPr>
      </w:pPr>
      <w:r>
        <w:rPr>
          <w:rFonts w:hint="eastAsia" w:ascii="宋体" w:hAnsi="宋体" w:cs="宋体"/>
          <w:sz w:val="24"/>
        </w:rPr>
        <w:t>（2）存款凭证的遗失补办</w:t>
      </w:r>
    </w:p>
    <w:p>
      <w:pPr>
        <w:spacing w:line="360" w:lineRule="auto"/>
        <w:ind w:firstLine="480" w:firstLineChars="200"/>
        <w:rPr>
          <w:rFonts w:ascii="宋体" w:hAnsi="宋体" w:cs="宋体"/>
          <w:sz w:val="24"/>
        </w:rPr>
      </w:pPr>
      <w:r>
        <w:rPr>
          <w:rFonts w:hint="eastAsia" w:ascii="宋体" w:hAnsi="宋体" w:cs="宋体"/>
          <w:sz w:val="24"/>
        </w:rPr>
        <w:t>存款凭证在邮寄过程中遗失的，由基金管理人向存款银行提出补办申请，基金管理人应督促存款银行尽快补办存款凭证，并按以上（1）的方式快递或上门交付至托管人，原存款凭证自动作废。</w:t>
      </w:r>
    </w:p>
    <w:p>
      <w:pPr>
        <w:spacing w:line="360" w:lineRule="auto"/>
        <w:ind w:firstLine="480" w:firstLineChars="200"/>
        <w:rPr>
          <w:rFonts w:ascii="宋体" w:hAnsi="宋体" w:cs="宋体"/>
          <w:sz w:val="24"/>
        </w:rPr>
      </w:pPr>
      <w:r>
        <w:rPr>
          <w:rFonts w:hint="eastAsia" w:ascii="宋体" w:hAnsi="宋体" w:cs="宋体"/>
          <w:sz w:val="24"/>
        </w:rPr>
        <w:t>（3）账目核对</w:t>
      </w:r>
    </w:p>
    <w:p>
      <w:pPr>
        <w:spacing w:line="360" w:lineRule="auto"/>
        <w:ind w:firstLine="480" w:firstLineChars="200"/>
        <w:rPr>
          <w:rFonts w:ascii="宋体" w:hAnsi="宋体" w:cs="宋体"/>
          <w:sz w:val="24"/>
        </w:rPr>
      </w:pPr>
      <w:r>
        <w:rPr>
          <w:rFonts w:hint="eastAsia" w:ascii="宋体" w:hAnsi="宋体" w:cs="宋体"/>
          <w:sz w:val="24"/>
        </w:rPr>
        <w:t>每个工作日，基金管理人应与基金托管人核对各项银行存款投资余额及应计利息。</w:t>
      </w:r>
    </w:p>
    <w:p>
      <w:pPr>
        <w:spacing w:line="360" w:lineRule="auto"/>
        <w:ind w:firstLine="480" w:firstLineChars="200"/>
        <w:rPr>
          <w:rFonts w:ascii="宋体" w:hAnsi="宋体" w:cs="宋体"/>
          <w:sz w:val="24"/>
        </w:rPr>
      </w:pPr>
      <w:r>
        <w:rPr>
          <w:rFonts w:hint="eastAsia" w:ascii="宋体" w:hAnsi="宋体" w:cs="宋体"/>
          <w:sz w:val="24"/>
        </w:rPr>
        <w:t>基金管理人应在《存款协议书》中规定，对于存期超过3个月的定期存款，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pPr>
        <w:spacing w:line="360" w:lineRule="auto"/>
        <w:ind w:firstLine="480" w:firstLineChars="200"/>
        <w:rPr>
          <w:rFonts w:ascii="宋体" w:hAnsi="宋体" w:cs="宋体"/>
          <w:sz w:val="24"/>
        </w:rPr>
      </w:pPr>
      <w:r>
        <w:rPr>
          <w:rFonts w:hint="eastAsia" w:ascii="宋体" w:hAnsi="宋体" w:cs="宋体"/>
          <w:sz w:val="24"/>
        </w:rPr>
        <w:t>存款银行应配合基金托管人对存款凭证的询证，并在询证函上加盖存款银行公章寄送至基金托管人指定联系人。</w:t>
      </w:r>
    </w:p>
    <w:p>
      <w:pPr>
        <w:spacing w:line="360" w:lineRule="auto"/>
        <w:ind w:firstLine="480" w:firstLineChars="200"/>
        <w:rPr>
          <w:rFonts w:ascii="宋体" w:hAnsi="宋体" w:cs="宋体"/>
          <w:sz w:val="24"/>
        </w:rPr>
      </w:pPr>
      <w:r>
        <w:rPr>
          <w:rFonts w:hint="eastAsia" w:ascii="宋体" w:hAnsi="宋体" w:cs="宋体"/>
          <w:sz w:val="24"/>
        </w:rPr>
        <w:t>（4）到期兑付</w:t>
      </w:r>
    </w:p>
    <w:p>
      <w:pPr>
        <w:spacing w:line="360" w:lineRule="auto"/>
        <w:ind w:firstLine="480" w:firstLineChars="200"/>
        <w:rPr>
          <w:rFonts w:ascii="宋体" w:hAnsi="宋体" w:cs="宋体"/>
          <w:sz w:val="24"/>
        </w:rPr>
      </w:pPr>
      <w:r>
        <w:rPr>
          <w:rFonts w:hint="eastAsia" w:ascii="宋体" w:hAnsi="宋体" w:cs="宋体"/>
          <w:sz w:val="24"/>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pPr>
        <w:spacing w:line="360" w:lineRule="auto"/>
        <w:ind w:firstLine="480" w:firstLineChars="200"/>
        <w:rPr>
          <w:rFonts w:ascii="宋体" w:hAnsi="宋体" w:cs="宋体"/>
          <w:sz w:val="24"/>
        </w:rPr>
      </w:pPr>
      <w:r>
        <w:rPr>
          <w:rFonts w:hint="eastAsia" w:ascii="宋体" w:hAnsi="宋体" w:cs="宋体"/>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pPr>
        <w:spacing w:line="360" w:lineRule="auto"/>
        <w:ind w:firstLine="480" w:firstLineChars="200"/>
        <w:rPr>
          <w:rFonts w:ascii="宋体" w:hAnsi="宋体" w:cs="宋体"/>
          <w:sz w:val="24"/>
        </w:rPr>
      </w:pPr>
      <w:r>
        <w:rPr>
          <w:rFonts w:hint="eastAsia" w:ascii="宋体" w:hAnsi="宋体" w:cs="宋体"/>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pPr>
        <w:spacing w:line="360" w:lineRule="auto"/>
        <w:ind w:firstLine="480" w:firstLineChars="200"/>
        <w:rPr>
          <w:rFonts w:ascii="宋体" w:hAnsi="宋体" w:cs="宋体"/>
          <w:sz w:val="24"/>
        </w:rPr>
      </w:pPr>
      <w:r>
        <w:rPr>
          <w:rFonts w:hint="eastAsia" w:ascii="宋体" w:hAnsi="宋体" w:cs="宋体"/>
          <w:sz w:val="24"/>
        </w:rPr>
        <w:t>4.提前支取</w:t>
      </w:r>
    </w:p>
    <w:p>
      <w:pPr>
        <w:spacing w:line="360" w:lineRule="auto"/>
        <w:ind w:firstLine="480" w:firstLineChars="200"/>
        <w:rPr>
          <w:rFonts w:ascii="宋体" w:hAnsi="宋体" w:cs="宋体"/>
          <w:sz w:val="24"/>
        </w:rPr>
      </w:pPr>
      <w:r>
        <w:rPr>
          <w:rFonts w:hint="eastAsia" w:ascii="宋体" w:hAnsi="宋体" w:cs="宋体"/>
          <w:sz w:val="24"/>
        </w:rPr>
        <w:t>如果在存款期限内，由于基金规模发生缩减的原因或者出于流动性管理的需要等原因，基金管理人可以提前支取全部或部分资金。</w:t>
      </w:r>
    </w:p>
    <w:p>
      <w:pPr>
        <w:spacing w:line="360" w:lineRule="auto"/>
        <w:ind w:firstLine="480" w:firstLineChars="200"/>
        <w:rPr>
          <w:rFonts w:ascii="宋体" w:hAnsi="宋体" w:cs="宋体"/>
          <w:sz w:val="24"/>
        </w:rPr>
      </w:pPr>
      <w:r>
        <w:rPr>
          <w:rFonts w:hint="eastAsia" w:ascii="宋体" w:hAnsi="宋体" w:cs="宋体"/>
          <w:sz w:val="24"/>
        </w:rPr>
        <w:t>提前支取的具体事项按照基金管理人与存款银行签订的《存款协议书》执行。</w:t>
      </w:r>
    </w:p>
    <w:p>
      <w:pPr>
        <w:spacing w:line="360" w:lineRule="auto"/>
        <w:ind w:firstLine="480" w:firstLineChars="200"/>
        <w:rPr>
          <w:rFonts w:ascii="宋体" w:hAnsi="宋体" w:cs="宋体"/>
          <w:sz w:val="24"/>
        </w:rPr>
      </w:pPr>
      <w:r>
        <w:rPr>
          <w:rFonts w:hint="eastAsia" w:ascii="宋体" w:hAnsi="宋体" w:cs="宋体"/>
          <w:sz w:val="24"/>
        </w:rPr>
        <w:t>5.基金投资银行存款的监督</w:t>
      </w:r>
    </w:p>
    <w:p>
      <w:pPr>
        <w:spacing w:line="360" w:lineRule="auto"/>
        <w:ind w:firstLine="480" w:firstLineChars="200"/>
        <w:rPr>
          <w:rFonts w:ascii="宋体" w:hAnsi="宋体" w:cs="宋体"/>
          <w:sz w:val="24"/>
        </w:rPr>
      </w:pPr>
      <w:r>
        <w:rPr>
          <w:rFonts w:hint="eastAsia" w:ascii="宋体" w:hAnsi="宋体" w:cs="宋体"/>
          <w:sz w:val="24"/>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个工作日内纠正或拒绝结算，若因基金管理人拒不执行造成基金财产损失的，相关损失由基金管理人承担，基金托管人不承担相应责任。</w:t>
      </w:r>
    </w:p>
    <w:p>
      <w:pPr>
        <w:spacing w:line="360" w:lineRule="auto"/>
        <w:ind w:firstLine="480" w:firstLineChars="200"/>
        <w:rPr>
          <w:rFonts w:ascii="宋体" w:hAnsi="宋体" w:cs="宋体"/>
          <w:sz w:val="24"/>
        </w:rPr>
      </w:pPr>
      <w:r>
        <w:rPr>
          <w:rFonts w:hint="eastAsia" w:ascii="宋体" w:hAnsi="宋体" w:cs="宋体"/>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与基金托管人协商解决。</w:t>
      </w:r>
    </w:p>
    <w:p>
      <w:pPr>
        <w:spacing w:line="360" w:lineRule="auto"/>
        <w:ind w:firstLine="480" w:firstLineChars="200"/>
        <w:rPr>
          <w:rFonts w:ascii="宋体" w:hAnsi="宋体" w:cs="宋体"/>
          <w:sz w:val="24"/>
        </w:rPr>
      </w:pPr>
      <w:r>
        <w:rPr>
          <w:rFonts w:hint="eastAsia" w:ascii="宋体" w:hAnsi="宋体" w:cs="宋体"/>
          <w:sz w:val="24"/>
        </w:rPr>
        <w:t>基金管理人负责对交易对手的资信控制，按银行间债券市场的交易规则进行交易，并负责处理因交易对手不履行合同而造成的纠纷。若未履约的交易对手在基金管理人确定的时间内仍未承担违约责任及其他相关法律责任的，基金管理人有权向相关交易对手追偿，基金托管人应予以充分的协助与配合。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pPr>
        <w:spacing w:line="360" w:lineRule="auto"/>
        <w:ind w:firstLine="480" w:firstLineChars="200"/>
        <w:rPr>
          <w:rFonts w:ascii="宋体" w:hAnsi="宋体" w:cs="宋体"/>
          <w:sz w:val="24"/>
        </w:rPr>
      </w:pPr>
      <w:r>
        <w:rPr>
          <w:rFonts w:hint="eastAsia" w:ascii="宋体" w:hAnsi="宋体" w:cs="宋体"/>
          <w:sz w:val="24"/>
        </w:rPr>
        <w:t>（五）本基金投资流通受限证券，应遵守《关于基金投资非公开发行股票等流通受限证券有关问题的通知》等有关监管规定。</w:t>
      </w:r>
    </w:p>
    <w:p>
      <w:pPr>
        <w:spacing w:line="360" w:lineRule="auto"/>
        <w:ind w:firstLine="480" w:firstLineChars="200"/>
        <w:rPr>
          <w:rFonts w:ascii="宋体" w:hAnsi="宋体" w:cs="宋体"/>
          <w:sz w:val="24"/>
        </w:rPr>
      </w:pPr>
      <w:r>
        <w:rPr>
          <w:rFonts w:hint="eastAsia" w:ascii="宋体" w:hAnsi="宋体" w:cs="宋体"/>
          <w:sz w:val="24"/>
        </w:rPr>
        <w:t>1.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spacing w:line="360" w:lineRule="auto"/>
        <w:ind w:firstLine="480" w:firstLineChars="200"/>
        <w:rPr>
          <w:rFonts w:ascii="宋体" w:hAnsi="宋体" w:cs="宋体"/>
          <w:sz w:val="24"/>
        </w:rPr>
      </w:pPr>
      <w:r>
        <w:rPr>
          <w:rFonts w:hint="eastAsia" w:ascii="宋体" w:hAnsi="宋体" w:cs="宋体"/>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pPr>
        <w:spacing w:line="360" w:lineRule="auto"/>
        <w:ind w:firstLine="480" w:firstLineChars="200"/>
        <w:rPr>
          <w:rFonts w:ascii="宋体" w:hAnsi="宋体" w:cs="宋体"/>
          <w:sz w:val="24"/>
        </w:rPr>
      </w:pPr>
      <w:r>
        <w:rPr>
          <w:rFonts w:hint="eastAsia" w:ascii="宋体" w:hAnsi="宋体" w:cs="宋体"/>
          <w:sz w:val="24"/>
        </w:rPr>
        <w:t>本基金不得投资未经中国证监会批准的非公开发行证券。</w:t>
      </w:r>
    </w:p>
    <w:p>
      <w:pPr>
        <w:spacing w:line="360" w:lineRule="auto"/>
        <w:ind w:firstLine="480" w:firstLineChars="200"/>
        <w:rPr>
          <w:rFonts w:ascii="宋体" w:hAnsi="宋体" w:cs="宋体"/>
          <w:sz w:val="24"/>
        </w:rPr>
      </w:pPr>
      <w:r>
        <w:rPr>
          <w:rFonts w:hint="eastAsia" w:ascii="宋体" w:hAnsi="宋体" w:cs="宋体"/>
          <w:sz w:val="24"/>
        </w:rPr>
        <w:t>本基金不得投资有锁定期但锁定期不明确的证券。</w:t>
      </w:r>
    </w:p>
    <w:p>
      <w:pPr>
        <w:spacing w:line="360" w:lineRule="auto"/>
        <w:ind w:firstLine="480" w:firstLineChars="200"/>
        <w:rPr>
          <w:rFonts w:ascii="宋体" w:hAnsi="宋体" w:cs="宋体"/>
          <w:sz w:val="24"/>
        </w:rPr>
      </w:pPr>
      <w:r>
        <w:rPr>
          <w:rFonts w:hint="eastAsia" w:ascii="宋体" w:hAnsi="宋体" w:cs="宋体"/>
          <w:sz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spacing w:line="360" w:lineRule="auto"/>
        <w:ind w:firstLine="480" w:firstLineChars="200"/>
        <w:rPr>
          <w:rFonts w:ascii="宋体" w:hAnsi="宋体" w:cs="宋体"/>
          <w:sz w:val="24"/>
        </w:rPr>
      </w:pPr>
      <w:r>
        <w:rPr>
          <w:rFonts w:hint="eastAsia" w:ascii="宋体" w:hAnsi="宋体" w:cs="宋体"/>
          <w:sz w:val="24"/>
        </w:rPr>
        <w:t>基金管理人应至少于首次执行投资指令之前将上述资料书面发至基金托管人，保证基金托管人有足够的时间进行审核。基金托管人应在收到上述资料后，以书面或其他双方认可的方式确认收到上述资料。</w:t>
      </w:r>
    </w:p>
    <w:p>
      <w:pPr>
        <w:spacing w:line="360" w:lineRule="auto"/>
        <w:ind w:firstLine="480" w:firstLineChars="200"/>
        <w:rPr>
          <w:rFonts w:ascii="宋体" w:hAnsi="宋体" w:cs="宋体"/>
          <w:sz w:val="24"/>
        </w:rPr>
      </w:pPr>
      <w:r>
        <w:rPr>
          <w:rFonts w:hint="eastAsia" w:ascii="宋体" w:hAnsi="宋体" w:cs="宋体"/>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相应责任。</w:t>
      </w:r>
    </w:p>
    <w:p>
      <w:pPr>
        <w:spacing w:line="360" w:lineRule="auto"/>
        <w:ind w:firstLine="480" w:firstLineChars="200"/>
        <w:rPr>
          <w:rFonts w:ascii="宋体" w:hAnsi="宋体" w:cs="宋体"/>
          <w:sz w:val="24"/>
        </w:rPr>
      </w:pPr>
      <w:r>
        <w:rPr>
          <w:rFonts w:hint="eastAsia" w:ascii="宋体" w:hAnsi="宋体" w:cs="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将上述信息书面发至基金托管人，保证基金托管人有足够的时间进行审核。</w:t>
      </w:r>
    </w:p>
    <w:p>
      <w:pPr>
        <w:spacing w:line="360" w:lineRule="auto"/>
        <w:ind w:firstLine="480" w:firstLineChars="200"/>
        <w:rPr>
          <w:rFonts w:ascii="宋体" w:hAnsi="宋体" w:cs="宋体"/>
          <w:sz w:val="24"/>
        </w:rPr>
      </w:pPr>
      <w:r>
        <w:rPr>
          <w:rFonts w:hint="eastAsia" w:ascii="宋体" w:hAnsi="宋体" w:cs="宋体"/>
          <w:sz w:val="24"/>
        </w:rPr>
        <w:t>由于基金管理人未及时提供有关证券的具体的必要的信息，致使托管人无法审核认购指令而影响认购款项划拨的，基金托管人免于承担责任。</w:t>
      </w:r>
    </w:p>
    <w:p>
      <w:pPr>
        <w:spacing w:line="360" w:lineRule="auto"/>
        <w:ind w:firstLine="480" w:firstLineChars="200"/>
        <w:rPr>
          <w:rFonts w:ascii="宋体" w:hAnsi="宋体" w:cs="宋体"/>
          <w:sz w:val="24"/>
        </w:rPr>
      </w:pPr>
      <w:r>
        <w:rPr>
          <w:rFonts w:hint="eastAsia" w:ascii="宋体" w:hAnsi="宋体" w:cs="宋体"/>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pPr>
        <w:spacing w:line="360" w:lineRule="auto"/>
        <w:ind w:firstLine="480" w:firstLineChars="200"/>
        <w:rPr>
          <w:rFonts w:ascii="宋体" w:hAnsi="宋体" w:cs="宋体"/>
          <w:sz w:val="24"/>
        </w:rPr>
      </w:pPr>
      <w:r>
        <w:rPr>
          <w:rFonts w:hint="eastAsia" w:ascii="宋体" w:hAnsi="宋体" w:cs="宋体"/>
          <w:sz w:val="24"/>
        </w:rPr>
        <w:t>5. 基金管理人应在基金投资非公开发行股票后两个交易日内,在中国证监会规定媒介披露所投资非公开发行股票的名称、数量、总成本、账面价值,以及总成本和账面价值占基金资产净值的比例、锁定期等信息。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80" w:firstLineChars="200"/>
        <w:rPr>
          <w:rFonts w:ascii="宋体" w:hAnsi="宋体" w:cs="宋体"/>
          <w:sz w:val="24"/>
        </w:rPr>
      </w:pPr>
      <w:r>
        <w:rPr>
          <w:rFonts w:hint="eastAsia" w:ascii="宋体" w:hAnsi="宋体" w:cs="宋体"/>
          <w:sz w:val="24"/>
        </w:rPr>
        <w:t>（六）基金管理人应当对投资中期票据业务进行研究，认真评估中期票据投资业务的风险，本着审慎、勤勉尽责的原则进行中期票据的投资业务，并应符合法律法规及监管机构的相关规定。</w:t>
      </w:r>
    </w:p>
    <w:p>
      <w:pPr>
        <w:spacing w:line="360" w:lineRule="auto"/>
        <w:ind w:firstLine="480" w:firstLineChars="200"/>
        <w:rPr>
          <w:rFonts w:ascii="宋体" w:hAnsi="宋体" w:cs="宋体"/>
          <w:sz w:val="24"/>
        </w:rPr>
      </w:pPr>
      <w:r>
        <w:rPr>
          <w:rFonts w:hint="eastAsia" w:ascii="宋体" w:hAnsi="宋体" w:cs="宋体"/>
          <w:sz w:val="24"/>
        </w:rPr>
        <w:t>（七）基金托管人根据有关法律法规的规定及《基金合同》的约定，对基金资产净值计算、各类基金份额净值计算、基金参考份额净值（如有）、基金费用开支及收入确定、基金收益分配、相关信息披露、基金宣传推介材料中登载基金业绩表现数据等进行监督和核查。</w:t>
      </w:r>
    </w:p>
    <w:p>
      <w:pPr>
        <w:spacing w:line="360" w:lineRule="auto"/>
        <w:ind w:firstLine="480" w:firstLineChars="200"/>
        <w:rPr>
          <w:rFonts w:ascii="宋体" w:hAnsi="宋体" w:cs="宋体"/>
          <w:sz w:val="24"/>
        </w:rPr>
      </w:pPr>
      <w:r>
        <w:rPr>
          <w:rFonts w:hint="eastAsia" w:ascii="宋体" w:hAnsi="宋体" w:cs="宋体"/>
          <w:sz w:val="24"/>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pPr>
        <w:spacing w:line="360" w:lineRule="auto"/>
        <w:ind w:firstLine="480" w:firstLineChars="200"/>
        <w:rPr>
          <w:rFonts w:ascii="宋体" w:hAnsi="宋体" w:cs="宋体"/>
          <w:sz w:val="24"/>
        </w:rPr>
      </w:pPr>
      <w:r>
        <w:rPr>
          <w:rFonts w:hint="eastAsia" w:ascii="宋体" w:hAnsi="宋体" w:cs="宋体"/>
          <w:sz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pPr>
        <w:spacing w:line="360" w:lineRule="auto"/>
        <w:ind w:firstLine="480" w:firstLineChars="200"/>
        <w:rPr>
          <w:rFonts w:ascii="宋体" w:hAnsi="宋体" w:cs="宋体"/>
          <w:sz w:val="24"/>
        </w:rPr>
      </w:pPr>
      <w:r>
        <w:rPr>
          <w:rFonts w:hint="eastAsia" w:ascii="宋体" w:hAnsi="宋体" w:cs="宋体"/>
          <w:sz w:val="24"/>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pPr>
        <w:spacing w:line="360" w:lineRule="auto"/>
        <w:ind w:firstLine="480" w:firstLineChars="200"/>
        <w:rPr>
          <w:rFonts w:ascii="宋体" w:hAnsi="宋体" w:cs="宋体"/>
          <w:sz w:val="24"/>
        </w:rPr>
      </w:pPr>
      <w:r>
        <w:rPr>
          <w:rFonts w:hint="eastAsia" w:ascii="宋体" w:hAnsi="宋体" w:cs="宋体"/>
          <w:sz w:val="24"/>
        </w:rPr>
        <w:t>（十一）基金托管人发现基金管理人有重大违规行为，应及时报告中国证监会，同时通知基金管理人限期纠正。</w:t>
      </w:r>
    </w:p>
    <w:p>
      <w:pPr>
        <w:spacing w:line="360" w:lineRule="auto"/>
        <w:ind w:firstLine="480" w:firstLineChars="200"/>
        <w:rPr>
          <w:rFonts w:ascii="宋体" w:hAnsi="宋体" w:cs="宋体"/>
          <w:sz w:val="24"/>
        </w:rPr>
      </w:pPr>
      <w:bookmarkStart w:id="13" w:name="_Toc110830492"/>
      <w:bookmarkStart w:id="14" w:name="_Toc120435783"/>
      <w:bookmarkStart w:id="15" w:name="_Toc86225291"/>
      <w:bookmarkStart w:id="16" w:name="_Toc89163368"/>
      <w:bookmarkStart w:id="17" w:name="_Toc86649722"/>
      <w:bookmarkStart w:id="18" w:name="_Toc110765660"/>
      <w:bookmarkStart w:id="19" w:name="_Toc6082"/>
      <w:bookmarkStart w:id="20" w:name="_Toc348082032"/>
      <w:bookmarkStart w:id="21" w:name="_Toc108512358"/>
      <w:bookmarkStart w:id="22" w:name="_Toc86737929"/>
      <w:bookmarkStart w:id="23" w:name="_Toc86727355"/>
      <w:bookmarkStart w:id="24" w:name="_Toc118774803"/>
      <w:bookmarkStart w:id="25" w:name="_Toc384992694"/>
      <w:bookmarkStart w:id="26" w:name="_Toc118972648"/>
      <w:bookmarkStart w:id="27" w:name="_Toc118212950"/>
      <w:bookmarkStart w:id="28" w:name="_Toc86223242"/>
      <w:bookmarkStart w:id="29" w:name="_Toc119402710"/>
      <w:bookmarkStart w:id="30" w:name="_Toc110761796"/>
      <w:bookmarkStart w:id="31" w:name="_Toc86726439"/>
      <w:r>
        <w:rPr>
          <w:rFonts w:hint="eastAsia" w:ascii="宋体" w:hAnsi="宋体" w:cs="宋体"/>
          <w:sz w:val="24"/>
        </w:rPr>
        <w:br w:type="page"/>
      </w:r>
    </w:p>
    <w:p>
      <w:pPr>
        <w:pStyle w:val="2"/>
        <w:jc w:val="center"/>
        <w:rPr>
          <w:rFonts w:ascii="宋体" w:hAnsi="宋体" w:cs="宋体"/>
          <w:sz w:val="30"/>
          <w:szCs w:val="30"/>
        </w:rPr>
      </w:pPr>
      <w:bookmarkStart w:id="32" w:name="_Toc22055"/>
      <w:r>
        <w:rPr>
          <w:rFonts w:hint="eastAsia" w:ascii="宋体" w:hAnsi="宋体" w:cs="宋体"/>
          <w:sz w:val="30"/>
          <w:szCs w:val="30"/>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360" w:lineRule="auto"/>
        <w:ind w:firstLine="480" w:firstLineChars="200"/>
        <w:rPr>
          <w:rFonts w:ascii="宋体" w:hAnsi="宋体" w:cs="宋体"/>
          <w:sz w:val="24"/>
        </w:rPr>
      </w:pPr>
      <w:r>
        <w:rPr>
          <w:rFonts w:hint="eastAsia" w:ascii="宋体" w:hAnsi="宋体" w:cs="宋体"/>
          <w:sz w:val="24"/>
        </w:rPr>
        <w:t>（一）基金管理人对基金托管人履行托管职责情况进行核查，核查事项包括基金托管人安全保管基金财产、开设基金财产的资金账户、证券账户、期货结算账户等投资所需账户、复核基金管理人计算的基金资产净值和各类基金份额净值、基金参考份额净值（如有）、根据基金管理人指令办理清算交收、相关信息披露和监督基金投资运作等行为。</w:t>
      </w:r>
    </w:p>
    <w:p>
      <w:pPr>
        <w:spacing w:line="360" w:lineRule="auto"/>
        <w:ind w:firstLine="480" w:firstLineChars="200"/>
        <w:rPr>
          <w:rFonts w:ascii="宋体" w:hAnsi="宋体" w:cs="宋体"/>
          <w:sz w:val="24"/>
        </w:rPr>
      </w:pPr>
      <w:r>
        <w:rPr>
          <w:rFonts w:hint="eastAsia" w:ascii="宋体" w:hAnsi="宋体" w:cs="宋体"/>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电话、邮件或书面提示等方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pPr>
        <w:spacing w:line="360" w:lineRule="auto"/>
        <w:ind w:firstLine="480" w:firstLineChars="200"/>
        <w:rPr>
          <w:rFonts w:ascii="宋体" w:hAnsi="宋体" w:cs="宋体"/>
          <w:sz w:val="24"/>
        </w:rPr>
      </w:pPr>
      <w:r>
        <w:rPr>
          <w:rFonts w:hint="eastAsia" w:ascii="宋体" w:hAnsi="宋体" w:cs="宋体"/>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pPr>
        <w:spacing w:line="360" w:lineRule="auto"/>
        <w:ind w:firstLine="480" w:firstLineChars="200"/>
        <w:rPr>
          <w:rFonts w:ascii="宋体" w:hAnsi="宋体" w:cs="宋体"/>
          <w:sz w:val="24"/>
        </w:rPr>
      </w:pPr>
      <w:r>
        <w:rPr>
          <w:rFonts w:hint="eastAsia" w:ascii="宋体" w:hAnsi="宋体" w:cs="宋体"/>
          <w:sz w:val="24"/>
        </w:rPr>
        <w:t>（四）基金管理人发现基金托管人有重大违规行为，应及时报告中国证监会，同时通知基金托管人限期纠正，并将纠正结果报告中国证监会。</w:t>
      </w:r>
    </w:p>
    <w:p>
      <w:pPr>
        <w:spacing w:line="360" w:lineRule="auto"/>
        <w:ind w:firstLine="480" w:firstLineChars="200"/>
        <w:rPr>
          <w:rFonts w:ascii="宋体" w:hAnsi="宋体" w:cs="宋体"/>
          <w:sz w:val="24"/>
        </w:rPr>
      </w:pPr>
    </w:p>
    <w:p>
      <w:pPr>
        <w:pStyle w:val="2"/>
        <w:jc w:val="center"/>
        <w:rPr>
          <w:rFonts w:ascii="宋体" w:hAnsi="宋体" w:cs="宋体"/>
          <w:sz w:val="30"/>
          <w:szCs w:val="24"/>
        </w:rPr>
      </w:pPr>
      <w:bookmarkStart w:id="33" w:name="_Toc86726440"/>
      <w:bookmarkStart w:id="34" w:name="_Toc86204789"/>
      <w:bookmarkStart w:id="35" w:name="_Toc86223243"/>
      <w:bookmarkStart w:id="36" w:name="_Toc110830493"/>
      <w:bookmarkStart w:id="37" w:name="_Toc110765661"/>
      <w:bookmarkStart w:id="38" w:name="_Toc86649723"/>
      <w:bookmarkStart w:id="39" w:name="_Toc120435784"/>
      <w:bookmarkStart w:id="40" w:name="_Toc118212951"/>
      <w:bookmarkStart w:id="41" w:name="_Toc84133786"/>
      <w:bookmarkStart w:id="42" w:name="_Toc108512359"/>
      <w:bookmarkStart w:id="43" w:name="_Toc89163369"/>
      <w:bookmarkStart w:id="44" w:name="_Toc110761797"/>
      <w:bookmarkStart w:id="45" w:name="_Toc86727356"/>
      <w:bookmarkStart w:id="46" w:name="_Toc119402711"/>
      <w:bookmarkStart w:id="47" w:name="_Toc84234435"/>
      <w:bookmarkStart w:id="48" w:name="_Toc86737930"/>
      <w:bookmarkStart w:id="49" w:name="_Toc84234388"/>
      <w:bookmarkStart w:id="50" w:name="_Toc118774804"/>
      <w:bookmarkStart w:id="51" w:name="_Toc86225292"/>
      <w:bookmarkStart w:id="52" w:name="_Toc118972649"/>
      <w:r>
        <w:rPr>
          <w:rFonts w:hint="eastAsia" w:ascii="宋体" w:hAnsi="宋体" w:cs="宋体"/>
          <w:sz w:val="24"/>
          <w:szCs w:val="24"/>
        </w:rPr>
        <w:br w:type="page"/>
      </w:r>
      <w:bookmarkStart w:id="53" w:name="_Toc384992695"/>
      <w:bookmarkStart w:id="54" w:name="_Toc16233"/>
      <w:bookmarkStart w:id="55" w:name="_Toc348082033"/>
      <w:bookmarkStart w:id="56" w:name="_Toc6122"/>
      <w:r>
        <w:rPr>
          <w:rFonts w:hint="eastAsia" w:ascii="宋体" w:hAnsi="宋体" w:cs="宋体"/>
          <w:sz w:val="30"/>
          <w:szCs w:val="30"/>
        </w:rPr>
        <w:t>五、基金财产的保管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spacing w:line="360" w:lineRule="auto"/>
        <w:ind w:firstLine="480" w:firstLineChars="200"/>
        <w:rPr>
          <w:rFonts w:ascii="宋体" w:hAnsi="宋体" w:cs="宋体"/>
          <w:sz w:val="24"/>
        </w:rPr>
      </w:pPr>
      <w:r>
        <w:rPr>
          <w:rFonts w:hint="eastAsia" w:ascii="宋体" w:hAnsi="宋体" w:cs="宋体"/>
          <w:sz w:val="24"/>
        </w:rPr>
        <w:t>（一）基金财产保管的原则</w:t>
      </w:r>
    </w:p>
    <w:p>
      <w:pPr>
        <w:spacing w:line="360" w:lineRule="auto"/>
        <w:ind w:firstLine="480" w:firstLineChars="200"/>
        <w:rPr>
          <w:rFonts w:ascii="宋体" w:hAnsi="宋体" w:cs="宋体"/>
          <w:sz w:val="24"/>
        </w:rPr>
      </w:pPr>
      <w:r>
        <w:rPr>
          <w:rFonts w:hint="eastAsia" w:ascii="宋体" w:hAnsi="宋体" w:cs="宋体"/>
          <w:sz w:val="24"/>
        </w:rPr>
        <w:t>1.基金财产应独立于基金管理人、基金托管人和证券经纪机构的固有财产。</w:t>
      </w:r>
    </w:p>
    <w:p>
      <w:pPr>
        <w:spacing w:line="360" w:lineRule="auto"/>
        <w:ind w:firstLine="480" w:firstLineChars="200"/>
        <w:rPr>
          <w:rFonts w:ascii="宋体" w:hAnsi="宋体" w:cs="宋体"/>
          <w:sz w:val="24"/>
        </w:rPr>
      </w:pPr>
      <w:r>
        <w:rPr>
          <w:rFonts w:hint="eastAsia" w:ascii="宋体" w:hAnsi="宋体" w:cs="宋体"/>
          <w:sz w:val="24"/>
        </w:rPr>
        <w:t>2.基金托管人应安全保管基金财产。</w:t>
      </w:r>
    </w:p>
    <w:p>
      <w:pPr>
        <w:spacing w:line="360" w:lineRule="auto"/>
        <w:ind w:firstLine="480" w:firstLineChars="200"/>
        <w:rPr>
          <w:rFonts w:ascii="宋体" w:hAnsi="宋体" w:cs="宋体"/>
          <w:sz w:val="24"/>
        </w:rPr>
      </w:pPr>
      <w:r>
        <w:rPr>
          <w:rFonts w:hint="eastAsia" w:ascii="宋体" w:hAnsi="宋体" w:cs="宋体"/>
          <w:sz w:val="24"/>
        </w:rPr>
        <w:t>3.基金托管人按照规定开设基金财产投资所需的相关账户。</w:t>
      </w:r>
    </w:p>
    <w:p>
      <w:pPr>
        <w:spacing w:line="360" w:lineRule="auto"/>
        <w:ind w:firstLine="480" w:firstLineChars="200"/>
        <w:rPr>
          <w:rFonts w:ascii="宋体" w:hAnsi="宋体" w:cs="宋体"/>
          <w:sz w:val="24"/>
        </w:rPr>
      </w:pPr>
      <w:r>
        <w:rPr>
          <w:rFonts w:hint="eastAsia" w:ascii="宋体" w:hAnsi="宋体" w:cs="宋体"/>
          <w:sz w:val="24"/>
        </w:rPr>
        <w:t>4.基金托管人对所托管的不同基金财产分别设置账户，确保基金财产的完整与独立。</w:t>
      </w:r>
    </w:p>
    <w:p>
      <w:pPr>
        <w:spacing w:line="360" w:lineRule="auto"/>
        <w:ind w:firstLine="480" w:firstLineChars="200"/>
        <w:rPr>
          <w:rFonts w:ascii="宋体" w:hAnsi="宋体" w:cs="宋体"/>
          <w:sz w:val="24"/>
        </w:rPr>
      </w:pPr>
      <w:r>
        <w:rPr>
          <w:rFonts w:hint="eastAsia" w:ascii="宋体" w:hAnsi="宋体" w:cs="宋体"/>
          <w:sz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pPr>
        <w:spacing w:line="360" w:lineRule="auto"/>
        <w:ind w:firstLine="480" w:firstLineChars="200"/>
        <w:rPr>
          <w:rFonts w:ascii="宋体" w:hAnsi="宋体" w:cs="宋体"/>
          <w:sz w:val="24"/>
        </w:rPr>
      </w:pPr>
      <w:r>
        <w:rPr>
          <w:rFonts w:hint="eastAsia" w:ascii="宋体" w:hAnsi="宋体" w:cs="宋体"/>
          <w:sz w:val="24"/>
        </w:rPr>
        <w:t>6.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管理人应负责向有关当事人追偿基金财产的损失，基金托管人应提供必要的协助。</w:t>
      </w:r>
    </w:p>
    <w:p>
      <w:pPr>
        <w:spacing w:line="360" w:lineRule="auto"/>
        <w:ind w:firstLine="480" w:firstLineChars="200"/>
        <w:rPr>
          <w:rFonts w:ascii="宋体" w:hAnsi="宋体" w:cs="宋体"/>
          <w:sz w:val="24"/>
        </w:rPr>
      </w:pPr>
      <w:r>
        <w:rPr>
          <w:rFonts w:hint="eastAsia" w:ascii="宋体" w:hAnsi="宋体" w:cs="宋体"/>
          <w:sz w:val="24"/>
        </w:rPr>
        <w:t>7.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pPr>
        <w:spacing w:line="360" w:lineRule="auto"/>
        <w:ind w:firstLine="480" w:firstLineChars="200"/>
        <w:rPr>
          <w:rFonts w:ascii="宋体" w:hAnsi="宋体" w:cs="宋体"/>
          <w:sz w:val="24"/>
        </w:rPr>
      </w:pPr>
      <w:r>
        <w:rPr>
          <w:rFonts w:hint="eastAsia" w:ascii="宋体" w:hAnsi="宋体" w:cs="宋体"/>
          <w:sz w:val="24"/>
        </w:rPr>
        <w:t>8.除依据法律法规和基金合同的规定外，基金托管人不得委托第三人托管基金财产。</w:t>
      </w:r>
    </w:p>
    <w:p>
      <w:pPr>
        <w:spacing w:line="360" w:lineRule="auto"/>
        <w:ind w:firstLine="480" w:firstLineChars="200"/>
        <w:rPr>
          <w:rFonts w:ascii="宋体" w:hAnsi="宋体" w:cs="宋体"/>
          <w:sz w:val="24"/>
        </w:rPr>
      </w:pPr>
      <w:r>
        <w:rPr>
          <w:rFonts w:hint="eastAsia" w:ascii="宋体" w:hAnsi="宋体" w:cs="宋体"/>
          <w:sz w:val="24"/>
        </w:rPr>
        <w:t>（二）基金募集期间及募集资金的验资</w:t>
      </w:r>
    </w:p>
    <w:p>
      <w:pPr>
        <w:spacing w:line="360" w:lineRule="auto"/>
        <w:ind w:firstLine="480" w:firstLineChars="200"/>
        <w:rPr>
          <w:rFonts w:ascii="宋体" w:hAnsi="宋体" w:cs="宋体"/>
          <w:sz w:val="24"/>
        </w:rPr>
      </w:pPr>
      <w:r>
        <w:rPr>
          <w:rFonts w:hint="eastAsia" w:ascii="宋体" w:hAnsi="宋体" w:cs="宋体"/>
          <w:sz w:val="24"/>
        </w:rPr>
        <w:t>1.基金募集期间募集的资金应开立“基金募集专户”。该账户由基金管理人或基金管理人委托的登记机构开立并管理。</w:t>
      </w:r>
    </w:p>
    <w:p>
      <w:pPr>
        <w:spacing w:line="360" w:lineRule="auto"/>
        <w:ind w:firstLine="480" w:firstLineChars="200"/>
        <w:rPr>
          <w:rFonts w:ascii="宋体" w:hAnsi="宋体" w:cs="宋体"/>
          <w:sz w:val="24"/>
        </w:rPr>
      </w:pPr>
      <w:r>
        <w:rPr>
          <w:rFonts w:hint="eastAsia" w:ascii="宋体" w:hAnsi="宋体" w:cs="宋体"/>
          <w:sz w:val="24"/>
        </w:rPr>
        <w:t>2.基金募集期满或基金停止募集时，发起资金提供方、发起资金提供方承诺其认购的基金份额的持有期限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验资报告需对发起资金提供方及其持有的基金份额进行专门说明。出具的验资报告由参加验资的2名或2名以上中国注册会计师签字方为有效。</w:t>
      </w:r>
    </w:p>
    <w:p>
      <w:pPr>
        <w:spacing w:line="360" w:lineRule="auto"/>
        <w:ind w:firstLine="480" w:firstLineChars="200"/>
        <w:rPr>
          <w:rFonts w:ascii="宋体" w:hAnsi="宋体" w:cs="宋体"/>
          <w:sz w:val="24"/>
        </w:rPr>
      </w:pPr>
      <w:r>
        <w:rPr>
          <w:rFonts w:hint="eastAsia" w:ascii="宋体" w:hAnsi="宋体" w:cs="宋体"/>
          <w:sz w:val="24"/>
        </w:rPr>
        <w:t>3.若基金募集期限届满，未能达到基金合同生效的条件，由基金管理人按规定办理退款等事宜，基金托管人应当予以必要的协助和配合。</w:t>
      </w:r>
    </w:p>
    <w:p>
      <w:pPr>
        <w:spacing w:line="360" w:lineRule="auto"/>
        <w:ind w:firstLine="480" w:firstLineChars="200"/>
        <w:rPr>
          <w:rFonts w:ascii="宋体" w:hAnsi="宋体" w:cs="宋体"/>
          <w:sz w:val="24"/>
        </w:rPr>
      </w:pPr>
      <w:r>
        <w:rPr>
          <w:rFonts w:hint="eastAsia" w:ascii="宋体" w:hAnsi="宋体" w:cs="宋体"/>
          <w:sz w:val="24"/>
        </w:rPr>
        <w:t>（三）基金资金账户的开立和管理</w:t>
      </w:r>
    </w:p>
    <w:p>
      <w:pPr>
        <w:spacing w:line="360" w:lineRule="auto"/>
        <w:ind w:firstLine="480" w:firstLineChars="200"/>
        <w:rPr>
          <w:rFonts w:ascii="宋体" w:hAnsi="宋体" w:cs="宋体"/>
          <w:sz w:val="24"/>
        </w:rPr>
      </w:pPr>
      <w:r>
        <w:rPr>
          <w:rFonts w:hint="eastAsia" w:ascii="宋体" w:hAnsi="宋体" w:cs="宋体"/>
          <w:sz w:val="24"/>
        </w:rPr>
        <w:t>1.基金托管人以本基金的名义在其营业机构开立基金的资金账户（也可称为“托管账户”），保管基金的银行存款，并根据基金管理人的指令办理资金收付。基金开立的托管账户原则上应按“开户主体全称+产品全称”规则命名，如遇账户名称过长影响其他业务办理等特殊情况时，开户主体或产品名称可以使用简称，确保资金账户名称与所托管的产品名称相对应，预留印鉴为基金托管人印章。</w:t>
      </w:r>
    </w:p>
    <w:p>
      <w:pPr>
        <w:spacing w:line="360" w:lineRule="auto"/>
        <w:ind w:firstLine="480" w:firstLineChars="200"/>
        <w:rPr>
          <w:rFonts w:ascii="宋体" w:hAnsi="宋体" w:cs="宋体"/>
          <w:sz w:val="24"/>
        </w:rPr>
      </w:pPr>
      <w:r>
        <w:rPr>
          <w:rFonts w:hint="eastAsia" w:ascii="宋体" w:hAnsi="宋体" w:cs="宋体"/>
          <w:sz w:val="24"/>
        </w:rPr>
        <w:t>2.基金资金账户的开立和使用，限于满足开展本基金业务的需要。基金托管人和基金管理人不得假借本基金的名义开立任何其他银行账户；亦不得使用基金的任何账户进行本基金业务以外的活动。</w:t>
      </w:r>
    </w:p>
    <w:p>
      <w:pPr>
        <w:spacing w:line="360" w:lineRule="auto"/>
        <w:ind w:firstLine="480" w:firstLineChars="200"/>
        <w:rPr>
          <w:rFonts w:ascii="宋体" w:hAnsi="宋体" w:cs="宋体"/>
          <w:sz w:val="24"/>
        </w:rPr>
      </w:pPr>
      <w:r>
        <w:rPr>
          <w:rFonts w:hint="eastAsia" w:ascii="宋体" w:hAnsi="宋体" w:cs="宋体"/>
          <w:sz w:val="24"/>
        </w:rPr>
        <w:t>3.基金资金账户的开立和管理应符合法律法规及银行业监督管理机构的有关规定。</w:t>
      </w:r>
    </w:p>
    <w:p>
      <w:pPr>
        <w:spacing w:line="360" w:lineRule="auto"/>
        <w:ind w:firstLine="480" w:firstLineChars="200"/>
        <w:rPr>
          <w:rFonts w:ascii="宋体" w:hAnsi="宋体" w:cs="宋体"/>
          <w:sz w:val="24"/>
        </w:rPr>
      </w:pPr>
      <w:r>
        <w:rPr>
          <w:rFonts w:hint="eastAsia" w:ascii="宋体" w:hAnsi="宋体" w:cs="宋体"/>
          <w:sz w:val="24"/>
        </w:rPr>
        <w:t>（四）基金证券账户和证券交易资金账户的开立和管理</w:t>
      </w:r>
    </w:p>
    <w:p>
      <w:pPr>
        <w:spacing w:line="360" w:lineRule="auto"/>
        <w:ind w:firstLine="480" w:firstLineChars="200"/>
        <w:rPr>
          <w:rFonts w:ascii="宋体" w:hAnsi="宋体" w:cs="宋体"/>
          <w:sz w:val="24"/>
        </w:rPr>
      </w:pPr>
      <w:r>
        <w:rPr>
          <w:rFonts w:hint="eastAsia" w:ascii="宋体" w:hAnsi="宋体" w:cs="宋体"/>
          <w:sz w:val="24"/>
        </w:rPr>
        <w:t>1.基金托管人在中国证券登记结算有限责任公司为基金开立基金托管人与基金联名的证券账户。</w:t>
      </w:r>
    </w:p>
    <w:p>
      <w:pPr>
        <w:spacing w:line="360" w:lineRule="auto"/>
        <w:ind w:firstLine="480" w:firstLineChars="200"/>
        <w:rPr>
          <w:rFonts w:ascii="宋体" w:hAnsi="宋体" w:cs="宋体"/>
          <w:sz w:val="24"/>
        </w:rPr>
      </w:pPr>
      <w:r>
        <w:rPr>
          <w:rFonts w:hint="eastAsia" w:ascii="宋体" w:hAnsi="宋体" w:cs="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spacing w:line="360" w:lineRule="auto"/>
        <w:ind w:firstLine="480" w:firstLineChars="200"/>
        <w:rPr>
          <w:rFonts w:ascii="宋体" w:hAnsi="宋体" w:cs="宋体"/>
          <w:sz w:val="24"/>
        </w:rPr>
      </w:pPr>
      <w:r>
        <w:rPr>
          <w:rFonts w:hint="eastAsia" w:ascii="宋体" w:hAnsi="宋体" w:cs="宋体"/>
          <w:sz w:val="24"/>
        </w:rPr>
        <w:t>3.基金证券账户的开立和证券账户卡的保管由基金托管人负责，账户资产的管理和运用由基金管理人负责。</w:t>
      </w:r>
    </w:p>
    <w:p>
      <w:pPr>
        <w:spacing w:line="360" w:lineRule="auto"/>
        <w:ind w:firstLine="480" w:firstLineChars="200"/>
        <w:rPr>
          <w:rFonts w:ascii="宋体" w:hAnsi="宋体" w:cs="宋体"/>
          <w:sz w:val="24"/>
        </w:rPr>
      </w:pPr>
      <w:r>
        <w:rPr>
          <w:rFonts w:hint="eastAsia" w:ascii="宋体" w:hAnsi="宋体" w:cs="宋体"/>
          <w:sz w:val="24"/>
        </w:rPr>
        <w:t>4.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pPr>
        <w:widowControl/>
        <w:spacing w:line="360" w:lineRule="auto"/>
        <w:ind w:firstLine="480" w:firstLineChars="200"/>
        <w:rPr>
          <w:rFonts w:ascii="宋体" w:hAnsi="宋体" w:cs="宋体"/>
          <w:sz w:val="24"/>
        </w:rPr>
      </w:pPr>
      <w:r>
        <w:rPr>
          <w:rFonts w:hint="eastAsia" w:ascii="宋体" w:hAnsi="宋体" w:cs="宋体"/>
          <w:sz w:val="24"/>
        </w:rPr>
        <w:t>5.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6.基金管理人承诺证券交易资金账户为主资金账户，不开立任何辅助资金账户；不为证券交易资金账户另行开立银行托管账户以外的其他银行账户</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7.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pPr>
        <w:spacing w:line="360" w:lineRule="auto"/>
        <w:ind w:firstLine="480" w:firstLineChars="200"/>
        <w:rPr>
          <w:rFonts w:ascii="宋体" w:hAnsi="宋体" w:cs="宋体"/>
          <w:sz w:val="24"/>
        </w:rPr>
      </w:pPr>
      <w:r>
        <w:rPr>
          <w:rFonts w:hint="eastAsia" w:ascii="宋体" w:hAnsi="宋体" w:cs="宋体"/>
          <w:sz w:val="24"/>
        </w:rPr>
        <w:t>（五）债券托管账户的开设和管理</w:t>
      </w:r>
    </w:p>
    <w:p>
      <w:pPr>
        <w:spacing w:line="360" w:lineRule="auto"/>
        <w:ind w:firstLine="480" w:firstLineChars="200"/>
        <w:rPr>
          <w:rFonts w:ascii="宋体" w:hAnsi="宋体" w:cs="宋体"/>
          <w:sz w:val="24"/>
        </w:rPr>
      </w:pPr>
      <w:r>
        <w:rPr>
          <w:rFonts w:hint="eastAsia" w:ascii="宋体" w:hAnsi="宋体" w:cs="宋体"/>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pPr>
        <w:spacing w:line="360" w:lineRule="auto"/>
        <w:ind w:firstLine="480" w:firstLineChars="200"/>
        <w:rPr>
          <w:rFonts w:ascii="宋体" w:hAnsi="宋体" w:cs="宋体"/>
          <w:sz w:val="24"/>
        </w:rPr>
      </w:pPr>
      <w:r>
        <w:rPr>
          <w:rFonts w:hint="eastAsia" w:ascii="宋体" w:hAnsi="宋体" w:cs="宋体"/>
          <w:sz w:val="24"/>
        </w:rPr>
        <w:t>（六）其他账户的开立和管理</w:t>
      </w:r>
    </w:p>
    <w:p>
      <w:pPr>
        <w:spacing w:line="360" w:lineRule="auto"/>
        <w:ind w:firstLine="480" w:firstLineChars="200"/>
        <w:rPr>
          <w:rFonts w:ascii="宋体" w:hAnsi="宋体" w:cs="宋体"/>
          <w:sz w:val="24"/>
        </w:rPr>
      </w:pPr>
      <w:r>
        <w:rPr>
          <w:rFonts w:hint="eastAsia" w:ascii="宋体" w:hAnsi="宋体" w:cs="宋体"/>
          <w:sz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pPr>
        <w:spacing w:line="360" w:lineRule="auto"/>
        <w:ind w:firstLine="480" w:firstLineChars="200"/>
        <w:rPr>
          <w:rFonts w:ascii="宋体" w:hAnsi="宋体" w:cs="宋体"/>
          <w:sz w:val="24"/>
        </w:rPr>
      </w:pPr>
      <w:r>
        <w:rPr>
          <w:rFonts w:hint="eastAsia" w:ascii="宋体" w:hAnsi="宋体" w:cs="宋体"/>
          <w:sz w:val="24"/>
        </w:rPr>
        <w:t>基金托管人和基金管理人应当在开户过程中相互配合，并提供所需资料。基金管理人保证所提供的账户开户材料的真实性和有效性，且在相关资料变更后及时将变更的资料提供给基金托管人。</w:t>
      </w:r>
    </w:p>
    <w:p>
      <w:pPr>
        <w:spacing w:line="360" w:lineRule="auto"/>
        <w:ind w:firstLine="480" w:firstLineChars="200"/>
        <w:rPr>
          <w:rFonts w:ascii="宋体" w:hAnsi="宋体" w:cs="宋体"/>
          <w:sz w:val="24"/>
        </w:rPr>
      </w:pPr>
      <w:r>
        <w:rPr>
          <w:rFonts w:hint="eastAsia" w:ascii="宋体" w:hAnsi="宋体" w:cs="宋体"/>
          <w:sz w:val="24"/>
        </w:rPr>
        <w:t>2.因业务发展需要而开立的其他账户，可以根据法律法规和基金合同的规定，由基金管理人协助基金托管人按照有关法律法规和本协议的约定协商后开立。新账户按有关规定使用并管理。</w:t>
      </w:r>
    </w:p>
    <w:p>
      <w:pPr>
        <w:spacing w:line="360" w:lineRule="auto"/>
        <w:ind w:firstLine="480" w:firstLineChars="200"/>
        <w:rPr>
          <w:rFonts w:ascii="宋体" w:hAnsi="宋体" w:cs="宋体"/>
          <w:sz w:val="24"/>
        </w:rPr>
      </w:pPr>
      <w:r>
        <w:rPr>
          <w:rFonts w:hint="eastAsia" w:ascii="宋体" w:hAnsi="宋体" w:cs="宋体"/>
          <w:sz w:val="24"/>
        </w:rPr>
        <w:t>3.法律法规等有关规定对相关账户的开立和管理另有规定的，从其规定办理。</w:t>
      </w:r>
    </w:p>
    <w:p>
      <w:pPr>
        <w:spacing w:line="360" w:lineRule="auto"/>
        <w:ind w:firstLine="480" w:firstLineChars="200"/>
        <w:rPr>
          <w:rFonts w:ascii="宋体" w:hAnsi="宋体" w:cs="宋体"/>
          <w:sz w:val="24"/>
        </w:rPr>
      </w:pPr>
      <w:r>
        <w:rPr>
          <w:rFonts w:hint="eastAsia" w:ascii="宋体" w:hAnsi="宋体" w:cs="宋体"/>
          <w:sz w:val="24"/>
        </w:rPr>
        <w:t>（七）基金财产投资的有关有价凭证等的保管</w:t>
      </w:r>
    </w:p>
    <w:p>
      <w:pPr>
        <w:spacing w:line="360" w:lineRule="auto"/>
        <w:ind w:firstLine="480" w:firstLineChars="200"/>
        <w:rPr>
          <w:rFonts w:ascii="宋体" w:hAnsi="宋体" w:cs="宋体"/>
          <w:sz w:val="24"/>
        </w:rPr>
      </w:pPr>
      <w:r>
        <w:rPr>
          <w:rFonts w:hint="eastAsia" w:ascii="宋体" w:hAnsi="宋体" w:cs="宋体"/>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pPr>
        <w:spacing w:line="360" w:lineRule="auto"/>
        <w:ind w:firstLine="480" w:firstLineChars="200"/>
        <w:rPr>
          <w:rFonts w:ascii="宋体" w:hAnsi="宋体" w:cs="宋体"/>
          <w:sz w:val="24"/>
        </w:rPr>
      </w:pPr>
      <w:r>
        <w:rPr>
          <w:rFonts w:hint="eastAsia" w:ascii="宋体" w:hAnsi="宋体" w:cs="宋体"/>
          <w:sz w:val="24"/>
        </w:rPr>
        <w:t>（八）与基金财产有关的重大合同的保管</w:t>
      </w:r>
    </w:p>
    <w:p>
      <w:pPr>
        <w:spacing w:line="360" w:lineRule="auto"/>
        <w:ind w:firstLine="480" w:firstLineChars="200"/>
        <w:rPr>
          <w:rFonts w:ascii="宋体" w:hAnsi="宋体" w:cs="宋体"/>
          <w:sz w:val="24"/>
        </w:rPr>
      </w:pPr>
      <w:r>
        <w:rPr>
          <w:rFonts w:hint="eastAsia" w:ascii="宋体" w:hAnsi="宋体" w:cs="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尽量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20年。</w:t>
      </w:r>
    </w:p>
    <w:p>
      <w:pPr>
        <w:spacing w:line="360" w:lineRule="auto"/>
        <w:ind w:firstLine="480" w:firstLineChars="200"/>
        <w:rPr>
          <w:rFonts w:ascii="宋体" w:hAnsi="宋体" w:cs="宋体"/>
          <w:sz w:val="24"/>
        </w:rPr>
      </w:pPr>
      <w:r>
        <w:rPr>
          <w:rFonts w:hint="eastAsia" w:ascii="宋体" w:hAnsi="宋体" w:cs="宋体"/>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bookmarkStart w:id="57" w:name="_Toc86726441"/>
      <w:bookmarkStart w:id="58" w:name="_Toc118774805"/>
      <w:bookmarkStart w:id="59" w:name="_Toc120435785"/>
      <w:bookmarkStart w:id="60" w:name="_Toc108512360"/>
      <w:bookmarkStart w:id="61" w:name="_Toc110761798"/>
      <w:bookmarkStart w:id="62" w:name="_Toc84234389"/>
      <w:bookmarkStart w:id="63" w:name="_Toc84133787"/>
      <w:bookmarkStart w:id="64" w:name="_Toc84234436"/>
      <w:bookmarkStart w:id="65" w:name="_Toc86737931"/>
      <w:bookmarkStart w:id="66" w:name="_Toc89163370"/>
      <w:bookmarkStart w:id="67" w:name="_Toc118972650"/>
      <w:bookmarkStart w:id="68" w:name="_Toc86727357"/>
      <w:bookmarkStart w:id="69" w:name="_Toc110830494"/>
      <w:bookmarkStart w:id="70" w:name="_Toc119402712"/>
      <w:bookmarkStart w:id="71" w:name="_Toc86223244"/>
      <w:bookmarkStart w:id="72" w:name="_Toc86204790"/>
      <w:bookmarkStart w:id="73" w:name="_Toc86649724"/>
      <w:bookmarkStart w:id="74" w:name="_Toc118212952"/>
      <w:bookmarkStart w:id="75" w:name="_Toc110765662"/>
      <w:bookmarkStart w:id="76" w:name="_Toc86225293"/>
      <w:r>
        <w:rPr>
          <w:rFonts w:hint="eastAsia" w:ascii="宋体" w:hAnsi="宋体" w:cs="宋体"/>
          <w:sz w:val="24"/>
          <w:szCs w:val="24"/>
        </w:rPr>
        <w:br w:type="page"/>
      </w:r>
      <w:bookmarkStart w:id="77" w:name="_Toc32588"/>
      <w:bookmarkStart w:id="78" w:name="_Toc348082034"/>
      <w:bookmarkStart w:id="79" w:name="_Toc17383"/>
      <w:bookmarkStart w:id="80" w:name="_Toc384992696"/>
      <w:r>
        <w:rPr>
          <w:rFonts w:hint="eastAsia" w:ascii="宋体" w:hAnsi="宋体" w:cs="宋体"/>
          <w:sz w:val="30"/>
          <w:szCs w:val="30"/>
        </w:rPr>
        <w:t>六、指令的发送、确认及执行</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360" w:lineRule="auto"/>
        <w:ind w:firstLine="480" w:firstLineChars="200"/>
        <w:rPr>
          <w:rFonts w:ascii="宋体" w:hAnsi="宋体" w:cs="宋体"/>
          <w:sz w:val="24"/>
        </w:rPr>
      </w:pPr>
      <w:r>
        <w:rPr>
          <w:rFonts w:hint="eastAsia" w:ascii="宋体" w:hAnsi="宋体" w:cs="宋体"/>
          <w:sz w:val="24"/>
        </w:rPr>
        <w:t>基金管理人在运用基金财产时向基金托管人发送资金划拨及其他款项付款指令，基金托管人执行基金管理人的指令、办理基金名下的资金往来等有关事项。</w:t>
      </w:r>
    </w:p>
    <w:p>
      <w:pPr>
        <w:spacing w:line="360" w:lineRule="auto"/>
        <w:ind w:firstLine="480" w:firstLineChars="200"/>
        <w:rPr>
          <w:rFonts w:ascii="宋体" w:hAnsi="宋体" w:cs="宋体"/>
          <w:sz w:val="24"/>
        </w:rPr>
      </w:pPr>
      <w:r>
        <w:rPr>
          <w:rFonts w:hint="eastAsia" w:ascii="宋体" w:hAnsi="宋体" w:cs="宋体"/>
          <w:sz w:val="24"/>
        </w:rPr>
        <w:t>基金管理人发送的指令包括电子指令和纸质指令。</w:t>
      </w:r>
    </w:p>
    <w:p>
      <w:pPr>
        <w:spacing w:line="360" w:lineRule="auto"/>
        <w:ind w:firstLine="480" w:firstLineChars="200"/>
        <w:rPr>
          <w:rFonts w:ascii="宋体" w:hAnsi="宋体" w:cs="宋体"/>
          <w:sz w:val="24"/>
        </w:rPr>
      </w:pPr>
      <w:r>
        <w:rPr>
          <w:rFonts w:hint="eastAsia" w:ascii="宋体" w:hAnsi="宋体" w:cs="宋体"/>
          <w:sz w:val="24"/>
        </w:rPr>
        <w:t>电子指令包括基金管理人发送的电子指令（采用电子报文传送的电子指令、招商银行托管+综合服务平台录入的电子指令）、自动产生的电子指令（网上托管银行托管人端根据管理人同意设定的业务规则自动产生的电子指令）。纸质指令包括基金管理人给基金托管人传真指令或原件指令。</w:t>
      </w:r>
    </w:p>
    <w:p>
      <w:pPr>
        <w:spacing w:line="360" w:lineRule="auto"/>
        <w:ind w:firstLine="480" w:firstLineChars="200"/>
        <w:rPr>
          <w:rFonts w:ascii="宋体" w:hAnsi="宋体" w:cs="宋体"/>
          <w:sz w:val="24"/>
        </w:rPr>
      </w:pPr>
      <w:r>
        <w:rPr>
          <w:rFonts w:hint="eastAsia" w:ascii="宋体" w:hAnsi="宋体" w:cs="宋体"/>
          <w:sz w:val="24"/>
        </w:rPr>
        <w:t>（一）基金管理人对发送指令人员的书面授权</w:t>
      </w:r>
    </w:p>
    <w:p>
      <w:pPr>
        <w:spacing w:line="360" w:lineRule="auto"/>
        <w:ind w:firstLine="480" w:firstLineChars="200"/>
        <w:rPr>
          <w:rFonts w:ascii="宋体" w:hAnsi="宋体" w:cs="宋体"/>
          <w:sz w:val="24"/>
        </w:rPr>
      </w:pPr>
      <w:r>
        <w:rPr>
          <w:rFonts w:hint="eastAsia" w:ascii="宋体" w:hAnsi="宋体" w:cs="宋体"/>
          <w:sz w:val="24"/>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和法定代表人（或授权人）签字/签章，若由授权代表签署，还须附上法定代表人的授权书，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授权通知书未载明生效时间的）。基金管理人在此后三个工作日内将授权通知书的正本送交基金托管人。授权通知书正本内容与基金托管人收到的传真不一致的，以基金托管人收到的传真为准。</w:t>
      </w:r>
    </w:p>
    <w:p>
      <w:pPr>
        <w:spacing w:line="360" w:lineRule="auto"/>
        <w:ind w:firstLine="480" w:firstLineChars="200"/>
        <w:rPr>
          <w:rFonts w:ascii="宋体" w:hAnsi="宋体" w:cs="宋体"/>
          <w:sz w:val="24"/>
        </w:rPr>
      </w:pPr>
      <w:r>
        <w:rPr>
          <w:rFonts w:hint="eastAsia" w:ascii="宋体" w:hAnsi="宋体" w:cs="宋体"/>
          <w:sz w:val="24"/>
        </w:rPr>
        <w:t>基金管理人和基金托管人对授权通知书负有保密义务，其内容不得向授权人、被授权人及相关操作人员以外的任何人泄露，但法律法规规定或有权机关另有要求的除外。</w:t>
      </w:r>
    </w:p>
    <w:p>
      <w:pPr>
        <w:spacing w:line="360" w:lineRule="auto"/>
        <w:ind w:firstLine="480" w:firstLineChars="200"/>
        <w:rPr>
          <w:rFonts w:ascii="宋体" w:hAnsi="宋体" w:cs="宋体"/>
          <w:sz w:val="24"/>
        </w:rPr>
      </w:pPr>
      <w:r>
        <w:rPr>
          <w:rFonts w:hint="eastAsia" w:ascii="宋体" w:hAnsi="宋体" w:cs="宋体"/>
          <w:sz w:val="24"/>
        </w:rPr>
        <w:t>（二）指令的内容</w:t>
      </w:r>
    </w:p>
    <w:p>
      <w:pPr>
        <w:spacing w:line="360" w:lineRule="auto"/>
        <w:ind w:firstLine="480" w:firstLineChars="200"/>
        <w:rPr>
          <w:rFonts w:ascii="宋体" w:hAnsi="宋体" w:cs="宋体"/>
          <w:sz w:val="24"/>
        </w:rPr>
      </w:pPr>
      <w:r>
        <w:rPr>
          <w:rFonts w:hint="eastAsia" w:ascii="宋体" w:hAnsi="宋体" w:cs="宋体"/>
          <w:sz w:val="24"/>
        </w:rPr>
        <w:t>投资指令是在管理本基金时，基金管理人向基金托管人发出的交易成交单、交易指令及资金划拨类指令（以下简称“指令”）。指令应加盖预留印鉴并由被授权人印章/签字。基金管理人发给基金托管人的资金划拨类指令应写明款项事由、时间、金额、出款和收款账户信息等。</w:t>
      </w:r>
    </w:p>
    <w:p>
      <w:pPr>
        <w:spacing w:line="360" w:lineRule="auto"/>
        <w:ind w:firstLine="480" w:firstLineChars="200"/>
        <w:rPr>
          <w:rFonts w:ascii="宋体" w:hAnsi="宋体" w:cs="宋体"/>
          <w:sz w:val="24"/>
        </w:rPr>
      </w:pPr>
      <w:r>
        <w:rPr>
          <w:rFonts w:hint="eastAsia" w:ascii="宋体" w:hAnsi="宋体" w:cs="宋体"/>
          <w:sz w:val="24"/>
        </w:rPr>
        <w:t>（三）指令的发送、确认及执行的时间和程序</w:t>
      </w:r>
    </w:p>
    <w:p>
      <w:pPr>
        <w:spacing w:line="360" w:lineRule="auto"/>
        <w:ind w:firstLine="480" w:firstLineChars="200"/>
        <w:rPr>
          <w:rFonts w:ascii="宋体" w:hAnsi="宋体" w:cs="宋体"/>
          <w:sz w:val="24"/>
        </w:rPr>
      </w:pPr>
      <w:r>
        <w:rPr>
          <w:rFonts w:hint="eastAsia" w:ascii="宋体" w:hAnsi="宋体" w:cs="宋体"/>
          <w:sz w:val="24"/>
        </w:rPr>
        <w:t>1.指令发送的方式</w:t>
      </w:r>
    </w:p>
    <w:p>
      <w:pPr>
        <w:spacing w:line="360" w:lineRule="auto"/>
        <w:ind w:firstLine="480" w:firstLineChars="200"/>
        <w:rPr>
          <w:rFonts w:ascii="宋体" w:hAnsi="宋体" w:cs="宋体"/>
          <w:sz w:val="24"/>
        </w:rPr>
      </w:pPr>
      <w:r>
        <w:rPr>
          <w:rFonts w:hint="eastAsia" w:ascii="宋体" w:hAnsi="宋体" w:cs="宋体"/>
          <w:sz w:val="24"/>
        </w:rPr>
        <w:t xml:space="preserve">基金管理人选择以下第（1）种方式向基金托管人发送指令： </w:t>
      </w:r>
    </w:p>
    <w:p>
      <w:pPr>
        <w:spacing w:line="360" w:lineRule="auto"/>
        <w:ind w:firstLine="480" w:firstLineChars="200"/>
        <w:rPr>
          <w:rFonts w:ascii="宋体" w:hAnsi="宋体" w:cs="宋体"/>
          <w:sz w:val="24"/>
        </w:rPr>
      </w:pPr>
      <w:r>
        <w:rPr>
          <w:rFonts w:hint="eastAsia" w:ascii="宋体" w:hAnsi="宋体" w:cs="宋体"/>
          <w:sz w:val="24"/>
        </w:rPr>
        <w:t>（1）基金管理人通过招商银行托管+综合服务平台录入方式，向基金托管人发送电子划款指令或投资指令。</w:t>
      </w:r>
    </w:p>
    <w:p>
      <w:pPr>
        <w:spacing w:line="360" w:lineRule="auto"/>
        <w:ind w:firstLine="480" w:firstLineChars="200"/>
        <w:rPr>
          <w:rFonts w:ascii="宋体" w:hAnsi="宋体" w:cs="宋体"/>
          <w:sz w:val="24"/>
        </w:rPr>
      </w:pPr>
      <w:r>
        <w:rPr>
          <w:rFonts w:hint="eastAsia" w:ascii="宋体" w:hAnsi="宋体" w:cs="宋体"/>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pPr>
        <w:spacing w:line="360" w:lineRule="auto"/>
        <w:ind w:firstLine="480" w:firstLineChars="200"/>
        <w:rPr>
          <w:rFonts w:ascii="宋体" w:hAnsi="宋体" w:cs="宋体"/>
          <w:sz w:val="24"/>
        </w:rPr>
      </w:pPr>
      <w:r>
        <w:rPr>
          <w:rFonts w:hint="eastAsia" w:ascii="宋体" w:hAnsi="宋体" w:cs="宋体"/>
          <w:sz w:val="24"/>
        </w:rPr>
        <w:t>基金管理人和基金托管人另行签订《招商银行“托管+”综合服务平台服务协议》，具体事宜以《招商银行“托管+”综合服务平台服务协议》的约定为准。</w:t>
      </w:r>
    </w:p>
    <w:p>
      <w:pPr>
        <w:spacing w:line="360" w:lineRule="auto"/>
        <w:ind w:firstLine="480" w:firstLineChars="200"/>
        <w:rPr>
          <w:rFonts w:ascii="宋体" w:hAnsi="宋体" w:cs="宋体"/>
          <w:sz w:val="24"/>
        </w:rPr>
      </w:pPr>
      <w:r>
        <w:rPr>
          <w:rFonts w:hint="eastAsia" w:ascii="宋体" w:hAnsi="宋体" w:cs="宋体"/>
          <w:sz w:val="24"/>
        </w:rPr>
        <w:t>（2）基金管理人通过深证通电子直连对接方式，向基金托管人发送电子划款指令或投资指令。</w:t>
      </w:r>
    </w:p>
    <w:p>
      <w:pPr>
        <w:spacing w:line="360" w:lineRule="auto"/>
        <w:ind w:firstLine="480" w:firstLineChars="200"/>
        <w:rPr>
          <w:rFonts w:ascii="宋体" w:hAnsi="宋体" w:cs="宋体"/>
          <w:sz w:val="24"/>
        </w:rPr>
      </w:pPr>
      <w:r>
        <w:rPr>
          <w:rFonts w:hint="eastAsia" w:ascii="宋体" w:hAnsi="宋体" w:cs="宋体"/>
          <w:sz w:val="24"/>
        </w:rPr>
        <w:t>基金管理人通过深证通电子直连对接方式发送电子指令的，基金管理人应至少在基金成立日前一日，通过预留邮箱或加盖预留印鉴的函件告知基金托管人本基金的基金代码。</w:t>
      </w:r>
    </w:p>
    <w:p>
      <w:pPr>
        <w:spacing w:line="360" w:lineRule="auto"/>
        <w:ind w:firstLine="480" w:firstLineChars="200"/>
        <w:rPr>
          <w:rFonts w:ascii="宋体" w:hAnsi="宋体" w:cs="宋体"/>
          <w:sz w:val="24"/>
        </w:rPr>
      </w:pPr>
      <w:r>
        <w:rPr>
          <w:rFonts w:hint="eastAsia" w:ascii="宋体" w:hAnsi="宋体" w:cs="宋体"/>
          <w:sz w:val="24"/>
        </w:rPr>
        <w:t>对于基金管理人通过上述（1）、（2）方式发送的指令，基金管理人不得否认其效力。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对于基金管理人通过上述（1）、（2）方式发送指令的，在应急情况下，基金管理人可以传真发送划款指令或者快递、现场交互原件指令。具体操作方式分别按照以下第（3）、（4）款指令发送方式执行。</w:t>
      </w:r>
    </w:p>
    <w:p>
      <w:pPr>
        <w:spacing w:line="360" w:lineRule="auto"/>
        <w:ind w:firstLine="480" w:firstLineChars="200"/>
        <w:rPr>
          <w:rFonts w:ascii="宋体" w:hAnsi="宋体" w:cs="宋体"/>
          <w:sz w:val="24"/>
        </w:rPr>
      </w:pPr>
      <w:r>
        <w:rPr>
          <w:rFonts w:hint="eastAsia" w:ascii="宋体" w:hAnsi="宋体" w:cs="宋体"/>
          <w:sz w:val="24"/>
        </w:rPr>
        <w:t>（3）基金管理人选择以传真方式发送指令</w:t>
      </w:r>
    </w:p>
    <w:p>
      <w:pPr>
        <w:spacing w:line="360" w:lineRule="auto"/>
        <w:ind w:firstLine="480" w:firstLineChars="200"/>
        <w:rPr>
          <w:rFonts w:ascii="宋体" w:hAnsi="宋体" w:cs="宋体"/>
          <w:sz w:val="24"/>
        </w:rPr>
      </w:pPr>
      <w:r>
        <w:rPr>
          <w:rFonts w:hint="eastAsia" w:ascii="宋体" w:hAnsi="宋体" w:cs="宋体"/>
          <w:sz w:val="24"/>
        </w:rPr>
        <w:t>对于基金管理人通过预留传真号码发出的指令，基金管理人不得否认其效力。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pPr>
        <w:spacing w:line="360" w:lineRule="auto"/>
        <w:ind w:firstLine="480" w:firstLineChars="200"/>
        <w:rPr>
          <w:rFonts w:ascii="宋体" w:hAnsi="宋体" w:cs="宋体"/>
          <w:sz w:val="24"/>
        </w:rPr>
      </w:pPr>
      <w:r>
        <w:rPr>
          <w:rFonts w:hint="eastAsia" w:ascii="宋体" w:hAnsi="宋体" w:cs="宋体"/>
          <w:sz w:val="24"/>
        </w:rPr>
        <w:t>（4）基金管理人快递寄送或现场交互指令原件的形式传递指令</w:t>
      </w:r>
    </w:p>
    <w:p>
      <w:pPr>
        <w:spacing w:line="360" w:lineRule="auto"/>
        <w:ind w:firstLine="480" w:firstLineChars="200"/>
        <w:rPr>
          <w:rFonts w:ascii="宋体" w:hAnsi="宋体" w:cs="宋体"/>
          <w:sz w:val="24"/>
        </w:rPr>
      </w:pPr>
      <w:r>
        <w:rPr>
          <w:rFonts w:hint="eastAsia" w:ascii="宋体" w:hAnsi="宋体" w:cs="宋体"/>
          <w:sz w:val="24"/>
        </w:rPr>
        <w:t>如需变更指令发送形式，基金管理人须提前向基金托管人提供变更指令发送形式的指令发送方式变更通知书。</w:t>
      </w:r>
    </w:p>
    <w:p>
      <w:pPr>
        <w:spacing w:line="360" w:lineRule="auto"/>
        <w:ind w:firstLine="480" w:firstLineChars="200"/>
        <w:rPr>
          <w:rFonts w:ascii="宋体" w:hAnsi="宋体" w:cs="宋体"/>
          <w:sz w:val="24"/>
        </w:rPr>
      </w:pPr>
      <w:r>
        <w:rPr>
          <w:rFonts w:hint="eastAsia" w:ascii="宋体" w:hAnsi="宋体" w:cs="宋体"/>
          <w:sz w:val="24"/>
        </w:rPr>
        <w:t>2.指令附件的发送方式</w:t>
      </w:r>
    </w:p>
    <w:p>
      <w:pPr>
        <w:spacing w:line="360" w:lineRule="auto"/>
        <w:ind w:firstLine="480" w:firstLineChars="200"/>
        <w:rPr>
          <w:rFonts w:ascii="宋体" w:hAnsi="宋体" w:cs="宋体"/>
          <w:sz w:val="24"/>
        </w:rPr>
      </w:pPr>
      <w:r>
        <w:rPr>
          <w:rFonts w:hint="eastAsia" w:ascii="宋体" w:hAnsi="宋体" w:cs="宋体"/>
          <w:sz w:val="24"/>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pPr>
        <w:spacing w:line="360" w:lineRule="auto"/>
        <w:ind w:firstLine="480" w:firstLineChars="200"/>
        <w:rPr>
          <w:rFonts w:ascii="宋体" w:hAnsi="宋体" w:cs="宋体"/>
          <w:sz w:val="24"/>
        </w:rPr>
      </w:pPr>
      <w:r>
        <w:rPr>
          <w:rFonts w:hint="eastAsia" w:ascii="宋体" w:hAnsi="宋体" w:cs="宋体"/>
          <w:sz w:val="24"/>
        </w:rPr>
        <w:t>对于通过招商银行托管+综合服务平台、预留传真号码或预留电子邮箱发出的指令附件，基金管理人和基金托管人不得否认其效力。</w:t>
      </w:r>
    </w:p>
    <w:p>
      <w:pPr>
        <w:spacing w:line="360" w:lineRule="auto"/>
        <w:ind w:firstLine="480" w:firstLineChars="200"/>
        <w:rPr>
          <w:rFonts w:ascii="宋体" w:hAnsi="宋体" w:cs="宋体"/>
          <w:sz w:val="24"/>
        </w:rPr>
      </w:pPr>
      <w:r>
        <w:rPr>
          <w:rFonts w:hint="eastAsia" w:ascii="宋体" w:hAnsi="宋体" w:cs="宋体"/>
          <w:sz w:val="24"/>
        </w:rPr>
        <w:t>3.指令发送的时间</w:t>
      </w:r>
    </w:p>
    <w:p>
      <w:pPr>
        <w:spacing w:line="360" w:lineRule="auto"/>
        <w:ind w:firstLine="480" w:firstLineChars="200"/>
        <w:rPr>
          <w:rFonts w:ascii="宋体" w:hAnsi="宋体" w:cs="宋体"/>
          <w:sz w:val="24"/>
        </w:rPr>
      </w:pPr>
      <w:r>
        <w:rPr>
          <w:rFonts w:hint="eastAsia" w:ascii="宋体" w:hAnsi="宋体" w:cs="宋体"/>
          <w:sz w:val="24"/>
        </w:rPr>
        <w:t>对于新股、新债申购等网下公开发行业务，基金管理人应于网下申购缴款日的10:00前将指令发送给基金托管人。</w:t>
      </w:r>
    </w:p>
    <w:p>
      <w:pPr>
        <w:spacing w:line="360" w:lineRule="auto"/>
        <w:ind w:firstLine="480" w:firstLineChars="200"/>
        <w:rPr>
          <w:rFonts w:ascii="宋体" w:hAnsi="宋体" w:cs="宋体"/>
          <w:sz w:val="24"/>
        </w:rPr>
      </w:pPr>
      <w:r>
        <w:rPr>
          <w:rFonts w:hint="eastAsia" w:ascii="宋体" w:hAnsi="宋体" w:cs="宋体"/>
          <w:sz w:val="24"/>
        </w:rPr>
        <w:t>对于期货出入金业务，基金管理人应于交易日期货出入金截止时间前2小时将期货出入金指令发送至基金托管人。正常情况下由基金托管人依据基金管理人发出的出入金指令，通过期货结算银行银期转账系统进行出入金操作。当结算银行银期转账系统出现故障等其他紧急情况时，基金管理人可以使用非银期转账手工出入金。</w:t>
      </w:r>
    </w:p>
    <w:p>
      <w:pPr>
        <w:spacing w:line="360" w:lineRule="auto"/>
        <w:ind w:firstLine="480" w:firstLineChars="200"/>
        <w:rPr>
          <w:rFonts w:ascii="宋体" w:hAnsi="宋体" w:cs="宋体"/>
          <w:sz w:val="24"/>
        </w:rPr>
      </w:pPr>
      <w:r>
        <w:rPr>
          <w:rFonts w:hint="eastAsia" w:ascii="宋体" w:hAnsi="宋体" w:cs="宋体"/>
          <w:sz w:val="24"/>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pPr>
        <w:spacing w:line="360" w:lineRule="auto"/>
        <w:ind w:firstLine="480" w:firstLineChars="200"/>
        <w:rPr>
          <w:rFonts w:ascii="宋体" w:hAnsi="宋体" w:cs="宋体"/>
          <w:sz w:val="24"/>
        </w:rPr>
      </w:pPr>
      <w:r>
        <w:rPr>
          <w:rFonts w:hint="eastAsia" w:ascii="宋体" w:hAnsi="宋体" w:cs="宋体"/>
          <w:sz w:val="24"/>
        </w:rPr>
        <w:t>执行完期货出金或入金的操作后，基金管理人应通过其交易系统或终端系统查询出金划出情况和入金到账情况。</w:t>
      </w:r>
    </w:p>
    <w:p>
      <w:pPr>
        <w:spacing w:line="360" w:lineRule="auto"/>
        <w:ind w:firstLine="480" w:firstLineChars="200"/>
        <w:rPr>
          <w:rFonts w:ascii="宋体" w:hAnsi="宋体" w:cs="宋体"/>
          <w:sz w:val="24"/>
        </w:rPr>
      </w:pPr>
      <w:r>
        <w:rPr>
          <w:rFonts w:hint="eastAsia" w:ascii="宋体" w:hAnsi="宋体" w:cs="宋体"/>
          <w:sz w:val="24"/>
        </w:rPr>
        <w:t>对于场内业务，基金管理人在运用基金财产开展场内证券交易前，基金管理人通过基金托管账户与证券资金账户已建立的第三方存管系统在基金托管户与证券资金账户之间划款，即银证互转。</w:t>
      </w:r>
    </w:p>
    <w:p>
      <w:pPr>
        <w:spacing w:line="360" w:lineRule="auto"/>
        <w:ind w:firstLine="480" w:firstLineChars="200"/>
        <w:rPr>
          <w:rFonts w:ascii="宋体" w:hAnsi="宋体" w:cs="宋体"/>
          <w:sz w:val="24"/>
        </w:rPr>
      </w:pPr>
      <w:r>
        <w:rPr>
          <w:rFonts w:hint="eastAsia" w:ascii="宋体" w:hAnsi="宋体" w:cs="宋体"/>
          <w:sz w:val="24"/>
        </w:rPr>
        <w:t>对于银行间业务，基金管理人应于交易日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首笔银行间交易时通过预留电话通知基金托管人，如基金管理人未通知基金托管人，导致指令未执行或执行失败的，基金托管人不承担责任。</w:t>
      </w:r>
    </w:p>
    <w:p>
      <w:pPr>
        <w:spacing w:line="360" w:lineRule="auto"/>
        <w:ind w:firstLine="480" w:firstLineChars="200"/>
        <w:rPr>
          <w:rFonts w:ascii="宋体" w:hAnsi="宋体" w:cs="宋体"/>
          <w:sz w:val="24"/>
        </w:rPr>
      </w:pPr>
      <w:r>
        <w:rPr>
          <w:rFonts w:hint="eastAsia" w:ascii="宋体" w:hAnsi="宋体" w:cs="宋体"/>
          <w:sz w:val="24"/>
        </w:rPr>
        <w:t>对于指定时间出款的交易指令，基金管理人应提前2小时将指令发送至基金托管人；对于基金管理人于15:00以后发送至基金托管人的指令，基金托管人不保证当日出款，但应尽力划款及配合，如出款不成功，基金托管人不承担责任。</w:t>
      </w:r>
    </w:p>
    <w:p>
      <w:pPr>
        <w:spacing w:line="360" w:lineRule="auto"/>
        <w:ind w:firstLine="480" w:firstLineChars="200"/>
        <w:rPr>
          <w:rFonts w:ascii="宋体" w:hAnsi="宋体" w:cs="宋体"/>
          <w:sz w:val="24"/>
        </w:rPr>
      </w:pPr>
      <w:r>
        <w:rPr>
          <w:rFonts w:hint="eastAsia" w:ascii="宋体" w:hAnsi="宋体" w:cs="宋体"/>
          <w:sz w:val="24"/>
        </w:rPr>
        <w:t>4.指令的确认</w:t>
      </w:r>
    </w:p>
    <w:p>
      <w:pPr>
        <w:spacing w:line="360" w:lineRule="auto"/>
        <w:ind w:firstLine="480" w:firstLineChars="200"/>
        <w:rPr>
          <w:rFonts w:ascii="宋体" w:hAnsi="宋体" w:cs="宋体"/>
          <w:sz w:val="24"/>
        </w:rPr>
      </w:pPr>
      <w:r>
        <w:rPr>
          <w:rFonts w:hint="eastAsia" w:ascii="宋体" w:hAnsi="宋体" w:cs="宋体"/>
          <w:sz w:val="24"/>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5.指令的执行</w:t>
      </w:r>
    </w:p>
    <w:p>
      <w:pPr>
        <w:spacing w:line="360" w:lineRule="auto"/>
        <w:ind w:firstLine="480" w:firstLineChars="200"/>
        <w:rPr>
          <w:rFonts w:ascii="宋体" w:hAnsi="宋体" w:cs="宋体"/>
          <w:sz w:val="24"/>
        </w:rPr>
      </w:pPr>
      <w:r>
        <w:rPr>
          <w:rFonts w:hint="eastAsia" w:ascii="宋体" w:hAnsi="宋体" w:cs="宋体"/>
          <w:sz w:val="24"/>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pPr>
        <w:spacing w:line="360" w:lineRule="auto"/>
        <w:ind w:firstLine="480" w:firstLineChars="200"/>
        <w:rPr>
          <w:rFonts w:ascii="宋体" w:hAnsi="宋体" w:cs="宋体"/>
          <w:sz w:val="24"/>
        </w:rPr>
      </w:pPr>
      <w:r>
        <w:rPr>
          <w:rFonts w:hint="eastAsia" w:ascii="宋体" w:hAnsi="宋体" w:cs="宋体"/>
          <w:sz w:val="24"/>
        </w:rPr>
        <w:t>基金托管人确认收到基金管理人发送的指令后，应对指令进行形式审查，验证指令的要素（金额、收款账号、收款户名、用途）是否齐全，传真指令还应审核印鉴和印章/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pPr>
        <w:spacing w:line="360" w:lineRule="auto"/>
        <w:ind w:firstLine="480" w:firstLineChars="200"/>
        <w:rPr>
          <w:rFonts w:ascii="宋体" w:hAnsi="宋体" w:cs="宋体"/>
          <w:sz w:val="24"/>
        </w:rPr>
      </w:pPr>
      <w:r>
        <w:rPr>
          <w:rFonts w:hint="eastAsia" w:ascii="宋体" w:hAnsi="宋体" w:cs="宋体"/>
          <w:sz w:val="24"/>
        </w:rPr>
        <w:t>基金托管人审核指令无误后应在规定期限内及时执行。</w:t>
      </w:r>
    </w:p>
    <w:p>
      <w:pPr>
        <w:spacing w:line="360" w:lineRule="auto"/>
        <w:ind w:firstLine="480" w:firstLineChars="200"/>
        <w:rPr>
          <w:rFonts w:ascii="宋体" w:hAnsi="宋体" w:cs="宋体"/>
          <w:sz w:val="24"/>
        </w:rPr>
      </w:pPr>
      <w:r>
        <w:rPr>
          <w:rFonts w:hint="eastAsia" w:ascii="宋体" w:hAnsi="宋体" w:cs="宋体"/>
          <w:sz w:val="24"/>
        </w:rPr>
        <w:t>6.指令的撤销</w:t>
      </w:r>
    </w:p>
    <w:p>
      <w:pPr>
        <w:spacing w:line="360" w:lineRule="auto"/>
        <w:ind w:firstLine="480" w:firstLineChars="200"/>
        <w:rPr>
          <w:rFonts w:ascii="宋体" w:hAnsi="宋体" w:cs="宋体"/>
          <w:sz w:val="24"/>
        </w:rPr>
      </w:pPr>
      <w:r>
        <w:rPr>
          <w:rFonts w:hint="eastAsia" w:ascii="宋体" w:hAnsi="宋体" w:cs="宋体"/>
          <w:sz w:val="24"/>
        </w:rPr>
        <w:t>在指令未执行的前提下，若基金管理人撤销指令，基金管理人应在原指令上注明“作废”、“废”、“取消”等字样并加盖预留印鉴及被授权人印章/签字后传真给基金托管人，并电话通知基金托管人。若撤销电子指令，基金管理人应通过相关系统撤销，系统功能不支持撤销的，应参照撤销传真指令方式撤销电子指令。</w:t>
      </w:r>
    </w:p>
    <w:p>
      <w:pPr>
        <w:spacing w:line="360" w:lineRule="auto"/>
        <w:ind w:firstLine="480" w:firstLineChars="200"/>
        <w:rPr>
          <w:rFonts w:ascii="宋体" w:hAnsi="宋体" w:cs="宋体"/>
          <w:sz w:val="24"/>
        </w:rPr>
      </w:pPr>
      <w:r>
        <w:rPr>
          <w:rFonts w:hint="eastAsia" w:ascii="宋体" w:hAnsi="宋体" w:cs="宋体"/>
          <w:sz w:val="24"/>
        </w:rPr>
        <w:t>（四）基金管理人发送错误指令的情形和处理程序</w:t>
      </w:r>
    </w:p>
    <w:p>
      <w:pPr>
        <w:spacing w:line="360" w:lineRule="auto"/>
        <w:ind w:firstLine="480" w:firstLineChars="200"/>
        <w:rPr>
          <w:rFonts w:ascii="宋体" w:hAnsi="宋体" w:cs="宋体"/>
          <w:sz w:val="24"/>
        </w:rPr>
      </w:pPr>
      <w:r>
        <w:rPr>
          <w:rFonts w:hint="eastAsia" w:ascii="宋体" w:hAnsi="宋体" w:cs="宋体"/>
          <w:sz w:val="24"/>
        </w:rPr>
        <w:t>1、基金管理人发送错误指令的情形包括指令发送人员无权或超越权限发送指令，指令不能辨识或要素不全导致无法执行等情形。</w:t>
      </w:r>
    </w:p>
    <w:p>
      <w:pPr>
        <w:spacing w:line="360" w:lineRule="auto"/>
        <w:ind w:firstLine="480" w:firstLineChars="200"/>
        <w:rPr>
          <w:rFonts w:ascii="宋体" w:hAnsi="宋体" w:cs="宋体"/>
          <w:sz w:val="24"/>
        </w:rPr>
      </w:pPr>
      <w:r>
        <w:rPr>
          <w:rFonts w:hint="eastAsia" w:ascii="宋体" w:hAnsi="宋体" w:cs="宋体"/>
          <w:sz w:val="24"/>
        </w:rPr>
        <w:t>2、当基金托管人认为所接收指令为错误指令时，应及时与基金管理人进行电话确认，并暂停指令的执行，由基金管理人撤销指令或撤销后再重新发送指令。</w:t>
      </w:r>
    </w:p>
    <w:p>
      <w:pPr>
        <w:spacing w:line="360" w:lineRule="auto"/>
        <w:ind w:firstLine="480" w:firstLineChars="200"/>
        <w:rPr>
          <w:rFonts w:ascii="宋体" w:hAnsi="宋体" w:cs="宋体"/>
          <w:sz w:val="24"/>
        </w:rPr>
      </w:pPr>
      <w:r>
        <w:rPr>
          <w:rFonts w:hint="eastAsia" w:ascii="宋体" w:hAnsi="宋体" w:cs="宋体"/>
          <w:sz w:val="24"/>
        </w:rPr>
        <w:t>（五）基金托管人依照法律法规暂缓、拒绝执行指令的情形和处理程序</w:t>
      </w:r>
    </w:p>
    <w:p>
      <w:pPr>
        <w:spacing w:line="360" w:lineRule="auto"/>
        <w:ind w:firstLine="480" w:firstLineChars="200"/>
        <w:rPr>
          <w:rFonts w:ascii="宋体" w:hAnsi="宋体" w:cs="宋体"/>
          <w:sz w:val="24"/>
        </w:rPr>
      </w:pPr>
      <w:r>
        <w:rPr>
          <w:rFonts w:hint="eastAsia" w:ascii="宋体" w:hAnsi="宋体" w:cs="宋体"/>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内及时纠正。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相应责任，基金托管人免于承担责任。</w:t>
      </w:r>
    </w:p>
    <w:p>
      <w:pPr>
        <w:spacing w:line="360" w:lineRule="auto"/>
        <w:ind w:firstLine="480" w:firstLineChars="200"/>
        <w:rPr>
          <w:rFonts w:ascii="宋体" w:hAnsi="宋体" w:cs="宋体"/>
          <w:sz w:val="24"/>
        </w:rPr>
      </w:pPr>
      <w:r>
        <w:rPr>
          <w:rFonts w:hint="eastAsia" w:ascii="宋体" w:hAnsi="宋体" w:cs="宋体"/>
          <w:sz w:val="24"/>
        </w:rPr>
        <w:t>（六）基金托管人未按照基金管理人指令执行的处理方法</w:t>
      </w:r>
    </w:p>
    <w:p>
      <w:pPr>
        <w:spacing w:line="360" w:lineRule="auto"/>
        <w:ind w:firstLine="480" w:firstLineChars="200"/>
        <w:rPr>
          <w:rFonts w:ascii="宋体" w:hAnsi="宋体" w:cs="宋体"/>
          <w:sz w:val="24"/>
        </w:rPr>
      </w:pPr>
      <w:r>
        <w:rPr>
          <w:rFonts w:hint="eastAsia" w:ascii="宋体" w:hAnsi="宋体" w:cs="宋体"/>
          <w:sz w:val="24"/>
        </w:rPr>
        <w:t xml:space="preserve">对于基金管理人的有效指令和通知，除非违反法律法规、基金合同、托管协议或具有第（四）项所述错误，基金托管人不得无故拒绝或拖延执行。除因故意或重大过失致使本基金、基金管理人的利益受到损害而负赔偿责任外，基金托管人对正确及时执行基金管理人的合法指令对基金财产造成的损失不承担赔偿责任。 </w:t>
      </w:r>
    </w:p>
    <w:p>
      <w:pPr>
        <w:spacing w:line="360" w:lineRule="auto"/>
        <w:ind w:firstLine="480" w:firstLineChars="200"/>
        <w:rPr>
          <w:rFonts w:ascii="宋体" w:hAnsi="宋体" w:cs="宋体"/>
          <w:sz w:val="24"/>
        </w:rPr>
      </w:pPr>
      <w:r>
        <w:rPr>
          <w:rFonts w:hint="eastAsia" w:ascii="宋体" w:hAnsi="宋体" w:cs="宋体"/>
          <w:sz w:val="24"/>
        </w:rPr>
        <w:t>（七）更换被授权人员的程序</w:t>
      </w:r>
    </w:p>
    <w:p>
      <w:pPr>
        <w:spacing w:line="360" w:lineRule="auto"/>
        <w:ind w:firstLine="480" w:firstLineChars="200"/>
        <w:rPr>
          <w:rFonts w:ascii="宋体" w:hAnsi="宋体" w:cs="宋体"/>
          <w:sz w:val="24"/>
        </w:rPr>
      </w:pPr>
      <w:r>
        <w:rPr>
          <w:rFonts w:hint="eastAsia" w:ascii="宋体" w:hAnsi="宋体" w:cs="宋体"/>
          <w:sz w:val="24"/>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经基金管理人与基金托管人以电话方式或其他基金管理人和基金托管人认可的方式确认后，于授权通知书载明的生效时间生效，同时原授权通知书失效。基金管理人在此后三个工作日内将被授权人变更通知的正本送交基金托管人。授权通知书正本内容与基金托管人收到的传真不一致的，以基金托管人收到的传真为准。基金托管人更换接收基金管理人指令的人员，应提前通知基金管理人。</w:t>
      </w:r>
    </w:p>
    <w:p>
      <w:pPr>
        <w:spacing w:line="360" w:lineRule="auto"/>
        <w:ind w:firstLine="480" w:firstLineChars="200"/>
        <w:rPr>
          <w:rFonts w:ascii="宋体" w:hAnsi="宋体" w:cs="宋体"/>
          <w:sz w:val="24"/>
        </w:rPr>
      </w:pPr>
      <w:r>
        <w:rPr>
          <w:rFonts w:hint="eastAsia" w:ascii="宋体" w:hAnsi="宋体" w:cs="宋体"/>
          <w:sz w:val="24"/>
        </w:rPr>
        <w:t>（八）指令的保管</w:t>
      </w:r>
    </w:p>
    <w:p>
      <w:pPr>
        <w:spacing w:line="360" w:lineRule="auto"/>
        <w:ind w:firstLine="480" w:firstLineChars="200"/>
        <w:rPr>
          <w:rFonts w:ascii="宋体" w:hAnsi="宋体" w:cs="宋体"/>
          <w:sz w:val="24"/>
        </w:rPr>
      </w:pPr>
      <w:r>
        <w:rPr>
          <w:rFonts w:hint="eastAsia" w:ascii="宋体" w:hAnsi="宋体" w:cs="宋体"/>
          <w:sz w:val="24"/>
        </w:rPr>
        <w:t>指令若以传真形式发出，则正本由基金管理人保管，基金托管人保管指令传真件。当两者不一致时，以基金托管人收到的指令传真件为准。</w:t>
      </w:r>
    </w:p>
    <w:p>
      <w:pPr>
        <w:spacing w:line="360" w:lineRule="auto"/>
        <w:ind w:firstLine="480" w:firstLineChars="200"/>
        <w:rPr>
          <w:rFonts w:ascii="宋体" w:hAnsi="宋体" w:cs="宋体"/>
          <w:sz w:val="24"/>
        </w:rPr>
      </w:pPr>
      <w:r>
        <w:rPr>
          <w:rFonts w:hint="eastAsia" w:ascii="宋体" w:hAnsi="宋体" w:cs="宋体"/>
          <w:sz w:val="24"/>
        </w:rPr>
        <w:t>（九）相关责任</w:t>
      </w:r>
    </w:p>
    <w:p>
      <w:pPr>
        <w:spacing w:line="360" w:lineRule="auto"/>
        <w:ind w:firstLine="480" w:firstLineChars="200"/>
        <w:rPr>
          <w:rFonts w:ascii="宋体" w:hAnsi="宋体" w:cs="宋体"/>
          <w:sz w:val="24"/>
        </w:rPr>
      </w:pPr>
      <w:r>
        <w:rPr>
          <w:rFonts w:hint="eastAsia" w:ascii="宋体" w:hAnsi="宋体" w:cs="宋体"/>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但如遇到不可抗力的情况除外。基金托管人正确及时执行基金管理人发送的有效指令，基金财产发生损失的，基金托管人不承担相应的责任。在正常业务受理渠道和指令规定的时间内，因基金托管人原因造成未能及时或正确执行合法合规的指令而导致基金财产受损的，基金托管人应承担相应的责任，但如遇到不可抗力的情况除外。</w:t>
      </w:r>
    </w:p>
    <w:p>
      <w:pPr>
        <w:spacing w:line="360" w:lineRule="auto"/>
        <w:ind w:firstLine="480" w:firstLineChars="200"/>
        <w:rPr>
          <w:rFonts w:ascii="宋体" w:hAnsi="宋体" w:cs="宋体"/>
          <w:sz w:val="24"/>
        </w:rPr>
      </w:pPr>
      <w:r>
        <w:rPr>
          <w:rFonts w:hint="eastAsia" w:ascii="宋体" w:hAnsi="宋体" w:cs="宋体"/>
          <w:sz w:val="24"/>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相应责任由基金管理人承担，但基金托管人未按本协议约定尽形式审核义务执行指令而造成损失的情形除外。</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bookmarkStart w:id="81" w:name="_Toc108512361"/>
      <w:bookmarkStart w:id="82" w:name="_Toc110830495"/>
      <w:bookmarkStart w:id="83" w:name="_Toc86223245"/>
      <w:bookmarkStart w:id="84" w:name="_Toc86225294"/>
      <w:bookmarkStart w:id="85" w:name="_Toc118774806"/>
      <w:bookmarkStart w:id="86" w:name="_Toc120435786"/>
      <w:bookmarkStart w:id="87" w:name="_Toc89163371"/>
      <w:bookmarkStart w:id="88" w:name="_Toc84133788"/>
      <w:bookmarkStart w:id="89" w:name="_Toc86737932"/>
      <w:bookmarkStart w:id="90" w:name="_Toc110761799"/>
      <w:bookmarkStart w:id="91" w:name="_Toc86649725"/>
      <w:bookmarkStart w:id="92" w:name="_Toc84234437"/>
      <w:bookmarkStart w:id="93" w:name="_Toc86204791"/>
      <w:bookmarkStart w:id="94" w:name="_Toc86726442"/>
      <w:bookmarkStart w:id="95" w:name="_Toc110765663"/>
      <w:bookmarkStart w:id="96" w:name="_Toc119402713"/>
      <w:bookmarkStart w:id="97" w:name="_Toc84234390"/>
      <w:bookmarkStart w:id="98" w:name="_Toc118972651"/>
      <w:bookmarkStart w:id="99" w:name="_Toc86727358"/>
      <w:bookmarkStart w:id="100" w:name="_Toc118212953"/>
      <w:r>
        <w:rPr>
          <w:rFonts w:hint="eastAsia" w:ascii="宋体" w:hAnsi="宋体" w:cs="宋体"/>
          <w:sz w:val="24"/>
          <w:szCs w:val="24"/>
        </w:rPr>
        <w:br w:type="page"/>
      </w:r>
      <w:bookmarkStart w:id="101" w:name="_Toc31503"/>
      <w:bookmarkStart w:id="102" w:name="_Toc26448"/>
      <w:bookmarkStart w:id="103" w:name="_Toc384992697"/>
      <w:bookmarkStart w:id="104" w:name="_Toc348082035"/>
      <w:r>
        <w:rPr>
          <w:rFonts w:hint="eastAsia" w:ascii="宋体" w:hAnsi="宋体" w:cs="宋体"/>
          <w:sz w:val="30"/>
          <w:szCs w:val="30"/>
        </w:rPr>
        <w:t>七、交易及清算交收安排</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80" w:firstLineChars="200"/>
        <w:rPr>
          <w:rFonts w:ascii="宋体" w:hAnsi="宋体" w:cs="宋体"/>
          <w:sz w:val="24"/>
        </w:rPr>
      </w:pPr>
      <w:r>
        <w:rPr>
          <w:rFonts w:hint="eastAsia" w:ascii="宋体" w:hAnsi="宋体" w:cs="宋体"/>
          <w:sz w:val="24"/>
        </w:rPr>
        <w:t>（一）选择代理证券、期货买卖的证券、期货经纪机构</w:t>
      </w:r>
    </w:p>
    <w:p>
      <w:pPr>
        <w:spacing w:line="360" w:lineRule="auto"/>
        <w:ind w:firstLine="480" w:firstLineChars="200"/>
        <w:rPr>
          <w:rFonts w:ascii="宋体" w:hAnsi="宋体" w:cs="宋体"/>
          <w:sz w:val="24"/>
        </w:rPr>
      </w:pPr>
      <w:r>
        <w:rPr>
          <w:rFonts w:hint="eastAsia" w:ascii="宋体" w:hAnsi="宋体" w:cs="宋体"/>
          <w:sz w:val="24"/>
        </w:rPr>
        <w:t>1、基金管理人应制定选择的标准和程序，并负责根据相关标准以及内部管理制度对有关证券经纪机构进行考察后确定代理本基金证券买卖证券经纪机构，并承担相应责任。基金管理人、基金托管人和证券经纪机构可就本基金参与证券交易的具体事项另行签订证券经纪服务协议。</w:t>
      </w:r>
    </w:p>
    <w:p>
      <w:pPr>
        <w:spacing w:line="360" w:lineRule="auto"/>
        <w:ind w:firstLine="480" w:firstLineChars="200"/>
        <w:rPr>
          <w:rFonts w:ascii="宋体" w:hAnsi="宋体" w:cs="宋体"/>
          <w:sz w:val="24"/>
        </w:rPr>
      </w:pPr>
      <w:r>
        <w:rPr>
          <w:rFonts w:hint="eastAsia" w:ascii="宋体" w:hAnsi="宋体" w:cs="宋体"/>
          <w:sz w:val="24"/>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pPr>
        <w:spacing w:line="360" w:lineRule="auto"/>
        <w:ind w:firstLine="480" w:firstLineChars="200"/>
        <w:rPr>
          <w:rFonts w:ascii="宋体" w:hAnsi="宋体" w:cs="宋体"/>
          <w:sz w:val="24"/>
        </w:rPr>
      </w:pPr>
      <w:r>
        <w:rPr>
          <w:rFonts w:hint="eastAsia" w:ascii="宋体" w:hAnsi="宋体" w:cs="宋体"/>
          <w:sz w:val="24"/>
        </w:rPr>
        <w:t>（1）基金管理人所选择的期货公司负责办理基金资产的期货交易的清算交割。</w:t>
      </w:r>
    </w:p>
    <w:p>
      <w:pPr>
        <w:spacing w:line="360" w:lineRule="auto"/>
        <w:ind w:firstLine="480" w:firstLineChars="200"/>
        <w:rPr>
          <w:rFonts w:ascii="宋体" w:hAnsi="宋体" w:cs="宋体"/>
          <w:sz w:val="24"/>
        </w:rPr>
      </w:pPr>
      <w:r>
        <w:rPr>
          <w:rFonts w:hint="eastAsia" w:ascii="宋体" w:hAnsi="宋体" w:cs="宋体"/>
          <w:sz w:val="24"/>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pPr>
        <w:spacing w:line="360" w:lineRule="auto"/>
        <w:ind w:firstLine="480" w:firstLineChars="200"/>
        <w:rPr>
          <w:rFonts w:ascii="宋体" w:hAnsi="宋体" w:cs="宋体"/>
          <w:sz w:val="24"/>
        </w:rPr>
      </w:pPr>
      <w:r>
        <w:rPr>
          <w:rFonts w:hint="eastAsia" w:ascii="宋体" w:hAnsi="宋体" w:cs="宋体"/>
          <w:sz w:val="24"/>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pPr>
        <w:spacing w:line="360" w:lineRule="auto"/>
        <w:ind w:firstLine="480" w:firstLineChars="200"/>
        <w:rPr>
          <w:rFonts w:ascii="宋体" w:hAnsi="宋体" w:cs="宋体"/>
          <w:sz w:val="24"/>
        </w:rPr>
      </w:pPr>
      <w:r>
        <w:rPr>
          <w:rFonts w:hint="eastAsia" w:ascii="宋体" w:hAnsi="宋体" w:cs="宋体"/>
          <w:sz w:val="24"/>
        </w:rPr>
        <w:t>（3）基金管理人应责成其选择的期货公司对发送的数据的准确性、完整性、真实性负责。</w:t>
      </w:r>
    </w:p>
    <w:p>
      <w:pPr>
        <w:spacing w:line="360" w:lineRule="auto"/>
        <w:ind w:firstLine="480" w:firstLineChars="200"/>
        <w:rPr>
          <w:rFonts w:ascii="宋体" w:hAnsi="宋体" w:cs="宋体"/>
          <w:sz w:val="24"/>
        </w:rPr>
      </w:pPr>
      <w:r>
        <w:rPr>
          <w:rFonts w:hint="eastAsia" w:ascii="宋体" w:hAnsi="宋体" w:cs="宋体"/>
          <w:sz w:val="24"/>
        </w:rPr>
        <w:t>由于交易结算报告的记载事项出现与实际交易结果和权益不符造成本基金估值计算错误的，应由基金管理人负责向数据发送方追偿，基金托管人不承担责任，但应给予必要的配合。</w:t>
      </w:r>
    </w:p>
    <w:p>
      <w:pPr>
        <w:spacing w:line="360" w:lineRule="auto"/>
        <w:ind w:firstLine="480" w:firstLineChars="200"/>
        <w:rPr>
          <w:rFonts w:ascii="宋体" w:hAnsi="宋体" w:cs="宋体"/>
          <w:sz w:val="24"/>
        </w:rPr>
      </w:pPr>
      <w:r>
        <w:rPr>
          <w:rFonts w:hint="eastAsia" w:ascii="宋体" w:hAnsi="宋体" w:cs="宋体"/>
          <w:sz w:val="24"/>
        </w:rPr>
        <w:t>（二）基金投资证券后的清算交收安排</w:t>
      </w:r>
    </w:p>
    <w:p>
      <w:pPr>
        <w:widowControl/>
        <w:spacing w:line="360" w:lineRule="auto"/>
        <w:ind w:firstLine="480" w:firstLineChars="200"/>
        <w:rPr>
          <w:rFonts w:ascii="宋体" w:hAnsi="宋体" w:cs="宋体"/>
          <w:sz w:val="24"/>
        </w:rPr>
      </w:pPr>
      <w:r>
        <w:rPr>
          <w:rFonts w:hint="eastAsia" w:ascii="宋体" w:hAnsi="宋体" w:cs="宋体"/>
          <w:sz w:val="24"/>
        </w:rPr>
        <w:t xml:space="preserve">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 </w:t>
      </w:r>
    </w:p>
    <w:p>
      <w:pPr>
        <w:widowControl/>
        <w:spacing w:line="360" w:lineRule="auto"/>
        <w:ind w:firstLine="480" w:firstLineChars="200"/>
        <w:rPr>
          <w:rFonts w:ascii="宋体" w:hAnsi="宋体" w:cs="宋体"/>
          <w:sz w:val="24"/>
        </w:rPr>
      </w:pPr>
      <w:r>
        <w:rPr>
          <w:rFonts w:hint="eastAsia" w:ascii="宋体" w:hAnsi="宋体" w:cs="宋体"/>
          <w:sz w:val="24"/>
        </w:rPr>
        <w:t xml:space="preserve">对基金管理人的资金划拨指令，基金托管人在复核无误后应在规定期限内执行不得延误。 </w:t>
      </w:r>
    </w:p>
    <w:p>
      <w:pPr>
        <w:widowControl/>
        <w:spacing w:line="360" w:lineRule="auto"/>
        <w:ind w:firstLine="480" w:firstLineChars="200"/>
        <w:rPr>
          <w:rFonts w:ascii="宋体" w:hAnsi="宋体" w:cs="宋体"/>
          <w:sz w:val="24"/>
        </w:rPr>
      </w:pPr>
      <w:r>
        <w:rPr>
          <w:rFonts w:hint="eastAsia" w:ascii="宋体" w:hAnsi="宋体" w:cs="宋体"/>
          <w:sz w:val="24"/>
        </w:rPr>
        <w:t>本基金投资于所有场外交易的资金汇划，由基金托管人负责办理。</w:t>
      </w:r>
    </w:p>
    <w:p>
      <w:pPr>
        <w:spacing w:line="360" w:lineRule="auto"/>
        <w:ind w:firstLine="480" w:firstLineChars="200"/>
        <w:rPr>
          <w:rFonts w:ascii="宋体" w:hAnsi="宋体" w:cs="宋体"/>
          <w:sz w:val="24"/>
        </w:rPr>
      </w:pPr>
      <w:r>
        <w:rPr>
          <w:rFonts w:hint="eastAsia" w:ascii="宋体" w:hAnsi="宋体" w:cs="宋体"/>
          <w:sz w:val="24"/>
        </w:rPr>
        <w:t>证券经纪机构代理本基金财产与中登公司完成证券交易及非交易涉及的证券资金结算业务，并承担由证券经纪机构原因造成的正常结算、交收业务无法完成的责任。</w:t>
      </w:r>
    </w:p>
    <w:p>
      <w:pPr>
        <w:spacing w:line="360" w:lineRule="auto"/>
        <w:ind w:firstLine="480" w:firstLineChars="200"/>
        <w:rPr>
          <w:rFonts w:ascii="宋体" w:hAnsi="宋体" w:cs="宋体"/>
          <w:sz w:val="24"/>
        </w:rPr>
      </w:pPr>
      <w:r>
        <w:rPr>
          <w:rFonts w:hint="eastAsia" w:ascii="宋体" w:hAnsi="宋体" w:cs="宋体"/>
          <w:sz w:val="24"/>
        </w:rPr>
        <w:t>（三）基金申购、赎回和转换业务处理的基本规定</w:t>
      </w:r>
    </w:p>
    <w:p>
      <w:pPr>
        <w:spacing w:line="360" w:lineRule="auto"/>
        <w:ind w:firstLine="480" w:firstLineChars="200"/>
        <w:rPr>
          <w:rFonts w:ascii="宋体" w:hAnsi="宋体" w:cs="宋体"/>
          <w:sz w:val="24"/>
        </w:rPr>
      </w:pPr>
      <w:r>
        <w:rPr>
          <w:rFonts w:hint="eastAsia" w:ascii="宋体" w:hAnsi="宋体" w:cs="宋体"/>
          <w:sz w:val="24"/>
        </w:rPr>
        <w:t>1.基金份额申购、赎回、转换的确认、清算由基金管理人或其委托的登记机构负责。</w:t>
      </w:r>
    </w:p>
    <w:p>
      <w:pPr>
        <w:spacing w:line="360" w:lineRule="auto"/>
        <w:ind w:firstLine="480" w:firstLineChars="200"/>
        <w:rPr>
          <w:rFonts w:ascii="宋体" w:hAnsi="宋体" w:cs="宋体"/>
          <w:sz w:val="24"/>
        </w:rPr>
      </w:pPr>
      <w:r>
        <w:rPr>
          <w:rFonts w:hint="eastAsia" w:ascii="宋体" w:hAnsi="宋体" w:cs="宋体"/>
          <w:sz w:val="24"/>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pPr>
        <w:spacing w:line="360" w:lineRule="auto"/>
        <w:ind w:firstLine="480" w:firstLineChars="200"/>
        <w:rPr>
          <w:rFonts w:ascii="宋体" w:hAnsi="宋体" w:cs="宋体"/>
          <w:sz w:val="24"/>
        </w:rPr>
      </w:pPr>
      <w:r>
        <w:rPr>
          <w:rFonts w:hint="eastAsia" w:ascii="宋体" w:hAnsi="宋体" w:cs="宋体"/>
          <w:sz w:val="24"/>
        </w:rPr>
        <w:t>3.基金管理人应保证本基金（或本基金管理人委托）的注册登记机构每个工作日15:00前向基金托管人发送前一开放日上述有关数据，并保证相关数据的准确、完整。</w:t>
      </w:r>
    </w:p>
    <w:p>
      <w:pPr>
        <w:spacing w:line="360" w:lineRule="auto"/>
        <w:ind w:firstLine="480" w:firstLineChars="200"/>
        <w:rPr>
          <w:rFonts w:ascii="宋体" w:hAnsi="宋体" w:cs="宋体"/>
          <w:sz w:val="24"/>
        </w:rPr>
      </w:pPr>
      <w:r>
        <w:rPr>
          <w:rFonts w:hint="eastAsia" w:ascii="宋体" w:hAnsi="宋体" w:cs="宋体"/>
          <w:sz w:val="24"/>
        </w:rPr>
        <w:t>4.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pPr>
        <w:spacing w:line="360" w:lineRule="auto"/>
        <w:ind w:firstLine="480" w:firstLineChars="200"/>
        <w:rPr>
          <w:rFonts w:ascii="宋体" w:hAnsi="宋体" w:cs="宋体"/>
          <w:sz w:val="24"/>
        </w:rPr>
      </w:pPr>
      <w:r>
        <w:rPr>
          <w:rFonts w:hint="eastAsia" w:ascii="宋体" w:hAnsi="宋体" w:cs="宋体"/>
          <w:sz w:val="24"/>
        </w:rPr>
        <w:t>5.如基金管理人委托其他机构办理本基金的注册登记业务，应保证上述相关事宜按时进行。否则，由基金管理人承担相应的责任。</w:t>
      </w:r>
    </w:p>
    <w:p>
      <w:pPr>
        <w:spacing w:line="360" w:lineRule="auto"/>
        <w:ind w:firstLine="480" w:firstLineChars="200"/>
        <w:rPr>
          <w:rFonts w:ascii="宋体" w:hAnsi="宋体" w:cs="宋体"/>
          <w:sz w:val="24"/>
        </w:rPr>
      </w:pPr>
      <w:r>
        <w:rPr>
          <w:rFonts w:hint="eastAsia" w:ascii="宋体" w:hAnsi="宋体" w:cs="宋体"/>
          <w:sz w:val="24"/>
        </w:rPr>
        <w:t>6.关于清算专用账户的设立和管理</w:t>
      </w:r>
    </w:p>
    <w:p>
      <w:pPr>
        <w:spacing w:line="360" w:lineRule="auto"/>
        <w:ind w:firstLine="480" w:firstLineChars="200"/>
        <w:rPr>
          <w:rFonts w:ascii="宋体" w:hAnsi="宋体" w:cs="宋体"/>
          <w:sz w:val="24"/>
        </w:rPr>
      </w:pPr>
      <w:r>
        <w:rPr>
          <w:rFonts w:hint="eastAsia" w:ascii="宋体" w:hAnsi="宋体" w:cs="宋体"/>
          <w:sz w:val="24"/>
        </w:rPr>
        <w:t>为满足申购、赎回、转换及分红资金汇划的需要，由基金管理人开立资金清算的专用账户，该账户由注册登记机构管理。</w:t>
      </w:r>
    </w:p>
    <w:p>
      <w:pPr>
        <w:spacing w:line="360" w:lineRule="auto"/>
        <w:ind w:firstLine="480" w:firstLineChars="200"/>
        <w:rPr>
          <w:rFonts w:ascii="宋体" w:hAnsi="宋体" w:cs="宋体"/>
          <w:sz w:val="24"/>
        </w:rPr>
      </w:pPr>
      <w:r>
        <w:rPr>
          <w:rFonts w:hint="eastAsia" w:ascii="宋体" w:hAnsi="宋体" w:cs="宋体"/>
          <w:sz w:val="24"/>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但基金托管人应当提供充分的协助。</w:t>
      </w:r>
    </w:p>
    <w:p>
      <w:pPr>
        <w:spacing w:line="360" w:lineRule="auto"/>
        <w:ind w:firstLine="480" w:firstLineChars="200"/>
        <w:rPr>
          <w:rFonts w:ascii="宋体" w:hAnsi="宋体" w:cs="宋体"/>
          <w:sz w:val="24"/>
        </w:rPr>
      </w:pPr>
      <w:r>
        <w:rPr>
          <w:rFonts w:hint="eastAsia" w:ascii="宋体" w:hAnsi="宋体" w:cs="宋体"/>
          <w:sz w:val="24"/>
        </w:rPr>
        <w:t>8.赎回、转换资金划付规定</w:t>
      </w:r>
    </w:p>
    <w:p>
      <w:pPr>
        <w:spacing w:line="360" w:lineRule="auto"/>
        <w:ind w:firstLine="480" w:firstLineChars="200"/>
        <w:rPr>
          <w:rFonts w:ascii="宋体" w:hAnsi="宋体" w:cs="宋体"/>
          <w:sz w:val="24"/>
        </w:rPr>
      </w:pPr>
      <w:r>
        <w:rPr>
          <w:rFonts w:hint="eastAsia" w:ascii="宋体" w:hAnsi="宋体" w:cs="宋体"/>
          <w:sz w:val="24"/>
        </w:rPr>
        <w:t>划付赎回款、转换转出款时，如基金资金账户有足够的资金，基金托管人应按时划付；因基金资金账户没有足够的资金，导致基金托管人不能按时划付，基金托管人不承担责任，但应及时通知基金管理人，如系基金管理人原因造成的，相应责任由基金管理人承担，基金托管人不承担垫款义务。</w:t>
      </w:r>
    </w:p>
    <w:p>
      <w:pPr>
        <w:spacing w:line="360" w:lineRule="auto"/>
        <w:ind w:firstLine="480" w:firstLineChars="200"/>
        <w:rPr>
          <w:rFonts w:ascii="宋体" w:hAnsi="宋体" w:cs="宋体"/>
          <w:sz w:val="24"/>
        </w:rPr>
      </w:pPr>
      <w:r>
        <w:rPr>
          <w:rFonts w:hint="eastAsia" w:ascii="宋体" w:hAnsi="宋体" w:cs="宋体"/>
          <w:sz w:val="24"/>
        </w:rPr>
        <w:t>9.资金指令</w:t>
      </w:r>
    </w:p>
    <w:p>
      <w:pPr>
        <w:spacing w:line="360" w:lineRule="auto"/>
        <w:ind w:firstLine="480" w:firstLineChars="200"/>
        <w:rPr>
          <w:rFonts w:ascii="宋体" w:hAnsi="宋体" w:cs="宋体"/>
          <w:sz w:val="24"/>
        </w:rPr>
      </w:pPr>
      <w:r>
        <w:rPr>
          <w:rFonts w:hint="eastAsia" w:ascii="宋体" w:hAnsi="宋体" w:cs="宋体"/>
          <w:sz w:val="24"/>
        </w:rPr>
        <w:t>除申购款项到达基金资金账户需双方按约定方式对账外，与投资有关的付款、赎回和分红资金划拨时，基金管理人需向基金托管人下达指令。</w:t>
      </w:r>
    </w:p>
    <w:p>
      <w:pPr>
        <w:spacing w:line="360" w:lineRule="auto"/>
        <w:ind w:firstLine="480" w:firstLineChars="200"/>
        <w:rPr>
          <w:rFonts w:ascii="宋体" w:hAnsi="宋体" w:cs="宋体"/>
          <w:sz w:val="24"/>
        </w:rPr>
      </w:pPr>
      <w:r>
        <w:rPr>
          <w:rFonts w:hint="eastAsia" w:ascii="宋体" w:hAnsi="宋体" w:cs="宋体"/>
          <w:sz w:val="24"/>
        </w:rPr>
        <w:t>资金指令的格式、内容、发送、接收和确认方式等与投资指令相同。</w:t>
      </w:r>
    </w:p>
    <w:p>
      <w:pPr>
        <w:spacing w:line="360" w:lineRule="auto"/>
        <w:ind w:firstLine="480" w:firstLineChars="200"/>
        <w:rPr>
          <w:rFonts w:ascii="宋体" w:hAnsi="宋体" w:cs="宋体"/>
          <w:sz w:val="24"/>
        </w:rPr>
      </w:pPr>
      <w:r>
        <w:rPr>
          <w:rFonts w:hint="eastAsia" w:ascii="宋体" w:hAnsi="宋体" w:cs="宋体"/>
          <w:sz w:val="24"/>
        </w:rPr>
        <w:t>（四）资金净额结算</w:t>
      </w:r>
    </w:p>
    <w:p>
      <w:pPr>
        <w:spacing w:line="360" w:lineRule="auto"/>
        <w:ind w:firstLine="480" w:firstLineChars="200"/>
        <w:rPr>
          <w:rFonts w:ascii="宋体" w:hAnsi="宋体" w:cs="宋体"/>
          <w:sz w:val="24"/>
        </w:rPr>
      </w:pPr>
      <w:r>
        <w:rPr>
          <w:rFonts w:hint="eastAsia" w:ascii="宋体" w:hAnsi="宋体" w:cs="宋体"/>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15:00时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pPr>
        <w:spacing w:line="360" w:lineRule="auto"/>
        <w:ind w:firstLine="480" w:firstLineChars="200"/>
        <w:rPr>
          <w:rFonts w:ascii="宋体" w:hAnsi="宋体" w:cs="宋体"/>
          <w:sz w:val="24"/>
        </w:rPr>
      </w:pPr>
      <w:r>
        <w:rPr>
          <w:rFonts w:hint="eastAsia" w:ascii="宋体" w:hAnsi="宋体" w:cs="宋体"/>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pPr>
        <w:spacing w:line="360" w:lineRule="auto"/>
        <w:ind w:firstLine="480" w:firstLineChars="200"/>
        <w:rPr>
          <w:rFonts w:ascii="宋体" w:hAnsi="宋体" w:cs="宋体"/>
          <w:sz w:val="24"/>
        </w:rPr>
      </w:pPr>
      <w:r>
        <w:rPr>
          <w:rFonts w:hint="eastAsia" w:ascii="宋体" w:hAnsi="宋体" w:cs="宋体"/>
          <w:sz w:val="24"/>
        </w:rPr>
        <w:t>（五）基金现金分红</w:t>
      </w:r>
    </w:p>
    <w:p>
      <w:pPr>
        <w:spacing w:line="360" w:lineRule="auto"/>
        <w:ind w:firstLine="480" w:firstLineChars="200"/>
        <w:rPr>
          <w:rFonts w:ascii="宋体" w:hAnsi="宋体" w:cs="宋体"/>
          <w:sz w:val="24"/>
        </w:rPr>
      </w:pPr>
      <w:r>
        <w:rPr>
          <w:rFonts w:hint="eastAsia" w:ascii="宋体" w:hAnsi="宋体" w:cs="宋体"/>
          <w:sz w:val="24"/>
        </w:rPr>
        <w:t>1.基金管理人确定分红方案通知基金托管人，双方核定后依照《信息披露办法》的有关规定在中国证监会规定媒介上公告。</w:t>
      </w:r>
    </w:p>
    <w:p>
      <w:pPr>
        <w:spacing w:line="360" w:lineRule="auto"/>
        <w:ind w:firstLine="480" w:firstLineChars="200"/>
        <w:rPr>
          <w:rFonts w:ascii="宋体" w:hAnsi="宋体" w:cs="宋体"/>
          <w:sz w:val="24"/>
        </w:rPr>
      </w:pPr>
      <w:r>
        <w:rPr>
          <w:rFonts w:hint="eastAsia" w:ascii="宋体" w:hAnsi="宋体" w:cs="宋体"/>
          <w:sz w:val="24"/>
        </w:rPr>
        <w:t>2.基金托管人和基金管理人对基金分红进行账务处理并核对后，基金管理人向基金托管人发送现金红利的划款指令，基金托管人应根据指令及时将分红款划往基金清算账户。</w:t>
      </w:r>
    </w:p>
    <w:p>
      <w:pPr>
        <w:spacing w:line="360" w:lineRule="auto"/>
        <w:ind w:firstLine="480" w:firstLineChars="200"/>
        <w:rPr>
          <w:rFonts w:ascii="宋体" w:hAnsi="宋体" w:cs="宋体"/>
          <w:sz w:val="24"/>
        </w:rPr>
      </w:pPr>
      <w:r>
        <w:rPr>
          <w:rFonts w:hint="eastAsia" w:ascii="宋体" w:hAnsi="宋体" w:cs="宋体"/>
          <w:sz w:val="24"/>
        </w:rPr>
        <w:t>3.基金管理人在下达指令时，应给基金托管人留出必需的划款时间。</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05" w:name="_Toc384992698"/>
      <w:bookmarkStart w:id="106" w:name="_Toc21859"/>
      <w:bookmarkStart w:id="107" w:name="_Toc30134"/>
      <w:bookmarkStart w:id="108" w:name="_Toc348082036"/>
      <w:r>
        <w:rPr>
          <w:rFonts w:hint="eastAsia" w:ascii="宋体" w:hAnsi="宋体" w:cs="宋体"/>
          <w:sz w:val="30"/>
          <w:szCs w:val="30"/>
        </w:rPr>
        <w:t>八、基金资产净值计算、估值和会计核算</w:t>
      </w:r>
      <w:bookmarkEnd w:id="105"/>
      <w:bookmarkEnd w:id="106"/>
      <w:bookmarkEnd w:id="107"/>
      <w:bookmarkEnd w:id="108"/>
    </w:p>
    <w:p>
      <w:pPr>
        <w:spacing w:line="360" w:lineRule="auto"/>
        <w:ind w:firstLine="480" w:firstLineChars="200"/>
        <w:rPr>
          <w:rFonts w:ascii="宋体" w:hAnsi="宋体" w:cs="宋体"/>
          <w:sz w:val="24"/>
        </w:rPr>
      </w:pPr>
      <w:r>
        <w:rPr>
          <w:rFonts w:hint="eastAsia" w:ascii="宋体" w:hAnsi="宋体" w:cs="宋体"/>
          <w:sz w:val="24"/>
        </w:rPr>
        <w:t>（一）基金资产净值的计算、复核与完成的时间及程序</w:t>
      </w:r>
    </w:p>
    <w:p>
      <w:pPr>
        <w:spacing w:line="360" w:lineRule="auto"/>
        <w:ind w:firstLine="480" w:firstLineChars="200"/>
        <w:rPr>
          <w:rFonts w:ascii="宋体" w:hAnsi="宋体" w:cs="宋体"/>
          <w:sz w:val="24"/>
        </w:rPr>
      </w:pPr>
      <w:r>
        <w:rPr>
          <w:rFonts w:hint="eastAsia" w:ascii="宋体" w:hAnsi="宋体" w:cs="宋体"/>
          <w:sz w:val="24"/>
        </w:rPr>
        <w:t>1.基金资产净值</w:t>
      </w:r>
    </w:p>
    <w:p>
      <w:pPr>
        <w:spacing w:line="360" w:lineRule="auto"/>
        <w:ind w:firstLine="480" w:firstLineChars="200"/>
        <w:rPr>
          <w:rFonts w:ascii="宋体" w:hAnsi="宋体" w:cs="宋体"/>
          <w:sz w:val="24"/>
        </w:rPr>
      </w:pPr>
      <w:r>
        <w:rPr>
          <w:rFonts w:hint="eastAsia" w:ascii="宋体" w:hAnsi="宋体" w:cs="宋体"/>
          <w:sz w:val="24"/>
        </w:rPr>
        <w:t>基金资产净值是指基金资产总值减去基金负债后的价值。</w:t>
      </w:r>
    </w:p>
    <w:p>
      <w:pPr>
        <w:spacing w:line="360" w:lineRule="auto"/>
        <w:ind w:firstLine="480" w:firstLineChars="200"/>
        <w:rPr>
          <w:rFonts w:ascii="宋体" w:hAnsi="宋体" w:cs="宋体"/>
          <w:sz w:val="24"/>
        </w:rPr>
      </w:pPr>
      <w:r>
        <w:rPr>
          <w:rFonts w:hint="eastAsia" w:ascii="宋体" w:hAnsi="宋体" w:cs="宋体"/>
          <w:sz w:val="24"/>
        </w:rPr>
        <w:t>各类基金份额的基金份额净值是指按照每个工作日闭市后，该类基金资产净值除以当日该类基金份额的余额数量计算，均精确到 0.0001元，小数点后第5 位四舍五入，由此产生的误差计入基金财产。基金管理人可以设立大额赎回情形下的净值精度应急调整机制。国家另有规定的，从其规定。</w:t>
      </w:r>
    </w:p>
    <w:p>
      <w:pPr>
        <w:spacing w:line="360" w:lineRule="auto"/>
        <w:ind w:firstLine="480" w:firstLineChars="200"/>
        <w:rPr>
          <w:rFonts w:ascii="宋体" w:hAnsi="宋体" w:cs="宋体"/>
          <w:sz w:val="24"/>
        </w:rPr>
      </w:pPr>
      <w:r>
        <w:rPr>
          <w:rFonts w:hint="eastAsia" w:ascii="宋体" w:hAnsi="宋体" w:cs="宋体"/>
          <w:sz w:val="24"/>
        </w:rPr>
        <w:t>基金管理人每个工作日计算基金资产净值及各类基金份额的基金份额净值，经基金托管人复核，按规定公告。如遇特殊情况，经履行适当程序，可以适当延迟计算或公告。</w:t>
      </w:r>
    </w:p>
    <w:p>
      <w:pPr>
        <w:spacing w:line="360" w:lineRule="auto"/>
        <w:ind w:firstLine="480" w:firstLineChars="200"/>
        <w:rPr>
          <w:rFonts w:ascii="宋体" w:hAnsi="宋体" w:cs="宋体"/>
          <w:sz w:val="24"/>
        </w:rPr>
      </w:pPr>
      <w:r>
        <w:rPr>
          <w:rFonts w:hint="eastAsia" w:ascii="宋体" w:hAnsi="宋体" w:cs="宋体"/>
          <w:sz w:val="24"/>
        </w:rPr>
        <w:t>2.复核程序</w:t>
      </w:r>
    </w:p>
    <w:p>
      <w:pPr>
        <w:spacing w:line="360" w:lineRule="auto"/>
        <w:ind w:firstLine="480" w:firstLineChars="200"/>
        <w:rPr>
          <w:rFonts w:ascii="宋体" w:hAnsi="宋体" w:cs="宋体"/>
          <w:sz w:val="24"/>
        </w:rPr>
      </w:pPr>
      <w:r>
        <w:rPr>
          <w:rFonts w:hint="eastAsia" w:ascii="宋体" w:hAnsi="宋体" w:cs="宋体"/>
          <w:sz w:val="24"/>
        </w:rPr>
        <w:t>基金管理人每工作日对基金资产进行估值后，将基金资产净值、各类基金份额净值、基金份额参考净值（如有）发送基金托管人，经基金托管人复核无误后，由基金管理人对外公布。</w:t>
      </w:r>
    </w:p>
    <w:p>
      <w:pPr>
        <w:spacing w:line="360" w:lineRule="auto"/>
        <w:ind w:firstLine="480" w:firstLineChars="200"/>
        <w:rPr>
          <w:rFonts w:ascii="宋体" w:hAnsi="宋体" w:cs="宋体"/>
          <w:sz w:val="24"/>
        </w:rPr>
      </w:pPr>
      <w:r>
        <w:rPr>
          <w:rFonts w:hint="eastAsia" w:ascii="宋体" w:hAnsi="宋体" w:cs="宋体"/>
          <w:sz w:val="24"/>
        </w:rPr>
        <w:t>3.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信息的计算结果对外予以公布。</w:t>
      </w:r>
    </w:p>
    <w:p>
      <w:pPr>
        <w:spacing w:line="360" w:lineRule="auto"/>
        <w:ind w:firstLine="480" w:firstLineChars="200"/>
        <w:rPr>
          <w:rFonts w:ascii="宋体" w:hAnsi="宋体" w:cs="宋体"/>
          <w:sz w:val="24"/>
        </w:rPr>
      </w:pPr>
      <w:r>
        <w:rPr>
          <w:rFonts w:hint="eastAsia" w:ascii="宋体" w:hAnsi="宋体" w:cs="宋体"/>
          <w:sz w:val="24"/>
        </w:rPr>
        <w:t>（二）基金资产的估值</w:t>
      </w:r>
    </w:p>
    <w:p>
      <w:pPr>
        <w:spacing w:line="360" w:lineRule="auto"/>
        <w:ind w:firstLine="480" w:firstLineChars="200"/>
        <w:rPr>
          <w:rFonts w:ascii="宋体" w:hAnsi="宋体" w:cs="宋体"/>
          <w:sz w:val="24"/>
        </w:rPr>
      </w:pPr>
      <w:r>
        <w:rPr>
          <w:rFonts w:hint="eastAsia" w:ascii="宋体" w:hAnsi="宋体" w:cs="宋体"/>
          <w:sz w:val="24"/>
        </w:rPr>
        <w:t>基金管理人及基金托管人应当按照《基金合同》的约定进行估值。</w:t>
      </w:r>
    </w:p>
    <w:p>
      <w:pPr>
        <w:spacing w:line="360" w:lineRule="auto"/>
        <w:ind w:firstLine="480" w:firstLineChars="200"/>
        <w:rPr>
          <w:rFonts w:ascii="宋体" w:hAnsi="宋体" w:cs="宋体"/>
          <w:sz w:val="24"/>
        </w:rPr>
      </w:pPr>
      <w:r>
        <w:rPr>
          <w:rFonts w:hint="eastAsia" w:ascii="宋体" w:hAnsi="宋体" w:cs="宋体"/>
          <w:sz w:val="24"/>
        </w:rPr>
        <w:t>鉴于本基金涉及销售服务费返还，该部分费用的会计核算及支付所需要的数据由管理人负责计算并按双方协商一致的方式提供给托管人，相关责任由基金管理人承担，基金托管人不承担责任。</w:t>
      </w:r>
    </w:p>
    <w:p>
      <w:pPr>
        <w:spacing w:line="360" w:lineRule="auto"/>
        <w:ind w:firstLine="480" w:firstLineChars="200"/>
        <w:rPr>
          <w:rFonts w:ascii="宋体" w:hAnsi="宋体" w:cs="宋体"/>
          <w:sz w:val="24"/>
        </w:rPr>
      </w:pPr>
      <w:r>
        <w:rPr>
          <w:rFonts w:hint="eastAsia" w:ascii="宋体" w:hAnsi="宋体" w:cs="宋体"/>
          <w:sz w:val="24"/>
        </w:rPr>
        <w:t>（三）基金份额净值错误的处理方式</w:t>
      </w:r>
    </w:p>
    <w:p>
      <w:pPr>
        <w:spacing w:line="360" w:lineRule="auto"/>
        <w:ind w:firstLine="480" w:firstLineChars="200"/>
        <w:rPr>
          <w:rFonts w:ascii="宋体" w:hAnsi="宋体" w:cs="宋体"/>
          <w:sz w:val="24"/>
        </w:rPr>
      </w:pPr>
      <w:r>
        <w:rPr>
          <w:rFonts w:hint="eastAsia" w:ascii="宋体" w:hAnsi="宋体" w:cs="宋体"/>
          <w:sz w:val="24"/>
        </w:rPr>
        <w:t>基金管理人及基金托管人应当按照《基金合同》的约定处理份额净值错误。</w:t>
      </w:r>
    </w:p>
    <w:p>
      <w:pPr>
        <w:spacing w:line="360" w:lineRule="auto"/>
        <w:ind w:firstLine="480" w:firstLineChars="200"/>
        <w:rPr>
          <w:rFonts w:ascii="宋体" w:hAnsi="宋体" w:cs="宋体"/>
          <w:sz w:val="24"/>
        </w:rPr>
      </w:pPr>
      <w:r>
        <w:rPr>
          <w:rFonts w:hint="eastAsia" w:ascii="宋体" w:hAnsi="宋体" w:cs="宋体"/>
          <w:sz w:val="24"/>
        </w:rPr>
        <w:t>（四）基金会计制度</w:t>
      </w:r>
    </w:p>
    <w:p>
      <w:pPr>
        <w:spacing w:line="360" w:lineRule="auto"/>
        <w:ind w:firstLine="480" w:firstLineChars="200"/>
        <w:rPr>
          <w:rFonts w:ascii="宋体" w:hAnsi="宋体" w:cs="宋体"/>
          <w:sz w:val="24"/>
        </w:rPr>
      </w:pPr>
      <w:r>
        <w:rPr>
          <w:rFonts w:hint="eastAsia" w:ascii="宋体" w:hAnsi="宋体" w:cs="宋体"/>
          <w:sz w:val="24"/>
        </w:rPr>
        <w:t>按国家有关部门规定的会计制度执行。</w:t>
      </w:r>
    </w:p>
    <w:p>
      <w:pPr>
        <w:spacing w:line="360" w:lineRule="auto"/>
        <w:ind w:firstLine="480" w:firstLineChars="200"/>
        <w:rPr>
          <w:rFonts w:ascii="宋体" w:hAnsi="宋体" w:cs="宋体"/>
          <w:sz w:val="24"/>
        </w:rPr>
      </w:pPr>
      <w:r>
        <w:rPr>
          <w:rFonts w:hint="eastAsia" w:ascii="宋体" w:hAnsi="宋体" w:cs="宋体"/>
          <w:sz w:val="24"/>
        </w:rPr>
        <w:t>（五）基金账册的建立</w:t>
      </w:r>
    </w:p>
    <w:p>
      <w:pPr>
        <w:spacing w:line="360" w:lineRule="auto"/>
        <w:ind w:firstLine="480" w:firstLineChars="200"/>
        <w:rPr>
          <w:rFonts w:ascii="宋体" w:hAnsi="宋体" w:cs="宋体"/>
          <w:sz w:val="24"/>
        </w:rPr>
      </w:pPr>
      <w:r>
        <w:rPr>
          <w:rFonts w:hint="eastAsia" w:ascii="宋体" w:hAnsi="宋体" w:cs="宋体"/>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pPr>
        <w:spacing w:line="360" w:lineRule="auto"/>
        <w:ind w:firstLine="480" w:firstLineChars="200"/>
        <w:rPr>
          <w:rFonts w:ascii="宋体" w:hAnsi="宋体" w:cs="宋体"/>
          <w:sz w:val="24"/>
        </w:rPr>
      </w:pPr>
      <w:r>
        <w:rPr>
          <w:rFonts w:hint="eastAsia" w:ascii="宋体" w:hAnsi="宋体" w:cs="宋体"/>
          <w:sz w:val="24"/>
        </w:rPr>
        <w:t>（六）基金财务报表与报告的编制和复核</w:t>
      </w:r>
    </w:p>
    <w:p>
      <w:pPr>
        <w:spacing w:line="360" w:lineRule="auto"/>
        <w:ind w:firstLine="480" w:firstLineChars="200"/>
        <w:rPr>
          <w:rFonts w:ascii="宋体" w:hAnsi="宋体" w:cs="宋体"/>
          <w:sz w:val="24"/>
        </w:rPr>
      </w:pPr>
      <w:r>
        <w:rPr>
          <w:rFonts w:hint="eastAsia" w:ascii="宋体" w:hAnsi="宋体" w:cs="宋体"/>
          <w:sz w:val="24"/>
        </w:rPr>
        <w:t>1.财务报表的编制</w:t>
      </w:r>
    </w:p>
    <w:p>
      <w:pPr>
        <w:spacing w:line="360" w:lineRule="auto"/>
        <w:ind w:firstLine="480" w:firstLineChars="200"/>
        <w:rPr>
          <w:rFonts w:ascii="宋体" w:hAnsi="宋体" w:cs="宋体"/>
          <w:sz w:val="24"/>
        </w:rPr>
      </w:pPr>
      <w:r>
        <w:rPr>
          <w:rFonts w:hint="eastAsia" w:ascii="宋体" w:hAnsi="宋体" w:cs="宋体"/>
          <w:sz w:val="24"/>
        </w:rPr>
        <w:t>基金财务报表由基金管理人编制，基金托管人复核。</w:t>
      </w:r>
    </w:p>
    <w:p>
      <w:pPr>
        <w:spacing w:line="360" w:lineRule="auto"/>
        <w:ind w:firstLine="480" w:firstLineChars="200"/>
        <w:rPr>
          <w:rFonts w:ascii="宋体" w:hAnsi="宋体" w:cs="宋体"/>
          <w:sz w:val="24"/>
        </w:rPr>
      </w:pPr>
      <w:r>
        <w:rPr>
          <w:rFonts w:hint="eastAsia" w:ascii="宋体" w:hAnsi="宋体" w:cs="宋体"/>
          <w:sz w:val="24"/>
        </w:rPr>
        <w:t>2.报表复核</w:t>
      </w:r>
    </w:p>
    <w:p>
      <w:pPr>
        <w:spacing w:line="360" w:lineRule="auto"/>
        <w:ind w:firstLine="480" w:firstLineChars="200"/>
        <w:rPr>
          <w:rFonts w:ascii="宋体" w:hAnsi="宋体" w:cs="宋体"/>
          <w:sz w:val="24"/>
        </w:rPr>
      </w:pPr>
      <w:r>
        <w:rPr>
          <w:rFonts w:hint="eastAsia" w:ascii="宋体" w:hAnsi="宋体" w:cs="宋体"/>
          <w:sz w:val="24"/>
        </w:rPr>
        <w:t>基金托管人在收到基金管理人编制的基金财务报表后，进行独立的复核。核对不符时，应及时通知基金管理人共同查出原因，进行调整，直至双方数据完全一致。</w:t>
      </w:r>
    </w:p>
    <w:p>
      <w:pPr>
        <w:spacing w:line="360" w:lineRule="auto"/>
        <w:ind w:firstLine="480" w:firstLineChars="200"/>
        <w:rPr>
          <w:rFonts w:ascii="宋体" w:hAnsi="宋体" w:cs="宋体"/>
          <w:sz w:val="24"/>
        </w:rPr>
      </w:pPr>
      <w:r>
        <w:rPr>
          <w:rFonts w:hint="eastAsia" w:ascii="宋体" w:hAnsi="宋体" w:cs="宋体"/>
          <w:sz w:val="24"/>
        </w:rPr>
        <w:t>3.财务报表的编制与复核时间安排</w:t>
      </w:r>
    </w:p>
    <w:p>
      <w:pPr>
        <w:spacing w:line="360" w:lineRule="auto"/>
        <w:ind w:firstLine="480" w:firstLineChars="200"/>
        <w:rPr>
          <w:rFonts w:ascii="宋体" w:hAnsi="宋体" w:cs="宋体"/>
          <w:sz w:val="24"/>
        </w:rPr>
      </w:pPr>
      <w:r>
        <w:rPr>
          <w:rFonts w:hint="eastAsia" w:ascii="宋体" w:hAnsi="宋体" w:cs="宋体"/>
          <w:sz w:val="24"/>
        </w:rPr>
        <w:t>基金管理人、基金托管人应当在每月结束后5个工作日内完成月度报表的编制及复核；在每个季度结束之日起15个工作日内完成基金季度报告的编制及复核，将季度报告登载在规定网站上，并将季度报告提示性公告登载在规定报刊上；在上半年结束之日起2个月内完成基金中期报告的编制及复核，将中期报告登载在规定网站上，并将中期报告提示性公告登载在规定报刊上；在每年结束之日起三个月内完成基金年度报告的编制及复核，将年度报告登载于规定网站上，并将年度报告提示性公告登载在规定报刊上。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pPr>
        <w:spacing w:line="360" w:lineRule="auto"/>
        <w:ind w:firstLine="480" w:firstLineChars="200"/>
        <w:rPr>
          <w:rFonts w:ascii="宋体" w:hAnsi="宋体" w:cs="宋体"/>
          <w:sz w:val="24"/>
        </w:rPr>
      </w:pPr>
      <w:r>
        <w:rPr>
          <w:rFonts w:hint="eastAsia" w:ascii="宋体" w:hAnsi="宋体" w:cs="宋体"/>
          <w:sz w:val="24"/>
        </w:rPr>
        <w:t>（七）在有需要时，基金管理人应每季度向基金托管人提供基金业绩比较基准的基础数据和编制结果。</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09" w:name="_Toc348082037"/>
      <w:bookmarkStart w:id="110" w:name="_Toc22259"/>
      <w:bookmarkStart w:id="111" w:name="_Toc384992699"/>
      <w:bookmarkStart w:id="112" w:name="_Toc7004"/>
      <w:r>
        <w:rPr>
          <w:rFonts w:hint="eastAsia"/>
          <w:sz w:val="30"/>
          <w:szCs w:val="30"/>
        </w:rPr>
        <w:t>九、基金收益分配</w:t>
      </w:r>
      <w:bookmarkEnd w:id="109"/>
      <w:bookmarkEnd w:id="110"/>
      <w:bookmarkEnd w:id="111"/>
      <w:bookmarkEnd w:id="112"/>
    </w:p>
    <w:p>
      <w:pPr>
        <w:spacing w:line="360" w:lineRule="auto"/>
        <w:ind w:firstLine="480" w:firstLineChars="200"/>
        <w:rPr>
          <w:rFonts w:ascii="宋体" w:hAnsi="宋体" w:cs="宋体"/>
          <w:sz w:val="24"/>
        </w:rPr>
      </w:pPr>
      <w:r>
        <w:rPr>
          <w:rFonts w:hint="eastAsia" w:ascii="宋体" w:hAnsi="宋体" w:cs="宋体"/>
          <w:sz w:val="24"/>
        </w:rPr>
        <w:t>基金管理人与基金托管人按照《基金合同》的约定处理基金收益分配。</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13" w:name="_Toc348082038"/>
      <w:bookmarkStart w:id="114" w:name="_Toc12507"/>
      <w:bookmarkStart w:id="115" w:name="_Toc2884"/>
      <w:bookmarkStart w:id="116" w:name="_Toc384992700"/>
      <w:r>
        <w:rPr>
          <w:rFonts w:hint="eastAsia"/>
          <w:sz w:val="30"/>
          <w:szCs w:val="30"/>
        </w:rPr>
        <w:t>十、基金信息披露</w:t>
      </w:r>
      <w:bookmarkEnd w:id="113"/>
      <w:bookmarkEnd w:id="114"/>
      <w:bookmarkEnd w:id="115"/>
      <w:bookmarkEnd w:id="116"/>
    </w:p>
    <w:p>
      <w:pPr>
        <w:spacing w:line="360" w:lineRule="auto"/>
        <w:ind w:firstLine="480" w:firstLineChars="200"/>
        <w:rPr>
          <w:rFonts w:ascii="宋体" w:hAnsi="宋体" w:cs="宋体"/>
          <w:sz w:val="24"/>
        </w:rPr>
      </w:pPr>
      <w:r>
        <w:rPr>
          <w:rFonts w:hint="eastAsia" w:ascii="宋体" w:hAnsi="宋体" w:cs="宋体"/>
          <w:sz w:val="24"/>
        </w:rPr>
        <w:t>（一）保密义务</w:t>
      </w:r>
    </w:p>
    <w:p>
      <w:pPr>
        <w:spacing w:line="360" w:lineRule="auto"/>
        <w:ind w:firstLine="480" w:firstLineChars="200"/>
        <w:rPr>
          <w:rFonts w:ascii="宋体" w:hAnsi="宋体" w:cs="宋体"/>
          <w:sz w:val="24"/>
        </w:rPr>
      </w:pPr>
      <w:r>
        <w:rPr>
          <w:rFonts w:hint="eastAsia" w:ascii="宋体" w:hAnsi="宋体" w:cs="宋体"/>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spacing w:line="360" w:lineRule="auto"/>
        <w:ind w:firstLine="480" w:firstLineChars="200"/>
        <w:rPr>
          <w:rFonts w:ascii="宋体" w:hAnsi="宋体" w:cs="宋体"/>
          <w:sz w:val="24"/>
        </w:rPr>
      </w:pPr>
      <w:r>
        <w:rPr>
          <w:rFonts w:hint="eastAsia" w:ascii="宋体" w:hAnsi="宋体" w:cs="宋体"/>
          <w:sz w:val="24"/>
        </w:rPr>
        <w:t>1.非因基金管理人和基金托管人的原因导致保密信息被披露、泄露或公开；</w:t>
      </w:r>
    </w:p>
    <w:p>
      <w:pPr>
        <w:spacing w:line="360" w:lineRule="auto"/>
        <w:ind w:firstLine="480" w:firstLineChars="200"/>
        <w:rPr>
          <w:rFonts w:ascii="宋体" w:hAnsi="宋体" w:cs="宋体"/>
          <w:sz w:val="24"/>
        </w:rPr>
      </w:pPr>
      <w:r>
        <w:rPr>
          <w:rFonts w:hint="eastAsia" w:ascii="宋体" w:hAnsi="宋体" w:cs="宋体"/>
          <w:sz w:val="24"/>
        </w:rPr>
        <w:t>2.基金管理人和基金托管人为遵守和服从法院判决或裁定、仲裁裁决或中国证监会等监管机构的命令、决定所做出的信息披露或公开；</w:t>
      </w:r>
    </w:p>
    <w:p>
      <w:pPr>
        <w:spacing w:line="360" w:lineRule="auto"/>
        <w:ind w:firstLine="480" w:firstLineChars="200"/>
        <w:rPr>
          <w:rFonts w:ascii="宋体" w:hAnsi="宋体" w:cs="宋体"/>
          <w:sz w:val="24"/>
        </w:rPr>
      </w:pPr>
      <w:r>
        <w:rPr>
          <w:rFonts w:hint="eastAsia" w:ascii="宋体" w:hAnsi="宋体" w:cs="宋体"/>
          <w:sz w:val="24"/>
        </w:rPr>
        <w:t>3.因审计、法律等专业服务向外部专业顾问提供信息，并要求专业顾问遵守保密义务。</w:t>
      </w:r>
    </w:p>
    <w:p>
      <w:pPr>
        <w:spacing w:line="360" w:lineRule="auto"/>
        <w:ind w:firstLine="480" w:firstLineChars="200"/>
        <w:rPr>
          <w:rFonts w:ascii="宋体" w:hAnsi="宋体" w:cs="宋体"/>
          <w:sz w:val="24"/>
        </w:rPr>
      </w:pPr>
      <w:r>
        <w:rPr>
          <w:rFonts w:hint="eastAsia" w:ascii="宋体" w:hAnsi="宋体" w:cs="宋体"/>
          <w:sz w:val="24"/>
        </w:rPr>
        <w:t>（二）信息披露的内容</w:t>
      </w:r>
    </w:p>
    <w:p>
      <w:pPr>
        <w:spacing w:line="360" w:lineRule="auto"/>
        <w:ind w:firstLine="480" w:firstLineChars="200"/>
        <w:rPr>
          <w:rFonts w:ascii="宋体" w:hAnsi="宋体" w:cs="宋体"/>
          <w:sz w:val="24"/>
        </w:rPr>
      </w:pPr>
      <w:r>
        <w:rPr>
          <w:rFonts w:hint="eastAsia" w:ascii="宋体" w:hAnsi="宋体" w:cs="宋体"/>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基金参与股票期权交易的信息披露、基金参与融资业务的信息披露、投资流通受限证券信息披露、实施侧袋机制期间的信息披露、清算报告、中国证监会规定的其他信息。基金年度报告中的财务会计报告需经符合《中华人民共和国证券法》规定的会计师事务所审计后，方可披露。</w:t>
      </w:r>
    </w:p>
    <w:p>
      <w:pPr>
        <w:spacing w:line="360" w:lineRule="auto"/>
        <w:ind w:firstLine="480" w:firstLineChars="200"/>
        <w:rPr>
          <w:rFonts w:ascii="宋体" w:hAnsi="宋体" w:cs="宋体"/>
          <w:sz w:val="24"/>
        </w:rPr>
      </w:pPr>
      <w:r>
        <w:rPr>
          <w:rFonts w:hint="eastAsia" w:ascii="宋体" w:hAnsi="宋体" w:cs="宋体"/>
          <w:sz w:val="24"/>
        </w:rPr>
        <w:t>基金管理人应当在季度报告、中期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w:t>
      </w:r>
    </w:p>
    <w:p>
      <w:pPr>
        <w:spacing w:line="360" w:lineRule="auto"/>
        <w:ind w:firstLine="480" w:firstLineChars="200"/>
        <w:rPr>
          <w:rFonts w:ascii="宋体" w:hAnsi="宋体" w:cs="宋体"/>
          <w:sz w:val="24"/>
        </w:rPr>
      </w:pPr>
      <w:r>
        <w:rPr>
          <w:rFonts w:hint="eastAsia" w:ascii="宋体" w:hAnsi="宋体" w:cs="宋体"/>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rFonts w:ascii="宋体" w:hAnsi="宋体" w:cs="宋体"/>
          <w:sz w:val="24"/>
        </w:rPr>
      </w:pPr>
      <w:r>
        <w:rPr>
          <w:rFonts w:hint="eastAsia" w:ascii="宋体" w:hAnsi="宋体" w:cs="宋体"/>
          <w:sz w:val="24"/>
        </w:rPr>
        <w:t>基金管理人应当在季度报告、中期报告、年度报告等定期报告和招募说明书（更新）等文件中披露本基金参与港股通交易的相关情况。</w:t>
      </w:r>
    </w:p>
    <w:p>
      <w:pPr>
        <w:spacing w:line="360" w:lineRule="auto"/>
        <w:ind w:firstLine="480" w:firstLineChars="200"/>
        <w:rPr>
          <w:rFonts w:ascii="宋体" w:hAnsi="宋体" w:cs="宋体"/>
          <w:sz w:val="24"/>
        </w:rPr>
      </w:pPr>
      <w:r>
        <w:rPr>
          <w:rFonts w:hint="eastAsia" w:ascii="宋体" w:hAnsi="宋体" w:cs="宋体"/>
          <w:sz w:val="24"/>
        </w:rPr>
        <w:t>（三）基金托管人和基金管理人在信息披露中的职责和信息披露程序</w:t>
      </w:r>
    </w:p>
    <w:p>
      <w:pPr>
        <w:spacing w:line="360" w:lineRule="auto"/>
        <w:ind w:firstLine="480" w:firstLineChars="200"/>
        <w:rPr>
          <w:rFonts w:ascii="宋体" w:hAnsi="宋体" w:cs="宋体"/>
          <w:sz w:val="24"/>
        </w:rPr>
      </w:pPr>
      <w:r>
        <w:rPr>
          <w:rFonts w:hint="eastAsia" w:ascii="宋体" w:hAnsi="宋体" w:cs="宋体"/>
          <w:sz w:val="24"/>
        </w:rPr>
        <w:t>1.职责</w:t>
      </w:r>
    </w:p>
    <w:p>
      <w:pPr>
        <w:spacing w:line="360" w:lineRule="auto"/>
        <w:ind w:firstLine="480" w:firstLineChars="200"/>
        <w:rPr>
          <w:rFonts w:ascii="宋体" w:hAnsi="宋体" w:cs="宋体"/>
          <w:sz w:val="24"/>
        </w:rPr>
      </w:pPr>
      <w:r>
        <w:rPr>
          <w:rFonts w:hint="eastAsia" w:ascii="宋体" w:hAnsi="宋体" w:cs="宋体"/>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pPr>
        <w:spacing w:line="360" w:lineRule="auto"/>
        <w:ind w:firstLine="480" w:firstLineChars="200"/>
        <w:rPr>
          <w:rFonts w:ascii="宋体" w:hAnsi="宋体" w:cs="宋体"/>
          <w:sz w:val="24"/>
        </w:rPr>
      </w:pPr>
      <w:r>
        <w:rPr>
          <w:rFonts w:hint="eastAsia" w:ascii="宋体" w:hAnsi="宋体" w:cs="宋体"/>
          <w:sz w:val="24"/>
        </w:rPr>
        <w:t>基金管理人和基金托管人应积极配合、互相监督，保证其履行按照法定方式和限时披露的义务。</w:t>
      </w:r>
    </w:p>
    <w:p>
      <w:pPr>
        <w:spacing w:line="360" w:lineRule="auto"/>
        <w:ind w:firstLine="480" w:firstLineChars="200"/>
        <w:rPr>
          <w:rFonts w:ascii="宋体" w:hAnsi="宋体" w:cs="宋体"/>
          <w:sz w:val="24"/>
        </w:rPr>
      </w:pPr>
      <w:r>
        <w:rPr>
          <w:rFonts w:hint="eastAsia" w:ascii="宋体" w:hAnsi="宋体" w:cs="宋体"/>
          <w:sz w:val="24"/>
        </w:rPr>
        <w:t>基金管理人应当在中国证监会规定的时间内，将应予披露的基金信息通过符合中国证监会规定条件的全国性报刊及《信息披露办法》规定的互联网网站披露。根据法律法规应由基金托管人公开披露的信息，基金托管人在规定媒介公开披露。</w:t>
      </w:r>
    </w:p>
    <w:p>
      <w:pPr>
        <w:spacing w:line="360" w:lineRule="auto"/>
        <w:ind w:firstLine="480" w:firstLineChars="200"/>
        <w:rPr>
          <w:rFonts w:ascii="宋体" w:hAnsi="宋体" w:cs="宋体"/>
          <w:sz w:val="24"/>
        </w:rPr>
      </w:pPr>
      <w:r>
        <w:rPr>
          <w:rFonts w:hint="eastAsia" w:ascii="宋体" w:hAnsi="宋体" w:cs="宋体"/>
          <w:sz w:val="24"/>
        </w:rPr>
        <w:t>当出现下述情况时，基金管理人和基金托管人可暂停或延迟披露基金相关信息：</w:t>
      </w:r>
    </w:p>
    <w:p>
      <w:pPr>
        <w:spacing w:line="360" w:lineRule="auto"/>
        <w:ind w:firstLine="480" w:firstLineChars="200"/>
        <w:rPr>
          <w:rFonts w:ascii="宋体" w:hAnsi="宋体" w:cs="宋体"/>
          <w:sz w:val="24"/>
        </w:rPr>
      </w:pPr>
      <w:r>
        <w:rPr>
          <w:rFonts w:hint="eastAsia" w:ascii="宋体" w:hAnsi="宋体" w:cs="宋体"/>
          <w:sz w:val="24"/>
        </w:rPr>
        <w:t>（1）不可抗力；</w:t>
      </w:r>
    </w:p>
    <w:p>
      <w:pPr>
        <w:spacing w:line="360" w:lineRule="auto"/>
        <w:ind w:firstLine="480" w:firstLineChars="200"/>
        <w:rPr>
          <w:rFonts w:ascii="宋体" w:hAnsi="宋体" w:cs="宋体"/>
          <w:sz w:val="24"/>
        </w:rPr>
      </w:pPr>
      <w:r>
        <w:rPr>
          <w:rFonts w:hint="eastAsia" w:ascii="宋体" w:hAnsi="宋体" w:cs="宋体"/>
          <w:sz w:val="24"/>
        </w:rPr>
        <w:t>（2）基金投资所涉及的证券、期货交易市场或外汇市场遇法定节假日或因其他原因暂停营业时；</w:t>
      </w:r>
    </w:p>
    <w:p>
      <w:pPr>
        <w:spacing w:line="360" w:lineRule="auto"/>
        <w:ind w:firstLine="480" w:firstLineChars="200"/>
        <w:rPr>
          <w:rFonts w:ascii="宋体" w:hAnsi="宋体" w:cs="宋体"/>
          <w:sz w:val="24"/>
        </w:rPr>
      </w:pPr>
      <w:r>
        <w:rPr>
          <w:rFonts w:hint="eastAsia" w:ascii="宋体" w:hAnsi="宋体" w:cs="宋体"/>
          <w:sz w:val="24"/>
        </w:rPr>
        <w:t>（3）基金合同约定的暂停估值的情形；</w:t>
      </w:r>
    </w:p>
    <w:p>
      <w:pPr>
        <w:spacing w:line="360" w:lineRule="auto"/>
        <w:ind w:firstLine="480" w:firstLineChars="200"/>
        <w:rPr>
          <w:rFonts w:ascii="宋体" w:hAnsi="宋体" w:cs="宋体"/>
          <w:sz w:val="24"/>
        </w:rPr>
      </w:pPr>
      <w:r>
        <w:rPr>
          <w:rFonts w:hint="eastAsia" w:ascii="宋体" w:hAnsi="宋体" w:cs="宋体"/>
          <w:sz w:val="24"/>
        </w:rPr>
        <w:t>（4）法律法规、基金合同或中国证监会规定的情况。</w:t>
      </w:r>
    </w:p>
    <w:p>
      <w:pPr>
        <w:spacing w:line="360" w:lineRule="auto"/>
        <w:ind w:firstLine="480" w:firstLineChars="200"/>
        <w:rPr>
          <w:rFonts w:ascii="宋体" w:hAnsi="宋体" w:cs="宋体"/>
          <w:sz w:val="24"/>
        </w:rPr>
      </w:pPr>
      <w:r>
        <w:rPr>
          <w:rFonts w:hint="eastAsia" w:ascii="宋体" w:hAnsi="宋体" w:cs="宋体"/>
          <w:sz w:val="24"/>
        </w:rPr>
        <w:t>2.程序</w:t>
      </w:r>
    </w:p>
    <w:p>
      <w:pPr>
        <w:spacing w:line="360" w:lineRule="auto"/>
        <w:ind w:firstLine="480" w:firstLineChars="200"/>
        <w:rPr>
          <w:rFonts w:ascii="宋体" w:hAnsi="宋体" w:cs="宋体"/>
          <w:sz w:val="24"/>
        </w:rPr>
      </w:pPr>
      <w:r>
        <w:rPr>
          <w:rFonts w:hint="eastAsia" w:ascii="宋体" w:hAnsi="宋体" w:cs="宋体"/>
          <w:sz w:val="24"/>
        </w:rPr>
        <w:t>按有关规定须经基金托管人复核的信息披露文件，由基金管理人起草、并经基金托管人复核后由基金管理人公告。发生基金合同中规定需要披露的事项时，按基金合同规定公布。</w:t>
      </w:r>
    </w:p>
    <w:p>
      <w:pPr>
        <w:spacing w:line="360" w:lineRule="auto"/>
        <w:ind w:firstLine="480" w:firstLineChars="200"/>
        <w:rPr>
          <w:rFonts w:ascii="宋体" w:hAnsi="宋体" w:cs="宋体"/>
          <w:sz w:val="24"/>
        </w:rPr>
      </w:pPr>
      <w:r>
        <w:rPr>
          <w:rFonts w:hint="eastAsia" w:ascii="宋体" w:hAnsi="宋体" w:cs="宋体"/>
          <w:sz w:val="24"/>
        </w:rPr>
        <w:t>3.信息文本的存放</w:t>
      </w:r>
    </w:p>
    <w:p>
      <w:pPr>
        <w:spacing w:line="360" w:lineRule="auto"/>
        <w:ind w:firstLine="480" w:firstLineChars="200"/>
        <w:rPr>
          <w:rFonts w:ascii="宋体" w:hAnsi="宋体" w:cs="宋体"/>
          <w:sz w:val="24"/>
        </w:rPr>
      </w:pPr>
      <w:r>
        <w:rPr>
          <w:rFonts w:hint="eastAsia" w:ascii="宋体" w:hAnsi="宋体" w:cs="宋体"/>
          <w:sz w:val="24"/>
        </w:rPr>
        <w:t>依法必须披露的信息发布后，基金管理人、基金托管人应当按照相关法律法规规定将信息置备于公司住所，供社会公众查阅、复制。在支付工本费后可在合理时间获得上述文件的复制件或复印件。基金管理人和基金托管人应保证文本的内容与所公告的内容完全一致。</w:t>
      </w:r>
    </w:p>
    <w:p>
      <w:pPr>
        <w:spacing w:line="360" w:lineRule="auto"/>
        <w:ind w:firstLine="480" w:firstLineChars="200"/>
        <w:jc w:val="left"/>
        <w:rPr>
          <w:rFonts w:ascii="宋体" w:hAnsi="宋体" w:cs="宋体"/>
          <w:sz w:val="24"/>
        </w:rPr>
      </w:pPr>
      <w:r>
        <w:rPr>
          <w:rFonts w:hint="eastAsia" w:ascii="宋体" w:hAnsi="宋体" w:cs="宋体"/>
          <w:sz w:val="24"/>
        </w:rPr>
        <w:br w:type="page"/>
      </w:r>
    </w:p>
    <w:p>
      <w:pPr>
        <w:pStyle w:val="2"/>
        <w:jc w:val="center"/>
        <w:rPr>
          <w:sz w:val="30"/>
          <w:szCs w:val="30"/>
        </w:rPr>
      </w:pPr>
      <w:bookmarkStart w:id="117" w:name="_Toc29679"/>
      <w:bookmarkStart w:id="118" w:name="_Toc393"/>
      <w:bookmarkStart w:id="119" w:name="_Toc348082039"/>
      <w:bookmarkStart w:id="120" w:name="_Toc384992701"/>
      <w:r>
        <w:rPr>
          <w:rFonts w:hint="eastAsia"/>
          <w:b w:val="0"/>
          <w:kern w:val="2"/>
          <w:sz w:val="30"/>
          <w:szCs w:val="30"/>
        </w:rPr>
        <w:t>十一、</w:t>
      </w:r>
      <w:r>
        <w:rPr>
          <w:rFonts w:hint="eastAsia"/>
          <w:sz w:val="30"/>
          <w:szCs w:val="30"/>
        </w:rPr>
        <w:t>基金费用</w:t>
      </w:r>
      <w:bookmarkEnd w:id="117"/>
      <w:bookmarkEnd w:id="118"/>
      <w:bookmarkEnd w:id="119"/>
      <w:bookmarkEnd w:id="120"/>
    </w:p>
    <w:p>
      <w:pPr>
        <w:spacing w:line="360" w:lineRule="auto"/>
        <w:ind w:firstLine="480" w:firstLineChars="200"/>
        <w:rPr>
          <w:rFonts w:ascii="宋体" w:hAnsi="宋体" w:cs="宋体"/>
          <w:sz w:val="24"/>
        </w:rPr>
      </w:pPr>
      <w:r>
        <w:rPr>
          <w:rFonts w:hint="eastAsia" w:ascii="宋体" w:hAnsi="宋体" w:cs="宋体"/>
          <w:sz w:val="24"/>
        </w:rPr>
        <w:t xml:space="preserve">（一）基金管理人的管理费 </w:t>
      </w:r>
    </w:p>
    <w:p>
      <w:pPr>
        <w:spacing w:line="360" w:lineRule="auto"/>
        <w:ind w:firstLine="480" w:firstLineChars="200"/>
        <w:rPr>
          <w:rFonts w:ascii="宋体" w:hAnsi="宋体" w:cs="宋体"/>
          <w:sz w:val="24"/>
        </w:rPr>
      </w:pPr>
      <w:r>
        <w:rPr>
          <w:rFonts w:hint="eastAsia" w:ascii="宋体" w:hAnsi="宋体" w:cs="宋体"/>
          <w:sz w:val="24"/>
        </w:rPr>
        <w:t>本基金的管理费按前一日基金资产净值的1.20%年费率计提。管理费的计算方法如下：</w:t>
      </w:r>
    </w:p>
    <w:p>
      <w:pPr>
        <w:spacing w:line="360" w:lineRule="auto"/>
        <w:ind w:firstLine="480" w:firstLineChars="200"/>
        <w:rPr>
          <w:rFonts w:ascii="宋体" w:hAnsi="宋体" w:cs="宋体"/>
          <w:sz w:val="24"/>
        </w:rPr>
      </w:pPr>
      <w:r>
        <w:rPr>
          <w:rFonts w:hint="eastAsia" w:ascii="宋体" w:hAnsi="宋体" w:cs="宋体"/>
          <w:sz w:val="24"/>
        </w:rPr>
        <w:t>H＝E×1.20%÷当年天数</w:t>
      </w:r>
    </w:p>
    <w:p>
      <w:pPr>
        <w:spacing w:line="360" w:lineRule="auto"/>
        <w:ind w:firstLine="480" w:firstLineChars="200"/>
        <w:rPr>
          <w:rFonts w:ascii="宋体" w:hAnsi="宋体" w:cs="宋体"/>
          <w:sz w:val="24"/>
        </w:rPr>
      </w:pPr>
      <w:r>
        <w:rPr>
          <w:rFonts w:hint="eastAsia" w:ascii="宋体" w:hAnsi="宋体" w:cs="宋体"/>
          <w:sz w:val="24"/>
        </w:rPr>
        <w:t>H为每日应计提的基金管理费</w:t>
      </w:r>
    </w:p>
    <w:p>
      <w:pPr>
        <w:spacing w:line="360" w:lineRule="auto"/>
        <w:ind w:firstLine="480" w:firstLineChars="200"/>
        <w:rPr>
          <w:rFonts w:ascii="宋体" w:hAnsi="宋体" w:cs="宋体"/>
          <w:sz w:val="24"/>
        </w:rPr>
      </w:pPr>
      <w:r>
        <w:rPr>
          <w:rFonts w:hint="eastAsia" w:ascii="宋体" w:hAnsi="宋体" w:cs="宋体"/>
          <w:sz w:val="24"/>
        </w:rPr>
        <w:t>E为前一日的基金资产净值</w:t>
      </w:r>
    </w:p>
    <w:p>
      <w:pPr>
        <w:spacing w:line="360" w:lineRule="auto"/>
        <w:ind w:firstLine="480" w:firstLineChars="200"/>
        <w:rPr>
          <w:rFonts w:ascii="宋体" w:hAnsi="宋体" w:cs="宋体"/>
          <w:sz w:val="24"/>
        </w:rPr>
      </w:pPr>
      <w:r>
        <w:rPr>
          <w:rFonts w:hint="eastAsia" w:ascii="宋体" w:hAnsi="宋体" w:cs="宋体"/>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（二）基金托管人的托管费</w:t>
      </w:r>
    </w:p>
    <w:p>
      <w:pPr>
        <w:spacing w:line="360" w:lineRule="auto"/>
        <w:ind w:firstLine="480" w:firstLineChars="200"/>
        <w:rPr>
          <w:rFonts w:ascii="宋体" w:hAnsi="宋体" w:cs="宋体"/>
          <w:sz w:val="24"/>
        </w:rPr>
      </w:pPr>
      <w:r>
        <w:rPr>
          <w:rFonts w:hint="eastAsia" w:ascii="宋体" w:hAnsi="宋体" w:cs="宋体"/>
          <w:sz w:val="24"/>
        </w:rPr>
        <w:t>本基金的托管费按前一日基金资产净值的0.20%的年费率计提。托管费的计算方法如下：</w:t>
      </w:r>
    </w:p>
    <w:p>
      <w:pPr>
        <w:spacing w:line="360" w:lineRule="auto"/>
        <w:ind w:firstLine="480" w:firstLineChars="200"/>
        <w:rPr>
          <w:rFonts w:ascii="宋体" w:hAnsi="宋体" w:cs="宋体"/>
          <w:sz w:val="24"/>
        </w:rPr>
      </w:pPr>
      <w:r>
        <w:rPr>
          <w:rFonts w:hint="eastAsia" w:ascii="宋体" w:hAnsi="宋体" w:cs="宋体"/>
          <w:sz w:val="24"/>
        </w:rPr>
        <w:t>H＝E×0.20%÷当年天数</w:t>
      </w:r>
    </w:p>
    <w:p>
      <w:pPr>
        <w:spacing w:line="360" w:lineRule="auto"/>
        <w:ind w:firstLine="480" w:firstLineChars="200"/>
        <w:rPr>
          <w:rFonts w:ascii="宋体" w:hAnsi="宋体" w:cs="宋体"/>
          <w:sz w:val="24"/>
        </w:rPr>
      </w:pPr>
      <w:r>
        <w:rPr>
          <w:rFonts w:hint="eastAsia" w:ascii="宋体" w:hAnsi="宋体" w:cs="宋体"/>
          <w:sz w:val="24"/>
        </w:rPr>
        <w:t>H为每日应计提的基金托管费</w:t>
      </w:r>
    </w:p>
    <w:p>
      <w:pPr>
        <w:spacing w:line="360" w:lineRule="auto"/>
        <w:ind w:firstLine="480" w:firstLineChars="200"/>
        <w:rPr>
          <w:rFonts w:ascii="宋体" w:hAnsi="宋体" w:cs="宋体"/>
          <w:sz w:val="24"/>
        </w:rPr>
      </w:pPr>
      <w:r>
        <w:rPr>
          <w:rFonts w:hint="eastAsia" w:ascii="宋体" w:hAnsi="宋体" w:cs="宋体"/>
          <w:sz w:val="24"/>
        </w:rPr>
        <w:t>E为前一日的基金资产净值</w:t>
      </w:r>
    </w:p>
    <w:p>
      <w:pPr>
        <w:spacing w:line="360" w:lineRule="auto"/>
        <w:ind w:firstLine="480" w:firstLineChars="200"/>
        <w:rPr>
          <w:rFonts w:ascii="宋体" w:hAnsi="宋体" w:cs="宋体"/>
          <w:sz w:val="24"/>
        </w:rPr>
      </w:pPr>
      <w:r>
        <w:rPr>
          <w:rFonts w:hint="eastAsia" w:ascii="宋体" w:hAnsi="宋体" w:cs="宋体"/>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（三）基金销售服务费</w:t>
      </w:r>
    </w:p>
    <w:p>
      <w:pPr>
        <w:spacing w:line="360" w:lineRule="auto"/>
        <w:ind w:firstLine="480" w:firstLineChars="200"/>
        <w:rPr>
          <w:rFonts w:ascii="宋体" w:hAnsi="宋体" w:cs="宋体"/>
          <w:sz w:val="24"/>
        </w:rPr>
      </w:pPr>
      <w:r>
        <w:rPr>
          <w:rFonts w:hint="eastAsia" w:ascii="宋体" w:hAnsi="宋体" w:cs="宋体"/>
          <w:sz w:val="24"/>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ascii="宋体" w:hAnsi="宋体" w:cs="宋体"/>
          <w:sz w:val="24"/>
        </w:rPr>
      </w:pPr>
      <w:r>
        <w:rPr>
          <w:rFonts w:hint="eastAsia" w:ascii="宋体" w:hAnsi="宋体" w:cs="宋体"/>
          <w:sz w:val="24"/>
        </w:rPr>
        <w:t>H=E×0.30%÷当年天数</w:t>
      </w:r>
    </w:p>
    <w:p>
      <w:pPr>
        <w:spacing w:line="360" w:lineRule="auto"/>
        <w:ind w:firstLine="480" w:firstLineChars="200"/>
        <w:rPr>
          <w:rFonts w:ascii="宋体" w:hAnsi="宋体" w:cs="宋体"/>
          <w:sz w:val="24"/>
        </w:rPr>
      </w:pPr>
      <w:r>
        <w:rPr>
          <w:rFonts w:hint="eastAsia" w:ascii="宋体" w:hAnsi="宋体" w:cs="宋体"/>
          <w:sz w:val="24"/>
        </w:rPr>
        <w:t>H为C类基金份额每日应计提的销售服务费</w:t>
      </w:r>
    </w:p>
    <w:p>
      <w:pPr>
        <w:spacing w:line="360" w:lineRule="auto"/>
        <w:ind w:firstLine="480" w:firstLineChars="200"/>
        <w:rPr>
          <w:rFonts w:ascii="宋体" w:hAnsi="宋体" w:cs="宋体"/>
          <w:sz w:val="24"/>
        </w:rPr>
      </w:pPr>
      <w:r>
        <w:rPr>
          <w:rFonts w:hint="eastAsia" w:ascii="宋体" w:hAnsi="宋体" w:cs="宋体"/>
          <w:sz w:val="24"/>
        </w:rPr>
        <w:t>E为C类基金份额前一日的基金资产净值</w:t>
      </w:r>
    </w:p>
    <w:p>
      <w:pPr>
        <w:spacing w:line="360" w:lineRule="auto"/>
        <w:ind w:firstLine="480" w:firstLineChars="200"/>
        <w:rPr>
          <w:rFonts w:ascii="宋体" w:hAnsi="宋体" w:cs="宋体"/>
          <w:sz w:val="24"/>
        </w:rPr>
      </w:pPr>
      <w:r>
        <w:rPr>
          <w:rFonts w:hint="eastAsia" w:ascii="宋体" w:hAnsi="宋体" w:cs="宋体"/>
          <w:sz w:val="24"/>
        </w:rPr>
        <w:t>C类基金份额的基金销售服务费每日计提。</w:t>
      </w:r>
    </w:p>
    <w:p>
      <w:pPr>
        <w:spacing w:line="360" w:lineRule="auto"/>
        <w:ind w:firstLine="480" w:firstLineChars="200"/>
        <w:rPr>
          <w:rFonts w:ascii="宋体" w:hAnsi="宋体" w:cs="宋体"/>
          <w:sz w:val="24"/>
        </w:rPr>
      </w:pPr>
      <w:r>
        <w:rPr>
          <w:rFonts w:hint="eastAsia" w:ascii="宋体" w:hAnsi="宋体" w:cs="宋体"/>
          <w:sz w:val="24"/>
        </w:rPr>
        <w:t>（1）基金管理人销售服务费的返还机制</w:t>
      </w:r>
    </w:p>
    <w:p>
      <w:pPr>
        <w:spacing w:line="360" w:lineRule="auto"/>
        <w:ind w:firstLine="480" w:firstLineChars="200"/>
        <w:rPr>
          <w:rFonts w:ascii="宋体" w:hAnsi="宋体" w:cs="宋体"/>
          <w:sz w:val="24"/>
        </w:rPr>
      </w:pPr>
      <w:r>
        <w:rPr>
          <w:rFonts w:hint="eastAsia" w:ascii="宋体" w:hAnsi="宋体" w:cs="宋体"/>
          <w:sz w:val="24"/>
        </w:rPr>
        <w:t>通过基金管理人认购、申购C类基金份额的不收取销售服务费。对于通过基金管理人认购、申购该类基金份额的情况，将先行计提相应的销售服务费，待投资者赎回基金份额或基金合同终止时，该费用将随同赎回款（或清算款）一并返还给投资者。</w:t>
      </w:r>
    </w:p>
    <w:p>
      <w:pPr>
        <w:spacing w:line="360" w:lineRule="auto"/>
        <w:ind w:firstLine="480" w:firstLineChars="200"/>
        <w:rPr>
          <w:rFonts w:ascii="宋体" w:hAnsi="宋体" w:cs="宋体"/>
          <w:sz w:val="24"/>
        </w:rPr>
      </w:pPr>
      <w:r>
        <w:rPr>
          <w:rFonts w:hint="eastAsia" w:ascii="宋体" w:hAnsi="宋体" w:cs="宋体"/>
          <w:sz w:val="24"/>
        </w:rPr>
        <w:t>基金销售子公司销售母公司所管理基金的，按照本条要求执行。</w:t>
      </w:r>
    </w:p>
    <w:p>
      <w:pPr>
        <w:spacing w:line="360" w:lineRule="auto"/>
        <w:ind w:firstLine="480" w:firstLineChars="200"/>
        <w:rPr>
          <w:rFonts w:ascii="宋体" w:hAnsi="宋体" w:cs="宋体"/>
          <w:sz w:val="24"/>
        </w:rPr>
      </w:pPr>
      <w:r>
        <w:rPr>
          <w:rFonts w:hint="eastAsia" w:ascii="宋体" w:hAnsi="宋体" w:cs="宋体"/>
          <w:sz w:val="24"/>
        </w:rPr>
        <w:t>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（2）代销机构的销售服务费的收取与返还机制</w:t>
      </w:r>
    </w:p>
    <w:p>
      <w:pPr>
        <w:spacing w:line="360" w:lineRule="auto"/>
        <w:ind w:firstLine="480" w:firstLineChars="200"/>
        <w:rPr>
          <w:rFonts w:ascii="宋体" w:hAnsi="宋体" w:cs="宋体"/>
          <w:sz w:val="24"/>
        </w:rPr>
      </w:pPr>
      <w:r>
        <w:rPr>
          <w:rFonts w:hint="eastAsia" w:ascii="宋体" w:hAnsi="宋体" w:cs="宋体"/>
          <w:sz w:val="24"/>
        </w:rPr>
        <w:t>对于投资者持续持有期限未超过一年（即365天，下同）的基金份额收取的销售服务费，逐日累计至每月月末，按月支付，经基金管理人与基金托管人双方核对无误后，基金托管人按照与基金管理人协商一致的方式于次月首日起5个工作日内从基金财产中一次性支付给登记机构，由登记机构代付给销售机构。</w:t>
      </w:r>
    </w:p>
    <w:p>
      <w:pPr>
        <w:spacing w:line="360" w:lineRule="auto"/>
        <w:ind w:firstLine="480" w:firstLineChars="200"/>
        <w:rPr>
          <w:rFonts w:ascii="宋体" w:hAnsi="宋体" w:cs="宋体"/>
          <w:sz w:val="24"/>
        </w:rPr>
      </w:pPr>
      <w:r>
        <w:rPr>
          <w:rFonts w:hint="eastAsia" w:ascii="宋体" w:hAnsi="宋体" w:cs="宋体"/>
          <w:sz w:val="24"/>
        </w:rPr>
        <w:t>对于基金份额持有人持续持有期限超过一年的C类基金份额，不再继续收取销售服务费。对于持续持有期限超过一年的基金份额继续计提的销售服务费，在投资者赎回基金份额或基金合同终止时，该费用随赎回款（或清算款）一并返还给投资者。</w:t>
      </w:r>
    </w:p>
    <w:p>
      <w:pPr>
        <w:spacing w:line="360" w:lineRule="auto"/>
        <w:ind w:firstLine="480" w:firstLineChars="200"/>
        <w:rPr>
          <w:rFonts w:ascii="宋体" w:hAnsi="宋体" w:cs="宋体"/>
          <w:sz w:val="24"/>
        </w:rPr>
      </w:pPr>
      <w:r>
        <w:rPr>
          <w:rFonts w:hint="eastAsia" w:ascii="宋体" w:hAnsi="宋体" w:cs="宋体"/>
          <w:sz w:val="24"/>
        </w:rPr>
        <w:t>若遇法定节假日、公休假或不可抗力等，支付日期顺延。</w:t>
      </w:r>
    </w:p>
    <w:p>
      <w:pPr>
        <w:spacing w:line="360" w:lineRule="auto"/>
        <w:ind w:firstLine="482" w:firstLineChars="200"/>
        <w:rPr>
          <w:rFonts w:ascii="宋体" w:hAnsi="宋体" w:cs="宋体"/>
        </w:rPr>
      </w:pPr>
      <w:r>
        <w:rPr>
          <w:rFonts w:hint="eastAsia" w:ascii="宋体" w:hAnsi="宋体" w:cs="宋体"/>
          <w:b/>
          <w:bCs/>
          <w:sz w:val="24"/>
        </w:rPr>
        <w:t>本章节未明确的事项按照《基金合同》的约定执行。</w:t>
      </w:r>
      <w:bookmarkStart w:id="121" w:name="_Toc348082040"/>
      <w:bookmarkStart w:id="122" w:name="_Toc384992702"/>
      <w:r>
        <w:rPr>
          <w:rFonts w:hint="eastAsia" w:ascii="宋体" w:hAnsi="宋体" w:cs="宋体"/>
        </w:rPr>
        <w:br w:type="page"/>
      </w:r>
    </w:p>
    <w:p>
      <w:pPr>
        <w:pStyle w:val="2"/>
        <w:jc w:val="center"/>
        <w:rPr>
          <w:sz w:val="30"/>
          <w:szCs w:val="30"/>
        </w:rPr>
      </w:pPr>
      <w:bookmarkStart w:id="123" w:name="_Toc17853"/>
      <w:bookmarkStart w:id="124" w:name="_Toc16376"/>
      <w:r>
        <w:rPr>
          <w:rFonts w:hint="eastAsia"/>
          <w:b w:val="0"/>
          <w:kern w:val="2"/>
          <w:sz w:val="30"/>
          <w:szCs w:val="30"/>
        </w:rPr>
        <w:t>十二、</w:t>
      </w:r>
      <w:r>
        <w:rPr>
          <w:rFonts w:hint="eastAsia"/>
          <w:sz w:val="30"/>
          <w:szCs w:val="30"/>
        </w:rPr>
        <w:t>基金份额持有人名册的保管</w:t>
      </w:r>
      <w:bookmarkEnd w:id="121"/>
      <w:bookmarkEnd w:id="122"/>
      <w:bookmarkEnd w:id="123"/>
      <w:bookmarkEnd w:id="124"/>
    </w:p>
    <w:p>
      <w:pPr>
        <w:spacing w:line="360" w:lineRule="auto"/>
        <w:ind w:firstLine="480" w:firstLineChars="200"/>
        <w:rPr>
          <w:rFonts w:ascii="宋体" w:hAnsi="宋体" w:cs="宋体"/>
          <w:sz w:val="24"/>
        </w:rPr>
      </w:pPr>
      <w:r>
        <w:rPr>
          <w:rFonts w:hint="eastAsia" w:ascii="宋体" w:hAnsi="宋体" w:cs="宋体"/>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20年。如不能妥善保管，则按相关法律法规承担责任。</w:t>
      </w:r>
    </w:p>
    <w:p>
      <w:pPr>
        <w:spacing w:line="360" w:lineRule="auto"/>
        <w:ind w:firstLine="480" w:firstLineChars="200"/>
        <w:rPr>
          <w:rFonts w:ascii="宋体" w:hAnsi="宋体" w:cs="宋体"/>
          <w:sz w:val="24"/>
        </w:rPr>
      </w:pPr>
      <w:r>
        <w:rPr>
          <w:rFonts w:hint="eastAsia" w:ascii="宋体" w:hAnsi="宋体" w:cs="宋体"/>
          <w:sz w:val="24"/>
        </w:rPr>
        <w:t>在基金托管人要求或编制中期报告和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pPr>
        <w:pStyle w:val="2"/>
        <w:jc w:val="center"/>
        <w:rPr>
          <w:rFonts w:ascii="宋体" w:hAnsi="宋体" w:cs="宋体"/>
          <w:sz w:val="30"/>
          <w:szCs w:val="24"/>
        </w:rPr>
      </w:pPr>
      <w:r>
        <w:rPr>
          <w:rFonts w:hint="eastAsia" w:ascii="宋体" w:hAnsi="宋体" w:cs="宋体"/>
          <w:sz w:val="24"/>
          <w:szCs w:val="24"/>
        </w:rPr>
        <w:br w:type="page"/>
      </w:r>
      <w:bookmarkStart w:id="125" w:name="_Toc31791"/>
      <w:bookmarkStart w:id="126" w:name="_Toc8723"/>
      <w:bookmarkStart w:id="127" w:name="_Toc348082041"/>
      <w:bookmarkStart w:id="128" w:name="_Toc384992703"/>
      <w:r>
        <w:rPr>
          <w:rFonts w:hint="eastAsia"/>
          <w:bCs w:val="0"/>
          <w:sz w:val="30"/>
          <w:szCs w:val="30"/>
        </w:rPr>
        <w:t>十三、基金有关文件档案的保存</w:t>
      </w:r>
      <w:bookmarkEnd w:id="125"/>
      <w:bookmarkEnd w:id="126"/>
      <w:bookmarkEnd w:id="127"/>
      <w:bookmarkEnd w:id="128"/>
    </w:p>
    <w:p>
      <w:pPr>
        <w:spacing w:line="360" w:lineRule="auto"/>
        <w:ind w:firstLine="480" w:firstLineChars="200"/>
        <w:rPr>
          <w:rFonts w:ascii="宋体" w:hAnsi="宋体" w:cs="宋体"/>
          <w:sz w:val="24"/>
        </w:rPr>
      </w:pPr>
      <w:r>
        <w:rPr>
          <w:rFonts w:hint="eastAsia" w:ascii="宋体" w:hAnsi="宋体" w:cs="宋体"/>
          <w:sz w:val="24"/>
        </w:rPr>
        <w:t>（一）档案保存</w:t>
      </w:r>
    </w:p>
    <w:p>
      <w:pPr>
        <w:spacing w:line="360" w:lineRule="auto"/>
        <w:ind w:firstLine="480" w:firstLineChars="200"/>
        <w:rPr>
          <w:rFonts w:ascii="宋体" w:hAnsi="宋体" w:cs="宋体"/>
          <w:sz w:val="24"/>
        </w:rPr>
      </w:pPr>
      <w:r>
        <w:rPr>
          <w:rFonts w:hint="eastAsia" w:ascii="宋体" w:hAnsi="宋体" w:cs="宋体"/>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年。</w:t>
      </w:r>
    </w:p>
    <w:p>
      <w:pPr>
        <w:spacing w:line="360" w:lineRule="auto"/>
        <w:ind w:firstLine="480" w:firstLineChars="200"/>
        <w:rPr>
          <w:rFonts w:ascii="宋体" w:hAnsi="宋体" w:cs="宋体"/>
          <w:sz w:val="24"/>
        </w:rPr>
      </w:pPr>
      <w:r>
        <w:rPr>
          <w:rFonts w:hint="eastAsia" w:ascii="宋体" w:hAnsi="宋体" w:cs="宋体"/>
          <w:sz w:val="24"/>
        </w:rPr>
        <w:t>（二）合同档案的建立</w:t>
      </w:r>
    </w:p>
    <w:p>
      <w:pPr>
        <w:spacing w:line="360" w:lineRule="auto"/>
        <w:ind w:firstLine="480" w:firstLineChars="200"/>
        <w:rPr>
          <w:rFonts w:ascii="宋体" w:hAnsi="宋体" w:cs="宋体"/>
          <w:sz w:val="24"/>
        </w:rPr>
      </w:pPr>
      <w:r>
        <w:rPr>
          <w:rFonts w:hint="eastAsia" w:ascii="宋体" w:hAnsi="宋体" w:cs="宋体"/>
          <w:sz w:val="24"/>
        </w:rPr>
        <w:t>1.基金管理人签署重大合同文本后，应及时将合同文本正本送达基金托管人处。</w:t>
      </w:r>
    </w:p>
    <w:p>
      <w:pPr>
        <w:spacing w:line="360" w:lineRule="auto"/>
        <w:ind w:firstLine="480" w:firstLineChars="200"/>
        <w:rPr>
          <w:rFonts w:ascii="宋体" w:hAnsi="宋体" w:cs="宋体"/>
          <w:sz w:val="24"/>
        </w:rPr>
      </w:pPr>
      <w:r>
        <w:rPr>
          <w:rFonts w:hint="eastAsia" w:ascii="宋体" w:hAnsi="宋体" w:cs="宋体"/>
          <w:sz w:val="24"/>
        </w:rPr>
        <w:t>2.基金管理人应及时将与本基金账务处理、资金划拨等有关的合同、协议传真至基金托管人。</w:t>
      </w:r>
    </w:p>
    <w:p>
      <w:pPr>
        <w:spacing w:line="360" w:lineRule="auto"/>
        <w:ind w:firstLine="480" w:firstLineChars="200"/>
        <w:rPr>
          <w:rFonts w:ascii="宋体" w:hAnsi="宋体" w:cs="宋体"/>
          <w:sz w:val="24"/>
        </w:rPr>
      </w:pPr>
      <w:r>
        <w:rPr>
          <w:rFonts w:hint="eastAsia" w:ascii="宋体" w:hAnsi="宋体" w:cs="宋体"/>
          <w:sz w:val="24"/>
        </w:rPr>
        <w:t>（三）变更与协助</w:t>
      </w:r>
    </w:p>
    <w:p>
      <w:pPr>
        <w:spacing w:line="360" w:lineRule="auto"/>
        <w:ind w:firstLine="480" w:firstLineChars="200"/>
        <w:rPr>
          <w:rFonts w:ascii="宋体" w:hAnsi="宋体" w:cs="宋体"/>
          <w:sz w:val="24"/>
        </w:rPr>
      </w:pPr>
      <w:r>
        <w:rPr>
          <w:rFonts w:hint="eastAsia" w:ascii="宋体" w:hAnsi="宋体" w:cs="宋体"/>
          <w:sz w:val="24"/>
        </w:rPr>
        <w:t>若基金管理人/基金托管人发生变更，未变更的一方有义务协助变更后的接任人接收相应文件。</w:t>
      </w:r>
    </w:p>
    <w:p>
      <w:pPr>
        <w:spacing w:line="360" w:lineRule="auto"/>
        <w:ind w:firstLine="480" w:firstLineChars="200"/>
        <w:rPr>
          <w:rFonts w:ascii="宋体" w:hAnsi="宋体" w:cs="宋体"/>
          <w:sz w:val="24"/>
        </w:rPr>
      </w:pPr>
      <w:r>
        <w:rPr>
          <w:rFonts w:hint="eastAsia" w:ascii="宋体" w:hAnsi="宋体" w:cs="宋体"/>
          <w:sz w:val="24"/>
        </w:rPr>
        <w:t>（四）基金管理人和基金托管人应按各自职责完整保存原始凭证、记账凭证、基金账册、交易记录和重要合同等，承担保密义务并保存至少20年以上。</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29" w:name="_Toc348082042"/>
      <w:bookmarkStart w:id="130" w:name="_Toc3907"/>
      <w:bookmarkStart w:id="131" w:name="_Toc384992704"/>
      <w:bookmarkStart w:id="132" w:name="_Toc28459"/>
      <w:r>
        <w:rPr>
          <w:rFonts w:hint="eastAsia"/>
          <w:sz w:val="30"/>
          <w:szCs w:val="30"/>
        </w:rPr>
        <w:t>十四、基金管理人和基金托管人的更换</w:t>
      </w:r>
      <w:bookmarkEnd w:id="129"/>
      <w:bookmarkEnd w:id="130"/>
      <w:bookmarkEnd w:id="131"/>
      <w:bookmarkEnd w:id="132"/>
    </w:p>
    <w:p>
      <w:pPr>
        <w:spacing w:line="360" w:lineRule="auto"/>
        <w:ind w:firstLine="480" w:firstLineChars="200"/>
        <w:rPr>
          <w:rFonts w:ascii="宋体" w:hAnsi="宋体" w:cs="宋体"/>
          <w:sz w:val="24"/>
        </w:rPr>
      </w:pPr>
      <w:r>
        <w:rPr>
          <w:rFonts w:hint="eastAsia" w:ascii="宋体" w:hAnsi="宋体" w:cs="宋体"/>
          <w:sz w:val="24"/>
        </w:rPr>
        <w:t>（一）基金管理人职责终止后，仍应妥善保管基金管理业务资料，保证不做出对基金份额持有人的利益造成损害的行为，并与新任基金管理人或临时基金管理人及时办理基金管理业务的移交手续，临时基金管理人或新任基金管理人应及时接收。基金托管人应给予积极配合，并与新任基金管理人或临时基金管理人核对基金资产总值和基金资产净值。</w:t>
      </w:r>
    </w:p>
    <w:p>
      <w:pPr>
        <w:spacing w:line="360" w:lineRule="auto"/>
        <w:ind w:firstLine="480" w:firstLineChars="200"/>
        <w:rPr>
          <w:rFonts w:ascii="宋体" w:hAnsi="宋体" w:cs="宋体"/>
          <w:sz w:val="24"/>
        </w:rPr>
      </w:pPr>
      <w:r>
        <w:rPr>
          <w:rFonts w:hint="eastAsia" w:ascii="宋体" w:hAnsi="宋体" w:cs="宋体"/>
          <w:sz w:val="24"/>
        </w:rPr>
        <w:t>（二）基金托管人职责终止后，仍应妥善保管基金财产和基金托管业务资料，保证不做出对基金份额持有人的利益造成损害的行为，并与新任基金托管人或临时基金托管人及时办理基金财产和基金托管业务的移交手续，新任基金托管人或者临时基金托管人应当及时接收。基金管理人应给予积极配合，并与新任基金托管人或临时基金托管人核对基金资产总值和基金资产净值。</w:t>
      </w:r>
    </w:p>
    <w:p>
      <w:pPr>
        <w:spacing w:line="360" w:lineRule="auto"/>
        <w:ind w:firstLine="480" w:firstLineChars="200"/>
        <w:rPr>
          <w:rFonts w:ascii="宋体" w:hAnsi="宋体" w:cs="宋体"/>
          <w:sz w:val="24"/>
        </w:rPr>
      </w:pPr>
      <w:r>
        <w:rPr>
          <w:rFonts w:hint="eastAsia" w:ascii="宋体" w:hAnsi="宋体" w:cs="宋体"/>
          <w:sz w:val="24"/>
        </w:rPr>
        <w:t>（三）其他事宜见基金合同的相关约定。</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33" w:name="_Toc384992705"/>
      <w:bookmarkStart w:id="134" w:name="_Toc348082043"/>
      <w:bookmarkStart w:id="135" w:name="_Toc2763"/>
      <w:bookmarkStart w:id="136" w:name="_Toc17612"/>
      <w:r>
        <w:rPr>
          <w:rFonts w:hint="eastAsia"/>
          <w:sz w:val="30"/>
          <w:szCs w:val="30"/>
        </w:rPr>
        <w:t>十五、禁止行为</w:t>
      </w:r>
      <w:bookmarkEnd w:id="133"/>
      <w:bookmarkEnd w:id="134"/>
      <w:bookmarkEnd w:id="135"/>
      <w:bookmarkEnd w:id="136"/>
    </w:p>
    <w:p>
      <w:pPr>
        <w:spacing w:line="360" w:lineRule="auto"/>
        <w:ind w:firstLine="480" w:firstLineChars="200"/>
        <w:rPr>
          <w:rFonts w:ascii="宋体" w:hAnsi="宋体" w:cs="宋体"/>
          <w:sz w:val="24"/>
        </w:rPr>
      </w:pPr>
      <w:r>
        <w:rPr>
          <w:rFonts w:hint="eastAsia" w:ascii="宋体" w:hAnsi="宋体" w:cs="宋体"/>
          <w:sz w:val="24"/>
        </w:rPr>
        <w:t>本协议当事人禁止从事的行为，包括但不限于：</w:t>
      </w:r>
    </w:p>
    <w:p>
      <w:pPr>
        <w:spacing w:line="360" w:lineRule="auto"/>
        <w:ind w:firstLine="480" w:firstLineChars="200"/>
        <w:rPr>
          <w:rFonts w:ascii="宋体" w:hAnsi="宋体" w:cs="宋体"/>
          <w:sz w:val="24"/>
        </w:rPr>
      </w:pPr>
      <w:r>
        <w:rPr>
          <w:rFonts w:hint="eastAsia" w:ascii="宋体" w:hAnsi="宋体" w:cs="宋体"/>
          <w:sz w:val="24"/>
        </w:rPr>
        <w:t>（一）基金管理人、基金托管人将其固有财产或者他人财产混同于基金财产从事证券投资。</w:t>
      </w:r>
    </w:p>
    <w:p>
      <w:pPr>
        <w:spacing w:line="360" w:lineRule="auto"/>
        <w:ind w:firstLine="480" w:firstLineChars="200"/>
        <w:rPr>
          <w:rFonts w:ascii="宋体" w:hAnsi="宋体" w:cs="宋体"/>
          <w:sz w:val="24"/>
        </w:rPr>
      </w:pPr>
      <w:r>
        <w:rPr>
          <w:rFonts w:hint="eastAsia" w:ascii="宋体" w:hAnsi="宋体" w:cs="宋体"/>
          <w:sz w:val="24"/>
        </w:rPr>
        <w:t>（二）基金管理人不公平地对待其管理的不同基金财产，基金托管人不公平地对待其托管的不同基金财产。</w:t>
      </w:r>
    </w:p>
    <w:p>
      <w:pPr>
        <w:spacing w:line="360" w:lineRule="auto"/>
        <w:ind w:firstLine="480" w:firstLineChars="200"/>
        <w:rPr>
          <w:rFonts w:ascii="宋体" w:hAnsi="宋体" w:cs="宋体"/>
          <w:sz w:val="24"/>
        </w:rPr>
      </w:pPr>
      <w:r>
        <w:rPr>
          <w:rFonts w:hint="eastAsia" w:ascii="宋体" w:hAnsi="宋体" w:cs="宋体"/>
          <w:sz w:val="24"/>
        </w:rPr>
        <w:t>（三）基金管理人、基金托管人利用基金财产或职务之便为基金份额持有人以外的第三人牟取利益。</w:t>
      </w:r>
    </w:p>
    <w:p>
      <w:pPr>
        <w:spacing w:line="360" w:lineRule="auto"/>
        <w:ind w:firstLine="480" w:firstLineChars="200"/>
        <w:rPr>
          <w:rFonts w:ascii="宋体" w:hAnsi="宋体" w:cs="宋体"/>
          <w:sz w:val="24"/>
        </w:rPr>
      </w:pPr>
      <w:r>
        <w:rPr>
          <w:rFonts w:hint="eastAsia" w:ascii="宋体" w:hAnsi="宋体" w:cs="宋体"/>
          <w:sz w:val="24"/>
        </w:rPr>
        <w:t>（四）基金管理人、基金托管人向基金份额持有人违规承诺收益或者承担损失。</w:t>
      </w:r>
    </w:p>
    <w:p>
      <w:pPr>
        <w:spacing w:line="360" w:lineRule="auto"/>
        <w:ind w:firstLine="480" w:firstLineChars="200"/>
        <w:rPr>
          <w:rFonts w:ascii="宋体" w:hAnsi="宋体" w:cs="宋体"/>
          <w:sz w:val="24"/>
        </w:rPr>
      </w:pPr>
      <w:r>
        <w:rPr>
          <w:rFonts w:hint="eastAsia" w:ascii="宋体" w:hAnsi="宋体" w:cs="宋体"/>
          <w:sz w:val="24"/>
        </w:rPr>
        <w:t>（五）基金管理人、基金托管人对他人泄露基金运作和管理过程中任何尚未按法律法规规定的方式公开披露的信息。</w:t>
      </w:r>
    </w:p>
    <w:p>
      <w:pPr>
        <w:spacing w:line="360" w:lineRule="auto"/>
        <w:ind w:firstLine="480" w:firstLineChars="200"/>
        <w:rPr>
          <w:rFonts w:ascii="宋体" w:hAnsi="宋体" w:cs="宋体"/>
          <w:sz w:val="24"/>
        </w:rPr>
      </w:pPr>
      <w:r>
        <w:rPr>
          <w:rFonts w:hint="eastAsia" w:ascii="宋体" w:hAnsi="宋体" w:cs="宋体"/>
          <w:sz w:val="24"/>
        </w:rPr>
        <w:t>（六）基金管理人在没有充足资金的情况下向基金托管人发出投资指令和付款指令，或违规向基金托管人发出指令。</w:t>
      </w:r>
    </w:p>
    <w:p>
      <w:pPr>
        <w:spacing w:line="360" w:lineRule="auto"/>
        <w:ind w:firstLine="480" w:firstLineChars="200"/>
        <w:rPr>
          <w:rFonts w:ascii="宋体" w:hAnsi="宋体" w:cs="宋体"/>
          <w:sz w:val="24"/>
        </w:rPr>
      </w:pPr>
      <w:r>
        <w:rPr>
          <w:rFonts w:hint="eastAsia" w:ascii="宋体" w:hAnsi="宋体" w:cs="宋体"/>
          <w:sz w:val="24"/>
        </w:rPr>
        <w:t>（七）基金管理人、基金托管人在行政上、财务上不独立，其高级管理人员和其他从业人员相互兼职。</w:t>
      </w:r>
    </w:p>
    <w:p>
      <w:pPr>
        <w:spacing w:line="360" w:lineRule="auto"/>
        <w:ind w:firstLine="480" w:firstLineChars="200"/>
        <w:rPr>
          <w:rFonts w:ascii="宋体" w:hAnsi="宋体" w:cs="宋体"/>
          <w:sz w:val="24"/>
        </w:rPr>
      </w:pPr>
      <w:r>
        <w:rPr>
          <w:rFonts w:hint="eastAsia" w:ascii="宋体" w:hAnsi="宋体" w:cs="宋体"/>
          <w:sz w:val="24"/>
        </w:rPr>
        <w:t>（八）基金托管人私自动用或处分基金财产，根据基金管理人的合法指令、基金合同或托管协议的规定进行处分的除外。</w:t>
      </w:r>
    </w:p>
    <w:p>
      <w:pPr>
        <w:spacing w:line="360" w:lineRule="auto"/>
        <w:ind w:firstLine="480" w:firstLineChars="200"/>
        <w:rPr>
          <w:rFonts w:ascii="宋体" w:hAnsi="宋体" w:cs="宋体"/>
          <w:sz w:val="24"/>
        </w:rPr>
      </w:pPr>
      <w:r>
        <w:rPr>
          <w:rFonts w:hint="eastAsia" w:ascii="宋体" w:hAnsi="宋体" w:cs="宋体"/>
          <w:sz w:val="24"/>
        </w:rPr>
        <w:t>（九）法律法规和基金合同禁止的其他行为，以及依照法律、行政法规有关规定，由中国证监会规定禁止基金管理人、基金托管人从事的其他行为。</w:t>
      </w:r>
    </w:p>
    <w:p>
      <w:pPr>
        <w:pStyle w:val="2"/>
        <w:jc w:val="center"/>
        <w:rPr>
          <w:rFonts w:ascii="宋体" w:hAnsi="宋体" w:cs="宋体"/>
          <w:sz w:val="30"/>
          <w:szCs w:val="24"/>
        </w:rPr>
      </w:pPr>
      <w:r>
        <w:rPr>
          <w:rFonts w:hint="eastAsia" w:ascii="宋体" w:hAnsi="宋体" w:cs="宋体"/>
          <w:sz w:val="24"/>
          <w:szCs w:val="24"/>
        </w:rPr>
        <w:br w:type="page"/>
      </w:r>
      <w:bookmarkStart w:id="137" w:name="_Toc384992706"/>
      <w:bookmarkStart w:id="138" w:name="_Toc29607"/>
      <w:bookmarkStart w:id="139" w:name="_Toc17937"/>
      <w:bookmarkStart w:id="140" w:name="_Toc348082044"/>
      <w:r>
        <w:rPr>
          <w:rFonts w:hint="eastAsia"/>
          <w:bCs w:val="0"/>
          <w:sz w:val="30"/>
          <w:szCs w:val="30"/>
        </w:rPr>
        <w:t>十六、托管协议的变更、终止与基金财产的清算</w:t>
      </w:r>
      <w:bookmarkEnd w:id="137"/>
      <w:bookmarkEnd w:id="138"/>
      <w:bookmarkEnd w:id="139"/>
      <w:bookmarkEnd w:id="140"/>
    </w:p>
    <w:p>
      <w:pPr>
        <w:spacing w:line="360" w:lineRule="auto"/>
        <w:ind w:firstLine="480" w:firstLineChars="200"/>
        <w:rPr>
          <w:rFonts w:ascii="宋体" w:hAnsi="宋体" w:cs="宋体"/>
          <w:sz w:val="24"/>
        </w:rPr>
      </w:pPr>
      <w:r>
        <w:rPr>
          <w:rFonts w:hint="eastAsia" w:ascii="宋体" w:hAnsi="宋体" w:cs="宋体"/>
          <w:sz w:val="24"/>
        </w:rPr>
        <w:t>（一）托管协议的变更程序</w:t>
      </w:r>
    </w:p>
    <w:p>
      <w:pPr>
        <w:spacing w:line="360" w:lineRule="auto"/>
        <w:ind w:firstLine="480" w:firstLineChars="200"/>
        <w:rPr>
          <w:rFonts w:ascii="宋体" w:hAnsi="宋体" w:cs="宋体"/>
          <w:sz w:val="24"/>
        </w:rPr>
      </w:pPr>
      <w:r>
        <w:rPr>
          <w:rFonts w:hint="eastAsia" w:ascii="宋体" w:hAnsi="宋体" w:cs="宋体"/>
          <w:sz w:val="24"/>
        </w:rPr>
        <w:t>本协议双方当事人经协商一致，可以对协议进行修改。修改后的新协议，其内容不得与基金合同的规定有任何冲突。</w:t>
      </w:r>
    </w:p>
    <w:p>
      <w:pPr>
        <w:spacing w:line="360" w:lineRule="auto"/>
        <w:ind w:firstLine="480" w:firstLineChars="200"/>
        <w:rPr>
          <w:rFonts w:ascii="宋体" w:hAnsi="宋体" w:cs="宋体"/>
          <w:sz w:val="24"/>
        </w:rPr>
      </w:pPr>
      <w:r>
        <w:rPr>
          <w:rFonts w:hint="eastAsia" w:ascii="宋体" w:hAnsi="宋体" w:cs="宋体"/>
          <w:sz w:val="24"/>
        </w:rPr>
        <w:t>（二）基金托管协议终止的情形</w:t>
      </w:r>
    </w:p>
    <w:p>
      <w:pPr>
        <w:spacing w:line="360" w:lineRule="auto"/>
        <w:ind w:firstLine="480" w:firstLineChars="200"/>
        <w:rPr>
          <w:rFonts w:ascii="宋体" w:hAnsi="宋体" w:cs="宋体"/>
          <w:sz w:val="24"/>
        </w:rPr>
      </w:pPr>
      <w:r>
        <w:rPr>
          <w:rFonts w:hint="eastAsia" w:ascii="宋体" w:hAnsi="宋体" w:cs="宋体"/>
          <w:sz w:val="24"/>
        </w:rPr>
        <w:t>1、《基金合同》终止；</w:t>
      </w:r>
    </w:p>
    <w:p>
      <w:pPr>
        <w:spacing w:line="360" w:lineRule="auto"/>
        <w:ind w:firstLine="480" w:firstLineChars="200"/>
        <w:rPr>
          <w:rFonts w:ascii="宋体" w:hAnsi="宋体" w:cs="宋体"/>
          <w:sz w:val="24"/>
        </w:rPr>
      </w:pPr>
      <w:r>
        <w:rPr>
          <w:rFonts w:hint="eastAsia" w:ascii="宋体" w:hAnsi="宋体" w:cs="宋体"/>
          <w:sz w:val="24"/>
        </w:rPr>
        <w:t>2、基金托管人因解散、破产、撤销等事由，不能继续担任基金托管人的职务，而在6个月内无其他适当的托管机构承接其原有权利义务；</w:t>
      </w:r>
    </w:p>
    <w:p>
      <w:pPr>
        <w:spacing w:line="360" w:lineRule="auto"/>
        <w:ind w:firstLine="480" w:firstLineChars="200"/>
        <w:rPr>
          <w:rFonts w:ascii="宋体" w:hAnsi="宋体" w:cs="宋体"/>
          <w:sz w:val="24"/>
        </w:rPr>
      </w:pPr>
      <w:r>
        <w:rPr>
          <w:rFonts w:hint="eastAsia" w:ascii="宋体" w:hAnsi="宋体" w:cs="宋体"/>
          <w:sz w:val="24"/>
        </w:rPr>
        <w:t>3、基金管理人因解散、破产、撤销等事由，不能继续担任基金管理人的职务，而在6个月内无其他适当的基金管理公司承接其原有权利义务；</w:t>
      </w:r>
    </w:p>
    <w:p>
      <w:pPr>
        <w:spacing w:line="360" w:lineRule="auto"/>
        <w:ind w:firstLine="480" w:firstLineChars="200"/>
        <w:rPr>
          <w:rFonts w:ascii="宋体" w:hAnsi="宋体" w:cs="宋体"/>
          <w:sz w:val="24"/>
        </w:rPr>
      </w:pPr>
      <w:r>
        <w:rPr>
          <w:rFonts w:hint="eastAsia" w:ascii="宋体" w:hAnsi="宋体" w:cs="宋体"/>
          <w:sz w:val="24"/>
        </w:rPr>
        <w:t>4、发生法律法规或《基金合同》规定的其他终止事项。</w:t>
      </w:r>
    </w:p>
    <w:p>
      <w:pPr>
        <w:spacing w:line="360" w:lineRule="auto"/>
        <w:ind w:firstLine="480" w:firstLineChars="200"/>
        <w:rPr>
          <w:rFonts w:ascii="宋体" w:hAnsi="宋体" w:cs="宋体"/>
          <w:sz w:val="24"/>
        </w:rPr>
      </w:pPr>
      <w:r>
        <w:rPr>
          <w:rFonts w:hint="eastAsia" w:ascii="宋体" w:hAnsi="宋体" w:cs="宋体"/>
          <w:sz w:val="24"/>
        </w:rPr>
        <w:t>（三）基金财产的清算</w:t>
      </w:r>
    </w:p>
    <w:p>
      <w:pPr>
        <w:spacing w:line="360" w:lineRule="auto"/>
        <w:ind w:firstLine="480" w:firstLineChars="200"/>
        <w:rPr>
          <w:rFonts w:ascii="宋体" w:hAnsi="宋体" w:cs="宋体"/>
          <w:sz w:val="24"/>
        </w:rPr>
      </w:pPr>
      <w:r>
        <w:rPr>
          <w:rFonts w:hint="eastAsia" w:ascii="宋体" w:hAnsi="宋体" w:cs="宋体"/>
          <w:sz w:val="24"/>
        </w:rPr>
        <w:t>基金管理人与基金托管人按照《基金合同》的约定处理基金财产的清算。</w:t>
      </w:r>
    </w:p>
    <w:p>
      <w:pPr>
        <w:pStyle w:val="2"/>
        <w:jc w:val="center"/>
        <w:rPr>
          <w:rFonts w:ascii="宋体" w:hAnsi="宋体" w:cs="宋体"/>
          <w:sz w:val="30"/>
          <w:szCs w:val="24"/>
        </w:rPr>
      </w:pPr>
      <w:r>
        <w:rPr>
          <w:rFonts w:hint="eastAsia" w:ascii="宋体" w:hAnsi="宋体" w:cs="宋体"/>
          <w:sz w:val="24"/>
          <w:szCs w:val="24"/>
        </w:rPr>
        <w:br w:type="page"/>
      </w:r>
      <w:bookmarkStart w:id="141" w:name="_Toc384992707"/>
      <w:bookmarkStart w:id="142" w:name="_Toc348082045"/>
      <w:bookmarkStart w:id="143" w:name="_Toc21013"/>
      <w:bookmarkStart w:id="144" w:name="_Toc30859"/>
      <w:r>
        <w:rPr>
          <w:rFonts w:hint="eastAsia"/>
          <w:sz w:val="30"/>
          <w:szCs w:val="30"/>
        </w:rPr>
        <w:t>十七、违约责任</w:t>
      </w:r>
      <w:bookmarkEnd w:id="141"/>
      <w:bookmarkEnd w:id="142"/>
      <w:bookmarkEnd w:id="143"/>
      <w:bookmarkEnd w:id="144"/>
    </w:p>
    <w:p>
      <w:pPr>
        <w:spacing w:line="360" w:lineRule="auto"/>
        <w:ind w:firstLine="480" w:firstLineChars="200"/>
        <w:rPr>
          <w:rFonts w:ascii="宋体" w:hAnsi="宋体" w:cs="宋体"/>
          <w:sz w:val="24"/>
        </w:rPr>
      </w:pPr>
      <w:r>
        <w:rPr>
          <w:rFonts w:hint="eastAsia" w:ascii="宋体" w:hAnsi="宋体" w:cs="宋体"/>
          <w:sz w:val="24"/>
        </w:rPr>
        <w:t>（一）基金管理人、基金托管人不履行本协议或履行本协议不符合约定的，应当承担违约责任。</w:t>
      </w:r>
    </w:p>
    <w:p>
      <w:pPr>
        <w:spacing w:line="360" w:lineRule="auto"/>
        <w:ind w:firstLine="480" w:firstLineChars="200"/>
        <w:rPr>
          <w:rFonts w:ascii="宋体" w:hAnsi="宋体" w:cs="宋体"/>
          <w:sz w:val="24"/>
        </w:rPr>
      </w:pPr>
      <w:r>
        <w:rPr>
          <w:rFonts w:hint="eastAsia" w:ascii="宋体" w:hAnsi="宋体" w:cs="宋体"/>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根据各自的过错程度对由此造成的直接损失分别承担相应的责任。</w:t>
      </w:r>
    </w:p>
    <w:p>
      <w:pPr>
        <w:spacing w:line="360" w:lineRule="auto"/>
        <w:ind w:firstLine="480" w:firstLineChars="200"/>
        <w:rPr>
          <w:rFonts w:ascii="宋体" w:hAnsi="宋体" w:cs="宋体"/>
          <w:sz w:val="24"/>
        </w:rPr>
      </w:pPr>
      <w:r>
        <w:rPr>
          <w:rFonts w:hint="eastAsia" w:ascii="宋体" w:hAnsi="宋体" w:cs="宋体"/>
          <w:sz w:val="24"/>
        </w:rPr>
        <w:t>（三）一方当事人违约，给另一方当事人或基金财产造成损失的，应就直接损失进行赔偿，另一方当事人有权利及义务代表基金向违约方追偿。但是如发生下列情况，当事人免责：</w:t>
      </w:r>
    </w:p>
    <w:p>
      <w:pPr>
        <w:spacing w:line="360" w:lineRule="auto"/>
        <w:ind w:firstLine="480" w:firstLineChars="200"/>
        <w:rPr>
          <w:rFonts w:ascii="宋体" w:hAnsi="宋体" w:cs="宋体"/>
          <w:sz w:val="24"/>
        </w:rPr>
      </w:pPr>
      <w:r>
        <w:rPr>
          <w:rFonts w:hint="eastAsia" w:ascii="宋体" w:hAnsi="宋体" w:cs="宋体"/>
          <w:sz w:val="24"/>
        </w:rPr>
        <w:t>1、基金管理人和/或基金托管人按照届时有效的法律法规或中国证监会的规定作为或不作为而造成的损失等；</w:t>
      </w:r>
    </w:p>
    <w:p>
      <w:pPr>
        <w:spacing w:line="360" w:lineRule="auto"/>
        <w:ind w:firstLine="480" w:firstLineChars="200"/>
        <w:rPr>
          <w:rFonts w:ascii="宋体" w:hAnsi="宋体" w:cs="宋体"/>
          <w:sz w:val="24"/>
        </w:rPr>
      </w:pPr>
      <w:r>
        <w:rPr>
          <w:rFonts w:hint="eastAsia" w:ascii="宋体" w:hAnsi="宋体" w:cs="宋体"/>
          <w:sz w:val="24"/>
        </w:rPr>
        <w:t>2、基金管理人由于按照《基金合同》规定的投资原则而行使或不行使其投资权而造成的损失等；</w:t>
      </w:r>
    </w:p>
    <w:p>
      <w:pPr>
        <w:spacing w:line="360" w:lineRule="auto"/>
        <w:ind w:firstLine="480" w:firstLineChars="200"/>
        <w:rPr>
          <w:rFonts w:ascii="宋体" w:hAnsi="宋体" w:cs="宋体"/>
          <w:sz w:val="24"/>
        </w:rPr>
      </w:pPr>
      <w:r>
        <w:rPr>
          <w:rFonts w:hint="eastAsia" w:ascii="宋体" w:hAnsi="宋体" w:cs="宋体"/>
          <w:sz w:val="24"/>
        </w:rPr>
        <w:t>3、不可抗力。</w:t>
      </w:r>
    </w:p>
    <w:p>
      <w:pPr>
        <w:spacing w:line="360" w:lineRule="auto"/>
        <w:ind w:firstLine="480" w:firstLineChars="200"/>
        <w:rPr>
          <w:rFonts w:ascii="宋体" w:hAnsi="宋体" w:cs="宋体"/>
          <w:sz w:val="24"/>
        </w:rPr>
      </w:pPr>
      <w:r>
        <w:rPr>
          <w:rFonts w:hint="eastAsia" w:ascii="宋体" w:hAnsi="宋体" w:cs="宋体"/>
          <w:sz w:val="24"/>
        </w:rPr>
        <w:t>（四）一方当事人违约，另一方当事人在职责范围内有义务及时采取必要的措施，尽力防止损失的扩大。</w:t>
      </w:r>
    </w:p>
    <w:p>
      <w:pPr>
        <w:spacing w:line="360" w:lineRule="auto"/>
        <w:ind w:firstLine="480" w:firstLineChars="200"/>
        <w:rPr>
          <w:rFonts w:ascii="宋体" w:hAnsi="宋体" w:cs="宋体"/>
          <w:sz w:val="24"/>
        </w:rPr>
      </w:pPr>
      <w:r>
        <w:rPr>
          <w:rFonts w:hint="eastAsia" w:ascii="宋体" w:hAnsi="宋体" w:cs="宋体"/>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pPr>
        <w:spacing w:line="360" w:lineRule="auto"/>
        <w:ind w:firstLine="480" w:firstLineChars="200"/>
        <w:rPr>
          <w:rFonts w:ascii="宋体" w:hAnsi="宋体" w:cs="宋体"/>
          <w:sz w:val="24"/>
        </w:rPr>
      </w:pPr>
      <w:r>
        <w:rPr>
          <w:rFonts w:hint="eastAsia" w:ascii="宋体" w:hAnsi="宋体" w:cs="宋体"/>
          <w:sz w:val="24"/>
        </w:rPr>
        <w:t>（六）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减轻或消除由此造成的影响。</w:t>
      </w:r>
    </w:p>
    <w:p>
      <w:pPr>
        <w:spacing w:line="360" w:lineRule="auto"/>
        <w:ind w:firstLine="480" w:firstLineChars="200"/>
        <w:jc w:val="center"/>
        <w:rPr>
          <w:rFonts w:ascii="宋体" w:hAnsi="宋体" w:cs="宋体"/>
          <w:b/>
          <w:bCs/>
          <w:sz w:val="30"/>
          <w:szCs w:val="30"/>
        </w:rPr>
      </w:pPr>
      <w:r>
        <w:rPr>
          <w:rFonts w:hint="eastAsia" w:ascii="宋体" w:hAnsi="宋体" w:cs="宋体"/>
          <w:sz w:val="24"/>
        </w:rPr>
        <w:br w:type="page"/>
      </w:r>
    </w:p>
    <w:p>
      <w:pPr>
        <w:pStyle w:val="2"/>
        <w:jc w:val="center"/>
        <w:rPr>
          <w:sz w:val="30"/>
          <w:szCs w:val="30"/>
        </w:rPr>
      </w:pPr>
      <w:bookmarkStart w:id="145" w:name="_Toc348082046"/>
      <w:bookmarkStart w:id="146" w:name="_Toc4965"/>
      <w:bookmarkStart w:id="147" w:name="_Toc24127"/>
      <w:bookmarkStart w:id="148" w:name="_Toc384992708"/>
      <w:r>
        <w:rPr>
          <w:rFonts w:hint="eastAsia"/>
          <w:kern w:val="2"/>
          <w:sz w:val="30"/>
          <w:szCs w:val="30"/>
        </w:rPr>
        <w:t>十八、</w:t>
      </w:r>
      <w:r>
        <w:rPr>
          <w:rFonts w:hint="eastAsia"/>
          <w:sz w:val="30"/>
          <w:szCs w:val="30"/>
        </w:rPr>
        <w:t>争议解决方式</w:t>
      </w:r>
      <w:bookmarkEnd w:id="145"/>
      <w:bookmarkEnd w:id="146"/>
      <w:bookmarkEnd w:id="147"/>
      <w:bookmarkEnd w:id="148"/>
    </w:p>
    <w:p>
      <w:pPr>
        <w:spacing w:line="360" w:lineRule="auto"/>
        <w:ind w:firstLine="480" w:firstLineChars="200"/>
        <w:rPr>
          <w:rFonts w:ascii="宋体" w:hAnsi="宋体" w:cs="宋体"/>
          <w:sz w:val="24"/>
        </w:rPr>
      </w:pPr>
      <w:r>
        <w:rPr>
          <w:rFonts w:hint="eastAsia" w:ascii="宋体" w:hAnsi="宋体" w:cs="宋体"/>
          <w:sz w:val="24"/>
        </w:rPr>
        <w:t>双方当事人同意，因本协议而产生的或与本协议有关的一切争议，如经友好协商未能解决的，任何一方应当将争议提交深圳国际仲裁院，按照深圳国际仲裁院届时有效的仲裁规则进行仲裁。仲裁地点为深圳市。仲裁裁决是终局的，对双方当事人均有约束力，除非仲裁裁决另有决定，仲裁费用由败诉方承担。</w:t>
      </w:r>
    </w:p>
    <w:p>
      <w:pPr>
        <w:spacing w:line="360" w:lineRule="auto"/>
        <w:ind w:firstLine="480" w:firstLineChars="200"/>
        <w:rPr>
          <w:rFonts w:ascii="宋体" w:hAnsi="宋体" w:cs="宋体"/>
          <w:sz w:val="24"/>
        </w:rPr>
      </w:pPr>
      <w:r>
        <w:rPr>
          <w:rFonts w:hint="eastAsia" w:ascii="宋体" w:hAnsi="宋体" w:cs="宋体"/>
          <w:sz w:val="24"/>
        </w:rPr>
        <w:t>争议处理期间，双方当事人应恪守基金管理人和基金托管人职责，各自继续忠实、勤勉、尽责地履行基金合同和本托管协议规定的义务，维护基金份额持有人的合法权益。</w:t>
      </w:r>
    </w:p>
    <w:p>
      <w:pPr>
        <w:spacing w:line="360" w:lineRule="auto"/>
        <w:ind w:firstLine="480" w:firstLineChars="200"/>
        <w:rPr>
          <w:rFonts w:ascii="宋体" w:hAnsi="宋体" w:cs="宋体"/>
          <w:sz w:val="24"/>
        </w:rPr>
      </w:pPr>
      <w:r>
        <w:rPr>
          <w:rFonts w:hint="eastAsia" w:ascii="宋体" w:hAnsi="宋体" w:cs="宋体"/>
          <w:sz w:val="24"/>
        </w:rPr>
        <w:t>本协议受中华人民共和国法律（不含港澳台立法）管辖。</w:t>
      </w:r>
    </w:p>
    <w:p>
      <w:pPr>
        <w:pStyle w:val="2"/>
        <w:jc w:val="center"/>
        <w:rPr>
          <w:rFonts w:ascii="宋体" w:hAnsi="宋体" w:cs="宋体"/>
          <w:sz w:val="30"/>
          <w:szCs w:val="30"/>
        </w:rPr>
      </w:pPr>
      <w:r>
        <w:rPr>
          <w:rFonts w:hint="eastAsia" w:ascii="宋体" w:hAnsi="宋体" w:cs="宋体"/>
          <w:sz w:val="24"/>
          <w:szCs w:val="24"/>
        </w:rPr>
        <w:br w:type="page"/>
      </w:r>
      <w:bookmarkStart w:id="149" w:name="_Toc18966"/>
      <w:bookmarkStart w:id="150" w:name="_Toc348082047"/>
      <w:bookmarkStart w:id="151" w:name="_Toc384992709"/>
      <w:bookmarkStart w:id="152" w:name="_Toc20088"/>
      <w:r>
        <w:rPr>
          <w:rFonts w:hint="eastAsia"/>
          <w:sz w:val="30"/>
          <w:szCs w:val="30"/>
        </w:rPr>
        <w:t>十九、托管协议的效力</w:t>
      </w:r>
      <w:bookmarkEnd w:id="149"/>
      <w:bookmarkEnd w:id="150"/>
      <w:bookmarkEnd w:id="151"/>
      <w:bookmarkEnd w:id="152"/>
    </w:p>
    <w:p>
      <w:pPr>
        <w:spacing w:line="360" w:lineRule="auto"/>
        <w:ind w:firstLine="480" w:firstLineChars="200"/>
        <w:rPr>
          <w:rFonts w:ascii="宋体" w:hAnsi="宋体" w:cs="宋体"/>
          <w:sz w:val="24"/>
        </w:rPr>
      </w:pPr>
      <w:r>
        <w:rPr>
          <w:rFonts w:hint="eastAsia" w:ascii="宋体" w:hAnsi="宋体" w:cs="宋体"/>
          <w:sz w:val="24"/>
        </w:rPr>
        <w:t>双方对托管协议的效力约定如下：</w:t>
      </w:r>
    </w:p>
    <w:p>
      <w:pPr>
        <w:spacing w:line="360" w:lineRule="auto"/>
        <w:ind w:firstLine="480" w:firstLineChars="200"/>
        <w:rPr>
          <w:rFonts w:ascii="宋体" w:hAnsi="宋体" w:cs="宋体"/>
          <w:sz w:val="24"/>
        </w:rPr>
      </w:pPr>
      <w:r>
        <w:rPr>
          <w:rFonts w:hint="eastAsia" w:ascii="宋体" w:hAnsi="宋体" w:cs="宋体"/>
          <w:sz w:val="24"/>
        </w:rPr>
        <w:t>（一）基金管理人在向中国证监会申请基金募集注册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pPr>
        <w:spacing w:line="360" w:lineRule="auto"/>
        <w:ind w:firstLine="480" w:firstLineChars="200"/>
        <w:rPr>
          <w:rFonts w:ascii="宋体" w:hAnsi="宋体" w:cs="宋体"/>
          <w:sz w:val="24"/>
        </w:rPr>
      </w:pPr>
      <w:r>
        <w:rPr>
          <w:rFonts w:hint="eastAsia" w:ascii="宋体" w:hAnsi="宋体" w:cs="宋体"/>
          <w:sz w:val="24"/>
        </w:rPr>
        <w:t>（二）托管协议自基金合同成立之日起成立，自基金合同生效之日起生效。托管协议的有效期自其生效之日起至基金财产清算结果报中国证监会备案并公告之日止。</w:t>
      </w:r>
    </w:p>
    <w:p>
      <w:pPr>
        <w:spacing w:line="360" w:lineRule="auto"/>
        <w:ind w:firstLine="480" w:firstLineChars="200"/>
        <w:rPr>
          <w:rFonts w:ascii="宋体" w:hAnsi="宋体" w:cs="宋体"/>
          <w:sz w:val="24"/>
        </w:rPr>
      </w:pPr>
      <w:r>
        <w:rPr>
          <w:rFonts w:hint="eastAsia" w:ascii="宋体" w:hAnsi="宋体" w:cs="宋体"/>
          <w:sz w:val="24"/>
        </w:rPr>
        <w:t>（三）托管协议自生效之日起对托管协议当事人具有同等的法律约束力。</w:t>
      </w:r>
    </w:p>
    <w:p>
      <w:pPr>
        <w:spacing w:line="360" w:lineRule="auto"/>
        <w:ind w:firstLine="480" w:firstLineChars="200"/>
        <w:rPr>
          <w:rFonts w:ascii="宋体" w:hAnsi="宋体" w:cs="宋体"/>
          <w:sz w:val="24"/>
        </w:rPr>
      </w:pPr>
      <w:r>
        <w:rPr>
          <w:rFonts w:hint="eastAsia" w:ascii="宋体" w:hAnsi="宋体" w:cs="宋体"/>
          <w:sz w:val="24"/>
        </w:rPr>
        <w:t>（四）本协议一式三份，协议双方各持一份，由基金管理人根据需要上报监管机构一份，每份具有同等法律效力。</w:t>
      </w:r>
    </w:p>
    <w:p>
      <w:pPr>
        <w:spacing w:line="360" w:lineRule="auto"/>
        <w:ind w:firstLine="480" w:firstLineChars="200"/>
        <w:rPr>
          <w:rFonts w:ascii="宋体" w:hAnsi="宋体" w:cs="宋体"/>
          <w:sz w:val="24"/>
        </w:rPr>
      </w:pPr>
    </w:p>
    <w:p>
      <w:pPr>
        <w:pStyle w:val="2"/>
        <w:jc w:val="center"/>
        <w:rPr>
          <w:rFonts w:ascii="宋体" w:hAnsi="宋体" w:cs="宋体"/>
        </w:rPr>
      </w:pPr>
      <w:r>
        <w:rPr>
          <w:rFonts w:hint="eastAsia" w:ascii="宋体" w:hAnsi="宋体" w:cs="宋体"/>
          <w:szCs w:val="24"/>
        </w:rPr>
        <w:br w:type="page"/>
      </w:r>
      <w:bookmarkStart w:id="153" w:name="_Toc8648"/>
      <w:bookmarkStart w:id="154" w:name="_Toc348082048"/>
      <w:bookmarkStart w:id="155" w:name="_Toc384992710"/>
      <w:bookmarkStart w:id="156" w:name="_Toc12992"/>
      <w:r>
        <w:rPr>
          <w:rFonts w:hint="eastAsia"/>
          <w:sz w:val="30"/>
          <w:szCs w:val="30"/>
        </w:rPr>
        <w:t>二十、其他事项</w:t>
      </w:r>
      <w:bookmarkEnd w:id="153"/>
      <w:bookmarkEnd w:id="154"/>
      <w:bookmarkEnd w:id="155"/>
      <w:bookmarkEnd w:id="156"/>
    </w:p>
    <w:p>
      <w:pPr>
        <w:spacing w:line="360" w:lineRule="auto"/>
        <w:ind w:firstLine="480" w:firstLineChars="200"/>
        <w:rPr>
          <w:rFonts w:ascii="宋体" w:hAnsi="宋体" w:cs="宋体"/>
          <w:sz w:val="24"/>
        </w:rPr>
      </w:pPr>
      <w:r>
        <w:rPr>
          <w:rFonts w:hint="eastAsia" w:ascii="宋体" w:hAnsi="宋体" w:cs="宋体"/>
          <w:sz w:val="24"/>
        </w:rPr>
        <w:t>如发生有权司法机关依法冻结基金份额持有人的基金份额时，基金管理人应予以配合，承担司法协助义务。</w:t>
      </w:r>
    </w:p>
    <w:p>
      <w:pPr>
        <w:spacing w:line="360" w:lineRule="auto"/>
        <w:ind w:firstLine="480" w:firstLineChars="200"/>
        <w:rPr>
          <w:rFonts w:ascii="宋体" w:hAnsi="宋体" w:cs="宋体"/>
          <w:sz w:val="24"/>
        </w:rPr>
      </w:pPr>
      <w:r>
        <w:rPr>
          <w:rFonts w:hint="eastAsia" w:ascii="宋体" w:hAnsi="宋体" w:cs="宋体"/>
          <w:sz w:val="24"/>
        </w:rPr>
        <w:t>除本协议有明确定义外，本协议的用语定义适用基金合同的约定。本协议未尽事宜，当事人依据基金合同、有关法律法规等规定协商办理。</w:t>
      </w:r>
    </w:p>
    <w:p>
      <w:pPr>
        <w:spacing w:line="360" w:lineRule="auto"/>
        <w:ind w:firstLine="480" w:firstLineChars="200"/>
        <w:rPr>
          <w:rFonts w:ascii="宋体" w:hAnsi="宋体" w:cs="宋体"/>
          <w:sz w:val="24"/>
        </w:rPr>
      </w:pPr>
      <w:r>
        <w:rPr>
          <w:rFonts w:hint="eastAsia" w:ascii="宋体" w:hAnsi="宋体" w:cs="宋体"/>
          <w:sz w:val="24"/>
        </w:rPr>
        <w:t>本协议附件构成本协议不可分割的组成部分。</w:t>
      </w:r>
    </w:p>
    <w:p>
      <w:pPr>
        <w:pStyle w:val="2"/>
        <w:jc w:val="center"/>
        <w:rPr>
          <w:rFonts w:ascii="宋体" w:hAnsi="宋体" w:cs="宋体"/>
        </w:rPr>
      </w:pPr>
      <w:r>
        <w:rPr>
          <w:rFonts w:hint="eastAsia" w:ascii="宋体" w:hAnsi="宋体" w:cs="宋体"/>
          <w:szCs w:val="24"/>
        </w:rPr>
        <w:br w:type="page"/>
      </w:r>
      <w:bookmarkStart w:id="157" w:name="_Toc7332"/>
      <w:bookmarkStart w:id="158" w:name="_Toc25588"/>
      <w:bookmarkStart w:id="159" w:name="_Toc348082049"/>
      <w:bookmarkStart w:id="160" w:name="_Toc384992711"/>
      <w:r>
        <w:rPr>
          <w:rFonts w:hint="eastAsia"/>
          <w:sz w:val="30"/>
          <w:szCs w:val="30"/>
        </w:rPr>
        <w:t>二十一、托管协议的签订</w:t>
      </w:r>
      <w:bookmarkEnd w:id="157"/>
      <w:bookmarkEnd w:id="158"/>
      <w:bookmarkEnd w:id="159"/>
      <w:bookmarkEnd w:id="160"/>
    </w:p>
    <w:p>
      <w:pPr>
        <w:spacing w:line="360" w:lineRule="auto"/>
        <w:ind w:firstLine="480" w:firstLineChars="200"/>
        <w:rPr>
          <w:rFonts w:ascii="宋体" w:hAnsi="宋体" w:cs="宋体"/>
          <w:sz w:val="24"/>
        </w:rPr>
      </w:pPr>
      <w:r>
        <w:rPr>
          <w:rFonts w:hint="eastAsia" w:ascii="宋体" w:hAnsi="宋体" w:cs="宋体"/>
          <w:sz w:val="24"/>
        </w:rPr>
        <w:t>本协议双方法定代表人或授权代表人签章、签订地、签订日。</w:t>
      </w:r>
    </w:p>
    <w:p>
      <w:pPr>
        <w:spacing w:line="360" w:lineRule="auto"/>
        <w:rPr>
          <w:rFonts w:ascii="宋体" w:hAnsi="宋体" w:cs="宋体"/>
          <w:sz w:val="24"/>
        </w:rPr>
      </w:pPr>
    </w:p>
    <w:sectPr>
      <w:footerReference r:id="rId5"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lang w:val="en-US"/>
      </w:rPr>
    </w:pPr>
    <w:r>
      <w:rPr>
        <w:rFonts w:hint="eastAsia" w:ascii="宋体" w:hAnsi="宋体"/>
        <w:lang w:val="en-US"/>
      </w:rPr>
      <w:t>东方阿尔法瑞利混合型发起式</w:t>
    </w:r>
    <w:r>
      <w:rPr>
        <w:rFonts w:hint="eastAsia" w:ascii="宋体" w:hAnsi="宋体"/>
      </w:rPr>
      <w:t>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DC7E74"/>
    <w:rsid w:val="00001AB6"/>
    <w:rsid w:val="00001CBA"/>
    <w:rsid w:val="00001E42"/>
    <w:rsid w:val="00002977"/>
    <w:rsid w:val="00003DDD"/>
    <w:rsid w:val="00004215"/>
    <w:rsid w:val="00007C2F"/>
    <w:rsid w:val="00010125"/>
    <w:rsid w:val="0001044F"/>
    <w:rsid w:val="00014D21"/>
    <w:rsid w:val="00016A01"/>
    <w:rsid w:val="00017201"/>
    <w:rsid w:val="00022AE1"/>
    <w:rsid w:val="00022D6C"/>
    <w:rsid w:val="00023D2A"/>
    <w:rsid w:val="00023EE9"/>
    <w:rsid w:val="00024205"/>
    <w:rsid w:val="00027D10"/>
    <w:rsid w:val="00031A4E"/>
    <w:rsid w:val="00031D78"/>
    <w:rsid w:val="00031D96"/>
    <w:rsid w:val="00035F02"/>
    <w:rsid w:val="00041EA9"/>
    <w:rsid w:val="00042898"/>
    <w:rsid w:val="000441B2"/>
    <w:rsid w:val="00045017"/>
    <w:rsid w:val="00045690"/>
    <w:rsid w:val="00045B8B"/>
    <w:rsid w:val="00046DB8"/>
    <w:rsid w:val="00047948"/>
    <w:rsid w:val="00047EDD"/>
    <w:rsid w:val="00052827"/>
    <w:rsid w:val="00052BEE"/>
    <w:rsid w:val="00052D58"/>
    <w:rsid w:val="00053108"/>
    <w:rsid w:val="0005456F"/>
    <w:rsid w:val="00054D9B"/>
    <w:rsid w:val="00064E77"/>
    <w:rsid w:val="00066315"/>
    <w:rsid w:val="0006703B"/>
    <w:rsid w:val="0006718A"/>
    <w:rsid w:val="00067DA7"/>
    <w:rsid w:val="00071723"/>
    <w:rsid w:val="00072176"/>
    <w:rsid w:val="0007281A"/>
    <w:rsid w:val="00074758"/>
    <w:rsid w:val="00074F42"/>
    <w:rsid w:val="00076C89"/>
    <w:rsid w:val="0007714A"/>
    <w:rsid w:val="00080AFA"/>
    <w:rsid w:val="00080E58"/>
    <w:rsid w:val="0008111E"/>
    <w:rsid w:val="00082FA8"/>
    <w:rsid w:val="00086E3B"/>
    <w:rsid w:val="0009016D"/>
    <w:rsid w:val="00090707"/>
    <w:rsid w:val="00091E90"/>
    <w:rsid w:val="0009373C"/>
    <w:rsid w:val="00095055"/>
    <w:rsid w:val="00097239"/>
    <w:rsid w:val="000A1593"/>
    <w:rsid w:val="000A1777"/>
    <w:rsid w:val="000A20C8"/>
    <w:rsid w:val="000B3268"/>
    <w:rsid w:val="000B6AA8"/>
    <w:rsid w:val="000C100E"/>
    <w:rsid w:val="000C1D2F"/>
    <w:rsid w:val="000C1FA6"/>
    <w:rsid w:val="000C26FF"/>
    <w:rsid w:val="000C5514"/>
    <w:rsid w:val="000C5A20"/>
    <w:rsid w:val="000C6767"/>
    <w:rsid w:val="000C68E7"/>
    <w:rsid w:val="000C6E67"/>
    <w:rsid w:val="000C6FAD"/>
    <w:rsid w:val="000D38A7"/>
    <w:rsid w:val="000D4051"/>
    <w:rsid w:val="000D7E47"/>
    <w:rsid w:val="000E35CB"/>
    <w:rsid w:val="000E6573"/>
    <w:rsid w:val="000E7A07"/>
    <w:rsid w:val="000E7A28"/>
    <w:rsid w:val="000F222D"/>
    <w:rsid w:val="000F2B08"/>
    <w:rsid w:val="000F3A96"/>
    <w:rsid w:val="00101318"/>
    <w:rsid w:val="00101B58"/>
    <w:rsid w:val="00102071"/>
    <w:rsid w:val="0010485A"/>
    <w:rsid w:val="001051B2"/>
    <w:rsid w:val="00105310"/>
    <w:rsid w:val="00110704"/>
    <w:rsid w:val="00113B59"/>
    <w:rsid w:val="00115064"/>
    <w:rsid w:val="00117512"/>
    <w:rsid w:val="0011783B"/>
    <w:rsid w:val="00120287"/>
    <w:rsid w:val="00120ABE"/>
    <w:rsid w:val="00124047"/>
    <w:rsid w:val="00126670"/>
    <w:rsid w:val="00130A39"/>
    <w:rsid w:val="00131569"/>
    <w:rsid w:val="0013181F"/>
    <w:rsid w:val="00132D3A"/>
    <w:rsid w:val="00133130"/>
    <w:rsid w:val="0013367F"/>
    <w:rsid w:val="00134CB2"/>
    <w:rsid w:val="00135008"/>
    <w:rsid w:val="00135F72"/>
    <w:rsid w:val="00136679"/>
    <w:rsid w:val="00140CFC"/>
    <w:rsid w:val="001451B1"/>
    <w:rsid w:val="00146246"/>
    <w:rsid w:val="00153191"/>
    <w:rsid w:val="00153CD2"/>
    <w:rsid w:val="0015430D"/>
    <w:rsid w:val="0015665A"/>
    <w:rsid w:val="00156A3F"/>
    <w:rsid w:val="00160684"/>
    <w:rsid w:val="00160700"/>
    <w:rsid w:val="00161DD2"/>
    <w:rsid w:val="00170A79"/>
    <w:rsid w:val="00172530"/>
    <w:rsid w:val="0017370E"/>
    <w:rsid w:val="00174565"/>
    <w:rsid w:val="001748DD"/>
    <w:rsid w:val="00175369"/>
    <w:rsid w:val="00176684"/>
    <w:rsid w:val="0017772E"/>
    <w:rsid w:val="00182D88"/>
    <w:rsid w:val="00185465"/>
    <w:rsid w:val="00185825"/>
    <w:rsid w:val="00185AD1"/>
    <w:rsid w:val="0018653A"/>
    <w:rsid w:val="00187473"/>
    <w:rsid w:val="0019194A"/>
    <w:rsid w:val="001945D9"/>
    <w:rsid w:val="001961E4"/>
    <w:rsid w:val="00197C29"/>
    <w:rsid w:val="001A27BB"/>
    <w:rsid w:val="001A31BA"/>
    <w:rsid w:val="001A4014"/>
    <w:rsid w:val="001A4100"/>
    <w:rsid w:val="001A729A"/>
    <w:rsid w:val="001B07DD"/>
    <w:rsid w:val="001B3B5D"/>
    <w:rsid w:val="001C044F"/>
    <w:rsid w:val="001C0471"/>
    <w:rsid w:val="001C2010"/>
    <w:rsid w:val="001C2A8E"/>
    <w:rsid w:val="001C3C95"/>
    <w:rsid w:val="001C5B7E"/>
    <w:rsid w:val="001C7718"/>
    <w:rsid w:val="001D0D88"/>
    <w:rsid w:val="001D25D0"/>
    <w:rsid w:val="001D4655"/>
    <w:rsid w:val="001D46C2"/>
    <w:rsid w:val="001D5CCB"/>
    <w:rsid w:val="001D695B"/>
    <w:rsid w:val="001D747C"/>
    <w:rsid w:val="001E5F15"/>
    <w:rsid w:val="001F0F63"/>
    <w:rsid w:val="001F2D81"/>
    <w:rsid w:val="001F31FB"/>
    <w:rsid w:val="001F4169"/>
    <w:rsid w:val="001F6F44"/>
    <w:rsid w:val="002009F5"/>
    <w:rsid w:val="00200A19"/>
    <w:rsid w:val="002019B6"/>
    <w:rsid w:val="00201FEC"/>
    <w:rsid w:val="00206847"/>
    <w:rsid w:val="002071A9"/>
    <w:rsid w:val="00215314"/>
    <w:rsid w:val="00216CAA"/>
    <w:rsid w:val="002215D2"/>
    <w:rsid w:val="00221872"/>
    <w:rsid w:val="00222341"/>
    <w:rsid w:val="002306C9"/>
    <w:rsid w:val="0023177F"/>
    <w:rsid w:val="00231B62"/>
    <w:rsid w:val="00231DEF"/>
    <w:rsid w:val="002330CA"/>
    <w:rsid w:val="002332D3"/>
    <w:rsid w:val="00234248"/>
    <w:rsid w:val="00237AD7"/>
    <w:rsid w:val="0024032B"/>
    <w:rsid w:val="00242261"/>
    <w:rsid w:val="00242944"/>
    <w:rsid w:val="00242E69"/>
    <w:rsid w:val="002451D7"/>
    <w:rsid w:val="00246B69"/>
    <w:rsid w:val="00247986"/>
    <w:rsid w:val="00247FC1"/>
    <w:rsid w:val="0026065F"/>
    <w:rsid w:val="002627A6"/>
    <w:rsid w:val="002631C1"/>
    <w:rsid w:val="00264E42"/>
    <w:rsid w:val="00267009"/>
    <w:rsid w:val="00271A77"/>
    <w:rsid w:val="002759C1"/>
    <w:rsid w:val="00275EA7"/>
    <w:rsid w:val="00276CBA"/>
    <w:rsid w:val="00280546"/>
    <w:rsid w:val="00285E1A"/>
    <w:rsid w:val="0028655B"/>
    <w:rsid w:val="00287B07"/>
    <w:rsid w:val="00287DD6"/>
    <w:rsid w:val="00291ACE"/>
    <w:rsid w:val="00292831"/>
    <w:rsid w:val="00292A48"/>
    <w:rsid w:val="0029563B"/>
    <w:rsid w:val="002961C9"/>
    <w:rsid w:val="002A0B4E"/>
    <w:rsid w:val="002A2BDE"/>
    <w:rsid w:val="002A790E"/>
    <w:rsid w:val="002A7E73"/>
    <w:rsid w:val="002B11CF"/>
    <w:rsid w:val="002B1684"/>
    <w:rsid w:val="002B19DD"/>
    <w:rsid w:val="002B2AD4"/>
    <w:rsid w:val="002B7266"/>
    <w:rsid w:val="002B7527"/>
    <w:rsid w:val="002C06EA"/>
    <w:rsid w:val="002C2B27"/>
    <w:rsid w:val="002C4EE4"/>
    <w:rsid w:val="002C5E9A"/>
    <w:rsid w:val="002C6520"/>
    <w:rsid w:val="002C6DF2"/>
    <w:rsid w:val="002C7C3C"/>
    <w:rsid w:val="002D155A"/>
    <w:rsid w:val="002D1D4F"/>
    <w:rsid w:val="002E05C3"/>
    <w:rsid w:val="002E3DED"/>
    <w:rsid w:val="002E46D7"/>
    <w:rsid w:val="002E54B5"/>
    <w:rsid w:val="002E73AA"/>
    <w:rsid w:val="002F1E2E"/>
    <w:rsid w:val="002F2074"/>
    <w:rsid w:val="002F211E"/>
    <w:rsid w:val="002F3F6D"/>
    <w:rsid w:val="002F5C2A"/>
    <w:rsid w:val="002F66B1"/>
    <w:rsid w:val="002F68F6"/>
    <w:rsid w:val="003026F5"/>
    <w:rsid w:val="003029EE"/>
    <w:rsid w:val="00306429"/>
    <w:rsid w:val="003123ED"/>
    <w:rsid w:val="003137F2"/>
    <w:rsid w:val="0031445C"/>
    <w:rsid w:val="003154CF"/>
    <w:rsid w:val="00317638"/>
    <w:rsid w:val="00320987"/>
    <w:rsid w:val="003214AF"/>
    <w:rsid w:val="00322A50"/>
    <w:rsid w:val="00323511"/>
    <w:rsid w:val="0032522B"/>
    <w:rsid w:val="00330931"/>
    <w:rsid w:val="003336F7"/>
    <w:rsid w:val="00334F74"/>
    <w:rsid w:val="003369A7"/>
    <w:rsid w:val="00342DF8"/>
    <w:rsid w:val="003430ED"/>
    <w:rsid w:val="003431C7"/>
    <w:rsid w:val="00345036"/>
    <w:rsid w:val="003532E6"/>
    <w:rsid w:val="00353599"/>
    <w:rsid w:val="00353894"/>
    <w:rsid w:val="00355528"/>
    <w:rsid w:val="003571CB"/>
    <w:rsid w:val="00360142"/>
    <w:rsid w:val="00360FE3"/>
    <w:rsid w:val="00362308"/>
    <w:rsid w:val="003659AF"/>
    <w:rsid w:val="00371CDD"/>
    <w:rsid w:val="003726C2"/>
    <w:rsid w:val="00383076"/>
    <w:rsid w:val="003936BA"/>
    <w:rsid w:val="0039673F"/>
    <w:rsid w:val="003979A1"/>
    <w:rsid w:val="003A1410"/>
    <w:rsid w:val="003A30E5"/>
    <w:rsid w:val="003A4F07"/>
    <w:rsid w:val="003A6B7B"/>
    <w:rsid w:val="003A726C"/>
    <w:rsid w:val="003B1C76"/>
    <w:rsid w:val="003B5DEA"/>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A20"/>
    <w:rsid w:val="003E21A2"/>
    <w:rsid w:val="003E46C5"/>
    <w:rsid w:val="003F784C"/>
    <w:rsid w:val="004008A7"/>
    <w:rsid w:val="00401C64"/>
    <w:rsid w:val="004038C3"/>
    <w:rsid w:val="00405405"/>
    <w:rsid w:val="00405438"/>
    <w:rsid w:val="0040782C"/>
    <w:rsid w:val="00407946"/>
    <w:rsid w:val="00411088"/>
    <w:rsid w:val="00412D2C"/>
    <w:rsid w:val="00413681"/>
    <w:rsid w:val="004142E4"/>
    <w:rsid w:val="00423845"/>
    <w:rsid w:val="004255F7"/>
    <w:rsid w:val="00425D01"/>
    <w:rsid w:val="00425DAC"/>
    <w:rsid w:val="004265DC"/>
    <w:rsid w:val="004275E3"/>
    <w:rsid w:val="00427FD7"/>
    <w:rsid w:val="00431AC3"/>
    <w:rsid w:val="00431F66"/>
    <w:rsid w:val="004324F7"/>
    <w:rsid w:val="00434945"/>
    <w:rsid w:val="004359C6"/>
    <w:rsid w:val="004365D5"/>
    <w:rsid w:val="00437913"/>
    <w:rsid w:val="00440182"/>
    <w:rsid w:val="00440E3A"/>
    <w:rsid w:val="0044103D"/>
    <w:rsid w:val="00442664"/>
    <w:rsid w:val="00443C07"/>
    <w:rsid w:val="0044539E"/>
    <w:rsid w:val="0044748B"/>
    <w:rsid w:val="00450FE9"/>
    <w:rsid w:val="004535FF"/>
    <w:rsid w:val="00455436"/>
    <w:rsid w:val="004607BB"/>
    <w:rsid w:val="004610F6"/>
    <w:rsid w:val="00461F61"/>
    <w:rsid w:val="004630D4"/>
    <w:rsid w:val="00464303"/>
    <w:rsid w:val="00467DCB"/>
    <w:rsid w:val="00470498"/>
    <w:rsid w:val="00470E62"/>
    <w:rsid w:val="00470E6D"/>
    <w:rsid w:val="0047119A"/>
    <w:rsid w:val="00473B5C"/>
    <w:rsid w:val="00475541"/>
    <w:rsid w:val="00476249"/>
    <w:rsid w:val="0048026F"/>
    <w:rsid w:val="00483820"/>
    <w:rsid w:val="00486012"/>
    <w:rsid w:val="0048671F"/>
    <w:rsid w:val="0048715E"/>
    <w:rsid w:val="00492BCA"/>
    <w:rsid w:val="00493296"/>
    <w:rsid w:val="00493DC8"/>
    <w:rsid w:val="00494817"/>
    <w:rsid w:val="004A4931"/>
    <w:rsid w:val="004B0ED0"/>
    <w:rsid w:val="004B144E"/>
    <w:rsid w:val="004B2124"/>
    <w:rsid w:val="004B2C2F"/>
    <w:rsid w:val="004B31DB"/>
    <w:rsid w:val="004B6573"/>
    <w:rsid w:val="004B752C"/>
    <w:rsid w:val="004B7C6E"/>
    <w:rsid w:val="004C007C"/>
    <w:rsid w:val="004C2330"/>
    <w:rsid w:val="004C5801"/>
    <w:rsid w:val="004C707D"/>
    <w:rsid w:val="004D2553"/>
    <w:rsid w:val="004D2A62"/>
    <w:rsid w:val="004D2E26"/>
    <w:rsid w:val="004D2FCF"/>
    <w:rsid w:val="004D5ACC"/>
    <w:rsid w:val="004E0F7D"/>
    <w:rsid w:val="004E1291"/>
    <w:rsid w:val="004E14CC"/>
    <w:rsid w:val="004E7184"/>
    <w:rsid w:val="004F42C1"/>
    <w:rsid w:val="004F6344"/>
    <w:rsid w:val="00503D3F"/>
    <w:rsid w:val="00504AC5"/>
    <w:rsid w:val="00505AC7"/>
    <w:rsid w:val="00511C6C"/>
    <w:rsid w:val="005143A9"/>
    <w:rsid w:val="00515D94"/>
    <w:rsid w:val="0051636B"/>
    <w:rsid w:val="00521B52"/>
    <w:rsid w:val="0052319D"/>
    <w:rsid w:val="005248B6"/>
    <w:rsid w:val="00525AA4"/>
    <w:rsid w:val="00526015"/>
    <w:rsid w:val="00526FCA"/>
    <w:rsid w:val="00527783"/>
    <w:rsid w:val="00527B02"/>
    <w:rsid w:val="00541673"/>
    <w:rsid w:val="005451F9"/>
    <w:rsid w:val="005502D9"/>
    <w:rsid w:val="00550F23"/>
    <w:rsid w:val="00554392"/>
    <w:rsid w:val="00556EE6"/>
    <w:rsid w:val="00561617"/>
    <w:rsid w:val="00562DD1"/>
    <w:rsid w:val="005630A4"/>
    <w:rsid w:val="00564D50"/>
    <w:rsid w:val="005660EE"/>
    <w:rsid w:val="0056678C"/>
    <w:rsid w:val="00570215"/>
    <w:rsid w:val="00570851"/>
    <w:rsid w:val="00571B4A"/>
    <w:rsid w:val="00580351"/>
    <w:rsid w:val="00580A4E"/>
    <w:rsid w:val="005822B8"/>
    <w:rsid w:val="00582659"/>
    <w:rsid w:val="00583F43"/>
    <w:rsid w:val="005849A4"/>
    <w:rsid w:val="00586675"/>
    <w:rsid w:val="00587C97"/>
    <w:rsid w:val="00591E65"/>
    <w:rsid w:val="00593932"/>
    <w:rsid w:val="00594A4C"/>
    <w:rsid w:val="00597C08"/>
    <w:rsid w:val="005A06D7"/>
    <w:rsid w:val="005A41FF"/>
    <w:rsid w:val="005A7140"/>
    <w:rsid w:val="005B060E"/>
    <w:rsid w:val="005B0BDC"/>
    <w:rsid w:val="005B1738"/>
    <w:rsid w:val="005B240C"/>
    <w:rsid w:val="005B4925"/>
    <w:rsid w:val="005B5876"/>
    <w:rsid w:val="005B6483"/>
    <w:rsid w:val="005B66FD"/>
    <w:rsid w:val="005B685B"/>
    <w:rsid w:val="005B6A9D"/>
    <w:rsid w:val="005C0810"/>
    <w:rsid w:val="005C0AD5"/>
    <w:rsid w:val="005C2546"/>
    <w:rsid w:val="005C4FF8"/>
    <w:rsid w:val="005C7F22"/>
    <w:rsid w:val="005D3BFB"/>
    <w:rsid w:val="005D58AE"/>
    <w:rsid w:val="005D6727"/>
    <w:rsid w:val="005D7F1C"/>
    <w:rsid w:val="005E339E"/>
    <w:rsid w:val="005E6E86"/>
    <w:rsid w:val="005F0EBB"/>
    <w:rsid w:val="005F20E0"/>
    <w:rsid w:val="005F288F"/>
    <w:rsid w:val="005F2B6C"/>
    <w:rsid w:val="005F2BCB"/>
    <w:rsid w:val="005F3385"/>
    <w:rsid w:val="005F3898"/>
    <w:rsid w:val="005F3B5B"/>
    <w:rsid w:val="005F3CC2"/>
    <w:rsid w:val="005F3E7C"/>
    <w:rsid w:val="005F625F"/>
    <w:rsid w:val="005F7F77"/>
    <w:rsid w:val="0060476E"/>
    <w:rsid w:val="00607523"/>
    <w:rsid w:val="00607AA2"/>
    <w:rsid w:val="006100CE"/>
    <w:rsid w:val="0061136C"/>
    <w:rsid w:val="006114C3"/>
    <w:rsid w:val="00611B88"/>
    <w:rsid w:val="00611C3D"/>
    <w:rsid w:val="00611F48"/>
    <w:rsid w:val="00613F8A"/>
    <w:rsid w:val="00613FA0"/>
    <w:rsid w:val="00615A06"/>
    <w:rsid w:val="00621321"/>
    <w:rsid w:val="006256CA"/>
    <w:rsid w:val="0063025C"/>
    <w:rsid w:val="00630D2C"/>
    <w:rsid w:val="0063393F"/>
    <w:rsid w:val="00635FBE"/>
    <w:rsid w:val="0064375D"/>
    <w:rsid w:val="00644B26"/>
    <w:rsid w:val="006475D5"/>
    <w:rsid w:val="006520C3"/>
    <w:rsid w:val="00652128"/>
    <w:rsid w:val="00652650"/>
    <w:rsid w:val="00652DBF"/>
    <w:rsid w:val="00660A76"/>
    <w:rsid w:val="00663B13"/>
    <w:rsid w:val="00667E4B"/>
    <w:rsid w:val="00670B94"/>
    <w:rsid w:val="00672A62"/>
    <w:rsid w:val="00673714"/>
    <w:rsid w:val="0067725F"/>
    <w:rsid w:val="00677614"/>
    <w:rsid w:val="00681481"/>
    <w:rsid w:val="00681B3A"/>
    <w:rsid w:val="00683A15"/>
    <w:rsid w:val="006841EB"/>
    <w:rsid w:val="00685EC8"/>
    <w:rsid w:val="00691621"/>
    <w:rsid w:val="0069385D"/>
    <w:rsid w:val="00694C3B"/>
    <w:rsid w:val="006975FC"/>
    <w:rsid w:val="0069780E"/>
    <w:rsid w:val="006A2CB1"/>
    <w:rsid w:val="006A4448"/>
    <w:rsid w:val="006A54A7"/>
    <w:rsid w:val="006B42CE"/>
    <w:rsid w:val="006B61D0"/>
    <w:rsid w:val="006B6A5C"/>
    <w:rsid w:val="006B7B59"/>
    <w:rsid w:val="006C2098"/>
    <w:rsid w:val="006C7BF9"/>
    <w:rsid w:val="006C7C04"/>
    <w:rsid w:val="006D2279"/>
    <w:rsid w:val="006D5FE6"/>
    <w:rsid w:val="006D62EB"/>
    <w:rsid w:val="006E463B"/>
    <w:rsid w:val="006E56FE"/>
    <w:rsid w:val="006E5ECE"/>
    <w:rsid w:val="006E7E3E"/>
    <w:rsid w:val="006F1996"/>
    <w:rsid w:val="006F2AD7"/>
    <w:rsid w:val="006F2C40"/>
    <w:rsid w:val="00701585"/>
    <w:rsid w:val="00702EE8"/>
    <w:rsid w:val="007030BF"/>
    <w:rsid w:val="00703FD5"/>
    <w:rsid w:val="0070609D"/>
    <w:rsid w:val="007124F5"/>
    <w:rsid w:val="0071396E"/>
    <w:rsid w:val="00717934"/>
    <w:rsid w:val="00722A46"/>
    <w:rsid w:val="00723617"/>
    <w:rsid w:val="007244D7"/>
    <w:rsid w:val="00725F0B"/>
    <w:rsid w:val="00731589"/>
    <w:rsid w:val="007328E1"/>
    <w:rsid w:val="00732CE8"/>
    <w:rsid w:val="00732F3C"/>
    <w:rsid w:val="00734A9B"/>
    <w:rsid w:val="00735EE5"/>
    <w:rsid w:val="0074155D"/>
    <w:rsid w:val="00741591"/>
    <w:rsid w:val="00746CAE"/>
    <w:rsid w:val="00752925"/>
    <w:rsid w:val="00752A82"/>
    <w:rsid w:val="0075647E"/>
    <w:rsid w:val="00756BF1"/>
    <w:rsid w:val="00756E58"/>
    <w:rsid w:val="00757919"/>
    <w:rsid w:val="00757EF2"/>
    <w:rsid w:val="0076074D"/>
    <w:rsid w:val="0076393D"/>
    <w:rsid w:val="0076471D"/>
    <w:rsid w:val="00765D43"/>
    <w:rsid w:val="007662C0"/>
    <w:rsid w:val="00766662"/>
    <w:rsid w:val="00766773"/>
    <w:rsid w:val="00766CC7"/>
    <w:rsid w:val="00766F04"/>
    <w:rsid w:val="0077494E"/>
    <w:rsid w:val="00774D42"/>
    <w:rsid w:val="007765A0"/>
    <w:rsid w:val="007801DE"/>
    <w:rsid w:val="00780560"/>
    <w:rsid w:val="00781111"/>
    <w:rsid w:val="0078152B"/>
    <w:rsid w:val="0078195F"/>
    <w:rsid w:val="00781C36"/>
    <w:rsid w:val="007835B2"/>
    <w:rsid w:val="00785A06"/>
    <w:rsid w:val="007861DB"/>
    <w:rsid w:val="0078628A"/>
    <w:rsid w:val="00787792"/>
    <w:rsid w:val="007911F6"/>
    <w:rsid w:val="00792AAD"/>
    <w:rsid w:val="00793C1F"/>
    <w:rsid w:val="00796B3C"/>
    <w:rsid w:val="00796DD2"/>
    <w:rsid w:val="00797097"/>
    <w:rsid w:val="00797644"/>
    <w:rsid w:val="007A351B"/>
    <w:rsid w:val="007A3F9F"/>
    <w:rsid w:val="007A6E8B"/>
    <w:rsid w:val="007B0E25"/>
    <w:rsid w:val="007B2DFC"/>
    <w:rsid w:val="007B2EB0"/>
    <w:rsid w:val="007B4881"/>
    <w:rsid w:val="007B65FA"/>
    <w:rsid w:val="007B6A4E"/>
    <w:rsid w:val="007C0329"/>
    <w:rsid w:val="007C1033"/>
    <w:rsid w:val="007C6CD5"/>
    <w:rsid w:val="007C7465"/>
    <w:rsid w:val="007D2175"/>
    <w:rsid w:val="007D56E4"/>
    <w:rsid w:val="007D5C10"/>
    <w:rsid w:val="007D6456"/>
    <w:rsid w:val="007E1AC2"/>
    <w:rsid w:val="007E53FF"/>
    <w:rsid w:val="007E6F7F"/>
    <w:rsid w:val="007E7A88"/>
    <w:rsid w:val="007F0197"/>
    <w:rsid w:val="007F0C87"/>
    <w:rsid w:val="007F64C0"/>
    <w:rsid w:val="0080033D"/>
    <w:rsid w:val="00800858"/>
    <w:rsid w:val="00800A9F"/>
    <w:rsid w:val="00801335"/>
    <w:rsid w:val="00805F2E"/>
    <w:rsid w:val="008065D7"/>
    <w:rsid w:val="00806BB3"/>
    <w:rsid w:val="00806BE9"/>
    <w:rsid w:val="00807072"/>
    <w:rsid w:val="00807401"/>
    <w:rsid w:val="00810902"/>
    <w:rsid w:val="00811A25"/>
    <w:rsid w:val="00811F94"/>
    <w:rsid w:val="00812583"/>
    <w:rsid w:val="00813A33"/>
    <w:rsid w:val="008150CF"/>
    <w:rsid w:val="00815297"/>
    <w:rsid w:val="00820A94"/>
    <w:rsid w:val="0082124A"/>
    <w:rsid w:val="00822FD6"/>
    <w:rsid w:val="008241B1"/>
    <w:rsid w:val="0082507C"/>
    <w:rsid w:val="008268A7"/>
    <w:rsid w:val="00826953"/>
    <w:rsid w:val="008274A4"/>
    <w:rsid w:val="00827A35"/>
    <w:rsid w:val="00830F1B"/>
    <w:rsid w:val="00832DBF"/>
    <w:rsid w:val="008334AE"/>
    <w:rsid w:val="00836508"/>
    <w:rsid w:val="00836E06"/>
    <w:rsid w:val="00837077"/>
    <w:rsid w:val="00842A4E"/>
    <w:rsid w:val="0084364F"/>
    <w:rsid w:val="0084367A"/>
    <w:rsid w:val="00843C14"/>
    <w:rsid w:val="008460EA"/>
    <w:rsid w:val="00846296"/>
    <w:rsid w:val="00850109"/>
    <w:rsid w:val="00852396"/>
    <w:rsid w:val="00854772"/>
    <w:rsid w:val="0085557E"/>
    <w:rsid w:val="00856A0D"/>
    <w:rsid w:val="00860E5A"/>
    <w:rsid w:val="0086214D"/>
    <w:rsid w:val="008632B4"/>
    <w:rsid w:val="00863871"/>
    <w:rsid w:val="00863F31"/>
    <w:rsid w:val="00870568"/>
    <w:rsid w:val="0087067E"/>
    <w:rsid w:val="00870727"/>
    <w:rsid w:val="0088000D"/>
    <w:rsid w:val="00880D4D"/>
    <w:rsid w:val="00884A40"/>
    <w:rsid w:val="0088517F"/>
    <w:rsid w:val="0088608E"/>
    <w:rsid w:val="00895C7C"/>
    <w:rsid w:val="008A0ABE"/>
    <w:rsid w:val="008A0D1F"/>
    <w:rsid w:val="008A0EC8"/>
    <w:rsid w:val="008A2276"/>
    <w:rsid w:val="008A2DBE"/>
    <w:rsid w:val="008A381C"/>
    <w:rsid w:val="008A475E"/>
    <w:rsid w:val="008A4AF8"/>
    <w:rsid w:val="008A583E"/>
    <w:rsid w:val="008A5B6B"/>
    <w:rsid w:val="008A7E71"/>
    <w:rsid w:val="008B007A"/>
    <w:rsid w:val="008B115D"/>
    <w:rsid w:val="008B2160"/>
    <w:rsid w:val="008B282E"/>
    <w:rsid w:val="008B315C"/>
    <w:rsid w:val="008B35A5"/>
    <w:rsid w:val="008B3600"/>
    <w:rsid w:val="008B4216"/>
    <w:rsid w:val="008C0FCB"/>
    <w:rsid w:val="008C115C"/>
    <w:rsid w:val="008C7230"/>
    <w:rsid w:val="008D1B5E"/>
    <w:rsid w:val="008D2326"/>
    <w:rsid w:val="008D251D"/>
    <w:rsid w:val="008D3DBB"/>
    <w:rsid w:val="008E6C96"/>
    <w:rsid w:val="008F2631"/>
    <w:rsid w:val="008F2B93"/>
    <w:rsid w:val="008F61C4"/>
    <w:rsid w:val="00900BD8"/>
    <w:rsid w:val="009045B4"/>
    <w:rsid w:val="009045D9"/>
    <w:rsid w:val="00907862"/>
    <w:rsid w:val="0090792E"/>
    <w:rsid w:val="00907D99"/>
    <w:rsid w:val="00910249"/>
    <w:rsid w:val="00912F9F"/>
    <w:rsid w:val="00913B61"/>
    <w:rsid w:val="0092043E"/>
    <w:rsid w:val="009207A4"/>
    <w:rsid w:val="00921C43"/>
    <w:rsid w:val="00921F94"/>
    <w:rsid w:val="00923A95"/>
    <w:rsid w:val="00925601"/>
    <w:rsid w:val="00925CD6"/>
    <w:rsid w:val="009261AE"/>
    <w:rsid w:val="00926997"/>
    <w:rsid w:val="00926B86"/>
    <w:rsid w:val="00935656"/>
    <w:rsid w:val="009428D7"/>
    <w:rsid w:val="009447D8"/>
    <w:rsid w:val="00944BA7"/>
    <w:rsid w:val="009454F9"/>
    <w:rsid w:val="0094778B"/>
    <w:rsid w:val="00950757"/>
    <w:rsid w:val="00950F26"/>
    <w:rsid w:val="00952965"/>
    <w:rsid w:val="00952B6F"/>
    <w:rsid w:val="00952CD5"/>
    <w:rsid w:val="00953D84"/>
    <w:rsid w:val="00954499"/>
    <w:rsid w:val="00954EED"/>
    <w:rsid w:val="009556C6"/>
    <w:rsid w:val="00955893"/>
    <w:rsid w:val="00957CFA"/>
    <w:rsid w:val="00960C3E"/>
    <w:rsid w:val="009615C7"/>
    <w:rsid w:val="00961AF3"/>
    <w:rsid w:val="00962194"/>
    <w:rsid w:val="00962DED"/>
    <w:rsid w:val="00966A97"/>
    <w:rsid w:val="00966E0D"/>
    <w:rsid w:val="00971C82"/>
    <w:rsid w:val="00971F2C"/>
    <w:rsid w:val="0097369D"/>
    <w:rsid w:val="00977F16"/>
    <w:rsid w:val="00980FD0"/>
    <w:rsid w:val="00981211"/>
    <w:rsid w:val="00982B83"/>
    <w:rsid w:val="00983463"/>
    <w:rsid w:val="0098566E"/>
    <w:rsid w:val="00985BCB"/>
    <w:rsid w:val="00987B0E"/>
    <w:rsid w:val="0099009F"/>
    <w:rsid w:val="0099216A"/>
    <w:rsid w:val="00995939"/>
    <w:rsid w:val="00996942"/>
    <w:rsid w:val="009969AC"/>
    <w:rsid w:val="009A2A5E"/>
    <w:rsid w:val="009A3982"/>
    <w:rsid w:val="009A3A62"/>
    <w:rsid w:val="009A3ED6"/>
    <w:rsid w:val="009A4C7F"/>
    <w:rsid w:val="009B2078"/>
    <w:rsid w:val="009B26B2"/>
    <w:rsid w:val="009B3884"/>
    <w:rsid w:val="009B41D2"/>
    <w:rsid w:val="009B4212"/>
    <w:rsid w:val="009B49D0"/>
    <w:rsid w:val="009B57E0"/>
    <w:rsid w:val="009C08FE"/>
    <w:rsid w:val="009C3F7E"/>
    <w:rsid w:val="009C4AAE"/>
    <w:rsid w:val="009C4DE8"/>
    <w:rsid w:val="009C6D89"/>
    <w:rsid w:val="009C7626"/>
    <w:rsid w:val="009D0F20"/>
    <w:rsid w:val="009D78E5"/>
    <w:rsid w:val="009E2853"/>
    <w:rsid w:val="009E411C"/>
    <w:rsid w:val="009E59D7"/>
    <w:rsid w:val="009E5B23"/>
    <w:rsid w:val="009F0F8E"/>
    <w:rsid w:val="009F1F57"/>
    <w:rsid w:val="009F25A2"/>
    <w:rsid w:val="009F3FE1"/>
    <w:rsid w:val="009F53A5"/>
    <w:rsid w:val="009F7D62"/>
    <w:rsid w:val="00A01902"/>
    <w:rsid w:val="00A01C18"/>
    <w:rsid w:val="00A04270"/>
    <w:rsid w:val="00A0506D"/>
    <w:rsid w:val="00A063D0"/>
    <w:rsid w:val="00A101E3"/>
    <w:rsid w:val="00A10943"/>
    <w:rsid w:val="00A13F97"/>
    <w:rsid w:val="00A15F89"/>
    <w:rsid w:val="00A16593"/>
    <w:rsid w:val="00A21CE1"/>
    <w:rsid w:val="00A246A9"/>
    <w:rsid w:val="00A26AB3"/>
    <w:rsid w:val="00A27125"/>
    <w:rsid w:val="00A27BEE"/>
    <w:rsid w:val="00A32231"/>
    <w:rsid w:val="00A335AA"/>
    <w:rsid w:val="00A352A1"/>
    <w:rsid w:val="00A36248"/>
    <w:rsid w:val="00A41504"/>
    <w:rsid w:val="00A419E5"/>
    <w:rsid w:val="00A42C2F"/>
    <w:rsid w:val="00A47A31"/>
    <w:rsid w:val="00A47A6A"/>
    <w:rsid w:val="00A50139"/>
    <w:rsid w:val="00A5644B"/>
    <w:rsid w:val="00A6202F"/>
    <w:rsid w:val="00A620DD"/>
    <w:rsid w:val="00A64BBA"/>
    <w:rsid w:val="00A64D40"/>
    <w:rsid w:val="00A7031D"/>
    <w:rsid w:val="00A72329"/>
    <w:rsid w:val="00A723EA"/>
    <w:rsid w:val="00A73353"/>
    <w:rsid w:val="00A76AC9"/>
    <w:rsid w:val="00A81138"/>
    <w:rsid w:val="00A83D75"/>
    <w:rsid w:val="00A84AB9"/>
    <w:rsid w:val="00A85E58"/>
    <w:rsid w:val="00A86DBF"/>
    <w:rsid w:val="00A90182"/>
    <w:rsid w:val="00A903EA"/>
    <w:rsid w:val="00A93209"/>
    <w:rsid w:val="00A93473"/>
    <w:rsid w:val="00A96A42"/>
    <w:rsid w:val="00AA062D"/>
    <w:rsid w:val="00AA0844"/>
    <w:rsid w:val="00AA30E5"/>
    <w:rsid w:val="00AA3CE7"/>
    <w:rsid w:val="00AA44BE"/>
    <w:rsid w:val="00AA7E18"/>
    <w:rsid w:val="00AB09A1"/>
    <w:rsid w:val="00AB1D9C"/>
    <w:rsid w:val="00AB3D14"/>
    <w:rsid w:val="00AB4940"/>
    <w:rsid w:val="00AB5BB2"/>
    <w:rsid w:val="00AB65AE"/>
    <w:rsid w:val="00AC32FA"/>
    <w:rsid w:val="00AC54D8"/>
    <w:rsid w:val="00AC7BE3"/>
    <w:rsid w:val="00AD065B"/>
    <w:rsid w:val="00AD397F"/>
    <w:rsid w:val="00AD57B5"/>
    <w:rsid w:val="00AD5CF0"/>
    <w:rsid w:val="00AE0A46"/>
    <w:rsid w:val="00AE2549"/>
    <w:rsid w:val="00AE27C3"/>
    <w:rsid w:val="00AE2D7D"/>
    <w:rsid w:val="00AE4C6E"/>
    <w:rsid w:val="00AE7F08"/>
    <w:rsid w:val="00AF2353"/>
    <w:rsid w:val="00AF29BA"/>
    <w:rsid w:val="00AF29CE"/>
    <w:rsid w:val="00AF55B9"/>
    <w:rsid w:val="00B0090E"/>
    <w:rsid w:val="00B00B62"/>
    <w:rsid w:val="00B03923"/>
    <w:rsid w:val="00B06D85"/>
    <w:rsid w:val="00B112C7"/>
    <w:rsid w:val="00B1198E"/>
    <w:rsid w:val="00B204A8"/>
    <w:rsid w:val="00B21114"/>
    <w:rsid w:val="00B21652"/>
    <w:rsid w:val="00B2251C"/>
    <w:rsid w:val="00B23A73"/>
    <w:rsid w:val="00B23FF4"/>
    <w:rsid w:val="00B25AA6"/>
    <w:rsid w:val="00B30863"/>
    <w:rsid w:val="00B32C0D"/>
    <w:rsid w:val="00B3563B"/>
    <w:rsid w:val="00B361BB"/>
    <w:rsid w:val="00B368D9"/>
    <w:rsid w:val="00B36A8A"/>
    <w:rsid w:val="00B37C57"/>
    <w:rsid w:val="00B37D2D"/>
    <w:rsid w:val="00B4022D"/>
    <w:rsid w:val="00B44EEC"/>
    <w:rsid w:val="00B5336D"/>
    <w:rsid w:val="00B544D6"/>
    <w:rsid w:val="00B61804"/>
    <w:rsid w:val="00B6306F"/>
    <w:rsid w:val="00B7051B"/>
    <w:rsid w:val="00B70B29"/>
    <w:rsid w:val="00B71C1F"/>
    <w:rsid w:val="00B74B7A"/>
    <w:rsid w:val="00B76A3B"/>
    <w:rsid w:val="00B80807"/>
    <w:rsid w:val="00B839FC"/>
    <w:rsid w:val="00B859F1"/>
    <w:rsid w:val="00B85DA7"/>
    <w:rsid w:val="00B862CC"/>
    <w:rsid w:val="00B86630"/>
    <w:rsid w:val="00B90D94"/>
    <w:rsid w:val="00B924D6"/>
    <w:rsid w:val="00B93FC3"/>
    <w:rsid w:val="00B9518F"/>
    <w:rsid w:val="00B95CFC"/>
    <w:rsid w:val="00B96881"/>
    <w:rsid w:val="00BA10C2"/>
    <w:rsid w:val="00BA36B7"/>
    <w:rsid w:val="00BA6A0F"/>
    <w:rsid w:val="00BB0623"/>
    <w:rsid w:val="00BB204F"/>
    <w:rsid w:val="00BB76FF"/>
    <w:rsid w:val="00BB7F82"/>
    <w:rsid w:val="00BC005C"/>
    <w:rsid w:val="00BC1462"/>
    <w:rsid w:val="00BC2AB2"/>
    <w:rsid w:val="00BC4F68"/>
    <w:rsid w:val="00BC66EB"/>
    <w:rsid w:val="00BC751E"/>
    <w:rsid w:val="00BD0295"/>
    <w:rsid w:val="00BD27C8"/>
    <w:rsid w:val="00BD2D7E"/>
    <w:rsid w:val="00BD310C"/>
    <w:rsid w:val="00BD3A23"/>
    <w:rsid w:val="00BD4FD3"/>
    <w:rsid w:val="00BE1FE7"/>
    <w:rsid w:val="00BE32ED"/>
    <w:rsid w:val="00BE3691"/>
    <w:rsid w:val="00BE4978"/>
    <w:rsid w:val="00BE4A3A"/>
    <w:rsid w:val="00BF0568"/>
    <w:rsid w:val="00BF24DC"/>
    <w:rsid w:val="00BF2C5A"/>
    <w:rsid w:val="00BF41DA"/>
    <w:rsid w:val="00BF4FB5"/>
    <w:rsid w:val="00BF5A45"/>
    <w:rsid w:val="00BF5C40"/>
    <w:rsid w:val="00BF6E03"/>
    <w:rsid w:val="00C00AA3"/>
    <w:rsid w:val="00C01E9C"/>
    <w:rsid w:val="00C024D8"/>
    <w:rsid w:val="00C06268"/>
    <w:rsid w:val="00C072C8"/>
    <w:rsid w:val="00C079FF"/>
    <w:rsid w:val="00C10685"/>
    <w:rsid w:val="00C10926"/>
    <w:rsid w:val="00C114A2"/>
    <w:rsid w:val="00C120AC"/>
    <w:rsid w:val="00C15231"/>
    <w:rsid w:val="00C20070"/>
    <w:rsid w:val="00C242E8"/>
    <w:rsid w:val="00C267AD"/>
    <w:rsid w:val="00C312FC"/>
    <w:rsid w:val="00C329D4"/>
    <w:rsid w:val="00C342C2"/>
    <w:rsid w:val="00C34FE9"/>
    <w:rsid w:val="00C35D67"/>
    <w:rsid w:val="00C405A7"/>
    <w:rsid w:val="00C41223"/>
    <w:rsid w:val="00C44C70"/>
    <w:rsid w:val="00C451DC"/>
    <w:rsid w:val="00C45B44"/>
    <w:rsid w:val="00C46966"/>
    <w:rsid w:val="00C479DB"/>
    <w:rsid w:val="00C5361F"/>
    <w:rsid w:val="00C55A43"/>
    <w:rsid w:val="00C60E74"/>
    <w:rsid w:val="00C73BD5"/>
    <w:rsid w:val="00C7566F"/>
    <w:rsid w:val="00C77CA7"/>
    <w:rsid w:val="00C77D41"/>
    <w:rsid w:val="00C8101F"/>
    <w:rsid w:val="00C81E26"/>
    <w:rsid w:val="00C82637"/>
    <w:rsid w:val="00C82765"/>
    <w:rsid w:val="00C8304B"/>
    <w:rsid w:val="00C83466"/>
    <w:rsid w:val="00C861CA"/>
    <w:rsid w:val="00C928F5"/>
    <w:rsid w:val="00C92F34"/>
    <w:rsid w:val="00C9303A"/>
    <w:rsid w:val="00C937F0"/>
    <w:rsid w:val="00C94905"/>
    <w:rsid w:val="00CA13E6"/>
    <w:rsid w:val="00CA2396"/>
    <w:rsid w:val="00CA2560"/>
    <w:rsid w:val="00CB174C"/>
    <w:rsid w:val="00CB2D8D"/>
    <w:rsid w:val="00CB40E0"/>
    <w:rsid w:val="00CB5002"/>
    <w:rsid w:val="00CB5BC9"/>
    <w:rsid w:val="00CB6149"/>
    <w:rsid w:val="00CC13D2"/>
    <w:rsid w:val="00CC2A6E"/>
    <w:rsid w:val="00CC4287"/>
    <w:rsid w:val="00CC4451"/>
    <w:rsid w:val="00CC4D5E"/>
    <w:rsid w:val="00CC7F18"/>
    <w:rsid w:val="00CD012C"/>
    <w:rsid w:val="00CD15F0"/>
    <w:rsid w:val="00CD4109"/>
    <w:rsid w:val="00CD5FFC"/>
    <w:rsid w:val="00CE276D"/>
    <w:rsid w:val="00CE606A"/>
    <w:rsid w:val="00CE6D88"/>
    <w:rsid w:val="00CE7CC4"/>
    <w:rsid w:val="00CF070D"/>
    <w:rsid w:val="00CF2FDE"/>
    <w:rsid w:val="00CF5676"/>
    <w:rsid w:val="00CF6DD7"/>
    <w:rsid w:val="00CF7C44"/>
    <w:rsid w:val="00D04EBF"/>
    <w:rsid w:val="00D076A4"/>
    <w:rsid w:val="00D07AD8"/>
    <w:rsid w:val="00D1282F"/>
    <w:rsid w:val="00D13508"/>
    <w:rsid w:val="00D13AC5"/>
    <w:rsid w:val="00D1612A"/>
    <w:rsid w:val="00D16D15"/>
    <w:rsid w:val="00D16FD0"/>
    <w:rsid w:val="00D204A6"/>
    <w:rsid w:val="00D20847"/>
    <w:rsid w:val="00D219DF"/>
    <w:rsid w:val="00D21EC3"/>
    <w:rsid w:val="00D235CA"/>
    <w:rsid w:val="00D2395F"/>
    <w:rsid w:val="00D24A96"/>
    <w:rsid w:val="00D2621F"/>
    <w:rsid w:val="00D27602"/>
    <w:rsid w:val="00D30E52"/>
    <w:rsid w:val="00D31034"/>
    <w:rsid w:val="00D31995"/>
    <w:rsid w:val="00D34969"/>
    <w:rsid w:val="00D438F7"/>
    <w:rsid w:val="00D4396D"/>
    <w:rsid w:val="00D46506"/>
    <w:rsid w:val="00D47B40"/>
    <w:rsid w:val="00D51987"/>
    <w:rsid w:val="00D520A3"/>
    <w:rsid w:val="00D531CD"/>
    <w:rsid w:val="00D53AEE"/>
    <w:rsid w:val="00D55C41"/>
    <w:rsid w:val="00D64D49"/>
    <w:rsid w:val="00D664D8"/>
    <w:rsid w:val="00D748CF"/>
    <w:rsid w:val="00D74CE7"/>
    <w:rsid w:val="00D7640E"/>
    <w:rsid w:val="00D766FD"/>
    <w:rsid w:val="00D76F14"/>
    <w:rsid w:val="00D81BE8"/>
    <w:rsid w:val="00D86069"/>
    <w:rsid w:val="00D867A9"/>
    <w:rsid w:val="00D871F7"/>
    <w:rsid w:val="00D879AD"/>
    <w:rsid w:val="00D90928"/>
    <w:rsid w:val="00D94926"/>
    <w:rsid w:val="00D94A1E"/>
    <w:rsid w:val="00D950C6"/>
    <w:rsid w:val="00D954A3"/>
    <w:rsid w:val="00D95676"/>
    <w:rsid w:val="00D95DCA"/>
    <w:rsid w:val="00D95EFC"/>
    <w:rsid w:val="00DA1B82"/>
    <w:rsid w:val="00DA31C9"/>
    <w:rsid w:val="00DA3242"/>
    <w:rsid w:val="00DA3FF5"/>
    <w:rsid w:val="00DA4514"/>
    <w:rsid w:val="00DA4D85"/>
    <w:rsid w:val="00DA5F3F"/>
    <w:rsid w:val="00DA614E"/>
    <w:rsid w:val="00DA78BE"/>
    <w:rsid w:val="00DB2644"/>
    <w:rsid w:val="00DB3BE4"/>
    <w:rsid w:val="00DB4AE5"/>
    <w:rsid w:val="00DB7853"/>
    <w:rsid w:val="00DC0C3C"/>
    <w:rsid w:val="00DC18DD"/>
    <w:rsid w:val="00DC3796"/>
    <w:rsid w:val="00DC6EC1"/>
    <w:rsid w:val="00DC7E74"/>
    <w:rsid w:val="00DD0660"/>
    <w:rsid w:val="00DD1D97"/>
    <w:rsid w:val="00DD25A5"/>
    <w:rsid w:val="00DD363B"/>
    <w:rsid w:val="00DD568D"/>
    <w:rsid w:val="00DE0439"/>
    <w:rsid w:val="00DE112B"/>
    <w:rsid w:val="00DE4F7C"/>
    <w:rsid w:val="00DE7E91"/>
    <w:rsid w:val="00DF00F4"/>
    <w:rsid w:val="00DF2AB8"/>
    <w:rsid w:val="00DF2E89"/>
    <w:rsid w:val="00DF3717"/>
    <w:rsid w:val="00DF4957"/>
    <w:rsid w:val="00DF75D4"/>
    <w:rsid w:val="00E039FE"/>
    <w:rsid w:val="00E062AD"/>
    <w:rsid w:val="00E1062A"/>
    <w:rsid w:val="00E11F70"/>
    <w:rsid w:val="00E12670"/>
    <w:rsid w:val="00E12CDB"/>
    <w:rsid w:val="00E13C85"/>
    <w:rsid w:val="00E140DB"/>
    <w:rsid w:val="00E15472"/>
    <w:rsid w:val="00E16F85"/>
    <w:rsid w:val="00E200E1"/>
    <w:rsid w:val="00E21218"/>
    <w:rsid w:val="00E24640"/>
    <w:rsid w:val="00E24732"/>
    <w:rsid w:val="00E2473B"/>
    <w:rsid w:val="00E25A21"/>
    <w:rsid w:val="00E26B2F"/>
    <w:rsid w:val="00E302B0"/>
    <w:rsid w:val="00E309FF"/>
    <w:rsid w:val="00E31932"/>
    <w:rsid w:val="00E31C1B"/>
    <w:rsid w:val="00E3280F"/>
    <w:rsid w:val="00E33ADC"/>
    <w:rsid w:val="00E34149"/>
    <w:rsid w:val="00E36939"/>
    <w:rsid w:val="00E401CD"/>
    <w:rsid w:val="00E436D6"/>
    <w:rsid w:val="00E4548E"/>
    <w:rsid w:val="00E51C8F"/>
    <w:rsid w:val="00E60A47"/>
    <w:rsid w:val="00E60BC8"/>
    <w:rsid w:val="00E646E9"/>
    <w:rsid w:val="00E64E60"/>
    <w:rsid w:val="00E678B6"/>
    <w:rsid w:val="00E75929"/>
    <w:rsid w:val="00E77DD3"/>
    <w:rsid w:val="00E80CAD"/>
    <w:rsid w:val="00E83907"/>
    <w:rsid w:val="00E86C77"/>
    <w:rsid w:val="00E870E0"/>
    <w:rsid w:val="00E8764F"/>
    <w:rsid w:val="00E90D07"/>
    <w:rsid w:val="00E922A1"/>
    <w:rsid w:val="00E9435F"/>
    <w:rsid w:val="00E954BF"/>
    <w:rsid w:val="00E957BA"/>
    <w:rsid w:val="00E96121"/>
    <w:rsid w:val="00E96960"/>
    <w:rsid w:val="00E97FBE"/>
    <w:rsid w:val="00EA0B55"/>
    <w:rsid w:val="00EA0C8B"/>
    <w:rsid w:val="00EA12B6"/>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B7CDA"/>
    <w:rsid w:val="00EC0F17"/>
    <w:rsid w:val="00EC38EC"/>
    <w:rsid w:val="00EC3A70"/>
    <w:rsid w:val="00EC41BB"/>
    <w:rsid w:val="00EC6E75"/>
    <w:rsid w:val="00ED1B91"/>
    <w:rsid w:val="00ED20F2"/>
    <w:rsid w:val="00ED2A25"/>
    <w:rsid w:val="00ED3B44"/>
    <w:rsid w:val="00ED4113"/>
    <w:rsid w:val="00ED4121"/>
    <w:rsid w:val="00ED45D2"/>
    <w:rsid w:val="00ED7203"/>
    <w:rsid w:val="00ED77EF"/>
    <w:rsid w:val="00ED7805"/>
    <w:rsid w:val="00EE0F73"/>
    <w:rsid w:val="00EE1299"/>
    <w:rsid w:val="00EE1700"/>
    <w:rsid w:val="00EE227F"/>
    <w:rsid w:val="00EE2F7F"/>
    <w:rsid w:val="00EF303D"/>
    <w:rsid w:val="00EF3E4E"/>
    <w:rsid w:val="00EF475E"/>
    <w:rsid w:val="00F069CB"/>
    <w:rsid w:val="00F06A78"/>
    <w:rsid w:val="00F07ADC"/>
    <w:rsid w:val="00F11433"/>
    <w:rsid w:val="00F1286B"/>
    <w:rsid w:val="00F13963"/>
    <w:rsid w:val="00F13999"/>
    <w:rsid w:val="00F13BAB"/>
    <w:rsid w:val="00F13BD3"/>
    <w:rsid w:val="00F1403C"/>
    <w:rsid w:val="00F15A80"/>
    <w:rsid w:val="00F22C9F"/>
    <w:rsid w:val="00F25338"/>
    <w:rsid w:val="00F27F44"/>
    <w:rsid w:val="00F30148"/>
    <w:rsid w:val="00F32EB2"/>
    <w:rsid w:val="00F33824"/>
    <w:rsid w:val="00F34C94"/>
    <w:rsid w:val="00F35823"/>
    <w:rsid w:val="00F415E7"/>
    <w:rsid w:val="00F440CF"/>
    <w:rsid w:val="00F44562"/>
    <w:rsid w:val="00F4628E"/>
    <w:rsid w:val="00F47E8C"/>
    <w:rsid w:val="00F50E48"/>
    <w:rsid w:val="00F524FE"/>
    <w:rsid w:val="00F5262B"/>
    <w:rsid w:val="00F528D3"/>
    <w:rsid w:val="00F52F1C"/>
    <w:rsid w:val="00F54F9A"/>
    <w:rsid w:val="00F57D27"/>
    <w:rsid w:val="00F604C2"/>
    <w:rsid w:val="00F60907"/>
    <w:rsid w:val="00F63BAD"/>
    <w:rsid w:val="00F647BA"/>
    <w:rsid w:val="00F64C0B"/>
    <w:rsid w:val="00F65136"/>
    <w:rsid w:val="00F66D91"/>
    <w:rsid w:val="00F67A52"/>
    <w:rsid w:val="00F67FD3"/>
    <w:rsid w:val="00F708B2"/>
    <w:rsid w:val="00F71E19"/>
    <w:rsid w:val="00F74CBB"/>
    <w:rsid w:val="00F75AB4"/>
    <w:rsid w:val="00F75C2F"/>
    <w:rsid w:val="00F84435"/>
    <w:rsid w:val="00F848C5"/>
    <w:rsid w:val="00F84B55"/>
    <w:rsid w:val="00F85DBF"/>
    <w:rsid w:val="00F85F32"/>
    <w:rsid w:val="00F87F1A"/>
    <w:rsid w:val="00F90DB7"/>
    <w:rsid w:val="00F90E9F"/>
    <w:rsid w:val="00F913BD"/>
    <w:rsid w:val="00F927EF"/>
    <w:rsid w:val="00F94F04"/>
    <w:rsid w:val="00F9534F"/>
    <w:rsid w:val="00F95FF6"/>
    <w:rsid w:val="00FA0E11"/>
    <w:rsid w:val="00FA20C5"/>
    <w:rsid w:val="00FA6503"/>
    <w:rsid w:val="00FA7884"/>
    <w:rsid w:val="00FB27EB"/>
    <w:rsid w:val="00FB7B1C"/>
    <w:rsid w:val="00FB7F4F"/>
    <w:rsid w:val="00FC0DF4"/>
    <w:rsid w:val="00FC1F16"/>
    <w:rsid w:val="00FC6337"/>
    <w:rsid w:val="00FD0442"/>
    <w:rsid w:val="00FD08AE"/>
    <w:rsid w:val="00FD2D65"/>
    <w:rsid w:val="00FD520D"/>
    <w:rsid w:val="00FD5FFF"/>
    <w:rsid w:val="00FD74C1"/>
    <w:rsid w:val="00FE13D9"/>
    <w:rsid w:val="00FE1AF1"/>
    <w:rsid w:val="00FE2BF6"/>
    <w:rsid w:val="00FE67A8"/>
    <w:rsid w:val="00FE792D"/>
    <w:rsid w:val="02F67B0A"/>
    <w:rsid w:val="048B28F3"/>
    <w:rsid w:val="04BB5B55"/>
    <w:rsid w:val="08326375"/>
    <w:rsid w:val="0CBE17BD"/>
    <w:rsid w:val="144B2EE9"/>
    <w:rsid w:val="1E1B4F36"/>
    <w:rsid w:val="20E7601E"/>
    <w:rsid w:val="22400CF8"/>
    <w:rsid w:val="24D7009A"/>
    <w:rsid w:val="265F1920"/>
    <w:rsid w:val="26F62F37"/>
    <w:rsid w:val="2AD049D6"/>
    <w:rsid w:val="2D106E6B"/>
    <w:rsid w:val="2FC20E5D"/>
    <w:rsid w:val="35551771"/>
    <w:rsid w:val="39910FF2"/>
    <w:rsid w:val="3CA60BB5"/>
    <w:rsid w:val="3D472DE0"/>
    <w:rsid w:val="418A09F4"/>
    <w:rsid w:val="47045907"/>
    <w:rsid w:val="49F904C5"/>
    <w:rsid w:val="4CC852B9"/>
    <w:rsid w:val="51672BC4"/>
    <w:rsid w:val="51AB16C6"/>
    <w:rsid w:val="52A25941"/>
    <w:rsid w:val="52CF1805"/>
    <w:rsid w:val="52EA7613"/>
    <w:rsid w:val="573A02EE"/>
    <w:rsid w:val="57EB7940"/>
    <w:rsid w:val="5F3E25A9"/>
    <w:rsid w:val="652E1513"/>
    <w:rsid w:val="6AB72865"/>
    <w:rsid w:val="6B84374A"/>
    <w:rsid w:val="6FA6361B"/>
    <w:rsid w:val="7073301F"/>
    <w:rsid w:val="71B66B18"/>
    <w:rsid w:val="72BF0BE1"/>
    <w:rsid w:val="75BF1D13"/>
    <w:rsid w:val="775E6720"/>
    <w:rsid w:val="7B310C77"/>
    <w:rsid w:val="7B3A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c 7"/>
    <w:basedOn w:val="1"/>
    <w:next w:val="1"/>
    <w:semiHidden/>
    <w:qFormat/>
    <w:uiPriority w:val="0"/>
    <w:pPr>
      <w:ind w:left="2520" w:leftChars="1200"/>
    </w:pPr>
  </w:style>
  <w:style w:type="paragraph" w:styleId="6">
    <w:name w:val="Document Map"/>
    <w:basedOn w:val="1"/>
    <w:semiHidden/>
    <w:qFormat/>
    <w:uiPriority w:val="0"/>
    <w:pPr>
      <w:shd w:val="clear" w:color="auto" w:fill="000080"/>
    </w:pPr>
  </w:style>
  <w:style w:type="paragraph" w:styleId="7">
    <w:name w:val="annotation text"/>
    <w:basedOn w:val="1"/>
    <w:link w:val="40"/>
    <w:semiHidden/>
    <w:qFormat/>
    <w:uiPriority w:val="0"/>
    <w:pPr>
      <w:jc w:val="left"/>
    </w:pPr>
  </w:style>
  <w:style w:type="paragraph" w:styleId="8">
    <w:name w:val="Body Text"/>
    <w:basedOn w:val="1"/>
    <w:qFormat/>
    <w:uiPriority w:val="0"/>
    <w:pPr>
      <w:spacing w:line="360" w:lineRule="auto"/>
    </w:pPr>
    <w:rPr>
      <w:rFonts w:ascii="仿宋_GB2312" w:eastAsia="仿宋_GB2312"/>
      <w:color w:val="000000"/>
      <w:kern w:val="0"/>
      <w:sz w:val="24"/>
      <w:szCs w:val="28"/>
    </w:rPr>
  </w:style>
  <w:style w:type="paragraph" w:styleId="9">
    <w:name w:val="Body Text Indent"/>
    <w:basedOn w:val="1"/>
    <w:qFormat/>
    <w:uiPriority w:val="0"/>
    <w:pPr>
      <w:adjustRightInd w:val="0"/>
      <w:snapToGrid w:val="0"/>
      <w:spacing w:line="560" w:lineRule="exact"/>
      <w:ind w:firstLine="480" w:firstLineChars="200"/>
    </w:pPr>
    <w:rPr>
      <w:rFonts w:eastAsia="方正仿宋简体"/>
      <w:sz w:val="24"/>
      <w:szCs w:val="30"/>
    </w:rPr>
  </w:style>
  <w:style w:type="paragraph" w:styleId="10">
    <w:name w:val="toc 5"/>
    <w:basedOn w:val="1"/>
    <w:next w:val="1"/>
    <w:semiHidden/>
    <w:qFormat/>
    <w:uiPriority w:val="0"/>
    <w:pPr>
      <w:ind w:left="1680" w:leftChars="800"/>
    </w:pPr>
  </w:style>
  <w:style w:type="paragraph" w:styleId="11">
    <w:name w:val="toc 3"/>
    <w:basedOn w:val="1"/>
    <w:next w:val="1"/>
    <w:semiHidden/>
    <w:qFormat/>
    <w:uiPriority w:val="0"/>
    <w:pPr>
      <w:ind w:left="840" w:leftChars="400"/>
    </w:pPr>
  </w:style>
  <w:style w:type="paragraph" w:styleId="12">
    <w:name w:val="toc 8"/>
    <w:basedOn w:val="1"/>
    <w:next w:val="1"/>
    <w:semiHidden/>
    <w:qFormat/>
    <w:uiPriority w:val="0"/>
    <w:pPr>
      <w:ind w:left="2940" w:leftChars="1400"/>
    </w:pPr>
  </w:style>
  <w:style w:type="paragraph" w:styleId="13">
    <w:name w:val="Body Text Indent 2"/>
    <w:basedOn w:val="1"/>
    <w:qFormat/>
    <w:uiPriority w:val="0"/>
    <w:pPr>
      <w:spacing w:line="360" w:lineRule="auto"/>
      <w:ind w:firstLine="525"/>
    </w:pPr>
    <w:rPr>
      <w:rFonts w:ascii="宋体" w:hAnsi="宋体"/>
      <w:sz w:val="28"/>
      <w:szCs w:val="20"/>
    </w:rPr>
  </w:style>
  <w:style w:type="paragraph" w:styleId="14">
    <w:name w:val="Balloon Text"/>
    <w:basedOn w:val="1"/>
    <w:semiHidden/>
    <w:qFormat/>
    <w:uiPriority w:val="0"/>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lang w:val="zh-CN"/>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lang w:val="zh-CN"/>
    </w:rPr>
  </w:style>
  <w:style w:type="paragraph" w:styleId="17">
    <w:name w:val="toc 1"/>
    <w:basedOn w:val="1"/>
    <w:next w:val="1"/>
    <w:qFormat/>
    <w:uiPriority w:val="39"/>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napToGrid w:val="0"/>
      <w:ind w:firstLine="480" w:firstLineChars="200"/>
    </w:pPr>
    <w:rPr>
      <w:rFonts w:ascii="仿宋_GB2312" w:hAnsi="宋体" w:eastAsia="仿宋_GB2312" w:cs="Arial"/>
      <w:color w:val="000000"/>
      <w:sz w:val="24"/>
    </w:rPr>
  </w:style>
  <w:style w:type="paragraph" w:styleId="21">
    <w:name w:val="toc 2"/>
    <w:basedOn w:val="1"/>
    <w:next w:val="1"/>
    <w:qFormat/>
    <w:uiPriority w:val="39"/>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link w:val="42"/>
    <w:qFormat/>
    <w:uiPriority w:val="0"/>
    <w:pPr>
      <w:spacing w:before="240" w:after="60"/>
      <w:jc w:val="center"/>
      <w:outlineLvl w:val="0"/>
    </w:pPr>
    <w:rPr>
      <w:rFonts w:ascii="Arial" w:hAnsi="Arial"/>
      <w:b/>
      <w:bCs/>
      <w:sz w:val="32"/>
      <w:szCs w:val="32"/>
      <w:lang w:val="zh-CN"/>
    </w:rPr>
  </w:style>
  <w:style w:type="paragraph" w:styleId="25">
    <w:name w:val="annotation subject"/>
    <w:basedOn w:val="7"/>
    <w:next w:val="7"/>
    <w:semiHidden/>
    <w:qFormat/>
    <w:uiPriority w:val="0"/>
    <w:rPr>
      <w:b/>
      <w:bCs/>
    </w:rPr>
  </w:style>
  <w:style w:type="character" w:styleId="28">
    <w:name w:val="Strong"/>
    <w:qFormat/>
    <w:uiPriority w:val="22"/>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semiHidden/>
    <w:qFormat/>
    <w:uiPriority w:val="99"/>
    <w:rPr>
      <w:sz w:val="21"/>
      <w:szCs w:val="21"/>
    </w:rPr>
  </w:style>
  <w:style w:type="paragraph" w:customStyle="1" w:styleId="32">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3">
    <w:name w:val="read"/>
    <w:basedOn w:val="27"/>
    <w:qFormat/>
    <w:uiPriority w:val="0"/>
  </w:style>
  <w:style w:type="character" w:customStyle="1" w:styleId="34">
    <w:name w:val="已访问的超链接1"/>
    <w:qFormat/>
    <w:uiPriority w:val="0"/>
    <w:rPr>
      <w:color w:val="800080"/>
      <w:u w:val="single"/>
    </w:rPr>
  </w:style>
  <w:style w:type="paragraph" w:customStyle="1" w:styleId="35">
    <w:name w:val="Char"/>
    <w:basedOn w:val="1"/>
    <w:qFormat/>
    <w:uiPriority w:val="0"/>
  </w:style>
  <w:style w:type="paragraph" w:customStyle="1" w:styleId="36">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37">
    <w:name w:val="Char2"/>
    <w:basedOn w:val="1"/>
    <w:qFormat/>
    <w:uiPriority w:val="0"/>
  </w:style>
  <w:style w:type="paragraph" w:customStyle="1" w:styleId="38">
    <w:name w:val="Char Char Char Char Char 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文字 字符"/>
    <w:link w:val="7"/>
    <w:qFormat/>
    <w:uiPriority w:val="0"/>
    <w:rPr>
      <w:rFonts w:eastAsia="宋体"/>
      <w:kern w:val="2"/>
      <w:sz w:val="21"/>
      <w:szCs w:val="24"/>
      <w:lang w:val="en-US" w:eastAsia="zh-CN" w:bidi="ar-SA"/>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字符"/>
    <w:link w:val="24"/>
    <w:qFormat/>
    <w:uiPriority w:val="0"/>
    <w:rPr>
      <w:rFonts w:ascii="Arial" w:hAnsi="Arial" w:cs="Arial"/>
      <w:b/>
      <w:bCs/>
      <w:kern w:val="2"/>
      <w:sz w:val="32"/>
      <w:szCs w:val="32"/>
    </w:rPr>
  </w:style>
  <w:style w:type="character" w:customStyle="1" w:styleId="43">
    <w:name w:val="页脚 字符"/>
    <w:link w:val="15"/>
    <w:qFormat/>
    <w:uiPriority w:val="99"/>
    <w:rPr>
      <w:kern w:val="2"/>
      <w:sz w:val="18"/>
      <w:szCs w:val="18"/>
    </w:rPr>
  </w:style>
  <w:style w:type="character" w:customStyle="1" w:styleId="44">
    <w:name w:val="页眉 字符"/>
    <w:link w:val="16"/>
    <w:qFormat/>
    <w:uiPriority w:val="99"/>
    <w:rPr>
      <w:kern w:val="2"/>
      <w:sz w:val="18"/>
      <w:szCs w:val="18"/>
    </w:rPr>
  </w:style>
  <w:style w:type="character" w:customStyle="1" w:styleId="45">
    <w:name w:val="标题 1 字符"/>
    <w:link w:val="2"/>
    <w:qFormat/>
    <w:uiPriority w:val="0"/>
    <w:rPr>
      <w:b/>
      <w:bCs/>
      <w:kern w:val="44"/>
      <w:sz w:val="44"/>
      <w:szCs w:val="44"/>
    </w:rPr>
  </w:style>
  <w:style w:type="paragraph" w:customStyle="1" w:styleId="46">
    <w:name w:val="Char3"/>
    <w:basedOn w:val="1"/>
    <w:qFormat/>
    <w:uiPriority w:val="0"/>
  </w:style>
  <w:style w:type="paragraph" w:customStyle="1" w:styleId="47">
    <w:name w:val="Char1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8">
    <w:name w:val="Char Char Char Char Char Char Char1"/>
    <w:basedOn w:val="1"/>
    <w:qFormat/>
    <w:uiPriority w:val="0"/>
  </w:style>
  <w:style w:type="character" w:customStyle="1" w:styleId="49">
    <w:name w:val="fontstyle01"/>
    <w:basedOn w:val="27"/>
    <w:qFormat/>
    <w:uiPriority w:val="0"/>
    <w:rPr>
      <w:rFonts w:hint="eastAsia" w:ascii="宋体" w:hAnsi="宋体" w:eastAsia="宋体"/>
      <w:color w:val="000000"/>
      <w:sz w:val="22"/>
      <w:szCs w:val="22"/>
    </w:rPr>
  </w:style>
  <w:style w:type="paragraph" w:customStyle="1" w:styleId="5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customXml" Target="../customXml/item34.xml"/><Relationship Id="rId4" Type="http://schemas.openxmlformats.org/officeDocument/2006/relationships/footer" Target="footer1.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header" Target="head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8405641-7B4D-4A3D-BEDD-2E3FA402BB75}">
  <ds:schemaRefs/>
</ds:datastoreItem>
</file>

<file path=customXml/itemProps11.xml><?xml version="1.0" encoding="utf-8"?>
<ds:datastoreItem xmlns:ds="http://schemas.openxmlformats.org/officeDocument/2006/customXml" ds:itemID="{7E650B4D-8AE6-4723-BE52-9CB53F0D403E}">
  <ds:schemaRefs/>
</ds:datastoreItem>
</file>

<file path=customXml/itemProps12.xml><?xml version="1.0" encoding="utf-8"?>
<ds:datastoreItem xmlns:ds="http://schemas.openxmlformats.org/officeDocument/2006/customXml" ds:itemID="{009B4804-86E3-4A60-B784-A147E4A46E0A}">
  <ds:schemaRefs/>
</ds:datastoreItem>
</file>

<file path=customXml/itemProps13.xml><?xml version="1.0" encoding="utf-8"?>
<ds:datastoreItem xmlns:ds="http://schemas.openxmlformats.org/officeDocument/2006/customXml" ds:itemID="{BD9AF684-73C3-4212-90E6-2067A0817B37}">
  <ds:schemaRefs/>
</ds:datastoreItem>
</file>

<file path=customXml/itemProps14.xml><?xml version="1.0" encoding="utf-8"?>
<ds:datastoreItem xmlns:ds="http://schemas.openxmlformats.org/officeDocument/2006/customXml" ds:itemID="{723D6806-844F-4CB3-B589-2F08B9C35EF6}">
  <ds:schemaRefs/>
</ds:datastoreItem>
</file>

<file path=customXml/itemProps15.xml><?xml version="1.0" encoding="utf-8"?>
<ds:datastoreItem xmlns:ds="http://schemas.openxmlformats.org/officeDocument/2006/customXml" ds:itemID="{C87FC8A6-41E8-4B9D-A2BC-3831AD56B41F}">
  <ds:schemaRefs/>
</ds:datastoreItem>
</file>

<file path=customXml/itemProps16.xml><?xml version="1.0" encoding="utf-8"?>
<ds:datastoreItem xmlns:ds="http://schemas.openxmlformats.org/officeDocument/2006/customXml" ds:itemID="{855ACF7C-B9C2-4C8B-95CF-63F7FD55DDAD}">
  <ds:schemaRefs/>
</ds:datastoreItem>
</file>

<file path=customXml/itemProps17.xml><?xml version="1.0" encoding="utf-8"?>
<ds:datastoreItem xmlns:ds="http://schemas.openxmlformats.org/officeDocument/2006/customXml" ds:itemID="{3DD352BD-16BF-4DD9-AC70-A9451C79B8F6}">
  <ds:schemaRefs/>
</ds:datastoreItem>
</file>

<file path=customXml/itemProps18.xml><?xml version="1.0" encoding="utf-8"?>
<ds:datastoreItem xmlns:ds="http://schemas.openxmlformats.org/officeDocument/2006/customXml" ds:itemID="{F20995CC-FC91-4281-ADE2-472AB7205F38}">
  <ds:schemaRefs/>
</ds:datastoreItem>
</file>

<file path=customXml/itemProps19.xml><?xml version="1.0" encoding="utf-8"?>
<ds:datastoreItem xmlns:ds="http://schemas.openxmlformats.org/officeDocument/2006/customXml" ds:itemID="{9EE9E343-8D21-4DED-86F6-C496850DF591}">
  <ds:schemaRefs/>
</ds:datastoreItem>
</file>

<file path=customXml/itemProps2.xml><?xml version="1.0" encoding="utf-8"?>
<ds:datastoreItem xmlns:ds="http://schemas.openxmlformats.org/officeDocument/2006/customXml" ds:itemID="{AA3FE32B-E809-4E69-9F46-FC636D71D161}">
  <ds:schemaRefs/>
</ds:datastoreItem>
</file>

<file path=customXml/itemProps20.xml><?xml version="1.0" encoding="utf-8"?>
<ds:datastoreItem xmlns:ds="http://schemas.openxmlformats.org/officeDocument/2006/customXml" ds:itemID="{C730CCE6-91F9-4CE0-8119-DEF312381E63}">
  <ds:schemaRefs/>
</ds:datastoreItem>
</file>

<file path=customXml/itemProps21.xml><?xml version="1.0" encoding="utf-8"?>
<ds:datastoreItem xmlns:ds="http://schemas.openxmlformats.org/officeDocument/2006/customXml" ds:itemID="{46F3D93F-6892-4093-80EE-35A7CD136932}">
  <ds:schemaRefs/>
</ds:datastoreItem>
</file>

<file path=customXml/itemProps22.xml><?xml version="1.0" encoding="utf-8"?>
<ds:datastoreItem xmlns:ds="http://schemas.openxmlformats.org/officeDocument/2006/customXml" ds:itemID="{3F653865-92BA-41A8-B9E1-996E0CA0B6D7}">
  <ds:schemaRefs/>
</ds:datastoreItem>
</file>

<file path=customXml/itemProps23.xml><?xml version="1.0" encoding="utf-8"?>
<ds:datastoreItem xmlns:ds="http://schemas.openxmlformats.org/officeDocument/2006/customXml" ds:itemID="{C11DB25E-C09A-40D2-B9FC-DED8FBF515C5}">
  <ds:schemaRefs/>
</ds:datastoreItem>
</file>

<file path=customXml/itemProps24.xml><?xml version="1.0" encoding="utf-8"?>
<ds:datastoreItem xmlns:ds="http://schemas.openxmlformats.org/officeDocument/2006/customXml" ds:itemID="{6579A37D-BF51-4252-A8CC-BA6113CAED21}">
  <ds:schemaRefs/>
</ds:datastoreItem>
</file>

<file path=customXml/itemProps25.xml><?xml version="1.0" encoding="utf-8"?>
<ds:datastoreItem xmlns:ds="http://schemas.openxmlformats.org/officeDocument/2006/customXml" ds:itemID="{F6FF5FB1-1760-426D-B474-89B65CDB6CA7}">
  <ds:schemaRefs/>
</ds:datastoreItem>
</file>

<file path=customXml/itemProps26.xml><?xml version="1.0" encoding="utf-8"?>
<ds:datastoreItem xmlns:ds="http://schemas.openxmlformats.org/officeDocument/2006/customXml" ds:itemID="{2A81ADE0-4844-4EAD-A117-E6039415B8C4}">
  <ds:schemaRefs/>
</ds:datastoreItem>
</file>

<file path=customXml/itemProps27.xml><?xml version="1.0" encoding="utf-8"?>
<ds:datastoreItem xmlns:ds="http://schemas.openxmlformats.org/officeDocument/2006/customXml" ds:itemID="{A81922DD-C261-4809-A851-29D87874DCCD}">
  <ds:schemaRefs/>
</ds:datastoreItem>
</file>

<file path=customXml/itemProps28.xml><?xml version="1.0" encoding="utf-8"?>
<ds:datastoreItem xmlns:ds="http://schemas.openxmlformats.org/officeDocument/2006/customXml" ds:itemID="{F3246F51-7525-4A58-8B61-91C33BC23DAF}">
  <ds:schemaRefs/>
</ds:datastoreItem>
</file>

<file path=customXml/itemProps29.xml><?xml version="1.0" encoding="utf-8"?>
<ds:datastoreItem xmlns:ds="http://schemas.openxmlformats.org/officeDocument/2006/customXml" ds:itemID="{0B47FBF0-2F3B-4784-8B98-8D001B91547B}">
  <ds:schemaRefs/>
</ds:datastoreItem>
</file>

<file path=customXml/itemProps3.xml><?xml version="1.0" encoding="utf-8"?>
<ds:datastoreItem xmlns:ds="http://schemas.openxmlformats.org/officeDocument/2006/customXml" ds:itemID="{63894F7E-7B5E-45A0-9485-D7A74DE2A2FD}">
  <ds:schemaRefs/>
</ds:datastoreItem>
</file>

<file path=customXml/itemProps30.xml><?xml version="1.0" encoding="utf-8"?>
<ds:datastoreItem xmlns:ds="http://schemas.openxmlformats.org/officeDocument/2006/customXml" ds:itemID="{783EEE2D-1119-4064-8879-1CA4C9FFE20C}">
  <ds:schemaRefs/>
</ds:datastoreItem>
</file>

<file path=customXml/itemProps31.xml><?xml version="1.0" encoding="utf-8"?>
<ds:datastoreItem xmlns:ds="http://schemas.openxmlformats.org/officeDocument/2006/customXml" ds:itemID="{E382158C-5B55-4001-9458-A4E739D0EFBA}">
  <ds:schemaRefs/>
</ds:datastoreItem>
</file>

<file path=customXml/itemProps32.xml><?xml version="1.0" encoding="utf-8"?>
<ds:datastoreItem xmlns:ds="http://schemas.openxmlformats.org/officeDocument/2006/customXml" ds:itemID="{A64091D5-CFF9-4585-9DA7-CD8D8A43B716}">
  <ds:schemaRefs/>
</ds:datastoreItem>
</file>

<file path=customXml/itemProps33.xml><?xml version="1.0" encoding="utf-8"?>
<ds:datastoreItem xmlns:ds="http://schemas.openxmlformats.org/officeDocument/2006/customXml" ds:itemID="{7A3452ED-C411-4CAB-A070-5EC9A64DD1BB}">
  <ds:schemaRefs/>
</ds:datastoreItem>
</file>

<file path=customXml/itemProps34.xml><?xml version="1.0" encoding="utf-8"?>
<ds:datastoreItem xmlns:ds="http://schemas.openxmlformats.org/officeDocument/2006/customXml" ds:itemID="{B04879BA-B651-466E-B098-843C51E06126}">
  <ds:schemaRefs/>
</ds:datastoreItem>
</file>

<file path=customXml/itemProps4.xml><?xml version="1.0" encoding="utf-8"?>
<ds:datastoreItem xmlns:ds="http://schemas.openxmlformats.org/officeDocument/2006/customXml" ds:itemID="{251E0196-C525-4BBD-B480-F2392AD69082}">
  <ds:schemaRefs/>
</ds:datastoreItem>
</file>

<file path=customXml/itemProps5.xml><?xml version="1.0" encoding="utf-8"?>
<ds:datastoreItem xmlns:ds="http://schemas.openxmlformats.org/officeDocument/2006/customXml" ds:itemID="{C719FB0A-C0C9-4666-ABBF-398F4DD39EE2}">
  <ds:schemaRefs/>
</ds:datastoreItem>
</file>

<file path=customXml/itemProps6.xml><?xml version="1.0" encoding="utf-8"?>
<ds:datastoreItem xmlns:ds="http://schemas.openxmlformats.org/officeDocument/2006/customXml" ds:itemID="{C43FE68C-3322-4803-AF34-F5C56134085F}">
  <ds:schemaRefs/>
</ds:datastoreItem>
</file>

<file path=customXml/itemProps7.xml><?xml version="1.0" encoding="utf-8"?>
<ds:datastoreItem xmlns:ds="http://schemas.openxmlformats.org/officeDocument/2006/customXml" ds:itemID="{BBF512B3-BE9D-4D5A-8BC6-EC07125A2373}">
  <ds:schemaRefs/>
</ds:datastoreItem>
</file>

<file path=customXml/itemProps8.xml><?xml version="1.0" encoding="utf-8"?>
<ds:datastoreItem xmlns:ds="http://schemas.openxmlformats.org/officeDocument/2006/customXml" ds:itemID="{70D1C474-9B93-4E2A-BA0E-D4B6A8D18CFF}">
  <ds:schemaRefs/>
</ds:datastoreItem>
</file>

<file path=customXml/itemProps9.xml><?xml version="1.0" encoding="utf-8"?>
<ds:datastoreItem xmlns:ds="http://schemas.openxmlformats.org/officeDocument/2006/customXml" ds:itemID="{2D7DB07D-B83D-4643-A107-327166A748A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52</Pages>
  <Words>29517</Words>
  <Characters>29818</Characters>
  <Lines>223</Lines>
  <Paragraphs>62</Paragraphs>
  <TotalTime>193</TotalTime>
  <ScaleCrop>false</ScaleCrop>
  <LinksUpToDate>false</LinksUpToDate>
  <CharactersWithSpaces>29940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2019-11-21T08:56:00Z</dcterms:created>
  <dc:creator>资产托管部</dc:creator>
  <cp:lastModifiedBy>聪子</cp:lastModifiedBy>
  <cp:lastPrinted>2012-08-22T01:38:00Z</cp:lastPrinted>
  <dcterms:modified xsi:type="dcterms:W3CDTF">2026-04-02T02:52:42Z</dcterms:modified>
  <dc:title>托管协议</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TemplateDocerSaveRecord">
    <vt:lpwstr>eyJoZGlkIjoiNWExNTllODEyNmQ2Y2E2N2Q0ZDBhNjk2MzczYzdmMTciLCJ1c2VySWQiOiI0Mzk0MzI1NTQifQ==</vt:lpwstr>
  </property>
  <property fmtid="{D5CDD505-2E9C-101B-9397-08002B2CF9AE}" pid="5" name="KSOProductBuildVer">
    <vt:lpwstr>2052-11.1.0.10314</vt:lpwstr>
  </property>
  <property fmtid="{D5CDD505-2E9C-101B-9397-08002B2CF9AE}" pid="6" name="ICV">
    <vt:lpwstr>FD96D3C706A3420D9B4300E9C470F3A4_12</vt:lpwstr>
  </property>
</Properties>
</file>