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东方阿尔法瑞利混合型发起式证券投资基金（A类份额）基金产品资料概要</w:t>
      </w:r>
    </w:p>
    <w:p>
      <w:pPr>
        <w:jc w:val="right"/>
      </w:pPr>
      <w:r>
        <w:rPr>
          <w:rFonts w:ascii="宋体" w:hAnsi="宋体" w:eastAsia="宋体" w:cs="宋体"/>
          <w:b w:val="0"/>
        </w:rPr>
        <w:t>编制日期：2026年04月03日</w:t>
      </w:r>
    </w:p>
    <w:p>
      <w:pPr>
        <w:jc w:val="center"/>
      </w:pPr>
      <w:r>
        <w:rPr>
          <w:rFonts w:ascii="宋体" w:hAnsi="宋体" w:eastAsia="宋体" w:cs="宋体"/>
          <w:b w:val="0"/>
        </w:rPr>
        <w:t>送出日期：2026年04月07日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东方阿尔法瑞利混合发起</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026993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基金简称A</w:t>
            </w:r>
          </w:p>
        </w:tc>
        <w:tc>
          <w:tcPr>
            <w:tcW w:w="0" w:type="dxa"/>
            <w:vAlign w:val="center"/>
          </w:tcPr>
          <w:p>
            <w:pPr>
              <w:spacing w:line="240" w:lineRule="auto"/>
              <w:jc w:val="left"/>
            </w:pPr>
            <w:r>
              <w:rPr>
                <w:rFonts w:ascii="宋体" w:hAnsi="宋体" w:eastAsia="宋体" w:cs="宋体"/>
                <w:b w:val="0"/>
              </w:rPr>
              <w:t>东方阿尔法瑞利混合发起A</w:t>
            </w:r>
          </w:p>
        </w:tc>
        <w:tc>
          <w:tcPr>
            <w:tcW w:w="0" w:type="dxa"/>
            <w:vAlign w:val="center"/>
          </w:tcPr>
          <w:p>
            <w:pPr>
              <w:spacing w:line="240" w:lineRule="auto"/>
              <w:jc w:val="left"/>
            </w:pPr>
            <w:r>
              <w:rPr>
                <w:rFonts w:ascii="宋体" w:hAnsi="宋体" w:eastAsia="宋体" w:cs="宋体"/>
                <w:b/>
              </w:rPr>
              <w:t>基金代码A</w:t>
            </w:r>
          </w:p>
        </w:tc>
        <w:tc>
          <w:tcPr>
            <w:tcW w:w="0" w:type="dxa"/>
            <w:vAlign w:val="center"/>
          </w:tcPr>
          <w:p>
            <w:pPr>
              <w:spacing w:line="240" w:lineRule="auto"/>
              <w:jc w:val="left"/>
            </w:pPr>
            <w:r>
              <w:rPr>
                <w:rFonts w:ascii="宋体" w:hAnsi="宋体" w:eastAsia="宋体" w:cs="宋体"/>
                <w:b w:val="0"/>
              </w:rPr>
              <w:t>026993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2019年07月01日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详见《东方阿尔法瑞利混合型发起式证券投资基金招募说明书》第九部分“基金的投资”。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在严格控制投资组合风险并保持基金资产良好的流动性的前提下，通过专业化研究分析，力争实现基金资产的稳健增值。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w:t>
            </w:r>
            <w:r>
              <w:rPr>
                <w:rFonts w:ascii="宋体" w:hAnsi="宋体" w:eastAsia="宋体" w:cs="宋体"/>
                <w:b w:val="0"/>
              </w:rPr>
              <w:br w:type="textWrapping"/>
            </w:r>
            <w:r>
              <w:rPr>
                <w:rFonts w:ascii="宋体" w:hAnsi="宋体" w:eastAsia="宋体" w:cs="宋体"/>
                <w:b w:val="0"/>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将采用自上而下的分析方法，通过研究国内外宏观经济、国家政策，判断当下经济周期位置及未来发展趋势，并结合市场估值水平，确定投资范围内各类资产的投资比例，并适时动态调整，以最大限度降低投资组合风险、提高收益。在大类资产配置的基础上，本基金将采用“自下而上”的方式精选个股，结合定性和定量分析对公司投资价值进行评估，在控制风险的基础上创造持续超越业绩比较基准的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中证800指数收益率×60%+中证综合债（全价）指数收益率×20%+恒生指数收益率×20%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pStyle w:val="58"/>
      </w:pPr>
      <w:r>
        <w:rPr>
          <w:rFonts w:ascii="宋体" w:hAnsi="宋体" w:eastAsia="宋体" w:cs="宋体"/>
          <w:b/>
        </w:rPr>
        <w:t>（二）投资组合资产配置图表/区域配置图表</w:t>
      </w:r>
    </w:p>
    <w:p>
      <w:r>
        <w:rPr>
          <w:rFonts w:ascii="宋体" w:hAnsi="宋体" w:eastAsia="宋体" w:cs="宋体"/>
          <w:b w:val="0"/>
        </w:rPr>
        <w:t xml:space="preserve">    暂无。</w:t>
      </w:r>
      <w:bookmarkStart w:id="0" w:name="_GoBack"/>
      <w:bookmarkEnd w:id="0"/>
    </w:p>
    <w:p>
      <w:pPr>
        <w:pStyle w:val="59"/>
      </w:pPr>
      <w:r>
        <w:rPr>
          <w:rFonts w:ascii="宋体" w:hAnsi="宋体" w:eastAsia="宋体" w:cs="宋体"/>
          <w:b/>
        </w:rPr>
        <w:t>（三）</w:t>
      </w:r>
      <w:r>
        <w:rPr>
          <w:rFonts w:hint="eastAsia" w:hAnsi="Calibri"/>
          <w:b/>
          <w:color w:val="000000"/>
        </w:rPr>
        <w:t xml:space="preserve">自基金合同生效以来基金每年的净值增长率及与同期业绩比较基准的比较图 </w:t>
      </w:r>
    </w:p>
    <w:p>
      <w:r>
        <w:rPr>
          <w:rFonts w:ascii="宋体" w:hAnsi="宋体" w:eastAsia="宋体" w:cs="宋体"/>
          <w:b w:val="0"/>
        </w:rPr>
        <w:t xml:space="preserve">    暂无。</w:t>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以下费用在认购/申购/赎回基金过程中收取：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认购费</w:t>
            </w: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0.80%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0.80%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1.00%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30天≤N&lt;180天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N≥180天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r>
        <w:rPr>
          <w:rFonts w:ascii="宋体" w:hAnsi="宋体" w:eastAsia="宋体" w:cs="宋体"/>
          <w:b w:val="0"/>
        </w:rPr>
        <w:t>注：1、上表中认购费、申购费仅适用于投资者通过代销机构认购/申购本基金A类基金份额。</w:t>
      </w:r>
      <w:r>
        <w:rPr>
          <w:rFonts w:ascii="宋体" w:hAnsi="宋体" w:eastAsia="宋体" w:cs="宋体"/>
          <w:b w:val="0"/>
        </w:rPr>
        <w:cr/>
      </w:r>
      <w:r>
        <w:rPr>
          <w:rFonts w:ascii="宋体" w:hAnsi="宋体" w:eastAsia="宋体" w:cs="宋体"/>
          <w:b w:val="0"/>
        </w:rPr>
        <w:t>2、通过直销机构认购/申购本基金A类基金份额的不收取认购费/申购费。</w:t>
      </w:r>
      <w:r>
        <w:rPr>
          <w:rFonts w:ascii="宋体" w:hAnsi="宋体" w:eastAsia="宋体" w:cs="宋体"/>
          <w:b w:val="0"/>
        </w:rPr>
        <w:cr/>
      </w:r>
      <w:r>
        <w:rPr>
          <w:rFonts w:ascii="宋体" w:hAnsi="宋体" w:eastAsia="宋体" w:cs="宋体"/>
          <w:b w:val="0"/>
        </w:rPr>
        <w:t>3、投资者通过全部销售机构（含直销机构、代销机构）赎回A类基金份额时均收取赎回费。</w:t>
      </w:r>
      <w:r>
        <w:rPr>
          <w:rFonts w:ascii="宋体" w:hAnsi="宋体" w:eastAsia="宋体" w:cs="宋体"/>
          <w:b w:val="0"/>
        </w:rPr>
        <w:cr/>
      </w:r>
      <w:r>
        <w:rPr>
          <w:rFonts w:ascii="宋体" w:hAnsi="宋体" w:eastAsia="宋体" w:cs="宋体"/>
          <w:b w:val="0"/>
        </w:rPr>
        <w:t>4、投资人重复认购／申购，须按每次认购／申购所对应的费率档次分别计费。</w:t>
      </w:r>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2"/>
        <w:gridCol w:w="4286"/>
        <w:gridCol w:w="2858"/>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pPr>
            <w:r>
              <w:rPr>
                <w:rFonts w:ascii="宋体" w:hAnsi="宋体" w:eastAsia="宋体" w:cs="宋体"/>
                <w:b/>
              </w:rPr>
              <w:t>费用类别</w:t>
            </w:r>
          </w:p>
        </w:tc>
        <w:tc>
          <w:tcPr>
            <w:tcW w:w="2307"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pPr>
            <w:r>
              <w:rPr>
                <w:rFonts w:ascii="宋体" w:hAnsi="宋体" w:eastAsia="宋体" w:cs="宋体"/>
                <w:b w:val="0"/>
              </w:rPr>
              <w:t>管理费</w:t>
            </w:r>
          </w:p>
        </w:tc>
        <w:tc>
          <w:tcPr>
            <w:tcW w:w="2307" w:type="pct"/>
            <w:vAlign w:val="center"/>
          </w:tcPr>
          <w:p>
            <w:pPr>
              <w:spacing w:line="240" w:lineRule="auto"/>
              <w:jc w:val="left"/>
            </w:pPr>
            <w:r>
              <w:rPr>
                <w:rFonts w:ascii="宋体" w:hAnsi="宋体" w:eastAsia="宋体" w:cs="宋体"/>
                <w:b w:val="0"/>
              </w:rPr>
              <w:t>1.20%</w:t>
            </w:r>
          </w:p>
        </w:tc>
        <w:tc>
          <w:tcPr>
            <w:tcW w:w="1538" w:type="pct"/>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pPr>
            <w:r>
              <w:rPr>
                <w:rFonts w:ascii="宋体" w:hAnsi="宋体" w:eastAsia="宋体" w:cs="宋体"/>
                <w:b w:val="0"/>
              </w:rPr>
              <w:t>托管费</w:t>
            </w:r>
          </w:p>
        </w:tc>
        <w:tc>
          <w:tcPr>
            <w:tcW w:w="2307" w:type="pct"/>
            <w:vAlign w:val="center"/>
          </w:tcPr>
          <w:p>
            <w:pPr>
              <w:spacing w:line="240" w:lineRule="auto"/>
              <w:jc w:val="left"/>
            </w:pPr>
            <w:r>
              <w:rPr>
                <w:rFonts w:ascii="宋体" w:hAnsi="宋体" w:eastAsia="宋体" w:cs="宋体"/>
                <w:b w:val="0"/>
              </w:rPr>
              <w:t>0.20%</w:t>
            </w:r>
          </w:p>
        </w:tc>
        <w:tc>
          <w:tcPr>
            <w:tcW w:w="1538" w:type="pct"/>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pStyle w:val="52"/>
              <w:wordWrap w:val="0"/>
              <w:ind w:left="15" w:leftChars="0"/>
              <w:rPr>
                <w:rFonts w:hint="eastAsia" w:ascii="宋体" w:hAnsi="宋体" w:eastAsia="宋体" w:cs="宋体"/>
                <w:kern w:val="0"/>
                <w:sz w:val="21"/>
                <w:szCs w:val="24"/>
                <w:lang w:val="en-US" w:eastAsia="zh-CN" w:bidi="ar-SA"/>
              </w:rPr>
            </w:pPr>
            <w:r>
              <w:rPr>
                <w:rFonts w:hint="eastAsia" w:hAnsi="Calibri"/>
                <w:color w:val="000000"/>
              </w:rPr>
              <w:t>审计费用</w:t>
            </w:r>
          </w:p>
        </w:tc>
        <w:tc>
          <w:tcPr>
            <w:tcW w:w="2307" w:type="pct"/>
            <w:vAlign w:val="center"/>
          </w:tcPr>
          <w:p>
            <w:pPr>
              <w:pStyle w:val="54"/>
              <w:wordWrap/>
              <w:ind w:left="15" w:leftChars="0"/>
              <w:jc w:val="left"/>
              <w:rPr>
                <w:rFonts w:hint="eastAsia" w:ascii="宋体" w:hAnsi="宋体" w:eastAsia="宋体" w:cs="宋体"/>
                <w:kern w:val="0"/>
                <w:sz w:val="21"/>
                <w:szCs w:val="24"/>
                <w:lang w:val="en-US" w:eastAsia="zh-CN" w:bidi="ar-SA"/>
              </w:rPr>
            </w:pPr>
            <w:r>
              <w:rPr>
                <w:rFonts w:hint="eastAsia"/>
              </w:rPr>
              <w:t>-</w:t>
            </w:r>
          </w:p>
        </w:tc>
        <w:tc>
          <w:tcPr>
            <w:tcW w:w="1538" w:type="pct"/>
            <w:vAlign w:val="center"/>
          </w:tcPr>
          <w:p>
            <w:pPr>
              <w:pStyle w:val="52"/>
              <w:wordWrap w:val="0"/>
              <w:ind w:left="15" w:leftChars="0"/>
              <w:rPr>
                <w:rFonts w:hint="eastAsia" w:ascii="宋体" w:hAnsi="宋体" w:eastAsia="宋体" w:cs="宋体"/>
                <w:kern w:val="0"/>
                <w:sz w:val="21"/>
                <w:szCs w:val="24"/>
                <w:lang w:val="en-US" w:eastAsia="zh-CN" w:bidi="ar-SA"/>
              </w:rPr>
            </w:pPr>
            <w:r>
              <w:rPr>
                <w:rFonts w:hint="eastAsia" w:hAnsi="Calibri"/>
                <w:color w:val="00000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pStyle w:val="52"/>
              <w:wordWrap w:val="0"/>
              <w:ind w:left="15" w:leftChars="0"/>
              <w:rPr>
                <w:rFonts w:hint="eastAsia" w:ascii="宋体" w:hAnsi="宋体" w:eastAsia="宋体" w:cs="宋体"/>
                <w:kern w:val="0"/>
                <w:sz w:val="21"/>
                <w:szCs w:val="24"/>
                <w:lang w:val="en-US" w:eastAsia="zh-CN" w:bidi="ar-SA"/>
              </w:rPr>
            </w:pPr>
            <w:r>
              <w:rPr>
                <w:rFonts w:hint="eastAsia" w:hAnsi="Calibri"/>
                <w:color w:val="000000"/>
              </w:rPr>
              <w:t>信息披露费</w:t>
            </w:r>
          </w:p>
        </w:tc>
        <w:tc>
          <w:tcPr>
            <w:tcW w:w="2307" w:type="pct"/>
            <w:vAlign w:val="center"/>
          </w:tcPr>
          <w:p>
            <w:pPr>
              <w:pStyle w:val="54"/>
              <w:wordWrap/>
              <w:ind w:left="15" w:leftChars="0"/>
              <w:jc w:val="left"/>
              <w:rPr>
                <w:rFonts w:hint="eastAsia" w:ascii="宋体" w:hAnsi="宋体" w:eastAsia="宋体" w:cs="宋体"/>
                <w:kern w:val="0"/>
                <w:sz w:val="21"/>
                <w:szCs w:val="24"/>
                <w:lang w:val="en-US" w:eastAsia="zh-CN" w:bidi="ar-SA"/>
              </w:rPr>
            </w:pPr>
            <w:r>
              <w:rPr>
                <w:rFonts w:hint="eastAsia"/>
              </w:rPr>
              <w:t>-</w:t>
            </w:r>
          </w:p>
        </w:tc>
        <w:tc>
          <w:tcPr>
            <w:tcW w:w="1538" w:type="pct"/>
            <w:vAlign w:val="center"/>
          </w:tcPr>
          <w:p>
            <w:pPr>
              <w:pStyle w:val="52"/>
              <w:wordWrap w:val="0"/>
              <w:ind w:left="15" w:leftChars="0"/>
              <w:rPr>
                <w:rFonts w:hint="eastAsia" w:ascii="宋体" w:hAnsi="宋体" w:eastAsia="宋体" w:cs="宋体"/>
                <w:kern w:val="0"/>
                <w:sz w:val="21"/>
                <w:szCs w:val="24"/>
                <w:lang w:val="en-US" w:eastAsia="zh-CN" w:bidi="ar-SA"/>
              </w:rPr>
            </w:pPr>
            <w:r>
              <w:rPr>
                <w:rFonts w:hint="eastAsia" w:hAnsi="Calibri"/>
                <w:color w:val="00000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pPr>
            <w:r>
              <w:rPr>
                <w:rFonts w:ascii="宋体" w:hAnsi="宋体" w:eastAsia="宋体" w:cs="宋体"/>
                <w:b w:val="0"/>
              </w:rPr>
              <w:t>其他费用</w:t>
            </w:r>
          </w:p>
        </w:tc>
        <w:tc>
          <w:tcPr>
            <w:tcW w:w="2307" w:type="pct"/>
            <w:vAlign w:val="center"/>
          </w:tcPr>
          <w:p>
            <w:pPr>
              <w:spacing w:line="240" w:lineRule="auto"/>
              <w:jc w:val="left"/>
            </w:pPr>
            <w:r>
              <w:rPr>
                <w:rFonts w:ascii="宋体" w:hAnsi="宋体" w:eastAsia="宋体" w:cs="宋体"/>
                <w:b w:val="0"/>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1538" w:type="pct"/>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pPr>
        <w:pStyle w:val="58"/>
      </w:pPr>
      <w:r>
        <w:rPr>
          <w:rFonts w:ascii="宋体" w:hAnsi="宋体" w:eastAsia="宋体" w:cs="宋体"/>
          <w:b/>
        </w:rPr>
        <w:t>（三）基金运作综合费用测算</w:t>
      </w:r>
    </w:p>
    <w:p>
      <w:r>
        <w:rPr>
          <w:rFonts w:ascii="宋体" w:hAnsi="宋体" w:eastAsia="宋体" w:cs="宋体"/>
          <w:b w:val="0"/>
        </w:rPr>
        <w:t xml:space="preserve">    暂无。</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（1）本基金投资组合中股票资产投资比例为基金资产的60%-95%，股票市场的价格波动可能会导致基金净值发生剧烈波动的风险。</w:t>
      </w:r>
      <w:r>
        <w:rPr>
          <w:rFonts w:ascii="宋体" w:hAnsi="宋体" w:eastAsia="宋体" w:cs="宋体"/>
          <w:b w:val="0"/>
        </w:rPr>
        <w:cr/>
      </w:r>
      <w:r>
        <w:rPr>
          <w:rFonts w:ascii="宋体" w:hAnsi="宋体" w:eastAsia="宋体" w:cs="宋体"/>
          <w:b w:val="0"/>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r>
        <w:rPr>
          <w:rFonts w:ascii="宋体" w:hAnsi="宋体" w:eastAsia="宋体" w:cs="宋体"/>
          <w:b w:val="0"/>
        </w:rPr>
        <w:cr/>
      </w:r>
      <w:r>
        <w:rPr>
          <w:rFonts w:ascii="宋体" w:hAnsi="宋体" w:eastAsia="宋体" w:cs="宋体"/>
          <w:b w:val="0"/>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r>
      <w:r>
        <w:rPr>
          <w:rFonts w:ascii="宋体" w:hAnsi="宋体" w:eastAsia="宋体" w:cs="宋体"/>
          <w:b w:val="0"/>
        </w:rPr>
        <w:cr/>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（5）本基金可投资股票期权，股票期权的风险包括市场风险、流动性风险、基差风险、保证金风险和信用风险。</w:t>
      </w:r>
      <w:r>
        <w:rPr>
          <w:rFonts w:ascii="宋体" w:hAnsi="宋体" w:eastAsia="宋体" w:cs="宋体"/>
          <w:b w:val="0"/>
        </w:rPr>
        <w:cr/>
      </w:r>
      <w:r>
        <w:rPr>
          <w:rFonts w:ascii="宋体" w:hAnsi="宋体" w:eastAsia="宋体" w:cs="宋体"/>
          <w:b w:val="0"/>
        </w:rPr>
        <w:t xml:space="preserve">    （6）本基金可投资资产支持证券，资产支持证券的风险主要包括信用风险、利率风险、流动性风险、提前偿付风险等。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r>
      <w:r>
        <w:rPr>
          <w:rFonts w:ascii="宋体" w:hAnsi="宋体" w:eastAsia="宋体" w:cs="宋体"/>
          <w:b w:val="0"/>
        </w:rPr>
        <w:cr/>
      </w:r>
      <w:r>
        <w:rPr>
          <w:rFonts w:ascii="宋体" w:hAnsi="宋体" w:eastAsia="宋体" w:cs="宋体"/>
          <w:b w:val="0"/>
        </w:rPr>
        <w:t xml:space="preserve">    （8）本基金除与其他投资于内地市场股票的基金所面临的共同风险外，本基金还面临港股通机制下因投资环境、投资者结构、投资标的构成、市场制度以及交易规则等差异所带来的特有风险。</w:t>
      </w:r>
      <w:r>
        <w:rPr>
          <w:rFonts w:ascii="宋体" w:hAnsi="宋体" w:eastAsia="宋体" w:cs="宋体"/>
          <w:b w:val="0"/>
        </w:rPr>
        <w:cr/>
      </w:r>
      <w:r>
        <w:rPr>
          <w:rFonts w:ascii="宋体" w:hAnsi="宋体" w:eastAsia="宋体" w:cs="宋体"/>
          <w:b w:val="0"/>
        </w:rPr>
        <w:t xml:space="preserve">    （9）本基金可投资科创板股票，会面临因投资标的、市场制度以及交易规则等差异带来的特有风险，包括但不限于退市风险、市场风险、流动性风险、投资集中的风险、系统性风险、股价波动风险、政策风险等。</w:t>
      </w:r>
      <w:r>
        <w:rPr>
          <w:rFonts w:ascii="宋体" w:hAnsi="宋体" w:eastAsia="宋体" w:cs="宋体"/>
          <w:b w:val="0"/>
        </w:rPr>
        <w:cr/>
      </w:r>
      <w:r>
        <w:rPr>
          <w:rFonts w:ascii="宋体" w:hAnsi="宋体" w:eastAsia="宋体" w:cs="宋体"/>
          <w:b w:val="0"/>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r>
      <w:r>
        <w:rPr>
          <w:rFonts w:ascii="宋体" w:hAnsi="宋体" w:eastAsia="宋体" w:cs="宋体"/>
          <w:b w:val="0"/>
        </w:rPr>
        <w:cr/>
      </w:r>
      <w:r>
        <w:rPr>
          <w:rFonts w:ascii="宋体" w:hAnsi="宋体" w:eastAsia="宋体" w:cs="宋体"/>
          <w:b w:val="0"/>
        </w:rPr>
        <w:t xml:space="preserve">    （11）本基金可参与融资业务，融资业务除具有普通证券交易所具有的政策风险、市场风险、违约风险、操作风险等各种风险外，因融资业务的杠杆效应，基金财产可能因此产生更大的收益波动。</w:t>
      </w:r>
      <w:r>
        <w:rPr>
          <w:rFonts w:ascii="宋体" w:hAnsi="宋体" w:eastAsia="宋体" w:cs="宋体"/>
          <w:b w:val="0"/>
        </w:rPr>
        <w:cr/>
      </w:r>
      <w:r>
        <w:rPr>
          <w:rFonts w:ascii="宋体" w:hAnsi="宋体" w:eastAsia="宋体" w:cs="宋体"/>
          <w:b w:val="0"/>
        </w:rPr>
        <w:t xml:space="preserve">    （</w:t>
      </w:r>
      <w:r>
        <w:rPr>
          <w:rFonts w:hint="eastAsia" w:ascii="宋体" w:hAnsi="宋体" w:cs="宋体"/>
          <w:b w:val="0"/>
          <w:lang w:val="en-US" w:eastAsia="zh-CN"/>
        </w:rPr>
        <w:t>12</w:t>
      </w:r>
      <w:r>
        <w:rPr>
          <w:rFonts w:ascii="宋体" w:hAnsi="宋体" w:eastAsia="宋体" w:cs="宋体"/>
          <w:b w:val="0"/>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w:t>
      </w:r>
      <w:r>
        <w:rPr>
          <w:rFonts w:ascii="宋体" w:hAnsi="宋体" w:eastAsia="宋体" w:cs="宋体"/>
          <w:b/>
          <w:bCs/>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东方阿尔法瑞利混合型发起式证券投资基金（A类份额）基金产品资料概要</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53F36"/>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0F53ACF"/>
    <w:rsid w:val="17FF4F08"/>
    <w:rsid w:val="19402BC4"/>
    <w:rsid w:val="312016A7"/>
    <w:rsid w:val="328572ED"/>
    <w:rsid w:val="3E9A1429"/>
    <w:rsid w:val="48195C9C"/>
    <w:rsid w:val="5EE34946"/>
    <w:rsid w:val="62671060"/>
    <w:rsid w:val="62BC5C1A"/>
    <w:rsid w:val="66ED48D5"/>
    <w:rsid w:val="67517C74"/>
    <w:rsid w:val="69BD761E"/>
    <w:rsid w:val="6FDE26C6"/>
    <w:rsid w:val="78432018"/>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 w:type="paragraph" w:customStyle="1" w:styleId="59">
    <w:name w:val="zhangjie_p"/>
    <w:basedOn w:val="1"/>
    <w:qFormat/>
    <w:uiPriority w:val="0"/>
    <w:pPr>
      <w:widowControl/>
      <w:autoSpaceDE w:val="0"/>
      <w:autoSpaceDN w:val="0"/>
      <w:adjustRightInd w:val="0"/>
      <w:spacing w:before="24" w:line="288" w:lineRule="auto"/>
      <w:ind w:left="15"/>
      <w:jc w:val="left"/>
      <w:outlineLvl w:val="1"/>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0</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2026-04-03T05:39:52Z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