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东方阿尔法精选灵活配置混合型发起式证券投资基金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2026年第1季度报告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2026年03月31日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rPr>
          <w:rFonts w:ascii="宋体" w:hAnsi="宋体"/>
          <w:b/>
          <w:bCs/>
          <w:sz w:val="24"/>
        </w:rPr>
      </w:pPr>
    </w:p>
    <w:p>
      <w:pPr>
        <w:rPr>
          <w:rFonts w:ascii="宋体" w:hAnsi="宋体"/>
          <w:b/>
          <w:bCs/>
          <w:sz w:val="24"/>
        </w:rPr>
      </w:pPr>
      <w:bookmarkStart w:id="1" w:name="_GoBack"/>
      <w:bookmarkEnd w:id="1"/>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2026年04月17日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基金托管人招商银行股份有限公司根据本基金合同规定，于2026年04月16日复核了本报告中的财务指标、净值表现和投资组合报告等内容，保证复核内容不存在虚假记载、误导性陈述或者重大遗漏。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本报告期自2026年01月01日起至2026年03月31日止。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东方阿尔法精选混合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005358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2018年02月08日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180,030,070.53份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在严格控制风险的基础之上，通过灵活、主动的投资管理方式力求实现组合资产的稳健增值。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本基金的投资策略主要有以下10个方面内容：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本基金港股投资将重点关注A股稀缺性行业个股、A股缺乏投资标的行业、具有持续领先优势或核心竞争力的企业、符合内地政策和投资逻辑的主题性行业个股以及与A股同类公司相比具有估值优势的公司。</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6、权证投资策略</w:t>
            </w:r>
            <w:r>
              <w:rPr>
                <w:rFonts w:ascii="宋体" w:hAnsi="宋体" w:eastAsia="宋体" w:cs="宋体"/>
                <w:b w:val="0"/>
              </w:rPr>
              <w:br w:type="textWrapping"/>
            </w:r>
            <w:r>
              <w:rPr>
                <w:rFonts w:ascii="宋体" w:hAnsi="宋体" w:eastAsia="宋体" w:cs="宋体"/>
                <w:b w:val="0"/>
              </w:rPr>
              <w:t>采用市场公认的多种期权定价模型对权证进行定价，作为权证投资的价值基准，并根据权证标的股票基本面的研究估值，结合权证理论价值进行权证趋势投资。</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8、融资买入股票策略</w:t>
            </w:r>
            <w:r>
              <w:rPr>
                <w:rFonts w:ascii="宋体" w:hAnsi="宋体" w:eastAsia="宋体" w:cs="宋体"/>
                <w:b w:val="0"/>
              </w:rPr>
              <w:br w:type="textWrapping"/>
            </w:r>
            <w:r>
              <w:rPr>
                <w:rFonts w:ascii="宋体" w:hAnsi="宋体" w:eastAsia="宋体" w:cs="宋体"/>
                <w:b w:val="0"/>
              </w:rPr>
              <w:t>本基金将根据融资买入股票成本以及其他投资工具收益率综合评估是否采用融资方式买入股票。</w:t>
            </w:r>
            <w:r>
              <w:rPr>
                <w:rFonts w:ascii="宋体" w:hAnsi="宋体" w:eastAsia="宋体" w:cs="宋体"/>
                <w:b w:val="0"/>
              </w:rPr>
              <w:br w:type="textWrapping"/>
            </w:r>
            <w:r>
              <w:rPr>
                <w:rFonts w:ascii="宋体" w:hAnsi="宋体" w:eastAsia="宋体" w:cs="宋体"/>
                <w:b w:val="0"/>
              </w:rPr>
              <w:t>9、国债期货的投资策略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基金管理人将结合对宏观经济形势和政策趋势的判断、对债券市场进行定性和定量分析，构建量化分析体系，对国债期货和现货的基差、国债期货的流动性、波动水平、套期保值的有效性等指标进行跟踪监控。</w:t>
            </w:r>
            <w:r>
              <w:rPr>
                <w:rFonts w:ascii="宋体" w:hAnsi="宋体" w:eastAsia="宋体" w:cs="宋体"/>
                <w:b w:val="0"/>
              </w:rPr>
              <w:br w:type="textWrapping"/>
            </w:r>
            <w:r>
              <w:rPr>
                <w:rFonts w:ascii="宋体" w:hAnsi="宋体" w:eastAsia="宋体" w:cs="宋体"/>
                <w:b w:val="0"/>
              </w:rPr>
              <w:t>10、中小企业私募债券投资策略</w:t>
            </w:r>
            <w:r>
              <w:rPr>
                <w:rFonts w:ascii="宋体" w:hAnsi="宋体" w:eastAsia="宋体" w:cs="宋体"/>
                <w:b w:val="0"/>
              </w:rPr>
              <w:br w:type="textWrapping"/>
            </w:r>
            <w:r>
              <w:rPr>
                <w:rFonts w:ascii="宋体" w:hAnsi="宋体" w:eastAsia="宋体" w:cs="宋体"/>
                <w:b w:val="0"/>
              </w:rPr>
              <w:t>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沪深300指数收益率×40%+中证综合债券指数收益率×40%+恒生指数收益率×20%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东方阿尔法精选混合A</w:t>
            </w:r>
          </w:p>
        </w:tc>
        <w:tc>
          <w:tcPr>
            <w:tcW w:w="1500" w:type="pct"/>
            <w:vAlign w:val="center"/>
          </w:tcPr>
          <w:p>
            <w:pPr>
              <w:spacing w:line="240" w:lineRule="auto"/>
              <w:jc w:val="left"/>
            </w:pPr>
            <w:r>
              <w:rPr>
                <w:rFonts w:ascii="宋体" w:hAnsi="宋体" w:eastAsia="宋体" w:cs="宋体"/>
                <w:b w:val="0"/>
              </w:rPr>
              <w:t>东方阿尔法精选混合C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005358</w:t>
            </w:r>
          </w:p>
        </w:tc>
        <w:tc>
          <w:tcPr>
            <w:tcW w:w="1500" w:type="pct"/>
            <w:vAlign w:val="center"/>
          </w:tcPr>
          <w:p>
            <w:pPr>
              <w:spacing w:line="240" w:lineRule="auto"/>
              <w:jc w:val="left"/>
            </w:pPr>
            <w:r>
              <w:rPr>
                <w:rFonts w:ascii="宋体" w:hAnsi="宋体" w:eastAsia="宋体" w:cs="宋体"/>
                <w:b w:val="0"/>
              </w:rPr>
              <w:t>005359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133,347,596.04份</w:t>
            </w:r>
          </w:p>
        </w:tc>
        <w:tc>
          <w:tcPr>
            <w:tcW w:w="1500" w:type="pct"/>
            <w:vAlign w:val="center"/>
          </w:tcPr>
          <w:p>
            <w:pPr>
              <w:spacing w:line="240" w:lineRule="auto"/>
              <w:jc w:val="left"/>
            </w:pPr>
            <w:r>
              <w:rPr>
                <w:rFonts w:ascii="宋体" w:hAnsi="宋体" w:eastAsia="宋体" w:cs="宋体"/>
                <w:b w:val="0"/>
              </w:rPr>
              <w:t>46,682,474.49份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报告期（2026年01月01日-2026年03月31日）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东方阿尔法精选混合A</w:t>
            </w:r>
          </w:p>
        </w:tc>
        <w:tc>
          <w:tcPr>
            <w:tcW w:w="1500" w:type="pct"/>
            <w:shd w:val="clear" w:color="auto" w:fill="D9D9D9"/>
            <w:vAlign w:val="center"/>
          </w:tcPr>
          <w:p>
            <w:pPr>
              <w:spacing w:line="240" w:lineRule="auto"/>
              <w:jc w:val="center"/>
            </w:pPr>
            <w:r>
              <w:rPr>
                <w:rFonts w:ascii="宋体" w:hAnsi="宋体" w:eastAsia="宋体" w:cs="宋体"/>
                <w:b w:val="0"/>
              </w:rPr>
              <w:t>东方阿尔法精选混合C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-22,046,338.92</w:t>
            </w:r>
          </w:p>
        </w:tc>
        <w:tc>
          <w:tcPr>
            <w:tcW w:w="1500" w:type="pct"/>
            <w:vAlign w:val="center"/>
          </w:tcPr>
          <w:p>
            <w:pPr>
              <w:spacing w:line="240" w:lineRule="auto"/>
              <w:jc w:val="right"/>
            </w:pPr>
            <w:r>
              <w:rPr>
                <w:rFonts w:ascii="宋体" w:hAnsi="宋体" w:eastAsia="宋体" w:cs="宋体"/>
                <w:b w:val="0"/>
              </w:rPr>
              <w:t>-7,092,213.05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-30,935,938.53</w:t>
            </w:r>
          </w:p>
        </w:tc>
        <w:tc>
          <w:tcPr>
            <w:tcW w:w="1500" w:type="pct"/>
            <w:vAlign w:val="center"/>
          </w:tcPr>
          <w:p>
            <w:pPr>
              <w:spacing w:line="240" w:lineRule="auto"/>
              <w:jc w:val="right"/>
            </w:pPr>
            <w:r>
              <w:rPr>
                <w:rFonts w:ascii="宋体" w:hAnsi="宋体" w:eastAsia="宋体" w:cs="宋体"/>
                <w:b w:val="0"/>
              </w:rPr>
              <w:t>-8,695,546.52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-0.2283</w:t>
            </w:r>
          </w:p>
        </w:tc>
        <w:tc>
          <w:tcPr>
            <w:tcW w:w="1500" w:type="pct"/>
            <w:vAlign w:val="center"/>
          </w:tcPr>
          <w:p>
            <w:pPr>
              <w:spacing w:line="240" w:lineRule="auto"/>
              <w:jc w:val="right"/>
            </w:pPr>
            <w:r>
              <w:rPr>
                <w:rFonts w:ascii="宋体" w:hAnsi="宋体" w:eastAsia="宋体" w:cs="宋体"/>
                <w:b w:val="0"/>
              </w:rPr>
              <w:t>-0.2214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100,430,959.90</w:t>
            </w:r>
          </w:p>
        </w:tc>
        <w:tc>
          <w:tcPr>
            <w:tcW w:w="1500" w:type="pct"/>
            <w:vAlign w:val="center"/>
          </w:tcPr>
          <w:p>
            <w:pPr>
              <w:spacing w:line="240" w:lineRule="auto"/>
              <w:jc w:val="right"/>
            </w:pPr>
            <w:r>
              <w:rPr>
                <w:rFonts w:ascii="宋体" w:hAnsi="宋体" w:eastAsia="宋体" w:cs="宋体"/>
                <w:b w:val="0"/>
              </w:rPr>
              <w:t>33,779,746.68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0.7532</w:t>
            </w:r>
          </w:p>
        </w:tc>
        <w:tc>
          <w:tcPr>
            <w:tcW w:w="1500" w:type="pct"/>
            <w:vAlign w:val="center"/>
          </w:tcPr>
          <w:p>
            <w:pPr>
              <w:spacing w:line="240" w:lineRule="auto"/>
              <w:jc w:val="right"/>
            </w:pPr>
            <w:r>
              <w:rPr>
                <w:rFonts w:ascii="宋体" w:hAnsi="宋体" w:eastAsia="宋体" w:cs="宋体"/>
                <w:b w:val="0"/>
              </w:rPr>
              <w:t>0.7236</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东方阿尔法精选混合A净值表现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-23.47%</w:t>
            </w:r>
          </w:p>
        </w:tc>
        <w:tc>
          <w:tcPr>
            <w:tcW w:w="0" w:type="dxa"/>
            <w:vAlign w:val="center"/>
          </w:tcPr>
          <w:p>
            <w:pPr>
              <w:spacing w:line="240" w:lineRule="auto"/>
              <w:jc w:val="right"/>
            </w:pPr>
            <w:r>
              <w:rPr>
                <w:rFonts w:ascii="宋体" w:hAnsi="宋体" w:eastAsia="宋体" w:cs="宋体"/>
                <w:b w:val="0"/>
              </w:rPr>
              <w:t>2.98%</w:t>
            </w:r>
          </w:p>
        </w:tc>
        <w:tc>
          <w:tcPr>
            <w:tcW w:w="0" w:type="dxa"/>
            <w:vAlign w:val="center"/>
          </w:tcPr>
          <w:p>
            <w:pPr>
              <w:spacing w:line="240" w:lineRule="auto"/>
              <w:jc w:val="right"/>
            </w:pPr>
            <w:r>
              <w:rPr>
                <w:rFonts w:ascii="宋体" w:hAnsi="宋体" w:eastAsia="宋体" w:cs="宋体"/>
                <w:b w:val="0"/>
              </w:rPr>
              <w:t>-1.81%</w:t>
            </w:r>
          </w:p>
        </w:tc>
        <w:tc>
          <w:tcPr>
            <w:tcW w:w="0" w:type="dxa"/>
            <w:vAlign w:val="center"/>
          </w:tcPr>
          <w:p>
            <w:pPr>
              <w:spacing w:line="240" w:lineRule="auto"/>
              <w:jc w:val="right"/>
            </w:pPr>
            <w:r>
              <w:rPr>
                <w:rFonts w:ascii="宋体" w:hAnsi="宋体" w:eastAsia="宋体" w:cs="宋体"/>
                <w:b w:val="0"/>
              </w:rPr>
              <w:t>0.62%</w:t>
            </w:r>
          </w:p>
        </w:tc>
        <w:tc>
          <w:tcPr>
            <w:tcW w:w="0" w:type="dxa"/>
            <w:vAlign w:val="center"/>
          </w:tcPr>
          <w:p>
            <w:pPr>
              <w:spacing w:line="240" w:lineRule="auto"/>
              <w:jc w:val="right"/>
            </w:pPr>
            <w:r>
              <w:rPr>
                <w:rFonts w:ascii="宋体" w:hAnsi="宋体" w:eastAsia="宋体" w:cs="宋体"/>
                <w:b w:val="0"/>
              </w:rPr>
              <w:t>-21.66%</w:t>
            </w:r>
          </w:p>
        </w:tc>
        <w:tc>
          <w:tcPr>
            <w:tcW w:w="0" w:type="dxa"/>
            <w:vAlign w:val="center"/>
          </w:tcPr>
          <w:p>
            <w:pPr>
              <w:spacing w:line="240" w:lineRule="auto"/>
              <w:jc w:val="right"/>
            </w:pPr>
            <w:r>
              <w:rPr>
                <w:rFonts w:ascii="宋体" w:hAnsi="宋体" w:eastAsia="宋体" w:cs="宋体"/>
                <w:b w:val="0"/>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-25.62%</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0.59%</w:t>
            </w:r>
          </w:p>
        </w:tc>
        <w:tc>
          <w:tcPr>
            <w:tcW w:w="0" w:type="dxa"/>
            <w:vAlign w:val="center"/>
          </w:tcPr>
          <w:p>
            <w:pPr>
              <w:spacing w:line="240" w:lineRule="auto"/>
              <w:jc w:val="right"/>
            </w:pPr>
            <w:r>
              <w:rPr>
                <w:rFonts w:ascii="宋体" w:hAnsi="宋体" w:eastAsia="宋体" w:cs="宋体"/>
                <w:b w:val="0"/>
              </w:rPr>
              <w:t>-23.10%</w:t>
            </w:r>
          </w:p>
        </w:tc>
        <w:tc>
          <w:tcPr>
            <w:tcW w:w="0" w:type="dxa"/>
            <w:vAlign w:val="center"/>
          </w:tcPr>
          <w:p>
            <w:pPr>
              <w:spacing w:line="240" w:lineRule="auto"/>
              <w:jc w:val="right"/>
            </w:pPr>
            <w:r>
              <w:rPr>
                <w:rFonts w:ascii="宋体" w:hAnsi="宋体" w:eastAsia="宋体" w:cs="宋体"/>
                <w:b w:val="0"/>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-14.11%</w:t>
            </w:r>
          </w:p>
        </w:tc>
        <w:tc>
          <w:tcPr>
            <w:tcW w:w="0" w:type="dxa"/>
            <w:vAlign w:val="center"/>
          </w:tcPr>
          <w:p>
            <w:pPr>
              <w:spacing w:line="240" w:lineRule="auto"/>
              <w:jc w:val="right"/>
            </w:pPr>
            <w:r>
              <w:rPr>
                <w:rFonts w:ascii="宋体" w:hAnsi="宋体" w:eastAsia="宋体" w:cs="宋体"/>
                <w:b w:val="0"/>
              </w:rPr>
              <w:t>1.73%</w:t>
            </w:r>
          </w:p>
        </w:tc>
        <w:tc>
          <w:tcPr>
            <w:tcW w:w="0" w:type="dxa"/>
            <w:vAlign w:val="center"/>
          </w:tcPr>
          <w:p>
            <w:pPr>
              <w:spacing w:line="240" w:lineRule="auto"/>
              <w:jc w:val="right"/>
            </w:pPr>
            <w:r>
              <w:rPr>
                <w:rFonts w:ascii="宋体" w:hAnsi="宋体" w:eastAsia="宋体" w:cs="宋体"/>
                <w:b w:val="0"/>
              </w:rPr>
              <w:t>8.52%</w:t>
            </w:r>
          </w:p>
        </w:tc>
        <w:tc>
          <w:tcPr>
            <w:tcW w:w="0" w:type="dxa"/>
            <w:vAlign w:val="center"/>
          </w:tcPr>
          <w:p>
            <w:pPr>
              <w:spacing w:line="240" w:lineRule="auto"/>
              <w:jc w:val="right"/>
            </w:pPr>
            <w:r>
              <w:rPr>
                <w:rFonts w:ascii="宋体" w:hAnsi="宋体" w:eastAsia="宋体" w:cs="宋体"/>
                <w:b w:val="0"/>
              </w:rPr>
              <w:t>0.62%</w:t>
            </w:r>
          </w:p>
        </w:tc>
        <w:tc>
          <w:tcPr>
            <w:tcW w:w="0" w:type="dxa"/>
            <w:vAlign w:val="center"/>
          </w:tcPr>
          <w:p>
            <w:pPr>
              <w:spacing w:line="240" w:lineRule="auto"/>
              <w:jc w:val="right"/>
            </w:pPr>
            <w:r>
              <w:rPr>
                <w:rFonts w:ascii="宋体" w:hAnsi="宋体" w:eastAsia="宋体" w:cs="宋体"/>
                <w:b w:val="0"/>
              </w:rPr>
              <w:t>-22.63%</w:t>
            </w:r>
          </w:p>
        </w:tc>
        <w:tc>
          <w:tcPr>
            <w:tcW w:w="0" w:type="dxa"/>
            <w:vAlign w:val="center"/>
          </w:tcPr>
          <w:p>
            <w:pPr>
              <w:spacing w:line="240" w:lineRule="auto"/>
              <w:jc w:val="right"/>
            </w:pPr>
            <w:r>
              <w:rPr>
                <w:rFonts w:ascii="宋体" w:hAnsi="宋体" w:eastAsia="宋体" w:cs="宋体"/>
                <w:b w:val="0"/>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-37.13%</w:t>
            </w:r>
          </w:p>
        </w:tc>
        <w:tc>
          <w:tcPr>
            <w:tcW w:w="0" w:type="dxa"/>
            <w:vAlign w:val="center"/>
          </w:tcPr>
          <w:p>
            <w:pPr>
              <w:spacing w:line="240" w:lineRule="auto"/>
              <w:jc w:val="right"/>
            </w:pPr>
            <w:r>
              <w:rPr>
                <w:rFonts w:ascii="宋体" w:hAnsi="宋体" w:eastAsia="宋体" w:cs="宋体"/>
                <w:b w:val="0"/>
              </w:rPr>
              <w:t>1.89%</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0.64%</w:t>
            </w:r>
          </w:p>
        </w:tc>
        <w:tc>
          <w:tcPr>
            <w:tcW w:w="0" w:type="dxa"/>
            <w:vAlign w:val="center"/>
          </w:tcPr>
          <w:p>
            <w:pPr>
              <w:spacing w:line="240" w:lineRule="auto"/>
              <w:jc w:val="right"/>
            </w:pPr>
            <w:r>
              <w:rPr>
                <w:rFonts w:ascii="宋体" w:hAnsi="宋体" w:eastAsia="宋体" w:cs="宋体"/>
                <w:b w:val="0"/>
              </w:rPr>
              <w:t>-52.74%</w:t>
            </w:r>
          </w:p>
        </w:tc>
        <w:tc>
          <w:tcPr>
            <w:tcW w:w="0" w:type="dxa"/>
            <w:vAlign w:val="center"/>
          </w:tcPr>
          <w:p>
            <w:pPr>
              <w:spacing w:line="240" w:lineRule="auto"/>
              <w:jc w:val="right"/>
            </w:pPr>
            <w:r>
              <w:rPr>
                <w:rFonts w:ascii="宋体" w:hAnsi="宋体" w:eastAsia="宋体" w:cs="宋体"/>
                <w:b w:val="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-39.99%</w:t>
            </w:r>
          </w:p>
        </w:tc>
        <w:tc>
          <w:tcPr>
            <w:tcW w:w="0" w:type="dxa"/>
            <w:vAlign w:val="center"/>
          </w:tcPr>
          <w:p>
            <w:pPr>
              <w:spacing w:line="240" w:lineRule="auto"/>
              <w:jc w:val="right"/>
            </w:pPr>
            <w:r>
              <w:rPr>
                <w:rFonts w:ascii="宋体" w:hAnsi="宋体" w:eastAsia="宋体" w:cs="宋体"/>
                <w:b w:val="0"/>
              </w:rPr>
              <w:t>1.83%</w:t>
            </w:r>
          </w:p>
        </w:tc>
        <w:tc>
          <w:tcPr>
            <w:tcW w:w="0" w:type="dxa"/>
            <w:vAlign w:val="center"/>
          </w:tcPr>
          <w:p>
            <w:pPr>
              <w:spacing w:line="240" w:lineRule="auto"/>
              <w:jc w:val="right"/>
            </w:pPr>
            <w:r>
              <w:rPr>
                <w:rFonts w:ascii="宋体" w:hAnsi="宋体" w:eastAsia="宋体" w:cs="宋体"/>
                <w:b w:val="0"/>
              </w:rPr>
              <w:t>3.84%</w:t>
            </w:r>
          </w:p>
        </w:tc>
        <w:tc>
          <w:tcPr>
            <w:tcW w:w="0" w:type="dxa"/>
            <w:vAlign w:val="center"/>
          </w:tcPr>
          <w:p>
            <w:pPr>
              <w:spacing w:line="240" w:lineRule="auto"/>
              <w:jc w:val="right"/>
            </w:pPr>
            <w:r>
              <w:rPr>
                <w:rFonts w:ascii="宋体" w:hAnsi="宋体" w:eastAsia="宋体" w:cs="宋体"/>
                <w:b w:val="0"/>
              </w:rPr>
              <w:t>0.68%</w:t>
            </w:r>
          </w:p>
        </w:tc>
        <w:tc>
          <w:tcPr>
            <w:tcW w:w="0" w:type="dxa"/>
            <w:vAlign w:val="center"/>
          </w:tcPr>
          <w:p>
            <w:pPr>
              <w:spacing w:line="240" w:lineRule="auto"/>
              <w:jc w:val="right"/>
            </w:pPr>
            <w:r>
              <w:rPr>
                <w:rFonts w:ascii="宋体" w:hAnsi="宋体" w:eastAsia="宋体" w:cs="宋体"/>
                <w:b w:val="0"/>
              </w:rPr>
              <w:t>-43.83%</w:t>
            </w:r>
          </w:p>
        </w:tc>
        <w:tc>
          <w:tcPr>
            <w:tcW w:w="0" w:type="dxa"/>
            <w:vAlign w:val="center"/>
          </w:tcPr>
          <w:p>
            <w:pPr>
              <w:spacing w:line="240" w:lineRule="auto"/>
              <w:jc w:val="right"/>
            </w:pPr>
            <w:r>
              <w:rPr>
                <w:rFonts w:ascii="宋体" w:hAnsi="宋体" w:eastAsia="宋体" w:cs="宋体"/>
                <w:b w:val="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-24.68%</w:t>
            </w:r>
          </w:p>
        </w:tc>
        <w:tc>
          <w:tcPr>
            <w:tcW w:w="0" w:type="dxa"/>
            <w:vAlign w:val="center"/>
          </w:tcPr>
          <w:p>
            <w:pPr>
              <w:spacing w:line="240" w:lineRule="auto"/>
              <w:jc w:val="right"/>
            </w:pPr>
            <w:r>
              <w:rPr>
                <w:rFonts w:ascii="宋体" w:hAnsi="宋体" w:eastAsia="宋体" w:cs="宋体"/>
                <w:b w:val="0"/>
              </w:rPr>
              <w:t>1.69%</w:t>
            </w:r>
          </w:p>
        </w:tc>
        <w:tc>
          <w:tcPr>
            <w:tcW w:w="0" w:type="dxa"/>
            <w:vAlign w:val="center"/>
          </w:tcPr>
          <w:p>
            <w:pPr>
              <w:spacing w:line="240" w:lineRule="auto"/>
              <w:jc w:val="right"/>
            </w:pPr>
            <w:r>
              <w:rPr>
                <w:rFonts w:ascii="宋体" w:hAnsi="宋体" w:eastAsia="宋体" w:cs="宋体"/>
                <w:b w:val="0"/>
              </w:rPr>
              <w:t>21.63%</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-46.31%</w:t>
            </w:r>
          </w:p>
        </w:tc>
        <w:tc>
          <w:tcPr>
            <w:tcW w:w="0" w:type="dxa"/>
            <w:vAlign w:val="center"/>
          </w:tcPr>
          <w:p>
            <w:pPr>
              <w:spacing w:line="240" w:lineRule="auto"/>
              <w:jc w:val="right"/>
            </w:pPr>
            <w:r>
              <w:rPr>
                <w:rFonts w:ascii="宋体" w:hAnsi="宋体" w:eastAsia="宋体" w:cs="宋体"/>
                <w:b w:val="0"/>
              </w:rPr>
              <w:t>0.99%</w:t>
            </w:r>
          </w:p>
        </w:tc>
      </w:tr>
    </w:tbl>
    <w:p>
      <w:pPr>
        <w:jc w:val="left"/>
      </w:pPr>
      <w:r>
        <w:rPr>
          <w:rFonts w:ascii="宋体" w:hAnsi="宋体" w:eastAsia="宋体" w:cs="宋体"/>
          <w:b/>
        </w:rPr>
        <w:t>东方阿尔法精选混合C净值表现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-23.57%</w:t>
            </w:r>
          </w:p>
        </w:tc>
        <w:tc>
          <w:tcPr>
            <w:tcW w:w="0" w:type="dxa"/>
            <w:vAlign w:val="center"/>
          </w:tcPr>
          <w:p>
            <w:pPr>
              <w:spacing w:line="240" w:lineRule="auto"/>
              <w:jc w:val="right"/>
            </w:pPr>
            <w:r>
              <w:rPr>
                <w:rFonts w:ascii="宋体" w:hAnsi="宋体" w:eastAsia="宋体" w:cs="宋体"/>
                <w:b w:val="0"/>
              </w:rPr>
              <w:t>2.98%</w:t>
            </w:r>
          </w:p>
        </w:tc>
        <w:tc>
          <w:tcPr>
            <w:tcW w:w="0" w:type="dxa"/>
            <w:vAlign w:val="center"/>
          </w:tcPr>
          <w:p>
            <w:pPr>
              <w:spacing w:line="240" w:lineRule="auto"/>
              <w:jc w:val="right"/>
            </w:pPr>
            <w:r>
              <w:rPr>
                <w:rFonts w:ascii="宋体" w:hAnsi="宋体" w:eastAsia="宋体" w:cs="宋体"/>
                <w:b w:val="0"/>
              </w:rPr>
              <w:t>-1.81%</w:t>
            </w:r>
          </w:p>
        </w:tc>
        <w:tc>
          <w:tcPr>
            <w:tcW w:w="0" w:type="dxa"/>
            <w:vAlign w:val="center"/>
          </w:tcPr>
          <w:p>
            <w:pPr>
              <w:spacing w:line="240" w:lineRule="auto"/>
              <w:jc w:val="right"/>
            </w:pPr>
            <w:r>
              <w:rPr>
                <w:rFonts w:ascii="宋体" w:hAnsi="宋体" w:eastAsia="宋体" w:cs="宋体"/>
                <w:b w:val="0"/>
              </w:rPr>
              <w:t>0.62%</w:t>
            </w:r>
          </w:p>
        </w:tc>
        <w:tc>
          <w:tcPr>
            <w:tcW w:w="0" w:type="dxa"/>
            <w:vAlign w:val="center"/>
          </w:tcPr>
          <w:p>
            <w:pPr>
              <w:spacing w:line="240" w:lineRule="auto"/>
              <w:jc w:val="right"/>
            </w:pPr>
            <w:r>
              <w:rPr>
                <w:rFonts w:ascii="宋体" w:hAnsi="宋体" w:eastAsia="宋体" w:cs="宋体"/>
                <w:b w:val="0"/>
              </w:rPr>
              <w:t>-21.76%</w:t>
            </w:r>
          </w:p>
        </w:tc>
        <w:tc>
          <w:tcPr>
            <w:tcW w:w="0" w:type="dxa"/>
            <w:vAlign w:val="center"/>
          </w:tcPr>
          <w:p>
            <w:pPr>
              <w:spacing w:line="240" w:lineRule="auto"/>
              <w:jc w:val="right"/>
            </w:pPr>
            <w:r>
              <w:rPr>
                <w:rFonts w:ascii="宋体" w:hAnsi="宋体" w:eastAsia="宋体" w:cs="宋体"/>
                <w:b w:val="0"/>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-25.81%</w:t>
            </w:r>
          </w:p>
        </w:tc>
        <w:tc>
          <w:tcPr>
            <w:tcW w:w="0" w:type="dxa"/>
            <w:vAlign w:val="center"/>
          </w:tcPr>
          <w:p>
            <w:pPr>
              <w:spacing w:line="240" w:lineRule="auto"/>
              <w:jc w:val="right"/>
            </w:pPr>
            <w:r>
              <w:rPr>
                <w:rFonts w:ascii="宋体" w:hAnsi="宋体" w:eastAsia="宋体" w:cs="宋体"/>
                <w:b w:val="0"/>
              </w:rPr>
              <w:t>2.15%</w:t>
            </w:r>
          </w:p>
        </w:tc>
        <w:tc>
          <w:tcPr>
            <w:tcW w:w="0" w:type="dxa"/>
            <w:vAlign w:val="center"/>
          </w:tcPr>
          <w:p>
            <w:pPr>
              <w:spacing w:line="240" w:lineRule="auto"/>
              <w:jc w:val="right"/>
            </w:pPr>
            <w:r>
              <w:rPr>
                <w:rFonts w:ascii="宋体" w:hAnsi="宋体" w:eastAsia="宋体" w:cs="宋体"/>
                <w:b w:val="0"/>
              </w:rPr>
              <w:t>-2.52%</w:t>
            </w:r>
          </w:p>
        </w:tc>
        <w:tc>
          <w:tcPr>
            <w:tcW w:w="0" w:type="dxa"/>
            <w:vAlign w:val="center"/>
          </w:tcPr>
          <w:p>
            <w:pPr>
              <w:spacing w:line="240" w:lineRule="auto"/>
              <w:jc w:val="right"/>
            </w:pPr>
            <w:r>
              <w:rPr>
                <w:rFonts w:ascii="宋体" w:hAnsi="宋体" w:eastAsia="宋体" w:cs="宋体"/>
                <w:b w:val="0"/>
              </w:rPr>
              <w:t>0.59%</w:t>
            </w:r>
          </w:p>
        </w:tc>
        <w:tc>
          <w:tcPr>
            <w:tcW w:w="0" w:type="dxa"/>
            <w:vAlign w:val="center"/>
          </w:tcPr>
          <w:p>
            <w:pPr>
              <w:spacing w:line="240" w:lineRule="auto"/>
              <w:jc w:val="right"/>
            </w:pPr>
            <w:r>
              <w:rPr>
                <w:rFonts w:ascii="宋体" w:hAnsi="宋体" w:eastAsia="宋体" w:cs="宋体"/>
                <w:b w:val="0"/>
              </w:rPr>
              <w:t>-23.29%</w:t>
            </w:r>
          </w:p>
        </w:tc>
        <w:tc>
          <w:tcPr>
            <w:tcW w:w="0" w:type="dxa"/>
            <w:vAlign w:val="center"/>
          </w:tcPr>
          <w:p>
            <w:pPr>
              <w:spacing w:line="240" w:lineRule="auto"/>
              <w:jc w:val="right"/>
            </w:pPr>
            <w:r>
              <w:rPr>
                <w:rFonts w:ascii="宋体" w:hAnsi="宋体" w:eastAsia="宋体" w:cs="宋体"/>
                <w:b w:val="0"/>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-14.49%</w:t>
            </w:r>
          </w:p>
        </w:tc>
        <w:tc>
          <w:tcPr>
            <w:tcW w:w="0" w:type="dxa"/>
            <w:vAlign w:val="center"/>
          </w:tcPr>
          <w:p>
            <w:pPr>
              <w:spacing w:line="240" w:lineRule="auto"/>
              <w:jc w:val="right"/>
            </w:pPr>
            <w:r>
              <w:rPr>
                <w:rFonts w:ascii="宋体" w:hAnsi="宋体" w:eastAsia="宋体" w:cs="宋体"/>
                <w:b w:val="0"/>
              </w:rPr>
              <w:t>1.73%</w:t>
            </w:r>
          </w:p>
        </w:tc>
        <w:tc>
          <w:tcPr>
            <w:tcW w:w="0" w:type="dxa"/>
            <w:vAlign w:val="center"/>
          </w:tcPr>
          <w:p>
            <w:pPr>
              <w:spacing w:line="240" w:lineRule="auto"/>
              <w:jc w:val="right"/>
            </w:pPr>
            <w:r>
              <w:rPr>
                <w:rFonts w:ascii="宋体" w:hAnsi="宋体" w:eastAsia="宋体" w:cs="宋体"/>
                <w:b w:val="0"/>
              </w:rPr>
              <w:t>8.52%</w:t>
            </w:r>
          </w:p>
        </w:tc>
        <w:tc>
          <w:tcPr>
            <w:tcW w:w="0" w:type="dxa"/>
            <w:vAlign w:val="center"/>
          </w:tcPr>
          <w:p>
            <w:pPr>
              <w:spacing w:line="240" w:lineRule="auto"/>
              <w:jc w:val="right"/>
            </w:pPr>
            <w:r>
              <w:rPr>
                <w:rFonts w:ascii="宋体" w:hAnsi="宋体" w:eastAsia="宋体" w:cs="宋体"/>
                <w:b w:val="0"/>
              </w:rPr>
              <w:t>0.62%</w:t>
            </w:r>
          </w:p>
        </w:tc>
        <w:tc>
          <w:tcPr>
            <w:tcW w:w="0" w:type="dxa"/>
            <w:vAlign w:val="center"/>
          </w:tcPr>
          <w:p>
            <w:pPr>
              <w:spacing w:line="240" w:lineRule="auto"/>
              <w:jc w:val="right"/>
            </w:pPr>
            <w:r>
              <w:rPr>
                <w:rFonts w:ascii="宋体" w:hAnsi="宋体" w:eastAsia="宋体" w:cs="宋体"/>
                <w:b w:val="0"/>
              </w:rPr>
              <w:t>-23.01%</w:t>
            </w:r>
          </w:p>
        </w:tc>
        <w:tc>
          <w:tcPr>
            <w:tcW w:w="0" w:type="dxa"/>
            <w:vAlign w:val="center"/>
          </w:tcPr>
          <w:p>
            <w:pPr>
              <w:spacing w:line="240" w:lineRule="auto"/>
              <w:jc w:val="right"/>
            </w:pPr>
            <w:r>
              <w:rPr>
                <w:rFonts w:ascii="宋体" w:hAnsi="宋体" w:eastAsia="宋体" w:cs="宋体"/>
                <w:b w:val="0"/>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-38.03%</w:t>
            </w:r>
          </w:p>
        </w:tc>
        <w:tc>
          <w:tcPr>
            <w:tcW w:w="0" w:type="dxa"/>
            <w:vAlign w:val="center"/>
          </w:tcPr>
          <w:p>
            <w:pPr>
              <w:spacing w:line="240" w:lineRule="auto"/>
              <w:jc w:val="right"/>
            </w:pPr>
            <w:r>
              <w:rPr>
                <w:rFonts w:ascii="宋体" w:hAnsi="宋体" w:eastAsia="宋体" w:cs="宋体"/>
                <w:b w:val="0"/>
              </w:rPr>
              <w:t>1.89%</w:t>
            </w:r>
          </w:p>
        </w:tc>
        <w:tc>
          <w:tcPr>
            <w:tcW w:w="0" w:type="dxa"/>
            <w:vAlign w:val="center"/>
          </w:tcPr>
          <w:p>
            <w:pPr>
              <w:spacing w:line="240" w:lineRule="auto"/>
              <w:jc w:val="right"/>
            </w:pPr>
            <w:r>
              <w:rPr>
                <w:rFonts w:ascii="宋体" w:hAnsi="宋体" w:eastAsia="宋体" w:cs="宋体"/>
                <w:b w:val="0"/>
              </w:rPr>
              <w:t>15.61%</w:t>
            </w:r>
          </w:p>
        </w:tc>
        <w:tc>
          <w:tcPr>
            <w:tcW w:w="0" w:type="dxa"/>
            <w:vAlign w:val="center"/>
          </w:tcPr>
          <w:p>
            <w:pPr>
              <w:spacing w:line="240" w:lineRule="auto"/>
              <w:jc w:val="right"/>
            </w:pPr>
            <w:r>
              <w:rPr>
                <w:rFonts w:ascii="宋体" w:hAnsi="宋体" w:eastAsia="宋体" w:cs="宋体"/>
                <w:b w:val="0"/>
              </w:rPr>
              <w:t>0.64%</w:t>
            </w:r>
          </w:p>
        </w:tc>
        <w:tc>
          <w:tcPr>
            <w:tcW w:w="0" w:type="dxa"/>
            <w:vAlign w:val="center"/>
          </w:tcPr>
          <w:p>
            <w:pPr>
              <w:spacing w:line="240" w:lineRule="auto"/>
              <w:jc w:val="right"/>
            </w:pPr>
            <w:r>
              <w:rPr>
                <w:rFonts w:ascii="宋体" w:hAnsi="宋体" w:eastAsia="宋体" w:cs="宋体"/>
                <w:b w:val="0"/>
              </w:rPr>
              <w:t>-53.64%</w:t>
            </w:r>
          </w:p>
        </w:tc>
        <w:tc>
          <w:tcPr>
            <w:tcW w:w="0" w:type="dxa"/>
            <w:vAlign w:val="center"/>
          </w:tcPr>
          <w:p>
            <w:pPr>
              <w:spacing w:line="240" w:lineRule="auto"/>
              <w:jc w:val="right"/>
            </w:pPr>
            <w:r>
              <w:rPr>
                <w:rFonts w:ascii="宋体" w:hAnsi="宋体" w:eastAsia="宋体" w:cs="宋体"/>
                <w:b w:val="0"/>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-41.43%</w:t>
            </w:r>
          </w:p>
        </w:tc>
        <w:tc>
          <w:tcPr>
            <w:tcW w:w="0" w:type="dxa"/>
            <w:vAlign w:val="center"/>
          </w:tcPr>
          <w:p>
            <w:pPr>
              <w:spacing w:line="240" w:lineRule="auto"/>
              <w:jc w:val="right"/>
            </w:pPr>
            <w:r>
              <w:rPr>
                <w:rFonts w:ascii="宋体" w:hAnsi="宋体" w:eastAsia="宋体" w:cs="宋体"/>
                <w:b w:val="0"/>
              </w:rPr>
              <w:t>1.83%</w:t>
            </w:r>
          </w:p>
        </w:tc>
        <w:tc>
          <w:tcPr>
            <w:tcW w:w="0" w:type="dxa"/>
            <w:vAlign w:val="center"/>
          </w:tcPr>
          <w:p>
            <w:pPr>
              <w:spacing w:line="240" w:lineRule="auto"/>
              <w:jc w:val="right"/>
            </w:pPr>
            <w:r>
              <w:rPr>
                <w:rFonts w:ascii="宋体" w:hAnsi="宋体" w:eastAsia="宋体" w:cs="宋体"/>
                <w:b w:val="0"/>
              </w:rPr>
              <w:t>3.84%</w:t>
            </w:r>
          </w:p>
        </w:tc>
        <w:tc>
          <w:tcPr>
            <w:tcW w:w="0" w:type="dxa"/>
            <w:vAlign w:val="center"/>
          </w:tcPr>
          <w:p>
            <w:pPr>
              <w:spacing w:line="240" w:lineRule="auto"/>
              <w:jc w:val="right"/>
            </w:pPr>
            <w:r>
              <w:rPr>
                <w:rFonts w:ascii="宋体" w:hAnsi="宋体" w:eastAsia="宋体" w:cs="宋体"/>
                <w:b w:val="0"/>
              </w:rPr>
              <w:t>0.68%</w:t>
            </w:r>
          </w:p>
        </w:tc>
        <w:tc>
          <w:tcPr>
            <w:tcW w:w="0" w:type="dxa"/>
            <w:vAlign w:val="center"/>
          </w:tcPr>
          <w:p>
            <w:pPr>
              <w:spacing w:line="240" w:lineRule="auto"/>
              <w:jc w:val="right"/>
            </w:pPr>
            <w:r>
              <w:rPr>
                <w:rFonts w:ascii="宋体" w:hAnsi="宋体" w:eastAsia="宋体" w:cs="宋体"/>
                <w:b w:val="0"/>
              </w:rPr>
              <w:t>-45.27%</w:t>
            </w:r>
          </w:p>
        </w:tc>
        <w:tc>
          <w:tcPr>
            <w:tcW w:w="0" w:type="dxa"/>
            <w:vAlign w:val="center"/>
          </w:tcPr>
          <w:p>
            <w:pPr>
              <w:spacing w:line="240" w:lineRule="auto"/>
              <w:jc w:val="right"/>
            </w:pPr>
            <w:r>
              <w:rPr>
                <w:rFonts w:ascii="宋体" w:hAnsi="宋体" w:eastAsia="宋体" w:cs="宋体"/>
                <w:b w:val="0"/>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-27.64%</w:t>
            </w:r>
          </w:p>
        </w:tc>
        <w:tc>
          <w:tcPr>
            <w:tcW w:w="0" w:type="dxa"/>
            <w:vAlign w:val="center"/>
          </w:tcPr>
          <w:p>
            <w:pPr>
              <w:spacing w:line="240" w:lineRule="auto"/>
              <w:jc w:val="right"/>
            </w:pPr>
            <w:r>
              <w:rPr>
                <w:rFonts w:ascii="宋体" w:hAnsi="宋体" w:eastAsia="宋体" w:cs="宋体"/>
                <w:b w:val="0"/>
              </w:rPr>
              <w:t>1.69%</w:t>
            </w:r>
          </w:p>
        </w:tc>
        <w:tc>
          <w:tcPr>
            <w:tcW w:w="0" w:type="dxa"/>
            <w:vAlign w:val="center"/>
          </w:tcPr>
          <w:p>
            <w:pPr>
              <w:spacing w:line="240" w:lineRule="auto"/>
              <w:jc w:val="right"/>
            </w:pPr>
            <w:r>
              <w:rPr>
                <w:rFonts w:ascii="宋体" w:hAnsi="宋体" w:eastAsia="宋体" w:cs="宋体"/>
                <w:b w:val="0"/>
              </w:rPr>
              <w:t>21.63%</w:t>
            </w:r>
          </w:p>
        </w:tc>
        <w:tc>
          <w:tcPr>
            <w:tcW w:w="0" w:type="dxa"/>
            <w:vAlign w:val="center"/>
          </w:tcPr>
          <w:p>
            <w:pPr>
              <w:spacing w:line="240" w:lineRule="auto"/>
              <w:jc w:val="right"/>
            </w:pPr>
            <w:r>
              <w:rPr>
                <w:rFonts w:ascii="宋体" w:hAnsi="宋体" w:eastAsia="宋体" w:cs="宋体"/>
                <w:b w:val="0"/>
              </w:rPr>
              <w:t>0.70%</w:t>
            </w:r>
          </w:p>
        </w:tc>
        <w:tc>
          <w:tcPr>
            <w:tcW w:w="0" w:type="dxa"/>
            <w:vAlign w:val="center"/>
          </w:tcPr>
          <w:p>
            <w:pPr>
              <w:spacing w:line="240" w:lineRule="auto"/>
              <w:jc w:val="right"/>
            </w:pPr>
            <w:r>
              <w:rPr>
                <w:rFonts w:ascii="宋体" w:hAnsi="宋体" w:eastAsia="宋体" w:cs="宋体"/>
                <w:b w:val="0"/>
              </w:rPr>
              <w:t>-49.27%</w:t>
            </w:r>
          </w:p>
        </w:tc>
        <w:tc>
          <w:tcPr>
            <w:tcW w:w="0" w:type="dxa"/>
            <w:vAlign w:val="center"/>
          </w:tcPr>
          <w:p>
            <w:pPr>
              <w:spacing w:line="240" w:lineRule="auto"/>
              <w:jc w:val="right"/>
            </w:pPr>
            <w:r>
              <w:rPr>
                <w:rFonts w:ascii="宋体" w:hAnsi="宋体" w:eastAsia="宋体" w:cs="宋体"/>
                <w:b w:val="0"/>
              </w:rPr>
              <w:t>0.99%</w:t>
            </w:r>
          </w:p>
        </w:tc>
      </w:tr>
    </w:tbl>
    <w:p>
      <w:r>
        <w:rPr>
          <w:rFonts w:ascii="宋体" w:hAnsi="宋体" w:eastAsia="宋体" w:cs="宋体"/>
          <w:b w:val="0"/>
        </w:rPr>
        <w:t>注：本基金业绩比较基准为：沪深300指数收益率×40%+中证综合债券指数收益率×40%+恒生指数收益率×20%</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吴秋松</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2025-04-07</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10年</w:t>
            </w:r>
          </w:p>
        </w:tc>
        <w:tc>
          <w:tcPr>
            <w:tcW w:w="0" w:type="dxa"/>
            <w:vAlign w:val="center"/>
          </w:tcPr>
          <w:p>
            <w:pPr>
              <w:spacing w:line="240" w:lineRule="auto"/>
              <w:jc w:val="left"/>
            </w:pPr>
            <w:r>
              <w:rPr>
                <w:rFonts w:ascii="宋体" w:hAnsi="宋体" w:eastAsia="宋体" w:cs="宋体"/>
                <w:b w:val="0"/>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2026-03-05</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16年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进入2026年，全球经济步入复苏周期，中国经济呈现“温和复苏”态势。全国两会胜利召开，我国2026年继续设定中高速增长目标，为全年各项工作筑牢坚实托底支撑。两会同时明确，未来经济发展将更多依靠“新质生产力”，AI产业正是新质生产力的核心板块之一。英伟达在GTC大会上明确看好AI基础设施，预计2027年将有1万亿美元确定性需求；近期英伟达战略投资 Marvell、Lumentum、Coherent等公司，旨在锁定上游关键产能，保障自身 AI 工厂建设。</w:t>
      </w:r>
      <w:r>
        <w:rPr>
          <w:rFonts w:ascii="宋体" w:hAnsi="宋体" w:eastAsia="宋体" w:cs="宋体"/>
          <w:b w:val="0"/>
        </w:rPr>
        <w:br w:type="textWrapping"/>
      </w:r>
      <w:r>
        <w:rPr>
          <w:rFonts w:ascii="宋体" w:hAnsi="宋体" w:eastAsia="宋体" w:cs="宋体"/>
          <w:b w:val="0"/>
        </w:rPr>
        <w:t xml:space="preserve">    在北美各大云厂商以及国内以字节、阿里为代表的互联网大厂持续上调未来三年资本开支的背景下，AI产业的高景气度得到进一步验证。2026年春节前后，OpenClaw彻底出圈，AI领域诞生了一款真正贴合市场需求的Agent产品：它可像人类一样操作电脑底层功能，结合AI大模型提供远超以往的数字助理服务，成为贴合市场需求的标杆性AI应用。受其带动，我国大模型调用量实现迅猛增长，4月份日均Token调用量达140万亿，较2025年初增长140倍，我国已超越美国成为全球第一大AI需求国。与此同时，国产大模型凭借全球最低的Token单价，实现了不逊于全球顶尖大模型的性能，全球对中国大模型的调用需求持续膨胀，这也对国内大模型厂商的算力供给形成较大压力，侧面反映出AI算力需求的旺盛程度。</w:t>
      </w:r>
      <w:r>
        <w:rPr>
          <w:rFonts w:ascii="宋体" w:hAnsi="宋体" w:eastAsia="宋体" w:cs="宋体"/>
          <w:b w:val="0"/>
        </w:rPr>
        <w:br w:type="textWrapping"/>
      </w:r>
      <w:r>
        <w:rPr>
          <w:rFonts w:ascii="宋体" w:hAnsi="宋体" w:eastAsia="宋体" w:cs="宋体"/>
          <w:b w:val="0"/>
        </w:rPr>
        <w:t xml:space="preserve">    在Token需求飞速增长的态势下，AI应用与AI基础设施的迫切性进一步凸显。以H100 算力卡租赁价格为例，从2025年10月的1.7美元/小时，上涨至2026年3月的2.35 美元/小时，5个月累计涨幅约40%，且2026年一季度环比涨幅达25%-30%。当前算力卡仍一卡难求，进一步推高算力租赁价格，能否稳定获取算力卡已成为算力租赁公司的核心竞争优势之一。</w:t>
      </w:r>
      <w:r>
        <w:rPr>
          <w:rFonts w:ascii="宋体" w:hAnsi="宋体" w:eastAsia="宋体" w:cs="宋体"/>
          <w:b w:val="0"/>
        </w:rPr>
        <w:br w:type="textWrapping"/>
      </w:r>
      <w:r>
        <w:rPr>
          <w:rFonts w:ascii="宋体" w:hAnsi="宋体" w:eastAsia="宋体" w:cs="宋体"/>
          <w:b w:val="0"/>
        </w:rPr>
        <w:t xml:space="preserve">    本基金将持续看好AI应用及AI基础设施相关标的。我们认为，AI产业的迅猛发展，或将带动AI应用的爆发式增长，同时推动为AI发展提供支撑的AI基础设施实现规模化发展。本基金将持续深挖AI产业链核心增长点，严谨筛选优质标的，力争为广大投资者把握AI产业浪潮带来的投资机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精选混合A基金份额净值为0.7532元，本报告期内，该类基金份额净值增长率为-23.47%，同期业绩比较基准收益率为-1.81%；截至报告期末东方阿尔法精选混合C基金份额净值为0.7236元，本报告期内，该类基金份额净值增长率为-23.57%，同期业绩比较基准收益率为-1.81%。</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126,128,651.81</w:t>
            </w:r>
          </w:p>
        </w:tc>
        <w:tc>
          <w:tcPr>
            <w:tcW w:w="0" w:type="dxa"/>
            <w:vAlign w:val="center"/>
          </w:tcPr>
          <w:p>
            <w:pPr>
              <w:spacing w:line="240" w:lineRule="auto"/>
              <w:jc w:val="right"/>
            </w:pPr>
            <w:r>
              <w:rPr>
                <w:rFonts w:ascii="宋体" w:hAnsi="宋体" w:eastAsia="宋体" w:cs="宋体"/>
                <w:b w:val="0"/>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126,128,651.81</w:t>
            </w:r>
          </w:p>
        </w:tc>
        <w:tc>
          <w:tcPr>
            <w:tcW w:w="0" w:type="dxa"/>
            <w:vAlign w:val="center"/>
          </w:tcPr>
          <w:p>
            <w:pPr>
              <w:spacing w:line="240" w:lineRule="auto"/>
              <w:jc w:val="right"/>
            </w:pPr>
            <w:r>
              <w:rPr>
                <w:rFonts w:ascii="宋体" w:hAnsi="宋体" w:eastAsia="宋体" w:cs="宋体"/>
                <w:b w:val="0"/>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7,758,148.71</w:t>
            </w:r>
          </w:p>
        </w:tc>
        <w:tc>
          <w:tcPr>
            <w:tcW w:w="0" w:type="dxa"/>
            <w:vAlign w:val="center"/>
          </w:tcPr>
          <w:p>
            <w:pPr>
              <w:spacing w:line="240" w:lineRule="auto"/>
              <w:jc w:val="right"/>
            </w:pPr>
            <w:r>
              <w:rPr>
                <w:rFonts w:ascii="宋体" w:hAnsi="宋体" w:eastAsia="宋体" w:cs="宋体"/>
                <w:b w:val="0"/>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7,758,148.71</w:t>
            </w:r>
          </w:p>
        </w:tc>
        <w:tc>
          <w:tcPr>
            <w:tcW w:w="0" w:type="dxa"/>
            <w:vAlign w:val="center"/>
          </w:tcPr>
          <w:p>
            <w:pPr>
              <w:spacing w:line="240" w:lineRule="auto"/>
              <w:jc w:val="right"/>
            </w:pPr>
            <w:r>
              <w:rPr>
                <w:rFonts w:ascii="宋体" w:hAnsi="宋体" w:eastAsia="宋体" w:cs="宋体"/>
                <w:b w:val="0"/>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4,774,991.98</w:t>
            </w:r>
          </w:p>
        </w:tc>
        <w:tc>
          <w:tcPr>
            <w:tcW w:w="0" w:type="dxa"/>
            <w:vAlign w:val="center"/>
          </w:tcPr>
          <w:p>
            <w:pPr>
              <w:spacing w:line="240" w:lineRule="auto"/>
              <w:jc w:val="right"/>
            </w:pPr>
            <w:r>
              <w:rPr>
                <w:rFonts w:ascii="宋体" w:hAnsi="宋体" w:eastAsia="宋体" w:cs="宋体"/>
                <w:b w:val="0"/>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1,099,876.30</w:t>
            </w:r>
          </w:p>
        </w:tc>
        <w:tc>
          <w:tcPr>
            <w:tcW w:w="0" w:type="dxa"/>
            <w:vAlign w:val="center"/>
          </w:tcPr>
          <w:p>
            <w:pPr>
              <w:spacing w:line="240" w:lineRule="auto"/>
              <w:jc w:val="right"/>
            </w:pPr>
            <w:r>
              <w:rPr>
                <w:rFonts w:ascii="宋体" w:hAnsi="宋体" w:eastAsia="宋体" w:cs="宋体"/>
                <w:b w:val="0"/>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139,761,668.80</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53,499.82</w:t>
            </w:r>
          </w:p>
        </w:tc>
        <w:tc>
          <w:tcPr>
            <w:tcW w:w="0" w:type="dxa"/>
            <w:vAlign w:val="center"/>
          </w:tcPr>
          <w:p>
            <w:pPr>
              <w:spacing w:line="240" w:lineRule="auto"/>
              <w:jc w:val="right"/>
            </w:pPr>
            <w:r>
              <w:rPr>
                <w:rFonts w:ascii="宋体" w:hAnsi="宋体" w:eastAsia="宋体" w:cs="宋体"/>
                <w:b w:val="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35,529,309.11</w:t>
            </w:r>
          </w:p>
        </w:tc>
        <w:tc>
          <w:tcPr>
            <w:tcW w:w="0" w:type="dxa"/>
            <w:vAlign w:val="center"/>
          </w:tcPr>
          <w:p>
            <w:pPr>
              <w:spacing w:line="240" w:lineRule="auto"/>
              <w:jc w:val="right"/>
            </w:pPr>
            <w:r>
              <w:rPr>
                <w:rFonts w:ascii="宋体" w:hAnsi="宋体" w:eastAsia="宋体" w:cs="宋体"/>
                <w:b w:val="0"/>
              </w:rPr>
              <w:t>26.47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6,604,303.00</w:t>
            </w:r>
          </w:p>
        </w:tc>
        <w:tc>
          <w:tcPr>
            <w:tcW w:w="0" w:type="dxa"/>
            <w:vAlign w:val="center"/>
          </w:tcPr>
          <w:p>
            <w:pPr>
              <w:spacing w:line="240" w:lineRule="auto"/>
              <w:jc w:val="right"/>
            </w:pPr>
            <w:r>
              <w:rPr>
                <w:rFonts w:ascii="宋体" w:hAnsi="宋体" w:eastAsia="宋体" w:cs="宋体"/>
                <w:b w:val="0"/>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75,666,991.88</w:t>
            </w:r>
          </w:p>
        </w:tc>
        <w:tc>
          <w:tcPr>
            <w:tcW w:w="0" w:type="dxa"/>
            <w:vAlign w:val="center"/>
          </w:tcPr>
          <w:p>
            <w:pPr>
              <w:spacing w:line="240" w:lineRule="auto"/>
              <w:jc w:val="right"/>
            </w:pPr>
            <w:r>
              <w:rPr>
                <w:rFonts w:ascii="宋体" w:hAnsi="宋体" w:eastAsia="宋体" w:cs="宋体"/>
                <w:b w:val="0"/>
              </w:rPr>
              <w:t>56.38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1,990,328.00</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6,284,220.00</w:t>
            </w:r>
          </w:p>
        </w:tc>
        <w:tc>
          <w:tcPr>
            <w:tcW w:w="0" w:type="dxa"/>
            <w:vAlign w:val="center"/>
          </w:tcPr>
          <w:p>
            <w:pPr>
              <w:spacing w:line="240" w:lineRule="auto"/>
              <w:jc w:val="right"/>
            </w:pPr>
            <w:r>
              <w:rPr>
                <w:rFonts w:ascii="宋体" w:hAnsi="宋体" w:eastAsia="宋体" w:cs="宋体"/>
                <w:b w:val="0"/>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126,128,651.81</w:t>
            </w:r>
          </w:p>
        </w:tc>
        <w:tc>
          <w:tcPr>
            <w:tcW w:w="0" w:type="dxa"/>
            <w:vAlign w:val="center"/>
          </w:tcPr>
          <w:p>
            <w:pPr>
              <w:spacing w:line="240" w:lineRule="auto"/>
              <w:jc w:val="right"/>
            </w:pPr>
            <w:r>
              <w:rPr>
                <w:rFonts w:ascii="宋体" w:hAnsi="宋体" w:eastAsia="宋体" w:cs="宋体"/>
                <w:b w:val="0"/>
              </w:rPr>
              <w:t>93.98</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301396</w:t>
            </w:r>
          </w:p>
        </w:tc>
        <w:tc>
          <w:tcPr>
            <w:tcW w:w="0" w:type="dxa"/>
            <w:vAlign w:val="center"/>
          </w:tcPr>
          <w:p>
            <w:pPr>
              <w:spacing w:line="240" w:lineRule="auto"/>
              <w:jc w:val="left"/>
            </w:pPr>
            <w:r>
              <w:rPr>
                <w:rFonts w:ascii="宋体" w:hAnsi="宋体" w:eastAsia="宋体" w:cs="宋体"/>
                <w:b w:val="0"/>
              </w:rPr>
              <w:t>宏景科技</w:t>
            </w:r>
          </w:p>
        </w:tc>
        <w:tc>
          <w:tcPr>
            <w:tcW w:w="0" w:type="dxa"/>
            <w:vAlign w:val="center"/>
          </w:tcPr>
          <w:p>
            <w:pPr>
              <w:spacing w:line="240" w:lineRule="auto"/>
              <w:jc w:val="right"/>
            </w:pPr>
            <w:r>
              <w:rPr>
                <w:rFonts w:ascii="宋体" w:hAnsi="宋体" w:eastAsia="宋体" w:cs="宋体"/>
                <w:b w:val="0"/>
              </w:rPr>
              <w:t>80,100</w:t>
            </w:r>
          </w:p>
        </w:tc>
        <w:tc>
          <w:tcPr>
            <w:tcW w:w="0" w:type="dxa"/>
            <w:vAlign w:val="center"/>
          </w:tcPr>
          <w:p>
            <w:pPr>
              <w:spacing w:line="240" w:lineRule="auto"/>
              <w:jc w:val="right"/>
            </w:pPr>
            <w:r>
              <w:rPr>
                <w:rFonts w:ascii="宋体" w:hAnsi="宋体" w:eastAsia="宋体" w:cs="宋体"/>
                <w:b w:val="0"/>
              </w:rPr>
              <w:t>12,278,529.00</w:t>
            </w:r>
          </w:p>
        </w:tc>
        <w:tc>
          <w:tcPr>
            <w:tcW w:w="0" w:type="dxa"/>
            <w:vAlign w:val="center"/>
          </w:tcPr>
          <w:p>
            <w:pPr>
              <w:spacing w:line="240" w:lineRule="auto"/>
              <w:jc w:val="right"/>
            </w:pPr>
            <w:r>
              <w:rPr>
                <w:rFonts w:ascii="宋体" w:hAnsi="宋体" w:eastAsia="宋体" w:cs="宋体"/>
                <w:b w:val="0"/>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300017</w:t>
            </w:r>
          </w:p>
        </w:tc>
        <w:tc>
          <w:tcPr>
            <w:tcW w:w="0" w:type="dxa"/>
            <w:vAlign w:val="center"/>
          </w:tcPr>
          <w:p>
            <w:pPr>
              <w:spacing w:line="240" w:lineRule="auto"/>
              <w:jc w:val="left"/>
            </w:pPr>
            <w:r>
              <w:rPr>
                <w:rFonts w:ascii="宋体" w:hAnsi="宋体" w:eastAsia="宋体" w:cs="宋体"/>
                <w:b w:val="0"/>
              </w:rPr>
              <w:t>网宿科技</w:t>
            </w:r>
          </w:p>
        </w:tc>
        <w:tc>
          <w:tcPr>
            <w:tcW w:w="0" w:type="dxa"/>
            <w:vAlign w:val="center"/>
          </w:tcPr>
          <w:p>
            <w:pPr>
              <w:spacing w:line="240" w:lineRule="auto"/>
              <w:jc w:val="right"/>
            </w:pPr>
            <w:r>
              <w:rPr>
                <w:rFonts w:ascii="宋体" w:hAnsi="宋体" w:eastAsia="宋体" w:cs="宋体"/>
                <w:b w:val="0"/>
              </w:rPr>
              <w:t>530,600</w:t>
            </w:r>
          </w:p>
        </w:tc>
        <w:tc>
          <w:tcPr>
            <w:tcW w:w="0" w:type="dxa"/>
            <w:vAlign w:val="center"/>
          </w:tcPr>
          <w:p>
            <w:pPr>
              <w:spacing w:line="240" w:lineRule="auto"/>
              <w:jc w:val="right"/>
            </w:pPr>
            <w:r>
              <w:rPr>
                <w:rFonts w:ascii="宋体" w:hAnsi="宋体" w:eastAsia="宋体" w:cs="宋体"/>
                <w:b w:val="0"/>
              </w:rPr>
              <w:t>8,967,140.00</w:t>
            </w:r>
          </w:p>
        </w:tc>
        <w:tc>
          <w:tcPr>
            <w:tcW w:w="0" w:type="dxa"/>
            <w:vAlign w:val="center"/>
          </w:tcPr>
          <w:p>
            <w:pPr>
              <w:spacing w:line="240" w:lineRule="auto"/>
              <w:jc w:val="right"/>
            </w:pPr>
            <w:r>
              <w:rPr>
                <w:rFonts w:ascii="宋体" w:hAnsi="宋体" w:eastAsia="宋体" w:cs="宋体"/>
                <w:b w:val="0"/>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300857</w:t>
            </w:r>
          </w:p>
        </w:tc>
        <w:tc>
          <w:tcPr>
            <w:tcW w:w="0" w:type="dxa"/>
            <w:vAlign w:val="center"/>
          </w:tcPr>
          <w:p>
            <w:pPr>
              <w:spacing w:line="240" w:lineRule="auto"/>
              <w:jc w:val="left"/>
            </w:pPr>
            <w:r>
              <w:rPr>
                <w:rFonts w:ascii="宋体" w:hAnsi="宋体" w:eastAsia="宋体" w:cs="宋体"/>
                <w:b w:val="0"/>
              </w:rPr>
              <w:t>协创数据</w:t>
            </w:r>
          </w:p>
        </w:tc>
        <w:tc>
          <w:tcPr>
            <w:tcW w:w="0" w:type="dxa"/>
            <w:vAlign w:val="center"/>
          </w:tcPr>
          <w:p>
            <w:pPr>
              <w:spacing w:line="240" w:lineRule="auto"/>
              <w:jc w:val="right"/>
            </w:pPr>
            <w:r>
              <w:rPr>
                <w:rFonts w:ascii="宋体" w:hAnsi="宋体" w:eastAsia="宋体" w:cs="宋体"/>
                <w:b w:val="0"/>
              </w:rPr>
              <w:t>37,100</w:t>
            </w:r>
          </w:p>
        </w:tc>
        <w:tc>
          <w:tcPr>
            <w:tcW w:w="0" w:type="dxa"/>
            <w:vAlign w:val="center"/>
          </w:tcPr>
          <w:p>
            <w:pPr>
              <w:spacing w:line="240" w:lineRule="auto"/>
              <w:jc w:val="right"/>
            </w:pPr>
            <w:r>
              <w:rPr>
                <w:rFonts w:ascii="宋体" w:hAnsi="宋体" w:eastAsia="宋体" w:cs="宋体"/>
                <w:b w:val="0"/>
              </w:rPr>
              <w:t>7,765,772.00</w:t>
            </w:r>
          </w:p>
        </w:tc>
        <w:tc>
          <w:tcPr>
            <w:tcW w:w="0" w:type="dxa"/>
            <w:vAlign w:val="center"/>
          </w:tcPr>
          <w:p>
            <w:pPr>
              <w:spacing w:line="240" w:lineRule="auto"/>
              <w:jc w:val="right"/>
            </w:pPr>
            <w:r>
              <w:rPr>
                <w:rFonts w:ascii="宋体" w:hAnsi="宋体" w:eastAsia="宋体" w:cs="宋体"/>
                <w:b w:val="0"/>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688158</w:t>
            </w:r>
          </w:p>
        </w:tc>
        <w:tc>
          <w:tcPr>
            <w:tcW w:w="0" w:type="dxa"/>
            <w:vAlign w:val="center"/>
          </w:tcPr>
          <w:p>
            <w:pPr>
              <w:spacing w:line="240" w:lineRule="auto"/>
              <w:jc w:val="left"/>
            </w:pPr>
            <w:r>
              <w:rPr>
                <w:rFonts w:ascii="宋体" w:hAnsi="宋体" w:eastAsia="宋体" w:cs="宋体"/>
                <w:b w:val="0"/>
              </w:rPr>
              <w:t>优刻得</w:t>
            </w:r>
          </w:p>
        </w:tc>
        <w:tc>
          <w:tcPr>
            <w:tcW w:w="0" w:type="dxa"/>
            <w:vAlign w:val="center"/>
          </w:tcPr>
          <w:p>
            <w:pPr>
              <w:spacing w:line="240" w:lineRule="auto"/>
              <w:jc w:val="right"/>
            </w:pPr>
            <w:r>
              <w:rPr>
                <w:rFonts w:ascii="宋体" w:hAnsi="宋体" w:eastAsia="宋体" w:cs="宋体"/>
                <w:b w:val="0"/>
              </w:rPr>
              <w:t>184,512</w:t>
            </w:r>
          </w:p>
        </w:tc>
        <w:tc>
          <w:tcPr>
            <w:tcW w:w="0" w:type="dxa"/>
            <w:vAlign w:val="center"/>
          </w:tcPr>
          <w:p>
            <w:pPr>
              <w:spacing w:line="240" w:lineRule="auto"/>
              <w:jc w:val="right"/>
            </w:pPr>
            <w:r>
              <w:rPr>
                <w:rFonts w:ascii="宋体" w:hAnsi="宋体" w:eastAsia="宋体" w:cs="宋体"/>
                <w:b w:val="0"/>
              </w:rPr>
              <w:t>7,417,382.40</w:t>
            </w:r>
          </w:p>
        </w:tc>
        <w:tc>
          <w:tcPr>
            <w:tcW w:w="0" w:type="dxa"/>
            <w:vAlign w:val="center"/>
          </w:tcPr>
          <w:p>
            <w:pPr>
              <w:spacing w:line="240" w:lineRule="auto"/>
              <w:jc w:val="right"/>
            </w:pPr>
            <w:r>
              <w:rPr>
                <w:rFonts w:ascii="宋体" w:hAnsi="宋体" w:eastAsia="宋体" w:cs="宋体"/>
                <w:b w:val="0"/>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300166</w:t>
            </w:r>
          </w:p>
        </w:tc>
        <w:tc>
          <w:tcPr>
            <w:tcW w:w="0" w:type="dxa"/>
            <w:vAlign w:val="center"/>
          </w:tcPr>
          <w:p>
            <w:pPr>
              <w:spacing w:line="240" w:lineRule="auto"/>
              <w:jc w:val="left"/>
            </w:pPr>
            <w:r>
              <w:rPr>
                <w:rFonts w:ascii="宋体" w:hAnsi="宋体" w:eastAsia="宋体" w:cs="宋体"/>
                <w:b w:val="0"/>
              </w:rPr>
              <w:t>东方国信</w:t>
            </w:r>
          </w:p>
        </w:tc>
        <w:tc>
          <w:tcPr>
            <w:tcW w:w="0" w:type="dxa"/>
            <w:vAlign w:val="center"/>
          </w:tcPr>
          <w:p>
            <w:pPr>
              <w:spacing w:line="240" w:lineRule="auto"/>
              <w:jc w:val="right"/>
            </w:pPr>
            <w:r>
              <w:rPr>
                <w:rFonts w:ascii="宋体" w:hAnsi="宋体" w:eastAsia="宋体" w:cs="宋体"/>
                <w:b w:val="0"/>
              </w:rPr>
              <w:t>480,100</w:t>
            </w:r>
          </w:p>
        </w:tc>
        <w:tc>
          <w:tcPr>
            <w:tcW w:w="0" w:type="dxa"/>
            <w:vAlign w:val="center"/>
          </w:tcPr>
          <w:p>
            <w:pPr>
              <w:spacing w:line="240" w:lineRule="auto"/>
              <w:jc w:val="right"/>
            </w:pPr>
            <w:r>
              <w:rPr>
                <w:rFonts w:ascii="宋体" w:hAnsi="宋体" w:eastAsia="宋体" w:cs="宋体"/>
                <w:b w:val="0"/>
              </w:rPr>
              <w:t>6,793,415.00</w:t>
            </w:r>
          </w:p>
        </w:tc>
        <w:tc>
          <w:tcPr>
            <w:tcW w:w="0" w:type="dxa"/>
            <w:vAlign w:val="center"/>
          </w:tcPr>
          <w:p>
            <w:pPr>
              <w:spacing w:line="240" w:lineRule="auto"/>
              <w:jc w:val="right"/>
            </w:pPr>
            <w:r>
              <w:rPr>
                <w:rFonts w:ascii="宋体" w:hAnsi="宋体" w:eastAsia="宋体" w:cs="宋体"/>
                <w:b w:val="0"/>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600590</w:t>
            </w:r>
          </w:p>
        </w:tc>
        <w:tc>
          <w:tcPr>
            <w:tcW w:w="0" w:type="dxa"/>
            <w:vAlign w:val="center"/>
          </w:tcPr>
          <w:p>
            <w:pPr>
              <w:spacing w:line="240" w:lineRule="auto"/>
              <w:jc w:val="left"/>
            </w:pPr>
            <w:r>
              <w:rPr>
                <w:rFonts w:ascii="宋体" w:hAnsi="宋体" w:eastAsia="宋体" w:cs="宋体"/>
                <w:b w:val="0"/>
              </w:rPr>
              <w:t>泰豪科技</w:t>
            </w:r>
          </w:p>
        </w:tc>
        <w:tc>
          <w:tcPr>
            <w:tcW w:w="0" w:type="dxa"/>
            <w:vAlign w:val="center"/>
          </w:tcPr>
          <w:p>
            <w:pPr>
              <w:spacing w:line="240" w:lineRule="auto"/>
              <w:jc w:val="right"/>
            </w:pPr>
            <w:r>
              <w:rPr>
                <w:rFonts w:ascii="宋体" w:hAnsi="宋体" w:eastAsia="宋体" w:cs="宋体"/>
                <w:b w:val="0"/>
              </w:rPr>
              <w:t>505,400</w:t>
            </w:r>
          </w:p>
        </w:tc>
        <w:tc>
          <w:tcPr>
            <w:tcW w:w="0" w:type="dxa"/>
            <w:vAlign w:val="center"/>
          </w:tcPr>
          <w:p>
            <w:pPr>
              <w:spacing w:line="240" w:lineRule="auto"/>
              <w:jc w:val="right"/>
            </w:pPr>
            <w:r>
              <w:rPr>
                <w:rFonts w:ascii="宋体" w:hAnsi="宋体" w:eastAsia="宋体" w:cs="宋体"/>
                <w:b w:val="0"/>
              </w:rPr>
              <w:t>6,504,498.00</w:t>
            </w:r>
          </w:p>
        </w:tc>
        <w:tc>
          <w:tcPr>
            <w:tcW w:w="0" w:type="dxa"/>
            <w:vAlign w:val="center"/>
          </w:tcPr>
          <w:p>
            <w:pPr>
              <w:spacing w:line="240" w:lineRule="auto"/>
              <w:jc w:val="right"/>
            </w:pPr>
            <w:r>
              <w:rPr>
                <w:rFonts w:ascii="宋体" w:hAnsi="宋体" w:eastAsia="宋体" w:cs="宋体"/>
                <w:b w:val="0"/>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600589</w:t>
            </w:r>
          </w:p>
        </w:tc>
        <w:tc>
          <w:tcPr>
            <w:tcW w:w="0" w:type="dxa"/>
            <w:vAlign w:val="center"/>
          </w:tcPr>
          <w:p>
            <w:pPr>
              <w:spacing w:line="240" w:lineRule="auto"/>
              <w:jc w:val="left"/>
            </w:pPr>
            <w:r>
              <w:rPr>
                <w:rFonts w:ascii="宋体" w:hAnsi="宋体" w:eastAsia="宋体" w:cs="宋体"/>
                <w:b w:val="0"/>
              </w:rPr>
              <w:t>大位科技</w:t>
            </w:r>
          </w:p>
        </w:tc>
        <w:tc>
          <w:tcPr>
            <w:tcW w:w="0" w:type="dxa"/>
            <w:vAlign w:val="center"/>
          </w:tcPr>
          <w:p>
            <w:pPr>
              <w:spacing w:line="240" w:lineRule="auto"/>
              <w:jc w:val="right"/>
            </w:pPr>
            <w:r>
              <w:rPr>
                <w:rFonts w:ascii="宋体" w:hAnsi="宋体" w:eastAsia="宋体" w:cs="宋体"/>
                <w:b w:val="0"/>
              </w:rPr>
              <w:t>592,900</w:t>
            </w:r>
          </w:p>
        </w:tc>
        <w:tc>
          <w:tcPr>
            <w:tcW w:w="0" w:type="dxa"/>
            <w:vAlign w:val="center"/>
          </w:tcPr>
          <w:p>
            <w:pPr>
              <w:spacing w:line="240" w:lineRule="auto"/>
              <w:jc w:val="right"/>
            </w:pPr>
            <w:r>
              <w:rPr>
                <w:rFonts w:ascii="宋体" w:hAnsi="宋体" w:eastAsia="宋体" w:cs="宋体"/>
                <w:b w:val="0"/>
              </w:rPr>
              <w:t>6,332,172.00</w:t>
            </w:r>
          </w:p>
        </w:tc>
        <w:tc>
          <w:tcPr>
            <w:tcW w:w="0" w:type="dxa"/>
            <w:vAlign w:val="center"/>
          </w:tcPr>
          <w:p>
            <w:pPr>
              <w:spacing w:line="240" w:lineRule="auto"/>
              <w:jc w:val="right"/>
            </w:pPr>
            <w:r>
              <w:rPr>
                <w:rFonts w:ascii="宋体" w:hAnsi="宋体" w:eastAsia="宋体" w:cs="宋体"/>
                <w:b w:val="0"/>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002929</w:t>
            </w:r>
          </w:p>
        </w:tc>
        <w:tc>
          <w:tcPr>
            <w:tcW w:w="0" w:type="dxa"/>
            <w:vAlign w:val="center"/>
          </w:tcPr>
          <w:p>
            <w:pPr>
              <w:spacing w:line="240" w:lineRule="auto"/>
              <w:jc w:val="left"/>
            </w:pPr>
            <w:r>
              <w:rPr>
                <w:rFonts w:ascii="宋体" w:hAnsi="宋体" w:eastAsia="宋体" w:cs="宋体"/>
                <w:b w:val="0"/>
              </w:rPr>
              <w:t>润建股份</w:t>
            </w:r>
          </w:p>
        </w:tc>
        <w:tc>
          <w:tcPr>
            <w:tcW w:w="0" w:type="dxa"/>
            <w:vAlign w:val="center"/>
          </w:tcPr>
          <w:p>
            <w:pPr>
              <w:spacing w:line="240" w:lineRule="auto"/>
              <w:jc w:val="right"/>
            </w:pPr>
            <w:r>
              <w:rPr>
                <w:rFonts w:ascii="宋体" w:hAnsi="宋体" w:eastAsia="宋体" w:cs="宋体"/>
                <w:b w:val="0"/>
              </w:rPr>
              <w:t>130,500</w:t>
            </w:r>
          </w:p>
        </w:tc>
        <w:tc>
          <w:tcPr>
            <w:tcW w:w="0" w:type="dxa"/>
            <w:vAlign w:val="center"/>
          </w:tcPr>
          <w:p>
            <w:pPr>
              <w:spacing w:line="240" w:lineRule="auto"/>
              <w:jc w:val="right"/>
            </w:pPr>
            <w:r>
              <w:rPr>
                <w:rFonts w:ascii="宋体" w:hAnsi="宋体" w:eastAsia="宋体" w:cs="宋体"/>
                <w:b w:val="0"/>
              </w:rPr>
              <w:t>6,325,335.00</w:t>
            </w:r>
          </w:p>
        </w:tc>
        <w:tc>
          <w:tcPr>
            <w:tcW w:w="0" w:type="dxa"/>
            <w:vAlign w:val="center"/>
          </w:tcPr>
          <w:p>
            <w:pPr>
              <w:spacing w:line="240" w:lineRule="auto"/>
              <w:jc w:val="right"/>
            </w:pPr>
            <w:r>
              <w:rPr>
                <w:rFonts w:ascii="宋体" w:hAnsi="宋体" w:eastAsia="宋体" w:cs="宋体"/>
                <w:b w:val="0"/>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600673</w:t>
            </w:r>
          </w:p>
        </w:tc>
        <w:tc>
          <w:tcPr>
            <w:tcW w:w="0" w:type="dxa"/>
            <w:vAlign w:val="center"/>
          </w:tcPr>
          <w:p>
            <w:pPr>
              <w:spacing w:line="240" w:lineRule="auto"/>
              <w:jc w:val="left"/>
            </w:pPr>
            <w:r>
              <w:rPr>
                <w:rFonts w:ascii="宋体" w:hAnsi="宋体" w:eastAsia="宋体" w:cs="宋体"/>
                <w:b w:val="0"/>
              </w:rPr>
              <w:t>东阳光</w:t>
            </w:r>
          </w:p>
        </w:tc>
        <w:tc>
          <w:tcPr>
            <w:tcW w:w="0" w:type="dxa"/>
            <w:vAlign w:val="center"/>
          </w:tcPr>
          <w:p>
            <w:pPr>
              <w:spacing w:line="240" w:lineRule="auto"/>
              <w:jc w:val="right"/>
            </w:pPr>
            <w:r>
              <w:rPr>
                <w:rFonts w:ascii="宋体" w:hAnsi="宋体" w:eastAsia="宋体" w:cs="宋体"/>
                <w:b w:val="0"/>
              </w:rPr>
              <w:t>207,400</w:t>
            </w:r>
          </w:p>
        </w:tc>
        <w:tc>
          <w:tcPr>
            <w:tcW w:w="0" w:type="dxa"/>
            <w:vAlign w:val="center"/>
          </w:tcPr>
          <w:p>
            <w:pPr>
              <w:spacing w:line="240" w:lineRule="auto"/>
              <w:jc w:val="right"/>
            </w:pPr>
            <w:r>
              <w:rPr>
                <w:rFonts w:ascii="宋体" w:hAnsi="宋体" w:eastAsia="宋体" w:cs="宋体"/>
                <w:b w:val="0"/>
              </w:rPr>
              <w:t>6,284,220.00</w:t>
            </w:r>
          </w:p>
        </w:tc>
        <w:tc>
          <w:tcPr>
            <w:tcW w:w="0" w:type="dxa"/>
            <w:vAlign w:val="center"/>
          </w:tcPr>
          <w:p>
            <w:pPr>
              <w:spacing w:line="240" w:lineRule="auto"/>
              <w:jc w:val="right"/>
            </w:pPr>
            <w:r>
              <w:rPr>
                <w:rFonts w:ascii="宋体" w:hAnsi="宋体" w:eastAsia="宋体" w:cs="宋体"/>
                <w:b w:val="0"/>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603269</w:t>
            </w:r>
          </w:p>
        </w:tc>
        <w:tc>
          <w:tcPr>
            <w:tcW w:w="0" w:type="dxa"/>
            <w:vAlign w:val="center"/>
          </w:tcPr>
          <w:p>
            <w:pPr>
              <w:spacing w:line="240" w:lineRule="auto"/>
              <w:jc w:val="left"/>
            </w:pPr>
            <w:r>
              <w:rPr>
                <w:rFonts w:ascii="宋体" w:hAnsi="宋体" w:eastAsia="宋体" w:cs="宋体"/>
                <w:b w:val="0"/>
              </w:rPr>
              <w:t>海鸥股份</w:t>
            </w:r>
          </w:p>
        </w:tc>
        <w:tc>
          <w:tcPr>
            <w:tcW w:w="0" w:type="dxa"/>
            <w:vAlign w:val="center"/>
          </w:tcPr>
          <w:p>
            <w:pPr>
              <w:spacing w:line="240" w:lineRule="auto"/>
              <w:jc w:val="right"/>
            </w:pPr>
            <w:r>
              <w:rPr>
                <w:rFonts w:ascii="宋体" w:hAnsi="宋体" w:eastAsia="宋体" w:cs="宋体"/>
                <w:b w:val="0"/>
              </w:rPr>
              <w:t>435,600</w:t>
            </w:r>
          </w:p>
        </w:tc>
        <w:tc>
          <w:tcPr>
            <w:tcW w:w="0" w:type="dxa"/>
            <w:vAlign w:val="center"/>
          </w:tcPr>
          <w:p>
            <w:pPr>
              <w:spacing w:line="240" w:lineRule="auto"/>
              <w:jc w:val="right"/>
            </w:pPr>
            <w:r>
              <w:rPr>
                <w:rFonts w:ascii="宋体" w:hAnsi="宋体" w:eastAsia="宋体" w:cs="宋体"/>
                <w:b w:val="0"/>
              </w:rPr>
              <w:t>5,837,040.00</w:t>
            </w:r>
          </w:p>
        </w:tc>
        <w:tc>
          <w:tcPr>
            <w:tcW w:w="0" w:type="dxa"/>
            <w:vAlign w:val="center"/>
          </w:tcPr>
          <w:p>
            <w:pPr>
              <w:spacing w:line="240" w:lineRule="auto"/>
              <w:jc w:val="right"/>
            </w:pPr>
            <w:r>
              <w:rPr>
                <w:rFonts w:ascii="宋体" w:hAnsi="宋体" w:eastAsia="宋体" w:cs="宋体"/>
                <w:b w:val="0"/>
              </w:rPr>
              <w:t>4.35</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7,758,148.71</w:t>
            </w:r>
          </w:p>
        </w:tc>
        <w:tc>
          <w:tcPr>
            <w:tcW w:w="0" w:type="dxa"/>
            <w:vAlign w:val="center"/>
          </w:tcPr>
          <w:p>
            <w:pPr>
              <w:spacing w:line="240" w:lineRule="auto"/>
              <w:jc w:val="right"/>
            </w:pPr>
            <w:r>
              <w:rPr>
                <w:rFonts w:ascii="宋体" w:hAnsi="宋体" w:eastAsia="宋体" w:cs="宋体"/>
                <w:b w:val="0"/>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7,758,148.71</w:t>
            </w:r>
          </w:p>
        </w:tc>
        <w:tc>
          <w:tcPr>
            <w:tcW w:w="0" w:type="dxa"/>
            <w:vAlign w:val="center"/>
          </w:tcPr>
          <w:p>
            <w:pPr>
              <w:spacing w:line="240" w:lineRule="auto"/>
              <w:jc w:val="right"/>
            </w:pPr>
            <w:r>
              <w:rPr>
                <w:rFonts w:ascii="宋体" w:hAnsi="宋体" w:eastAsia="宋体" w:cs="宋体"/>
                <w:b w:val="0"/>
              </w:rPr>
              <w:t>5.78</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77,000</w:t>
            </w:r>
          </w:p>
        </w:tc>
        <w:tc>
          <w:tcPr>
            <w:tcW w:w="0" w:type="dxa"/>
            <w:vAlign w:val="center"/>
          </w:tcPr>
          <w:p>
            <w:pPr>
              <w:spacing w:line="240" w:lineRule="auto"/>
              <w:jc w:val="right"/>
            </w:pPr>
            <w:r>
              <w:rPr>
                <w:rFonts w:ascii="宋体" w:hAnsi="宋体" w:eastAsia="宋体" w:cs="宋体"/>
                <w:b w:val="0"/>
              </w:rPr>
              <w:t>7,758,148.71</w:t>
            </w:r>
          </w:p>
        </w:tc>
        <w:tc>
          <w:tcPr>
            <w:tcW w:w="0" w:type="dxa"/>
            <w:vAlign w:val="center"/>
          </w:tcPr>
          <w:p>
            <w:pPr>
              <w:spacing w:line="240" w:lineRule="auto"/>
              <w:jc w:val="right"/>
            </w:pPr>
            <w:r>
              <w:rPr>
                <w:rFonts w:ascii="宋体" w:hAnsi="宋体" w:eastAsia="宋体" w:cs="宋体"/>
                <w:b w:val="0"/>
              </w:rPr>
              <w:t>5.78</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1,099,876.30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1,099,876.30</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东方阿尔法精选混合A</w:t>
            </w:r>
          </w:p>
        </w:tc>
        <w:tc>
          <w:tcPr>
            <w:tcW w:w="1300" w:type="pct"/>
            <w:vAlign w:val="center"/>
          </w:tcPr>
          <w:p>
            <w:pPr>
              <w:spacing w:line="240" w:lineRule="auto"/>
              <w:jc w:val="center"/>
            </w:pPr>
            <w:r>
              <w:rPr>
                <w:rFonts w:ascii="宋体" w:hAnsi="宋体" w:eastAsia="宋体" w:cs="宋体"/>
                <w:b w:val="0"/>
              </w:rPr>
              <w:t>东方阿尔法精选混合C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141,492,076.13</w:t>
            </w:r>
          </w:p>
        </w:tc>
        <w:tc>
          <w:tcPr>
            <w:tcW w:w="1300" w:type="pct"/>
            <w:vAlign w:val="center"/>
          </w:tcPr>
          <w:p>
            <w:pPr>
              <w:spacing w:line="240" w:lineRule="auto"/>
              <w:jc w:val="right"/>
            </w:pPr>
            <w:r>
              <w:rPr>
                <w:rFonts w:ascii="宋体" w:hAnsi="宋体" w:eastAsia="宋体" w:cs="宋体"/>
                <w:b w:val="0"/>
              </w:rPr>
              <w:t>32,605,963.03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7,590,088.93</w:t>
            </w:r>
          </w:p>
        </w:tc>
        <w:tc>
          <w:tcPr>
            <w:tcW w:w="1300" w:type="pct"/>
            <w:vAlign w:val="center"/>
          </w:tcPr>
          <w:p>
            <w:pPr>
              <w:spacing w:line="240" w:lineRule="auto"/>
              <w:jc w:val="right"/>
            </w:pPr>
            <w:r>
              <w:rPr>
                <w:rFonts w:ascii="宋体" w:hAnsi="宋体" w:eastAsia="宋体" w:cs="宋体"/>
                <w:b w:val="0"/>
              </w:rPr>
              <w:t>29,976,623.68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15,734,569.02</w:t>
            </w:r>
          </w:p>
        </w:tc>
        <w:tc>
          <w:tcPr>
            <w:tcW w:w="1300" w:type="pct"/>
            <w:vAlign w:val="center"/>
          </w:tcPr>
          <w:p>
            <w:pPr>
              <w:spacing w:line="240" w:lineRule="auto"/>
              <w:jc w:val="right"/>
            </w:pPr>
            <w:r>
              <w:rPr>
                <w:rFonts w:ascii="宋体" w:hAnsi="宋体" w:eastAsia="宋体" w:cs="宋体"/>
                <w:b w:val="0"/>
              </w:rPr>
              <w:t>15,900,112.22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133,347,596.04</w:t>
            </w:r>
          </w:p>
        </w:tc>
        <w:tc>
          <w:tcPr>
            <w:tcW w:w="1300" w:type="pct"/>
            <w:vAlign w:val="center"/>
          </w:tcPr>
          <w:p>
            <w:pPr>
              <w:spacing w:line="240" w:lineRule="auto"/>
              <w:jc w:val="right"/>
            </w:pPr>
            <w:r>
              <w:rPr>
                <w:rFonts w:ascii="宋体" w:hAnsi="宋体" w:eastAsia="宋体" w:cs="宋体"/>
                <w:b w:val="0"/>
              </w:rPr>
              <w:t>46,682,474.49</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2018年02月08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1、中国证券监督管理委员会批准的东方阿尔法精选灵活配置混合型发起式证券投资基金设立的文件；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2、《东方阿尔法精选灵活配置混合型发起式证券投资基金基金合同》；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3、《东方阿尔法精选灵活配置混合型发起式证券投资基金托管协议》；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4、《东方阿尔法精选灵活配置混合型发起式证券投资基金招募说明书》（含更新）；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二〇二六年四月十七日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东方阿尔法精选灵活配置混合型发起式证券投资基金2026年第1季度报告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5987526"/>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qFormat="1"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2026-04-15T07:28:21Z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