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东方阿尔法瑞丰混合型发起式证券投资基金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2026年第1季度报告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2026年03月31日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中国农业银行股份有限公司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2026年04月17日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基金托管人中国农业银行股份有限公司根据本基金合同规定，于2026年04月16日复核了本报告中的财务指标、净值表现和投资组合报告等内容，保证复核内容不存在虚假记载、误导性陈述或者重大遗漏。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本报告期自2026年01月01日起至2026年03月31日止。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东方阿尔法瑞丰混合发起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2023年05月12日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463,301,600.10份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本基金在严格控制风险的基础之上，通过深入研究、优选个股、主动的投资管理方式力求实现组合资产的稳健增值。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7、融资业务投资策略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9、资产支持证券投资策略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中证800指数收益率×60%+中证综合债券指数收益率×20%+恒生指数收益率×20%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中国农业银行股份有限公司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东方阿尔法瑞丰混合发起A</w:t>
            </w:r>
          </w:p>
        </w:tc>
        <w:tc>
          <w:tcPr>
            <w:tcW w:w="1500" w:type="pct"/>
            <w:vAlign w:val="center"/>
          </w:tcPr>
          <w:p>
            <w:pPr>
              <w:spacing w:line="240" w:lineRule="auto"/>
              <w:jc w:val="left"/>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018362</w:t>
            </w:r>
          </w:p>
        </w:tc>
        <w:tc>
          <w:tcPr>
            <w:tcW w:w="1500" w:type="pct"/>
            <w:vAlign w:val="center"/>
          </w:tcPr>
          <w:p>
            <w:pPr>
              <w:spacing w:line="240" w:lineRule="auto"/>
              <w:jc w:val="left"/>
            </w:pPr>
            <w:r>
              <w:rPr>
                <w:rFonts w:ascii="宋体" w:hAnsi="宋体" w:eastAsia="宋体" w:cs="宋体"/>
                <w:b w:val="0"/>
              </w:rPr>
              <w:t>018363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43,170,115.98份</w:t>
            </w:r>
          </w:p>
        </w:tc>
        <w:tc>
          <w:tcPr>
            <w:tcW w:w="1500" w:type="pct"/>
            <w:vAlign w:val="center"/>
          </w:tcPr>
          <w:p>
            <w:pPr>
              <w:spacing w:line="240" w:lineRule="auto"/>
              <w:jc w:val="left"/>
            </w:pPr>
            <w:r>
              <w:rPr>
                <w:rFonts w:ascii="宋体" w:hAnsi="宋体" w:eastAsia="宋体" w:cs="宋体"/>
                <w:b w:val="0"/>
              </w:rPr>
              <w:t>420,131,484.12份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报告期（2026年01月01日-2026年03月31日）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东方阿尔法瑞丰混合发起A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2,309,781.53</w:t>
            </w:r>
          </w:p>
        </w:tc>
        <w:tc>
          <w:tcPr>
            <w:tcW w:w="1500" w:type="pct"/>
            <w:vAlign w:val="center"/>
          </w:tcPr>
          <w:p>
            <w:pPr>
              <w:spacing w:line="240" w:lineRule="auto"/>
              <w:jc w:val="right"/>
            </w:pPr>
            <w:r>
              <w:rPr>
                <w:rFonts w:ascii="宋体" w:hAnsi="宋体" w:eastAsia="宋体" w:cs="宋体"/>
                <w:b w:val="0"/>
              </w:rPr>
              <w:t>-3,546,519.55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3,872,789.09</w:t>
            </w:r>
          </w:p>
        </w:tc>
        <w:tc>
          <w:tcPr>
            <w:tcW w:w="1500" w:type="pct"/>
            <w:vAlign w:val="center"/>
          </w:tcPr>
          <w:p>
            <w:pPr>
              <w:spacing w:line="240" w:lineRule="auto"/>
              <w:jc w:val="right"/>
            </w:pPr>
            <w:r>
              <w:rPr>
                <w:rFonts w:ascii="宋体" w:hAnsi="宋体" w:eastAsia="宋体" w:cs="宋体"/>
                <w:b w:val="0"/>
              </w:rPr>
              <w:t>-62,186,190.39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0.0830</w:t>
            </w:r>
          </w:p>
        </w:tc>
        <w:tc>
          <w:tcPr>
            <w:tcW w:w="1500" w:type="pct"/>
            <w:vAlign w:val="center"/>
          </w:tcPr>
          <w:p>
            <w:pPr>
              <w:spacing w:line="240" w:lineRule="auto"/>
              <w:jc w:val="right"/>
            </w:pPr>
            <w:r>
              <w:rPr>
                <w:rFonts w:ascii="宋体" w:hAnsi="宋体" w:eastAsia="宋体" w:cs="宋体"/>
                <w:b w:val="0"/>
              </w:rPr>
              <w:t>-0.1855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46,245,967.89</w:t>
            </w:r>
          </w:p>
        </w:tc>
        <w:tc>
          <w:tcPr>
            <w:tcW w:w="1500" w:type="pct"/>
            <w:vAlign w:val="center"/>
          </w:tcPr>
          <w:p>
            <w:pPr>
              <w:spacing w:line="240" w:lineRule="auto"/>
              <w:jc w:val="right"/>
            </w:pPr>
            <w:r>
              <w:rPr>
                <w:rFonts w:ascii="宋体" w:hAnsi="宋体" w:eastAsia="宋体" w:cs="宋体"/>
                <w:b w:val="0"/>
              </w:rPr>
              <w:t>444,951,530.61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1.0712</w:t>
            </w:r>
          </w:p>
        </w:tc>
        <w:tc>
          <w:tcPr>
            <w:tcW w:w="1500" w:type="pct"/>
            <w:vAlign w:val="center"/>
          </w:tcPr>
          <w:p>
            <w:pPr>
              <w:spacing w:line="240" w:lineRule="auto"/>
              <w:jc w:val="right"/>
            </w:pPr>
            <w:r>
              <w:rPr>
                <w:rFonts w:ascii="宋体" w:hAnsi="宋体" w:eastAsia="宋体" w:cs="宋体"/>
                <w:b w:val="0"/>
              </w:rPr>
              <w:t>1.0591</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东方阿尔法瑞丰混合发起A净值表现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7.24%</w:t>
            </w:r>
          </w:p>
        </w:tc>
        <w:tc>
          <w:tcPr>
            <w:tcW w:w="0" w:type="dxa"/>
            <w:vAlign w:val="center"/>
          </w:tcPr>
          <w:p>
            <w:pPr>
              <w:spacing w:line="240" w:lineRule="auto"/>
              <w:jc w:val="right"/>
            </w:pPr>
            <w:r>
              <w:rPr>
                <w:rFonts w:ascii="宋体" w:hAnsi="宋体" w:eastAsia="宋体" w:cs="宋体"/>
                <w:b w:val="0"/>
              </w:rPr>
              <w:t>3.79%</w:t>
            </w:r>
          </w:p>
        </w:tc>
        <w:tc>
          <w:tcPr>
            <w:tcW w:w="0" w:type="dxa"/>
            <w:vAlign w:val="center"/>
          </w:tcPr>
          <w:p>
            <w:pPr>
              <w:spacing w:line="240" w:lineRule="auto"/>
              <w:jc w:val="right"/>
            </w:pPr>
            <w:r>
              <w:rPr>
                <w:rFonts w:ascii="宋体" w:hAnsi="宋体" w:eastAsia="宋体" w:cs="宋体"/>
                <w:b w:val="0"/>
              </w:rPr>
              <w:t>-2.23%</w:t>
            </w:r>
          </w:p>
        </w:tc>
        <w:tc>
          <w:tcPr>
            <w:tcW w:w="0" w:type="dxa"/>
            <w:vAlign w:val="center"/>
          </w:tcPr>
          <w:p>
            <w:pPr>
              <w:spacing w:line="240" w:lineRule="auto"/>
              <w:jc w:val="right"/>
            </w:pPr>
            <w:r>
              <w:rPr>
                <w:rFonts w:ascii="宋体" w:hAnsi="宋体" w:eastAsia="宋体" w:cs="宋体"/>
                <w:b w:val="0"/>
              </w:rPr>
              <w:t>0.88%</w:t>
            </w:r>
          </w:p>
        </w:tc>
        <w:tc>
          <w:tcPr>
            <w:tcW w:w="0" w:type="dxa"/>
            <w:vAlign w:val="center"/>
          </w:tcPr>
          <w:p>
            <w:pPr>
              <w:spacing w:line="240" w:lineRule="auto"/>
              <w:jc w:val="right"/>
            </w:pPr>
            <w:r>
              <w:rPr>
                <w:rFonts w:ascii="宋体" w:hAnsi="宋体" w:eastAsia="宋体" w:cs="宋体"/>
                <w:b w:val="0"/>
              </w:rPr>
              <w:t>9.47%</w:t>
            </w:r>
          </w:p>
        </w:tc>
        <w:tc>
          <w:tcPr>
            <w:tcW w:w="0" w:type="dxa"/>
            <w:vAlign w:val="center"/>
          </w:tcPr>
          <w:p>
            <w:pPr>
              <w:spacing w:line="240" w:lineRule="auto"/>
              <w:jc w:val="right"/>
            </w:pPr>
            <w:r>
              <w:rPr>
                <w:rFonts w:ascii="宋体" w:hAnsi="宋体" w:eastAsia="宋体" w:cs="宋体"/>
                <w:b w:val="0"/>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-9.17%</w:t>
            </w:r>
          </w:p>
        </w:tc>
        <w:tc>
          <w:tcPr>
            <w:tcW w:w="0" w:type="dxa"/>
            <w:vAlign w:val="center"/>
          </w:tcPr>
          <w:p>
            <w:pPr>
              <w:spacing w:line="240" w:lineRule="auto"/>
              <w:jc w:val="right"/>
            </w:pPr>
            <w:r>
              <w:rPr>
                <w:rFonts w:ascii="宋体" w:hAnsi="宋体" w:eastAsia="宋体" w:cs="宋体"/>
                <w:b w:val="0"/>
              </w:rPr>
              <w:t>2.95%</w:t>
            </w:r>
          </w:p>
        </w:tc>
        <w:tc>
          <w:tcPr>
            <w:tcW w:w="0" w:type="dxa"/>
            <w:vAlign w:val="center"/>
          </w:tcPr>
          <w:p>
            <w:pPr>
              <w:spacing w:line="240" w:lineRule="auto"/>
              <w:jc w:val="right"/>
            </w:pPr>
            <w:r>
              <w:rPr>
                <w:rFonts w:ascii="宋体" w:hAnsi="宋体" w:eastAsia="宋体" w:cs="宋体"/>
                <w:b w:val="0"/>
              </w:rPr>
              <w:t>-3.16%</w:t>
            </w:r>
          </w:p>
        </w:tc>
        <w:tc>
          <w:tcPr>
            <w:tcW w:w="0" w:type="dxa"/>
            <w:vAlign w:val="center"/>
          </w:tcPr>
          <w:p>
            <w:pPr>
              <w:spacing w:line="240" w:lineRule="auto"/>
              <w:jc w:val="right"/>
            </w:pPr>
            <w:r>
              <w:rPr>
                <w:rFonts w:ascii="宋体" w:hAnsi="宋体" w:eastAsia="宋体" w:cs="宋体"/>
                <w:b w:val="0"/>
              </w:rPr>
              <w:t>0.83%</w:t>
            </w:r>
          </w:p>
        </w:tc>
        <w:tc>
          <w:tcPr>
            <w:tcW w:w="0" w:type="dxa"/>
            <w:vAlign w:val="center"/>
          </w:tcPr>
          <w:p>
            <w:pPr>
              <w:spacing w:line="240" w:lineRule="auto"/>
              <w:jc w:val="right"/>
            </w:pPr>
            <w:r>
              <w:rPr>
                <w:rFonts w:ascii="宋体" w:hAnsi="宋体" w:eastAsia="宋体" w:cs="宋体"/>
                <w:b w:val="0"/>
              </w:rPr>
              <w:t>-6.01%</w:t>
            </w:r>
          </w:p>
        </w:tc>
        <w:tc>
          <w:tcPr>
            <w:tcW w:w="0" w:type="dxa"/>
            <w:vAlign w:val="center"/>
          </w:tcPr>
          <w:p>
            <w:pPr>
              <w:spacing w:line="240" w:lineRule="auto"/>
              <w:jc w:val="right"/>
            </w:pPr>
            <w:r>
              <w:rPr>
                <w:rFonts w:ascii="宋体" w:hAnsi="宋体" w:eastAsia="宋体" w:cs="宋体"/>
                <w:b w:val="0"/>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11.96%</w:t>
            </w:r>
          </w:p>
        </w:tc>
        <w:tc>
          <w:tcPr>
            <w:tcW w:w="0" w:type="dxa"/>
            <w:vAlign w:val="center"/>
          </w:tcPr>
          <w:p>
            <w:pPr>
              <w:spacing w:line="240" w:lineRule="auto"/>
              <w:jc w:val="right"/>
            </w:pPr>
            <w:r>
              <w:rPr>
                <w:rFonts w:ascii="宋体" w:hAnsi="宋体" w:eastAsia="宋体" w:cs="宋体"/>
                <w:b w:val="0"/>
              </w:rPr>
              <w:t>2.62%</w:t>
            </w:r>
          </w:p>
        </w:tc>
        <w:tc>
          <w:tcPr>
            <w:tcW w:w="0" w:type="dxa"/>
            <w:vAlign w:val="center"/>
          </w:tcPr>
          <w:p>
            <w:pPr>
              <w:spacing w:line="240" w:lineRule="auto"/>
              <w:jc w:val="right"/>
            </w:pPr>
            <w:r>
              <w:rPr>
                <w:rFonts w:ascii="宋体" w:hAnsi="宋体" w:eastAsia="宋体" w:cs="宋体"/>
                <w:b w:val="0"/>
              </w:rPr>
              <w:t>12.24%</w:t>
            </w:r>
          </w:p>
        </w:tc>
        <w:tc>
          <w:tcPr>
            <w:tcW w:w="0" w:type="dxa"/>
            <w:vAlign w:val="center"/>
          </w:tcPr>
          <w:p>
            <w:pPr>
              <w:spacing w:line="240" w:lineRule="auto"/>
              <w:jc w:val="right"/>
            </w:pPr>
            <w:r>
              <w:rPr>
                <w:rFonts w:ascii="宋体" w:hAnsi="宋体" w:eastAsia="宋体" w:cs="宋体"/>
                <w:b w:val="0"/>
              </w:rPr>
              <w:t>0.86%</w:t>
            </w:r>
          </w:p>
        </w:tc>
        <w:tc>
          <w:tcPr>
            <w:tcW w:w="0" w:type="dxa"/>
            <w:vAlign w:val="center"/>
          </w:tcPr>
          <w:p>
            <w:pPr>
              <w:spacing w:line="240" w:lineRule="auto"/>
              <w:jc w:val="right"/>
            </w:pPr>
            <w:r>
              <w:rPr>
                <w:rFonts w:ascii="宋体" w:hAnsi="宋体" w:eastAsia="宋体" w:cs="宋体"/>
                <w:b w:val="0"/>
              </w:rPr>
              <w:t>-0.28%</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7.12%</w:t>
            </w:r>
          </w:p>
        </w:tc>
        <w:tc>
          <w:tcPr>
            <w:tcW w:w="0" w:type="dxa"/>
            <w:vAlign w:val="center"/>
          </w:tcPr>
          <w:p>
            <w:pPr>
              <w:spacing w:line="240" w:lineRule="auto"/>
              <w:jc w:val="right"/>
            </w:pPr>
            <w:r>
              <w:rPr>
                <w:rFonts w:ascii="宋体" w:hAnsi="宋体" w:eastAsia="宋体" w:cs="宋体"/>
                <w:b w:val="0"/>
              </w:rPr>
              <w:t>1.91%</w:t>
            </w:r>
          </w:p>
        </w:tc>
        <w:tc>
          <w:tcPr>
            <w:tcW w:w="0" w:type="dxa"/>
            <w:vAlign w:val="center"/>
          </w:tcPr>
          <w:p>
            <w:pPr>
              <w:spacing w:line="240" w:lineRule="auto"/>
              <w:jc w:val="right"/>
            </w:pPr>
            <w:r>
              <w:rPr>
                <w:rFonts w:ascii="宋体" w:hAnsi="宋体" w:eastAsia="宋体" w:cs="宋体"/>
                <w:b w:val="0"/>
              </w:rPr>
              <w:t>18.05%</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-10.93%</w:t>
            </w:r>
          </w:p>
        </w:tc>
        <w:tc>
          <w:tcPr>
            <w:tcW w:w="0" w:type="dxa"/>
            <w:vAlign w:val="center"/>
          </w:tcPr>
          <w:p>
            <w:pPr>
              <w:spacing w:line="240" w:lineRule="auto"/>
              <w:jc w:val="right"/>
            </w:pPr>
            <w:r>
              <w:rPr>
                <w:rFonts w:ascii="宋体" w:hAnsi="宋体" w:eastAsia="宋体" w:cs="宋体"/>
                <w:b w:val="0"/>
              </w:rPr>
              <w:t>1.02%</w:t>
            </w:r>
          </w:p>
        </w:tc>
      </w:tr>
    </w:tbl>
    <w:p>
      <w:pPr>
        <w:jc w:val="left"/>
      </w:pPr>
      <w:r>
        <w:rPr>
          <w:rFonts w:ascii="宋体" w:hAnsi="宋体" w:eastAsia="宋体" w:cs="宋体"/>
          <w:b/>
        </w:rPr>
        <w:t>东方阿尔法瑞丰混合发起C净值表现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7.12%</w:t>
            </w:r>
          </w:p>
        </w:tc>
        <w:tc>
          <w:tcPr>
            <w:tcW w:w="0" w:type="dxa"/>
            <w:vAlign w:val="center"/>
          </w:tcPr>
          <w:p>
            <w:pPr>
              <w:spacing w:line="240" w:lineRule="auto"/>
              <w:jc w:val="right"/>
            </w:pPr>
            <w:r>
              <w:rPr>
                <w:rFonts w:ascii="宋体" w:hAnsi="宋体" w:eastAsia="宋体" w:cs="宋体"/>
                <w:b w:val="0"/>
              </w:rPr>
              <w:t>3.79%</w:t>
            </w:r>
          </w:p>
        </w:tc>
        <w:tc>
          <w:tcPr>
            <w:tcW w:w="0" w:type="dxa"/>
            <w:vAlign w:val="center"/>
          </w:tcPr>
          <w:p>
            <w:pPr>
              <w:spacing w:line="240" w:lineRule="auto"/>
              <w:jc w:val="right"/>
            </w:pPr>
            <w:r>
              <w:rPr>
                <w:rFonts w:ascii="宋体" w:hAnsi="宋体" w:eastAsia="宋体" w:cs="宋体"/>
                <w:b w:val="0"/>
              </w:rPr>
              <w:t>-2.23%</w:t>
            </w:r>
          </w:p>
        </w:tc>
        <w:tc>
          <w:tcPr>
            <w:tcW w:w="0" w:type="dxa"/>
            <w:vAlign w:val="center"/>
          </w:tcPr>
          <w:p>
            <w:pPr>
              <w:spacing w:line="240" w:lineRule="auto"/>
              <w:jc w:val="right"/>
            </w:pPr>
            <w:r>
              <w:rPr>
                <w:rFonts w:ascii="宋体" w:hAnsi="宋体" w:eastAsia="宋体" w:cs="宋体"/>
                <w:b w:val="0"/>
              </w:rPr>
              <w:t>0.88%</w:t>
            </w:r>
          </w:p>
        </w:tc>
        <w:tc>
          <w:tcPr>
            <w:tcW w:w="0" w:type="dxa"/>
            <w:vAlign w:val="center"/>
          </w:tcPr>
          <w:p>
            <w:pPr>
              <w:spacing w:line="240" w:lineRule="auto"/>
              <w:jc w:val="right"/>
            </w:pPr>
            <w:r>
              <w:rPr>
                <w:rFonts w:ascii="宋体" w:hAnsi="宋体" w:eastAsia="宋体" w:cs="宋体"/>
                <w:b w:val="0"/>
              </w:rPr>
              <w:t>9.35%</w:t>
            </w:r>
          </w:p>
        </w:tc>
        <w:tc>
          <w:tcPr>
            <w:tcW w:w="0" w:type="dxa"/>
            <w:vAlign w:val="center"/>
          </w:tcPr>
          <w:p>
            <w:pPr>
              <w:spacing w:line="240" w:lineRule="auto"/>
              <w:jc w:val="right"/>
            </w:pPr>
            <w:r>
              <w:rPr>
                <w:rFonts w:ascii="宋体" w:hAnsi="宋体" w:eastAsia="宋体" w:cs="宋体"/>
                <w:b w:val="0"/>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-9.41%</w:t>
            </w:r>
          </w:p>
        </w:tc>
        <w:tc>
          <w:tcPr>
            <w:tcW w:w="0" w:type="dxa"/>
            <w:vAlign w:val="center"/>
          </w:tcPr>
          <w:p>
            <w:pPr>
              <w:spacing w:line="240" w:lineRule="auto"/>
              <w:jc w:val="right"/>
            </w:pPr>
            <w:r>
              <w:rPr>
                <w:rFonts w:ascii="宋体" w:hAnsi="宋体" w:eastAsia="宋体" w:cs="宋体"/>
                <w:b w:val="0"/>
              </w:rPr>
              <w:t>2.95%</w:t>
            </w:r>
          </w:p>
        </w:tc>
        <w:tc>
          <w:tcPr>
            <w:tcW w:w="0" w:type="dxa"/>
            <w:vAlign w:val="center"/>
          </w:tcPr>
          <w:p>
            <w:pPr>
              <w:spacing w:line="240" w:lineRule="auto"/>
              <w:jc w:val="right"/>
            </w:pPr>
            <w:r>
              <w:rPr>
                <w:rFonts w:ascii="宋体" w:hAnsi="宋体" w:eastAsia="宋体" w:cs="宋体"/>
                <w:b w:val="0"/>
              </w:rPr>
              <w:t>-3.16%</w:t>
            </w:r>
          </w:p>
        </w:tc>
        <w:tc>
          <w:tcPr>
            <w:tcW w:w="0" w:type="dxa"/>
            <w:vAlign w:val="center"/>
          </w:tcPr>
          <w:p>
            <w:pPr>
              <w:spacing w:line="240" w:lineRule="auto"/>
              <w:jc w:val="right"/>
            </w:pPr>
            <w:r>
              <w:rPr>
                <w:rFonts w:ascii="宋体" w:hAnsi="宋体" w:eastAsia="宋体" w:cs="宋体"/>
                <w:b w:val="0"/>
              </w:rPr>
              <w:t>0.83%</w:t>
            </w:r>
          </w:p>
        </w:tc>
        <w:tc>
          <w:tcPr>
            <w:tcW w:w="0" w:type="dxa"/>
            <w:vAlign w:val="center"/>
          </w:tcPr>
          <w:p>
            <w:pPr>
              <w:spacing w:line="240" w:lineRule="auto"/>
              <w:jc w:val="right"/>
            </w:pPr>
            <w:r>
              <w:rPr>
                <w:rFonts w:ascii="宋体" w:hAnsi="宋体" w:eastAsia="宋体" w:cs="宋体"/>
                <w:b w:val="0"/>
              </w:rPr>
              <w:t>-6.25%</w:t>
            </w:r>
          </w:p>
        </w:tc>
        <w:tc>
          <w:tcPr>
            <w:tcW w:w="0" w:type="dxa"/>
            <w:vAlign w:val="center"/>
          </w:tcPr>
          <w:p>
            <w:pPr>
              <w:spacing w:line="240" w:lineRule="auto"/>
              <w:jc w:val="right"/>
            </w:pPr>
            <w:r>
              <w:rPr>
                <w:rFonts w:ascii="宋体" w:hAnsi="宋体" w:eastAsia="宋体" w:cs="宋体"/>
                <w:b w:val="0"/>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11.36%</w:t>
            </w:r>
          </w:p>
        </w:tc>
        <w:tc>
          <w:tcPr>
            <w:tcW w:w="0" w:type="dxa"/>
            <w:vAlign w:val="center"/>
          </w:tcPr>
          <w:p>
            <w:pPr>
              <w:spacing w:line="240" w:lineRule="auto"/>
              <w:jc w:val="right"/>
            </w:pPr>
            <w:r>
              <w:rPr>
                <w:rFonts w:ascii="宋体" w:hAnsi="宋体" w:eastAsia="宋体" w:cs="宋体"/>
                <w:b w:val="0"/>
              </w:rPr>
              <w:t>2.62%</w:t>
            </w:r>
          </w:p>
        </w:tc>
        <w:tc>
          <w:tcPr>
            <w:tcW w:w="0" w:type="dxa"/>
            <w:vAlign w:val="center"/>
          </w:tcPr>
          <w:p>
            <w:pPr>
              <w:spacing w:line="240" w:lineRule="auto"/>
              <w:jc w:val="right"/>
            </w:pPr>
            <w:r>
              <w:rPr>
                <w:rFonts w:ascii="宋体" w:hAnsi="宋体" w:eastAsia="宋体" w:cs="宋体"/>
                <w:b w:val="0"/>
              </w:rPr>
              <w:t>12.24%</w:t>
            </w:r>
          </w:p>
        </w:tc>
        <w:tc>
          <w:tcPr>
            <w:tcW w:w="0" w:type="dxa"/>
            <w:vAlign w:val="center"/>
          </w:tcPr>
          <w:p>
            <w:pPr>
              <w:spacing w:line="240" w:lineRule="auto"/>
              <w:jc w:val="right"/>
            </w:pPr>
            <w:r>
              <w:rPr>
                <w:rFonts w:ascii="宋体" w:hAnsi="宋体" w:eastAsia="宋体" w:cs="宋体"/>
                <w:b w:val="0"/>
              </w:rPr>
              <w:t>0.86%</w:t>
            </w:r>
          </w:p>
        </w:tc>
        <w:tc>
          <w:tcPr>
            <w:tcW w:w="0" w:type="dxa"/>
            <w:vAlign w:val="center"/>
          </w:tcPr>
          <w:p>
            <w:pPr>
              <w:spacing w:line="240" w:lineRule="auto"/>
              <w:jc w:val="right"/>
            </w:pPr>
            <w:r>
              <w:rPr>
                <w:rFonts w:ascii="宋体" w:hAnsi="宋体" w:eastAsia="宋体" w:cs="宋体"/>
                <w:b w:val="0"/>
              </w:rPr>
              <w:t>-0.88%</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5.91%</w:t>
            </w:r>
          </w:p>
        </w:tc>
        <w:tc>
          <w:tcPr>
            <w:tcW w:w="0" w:type="dxa"/>
            <w:vAlign w:val="center"/>
          </w:tcPr>
          <w:p>
            <w:pPr>
              <w:spacing w:line="240" w:lineRule="auto"/>
              <w:jc w:val="right"/>
            </w:pPr>
            <w:r>
              <w:rPr>
                <w:rFonts w:ascii="宋体" w:hAnsi="宋体" w:eastAsia="宋体" w:cs="宋体"/>
                <w:b w:val="0"/>
              </w:rPr>
              <w:t>1.91%</w:t>
            </w:r>
          </w:p>
        </w:tc>
        <w:tc>
          <w:tcPr>
            <w:tcW w:w="0" w:type="dxa"/>
            <w:vAlign w:val="center"/>
          </w:tcPr>
          <w:p>
            <w:pPr>
              <w:spacing w:line="240" w:lineRule="auto"/>
              <w:jc w:val="right"/>
            </w:pPr>
            <w:r>
              <w:rPr>
                <w:rFonts w:ascii="宋体" w:hAnsi="宋体" w:eastAsia="宋体" w:cs="宋体"/>
                <w:b w:val="0"/>
              </w:rPr>
              <w:t>18.05%</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-12.14%</w:t>
            </w:r>
          </w:p>
        </w:tc>
        <w:tc>
          <w:tcPr>
            <w:tcW w:w="0" w:type="dxa"/>
            <w:vAlign w:val="center"/>
          </w:tcPr>
          <w:p>
            <w:pPr>
              <w:spacing w:line="240" w:lineRule="auto"/>
              <w:jc w:val="right"/>
            </w:pPr>
            <w:r>
              <w:rPr>
                <w:rFonts w:ascii="宋体" w:hAnsi="宋体" w:eastAsia="宋体" w:cs="宋体"/>
                <w:b w:val="0"/>
              </w:rPr>
              <w:t>1.02%</w:t>
            </w:r>
          </w:p>
        </w:tc>
      </w:tr>
    </w:tbl>
    <w:p>
      <w:r>
        <w:rPr>
          <w:rFonts w:ascii="宋体" w:hAnsi="宋体" w:eastAsia="宋体" w:cs="宋体"/>
          <w:b w:val="0"/>
        </w:rPr>
        <w:t>注：1、本基金业绩比较基准为：中证800指数收益率×60%+中证综合债券指数收益率×20%+恒生指数收益率×20%。</w:t>
      </w:r>
      <w:r>
        <w:rPr>
          <w:rFonts w:ascii="宋体" w:hAnsi="宋体" w:eastAsia="宋体" w:cs="宋体"/>
          <w:b w:val="0"/>
        </w:rPr>
        <w:br w:type="textWrapping"/>
      </w:r>
      <w:r>
        <w:rPr>
          <w:rFonts w:ascii="宋体" w:hAnsi="宋体" w:eastAsia="宋体" w:cs="宋体"/>
          <w:b w:val="0"/>
        </w:rPr>
        <w:t>2、本基金自2023年05月12日成立至今尚未满三年，无过去三年和过去五年的净值表现。</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2023-05-12</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全球低轨卫星互联网建设进入加速落地期，商业航天产业在技术突破、政策支持与资本涌入的多重驱动下，正从主题探索转向规模化、商业化运营的关键阶段。国内方面，以长征系列商业火箭发射常态化、巨型星座组网计划公布为重要标志，商业航天产业链成熟度显著提升；海外方面，SpaceX星链用户数量持续高速增长，其推出的直连手机服务，进一步验证了全球卫星互联网市场的巨大需求及可行商业模式。商业航天作为“空天地一体化”信息网络的核心基础设施，其战略价值与商业价值正获得全球资本的重新评估与认可。</w:t>
      </w:r>
      <w:r>
        <w:rPr>
          <w:rFonts w:ascii="宋体" w:hAnsi="宋体" w:eastAsia="宋体" w:cs="宋体"/>
          <w:b w:val="0"/>
        </w:rPr>
        <w:br w:type="textWrapping"/>
      </w:r>
      <w:r>
        <w:rPr>
          <w:rFonts w:ascii="宋体" w:hAnsi="宋体" w:eastAsia="宋体" w:cs="宋体"/>
          <w:b w:val="0"/>
        </w:rPr>
        <w:t xml:space="preserve">    基于对商业航天行业长期空间的看好，本基金于2026年一季度维持对商业航天行业的重点配置，核心操作如下：</w:t>
      </w:r>
      <w:r>
        <w:rPr>
          <w:rFonts w:ascii="宋体" w:hAnsi="宋体" w:eastAsia="宋体" w:cs="宋体"/>
          <w:b w:val="0"/>
        </w:rPr>
        <w:br w:type="textWrapping"/>
      </w:r>
      <w:r>
        <w:rPr>
          <w:rFonts w:ascii="宋体" w:hAnsi="宋体" w:eastAsia="宋体" w:cs="宋体"/>
          <w:b w:val="0"/>
        </w:rPr>
        <w:t xml:space="preserve">    一、减配商业航天整星及平台龙头公司。此类公司承担国家重大航天工程任务，技术积淀深厚，同时积极拓展商业卫星平台及载荷研制业务。随着卫星设计走向模块化、批量化，其规模效应与成本下降曲线清晰，有望成为空间基础设施的核心供应商，基于前期估值体现较为充分，适当进行了减配。</w:t>
      </w:r>
      <w:r>
        <w:rPr>
          <w:rFonts w:ascii="宋体" w:hAnsi="宋体" w:eastAsia="宋体" w:cs="宋体"/>
          <w:b w:val="0"/>
        </w:rPr>
        <w:br w:type="textWrapping"/>
      </w:r>
      <w:r>
        <w:rPr>
          <w:rFonts w:ascii="宋体" w:hAnsi="宋体" w:eastAsia="宋体" w:cs="宋体"/>
          <w:b w:val="0"/>
        </w:rPr>
        <w:t xml:space="preserve">    二、加配火箭发射与服务公司。可重复使用火箭技术是实现发射成本数量级下降的关键。国内多家民营火箭公司已成功完成多次回收试验，发射报价显著低于国际传统报价，标志着“中国制造”在航天领域的成本优势开始显现。发射服务的降本是整个产业爆发的基石。</w:t>
      </w:r>
      <w:r>
        <w:rPr>
          <w:rFonts w:ascii="宋体" w:hAnsi="宋体" w:eastAsia="宋体" w:cs="宋体"/>
          <w:b w:val="0"/>
        </w:rPr>
        <w:br w:type="textWrapping"/>
      </w:r>
      <w:r>
        <w:rPr>
          <w:rFonts w:ascii="宋体" w:hAnsi="宋体" w:eastAsia="宋体" w:cs="宋体"/>
          <w:b w:val="0"/>
        </w:rPr>
        <w:t xml:space="preserve">    三、加配上游核心元器件及材料公司。卫星的批量生产与星座组网，对相控阵天线、星载计算机、特种航天材料等上游环节带来确定性的需求放量。具备技术壁垒和先发优势的零部件企业将优先受益于行业贝塔。</w:t>
      </w:r>
      <w:r>
        <w:rPr>
          <w:rFonts w:ascii="宋体" w:hAnsi="宋体" w:eastAsia="宋体" w:cs="宋体"/>
          <w:b w:val="0"/>
        </w:rPr>
        <w:br w:type="textWrapping"/>
      </w:r>
      <w:r>
        <w:rPr>
          <w:rFonts w:ascii="宋体" w:hAnsi="宋体" w:eastAsia="宋体" w:cs="宋体"/>
          <w:b w:val="0"/>
        </w:rPr>
        <w:t xml:space="preserve">    总结来看，商业航天作为国家战略核心行业，正处于政策护航、技术破局、订单兑现的黄金拐点，迎来从“题材”到“真成长”的关键跃迁。本基金将持续关注国家航天强国战略，精选产业链核心资产，把握空天产业爆发红利。国家级星座组网驱动爆发式订单，2026 年全年发射次数将破百次，商业发射占比超60%，入轨航天器突破1000颗，产业规模同比增长超35%，进入高速增长期。本基金看好商业航天在通信、遥感、导航等领域的长期应用潜力，将持续跟踪技术进展与商业化节奏，努力为投资人布局未来。</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瑞丰混合发起A基金份额净值为1.0712元，本报告期内，该类基金份额净值增长率为7.24%，同期业绩比较基准收益率为-2.23%；截至报告期末东方阿尔法瑞丰混合发起C基金份额净值为1.0591元，本报告期内，该类基金份额净值增长率为7.12%，同期业绩比较基准收益率为-2.23%。</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457,350,447.43</w:t>
            </w:r>
          </w:p>
        </w:tc>
        <w:tc>
          <w:tcPr>
            <w:tcW w:w="0" w:type="dxa"/>
            <w:vAlign w:val="center"/>
          </w:tcPr>
          <w:p>
            <w:pPr>
              <w:spacing w:line="240" w:lineRule="auto"/>
              <w:jc w:val="right"/>
            </w:pPr>
            <w:r>
              <w:rPr>
                <w:rFonts w:ascii="宋体" w:hAnsi="宋体" w:eastAsia="宋体" w:cs="宋体"/>
                <w:b w:val="0"/>
              </w:rPr>
              <w:t>90.07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457,350,447.43</w:t>
            </w:r>
          </w:p>
        </w:tc>
        <w:tc>
          <w:tcPr>
            <w:tcW w:w="0" w:type="dxa"/>
            <w:vAlign w:val="center"/>
          </w:tcPr>
          <w:p>
            <w:pPr>
              <w:spacing w:line="240" w:lineRule="auto"/>
              <w:jc w:val="right"/>
            </w:pPr>
            <w:r>
              <w:rPr>
                <w:rFonts w:ascii="宋体" w:hAnsi="宋体" w:eastAsia="宋体" w:cs="宋体"/>
                <w:b w:val="0"/>
              </w:rPr>
              <w:t>90.07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26,586,666.38</w:t>
            </w:r>
          </w:p>
        </w:tc>
        <w:tc>
          <w:tcPr>
            <w:tcW w:w="0" w:type="dxa"/>
            <w:vAlign w:val="center"/>
          </w:tcPr>
          <w:p>
            <w:pPr>
              <w:spacing w:line="240" w:lineRule="auto"/>
              <w:jc w:val="right"/>
            </w:pPr>
            <w:r>
              <w:rPr>
                <w:rFonts w:ascii="宋体" w:hAnsi="宋体" w:eastAsia="宋体" w:cs="宋体"/>
                <w:b w:val="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26,586,666.38</w:t>
            </w:r>
          </w:p>
        </w:tc>
        <w:tc>
          <w:tcPr>
            <w:tcW w:w="0" w:type="dxa"/>
            <w:vAlign w:val="center"/>
          </w:tcPr>
          <w:p>
            <w:pPr>
              <w:spacing w:line="240" w:lineRule="auto"/>
              <w:jc w:val="right"/>
            </w:pPr>
            <w:r>
              <w:rPr>
                <w:rFonts w:ascii="宋体" w:hAnsi="宋体" w:eastAsia="宋体" w:cs="宋体"/>
                <w:b w:val="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5,891,509.52</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17,965,256.90</w:t>
            </w:r>
          </w:p>
        </w:tc>
        <w:tc>
          <w:tcPr>
            <w:tcW w:w="0" w:type="dxa"/>
            <w:vAlign w:val="center"/>
          </w:tcPr>
          <w:p>
            <w:pPr>
              <w:spacing w:line="240" w:lineRule="auto"/>
              <w:jc w:val="right"/>
            </w:pPr>
            <w:r>
              <w:rPr>
                <w:rFonts w:ascii="宋体" w:hAnsi="宋体" w:eastAsia="宋体" w:cs="宋体"/>
                <w:b w:val="0"/>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507,793,880.23</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注：报告期末本基金通过港股通交易机制投资的港股公允价值合计13,620,010.56元，占基金资产净值的比例为2.77%。</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148,641.34</w:t>
            </w:r>
          </w:p>
        </w:tc>
        <w:tc>
          <w:tcPr>
            <w:tcW w:w="0" w:type="dxa"/>
            <w:vAlign w:val="center"/>
          </w:tcPr>
          <w:p>
            <w:pPr>
              <w:spacing w:line="240" w:lineRule="auto"/>
              <w:jc w:val="right"/>
            </w:pPr>
            <w:r>
              <w:rPr>
                <w:rFonts w:ascii="宋体" w:hAnsi="宋体" w:eastAsia="宋体" w:cs="宋体"/>
                <w:b w:val="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425,020,311.53</w:t>
            </w:r>
          </w:p>
        </w:tc>
        <w:tc>
          <w:tcPr>
            <w:tcW w:w="0" w:type="dxa"/>
            <w:vAlign w:val="center"/>
          </w:tcPr>
          <w:p>
            <w:pPr>
              <w:spacing w:line="240" w:lineRule="auto"/>
              <w:jc w:val="right"/>
            </w:pPr>
            <w:r>
              <w:rPr>
                <w:rFonts w:ascii="宋体" w:hAnsi="宋体" w:eastAsia="宋体" w:cs="宋体"/>
                <w:b w:val="0"/>
              </w:rPr>
              <w:t>86.53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9,147,600.00</w:t>
            </w:r>
          </w:p>
        </w:tc>
        <w:tc>
          <w:tcPr>
            <w:tcW w:w="0" w:type="dxa"/>
            <w:vAlign w:val="center"/>
          </w:tcPr>
          <w:p>
            <w:pPr>
              <w:spacing w:line="240" w:lineRule="auto"/>
              <w:jc w:val="right"/>
            </w:pPr>
            <w:r>
              <w:rPr>
                <w:rFonts w:ascii="宋体" w:hAnsi="宋体" w:eastAsia="宋体" w:cs="宋体"/>
                <w:b w:val="0"/>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9,413,884.00</w:t>
            </w:r>
          </w:p>
        </w:tc>
        <w:tc>
          <w:tcPr>
            <w:tcW w:w="0" w:type="dxa"/>
            <w:vAlign w:val="center"/>
          </w:tcPr>
          <w:p>
            <w:pPr>
              <w:spacing w:line="240" w:lineRule="auto"/>
              <w:jc w:val="right"/>
            </w:pPr>
            <w:r>
              <w:rPr>
                <w:rFonts w:ascii="宋体" w:hAnsi="宋体" w:eastAsia="宋体" w:cs="宋体"/>
                <w:b w:val="0"/>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443,730,436.87</w:t>
            </w:r>
          </w:p>
        </w:tc>
        <w:tc>
          <w:tcPr>
            <w:tcW w:w="0" w:type="dxa"/>
            <w:vAlign w:val="center"/>
          </w:tcPr>
          <w:p>
            <w:pPr>
              <w:spacing w:line="240" w:lineRule="auto"/>
              <w:jc w:val="right"/>
            </w:pPr>
            <w:r>
              <w:rPr>
                <w:rFonts w:ascii="宋体" w:hAnsi="宋体" w:eastAsia="宋体" w:cs="宋体"/>
                <w:b w:val="0"/>
              </w:rPr>
              <w:t>90.34</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13,620,010.56</w:t>
            </w:r>
          </w:p>
        </w:tc>
        <w:tc>
          <w:tcPr>
            <w:tcW w:w="0" w:type="dxa"/>
            <w:vAlign w:val="center"/>
          </w:tcPr>
          <w:p>
            <w:pPr>
              <w:spacing w:line="240" w:lineRule="auto"/>
              <w:jc w:val="right"/>
            </w:pPr>
            <w:r>
              <w:rPr>
                <w:rFonts w:ascii="宋体" w:hAnsi="宋体" w:eastAsia="宋体" w:cs="宋体"/>
                <w:b w:val="0"/>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13,620,010.56</w:t>
            </w:r>
          </w:p>
        </w:tc>
        <w:tc>
          <w:tcPr>
            <w:tcW w:w="0" w:type="dxa"/>
            <w:vAlign w:val="center"/>
          </w:tcPr>
          <w:p>
            <w:pPr>
              <w:spacing w:line="240" w:lineRule="auto"/>
              <w:jc w:val="right"/>
            </w:pPr>
            <w:r>
              <w:rPr>
                <w:rFonts w:ascii="宋体" w:hAnsi="宋体" w:eastAsia="宋体" w:cs="宋体"/>
                <w:b w:val="0"/>
              </w:rPr>
              <w:t>2.77</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001400</w:t>
            </w:r>
          </w:p>
        </w:tc>
        <w:tc>
          <w:tcPr>
            <w:tcW w:w="0" w:type="dxa"/>
            <w:vAlign w:val="center"/>
          </w:tcPr>
          <w:p>
            <w:pPr>
              <w:spacing w:line="240" w:lineRule="auto"/>
              <w:jc w:val="left"/>
            </w:pPr>
            <w:r>
              <w:rPr>
                <w:rFonts w:ascii="宋体" w:hAnsi="宋体" w:eastAsia="宋体" w:cs="宋体"/>
                <w:b w:val="0"/>
              </w:rPr>
              <w:t>江顺科技</w:t>
            </w:r>
          </w:p>
        </w:tc>
        <w:tc>
          <w:tcPr>
            <w:tcW w:w="0" w:type="dxa"/>
            <w:vAlign w:val="center"/>
          </w:tcPr>
          <w:p>
            <w:pPr>
              <w:spacing w:line="240" w:lineRule="auto"/>
              <w:jc w:val="right"/>
            </w:pPr>
            <w:r>
              <w:rPr>
                <w:rFonts w:ascii="宋体" w:hAnsi="宋体" w:eastAsia="宋体" w:cs="宋体"/>
                <w:b w:val="0"/>
              </w:rPr>
              <w:t>287,800</w:t>
            </w:r>
          </w:p>
        </w:tc>
        <w:tc>
          <w:tcPr>
            <w:tcW w:w="0" w:type="dxa"/>
            <w:vAlign w:val="center"/>
          </w:tcPr>
          <w:p>
            <w:pPr>
              <w:spacing w:line="240" w:lineRule="auto"/>
              <w:jc w:val="right"/>
            </w:pPr>
            <w:r>
              <w:rPr>
                <w:rFonts w:ascii="宋体" w:hAnsi="宋体" w:eastAsia="宋体" w:cs="宋体"/>
                <w:b w:val="0"/>
              </w:rPr>
              <w:t>47,961,870.00</w:t>
            </w:r>
          </w:p>
        </w:tc>
        <w:tc>
          <w:tcPr>
            <w:tcW w:w="0" w:type="dxa"/>
            <w:vAlign w:val="center"/>
          </w:tcPr>
          <w:p>
            <w:pPr>
              <w:spacing w:line="240" w:lineRule="auto"/>
              <w:jc w:val="right"/>
            </w:pPr>
            <w:r>
              <w:rPr>
                <w:rFonts w:ascii="宋体" w:hAnsi="宋体" w:eastAsia="宋体" w:cs="宋体"/>
                <w:b w:val="0"/>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300751</w:t>
            </w:r>
          </w:p>
        </w:tc>
        <w:tc>
          <w:tcPr>
            <w:tcW w:w="0" w:type="dxa"/>
            <w:vAlign w:val="center"/>
          </w:tcPr>
          <w:p>
            <w:pPr>
              <w:spacing w:line="240" w:lineRule="auto"/>
              <w:jc w:val="left"/>
            </w:pPr>
            <w:r>
              <w:rPr>
                <w:rFonts w:ascii="宋体" w:hAnsi="宋体" w:eastAsia="宋体" w:cs="宋体"/>
                <w:b w:val="0"/>
              </w:rPr>
              <w:t>迈为股份</w:t>
            </w:r>
          </w:p>
        </w:tc>
        <w:tc>
          <w:tcPr>
            <w:tcW w:w="0" w:type="dxa"/>
            <w:vAlign w:val="center"/>
          </w:tcPr>
          <w:p>
            <w:pPr>
              <w:spacing w:line="240" w:lineRule="auto"/>
              <w:jc w:val="right"/>
            </w:pPr>
            <w:r>
              <w:rPr>
                <w:rFonts w:ascii="宋体" w:hAnsi="宋体" w:eastAsia="宋体" w:cs="宋体"/>
                <w:b w:val="0"/>
              </w:rPr>
              <w:t>138,600</w:t>
            </w:r>
          </w:p>
        </w:tc>
        <w:tc>
          <w:tcPr>
            <w:tcW w:w="0" w:type="dxa"/>
            <w:vAlign w:val="center"/>
          </w:tcPr>
          <w:p>
            <w:pPr>
              <w:spacing w:line="240" w:lineRule="auto"/>
              <w:jc w:val="right"/>
            </w:pPr>
            <w:r>
              <w:rPr>
                <w:rFonts w:ascii="宋体" w:hAnsi="宋体" w:eastAsia="宋体" w:cs="宋体"/>
                <w:b w:val="0"/>
              </w:rPr>
              <w:t>31,697,820.00</w:t>
            </w:r>
          </w:p>
        </w:tc>
        <w:tc>
          <w:tcPr>
            <w:tcW w:w="0" w:type="dxa"/>
            <w:vAlign w:val="center"/>
          </w:tcPr>
          <w:p>
            <w:pPr>
              <w:spacing w:line="240" w:lineRule="auto"/>
              <w:jc w:val="right"/>
            </w:pPr>
            <w:r>
              <w:rPr>
                <w:rFonts w:ascii="宋体" w:hAnsi="宋体" w:eastAsia="宋体" w:cs="宋体"/>
                <w:b w:val="0"/>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002865</w:t>
            </w:r>
          </w:p>
        </w:tc>
        <w:tc>
          <w:tcPr>
            <w:tcW w:w="0" w:type="dxa"/>
            <w:vAlign w:val="center"/>
          </w:tcPr>
          <w:p>
            <w:pPr>
              <w:spacing w:line="240" w:lineRule="auto"/>
              <w:jc w:val="left"/>
            </w:pPr>
            <w:r>
              <w:rPr>
                <w:rFonts w:ascii="宋体" w:hAnsi="宋体" w:eastAsia="宋体" w:cs="宋体"/>
                <w:b w:val="0"/>
              </w:rPr>
              <w:t>钧达股份</w:t>
            </w:r>
          </w:p>
        </w:tc>
        <w:tc>
          <w:tcPr>
            <w:tcW w:w="0" w:type="dxa"/>
            <w:vAlign w:val="center"/>
          </w:tcPr>
          <w:p>
            <w:pPr>
              <w:spacing w:line="240" w:lineRule="auto"/>
              <w:jc w:val="right"/>
            </w:pPr>
            <w:r>
              <w:rPr>
                <w:rFonts w:ascii="宋体" w:hAnsi="宋体" w:eastAsia="宋体" w:cs="宋体"/>
                <w:b w:val="0"/>
              </w:rPr>
              <w:t>238,300</w:t>
            </w:r>
          </w:p>
        </w:tc>
        <w:tc>
          <w:tcPr>
            <w:tcW w:w="0" w:type="dxa"/>
            <w:vAlign w:val="center"/>
          </w:tcPr>
          <w:p>
            <w:pPr>
              <w:spacing w:line="240" w:lineRule="auto"/>
              <w:jc w:val="right"/>
            </w:pPr>
            <w:r>
              <w:rPr>
                <w:rFonts w:ascii="宋体" w:hAnsi="宋体" w:eastAsia="宋体" w:cs="宋体"/>
                <w:b w:val="0"/>
              </w:rPr>
              <w:t>17,152,834.00</w:t>
            </w:r>
          </w:p>
        </w:tc>
        <w:tc>
          <w:tcPr>
            <w:tcW w:w="0" w:type="dxa"/>
            <w:vAlign w:val="center"/>
          </w:tcPr>
          <w:p>
            <w:pPr>
              <w:spacing w:line="240" w:lineRule="auto"/>
              <w:jc w:val="right"/>
            </w:pPr>
            <w:r>
              <w:rPr>
                <w:rFonts w:ascii="宋体" w:hAnsi="宋体" w:eastAsia="宋体" w:cs="宋体"/>
                <w:b w:val="0"/>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02865</w:t>
            </w:r>
          </w:p>
        </w:tc>
        <w:tc>
          <w:tcPr>
            <w:tcW w:w="0" w:type="dxa"/>
            <w:vAlign w:val="center"/>
          </w:tcPr>
          <w:p>
            <w:pPr>
              <w:spacing w:line="240" w:lineRule="auto"/>
              <w:jc w:val="left"/>
            </w:pPr>
            <w:r>
              <w:rPr>
                <w:rFonts w:ascii="宋体" w:hAnsi="宋体" w:eastAsia="宋体" w:cs="宋体"/>
                <w:b w:val="0"/>
              </w:rPr>
              <w:t>钧达股份</w:t>
            </w:r>
          </w:p>
        </w:tc>
        <w:tc>
          <w:tcPr>
            <w:tcW w:w="0" w:type="dxa"/>
            <w:vAlign w:val="center"/>
          </w:tcPr>
          <w:p>
            <w:pPr>
              <w:spacing w:line="240" w:lineRule="auto"/>
              <w:jc w:val="right"/>
            </w:pPr>
            <w:r>
              <w:rPr>
                <w:rFonts w:ascii="宋体" w:hAnsi="宋体" w:eastAsia="宋体" w:cs="宋体"/>
                <w:b w:val="0"/>
              </w:rPr>
              <w:t>566,700</w:t>
            </w:r>
          </w:p>
        </w:tc>
        <w:tc>
          <w:tcPr>
            <w:tcW w:w="0" w:type="dxa"/>
            <w:vAlign w:val="center"/>
          </w:tcPr>
          <w:p>
            <w:pPr>
              <w:spacing w:line="240" w:lineRule="auto"/>
              <w:jc w:val="right"/>
            </w:pPr>
            <w:r>
              <w:rPr>
                <w:rFonts w:ascii="宋体" w:hAnsi="宋体" w:eastAsia="宋体" w:cs="宋体"/>
                <w:b w:val="0"/>
              </w:rPr>
              <w:t>13,620,010.56</w:t>
            </w:r>
          </w:p>
        </w:tc>
        <w:tc>
          <w:tcPr>
            <w:tcW w:w="0" w:type="dxa"/>
            <w:vAlign w:val="center"/>
          </w:tcPr>
          <w:p>
            <w:pPr>
              <w:spacing w:line="240" w:lineRule="auto"/>
              <w:jc w:val="right"/>
            </w:pPr>
            <w:r>
              <w:rPr>
                <w:rFonts w:ascii="宋体" w:hAnsi="宋体" w:eastAsia="宋体" w:cs="宋体"/>
                <w:b w:val="0"/>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600498</w:t>
            </w:r>
          </w:p>
        </w:tc>
        <w:tc>
          <w:tcPr>
            <w:tcW w:w="0" w:type="dxa"/>
            <w:vAlign w:val="center"/>
          </w:tcPr>
          <w:p>
            <w:pPr>
              <w:spacing w:line="240" w:lineRule="auto"/>
              <w:jc w:val="left"/>
            </w:pPr>
            <w:r>
              <w:rPr>
                <w:rFonts w:ascii="宋体" w:hAnsi="宋体" w:eastAsia="宋体" w:cs="宋体"/>
                <w:b w:val="0"/>
              </w:rPr>
              <w:t>烽火通信</w:t>
            </w:r>
          </w:p>
        </w:tc>
        <w:tc>
          <w:tcPr>
            <w:tcW w:w="0" w:type="dxa"/>
            <w:vAlign w:val="center"/>
          </w:tcPr>
          <w:p>
            <w:pPr>
              <w:spacing w:line="240" w:lineRule="auto"/>
              <w:jc w:val="right"/>
            </w:pPr>
            <w:r>
              <w:rPr>
                <w:rFonts w:ascii="宋体" w:hAnsi="宋体" w:eastAsia="宋体" w:cs="宋体"/>
                <w:b w:val="0"/>
              </w:rPr>
              <w:t>566,500</w:t>
            </w:r>
          </w:p>
        </w:tc>
        <w:tc>
          <w:tcPr>
            <w:tcW w:w="0" w:type="dxa"/>
            <w:vAlign w:val="center"/>
          </w:tcPr>
          <w:p>
            <w:pPr>
              <w:spacing w:line="240" w:lineRule="auto"/>
              <w:jc w:val="right"/>
            </w:pPr>
            <w:r>
              <w:rPr>
                <w:rFonts w:ascii="宋体" w:hAnsi="宋体" w:eastAsia="宋体" w:cs="宋体"/>
                <w:b w:val="0"/>
              </w:rPr>
              <w:t>28,596,920.00</w:t>
            </w:r>
          </w:p>
        </w:tc>
        <w:tc>
          <w:tcPr>
            <w:tcW w:w="0" w:type="dxa"/>
            <w:vAlign w:val="center"/>
          </w:tcPr>
          <w:p>
            <w:pPr>
              <w:spacing w:line="240" w:lineRule="auto"/>
              <w:jc w:val="right"/>
            </w:pPr>
            <w:r>
              <w:rPr>
                <w:rFonts w:ascii="宋体" w:hAnsi="宋体" w:eastAsia="宋体" w:cs="宋体"/>
                <w:b w:val="0"/>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688270</w:t>
            </w:r>
          </w:p>
        </w:tc>
        <w:tc>
          <w:tcPr>
            <w:tcW w:w="0" w:type="dxa"/>
            <w:vAlign w:val="center"/>
          </w:tcPr>
          <w:p>
            <w:pPr>
              <w:spacing w:line="240" w:lineRule="auto"/>
              <w:jc w:val="left"/>
            </w:pPr>
            <w:r>
              <w:rPr>
                <w:rFonts w:ascii="宋体" w:hAnsi="宋体" w:eastAsia="宋体" w:cs="宋体"/>
                <w:b w:val="0"/>
              </w:rPr>
              <w:t>臻镭科技</w:t>
            </w:r>
          </w:p>
        </w:tc>
        <w:tc>
          <w:tcPr>
            <w:tcW w:w="0" w:type="dxa"/>
            <w:vAlign w:val="center"/>
          </w:tcPr>
          <w:p>
            <w:pPr>
              <w:spacing w:line="240" w:lineRule="auto"/>
              <w:jc w:val="right"/>
            </w:pPr>
            <w:r>
              <w:rPr>
                <w:rFonts w:ascii="宋体" w:hAnsi="宋体" w:eastAsia="宋体" w:cs="宋体"/>
                <w:b w:val="0"/>
              </w:rPr>
              <w:t>183,654</w:t>
            </w:r>
          </w:p>
        </w:tc>
        <w:tc>
          <w:tcPr>
            <w:tcW w:w="0" w:type="dxa"/>
            <w:vAlign w:val="center"/>
          </w:tcPr>
          <w:p>
            <w:pPr>
              <w:spacing w:line="240" w:lineRule="auto"/>
              <w:jc w:val="right"/>
            </w:pPr>
            <w:r>
              <w:rPr>
                <w:rFonts w:ascii="宋体" w:hAnsi="宋体" w:eastAsia="宋体" w:cs="宋体"/>
                <w:b w:val="0"/>
              </w:rPr>
              <w:t>27,226,705.50</w:t>
            </w:r>
          </w:p>
        </w:tc>
        <w:tc>
          <w:tcPr>
            <w:tcW w:w="0" w:type="dxa"/>
            <w:vAlign w:val="center"/>
          </w:tcPr>
          <w:p>
            <w:pPr>
              <w:spacing w:line="240" w:lineRule="auto"/>
              <w:jc w:val="right"/>
            </w:pPr>
            <w:r>
              <w:rPr>
                <w:rFonts w:ascii="宋体" w:hAnsi="宋体" w:eastAsia="宋体" w:cs="宋体"/>
                <w:b w:val="0"/>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300900</w:t>
            </w:r>
          </w:p>
        </w:tc>
        <w:tc>
          <w:tcPr>
            <w:tcW w:w="0" w:type="dxa"/>
            <w:vAlign w:val="center"/>
          </w:tcPr>
          <w:p>
            <w:pPr>
              <w:spacing w:line="240" w:lineRule="auto"/>
              <w:jc w:val="left"/>
            </w:pPr>
            <w:r>
              <w:rPr>
                <w:rFonts w:ascii="宋体" w:hAnsi="宋体" w:eastAsia="宋体" w:cs="宋体"/>
                <w:b w:val="0"/>
              </w:rPr>
              <w:t>广联航空</w:t>
            </w:r>
          </w:p>
        </w:tc>
        <w:tc>
          <w:tcPr>
            <w:tcW w:w="0" w:type="dxa"/>
            <w:vAlign w:val="center"/>
          </w:tcPr>
          <w:p>
            <w:pPr>
              <w:spacing w:line="240" w:lineRule="auto"/>
              <w:jc w:val="right"/>
            </w:pPr>
            <w:r>
              <w:rPr>
                <w:rFonts w:ascii="宋体" w:hAnsi="宋体" w:eastAsia="宋体" w:cs="宋体"/>
                <w:b w:val="0"/>
              </w:rPr>
              <w:t>681,600</w:t>
            </w:r>
          </w:p>
        </w:tc>
        <w:tc>
          <w:tcPr>
            <w:tcW w:w="0" w:type="dxa"/>
            <w:vAlign w:val="center"/>
          </w:tcPr>
          <w:p>
            <w:pPr>
              <w:spacing w:line="240" w:lineRule="auto"/>
              <w:jc w:val="right"/>
            </w:pPr>
            <w:r>
              <w:rPr>
                <w:rFonts w:ascii="宋体" w:hAnsi="宋体" w:eastAsia="宋体" w:cs="宋体"/>
                <w:b w:val="0"/>
              </w:rPr>
              <w:t>26,309,760.00</w:t>
            </w:r>
          </w:p>
        </w:tc>
        <w:tc>
          <w:tcPr>
            <w:tcW w:w="0" w:type="dxa"/>
            <w:vAlign w:val="center"/>
          </w:tcPr>
          <w:p>
            <w:pPr>
              <w:spacing w:line="240" w:lineRule="auto"/>
              <w:jc w:val="right"/>
            </w:pPr>
            <w:r>
              <w:rPr>
                <w:rFonts w:ascii="宋体" w:hAnsi="宋体" w:eastAsia="宋体" w:cs="宋体"/>
                <w:b w:val="0"/>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301232</w:t>
            </w:r>
          </w:p>
        </w:tc>
        <w:tc>
          <w:tcPr>
            <w:tcW w:w="0" w:type="dxa"/>
            <w:vAlign w:val="center"/>
          </w:tcPr>
          <w:p>
            <w:pPr>
              <w:spacing w:line="240" w:lineRule="auto"/>
              <w:jc w:val="left"/>
            </w:pPr>
            <w:r>
              <w:rPr>
                <w:rFonts w:ascii="宋体" w:hAnsi="宋体" w:eastAsia="宋体" w:cs="宋体"/>
                <w:b w:val="0"/>
              </w:rPr>
              <w:t>飞沃科技</w:t>
            </w:r>
          </w:p>
        </w:tc>
        <w:tc>
          <w:tcPr>
            <w:tcW w:w="0" w:type="dxa"/>
            <w:vAlign w:val="center"/>
          </w:tcPr>
          <w:p>
            <w:pPr>
              <w:spacing w:line="240" w:lineRule="auto"/>
              <w:jc w:val="right"/>
            </w:pPr>
            <w:r>
              <w:rPr>
                <w:rFonts w:ascii="宋体" w:hAnsi="宋体" w:eastAsia="宋体" w:cs="宋体"/>
                <w:b w:val="0"/>
              </w:rPr>
              <w:t>144,500</w:t>
            </w:r>
          </w:p>
        </w:tc>
        <w:tc>
          <w:tcPr>
            <w:tcW w:w="0" w:type="dxa"/>
            <w:vAlign w:val="center"/>
          </w:tcPr>
          <w:p>
            <w:pPr>
              <w:spacing w:line="240" w:lineRule="auto"/>
              <w:jc w:val="right"/>
            </w:pPr>
            <w:r>
              <w:rPr>
                <w:rFonts w:ascii="宋体" w:hAnsi="宋体" w:eastAsia="宋体" w:cs="宋体"/>
                <w:b w:val="0"/>
              </w:rPr>
              <w:t>24,752,850.00</w:t>
            </w:r>
          </w:p>
        </w:tc>
        <w:tc>
          <w:tcPr>
            <w:tcW w:w="0" w:type="dxa"/>
            <w:vAlign w:val="center"/>
          </w:tcPr>
          <w:p>
            <w:pPr>
              <w:spacing w:line="240" w:lineRule="auto"/>
              <w:jc w:val="right"/>
            </w:pPr>
            <w:r>
              <w:rPr>
                <w:rFonts w:ascii="宋体" w:hAnsi="宋体" w:eastAsia="宋体" w:cs="宋体"/>
                <w:b w:val="0"/>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688818</w:t>
            </w:r>
          </w:p>
        </w:tc>
        <w:tc>
          <w:tcPr>
            <w:tcW w:w="0" w:type="dxa"/>
            <w:vAlign w:val="center"/>
          </w:tcPr>
          <w:p>
            <w:pPr>
              <w:spacing w:line="240" w:lineRule="auto"/>
              <w:jc w:val="left"/>
            </w:pPr>
            <w:r>
              <w:rPr>
                <w:rFonts w:ascii="宋体" w:hAnsi="宋体" w:eastAsia="宋体" w:cs="宋体"/>
                <w:b w:val="0"/>
              </w:rPr>
              <w:t>电科蓝天</w:t>
            </w:r>
          </w:p>
        </w:tc>
        <w:tc>
          <w:tcPr>
            <w:tcW w:w="0" w:type="dxa"/>
            <w:vAlign w:val="center"/>
          </w:tcPr>
          <w:p>
            <w:pPr>
              <w:spacing w:line="240" w:lineRule="auto"/>
              <w:jc w:val="right"/>
            </w:pPr>
            <w:r>
              <w:rPr>
                <w:rFonts w:ascii="宋体" w:hAnsi="宋体" w:eastAsia="宋体" w:cs="宋体"/>
                <w:b w:val="0"/>
              </w:rPr>
              <w:t>334,573</w:t>
            </w:r>
          </w:p>
        </w:tc>
        <w:tc>
          <w:tcPr>
            <w:tcW w:w="0" w:type="dxa"/>
            <w:vAlign w:val="center"/>
          </w:tcPr>
          <w:p>
            <w:pPr>
              <w:spacing w:line="240" w:lineRule="auto"/>
              <w:jc w:val="right"/>
            </w:pPr>
            <w:r>
              <w:rPr>
                <w:rFonts w:ascii="宋体" w:hAnsi="宋体" w:eastAsia="宋体" w:cs="宋体"/>
                <w:b w:val="0"/>
              </w:rPr>
              <w:t>20,321,964.02</w:t>
            </w:r>
          </w:p>
        </w:tc>
        <w:tc>
          <w:tcPr>
            <w:tcW w:w="0" w:type="dxa"/>
            <w:vAlign w:val="center"/>
          </w:tcPr>
          <w:p>
            <w:pPr>
              <w:spacing w:line="240" w:lineRule="auto"/>
              <w:jc w:val="right"/>
            </w:pPr>
            <w:r>
              <w:rPr>
                <w:rFonts w:ascii="宋体" w:hAnsi="宋体" w:eastAsia="宋体" w:cs="宋体"/>
                <w:b w:val="0"/>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300503</w:t>
            </w:r>
          </w:p>
        </w:tc>
        <w:tc>
          <w:tcPr>
            <w:tcW w:w="0" w:type="dxa"/>
            <w:vAlign w:val="center"/>
          </w:tcPr>
          <w:p>
            <w:pPr>
              <w:spacing w:line="240" w:lineRule="auto"/>
              <w:jc w:val="left"/>
            </w:pPr>
            <w:r>
              <w:rPr>
                <w:rFonts w:ascii="宋体" w:hAnsi="宋体" w:eastAsia="宋体" w:cs="宋体"/>
                <w:b w:val="0"/>
              </w:rPr>
              <w:t>昊志机电</w:t>
            </w:r>
          </w:p>
        </w:tc>
        <w:tc>
          <w:tcPr>
            <w:tcW w:w="0" w:type="dxa"/>
            <w:vAlign w:val="center"/>
          </w:tcPr>
          <w:p>
            <w:pPr>
              <w:spacing w:line="240" w:lineRule="auto"/>
              <w:jc w:val="right"/>
            </w:pPr>
            <w:r>
              <w:rPr>
                <w:rFonts w:ascii="宋体" w:hAnsi="宋体" w:eastAsia="宋体" w:cs="宋体"/>
                <w:b w:val="0"/>
              </w:rPr>
              <w:t>381,600</w:t>
            </w:r>
          </w:p>
        </w:tc>
        <w:tc>
          <w:tcPr>
            <w:tcW w:w="0" w:type="dxa"/>
            <w:vAlign w:val="center"/>
          </w:tcPr>
          <w:p>
            <w:pPr>
              <w:spacing w:line="240" w:lineRule="auto"/>
              <w:jc w:val="right"/>
            </w:pPr>
            <w:r>
              <w:rPr>
                <w:rFonts w:ascii="宋体" w:hAnsi="宋体" w:eastAsia="宋体" w:cs="宋体"/>
                <w:b w:val="0"/>
              </w:rPr>
              <w:t>19,854,648.00</w:t>
            </w:r>
          </w:p>
        </w:tc>
        <w:tc>
          <w:tcPr>
            <w:tcW w:w="0" w:type="dxa"/>
            <w:vAlign w:val="center"/>
          </w:tcPr>
          <w:p>
            <w:pPr>
              <w:spacing w:line="240" w:lineRule="auto"/>
              <w:jc w:val="right"/>
            </w:pPr>
            <w:r>
              <w:rPr>
                <w:rFonts w:ascii="宋体" w:hAnsi="宋体" w:eastAsia="宋体" w:cs="宋体"/>
                <w:b w:val="0"/>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688210</w:t>
            </w:r>
          </w:p>
        </w:tc>
        <w:tc>
          <w:tcPr>
            <w:tcW w:w="0" w:type="dxa"/>
            <w:vAlign w:val="center"/>
          </w:tcPr>
          <w:p>
            <w:pPr>
              <w:spacing w:line="240" w:lineRule="auto"/>
              <w:jc w:val="left"/>
            </w:pPr>
            <w:r>
              <w:rPr>
                <w:rFonts w:ascii="宋体" w:hAnsi="宋体" w:eastAsia="宋体" w:cs="宋体"/>
                <w:b w:val="0"/>
              </w:rPr>
              <w:t>统联精密</w:t>
            </w:r>
          </w:p>
        </w:tc>
        <w:tc>
          <w:tcPr>
            <w:tcW w:w="0" w:type="dxa"/>
            <w:vAlign w:val="center"/>
          </w:tcPr>
          <w:p>
            <w:pPr>
              <w:spacing w:line="240" w:lineRule="auto"/>
              <w:jc w:val="right"/>
            </w:pPr>
            <w:r>
              <w:rPr>
                <w:rFonts w:ascii="宋体" w:hAnsi="宋体" w:eastAsia="宋体" w:cs="宋体"/>
                <w:b w:val="0"/>
              </w:rPr>
              <w:t>457,755</w:t>
            </w:r>
          </w:p>
        </w:tc>
        <w:tc>
          <w:tcPr>
            <w:tcW w:w="0" w:type="dxa"/>
            <w:vAlign w:val="center"/>
          </w:tcPr>
          <w:p>
            <w:pPr>
              <w:spacing w:line="240" w:lineRule="auto"/>
              <w:jc w:val="right"/>
            </w:pPr>
            <w:r>
              <w:rPr>
                <w:rFonts w:ascii="宋体" w:hAnsi="宋体" w:eastAsia="宋体" w:cs="宋体"/>
                <w:b w:val="0"/>
              </w:rPr>
              <w:t>19,495,785.45</w:t>
            </w:r>
          </w:p>
        </w:tc>
        <w:tc>
          <w:tcPr>
            <w:tcW w:w="0" w:type="dxa"/>
            <w:vAlign w:val="center"/>
          </w:tcPr>
          <w:p>
            <w:pPr>
              <w:spacing w:line="240" w:lineRule="auto"/>
              <w:jc w:val="right"/>
            </w:pPr>
            <w:r>
              <w:rPr>
                <w:rFonts w:ascii="宋体" w:hAnsi="宋体" w:eastAsia="宋体" w:cs="宋体"/>
                <w:b w:val="0"/>
              </w:rPr>
              <w:t>3.97</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26,586,666.38</w:t>
            </w:r>
          </w:p>
        </w:tc>
        <w:tc>
          <w:tcPr>
            <w:tcW w:w="0" w:type="dxa"/>
            <w:vAlign w:val="center"/>
          </w:tcPr>
          <w:p>
            <w:pPr>
              <w:spacing w:line="240" w:lineRule="auto"/>
              <w:jc w:val="right"/>
            </w:pPr>
            <w:r>
              <w:rPr>
                <w:rFonts w:ascii="宋体" w:hAnsi="宋体" w:eastAsia="宋体" w:cs="宋体"/>
                <w:b w:val="0"/>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26,586,666.38</w:t>
            </w:r>
          </w:p>
        </w:tc>
        <w:tc>
          <w:tcPr>
            <w:tcW w:w="0" w:type="dxa"/>
            <w:vAlign w:val="center"/>
          </w:tcPr>
          <w:p>
            <w:pPr>
              <w:spacing w:line="240" w:lineRule="auto"/>
              <w:jc w:val="right"/>
            </w:pPr>
            <w:r>
              <w:rPr>
                <w:rFonts w:ascii="宋体" w:hAnsi="宋体" w:eastAsia="宋体" w:cs="宋体"/>
                <w:b w:val="0"/>
              </w:rPr>
              <w:t>5.41</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231,000</w:t>
            </w:r>
          </w:p>
        </w:tc>
        <w:tc>
          <w:tcPr>
            <w:tcW w:w="0" w:type="dxa"/>
            <w:vAlign w:val="center"/>
          </w:tcPr>
          <w:p>
            <w:pPr>
              <w:spacing w:line="240" w:lineRule="auto"/>
              <w:jc w:val="right"/>
            </w:pPr>
            <w:r>
              <w:rPr>
                <w:rFonts w:ascii="宋体" w:hAnsi="宋体" w:eastAsia="宋体" w:cs="宋体"/>
                <w:b w:val="0"/>
              </w:rPr>
              <w:t>23,160,990.33</w:t>
            </w:r>
          </w:p>
        </w:tc>
        <w:tc>
          <w:tcPr>
            <w:tcW w:w="0" w:type="dxa"/>
            <w:vAlign w:val="center"/>
          </w:tcPr>
          <w:p>
            <w:pPr>
              <w:spacing w:line="240" w:lineRule="auto"/>
              <w:jc w:val="right"/>
            </w:pPr>
            <w:r>
              <w:rPr>
                <w:rFonts w:ascii="宋体" w:hAnsi="宋体" w:eastAsia="宋体" w:cs="宋体"/>
                <w:b w:val="0"/>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34,000</w:t>
            </w:r>
          </w:p>
        </w:tc>
        <w:tc>
          <w:tcPr>
            <w:tcW w:w="0" w:type="dxa"/>
            <w:vAlign w:val="center"/>
          </w:tcPr>
          <w:p>
            <w:pPr>
              <w:spacing w:line="240" w:lineRule="auto"/>
              <w:jc w:val="right"/>
            </w:pPr>
            <w:r>
              <w:rPr>
                <w:rFonts w:ascii="宋体" w:hAnsi="宋体" w:eastAsia="宋体" w:cs="宋体"/>
                <w:b w:val="0"/>
              </w:rPr>
              <w:t>3,425,676.05</w:t>
            </w:r>
          </w:p>
        </w:tc>
        <w:tc>
          <w:tcPr>
            <w:tcW w:w="0" w:type="dxa"/>
            <w:vAlign w:val="center"/>
          </w:tcPr>
          <w:p>
            <w:pPr>
              <w:spacing w:line="240" w:lineRule="auto"/>
              <w:jc w:val="right"/>
            </w:pPr>
            <w:r>
              <w:rPr>
                <w:rFonts w:ascii="宋体" w:hAnsi="宋体" w:eastAsia="宋体" w:cs="宋体"/>
                <w:b w:val="0"/>
              </w:rPr>
              <w:t>0.70</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1" w:name="_GoBack"/>
      <w:bookmarkEnd w:id="1"/>
      <w:r>
        <w:rPr>
          <w:rFonts w:ascii="宋体" w:hAnsi="宋体" w:eastAsia="宋体" w:cs="宋体"/>
          <w:b w:val="0"/>
        </w:rPr>
        <w:t xml:space="preserve">中，浙江臻镭科技股份有限公司因信息披露违规在报告编制日前一年内受到中国证券监督管理委员会的立案调查。本基金就上述证券的投资决策程序符合相关法规及公司制度的要求。    </w:t>
      </w:r>
      <w:r>
        <w:rPr>
          <w:rFonts w:ascii="宋体" w:hAnsi="宋体" w:eastAsia="宋体" w:cs="宋体"/>
          <w:b w:val="0"/>
        </w:rPr>
        <w:br w:type="textWrapping"/>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17,965,256.90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17,965,256.90</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东方阿尔法瑞丰混合发起A</w:t>
            </w:r>
          </w:p>
        </w:tc>
        <w:tc>
          <w:tcPr>
            <w:tcW w:w="1300" w:type="pct"/>
            <w:vAlign w:val="center"/>
          </w:tcPr>
          <w:p>
            <w:pPr>
              <w:spacing w:line="240" w:lineRule="auto"/>
              <w:jc w:val="center"/>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56,281,419.64</w:t>
            </w:r>
          </w:p>
        </w:tc>
        <w:tc>
          <w:tcPr>
            <w:tcW w:w="1300" w:type="pct"/>
            <w:vAlign w:val="center"/>
          </w:tcPr>
          <w:p>
            <w:pPr>
              <w:spacing w:line="240" w:lineRule="auto"/>
              <w:jc w:val="right"/>
            </w:pPr>
            <w:r>
              <w:rPr>
                <w:rFonts w:ascii="宋体" w:hAnsi="宋体" w:eastAsia="宋体" w:cs="宋体"/>
                <w:b w:val="0"/>
              </w:rPr>
              <w:t>55,748,804.04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23,899,056.43</w:t>
            </w:r>
          </w:p>
        </w:tc>
        <w:tc>
          <w:tcPr>
            <w:tcW w:w="1300" w:type="pct"/>
            <w:vAlign w:val="center"/>
          </w:tcPr>
          <w:p>
            <w:pPr>
              <w:spacing w:line="240" w:lineRule="auto"/>
              <w:jc w:val="right"/>
            </w:pPr>
            <w:r>
              <w:rPr>
                <w:rFonts w:ascii="宋体" w:hAnsi="宋体" w:eastAsia="宋体" w:cs="宋体"/>
                <w:b w:val="0"/>
              </w:rPr>
              <w:t>1,069,365,870.60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37,010,360.09</w:t>
            </w:r>
          </w:p>
        </w:tc>
        <w:tc>
          <w:tcPr>
            <w:tcW w:w="1300" w:type="pct"/>
            <w:vAlign w:val="center"/>
          </w:tcPr>
          <w:p>
            <w:pPr>
              <w:spacing w:line="240" w:lineRule="auto"/>
              <w:jc w:val="right"/>
            </w:pPr>
            <w:r>
              <w:rPr>
                <w:rFonts w:ascii="宋体" w:hAnsi="宋体" w:eastAsia="宋体" w:cs="宋体"/>
                <w:b w:val="0"/>
              </w:rPr>
              <w:t>704,983,190.52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43,170,115.98</w:t>
            </w:r>
          </w:p>
        </w:tc>
        <w:tc>
          <w:tcPr>
            <w:tcW w:w="1300" w:type="pct"/>
            <w:vAlign w:val="center"/>
          </w:tcPr>
          <w:p>
            <w:pPr>
              <w:spacing w:line="240" w:lineRule="auto"/>
              <w:jc w:val="right"/>
            </w:pPr>
            <w:r>
              <w:rPr>
                <w:rFonts w:ascii="宋体" w:hAnsi="宋体" w:eastAsia="宋体" w:cs="宋体"/>
                <w:b w:val="0"/>
              </w:rPr>
              <w:t>420,131,484.12</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东方阿尔法瑞丰混合发起A</w:t>
            </w:r>
          </w:p>
        </w:tc>
        <w:tc>
          <w:tcPr>
            <w:tcW w:w="950" w:type="pct"/>
            <w:vAlign w:val="center"/>
          </w:tcPr>
          <w:p>
            <w:pPr>
              <w:spacing w:line="240" w:lineRule="auto"/>
              <w:jc w:val="center"/>
            </w:pPr>
            <w:r>
              <w:rPr>
                <w:rFonts w:ascii="宋体" w:hAnsi="宋体" w:eastAsia="宋体" w:cs="宋体"/>
                <w:b w:val="0"/>
              </w:rPr>
              <w:t>东方阿尔法瑞丰混合发起C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报告期期初管理人持有的本基金份额</w:t>
            </w:r>
          </w:p>
        </w:tc>
        <w:tc>
          <w:tcPr>
            <w:tcW w:w="950" w:type="pct"/>
            <w:vAlign w:val="center"/>
          </w:tcPr>
          <w:p>
            <w:pPr>
              <w:spacing w:line="240" w:lineRule="auto"/>
              <w:jc w:val="right"/>
            </w:pPr>
            <w:r>
              <w:rPr>
                <w:rFonts w:ascii="宋体" w:hAnsi="宋体" w:eastAsia="宋体" w:cs="宋体"/>
                <w:b w:val="0"/>
              </w:rPr>
              <w:t>10,000,450.04</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报告期期间卖出/赎回总份额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10,000,450.04</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2.16</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10,000,450.04</w:t>
            </w:r>
          </w:p>
        </w:tc>
        <w:tc>
          <w:tcPr>
            <w:tcW w:w="0" w:type="dxa"/>
            <w:vAlign w:val="center"/>
          </w:tcPr>
          <w:p>
            <w:pPr>
              <w:spacing w:line="240" w:lineRule="auto"/>
              <w:jc w:val="right"/>
            </w:pPr>
            <w:r>
              <w:rPr>
                <w:rFonts w:ascii="宋体" w:hAnsi="宋体" w:eastAsia="宋体" w:cs="宋体"/>
                <w:b w:val="0"/>
              </w:rPr>
              <w:t>2.16%</w:t>
            </w:r>
          </w:p>
        </w:tc>
        <w:tc>
          <w:tcPr>
            <w:tcW w:w="0" w:type="dxa"/>
            <w:vAlign w:val="center"/>
          </w:tcPr>
          <w:p>
            <w:pPr>
              <w:spacing w:line="240" w:lineRule="auto"/>
              <w:jc w:val="right"/>
            </w:pPr>
            <w:r>
              <w:rPr>
                <w:rFonts w:ascii="宋体" w:hAnsi="宋体" w:eastAsia="宋体" w:cs="宋体"/>
                <w:b w:val="0"/>
              </w:rPr>
              <w:t>10,000,450.04</w:t>
            </w:r>
          </w:p>
        </w:tc>
        <w:tc>
          <w:tcPr>
            <w:tcW w:w="0" w:type="dxa"/>
            <w:vAlign w:val="center"/>
          </w:tcPr>
          <w:p>
            <w:pPr>
              <w:spacing w:line="240" w:lineRule="auto"/>
              <w:jc w:val="right"/>
            </w:pPr>
            <w:r>
              <w:rPr>
                <w:rFonts w:ascii="宋体" w:hAnsi="宋体" w:eastAsia="宋体" w:cs="宋体"/>
                <w:b w:val="0"/>
              </w:rPr>
              <w:t>2.16%</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10,000,450.04</w:t>
            </w:r>
          </w:p>
        </w:tc>
        <w:tc>
          <w:tcPr>
            <w:tcW w:w="0" w:type="dxa"/>
            <w:vAlign w:val="center"/>
          </w:tcPr>
          <w:p>
            <w:pPr>
              <w:spacing w:line="240" w:lineRule="auto"/>
              <w:jc w:val="right"/>
            </w:pPr>
            <w:r>
              <w:rPr>
                <w:rFonts w:ascii="宋体" w:hAnsi="宋体" w:eastAsia="宋体" w:cs="宋体"/>
                <w:b w:val="0"/>
              </w:rPr>
              <w:t>2.16%</w:t>
            </w:r>
          </w:p>
        </w:tc>
        <w:tc>
          <w:tcPr>
            <w:tcW w:w="0" w:type="dxa"/>
            <w:vAlign w:val="center"/>
          </w:tcPr>
          <w:p>
            <w:pPr>
              <w:spacing w:line="240" w:lineRule="auto"/>
              <w:jc w:val="right"/>
            </w:pPr>
            <w:r>
              <w:rPr>
                <w:rFonts w:ascii="宋体" w:hAnsi="宋体" w:eastAsia="宋体" w:cs="宋体"/>
                <w:b w:val="0"/>
              </w:rPr>
              <w:t>10,000,450.04</w:t>
            </w:r>
          </w:p>
        </w:tc>
        <w:tc>
          <w:tcPr>
            <w:tcW w:w="0" w:type="dxa"/>
            <w:vAlign w:val="center"/>
          </w:tcPr>
          <w:p>
            <w:pPr>
              <w:spacing w:line="240" w:lineRule="auto"/>
              <w:jc w:val="right"/>
            </w:pPr>
            <w:r>
              <w:rPr>
                <w:rFonts w:ascii="宋体" w:hAnsi="宋体" w:eastAsia="宋体" w:cs="宋体"/>
                <w:b w:val="0"/>
              </w:rPr>
              <w:t>2.16%</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581"/>
        <w:gridCol w:w="103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2026年01月01日-2026年01月07日</w:t>
            </w:r>
          </w:p>
        </w:tc>
        <w:tc>
          <w:tcPr>
            <w:tcW w:w="0" w:type="dxa"/>
            <w:vAlign w:val="center"/>
          </w:tcPr>
          <w:p>
            <w:pPr>
              <w:spacing w:line="240" w:lineRule="auto"/>
              <w:jc w:val="right"/>
            </w:pPr>
            <w:r>
              <w:rPr>
                <w:rFonts w:ascii="宋体" w:hAnsi="宋体" w:eastAsia="宋体" w:cs="宋体"/>
                <w:b w:val="0"/>
              </w:rPr>
              <w:t>23,512,290.35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23,512,290.35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spacing w:line="240" w:lineRule="auto"/>
        <w:jc w:val="left"/>
      </w:pPr>
      <w:r>
        <w:rPr>
          <w:rFonts w:ascii="宋体" w:hAnsi="宋体" w:eastAsia="宋体" w:cs="宋体"/>
        </w:rPr>
        <w:t>10.1 备查文件目录</w:t>
      </w:r>
    </w:p>
    <w:p>
      <w:pPr>
        <w:spacing w:line="240" w:lineRule="auto"/>
      </w:pPr>
      <w:r>
        <w:rPr>
          <w:rFonts w:ascii="宋体" w:hAnsi="宋体" w:eastAsia="宋体" w:cs="宋体"/>
          <w:b w:val="0"/>
        </w:rPr>
        <w:t xml:space="preserve">    1、中国证券监督管理委员会批准的东方阿尔法瑞丰混合型发起式证券投资基金设立的文件；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2、《东方阿尔法瑞丰混合型发起式证券投资基金基金合同》；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3、《东方阿尔法瑞丰混合型发起式证券投资基金托管协议》；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4、《东方阿尔法瑞丰混合型发起式证券投资基金招募说明书》（含更新）；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Pr>
        <w:spacing w:line="240" w:lineRule="auto"/>
      </w:pPr>
    </w:p>
    <w:p>
      <w:pPr>
        <w:pStyle w:val="3"/>
        <w:spacing w:line="240" w:lineRule="auto"/>
        <w:jc w:val="left"/>
      </w:pPr>
      <w:r>
        <w:rPr>
          <w:rFonts w:ascii="宋体" w:hAnsi="宋体" w:eastAsia="宋体" w:cs="宋体"/>
        </w:rPr>
        <w:t>10.2 存放地点</w:t>
      </w:r>
    </w:p>
    <w:p>
      <w:pPr>
        <w:spacing w:line="240" w:lineRule="auto"/>
      </w:pPr>
      <w:r>
        <w:rPr>
          <w:rFonts w:ascii="宋体" w:hAnsi="宋体" w:eastAsia="宋体" w:cs="宋体"/>
          <w:b w:val="0"/>
        </w:rPr>
        <w:t xml:space="preserve">    基金管理人和基金托管人的住所。</w:t>
      </w:r>
    </w:p>
    <w:p>
      <w:pPr>
        <w:spacing w:line="240" w:lineRule="auto"/>
      </w:pPr>
    </w:p>
    <w:p>
      <w:pPr>
        <w:pStyle w:val="3"/>
        <w:spacing w:line="240" w:lineRule="auto"/>
        <w:jc w:val="left"/>
      </w:pPr>
      <w:r>
        <w:rPr>
          <w:rFonts w:ascii="宋体" w:hAnsi="宋体" w:eastAsia="宋体" w:cs="宋体"/>
        </w:rPr>
        <w:t>10.3 查阅方式</w:t>
      </w:r>
    </w:p>
    <w:p>
      <w:pPr>
        <w:spacing w:line="240" w:lineRule="auto"/>
      </w:pPr>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二〇二六年四月十七日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东方阿尔法瑞丰混合型发起式证券投资基金2026年第1季度报告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6460287"/>
    <w:rsid w:val="312016A7"/>
    <w:rsid w:val="328572ED"/>
    <w:rsid w:val="3E9A1429"/>
    <w:rsid w:val="41C33DBF"/>
    <w:rsid w:val="5EE34946"/>
    <w:rsid w:val="62671060"/>
    <w:rsid w:val="67517C74"/>
    <w:rsid w:val="6CD35C72"/>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2026-04-20T00:29:04Z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