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东方阿尔法优选混合型发起式证券投资基金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2025年第4季度报告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2026年01月22日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基金托管人招商银行股份有限公司根据本基金合同规定，于2026年01月21日复核了本报告中的财务指标、净值表现和投资组合报告等内容，保证复核内容不存在虚假记载、误导性陈述或者重大遗漏。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本报告期自2025年10月01日起至2025年12月31日止。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东方阿尔法优选混合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007518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2019年09月12日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1,107,045,758.66份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在严格控制风险的基础之上，通过深入研究、优选个股、主动的投资管理方式力求实现组合资产的稳健增值。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本基金的投资策略主要有以下8个方面内容：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基金管理人将根据国内外宏观经济情况、国内外证券市场估值水平阶段性不断调整权益类资产和其他资产之间的大类资产配置比例。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本基金港股投资将重点关注A股稀缺性行业个股，包括优质中资公司、A股缺乏投资标的行业；具有持续领先优势或核心竞争力的企业；符合内地政策和投资逻辑的主题性行业个股；与A股同类公司相比具有估值优势的公司。</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7、融资业务的投资策略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8、国债期货的投资策略</w:t>
            </w:r>
            <w:r>
              <w:rPr>
                <w:rFonts w:ascii="宋体" w:hAnsi="宋体" w:eastAsia="宋体" w:cs="宋体"/>
                <w:b w:val="0"/>
              </w:rPr>
              <w:br w:type="textWrapping"/>
            </w:r>
            <w:r>
              <w:rPr>
                <w:rFonts w:ascii="宋体" w:hAnsi="宋体" w:eastAsia="宋体" w:cs="宋体"/>
                <w:b w:val="0"/>
              </w:rPr>
              <w:t>基金管理人将结合对宏观经济形势和政策趋势的判断、对债券市场进行定性和定量分析，构建量化分析体系，在最大限度保证基金资产安全的基础上，力求实现所资产的长期稳定增值。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中证800指数收益率×80%+中证综合债券指数收益率×10%+恒生指数收益率×10%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东方阿尔法优选混合A</w:t>
            </w:r>
          </w:p>
        </w:tc>
        <w:tc>
          <w:tcPr>
            <w:tcW w:w="1500" w:type="pct"/>
            <w:vAlign w:val="center"/>
          </w:tcPr>
          <w:p>
            <w:pPr>
              <w:spacing w:line="240" w:lineRule="auto"/>
              <w:jc w:val="left"/>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007518</w:t>
            </w:r>
          </w:p>
        </w:tc>
        <w:tc>
          <w:tcPr>
            <w:tcW w:w="1500" w:type="pct"/>
            <w:vAlign w:val="center"/>
          </w:tcPr>
          <w:p>
            <w:pPr>
              <w:spacing w:line="240" w:lineRule="auto"/>
              <w:jc w:val="left"/>
            </w:pPr>
            <w:r>
              <w:rPr>
                <w:rFonts w:ascii="宋体" w:hAnsi="宋体" w:eastAsia="宋体" w:cs="宋体"/>
                <w:b w:val="0"/>
              </w:rPr>
              <w:t>007519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70,377,068.05份</w:t>
            </w:r>
          </w:p>
        </w:tc>
        <w:tc>
          <w:tcPr>
            <w:tcW w:w="1500" w:type="pct"/>
            <w:vAlign w:val="center"/>
          </w:tcPr>
          <w:p>
            <w:pPr>
              <w:spacing w:line="240" w:lineRule="auto"/>
              <w:jc w:val="left"/>
            </w:pPr>
            <w:r>
              <w:rPr>
                <w:rFonts w:ascii="宋体" w:hAnsi="宋体" w:eastAsia="宋体" w:cs="宋体"/>
                <w:b w:val="0"/>
              </w:rPr>
              <w:t>1,036,668,690.61份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报告期（2025年10月01日-2025年12月31日）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东方阿尔法优选混合A</w:t>
            </w:r>
          </w:p>
        </w:tc>
        <w:tc>
          <w:tcPr>
            <w:tcW w:w="1500" w:type="pct"/>
            <w:shd w:val="clear" w:color="auto" w:fill="D9D9D9"/>
            <w:vAlign w:val="center"/>
          </w:tcPr>
          <w:p>
            <w:pPr>
              <w:spacing w:line="240" w:lineRule="auto"/>
              <w:jc w:val="center"/>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-4,304,216.84</w:t>
            </w:r>
          </w:p>
        </w:tc>
        <w:tc>
          <w:tcPr>
            <w:tcW w:w="1500" w:type="pct"/>
            <w:vAlign w:val="center"/>
          </w:tcPr>
          <w:p>
            <w:pPr>
              <w:spacing w:line="240" w:lineRule="auto"/>
              <w:jc w:val="right"/>
            </w:pPr>
            <w:r>
              <w:rPr>
                <w:rFonts w:ascii="宋体" w:hAnsi="宋体" w:eastAsia="宋体" w:cs="宋体"/>
                <w:b w:val="0"/>
              </w:rPr>
              <w:t>-58,730,977.25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-11,847,354.48</w:t>
            </w:r>
          </w:p>
        </w:tc>
        <w:tc>
          <w:tcPr>
            <w:tcW w:w="1500" w:type="pct"/>
            <w:vAlign w:val="center"/>
          </w:tcPr>
          <w:p>
            <w:pPr>
              <w:spacing w:line="240" w:lineRule="auto"/>
              <w:jc w:val="right"/>
            </w:pPr>
            <w:r>
              <w:rPr>
                <w:rFonts w:ascii="宋体" w:hAnsi="宋体" w:eastAsia="宋体" w:cs="宋体"/>
                <w:b w:val="0"/>
              </w:rPr>
              <w:t>-116,777,649.23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-0.1340</w:t>
            </w:r>
          </w:p>
        </w:tc>
        <w:tc>
          <w:tcPr>
            <w:tcW w:w="1500" w:type="pct"/>
            <w:vAlign w:val="center"/>
          </w:tcPr>
          <w:p>
            <w:pPr>
              <w:spacing w:line="240" w:lineRule="auto"/>
              <w:jc w:val="right"/>
            </w:pPr>
            <w:r>
              <w:rPr>
                <w:rFonts w:ascii="宋体" w:hAnsi="宋体" w:eastAsia="宋体" w:cs="宋体"/>
                <w:b w:val="0"/>
              </w:rPr>
              <w:t>-0.1002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81,821,870.56</w:t>
            </w:r>
          </w:p>
        </w:tc>
        <w:tc>
          <w:tcPr>
            <w:tcW w:w="1500" w:type="pct"/>
            <w:vAlign w:val="center"/>
          </w:tcPr>
          <w:p>
            <w:pPr>
              <w:spacing w:line="240" w:lineRule="auto"/>
              <w:jc w:val="right"/>
            </w:pPr>
            <w:r>
              <w:rPr>
                <w:rFonts w:ascii="宋体" w:hAnsi="宋体" w:eastAsia="宋体" w:cs="宋体"/>
                <w:b w:val="0"/>
              </w:rPr>
              <w:t>1,167,922,077.45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1.1626</w:t>
            </w:r>
          </w:p>
        </w:tc>
        <w:tc>
          <w:tcPr>
            <w:tcW w:w="1500" w:type="pct"/>
            <w:vAlign w:val="center"/>
          </w:tcPr>
          <w:p>
            <w:pPr>
              <w:spacing w:line="240" w:lineRule="auto"/>
              <w:jc w:val="right"/>
            </w:pPr>
            <w:r>
              <w:rPr>
                <w:rFonts w:ascii="宋体" w:hAnsi="宋体" w:eastAsia="宋体" w:cs="宋体"/>
                <w:b w:val="0"/>
              </w:rPr>
              <w:t>1.1266</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东方阿尔法优选混合A净值表现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-5.62%</w:t>
            </w:r>
          </w:p>
        </w:tc>
        <w:tc>
          <w:tcPr>
            <w:tcW w:w="0" w:type="dxa"/>
            <w:vAlign w:val="center"/>
          </w:tcPr>
          <w:p>
            <w:pPr>
              <w:spacing w:line="240" w:lineRule="auto"/>
              <w:jc w:val="right"/>
            </w:pPr>
            <w:r>
              <w:rPr>
                <w:rFonts w:ascii="宋体" w:hAnsi="宋体" w:eastAsia="宋体" w:cs="宋体"/>
                <w:b w:val="0"/>
              </w:rPr>
              <w:t>2.34%</w:t>
            </w:r>
          </w:p>
        </w:tc>
        <w:tc>
          <w:tcPr>
            <w:tcW w:w="0" w:type="dxa"/>
            <w:vAlign w:val="center"/>
          </w:tcPr>
          <w:p>
            <w:pPr>
              <w:spacing w:line="240" w:lineRule="auto"/>
              <w:jc w:val="right"/>
            </w:pPr>
            <w:r>
              <w:rPr>
                <w:rFonts w:ascii="宋体" w:hAnsi="宋体" w:eastAsia="宋体" w:cs="宋体"/>
                <w:b w:val="0"/>
              </w:rPr>
              <w:t>-0.36%</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-5.26%</w:t>
            </w:r>
          </w:p>
        </w:tc>
        <w:tc>
          <w:tcPr>
            <w:tcW w:w="0" w:type="dxa"/>
            <w:vAlign w:val="center"/>
          </w:tcPr>
          <w:p>
            <w:pPr>
              <w:spacing w:line="240" w:lineRule="auto"/>
              <w:jc w:val="right"/>
            </w:pPr>
            <w:r>
              <w:rPr>
                <w:rFonts w:ascii="宋体" w:hAnsi="宋体" w:eastAsia="宋体" w:cs="宋体"/>
                <w:b w:val="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30.73%</w:t>
            </w:r>
          </w:p>
        </w:tc>
        <w:tc>
          <w:tcPr>
            <w:tcW w:w="0" w:type="dxa"/>
            <w:vAlign w:val="center"/>
          </w:tcPr>
          <w:p>
            <w:pPr>
              <w:spacing w:line="240" w:lineRule="auto"/>
              <w:jc w:val="right"/>
            </w:pPr>
            <w:r>
              <w:rPr>
                <w:rFonts w:ascii="宋体" w:hAnsi="宋体" w:eastAsia="宋体" w:cs="宋体"/>
                <w:b w:val="0"/>
              </w:rPr>
              <w:t>2.32%</w:t>
            </w:r>
          </w:p>
        </w:tc>
        <w:tc>
          <w:tcPr>
            <w:tcW w:w="0" w:type="dxa"/>
            <w:vAlign w:val="center"/>
          </w:tcPr>
          <w:p>
            <w:pPr>
              <w:spacing w:line="240" w:lineRule="auto"/>
              <w:jc w:val="right"/>
            </w:pPr>
            <w:r>
              <w:rPr>
                <w:rFonts w:ascii="宋体" w:hAnsi="宋体" w:eastAsia="宋体" w:cs="宋体"/>
                <w:b w:val="0"/>
              </w:rPr>
              <w:t>16.38%</w:t>
            </w:r>
          </w:p>
        </w:tc>
        <w:tc>
          <w:tcPr>
            <w:tcW w:w="0" w:type="dxa"/>
            <w:vAlign w:val="center"/>
          </w:tcPr>
          <w:p>
            <w:pPr>
              <w:spacing w:line="240" w:lineRule="auto"/>
              <w:jc w:val="right"/>
            </w:pPr>
            <w:r>
              <w:rPr>
                <w:rFonts w:ascii="宋体" w:hAnsi="宋体" w:eastAsia="宋体" w:cs="宋体"/>
                <w:b w:val="0"/>
              </w:rPr>
              <w:t>0.84%</w:t>
            </w:r>
          </w:p>
        </w:tc>
        <w:tc>
          <w:tcPr>
            <w:tcW w:w="0" w:type="dxa"/>
            <w:vAlign w:val="center"/>
          </w:tcPr>
          <w:p>
            <w:pPr>
              <w:spacing w:line="240" w:lineRule="auto"/>
              <w:jc w:val="right"/>
            </w:pPr>
            <w:r>
              <w:rPr>
                <w:rFonts w:ascii="宋体" w:hAnsi="宋体" w:eastAsia="宋体" w:cs="宋体"/>
                <w:b w:val="0"/>
              </w:rPr>
              <w:t>14.35%</w:t>
            </w:r>
          </w:p>
        </w:tc>
        <w:tc>
          <w:tcPr>
            <w:tcW w:w="0" w:type="dxa"/>
            <w:vAlign w:val="center"/>
          </w:tcPr>
          <w:p>
            <w:pPr>
              <w:spacing w:line="240" w:lineRule="auto"/>
              <w:jc w:val="right"/>
            </w:pPr>
            <w:r>
              <w:rPr>
                <w:rFonts w:ascii="宋体" w:hAnsi="宋体" w:eastAsia="宋体" w:cs="宋体"/>
                <w:b w:val="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62.81%</w:t>
            </w:r>
          </w:p>
        </w:tc>
        <w:tc>
          <w:tcPr>
            <w:tcW w:w="0" w:type="dxa"/>
            <w:vAlign w:val="center"/>
          </w:tcPr>
          <w:p>
            <w:pPr>
              <w:spacing w:line="240" w:lineRule="auto"/>
              <w:jc w:val="right"/>
            </w:pPr>
            <w:r>
              <w:rPr>
                <w:rFonts w:ascii="宋体" w:hAnsi="宋体" w:eastAsia="宋体" w:cs="宋体"/>
                <w:b w:val="0"/>
              </w:rPr>
              <w:t>2.68%</w:t>
            </w:r>
          </w:p>
        </w:tc>
        <w:tc>
          <w:tcPr>
            <w:tcW w:w="0" w:type="dxa"/>
            <w:vAlign w:val="center"/>
          </w:tcPr>
          <w:p>
            <w:pPr>
              <w:spacing w:line="240" w:lineRule="auto"/>
              <w:jc w:val="right"/>
            </w:pPr>
            <w:r>
              <w:rPr>
                <w:rFonts w:ascii="宋体" w:hAnsi="宋体" w:eastAsia="宋体" w:cs="宋体"/>
                <w:b w:val="0"/>
              </w:rPr>
              <w:t>19.66%</w:t>
            </w:r>
          </w:p>
        </w:tc>
        <w:tc>
          <w:tcPr>
            <w:tcW w:w="0" w:type="dxa"/>
            <w:vAlign w:val="center"/>
          </w:tcPr>
          <w:p>
            <w:pPr>
              <w:spacing w:line="240" w:lineRule="auto"/>
              <w:jc w:val="right"/>
            </w:pPr>
            <w:r>
              <w:rPr>
                <w:rFonts w:ascii="宋体" w:hAnsi="宋体" w:eastAsia="宋体" w:cs="宋体"/>
                <w:b w:val="0"/>
              </w:rPr>
              <w:t>0.93%</w:t>
            </w:r>
          </w:p>
        </w:tc>
        <w:tc>
          <w:tcPr>
            <w:tcW w:w="0" w:type="dxa"/>
            <w:vAlign w:val="center"/>
          </w:tcPr>
          <w:p>
            <w:pPr>
              <w:spacing w:line="240" w:lineRule="auto"/>
              <w:jc w:val="right"/>
            </w:pPr>
            <w:r>
              <w:rPr>
                <w:rFonts w:ascii="宋体" w:hAnsi="宋体" w:eastAsia="宋体" w:cs="宋体"/>
                <w:b w:val="0"/>
              </w:rPr>
              <w:t>43.15%</w:t>
            </w:r>
          </w:p>
        </w:tc>
        <w:tc>
          <w:tcPr>
            <w:tcW w:w="0" w:type="dxa"/>
            <w:vAlign w:val="center"/>
          </w:tcPr>
          <w:p>
            <w:pPr>
              <w:spacing w:line="240" w:lineRule="auto"/>
              <w:jc w:val="right"/>
            </w:pPr>
            <w:r>
              <w:rPr>
                <w:rFonts w:ascii="宋体" w:hAnsi="宋体" w:eastAsia="宋体" w:cs="宋体"/>
                <w:b w:val="0"/>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21.79%</w:t>
            </w:r>
          </w:p>
        </w:tc>
        <w:tc>
          <w:tcPr>
            <w:tcW w:w="0" w:type="dxa"/>
            <w:vAlign w:val="center"/>
          </w:tcPr>
          <w:p>
            <w:pPr>
              <w:spacing w:line="240" w:lineRule="auto"/>
              <w:jc w:val="right"/>
            </w:pPr>
            <w:r>
              <w:rPr>
                <w:rFonts w:ascii="宋体" w:hAnsi="宋体" w:eastAsia="宋体" w:cs="宋体"/>
                <w:b w:val="0"/>
              </w:rPr>
              <w:t>2.15%</w:t>
            </w:r>
          </w:p>
        </w:tc>
        <w:tc>
          <w:tcPr>
            <w:tcW w:w="0" w:type="dxa"/>
            <w:vAlign w:val="center"/>
          </w:tcPr>
          <w:p>
            <w:pPr>
              <w:spacing w:line="240" w:lineRule="auto"/>
              <w:jc w:val="right"/>
            </w:pPr>
            <w:r>
              <w:rPr>
                <w:rFonts w:ascii="宋体" w:hAnsi="宋体" w:eastAsia="宋体" w:cs="宋体"/>
                <w:b w:val="0"/>
              </w:rPr>
              <w:t>22.59%</w:t>
            </w:r>
          </w:p>
        </w:tc>
        <w:tc>
          <w:tcPr>
            <w:tcW w:w="0" w:type="dxa"/>
            <w:vAlign w:val="center"/>
          </w:tcPr>
          <w:p>
            <w:pPr>
              <w:spacing w:line="240" w:lineRule="auto"/>
              <w:jc w:val="right"/>
            </w:pPr>
            <w:r>
              <w:rPr>
                <w:rFonts w:ascii="宋体" w:hAnsi="宋体" w:eastAsia="宋体" w:cs="宋体"/>
                <w:b w:val="0"/>
              </w:rPr>
              <w:t>0.99%</w:t>
            </w:r>
          </w:p>
        </w:tc>
        <w:tc>
          <w:tcPr>
            <w:tcW w:w="0" w:type="dxa"/>
            <w:vAlign w:val="center"/>
          </w:tcPr>
          <w:p>
            <w:pPr>
              <w:spacing w:line="240" w:lineRule="auto"/>
              <w:jc w:val="right"/>
            </w:pPr>
            <w:r>
              <w:rPr>
                <w:rFonts w:ascii="宋体" w:hAnsi="宋体" w:eastAsia="宋体" w:cs="宋体"/>
                <w:b w:val="0"/>
              </w:rPr>
              <w:t>-0.80%</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-23.34%</w:t>
            </w:r>
          </w:p>
        </w:tc>
        <w:tc>
          <w:tcPr>
            <w:tcW w:w="0" w:type="dxa"/>
            <w:vAlign w:val="center"/>
          </w:tcPr>
          <w:p>
            <w:pPr>
              <w:spacing w:line="240" w:lineRule="auto"/>
              <w:jc w:val="right"/>
            </w:pPr>
            <w:r>
              <w:rPr>
                <w:rFonts w:ascii="宋体" w:hAnsi="宋体" w:eastAsia="宋体" w:cs="宋体"/>
                <w:b w:val="0"/>
              </w:rPr>
              <w:t>1.87%</w:t>
            </w:r>
          </w:p>
        </w:tc>
        <w:tc>
          <w:tcPr>
            <w:tcW w:w="0" w:type="dxa"/>
            <w:vAlign w:val="center"/>
          </w:tcPr>
          <w:p>
            <w:pPr>
              <w:spacing w:line="240" w:lineRule="auto"/>
              <w:jc w:val="right"/>
            </w:pPr>
            <w:r>
              <w:rPr>
                <w:rFonts w:ascii="宋体" w:hAnsi="宋体" w:eastAsia="宋体" w:cs="宋体"/>
                <w:b w:val="0"/>
              </w:rPr>
              <w:t>-1.13%</w:t>
            </w:r>
          </w:p>
        </w:tc>
        <w:tc>
          <w:tcPr>
            <w:tcW w:w="0" w:type="dxa"/>
            <w:vAlign w:val="center"/>
          </w:tcPr>
          <w:p>
            <w:pPr>
              <w:spacing w:line="240" w:lineRule="auto"/>
              <w:jc w:val="right"/>
            </w:pPr>
            <w:r>
              <w:rPr>
                <w:rFonts w:ascii="宋体" w:hAnsi="宋体" w:eastAsia="宋体" w:cs="宋体"/>
                <w:b w:val="0"/>
              </w:rPr>
              <w:t>1.02%</w:t>
            </w:r>
          </w:p>
        </w:tc>
        <w:tc>
          <w:tcPr>
            <w:tcW w:w="0" w:type="dxa"/>
            <w:vAlign w:val="center"/>
          </w:tcPr>
          <w:p>
            <w:pPr>
              <w:spacing w:line="240" w:lineRule="auto"/>
              <w:jc w:val="right"/>
            </w:pPr>
            <w:r>
              <w:rPr>
                <w:rFonts w:ascii="宋体" w:hAnsi="宋体" w:eastAsia="宋体" w:cs="宋体"/>
                <w:b w:val="0"/>
              </w:rPr>
              <w:t>-22.21%</w:t>
            </w:r>
          </w:p>
        </w:tc>
        <w:tc>
          <w:tcPr>
            <w:tcW w:w="0" w:type="dxa"/>
            <w:vAlign w:val="center"/>
          </w:tcPr>
          <w:p>
            <w:pPr>
              <w:spacing w:line="240" w:lineRule="auto"/>
              <w:jc w:val="right"/>
            </w:pPr>
            <w:r>
              <w:rPr>
                <w:rFonts w:ascii="宋体" w:hAnsi="宋体" w:eastAsia="宋体" w:cs="宋体"/>
                <w:b w:val="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16.26%</w:t>
            </w:r>
          </w:p>
        </w:tc>
        <w:tc>
          <w:tcPr>
            <w:tcW w:w="0" w:type="dxa"/>
            <w:vAlign w:val="center"/>
          </w:tcPr>
          <w:p>
            <w:pPr>
              <w:spacing w:line="240" w:lineRule="auto"/>
              <w:jc w:val="right"/>
            </w:pPr>
            <w:r>
              <w:rPr>
                <w:rFonts w:ascii="宋体" w:hAnsi="宋体" w:eastAsia="宋体" w:cs="宋体"/>
                <w:b w:val="0"/>
              </w:rPr>
              <w:t>1.82%</w:t>
            </w:r>
          </w:p>
        </w:tc>
        <w:tc>
          <w:tcPr>
            <w:tcW w:w="0" w:type="dxa"/>
            <w:vAlign w:val="center"/>
          </w:tcPr>
          <w:p>
            <w:pPr>
              <w:spacing w:line="240" w:lineRule="auto"/>
              <w:jc w:val="right"/>
            </w:pPr>
            <w:r>
              <w:rPr>
                <w:rFonts w:ascii="宋体" w:hAnsi="宋体" w:eastAsia="宋体" w:cs="宋体"/>
                <w:b w:val="0"/>
              </w:rPr>
              <w:t>23.11%</w:t>
            </w:r>
          </w:p>
        </w:tc>
        <w:tc>
          <w:tcPr>
            <w:tcW w:w="0" w:type="dxa"/>
            <w:vAlign w:val="center"/>
          </w:tcPr>
          <w:p>
            <w:pPr>
              <w:spacing w:line="240" w:lineRule="auto"/>
              <w:jc w:val="right"/>
            </w:pPr>
            <w:r>
              <w:rPr>
                <w:rFonts w:ascii="宋体" w:hAnsi="宋体" w:eastAsia="宋体" w:cs="宋体"/>
                <w:b w:val="0"/>
              </w:rPr>
              <w:t>1.05%</w:t>
            </w:r>
          </w:p>
        </w:tc>
        <w:tc>
          <w:tcPr>
            <w:tcW w:w="0" w:type="dxa"/>
            <w:vAlign w:val="center"/>
          </w:tcPr>
          <w:p>
            <w:pPr>
              <w:spacing w:line="240" w:lineRule="auto"/>
              <w:jc w:val="right"/>
            </w:pPr>
            <w:r>
              <w:rPr>
                <w:rFonts w:ascii="宋体" w:hAnsi="宋体" w:eastAsia="宋体" w:cs="宋体"/>
                <w:b w:val="0"/>
              </w:rPr>
              <w:t>-6.85%</w:t>
            </w:r>
          </w:p>
        </w:tc>
        <w:tc>
          <w:tcPr>
            <w:tcW w:w="0" w:type="dxa"/>
            <w:vAlign w:val="center"/>
          </w:tcPr>
          <w:p>
            <w:pPr>
              <w:spacing w:line="240" w:lineRule="auto"/>
              <w:jc w:val="right"/>
            </w:pPr>
            <w:r>
              <w:rPr>
                <w:rFonts w:ascii="宋体" w:hAnsi="宋体" w:eastAsia="宋体" w:cs="宋体"/>
                <w:b w:val="0"/>
              </w:rPr>
              <w:t>0.77%</w:t>
            </w:r>
          </w:p>
        </w:tc>
      </w:tr>
    </w:tbl>
    <w:p>
      <w:pPr>
        <w:jc w:val="left"/>
      </w:pPr>
      <w:r>
        <w:rPr>
          <w:rFonts w:ascii="宋体" w:hAnsi="宋体" w:eastAsia="宋体" w:cs="宋体"/>
          <w:b/>
        </w:rPr>
        <w:t>东方阿尔法优选混合C净值表现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-5.73%</w:t>
            </w:r>
          </w:p>
        </w:tc>
        <w:tc>
          <w:tcPr>
            <w:tcW w:w="0" w:type="dxa"/>
            <w:vAlign w:val="center"/>
          </w:tcPr>
          <w:p>
            <w:pPr>
              <w:spacing w:line="240" w:lineRule="auto"/>
              <w:jc w:val="right"/>
            </w:pPr>
            <w:r>
              <w:rPr>
                <w:rFonts w:ascii="宋体" w:hAnsi="宋体" w:eastAsia="宋体" w:cs="宋体"/>
                <w:b w:val="0"/>
              </w:rPr>
              <w:t>2.34%</w:t>
            </w:r>
          </w:p>
        </w:tc>
        <w:tc>
          <w:tcPr>
            <w:tcW w:w="0" w:type="dxa"/>
            <w:vAlign w:val="center"/>
          </w:tcPr>
          <w:p>
            <w:pPr>
              <w:spacing w:line="240" w:lineRule="auto"/>
              <w:jc w:val="right"/>
            </w:pPr>
            <w:r>
              <w:rPr>
                <w:rFonts w:ascii="宋体" w:hAnsi="宋体" w:eastAsia="宋体" w:cs="宋体"/>
                <w:b w:val="0"/>
              </w:rPr>
              <w:t>-0.36%</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-5.37%</w:t>
            </w:r>
          </w:p>
        </w:tc>
        <w:tc>
          <w:tcPr>
            <w:tcW w:w="0" w:type="dxa"/>
            <w:vAlign w:val="center"/>
          </w:tcPr>
          <w:p>
            <w:pPr>
              <w:spacing w:line="240" w:lineRule="auto"/>
              <w:jc w:val="right"/>
            </w:pPr>
            <w:r>
              <w:rPr>
                <w:rFonts w:ascii="宋体" w:hAnsi="宋体" w:eastAsia="宋体" w:cs="宋体"/>
                <w:b w:val="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30.41%</w:t>
            </w:r>
          </w:p>
        </w:tc>
        <w:tc>
          <w:tcPr>
            <w:tcW w:w="0" w:type="dxa"/>
            <w:vAlign w:val="center"/>
          </w:tcPr>
          <w:p>
            <w:pPr>
              <w:spacing w:line="240" w:lineRule="auto"/>
              <w:jc w:val="right"/>
            </w:pPr>
            <w:r>
              <w:rPr>
                <w:rFonts w:ascii="宋体" w:hAnsi="宋体" w:eastAsia="宋体" w:cs="宋体"/>
                <w:b w:val="0"/>
              </w:rPr>
              <w:t>2.32%</w:t>
            </w:r>
          </w:p>
        </w:tc>
        <w:tc>
          <w:tcPr>
            <w:tcW w:w="0" w:type="dxa"/>
            <w:vAlign w:val="center"/>
          </w:tcPr>
          <w:p>
            <w:pPr>
              <w:spacing w:line="240" w:lineRule="auto"/>
              <w:jc w:val="right"/>
            </w:pPr>
            <w:r>
              <w:rPr>
                <w:rFonts w:ascii="宋体" w:hAnsi="宋体" w:eastAsia="宋体" w:cs="宋体"/>
                <w:b w:val="0"/>
              </w:rPr>
              <w:t>16.38%</w:t>
            </w:r>
          </w:p>
        </w:tc>
        <w:tc>
          <w:tcPr>
            <w:tcW w:w="0" w:type="dxa"/>
            <w:vAlign w:val="center"/>
          </w:tcPr>
          <w:p>
            <w:pPr>
              <w:spacing w:line="240" w:lineRule="auto"/>
              <w:jc w:val="right"/>
            </w:pPr>
            <w:r>
              <w:rPr>
                <w:rFonts w:ascii="宋体" w:hAnsi="宋体" w:eastAsia="宋体" w:cs="宋体"/>
                <w:b w:val="0"/>
              </w:rPr>
              <w:t>0.84%</w:t>
            </w:r>
          </w:p>
        </w:tc>
        <w:tc>
          <w:tcPr>
            <w:tcW w:w="0" w:type="dxa"/>
            <w:vAlign w:val="center"/>
          </w:tcPr>
          <w:p>
            <w:pPr>
              <w:spacing w:line="240" w:lineRule="auto"/>
              <w:jc w:val="right"/>
            </w:pPr>
            <w:r>
              <w:rPr>
                <w:rFonts w:ascii="宋体" w:hAnsi="宋体" w:eastAsia="宋体" w:cs="宋体"/>
                <w:b w:val="0"/>
              </w:rPr>
              <w:t>14.03%</w:t>
            </w:r>
          </w:p>
        </w:tc>
        <w:tc>
          <w:tcPr>
            <w:tcW w:w="0" w:type="dxa"/>
            <w:vAlign w:val="center"/>
          </w:tcPr>
          <w:p>
            <w:pPr>
              <w:spacing w:line="240" w:lineRule="auto"/>
              <w:jc w:val="right"/>
            </w:pPr>
            <w:r>
              <w:rPr>
                <w:rFonts w:ascii="宋体" w:hAnsi="宋体" w:eastAsia="宋体" w:cs="宋体"/>
                <w:b w:val="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62.01%</w:t>
            </w:r>
          </w:p>
        </w:tc>
        <w:tc>
          <w:tcPr>
            <w:tcW w:w="0" w:type="dxa"/>
            <w:vAlign w:val="center"/>
          </w:tcPr>
          <w:p>
            <w:pPr>
              <w:spacing w:line="240" w:lineRule="auto"/>
              <w:jc w:val="right"/>
            </w:pPr>
            <w:r>
              <w:rPr>
                <w:rFonts w:ascii="宋体" w:hAnsi="宋体" w:eastAsia="宋体" w:cs="宋体"/>
                <w:b w:val="0"/>
              </w:rPr>
              <w:t>2.68%</w:t>
            </w:r>
          </w:p>
        </w:tc>
        <w:tc>
          <w:tcPr>
            <w:tcW w:w="0" w:type="dxa"/>
            <w:vAlign w:val="center"/>
          </w:tcPr>
          <w:p>
            <w:pPr>
              <w:spacing w:line="240" w:lineRule="auto"/>
              <w:jc w:val="right"/>
            </w:pPr>
            <w:r>
              <w:rPr>
                <w:rFonts w:ascii="宋体" w:hAnsi="宋体" w:eastAsia="宋体" w:cs="宋体"/>
                <w:b w:val="0"/>
              </w:rPr>
              <w:t>19.66%</w:t>
            </w:r>
          </w:p>
        </w:tc>
        <w:tc>
          <w:tcPr>
            <w:tcW w:w="0" w:type="dxa"/>
            <w:vAlign w:val="center"/>
          </w:tcPr>
          <w:p>
            <w:pPr>
              <w:spacing w:line="240" w:lineRule="auto"/>
              <w:jc w:val="right"/>
            </w:pPr>
            <w:r>
              <w:rPr>
                <w:rFonts w:ascii="宋体" w:hAnsi="宋体" w:eastAsia="宋体" w:cs="宋体"/>
                <w:b w:val="0"/>
              </w:rPr>
              <w:t>0.93%</w:t>
            </w:r>
          </w:p>
        </w:tc>
        <w:tc>
          <w:tcPr>
            <w:tcW w:w="0" w:type="dxa"/>
            <w:vAlign w:val="center"/>
          </w:tcPr>
          <w:p>
            <w:pPr>
              <w:spacing w:line="240" w:lineRule="auto"/>
              <w:jc w:val="right"/>
            </w:pPr>
            <w:r>
              <w:rPr>
                <w:rFonts w:ascii="宋体" w:hAnsi="宋体" w:eastAsia="宋体" w:cs="宋体"/>
                <w:b w:val="0"/>
              </w:rPr>
              <w:t>42.35%</w:t>
            </w:r>
          </w:p>
        </w:tc>
        <w:tc>
          <w:tcPr>
            <w:tcW w:w="0" w:type="dxa"/>
            <w:vAlign w:val="center"/>
          </w:tcPr>
          <w:p>
            <w:pPr>
              <w:spacing w:line="240" w:lineRule="auto"/>
              <w:jc w:val="right"/>
            </w:pPr>
            <w:r>
              <w:rPr>
                <w:rFonts w:ascii="宋体" w:hAnsi="宋体" w:eastAsia="宋体" w:cs="宋体"/>
                <w:b w:val="0"/>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19.98%</w:t>
            </w:r>
          </w:p>
        </w:tc>
        <w:tc>
          <w:tcPr>
            <w:tcW w:w="0" w:type="dxa"/>
            <w:vAlign w:val="center"/>
          </w:tcPr>
          <w:p>
            <w:pPr>
              <w:spacing w:line="240" w:lineRule="auto"/>
              <w:jc w:val="right"/>
            </w:pPr>
            <w:r>
              <w:rPr>
                <w:rFonts w:ascii="宋体" w:hAnsi="宋体" w:eastAsia="宋体" w:cs="宋体"/>
                <w:b w:val="0"/>
              </w:rPr>
              <w:t>2.15%</w:t>
            </w:r>
          </w:p>
        </w:tc>
        <w:tc>
          <w:tcPr>
            <w:tcW w:w="0" w:type="dxa"/>
            <w:vAlign w:val="center"/>
          </w:tcPr>
          <w:p>
            <w:pPr>
              <w:spacing w:line="240" w:lineRule="auto"/>
              <w:jc w:val="right"/>
            </w:pPr>
            <w:r>
              <w:rPr>
                <w:rFonts w:ascii="宋体" w:hAnsi="宋体" w:eastAsia="宋体" w:cs="宋体"/>
                <w:b w:val="0"/>
              </w:rPr>
              <w:t>22.59%</w:t>
            </w:r>
          </w:p>
        </w:tc>
        <w:tc>
          <w:tcPr>
            <w:tcW w:w="0" w:type="dxa"/>
            <w:vAlign w:val="center"/>
          </w:tcPr>
          <w:p>
            <w:pPr>
              <w:spacing w:line="240" w:lineRule="auto"/>
              <w:jc w:val="right"/>
            </w:pPr>
            <w:r>
              <w:rPr>
                <w:rFonts w:ascii="宋体" w:hAnsi="宋体" w:eastAsia="宋体" w:cs="宋体"/>
                <w:b w:val="0"/>
              </w:rPr>
              <w:t>0.99%</w:t>
            </w:r>
          </w:p>
        </w:tc>
        <w:tc>
          <w:tcPr>
            <w:tcW w:w="0" w:type="dxa"/>
            <w:vAlign w:val="center"/>
          </w:tcPr>
          <w:p>
            <w:pPr>
              <w:spacing w:line="240" w:lineRule="auto"/>
              <w:jc w:val="right"/>
            </w:pPr>
            <w:r>
              <w:rPr>
                <w:rFonts w:ascii="宋体" w:hAnsi="宋体" w:eastAsia="宋体" w:cs="宋体"/>
                <w:b w:val="0"/>
              </w:rPr>
              <w:t>-2.61%</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-25.23%</w:t>
            </w:r>
          </w:p>
        </w:tc>
        <w:tc>
          <w:tcPr>
            <w:tcW w:w="0" w:type="dxa"/>
            <w:vAlign w:val="center"/>
          </w:tcPr>
          <w:p>
            <w:pPr>
              <w:spacing w:line="240" w:lineRule="auto"/>
              <w:jc w:val="right"/>
            </w:pPr>
            <w:r>
              <w:rPr>
                <w:rFonts w:ascii="宋体" w:hAnsi="宋体" w:eastAsia="宋体" w:cs="宋体"/>
                <w:b w:val="0"/>
              </w:rPr>
              <w:t>1.87%</w:t>
            </w:r>
          </w:p>
        </w:tc>
        <w:tc>
          <w:tcPr>
            <w:tcW w:w="0" w:type="dxa"/>
            <w:vAlign w:val="center"/>
          </w:tcPr>
          <w:p>
            <w:pPr>
              <w:spacing w:line="240" w:lineRule="auto"/>
              <w:jc w:val="right"/>
            </w:pPr>
            <w:r>
              <w:rPr>
                <w:rFonts w:ascii="宋体" w:hAnsi="宋体" w:eastAsia="宋体" w:cs="宋体"/>
                <w:b w:val="0"/>
              </w:rPr>
              <w:t>-1.13%</w:t>
            </w:r>
          </w:p>
        </w:tc>
        <w:tc>
          <w:tcPr>
            <w:tcW w:w="0" w:type="dxa"/>
            <w:vAlign w:val="center"/>
          </w:tcPr>
          <w:p>
            <w:pPr>
              <w:spacing w:line="240" w:lineRule="auto"/>
              <w:jc w:val="right"/>
            </w:pPr>
            <w:r>
              <w:rPr>
                <w:rFonts w:ascii="宋体" w:hAnsi="宋体" w:eastAsia="宋体" w:cs="宋体"/>
                <w:b w:val="0"/>
              </w:rPr>
              <w:t>1.02%</w:t>
            </w:r>
          </w:p>
        </w:tc>
        <w:tc>
          <w:tcPr>
            <w:tcW w:w="0" w:type="dxa"/>
            <w:vAlign w:val="center"/>
          </w:tcPr>
          <w:p>
            <w:pPr>
              <w:spacing w:line="240" w:lineRule="auto"/>
              <w:jc w:val="right"/>
            </w:pPr>
            <w:r>
              <w:rPr>
                <w:rFonts w:ascii="宋体" w:hAnsi="宋体" w:eastAsia="宋体" w:cs="宋体"/>
                <w:b w:val="0"/>
              </w:rPr>
              <w:t>-24.10%</w:t>
            </w:r>
          </w:p>
        </w:tc>
        <w:tc>
          <w:tcPr>
            <w:tcW w:w="0" w:type="dxa"/>
            <w:vAlign w:val="center"/>
          </w:tcPr>
          <w:p>
            <w:pPr>
              <w:spacing w:line="240" w:lineRule="auto"/>
              <w:jc w:val="right"/>
            </w:pPr>
            <w:r>
              <w:rPr>
                <w:rFonts w:ascii="宋体" w:hAnsi="宋体" w:eastAsia="宋体" w:cs="宋体"/>
                <w:b w:val="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12.66%</w:t>
            </w:r>
          </w:p>
        </w:tc>
        <w:tc>
          <w:tcPr>
            <w:tcW w:w="0" w:type="dxa"/>
            <w:vAlign w:val="center"/>
          </w:tcPr>
          <w:p>
            <w:pPr>
              <w:spacing w:line="240" w:lineRule="auto"/>
              <w:jc w:val="right"/>
            </w:pPr>
            <w:r>
              <w:rPr>
                <w:rFonts w:ascii="宋体" w:hAnsi="宋体" w:eastAsia="宋体" w:cs="宋体"/>
                <w:b w:val="0"/>
              </w:rPr>
              <w:t>1.82%</w:t>
            </w:r>
          </w:p>
        </w:tc>
        <w:tc>
          <w:tcPr>
            <w:tcW w:w="0" w:type="dxa"/>
            <w:vAlign w:val="center"/>
          </w:tcPr>
          <w:p>
            <w:pPr>
              <w:spacing w:line="240" w:lineRule="auto"/>
              <w:jc w:val="right"/>
            </w:pPr>
            <w:r>
              <w:rPr>
                <w:rFonts w:ascii="宋体" w:hAnsi="宋体" w:eastAsia="宋体" w:cs="宋体"/>
                <w:b w:val="0"/>
              </w:rPr>
              <w:t>23.11%</w:t>
            </w:r>
          </w:p>
        </w:tc>
        <w:tc>
          <w:tcPr>
            <w:tcW w:w="0" w:type="dxa"/>
            <w:vAlign w:val="center"/>
          </w:tcPr>
          <w:p>
            <w:pPr>
              <w:spacing w:line="240" w:lineRule="auto"/>
              <w:jc w:val="right"/>
            </w:pPr>
            <w:r>
              <w:rPr>
                <w:rFonts w:ascii="宋体" w:hAnsi="宋体" w:eastAsia="宋体" w:cs="宋体"/>
                <w:b w:val="0"/>
              </w:rPr>
              <w:t>1.05%</w:t>
            </w:r>
          </w:p>
        </w:tc>
        <w:tc>
          <w:tcPr>
            <w:tcW w:w="0" w:type="dxa"/>
            <w:vAlign w:val="center"/>
          </w:tcPr>
          <w:p>
            <w:pPr>
              <w:spacing w:line="240" w:lineRule="auto"/>
              <w:jc w:val="right"/>
            </w:pPr>
            <w:r>
              <w:rPr>
                <w:rFonts w:ascii="宋体" w:hAnsi="宋体" w:eastAsia="宋体" w:cs="宋体"/>
                <w:b w:val="0"/>
              </w:rPr>
              <w:t>-10.45%</w:t>
            </w:r>
          </w:p>
        </w:tc>
        <w:tc>
          <w:tcPr>
            <w:tcW w:w="0" w:type="dxa"/>
            <w:vAlign w:val="center"/>
          </w:tcPr>
          <w:p>
            <w:pPr>
              <w:spacing w:line="240" w:lineRule="auto"/>
              <w:jc w:val="right"/>
            </w:pPr>
            <w:r>
              <w:rPr>
                <w:rFonts w:ascii="宋体" w:hAnsi="宋体" w:eastAsia="宋体" w:cs="宋体"/>
                <w:b w:val="0"/>
              </w:rPr>
              <w:t>0.77%</w:t>
            </w:r>
          </w:p>
        </w:tc>
      </w:tr>
    </w:tbl>
    <w:p>
      <w:r>
        <w:rPr>
          <w:rFonts w:ascii="宋体" w:hAnsi="宋体" w:eastAsia="宋体" w:cs="宋体"/>
          <w:b w:val="0"/>
        </w:rPr>
        <w:t>注：本基金业绩比较基准为：中证800指数收益率×80%+中证综合债券指数收益率×10%+恒生指数收益率×10%</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2023-03-03</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2025年第四季度，人形机器人行业在技术、商业化与政策层面均发生显著变化，呈现从“概念验证”向“规模量产”和“场景落地”加速迈进的关键转折特征。</w:t>
      </w:r>
      <w:r>
        <w:rPr>
          <w:rFonts w:ascii="宋体" w:hAnsi="宋体" w:eastAsia="宋体" w:cs="宋体"/>
          <w:b w:val="0"/>
        </w:rPr>
        <w:cr/>
      </w:r>
      <w:r>
        <w:rPr>
          <w:rFonts w:ascii="宋体" w:hAnsi="宋体" w:eastAsia="宋体" w:cs="宋体"/>
          <w:b w:val="0"/>
        </w:rPr>
        <w:t xml:space="preserve">    国内外企业持续刷新技术里程碑，核心进展体现在运动控制、自主性与通用智能的协同进化。相比年初特斯拉机器人步履僵硬，12月展示视频已可与人类进行激烈功夫对决。行业形成“大脑+小脑+本体”协同进化趋势，英伟达等方案商提供“芯片+软件+模型”一体化通用基础模型，为缺乏芯片设计能力的机器人本体厂提供具身智能训练方案。随着运动功能完善与具身智能能力增强，各厂家订单开始放量，头部公司产销量纷纷突破千台。特斯拉在完成调整与技术升级后，新一代人形机器人即将定型，并对供应商给出年产5万台以上的指引预期。</w:t>
      </w:r>
      <w:r>
        <w:rPr>
          <w:rFonts w:ascii="宋体" w:hAnsi="宋体" w:eastAsia="宋体" w:cs="宋体"/>
          <w:b w:val="0"/>
        </w:rPr>
        <w:cr/>
      </w:r>
      <w:r>
        <w:rPr>
          <w:rFonts w:ascii="宋体" w:hAnsi="宋体" w:eastAsia="宋体" w:cs="宋体"/>
          <w:b w:val="0"/>
        </w:rPr>
        <w:t xml:space="preserve">    四季度人形机器人指数呈现V型走势。初期受马斯克下调产量预期及V3定型推迟影响，市场情绪承压；后期随着特斯拉机器人事业部人事调整完成、国内厂家送样获乐观反馈、多家头部公司宣布提交上市申请，板块见底反弹。本基金在四季度主要配置特斯拉产业链，并在国产机器人产业链中配置部分机器狗标的，取得较好投资收益。</w:t>
      </w:r>
      <w:r>
        <w:rPr>
          <w:rFonts w:ascii="宋体" w:hAnsi="宋体" w:eastAsia="宋体" w:cs="宋体"/>
          <w:b w:val="0"/>
        </w:rPr>
        <w:cr/>
      </w:r>
      <w:r>
        <w:rPr>
          <w:rFonts w:ascii="宋体" w:hAnsi="宋体" w:eastAsia="宋体" w:cs="宋体"/>
          <w:b w:val="0"/>
        </w:rPr>
        <w:t xml:space="preserve">    展望2026年，机器人板块投资机会将更加丰富。特斯拉V3定型将为国内零部件供应商带来收入指数级增长，部分公司将实现收入和利润显著提升，为后续百万甚至千万台产能蓝图拉开序幕。同时，国内人形机器人将实现长足发展，机器人公司上市将形成投融资闭环，推动行业加速发展。此外，随着机器人“大小脑”算力提升，动作与自主性将更加拟人化，更多机器替人场景将出现，打开应用空间。我们将及时捕捉其中投资机会，为持有人创造价值。</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优选混合A基金份额净值为1.1626元，本报告期内，该类基金份额净值增长率为-5.62%，同期业绩比较基准收益率为-0.36%；截至报告期末东方阿尔法优选混合C基金份额净值为1.1266元，本报告期内，该类基金份额净值增长率为-5.73%，同期业绩比较基准收益率为-0.36%。</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85.69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85.69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71,543,254.20</w:t>
            </w:r>
          </w:p>
        </w:tc>
        <w:tc>
          <w:tcPr>
            <w:tcW w:w="0" w:type="dxa"/>
            <w:vAlign w:val="center"/>
          </w:tcPr>
          <w:p>
            <w:pPr>
              <w:spacing w:line="240" w:lineRule="auto"/>
              <w:jc w:val="right"/>
            </w:pPr>
            <w:r>
              <w:rPr>
                <w:rFonts w:ascii="宋体" w:hAnsi="宋体" w:eastAsia="宋体" w:cs="宋体"/>
                <w:b w:val="0"/>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33,952,375.15</w:t>
            </w:r>
          </w:p>
        </w:tc>
        <w:tc>
          <w:tcPr>
            <w:tcW w:w="0" w:type="dxa"/>
            <w:vAlign w:val="center"/>
          </w:tcPr>
          <w:p>
            <w:pPr>
              <w:spacing w:line="240" w:lineRule="auto"/>
              <w:jc w:val="right"/>
            </w:pPr>
            <w:r>
              <w:rPr>
                <w:rFonts w:ascii="宋体" w:hAnsi="宋体" w:eastAsia="宋体" w:cs="宋体"/>
                <w:b w:val="0"/>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1,376,673,978.81</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注：报告期末本基金通过港股通交易机制投资的港股公允价值合计57,815,021.87元，占基金资产净值的比例为4.63%。</w:t>
      </w:r>
    </w:p>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082"/>
        <w:gridCol w:w="1896"/>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103,284.72</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1,089,695,284.82</w:t>
            </w:r>
          </w:p>
        </w:tc>
        <w:tc>
          <w:tcPr>
            <w:tcW w:w="0" w:type="dxa"/>
            <w:vAlign w:val="center"/>
          </w:tcPr>
          <w:p>
            <w:pPr>
              <w:spacing w:line="240" w:lineRule="auto"/>
              <w:jc w:val="right"/>
            </w:pPr>
            <w:r>
              <w:rPr>
                <w:rFonts w:ascii="宋体" w:hAnsi="宋体" w:eastAsia="宋体" w:cs="宋体"/>
                <w:b w:val="0"/>
              </w:rPr>
              <w:t>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8,454,492.53</w:t>
            </w:r>
          </w:p>
        </w:tc>
        <w:tc>
          <w:tcPr>
            <w:tcW w:w="0" w:type="dxa"/>
            <w:vAlign w:val="center"/>
          </w:tcPr>
          <w:p>
            <w:pPr>
              <w:spacing w:line="240" w:lineRule="auto"/>
              <w:jc w:val="right"/>
            </w:pPr>
            <w:r>
              <w:rPr>
                <w:rFonts w:ascii="宋体" w:hAnsi="宋体" w:eastAsia="宋体" w:cs="宋体"/>
                <w:b w:val="0"/>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23,525,840.13</w:t>
            </w:r>
          </w:p>
        </w:tc>
        <w:tc>
          <w:tcPr>
            <w:tcW w:w="0" w:type="dxa"/>
            <w:vAlign w:val="center"/>
          </w:tcPr>
          <w:p>
            <w:pPr>
              <w:spacing w:line="240" w:lineRule="auto"/>
              <w:jc w:val="right"/>
            </w:pPr>
            <w:r>
              <w:rPr>
                <w:rFonts w:ascii="宋体" w:hAnsi="宋体" w:eastAsia="宋体" w:cs="宋体"/>
                <w:b w:val="0"/>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40,711.59</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1,121,831,602.33</w:t>
            </w:r>
          </w:p>
        </w:tc>
        <w:tc>
          <w:tcPr>
            <w:tcW w:w="0" w:type="dxa"/>
            <w:vAlign w:val="center"/>
          </w:tcPr>
          <w:p>
            <w:pPr>
              <w:spacing w:line="240" w:lineRule="auto"/>
              <w:jc w:val="right"/>
            </w:pPr>
            <w:r>
              <w:rPr>
                <w:rFonts w:ascii="宋体" w:hAnsi="宋体" w:eastAsia="宋体" w:cs="宋体"/>
                <w:b w:val="0"/>
              </w:rPr>
              <w:t>89.76</w:t>
            </w:r>
          </w:p>
        </w:tc>
      </w:tr>
    </w:tbl>
    <w:p/>
    <w:p>
      <w:pPr>
        <w:pStyle w:val="58"/>
      </w:pPr>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非日常生活消费品</w:t>
            </w:r>
          </w:p>
        </w:tc>
        <w:tc>
          <w:tcPr>
            <w:tcW w:w="0" w:type="dxa"/>
            <w:vAlign w:val="center"/>
          </w:tcPr>
          <w:p>
            <w:pPr>
              <w:spacing w:line="240" w:lineRule="auto"/>
              <w:jc w:val="right"/>
            </w:pPr>
            <w:r>
              <w:rPr>
                <w:rFonts w:ascii="宋体" w:hAnsi="宋体" w:eastAsia="宋体" w:cs="宋体"/>
                <w:b w:val="0"/>
              </w:rPr>
              <w:t>28,786,651.07</w:t>
            </w:r>
          </w:p>
        </w:tc>
        <w:tc>
          <w:tcPr>
            <w:tcW w:w="0" w:type="dxa"/>
            <w:vAlign w:val="center"/>
          </w:tcPr>
          <w:p>
            <w:pPr>
              <w:spacing w:line="240" w:lineRule="auto"/>
              <w:jc w:val="right"/>
            </w:pPr>
            <w:r>
              <w:rPr>
                <w:rFonts w:ascii="宋体" w:hAnsi="宋体" w:eastAsia="宋体" w:cs="宋体"/>
                <w:b w:val="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信息技术</w:t>
            </w:r>
          </w:p>
        </w:tc>
        <w:tc>
          <w:tcPr>
            <w:tcW w:w="0" w:type="dxa"/>
            <w:vAlign w:val="center"/>
          </w:tcPr>
          <w:p>
            <w:pPr>
              <w:spacing w:line="240" w:lineRule="auto"/>
              <w:jc w:val="right"/>
            </w:pPr>
            <w:r>
              <w:rPr>
                <w:rFonts w:ascii="宋体" w:hAnsi="宋体" w:eastAsia="宋体" w:cs="宋体"/>
                <w:b w:val="0"/>
              </w:rPr>
              <w:t>18,807,027.48</w:t>
            </w:r>
          </w:p>
        </w:tc>
        <w:tc>
          <w:tcPr>
            <w:tcW w:w="0" w:type="dxa"/>
            <w:vAlign w:val="center"/>
          </w:tcPr>
          <w:p>
            <w:pPr>
              <w:spacing w:line="240" w:lineRule="auto"/>
              <w:jc w:val="right"/>
            </w:pPr>
            <w:r>
              <w:rPr>
                <w:rFonts w:ascii="宋体" w:hAnsi="宋体" w:eastAsia="宋体" w:cs="宋体"/>
                <w:b w:val="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金融</w:t>
            </w:r>
          </w:p>
        </w:tc>
        <w:tc>
          <w:tcPr>
            <w:tcW w:w="0" w:type="dxa"/>
            <w:vAlign w:val="center"/>
          </w:tcPr>
          <w:p>
            <w:pPr>
              <w:spacing w:line="240" w:lineRule="auto"/>
              <w:jc w:val="right"/>
            </w:pPr>
            <w:r>
              <w:rPr>
                <w:rFonts w:ascii="宋体" w:hAnsi="宋体" w:eastAsia="宋体" w:cs="宋体"/>
                <w:b w:val="0"/>
              </w:rPr>
              <w:t>10,221,343.32</w:t>
            </w:r>
          </w:p>
        </w:tc>
        <w:tc>
          <w:tcPr>
            <w:tcW w:w="0" w:type="dxa"/>
            <w:vAlign w:val="center"/>
          </w:tcPr>
          <w:p>
            <w:pPr>
              <w:spacing w:line="240" w:lineRule="auto"/>
              <w:jc w:val="right"/>
            </w:pPr>
            <w:r>
              <w:rPr>
                <w:rFonts w:ascii="宋体" w:hAnsi="宋体" w:eastAsia="宋体" w:cs="宋体"/>
                <w:b w:val="0"/>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57,815,021.87</w:t>
            </w:r>
          </w:p>
        </w:tc>
        <w:tc>
          <w:tcPr>
            <w:tcW w:w="0" w:type="dxa"/>
            <w:vAlign w:val="center"/>
          </w:tcPr>
          <w:p>
            <w:pPr>
              <w:spacing w:line="240" w:lineRule="auto"/>
              <w:jc w:val="right"/>
            </w:pPr>
            <w:r>
              <w:rPr>
                <w:rFonts w:ascii="宋体" w:hAnsi="宋体" w:eastAsia="宋体" w:cs="宋体"/>
                <w:b w:val="0"/>
              </w:rPr>
              <w:t>4.63</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603119</w:t>
            </w:r>
          </w:p>
        </w:tc>
        <w:tc>
          <w:tcPr>
            <w:tcW w:w="0" w:type="dxa"/>
            <w:vAlign w:val="center"/>
          </w:tcPr>
          <w:p>
            <w:pPr>
              <w:spacing w:line="240" w:lineRule="auto"/>
              <w:jc w:val="left"/>
            </w:pPr>
            <w:r>
              <w:rPr>
                <w:rFonts w:ascii="宋体" w:hAnsi="宋体" w:eastAsia="宋体" w:cs="宋体"/>
                <w:b w:val="0"/>
              </w:rPr>
              <w:t>浙江荣泰</w:t>
            </w:r>
          </w:p>
        </w:tc>
        <w:tc>
          <w:tcPr>
            <w:tcW w:w="0" w:type="dxa"/>
            <w:vAlign w:val="center"/>
          </w:tcPr>
          <w:p>
            <w:pPr>
              <w:spacing w:line="240" w:lineRule="auto"/>
              <w:jc w:val="right"/>
            </w:pPr>
            <w:r>
              <w:rPr>
                <w:rFonts w:ascii="宋体" w:hAnsi="宋体" w:eastAsia="宋体" w:cs="宋体"/>
                <w:b w:val="0"/>
              </w:rPr>
              <w:t>888,210</w:t>
            </w:r>
          </w:p>
        </w:tc>
        <w:tc>
          <w:tcPr>
            <w:tcW w:w="0" w:type="dxa"/>
            <w:vAlign w:val="center"/>
          </w:tcPr>
          <w:p>
            <w:pPr>
              <w:spacing w:line="240" w:lineRule="auto"/>
              <w:jc w:val="right"/>
            </w:pPr>
            <w:r>
              <w:rPr>
                <w:rFonts w:ascii="宋体" w:hAnsi="宋体" w:eastAsia="宋体" w:cs="宋体"/>
                <w:b w:val="0"/>
              </w:rPr>
              <w:t>102,739,250.70</w:t>
            </w:r>
          </w:p>
        </w:tc>
        <w:tc>
          <w:tcPr>
            <w:tcW w:w="0" w:type="dxa"/>
            <w:vAlign w:val="center"/>
          </w:tcPr>
          <w:p>
            <w:pPr>
              <w:spacing w:line="240" w:lineRule="auto"/>
              <w:jc w:val="right"/>
            </w:pPr>
            <w:r>
              <w:rPr>
                <w:rFonts w:ascii="宋体" w:hAnsi="宋体" w:eastAsia="宋体" w:cs="宋体"/>
                <w:b w:val="0"/>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301550</w:t>
            </w:r>
          </w:p>
        </w:tc>
        <w:tc>
          <w:tcPr>
            <w:tcW w:w="0" w:type="dxa"/>
            <w:vAlign w:val="center"/>
          </w:tcPr>
          <w:p>
            <w:pPr>
              <w:spacing w:line="240" w:lineRule="auto"/>
              <w:jc w:val="left"/>
            </w:pPr>
            <w:r>
              <w:rPr>
                <w:rFonts w:ascii="宋体" w:hAnsi="宋体" w:eastAsia="宋体" w:cs="宋体"/>
                <w:b w:val="0"/>
              </w:rPr>
              <w:t>斯菱智驱</w:t>
            </w:r>
          </w:p>
        </w:tc>
        <w:tc>
          <w:tcPr>
            <w:tcW w:w="0" w:type="dxa"/>
            <w:vAlign w:val="center"/>
          </w:tcPr>
          <w:p>
            <w:pPr>
              <w:spacing w:line="240" w:lineRule="auto"/>
              <w:jc w:val="right"/>
            </w:pPr>
            <w:r>
              <w:rPr>
                <w:rFonts w:ascii="宋体" w:hAnsi="宋体" w:eastAsia="宋体" w:cs="宋体"/>
                <w:b w:val="0"/>
              </w:rPr>
              <w:t>564,937</w:t>
            </w:r>
          </w:p>
        </w:tc>
        <w:tc>
          <w:tcPr>
            <w:tcW w:w="0" w:type="dxa"/>
            <w:vAlign w:val="center"/>
          </w:tcPr>
          <w:p>
            <w:pPr>
              <w:spacing w:line="240" w:lineRule="auto"/>
              <w:jc w:val="right"/>
            </w:pPr>
            <w:r>
              <w:rPr>
                <w:rFonts w:ascii="宋体" w:hAnsi="宋体" w:eastAsia="宋体" w:cs="宋体"/>
                <w:b w:val="0"/>
              </w:rPr>
              <w:t>78,356,761.90</w:t>
            </w:r>
          </w:p>
        </w:tc>
        <w:tc>
          <w:tcPr>
            <w:tcW w:w="0" w:type="dxa"/>
            <w:vAlign w:val="center"/>
          </w:tcPr>
          <w:p>
            <w:pPr>
              <w:spacing w:line="240" w:lineRule="auto"/>
              <w:jc w:val="right"/>
            </w:pPr>
            <w:r>
              <w:rPr>
                <w:rFonts w:ascii="宋体" w:hAnsi="宋体" w:eastAsia="宋体" w:cs="宋体"/>
                <w:b w:val="0"/>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688698</w:t>
            </w:r>
          </w:p>
        </w:tc>
        <w:tc>
          <w:tcPr>
            <w:tcW w:w="0" w:type="dxa"/>
            <w:vAlign w:val="center"/>
          </w:tcPr>
          <w:p>
            <w:pPr>
              <w:spacing w:line="240" w:lineRule="auto"/>
              <w:jc w:val="left"/>
            </w:pPr>
            <w:r>
              <w:rPr>
                <w:rFonts w:ascii="宋体" w:hAnsi="宋体" w:eastAsia="宋体" w:cs="宋体"/>
                <w:b w:val="0"/>
              </w:rPr>
              <w:t>伟创电气</w:t>
            </w:r>
          </w:p>
        </w:tc>
        <w:tc>
          <w:tcPr>
            <w:tcW w:w="0" w:type="dxa"/>
            <w:vAlign w:val="center"/>
          </w:tcPr>
          <w:p>
            <w:pPr>
              <w:spacing w:line="240" w:lineRule="auto"/>
              <w:jc w:val="right"/>
            </w:pPr>
            <w:r>
              <w:rPr>
                <w:rFonts w:ascii="宋体" w:hAnsi="宋体" w:eastAsia="宋体" w:cs="宋体"/>
                <w:b w:val="0"/>
              </w:rPr>
              <w:t>727,405</w:t>
            </w:r>
          </w:p>
        </w:tc>
        <w:tc>
          <w:tcPr>
            <w:tcW w:w="0" w:type="dxa"/>
            <w:vAlign w:val="center"/>
          </w:tcPr>
          <w:p>
            <w:pPr>
              <w:spacing w:line="240" w:lineRule="auto"/>
              <w:jc w:val="right"/>
            </w:pPr>
            <w:r>
              <w:rPr>
                <w:rFonts w:ascii="宋体" w:hAnsi="宋体" w:eastAsia="宋体" w:cs="宋体"/>
                <w:b w:val="0"/>
              </w:rPr>
              <w:t>71,925,806.40</w:t>
            </w:r>
          </w:p>
        </w:tc>
        <w:tc>
          <w:tcPr>
            <w:tcW w:w="0" w:type="dxa"/>
            <w:vAlign w:val="center"/>
          </w:tcPr>
          <w:p>
            <w:pPr>
              <w:spacing w:line="240" w:lineRule="auto"/>
              <w:jc w:val="right"/>
            </w:pPr>
            <w:r>
              <w:rPr>
                <w:rFonts w:ascii="宋体" w:hAnsi="宋体" w:eastAsia="宋体" w:cs="宋体"/>
                <w:b w:val="0"/>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300953</w:t>
            </w:r>
          </w:p>
        </w:tc>
        <w:tc>
          <w:tcPr>
            <w:tcW w:w="0" w:type="dxa"/>
            <w:vAlign w:val="center"/>
          </w:tcPr>
          <w:p>
            <w:pPr>
              <w:spacing w:line="240" w:lineRule="auto"/>
              <w:jc w:val="left"/>
            </w:pPr>
            <w:r>
              <w:rPr>
                <w:rFonts w:ascii="宋体" w:hAnsi="宋体" w:eastAsia="宋体" w:cs="宋体"/>
                <w:b w:val="0"/>
              </w:rPr>
              <w:t>震裕科技</w:t>
            </w:r>
          </w:p>
        </w:tc>
        <w:tc>
          <w:tcPr>
            <w:tcW w:w="0" w:type="dxa"/>
            <w:vAlign w:val="center"/>
          </w:tcPr>
          <w:p>
            <w:pPr>
              <w:spacing w:line="240" w:lineRule="auto"/>
              <w:jc w:val="right"/>
            </w:pPr>
            <w:r>
              <w:rPr>
                <w:rFonts w:ascii="宋体" w:hAnsi="宋体" w:eastAsia="宋体" w:cs="宋体"/>
                <w:b w:val="0"/>
              </w:rPr>
              <w:t>403,120</w:t>
            </w:r>
          </w:p>
        </w:tc>
        <w:tc>
          <w:tcPr>
            <w:tcW w:w="0" w:type="dxa"/>
            <w:vAlign w:val="center"/>
          </w:tcPr>
          <w:p>
            <w:pPr>
              <w:spacing w:line="240" w:lineRule="auto"/>
              <w:jc w:val="right"/>
            </w:pPr>
            <w:r>
              <w:rPr>
                <w:rFonts w:ascii="宋体" w:hAnsi="宋体" w:eastAsia="宋体" w:cs="宋体"/>
                <w:b w:val="0"/>
              </w:rPr>
              <w:t>67,732,222.40</w:t>
            </w:r>
          </w:p>
        </w:tc>
        <w:tc>
          <w:tcPr>
            <w:tcW w:w="0" w:type="dxa"/>
            <w:vAlign w:val="center"/>
          </w:tcPr>
          <w:p>
            <w:pPr>
              <w:spacing w:line="240" w:lineRule="auto"/>
              <w:jc w:val="right"/>
            </w:pPr>
            <w:r>
              <w:rPr>
                <w:rFonts w:ascii="宋体" w:hAnsi="宋体" w:eastAsia="宋体" w:cs="宋体"/>
                <w:b w:val="0"/>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301225</w:t>
            </w:r>
          </w:p>
        </w:tc>
        <w:tc>
          <w:tcPr>
            <w:tcW w:w="0" w:type="dxa"/>
            <w:vAlign w:val="center"/>
          </w:tcPr>
          <w:p>
            <w:pPr>
              <w:spacing w:line="240" w:lineRule="auto"/>
              <w:jc w:val="left"/>
            </w:pPr>
            <w:r>
              <w:rPr>
                <w:rFonts w:ascii="宋体" w:hAnsi="宋体" w:eastAsia="宋体" w:cs="宋体"/>
                <w:b w:val="0"/>
              </w:rPr>
              <w:t>恒勃股份</w:t>
            </w:r>
          </w:p>
        </w:tc>
        <w:tc>
          <w:tcPr>
            <w:tcW w:w="0" w:type="dxa"/>
            <w:vAlign w:val="center"/>
          </w:tcPr>
          <w:p>
            <w:pPr>
              <w:spacing w:line="240" w:lineRule="auto"/>
              <w:jc w:val="right"/>
            </w:pPr>
            <w:r>
              <w:rPr>
                <w:rFonts w:ascii="宋体" w:hAnsi="宋体" w:eastAsia="宋体" w:cs="宋体"/>
                <w:b w:val="0"/>
              </w:rPr>
              <w:t>403,300</w:t>
            </w:r>
          </w:p>
        </w:tc>
        <w:tc>
          <w:tcPr>
            <w:tcW w:w="0" w:type="dxa"/>
            <w:vAlign w:val="center"/>
          </w:tcPr>
          <w:p>
            <w:pPr>
              <w:spacing w:line="240" w:lineRule="auto"/>
              <w:jc w:val="right"/>
            </w:pPr>
            <w:r>
              <w:rPr>
                <w:rFonts w:ascii="宋体" w:hAnsi="宋体" w:eastAsia="宋体" w:cs="宋体"/>
                <w:b w:val="0"/>
              </w:rPr>
              <w:t>66,746,150.00</w:t>
            </w:r>
          </w:p>
        </w:tc>
        <w:tc>
          <w:tcPr>
            <w:tcW w:w="0" w:type="dxa"/>
            <w:vAlign w:val="center"/>
          </w:tcPr>
          <w:p>
            <w:pPr>
              <w:spacing w:line="240" w:lineRule="auto"/>
              <w:jc w:val="right"/>
            </w:pPr>
            <w:r>
              <w:rPr>
                <w:rFonts w:ascii="宋体" w:hAnsi="宋体" w:eastAsia="宋体" w:cs="宋体"/>
                <w:b w:val="0"/>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603179</w:t>
            </w:r>
          </w:p>
        </w:tc>
        <w:tc>
          <w:tcPr>
            <w:tcW w:w="0" w:type="dxa"/>
            <w:vAlign w:val="center"/>
          </w:tcPr>
          <w:p>
            <w:pPr>
              <w:spacing w:line="240" w:lineRule="auto"/>
              <w:jc w:val="left"/>
            </w:pPr>
            <w:r>
              <w:rPr>
                <w:rFonts w:ascii="宋体" w:hAnsi="宋体" w:eastAsia="宋体" w:cs="宋体"/>
                <w:b w:val="0"/>
              </w:rPr>
              <w:t>新泉股份</w:t>
            </w:r>
          </w:p>
        </w:tc>
        <w:tc>
          <w:tcPr>
            <w:tcW w:w="0" w:type="dxa"/>
            <w:vAlign w:val="center"/>
          </w:tcPr>
          <w:p>
            <w:pPr>
              <w:spacing w:line="240" w:lineRule="auto"/>
              <w:jc w:val="right"/>
            </w:pPr>
            <w:r>
              <w:rPr>
                <w:rFonts w:ascii="宋体" w:hAnsi="宋体" w:eastAsia="宋体" w:cs="宋体"/>
                <w:b w:val="0"/>
              </w:rPr>
              <w:t>900,500</w:t>
            </w:r>
          </w:p>
        </w:tc>
        <w:tc>
          <w:tcPr>
            <w:tcW w:w="0" w:type="dxa"/>
            <w:vAlign w:val="center"/>
          </w:tcPr>
          <w:p>
            <w:pPr>
              <w:spacing w:line="240" w:lineRule="auto"/>
              <w:jc w:val="right"/>
            </w:pPr>
            <w:r>
              <w:rPr>
                <w:rFonts w:ascii="宋体" w:hAnsi="宋体" w:eastAsia="宋体" w:cs="宋体"/>
                <w:b w:val="0"/>
              </w:rPr>
              <w:t>66,528,940.00</w:t>
            </w:r>
          </w:p>
        </w:tc>
        <w:tc>
          <w:tcPr>
            <w:tcW w:w="0" w:type="dxa"/>
            <w:vAlign w:val="center"/>
          </w:tcPr>
          <w:p>
            <w:pPr>
              <w:spacing w:line="240" w:lineRule="auto"/>
              <w:jc w:val="right"/>
            </w:pPr>
            <w:r>
              <w:rPr>
                <w:rFonts w:ascii="宋体" w:hAnsi="宋体" w:eastAsia="宋体" w:cs="宋体"/>
                <w:b w:val="0"/>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601100</w:t>
            </w:r>
          </w:p>
        </w:tc>
        <w:tc>
          <w:tcPr>
            <w:tcW w:w="0" w:type="dxa"/>
            <w:vAlign w:val="center"/>
          </w:tcPr>
          <w:p>
            <w:pPr>
              <w:spacing w:line="240" w:lineRule="auto"/>
              <w:jc w:val="left"/>
            </w:pPr>
            <w:r>
              <w:rPr>
                <w:rFonts w:ascii="宋体" w:hAnsi="宋体" w:eastAsia="宋体" w:cs="宋体"/>
                <w:b w:val="0"/>
              </w:rPr>
              <w:t>恒立液压</w:t>
            </w:r>
          </w:p>
        </w:tc>
        <w:tc>
          <w:tcPr>
            <w:tcW w:w="0" w:type="dxa"/>
            <w:vAlign w:val="center"/>
          </w:tcPr>
          <w:p>
            <w:pPr>
              <w:spacing w:line="240" w:lineRule="auto"/>
              <w:jc w:val="right"/>
            </w:pPr>
            <w:r>
              <w:rPr>
                <w:rFonts w:ascii="宋体" w:hAnsi="宋体" w:eastAsia="宋体" w:cs="宋体"/>
                <w:b w:val="0"/>
              </w:rPr>
              <w:t>577,800</w:t>
            </w:r>
          </w:p>
        </w:tc>
        <w:tc>
          <w:tcPr>
            <w:tcW w:w="0" w:type="dxa"/>
            <w:vAlign w:val="center"/>
          </w:tcPr>
          <w:p>
            <w:pPr>
              <w:spacing w:line="240" w:lineRule="auto"/>
              <w:jc w:val="right"/>
            </w:pPr>
            <w:r>
              <w:rPr>
                <w:rFonts w:ascii="宋体" w:hAnsi="宋体" w:eastAsia="宋体" w:cs="宋体"/>
                <w:b w:val="0"/>
              </w:rPr>
              <w:t>63,505,998.00</w:t>
            </w:r>
          </w:p>
        </w:tc>
        <w:tc>
          <w:tcPr>
            <w:tcW w:w="0" w:type="dxa"/>
            <w:vAlign w:val="center"/>
          </w:tcPr>
          <w:p>
            <w:pPr>
              <w:spacing w:line="240" w:lineRule="auto"/>
              <w:jc w:val="right"/>
            </w:pPr>
            <w:r>
              <w:rPr>
                <w:rFonts w:ascii="宋体" w:hAnsi="宋体" w:eastAsia="宋体" w:cs="宋体"/>
                <w:b w:val="0"/>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300115</w:t>
            </w:r>
          </w:p>
        </w:tc>
        <w:tc>
          <w:tcPr>
            <w:tcW w:w="0" w:type="dxa"/>
            <w:vAlign w:val="center"/>
          </w:tcPr>
          <w:p>
            <w:pPr>
              <w:spacing w:line="240" w:lineRule="auto"/>
              <w:jc w:val="left"/>
            </w:pPr>
            <w:r>
              <w:rPr>
                <w:rFonts w:ascii="宋体" w:hAnsi="宋体" w:eastAsia="宋体" w:cs="宋体"/>
                <w:b w:val="0"/>
              </w:rPr>
              <w:t>长盈精密</w:t>
            </w:r>
          </w:p>
        </w:tc>
        <w:tc>
          <w:tcPr>
            <w:tcW w:w="0" w:type="dxa"/>
            <w:vAlign w:val="center"/>
          </w:tcPr>
          <w:p>
            <w:pPr>
              <w:spacing w:line="240" w:lineRule="auto"/>
              <w:jc w:val="right"/>
            </w:pPr>
            <w:r>
              <w:rPr>
                <w:rFonts w:ascii="宋体" w:hAnsi="宋体" w:eastAsia="宋体" w:cs="宋体"/>
                <w:b w:val="0"/>
              </w:rPr>
              <w:t>1,300,700</w:t>
            </w:r>
          </w:p>
        </w:tc>
        <w:tc>
          <w:tcPr>
            <w:tcW w:w="0" w:type="dxa"/>
            <w:vAlign w:val="center"/>
          </w:tcPr>
          <w:p>
            <w:pPr>
              <w:spacing w:line="240" w:lineRule="auto"/>
              <w:jc w:val="right"/>
            </w:pPr>
            <w:r>
              <w:rPr>
                <w:rFonts w:ascii="宋体" w:hAnsi="宋体" w:eastAsia="宋体" w:cs="宋体"/>
                <w:b w:val="0"/>
              </w:rPr>
              <w:t>60,482,550.00</w:t>
            </w:r>
          </w:p>
        </w:tc>
        <w:tc>
          <w:tcPr>
            <w:tcW w:w="0" w:type="dxa"/>
            <w:vAlign w:val="center"/>
          </w:tcPr>
          <w:p>
            <w:pPr>
              <w:spacing w:line="240" w:lineRule="auto"/>
              <w:jc w:val="right"/>
            </w:pPr>
            <w:r>
              <w:rPr>
                <w:rFonts w:ascii="宋体" w:hAnsi="宋体" w:eastAsia="宋体" w:cs="宋体"/>
                <w:b w:val="0"/>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605488</w:t>
            </w:r>
          </w:p>
        </w:tc>
        <w:tc>
          <w:tcPr>
            <w:tcW w:w="0" w:type="dxa"/>
            <w:vAlign w:val="center"/>
          </w:tcPr>
          <w:p>
            <w:pPr>
              <w:spacing w:line="240" w:lineRule="auto"/>
              <w:jc w:val="left"/>
            </w:pPr>
            <w:r>
              <w:rPr>
                <w:rFonts w:ascii="宋体" w:hAnsi="宋体" w:eastAsia="宋体" w:cs="宋体"/>
                <w:b w:val="0"/>
              </w:rPr>
              <w:t>福莱新材</w:t>
            </w:r>
          </w:p>
        </w:tc>
        <w:tc>
          <w:tcPr>
            <w:tcW w:w="0" w:type="dxa"/>
            <w:vAlign w:val="center"/>
          </w:tcPr>
          <w:p>
            <w:pPr>
              <w:spacing w:line="240" w:lineRule="auto"/>
              <w:jc w:val="right"/>
            </w:pPr>
            <w:r>
              <w:rPr>
                <w:rFonts w:ascii="宋体" w:hAnsi="宋体" w:eastAsia="宋体" w:cs="宋体"/>
                <w:b w:val="0"/>
              </w:rPr>
              <w:t>1,673,740</w:t>
            </w:r>
          </w:p>
        </w:tc>
        <w:tc>
          <w:tcPr>
            <w:tcW w:w="0" w:type="dxa"/>
            <w:vAlign w:val="center"/>
          </w:tcPr>
          <w:p>
            <w:pPr>
              <w:spacing w:line="240" w:lineRule="auto"/>
              <w:jc w:val="right"/>
            </w:pPr>
            <w:r>
              <w:rPr>
                <w:rFonts w:ascii="宋体" w:hAnsi="宋体" w:eastAsia="宋体" w:cs="宋体"/>
                <w:b w:val="0"/>
              </w:rPr>
              <w:t>57,492,969.00</w:t>
            </w:r>
          </w:p>
        </w:tc>
        <w:tc>
          <w:tcPr>
            <w:tcW w:w="0" w:type="dxa"/>
            <w:vAlign w:val="center"/>
          </w:tcPr>
          <w:p>
            <w:pPr>
              <w:spacing w:line="240" w:lineRule="auto"/>
              <w:jc w:val="right"/>
            </w:pPr>
            <w:r>
              <w:rPr>
                <w:rFonts w:ascii="宋体" w:hAnsi="宋体" w:eastAsia="宋体" w:cs="宋体"/>
                <w:b w:val="0"/>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603667</w:t>
            </w:r>
          </w:p>
        </w:tc>
        <w:tc>
          <w:tcPr>
            <w:tcW w:w="0" w:type="dxa"/>
            <w:vAlign w:val="center"/>
          </w:tcPr>
          <w:p>
            <w:pPr>
              <w:spacing w:line="240" w:lineRule="auto"/>
              <w:jc w:val="left"/>
            </w:pPr>
            <w:r>
              <w:rPr>
                <w:rFonts w:ascii="宋体" w:hAnsi="宋体" w:eastAsia="宋体" w:cs="宋体"/>
                <w:b w:val="0"/>
              </w:rPr>
              <w:t>五洲新春</w:t>
            </w:r>
          </w:p>
        </w:tc>
        <w:tc>
          <w:tcPr>
            <w:tcW w:w="0" w:type="dxa"/>
            <w:vAlign w:val="center"/>
          </w:tcPr>
          <w:p>
            <w:pPr>
              <w:spacing w:line="240" w:lineRule="auto"/>
              <w:jc w:val="right"/>
            </w:pPr>
            <w:r>
              <w:rPr>
                <w:rFonts w:ascii="宋体" w:hAnsi="宋体" w:eastAsia="宋体" w:cs="宋体"/>
                <w:b w:val="0"/>
              </w:rPr>
              <w:t>781,300</w:t>
            </w:r>
          </w:p>
        </w:tc>
        <w:tc>
          <w:tcPr>
            <w:tcW w:w="0" w:type="dxa"/>
            <w:vAlign w:val="center"/>
          </w:tcPr>
          <w:p>
            <w:pPr>
              <w:spacing w:line="240" w:lineRule="auto"/>
              <w:jc w:val="right"/>
            </w:pPr>
            <w:r>
              <w:rPr>
                <w:rFonts w:ascii="宋体" w:hAnsi="宋体" w:eastAsia="宋体" w:cs="宋体"/>
                <w:b w:val="0"/>
              </w:rPr>
              <w:t>54,675,374.00</w:t>
            </w:r>
          </w:p>
        </w:tc>
        <w:tc>
          <w:tcPr>
            <w:tcW w:w="0" w:type="dxa"/>
            <w:vAlign w:val="center"/>
          </w:tcPr>
          <w:p>
            <w:pPr>
              <w:spacing w:line="240" w:lineRule="auto"/>
              <w:jc w:val="right"/>
            </w:pPr>
            <w:r>
              <w:rPr>
                <w:rFonts w:ascii="宋体" w:hAnsi="宋体" w:eastAsia="宋体" w:cs="宋体"/>
                <w:b w:val="0"/>
              </w:rPr>
              <w:t>4.37</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7.32</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752,000</w:t>
            </w:r>
          </w:p>
        </w:tc>
        <w:tc>
          <w:tcPr>
            <w:tcW w:w="0" w:type="dxa"/>
            <w:vAlign w:val="center"/>
          </w:tcPr>
          <w:p>
            <w:pPr>
              <w:spacing w:line="240" w:lineRule="auto"/>
              <w:jc w:val="right"/>
            </w:pPr>
            <w:r>
              <w:rPr>
                <w:rFonts w:ascii="宋体" w:hAnsi="宋体" w:eastAsia="宋体" w:cs="宋体"/>
                <w:b w:val="0"/>
              </w:rPr>
              <w:t>76,038,861.15</w:t>
            </w:r>
          </w:p>
        </w:tc>
        <w:tc>
          <w:tcPr>
            <w:tcW w:w="0" w:type="dxa"/>
            <w:vAlign w:val="center"/>
          </w:tcPr>
          <w:p>
            <w:pPr>
              <w:spacing w:line="240" w:lineRule="auto"/>
              <w:jc w:val="right"/>
            </w:pPr>
            <w:r>
              <w:rPr>
                <w:rFonts w:ascii="宋体" w:hAnsi="宋体" w:eastAsia="宋体" w:cs="宋体"/>
                <w:b w:val="0"/>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154,000</w:t>
            </w:r>
          </w:p>
        </w:tc>
        <w:tc>
          <w:tcPr>
            <w:tcW w:w="0" w:type="dxa"/>
            <w:vAlign w:val="center"/>
          </w:tcPr>
          <w:p>
            <w:pPr>
              <w:spacing w:line="240" w:lineRule="auto"/>
              <w:jc w:val="right"/>
            </w:pPr>
            <w:r>
              <w:rPr>
                <w:rFonts w:ascii="宋体" w:hAnsi="宋体" w:eastAsia="宋体" w:cs="宋体"/>
                <w:b w:val="0"/>
              </w:rPr>
              <w:t>15,492,864.11</w:t>
            </w:r>
          </w:p>
        </w:tc>
        <w:tc>
          <w:tcPr>
            <w:tcW w:w="0" w:type="dxa"/>
            <w:vAlign w:val="center"/>
          </w:tcPr>
          <w:p>
            <w:pPr>
              <w:spacing w:line="240" w:lineRule="auto"/>
              <w:jc w:val="right"/>
            </w:pPr>
            <w:r>
              <w:rPr>
                <w:rFonts w:ascii="宋体" w:hAnsi="宋体" w:eastAsia="宋体" w:cs="宋体"/>
                <w:b w:val="0"/>
              </w:rPr>
              <w:t>1.24</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w:t>
      </w:r>
      <w:r>
        <w:rPr>
          <w:rFonts w:hint="eastAsia" w:ascii="宋体" w:hAnsi="宋体" w:cs="宋体"/>
          <w:b w:val="0"/>
          <w:lang w:val="en-US" w:eastAsia="zh-CN"/>
        </w:rPr>
        <w:t>主体</w:t>
      </w:r>
      <w:bookmarkStart w:id="1" w:name="_GoBack"/>
      <w:bookmarkEnd w:id="1"/>
      <w:r>
        <w:rPr>
          <w:rFonts w:ascii="宋体" w:hAnsi="宋体" w:eastAsia="宋体" w:cs="宋体"/>
          <w:b w:val="0"/>
        </w:rPr>
        <w:t>中，浙江五洲新春集团股份有限公司在报告编制日前一年内受到中国证监会浙江监管局警示并计入诚信档案，同时被上海证券交易所通报批评并记入诚信档案。本基金对上述证券的投资决策程序符合相关法规及公司制度要求。</w:t>
      </w:r>
      <w:r>
        <w:rPr>
          <w:rFonts w:ascii="宋体" w:hAnsi="宋体" w:eastAsia="宋体" w:cs="宋体"/>
          <w:b w:val="0"/>
        </w:rPr>
        <w:cr/>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4,982,874.61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110,392.59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28,835,753.65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23,354.30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33,952,375.15</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东方阿尔法优选混合A</w:t>
            </w:r>
          </w:p>
        </w:tc>
        <w:tc>
          <w:tcPr>
            <w:tcW w:w="1300" w:type="pct"/>
            <w:vAlign w:val="center"/>
          </w:tcPr>
          <w:p>
            <w:pPr>
              <w:spacing w:line="240" w:lineRule="auto"/>
              <w:jc w:val="center"/>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103,742,847.40</w:t>
            </w:r>
          </w:p>
        </w:tc>
        <w:tc>
          <w:tcPr>
            <w:tcW w:w="1300" w:type="pct"/>
            <w:vAlign w:val="center"/>
          </w:tcPr>
          <w:p>
            <w:pPr>
              <w:spacing w:line="240" w:lineRule="auto"/>
              <w:jc w:val="right"/>
            </w:pPr>
            <w:r>
              <w:rPr>
                <w:rFonts w:ascii="宋体" w:hAnsi="宋体" w:eastAsia="宋体" w:cs="宋体"/>
                <w:b w:val="0"/>
              </w:rPr>
              <w:t>1,264,171,783.34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12,438,020.00</w:t>
            </w:r>
          </w:p>
        </w:tc>
        <w:tc>
          <w:tcPr>
            <w:tcW w:w="1300" w:type="pct"/>
            <w:vAlign w:val="center"/>
          </w:tcPr>
          <w:p>
            <w:pPr>
              <w:spacing w:line="240" w:lineRule="auto"/>
              <w:jc w:val="right"/>
            </w:pPr>
            <w:r>
              <w:rPr>
                <w:rFonts w:ascii="宋体" w:hAnsi="宋体" w:eastAsia="宋体" w:cs="宋体"/>
                <w:b w:val="0"/>
              </w:rPr>
              <w:t>966,499,528.96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45,803,799.35</w:t>
            </w:r>
          </w:p>
        </w:tc>
        <w:tc>
          <w:tcPr>
            <w:tcW w:w="1300" w:type="pct"/>
            <w:vAlign w:val="center"/>
          </w:tcPr>
          <w:p>
            <w:pPr>
              <w:spacing w:line="240" w:lineRule="auto"/>
              <w:jc w:val="right"/>
            </w:pPr>
            <w:r>
              <w:rPr>
                <w:rFonts w:ascii="宋体" w:hAnsi="宋体" w:eastAsia="宋体" w:cs="宋体"/>
                <w:b w:val="0"/>
              </w:rPr>
              <w:t>1,194,002,621.69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70,377,068.05</w:t>
            </w:r>
          </w:p>
        </w:tc>
        <w:tc>
          <w:tcPr>
            <w:tcW w:w="1300" w:type="pct"/>
            <w:vAlign w:val="center"/>
          </w:tcPr>
          <w:p>
            <w:pPr>
              <w:spacing w:line="240" w:lineRule="auto"/>
              <w:jc w:val="right"/>
            </w:pPr>
            <w:r>
              <w:rPr>
                <w:rFonts w:ascii="宋体" w:hAnsi="宋体" w:eastAsia="宋体" w:cs="宋体"/>
                <w:b w:val="0"/>
              </w:rPr>
              <w:t>1,036,668,690.61</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p>
      <w:r>
        <w:rPr>
          <w:rFonts w:ascii="宋体" w:hAnsi="宋体" w:eastAsia="宋体" w:cs="宋体"/>
          <w:b w:val="0"/>
        </w:rPr>
        <w:t xml:space="preserve">    本基金基金合同于2019年09月12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spacing w:line="240" w:lineRule="auto"/>
        <w:jc w:val="center"/>
      </w:pPr>
      <w:r>
        <w:rPr>
          <w:rFonts w:ascii="宋体" w:hAnsi="宋体" w:eastAsia="宋体" w:cs="宋体"/>
        </w:rPr>
        <w:t>§10 备查文件目录</w:t>
      </w:r>
    </w:p>
    <w:p>
      <w:pPr>
        <w:pStyle w:val="3"/>
        <w:spacing w:line="240" w:lineRule="auto"/>
        <w:jc w:val="left"/>
      </w:pPr>
      <w:r>
        <w:rPr>
          <w:rFonts w:ascii="宋体" w:hAnsi="宋体" w:eastAsia="宋体" w:cs="宋体"/>
        </w:rPr>
        <w:t>10.1 备查文件目录</w:t>
      </w:r>
    </w:p>
    <w:p>
      <w:pPr>
        <w:spacing w:line="240" w:lineRule="auto"/>
      </w:pPr>
      <w:r>
        <w:rPr>
          <w:rFonts w:ascii="宋体" w:hAnsi="宋体" w:eastAsia="宋体" w:cs="宋体"/>
          <w:b w:val="0"/>
        </w:rPr>
        <w:t xml:space="preserve">    1、中国证券监督管理委员会批准的东方阿尔法优选混合型发起式证券投资基金设立的文件；</w:t>
      </w:r>
      <w:r>
        <w:rPr>
          <w:rFonts w:ascii="宋体" w:hAnsi="宋体" w:eastAsia="宋体" w:cs="宋体"/>
          <w:b w:val="0"/>
        </w:rPr>
        <w:cr/>
      </w:r>
      <w:r>
        <w:rPr>
          <w:rFonts w:ascii="宋体" w:hAnsi="宋体" w:eastAsia="宋体" w:cs="宋体"/>
          <w:b w:val="0"/>
        </w:rPr>
        <w:t xml:space="preserve">    2、《东方阿尔法优选混合型发起式证券投资基金基金合同》；</w:t>
      </w:r>
      <w:r>
        <w:rPr>
          <w:rFonts w:ascii="宋体" w:hAnsi="宋体" w:eastAsia="宋体" w:cs="宋体"/>
          <w:b w:val="0"/>
        </w:rPr>
        <w:cr/>
      </w:r>
      <w:r>
        <w:rPr>
          <w:rFonts w:ascii="宋体" w:hAnsi="宋体" w:eastAsia="宋体" w:cs="宋体"/>
          <w:b w:val="0"/>
        </w:rPr>
        <w:t xml:space="preserve">    3、《东方阿尔法优选混合型发起式证券投资基金托管协议》；</w:t>
      </w:r>
      <w:r>
        <w:rPr>
          <w:rFonts w:ascii="宋体" w:hAnsi="宋体" w:eastAsia="宋体" w:cs="宋体"/>
          <w:b w:val="0"/>
        </w:rPr>
        <w:cr/>
      </w:r>
      <w:r>
        <w:rPr>
          <w:rFonts w:ascii="宋体" w:hAnsi="宋体" w:eastAsia="宋体" w:cs="宋体"/>
          <w:b w:val="0"/>
        </w:rPr>
        <w:t xml:space="preserve">    4、《东方阿尔法优选混合型发起式证券投资基金招募说明书》（含更新）；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二〇二六年一月二十二日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东方阿尔法优选混合型发起式证券投资基金2025年第4季度报告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28A374F7"/>
    <w:rsid w:val="312016A7"/>
    <w:rsid w:val="328572ED"/>
    <w:rsid w:val="3E9A1429"/>
    <w:rsid w:val="5DD56B31"/>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2026-04-20T00:30:57Z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