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东方阿尔法产业先锋混合型发起式证券投资基金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2025年第4季度报告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2026年01月22日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基金托管人招商银行股份有限公司根据本基金合同规定，于2026年01月21日复核了本报告中的财务指标、净值表现和投资组合报告等内容，保证复核内容不存在虚假记载、误导性陈述或者重大遗漏。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本报告期自2025年10月01日起至2025年12月31日止。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东方阿尔法产业先锋混合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011704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2021年07月21日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1,620,194,193.49份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本基金在严格控制风险的前提下，通过产业精选和个股研究，力求选择景气度上行产业中具有先锋优势的优质个股，力争实现基金资产的持续稳定增值。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本基金的投资策略主要有以下10个方面内容：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本基金根据对宏观经济周期的分析研究，结合基本面、市面场、政策面等多种因素的综合考量，研判所处经济周期的位置及未来发展方向，以确定组合中股票、债券、货币市场工具及其他金融工具的比例。</w:t>
            </w:r>
            <w:r>
              <w:rPr>
                <w:rFonts w:ascii="宋体" w:hAnsi="宋体" w:eastAsia="宋体" w:cs="宋体"/>
                <w:b w:val="0"/>
              </w:rPr>
              <w:br w:type="textWrapping"/>
            </w:r>
            <w:r>
              <w:rPr>
                <w:rFonts w:ascii="宋体" w:hAnsi="宋体" w:eastAsia="宋体" w:cs="宋体"/>
                <w:b w:val="0"/>
              </w:rPr>
              <w:t>2、股票投资策略</w:t>
            </w:r>
            <w:r>
              <w:rPr>
                <w:rFonts w:ascii="宋体" w:hAnsi="宋体" w:eastAsia="宋体" w:cs="宋体"/>
                <w:b w:val="0"/>
              </w:rPr>
              <w:br w:type="textWrapping"/>
            </w:r>
            <w:r>
              <w:rPr>
                <w:rFonts w:ascii="宋体" w:hAnsi="宋体" w:eastAsia="宋体" w:cs="宋体"/>
                <w:b w:val="0"/>
              </w:rPr>
              <w:t>本基金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r>
              <w:rPr>
                <w:rFonts w:ascii="宋体" w:hAnsi="宋体" w:eastAsia="宋体" w:cs="宋体"/>
                <w:b w:val="0"/>
              </w:rPr>
              <w:br w:type="textWrapping"/>
            </w:r>
            <w:r>
              <w:rPr>
                <w:rFonts w:ascii="宋体" w:hAnsi="宋体" w:eastAsia="宋体" w:cs="宋体"/>
                <w:b w:val="0"/>
              </w:rPr>
              <w:t>3、存托凭证投资策略</w:t>
            </w:r>
            <w:r>
              <w:rPr>
                <w:rFonts w:ascii="宋体" w:hAnsi="宋体" w:eastAsia="宋体" w:cs="宋体"/>
                <w:b w:val="0"/>
              </w:rPr>
              <w:br w:type="textWrapping"/>
            </w:r>
            <w:r>
              <w:rPr>
                <w:rFonts w:ascii="宋体" w:hAnsi="宋体" w:eastAsia="宋体" w:cs="宋体"/>
                <w:b w:val="0"/>
              </w:rPr>
              <w:t>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4、债券类资产投资策略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5、可转债（含分离交易可转债）及可交换债券投资策略</w:t>
            </w:r>
            <w:r>
              <w:rPr>
                <w:rFonts w:ascii="宋体" w:hAnsi="宋体" w:eastAsia="宋体" w:cs="宋体"/>
                <w:b w:val="0"/>
              </w:rPr>
              <w:br w:type="textWrapping"/>
            </w:r>
            <w:r>
              <w:rPr>
                <w:rFonts w:ascii="宋体" w:hAnsi="宋体" w:eastAsia="宋体" w:cs="宋体"/>
                <w:b w:val="0"/>
              </w:rPr>
              <w:t>对于可转换债券的投资，本基金将在评估其偿债能力的同时兼顾公司的成长性，以期通过转换条款分享因股价上升带来的高收益。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6、股指期货投资策略</w:t>
            </w:r>
            <w:r>
              <w:rPr>
                <w:rFonts w:ascii="宋体" w:hAnsi="宋体" w:eastAsia="宋体" w:cs="宋体"/>
                <w:b w:val="0"/>
              </w:rPr>
              <w:br w:type="textWrapping"/>
            </w:r>
            <w:r>
              <w:rPr>
                <w:rFonts w:ascii="宋体" w:hAnsi="宋体" w:eastAsia="宋体" w:cs="宋体"/>
                <w:b w:val="0"/>
              </w:rPr>
              <w:t>本基金投资股指期货将以投资组合避险和有效管理为目的，通过套期保值策略，对冲系统性风险，应对组合构建与调整中的流动性风险，力求风险收益的优化。</w:t>
            </w:r>
            <w:r>
              <w:rPr>
                <w:rFonts w:ascii="宋体" w:hAnsi="宋体" w:eastAsia="宋体" w:cs="宋体"/>
                <w:b w:val="0"/>
              </w:rPr>
              <w:br w:type="textWrapping"/>
            </w:r>
            <w:r>
              <w:rPr>
                <w:rFonts w:ascii="宋体" w:hAnsi="宋体" w:eastAsia="宋体" w:cs="宋体"/>
                <w:b w:val="0"/>
              </w:rPr>
              <w:t>7、融资业务的投资策略</w:t>
            </w:r>
            <w:r>
              <w:rPr>
                <w:rFonts w:ascii="宋体" w:hAnsi="宋体" w:eastAsia="宋体" w:cs="宋体"/>
                <w:b w:val="0"/>
              </w:rPr>
              <w:br w:type="textWrapping"/>
            </w:r>
            <w:r>
              <w:rPr>
                <w:rFonts w:ascii="宋体" w:hAnsi="宋体" w:eastAsia="宋体" w:cs="宋体"/>
                <w:b w:val="0"/>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8、国债期货的投资策略</w:t>
            </w:r>
            <w:r>
              <w:rPr>
                <w:rFonts w:ascii="宋体" w:hAnsi="宋体" w:eastAsia="宋体" w:cs="宋体"/>
                <w:b w:val="0"/>
              </w:rPr>
              <w:br w:type="textWrapping"/>
            </w:r>
            <w:r>
              <w:rPr>
                <w:rFonts w:ascii="宋体" w:hAnsi="宋体" w:eastAsia="宋体" w:cs="宋体"/>
                <w:b w:val="0"/>
              </w:rPr>
              <w:t>基金管理人将结合对宏观经济形势和政策趋势的判断、对债券市场进行定性和定量分析，构建量化分析体系，在最大限度保证基金资产安全的基础上，力求实现所资产的长期稳定增值。</w:t>
            </w:r>
            <w:r>
              <w:rPr>
                <w:rFonts w:ascii="宋体" w:hAnsi="宋体" w:eastAsia="宋体" w:cs="宋体"/>
                <w:b w:val="0"/>
              </w:rPr>
              <w:br w:type="textWrapping"/>
            </w:r>
            <w:r>
              <w:rPr>
                <w:rFonts w:ascii="宋体" w:hAnsi="宋体" w:eastAsia="宋体" w:cs="宋体"/>
                <w:b w:val="0"/>
              </w:rPr>
              <w:t>9、股票期权的投资策略</w:t>
            </w:r>
            <w:r>
              <w:rPr>
                <w:rFonts w:ascii="宋体" w:hAnsi="宋体" w:eastAsia="宋体" w:cs="宋体"/>
                <w:b w:val="0"/>
              </w:rPr>
              <w:br w:type="textWrapping"/>
            </w:r>
            <w:r>
              <w:rPr>
                <w:rFonts w:ascii="宋体" w:hAnsi="宋体" w:eastAsia="宋体" w:cs="宋体"/>
                <w:b w:val="0"/>
              </w:rPr>
              <w:t>本基金投资股票期权将以套期保值为主要目的，结合投资目标、比例限制、风险收益特征以及法律法规的相关限定和要求，确定参与股票期权交易的投资时机和投资比例。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10、资产支持证券投资策略</w:t>
            </w:r>
            <w:r>
              <w:rPr>
                <w:rFonts w:ascii="宋体" w:hAnsi="宋体" w:eastAsia="宋体" w:cs="宋体"/>
                <w:b w:val="0"/>
              </w:rPr>
              <w:br w:type="textWrapping"/>
            </w:r>
            <w:r>
              <w:rPr>
                <w:rFonts w:ascii="宋体" w:hAnsi="宋体" w:eastAsia="宋体" w:cs="宋体"/>
                <w:b w:val="0"/>
              </w:rPr>
              <w:t>本基金可以投资包括资产抵押贷款支持证券(ABS)、住房抵押贷款支持证券(MBS)等在内的资产支持证券。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中证800指数收益率×80%+中证综合债券指数收益率×20%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东方阿尔法产业先锋混合A</w:t>
            </w:r>
          </w:p>
        </w:tc>
        <w:tc>
          <w:tcPr>
            <w:tcW w:w="1500" w:type="pct"/>
            <w:vAlign w:val="center"/>
          </w:tcPr>
          <w:p>
            <w:pPr>
              <w:spacing w:line="240" w:lineRule="auto"/>
              <w:jc w:val="left"/>
            </w:pPr>
            <w:r>
              <w:rPr>
                <w:rFonts w:ascii="宋体" w:hAnsi="宋体" w:eastAsia="宋体" w:cs="宋体"/>
                <w:b w:val="0"/>
              </w:rPr>
              <w:t>东方阿尔法产业先锋混合C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011704</w:t>
            </w:r>
          </w:p>
        </w:tc>
        <w:tc>
          <w:tcPr>
            <w:tcW w:w="1500" w:type="pct"/>
            <w:vAlign w:val="center"/>
          </w:tcPr>
          <w:p>
            <w:pPr>
              <w:spacing w:line="240" w:lineRule="auto"/>
              <w:jc w:val="left"/>
            </w:pPr>
            <w:r>
              <w:rPr>
                <w:rFonts w:ascii="宋体" w:hAnsi="宋体" w:eastAsia="宋体" w:cs="宋体"/>
                <w:b w:val="0"/>
              </w:rPr>
              <w:t>011705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1,145,587,691.28份</w:t>
            </w:r>
          </w:p>
        </w:tc>
        <w:tc>
          <w:tcPr>
            <w:tcW w:w="1500" w:type="pct"/>
            <w:vAlign w:val="center"/>
          </w:tcPr>
          <w:p>
            <w:pPr>
              <w:spacing w:line="240" w:lineRule="auto"/>
              <w:jc w:val="left"/>
            </w:pPr>
            <w:r>
              <w:rPr>
                <w:rFonts w:ascii="宋体" w:hAnsi="宋体" w:eastAsia="宋体" w:cs="宋体"/>
                <w:b w:val="0"/>
              </w:rPr>
              <w:t>474,606,502.21份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报告期（2025年10月01日-2025年12月31日）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东方阿尔法产业先锋混合A</w:t>
            </w:r>
          </w:p>
        </w:tc>
        <w:tc>
          <w:tcPr>
            <w:tcW w:w="1500" w:type="pct"/>
            <w:shd w:val="clear" w:color="auto" w:fill="D9D9D9"/>
            <w:vAlign w:val="center"/>
          </w:tcPr>
          <w:p>
            <w:pPr>
              <w:spacing w:line="240" w:lineRule="auto"/>
              <w:jc w:val="center"/>
            </w:pPr>
            <w:r>
              <w:rPr>
                <w:rFonts w:ascii="宋体" w:hAnsi="宋体" w:eastAsia="宋体" w:cs="宋体"/>
                <w:b w:val="0"/>
              </w:rPr>
              <w:t>东方阿尔法产业先锋混合C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55,993,272.74</w:t>
            </w:r>
          </w:p>
        </w:tc>
        <w:tc>
          <w:tcPr>
            <w:tcW w:w="1500" w:type="pct"/>
            <w:vAlign w:val="center"/>
          </w:tcPr>
          <w:p>
            <w:pPr>
              <w:spacing w:line="240" w:lineRule="auto"/>
              <w:jc w:val="right"/>
            </w:pPr>
            <w:r>
              <w:rPr>
                <w:rFonts w:ascii="宋体" w:hAnsi="宋体" w:eastAsia="宋体" w:cs="宋体"/>
                <w:b w:val="0"/>
              </w:rPr>
              <w:t>25,130,600.56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-30,232,179.43</w:t>
            </w:r>
          </w:p>
        </w:tc>
        <w:tc>
          <w:tcPr>
            <w:tcW w:w="1500" w:type="pct"/>
            <w:vAlign w:val="center"/>
          </w:tcPr>
          <w:p>
            <w:pPr>
              <w:spacing w:line="240" w:lineRule="auto"/>
              <w:jc w:val="right"/>
            </w:pPr>
            <w:r>
              <w:rPr>
                <w:rFonts w:ascii="宋体" w:hAnsi="宋体" w:eastAsia="宋体" w:cs="宋体"/>
                <w:b w:val="0"/>
              </w:rPr>
              <w:t>-20,371,145.85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-0.0256</w:t>
            </w:r>
          </w:p>
        </w:tc>
        <w:tc>
          <w:tcPr>
            <w:tcW w:w="1500" w:type="pct"/>
            <w:vAlign w:val="center"/>
          </w:tcPr>
          <w:p>
            <w:pPr>
              <w:spacing w:line="240" w:lineRule="auto"/>
              <w:jc w:val="right"/>
            </w:pPr>
            <w:r>
              <w:rPr>
                <w:rFonts w:ascii="宋体" w:hAnsi="宋体" w:eastAsia="宋体" w:cs="宋体"/>
                <w:b w:val="0"/>
              </w:rPr>
              <w:t>-0.0351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725,973,018.32</w:t>
            </w:r>
          </w:p>
        </w:tc>
        <w:tc>
          <w:tcPr>
            <w:tcW w:w="1500" w:type="pct"/>
            <w:vAlign w:val="center"/>
          </w:tcPr>
          <w:p>
            <w:pPr>
              <w:spacing w:line="240" w:lineRule="auto"/>
              <w:jc w:val="right"/>
            </w:pPr>
            <w:r>
              <w:rPr>
                <w:rFonts w:ascii="宋体" w:hAnsi="宋体" w:eastAsia="宋体" w:cs="宋体"/>
                <w:b w:val="0"/>
              </w:rPr>
              <w:t>294,144,598.58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0.6337</w:t>
            </w:r>
          </w:p>
        </w:tc>
        <w:tc>
          <w:tcPr>
            <w:tcW w:w="1500" w:type="pct"/>
            <w:vAlign w:val="center"/>
          </w:tcPr>
          <w:p>
            <w:pPr>
              <w:spacing w:line="240" w:lineRule="auto"/>
              <w:jc w:val="right"/>
            </w:pPr>
            <w:r>
              <w:rPr>
                <w:rFonts w:ascii="宋体" w:hAnsi="宋体" w:eastAsia="宋体" w:cs="宋体"/>
                <w:b w:val="0"/>
              </w:rPr>
              <w:t>0.6198</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cr/>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东方阿尔法产业先锋混合A净值表现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-3.75%</w:t>
            </w:r>
          </w:p>
        </w:tc>
        <w:tc>
          <w:tcPr>
            <w:tcW w:w="0" w:type="dxa"/>
            <w:vAlign w:val="center"/>
          </w:tcPr>
          <w:p>
            <w:pPr>
              <w:spacing w:line="240" w:lineRule="auto"/>
              <w:jc w:val="right"/>
            </w:pPr>
            <w:r>
              <w:rPr>
                <w:rFonts w:ascii="宋体" w:hAnsi="宋体" w:eastAsia="宋体" w:cs="宋体"/>
                <w:b w:val="0"/>
              </w:rPr>
              <w:t>2.46%</w:t>
            </w:r>
          </w:p>
        </w:tc>
        <w:tc>
          <w:tcPr>
            <w:tcW w:w="0" w:type="dxa"/>
            <w:vAlign w:val="center"/>
          </w:tcPr>
          <w:p>
            <w:pPr>
              <w:spacing w:line="240" w:lineRule="auto"/>
              <w:jc w:val="right"/>
            </w:pPr>
            <w:r>
              <w:rPr>
                <w:rFonts w:ascii="宋体" w:hAnsi="宋体" w:eastAsia="宋体" w:cs="宋体"/>
                <w:b w:val="0"/>
              </w:rPr>
              <w:t>0.17%</w:t>
            </w:r>
          </w:p>
        </w:tc>
        <w:tc>
          <w:tcPr>
            <w:tcW w:w="0" w:type="dxa"/>
            <w:vAlign w:val="center"/>
          </w:tcPr>
          <w:p>
            <w:pPr>
              <w:spacing w:line="240" w:lineRule="auto"/>
              <w:jc w:val="right"/>
            </w:pPr>
            <w:r>
              <w:rPr>
                <w:rFonts w:ascii="宋体" w:hAnsi="宋体" w:eastAsia="宋体" w:cs="宋体"/>
                <w:b w:val="0"/>
              </w:rPr>
              <w:t>0.81%</w:t>
            </w:r>
          </w:p>
        </w:tc>
        <w:tc>
          <w:tcPr>
            <w:tcW w:w="0" w:type="dxa"/>
            <w:vAlign w:val="center"/>
          </w:tcPr>
          <w:p>
            <w:pPr>
              <w:spacing w:line="240" w:lineRule="auto"/>
              <w:jc w:val="right"/>
            </w:pPr>
            <w:r>
              <w:rPr>
                <w:rFonts w:ascii="宋体" w:hAnsi="宋体" w:eastAsia="宋体" w:cs="宋体"/>
                <w:b w:val="0"/>
              </w:rPr>
              <w:t>-3.92%</w:t>
            </w:r>
          </w:p>
        </w:tc>
        <w:tc>
          <w:tcPr>
            <w:tcW w:w="0" w:type="dxa"/>
            <w:vAlign w:val="center"/>
          </w:tcPr>
          <w:p>
            <w:pPr>
              <w:spacing w:line="240" w:lineRule="auto"/>
              <w:jc w:val="right"/>
            </w:pPr>
            <w:r>
              <w:rPr>
                <w:rFonts w:ascii="宋体" w:hAnsi="宋体" w:eastAsia="宋体" w:cs="宋体"/>
                <w:b w:val="0"/>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41.55%</w:t>
            </w:r>
          </w:p>
        </w:tc>
        <w:tc>
          <w:tcPr>
            <w:tcW w:w="0" w:type="dxa"/>
            <w:vAlign w:val="center"/>
          </w:tcPr>
          <w:p>
            <w:pPr>
              <w:spacing w:line="240" w:lineRule="auto"/>
              <w:jc w:val="right"/>
            </w:pPr>
            <w:r>
              <w:rPr>
                <w:rFonts w:ascii="宋体" w:hAnsi="宋体" w:eastAsia="宋体" w:cs="宋体"/>
                <w:b w:val="0"/>
              </w:rPr>
              <w:t>2.52%</w:t>
            </w:r>
          </w:p>
        </w:tc>
        <w:tc>
          <w:tcPr>
            <w:tcW w:w="0" w:type="dxa"/>
            <w:vAlign w:val="center"/>
          </w:tcPr>
          <w:p>
            <w:pPr>
              <w:spacing w:line="240" w:lineRule="auto"/>
              <w:jc w:val="right"/>
            </w:pPr>
            <w:r>
              <w:rPr>
                <w:rFonts w:ascii="宋体" w:hAnsi="宋体" w:eastAsia="宋体" w:cs="宋体"/>
                <w:b w:val="0"/>
              </w:rPr>
              <w:t>15.61%</w:t>
            </w:r>
          </w:p>
        </w:tc>
        <w:tc>
          <w:tcPr>
            <w:tcW w:w="0" w:type="dxa"/>
            <w:vAlign w:val="center"/>
          </w:tcPr>
          <w:p>
            <w:pPr>
              <w:spacing w:line="240" w:lineRule="auto"/>
              <w:jc w:val="right"/>
            </w:pPr>
            <w:r>
              <w:rPr>
                <w:rFonts w:ascii="宋体" w:hAnsi="宋体" w:eastAsia="宋体" w:cs="宋体"/>
                <w:b w:val="0"/>
              </w:rPr>
              <w:t>0.76%</w:t>
            </w:r>
          </w:p>
        </w:tc>
        <w:tc>
          <w:tcPr>
            <w:tcW w:w="0" w:type="dxa"/>
            <w:vAlign w:val="center"/>
          </w:tcPr>
          <w:p>
            <w:pPr>
              <w:spacing w:line="240" w:lineRule="auto"/>
              <w:jc w:val="right"/>
            </w:pPr>
            <w:r>
              <w:rPr>
                <w:rFonts w:ascii="宋体" w:hAnsi="宋体" w:eastAsia="宋体" w:cs="宋体"/>
                <w:b w:val="0"/>
              </w:rPr>
              <w:t>25.94%</w:t>
            </w:r>
          </w:p>
        </w:tc>
        <w:tc>
          <w:tcPr>
            <w:tcW w:w="0" w:type="dxa"/>
            <w:vAlign w:val="center"/>
          </w:tcPr>
          <w:p>
            <w:pPr>
              <w:spacing w:line="240" w:lineRule="auto"/>
              <w:jc w:val="right"/>
            </w:pPr>
            <w:r>
              <w:rPr>
                <w:rFonts w:ascii="宋体" w:hAnsi="宋体" w:eastAsia="宋体" w:cs="宋体"/>
                <w:b w:val="0"/>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41.14%</w:t>
            </w:r>
          </w:p>
        </w:tc>
        <w:tc>
          <w:tcPr>
            <w:tcW w:w="0" w:type="dxa"/>
            <w:vAlign w:val="center"/>
          </w:tcPr>
          <w:p>
            <w:pPr>
              <w:spacing w:line="240" w:lineRule="auto"/>
              <w:jc w:val="right"/>
            </w:pPr>
            <w:r>
              <w:rPr>
                <w:rFonts w:ascii="宋体" w:hAnsi="宋体" w:eastAsia="宋体" w:cs="宋体"/>
                <w:b w:val="0"/>
              </w:rPr>
              <w:t>1.97%</w:t>
            </w:r>
          </w:p>
        </w:tc>
        <w:tc>
          <w:tcPr>
            <w:tcW w:w="0" w:type="dxa"/>
            <w:vAlign w:val="center"/>
          </w:tcPr>
          <w:p>
            <w:pPr>
              <w:spacing w:line="240" w:lineRule="auto"/>
              <w:jc w:val="right"/>
            </w:pPr>
            <w:r>
              <w:rPr>
                <w:rFonts w:ascii="宋体" w:hAnsi="宋体" w:eastAsia="宋体" w:cs="宋体"/>
                <w:b w:val="0"/>
              </w:rPr>
              <w:t>16.81%</w:t>
            </w:r>
          </w:p>
        </w:tc>
        <w:tc>
          <w:tcPr>
            <w:tcW w:w="0" w:type="dxa"/>
            <w:vAlign w:val="center"/>
          </w:tcPr>
          <w:p>
            <w:pPr>
              <w:spacing w:line="240" w:lineRule="auto"/>
              <w:jc w:val="right"/>
            </w:pPr>
            <w:r>
              <w:rPr>
                <w:rFonts w:ascii="宋体" w:hAnsi="宋体" w:eastAsia="宋体" w:cs="宋体"/>
                <w:b w:val="0"/>
              </w:rPr>
              <w:t>0.81%</w:t>
            </w:r>
          </w:p>
        </w:tc>
        <w:tc>
          <w:tcPr>
            <w:tcW w:w="0" w:type="dxa"/>
            <w:vAlign w:val="center"/>
          </w:tcPr>
          <w:p>
            <w:pPr>
              <w:spacing w:line="240" w:lineRule="auto"/>
              <w:jc w:val="right"/>
            </w:pPr>
            <w:r>
              <w:rPr>
                <w:rFonts w:ascii="宋体" w:hAnsi="宋体" w:eastAsia="宋体" w:cs="宋体"/>
                <w:b w:val="0"/>
              </w:rPr>
              <w:t>24.33%</w:t>
            </w:r>
          </w:p>
        </w:tc>
        <w:tc>
          <w:tcPr>
            <w:tcW w:w="0" w:type="dxa"/>
            <w:vAlign w:val="center"/>
          </w:tcPr>
          <w:p>
            <w:pPr>
              <w:spacing w:line="240" w:lineRule="auto"/>
              <w:jc w:val="right"/>
            </w:pPr>
            <w:r>
              <w:rPr>
                <w:rFonts w:ascii="宋体" w:hAnsi="宋体" w:eastAsia="宋体" w:cs="宋体"/>
                <w:b w:val="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-8.99%</w:t>
            </w:r>
          </w:p>
        </w:tc>
        <w:tc>
          <w:tcPr>
            <w:tcW w:w="0" w:type="dxa"/>
            <w:vAlign w:val="center"/>
          </w:tcPr>
          <w:p>
            <w:pPr>
              <w:spacing w:line="240" w:lineRule="auto"/>
              <w:jc w:val="right"/>
            </w:pPr>
            <w:r>
              <w:rPr>
                <w:rFonts w:ascii="宋体" w:hAnsi="宋体" w:eastAsia="宋体" w:cs="宋体"/>
                <w:b w:val="0"/>
              </w:rPr>
              <w:t>1.80%</w:t>
            </w:r>
          </w:p>
        </w:tc>
        <w:tc>
          <w:tcPr>
            <w:tcW w:w="0" w:type="dxa"/>
            <w:vAlign w:val="center"/>
          </w:tcPr>
          <w:p>
            <w:pPr>
              <w:spacing w:line="240" w:lineRule="auto"/>
              <w:jc w:val="right"/>
            </w:pPr>
            <w:r>
              <w:rPr>
                <w:rFonts w:ascii="宋体" w:hAnsi="宋体" w:eastAsia="宋体" w:cs="宋体"/>
                <w:b w:val="0"/>
              </w:rPr>
              <w:t>20.91%</w:t>
            </w:r>
          </w:p>
        </w:tc>
        <w:tc>
          <w:tcPr>
            <w:tcW w:w="0" w:type="dxa"/>
            <w:vAlign w:val="center"/>
          </w:tcPr>
          <w:p>
            <w:pPr>
              <w:spacing w:line="240" w:lineRule="auto"/>
              <w:jc w:val="right"/>
            </w:pPr>
            <w:r>
              <w:rPr>
                <w:rFonts w:ascii="宋体" w:hAnsi="宋体" w:eastAsia="宋体" w:cs="宋体"/>
                <w:b w:val="0"/>
              </w:rPr>
              <w:t>0.89%</w:t>
            </w:r>
          </w:p>
        </w:tc>
        <w:tc>
          <w:tcPr>
            <w:tcW w:w="0" w:type="dxa"/>
            <w:vAlign w:val="center"/>
          </w:tcPr>
          <w:p>
            <w:pPr>
              <w:spacing w:line="240" w:lineRule="auto"/>
              <w:jc w:val="right"/>
            </w:pPr>
            <w:r>
              <w:rPr>
                <w:rFonts w:ascii="宋体" w:hAnsi="宋体" w:eastAsia="宋体" w:cs="宋体"/>
                <w:b w:val="0"/>
              </w:rPr>
              <w:t>-29.90%</w:t>
            </w:r>
          </w:p>
        </w:tc>
        <w:tc>
          <w:tcPr>
            <w:tcW w:w="0" w:type="dxa"/>
            <w:vAlign w:val="center"/>
          </w:tcPr>
          <w:p>
            <w:pPr>
              <w:spacing w:line="240" w:lineRule="auto"/>
              <w:jc w:val="right"/>
            </w:pPr>
            <w:r>
              <w:rPr>
                <w:rFonts w:ascii="宋体" w:hAnsi="宋体" w:eastAsia="宋体" w:cs="宋体"/>
                <w:b w:val="0"/>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-36.63%</w:t>
            </w:r>
          </w:p>
        </w:tc>
        <w:tc>
          <w:tcPr>
            <w:tcW w:w="0" w:type="dxa"/>
            <w:vAlign w:val="center"/>
          </w:tcPr>
          <w:p>
            <w:pPr>
              <w:spacing w:line="240" w:lineRule="auto"/>
              <w:jc w:val="right"/>
            </w:pPr>
            <w:r>
              <w:rPr>
                <w:rFonts w:ascii="宋体" w:hAnsi="宋体" w:eastAsia="宋体" w:cs="宋体"/>
                <w:b w:val="0"/>
              </w:rPr>
              <w:t>1.96%</w:t>
            </w:r>
          </w:p>
        </w:tc>
        <w:tc>
          <w:tcPr>
            <w:tcW w:w="0" w:type="dxa"/>
            <w:vAlign w:val="center"/>
          </w:tcPr>
          <w:p>
            <w:pPr>
              <w:spacing w:line="240" w:lineRule="auto"/>
              <w:jc w:val="right"/>
            </w:pPr>
            <w:r>
              <w:rPr>
                <w:rFonts w:ascii="宋体" w:hAnsi="宋体" w:eastAsia="宋体" w:cs="宋体"/>
                <w:b w:val="0"/>
              </w:rPr>
              <w:t>0.44%</w:t>
            </w:r>
          </w:p>
        </w:tc>
        <w:tc>
          <w:tcPr>
            <w:tcW w:w="0" w:type="dxa"/>
            <w:vAlign w:val="center"/>
          </w:tcPr>
          <w:p>
            <w:pPr>
              <w:spacing w:line="240" w:lineRule="auto"/>
              <w:jc w:val="right"/>
            </w:pPr>
            <w:r>
              <w:rPr>
                <w:rFonts w:ascii="宋体" w:hAnsi="宋体" w:eastAsia="宋体" w:cs="宋体"/>
                <w:b w:val="0"/>
              </w:rPr>
              <w:t>0.91%</w:t>
            </w:r>
          </w:p>
        </w:tc>
        <w:tc>
          <w:tcPr>
            <w:tcW w:w="0" w:type="dxa"/>
            <w:vAlign w:val="center"/>
          </w:tcPr>
          <w:p>
            <w:pPr>
              <w:spacing w:line="240" w:lineRule="auto"/>
              <w:jc w:val="right"/>
            </w:pPr>
            <w:r>
              <w:rPr>
                <w:rFonts w:ascii="宋体" w:hAnsi="宋体" w:eastAsia="宋体" w:cs="宋体"/>
                <w:b w:val="0"/>
              </w:rPr>
              <w:t>-37.07%</w:t>
            </w:r>
          </w:p>
        </w:tc>
        <w:tc>
          <w:tcPr>
            <w:tcW w:w="0" w:type="dxa"/>
            <w:vAlign w:val="center"/>
          </w:tcPr>
          <w:p>
            <w:pPr>
              <w:spacing w:line="240" w:lineRule="auto"/>
              <w:jc w:val="right"/>
            </w:pPr>
            <w:r>
              <w:rPr>
                <w:rFonts w:ascii="宋体" w:hAnsi="宋体" w:eastAsia="宋体" w:cs="宋体"/>
                <w:b w:val="0"/>
              </w:rPr>
              <w:t>1.05%</w:t>
            </w:r>
          </w:p>
        </w:tc>
      </w:tr>
    </w:tbl>
    <w:p>
      <w:pPr>
        <w:jc w:val="left"/>
      </w:pPr>
      <w:r>
        <w:rPr>
          <w:rFonts w:ascii="宋体" w:hAnsi="宋体" w:eastAsia="宋体" w:cs="宋体"/>
          <w:b/>
        </w:rPr>
        <w:t>东方阿尔法产业先锋混合C净值表现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-3.88%</w:t>
            </w:r>
          </w:p>
        </w:tc>
        <w:tc>
          <w:tcPr>
            <w:tcW w:w="0" w:type="dxa"/>
            <w:vAlign w:val="center"/>
          </w:tcPr>
          <w:p>
            <w:pPr>
              <w:spacing w:line="240" w:lineRule="auto"/>
              <w:jc w:val="right"/>
            </w:pPr>
            <w:r>
              <w:rPr>
                <w:rFonts w:ascii="宋体" w:hAnsi="宋体" w:eastAsia="宋体" w:cs="宋体"/>
                <w:b w:val="0"/>
              </w:rPr>
              <w:t>2.46%</w:t>
            </w:r>
          </w:p>
        </w:tc>
        <w:tc>
          <w:tcPr>
            <w:tcW w:w="0" w:type="dxa"/>
            <w:vAlign w:val="center"/>
          </w:tcPr>
          <w:p>
            <w:pPr>
              <w:spacing w:line="240" w:lineRule="auto"/>
              <w:jc w:val="right"/>
            </w:pPr>
            <w:r>
              <w:rPr>
                <w:rFonts w:ascii="宋体" w:hAnsi="宋体" w:eastAsia="宋体" w:cs="宋体"/>
                <w:b w:val="0"/>
              </w:rPr>
              <w:t>0.17%</w:t>
            </w:r>
          </w:p>
        </w:tc>
        <w:tc>
          <w:tcPr>
            <w:tcW w:w="0" w:type="dxa"/>
            <w:vAlign w:val="center"/>
          </w:tcPr>
          <w:p>
            <w:pPr>
              <w:spacing w:line="240" w:lineRule="auto"/>
              <w:jc w:val="right"/>
            </w:pPr>
            <w:r>
              <w:rPr>
                <w:rFonts w:ascii="宋体" w:hAnsi="宋体" w:eastAsia="宋体" w:cs="宋体"/>
                <w:b w:val="0"/>
              </w:rPr>
              <w:t>0.81%</w:t>
            </w:r>
          </w:p>
        </w:tc>
        <w:tc>
          <w:tcPr>
            <w:tcW w:w="0" w:type="dxa"/>
            <w:vAlign w:val="center"/>
          </w:tcPr>
          <w:p>
            <w:pPr>
              <w:spacing w:line="240" w:lineRule="auto"/>
              <w:jc w:val="right"/>
            </w:pPr>
            <w:r>
              <w:rPr>
                <w:rFonts w:ascii="宋体" w:hAnsi="宋体" w:eastAsia="宋体" w:cs="宋体"/>
                <w:b w:val="0"/>
              </w:rPr>
              <w:t>-4.05%</w:t>
            </w:r>
          </w:p>
        </w:tc>
        <w:tc>
          <w:tcPr>
            <w:tcW w:w="0" w:type="dxa"/>
            <w:vAlign w:val="center"/>
          </w:tcPr>
          <w:p>
            <w:pPr>
              <w:spacing w:line="240" w:lineRule="auto"/>
              <w:jc w:val="right"/>
            </w:pPr>
            <w:r>
              <w:rPr>
                <w:rFonts w:ascii="宋体" w:hAnsi="宋体" w:eastAsia="宋体" w:cs="宋体"/>
                <w:b w:val="0"/>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41.22%</w:t>
            </w:r>
          </w:p>
        </w:tc>
        <w:tc>
          <w:tcPr>
            <w:tcW w:w="0" w:type="dxa"/>
            <w:vAlign w:val="center"/>
          </w:tcPr>
          <w:p>
            <w:pPr>
              <w:spacing w:line="240" w:lineRule="auto"/>
              <w:jc w:val="right"/>
            </w:pPr>
            <w:r>
              <w:rPr>
                <w:rFonts w:ascii="宋体" w:hAnsi="宋体" w:eastAsia="宋体" w:cs="宋体"/>
                <w:b w:val="0"/>
              </w:rPr>
              <w:t>2.52%</w:t>
            </w:r>
          </w:p>
        </w:tc>
        <w:tc>
          <w:tcPr>
            <w:tcW w:w="0" w:type="dxa"/>
            <w:vAlign w:val="center"/>
          </w:tcPr>
          <w:p>
            <w:pPr>
              <w:spacing w:line="240" w:lineRule="auto"/>
              <w:jc w:val="right"/>
            </w:pPr>
            <w:r>
              <w:rPr>
                <w:rFonts w:ascii="宋体" w:hAnsi="宋体" w:eastAsia="宋体" w:cs="宋体"/>
                <w:b w:val="0"/>
              </w:rPr>
              <w:t>15.61%</w:t>
            </w:r>
          </w:p>
        </w:tc>
        <w:tc>
          <w:tcPr>
            <w:tcW w:w="0" w:type="dxa"/>
            <w:vAlign w:val="center"/>
          </w:tcPr>
          <w:p>
            <w:pPr>
              <w:spacing w:line="240" w:lineRule="auto"/>
              <w:jc w:val="right"/>
            </w:pPr>
            <w:r>
              <w:rPr>
                <w:rFonts w:ascii="宋体" w:hAnsi="宋体" w:eastAsia="宋体" w:cs="宋体"/>
                <w:b w:val="0"/>
              </w:rPr>
              <w:t>0.76%</w:t>
            </w:r>
          </w:p>
        </w:tc>
        <w:tc>
          <w:tcPr>
            <w:tcW w:w="0" w:type="dxa"/>
            <w:vAlign w:val="center"/>
          </w:tcPr>
          <w:p>
            <w:pPr>
              <w:spacing w:line="240" w:lineRule="auto"/>
              <w:jc w:val="right"/>
            </w:pPr>
            <w:r>
              <w:rPr>
                <w:rFonts w:ascii="宋体" w:hAnsi="宋体" w:eastAsia="宋体" w:cs="宋体"/>
                <w:b w:val="0"/>
              </w:rPr>
              <w:t>25.61%</w:t>
            </w:r>
          </w:p>
        </w:tc>
        <w:tc>
          <w:tcPr>
            <w:tcW w:w="0" w:type="dxa"/>
            <w:vAlign w:val="center"/>
          </w:tcPr>
          <w:p>
            <w:pPr>
              <w:spacing w:line="240" w:lineRule="auto"/>
              <w:jc w:val="right"/>
            </w:pPr>
            <w:r>
              <w:rPr>
                <w:rFonts w:ascii="宋体" w:hAnsi="宋体" w:eastAsia="宋体" w:cs="宋体"/>
                <w:b w:val="0"/>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40.45%</w:t>
            </w:r>
          </w:p>
        </w:tc>
        <w:tc>
          <w:tcPr>
            <w:tcW w:w="0" w:type="dxa"/>
            <w:vAlign w:val="center"/>
          </w:tcPr>
          <w:p>
            <w:pPr>
              <w:spacing w:line="240" w:lineRule="auto"/>
              <w:jc w:val="right"/>
            </w:pPr>
            <w:r>
              <w:rPr>
                <w:rFonts w:ascii="宋体" w:hAnsi="宋体" w:eastAsia="宋体" w:cs="宋体"/>
                <w:b w:val="0"/>
              </w:rPr>
              <w:t>1.97%</w:t>
            </w:r>
          </w:p>
        </w:tc>
        <w:tc>
          <w:tcPr>
            <w:tcW w:w="0" w:type="dxa"/>
            <w:vAlign w:val="center"/>
          </w:tcPr>
          <w:p>
            <w:pPr>
              <w:spacing w:line="240" w:lineRule="auto"/>
              <w:jc w:val="right"/>
            </w:pPr>
            <w:r>
              <w:rPr>
                <w:rFonts w:ascii="宋体" w:hAnsi="宋体" w:eastAsia="宋体" w:cs="宋体"/>
                <w:b w:val="0"/>
              </w:rPr>
              <w:t>16.81%</w:t>
            </w:r>
          </w:p>
        </w:tc>
        <w:tc>
          <w:tcPr>
            <w:tcW w:w="0" w:type="dxa"/>
            <w:vAlign w:val="center"/>
          </w:tcPr>
          <w:p>
            <w:pPr>
              <w:spacing w:line="240" w:lineRule="auto"/>
              <w:jc w:val="right"/>
            </w:pPr>
            <w:r>
              <w:rPr>
                <w:rFonts w:ascii="宋体" w:hAnsi="宋体" w:eastAsia="宋体" w:cs="宋体"/>
                <w:b w:val="0"/>
              </w:rPr>
              <w:t>0.81%</w:t>
            </w:r>
          </w:p>
        </w:tc>
        <w:tc>
          <w:tcPr>
            <w:tcW w:w="0" w:type="dxa"/>
            <w:vAlign w:val="center"/>
          </w:tcPr>
          <w:p>
            <w:pPr>
              <w:spacing w:line="240" w:lineRule="auto"/>
              <w:jc w:val="right"/>
            </w:pPr>
            <w:r>
              <w:rPr>
                <w:rFonts w:ascii="宋体" w:hAnsi="宋体" w:eastAsia="宋体" w:cs="宋体"/>
                <w:b w:val="0"/>
              </w:rPr>
              <w:t>23.64%</w:t>
            </w:r>
          </w:p>
        </w:tc>
        <w:tc>
          <w:tcPr>
            <w:tcW w:w="0" w:type="dxa"/>
            <w:vAlign w:val="center"/>
          </w:tcPr>
          <w:p>
            <w:pPr>
              <w:spacing w:line="240" w:lineRule="auto"/>
              <w:jc w:val="right"/>
            </w:pPr>
            <w:r>
              <w:rPr>
                <w:rFonts w:ascii="宋体" w:hAnsi="宋体" w:eastAsia="宋体" w:cs="宋体"/>
                <w:b w:val="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-10.34%</w:t>
            </w:r>
          </w:p>
        </w:tc>
        <w:tc>
          <w:tcPr>
            <w:tcW w:w="0" w:type="dxa"/>
            <w:vAlign w:val="center"/>
          </w:tcPr>
          <w:p>
            <w:pPr>
              <w:spacing w:line="240" w:lineRule="auto"/>
              <w:jc w:val="right"/>
            </w:pPr>
            <w:r>
              <w:rPr>
                <w:rFonts w:ascii="宋体" w:hAnsi="宋体" w:eastAsia="宋体" w:cs="宋体"/>
                <w:b w:val="0"/>
              </w:rPr>
              <w:t>1.80%</w:t>
            </w:r>
          </w:p>
        </w:tc>
        <w:tc>
          <w:tcPr>
            <w:tcW w:w="0" w:type="dxa"/>
            <w:vAlign w:val="center"/>
          </w:tcPr>
          <w:p>
            <w:pPr>
              <w:spacing w:line="240" w:lineRule="auto"/>
              <w:jc w:val="right"/>
            </w:pPr>
            <w:r>
              <w:rPr>
                <w:rFonts w:ascii="宋体" w:hAnsi="宋体" w:eastAsia="宋体" w:cs="宋体"/>
                <w:b w:val="0"/>
              </w:rPr>
              <w:t>20.91%</w:t>
            </w:r>
          </w:p>
        </w:tc>
        <w:tc>
          <w:tcPr>
            <w:tcW w:w="0" w:type="dxa"/>
            <w:vAlign w:val="center"/>
          </w:tcPr>
          <w:p>
            <w:pPr>
              <w:spacing w:line="240" w:lineRule="auto"/>
              <w:jc w:val="right"/>
            </w:pPr>
            <w:r>
              <w:rPr>
                <w:rFonts w:ascii="宋体" w:hAnsi="宋体" w:eastAsia="宋体" w:cs="宋体"/>
                <w:b w:val="0"/>
              </w:rPr>
              <w:t>0.89%</w:t>
            </w:r>
          </w:p>
        </w:tc>
        <w:tc>
          <w:tcPr>
            <w:tcW w:w="0" w:type="dxa"/>
            <w:vAlign w:val="center"/>
          </w:tcPr>
          <w:p>
            <w:pPr>
              <w:spacing w:line="240" w:lineRule="auto"/>
              <w:jc w:val="right"/>
            </w:pPr>
            <w:r>
              <w:rPr>
                <w:rFonts w:ascii="宋体" w:hAnsi="宋体" w:eastAsia="宋体" w:cs="宋体"/>
                <w:b w:val="0"/>
              </w:rPr>
              <w:t>-31.25%</w:t>
            </w:r>
          </w:p>
        </w:tc>
        <w:tc>
          <w:tcPr>
            <w:tcW w:w="0" w:type="dxa"/>
            <w:vAlign w:val="center"/>
          </w:tcPr>
          <w:p>
            <w:pPr>
              <w:spacing w:line="240" w:lineRule="auto"/>
              <w:jc w:val="right"/>
            </w:pPr>
            <w:r>
              <w:rPr>
                <w:rFonts w:ascii="宋体" w:hAnsi="宋体" w:eastAsia="宋体" w:cs="宋体"/>
                <w:b w:val="0"/>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-38.02%</w:t>
            </w:r>
          </w:p>
        </w:tc>
        <w:tc>
          <w:tcPr>
            <w:tcW w:w="0" w:type="dxa"/>
            <w:vAlign w:val="center"/>
          </w:tcPr>
          <w:p>
            <w:pPr>
              <w:spacing w:line="240" w:lineRule="auto"/>
              <w:jc w:val="right"/>
            </w:pPr>
            <w:r>
              <w:rPr>
                <w:rFonts w:ascii="宋体" w:hAnsi="宋体" w:eastAsia="宋体" w:cs="宋体"/>
                <w:b w:val="0"/>
              </w:rPr>
              <w:t>1.96%</w:t>
            </w:r>
          </w:p>
        </w:tc>
        <w:tc>
          <w:tcPr>
            <w:tcW w:w="0" w:type="dxa"/>
            <w:vAlign w:val="center"/>
          </w:tcPr>
          <w:p>
            <w:pPr>
              <w:spacing w:line="240" w:lineRule="auto"/>
              <w:jc w:val="right"/>
            </w:pPr>
            <w:r>
              <w:rPr>
                <w:rFonts w:ascii="宋体" w:hAnsi="宋体" w:eastAsia="宋体" w:cs="宋体"/>
                <w:b w:val="0"/>
              </w:rPr>
              <w:t>0.44%</w:t>
            </w:r>
          </w:p>
        </w:tc>
        <w:tc>
          <w:tcPr>
            <w:tcW w:w="0" w:type="dxa"/>
            <w:vAlign w:val="center"/>
          </w:tcPr>
          <w:p>
            <w:pPr>
              <w:spacing w:line="240" w:lineRule="auto"/>
              <w:jc w:val="right"/>
            </w:pPr>
            <w:r>
              <w:rPr>
                <w:rFonts w:ascii="宋体" w:hAnsi="宋体" w:eastAsia="宋体" w:cs="宋体"/>
                <w:b w:val="0"/>
              </w:rPr>
              <w:t>0.91%</w:t>
            </w:r>
          </w:p>
        </w:tc>
        <w:tc>
          <w:tcPr>
            <w:tcW w:w="0" w:type="dxa"/>
            <w:vAlign w:val="center"/>
          </w:tcPr>
          <w:p>
            <w:pPr>
              <w:spacing w:line="240" w:lineRule="auto"/>
              <w:jc w:val="right"/>
            </w:pPr>
            <w:r>
              <w:rPr>
                <w:rFonts w:ascii="宋体" w:hAnsi="宋体" w:eastAsia="宋体" w:cs="宋体"/>
                <w:b w:val="0"/>
              </w:rPr>
              <w:t>-38.46%</w:t>
            </w:r>
          </w:p>
        </w:tc>
        <w:tc>
          <w:tcPr>
            <w:tcW w:w="0" w:type="dxa"/>
            <w:vAlign w:val="center"/>
          </w:tcPr>
          <w:p>
            <w:pPr>
              <w:spacing w:line="240" w:lineRule="auto"/>
              <w:jc w:val="right"/>
            </w:pPr>
            <w:r>
              <w:rPr>
                <w:rFonts w:ascii="宋体" w:hAnsi="宋体" w:eastAsia="宋体" w:cs="宋体"/>
                <w:b w:val="0"/>
              </w:rPr>
              <w:t>1.05%</w:t>
            </w:r>
          </w:p>
        </w:tc>
      </w:tr>
    </w:tbl>
    <w:p>
      <w:r>
        <w:rPr>
          <w:rFonts w:ascii="宋体" w:hAnsi="宋体" w:eastAsia="宋体" w:cs="宋体"/>
          <w:b w:val="0"/>
        </w:rPr>
        <w:t>注：1、本基金业绩比较基准为：中证800指数收益率×80%+中证综合债券指数收益率×20%。</w:t>
      </w:r>
      <w:r>
        <w:rPr>
          <w:rFonts w:ascii="宋体" w:hAnsi="宋体" w:eastAsia="宋体" w:cs="宋体"/>
          <w:b w:val="0"/>
        </w:rPr>
        <w:cr/>
      </w:r>
      <w:r>
        <w:rPr>
          <w:rFonts w:ascii="宋体" w:hAnsi="宋体" w:eastAsia="宋体" w:cs="宋体"/>
          <w:b w:val="0"/>
        </w:rPr>
        <w:t>2、本基金自2021年07月21日成立至今尚未满五年，无过去五年的净值表现。</w:t>
      </w:r>
    </w:p>
    <w:p/>
    <w:p>
      <w:pPr>
        <w:pStyle w:val="58"/>
      </w:pPr>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428"/>
        <w:gridCol w:w="1266"/>
        <w:gridCol w:w="1266"/>
        <w:gridCol w:w="457"/>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2025-07-01</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15年</w:t>
            </w:r>
          </w:p>
        </w:tc>
        <w:tc>
          <w:tcPr>
            <w:tcW w:w="0" w:type="dxa"/>
            <w:vAlign w:val="center"/>
          </w:tcPr>
          <w:p>
            <w:pPr>
              <w:spacing w:line="240" w:lineRule="auto"/>
              <w:jc w:val="left"/>
            </w:pPr>
            <w:r>
              <w:rPr>
                <w:rFonts w:ascii="宋体" w:hAnsi="宋体" w:eastAsia="宋体" w:cs="宋体"/>
                <w:b w:val="0"/>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尹智斌</w:t>
            </w:r>
          </w:p>
        </w:tc>
        <w:tc>
          <w:tcPr>
            <w:tcW w:w="0" w:type="dxa"/>
            <w:vAlign w:val="center"/>
          </w:tcPr>
          <w:p>
            <w:pPr>
              <w:spacing w:line="240" w:lineRule="auto"/>
              <w:jc w:val="left"/>
            </w:pPr>
            <w:r>
              <w:rPr>
                <w:rFonts w:ascii="宋体" w:hAnsi="宋体" w:eastAsia="宋体" w:cs="宋体"/>
                <w:b w:val="0"/>
              </w:rPr>
              <w:t>基金经理（已离任）</w:t>
            </w:r>
          </w:p>
        </w:tc>
        <w:tc>
          <w:tcPr>
            <w:tcW w:w="0" w:type="dxa"/>
            <w:vAlign w:val="center"/>
          </w:tcPr>
          <w:p>
            <w:pPr>
              <w:spacing w:line="240" w:lineRule="auto"/>
              <w:jc w:val="center"/>
            </w:pPr>
            <w:r>
              <w:rPr>
                <w:rFonts w:ascii="宋体" w:hAnsi="宋体" w:eastAsia="宋体" w:cs="宋体"/>
                <w:b w:val="0"/>
              </w:rPr>
              <w:t>2024-01-30</w:t>
            </w:r>
          </w:p>
        </w:tc>
        <w:tc>
          <w:tcPr>
            <w:tcW w:w="0" w:type="dxa"/>
            <w:vAlign w:val="center"/>
          </w:tcPr>
          <w:p>
            <w:pPr>
              <w:spacing w:line="240" w:lineRule="auto"/>
              <w:jc w:val="center"/>
            </w:pPr>
            <w:r>
              <w:rPr>
                <w:rFonts w:ascii="宋体" w:hAnsi="宋体" w:eastAsia="宋体" w:cs="宋体"/>
                <w:b w:val="0"/>
              </w:rPr>
              <w:t>2025-11-05</w:t>
            </w:r>
          </w:p>
        </w:tc>
        <w:tc>
          <w:tcPr>
            <w:tcW w:w="0" w:type="dxa"/>
            <w:vAlign w:val="center"/>
          </w:tcPr>
          <w:p>
            <w:pPr>
              <w:spacing w:line="240" w:lineRule="auto"/>
              <w:jc w:val="center"/>
            </w:pPr>
            <w:r>
              <w:rPr>
                <w:rFonts w:ascii="宋体" w:hAnsi="宋体" w:eastAsia="宋体" w:cs="宋体"/>
                <w:b w:val="0"/>
              </w:rPr>
              <w:t>7年</w:t>
            </w:r>
          </w:p>
        </w:tc>
        <w:tc>
          <w:tcPr>
            <w:tcW w:w="0" w:type="dxa"/>
            <w:vAlign w:val="center"/>
          </w:tcPr>
          <w:p>
            <w:pPr>
              <w:spacing w:line="240" w:lineRule="auto"/>
              <w:jc w:val="left"/>
            </w:pPr>
            <w:r>
              <w:rPr>
                <w:rFonts w:ascii="宋体" w:hAnsi="宋体" w:eastAsia="宋体" w:cs="宋体"/>
                <w:b w:val="0"/>
              </w:rPr>
              <w:t>尹智斌先生，清华大学工学及经济学双学士，清华大学工学硕士，历任东方阿尔法基金管理有限公司电子、传媒互联网、建筑建材、社服行业研究员，曾担任东方阿尔法优选混合型发起式证券投资基金基金经理助理。现任东方阿尔法基金管理有限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p>
      <w:pPr>
        <w:pStyle w:val="58"/>
      </w:pPr>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无。</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pPr>
        <w:pStyle w:val="58"/>
      </w:pPr>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2025年的锂电池产业经历显著反转。年初市场对行业预期分化：新能源汽车在政策补贴、智驾渗透及新车型驱动下快速增长，动力电池需求乐观；而储能行业则因关税担忧、强制配储取消及电价交易机制变化等因素被看衰。实际情况却超预期，中美博弈后关税影响可控，强制配储取消后电价峰谷价差迅速拉大，储能系统盈利能力提升，带动中国和全球储能电池产销增速预计超80%。储能需求爆发进一步推升来年锂电设备订单预期，促使锂电设备在三季度表现突出。</w:t>
      </w:r>
      <w:r>
        <w:rPr>
          <w:rFonts w:ascii="宋体" w:hAnsi="宋体" w:eastAsia="宋体" w:cs="宋体"/>
          <w:b w:val="0"/>
        </w:rPr>
        <w:cr/>
      </w:r>
      <w:r>
        <w:rPr>
          <w:rFonts w:ascii="宋体" w:hAnsi="宋体" w:eastAsia="宋体" w:cs="宋体"/>
          <w:b w:val="0"/>
        </w:rPr>
        <w:t xml:space="preserve">    上游原材料供给端却显乏力。2023-2024年价格下行周期中行业经历激烈竞争与普遍亏损，导致中小产能出清，企业扩产意愿异常谨慎。三季度行业协会研讨中，多家企业已形成"不能盲目扩产"共识，并出现"反内卷"等限制产能提议。同时，锂电产业链各环节库存均处低位，市场缓冲能力薄弱，一旦需求出现脉冲式增长，补库行为极易推动价格快速拉升，这也促成了四季度锂电池材料价格的可观上行。</w:t>
      </w:r>
      <w:r>
        <w:rPr>
          <w:rFonts w:ascii="宋体" w:hAnsi="宋体" w:eastAsia="宋体" w:cs="宋体"/>
          <w:b w:val="0"/>
        </w:rPr>
        <w:cr/>
      </w:r>
      <w:r>
        <w:rPr>
          <w:rFonts w:ascii="宋体" w:hAnsi="宋体" w:eastAsia="宋体" w:cs="宋体"/>
          <w:b w:val="0"/>
        </w:rPr>
        <w:t xml:space="preserve">    政策层面，工信部四季度对硫化物全固态电池技术进行中期验收，市场反馈显示头部电池厂通过问题不大，12月也对半固态电池完成验收。预计明年2-3月工信部形成最终验收报告后，通过验收电池厂的设备与材料供应商将受益于后续固态电池扩产。</w:t>
      </w:r>
      <w:r>
        <w:rPr>
          <w:rFonts w:ascii="宋体" w:hAnsi="宋体" w:eastAsia="宋体" w:cs="宋体"/>
          <w:b w:val="0"/>
        </w:rPr>
        <w:cr/>
      </w:r>
      <w:r>
        <w:rPr>
          <w:rFonts w:ascii="宋体" w:hAnsi="宋体" w:eastAsia="宋体" w:cs="宋体"/>
          <w:b w:val="0"/>
        </w:rPr>
        <w:t xml:space="preserve">    本基金在三季度抓住了设备扩产机会，四季度成功把握六氟磷酸锂、电解液、正极材料的涨价行情。展望2026年，经产业链梳理，我们认为六氟磷酸锂上半年仍将紧缺，隔膜、铝箔、硫化锂等环节格局较优。工信部验收完成后，我们将及时梳理通过验收的电池厂及其供应商。2026年将是固态电池产业元年，一旦通过验收，其上车进度将加快，渗透率有望快速提升至远超液态锂电的市场规模。我们将密切跟踪固态电池产业结构变化，把握其中投资机会。</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产业先锋混合A基金份额净值为0.6337元，本报告期内，该类基金份额净值增长率为-3.75%，同期业绩比较基准收益率为0.17%；截至报告期末东方阿尔法产业先锋混合C基金份额净值为0.6198元，本报告期内，该类基金份额净值增长率为-3.88%，同期业绩比较基准收益率为0.17%。</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本报告期内，本基金未出现连续20个工作日基金份额持有人数量不满200人或者基金资产净值低于5000万的情形。</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964,305,007.05</w:t>
            </w:r>
          </w:p>
        </w:tc>
        <w:tc>
          <w:tcPr>
            <w:tcW w:w="0" w:type="dxa"/>
            <w:vAlign w:val="center"/>
          </w:tcPr>
          <w:p>
            <w:pPr>
              <w:spacing w:line="240" w:lineRule="auto"/>
              <w:jc w:val="right"/>
            </w:pPr>
            <w:r>
              <w:rPr>
                <w:rFonts w:ascii="宋体" w:hAnsi="宋体" w:eastAsia="宋体" w:cs="宋体"/>
                <w:b w:val="0"/>
              </w:rPr>
              <w:t>88.05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964,305,007.05</w:t>
            </w:r>
          </w:p>
        </w:tc>
        <w:tc>
          <w:tcPr>
            <w:tcW w:w="0" w:type="dxa"/>
            <w:vAlign w:val="center"/>
          </w:tcPr>
          <w:p>
            <w:pPr>
              <w:spacing w:line="240" w:lineRule="auto"/>
              <w:jc w:val="right"/>
            </w:pPr>
            <w:r>
              <w:rPr>
                <w:rFonts w:ascii="宋体" w:hAnsi="宋体" w:eastAsia="宋体" w:cs="宋体"/>
                <w:b w:val="0"/>
              </w:rPr>
              <w:t>88.05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90,370,922.19</w:t>
            </w:r>
          </w:p>
        </w:tc>
        <w:tc>
          <w:tcPr>
            <w:tcW w:w="0" w:type="dxa"/>
            <w:vAlign w:val="center"/>
          </w:tcPr>
          <w:p>
            <w:pPr>
              <w:spacing w:line="240" w:lineRule="auto"/>
              <w:jc w:val="right"/>
            </w:pPr>
            <w:r>
              <w:rPr>
                <w:rFonts w:ascii="宋体" w:hAnsi="宋体" w:eastAsia="宋体" w:cs="宋体"/>
                <w:b w:val="0"/>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90,370,922.19</w:t>
            </w:r>
          </w:p>
        </w:tc>
        <w:tc>
          <w:tcPr>
            <w:tcW w:w="0" w:type="dxa"/>
            <w:vAlign w:val="center"/>
          </w:tcPr>
          <w:p>
            <w:pPr>
              <w:spacing w:line="240" w:lineRule="auto"/>
              <w:jc w:val="right"/>
            </w:pPr>
            <w:r>
              <w:rPr>
                <w:rFonts w:ascii="宋体" w:hAnsi="宋体" w:eastAsia="宋体" w:cs="宋体"/>
                <w:b w:val="0"/>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38,646,875.34</w:t>
            </w:r>
          </w:p>
        </w:tc>
        <w:tc>
          <w:tcPr>
            <w:tcW w:w="0" w:type="dxa"/>
            <w:vAlign w:val="center"/>
          </w:tcPr>
          <w:p>
            <w:pPr>
              <w:spacing w:line="240" w:lineRule="auto"/>
              <w:jc w:val="right"/>
            </w:pPr>
            <w:r>
              <w:rPr>
                <w:rFonts w:ascii="宋体" w:hAnsi="宋体" w:eastAsia="宋体" w:cs="宋体"/>
                <w:b w:val="0"/>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1,910,089.86</w:t>
            </w:r>
          </w:p>
        </w:tc>
        <w:tc>
          <w:tcPr>
            <w:tcW w:w="0" w:type="dxa"/>
            <w:vAlign w:val="center"/>
          </w:tcPr>
          <w:p>
            <w:pPr>
              <w:spacing w:line="240" w:lineRule="auto"/>
              <w:jc w:val="right"/>
            </w:pPr>
            <w:r>
              <w:rPr>
                <w:rFonts w:ascii="宋体" w:hAnsi="宋体" w:eastAsia="宋体" w:cs="宋体"/>
                <w:b w:val="0"/>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1,095,232,894.44</w:t>
            </w:r>
          </w:p>
        </w:tc>
        <w:tc>
          <w:tcPr>
            <w:tcW w:w="0" w:type="dxa"/>
            <w:vAlign w:val="center"/>
          </w:tcPr>
          <w:p>
            <w:pPr>
              <w:spacing w:line="240" w:lineRule="auto"/>
              <w:jc w:val="right"/>
            </w:pPr>
            <w:r>
              <w:rPr>
                <w:rFonts w:ascii="宋体" w:hAnsi="宋体" w:eastAsia="宋体" w:cs="宋体"/>
                <w:b w:val="0"/>
              </w:rPr>
              <w:t>100.00</w:t>
            </w:r>
          </w:p>
        </w:tc>
      </w:tr>
    </w:tbl>
    <w:p/>
    <w:p>
      <w:pPr>
        <w:pStyle w:val="3"/>
        <w:jc w:val="left"/>
      </w:pPr>
      <w:r>
        <w:rPr>
          <w:rFonts w:ascii="宋体" w:hAnsi="宋体" w:eastAsia="宋体" w:cs="宋体"/>
        </w:rPr>
        <w:t>5.2 报告期末按行业分类的股票投资组合</w:t>
      </w:r>
    </w:p>
    <w:p>
      <w:pPr>
        <w:pStyle w:val="58"/>
      </w:pPr>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426,830.84</w:t>
            </w:r>
          </w:p>
        </w:tc>
        <w:tc>
          <w:tcPr>
            <w:tcW w:w="0" w:type="dxa"/>
            <w:vAlign w:val="center"/>
          </w:tcPr>
          <w:p>
            <w:pPr>
              <w:spacing w:line="240" w:lineRule="auto"/>
              <w:jc w:val="right"/>
            </w:pPr>
            <w:r>
              <w:rPr>
                <w:rFonts w:ascii="宋体" w:hAnsi="宋体" w:eastAsia="宋体" w:cs="宋体"/>
                <w:b w:val="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900,218,671.69</w:t>
            </w:r>
          </w:p>
        </w:tc>
        <w:tc>
          <w:tcPr>
            <w:tcW w:w="0" w:type="dxa"/>
            <w:vAlign w:val="center"/>
          </w:tcPr>
          <w:p>
            <w:pPr>
              <w:spacing w:line="240" w:lineRule="auto"/>
              <w:jc w:val="right"/>
            </w:pPr>
            <w:r>
              <w:rPr>
                <w:rFonts w:ascii="宋体" w:hAnsi="宋体" w:eastAsia="宋体" w:cs="宋体"/>
                <w:b w:val="0"/>
              </w:rPr>
              <w:t>88.25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11,988.54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425,955.33</w:t>
            </w:r>
          </w:p>
        </w:tc>
        <w:tc>
          <w:tcPr>
            <w:tcW w:w="0" w:type="dxa"/>
            <w:vAlign w:val="center"/>
          </w:tcPr>
          <w:p>
            <w:pPr>
              <w:spacing w:line="240" w:lineRule="auto"/>
              <w:jc w:val="right"/>
            </w:pPr>
            <w:r>
              <w:rPr>
                <w:rFonts w:ascii="宋体" w:hAnsi="宋体" w:eastAsia="宋体" w:cs="宋体"/>
                <w:b w:val="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27,614.09</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63,193,946.56</w:t>
            </w:r>
          </w:p>
        </w:tc>
        <w:tc>
          <w:tcPr>
            <w:tcW w:w="0" w:type="dxa"/>
            <w:vAlign w:val="center"/>
          </w:tcPr>
          <w:p>
            <w:pPr>
              <w:spacing w:line="240" w:lineRule="auto"/>
              <w:jc w:val="right"/>
            </w:pPr>
            <w:r>
              <w:rPr>
                <w:rFonts w:ascii="宋体" w:hAnsi="宋体" w:eastAsia="宋体" w:cs="宋体"/>
                <w:b w:val="0"/>
              </w:rP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964,305,007.05</w:t>
            </w:r>
          </w:p>
        </w:tc>
        <w:tc>
          <w:tcPr>
            <w:tcW w:w="0" w:type="dxa"/>
            <w:vAlign w:val="center"/>
          </w:tcPr>
          <w:p>
            <w:pPr>
              <w:spacing w:line="240" w:lineRule="auto"/>
              <w:jc w:val="right"/>
            </w:pPr>
            <w:r>
              <w:rPr>
                <w:rFonts w:ascii="宋体" w:hAnsi="宋体" w:eastAsia="宋体" w:cs="宋体"/>
                <w:b w:val="0"/>
              </w:rPr>
              <w:t>94.53</w:t>
            </w:r>
          </w:p>
        </w:tc>
      </w:tr>
    </w:tbl>
    <w:p/>
    <w:p>
      <w:pPr>
        <w:pStyle w:val="58"/>
      </w:pPr>
      <w:r>
        <w:rPr>
          <w:rFonts w:ascii="宋体" w:hAnsi="宋体" w:eastAsia="宋体" w:cs="宋体"/>
          <w:b/>
        </w:rPr>
        <w:t>5.2.2 报告期末按行业分类的港股通投资股票投资组合</w:t>
      </w:r>
    </w:p>
    <w:p>
      <w:r>
        <w:rPr>
          <w:rFonts w:ascii="宋体" w:hAnsi="宋体" w:eastAsia="宋体" w:cs="宋体"/>
          <w:b w:val="0"/>
        </w:rPr>
        <w:t xml:space="preserve">    本基金本报告期末未持有港股通投资股票投资组合。</w:t>
      </w:r>
    </w:p>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603663</w:t>
            </w:r>
          </w:p>
        </w:tc>
        <w:tc>
          <w:tcPr>
            <w:tcW w:w="0" w:type="dxa"/>
            <w:vAlign w:val="center"/>
          </w:tcPr>
          <w:p>
            <w:pPr>
              <w:spacing w:line="240" w:lineRule="auto"/>
              <w:jc w:val="left"/>
            </w:pPr>
            <w:r>
              <w:rPr>
                <w:rFonts w:ascii="宋体" w:hAnsi="宋体" w:eastAsia="宋体" w:cs="宋体"/>
                <w:b w:val="0"/>
              </w:rPr>
              <w:t>三祥新材</w:t>
            </w:r>
          </w:p>
        </w:tc>
        <w:tc>
          <w:tcPr>
            <w:tcW w:w="0" w:type="dxa"/>
            <w:vAlign w:val="center"/>
          </w:tcPr>
          <w:p>
            <w:pPr>
              <w:spacing w:line="240" w:lineRule="auto"/>
              <w:jc w:val="right"/>
            </w:pPr>
            <w:r>
              <w:rPr>
                <w:rFonts w:ascii="宋体" w:hAnsi="宋体" w:eastAsia="宋体" w:cs="宋体"/>
                <w:b w:val="0"/>
              </w:rPr>
              <w:t>1,863,100</w:t>
            </w:r>
          </w:p>
        </w:tc>
        <w:tc>
          <w:tcPr>
            <w:tcW w:w="0" w:type="dxa"/>
            <w:vAlign w:val="center"/>
          </w:tcPr>
          <w:p>
            <w:pPr>
              <w:spacing w:line="240" w:lineRule="auto"/>
              <w:jc w:val="right"/>
            </w:pPr>
            <w:r>
              <w:rPr>
                <w:rFonts w:ascii="宋体" w:hAnsi="宋体" w:eastAsia="宋体" w:cs="宋体"/>
                <w:b w:val="0"/>
              </w:rPr>
              <w:t>65,860,585.00</w:t>
            </w:r>
          </w:p>
        </w:tc>
        <w:tc>
          <w:tcPr>
            <w:tcW w:w="0" w:type="dxa"/>
            <w:vAlign w:val="center"/>
          </w:tcPr>
          <w:p>
            <w:pPr>
              <w:spacing w:line="240" w:lineRule="auto"/>
              <w:jc w:val="right"/>
            </w:pPr>
            <w:r>
              <w:rPr>
                <w:rFonts w:ascii="宋体" w:hAnsi="宋体" w:eastAsia="宋体" w:cs="宋体"/>
                <w:b w:val="0"/>
              </w:rPr>
              <w:t>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603200</w:t>
            </w:r>
          </w:p>
        </w:tc>
        <w:tc>
          <w:tcPr>
            <w:tcW w:w="0" w:type="dxa"/>
            <w:vAlign w:val="center"/>
          </w:tcPr>
          <w:p>
            <w:pPr>
              <w:spacing w:line="240" w:lineRule="auto"/>
              <w:jc w:val="left"/>
            </w:pPr>
            <w:r>
              <w:rPr>
                <w:rFonts w:ascii="宋体" w:hAnsi="宋体" w:eastAsia="宋体" w:cs="宋体"/>
                <w:b w:val="0"/>
              </w:rPr>
              <w:t>上海洗霸</w:t>
            </w:r>
          </w:p>
        </w:tc>
        <w:tc>
          <w:tcPr>
            <w:tcW w:w="0" w:type="dxa"/>
            <w:vAlign w:val="center"/>
          </w:tcPr>
          <w:p>
            <w:pPr>
              <w:spacing w:line="240" w:lineRule="auto"/>
              <w:jc w:val="right"/>
            </w:pPr>
            <w:r>
              <w:rPr>
                <w:rFonts w:ascii="宋体" w:hAnsi="宋体" w:eastAsia="宋体" w:cs="宋体"/>
                <w:b w:val="0"/>
              </w:rPr>
              <w:t>888,304</w:t>
            </w:r>
          </w:p>
        </w:tc>
        <w:tc>
          <w:tcPr>
            <w:tcW w:w="0" w:type="dxa"/>
            <w:vAlign w:val="center"/>
          </w:tcPr>
          <w:p>
            <w:pPr>
              <w:spacing w:line="240" w:lineRule="auto"/>
              <w:jc w:val="right"/>
            </w:pPr>
            <w:r>
              <w:rPr>
                <w:rFonts w:ascii="宋体" w:hAnsi="宋体" w:eastAsia="宋体" w:cs="宋体"/>
                <w:b w:val="0"/>
              </w:rPr>
              <w:t>63,193,946.56</w:t>
            </w:r>
          </w:p>
        </w:tc>
        <w:tc>
          <w:tcPr>
            <w:tcW w:w="0" w:type="dxa"/>
            <w:vAlign w:val="center"/>
          </w:tcPr>
          <w:p>
            <w:pPr>
              <w:spacing w:line="240" w:lineRule="auto"/>
              <w:jc w:val="right"/>
            </w:pPr>
            <w:r>
              <w:rPr>
                <w:rFonts w:ascii="宋体" w:hAnsi="宋体" w:eastAsia="宋体" w:cs="宋体"/>
                <w:b w:val="0"/>
              </w:rP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688778</w:t>
            </w:r>
          </w:p>
        </w:tc>
        <w:tc>
          <w:tcPr>
            <w:tcW w:w="0" w:type="dxa"/>
            <w:vAlign w:val="center"/>
          </w:tcPr>
          <w:p>
            <w:pPr>
              <w:spacing w:line="240" w:lineRule="auto"/>
              <w:jc w:val="left"/>
            </w:pPr>
            <w:r>
              <w:rPr>
                <w:rFonts w:ascii="宋体" w:hAnsi="宋体" w:eastAsia="宋体" w:cs="宋体"/>
                <w:b w:val="0"/>
              </w:rPr>
              <w:t>厦钨新能</w:t>
            </w:r>
          </w:p>
        </w:tc>
        <w:tc>
          <w:tcPr>
            <w:tcW w:w="0" w:type="dxa"/>
            <w:vAlign w:val="center"/>
          </w:tcPr>
          <w:p>
            <w:pPr>
              <w:spacing w:line="240" w:lineRule="auto"/>
              <w:jc w:val="right"/>
            </w:pPr>
            <w:r>
              <w:rPr>
                <w:rFonts w:ascii="宋体" w:hAnsi="宋体" w:eastAsia="宋体" w:cs="宋体"/>
                <w:b w:val="0"/>
              </w:rPr>
              <w:t>791,527</w:t>
            </w:r>
          </w:p>
        </w:tc>
        <w:tc>
          <w:tcPr>
            <w:tcW w:w="0" w:type="dxa"/>
            <w:vAlign w:val="center"/>
          </w:tcPr>
          <w:p>
            <w:pPr>
              <w:spacing w:line="240" w:lineRule="auto"/>
              <w:jc w:val="right"/>
            </w:pPr>
            <w:r>
              <w:rPr>
                <w:rFonts w:ascii="宋体" w:hAnsi="宋体" w:eastAsia="宋体" w:cs="宋体"/>
                <w:b w:val="0"/>
              </w:rPr>
              <w:t>61,240,443.99</w:t>
            </w:r>
          </w:p>
        </w:tc>
        <w:tc>
          <w:tcPr>
            <w:tcW w:w="0" w:type="dxa"/>
            <w:vAlign w:val="center"/>
          </w:tcPr>
          <w:p>
            <w:pPr>
              <w:spacing w:line="240" w:lineRule="auto"/>
              <w:jc w:val="right"/>
            </w:pPr>
            <w:r>
              <w:rPr>
                <w:rFonts w:ascii="宋体" w:hAnsi="宋体" w:eastAsia="宋体" w:cs="宋体"/>
                <w:b w:val="0"/>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688559</w:t>
            </w:r>
          </w:p>
        </w:tc>
        <w:tc>
          <w:tcPr>
            <w:tcW w:w="0" w:type="dxa"/>
            <w:vAlign w:val="center"/>
          </w:tcPr>
          <w:p>
            <w:pPr>
              <w:spacing w:line="240" w:lineRule="auto"/>
              <w:jc w:val="left"/>
            </w:pPr>
            <w:r>
              <w:rPr>
                <w:rFonts w:ascii="宋体" w:hAnsi="宋体" w:eastAsia="宋体" w:cs="宋体"/>
                <w:b w:val="0"/>
              </w:rPr>
              <w:t>海目星</w:t>
            </w:r>
          </w:p>
        </w:tc>
        <w:tc>
          <w:tcPr>
            <w:tcW w:w="0" w:type="dxa"/>
            <w:vAlign w:val="center"/>
          </w:tcPr>
          <w:p>
            <w:pPr>
              <w:spacing w:line="240" w:lineRule="auto"/>
              <w:jc w:val="right"/>
            </w:pPr>
            <w:r>
              <w:rPr>
                <w:rFonts w:ascii="宋体" w:hAnsi="宋体" w:eastAsia="宋体" w:cs="宋体"/>
                <w:b w:val="0"/>
              </w:rPr>
              <w:t>1,078,753</w:t>
            </w:r>
          </w:p>
        </w:tc>
        <w:tc>
          <w:tcPr>
            <w:tcW w:w="0" w:type="dxa"/>
            <w:vAlign w:val="center"/>
          </w:tcPr>
          <w:p>
            <w:pPr>
              <w:spacing w:line="240" w:lineRule="auto"/>
              <w:jc w:val="right"/>
            </w:pPr>
            <w:r>
              <w:rPr>
                <w:rFonts w:ascii="宋体" w:hAnsi="宋体" w:eastAsia="宋体" w:cs="宋体"/>
                <w:b w:val="0"/>
              </w:rPr>
              <w:t>51,844,869.18</w:t>
            </w:r>
          </w:p>
        </w:tc>
        <w:tc>
          <w:tcPr>
            <w:tcW w:w="0" w:type="dxa"/>
            <w:vAlign w:val="center"/>
          </w:tcPr>
          <w:p>
            <w:pPr>
              <w:spacing w:line="240" w:lineRule="auto"/>
              <w:jc w:val="right"/>
            </w:pPr>
            <w:r>
              <w:rPr>
                <w:rFonts w:ascii="宋体" w:hAnsi="宋体" w:eastAsia="宋体" w:cs="宋体"/>
                <w:b w:val="0"/>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920522</w:t>
            </w:r>
          </w:p>
        </w:tc>
        <w:tc>
          <w:tcPr>
            <w:tcW w:w="0" w:type="dxa"/>
            <w:vAlign w:val="center"/>
          </w:tcPr>
          <w:p>
            <w:pPr>
              <w:spacing w:line="240" w:lineRule="auto"/>
              <w:jc w:val="left"/>
            </w:pPr>
            <w:r>
              <w:rPr>
                <w:rFonts w:ascii="宋体" w:hAnsi="宋体" w:eastAsia="宋体" w:cs="宋体"/>
                <w:b w:val="0"/>
              </w:rPr>
              <w:t>纳科诺尔</w:t>
            </w:r>
          </w:p>
        </w:tc>
        <w:tc>
          <w:tcPr>
            <w:tcW w:w="0" w:type="dxa"/>
            <w:vAlign w:val="center"/>
          </w:tcPr>
          <w:p>
            <w:pPr>
              <w:spacing w:line="240" w:lineRule="auto"/>
              <w:jc w:val="right"/>
            </w:pPr>
            <w:r>
              <w:rPr>
                <w:rFonts w:ascii="宋体" w:hAnsi="宋体" w:eastAsia="宋体" w:cs="宋体"/>
                <w:b w:val="0"/>
              </w:rPr>
              <w:t>840,565</w:t>
            </w:r>
          </w:p>
        </w:tc>
        <w:tc>
          <w:tcPr>
            <w:tcW w:w="0" w:type="dxa"/>
            <w:vAlign w:val="center"/>
          </w:tcPr>
          <w:p>
            <w:pPr>
              <w:spacing w:line="240" w:lineRule="auto"/>
              <w:jc w:val="right"/>
            </w:pPr>
            <w:r>
              <w:rPr>
                <w:rFonts w:ascii="宋体" w:hAnsi="宋体" w:eastAsia="宋体" w:cs="宋体"/>
                <w:b w:val="0"/>
              </w:rPr>
              <w:t>51,350,115.85</w:t>
            </w:r>
          </w:p>
        </w:tc>
        <w:tc>
          <w:tcPr>
            <w:tcW w:w="0" w:type="dxa"/>
            <w:vAlign w:val="center"/>
          </w:tcPr>
          <w:p>
            <w:pPr>
              <w:spacing w:line="240" w:lineRule="auto"/>
              <w:jc w:val="right"/>
            </w:pPr>
            <w:r>
              <w:rPr>
                <w:rFonts w:ascii="宋体" w:hAnsi="宋体" w:eastAsia="宋体" w:cs="宋体"/>
                <w:b w:val="0"/>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688518</w:t>
            </w:r>
          </w:p>
        </w:tc>
        <w:tc>
          <w:tcPr>
            <w:tcW w:w="0" w:type="dxa"/>
            <w:vAlign w:val="center"/>
          </w:tcPr>
          <w:p>
            <w:pPr>
              <w:spacing w:line="240" w:lineRule="auto"/>
              <w:jc w:val="left"/>
            </w:pPr>
            <w:r>
              <w:rPr>
                <w:rFonts w:ascii="宋体" w:hAnsi="宋体" w:eastAsia="宋体" w:cs="宋体"/>
                <w:b w:val="0"/>
              </w:rPr>
              <w:t>联赢激光</w:t>
            </w:r>
          </w:p>
        </w:tc>
        <w:tc>
          <w:tcPr>
            <w:tcW w:w="0" w:type="dxa"/>
            <w:vAlign w:val="center"/>
          </w:tcPr>
          <w:p>
            <w:pPr>
              <w:spacing w:line="240" w:lineRule="auto"/>
              <w:jc w:val="right"/>
            </w:pPr>
            <w:r>
              <w:rPr>
                <w:rFonts w:ascii="宋体" w:hAnsi="宋体" w:eastAsia="宋体" w:cs="宋体"/>
                <w:b w:val="0"/>
              </w:rPr>
              <w:t>2,086,328</w:t>
            </w:r>
          </w:p>
        </w:tc>
        <w:tc>
          <w:tcPr>
            <w:tcW w:w="0" w:type="dxa"/>
            <w:vAlign w:val="center"/>
          </w:tcPr>
          <w:p>
            <w:pPr>
              <w:spacing w:line="240" w:lineRule="auto"/>
              <w:jc w:val="right"/>
            </w:pPr>
            <w:r>
              <w:rPr>
                <w:rFonts w:ascii="宋体" w:hAnsi="宋体" w:eastAsia="宋体" w:cs="宋体"/>
                <w:b w:val="0"/>
              </w:rPr>
              <w:t>50,676,907.12</w:t>
            </w:r>
          </w:p>
        </w:tc>
        <w:tc>
          <w:tcPr>
            <w:tcW w:w="0" w:type="dxa"/>
            <w:vAlign w:val="center"/>
          </w:tcPr>
          <w:p>
            <w:pPr>
              <w:spacing w:line="240" w:lineRule="auto"/>
              <w:jc w:val="right"/>
            </w:pPr>
            <w:r>
              <w:rPr>
                <w:rFonts w:ascii="宋体" w:hAnsi="宋体" w:eastAsia="宋体" w:cs="宋体"/>
                <w:b w:val="0"/>
              </w:rPr>
              <w:t>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688155</w:t>
            </w:r>
          </w:p>
        </w:tc>
        <w:tc>
          <w:tcPr>
            <w:tcW w:w="0" w:type="dxa"/>
            <w:vAlign w:val="center"/>
          </w:tcPr>
          <w:p>
            <w:pPr>
              <w:spacing w:line="240" w:lineRule="auto"/>
              <w:jc w:val="left"/>
            </w:pPr>
            <w:r>
              <w:rPr>
                <w:rFonts w:ascii="宋体" w:hAnsi="宋体" w:eastAsia="宋体" w:cs="宋体"/>
                <w:b w:val="0"/>
              </w:rPr>
              <w:t>先惠技术</w:t>
            </w:r>
          </w:p>
        </w:tc>
        <w:tc>
          <w:tcPr>
            <w:tcW w:w="0" w:type="dxa"/>
            <w:vAlign w:val="center"/>
          </w:tcPr>
          <w:p>
            <w:pPr>
              <w:spacing w:line="240" w:lineRule="auto"/>
              <w:jc w:val="right"/>
            </w:pPr>
            <w:r>
              <w:rPr>
                <w:rFonts w:ascii="宋体" w:hAnsi="宋体" w:eastAsia="宋体" w:cs="宋体"/>
                <w:b w:val="0"/>
              </w:rPr>
              <w:t>779,422</w:t>
            </w:r>
          </w:p>
        </w:tc>
        <w:tc>
          <w:tcPr>
            <w:tcW w:w="0" w:type="dxa"/>
            <w:vAlign w:val="center"/>
          </w:tcPr>
          <w:p>
            <w:pPr>
              <w:spacing w:line="240" w:lineRule="auto"/>
              <w:jc w:val="right"/>
            </w:pPr>
            <w:r>
              <w:rPr>
                <w:rFonts w:ascii="宋体" w:hAnsi="宋体" w:eastAsia="宋体" w:cs="宋体"/>
                <w:b w:val="0"/>
              </w:rPr>
              <w:t>47,116,059.90</w:t>
            </w:r>
          </w:p>
        </w:tc>
        <w:tc>
          <w:tcPr>
            <w:tcW w:w="0" w:type="dxa"/>
            <w:vAlign w:val="center"/>
          </w:tcPr>
          <w:p>
            <w:pPr>
              <w:spacing w:line="240" w:lineRule="auto"/>
              <w:jc w:val="right"/>
            </w:pPr>
            <w:r>
              <w:rPr>
                <w:rFonts w:ascii="宋体" w:hAnsi="宋体" w:eastAsia="宋体" w:cs="宋体"/>
                <w:b w:val="0"/>
              </w:rPr>
              <w:t>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301511</w:t>
            </w:r>
          </w:p>
        </w:tc>
        <w:tc>
          <w:tcPr>
            <w:tcW w:w="0" w:type="dxa"/>
            <w:vAlign w:val="center"/>
          </w:tcPr>
          <w:p>
            <w:pPr>
              <w:spacing w:line="240" w:lineRule="auto"/>
              <w:jc w:val="left"/>
            </w:pPr>
            <w:r>
              <w:rPr>
                <w:rFonts w:ascii="宋体" w:hAnsi="宋体" w:eastAsia="宋体" w:cs="宋体"/>
                <w:b w:val="0"/>
              </w:rPr>
              <w:t>德福科技</w:t>
            </w:r>
          </w:p>
        </w:tc>
        <w:tc>
          <w:tcPr>
            <w:tcW w:w="0" w:type="dxa"/>
            <w:vAlign w:val="center"/>
          </w:tcPr>
          <w:p>
            <w:pPr>
              <w:spacing w:line="240" w:lineRule="auto"/>
              <w:jc w:val="right"/>
            </w:pPr>
            <w:r>
              <w:rPr>
                <w:rFonts w:ascii="宋体" w:hAnsi="宋体" w:eastAsia="宋体" w:cs="宋体"/>
                <w:b w:val="0"/>
              </w:rPr>
              <w:t>1,290,205</w:t>
            </w:r>
          </w:p>
        </w:tc>
        <w:tc>
          <w:tcPr>
            <w:tcW w:w="0" w:type="dxa"/>
            <w:vAlign w:val="center"/>
          </w:tcPr>
          <w:p>
            <w:pPr>
              <w:spacing w:line="240" w:lineRule="auto"/>
              <w:jc w:val="right"/>
            </w:pPr>
            <w:r>
              <w:rPr>
                <w:rFonts w:ascii="宋体" w:hAnsi="宋体" w:eastAsia="宋体" w:cs="宋体"/>
                <w:b w:val="0"/>
              </w:rPr>
              <w:t>46,176,436.95</w:t>
            </w:r>
          </w:p>
        </w:tc>
        <w:tc>
          <w:tcPr>
            <w:tcW w:w="0" w:type="dxa"/>
            <w:vAlign w:val="center"/>
          </w:tcPr>
          <w:p>
            <w:pPr>
              <w:spacing w:line="240" w:lineRule="auto"/>
              <w:jc w:val="right"/>
            </w:pPr>
            <w:r>
              <w:rPr>
                <w:rFonts w:ascii="宋体" w:hAnsi="宋体" w:eastAsia="宋体" w:cs="宋体"/>
                <w:b w:val="0"/>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301662</w:t>
            </w:r>
          </w:p>
        </w:tc>
        <w:tc>
          <w:tcPr>
            <w:tcW w:w="0" w:type="dxa"/>
            <w:vAlign w:val="center"/>
          </w:tcPr>
          <w:p>
            <w:pPr>
              <w:spacing w:line="240" w:lineRule="auto"/>
              <w:jc w:val="left"/>
            </w:pPr>
            <w:r>
              <w:rPr>
                <w:rFonts w:ascii="宋体" w:hAnsi="宋体" w:eastAsia="宋体" w:cs="宋体"/>
                <w:b w:val="0"/>
              </w:rPr>
              <w:t>宏工科技</w:t>
            </w:r>
          </w:p>
        </w:tc>
        <w:tc>
          <w:tcPr>
            <w:tcW w:w="0" w:type="dxa"/>
            <w:vAlign w:val="center"/>
          </w:tcPr>
          <w:p>
            <w:pPr>
              <w:spacing w:line="240" w:lineRule="auto"/>
              <w:jc w:val="right"/>
            </w:pPr>
            <w:r>
              <w:rPr>
                <w:rFonts w:ascii="宋体" w:hAnsi="宋体" w:eastAsia="宋体" w:cs="宋体"/>
                <w:b w:val="0"/>
              </w:rPr>
              <w:t>363,487</w:t>
            </w:r>
          </w:p>
        </w:tc>
        <w:tc>
          <w:tcPr>
            <w:tcW w:w="0" w:type="dxa"/>
            <w:vAlign w:val="center"/>
          </w:tcPr>
          <w:p>
            <w:pPr>
              <w:spacing w:line="240" w:lineRule="auto"/>
              <w:jc w:val="right"/>
            </w:pPr>
            <w:r>
              <w:rPr>
                <w:rFonts w:ascii="宋体" w:hAnsi="宋体" w:eastAsia="宋体" w:cs="宋体"/>
                <w:b w:val="0"/>
              </w:rPr>
              <w:t>43,720,216.36</w:t>
            </w:r>
          </w:p>
        </w:tc>
        <w:tc>
          <w:tcPr>
            <w:tcW w:w="0" w:type="dxa"/>
            <w:vAlign w:val="center"/>
          </w:tcPr>
          <w:p>
            <w:pPr>
              <w:spacing w:line="240" w:lineRule="auto"/>
              <w:jc w:val="right"/>
            </w:pPr>
            <w:r>
              <w:rPr>
                <w:rFonts w:ascii="宋体" w:hAnsi="宋体" w:eastAsia="宋体" w:cs="宋体"/>
                <w:b w:val="0"/>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301360</w:t>
            </w:r>
          </w:p>
        </w:tc>
        <w:tc>
          <w:tcPr>
            <w:tcW w:w="0" w:type="dxa"/>
            <w:vAlign w:val="center"/>
          </w:tcPr>
          <w:p>
            <w:pPr>
              <w:spacing w:line="240" w:lineRule="auto"/>
              <w:jc w:val="left"/>
            </w:pPr>
            <w:r>
              <w:rPr>
                <w:rFonts w:ascii="宋体" w:hAnsi="宋体" w:eastAsia="宋体" w:cs="宋体"/>
                <w:b w:val="0"/>
              </w:rPr>
              <w:t>荣旗科技</w:t>
            </w:r>
          </w:p>
        </w:tc>
        <w:tc>
          <w:tcPr>
            <w:tcW w:w="0" w:type="dxa"/>
            <w:vAlign w:val="center"/>
          </w:tcPr>
          <w:p>
            <w:pPr>
              <w:spacing w:line="240" w:lineRule="auto"/>
              <w:jc w:val="right"/>
            </w:pPr>
            <w:r>
              <w:rPr>
                <w:rFonts w:ascii="宋体" w:hAnsi="宋体" w:eastAsia="宋体" w:cs="宋体"/>
                <w:b w:val="0"/>
              </w:rPr>
              <w:t>566,300</w:t>
            </w:r>
          </w:p>
        </w:tc>
        <w:tc>
          <w:tcPr>
            <w:tcW w:w="0" w:type="dxa"/>
            <w:vAlign w:val="center"/>
          </w:tcPr>
          <w:p>
            <w:pPr>
              <w:spacing w:line="240" w:lineRule="auto"/>
              <w:jc w:val="right"/>
            </w:pPr>
            <w:r>
              <w:rPr>
                <w:rFonts w:ascii="宋体" w:hAnsi="宋体" w:eastAsia="宋体" w:cs="宋体"/>
                <w:b w:val="0"/>
              </w:rPr>
              <w:t>40,150,670.00</w:t>
            </w:r>
          </w:p>
        </w:tc>
        <w:tc>
          <w:tcPr>
            <w:tcW w:w="0" w:type="dxa"/>
            <w:vAlign w:val="center"/>
          </w:tcPr>
          <w:p>
            <w:pPr>
              <w:spacing w:line="240" w:lineRule="auto"/>
              <w:jc w:val="right"/>
            </w:pPr>
            <w:r>
              <w:rPr>
                <w:rFonts w:ascii="宋体" w:hAnsi="宋体" w:eastAsia="宋体" w:cs="宋体"/>
                <w:b w:val="0"/>
              </w:rPr>
              <w:t>3.94</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90,370,922.19</w:t>
            </w:r>
          </w:p>
        </w:tc>
        <w:tc>
          <w:tcPr>
            <w:tcW w:w="0" w:type="dxa"/>
            <w:vAlign w:val="center"/>
          </w:tcPr>
          <w:p>
            <w:pPr>
              <w:spacing w:line="240" w:lineRule="auto"/>
              <w:jc w:val="right"/>
            </w:pPr>
            <w:r>
              <w:rPr>
                <w:rFonts w:ascii="宋体" w:hAnsi="宋体" w:eastAsia="宋体" w:cs="宋体"/>
                <w:b w:val="0"/>
              </w:rPr>
              <w:t>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90,370,922.19</w:t>
            </w:r>
          </w:p>
        </w:tc>
        <w:tc>
          <w:tcPr>
            <w:tcW w:w="0" w:type="dxa"/>
            <w:vAlign w:val="center"/>
          </w:tcPr>
          <w:p>
            <w:pPr>
              <w:spacing w:line="240" w:lineRule="auto"/>
              <w:jc w:val="right"/>
            </w:pPr>
            <w:r>
              <w:rPr>
                <w:rFonts w:ascii="宋体" w:hAnsi="宋体" w:eastAsia="宋体" w:cs="宋体"/>
                <w:b w:val="0"/>
              </w:rPr>
              <w:t>8.86</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019766</w:t>
            </w:r>
          </w:p>
        </w:tc>
        <w:tc>
          <w:tcPr>
            <w:tcW w:w="0" w:type="dxa"/>
            <w:vAlign w:val="center"/>
          </w:tcPr>
          <w:p>
            <w:pPr>
              <w:spacing w:line="240" w:lineRule="auto"/>
              <w:jc w:val="left"/>
            </w:pPr>
            <w:r>
              <w:rPr>
                <w:rFonts w:ascii="宋体" w:hAnsi="宋体" w:eastAsia="宋体" w:cs="宋体"/>
                <w:b w:val="0"/>
              </w:rPr>
              <w:t>25国债01</w:t>
            </w:r>
          </w:p>
        </w:tc>
        <w:tc>
          <w:tcPr>
            <w:tcW w:w="0" w:type="dxa"/>
            <w:vAlign w:val="center"/>
          </w:tcPr>
          <w:p>
            <w:pPr>
              <w:spacing w:line="240" w:lineRule="auto"/>
              <w:jc w:val="right"/>
            </w:pPr>
            <w:r>
              <w:rPr>
                <w:rFonts w:ascii="宋体" w:hAnsi="宋体" w:eastAsia="宋体" w:cs="宋体"/>
                <w:b w:val="0"/>
              </w:rPr>
              <w:t>450,000</w:t>
            </w:r>
          </w:p>
        </w:tc>
        <w:tc>
          <w:tcPr>
            <w:tcW w:w="0" w:type="dxa"/>
            <w:vAlign w:val="center"/>
          </w:tcPr>
          <w:p>
            <w:pPr>
              <w:spacing w:line="240" w:lineRule="auto"/>
              <w:jc w:val="right"/>
            </w:pPr>
            <w:r>
              <w:rPr>
                <w:rFonts w:ascii="宋体" w:hAnsi="宋体" w:eastAsia="宋体" w:cs="宋体"/>
                <w:b w:val="0"/>
              </w:rPr>
              <w:t>45,501,978.08</w:t>
            </w:r>
          </w:p>
        </w:tc>
        <w:tc>
          <w:tcPr>
            <w:tcW w:w="0" w:type="dxa"/>
            <w:vAlign w:val="center"/>
          </w:tcPr>
          <w:p>
            <w:pPr>
              <w:spacing w:line="240" w:lineRule="auto"/>
              <w:jc w:val="right"/>
            </w:pPr>
            <w:r>
              <w:rPr>
                <w:rFonts w:ascii="宋体" w:hAnsi="宋体" w:eastAsia="宋体" w:cs="宋体"/>
                <w:b w:val="0"/>
              </w:rP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019785</w:t>
            </w:r>
          </w:p>
        </w:tc>
        <w:tc>
          <w:tcPr>
            <w:tcW w:w="0" w:type="dxa"/>
            <w:vAlign w:val="center"/>
          </w:tcPr>
          <w:p>
            <w:pPr>
              <w:spacing w:line="240" w:lineRule="auto"/>
              <w:jc w:val="left"/>
            </w:pPr>
            <w:r>
              <w:rPr>
                <w:rFonts w:ascii="宋体" w:hAnsi="宋体" w:eastAsia="宋体" w:cs="宋体"/>
                <w:b w:val="0"/>
              </w:rPr>
              <w:t>25国债13</w:t>
            </w:r>
          </w:p>
        </w:tc>
        <w:tc>
          <w:tcPr>
            <w:tcW w:w="0" w:type="dxa"/>
            <w:vAlign w:val="center"/>
          </w:tcPr>
          <w:p>
            <w:pPr>
              <w:spacing w:line="240" w:lineRule="auto"/>
              <w:jc w:val="right"/>
            </w:pPr>
            <w:r>
              <w:rPr>
                <w:rFonts w:ascii="宋体" w:hAnsi="宋体" w:eastAsia="宋体" w:cs="宋体"/>
                <w:b w:val="0"/>
              </w:rPr>
              <w:t>446,000</w:t>
            </w:r>
          </w:p>
        </w:tc>
        <w:tc>
          <w:tcPr>
            <w:tcW w:w="0" w:type="dxa"/>
            <w:vAlign w:val="center"/>
          </w:tcPr>
          <w:p>
            <w:pPr>
              <w:spacing w:line="240" w:lineRule="auto"/>
              <w:jc w:val="right"/>
            </w:pPr>
            <w:r>
              <w:rPr>
                <w:rFonts w:ascii="宋体" w:hAnsi="宋体" w:eastAsia="宋体" w:cs="宋体"/>
                <w:b w:val="0"/>
              </w:rPr>
              <w:t>44,868,944.11</w:t>
            </w:r>
          </w:p>
        </w:tc>
        <w:tc>
          <w:tcPr>
            <w:tcW w:w="0" w:type="dxa"/>
            <w:vAlign w:val="center"/>
          </w:tcPr>
          <w:p>
            <w:pPr>
              <w:spacing w:line="240" w:lineRule="auto"/>
              <w:jc w:val="right"/>
            </w:pPr>
            <w:r>
              <w:rPr>
                <w:rFonts w:ascii="宋体" w:hAnsi="宋体" w:eastAsia="宋体" w:cs="宋体"/>
                <w:b w:val="0"/>
              </w:rPr>
              <w:t>4.40</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pPr>
        <w:pStyle w:val="58"/>
      </w:pPr>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w:t>
      </w:r>
      <w:r>
        <w:rPr>
          <w:rFonts w:hint="eastAsia" w:ascii="宋体" w:hAnsi="宋体" w:cs="宋体"/>
          <w:b w:val="0"/>
          <w:lang w:val="en-US" w:eastAsia="zh-CN"/>
        </w:rPr>
        <w:t>主体</w:t>
      </w:r>
      <w:bookmarkStart w:id="1" w:name="_GoBack"/>
      <w:bookmarkEnd w:id="1"/>
      <w:r>
        <w:rPr>
          <w:rFonts w:ascii="宋体" w:hAnsi="宋体" w:eastAsia="宋体" w:cs="宋体"/>
          <w:b w:val="0"/>
        </w:rPr>
        <w:t>中，三祥新材股份有限公司在报告编制日前一年内受到中国证券监督管理委员会福建监管局的警示并计入诚信档案。本基金就上述证券的投资决策程序符合相关法规及公司制度的要求。</w:t>
      </w:r>
      <w:r>
        <w:rPr>
          <w:rFonts w:ascii="宋体" w:hAnsi="宋体" w:eastAsia="宋体" w:cs="宋体"/>
          <w:b w:val="0"/>
        </w:rPr>
        <w:cr/>
      </w:r>
      <w:r>
        <w:rPr>
          <w:rFonts w:ascii="宋体" w:hAnsi="宋体" w:eastAsia="宋体" w:cs="宋体"/>
          <w:b w:val="0"/>
        </w:rPr>
        <w:t xml:space="preserve">    本基金投资前十名的其余证券的发行主体本期未出现被监管部门立案调查，或在报告编制日前一年内受到公开谴责、处罚的情形。</w:t>
      </w:r>
    </w:p>
    <w:p/>
    <w:p>
      <w:pPr>
        <w:pStyle w:val="58"/>
      </w:pPr>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1,910,089.86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1,910,089.86</w:t>
            </w:r>
          </w:p>
        </w:tc>
      </w:tr>
    </w:tbl>
    <w:p/>
    <w:p>
      <w:pPr>
        <w:pStyle w:val="58"/>
      </w:pPr>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5.11.5 报告期末前十名股票中存在流通受限情况的说明</w:t>
      </w:r>
    </w:p>
    <w:p>
      <w:r>
        <w:rPr>
          <w:rFonts w:ascii="宋体" w:hAnsi="宋体" w:eastAsia="宋体" w:cs="宋体"/>
          <w:b w:val="0"/>
        </w:rPr>
        <w:t xml:space="preserve">    本基金本报告期末前十名股票中不存在流通受限情况。</w:t>
      </w:r>
    </w:p>
    <w:p/>
    <w:p>
      <w:pPr>
        <w:pStyle w:val="58"/>
      </w:pPr>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东方阿尔法产业先锋混合A</w:t>
            </w:r>
          </w:p>
        </w:tc>
        <w:tc>
          <w:tcPr>
            <w:tcW w:w="1300" w:type="pct"/>
            <w:vAlign w:val="center"/>
          </w:tcPr>
          <w:p>
            <w:pPr>
              <w:spacing w:line="240" w:lineRule="auto"/>
              <w:jc w:val="center"/>
            </w:pPr>
            <w:r>
              <w:rPr>
                <w:rFonts w:ascii="宋体" w:hAnsi="宋体" w:eastAsia="宋体" w:cs="宋体"/>
                <w:b w:val="0"/>
              </w:rPr>
              <w:t>东方阿尔法产业先锋混合C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报告期期初基金份额总额</w:t>
            </w:r>
          </w:p>
        </w:tc>
        <w:tc>
          <w:tcPr>
            <w:tcW w:w="1300" w:type="pct"/>
            <w:vAlign w:val="center"/>
          </w:tcPr>
          <w:p>
            <w:pPr>
              <w:spacing w:line="240" w:lineRule="auto"/>
              <w:jc w:val="right"/>
            </w:pPr>
            <w:r>
              <w:rPr>
                <w:rFonts w:ascii="宋体" w:hAnsi="宋体" w:eastAsia="宋体" w:cs="宋体"/>
                <w:b w:val="0"/>
              </w:rPr>
              <w:t>1,216,883,984.63</w:t>
            </w:r>
          </w:p>
        </w:tc>
        <w:tc>
          <w:tcPr>
            <w:tcW w:w="1300" w:type="pct"/>
            <w:vAlign w:val="center"/>
          </w:tcPr>
          <w:p>
            <w:pPr>
              <w:spacing w:line="240" w:lineRule="auto"/>
              <w:jc w:val="right"/>
            </w:pPr>
            <w:r>
              <w:rPr>
                <w:rFonts w:ascii="宋体" w:hAnsi="宋体" w:eastAsia="宋体" w:cs="宋体"/>
                <w:b w:val="0"/>
              </w:rPr>
              <w:t>895,986,041.22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报告期期间基金总申购份额</w:t>
            </w:r>
          </w:p>
        </w:tc>
        <w:tc>
          <w:tcPr>
            <w:tcW w:w="1300" w:type="pct"/>
            <w:vAlign w:val="center"/>
          </w:tcPr>
          <w:p>
            <w:pPr>
              <w:spacing w:line="240" w:lineRule="auto"/>
              <w:jc w:val="right"/>
            </w:pPr>
            <w:r>
              <w:rPr>
                <w:rFonts w:ascii="宋体" w:hAnsi="宋体" w:eastAsia="宋体" w:cs="宋体"/>
                <w:b w:val="0"/>
              </w:rPr>
              <w:t>34,589,053.71</w:t>
            </w:r>
          </w:p>
        </w:tc>
        <w:tc>
          <w:tcPr>
            <w:tcW w:w="1300" w:type="pct"/>
            <w:vAlign w:val="center"/>
          </w:tcPr>
          <w:p>
            <w:pPr>
              <w:spacing w:line="240" w:lineRule="auto"/>
              <w:jc w:val="right"/>
            </w:pPr>
            <w:r>
              <w:rPr>
                <w:rFonts w:ascii="宋体" w:hAnsi="宋体" w:eastAsia="宋体" w:cs="宋体"/>
                <w:b w:val="0"/>
              </w:rPr>
              <w:t>238,731,564.51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减：报告期期间基金总赎回份额</w:t>
            </w:r>
          </w:p>
        </w:tc>
        <w:tc>
          <w:tcPr>
            <w:tcW w:w="1300" w:type="pct"/>
            <w:vAlign w:val="center"/>
          </w:tcPr>
          <w:p>
            <w:pPr>
              <w:spacing w:line="240" w:lineRule="auto"/>
              <w:jc w:val="right"/>
            </w:pPr>
            <w:r>
              <w:rPr>
                <w:rFonts w:ascii="宋体" w:hAnsi="宋体" w:eastAsia="宋体" w:cs="宋体"/>
                <w:b w:val="0"/>
              </w:rPr>
              <w:t>105,885,347.06</w:t>
            </w:r>
          </w:p>
        </w:tc>
        <w:tc>
          <w:tcPr>
            <w:tcW w:w="1300" w:type="pct"/>
            <w:vAlign w:val="center"/>
          </w:tcPr>
          <w:p>
            <w:pPr>
              <w:spacing w:line="240" w:lineRule="auto"/>
              <w:jc w:val="right"/>
            </w:pPr>
            <w:r>
              <w:rPr>
                <w:rFonts w:ascii="宋体" w:hAnsi="宋体" w:eastAsia="宋体" w:cs="宋体"/>
                <w:b w:val="0"/>
              </w:rPr>
              <w:t>660,111,103.52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1,145,587,691.28</w:t>
            </w:r>
          </w:p>
        </w:tc>
        <w:tc>
          <w:tcPr>
            <w:tcW w:w="1300" w:type="pct"/>
            <w:vAlign w:val="center"/>
          </w:tcPr>
          <w:p>
            <w:pPr>
              <w:spacing w:line="240" w:lineRule="auto"/>
              <w:jc w:val="right"/>
            </w:pPr>
            <w:r>
              <w:rPr>
                <w:rFonts w:ascii="宋体" w:hAnsi="宋体" w:eastAsia="宋体" w:cs="宋体"/>
                <w:b w:val="0"/>
              </w:rPr>
              <w:t>474,606,502.21</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r>
        <w:rPr>
          <w:rFonts w:ascii="宋体" w:hAnsi="宋体" w:eastAsia="宋体" w:cs="宋体"/>
          <w:b w:val="0"/>
        </w:rPr>
        <w:t xml:space="preserve">    截至本报告期末，本基金管理人未持有本基金份额。</w:t>
      </w:r>
    </w:p>
    <w:p/>
    <w:p>
      <w:pPr>
        <w:pStyle w:val="3"/>
        <w:jc w:val="left"/>
      </w:pPr>
      <w:r>
        <w:rPr>
          <w:rFonts w:ascii="宋体" w:hAnsi="宋体" w:eastAsia="宋体" w:cs="宋体"/>
        </w:rPr>
        <w:t>7.2 基金管理人运用固有资金投资本基金交易明细</w:t>
      </w:r>
    </w:p>
    <w:p>
      <w:r>
        <w:rPr>
          <w:rFonts w:ascii="宋体" w:hAnsi="宋体" w:eastAsia="宋体" w:cs="宋体"/>
          <w:b w:val="0"/>
        </w:rPr>
        <w:t xml:space="preserve">    本报告期内，本基金管理人未运用固有资金投资本基金。</w:t>
      </w:r>
    </w:p>
    <w:p>
      <w:pPr>
        <w:pStyle w:val="2"/>
        <w:spacing w:line="240" w:lineRule="auto"/>
        <w:jc w:val="center"/>
      </w:pPr>
      <w:r>
        <w:rPr>
          <w:rFonts w:ascii="宋体" w:hAnsi="宋体" w:eastAsia="宋体" w:cs="宋体"/>
        </w:rPr>
        <w:t>§8 报告期末发起式基金发起资金持有份额情况</w:t>
      </w:r>
    </w:p>
    <w:p>
      <w:pPr>
        <w:spacing w:line="240" w:lineRule="auto"/>
      </w:pPr>
      <w:r>
        <w:rPr>
          <w:rFonts w:ascii="宋体" w:hAnsi="宋体" w:eastAsia="宋体" w:cs="宋体"/>
          <w:b w:val="0"/>
        </w:rPr>
        <w:t xml:space="preserve">    本基金基金合同于2021年07月21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2"/>
        <w:jc w:val="center"/>
      </w:pPr>
      <w:r>
        <w:rPr>
          <w:rFonts w:ascii="宋体" w:hAnsi="宋体" w:eastAsia="宋体" w:cs="宋体"/>
        </w:rPr>
        <w:t>§9 影响投资者决策的其他重要信息</w:t>
      </w:r>
    </w:p>
    <w:p>
      <w:pPr>
        <w:pStyle w:val="3"/>
        <w:jc w:val="left"/>
      </w:pPr>
      <w:r>
        <w:rPr>
          <w:rFonts w:ascii="宋体" w:hAnsi="宋体" w:eastAsia="宋体" w:cs="宋体"/>
        </w:rPr>
        <w:t>9.1 报告期内单一投资者持有基金份额比例达到或超过20%的情况</w:t>
      </w:r>
    </w:p>
    <w:p>
      <w:r>
        <w:rPr>
          <w:rFonts w:ascii="宋体" w:hAnsi="宋体" w:eastAsia="宋体" w:cs="宋体"/>
          <w:b w:val="0"/>
        </w:rPr>
        <w:t xml:space="preserve">    本报告期内，本基金不存在单一投资者持有基金份额比例达到或超过20%的情况。</w:t>
      </w:r>
    </w:p>
    <w:p/>
    <w:p>
      <w:pPr>
        <w:pStyle w:val="3"/>
        <w:jc w:val="left"/>
      </w:pPr>
      <w:r>
        <w:rPr>
          <w:rFonts w:ascii="宋体" w:hAnsi="宋体" w:eastAsia="宋体" w:cs="宋体"/>
        </w:rPr>
        <w:t>9.2 影响投资者决策的其他重要信息</w:t>
      </w:r>
    </w:p>
    <w:p>
      <w:r>
        <w:rPr>
          <w:rFonts w:ascii="宋体" w:hAnsi="宋体" w:eastAsia="宋体" w:cs="宋体"/>
          <w:b w:val="0"/>
        </w:rPr>
        <w:t xml:space="preserve">    无。</w:t>
      </w:r>
    </w:p>
    <w:p>
      <w:pPr>
        <w:pStyle w:val="2"/>
        <w:spacing w:line="240" w:lineRule="auto"/>
        <w:jc w:val="center"/>
      </w:pPr>
      <w:r>
        <w:rPr>
          <w:rFonts w:ascii="宋体" w:hAnsi="宋体" w:eastAsia="宋体" w:cs="宋体"/>
        </w:rPr>
        <w:t>§10 备查文件目录</w:t>
      </w:r>
    </w:p>
    <w:p>
      <w:pPr>
        <w:pStyle w:val="3"/>
        <w:spacing w:line="240" w:lineRule="auto"/>
        <w:jc w:val="left"/>
      </w:pPr>
      <w:r>
        <w:rPr>
          <w:rFonts w:ascii="宋体" w:hAnsi="宋体" w:eastAsia="宋体" w:cs="宋体"/>
        </w:rPr>
        <w:t>10.1 备查文件目录</w:t>
      </w:r>
    </w:p>
    <w:p>
      <w:pPr>
        <w:spacing w:line="240" w:lineRule="auto"/>
      </w:pPr>
      <w:r>
        <w:rPr>
          <w:rFonts w:ascii="宋体" w:hAnsi="宋体" w:eastAsia="宋体" w:cs="宋体"/>
          <w:b w:val="0"/>
        </w:rPr>
        <w:t xml:space="preserve">    1、中国证券监督管理委员会批准的东方阿尔法产业先锋混合型发起式证券投资基金设立的文件；</w:t>
      </w:r>
      <w:r>
        <w:rPr>
          <w:rFonts w:ascii="宋体" w:hAnsi="宋体" w:eastAsia="宋体" w:cs="宋体"/>
          <w:b w:val="0"/>
        </w:rPr>
        <w:cr/>
      </w:r>
      <w:r>
        <w:rPr>
          <w:rFonts w:ascii="宋体" w:hAnsi="宋体" w:eastAsia="宋体" w:cs="宋体"/>
          <w:b w:val="0"/>
        </w:rPr>
        <w:t xml:space="preserve">    2、《东方阿尔法产业先锋混合型发起式证券投资基金基金合同》；</w:t>
      </w:r>
      <w:r>
        <w:rPr>
          <w:rFonts w:ascii="宋体" w:hAnsi="宋体" w:eastAsia="宋体" w:cs="宋体"/>
          <w:b w:val="0"/>
        </w:rPr>
        <w:cr/>
      </w:r>
      <w:r>
        <w:rPr>
          <w:rFonts w:ascii="宋体" w:hAnsi="宋体" w:eastAsia="宋体" w:cs="宋体"/>
          <w:b w:val="0"/>
        </w:rPr>
        <w:t xml:space="preserve">    3、《东方阿尔法产业先锋混合型发起式证券投资基金托管协议》；</w:t>
      </w:r>
      <w:r>
        <w:rPr>
          <w:rFonts w:ascii="宋体" w:hAnsi="宋体" w:eastAsia="宋体" w:cs="宋体"/>
          <w:b w:val="0"/>
        </w:rPr>
        <w:cr/>
      </w:r>
      <w:r>
        <w:rPr>
          <w:rFonts w:ascii="宋体" w:hAnsi="宋体" w:eastAsia="宋体" w:cs="宋体"/>
          <w:b w:val="0"/>
        </w:rPr>
        <w:t xml:space="preserve">    4、《东方阿尔法产业先锋混合型发起式证券投资基金招募说明书》（含更新）；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10.2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10.3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二〇二六年一月二十二日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东方阿尔法产业先锋混合型发起式证券投资基金2025年第4季度报告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2A710C29"/>
    <w:rsid w:val="312016A7"/>
    <w:rsid w:val="328572ED"/>
    <w:rsid w:val="3E9A1429"/>
    <w:rsid w:val="5EE34946"/>
    <w:rsid w:val="62671060"/>
    <w:rsid w:val="67517C74"/>
    <w:rsid w:val="791E22E2"/>
    <w:rsid w:val="7A382AC9"/>
    <w:rsid w:val="7EFB3D3B"/>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52</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2026-04-20T00:31:51Z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