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东方阿尔法科技优选混合型发起式证券投资基金</w:t>
      </w: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2025年第4季度报告</w:t>
      </w:r>
    </w:p>
    <w:p>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2025年12月31日</w:t>
      </w: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中信银行股份有限公司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2026年01月22日</w:t>
      </w:r>
    </w:p>
    <w:p>
      <w:pPr>
        <w:jc w:val="center"/>
      </w:pPr>
      <w:r>
        <w:br w:type="page"/>
      </w:r>
    </w:p>
    <w:p>
      <w:pPr>
        <w:pStyle w:val="2"/>
        <w:spacing w:line="576" w:lineRule="auto"/>
        <w:jc w:val="center"/>
        <w:rPr>
          <w:rFonts w:ascii="宋体" w:hAnsi="宋体" w:eastAsia="宋体"/>
          <w:sz w:val="24"/>
          <w:szCs w:val="24"/>
        </w:rPr>
      </w:pPr>
      <w:bookmarkStart w:id="0" w:name="_Toc73379713"/>
      <w:r>
        <w:rPr>
          <w:rFonts w:hint="eastAsia" w:ascii="宋体" w:hAnsi="宋体" w:eastAsia="宋体"/>
          <w:bCs w:val="0"/>
          <w:sz w:val="24"/>
          <w:szCs w:val="24"/>
        </w:rPr>
        <w:t>§1 重要提示</w:t>
      </w:r>
      <w:bookmarkEnd w:id="0"/>
    </w:p>
    <w:p>
      <w:pPr>
        <w:widowControl/>
        <w:rPr>
          <w:rFonts w:ascii="宋体" w:hAnsi="宋体" w:eastAsia="宋体"/>
        </w:rPr>
      </w:pPr>
      <w:r>
        <w:t xml:space="preserve">    基金管理人的董事会及董事保证本报告所载资料不存在虚假记载、误导性陈述或重大遗漏，并对其内容的真实性、准确性和完整性承担个别及连带责任。</w:t>
      </w:r>
      <w:r>
        <w:cr/>
      </w:r>
      <w:r>
        <w:t xml:space="preserve">    基金托管人中信银行股份有限公司根据本基金合同规定，于2026年01月21日复核了本报告中的财务指标、净值表现和投资组合报告等内容，保证复核内容不存在虚假记载、误导性陈述或者重大遗漏。</w:t>
      </w:r>
      <w:r>
        <w:cr/>
      </w:r>
      <w:r>
        <w:t xml:space="preserve">    基金管理人承诺以诚实信用、勤勉尽责的原则管理和运用基金资产，但不保证基金一定盈利。</w:t>
      </w:r>
      <w:r>
        <w:cr/>
      </w:r>
      <w:r>
        <w:t xml:space="preserve">    基金的过往业绩并不代表其未来表现。投资有风险，投资者在做出投资决策前应仔细阅读本基金的招募说明书。</w:t>
      </w:r>
      <w:r>
        <w:cr/>
      </w:r>
      <w:r>
        <w:t xml:space="preserve">    本报告中财务资料未经审计。</w:t>
      </w:r>
      <w:r>
        <w:cr/>
      </w:r>
      <w:r>
        <w:t xml:space="preserve">    本报告期自2025年10月01日起至2025年12月31日止。</w:t>
      </w:r>
    </w:p>
    <w:p/>
    <w:p>
      <w:pPr>
        <w:pStyle w:val="2"/>
        <w:jc w:val="center"/>
      </w:pPr>
      <w:r>
        <w:rPr>
          <w:rFonts w:ascii="宋体" w:hAnsi="宋体" w:eastAsia="宋体" w:cs="宋体"/>
        </w:rPr>
        <w:t>§2 基金产品概况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基金简称</w:t>
            </w:r>
          </w:p>
        </w:tc>
        <w:tc>
          <w:tcPr>
            <w:tcW w:w="3077" w:type="pct"/>
            <w:gridSpan w:val="2"/>
            <w:vAlign w:val="center"/>
          </w:tcPr>
          <w:p>
            <w:pPr>
              <w:spacing w:line="240" w:lineRule="auto"/>
              <w:jc w:val="left"/>
            </w:pPr>
            <w:r>
              <w:rPr>
                <w:rFonts w:ascii="宋体" w:hAnsi="宋体" w:eastAsia="宋体" w:cs="宋体"/>
                <w:b w:val="0"/>
              </w:rPr>
              <w:t>东方阿尔法科技优选混合发起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基金主代码</w:t>
            </w:r>
          </w:p>
        </w:tc>
        <w:tc>
          <w:tcPr>
            <w:tcW w:w="0" w:type="dxa"/>
            <w:gridSpan w:val="2"/>
            <w:vAlign w:val="center"/>
          </w:tcPr>
          <w:p>
            <w:pPr>
              <w:spacing w:line="240" w:lineRule="auto"/>
              <w:jc w:val="left"/>
            </w:pPr>
            <w:r>
              <w:rPr>
                <w:rFonts w:ascii="宋体" w:hAnsi="宋体" w:eastAsia="宋体" w:cs="宋体"/>
                <w:b w:val="0"/>
              </w:rPr>
              <w:t>024423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基金运作方式</w:t>
            </w:r>
          </w:p>
        </w:tc>
        <w:tc>
          <w:tcPr>
            <w:tcW w:w="0" w:type="dxa"/>
            <w:gridSpan w:val="2"/>
            <w:vAlign w:val="center"/>
          </w:tcPr>
          <w:p>
            <w:pPr>
              <w:spacing w:line="240" w:lineRule="auto"/>
              <w:jc w:val="left"/>
            </w:pPr>
            <w:r>
              <w:rPr>
                <w:rFonts w:ascii="宋体" w:hAnsi="宋体" w:eastAsia="宋体" w:cs="宋体"/>
                <w:b w:val="0"/>
              </w:rPr>
              <w:t>契约型开放式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基金合同生效日</w:t>
            </w:r>
          </w:p>
        </w:tc>
        <w:tc>
          <w:tcPr>
            <w:tcW w:w="0" w:type="dxa"/>
            <w:gridSpan w:val="2"/>
            <w:vAlign w:val="center"/>
          </w:tcPr>
          <w:p>
            <w:pPr>
              <w:spacing w:line="240" w:lineRule="auto"/>
              <w:jc w:val="left"/>
            </w:pPr>
            <w:r>
              <w:rPr>
                <w:rFonts w:ascii="宋体" w:hAnsi="宋体" w:eastAsia="宋体" w:cs="宋体"/>
                <w:b w:val="0"/>
              </w:rPr>
              <w:t>2025年06月06日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报告期末基金份额总额</w:t>
            </w:r>
          </w:p>
        </w:tc>
        <w:tc>
          <w:tcPr>
            <w:tcW w:w="0" w:type="dxa"/>
            <w:gridSpan w:val="2"/>
            <w:vAlign w:val="center"/>
          </w:tcPr>
          <w:p>
            <w:pPr>
              <w:spacing w:line="240" w:lineRule="auto"/>
              <w:jc w:val="left"/>
            </w:pPr>
            <w:r>
              <w:rPr>
                <w:rFonts w:ascii="宋体" w:hAnsi="宋体" w:eastAsia="宋体" w:cs="宋体"/>
                <w:b w:val="0"/>
              </w:rPr>
              <w:t>57,518,550.99份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投资目标</w:t>
            </w:r>
          </w:p>
        </w:tc>
        <w:tc>
          <w:tcPr>
            <w:tcW w:w="2592" w:type="pct"/>
            <w:gridSpan w:val="2"/>
            <w:vAlign w:val="center"/>
          </w:tcPr>
          <w:p>
            <w:pPr>
              <w:spacing w:line="240" w:lineRule="auto"/>
              <w:jc w:val="left"/>
            </w:pPr>
            <w:r>
              <w:rPr>
                <w:rFonts w:ascii="宋体" w:hAnsi="宋体" w:eastAsia="宋体" w:cs="宋体"/>
                <w:b w:val="0"/>
              </w:rPr>
              <w:t>本基金在严格控制风险并保持良好流动性的前提下，重点投资于科技主题相关证券，力争获取超越业绩比较基准的投资回报，谋求基金资产的长期增值。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投资策略</w:t>
            </w:r>
          </w:p>
        </w:tc>
        <w:tc>
          <w:tcPr>
            <w:tcW w:w="0" w:type="dxa"/>
            <w:gridSpan w:val="2"/>
            <w:vAlign w:val="center"/>
          </w:tcPr>
          <w:p>
            <w:pPr>
              <w:spacing w:line="240" w:lineRule="auto"/>
              <w:jc w:val="left"/>
            </w:pPr>
            <w:r>
              <w:rPr>
                <w:rFonts w:ascii="宋体" w:hAnsi="宋体" w:eastAsia="宋体" w:cs="宋体"/>
                <w:b w:val="0"/>
              </w:rPr>
              <w:t>本基金的投资策略主要有以下11个方面内容：</w:t>
            </w:r>
            <w:r>
              <w:rPr>
                <w:rFonts w:ascii="宋体" w:hAnsi="宋体" w:eastAsia="宋体" w:cs="宋体"/>
                <w:b w:val="0"/>
              </w:rPr>
              <w:br w:type="textWrapping"/>
            </w:r>
            <w:r>
              <w:rPr>
                <w:rFonts w:ascii="宋体" w:hAnsi="宋体" w:eastAsia="宋体" w:cs="宋体"/>
                <w:b w:val="0"/>
              </w:rPr>
              <w:t>1、资产配置策略</w:t>
            </w:r>
            <w:r>
              <w:rPr>
                <w:rFonts w:ascii="宋体" w:hAnsi="宋体" w:eastAsia="宋体" w:cs="宋体"/>
                <w:b w:val="0"/>
              </w:rPr>
              <w:br w:type="textWrapping"/>
            </w:r>
            <w:r>
              <w:rPr>
                <w:rFonts w:ascii="宋体" w:hAnsi="宋体" w:eastAsia="宋体" w:cs="宋体"/>
                <w:b w:val="0"/>
              </w:rPr>
              <w:t>本基金结合定性与定量分析经济和市场趋势，评估风险和收益，确定股票、债券、现金等资产的配置比例和调整原则，追求稳定增值，同时持续监控风险并适时调整。</w:t>
            </w:r>
            <w:r>
              <w:rPr>
                <w:rFonts w:ascii="宋体" w:hAnsi="宋体" w:eastAsia="宋体" w:cs="宋体"/>
                <w:b w:val="0"/>
              </w:rPr>
              <w:br w:type="textWrapping"/>
            </w:r>
            <w:r>
              <w:rPr>
                <w:rFonts w:ascii="宋体" w:hAnsi="宋体" w:eastAsia="宋体" w:cs="宋体"/>
                <w:b w:val="0"/>
              </w:rPr>
              <w:t>2、股票投资策略</w:t>
            </w:r>
            <w:r>
              <w:rPr>
                <w:rFonts w:ascii="宋体" w:hAnsi="宋体" w:eastAsia="宋体" w:cs="宋体"/>
                <w:b w:val="0"/>
              </w:rPr>
              <w:br w:type="textWrapping"/>
            </w:r>
            <w:r>
              <w:rPr>
                <w:rFonts w:ascii="宋体" w:hAnsi="宋体" w:eastAsia="宋体" w:cs="宋体"/>
                <w:b w:val="0"/>
              </w:rPr>
              <w:t>本基金通过定性与定量结合的积极策略，自下而上精选科技主题股票，构建多元资产组合以实现长期稳健增值。</w:t>
            </w:r>
            <w:r>
              <w:rPr>
                <w:rFonts w:ascii="宋体" w:hAnsi="宋体" w:eastAsia="宋体" w:cs="宋体"/>
                <w:b w:val="0"/>
              </w:rPr>
              <w:br w:type="textWrapping"/>
            </w:r>
            <w:r>
              <w:rPr>
                <w:rFonts w:ascii="宋体" w:hAnsi="宋体" w:eastAsia="宋体" w:cs="宋体"/>
                <w:b w:val="0"/>
              </w:rPr>
              <w:t>3、港股投资策略</w:t>
            </w:r>
            <w:r>
              <w:rPr>
                <w:rFonts w:ascii="宋体" w:hAnsi="宋体" w:eastAsia="宋体" w:cs="宋体"/>
                <w:b w:val="0"/>
              </w:rPr>
              <w:br w:type="textWrapping"/>
            </w:r>
            <w:r>
              <w:rPr>
                <w:rFonts w:ascii="宋体" w:hAnsi="宋体" w:eastAsia="宋体" w:cs="宋体"/>
                <w:b w:val="0"/>
              </w:rPr>
              <w:t>本基金将通过内地与香港股票市场交易互联互通机制投资于香港股票市场，不使用合格境内机构投资者(QDII)境外投资额度进行境外投资。</w:t>
            </w:r>
            <w:r>
              <w:rPr>
                <w:rFonts w:ascii="宋体" w:hAnsi="宋体" w:eastAsia="宋体" w:cs="宋体"/>
                <w:b w:val="0"/>
              </w:rPr>
              <w:br w:type="textWrapping"/>
            </w:r>
            <w:r>
              <w:rPr>
                <w:rFonts w:ascii="宋体" w:hAnsi="宋体" w:eastAsia="宋体" w:cs="宋体"/>
                <w:b w:val="0"/>
              </w:rPr>
              <w:t>4、存托凭证投资策略</w:t>
            </w:r>
            <w:r>
              <w:rPr>
                <w:rFonts w:ascii="宋体" w:hAnsi="宋体" w:eastAsia="宋体" w:cs="宋体"/>
                <w:b w:val="0"/>
              </w:rPr>
              <w:br w:type="textWrapping"/>
            </w:r>
            <w:r>
              <w:rPr>
                <w:rFonts w:ascii="宋体" w:hAnsi="宋体" w:eastAsia="宋体" w:cs="宋体"/>
                <w:b w:val="0"/>
              </w:rPr>
              <w:t>本基金在深入研究的基础上，通过定性分析和定量分析相结合的方式，选择投资价值高的存托凭证进行投资。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5、债券类资产投资策略</w:t>
            </w:r>
            <w:r>
              <w:rPr>
                <w:rFonts w:ascii="宋体" w:hAnsi="宋体" w:eastAsia="宋体" w:cs="宋体"/>
                <w:b w:val="0"/>
              </w:rPr>
              <w:br w:type="textWrapping"/>
            </w:r>
            <w:r>
              <w:rPr>
                <w:rFonts w:ascii="宋体" w:hAnsi="宋体" w:eastAsia="宋体" w:cs="宋体"/>
                <w:b w:val="0"/>
              </w:rPr>
              <w:t>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6、可转债（含分离交易可转债）及可交换债券投资策略</w:t>
            </w:r>
            <w:r>
              <w:rPr>
                <w:rFonts w:ascii="宋体" w:hAnsi="宋体" w:eastAsia="宋体" w:cs="宋体"/>
                <w:b w:val="0"/>
              </w:rPr>
              <w:br w:type="textWrapping"/>
            </w:r>
            <w:r>
              <w:rPr>
                <w:rFonts w:ascii="宋体" w:hAnsi="宋体" w:eastAsia="宋体" w:cs="宋体"/>
                <w:b w:val="0"/>
              </w:rPr>
              <w:t>对于可转换债券的投资，本基金在评估其偿债能力的同时兼顾公司的成长性，以期通过转换条款分享因股价上升带来的高收益。</w:t>
            </w:r>
            <w:r>
              <w:rPr>
                <w:rFonts w:ascii="宋体" w:hAnsi="宋体" w:eastAsia="宋体" w:cs="宋体"/>
                <w:b w:val="0"/>
              </w:rPr>
              <w:br w:type="textWrapping"/>
            </w:r>
            <w:r>
              <w:rPr>
                <w:rFonts w:ascii="宋体" w:hAnsi="宋体" w:eastAsia="宋体" w:cs="宋体"/>
                <w:b w:val="0"/>
              </w:rPr>
              <w:t>7、股指期货投资策略</w:t>
            </w:r>
            <w:r>
              <w:rPr>
                <w:rFonts w:ascii="宋体" w:hAnsi="宋体" w:eastAsia="宋体" w:cs="宋体"/>
                <w:b w:val="0"/>
              </w:rPr>
              <w:br w:type="textWrapping"/>
            </w:r>
            <w:r>
              <w:rPr>
                <w:rFonts w:ascii="宋体" w:hAnsi="宋体" w:eastAsia="宋体" w:cs="宋体"/>
                <w:b w:val="0"/>
              </w:rPr>
              <w:t>本基金将按照风险管理的原则，以套期保值为主要目的，参与股指期货的投资。此外，本基金还将运用股指期货来管理特殊情况下的流动性风险，如预期大额申购赎回、大量分红等。</w:t>
            </w:r>
            <w:r>
              <w:rPr>
                <w:rFonts w:ascii="宋体" w:hAnsi="宋体" w:eastAsia="宋体" w:cs="宋体"/>
                <w:b w:val="0"/>
              </w:rPr>
              <w:br w:type="textWrapping"/>
            </w:r>
            <w:r>
              <w:rPr>
                <w:rFonts w:ascii="宋体" w:hAnsi="宋体" w:eastAsia="宋体" w:cs="宋体"/>
                <w:b w:val="0"/>
              </w:rPr>
              <w:t>8、融资业务投资策略</w:t>
            </w:r>
            <w:r>
              <w:rPr>
                <w:rFonts w:ascii="宋体" w:hAnsi="宋体" w:eastAsia="宋体" w:cs="宋体"/>
                <w:b w:val="0"/>
              </w:rPr>
              <w:br w:type="textWrapping"/>
            </w:r>
            <w:r>
              <w:rPr>
                <w:rFonts w:ascii="宋体" w:hAnsi="宋体" w:eastAsia="宋体" w:cs="宋体"/>
                <w:b w:val="0"/>
              </w:rPr>
              <w:t>本基金参与融资业务，将综合考虑融资成本、保证金比例、冲抵保证金证券折算率、信用资质等条件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9、国债期货投资策略</w:t>
            </w:r>
            <w:r>
              <w:rPr>
                <w:rFonts w:ascii="宋体" w:hAnsi="宋体" w:eastAsia="宋体" w:cs="宋体"/>
                <w:b w:val="0"/>
              </w:rPr>
              <w:br w:type="textWrapping"/>
            </w:r>
            <w:r>
              <w:rPr>
                <w:rFonts w:ascii="宋体" w:hAnsi="宋体" w:eastAsia="宋体" w:cs="宋体"/>
                <w:b w:val="0"/>
              </w:rPr>
              <w:t>本基金以套期保值为主要目的，参与国债期货的投资，管理市场风险，故国债期货空头的合约价值主要与债券组合的多头价值相对应。</w:t>
            </w:r>
            <w:r>
              <w:rPr>
                <w:rFonts w:ascii="宋体" w:hAnsi="宋体" w:eastAsia="宋体" w:cs="宋体"/>
                <w:b w:val="0"/>
              </w:rPr>
              <w:br w:type="textWrapping"/>
            </w:r>
            <w:r>
              <w:rPr>
                <w:rFonts w:ascii="宋体" w:hAnsi="宋体" w:eastAsia="宋体" w:cs="宋体"/>
                <w:b w:val="0"/>
              </w:rPr>
              <w:t>10、股票期权投资策略</w:t>
            </w:r>
            <w:r>
              <w:rPr>
                <w:rFonts w:ascii="宋体" w:hAnsi="宋体" w:eastAsia="宋体" w:cs="宋体"/>
                <w:b w:val="0"/>
              </w:rPr>
              <w:br w:type="textWrapping"/>
            </w:r>
            <w:r>
              <w:rPr>
                <w:rFonts w:ascii="宋体" w:hAnsi="宋体" w:eastAsia="宋体" w:cs="宋体"/>
                <w:b w:val="0"/>
              </w:rPr>
              <w:t>本基金以套期保值为主要目的参与股票期权交易，结合投资目标、比例限制、风险收益特征以及法律法规的相关限定和要求，确定参与股票期权交易的投资时机和投资比例。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11、资产支持证券投资策略</w:t>
            </w:r>
            <w:r>
              <w:rPr>
                <w:rFonts w:ascii="宋体" w:hAnsi="宋体" w:eastAsia="宋体" w:cs="宋体"/>
                <w:b w:val="0"/>
              </w:rPr>
              <w:br w:type="textWrapping"/>
            </w:r>
            <w:r>
              <w:rPr>
                <w:rFonts w:ascii="宋体" w:hAnsi="宋体" w:eastAsia="宋体" w:cs="宋体"/>
                <w:b w:val="0"/>
              </w:rPr>
              <w:t>本基金将综合运用久期管理、收益率曲线、个券选择以及把握市场交易机会等积极策略，在严格控制风险的情况下，结合信用研究和流动性管理，选择风险调整后收益高的品种进行投资，以期获得长期稳定收益。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业绩比较基准</w:t>
            </w:r>
          </w:p>
        </w:tc>
        <w:tc>
          <w:tcPr>
            <w:tcW w:w="0" w:type="dxa"/>
            <w:gridSpan w:val="2"/>
            <w:vAlign w:val="center"/>
          </w:tcPr>
          <w:p>
            <w:pPr>
              <w:spacing w:line="240" w:lineRule="auto"/>
              <w:jc w:val="left"/>
            </w:pPr>
            <w:r>
              <w:rPr>
                <w:rFonts w:ascii="宋体" w:hAnsi="宋体" w:eastAsia="宋体" w:cs="宋体"/>
                <w:b w:val="0"/>
              </w:rPr>
              <w:t>中国战略新兴产业成份指数收益率*70%+中债-综合指数(全价)收益率*20%+恒生科技指数收益率(按估值汇率折算)*10%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风险收益特征</w:t>
            </w:r>
          </w:p>
        </w:tc>
        <w:tc>
          <w:tcPr>
            <w:tcW w:w="2592" w:type="pct"/>
            <w:gridSpan w:val="2"/>
            <w:vAlign w:val="center"/>
          </w:tcPr>
          <w:p>
            <w:pPr>
              <w:spacing w:line="240" w:lineRule="auto"/>
              <w:jc w:val="left"/>
            </w:pPr>
            <w:r>
              <w:rPr>
                <w:rFonts w:ascii="宋体" w:hAnsi="宋体" w:eastAsia="宋体" w:cs="宋体"/>
                <w:b w:val="0"/>
              </w:rPr>
              <w:t>本基金为混合型基金，其预期收益和风险高于货币型基金、债券型基金。本基金如果投资港股通标的股票，需承担汇率风险以及境外市场的风险。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基金管理人</w:t>
            </w:r>
          </w:p>
        </w:tc>
        <w:tc>
          <w:tcPr>
            <w:tcW w:w="0" w:type="dxa"/>
            <w:gridSpan w:val="2"/>
            <w:vAlign w:val="center"/>
          </w:tcPr>
          <w:p>
            <w:pPr>
              <w:spacing w:line="240" w:lineRule="auto"/>
              <w:jc w:val="left"/>
            </w:pPr>
            <w:r>
              <w:rPr>
                <w:rFonts w:ascii="宋体" w:hAnsi="宋体" w:eastAsia="宋体" w:cs="宋体"/>
                <w:b w:val="0"/>
              </w:rPr>
              <w:t>东方阿尔法基金管理有限公司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基金托管人</w:t>
            </w:r>
          </w:p>
        </w:tc>
        <w:tc>
          <w:tcPr>
            <w:tcW w:w="0" w:type="dxa"/>
            <w:gridSpan w:val="2"/>
            <w:vAlign w:val="center"/>
          </w:tcPr>
          <w:p>
            <w:pPr>
              <w:spacing w:line="240" w:lineRule="auto"/>
              <w:jc w:val="left"/>
            </w:pPr>
            <w:r>
              <w:rPr>
                <w:rFonts w:ascii="宋体" w:hAnsi="宋体" w:eastAsia="宋体" w:cs="宋体"/>
                <w:b w:val="0"/>
              </w:rPr>
              <w:t>中信银行股份有限公司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下属分级基金的基金简称</w:t>
            </w:r>
          </w:p>
        </w:tc>
        <w:tc>
          <w:tcPr>
            <w:tcW w:w="1500" w:type="pct"/>
            <w:vAlign w:val="center"/>
          </w:tcPr>
          <w:p>
            <w:pPr>
              <w:spacing w:line="240" w:lineRule="auto"/>
              <w:jc w:val="left"/>
            </w:pPr>
            <w:r>
              <w:rPr>
                <w:rFonts w:ascii="宋体" w:hAnsi="宋体" w:eastAsia="宋体" w:cs="宋体"/>
                <w:b w:val="0"/>
              </w:rPr>
              <w:t>东方阿尔法科技优选混合发起A</w:t>
            </w:r>
          </w:p>
        </w:tc>
        <w:tc>
          <w:tcPr>
            <w:tcW w:w="1500" w:type="pct"/>
            <w:vAlign w:val="center"/>
          </w:tcPr>
          <w:p>
            <w:pPr>
              <w:spacing w:line="240" w:lineRule="auto"/>
              <w:jc w:val="left"/>
            </w:pPr>
            <w:r>
              <w:rPr>
                <w:rFonts w:ascii="宋体" w:hAnsi="宋体" w:eastAsia="宋体" w:cs="宋体"/>
                <w:b w:val="0"/>
              </w:rPr>
              <w:t>东方阿尔法科技优选混合发起C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下属分级基金的交易代码</w:t>
            </w:r>
          </w:p>
        </w:tc>
        <w:tc>
          <w:tcPr>
            <w:tcW w:w="1500" w:type="pct"/>
            <w:vAlign w:val="center"/>
          </w:tcPr>
          <w:p>
            <w:pPr>
              <w:spacing w:line="240" w:lineRule="auto"/>
              <w:jc w:val="left"/>
            </w:pPr>
            <w:r>
              <w:rPr>
                <w:rFonts w:ascii="宋体" w:hAnsi="宋体" w:eastAsia="宋体" w:cs="宋体"/>
                <w:b w:val="0"/>
              </w:rPr>
              <w:t>024423</w:t>
            </w:r>
          </w:p>
        </w:tc>
        <w:tc>
          <w:tcPr>
            <w:tcW w:w="1500" w:type="pct"/>
            <w:vAlign w:val="center"/>
          </w:tcPr>
          <w:p>
            <w:pPr>
              <w:spacing w:line="240" w:lineRule="auto"/>
              <w:jc w:val="left"/>
            </w:pPr>
            <w:r>
              <w:rPr>
                <w:rFonts w:ascii="宋体" w:hAnsi="宋体" w:eastAsia="宋体" w:cs="宋体"/>
                <w:b w:val="0"/>
              </w:rPr>
              <w:t>024424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报告期末下属分级基金的份额总额</w:t>
            </w:r>
          </w:p>
        </w:tc>
        <w:tc>
          <w:tcPr>
            <w:tcW w:w="1500" w:type="pct"/>
            <w:vAlign w:val="center"/>
          </w:tcPr>
          <w:p>
            <w:pPr>
              <w:spacing w:line="240" w:lineRule="auto"/>
              <w:jc w:val="left"/>
            </w:pPr>
            <w:r>
              <w:rPr>
                <w:rFonts w:ascii="宋体" w:hAnsi="宋体" w:eastAsia="宋体" w:cs="宋体"/>
                <w:b w:val="0"/>
              </w:rPr>
              <w:t>14,330,083.19份</w:t>
            </w:r>
          </w:p>
        </w:tc>
        <w:tc>
          <w:tcPr>
            <w:tcW w:w="1500" w:type="pct"/>
            <w:vAlign w:val="center"/>
          </w:tcPr>
          <w:p>
            <w:pPr>
              <w:spacing w:line="240" w:lineRule="auto"/>
              <w:jc w:val="left"/>
            </w:pPr>
            <w:r>
              <w:rPr>
                <w:rFonts w:ascii="宋体" w:hAnsi="宋体" w:eastAsia="宋体" w:cs="宋体"/>
                <w:b w:val="0"/>
              </w:rPr>
              <w:t>43,188,467.80份</w:t>
            </w:r>
          </w:p>
        </w:tc>
      </w:tr>
    </w:tbl>
    <w:p>
      <w:pPr>
        <w:pStyle w:val="2"/>
        <w:jc w:val="center"/>
      </w:pPr>
      <w:r>
        <w:rPr>
          <w:rFonts w:ascii="宋体" w:hAnsi="宋体" w:eastAsia="宋体" w:cs="宋体"/>
        </w:rPr>
        <w:t>§3 主要财务指标和基金净值表现</w:t>
      </w:r>
    </w:p>
    <w:p>
      <w:pPr>
        <w:pStyle w:val="3"/>
        <w:jc w:val="left"/>
      </w:pPr>
      <w:r>
        <w:rPr>
          <w:rFonts w:ascii="宋体" w:hAnsi="宋体" w:eastAsia="宋体" w:cs="宋体"/>
        </w:rPr>
        <w:t>3.1 主要财务指标</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pPr>
              <w:spacing w:line="240" w:lineRule="auto"/>
              <w:jc w:val="center"/>
            </w:pPr>
            <w:r>
              <w:rPr>
                <w:rFonts w:ascii="宋体" w:hAnsi="宋体" w:eastAsia="宋体" w:cs="宋体"/>
                <w:b/>
              </w:rPr>
              <w:t>主要财务指标</w:t>
            </w:r>
          </w:p>
        </w:tc>
        <w:tc>
          <w:tcPr>
            <w:tcW w:w="3077" w:type="pct"/>
            <w:gridSpan w:val="2"/>
            <w:shd w:val="clear" w:color="auto" w:fill="D9D9D9"/>
            <w:vAlign w:val="center"/>
          </w:tcPr>
          <w:p>
            <w:pPr>
              <w:spacing w:line="240" w:lineRule="auto"/>
              <w:jc w:val="center"/>
            </w:pPr>
            <w:r>
              <w:rPr>
                <w:rFonts w:ascii="宋体" w:hAnsi="宋体" w:eastAsia="宋体" w:cs="宋体"/>
                <w:b w:val="0"/>
              </w:rPr>
              <w:t>报告期（2025年10月01日-2025年12月31日）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00" w:type="pct"/>
            <w:shd w:val="clear" w:color="auto" w:fill="D9D9D9"/>
            <w:vAlign w:val="center"/>
          </w:tcPr>
          <w:p>
            <w:pPr>
              <w:spacing w:line="240" w:lineRule="auto"/>
              <w:jc w:val="center"/>
            </w:pPr>
            <w:r>
              <w:rPr>
                <w:rFonts w:ascii="宋体" w:hAnsi="宋体" w:eastAsia="宋体" w:cs="宋体"/>
                <w:b w:val="0"/>
              </w:rPr>
              <w:t>东方阿尔法科技优选混合发起A</w:t>
            </w:r>
          </w:p>
        </w:tc>
        <w:tc>
          <w:tcPr>
            <w:tcW w:w="1500" w:type="pct"/>
            <w:shd w:val="clear" w:color="auto" w:fill="D9D9D9"/>
            <w:vAlign w:val="center"/>
          </w:tcPr>
          <w:p>
            <w:pPr>
              <w:spacing w:line="240" w:lineRule="auto"/>
              <w:jc w:val="center"/>
            </w:pPr>
            <w:r>
              <w:rPr>
                <w:rFonts w:ascii="宋体" w:hAnsi="宋体" w:eastAsia="宋体" w:cs="宋体"/>
                <w:b w:val="0"/>
              </w:rPr>
              <w:t>东方阿尔法科技优选混合发起C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1.本期已实现收益</w:t>
            </w:r>
          </w:p>
        </w:tc>
        <w:tc>
          <w:tcPr>
            <w:tcW w:w="1500" w:type="pct"/>
            <w:vAlign w:val="center"/>
          </w:tcPr>
          <w:p>
            <w:pPr>
              <w:spacing w:line="240" w:lineRule="auto"/>
              <w:jc w:val="right"/>
            </w:pPr>
            <w:r>
              <w:rPr>
                <w:rFonts w:ascii="宋体" w:hAnsi="宋体" w:eastAsia="宋体" w:cs="宋体"/>
                <w:b w:val="0"/>
              </w:rPr>
              <w:t>-588,979.91</w:t>
            </w:r>
          </w:p>
        </w:tc>
        <w:tc>
          <w:tcPr>
            <w:tcW w:w="1500" w:type="pct"/>
            <w:vAlign w:val="center"/>
          </w:tcPr>
          <w:p>
            <w:pPr>
              <w:spacing w:line="240" w:lineRule="auto"/>
              <w:jc w:val="right"/>
            </w:pPr>
            <w:r>
              <w:rPr>
                <w:rFonts w:ascii="宋体" w:hAnsi="宋体" w:eastAsia="宋体" w:cs="宋体"/>
                <w:b w:val="0"/>
              </w:rPr>
              <w:t>-596,802.38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2.本期利润</w:t>
            </w:r>
          </w:p>
        </w:tc>
        <w:tc>
          <w:tcPr>
            <w:tcW w:w="1500" w:type="pct"/>
            <w:vAlign w:val="center"/>
          </w:tcPr>
          <w:p>
            <w:pPr>
              <w:spacing w:line="240" w:lineRule="auto"/>
              <w:jc w:val="right"/>
            </w:pPr>
            <w:r>
              <w:rPr>
                <w:rFonts w:ascii="宋体" w:hAnsi="宋体" w:eastAsia="宋体" w:cs="宋体"/>
                <w:b w:val="0"/>
              </w:rPr>
              <w:t>-183,270.26</w:t>
            </w:r>
          </w:p>
        </w:tc>
        <w:tc>
          <w:tcPr>
            <w:tcW w:w="1500" w:type="pct"/>
            <w:vAlign w:val="center"/>
          </w:tcPr>
          <w:p>
            <w:pPr>
              <w:spacing w:line="240" w:lineRule="auto"/>
              <w:jc w:val="right"/>
            </w:pPr>
            <w:r>
              <w:rPr>
                <w:rFonts w:ascii="宋体" w:hAnsi="宋体" w:eastAsia="宋体" w:cs="宋体"/>
                <w:b w:val="0"/>
              </w:rPr>
              <w:t>-210,522.85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3.加权平均基金份额本期利润</w:t>
            </w:r>
          </w:p>
        </w:tc>
        <w:tc>
          <w:tcPr>
            <w:tcW w:w="1500" w:type="pct"/>
            <w:vAlign w:val="center"/>
          </w:tcPr>
          <w:p>
            <w:pPr>
              <w:spacing w:line="240" w:lineRule="auto"/>
              <w:jc w:val="right"/>
            </w:pPr>
            <w:r>
              <w:rPr>
                <w:rFonts w:ascii="宋体" w:hAnsi="宋体" w:eastAsia="宋体" w:cs="宋体"/>
                <w:b w:val="0"/>
              </w:rPr>
              <w:t>-0.0140</w:t>
            </w:r>
          </w:p>
        </w:tc>
        <w:tc>
          <w:tcPr>
            <w:tcW w:w="1500" w:type="pct"/>
            <w:vAlign w:val="center"/>
          </w:tcPr>
          <w:p>
            <w:pPr>
              <w:spacing w:line="240" w:lineRule="auto"/>
              <w:jc w:val="right"/>
            </w:pPr>
            <w:r>
              <w:rPr>
                <w:rFonts w:ascii="宋体" w:hAnsi="宋体" w:eastAsia="宋体" w:cs="宋体"/>
                <w:b w:val="0"/>
              </w:rPr>
              <w:t>-0.0146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4.期末基金资产净值</w:t>
            </w:r>
          </w:p>
        </w:tc>
        <w:tc>
          <w:tcPr>
            <w:tcW w:w="1500" w:type="pct"/>
            <w:vAlign w:val="center"/>
          </w:tcPr>
          <w:p>
            <w:pPr>
              <w:spacing w:line="240" w:lineRule="auto"/>
              <w:jc w:val="right"/>
            </w:pPr>
            <w:r>
              <w:rPr>
                <w:rFonts w:ascii="宋体" w:hAnsi="宋体" w:eastAsia="宋体" w:cs="宋体"/>
                <w:b w:val="0"/>
              </w:rPr>
              <w:t>14,766,221.94</w:t>
            </w:r>
          </w:p>
        </w:tc>
        <w:tc>
          <w:tcPr>
            <w:tcW w:w="1500" w:type="pct"/>
            <w:vAlign w:val="center"/>
          </w:tcPr>
          <w:p>
            <w:pPr>
              <w:spacing w:line="240" w:lineRule="auto"/>
              <w:jc w:val="right"/>
            </w:pPr>
            <w:r>
              <w:rPr>
                <w:rFonts w:ascii="宋体" w:hAnsi="宋体" w:eastAsia="宋体" w:cs="宋体"/>
                <w:b w:val="0"/>
              </w:rPr>
              <w:t>44,406,548.37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5.期末基金份额净值</w:t>
            </w:r>
          </w:p>
        </w:tc>
        <w:tc>
          <w:tcPr>
            <w:tcW w:w="1500" w:type="pct"/>
            <w:vAlign w:val="center"/>
          </w:tcPr>
          <w:p>
            <w:pPr>
              <w:spacing w:line="240" w:lineRule="auto"/>
              <w:jc w:val="right"/>
            </w:pPr>
            <w:r>
              <w:rPr>
                <w:rFonts w:ascii="宋体" w:hAnsi="宋体" w:eastAsia="宋体" w:cs="宋体"/>
                <w:b w:val="0"/>
              </w:rPr>
              <w:t>1.0304</w:t>
            </w:r>
          </w:p>
        </w:tc>
        <w:tc>
          <w:tcPr>
            <w:tcW w:w="1500" w:type="pct"/>
            <w:vAlign w:val="center"/>
          </w:tcPr>
          <w:p>
            <w:pPr>
              <w:spacing w:line="240" w:lineRule="auto"/>
              <w:jc w:val="right"/>
            </w:pPr>
            <w:r>
              <w:rPr>
                <w:rFonts w:ascii="宋体" w:hAnsi="宋体" w:eastAsia="宋体" w:cs="宋体"/>
                <w:b w:val="0"/>
              </w:rPr>
              <w:t>1.0282</w:t>
            </w:r>
          </w:p>
        </w:tc>
      </w:tr>
    </w:tbl>
    <w:p>
      <w:r>
        <w:rPr>
          <w:rFonts w:ascii="宋体" w:hAnsi="宋体" w:eastAsia="宋体" w:cs="宋体"/>
          <w:b w:val="0"/>
        </w:rPr>
        <w:t>注：1、本期已实现收益指基金本期利息收入、投资收益、其他收入(不含公允价值变动收益)扣除相关费用后的余额，本期利润为本期已实现收益加上本期公允价值变动收益。</w:t>
      </w:r>
      <w:r>
        <w:rPr>
          <w:rFonts w:ascii="宋体" w:hAnsi="宋体" w:eastAsia="宋体" w:cs="宋体"/>
          <w:b w:val="0"/>
        </w:rPr>
        <w:cr/>
      </w:r>
      <w:r>
        <w:rPr>
          <w:rFonts w:ascii="宋体" w:hAnsi="宋体" w:eastAsia="宋体" w:cs="宋体"/>
          <w:b w:val="0"/>
        </w:rPr>
        <w:t>2、所述基金业绩指标不包括持有人认购或交易基金的各项费用，计入费用后实际收益水平要低于所列数字。</w:t>
      </w:r>
    </w:p>
    <w:p/>
    <w:p>
      <w:pPr>
        <w:pStyle w:val="3"/>
        <w:jc w:val="left"/>
      </w:pPr>
      <w:r>
        <w:rPr>
          <w:rFonts w:ascii="宋体" w:hAnsi="宋体" w:eastAsia="宋体" w:cs="宋体"/>
        </w:rPr>
        <w:t>3.2 基金净值表现</w:t>
      </w:r>
    </w:p>
    <w:p>
      <w:pPr>
        <w:pStyle w:val="58"/>
      </w:pPr>
      <w:r>
        <w:rPr>
          <w:rFonts w:ascii="宋体" w:hAnsi="宋体" w:eastAsia="宋体" w:cs="宋体"/>
          <w:b/>
        </w:rPr>
        <w:t>3.2.1 基金份额净值增长率及其与同期业绩比较基准收益率的比较</w:t>
      </w:r>
    </w:p>
    <w:p>
      <w:pPr>
        <w:jc w:val="left"/>
      </w:pPr>
      <w:r>
        <w:rPr>
          <w:rFonts w:ascii="宋体" w:hAnsi="宋体" w:eastAsia="宋体" w:cs="宋体"/>
          <w:b/>
        </w:rPr>
        <w:t>东方阿尔法科技优选混合发起A净值表现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-1.08%</w:t>
            </w:r>
          </w:p>
        </w:tc>
        <w:tc>
          <w:tcPr>
            <w:tcW w:w="0" w:type="dxa"/>
            <w:vAlign w:val="center"/>
          </w:tcPr>
          <w:p>
            <w:pPr>
              <w:spacing w:line="240" w:lineRule="auto"/>
              <w:jc w:val="right"/>
            </w:pPr>
            <w:r>
              <w:rPr>
                <w:rFonts w:ascii="宋体" w:hAnsi="宋体" w:eastAsia="宋体" w:cs="宋体"/>
                <w:b w:val="0"/>
              </w:rPr>
              <w:t>2.23%</w:t>
            </w:r>
          </w:p>
        </w:tc>
        <w:tc>
          <w:tcPr>
            <w:tcW w:w="0" w:type="dxa"/>
            <w:vAlign w:val="center"/>
          </w:tcPr>
          <w:p>
            <w:pPr>
              <w:spacing w:line="240" w:lineRule="auto"/>
              <w:jc w:val="right"/>
            </w:pPr>
            <w:r>
              <w:rPr>
                <w:rFonts w:ascii="宋体" w:hAnsi="宋体" w:eastAsia="宋体" w:cs="宋体"/>
                <w:b w:val="0"/>
              </w:rPr>
              <w:t>-2.39%</w:t>
            </w:r>
          </w:p>
        </w:tc>
        <w:tc>
          <w:tcPr>
            <w:tcW w:w="0" w:type="dxa"/>
            <w:vAlign w:val="center"/>
          </w:tcPr>
          <w:p>
            <w:pPr>
              <w:spacing w:line="240" w:lineRule="auto"/>
              <w:jc w:val="right"/>
            </w:pPr>
            <w:r>
              <w:rPr>
                <w:rFonts w:ascii="宋体" w:hAnsi="宋体" w:eastAsia="宋体" w:cs="宋体"/>
                <w:b w:val="0"/>
              </w:rPr>
              <w:t>1.51%</w:t>
            </w:r>
          </w:p>
        </w:tc>
        <w:tc>
          <w:tcPr>
            <w:tcW w:w="0" w:type="dxa"/>
            <w:vAlign w:val="center"/>
          </w:tcPr>
          <w:p>
            <w:pPr>
              <w:spacing w:line="240" w:lineRule="auto"/>
              <w:jc w:val="right"/>
            </w:pPr>
            <w:r>
              <w:rPr>
                <w:rFonts w:ascii="宋体" w:hAnsi="宋体" w:eastAsia="宋体" w:cs="宋体"/>
                <w:b w:val="0"/>
              </w:rPr>
              <w:t>1.31%</w:t>
            </w:r>
          </w:p>
        </w:tc>
        <w:tc>
          <w:tcPr>
            <w:tcW w:w="0" w:type="dxa"/>
            <w:vAlign w:val="center"/>
          </w:tcPr>
          <w:p>
            <w:pPr>
              <w:spacing w:line="240" w:lineRule="auto"/>
              <w:jc w:val="right"/>
            </w:pPr>
            <w:r>
              <w:rPr>
                <w:rFonts w:ascii="宋体" w:hAnsi="宋体" w:eastAsia="宋体" w:cs="宋体"/>
                <w:b w:val="0"/>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3.77%</w:t>
            </w:r>
          </w:p>
        </w:tc>
        <w:tc>
          <w:tcPr>
            <w:tcW w:w="0" w:type="dxa"/>
            <w:vAlign w:val="center"/>
          </w:tcPr>
          <w:p>
            <w:pPr>
              <w:spacing w:line="240" w:lineRule="auto"/>
              <w:jc w:val="right"/>
            </w:pPr>
            <w:r>
              <w:rPr>
                <w:rFonts w:ascii="宋体" w:hAnsi="宋体" w:eastAsia="宋体" w:cs="宋体"/>
                <w:b w:val="0"/>
              </w:rPr>
              <w:t>1.89%</w:t>
            </w:r>
          </w:p>
        </w:tc>
        <w:tc>
          <w:tcPr>
            <w:tcW w:w="0" w:type="dxa"/>
            <w:vAlign w:val="center"/>
          </w:tcPr>
          <w:p>
            <w:pPr>
              <w:spacing w:line="240" w:lineRule="auto"/>
              <w:jc w:val="right"/>
            </w:pPr>
            <w:r>
              <w:rPr>
                <w:rFonts w:ascii="宋体" w:hAnsi="宋体" w:eastAsia="宋体" w:cs="宋体"/>
                <w:b w:val="0"/>
              </w:rPr>
              <w:t>32.97%</w:t>
            </w:r>
          </w:p>
        </w:tc>
        <w:tc>
          <w:tcPr>
            <w:tcW w:w="0" w:type="dxa"/>
            <w:vAlign w:val="center"/>
          </w:tcPr>
          <w:p>
            <w:pPr>
              <w:spacing w:line="240" w:lineRule="auto"/>
              <w:jc w:val="right"/>
            </w:pPr>
            <w:r>
              <w:rPr>
                <w:rFonts w:ascii="宋体" w:hAnsi="宋体" w:eastAsia="宋体" w:cs="宋体"/>
                <w:b w:val="0"/>
              </w:rPr>
              <w:t>1.50%</w:t>
            </w:r>
          </w:p>
        </w:tc>
        <w:tc>
          <w:tcPr>
            <w:tcW w:w="0" w:type="dxa"/>
            <w:vAlign w:val="center"/>
          </w:tcPr>
          <w:p>
            <w:pPr>
              <w:spacing w:line="240" w:lineRule="auto"/>
              <w:jc w:val="right"/>
            </w:pPr>
            <w:r>
              <w:rPr>
                <w:rFonts w:ascii="宋体" w:hAnsi="宋体" w:eastAsia="宋体" w:cs="宋体"/>
                <w:b w:val="0"/>
              </w:rPr>
              <w:t>-29.20%</w:t>
            </w:r>
          </w:p>
        </w:tc>
        <w:tc>
          <w:tcPr>
            <w:tcW w:w="0" w:type="dxa"/>
            <w:vAlign w:val="center"/>
          </w:tcPr>
          <w:p>
            <w:pPr>
              <w:spacing w:line="240" w:lineRule="auto"/>
              <w:jc w:val="right"/>
            </w:pPr>
            <w:r>
              <w:rPr>
                <w:rFonts w:ascii="宋体" w:hAnsi="宋体" w:eastAsia="宋体" w:cs="宋体"/>
                <w:b w:val="0"/>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3.04%</w:t>
            </w:r>
          </w:p>
        </w:tc>
        <w:tc>
          <w:tcPr>
            <w:tcW w:w="0" w:type="dxa"/>
            <w:vAlign w:val="center"/>
          </w:tcPr>
          <w:p>
            <w:pPr>
              <w:spacing w:line="240" w:lineRule="auto"/>
              <w:jc w:val="right"/>
            </w:pPr>
            <w:r>
              <w:rPr>
                <w:rFonts w:ascii="宋体" w:hAnsi="宋体" w:eastAsia="宋体" w:cs="宋体"/>
                <w:b w:val="0"/>
              </w:rPr>
              <w:t>1.84%</w:t>
            </w:r>
          </w:p>
        </w:tc>
        <w:tc>
          <w:tcPr>
            <w:tcW w:w="0" w:type="dxa"/>
            <w:vAlign w:val="center"/>
          </w:tcPr>
          <w:p>
            <w:pPr>
              <w:spacing w:line="240" w:lineRule="auto"/>
              <w:jc w:val="right"/>
            </w:pPr>
            <w:r>
              <w:rPr>
                <w:rFonts w:ascii="宋体" w:hAnsi="宋体" w:eastAsia="宋体" w:cs="宋体"/>
                <w:b w:val="0"/>
              </w:rPr>
              <w:t>38.21%</w:t>
            </w:r>
          </w:p>
        </w:tc>
        <w:tc>
          <w:tcPr>
            <w:tcW w:w="0" w:type="dxa"/>
            <w:vAlign w:val="center"/>
          </w:tcPr>
          <w:p>
            <w:pPr>
              <w:spacing w:line="240" w:lineRule="auto"/>
              <w:jc w:val="right"/>
            </w:pPr>
            <w:r>
              <w:rPr>
                <w:rFonts w:ascii="宋体" w:hAnsi="宋体" w:eastAsia="宋体" w:cs="宋体"/>
                <w:b w:val="0"/>
              </w:rPr>
              <w:t>1.43%</w:t>
            </w:r>
          </w:p>
        </w:tc>
        <w:tc>
          <w:tcPr>
            <w:tcW w:w="0" w:type="dxa"/>
            <w:vAlign w:val="center"/>
          </w:tcPr>
          <w:p>
            <w:pPr>
              <w:spacing w:line="240" w:lineRule="auto"/>
              <w:jc w:val="right"/>
            </w:pPr>
            <w:r>
              <w:rPr>
                <w:rFonts w:ascii="宋体" w:hAnsi="宋体" w:eastAsia="宋体" w:cs="宋体"/>
                <w:b w:val="0"/>
              </w:rPr>
              <w:t>-35.17%</w:t>
            </w:r>
          </w:p>
        </w:tc>
        <w:tc>
          <w:tcPr>
            <w:tcW w:w="0" w:type="dxa"/>
            <w:vAlign w:val="center"/>
          </w:tcPr>
          <w:p>
            <w:pPr>
              <w:spacing w:line="240" w:lineRule="auto"/>
              <w:jc w:val="right"/>
            </w:pPr>
            <w:r>
              <w:rPr>
                <w:rFonts w:ascii="宋体" w:hAnsi="宋体" w:eastAsia="宋体" w:cs="宋体"/>
                <w:b w:val="0"/>
              </w:rPr>
              <w:t>0.41%</w:t>
            </w:r>
          </w:p>
        </w:tc>
      </w:tr>
    </w:tbl>
    <w:p>
      <w:pPr>
        <w:jc w:val="left"/>
      </w:pPr>
      <w:r>
        <w:rPr>
          <w:rFonts w:ascii="宋体" w:hAnsi="宋体" w:eastAsia="宋体" w:cs="宋体"/>
          <w:b/>
        </w:rPr>
        <w:t>东方阿尔法科技优选混合发起C净值表现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-1.17%</w:t>
            </w:r>
          </w:p>
        </w:tc>
        <w:tc>
          <w:tcPr>
            <w:tcW w:w="0" w:type="dxa"/>
            <w:vAlign w:val="center"/>
          </w:tcPr>
          <w:p>
            <w:pPr>
              <w:spacing w:line="240" w:lineRule="auto"/>
              <w:jc w:val="right"/>
            </w:pPr>
            <w:r>
              <w:rPr>
                <w:rFonts w:ascii="宋体" w:hAnsi="宋体" w:eastAsia="宋体" w:cs="宋体"/>
                <w:b w:val="0"/>
              </w:rPr>
              <w:t>2.23%</w:t>
            </w:r>
          </w:p>
        </w:tc>
        <w:tc>
          <w:tcPr>
            <w:tcW w:w="0" w:type="dxa"/>
            <w:vAlign w:val="center"/>
          </w:tcPr>
          <w:p>
            <w:pPr>
              <w:spacing w:line="240" w:lineRule="auto"/>
              <w:jc w:val="right"/>
            </w:pPr>
            <w:r>
              <w:rPr>
                <w:rFonts w:ascii="宋体" w:hAnsi="宋体" w:eastAsia="宋体" w:cs="宋体"/>
                <w:b w:val="0"/>
              </w:rPr>
              <w:t>-2.39%</w:t>
            </w:r>
          </w:p>
        </w:tc>
        <w:tc>
          <w:tcPr>
            <w:tcW w:w="0" w:type="dxa"/>
            <w:vAlign w:val="center"/>
          </w:tcPr>
          <w:p>
            <w:pPr>
              <w:spacing w:line="240" w:lineRule="auto"/>
              <w:jc w:val="right"/>
            </w:pPr>
            <w:r>
              <w:rPr>
                <w:rFonts w:ascii="宋体" w:hAnsi="宋体" w:eastAsia="宋体" w:cs="宋体"/>
                <w:b w:val="0"/>
              </w:rPr>
              <w:t>1.51%</w:t>
            </w:r>
          </w:p>
        </w:tc>
        <w:tc>
          <w:tcPr>
            <w:tcW w:w="0" w:type="dxa"/>
            <w:vAlign w:val="center"/>
          </w:tcPr>
          <w:p>
            <w:pPr>
              <w:spacing w:line="240" w:lineRule="auto"/>
              <w:jc w:val="right"/>
            </w:pPr>
            <w:r>
              <w:rPr>
                <w:rFonts w:ascii="宋体" w:hAnsi="宋体" w:eastAsia="宋体" w:cs="宋体"/>
                <w:b w:val="0"/>
              </w:rPr>
              <w:t>1.22%</w:t>
            </w:r>
          </w:p>
        </w:tc>
        <w:tc>
          <w:tcPr>
            <w:tcW w:w="0" w:type="dxa"/>
            <w:vAlign w:val="center"/>
          </w:tcPr>
          <w:p>
            <w:pPr>
              <w:spacing w:line="240" w:lineRule="auto"/>
              <w:jc w:val="right"/>
            </w:pPr>
            <w:r>
              <w:rPr>
                <w:rFonts w:ascii="宋体" w:hAnsi="宋体" w:eastAsia="宋体" w:cs="宋体"/>
                <w:b w:val="0"/>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3.58%</w:t>
            </w:r>
          </w:p>
        </w:tc>
        <w:tc>
          <w:tcPr>
            <w:tcW w:w="0" w:type="dxa"/>
            <w:vAlign w:val="center"/>
          </w:tcPr>
          <w:p>
            <w:pPr>
              <w:spacing w:line="240" w:lineRule="auto"/>
              <w:jc w:val="right"/>
            </w:pPr>
            <w:r>
              <w:rPr>
                <w:rFonts w:ascii="宋体" w:hAnsi="宋体" w:eastAsia="宋体" w:cs="宋体"/>
                <w:b w:val="0"/>
              </w:rPr>
              <w:t>1.89%</w:t>
            </w:r>
          </w:p>
        </w:tc>
        <w:tc>
          <w:tcPr>
            <w:tcW w:w="0" w:type="dxa"/>
            <w:vAlign w:val="center"/>
          </w:tcPr>
          <w:p>
            <w:pPr>
              <w:spacing w:line="240" w:lineRule="auto"/>
              <w:jc w:val="right"/>
            </w:pPr>
            <w:r>
              <w:rPr>
                <w:rFonts w:ascii="宋体" w:hAnsi="宋体" w:eastAsia="宋体" w:cs="宋体"/>
                <w:b w:val="0"/>
              </w:rPr>
              <w:t>32.97%</w:t>
            </w:r>
          </w:p>
        </w:tc>
        <w:tc>
          <w:tcPr>
            <w:tcW w:w="0" w:type="dxa"/>
            <w:vAlign w:val="center"/>
          </w:tcPr>
          <w:p>
            <w:pPr>
              <w:spacing w:line="240" w:lineRule="auto"/>
              <w:jc w:val="right"/>
            </w:pPr>
            <w:r>
              <w:rPr>
                <w:rFonts w:ascii="宋体" w:hAnsi="宋体" w:eastAsia="宋体" w:cs="宋体"/>
                <w:b w:val="0"/>
              </w:rPr>
              <w:t>1.50%</w:t>
            </w:r>
          </w:p>
        </w:tc>
        <w:tc>
          <w:tcPr>
            <w:tcW w:w="0" w:type="dxa"/>
            <w:vAlign w:val="center"/>
          </w:tcPr>
          <w:p>
            <w:pPr>
              <w:spacing w:line="240" w:lineRule="auto"/>
              <w:jc w:val="right"/>
            </w:pPr>
            <w:r>
              <w:rPr>
                <w:rFonts w:ascii="宋体" w:hAnsi="宋体" w:eastAsia="宋体" w:cs="宋体"/>
                <w:b w:val="0"/>
              </w:rPr>
              <w:t>-29.39%</w:t>
            </w:r>
          </w:p>
        </w:tc>
        <w:tc>
          <w:tcPr>
            <w:tcW w:w="0" w:type="dxa"/>
            <w:vAlign w:val="center"/>
          </w:tcPr>
          <w:p>
            <w:pPr>
              <w:spacing w:line="240" w:lineRule="auto"/>
              <w:jc w:val="right"/>
            </w:pPr>
            <w:r>
              <w:rPr>
                <w:rFonts w:ascii="宋体" w:hAnsi="宋体" w:eastAsia="宋体" w:cs="宋体"/>
                <w:b w:val="0"/>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2.82%</w:t>
            </w:r>
          </w:p>
        </w:tc>
        <w:tc>
          <w:tcPr>
            <w:tcW w:w="0" w:type="dxa"/>
            <w:vAlign w:val="center"/>
          </w:tcPr>
          <w:p>
            <w:pPr>
              <w:spacing w:line="240" w:lineRule="auto"/>
              <w:jc w:val="right"/>
            </w:pPr>
            <w:r>
              <w:rPr>
                <w:rFonts w:ascii="宋体" w:hAnsi="宋体" w:eastAsia="宋体" w:cs="宋体"/>
                <w:b w:val="0"/>
              </w:rPr>
              <w:t>1.84%</w:t>
            </w:r>
          </w:p>
        </w:tc>
        <w:tc>
          <w:tcPr>
            <w:tcW w:w="0" w:type="dxa"/>
            <w:vAlign w:val="center"/>
          </w:tcPr>
          <w:p>
            <w:pPr>
              <w:spacing w:line="240" w:lineRule="auto"/>
              <w:jc w:val="right"/>
            </w:pPr>
            <w:r>
              <w:rPr>
                <w:rFonts w:ascii="宋体" w:hAnsi="宋体" w:eastAsia="宋体" w:cs="宋体"/>
                <w:b w:val="0"/>
              </w:rPr>
              <w:t>38.21%</w:t>
            </w:r>
          </w:p>
        </w:tc>
        <w:tc>
          <w:tcPr>
            <w:tcW w:w="0" w:type="dxa"/>
            <w:vAlign w:val="center"/>
          </w:tcPr>
          <w:p>
            <w:pPr>
              <w:spacing w:line="240" w:lineRule="auto"/>
              <w:jc w:val="right"/>
            </w:pPr>
            <w:r>
              <w:rPr>
                <w:rFonts w:ascii="宋体" w:hAnsi="宋体" w:eastAsia="宋体" w:cs="宋体"/>
                <w:b w:val="0"/>
              </w:rPr>
              <w:t>1.43%</w:t>
            </w:r>
          </w:p>
        </w:tc>
        <w:tc>
          <w:tcPr>
            <w:tcW w:w="0" w:type="dxa"/>
            <w:vAlign w:val="center"/>
          </w:tcPr>
          <w:p>
            <w:pPr>
              <w:spacing w:line="240" w:lineRule="auto"/>
              <w:jc w:val="right"/>
            </w:pPr>
            <w:r>
              <w:rPr>
                <w:rFonts w:ascii="宋体" w:hAnsi="宋体" w:eastAsia="宋体" w:cs="宋体"/>
                <w:b w:val="0"/>
              </w:rPr>
              <w:t>-35.39%</w:t>
            </w:r>
          </w:p>
        </w:tc>
        <w:tc>
          <w:tcPr>
            <w:tcW w:w="0" w:type="dxa"/>
            <w:vAlign w:val="center"/>
          </w:tcPr>
          <w:p>
            <w:pPr>
              <w:spacing w:line="240" w:lineRule="auto"/>
              <w:jc w:val="right"/>
            </w:pPr>
            <w:r>
              <w:rPr>
                <w:rFonts w:ascii="宋体" w:hAnsi="宋体" w:eastAsia="宋体" w:cs="宋体"/>
                <w:b w:val="0"/>
              </w:rPr>
              <w:t>0.41%</w:t>
            </w:r>
          </w:p>
        </w:tc>
      </w:tr>
    </w:tbl>
    <w:p>
      <w:r>
        <w:rPr>
          <w:rFonts w:ascii="宋体" w:hAnsi="宋体" w:eastAsia="宋体" w:cs="宋体"/>
          <w:b w:val="0"/>
        </w:rPr>
        <w:t>注：1、本基金业绩比较基准为：中国战略新兴产业成份指数收益率*70%+中债-综合指数(全价)收益率*20%+恒生科技指数收益率(按估值汇率折算)*10%。</w:t>
      </w:r>
      <w:r>
        <w:rPr>
          <w:rFonts w:ascii="宋体" w:hAnsi="宋体" w:eastAsia="宋体" w:cs="宋体"/>
          <w:b w:val="0"/>
        </w:rPr>
        <w:cr/>
      </w:r>
      <w:r>
        <w:rPr>
          <w:rFonts w:ascii="宋体" w:hAnsi="宋体" w:eastAsia="宋体" w:cs="宋体"/>
          <w:b w:val="0"/>
        </w:rPr>
        <w:t>2、本基金自2025年06月06日成立至今尚未满一年，无过去一年、过去三年和过去五年的净值表现。</w:t>
      </w:r>
    </w:p>
    <w:p/>
    <w:p>
      <w:pPr>
        <w:pStyle w:val="58"/>
      </w:pPr>
      <w:r>
        <w:rPr>
          <w:rFonts w:ascii="宋体" w:hAnsi="宋体" w:eastAsia="宋体" w:cs="宋体"/>
          <w:b/>
        </w:rPr>
        <w:t>3.2.2 自基金合同生效以来基金累计净值增长率变动及其与同期业绩比较基准收益率变动的比较</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Pr>
        <w:pStyle w:val="2"/>
        <w:jc w:val="center"/>
      </w:pPr>
      <w:r>
        <w:rPr>
          <w:rFonts w:ascii="宋体" w:hAnsi="宋体" w:eastAsia="宋体" w:cs="宋体"/>
        </w:rPr>
        <w:t>§4 管理人报告</w:t>
      </w:r>
    </w:p>
    <w:p>
      <w:pPr>
        <w:pStyle w:val="3"/>
        <w:jc w:val="left"/>
      </w:pPr>
      <w:r>
        <w:rPr>
          <w:rFonts w:ascii="宋体" w:hAnsi="宋体" w:eastAsia="宋体" w:cs="宋体"/>
        </w:rPr>
        <w:t>4.1 基金经理（或基金经理小组）简介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547"/>
        <w:gridCol w:w="1266"/>
        <w:gridCol w:w="790"/>
        <w:gridCol w:w="576"/>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pPr>
              <w:spacing w:line="240" w:lineRule="auto"/>
              <w:jc w:val="center"/>
            </w:pPr>
            <w:r>
              <w:rPr>
                <w:rFonts w:ascii="宋体" w:hAnsi="宋体" w:eastAsia="宋体" w:cs="宋体"/>
                <w:b w:val="0"/>
              </w:rPr>
              <w:t>姓名</w:t>
            </w:r>
          </w:p>
        </w:tc>
        <w:tc>
          <w:tcPr>
            <w:tcW w:w="1231" w:type="pct"/>
            <w:vMerge w:val="restart"/>
            <w:shd w:val="clear" w:color="auto" w:fill="D9D9D9"/>
            <w:vAlign w:val="center"/>
          </w:tcPr>
          <w:p>
            <w:pPr>
              <w:spacing w:line="240" w:lineRule="auto"/>
              <w:jc w:val="center"/>
            </w:pPr>
            <w:r>
              <w:rPr>
                <w:rFonts w:ascii="宋体" w:hAnsi="宋体" w:eastAsia="宋体" w:cs="宋体"/>
                <w:b w:val="0"/>
              </w:rPr>
              <w:t>职务</w:t>
            </w:r>
          </w:p>
        </w:tc>
        <w:tc>
          <w:tcPr>
            <w:tcW w:w="808" w:type="pct"/>
            <w:gridSpan w:val="2"/>
            <w:shd w:val="clear" w:color="auto" w:fill="D9D9D9"/>
            <w:vAlign w:val="center"/>
          </w:tcPr>
          <w:p>
            <w:pPr>
              <w:spacing w:line="240" w:lineRule="auto"/>
              <w:jc w:val="center"/>
            </w:pPr>
            <w:r>
              <w:rPr>
                <w:rFonts w:ascii="宋体" w:hAnsi="宋体" w:eastAsia="宋体" w:cs="宋体"/>
                <w:b w:val="0"/>
              </w:rPr>
              <w:t>任本基金的基金经理期限</w:t>
            </w:r>
          </w:p>
        </w:tc>
        <w:tc>
          <w:tcPr>
            <w:tcW w:w="308" w:type="pct"/>
            <w:vMerge w:val="restart"/>
            <w:shd w:val="clear" w:color="auto" w:fill="D9D9D9"/>
            <w:vAlign w:val="center"/>
          </w:tcPr>
          <w:p>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pPr>
              <w:spacing w:line="240" w:lineRule="auto"/>
              <w:jc w:val="center"/>
            </w:pPr>
            <w:r>
              <w:rPr>
                <w:rFonts w:ascii="宋体" w:hAnsi="宋体" w:eastAsia="宋体" w:cs="宋体"/>
                <w:b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tcW w:w="400" w:type="pct"/>
            <w:shd w:val="clear" w:color="auto" w:fill="D9D9D9"/>
            <w:vAlign w:val="center"/>
          </w:tcPr>
          <w:p>
            <w:pPr>
              <w:spacing w:line="240" w:lineRule="auto"/>
              <w:jc w:val="center"/>
            </w:pPr>
            <w:r>
              <w:rPr>
                <w:rFonts w:ascii="宋体" w:hAnsi="宋体" w:eastAsia="宋体" w:cs="宋体"/>
                <w:b w:val="0"/>
              </w:rPr>
              <w:t>任职日期</w:t>
            </w:r>
          </w:p>
        </w:tc>
        <w:tc>
          <w:tcPr>
            <w:tcW w:w="392" w:type="pct"/>
            <w:shd w:val="clear" w:color="auto" w:fill="D9D9D9"/>
            <w:vAlign w:val="center"/>
          </w:tcPr>
          <w:p>
            <w:pPr>
              <w:spacing w:line="240" w:lineRule="auto"/>
              <w:jc w:val="center"/>
            </w:pPr>
            <w:r>
              <w:rPr>
                <w:rFonts w:ascii="宋体" w:hAnsi="宋体" w:eastAsia="宋体" w:cs="宋体"/>
                <w:b w:val="0"/>
              </w:rPr>
              <w:t>离任日期</w:t>
            </w: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潘令梓</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center"/>
            </w:pPr>
            <w:r>
              <w:rPr>
                <w:rFonts w:ascii="宋体" w:hAnsi="宋体" w:eastAsia="宋体" w:cs="宋体"/>
                <w:b w:val="0"/>
              </w:rPr>
              <w:t>2025-06-06</w:t>
            </w:r>
          </w:p>
        </w:tc>
        <w:tc>
          <w:tcPr>
            <w:tcW w:w="0" w:type="dxa"/>
            <w:vAlign w:val="center"/>
          </w:tcPr>
          <w:p>
            <w:pPr>
              <w:spacing w:line="240" w:lineRule="auto"/>
              <w:jc w:val="center"/>
            </w:pPr>
            <w:r>
              <w:rPr>
                <w:rFonts w:ascii="宋体" w:hAnsi="宋体" w:eastAsia="宋体" w:cs="宋体"/>
                <w:b w:val="0"/>
              </w:rPr>
              <w:t>-</w:t>
            </w:r>
          </w:p>
        </w:tc>
        <w:tc>
          <w:tcPr>
            <w:tcW w:w="0" w:type="dxa"/>
            <w:vAlign w:val="center"/>
          </w:tcPr>
          <w:p>
            <w:pPr>
              <w:spacing w:line="240" w:lineRule="auto"/>
              <w:jc w:val="center"/>
            </w:pPr>
            <w:r>
              <w:rPr>
                <w:rFonts w:ascii="宋体" w:hAnsi="宋体" w:eastAsia="宋体" w:cs="宋体"/>
                <w:b w:val="0"/>
              </w:rPr>
              <w:t>6年</w:t>
            </w:r>
          </w:p>
        </w:tc>
        <w:tc>
          <w:tcPr>
            <w:tcW w:w="0" w:type="dxa"/>
            <w:vAlign w:val="center"/>
          </w:tcPr>
          <w:p>
            <w:pPr>
              <w:spacing w:line="240" w:lineRule="auto"/>
              <w:jc w:val="left"/>
            </w:pPr>
            <w:r>
              <w:rPr>
                <w:rFonts w:ascii="宋体" w:hAnsi="宋体" w:eastAsia="宋体" w:cs="宋体"/>
                <w:b w:val="0"/>
              </w:rPr>
              <w:t>潘令梓先生，南开大学保险学学士，香港大学会计学硕士，于2019年11月入职东方阿尔法基金管理有限公司，历任研究部研究员、基金经理助理。现任东方阿尔法基金管理有限公司基金经理。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周谧</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center"/>
            </w:pPr>
            <w:r>
              <w:rPr>
                <w:rFonts w:ascii="宋体" w:hAnsi="宋体" w:eastAsia="宋体" w:cs="宋体"/>
                <w:b w:val="0"/>
              </w:rPr>
              <w:t>2025-06-12</w:t>
            </w:r>
          </w:p>
        </w:tc>
        <w:tc>
          <w:tcPr>
            <w:tcW w:w="0" w:type="dxa"/>
            <w:vAlign w:val="center"/>
          </w:tcPr>
          <w:p>
            <w:pPr>
              <w:spacing w:line="240" w:lineRule="auto"/>
              <w:jc w:val="center"/>
            </w:pPr>
            <w:r>
              <w:rPr>
                <w:rFonts w:ascii="宋体" w:hAnsi="宋体" w:eastAsia="宋体" w:cs="宋体"/>
                <w:b w:val="0"/>
              </w:rPr>
              <w:t>-</w:t>
            </w:r>
          </w:p>
        </w:tc>
        <w:tc>
          <w:tcPr>
            <w:tcW w:w="0" w:type="dxa"/>
            <w:vAlign w:val="center"/>
          </w:tcPr>
          <w:p>
            <w:pPr>
              <w:spacing w:line="240" w:lineRule="auto"/>
              <w:jc w:val="center"/>
            </w:pPr>
            <w:r>
              <w:rPr>
                <w:rFonts w:ascii="宋体" w:hAnsi="宋体" w:eastAsia="宋体" w:cs="宋体"/>
                <w:b w:val="0"/>
              </w:rPr>
              <w:t>15年</w:t>
            </w:r>
          </w:p>
        </w:tc>
        <w:tc>
          <w:tcPr>
            <w:tcW w:w="0" w:type="dxa"/>
            <w:vAlign w:val="center"/>
          </w:tcPr>
          <w:p>
            <w:pPr>
              <w:spacing w:line="240" w:lineRule="auto"/>
              <w:jc w:val="left"/>
            </w:pPr>
            <w:r>
              <w:rPr>
                <w:rFonts w:ascii="宋体" w:hAnsi="宋体" w:eastAsia="宋体" w:cs="宋体"/>
                <w:b w:val="0"/>
              </w:rPr>
              <w:t>周谧先生，中国人民大学应用数学硕士。2008年9月起历任中再资产管理股份有限公司金融工程分析师、平安证券有限责任公司高级量化分析师、国金创新投资有限公司投资经理、深圳铸成投资有限公司投资部副总监、财信证券有限责任公司投资经理、金信基金管理有限公司基金经理。2022年10月加入东方阿尔法基金管理有限公司，现任东方阿尔法基金管理有限公司基金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梁少文</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center"/>
            </w:pPr>
            <w:r>
              <w:rPr>
                <w:rFonts w:ascii="宋体" w:hAnsi="宋体" w:eastAsia="宋体" w:cs="宋体"/>
                <w:b w:val="0"/>
              </w:rPr>
              <w:t>2025-12-01</w:t>
            </w:r>
          </w:p>
        </w:tc>
        <w:tc>
          <w:tcPr>
            <w:tcW w:w="0" w:type="dxa"/>
            <w:vAlign w:val="center"/>
          </w:tcPr>
          <w:p>
            <w:pPr>
              <w:spacing w:line="240" w:lineRule="auto"/>
              <w:jc w:val="center"/>
            </w:pPr>
            <w:r>
              <w:rPr>
                <w:rFonts w:ascii="宋体" w:hAnsi="宋体" w:eastAsia="宋体" w:cs="宋体"/>
                <w:b w:val="0"/>
              </w:rPr>
              <w:t>-</w:t>
            </w:r>
          </w:p>
        </w:tc>
        <w:tc>
          <w:tcPr>
            <w:tcW w:w="0" w:type="dxa"/>
            <w:vAlign w:val="center"/>
          </w:tcPr>
          <w:p>
            <w:pPr>
              <w:spacing w:line="240" w:lineRule="auto"/>
              <w:jc w:val="center"/>
            </w:pPr>
            <w:r>
              <w:rPr>
                <w:rFonts w:ascii="宋体" w:hAnsi="宋体" w:eastAsia="宋体" w:cs="宋体"/>
                <w:b w:val="0"/>
              </w:rPr>
              <w:t>4年</w:t>
            </w:r>
          </w:p>
        </w:tc>
        <w:tc>
          <w:tcPr>
            <w:tcW w:w="0" w:type="dxa"/>
            <w:vAlign w:val="center"/>
          </w:tcPr>
          <w:p>
            <w:pPr>
              <w:spacing w:line="240" w:lineRule="auto"/>
              <w:jc w:val="left"/>
            </w:pPr>
            <w:r>
              <w:rPr>
                <w:rFonts w:ascii="宋体" w:hAnsi="宋体" w:eastAsia="宋体" w:cs="宋体"/>
                <w:b w:val="0"/>
              </w:rPr>
              <w:t>梁少文先生，华中科技大学工学学士，华中科技大学金融硕士，于2021年11月入职东方阿尔法基金管理有限公司，历任研究员、基金经理助理。现任东方阿尔法基金管理有限公司基金经理。</w:t>
            </w:r>
          </w:p>
        </w:tc>
      </w:tr>
    </w:tbl>
    <w:p>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p>
      <w:pPr>
        <w:pStyle w:val="58"/>
      </w:pPr>
      <w:r>
        <w:rPr>
          <w:rFonts w:ascii="宋体" w:hAnsi="宋体" w:eastAsia="宋体" w:cs="宋体"/>
          <w:b/>
        </w:rPr>
        <w:t>4.1.1 期末兼任私募资产管理计划投资经理的基金经理同时管理的产品情况</w:t>
      </w:r>
    </w:p>
    <w:p>
      <w:r>
        <w:rPr>
          <w:rFonts w:ascii="宋体" w:hAnsi="宋体" w:eastAsia="宋体" w:cs="宋体"/>
          <w:b w:val="0"/>
        </w:rPr>
        <w:t xml:space="preserve">    无。</w:t>
      </w:r>
    </w:p>
    <w:p/>
    <w:p>
      <w:pPr>
        <w:pStyle w:val="3"/>
        <w:jc w:val="left"/>
      </w:pPr>
      <w:r>
        <w:rPr>
          <w:rFonts w:ascii="宋体" w:hAnsi="宋体" w:eastAsia="宋体" w:cs="宋体"/>
        </w:rPr>
        <w:t>4.2 管理人对报告期内本基金运作遵规守信情况的说明</w:t>
      </w:r>
    </w:p>
    <w:p>
      <w:r>
        <w:rPr>
          <w:rFonts w:ascii="宋体" w:hAnsi="宋体" w:eastAsia="宋体" w:cs="宋体"/>
          <w:b w:val="0"/>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3"/>
        <w:jc w:val="left"/>
      </w:pPr>
      <w:r>
        <w:rPr>
          <w:rFonts w:ascii="宋体" w:hAnsi="宋体" w:eastAsia="宋体" w:cs="宋体"/>
        </w:rPr>
        <w:t>4.3 公平交易专项说明</w:t>
      </w:r>
    </w:p>
    <w:p>
      <w:pPr>
        <w:pStyle w:val="58"/>
      </w:pPr>
      <w:r>
        <w:rPr>
          <w:rFonts w:ascii="宋体" w:hAnsi="宋体" w:eastAsia="宋体" w:cs="宋体"/>
          <w:b/>
        </w:rPr>
        <w:t>4.3.1 公平交易制度的执行情况</w:t>
      </w:r>
    </w:p>
    <w:p>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58"/>
      </w:pPr>
      <w:r>
        <w:rPr>
          <w:rFonts w:ascii="宋体" w:hAnsi="宋体" w:eastAsia="宋体" w:cs="宋体"/>
          <w:b/>
        </w:rPr>
        <w:t>4.3.2 异常交易行为的专项说明</w:t>
      </w:r>
    </w:p>
    <w:p>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3"/>
        <w:jc w:val="left"/>
      </w:pPr>
      <w:r>
        <w:rPr>
          <w:rFonts w:ascii="宋体" w:hAnsi="宋体" w:eastAsia="宋体" w:cs="宋体"/>
        </w:rPr>
        <w:t>4.4 报告期内基金的投资策略和运作分析</w:t>
      </w:r>
    </w:p>
    <w:p>
      <w:r>
        <w:rPr>
          <w:rFonts w:ascii="宋体" w:hAnsi="宋体" w:eastAsia="宋体" w:cs="宋体"/>
          <w:b w:val="0"/>
        </w:rPr>
        <w:t xml:space="preserve">    2025年四季度，宏观经济保持稳健增长态势，出口韧性延续，地缘政治动荡未对经济增长带来明显负面影响。国内货币与财政政策保持稳健，资本市场平稳健康运行，总体呈现稳健向上格局。</w:t>
      </w:r>
      <w:r>
        <w:rPr>
          <w:rFonts w:ascii="宋体" w:hAnsi="宋体" w:eastAsia="宋体" w:cs="宋体"/>
          <w:b w:val="0"/>
        </w:rPr>
        <w:cr/>
      </w:r>
      <w:r>
        <w:rPr>
          <w:rFonts w:ascii="宋体" w:hAnsi="宋体" w:eastAsia="宋体" w:cs="宋体"/>
          <w:b w:val="0"/>
        </w:rPr>
        <w:t xml:space="preserve">    半导体行业作为国家重点扶持的战略性产业，既是国民经济发展的重要支柱，也是中美博弈的前沿阵地。其中半导体设备和材料更是摆脱"卡脖子"困境、实现自主可控的关键环节，具备良好的投资机会。随着人工智能技术快速发展，先进制程芯片需求被快速拉动，全球半导体晶圆厂陆续扩产，带动半导体设备需求景气度上行。</w:t>
      </w:r>
      <w:r>
        <w:rPr>
          <w:rFonts w:ascii="宋体" w:hAnsi="宋体" w:eastAsia="宋体" w:cs="宋体"/>
          <w:b w:val="0"/>
        </w:rPr>
        <w:cr/>
      </w:r>
      <w:r>
        <w:rPr>
          <w:rFonts w:ascii="宋体" w:hAnsi="宋体" w:eastAsia="宋体" w:cs="宋体"/>
          <w:b w:val="0"/>
        </w:rPr>
        <w:t xml:space="preserve">    展望2026年，我们认为半导体设备材料行业将迎来良好投资机会。一方面，国内重要晶圆厂技术节点持续向前推进，将开启新一轮扩产周期；另一方面，国产半导体设备材料厂商配合实现工艺突破，将带动国产化率不断提升。</w:t>
      </w:r>
      <w:r>
        <w:rPr>
          <w:rFonts w:ascii="宋体" w:hAnsi="宋体" w:eastAsia="宋体" w:cs="宋体"/>
          <w:b w:val="0"/>
        </w:rPr>
        <w:cr/>
      </w:r>
      <w:r>
        <w:rPr>
          <w:rFonts w:ascii="宋体" w:hAnsi="宋体" w:eastAsia="宋体" w:cs="宋体"/>
          <w:b w:val="0"/>
        </w:rPr>
        <w:t xml:space="preserve">    基于以上分析，本基金将持续关注半导体设备材料产业链，重点聚焦国产化率提升与先进制程扩产相关领域，致力于把握半导体设备材料的投资机会，伴随国家半导体产业链共同成长。</w:t>
      </w:r>
    </w:p>
    <w:p/>
    <w:p>
      <w:pPr>
        <w:pStyle w:val="3"/>
        <w:jc w:val="left"/>
      </w:pPr>
      <w:r>
        <w:rPr>
          <w:rFonts w:ascii="宋体" w:hAnsi="宋体" w:eastAsia="宋体" w:cs="宋体"/>
        </w:rPr>
        <w:t>4.5 报告期内基金的业绩表现</w:t>
      </w:r>
    </w:p>
    <w:p>
      <w:r>
        <w:rPr>
          <w:rFonts w:ascii="宋体" w:hAnsi="宋体" w:eastAsia="宋体" w:cs="宋体"/>
          <w:b w:val="0"/>
        </w:rPr>
        <w:t xml:space="preserve">    截至报告期末东方阿尔法科技优选混合发起A基金份额净值为1.0304元，本报告期内，该类基金份额净值增长率为-1.08%，同期业绩比较基准收益率为-2.39%；截至报告期末东方阿尔法科技优选混合发起C基金份额净值为1.0282元，本报告期内，该类基金份额净值增长率为-1.17%，同期业绩比较基准收益率为-2.39%。</w:t>
      </w:r>
    </w:p>
    <w:p/>
    <w:p>
      <w:pPr>
        <w:pStyle w:val="3"/>
        <w:jc w:val="left"/>
      </w:pPr>
      <w:r>
        <w:rPr>
          <w:rFonts w:ascii="宋体" w:hAnsi="宋体" w:eastAsia="宋体" w:cs="宋体"/>
        </w:rPr>
        <w:t>4.6 报告期内基金持有人数或基金资产净值预警说明</w:t>
      </w:r>
    </w:p>
    <w:p>
      <w:r>
        <w:rPr>
          <w:rFonts w:ascii="宋体" w:hAnsi="宋体" w:eastAsia="宋体" w:cs="宋体"/>
          <w:b w:val="0"/>
        </w:rPr>
        <w:t xml:space="preserve">    无。</w:t>
      </w:r>
    </w:p>
    <w:p>
      <w:pPr>
        <w:pStyle w:val="2"/>
        <w:jc w:val="center"/>
      </w:pPr>
      <w:r>
        <w:rPr>
          <w:rFonts w:ascii="宋体" w:hAnsi="宋体" w:eastAsia="宋体" w:cs="宋体"/>
        </w:rPr>
        <w:t>§5 投资组合报告</w:t>
      </w:r>
    </w:p>
    <w:p>
      <w:pPr>
        <w:pStyle w:val="3"/>
        <w:jc w:val="left"/>
      </w:pPr>
      <w:r>
        <w:rPr>
          <w:rFonts w:ascii="宋体" w:hAnsi="宋体" w:eastAsia="宋体" w:cs="宋体"/>
        </w:rPr>
        <w:t>5.1 报告期末基金资产组合情况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856"/>
        <w:gridCol w:w="2856"/>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金额(元)</w:t>
            </w:r>
          </w:p>
        </w:tc>
        <w:tc>
          <w:tcPr>
            <w:tcW w:w="1538" w:type="pct"/>
            <w:shd w:val="clear" w:color="auto" w:fill="D9D9D9"/>
            <w:vAlign w:val="center"/>
          </w:tcPr>
          <w:p>
            <w:pPr>
              <w:spacing w:line="240" w:lineRule="auto"/>
              <w:jc w:val="center"/>
            </w:pPr>
            <w:r>
              <w:rPr>
                <w:rFonts w:ascii="宋体" w:hAnsi="宋体" w:eastAsia="宋体" w:cs="宋体"/>
                <w:b w:val="0"/>
              </w:rPr>
              <w:t>占基金总资产的比例（%）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权益投资</w:t>
            </w:r>
          </w:p>
        </w:tc>
        <w:tc>
          <w:tcPr>
            <w:tcW w:w="0" w:type="dxa"/>
            <w:vAlign w:val="center"/>
          </w:tcPr>
          <w:p>
            <w:pPr>
              <w:spacing w:line="240" w:lineRule="auto"/>
              <w:jc w:val="right"/>
            </w:pPr>
            <w:r>
              <w:rPr>
                <w:rFonts w:ascii="宋体" w:hAnsi="宋体" w:eastAsia="宋体" w:cs="宋体"/>
                <w:b w:val="0"/>
              </w:rPr>
              <w:t>55,604,897.97</w:t>
            </w:r>
          </w:p>
        </w:tc>
        <w:tc>
          <w:tcPr>
            <w:tcW w:w="0" w:type="dxa"/>
            <w:vAlign w:val="center"/>
          </w:tcPr>
          <w:p>
            <w:pPr>
              <w:spacing w:line="240" w:lineRule="auto"/>
              <w:jc w:val="right"/>
            </w:pPr>
            <w:r>
              <w:rPr>
                <w:rFonts w:ascii="宋体" w:hAnsi="宋体" w:eastAsia="宋体" w:cs="宋体"/>
                <w:b w:val="0"/>
              </w:rPr>
              <w:t>88.05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其中：股票</w:t>
            </w:r>
          </w:p>
        </w:tc>
        <w:tc>
          <w:tcPr>
            <w:tcW w:w="0" w:type="dxa"/>
            <w:vAlign w:val="center"/>
          </w:tcPr>
          <w:p>
            <w:pPr>
              <w:spacing w:line="240" w:lineRule="auto"/>
              <w:jc w:val="right"/>
            </w:pPr>
            <w:r>
              <w:rPr>
                <w:rFonts w:ascii="宋体" w:hAnsi="宋体" w:eastAsia="宋体" w:cs="宋体"/>
                <w:b w:val="0"/>
              </w:rPr>
              <w:t>55,604,897.97</w:t>
            </w:r>
          </w:p>
        </w:tc>
        <w:tc>
          <w:tcPr>
            <w:tcW w:w="0" w:type="dxa"/>
            <w:vAlign w:val="center"/>
          </w:tcPr>
          <w:p>
            <w:pPr>
              <w:spacing w:line="240" w:lineRule="auto"/>
              <w:jc w:val="right"/>
            </w:pPr>
            <w:r>
              <w:rPr>
                <w:rFonts w:ascii="宋体" w:hAnsi="宋体" w:eastAsia="宋体" w:cs="宋体"/>
                <w:b w:val="0"/>
              </w:rPr>
              <w:t>88.05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基金投资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固定收益投资</w:t>
            </w:r>
          </w:p>
        </w:tc>
        <w:tc>
          <w:tcPr>
            <w:tcW w:w="0" w:type="dxa"/>
            <w:vAlign w:val="center"/>
          </w:tcPr>
          <w:p>
            <w:pPr>
              <w:spacing w:line="240" w:lineRule="auto"/>
              <w:jc w:val="right"/>
            </w:pPr>
            <w:r>
              <w:rPr>
                <w:rFonts w:ascii="宋体" w:hAnsi="宋体" w:eastAsia="宋体" w:cs="宋体"/>
                <w:b w:val="0"/>
              </w:rPr>
              <w:t>3,202,694.53</w:t>
            </w:r>
          </w:p>
        </w:tc>
        <w:tc>
          <w:tcPr>
            <w:tcW w:w="0" w:type="dxa"/>
            <w:vAlign w:val="center"/>
          </w:tcPr>
          <w:p>
            <w:pPr>
              <w:spacing w:line="240" w:lineRule="auto"/>
              <w:jc w:val="right"/>
            </w:pPr>
            <w:r>
              <w:rPr>
                <w:rFonts w:ascii="宋体" w:hAnsi="宋体" w:eastAsia="宋体" w:cs="宋体"/>
                <w:b w:val="0"/>
              </w:rPr>
              <w:t>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其中：债券</w:t>
            </w:r>
          </w:p>
        </w:tc>
        <w:tc>
          <w:tcPr>
            <w:tcW w:w="0" w:type="dxa"/>
            <w:vAlign w:val="center"/>
          </w:tcPr>
          <w:p>
            <w:pPr>
              <w:spacing w:line="240" w:lineRule="auto"/>
              <w:jc w:val="right"/>
            </w:pPr>
            <w:r>
              <w:rPr>
                <w:rFonts w:ascii="宋体" w:hAnsi="宋体" w:eastAsia="宋体" w:cs="宋体"/>
                <w:b w:val="0"/>
              </w:rPr>
              <w:t>3,202,694.53</w:t>
            </w:r>
          </w:p>
        </w:tc>
        <w:tc>
          <w:tcPr>
            <w:tcW w:w="0" w:type="dxa"/>
            <w:vAlign w:val="center"/>
          </w:tcPr>
          <w:p>
            <w:pPr>
              <w:spacing w:line="240" w:lineRule="auto"/>
              <w:jc w:val="right"/>
            </w:pPr>
            <w:r>
              <w:rPr>
                <w:rFonts w:ascii="宋体" w:hAnsi="宋体" w:eastAsia="宋体" w:cs="宋体"/>
                <w:b w:val="0"/>
              </w:rPr>
              <w:t>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 xml:space="preserve">      资产支持证券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pPr>
            <w:r>
              <w:rPr>
                <w:rFonts w:ascii="宋体" w:hAnsi="宋体" w:eastAsia="宋体" w:cs="宋体"/>
                <w:b w:val="0"/>
              </w:rPr>
              <w:t>贵金属投资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金融衍生品投资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其中：买断式回购的买入返售金融资产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银行存款和结算备付金合计</w:t>
            </w:r>
          </w:p>
        </w:tc>
        <w:tc>
          <w:tcPr>
            <w:tcW w:w="0" w:type="dxa"/>
            <w:vAlign w:val="center"/>
          </w:tcPr>
          <w:p>
            <w:pPr>
              <w:spacing w:line="240" w:lineRule="auto"/>
              <w:jc w:val="right"/>
            </w:pPr>
            <w:r>
              <w:rPr>
                <w:rFonts w:ascii="宋体" w:hAnsi="宋体" w:eastAsia="宋体" w:cs="宋体"/>
                <w:b w:val="0"/>
              </w:rPr>
              <w:t>1,611,138.21</w:t>
            </w:r>
          </w:p>
        </w:tc>
        <w:tc>
          <w:tcPr>
            <w:tcW w:w="0" w:type="dxa"/>
            <w:vAlign w:val="center"/>
          </w:tcPr>
          <w:p>
            <w:pPr>
              <w:spacing w:line="240" w:lineRule="auto"/>
              <w:jc w:val="right"/>
            </w:pPr>
            <w:r>
              <w:rPr>
                <w:rFonts w:ascii="宋体" w:hAnsi="宋体" w:eastAsia="宋体" w:cs="宋体"/>
                <w:b w:val="0"/>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其他资产</w:t>
            </w:r>
          </w:p>
        </w:tc>
        <w:tc>
          <w:tcPr>
            <w:tcW w:w="0" w:type="dxa"/>
            <w:vAlign w:val="center"/>
          </w:tcPr>
          <w:p>
            <w:pPr>
              <w:spacing w:line="240" w:lineRule="auto"/>
              <w:jc w:val="right"/>
            </w:pPr>
            <w:r>
              <w:rPr>
                <w:rFonts w:ascii="宋体" w:hAnsi="宋体" w:eastAsia="宋体" w:cs="宋体"/>
                <w:b w:val="0"/>
              </w:rPr>
              <w:t>2,735,430.87</w:t>
            </w:r>
          </w:p>
        </w:tc>
        <w:tc>
          <w:tcPr>
            <w:tcW w:w="0" w:type="dxa"/>
            <w:vAlign w:val="center"/>
          </w:tcPr>
          <w:p>
            <w:pPr>
              <w:spacing w:line="240" w:lineRule="auto"/>
              <w:jc w:val="right"/>
            </w:pPr>
            <w:r>
              <w:rPr>
                <w:rFonts w:ascii="宋体" w:hAnsi="宋体" w:eastAsia="宋体" w:cs="宋体"/>
                <w:b w:val="0"/>
              </w:rPr>
              <w:t>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63,154,161.58</w:t>
            </w:r>
          </w:p>
        </w:tc>
        <w:tc>
          <w:tcPr>
            <w:tcW w:w="0" w:type="dxa"/>
            <w:vAlign w:val="center"/>
          </w:tcPr>
          <w:p>
            <w:pPr>
              <w:spacing w:line="240" w:lineRule="auto"/>
              <w:jc w:val="right"/>
            </w:pPr>
            <w:r>
              <w:rPr>
                <w:rFonts w:ascii="宋体" w:hAnsi="宋体" w:eastAsia="宋体" w:cs="宋体"/>
                <w:b w:val="0"/>
              </w:rPr>
              <w:t>100.00</w:t>
            </w:r>
          </w:p>
        </w:tc>
      </w:tr>
    </w:tbl>
    <w:p/>
    <w:p>
      <w:pPr>
        <w:pStyle w:val="3"/>
        <w:jc w:val="left"/>
      </w:pPr>
      <w:r>
        <w:rPr>
          <w:rFonts w:ascii="宋体" w:hAnsi="宋体" w:eastAsia="宋体" w:cs="宋体"/>
        </w:rPr>
        <w:t>5.2 报告期末按行业分类的股票投资组合</w:t>
      </w:r>
    </w:p>
    <w:p>
      <w:pPr>
        <w:pStyle w:val="58"/>
      </w:pPr>
      <w:r>
        <w:rPr>
          <w:rFonts w:ascii="宋体" w:hAnsi="宋体" w:eastAsia="宋体" w:cs="宋体"/>
          <w:b/>
        </w:rPr>
        <w:t>5.2.1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3095"/>
        <w:gridCol w:w="1858"/>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代码</w:t>
            </w:r>
          </w:p>
        </w:tc>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A</w:t>
            </w:r>
          </w:p>
        </w:tc>
        <w:tc>
          <w:tcPr>
            <w:tcW w:w="0" w:type="dxa"/>
            <w:vAlign w:val="center"/>
          </w:tcPr>
          <w:p>
            <w:pPr>
              <w:spacing w:line="240" w:lineRule="auto"/>
              <w:jc w:val="left"/>
            </w:pPr>
            <w:r>
              <w:rPr>
                <w:rFonts w:ascii="宋体" w:hAnsi="宋体" w:eastAsia="宋体" w:cs="宋体"/>
                <w:b w:val="0"/>
              </w:rPr>
              <w:t>农、林、牧、渔业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B</w:t>
            </w:r>
          </w:p>
        </w:tc>
        <w:tc>
          <w:tcPr>
            <w:tcW w:w="0" w:type="dxa"/>
            <w:vAlign w:val="center"/>
          </w:tcPr>
          <w:p>
            <w:pPr>
              <w:spacing w:line="240" w:lineRule="auto"/>
              <w:jc w:val="left"/>
            </w:pPr>
            <w:r>
              <w:rPr>
                <w:rFonts w:ascii="宋体" w:hAnsi="宋体" w:eastAsia="宋体" w:cs="宋体"/>
                <w:b w:val="0"/>
              </w:rPr>
              <w:t>采矿业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C</w:t>
            </w:r>
          </w:p>
        </w:tc>
        <w:tc>
          <w:tcPr>
            <w:tcW w:w="0" w:type="dxa"/>
            <w:vAlign w:val="center"/>
          </w:tcPr>
          <w:p>
            <w:pPr>
              <w:spacing w:line="240" w:lineRule="auto"/>
              <w:jc w:val="left"/>
            </w:pPr>
            <w:r>
              <w:rPr>
                <w:rFonts w:ascii="宋体" w:hAnsi="宋体" w:eastAsia="宋体" w:cs="宋体"/>
                <w:b w:val="0"/>
              </w:rPr>
              <w:t>制造业</w:t>
            </w:r>
          </w:p>
        </w:tc>
        <w:tc>
          <w:tcPr>
            <w:tcW w:w="0" w:type="dxa"/>
            <w:vAlign w:val="center"/>
          </w:tcPr>
          <w:p>
            <w:pPr>
              <w:spacing w:line="240" w:lineRule="auto"/>
              <w:jc w:val="right"/>
            </w:pPr>
            <w:r>
              <w:rPr>
                <w:rFonts w:ascii="宋体" w:hAnsi="宋体" w:eastAsia="宋体" w:cs="宋体"/>
                <w:b w:val="0"/>
              </w:rPr>
              <w:t>55,604,897.97</w:t>
            </w:r>
          </w:p>
        </w:tc>
        <w:tc>
          <w:tcPr>
            <w:tcW w:w="0" w:type="dxa"/>
            <w:vAlign w:val="center"/>
          </w:tcPr>
          <w:p>
            <w:pPr>
              <w:spacing w:line="240" w:lineRule="auto"/>
              <w:jc w:val="right"/>
            </w:pPr>
            <w:r>
              <w:rPr>
                <w:rFonts w:ascii="宋体" w:hAnsi="宋体" w:eastAsia="宋体" w:cs="宋体"/>
                <w:b w:val="0"/>
              </w:rPr>
              <w:t>93.97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D</w:t>
            </w:r>
          </w:p>
        </w:tc>
        <w:tc>
          <w:tcPr>
            <w:tcW w:w="0" w:type="dxa"/>
            <w:vAlign w:val="center"/>
          </w:tcPr>
          <w:p>
            <w:pPr>
              <w:spacing w:line="240" w:lineRule="auto"/>
              <w:jc w:val="left"/>
            </w:pPr>
            <w:r>
              <w:rPr>
                <w:rFonts w:ascii="宋体" w:hAnsi="宋体" w:eastAsia="宋体" w:cs="宋体"/>
                <w:b w:val="0"/>
              </w:rPr>
              <w:t>电力、热力、燃气及水生产和供应业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E</w:t>
            </w:r>
          </w:p>
        </w:tc>
        <w:tc>
          <w:tcPr>
            <w:tcW w:w="0" w:type="dxa"/>
            <w:vAlign w:val="center"/>
          </w:tcPr>
          <w:p>
            <w:pPr>
              <w:spacing w:line="240" w:lineRule="auto"/>
              <w:jc w:val="left"/>
            </w:pPr>
            <w:r>
              <w:rPr>
                <w:rFonts w:ascii="宋体" w:hAnsi="宋体" w:eastAsia="宋体" w:cs="宋体"/>
                <w:b w:val="0"/>
              </w:rPr>
              <w:t>建筑业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F</w:t>
            </w:r>
          </w:p>
        </w:tc>
        <w:tc>
          <w:tcPr>
            <w:tcW w:w="0" w:type="dxa"/>
            <w:vAlign w:val="center"/>
          </w:tcPr>
          <w:p>
            <w:pPr>
              <w:spacing w:line="240" w:lineRule="auto"/>
              <w:jc w:val="left"/>
            </w:pPr>
            <w:r>
              <w:rPr>
                <w:rFonts w:ascii="宋体" w:hAnsi="宋体" w:eastAsia="宋体" w:cs="宋体"/>
                <w:b w:val="0"/>
              </w:rPr>
              <w:t>批发和零售业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G</w:t>
            </w:r>
          </w:p>
        </w:tc>
        <w:tc>
          <w:tcPr>
            <w:tcW w:w="0" w:type="dxa"/>
            <w:vAlign w:val="center"/>
          </w:tcPr>
          <w:p>
            <w:pPr>
              <w:spacing w:line="240" w:lineRule="auto"/>
              <w:jc w:val="left"/>
            </w:pPr>
            <w:r>
              <w:rPr>
                <w:rFonts w:ascii="宋体" w:hAnsi="宋体" w:eastAsia="宋体" w:cs="宋体"/>
                <w:b w:val="0"/>
              </w:rPr>
              <w:t>交通运输、仓储和邮政业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H</w:t>
            </w:r>
          </w:p>
        </w:tc>
        <w:tc>
          <w:tcPr>
            <w:tcW w:w="0" w:type="dxa"/>
            <w:vAlign w:val="center"/>
          </w:tcPr>
          <w:p>
            <w:pPr>
              <w:spacing w:line="240" w:lineRule="auto"/>
              <w:jc w:val="left"/>
            </w:pPr>
            <w:r>
              <w:rPr>
                <w:rFonts w:ascii="宋体" w:hAnsi="宋体" w:eastAsia="宋体" w:cs="宋体"/>
                <w:b w:val="0"/>
              </w:rPr>
              <w:t>住宿和餐饮业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I</w:t>
            </w:r>
          </w:p>
        </w:tc>
        <w:tc>
          <w:tcPr>
            <w:tcW w:w="0" w:type="dxa"/>
            <w:vAlign w:val="center"/>
          </w:tcPr>
          <w:p>
            <w:pPr>
              <w:spacing w:line="240" w:lineRule="auto"/>
              <w:jc w:val="left"/>
            </w:pPr>
            <w:r>
              <w:rPr>
                <w:rFonts w:ascii="宋体" w:hAnsi="宋体" w:eastAsia="宋体" w:cs="宋体"/>
                <w:b w:val="0"/>
              </w:rPr>
              <w:t>信息传输、软件和信息技术服务业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J</w:t>
            </w:r>
          </w:p>
        </w:tc>
        <w:tc>
          <w:tcPr>
            <w:tcW w:w="0" w:type="dxa"/>
            <w:vAlign w:val="center"/>
          </w:tcPr>
          <w:p>
            <w:pPr>
              <w:spacing w:line="240" w:lineRule="auto"/>
              <w:jc w:val="left"/>
            </w:pPr>
            <w:r>
              <w:rPr>
                <w:rFonts w:ascii="宋体" w:hAnsi="宋体" w:eastAsia="宋体" w:cs="宋体"/>
                <w:b w:val="0"/>
              </w:rPr>
              <w:t>金融业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K</w:t>
            </w:r>
          </w:p>
        </w:tc>
        <w:tc>
          <w:tcPr>
            <w:tcW w:w="0" w:type="dxa"/>
            <w:vAlign w:val="center"/>
          </w:tcPr>
          <w:p>
            <w:pPr>
              <w:spacing w:line="240" w:lineRule="auto"/>
              <w:jc w:val="left"/>
            </w:pPr>
            <w:r>
              <w:rPr>
                <w:rFonts w:ascii="宋体" w:hAnsi="宋体" w:eastAsia="宋体" w:cs="宋体"/>
                <w:b w:val="0"/>
              </w:rPr>
              <w:t>房地产业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L</w:t>
            </w:r>
          </w:p>
        </w:tc>
        <w:tc>
          <w:tcPr>
            <w:tcW w:w="0" w:type="dxa"/>
            <w:vAlign w:val="center"/>
          </w:tcPr>
          <w:p>
            <w:pPr>
              <w:spacing w:line="240" w:lineRule="auto"/>
              <w:jc w:val="left"/>
            </w:pPr>
            <w:r>
              <w:rPr>
                <w:rFonts w:ascii="宋体" w:hAnsi="宋体" w:eastAsia="宋体" w:cs="宋体"/>
                <w:b w:val="0"/>
              </w:rPr>
              <w:t>租赁和商务服务业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M</w:t>
            </w:r>
          </w:p>
        </w:tc>
        <w:tc>
          <w:tcPr>
            <w:tcW w:w="0" w:type="dxa"/>
            <w:vAlign w:val="center"/>
          </w:tcPr>
          <w:p>
            <w:pPr>
              <w:spacing w:line="240" w:lineRule="auto"/>
              <w:jc w:val="left"/>
            </w:pPr>
            <w:r>
              <w:rPr>
                <w:rFonts w:ascii="宋体" w:hAnsi="宋体" w:eastAsia="宋体" w:cs="宋体"/>
                <w:b w:val="0"/>
              </w:rPr>
              <w:t>科学研究和技术服务业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N</w:t>
            </w:r>
          </w:p>
        </w:tc>
        <w:tc>
          <w:tcPr>
            <w:tcW w:w="0" w:type="dxa"/>
            <w:vAlign w:val="center"/>
          </w:tcPr>
          <w:p>
            <w:pPr>
              <w:spacing w:line="240" w:lineRule="auto"/>
              <w:jc w:val="left"/>
            </w:pPr>
            <w:r>
              <w:rPr>
                <w:rFonts w:ascii="宋体" w:hAnsi="宋体" w:eastAsia="宋体" w:cs="宋体"/>
                <w:b w:val="0"/>
              </w:rPr>
              <w:t>水利、环境和公共设施管理业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O</w:t>
            </w:r>
          </w:p>
        </w:tc>
        <w:tc>
          <w:tcPr>
            <w:tcW w:w="0" w:type="dxa"/>
            <w:vAlign w:val="center"/>
          </w:tcPr>
          <w:p>
            <w:pPr>
              <w:spacing w:line="240" w:lineRule="auto"/>
              <w:jc w:val="left"/>
            </w:pPr>
            <w:r>
              <w:rPr>
                <w:rFonts w:ascii="宋体" w:hAnsi="宋体" w:eastAsia="宋体" w:cs="宋体"/>
                <w:b w:val="0"/>
              </w:rPr>
              <w:t>居民服务、修理和其他服务业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P</w:t>
            </w:r>
          </w:p>
        </w:tc>
        <w:tc>
          <w:tcPr>
            <w:tcW w:w="0" w:type="dxa"/>
            <w:vAlign w:val="center"/>
          </w:tcPr>
          <w:p>
            <w:pPr>
              <w:spacing w:line="240" w:lineRule="auto"/>
              <w:jc w:val="left"/>
            </w:pPr>
            <w:r>
              <w:rPr>
                <w:rFonts w:ascii="宋体" w:hAnsi="宋体" w:eastAsia="宋体" w:cs="宋体"/>
                <w:b w:val="0"/>
              </w:rPr>
              <w:t>教育</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Q</w:t>
            </w:r>
          </w:p>
        </w:tc>
        <w:tc>
          <w:tcPr>
            <w:tcW w:w="0" w:type="dxa"/>
            <w:vAlign w:val="center"/>
          </w:tcPr>
          <w:p>
            <w:pPr>
              <w:spacing w:line="240" w:lineRule="auto"/>
              <w:jc w:val="left"/>
            </w:pPr>
            <w:r>
              <w:rPr>
                <w:rFonts w:ascii="宋体" w:hAnsi="宋体" w:eastAsia="宋体" w:cs="宋体"/>
                <w:b w:val="0"/>
              </w:rPr>
              <w:t>卫生和社会工作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R</w:t>
            </w:r>
          </w:p>
        </w:tc>
        <w:tc>
          <w:tcPr>
            <w:tcW w:w="0" w:type="dxa"/>
            <w:vAlign w:val="center"/>
          </w:tcPr>
          <w:p>
            <w:pPr>
              <w:spacing w:line="240" w:lineRule="auto"/>
              <w:jc w:val="left"/>
            </w:pPr>
            <w:r>
              <w:rPr>
                <w:rFonts w:ascii="宋体" w:hAnsi="宋体" w:eastAsia="宋体" w:cs="宋体"/>
                <w:b w:val="0"/>
              </w:rPr>
              <w:t>文化、体育和娱乐业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S</w:t>
            </w:r>
          </w:p>
        </w:tc>
        <w:tc>
          <w:tcPr>
            <w:tcW w:w="0" w:type="dxa"/>
            <w:vAlign w:val="center"/>
          </w:tcPr>
          <w:p>
            <w:pPr>
              <w:spacing w:line="240" w:lineRule="auto"/>
              <w:jc w:val="left"/>
            </w:pPr>
            <w:r>
              <w:rPr>
                <w:rFonts w:ascii="宋体" w:hAnsi="宋体" w:eastAsia="宋体" w:cs="宋体"/>
                <w:b w:val="0"/>
              </w:rPr>
              <w:t>综合</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55,604,897.97</w:t>
            </w:r>
          </w:p>
        </w:tc>
        <w:tc>
          <w:tcPr>
            <w:tcW w:w="0" w:type="dxa"/>
            <w:vAlign w:val="center"/>
          </w:tcPr>
          <w:p>
            <w:pPr>
              <w:spacing w:line="240" w:lineRule="auto"/>
              <w:jc w:val="right"/>
            </w:pPr>
            <w:r>
              <w:rPr>
                <w:rFonts w:ascii="宋体" w:hAnsi="宋体" w:eastAsia="宋体" w:cs="宋体"/>
                <w:b w:val="0"/>
              </w:rPr>
              <w:t>93.97</w:t>
            </w:r>
          </w:p>
        </w:tc>
      </w:tr>
    </w:tbl>
    <w:p/>
    <w:p>
      <w:pPr>
        <w:pStyle w:val="58"/>
      </w:pPr>
      <w:r>
        <w:rPr>
          <w:rFonts w:ascii="宋体" w:hAnsi="宋体" w:eastAsia="宋体" w:cs="宋体"/>
          <w:b/>
        </w:rPr>
        <w:t>5.2.2 报告期末按行业分类的港股通投资股票投资组合</w:t>
      </w:r>
    </w:p>
    <w:p>
      <w:r>
        <w:rPr>
          <w:rFonts w:ascii="宋体" w:hAnsi="宋体" w:eastAsia="宋体" w:cs="宋体"/>
          <w:b w:val="0"/>
        </w:rPr>
        <w:t xml:space="preserve">    本基金本报告期末未持有港股通投资股票投资组合。</w:t>
      </w:r>
    </w:p>
    <w:p/>
    <w:p>
      <w:pPr>
        <w:pStyle w:val="3"/>
        <w:jc w:val="left"/>
      </w:pPr>
      <w:r>
        <w:rPr>
          <w:rFonts w:ascii="宋体" w:hAnsi="宋体" w:eastAsia="宋体" w:cs="宋体"/>
        </w:rPr>
        <w:t>5.3 报告期末按公允价值占基金资产净值比例大小排序的前十名股票投资明细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615" w:type="pct"/>
            <w:shd w:val="clear" w:color="auto" w:fill="D9D9D9"/>
            <w:vAlign w:val="center"/>
          </w:tcPr>
          <w:p>
            <w:pPr>
              <w:spacing w:line="240" w:lineRule="auto"/>
              <w:jc w:val="center"/>
            </w:pPr>
            <w:r>
              <w:rPr>
                <w:rFonts w:ascii="宋体" w:hAnsi="宋体" w:eastAsia="宋体" w:cs="宋体"/>
                <w:b w:val="0"/>
              </w:rPr>
              <w:t>数量(股)</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300567</w:t>
            </w:r>
          </w:p>
        </w:tc>
        <w:tc>
          <w:tcPr>
            <w:tcW w:w="0" w:type="dxa"/>
            <w:vAlign w:val="center"/>
          </w:tcPr>
          <w:p>
            <w:pPr>
              <w:spacing w:line="240" w:lineRule="auto"/>
              <w:jc w:val="left"/>
            </w:pPr>
            <w:r>
              <w:rPr>
                <w:rFonts w:ascii="宋体" w:hAnsi="宋体" w:eastAsia="宋体" w:cs="宋体"/>
                <w:b w:val="0"/>
              </w:rPr>
              <w:t>精测电子</w:t>
            </w:r>
          </w:p>
        </w:tc>
        <w:tc>
          <w:tcPr>
            <w:tcW w:w="0" w:type="dxa"/>
            <w:vAlign w:val="center"/>
          </w:tcPr>
          <w:p>
            <w:pPr>
              <w:spacing w:line="240" w:lineRule="auto"/>
              <w:jc w:val="right"/>
            </w:pPr>
            <w:r>
              <w:rPr>
                <w:rFonts w:ascii="宋体" w:hAnsi="宋体" w:eastAsia="宋体" w:cs="宋体"/>
                <w:b w:val="0"/>
              </w:rPr>
              <w:t>61,100</w:t>
            </w:r>
          </w:p>
        </w:tc>
        <w:tc>
          <w:tcPr>
            <w:tcW w:w="0" w:type="dxa"/>
            <w:vAlign w:val="center"/>
          </w:tcPr>
          <w:p>
            <w:pPr>
              <w:spacing w:line="240" w:lineRule="auto"/>
              <w:jc w:val="right"/>
            </w:pPr>
            <w:r>
              <w:rPr>
                <w:rFonts w:ascii="宋体" w:hAnsi="宋体" w:eastAsia="宋体" w:cs="宋体"/>
                <w:b w:val="0"/>
              </w:rPr>
              <w:t>5,572,320.00</w:t>
            </w:r>
          </w:p>
        </w:tc>
        <w:tc>
          <w:tcPr>
            <w:tcW w:w="0" w:type="dxa"/>
            <w:vAlign w:val="center"/>
          </w:tcPr>
          <w:p>
            <w:pPr>
              <w:spacing w:line="240" w:lineRule="auto"/>
              <w:jc w:val="right"/>
            </w:pPr>
            <w:r>
              <w:rPr>
                <w:rFonts w:ascii="宋体" w:hAnsi="宋体" w:eastAsia="宋体" w:cs="宋体"/>
                <w:b w:val="0"/>
              </w:rPr>
              <w:t>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688072</w:t>
            </w:r>
          </w:p>
        </w:tc>
        <w:tc>
          <w:tcPr>
            <w:tcW w:w="0" w:type="dxa"/>
            <w:vAlign w:val="center"/>
          </w:tcPr>
          <w:p>
            <w:pPr>
              <w:spacing w:line="240" w:lineRule="auto"/>
              <w:jc w:val="left"/>
            </w:pPr>
            <w:r>
              <w:rPr>
                <w:rFonts w:ascii="宋体" w:hAnsi="宋体" w:eastAsia="宋体" w:cs="宋体"/>
                <w:b w:val="0"/>
              </w:rPr>
              <w:t>拓荆科技</w:t>
            </w:r>
          </w:p>
        </w:tc>
        <w:tc>
          <w:tcPr>
            <w:tcW w:w="0" w:type="dxa"/>
            <w:vAlign w:val="center"/>
          </w:tcPr>
          <w:p>
            <w:pPr>
              <w:spacing w:line="240" w:lineRule="auto"/>
              <w:jc w:val="right"/>
            </w:pPr>
            <w:r>
              <w:rPr>
                <w:rFonts w:ascii="宋体" w:hAnsi="宋体" w:eastAsia="宋体" w:cs="宋体"/>
                <w:b w:val="0"/>
              </w:rPr>
              <w:t>16,672</w:t>
            </w:r>
          </w:p>
        </w:tc>
        <w:tc>
          <w:tcPr>
            <w:tcW w:w="0" w:type="dxa"/>
            <w:vAlign w:val="center"/>
          </w:tcPr>
          <w:p>
            <w:pPr>
              <w:spacing w:line="240" w:lineRule="auto"/>
              <w:jc w:val="right"/>
            </w:pPr>
            <w:r>
              <w:rPr>
                <w:rFonts w:ascii="宋体" w:hAnsi="宋体" w:eastAsia="宋体" w:cs="宋体"/>
                <w:b w:val="0"/>
              </w:rPr>
              <w:t>5,501,760.00</w:t>
            </w:r>
          </w:p>
        </w:tc>
        <w:tc>
          <w:tcPr>
            <w:tcW w:w="0" w:type="dxa"/>
            <w:vAlign w:val="center"/>
          </w:tcPr>
          <w:p>
            <w:pPr>
              <w:spacing w:line="240" w:lineRule="auto"/>
              <w:jc w:val="right"/>
            </w:pPr>
            <w:r>
              <w:rPr>
                <w:rFonts w:ascii="宋体" w:hAnsi="宋体" w:eastAsia="宋体" w:cs="宋体"/>
                <w:b w:val="0"/>
              </w:rPr>
              <w:t>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688361</w:t>
            </w:r>
          </w:p>
        </w:tc>
        <w:tc>
          <w:tcPr>
            <w:tcW w:w="0" w:type="dxa"/>
            <w:vAlign w:val="center"/>
          </w:tcPr>
          <w:p>
            <w:pPr>
              <w:spacing w:line="240" w:lineRule="auto"/>
              <w:jc w:val="left"/>
            </w:pPr>
            <w:r>
              <w:rPr>
                <w:rFonts w:ascii="宋体" w:hAnsi="宋体" w:eastAsia="宋体" w:cs="宋体"/>
                <w:b w:val="0"/>
              </w:rPr>
              <w:t>中科飞测</w:t>
            </w:r>
          </w:p>
        </w:tc>
        <w:tc>
          <w:tcPr>
            <w:tcW w:w="0" w:type="dxa"/>
            <w:vAlign w:val="center"/>
          </w:tcPr>
          <w:p>
            <w:pPr>
              <w:spacing w:line="240" w:lineRule="auto"/>
              <w:jc w:val="right"/>
            </w:pPr>
            <w:r>
              <w:rPr>
                <w:rFonts w:ascii="宋体" w:hAnsi="宋体" w:eastAsia="宋体" w:cs="宋体"/>
                <w:b w:val="0"/>
              </w:rPr>
              <w:t>35,084</w:t>
            </w:r>
          </w:p>
        </w:tc>
        <w:tc>
          <w:tcPr>
            <w:tcW w:w="0" w:type="dxa"/>
            <w:vAlign w:val="center"/>
          </w:tcPr>
          <w:p>
            <w:pPr>
              <w:spacing w:line="240" w:lineRule="auto"/>
              <w:jc w:val="right"/>
            </w:pPr>
            <w:r>
              <w:rPr>
                <w:rFonts w:ascii="宋体" w:hAnsi="宋体" w:eastAsia="宋体" w:cs="宋体"/>
                <w:b w:val="0"/>
              </w:rPr>
              <w:t>5,367,501.16</w:t>
            </w:r>
          </w:p>
        </w:tc>
        <w:tc>
          <w:tcPr>
            <w:tcW w:w="0" w:type="dxa"/>
            <w:vAlign w:val="center"/>
          </w:tcPr>
          <w:p>
            <w:pPr>
              <w:spacing w:line="240" w:lineRule="auto"/>
              <w:jc w:val="right"/>
            </w:pPr>
            <w:r>
              <w:rPr>
                <w:rFonts w:ascii="宋体" w:hAnsi="宋体" w:eastAsia="宋体" w:cs="宋体"/>
                <w:b w:val="0"/>
              </w:rPr>
              <w:t>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688037</w:t>
            </w:r>
          </w:p>
        </w:tc>
        <w:tc>
          <w:tcPr>
            <w:tcW w:w="0" w:type="dxa"/>
            <w:vAlign w:val="center"/>
          </w:tcPr>
          <w:p>
            <w:pPr>
              <w:spacing w:line="240" w:lineRule="auto"/>
              <w:jc w:val="left"/>
            </w:pPr>
            <w:r>
              <w:rPr>
                <w:rFonts w:ascii="宋体" w:hAnsi="宋体" w:eastAsia="宋体" w:cs="宋体"/>
                <w:b w:val="0"/>
              </w:rPr>
              <w:t>芯源微</w:t>
            </w:r>
          </w:p>
        </w:tc>
        <w:tc>
          <w:tcPr>
            <w:tcW w:w="0" w:type="dxa"/>
            <w:vAlign w:val="center"/>
          </w:tcPr>
          <w:p>
            <w:pPr>
              <w:spacing w:line="240" w:lineRule="auto"/>
              <w:jc w:val="right"/>
            </w:pPr>
            <w:r>
              <w:rPr>
                <w:rFonts w:ascii="宋体" w:hAnsi="宋体" w:eastAsia="宋体" w:cs="宋体"/>
                <w:b w:val="0"/>
              </w:rPr>
              <w:t>35,322</w:t>
            </w:r>
          </w:p>
        </w:tc>
        <w:tc>
          <w:tcPr>
            <w:tcW w:w="0" w:type="dxa"/>
            <w:vAlign w:val="center"/>
          </w:tcPr>
          <w:p>
            <w:pPr>
              <w:spacing w:line="240" w:lineRule="auto"/>
              <w:jc w:val="right"/>
            </w:pPr>
            <w:r>
              <w:rPr>
                <w:rFonts w:ascii="宋体" w:hAnsi="宋体" w:eastAsia="宋体" w:cs="宋体"/>
                <w:b w:val="0"/>
              </w:rPr>
              <w:t>5,245,670.22</w:t>
            </w:r>
          </w:p>
        </w:tc>
        <w:tc>
          <w:tcPr>
            <w:tcW w:w="0" w:type="dxa"/>
            <w:vAlign w:val="center"/>
          </w:tcPr>
          <w:p>
            <w:pPr>
              <w:spacing w:line="240" w:lineRule="auto"/>
              <w:jc w:val="right"/>
            </w:pPr>
            <w:r>
              <w:rPr>
                <w:rFonts w:ascii="宋体" w:hAnsi="宋体" w:eastAsia="宋体" w:cs="宋体"/>
                <w:b w:val="0"/>
              </w:rPr>
              <w:t>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688627</w:t>
            </w:r>
          </w:p>
        </w:tc>
        <w:tc>
          <w:tcPr>
            <w:tcW w:w="0" w:type="dxa"/>
            <w:vAlign w:val="center"/>
          </w:tcPr>
          <w:p>
            <w:pPr>
              <w:spacing w:line="240" w:lineRule="auto"/>
              <w:jc w:val="left"/>
            </w:pPr>
            <w:r>
              <w:rPr>
                <w:rFonts w:ascii="宋体" w:hAnsi="宋体" w:eastAsia="宋体" w:cs="宋体"/>
                <w:b w:val="0"/>
              </w:rPr>
              <w:t>精智达</w:t>
            </w:r>
          </w:p>
        </w:tc>
        <w:tc>
          <w:tcPr>
            <w:tcW w:w="0" w:type="dxa"/>
            <w:vAlign w:val="center"/>
          </w:tcPr>
          <w:p>
            <w:pPr>
              <w:spacing w:line="240" w:lineRule="auto"/>
              <w:jc w:val="right"/>
            </w:pPr>
            <w:r>
              <w:rPr>
                <w:rFonts w:ascii="宋体" w:hAnsi="宋体" w:eastAsia="宋体" w:cs="宋体"/>
                <w:b w:val="0"/>
              </w:rPr>
              <w:t>23,383</w:t>
            </w:r>
          </w:p>
        </w:tc>
        <w:tc>
          <w:tcPr>
            <w:tcW w:w="0" w:type="dxa"/>
            <w:vAlign w:val="center"/>
          </w:tcPr>
          <w:p>
            <w:pPr>
              <w:spacing w:line="240" w:lineRule="auto"/>
              <w:jc w:val="right"/>
            </w:pPr>
            <w:r>
              <w:rPr>
                <w:rFonts w:ascii="宋体" w:hAnsi="宋体" w:eastAsia="宋体" w:cs="宋体"/>
                <w:b w:val="0"/>
              </w:rPr>
              <w:t>5,228,204.97</w:t>
            </w:r>
          </w:p>
        </w:tc>
        <w:tc>
          <w:tcPr>
            <w:tcW w:w="0" w:type="dxa"/>
            <w:vAlign w:val="center"/>
          </w:tcPr>
          <w:p>
            <w:pPr>
              <w:spacing w:line="240" w:lineRule="auto"/>
              <w:jc w:val="right"/>
            </w:pPr>
            <w:r>
              <w:rPr>
                <w:rFonts w:ascii="宋体" w:hAnsi="宋体" w:eastAsia="宋体" w:cs="宋体"/>
                <w:b w:val="0"/>
              </w:rPr>
              <w:t>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002371</w:t>
            </w:r>
          </w:p>
        </w:tc>
        <w:tc>
          <w:tcPr>
            <w:tcW w:w="0" w:type="dxa"/>
            <w:vAlign w:val="center"/>
          </w:tcPr>
          <w:p>
            <w:pPr>
              <w:spacing w:line="240" w:lineRule="auto"/>
              <w:jc w:val="left"/>
            </w:pPr>
            <w:r>
              <w:rPr>
                <w:rFonts w:ascii="宋体" w:hAnsi="宋体" w:eastAsia="宋体" w:cs="宋体"/>
                <w:b w:val="0"/>
              </w:rPr>
              <w:t>北方华创</w:t>
            </w:r>
          </w:p>
        </w:tc>
        <w:tc>
          <w:tcPr>
            <w:tcW w:w="0" w:type="dxa"/>
            <w:vAlign w:val="center"/>
          </w:tcPr>
          <w:p>
            <w:pPr>
              <w:spacing w:line="240" w:lineRule="auto"/>
              <w:jc w:val="right"/>
            </w:pPr>
            <w:r>
              <w:rPr>
                <w:rFonts w:ascii="宋体" w:hAnsi="宋体" w:eastAsia="宋体" w:cs="宋体"/>
                <w:b w:val="0"/>
              </w:rPr>
              <w:t>10,500</w:t>
            </w:r>
          </w:p>
        </w:tc>
        <w:tc>
          <w:tcPr>
            <w:tcW w:w="0" w:type="dxa"/>
            <w:vAlign w:val="center"/>
          </w:tcPr>
          <w:p>
            <w:pPr>
              <w:spacing w:line="240" w:lineRule="auto"/>
              <w:jc w:val="right"/>
            </w:pPr>
            <w:r>
              <w:rPr>
                <w:rFonts w:ascii="宋体" w:hAnsi="宋体" w:eastAsia="宋体" w:cs="宋体"/>
                <w:b w:val="0"/>
              </w:rPr>
              <w:t>4,820,340.00</w:t>
            </w:r>
          </w:p>
        </w:tc>
        <w:tc>
          <w:tcPr>
            <w:tcW w:w="0" w:type="dxa"/>
            <w:vAlign w:val="center"/>
          </w:tcPr>
          <w:p>
            <w:pPr>
              <w:spacing w:line="240" w:lineRule="auto"/>
              <w:jc w:val="right"/>
            </w:pPr>
            <w:r>
              <w:rPr>
                <w:rFonts w:ascii="宋体" w:hAnsi="宋体" w:eastAsia="宋体" w:cs="宋体"/>
                <w:b w:val="0"/>
              </w:rPr>
              <w:t>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300604</w:t>
            </w:r>
          </w:p>
        </w:tc>
        <w:tc>
          <w:tcPr>
            <w:tcW w:w="0" w:type="dxa"/>
            <w:vAlign w:val="center"/>
          </w:tcPr>
          <w:p>
            <w:pPr>
              <w:spacing w:line="240" w:lineRule="auto"/>
              <w:jc w:val="left"/>
            </w:pPr>
            <w:r>
              <w:rPr>
                <w:rFonts w:ascii="宋体" w:hAnsi="宋体" w:eastAsia="宋体" w:cs="宋体"/>
                <w:b w:val="0"/>
              </w:rPr>
              <w:t>长川科技</w:t>
            </w:r>
          </w:p>
        </w:tc>
        <w:tc>
          <w:tcPr>
            <w:tcW w:w="0" w:type="dxa"/>
            <w:vAlign w:val="center"/>
          </w:tcPr>
          <w:p>
            <w:pPr>
              <w:spacing w:line="240" w:lineRule="auto"/>
              <w:jc w:val="right"/>
            </w:pPr>
            <w:r>
              <w:rPr>
                <w:rFonts w:ascii="宋体" w:hAnsi="宋体" w:eastAsia="宋体" w:cs="宋体"/>
                <w:b w:val="0"/>
              </w:rPr>
              <w:t>44,400</w:t>
            </w:r>
          </w:p>
        </w:tc>
        <w:tc>
          <w:tcPr>
            <w:tcW w:w="0" w:type="dxa"/>
            <w:vAlign w:val="center"/>
          </w:tcPr>
          <w:p>
            <w:pPr>
              <w:spacing w:line="240" w:lineRule="auto"/>
              <w:jc w:val="right"/>
            </w:pPr>
            <w:r>
              <w:rPr>
                <w:rFonts w:ascii="宋体" w:hAnsi="宋体" w:eastAsia="宋体" w:cs="宋体"/>
                <w:b w:val="0"/>
              </w:rPr>
              <w:t>4,498,164.00</w:t>
            </w:r>
          </w:p>
        </w:tc>
        <w:tc>
          <w:tcPr>
            <w:tcW w:w="0" w:type="dxa"/>
            <w:vAlign w:val="center"/>
          </w:tcPr>
          <w:p>
            <w:pPr>
              <w:spacing w:line="240" w:lineRule="auto"/>
              <w:jc w:val="right"/>
            </w:pPr>
            <w:r>
              <w:rPr>
                <w:rFonts w:ascii="宋体" w:hAnsi="宋体" w:eastAsia="宋体" w:cs="宋体"/>
                <w:b w:val="0"/>
              </w:rPr>
              <w:t>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688652</w:t>
            </w:r>
          </w:p>
        </w:tc>
        <w:tc>
          <w:tcPr>
            <w:tcW w:w="0" w:type="dxa"/>
            <w:vAlign w:val="center"/>
          </w:tcPr>
          <w:p>
            <w:pPr>
              <w:spacing w:line="240" w:lineRule="auto"/>
              <w:jc w:val="left"/>
            </w:pPr>
            <w:r>
              <w:rPr>
                <w:rFonts w:ascii="宋体" w:hAnsi="宋体" w:eastAsia="宋体" w:cs="宋体"/>
                <w:b w:val="0"/>
              </w:rPr>
              <w:t>京仪装备</w:t>
            </w:r>
          </w:p>
        </w:tc>
        <w:tc>
          <w:tcPr>
            <w:tcW w:w="0" w:type="dxa"/>
            <w:vAlign w:val="center"/>
          </w:tcPr>
          <w:p>
            <w:pPr>
              <w:spacing w:line="240" w:lineRule="auto"/>
              <w:jc w:val="right"/>
            </w:pPr>
            <w:r>
              <w:rPr>
                <w:rFonts w:ascii="宋体" w:hAnsi="宋体" w:eastAsia="宋体" w:cs="宋体"/>
                <w:b w:val="0"/>
              </w:rPr>
              <w:t>45,139</w:t>
            </w:r>
          </w:p>
        </w:tc>
        <w:tc>
          <w:tcPr>
            <w:tcW w:w="0" w:type="dxa"/>
            <w:vAlign w:val="center"/>
          </w:tcPr>
          <w:p>
            <w:pPr>
              <w:spacing w:line="240" w:lineRule="auto"/>
              <w:jc w:val="right"/>
            </w:pPr>
            <w:r>
              <w:rPr>
                <w:rFonts w:ascii="宋体" w:hAnsi="宋体" w:eastAsia="宋体" w:cs="宋体"/>
                <w:b w:val="0"/>
              </w:rPr>
              <w:t>4,437,615.09</w:t>
            </w:r>
          </w:p>
        </w:tc>
        <w:tc>
          <w:tcPr>
            <w:tcW w:w="0" w:type="dxa"/>
            <w:vAlign w:val="center"/>
          </w:tcPr>
          <w:p>
            <w:pPr>
              <w:spacing w:line="240" w:lineRule="auto"/>
              <w:jc w:val="right"/>
            </w:pPr>
            <w:r>
              <w:rPr>
                <w:rFonts w:ascii="宋体" w:hAnsi="宋体" w:eastAsia="宋体" w:cs="宋体"/>
                <w:b w:val="0"/>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688147</w:t>
            </w:r>
          </w:p>
        </w:tc>
        <w:tc>
          <w:tcPr>
            <w:tcW w:w="0" w:type="dxa"/>
            <w:vAlign w:val="center"/>
          </w:tcPr>
          <w:p>
            <w:pPr>
              <w:spacing w:line="240" w:lineRule="auto"/>
              <w:jc w:val="left"/>
            </w:pPr>
            <w:r>
              <w:rPr>
                <w:rFonts w:ascii="宋体" w:hAnsi="宋体" w:eastAsia="宋体" w:cs="宋体"/>
                <w:b w:val="0"/>
              </w:rPr>
              <w:t>微导纳米</w:t>
            </w:r>
          </w:p>
        </w:tc>
        <w:tc>
          <w:tcPr>
            <w:tcW w:w="0" w:type="dxa"/>
            <w:vAlign w:val="center"/>
          </w:tcPr>
          <w:p>
            <w:pPr>
              <w:spacing w:line="240" w:lineRule="auto"/>
              <w:jc w:val="right"/>
            </w:pPr>
            <w:r>
              <w:rPr>
                <w:rFonts w:ascii="宋体" w:hAnsi="宋体" w:eastAsia="宋体" w:cs="宋体"/>
                <w:b w:val="0"/>
              </w:rPr>
              <w:t>70,072</w:t>
            </w:r>
          </w:p>
        </w:tc>
        <w:tc>
          <w:tcPr>
            <w:tcW w:w="0" w:type="dxa"/>
            <w:vAlign w:val="center"/>
          </w:tcPr>
          <w:p>
            <w:pPr>
              <w:spacing w:line="240" w:lineRule="auto"/>
              <w:jc w:val="right"/>
            </w:pPr>
            <w:r>
              <w:rPr>
                <w:rFonts w:ascii="宋体" w:hAnsi="宋体" w:eastAsia="宋体" w:cs="宋体"/>
                <w:b w:val="0"/>
              </w:rPr>
              <w:t>4,399,820.88</w:t>
            </w:r>
          </w:p>
        </w:tc>
        <w:tc>
          <w:tcPr>
            <w:tcW w:w="0" w:type="dxa"/>
            <w:vAlign w:val="center"/>
          </w:tcPr>
          <w:p>
            <w:pPr>
              <w:spacing w:line="240" w:lineRule="auto"/>
              <w:jc w:val="right"/>
            </w:pPr>
            <w:r>
              <w:rPr>
                <w:rFonts w:ascii="宋体" w:hAnsi="宋体" w:eastAsia="宋体" w:cs="宋体"/>
                <w:b w:val="0"/>
              </w:rPr>
              <w:t>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688502</w:t>
            </w:r>
          </w:p>
        </w:tc>
        <w:tc>
          <w:tcPr>
            <w:tcW w:w="0" w:type="dxa"/>
            <w:vAlign w:val="center"/>
          </w:tcPr>
          <w:p>
            <w:pPr>
              <w:spacing w:line="240" w:lineRule="auto"/>
              <w:jc w:val="left"/>
            </w:pPr>
            <w:r>
              <w:rPr>
                <w:rFonts w:ascii="宋体" w:hAnsi="宋体" w:eastAsia="宋体" w:cs="宋体"/>
                <w:b w:val="0"/>
              </w:rPr>
              <w:t>茂莱光学</w:t>
            </w:r>
          </w:p>
        </w:tc>
        <w:tc>
          <w:tcPr>
            <w:tcW w:w="0" w:type="dxa"/>
            <w:vAlign w:val="center"/>
          </w:tcPr>
          <w:p>
            <w:pPr>
              <w:spacing w:line="240" w:lineRule="auto"/>
              <w:jc w:val="right"/>
            </w:pPr>
            <w:r>
              <w:rPr>
                <w:rFonts w:ascii="宋体" w:hAnsi="宋体" w:eastAsia="宋体" w:cs="宋体"/>
                <w:b w:val="0"/>
              </w:rPr>
              <w:t>7,313</w:t>
            </w:r>
          </w:p>
        </w:tc>
        <w:tc>
          <w:tcPr>
            <w:tcW w:w="0" w:type="dxa"/>
            <w:vAlign w:val="center"/>
          </w:tcPr>
          <w:p>
            <w:pPr>
              <w:spacing w:line="240" w:lineRule="auto"/>
              <w:jc w:val="right"/>
            </w:pPr>
            <w:r>
              <w:rPr>
                <w:rFonts w:ascii="宋体" w:hAnsi="宋体" w:eastAsia="宋体" w:cs="宋体"/>
                <w:b w:val="0"/>
              </w:rPr>
              <w:t>2,918,252.65</w:t>
            </w:r>
          </w:p>
        </w:tc>
        <w:tc>
          <w:tcPr>
            <w:tcW w:w="0" w:type="dxa"/>
            <w:vAlign w:val="center"/>
          </w:tcPr>
          <w:p>
            <w:pPr>
              <w:spacing w:line="240" w:lineRule="auto"/>
              <w:jc w:val="right"/>
            </w:pPr>
            <w:r>
              <w:rPr>
                <w:rFonts w:ascii="宋体" w:hAnsi="宋体" w:eastAsia="宋体" w:cs="宋体"/>
                <w:b w:val="0"/>
              </w:rPr>
              <w:t>4.93</w:t>
            </w:r>
          </w:p>
        </w:tc>
      </w:tr>
    </w:tbl>
    <w:p/>
    <w:p>
      <w:pPr>
        <w:pStyle w:val="3"/>
        <w:jc w:val="left"/>
      </w:pPr>
      <w:r>
        <w:rPr>
          <w:rFonts w:ascii="宋体" w:hAnsi="宋体" w:eastAsia="宋体" w:cs="宋体"/>
        </w:rPr>
        <w:t>5.4 报告期末按债券品种分类的债券投资组合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3571"/>
        <w:gridCol w:w="1786"/>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债券品种</w:t>
            </w:r>
          </w:p>
        </w:tc>
        <w:tc>
          <w:tcPr>
            <w:tcW w:w="769" w:type="pct"/>
            <w:shd w:val="clear" w:color="auto" w:fill="D9D9D9"/>
            <w:vAlign w:val="center"/>
          </w:tcPr>
          <w:p>
            <w:pPr>
              <w:spacing w:line="240" w:lineRule="auto"/>
              <w:jc w:val="center"/>
            </w:pPr>
            <w:r>
              <w:rPr>
                <w:rFonts w:ascii="宋体" w:hAnsi="宋体" w:eastAsia="宋体" w:cs="宋体"/>
                <w:b w:val="0"/>
              </w:rPr>
              <w:t>公允价值(元)</w:t>
            </w:r>
          </w:p>
        </w:tc>
        <w:tc>
          <w:tcPr>
            <w:tcW w:w="1077"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国家债券</w:t>
            </w:r>
          </w:p>
        </w:tc>
        <w:tc>
          <w:tcPr>
            <w:tcW w:w="0" w:type="dxa"/>
            <w:vAlign w:val="center"/>
          </w:tcPr>
          <w:p>
            <w:pPr>
              <w:spacing w:line="240" w:lineRule="auto"/>
              <w:jc w:val="right"/>
            </w:pPr>
            <w:r>
              <w:rPr>
                <w:rFonts w:ascii="宋体" w:hAnsi="宋体" w:eastAsia="宋体" w:cs="宋体"/>
                <w:b w:val="0"/>
              </w:rPr>
              <w:t>3,202,694.53</w:t>
            </w:r>
          </w:p>
        </w:tc>
        <w:tc>
          <w:tcPr>
            <w:tcW w:w="0" w:type="dxa"/>
            <w:vAlign w:val="center"/>
          </w:tcPr>
          <w:p>
            <w:pPr>
              <w:spacing w:line="240" w:lineRule="auto"/>
              <w:jc w:val="right"/>
            </w:pPr>
            <w:r>
              <w:rPr>
                <w:rFonts w:ascii="宋体" w:hAnsi="宋体" w:eastAsia="宋体" w:cs="宋体"/>
                <w:b w:val="0"/>
              </w:rPr>
              <w:t>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央行票据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金融债券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其中：政策性金融债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企业债券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企业短期融资券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中期票据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可转债（可交换债）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同业存单</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3,202,694.53</w:t>
            </w:r>
          </w:p>
        </w:tc>
        <w:tc>
          <w:tcPr>
            <w:tcW w:w="0" w:type="dxa"/>
            <w:vAlign w:val="center"/>
          </w:tcPr>
          <w:p>
            <w:pPr>
              <w:spacing w:line="240" w:lineRule="auto"/>
              <w:jc w:val="right"/>
            </w:pPr>
            <w:r>
              <w:rPr>
                <w:rFonts w:ascii="宋体" w:hAnsi="宋体" w:eastAsia="宋体" w:cs="宋体"/>
                <w:b w:val="0"/>
              </w:rPr>
              <w:t>5.41</w:t>
            </w:r>
          </w:p>
        </w:tc>
      </w:tr>
    </w:tbl>
    <w:p/>
    <w:p>
      <w:pPr>
        <w:pStyle w:val="3"/>
        <w:jc w:val="left"/>
      </w:pPr>
      <w:r>
        <w:rPr>
          <w:rFonts w:ascii="宋体" w:hAnsi="宋体" w:eastAsia="宋体" w:cs="宋体"/>
        </w:rPr>
        <w:t>5.5 报告期末按公允价值占基金资产净值比例大小排序的前五名债券投资明细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债券代码</w:t>
            </w:r>
          </w:p>
        </w:tc>
        <w:tc>
          <w:tcPr>
            <w:tcW w:w="769" w:type="pct"/>
            <w:shd w:val="clear" w:color="auto" w:fill="D9D9D9"/>
            <w:vAlign w:val="center"/>
          </w:tcPr>
          <w:p>
            <w:pPr>
              <w:spacing w:line="240" w:lineRule="auto"/>
              <w:jc w:val="center"/>
            </w:pPr>
            <w:r>
              <w:rPr>
                <w:rFonts w:ascii="宋体" w:hAnsi="宋体" w:eastAsia="宋体" w:cs="宋体"/>
                <w:b w:val="0"/>
              </w:rPr>
              <w:t>债券名称</w:t>
            </w:r>
          </w:p>
        </w:tc>
        <w:tc>
          <w:tcPr>
            <w:tcW w:w="615" w:type="pct"/>
            <w:shd w:val="clear" w:color="auto" w:fill="D9D9D9"/>
            <w:vAlign w:val="center"/>
          </w:tcPr>
          <w:p>
            <w:pPr>
              <w:spacing w:line="240" w:lineRule="auto"/>
              <w:jc w:val="center"/>
            </w:pPr>
            <w:r>
              <w:rPr>
                <w:rFonts w:ascii="宋体" w:hAnsi="宋体" w:eastAsia="宋体" w:cs="宋体"/>
                <w:b w:val="0"/>
              </w:rPr>
              <w:t>数量(张)</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019792</w:t>
            </w:r>
          </w:p>
        </w:tc>
        <w:tc>
          <w:tcPr>
            <w:tcW w:w="0" w:type="dxa"/>
            <w:vAlign w:val="center"/>
          </w:tcPr>
          <w:p>
            <w:pPr>
              <w:spacing w:line="240" w:lineRule="auto"/>
              <w:jc w:val="left"/>
            </w:pPr>
            <w:r>
              <w:rPr>
                <w:rFonts w:ascii="宋体" w:hAnsi="宋体" w:eastAsia="宋体" w:cs="宋体"/>
                <w:b w:val="0"/>
              </w:rPr>
              <w:t>25国债19</w:t>
            </w:r>
          </w:p>
        </w:tc>
        <w:tc>
          <w:tcPr>
            <w:tcW w:w="0" w:type="dxa"/>
            <w:vAlign w:val="center"/>
          </w:tcPr>
          <w:p>
            <w:pPr>
              <w:spacing w:line="240" w:lineRule="auto"/>
              <w:jc w:val="right"/>
            </w:pPr>
            <w:r>
              <w:rPr>
                <w:rFonts w:ascii="宋体" w:hAnsi="宋体" w:eastAsia="宋体" w:cs="宋体"/>
                <w:b w:val="0"/>
              </w:rPr>
              <w:t>20,000</w:t>
            </w:r>
          </w:p>
        </w:tc>
        <w:tc>
          <w:tcPr>
            <w:tcW w:w="0" w:type="dxa"/>
            <w:vAlign w:val="center"/>
          </w:tcPr>
          <w:p>
            <w:pPr>
              <w:spacing w:line="240" w:lineRule="auto"/>
              <w:jc w:val="right"/>
            </w:pPr>
            <w:r>
              <w:rPr>
                <w:rFonts w:ascii="宋体" w:hAnsi="宋体" w:eastAsia="宋体" w:cs="宋体"/>
                <w:b w:val="0"/>
              </w:rPr>
              <w:t>2,006,498.08</w:t>
            </w:r>
          </w:p>
        </w:tc>
        <w:tc>
          <w:tcPr>
            <w:tcW w:w="0" w:type="dxa"/>
            <w:vAlign w:val="center"/>
          </w:tcPr>
          <w:p>
            <w:pPr>
              <w:spacing w:line="240" w:lineRule="auto"/>
              <w:jc w:val="right"/>
            </w:pPr>
            <w:r>
              <w:rPr>
                <w:rFonts w:ascii="宋体" w:hAnsi="宋体" w:eastAsia="宋体" w:cs="宋体"/>
                <w:b w:val="0"/>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019766</w:t>
            </w:r>
          </w:p>
        </w:tc>
        <w:tc>
          <w:tcPr>
            <w:tcW w:w="0" w:type="dxa"/>
            <w:vAlign w:val="center"/>
          </w:tcPr>
          <w:p>
            <w:pPr>
              <w:spacing w:line="240" w:lineRule="auto"/>
              <w:jc w:val="left"/>
            </w:pPr>
            <w:r>
              <w:rPr>
                <w:rFonts w:ascii="宋体" w:hAnsi="宋体" w:eastAsia="宋体" w:cs="宋体"/>
                <w:b w:val="0"/>
              </w:rPr>
              <w:t>25国债01</w:t>
            </w:r>
          </w:p>
        </w:tc>
        <w:tc>
          <w:tcPr>
            <w:tcW w:w="0" w:type="dxa"/>
            <w:vAlign w:val="center"/>
          </w:tcPr>
          <w:p>
            <w:pPr>
              <w:spacing w:line="240" w:lineRule="auto"/>
              <w:jc w:val="right"/>
            </w:pPr>
            <w:r>
              <w:rPr>
                <w:rFonts w:ascii="宋体" w:hAnsi="宋体" w:eastAsia="宋体" w:cs="宋体"/>
                <w:b w:val="0"/>
              </w:rPr>
              <w:t>11,830</w:t>
            </w:r>
          </w:p>
        </w:tc>
        <w:tc>
          <w:tcPr>
            <w:tcW w:w="0" w:type="dxa"/>
            <w:vAlign w:val="center"/>
          </w:tcPr>
          <w:p>
            <w:pPr>
              <w:spacing w:line="240" w:lineRule="auto"/>
              <w:jc w:val="right"/>
            </w:pPr>
            <w:r>
              <w:rPr>
                <w:rFonts w:ascii="宋体" w:hAnsi="宋体" w:eastAsia="宋体" w:cs="宋体"/>
                <w:b w:val="0"/>
              </w:rPr>
              <w:t>1,196,196.45</w:t>
            </w:r>
          </w:p>
        </w:tc>
        <w:tc>
          <w:tcPr>
            <w:tcW w:w="0" w:type="dxa"/>
            <w:vAlign w:val="center"/>
          </w:tcPr>
          <w:p>
            <w:pPr>
              <w:spacing w:line="240" w:lineRule="auto"/>
              <w:jc w:val="right"/>
            </w:pPr>
            <w:r>
              <w:rPr>
                <w:rFonts w:ascii="宋体" w:hAnsi="宋体" w:eastAsia="宋体" w:cs="宋体"/>
                <w:b w:val="0"/>
              </w:rPr>
              <w:t>2.02</w:t>
            </w:r>
          </w:p>
        </w:tc>
      </w:tr>
    </w:tbl>
    <w:p>
      <w:r>
        <w:rPr>
          <w:rFonts w:ascii="宋体" w:hAnsi="宋体" w:eastAsia="宋体" w:cs="宋体"/>
          <w:b w:val="0"/>
        </w:rPr>
        <w:t>注：本基金本报告期末仅持有上述债券。</w:t>
      </w:r>
    </w:p>
    <w:p/>
    <w:p>
      <w:pPr>
        <w:pStyle w:val="3"/>
        <w:jc w:val="left"/>
      </w:pPr>
      <w:r>
        <w:rPr>
          <w:rFonts w:ascii="宋体" w:hAnsi="宋体" w:eastAsia="宋体" w:cs="宋体"/>
        </w:rPr>
        <w:t>5.6 报告期末按公允价值占基金资产净值比例大小排序的前十名资产支持证券投资明细</w:t>
      </w:r>
    </w:p>
    <w:p>
      <w:r>
        <w:rPr>
          <w:rFonts w:ascii="宋体" w:hAnsi="宋体" w:eastAsia="宋体" w:cs="宋体"/>
          <w:b w:val="0"/>
        </w:rPr>
        <w:t xml:space="preserve">    本基金本报告期末未持有资产支持证券。</w:t>
      </w:r>
    </w:p>
    <w:p/>
    <w:p>
      <w:pPr>
        <w:pStyle w:val="3"/>
        <w:jc w:val="left"/>
      </w:pPr>
      <w:r>
        <w:rPr>
          <w:rFonts w:ascii="宋体" w:hAnsi="宋体" w:eastAsia="宋体" w:cs="宋体"/>
        </w:rPr>
        <w:t>5.7 报告期末按公允价值占基金资产净值比例大小排序的前五名贵金属投资明细</w:t>
      </w:r>
    </w:p>
    <w:p>
      <w:r>
        <w:rPr>
          <w:rFonts w:ascii="宋体" w:hAnsi="宋体" w:eastAsia="宋体" w:cs="宋体"/>
          <w:b w:val="0"/>
        </w:rPr>
        <w:t xml:space="preserve">    本基金本报告期末未持有贵金属。</w:t>
      </w:r>
    </w:p>
    <w:p/>
    <w:p>
      <w:pPr>
        <w:pStyle w:val="3"/>
        <w:jc w:val="left"/>
      </w:pPr>
      <w:r>
        <w:rPr>
          <w:rFonts w:ascii="宋体" w:hAnsi="宋体" w:eastAsia="宋体" w:cs="宋体"/>
        </w:rPr>
        <w:t>5.8 报告期末按公允价值占基金资产净值比例大小排序的前五名权证投资明细</w:t>
      </w:r>
    </w:p>
    <w:p>
      <w:r>
        <w:rPr>
          <w:rFonts w:ascii="宋体" w:hAnsi="宋体" w:eastAsia="宋体" w:cs="宋体"/>
          <w:b w:val="0"/>
        </w:rPr>
        <w:t xml:space="preserve">    本基金本报告期末未持有权证。</w:t>
      </w:r>
    </w:p>
    <w:p/>
    <w:p>
      <w:pPr>
        <w:pStyle w:val="3"/>
        <w:jc w:val="left"/>
      </w:pPr>
      <w:r>
        <w:rPr>
          <w:rFonts w:ascii="宋体" w:hAnsi="宋体" w:eastAsia="宋体" w:cs="宋体"/>
        </w:rPr>
        <w:t>5.9 报告期末本基金投资的股指期货交易情况说明</w:t>
      </w:r>
    </w:p>
    <w:p>
      <w:r>
        <w:rPr>
          <w:rFonts w:ascii="宋体" w:hAnsi="宋体" w:eastAsia="宋体" w:cs="宋体"/>
          <w:b w:val="0"/>
        </w:rPr>
        <w:t xml:space="preserve">    本基金本报告期末未持有股指期货。</w:t>
      </w:r>
    </w:p>
    <w:p/>
    <w:p>
      <w:pPr>
        <w:pStyle w:val="3"/>
        <w:jc w:val="left"/>
      </w:pPr>
      <w:r>
        <w:rPr>
          <w:rFonts w:ascii="宋体" w:hAnsi="宋体" w:eastAsia="宋体" w:cs="宋体"/>
        </w:rPr>
        <w:t>5.10 报告期末本基金投资的国债期货交易情况说明</w:t>
      </w:r>
    </w:p>
    <w:p>
      <w:r>
        <w:rPr>
          <w:rFonts w:ascii="宋体" w:hAnsi="宋体" w:eastAsia="宋体" w:cs="宋体"/>
          <w:b w:val="0"/>
        </w:rPr>
        <w:t xml:space="preserve">    本基金本报告期末未持有国债期货。</w:t>
      </w:r>
    </w:p>
    <w:p/>
    <w:p>
      <w:pPr>
        <w:pStyle w:val="3"/>
        <w:jc w:val="left"/>
      </w:pPr>
      <w:r>
        <w:rPr>
          <w:rFonts w:ascii="宋体" w:hAnsi="宋体" w:eastAsia="宋体" w:cs="宋体"/>
        </w:rPr>
        <w:t>5.11 投资组合报告附注</w:t>
      </w:r>
    </w:p>
    <w:p>
      <w:pPr>
        <w:pStyle w:val="58"/>
      </w:pPr>
      <w:r>
        <w:rPr>
          <w:rFonts w:ascii="宋体" w:hAnsi="宋体" w:eastAsia="宋体" w:cs="宋体"/>
          <w:b/>
        </w:rPr>
        <w:t>5.11.1 本基金投资的前十名证券的发行主体本期受到监管部门立案调查或报告编制日前一年内受到公开谴责、处罚的情形说明</w:t>
      </w:r>
    </w:p>
    <w:p>
      <w:r>
        <w:rPr>
          <w:rFonts w:ascii="宋体" w:hAnsi="宋体" w:eastAsia="宋体" w:cs="宋体"/>
          <w:b w:val="0"/>
        </w:rPr>
        <w:t xml:space="preserve">    本基金投资的前十名证券的发行</w:t>
      </w:r>
      <w:r>
        <w:rPr>
          <w:rFonts w:hint="eastAsia" w:ascii="宋体" w:hAnsi="宋体" w:cs="宋体"/>
          <w:b w:val="0"/>
          <w:lang w:val="en-US" w:eastAsia="zh-CN"/>
        </w:rPr>
        <w:t>主体</w:t>
      </w:r>
      <w:bookmarkStart w:id="1" w:name="_GoBack"/>
      <w:bookmarkEnd w:id="1"/>
      <w:r>
        <w:rPr>
          <w:rFonts w:ascii="宋体" w:hAnsi="宋体" w:eastAsia="宋体" w:cs="宋体"/>
          <w:b w:val="0"/>
        </w:rPr>
        <w:t>中，杭州长川科技股份有限公司在报告编制日前一年内受到中国证监会浙江监管局警示并计入诚信档案。本基金对上述证券的投资决策程序符合相关法规及公司制度要求。</w:t>
      </w:r>
      <w:r>
        <w:rPr>
          <w:rFonts w:ascii="宋体" w:hAnsi="宋体" w:eastAsia="宋体" w:cs="宋体"/>
          <w:b w:val="0"/>
        </w:rPr>
        <w:cr/>
      </w:r>
      <w:r>
        <w:rPr>
          <w:rFonts w:ascii="宋体" w:hAnsi="宋体" w:eastAsia="宋体" w:cs="宋体"/>
          <w:b w:val="0"/>
        </w:rPr>
        <w:t xml:space="preserve">    本基金投资前十名的其余证券的发行主体本期未出现被监管部门立案调查，或在报告编制日前一年内受到公开谴责、处罚的情形。</w:t>
      </w:r>
    </w:p>
    <w:p/>
    <w:p>
      <w:pPr>
        <w:pStyle w:val="58"/>
      </w:pPr>
      <w:r>
        <w:rPr>
          <w:rFonts w:ascii="宋体" w:hAnsi="宋体" w:eastAsia="宋体" w:cs="宋体"/>
          <w:b/>
        </w:rPr>
        <w:t>5.11.2 基金投资的前十名股票超出基金合同规定的备选股票库情况的说明</w:t>
      </w:r>
    </w:p>
    <w:p>
      <w:r>
        <w:rPr>
          <w:rFonts w:ascii="宋体" w:hAnsi="宋体" w:eastAsia="宋体" w:cs="宋体"/>
          <w:b w:val="0"/>
        </w:rPr>
        <w:t xml:space="preserve">    基金投资的前十名股票，均为基金合同规定备选股票库之内的股票。</w:t>
      </w:r>
    </w:p>
    <w:p/>
    <w:p>
      <w:pPr>
        <w:pStyle w:val="58"/>
      </w:pPr>
      <w:r>
        <w:rPr>
          <w:rFonts w:ascii="宋体" w:hAnsi="宋体" w:eastAsia="宋体" w:cs="宋体"/>
          <w:b/>
        </w:rPr>
        <w:t>5.11.3 其他资产构成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4804"/>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2308" w:type="pct"/>
            <w:shd w:val="clear" w:color="auto" w:fill="D9D9D9"/>
            <w:vAlign w:val="center"/>
          </w:tcPr>
          <w:p>
            <w:pPr>
              <w:spacing w:line="240" w:lineRule="auto"/>
              <w:jc w:val="center"/>
            </w:pPr>
            <w:r>
              <w:rPr>
                <w:rFonts w:ascii="宋体" w:hAnsi="宋体" w:eastAsia="宋体" w:cs="宋体"/>
                <w:b w:val="0"/>
              </w:rPr>
              <w:t>名称</w:t>
            </w:r>
          </w:p>
        </w:tc>
        <w:tc>
          <w:tcPr>
            <w:tcW w:w="1538" w:type="pct"/>
            <w:shd w:val="clear" w:color="auto" w:fill="D9D9D9"/>
            <w:vAlign w:val="center"/>
          </w:tcPr>
          <w:p>
            <w:pPr>
              <w:spacing w:line="240" w:lineRule="auto"/>
              <w:jc w:val="center"/>
            </w:pPr>
            <w:r>
              <w:rPr>
                <w:rFonts w:ascii="宋体" w:hAnsi="宋体" w:eastAsia="宋体" w:cs="宋体"/>
                <w:b w:val="0"/>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存出保证金</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应收证券清算款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应收股利</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应收利息</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应收申购款</w:t>
            </w:r>
          </w:p>
        </w:tc>
        <w:tc>
          <w:tcPr>
            <w:tcW w:w="0" w:type="dxa"/>
            <w:vAlign w:val="center"/>
          </w:tcPr>
          <w:p>
            <w:pPr>
              <w:spacing w:line="240" w:lineRule="auto"/>
              <w:jc w:val="right"/>
            </w:pPr>
            <w:r>
              <w:rPr>
                <w:rFonts w:ascii="宋体" w:hAnsi="宋体" w:eastAsia="宋体" w:cs="宋体"/>
                <w:b w:val="0"/>
              </w:rPr>
              <w:t>2,735,430.87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其他应收款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2,735,430.87</w:t>
            </w:r>
          </w:p>
        </w:tc>
      </w:tr>
    </w:tbl>
    <w:p/>
    <w:p>
      <w:pPr>
        <w:pStyle w:val="58"/>
      </w:pPr>
      <w:r>
        <w:rPr>
          <w:rFonts w:ascii="宋体" w:hAnsi="宋体" w:eastAsia="宋体" w:cs="宋体"/>
          <w:b/>
        </w:rPr>
        <w:t>5.11.4 报告期末持有的处于转股期的可转换债券明细</w:t>
      </w:r>
    </w:p>
    <w:p>
      <w:r>
        <w:rPr>
          <w:rFonts w:ascii="宋体" w:hAnsi="宋体" w:eastAsia="宋体" w:cs="宋体"/>
          <w:b w:val="0"/>
        </w:rPr>
        <w:t xml:space="preserve">    本基金本报告期末未持有处于转股期的可转换债券。</w:t>
      </w:r>
    </w:p>
    <w:p/>
    <w:p>
      <w:pPr>
        <w:pStyle w:val="58"/>
      </w:pPr>
      <w:r>
        <w:rPr>
          <w:rFonts w:ascii="宋体" w:hAnsi="宋体" w:eastAsia="宋体" w:cs="宋体"/>
          <w:b/>
        </w:rPr>
        <w:t>5.11.5 报告期末前十名股票中存在流通受限情况的说明</w:t>
      </w:r>
    </w:p>
    <w:p>
      <w:r>
        <w:rPr>
          <w:rFonts w:ascii="宋体" w:hAnsi="宋体" w:eastAsia="宋体" w:cs="宋体"/>
          <w:b w:val="0"/>
        </w:rPr>
        <w:t xml:space="preserve">    本基金本报告期末前十名股票中不存在流通受限情况。</w:t>
      </w:r>
    </w:p>
    <w:p/>
    <w:p>
      <w:pPr>
        <w:pStyle w:val="58"/>
      </w:pPr>
      <w:r>
        <w:rPr>
          <w:rFonts w:ascii="宋体" w:hAnsi="宋体" w:eastAsia="宋体" w:cs="宋体"/>
          <w:b/>
        </w:rPr>
        <w:t>5.11.6 投资组合报告附注的其他文字描述部分</w:t>
      </w:r>
    </w:p>
    <w:p>
      <w:r>
        <w:rPr>
          <w:rFonts w:ascii="宋体" w:hAnsi="宋体" w:eastAsia="宋体" w:cs="宋体"/>
          <w:b w:val="0"/>
        </w:rPr>
        <w:t xml:space="preserve">    由于四舍五入原因，分项之和与合计项之间可能存在尾差。</w:t>
      </w:r>
    </w:p>
    <w:p>
      <w:pPr>
        <w:pStyle w:val="2"/>
        <w:jc w:val="center"/>
      </w:pPr>
      <w:r>
        <w:rPr>
          <w:rFonts w:ascii="宋体" w:hAnsi="宋体" w:eastAsia="宋体" w:cs="宋体"/>
        </w:rPr>
        <w:t>§6 开放式基金份额变动</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pPr>
              <w:spacing w:line="240" w:lineRule="auto"/>
              <w:jc w:val="center"/>
            </w:pPr>
          </w:p>
        </w:tc>
        <w:tc>
          <w:tcPr>
            <w:tcW w:w="1300" w:type="pct"/>
            <w:vAlign w:val="center"/>
          </w:tcPr>
          <w:p>
            <w:pPr>
              <w:spacing w:line="240" w:lineRule="auto"/>
              <w:jc w:val="center"/>
            </w:pPr>
            <w:r>
              <w:rPr>
                <w:rFonts w:ascii="宋体" w:hAnsi="宋体" w:eastAsia="宋体" w:cs="宋体"/>
                <w:b w:val="0"/>
              </w:rPr>
              <w:t>东方阿尔法科技优选混合发起A</w:t>
            </w:r>
          </w:p>
        </w:tc>
        <w:tc>
          <w:tcPr>
            <w:tcW w:w="1300" w:type="pct"/>
            <w:vAlign w:val="center"/>
          </w:tcPr>
          <w:p>
            <w:pPr>
              <w:spacing w:line="240" w:lineRule="auto"/>
              <w:jc w:val="center"/>
            </w:pPr>
            <w:r>
              <w:rPr>
                <w:rFonts w:ascii="宋体" w:hAnsi="宋体" w:eastAsia="宋体" w:cs="宋体"/>
                <w:b w:val="0"/>
              </w:rPr>
              <w:t>东方阿尔法科技优选混合发起C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报告期期初基金份额总额</w:t>
            </w:r>
          </w:p>
        </w:tc>
        <w:tc>
          <w:tcPr>
            <w:tcW w:w="1300" w:type="pct"/>
            <w:vAlign w:val="center"/>
          </w:tcPr>
          <w:p>
            <w:pPr>
              <w:spacing w:line="240" w:lineRule="auto"/>
              <w:jc w:val="right"/>
            </w:pPr>
            <w:r>
              <w:rPr>
                <w:rFonts w:ascii="宋体" w:hAnsi="宋体" w:eastAsia="宋体" w:cs="宋体"/>
                <w:b w:val="0"/>
              </w:rPr>
              <w:t>12,619,405.39</w:t>
            </w:r>
          </w:p>
        </w:tc>
        <w:tc>
          <w:tcPr>
            <w:tcW w:w="1300" w:type="pct"/>
            <w:vAlign w:val="center"/>
          </w:tcPr>
          <w:p>
            <w:pPr>
              <w:spacing w:line="240" w:lineRule="auto"/>
              <w:jc w:val="right"/>
            </w:pPr>
            <w:r>
              <w:rPr>
                <w:rFonts w:ascii="宋体" w:hAnsi="宋体" w:eastAsia="宋体" w:cs="宋体"/>
                <w:b w:val="0"/>
              </w:rPr>
              <w:t>6,705,676.63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报告期期间基金总申购份额</w:t>
            </w:r>
          </w:p>
        </w:tc>
        <w:tc>
          <w:tcPr>
            <w:tcW w:w="1300" w:type="pct"/>
            <w:vAlign w:val="center"/>
          </w:tcPr>
          <w:p>
            <w:pPr>
              <w:spacing w:line="240" w:lineRule="auto"/>
              <w:jc w:val="right"/>
            </w:pPr>
            <w:r>
              <w:rPr>
                <w:rFonts w:ascii="宋体" w:hAnsi="宋体" w:eastAsia="宋体" w:cs="宋体"/>
                <w:b w:val="0"/>
              </w:rPr>
              <w:t>3,835,331.42</w:t>
            </w:r>
          </w:p>
        </w:tc>
        <w:tc>
          <w:tcPr>
            <w:tcW w:w="1300" w:type="pct"/>
            <w:vAlign w:val="center"/>
          </w:tcPr>
          <w:p>
            <w:pPr>
              <w:spacing w:line="240" w:lineRule="auto"/>
              <w:jc w:val="right"/>
            </w:pPr>
            <w:r>
              <w:rPr>
                <w:rFonts w:ascii="宋体" w:hAnsi="宋体" w:eastAsia="宋体" w:cs="宋体"/>
                <w:b w:val="0"/>
              </w:rPr>
              <w:t>83,968,914.92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减：报告期期间基金总赎回份额</w:t>
            </w:r>
          </w:p>
        </w:tc>
        <w:tc>
          <w:tcPr>
            <w:tcW w:w="1300" w:type="pct"/>
            <w:vAlign w:val="center"/>
          </w:tcPr>
          <w:p>
            <w:pPr>
              <w:spacing w:line="240" w:lineRule="auto"/>
              <w:jc w:val="right"/>
            </w:pPr>
            <w:r>
              <w:rPr>
                <w:rFonts w:ascii="宋体" w:hAnsi="宋体" w:eastAsia="宋体" w:cs="宋体"/>
                <w:b w:val="0"/>
              </w:rPr>
              <w:t>2,124,653.62</w:t>
            </w:r>
          </w:p>
        </w:tc>
        <w:tc>
          <w:tcPr>
            <w:tcW w:w="1300" w:type="pct"/>
            <w:vAlign w:val="center"/>
          </w:tcPr>
          <w:p>
            <w:pPr>
              <w:spacing w:line="240" w:lineRule="auto"/>
              <w:jc w:val="right"/>
            </w:pPr>
            <w:r>
              <w:rPr>
                <w:rFonts w:ascii="宋体" w:hAnsi="宋体" w:eastAsia="宋体" w:cs="宋体"/>
                <w:b w:val="0"/>
              </w:rPr>
              <w:t>47,486,123.75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报告期期间基金拆分变动份额（份额减少以“-”填列）</w:t>
            </w:r>
          </w:p>
        </w:tc>
        <w:tc>
          <w:tcPr>
            <w:tcW w:w="1300" w:type="pct"/>
            <w:vAlign w:val="center"/>
          </w:tcPr>
          <w:p>
            <w:pPr>
              <w:spacing w:line="240" w:lineRule="auto"/>
              <w:jc w:val="right"/>
            </w:pPr>
            <w:r>
              <w:rPr>
                <w:rFonts w:ascii="宋体" w:hAnsi="宋体" w:eastAsia="宋体" w:cs="宋体"/>
                <w:b w:val="0"/>
              </w:rPr>
              <w:t>-</w:t>
            </w:r>
          </w:p>
        </w:tc>
        <w:tc>
          <w:tcPr>
            <w:tcW w:w="130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报告期期末基金份额总额</w:t>
            </w:r>
          </w:p>
        </w:tc>
        <w:tc>
          <w:tcPr>
            <w:tcW w:w="1300" w:type="pct"/>
            <w:vAlign w:val="center"/>
          </w:tcPr>
          <w:p>
            <w:pPr>
              <w:spacing w:line="240" w:lineRule="auto"/>
              <w:jc w:val="right"/>
            </w:pPr>
            <w:r>
              <w:rPr>
                <w:rFonts w:ascii="宋体" w:hAnsi="宋体" w:eastAsia="宋体" w:cs="宋体"/>
                <w:b w:val="0"/>
              </w:rPr>
              <w:t>14,330,083.19</w:t>
            </w:r>
          </w:p>
        </w:tc>
        <w:tc>
          <w:tcPr>
            <w:tcW w:w="1300" w:type="pct"/>
            <w:vAlign w:val="center"/>
          </w:tcPr>
          <w:p>
            <w:pPr>
              <w:spacing w:line="240" w:lineRule="auto"/>
              <w:jc w:val="right"/>
            </w:pPr>
            <w:r>
              <w:rPr>
                <w:rFonts w:ascii="宋体" w:hAnsi="宋体" w:eastAsia="宋体" w:cs="宋体"/>
                <w:b w:val="0"/>
              </w:rPr>
              <w:t>43,188,467.80</w:t>
            </w:r>
          </w:p>
        </w:tc>
      </w:tr>
    </w:tbl>
    <w:p>
      <w:pPr>
        <w:pStyle w:val="2"/>
        <w:jc w:val="center"/>
      </w:pPr>
      <w:r>
        <w:rPr>
          <w:rFonts w:ascii="宋体" w:hAnsi="宋体" w:eastAsia="宋体" w:cs="宋体"/>
        </w:rPr>
        <w:t>§7 基金管理人运用固有资金投资本基金情况</w:t>
      </w:r>
    </w:p>
    <w:p>
      <w:pPr>
        <w:pStyle w:val="3"/>
        <w:jc w:val="left"/>
      </w:pPr>
      <w:r>
        <w:rPr>
          <w:rFonts w:ascii="宋体" w:hAnsi="宋体" w:eastAsia="宋体" w:cs="宋体"/>
        </w:rPr>
        <w:t>7.1 基金管理人持有本基金份额变动情况</w:t>
      </w:r>
    </w:p>
    <w:p>
      <w:r>
        <w:rPr>
          <w:rFonts w:ascii="宋体" w:hAnsi="宋体" w:eastAsia="宋体" w:cs="宋体"/>
          <w:b w:val="0"/>
        </w:rPr>
        <w:t xml:space="preserve">    截至本报告期末，本基金管理人未持有本基金份额。</w:t>
      </w:r>
    </w:p>
    <w:p/>
    <w:p>
      <w:pPr>
        <w:pStyle w:val="3"/>
        <w:jc w:val="left"/>
      </w:pPr>
      <w:r>
        <w:rPr>
          <w:rFonts w:ascii="宋体" w:hAnsi="宋体" w:eastAsia="宋体" w:cs="宋体"/>
        </w:rPr>
        <w:t>7.2 基金管理人运用固有资金投资本基金交易明细</w:t>
      </w:r>
    </w:p>
    <w:p>
      <w:r>
        <w:rPr>
          <w:rFonts w:ascii="宋体" w:hAnsi="宋体" w:eastAsia="宋体" w:cs="宋体"/>
          <w:b w:val="0"/>
        </w:rPr>
        <w:t xml:space="preserve">    本报告期内，本基金管理人未运用固有资金投资本基金。</w:t>
      </w:r>
    </w:p>
    <w:p>
      <w:pPr>
        <w:pStyle w:val="2"/>
        <w:jc w:val="center"/>
      </w:pPr>
      <w:r>
        <w:rPr>
          <w:rFonts w:ascii="宋体" w:hAnsi="宋体" w:eastAsia="宋体" w:cs="宋体"/>
        </w:rPr>
        <w:t>§8 报告期末发起式基金发起资金持有份额情况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0"/>
        <w:gridCol w:w="1581"/>
        <w:gridCol w:w="1138"/>
        <w:gridCol w:w="1581"/>
        <w:gridCol w:w="1138"/>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692" w:type="pct"/>
            <w:shd w:val="clear" w:color="auto" w:fill="D9D9D9"/>
            <w:vAlign w:val="center"/>
          </w:tcPr>
          <w:p>
            <w:pPr>
              <w:spacing w:line="240" w:lineRule="auto"/>
              <w:jc w:val="center"/>
            </w:pPr>
            <w:r>
              <w:rPr>
                <w:rFonts w:ascii="宋体" w:hAnsi="宋体" w:eastAsia="宋体" w:cs="宋体"/>
                <w:b w:val="0"/>
              </w:rPr>
              <w:t>持有份额总数</w:t>
            </w:r>
          </w:p>
        </w:tc>
        <w:tc>
          <w:tcPr>
            <w:tcW w:w="692" w:type="pct"/>
            <w:shd w:val="clear" w:color="auto" w:fill="D9D9D9"/>
            <w:vAlign w:val="center"/>
          </w:tcPr>
          <w:p>
            <w:pPr>
              <w:spacing w:line="240" w:lineRule="auto"/>
              <w:jc w:val="center"/>
            </w:pPr>
            <w:r>
              <w:rPr>
                <w:rFonts w:ascii="宋体" w:hAnsi="宋体" w:eastAsia="宋体" w:cs="宋体"/>
                <w:b w:val="0"/>
              </w:rPr>
              <w:t>持有份额占基金总份额比例</w:t>
            </w:r>
          </w:p>
        </w:tc>
        <w:tc>
          <w:tcPr>
            <w:tcW w:w="692" w:type="pct"/>
            <w:shd w:val="clear" w:color="auto" w:fill="D9D9D9"/>
            <w:vAlign w:val="center"/>
          </w:tcPr>
          <w:p>
            <w:pPr>
              <w:spacing w:line="240" w:lineRule="auto"/>
              <w:jc w:val="center"/>
            </w:pPr>
            <w:r>
              <w:rPr>
                <w:rFonts w:ascii="宋体" w:hAnsi="宋体" w:eastAsia="宋体" w:cs="宋体"/>
                <w:b w:val="0"/>
              </w:rPr>
              <w:t>发起份额总数</w:t>
            </w:r>
          </w:p>
        </w:tc>
        <w:tc>
          <w:tcPr>
            <w:tcW w:w="692" w:type="pct"/>
            <w:shd w:val="clear" w:color="auto" w:fill="D9D9D9"/>
            <w:vAlign w:val="center"/>
          </w:tcPr>
          <w:p>
            <w:pPr>
              <w:spacing w:line="240" w:lineRule="auto"/>
              <w:jc w:val="center"/>
            </w:pPr>
            <w:r>
              <w:rPr>
                <w:rFonts w:ascii="宋体" w:hAnsi="宋体" w:eastAsia="宋体" w:cs="宋体"/>
                <w:b w:val="0"/>
              </w:rPr>
              <w:t>发起份额占基金总份额比例</w:t>
            </w:r>
          </w:p>
        </w:tc>
        <w:tc>
          <w:tcPr>
            <w:tcW w:w="692" w:type="pct"/>
            <w:shd w:val="clear" w:color="auto" w:fill="D9D9D9"/>
            <w:vAlign w:val="center"/>
          </w:tcPr>
          <w:p>
            <w:pPr>
              <w:spacing w:line="240" w:lineRule="auto"/>
              <w:jc w:val="center"/>
            </w:pPr>
            <w:r>
              <w:rPr>
                <w:rFonts w:ascii="宋体" w:hAnsi="宋体" w:eastAsia="宋体" w:cs="宋体"/>
                <w:b w:val="0"/>
              </w:rPr>
              <w:t>发起份额承诺持有期限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基金管理人固有资金</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基金管理人高级管理人员</w:t>
            </w:r>
          </w:p>
        </w:tc>
        <w:tc>
          <w:tcPr>
            <w:tcW w:w="0" w:type="dxa"/>
            <w:vAlign w:val="center"/>
          </w:tcPr>
          <w:p>
            <w:pPr>
              <w:spacing w:line="240" w:lineRule="auto"/>
              <w:jc w:val="right"/>
            </w:pPr>
            <w:r>
              <w:rPr>
                <w:rFonts w:ascii="宋体" w:hAnsi="宋体" w:eastAsia="宋体" w:cs="宋体"/>
                <w:b w:val="0"/>
              </w:rPr>
              <w:t>10,000,388.92</w:t>
            </w:r>
          </w:p>
        </w:tc>
        <w:tc>
          <w:tcPr>
            <w:tcW w:w="0" w:type="dxa"/>
            <w:vAlign w:val="center"/>
          </w:tcPr>
          <w:p>
            <w:pPr>
              <w:spacing w:line="240" w:lineRule="auto"/>
              <w:jc w:val="right"/>
            </w:pPr>
            <w:r>
              <w:rPr>
                <w:rFonts w:ascii="宋体" w:hAnsi="宋体" w:eastAsia="宋体" w:cs="宋体"/>
                <w:b w:val="0"/>
              </w:rPr>
              <w:t>17.39%</w:t>
            </w:r>
          </w:p>
        </w:tc>
        <w:tc>
          <w:tcPr>
            <w:tcW w:w="0" w:type="dxa"/>
            <w:vAlign w:val="center"/>
          </w:tcPr>
          <w:p>
            <w:pPr>
              <w:spacing w:line="240" w:lineRule="auto"/>
              <w:jc w:val="right"/>
            </w:pPr>
            <w:r>
              <w:rPr>
                <w:rFonts w:ascii="宋体" w:hAnsi="宋体" w:eastAsia="宋体" w:cs="宋体"/>
                <w:b w:val="0"/>
              </w:rPr>
              <w:t>10,000,388.92</w:t>
            </w:r>
          </w:p>
        </w:tc>
        <w:tc>
          <w:tcPr>
            <w:tcW w:w="0" w:type="dxa"/>
            <w:vAlign w:val="center"/>
          </w:tcPr>
          <w:p>
            <w:pPr>
              <w:spacing w:line="240" w:lineRule="auto"/>
              <w:jc w:val="right"/>
            </w:pPr>
            <w:r>
              <w:rPr>
                <w:rFonts w:ascii="宋体" w:hAnsi="宋体" w:eastAsia="宋体" w:cs="宋体"/>
                <w:b w:val="0"/>
              </w:rPr>
              <w:t>17.39%</w:t>
            </w:r>
          </w:p>
        </w:tc>
        <w:tc>
          <w:tcPr>
            <w:tcW w:w="0" w:type="dxa"/>
            <w:vAlign w:val="center"/>
          </w:tcPr>
          <w:p>
            <w:pPr>
              <w:spacing w:line="240" w:lineRule="auto"/>
              <w:jc w:val="left"/>
            </w:pPr>
            <w:r>
              <w:rPr>
                <w:rFonts w:ascii="宋体" w:hAnsi="宋体" w:eastAsia="宋体" w:cs="宋体"/>
                <w:b w:val="0"/>
              </w:rPr>
              <w:t>自合同生效之日起不少于3年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基金经理等人员</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基金管理人股东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10,000,388.92</w:t>
            </w:r>
          </w:p>
        </w:tc>
        <w:tc>
          <w:tcPr>
            <w:tcW w:w="0" w:type="dxa"/>
            <w:vAlign w:val="center"/>
          </w:tcPr>
          <w:p>
            <w:pPr>
              <w:spacing w:line="240" w:lineRule="auto"/>
              <w:jc w:val="right"/>
            </w:pPr>
            <w:r>
              <w:rPr>
                <w:rFonts w:ascii="宋体" w:hAnsi="宋体" w:eastAsia="宋体" w:cs="宋体"/>
                <w:b w:val="0"/>
              </w:rPr>
              <w:t>17.39%</w:t>
            </w:r>
          </w:p>
        </w:tc>
        <w:tc>
          <w:tcPr>
            <w:tcW w:w="0" w:type="dxa"/>
            <w:vAlign w:val="center"/>
          </w:tcPr>
          <w:p>
            <w:pPr>
              <w:spacing w:line="240" w:lineRule="auto"/>
              <w:jc w:val="right"/>
            </w:pPr>
            <w:r>
              <w:rPr>
                <w:rFonts w:ascii="宋体" w:hAnsi="宋体" w:eastAsia="宋体" w:cs="宋体"/>
                <w:b w:val="0"/>
              </w:rPr>
              <w:t>10,000,388.92</w:t>
            </w:r>
          </w:p>
        </w:tc>
        <w:tc>
          <w:tcPr>
            <w:tcW w:w="0" w:type="dxa"/>
            <w:vAlign w:val="center"/>
          </w:tcPr>
          <w:p>
            <w:pPr>
              <w:spacing w:line="240" w:lineRule="auto"/>
              <w:jc w:val="right"/>
            </w:pPr>
            <w:r>
              <w:rPr>
                <w:rFonts w:ascii="宋体" w:hAnsi="宋体" w:eastAsia="宋体" w:cs="宋体"/>
                <w:b w:val="0"/>
              </w:rPr>
              <w:t>17.39%</w:t>
            </w:r>
          </w:p>
        </w:tc>
        <w:tc>
          <w:tcPr>
            <w:tcW w:w="0" w:type="dxa"/>
            <w:vAlign w:val="center"/>
          </w:tcPr>
          <w:p>
            <w:pPr>
              <w:spacing w:line="240" w:lineRule="auto"/>
              <w:jc w:val="left"/>
            </w:pPr>
            <w:r>
              <w:rPr>
                <w:rFonts w:ascii="宋体" w:hAnsi="宋体" w:eastAsia="宋体" w:cs="宋体"/>
                <w:b w:val="0"/>
              </w:rPr>
              <w:t>-</w:t>
            </w:r>
          </w:p>
        </w:tc>
      </w:tr>
    </w:tbl>
    <w:p>
      <w:pPr>
        <w:pStyle w:val="2"/>
        <w:jc w:val="center"/>
      </w:pPr>
      <w:r>
        <w:rPr>
          <w:rFonts w:ascii="宋体" w:hAnsi="宋体" w:eastAsia="宋体" w:cs="宋体"/>
        </w:rPr>
        <w:t>§9 影响投资者决策的其他重要信息</w:t>
      </w:r>
    </w:p>
    <w:p>
      <w:pPr>
        <w:pStyle w:val="3"/>
        <w:jc w:val="left"/>
      </w:pPr>
      <w:r>
        <w:rPr>
          <w:rFonts w:ascii="宋体" w:hAnsi="宋体" w:eastAsia="宋体" w:cs="宋体"/>
        </w:rPr>
        <w:t>9.1 报告期内单一投资者持有基金份额比例达到或超过20%的情况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2320"/>
        <w:gridCol w:w="1581"/>
        <w:gridCol w:w="1032"/>
        <w:gridCol w:w="1032"/>
        <w:gridCol w:w="1581"/>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shd w:val="clear" w:color="auto" w:fill="D9D9D9"/>
            <w:vAlign w:val="center"/>
          </w:tcPr>
          <w:p>
            <w:pPr>
              <w:spacing w:line="240" w:lineRule="auto"/>
              <w:jc w:val="center"/>
            </w:pPr>
            <w:r>
              <w:rPr>
                <w:rFonts w:ascii="宋体" w:hAnsi="宋体" w:eastAsia="宋体" w:cs="宋体"/>
                <w:b w:val="0"/>
              </w:rPr>
              <w:t>投资者类别</w:t>
            </w:r>
          </w:p>
        </w:tc>
        <w:tc>
          <w:tcPr>
            <w:tcW w:w="3192" w:type="pct"/>
            <w:gridSpan w:val="5"/>
            <w:shd w:val="clear" w:color="auto" w:fill="D9D9D9"/>
            <w:vAlign w:val="center"/>
          </w:tcPr>
          <w:p>
            <w:pPr>
              <w:spacing w:line="240" w:lineRule="auto"/>
              <w:jc w:val="center"/>
            </w:pPr>
            <w:r>
              <w:rPr>
                <w:rFonts w:ascii="宋体" w:hAnsi="宋体" w:eastAsia="宋体" w:cs="宋体"/>
                <w:b w:val="0"/>
              </w:rPr>
              <w:t>报告期内持有基金份额变化情况</w:t>
            </w:r>
          </w:p>
        </w:tc>
        <w:tc>
          <w:tcPr>
            <w:tcW w:w="1154" w:type="pct"/>
            <w:gridSpan w:val="2"/>
            <w:shd w:val="clear" w:color="auto" w:fill="D9D9D9"/>
            <w:vAlign w:val="center"/>
          </w:tcPr>
          <w:p>
            <w:pPr>
              <w:spacing w:line="240" w:lineRule="auto"/>
              <w:jc w:val="center"/>
            </w:pPr>
            <w:r>
              <w:rPr>
                <w:rFonts w:ascii="宋体" w:hAnsi="宋体" w:eastAsia="宋体" w:cs="宋体"/>
                <w:b w:val="0"/>
              </w:rPr>
              <w:t>报告期末持有基金情况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269" w:type="pct"/>
            <w:shd w:val="clear" w:color="auto" w:fill="D9D9D9"/>
            <w:vAlign w:val="center"/>
          </w:tcPr>
          <w:p>
            <w:pPr>
              <w:spacing w:line="240" w:lineRule="auto"/>
              <w:jc w:val="center"/>
            </w:pPr>
            <w:r>
              <w:rPr>
                <w:rFonts w:ascii="宋体" w:hAnsi="宋体" w:eastAsia="宋体" w:cs="宋体"/>
                <w:b w:val="0"/>
              </w:rPr>
              <w:t>序号</w:t>
            </w:r>
          </w:p>
        </w:tc>
        <w:tc>
          <w:tcPr>
            <w:tcW w:w="1346" w:type="pct"/>
            <w:shd w:val="clear" w:color="auto" w:fill="D9D9D9"/>
            <w:vAlign w:val="center"/>
          </w:tcPr>
          <w:p>
            <w:pPr>
              <w:spacing w:line="240" w:lineRule="auto"/>
              <w:jc w:val="center"/>
            </w:pPr>
            <w:r>
              <w:rPr>
                <w:rFonts w:ascii="宋体" w:hAnsi="宋体" w:eastAsia="宋体" w:cs="宋体"/>
                <w:b w:val="0"/>
              </w:rPr>
              <w:t>持有基金份额比例达到或者超过20%的时间区间</w:t>
            </w:r>
          </w:p>
        </w:tc>
        <w:tc>
          <w:tcPr>
            <w:tcW w:w="615" w:type="pct"/>
            <w:shd w:val="clear" w:color="auto" w:fill="D9D9D9"/>
            <w:vAlign w:val="center"/>
          </w:tcPr>
          <w:p>
            <w:pPr>
              <w:spacing w:line="240" w:lineRule="auto"/>
              <w:jc w:val="center"/>
            </w:pPr>
            <w:r>
              <w:rPr>
                <w:rFonts w:ascii="宋体" w:hAnsi="宋体" w:eastAsia="宋体" w:cs="宋体"/>
                <w:b w:val="0"/>
              </w:rPr>
              <w:t>期初份额</w:t>
            </w:r>
          </w:p>
        </w:tc>
        <w:tc>
          <w:tcPr>
            <w:tcW w:w="615" w:type="pct"/>
            <w:shd w:val="clear" w:color="auto" w:fill="D9D9D9"/>
            <w:vAlign w:val="center"/>
          </w:tcPr>
          <w:p>
            <w:pPr>
              <w:spacing w:line="240" w:lineRule="auto"/>
              <w:jc w:val="center"/>
            </w:pPr>
            <w:r>
              <w:rPr>
                <w:rFonts w:ascii="宋体" w:hAnsi="宋体" w:eastAsia="宋体" w:cs="宋体"/>
                <w:b w:val="0"/>
              </w:rPr>
              <w:t>申购份额</w:t>
            </w:r>
          </w:p>
        </w:tc>
        <w:tc>
          <w:tcPr>
            <w:tcW w:w="615" w:type="pct"/>
            <w:shd w:val="clear" w:color="auto" w:fill="D9D9D9"/>
            <w:vAlign w:val="center"/>
          </w:tcPr>
          <w:p>
            <w:pPr>
              <w:spacing w:line="240" w:lineRule="auto"/>
              <w:jc w:val="center"/>
            </w:pPr>
            <w:r>
              <w:rPr>
                <w:rFonts w:ascii="宋体" w:hAnsi="宋体" w:eastAsia="宋体" w:cs="宋体"/>
                <w:b w:val="0"/>
              </w:rPr>
              <w:t>赎回份额</w:t>
            </w:r>
          </w:p>
        </w:tc>
        <w:tc>
          <w:tcPr>
            <w:tcW w:w="615" w:type="pct"/>
            <w:shd w:val="clear" w:color="auto" w:fill="D9D9D9"/>
            <w:vAlign w:val="center"/>
          </w:tcPr>
          <w:p>
            <w:pPr>
              <w:spacing w:line="240" w:lineRule="auto"/>
              <w:jc w:val="center"/>
            </w:pPr>
            <w:r>
              <w:rPr>
                <w:rFonts w:ascii="宋体" w:hAnsi="宋体" w:eastAsia="宋体" w:cs="宋体"/>
                <w:b w:val="0"/>
              </w:rPr>
              <w:t>持有份额</w:t>
            </w:r>
          </w:p>
        </w:tc>
        <w:tc>
          <w:tcPr>
            <w:tcW w:w="538" w:type="pct"/>
            <w:shd w:val="clear" w:color="auto" w:fill="D9D9D9"/>
            <w:vAlign w:val="center"/>
          </w:tcPr>
          <w:p>
            <w:pPr>
              <w:spacing w:line="240" w:lineRule="auto"/>
              <w:jc w:val="center"/>
            </w:pPr>
            <w:r>
              <w:rPr>
                <w:rFonts w:ascii="宋体" w:hAnsi="宋体" w:eastAsia="宋体" w:cs="宋体"/>
                <w:b w:val="0"/>
              </w:rPr>
              <w:t>份额占比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个人</w:t>
            </w:r>
          </w:p>
        </w:tc>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center"/>
            </w:pPr>
            <w:r>
              <w:rPr>
                <w:rFonts w:ascii="宋体" w:hAnsi="宋体" w:eastAsia="宋体" w:cs="宋体"/>
                <w:b w:val="0"/>
              </w:rPr>
              <w:t>2025年10月01日-2025年12月24日</w:t>
            </w:r>
          </w:p>
        </w:tc>
        <w:tc>
          <w:tcPr>
            <w:tcW w:w="0" w:type="dxa"/>
            <w:vAlign w:val="center"/>
          </w:tcPr>
          <w:p>
            <w:pPr>
              <w:spacing w:line="240" w:lineRule="auto"/>
              <w:jc w:val="right"/>
            </w:pPr>
            <w:r>
              <w:rPr>
                <w:rFonts w:ascii="宋体" w:hAnsi="宋体" w:eastAsia="宋体" w:cs="宋体"/>
                <w:b w:val="0"/>
              </w:rPr>
              <w:t>10,000,388.92</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10,000,388.92</w:t>
            </w:r>
          </w:p>
        </w:tc>
        <w:tc>
          <w:tcPr>
            <w:tcW w:w="0" w:type="dxa"/>
            <w:vAlign w:val="center"/>
          </w:tcPr>
          <w:p>
            <w:pPr>
              <w:spacing w:line="240" w:lineRule="auto"/>
              <w:jc w:val="right"/>
            </w:pPr>
            <w:r>
              <w:rPr>
                <w:rFonts w:ascii="宋体" w:hAnsi="宋体" w:eastAsia="宋体" w:cs="宋体"/>
                <w:b w:val="0"/>
              </w:rPr>
              <w:t>17.39%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pPr>
              <w:spacing w:line="240" w:lineRule="auto"/>
              <w:jc w:val="center"/>
            </w:pPr>
            <w:r>
              <w:rPr>
                <w:rFonts w:ascii="宋体" w:hAnsi="宋体" w:eastAsia="宋体" w:cs="宋体"/>
                <w:b w:val="0"/>
              </w:rPr>
              <w:t>产品特有风险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pPr>
              <w:spacing w:line="240" w:lineRule="auto"/>
              <w:jc w:val="left"/>
            </w:pPr>
            <w:r>
              <w:rPr>
                <w:rFonts w:ascii="宋体" w:hAnsi="宋体" w:eastAsia="宋体" w:cs="宋体"/>
                <w:b w:val="0"/>
              </w:rPr>
              <w:t xml:space="preserve">    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rPr>
              <w:br w:type="textWrapping"/>
            </w:r>
            <w:r>
              <w:rPr>
                <w:rFonts w:ascii="宋体" w:hAnsi="宋体" w:eastAsia="宋体" w:cs="宋体"/>
                <w:b w:val="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rPr>
              <w:br w:type="textWrapping"/>
            </w:r>
            <w:r>
              <w:rPr>
                <w:rFonts w:ascii="宋体" w:hAnsi="宋体" w:eastAsia="宋体" w:cs="宋体"/>
                <w:b w:val="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rPr>
              <w:br w:type="textWrapping"/>
            </w:r>
            <w:r>
              <w:rPr>
                <w:rFonts w:ascii="宋体" w:hAnsi="宋体" w:eastAsia="宋体" w:cs="宋体"/>
                <w:b w:val="0"/>
              </w:rPr>
              <w:t xml:space="preserve">    3、单一投资者巨额赎回可能导致本基金在短时间内无法变现足够的资产予以应对，可能会导致基金仓位调整困难，发生流动性风险。</w:t>
            </w:r>
            <w:r>
              <w:rPr>
                <w:rFonts w:ascii="宋体" w:hAnsi="宋体" w:eastAsia="宋体" w:cs="宋体"/>
                <w:b w:val="0"/>
              </w:rPr>
              <w:br w:type="textWrapping"/>
            </w:r>
            <w:r>
              <w:rPr>
                <w:rFonts w:ascii="宋体" w:hAnsi="宋体" w:eastAsia="宋体" w:cs="宋体"/>
                <w:b w:val="0"/>
              </w:rPr>
              <w:t xml:space="preserve">    4、持有基金份额占比较高的投资者在召开基金份额持有人大会并对重大事项进行投票表决时，可能拥有较大话语权。</w:t>
            </w:r>
            <w:r>
              <w:rPr>
                <w:rFonts w:ascii="宋体" w:hAnsi="宋体" w:eastAsia="宋体" w:cs="宋体"/>
                <w:b w:val="0"/>
              </w:rPr>
              <w:br w:type="textWrapping"/>
            </w:r>
            <w:r>
              <w:rPr>
                <w:rFonts w:ascii="宋体" w:hAnsi="宋体" w:eastAsia="宋体" w:cs="宋体"/>
                <w:b w:val="0"/>
              </w:rPr>
              <w:t xml:space="preserve">    5、超出基金管理人允许的单一投资者持有基金份额比例的申购申请不被确认的风险。</w:t>
            </w:r>
          </w:p>
        </w:tc>
      </w:tr>
    </w:tbl>
    <w:p/>
    <w:p>
      <w:pPr>
        <w:pStyle w:val="3"/>
        <w:jc w:val="left"/>
      </w:pPr>
      <w:r>
        <w:rPr>
          <w:rFonts w:ascii="宋体" w:hAnsi="宋体" w:eastAsia="宋体" w:cs="宋体"/>
        </w:rPr>
        <w:t>9.2 影响投资者决策的其他重要信息</w:t>
      </w:r>
    </w:p>
    <w:p>
      <w:r>
        <w:rPr>
          <w:rFonts w:ascii="宋体" w:hAnsi="宋体" w:eastAsia="宋体" w:cs="宋体"/>
          <w:b w:val="0"/>
        </w:rPr>
        <w:t xml:space="preserve">    无。</w:t>
      </w:r>
    </w:p>
    <w:p>
      <w:pPr>
        <w:pStyle w:val="2"/>
        <w:jc w:val="center"/>
      </w:pPr>
      <w:r>
        <w:rPr>
          <w:rFonts w:ascii="宋体" w:hAnsi="宋体" w:eastAsia="宋体" w:cs="宋体"/>
        </w:rPr>
        <w:t>§10 备查文件目录</w:t>
      </w:r>
    </w:p>
    <w:p>
      <w:pPr>
        <w:pStyle w:val="3"/>
        <w:jc w:val="left"/>
      </w:pPr>
      <w:r>
        <w:rPr>
          <w:rFonts w:ascii="宋体" w:hAnsi="宋体" w:eastAsia="宋体" w:cs="宋体"/>
        </w:rPr>
        <w:t>10.1 备查文件目录</w:t>
      </w:r>
    </w:p>
    <w:p>
      <w:r>
        <w:rPr>
          <w:rFonts w:ascii="宋体" w:hAnsi="宋体" w:eastAsia="宋体" w:cs="宋体"/>
          <w:b w:val="0"/>
        </w:rPr>
        <w:t xml:space="preserve">    1、中国证券监督管理委员会批准的东方阿尔法科技优选混合型发起式证券投资基金设立的文件；</w:t>
      </w:r>
      <w:r>
        <w:rPr>
          <w:rFonts w:ascii="宋体" w:hAnsi="宋体" w:eastAsia="宋体" w:cs="宋体"/>
          <w:b w:val="0"/>
        </w:rPr>
        <w:cr/>
      </w:r>
      <w:r>
        <w:rPr>
          <w:rFonts w:ascii="宋体" w:hAnsi="宋体" w:eastAsia="宋体" w:cs="宋体"/>
          <w:b w:val="0"/>
        </w:rPr>
        <w:t xml:space="preserve">    2、《东方阿尔法科技优选混合型发起式证券投资基金基金合同》；</w:t>
      </w:r>
      <w:r>
        <w:rPr>
          <w:rFonts w:ascii="宋体" w:hAnsi="宋体" w:eastAsia="宋体" w:cs="宋体"/>
          <w:b w:val="0"/>
        </w:rPr>
        <w:cr/>
      </w:r>
      <w:r>
        <w:rPr>
          <w:rFonts w:ascii="宋体" w:hAnsi="宋体" w:eastAsia="宋体" w:cs="宋体"/>
          <w:b w:val="0"/>
        </w:rPr>
        <w:t xml:space="preserve">    3、《东方阿尔法科技优选混合型发起式证券投资基金托管协议》；</w:t>
      </w:r>
      <w:r>
        <w:rPr>
          <w:rFonts w:ascii="宋体" w:hAnsi="宋体" w:eastAsia="宋体" w:cs="宋体"/>
          <w:b w:val="0"/>
        </w:rPr>
        <w:cr/>
      </w:r>
      <w:r>
        <w:rPr>
          <w:rFonts w:ascii="宋体" w:hAnsi="宋体" w:eastAsia="宋体" w:cs="宋体"/>
          <w:b w:val="0"/>
        </w:rPr>
        <w:t xml:space="preserve">    4、《东方阿尔法科技优选混合型发起式证券投资基金招募说明书》（含更新）；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p/>
    <w:p>
      <w:pPr>
        <w:pStyle w:val="3"/>
        <w:jc w:val="left"/>
      </w:pPr>
      <w:r>
        <w:rPr>
          <w:rFonts w:ascii="宋体" w:hAnsi="宋体" w:eastAsia="宋体" w:cs="宋体"/>
        </w:rPr>
        <w:t>10.2 存放地点</w:t>
      </w:r>
    </w:p>
    <w:p>
      <w:r>
        <w:rPr>
          <w:rFonts w:ascii="宋体" w:hAnsi="宋体" w:eastAsia="宋体" w:cs="宋体"/>
          <w:b w:val="0"/>
        </w:rPr>
        <w:t xml:space="preserve">    基金管理人和基金托管人的住所。</w:t>
      </w:r>
    </w:p>
    <w:p/>
    <w:p>
      <w:pPr>
        <w:pStyle w:val="3"/>
        <w:jc w:val="left"/>
      </w:pPr>
      <w:r>
        <w:rPr>
          <w:rFonts w:ascii="宋体" w:hAnsi="宋体" w:eastAsia="宋体" w:cs="宋体"/>
        </w:rPr>
        <w:t>10.3 查阅方式</w:t>
      </w:r>
    </w:p>
    <w:p>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p/>
    <w:p/>
    <w:p>
      <w:pPr>
        <w:jc w:val="right"/>
      </w:pPr>
      <w:r>
        <w:rPr>
          <w:rFonts w:ascii="宋体" w:hAnsi="宋体" w:eastAsia="宋体" w:cs="宋体"/>
          <w:b/>
        </w:rPr>
        <w:t>东方阿尔法基金管理有限公司</w:t>
      </w:r>
    </w:p>
    <w:p>
      <w:pPr>
        <w:jc w:val="right"/>
      </w:pPr>
      <w:r>
        <w:rPr>
          <w:rFonts w:ascii="宋体" w:hAnsi="宋体" w:eastAsia="宋体" w:cs="宋体"/>
          <w:b/>
        </w:rPr>
        <w:t>二〇二六年一月二十二日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2</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2</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1</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ascii="宋体" w:hAnsi="宋体" w:eastAsia="宋体"/>
      </w:rPr>
    </w:pPr>
    <w:r>
      <w:rPr>
        <w:rFonts w:hint="eastAsia" w:ascii="宋体" w:hAnsi="宋体" w:eastAsia="宋体"/>
        <w:sz w:val="18"/>
      </w:rPr>
      <w:t>东方阿尔法科技优选混合型发起式证券投资基金2025年第4季度报告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6E684CCA"/>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unhideWhenUsed/>
    <w:qFormat/>
    <w:uiPriority w:val="39"/>
    <w:pPr>
      <w:ind w:left="840"/>
      <w:jc w:val="left"/>
    </w:pPr>
    <w:rPr>
      <w:sz w:val="18"/>
      <w:szCs w:val="18"/>
    </w:rPr>
  </w:style>
  <w:style w:type="paragraph" w:styleId="12">
    <w:name w:val="toc 3"/>
    <w:basedOn w:val="1"/>
    <w:next w:val="1"/>
    <w:unhideWhenUsed/>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unhideWhenUsed/>
    <w:qFormat/>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uiPriority w:val="39"/>
    <w:pPr>
      <w:tabs>
        <w:tab w:val="right" w:leader="dot" w:pos="9060"/>
      </w:tabs>
      <w:spacing w:line="240" w:lineRule="auto"/>
      <w:jc w:val="left"/>
    </w:pPr>
    <w:rPr>
      <w:b/>
      <w:bCs/>
      <w:caps/>
      <w:szCs w:val="20"/>
    </w:rPr>
  </w:style>
  <w:style w:type="paragraph" w:styleId="20">
    <w:name w:val="toc 4"/>
    <w:basedOn w:val="1"/>
    <w:next w:val="1"/>
    <w:unhideWhenUsed/>
    <w:qFormat/>
    <w:uiPriority w:val="39"/>
    <w:pPr>
      <w:ind w:left="630"/>
      <w:jc w:val="left"/>
    </w:pPr>
    <w:rPr>
      <w:sz w:val="18"/>
      <w:szCs w:val="18"/>
    </w:rPr>
  </w:style>
  <w:style w:type="paragraph" w:styleId="21">
    <w:name w:val="toc 6"/>
    <w:basedOn w:val="1"/>
    <w:next w:val="1"/>
    <w:unhideWhenUsed/>
    <w:qFormat/>
    <w:uiPriority w:val="39"/>
    <w:pPr>
      <w:ind w:left="1050"/>
      <w:jc w:val="left"/>
    </w:pPr>
    <w:rPr>
      <w:sz w:val="18"/>
      <w:szCs w:val="18"/>
    </w:rPr>
  </w:style>
  <w:style w:type="paragraph" w:styleId="22">
    <w:name w:val="toc 2"/>
    <w:basedOn w:val="1"/>
    <w:next w:val="1"/>
    <w:unhideWhenUsed/>
    <w:uiPriority w:val="39"/>
    <w:pPr>
      <w:spacing w:line="240" w:lineRule="auto"/>
      <w:ind w:left="210"/>
      <w:jc w:val="left"/>
    </w:pPr>
    <w:rPr>
      <w:smallCaps/>
      <w:szCs w:val="20"/>
    </w:rPr>
  </w:style>
  <w:style w:type="paragraph" w:styleId="23">
    <w:name w:val="toc 9"/>
    <w:basedOn w:val="1"/>
    <w:next w:val="1"/>
    <w:unhideWhenUsed/>
    <w:qFormat/>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qFormat/>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qFormat/>
    <w:uiPriority w:val="10"/>
    <w:rPr>
      <w:rFonts w:asciiTheme="majorHAnsi" w:hAnsiTheme="majorHAnsi" w:eastAsiaTheme="majorEastAsia" w:cstheme="majorBidi"/>
      <w:b/>
      <w:bCs/>
      <w:sz w:val="32"/>
      <w:szCs w:val="32"/>
    </w:rPr>
  </w:style>
  <w:style w:type="paragraph" w:customStyle="1" w:styleId="52">
    <w:name w:val="biaoge_left"/>
    <w:basedOn w:val="1"/>
    <w:qFormat/>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qFormat/>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Words>
  <Characters>139</Characters>
  <Lines>1</Lines>
  <Paragraphs>1</Paragraphs>
  <TotalTime>51</TotalTime>
  <ScaleCrop>false</ScaleCrop>
  <LinksUpToDate>false</LinksUpToDate>
  <CharactersWithSpaces>162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2026-04-20T00:32:45Z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