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东方阿尔法产业先锋混合型发起式证券投资基金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东方阿尔法产业先锋混合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011704</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2021年07月21日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1,486,117,855.99份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本基金在严格控制风险的前提下，通过产业精选和个股研究，力求选择景气度上行产业中具有先锋优势的优质个股，力争实现基金资产的持续稳定增值。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本基金的投资策略主要有以下10个方面内容：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本基金根据对宏观经济周期的分析研究，结合基本面、市面场、政策面等多种因素的综合考量，研判所处经济周期的位置及未来发展方向，以确定组合中股票、债券、货币市场工具及其他金融工具的比例。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对于可转换债券的投资，本基金将在评估其偿债能力的同时兼顾公司的成长性，以期通过转换条款分享因股价上升带来的高收益。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9、股票期权的投资策略</w:t>
              <w:br/>
            </w:r>
            <w:r>
              <w:rPr>
                <w:rFonts w:ascii="宋体" w:hAnsi="宋体" w:cs="宋体" w:eastAsia="宋体"/>
                <w:b w:val="false"/>
              </w:rPr>
              <w:t>本基金投资股票期权将以套期保值为主要目的，结合投资目标、比例限制、风险收益特征以及法律法规的相关限定和要求，确定参与股票期权交易的投资时机和投资比例。</w:t>
              <w:br/>
            </w:r>
            <w:r>
              <w:rPr>
                <w:rFonts w:ascii="宋体" w:hAnsi="宋体" w:cs="宋体" w:eastAsia="宋体"/>
                <w:b w:val="false"/>
              </w:rPr>
              <w:t>10、资产支持证券投资策略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中证800指数收益率×80%+中证综合债券指数收益率×20%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东方阿尔法产业先锋混合A</w:t>
            </w:r>
          </w:p>
        </w:tc>
        <w:tc>
          <w:tcPr>
            <w:tcW w:type="pct" w:w="1500"/>
            <w:vAlign w:val="center"/>
          </w:tcPr>
          <w:p>
            <w:pPr>
              <w:spacing w:line="240" w:lineRule="auto"/>
              <w:jc w:val="left"/>
            </w:pPr>
            <w:r>
              <w:rPr>
                <w:rFonts w:ascii="宋体" w:hAnsi="宋体" w:cs="宋体" w:eastAsia="宋体"/>
                <w:b w:val="false"/>
              </w:rPr>
              <w:t>东方阿尔法产业先锋混合C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011704</w:t>
            </w:r>
          </w:p>
        </w:tc>
        <w:tc>
          <w:tcPr>
            <w:tcW w:type="pct" w:w="1500"/>
            <w:vAlign w:val="center"/>
          </w:tcPr>
          <w:p>
            <w:pPr>
              <w:spacing w:line="240" w:lineRule="auto"/>
              <w:jc w:val="left"/>
            </w:pPr>
            <w:r>
              <w:rPr>
                <w:rFonts w:ascii="宋体" w:hAnsi="宋体" w:cs="宋体" w:eastAsia="宋体"/>
                <w:b w:val="false"/>
              </w:rPr>
              <w:t>011705</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1,072,415,866.81份</w:t>
            </w:r>
          </w:p>
        </w:tc>
        <w:tc>
          <w:tcPr>
            <w:tcW w:type="pct" w:w="1500"/>
            <w:vAlign w:val="center"/>
          </w:tcPr>
          <w:p>
            <w:pPr>
              <w:spacing w:line="240" w:lineRule="auto"/>
              <w:jc w:val="left"/>
            </w:pPr>
            <w:r>
              <w:rPr>
                <w:rFonts w:ascii="宋体" w:hAnsi="宋体" w:cs="宋体" w:eastAsia="宋体"/>
                <w:b w:val="false"/>
              </w:rPr>
              <w:t>413,701,989.18份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东方阿尔法产业先锋混合A</w:t>
            </w:r>
          </w:p>
        </w:tc>
        <w:tc>
          <w:tcPr>
            <w:tcW w:type="pct" w:w="1500"/>
            <w:vAlign w:val="center"/>
          </w:tcPr>
          <w:tcPr>
            <w:shd w:fill="d9d9d9"/>
          </w:tcPr>
          <w:p>
            <w:pPr>
              <w:spacing w:line="240" w:lineRule="auto"/>
              <w:jc w:val="center"/>
            </w:pPr>
            <w:r>
              <w:rPr>
                <w:rFonts w:ascii="宋体" w:hAnsi="宋体" w:cs="宋体" w:eastAsia="宋体"/>
                <w:b w:val="false"/>
              </w:rPr>
              <w:t>东方阿尔法产业先锋混合C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-8,467,187.04</w:t>
            </w:r>
          </w:p>
        </w:tc>
        <w:tc>
          <w:tcPr>
            <w:tcW w:type="pct" w:w="1500"/>
            <w:vAlign w:val="center"/>
          </w:tcPr>
          <w:p>
            <w:pPr>
              <w:spacing w:line="240" w:lineRule="auto"/>
              <w:jc w:val="right"/>
            </w:pPr>
            <w:r>
              <w:rPr>
                <w:rFonts w:ascii="宋体" w:hAnsi="宋体" w:cs="宋体" w:eastAsia="宋体"/>
                <w:b w:val="false"/>
              </w:rPr>
              <w:t>-3,420,357.28</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-43,083,902.88</w:t>
            </w:r>
          </w:p>
        </w:tc>
        <w:tc>
          <w:tcPr>
            <w:tcW w:type="pct" w:w="1500"/>
            <w:vAlign w:val="center"/>
          </w:tcPr>
          <w:p>
            <w:pPr>
              <w:spacing w:line="240" w:lineRule="auto"/>
              <w:jc w:val="right"/>
            </w:pPr>
            <w:r>
              <w:rPr>
                <w:rFonts w:ascii="宋体" w:hAnsi="宋体" w:cs="宋体" w:eastAsia="宋体"/>
                <w:b w:val="false"/>
              </w:rPr>
              <w:t>-16,667,987.72</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-0.0392</w:t>
            </w:r>
          </w:p>
        </w:tc>
        <w:tc>
          <w:tcPr>
            <w:tcW w:type="pct" w:w="1500"/>
            <w:vAlign w:val="center"/>
          </w:tcPr>
          <w:p>
            <w:pPr>
              <w:spacing w:line="240" w:lineRule="auto"/>
              <w:jc w:val="right"/>
            </w:pPr>
            <w:r>
              <w:rPr>
                <w:rFonts w:ascii="宋体" w:hAnsi="宋体" w:cs="宋体" w:eastAsia="宋体"/>
                <w:b w:val="false"/>
              </w:rPr>
              <w:t>-0.0380</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632,519,065.10</w:t>
            </w:r>
          </w:p>
        </w:tc>
        <w:tc>
          <w:tcPr>
            <w:tcW w:type="pct" w:w="1500"/>
            <w:vAlign w:val="center"/>
          </w:tcPr>
          <w:p>
            <w:pPr>
              <w:spacing w:line="240" w:lineRule="auto"/>
              <w:jc w:val="right"/>
            </w:pPr>
            <w:r>
              <w:rPr>
                <w:rFonts w:ascii="宋体" w:hAnsi="宋体" w:cs="宋体" w:eastAsia="宋体"/>
                <w:b w:val="false"/>
              </w:rPr>
              <w:t>238,338,055.20</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0.5898</w:t>
            </w:r>
          </w:p>
        </w:tc>
        <w:tc>
          <w:tcPr>
            <w:tcW w:type="pct" w:w="1500"/>
            <w:vAlign w:val="center"/>
          </w:tcPr>
          <w:p>
            <w:pPr>
              <w:spacing w:line="240" w:lineRule="auto"/>
              <w:jc w:val="right"/>
            </w:pPr>
            <w:r>
              <w:rPr>
                <w:rFonts w:ascii="宋体" w:hAnsi="宋体" w:cs="宋体" w:eastAsia="宋体"/>
                <w:b w:val="false"/>
              </w:rPr>
              <w:t>0.5761</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东方阿尔法产业先锋混合A净值表现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-6.93%</w:t>
            </w:r>
          </w:p>
        </w:tc>
        <w:tc>
          <w:tcPr>
            <w:tcW/>
            <w:vAlign w:val="center"/>
          </w:tcPr>
          <w:p>
            <w:pPr>
              <w:spacing w:line="240" w:lineRule="auto"/>
              <w:jc w:val="right"/>
            </w:pPr>
            <w:r>
              <w:rPr>
                <w:rFonts w:ascii="宋体" w:hAnsi="宋体" w:cs="宋体" w:eastAsia="宋体"/>
                <w:b w:val="false"/>
              </w:rPr>
              <w:t>2.37%</w:t>
            </w:r>
          </w:p>
        </w:tc>
        <w:tc>
          <w:tcPr>
            <w:tcW/>
            <w:vAlign w:val="center"/>
          </w:tcPr>
          <w:p>
            <w:pPr>
              <w:spacing w:line="240" w:lineRule="auto"/>
              <w:jc w:val="right"/>
            </w:pPr>
            <w:r>
              <w:rPr>
                <w:rFonts w:ascii="宋体" w:hAnsi="宋体" w:cs="宋体" w:eastAsia="宋体"/>
                <w:b w:val="false"/>
              </w:rPr>
              <w:t>-1.61%</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-5.32%</w:t>
            </w:r>
          </w:p>
        </w:tc>
        <w:tc>
          <w:tcPr>
            <w:tcW/>
            <w:vAlign w:val="center"/>
          </w:tcPr>
          <w:p>
            <w:pPr>
              <w:spacing w:line="240" w:lineRule="auto"/>
              <w:jc w:val="right"/>
            </w:pPr>
            <w:r>
              <w:rPr>
                <w:rFonts w:ascii="宋体" w:hAnsi="宋体" w:cs="宋体" w:eastAsia="宋体"/>
                <w:b w:val="false"/>
              </w:rPr>
              <w:t>1.47%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-10.42%</w:t>
            </w:r>
          </w:p>
        </w:tc>
        <w:tc>
          <w:tcPr>
            <w:tcW/>
            <w:vAlign w:val="center"/>
          </w:tcPr>
          <w:p>
            <w:pPr>
              <w:spacing w:line="240" w:lineRule="auto"/>
              <w:jc w:val="right"/>
            </w:pPr>
            <w:r>
              <w:rPr>
                <w:rFonts w:ascii="宋体" w:hAnsi="宋体" w:cs="宋体" w:eastAsia="宋体"/>
                <w:b w:val="false"/>
              </w:rPr>
              <w:t>2.41%</w:t>
            </w:r>
          </w:p>
        </w:tc>
        <w:tc>
          <w:tcPr>
            <w:tcW/>
            <w:vAlign w:val="center"/>
          </w:tcPr>
          <w:p>
            <w:pPr>
              <w:spacing w:line="240" w:lineRule="auto"/>
              <w:jc w:val="right"/>
            </w:pPr>
            <w:r>
              <w:rPr>
                <w:rFonts w:ascii="宋体" w:hAnsi="宋体" w:cs="宋体" w:eastAsia="宋体"/>
                <w:b w:val="false"/>
              </w:rPr>
              <w:t>-1.45%</w:t>
            </w:r>
          </w:p>
        </w:tc>
        <w:tc>
          <w:tcPr>
            <w:tcW/>
            <w:vAlign w:val="center"/>
          </w:tcPr>
          <w:p>
            <w:pPr>
              <w:spacing w:line="240" w:lineRule="auto"/>
              <w:jc w:val="right"/>
            </w:pPr>
            <w:r>
              <w:rPr>
                <w:rFonts w:ascii="宋体" w:hAnsi="宋体" w:cs="宋体" w:eastAsia="宋体"/>
                <w:b w:val="false"/>
              </w:rPr>
              <w:t>0.85%</w:t>
            </w:r>
          </w:p>
        </w:tc>
        <w:tc>
          <w:tcPr>
            <w:tcW/>
            <w:vAlign w:val="center"/>
          </w:tcPr>
          <w:p>
            <w:pPr>
              <w:spacing w:line="240" w:lineRule="auto"/>
              <w:jc w:val="right"/>
            </w:pPr>
            <w:r>
              <w:rPr>
                <w:rFonts w:ascii="宋体" w:hAnsi="宋体" w:cs="宋体" w:eastAsia="宋体"/>
                <w:b w:val="false"/>
              </w:rPr>
              <w:t>-8.97%</w:t>
            </w:r>
          </w:p>
        </w:tc>
        <w:tc>
          <w:tcPr>
            <w:tcW/>
            <w:vAlign w:val="center"/>
          </w:tcPr>
          <w:p>
            <w:pPr>
              <w:spacing w:line="240" w:lineRule="auto"/>
              <w:jc w:val="right"/>
            </w:pPr>
            <w:r>
              <w:rPr>
                <w:rFonts w:ascii="宋体" w:hAnsi="宋体" w:cs="宋体" w:eastAsia="宋体"/>
                <w:b w:val="false"/>
              </w:rPr>
              <w:t>1.56%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24.43%</w:t>
            </w:r>
          </w:p>
        </w:tc>
        <w:tc>
          <w:tcPr>
            <w:tcW/>
            <w:vAlign w:val="center"/>
          </w:tcPr>
          <w:p>
            <w:pPr>
              <w:spacing w:line="240" w:lineRule="auto"/>
              <w:jc w:val="right"/>
            </w:pPr>
            <w:r>
              <w:rPr>
                <w:rFonts w:ascii="宋体" w:hAnsi="宋体" w:cs="宋体" w:eastAsia="宋体"/>
                <w:b w:val="false"/>
              </w:rPr>
              <w:t>2.24%</w:t>
            </w:r>
          </w:p>
        </w:tc>
        <w:tc>
          <w:tcPr>
            <w:tcW/>
            <w:vAlign w:val="center"/>
          </w:tcPr>
          <w:p>
            <w:pPr>
              <w:spacing w:line="240" w:lineRule="auto"/>
              <w:jc w:val="right"/>
            </w:pPr>
            <w:r>
              <w:rPr>
                <w:rFonts w:ascii="宋体" w:hAnsi="宋体" w:cs="宋体" w:eastAsia="宋体"/>
                <w:b w:val="false"/>
              </w:rPr>
              <w:t>15.31%</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9.12%</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-5.89%</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13.71%</w:t>
            </w:r>
          </w:p>
        </w:tc>
        <w:tc>
          <w:tcPr>
            <w:tcW/>
            <w:vAlign w:val="center"/>
          </w:tcPr>
          <w:p>
            <w:pPr>
              <w:spacing w:line="240" w:lineRule="auto"/>
              <w:jc w:val="right"/>
            </w:pPr>
            <w:r>
              <w:rPr>
                <w:rFonts w:ascii="宋体" w:hAnsi="宋体" w:cs="宋体" w:eastAsia="宋体"/>
                <w:b w:val="false"/>
              </w:rPr>
              <w:t>0.91%</w:t>
            </w:r>
          </w:p>
        </w:tc>
        <w:tc>
          <w:tcPr>
            <w:tcW/>
            <w:vAlign w:val="center"/>
          </w:tcPr>
          <w:p>
            <w:pPr>
              <w:spacing w:line="240" w:lineRule="auto"/>
              <w:jc w:val="right"/>
            </w:pPr>
            <w:r>
              <w:rPr>
                <w:rFonts w:ascii="宋体" w:hAnsi="宋体" w:cs="宋体" w:eastAsia="宋体"/>
                <w:b w:val="false"/>
              </w:rPr>
              <w:t>-19.60%</w:t>
            </w:r>
          </w:p>
        </w:tc>
        <w:tc>
          <w:tcPr>
            <w:tcW/>
            <w:vAlign w:val="center"/>
          </w:tcPr>
          <w:p>
            <w:pPr>
              <w:spacing w:line="240" w:lineRule="auto"/>
              <w:jc w:val="right"/>
            </w:pPr>
            <w:r>
              <w:rPr>
                <w:rFonts w:ascii="宋体" w:hAnsi="宋体" w:cs="宋体" w:eastAsia="宋体"/>
                <w:b w:val="false"/>
              </w:rPr>
              <w:t>0.95%</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-41.02%</w:t>
            </w:r>
          </w:p>
        </w:tc>
        <w:tc>
          <w:tcPr>
            <w:tcW/>
            <w:vAlign w:val="center"/>
          </w:tcPr>
          <w:p>
            <w:pPr>
              <w:spacing w:line="240" w:lineRule="auto"/>
              <w:jc w:val="right"/>
            </w:pPr>
            <w:r>
              <w:rPr>
                <w:rFonts w:ascii="宋体" w:hAnsi="宋体" w:cs="宋体" w:eastAsia="宋体"/>
                <w:b w:val="false"/>
              </w:rPr>
              <w:t>1.98%</w:t>
            </w:r>
          </w:p>
        </w:tc>
        <w:tc>
          <w:tcPr>
            <w:tcW/>
            <w:vAlign w:val="center"/>
          </w:tcPr>
          <w:p>
            <w:pPr>
              <w:spacing w:line="240" w:lineRule="auto"/>
              <w:jc w:val="right"/>
            </w:pPr>
            <w:r>
              <w:rPr>
                <w:rFonts w:ascii="宋体" w:hAnsi="宋体" w:cs="宋体" w:eastAsia="宋体"/>
                <w:b w:val="false"/>
              </w:rPr>
              <w:t>-1.18%</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-39.84%</w:t>
            </w:r>
          </w:p>
        </w:tc>
        <w:tc>
          <w:tcPr>
            <w:tcW/>
            <w:vAlign w:val="center"/>
          </w:tcPr>
          <w:p>
            <w:pPr>
              <w:spacing w:line="240" w:lineRule="auto"/>
              <w:jc w:val="right"/>
            </w:pPr>
            <w:r>
              <w:rPr>
                <w:rFonts w:ascii="宋体" w:hAnsi="宋体" w:cs="宋体" w:eastAsia="宋体"/>
                <w:b w:val="false"/>
              </w:rPr>
              <w:t>1.08%</w:t>
            </w:r>
          </w:p>
        </w:tc>
      </w:tr>
    </w:tbl>
    <w:p>
      <w:pPr>
        <w:jc w:val="left"/>
      </w:pPr>
      <w:r>
        <w:rPr>
          <w:rFonts w:ascii="宋体" w:hAnsi="宋体" w:cs="宋体" w:eastAsia="宋体"/>
          <w:b w:val="true"/>
        </w:rPr>
        <w:t>东方阿尔法产业先锋混合C净值表现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-7.05%</w:t>
            </w:r>
          </w:p>
        </w:tc>
        <w:tc>
          <w:tcPr>
            <w:tcW/>
            <w:vAlign w:val="center"/>
          </w:tcPr>
          <w:p>
            <w:pPr>
              <w:spacing w:line="240" w:lineRule="auto"/>
              <w:jc w:val="right"/>
            </w:pPr>
            <w:r>
              <w:rPr>
                <w:rFonts w:ascii="宋体" w:hAnsi="宋体" w:cs="宋体" w:eastAsia="宋体"/>
                <w:b w:val="false"/>
              </w:rPr>
              <w:t>2.37%</w:t>
            </w:r>
          </w:p>
        </w:tc>
        <w:tc>
          <w:tcPr>
            <w:tcW/>
            <w:vAlign w:val="center"/>
          </w:tcPr>
          <w:p>
            <w:pPr>
              <w:spacing w:line="240" w:lineRule="auto"/>
              <w:jc w:val="right"/>
            </w:pPr>
            <w:r>
              <w:rPr>
                <w:rFonts w:ascii="宋体" w:hAnsi="宋体" w:cs="宋体" w:eastAsia="宋体"/>
                <w:b w:val="false"/>
              </w:rPr>
              <w:t>-1.61%</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-5.44%</w:t>
            </w:r>
          </w:p>
        </w:tc>
        <w:tc>
          <w:tcPr>
            <w:tcW/>
            <w:vAlign w:val="center"/>
          </w:tcPr>
          <w:p>
            <w:pPr>
              <w:spacing w:line="240" w:lineRule="auto"/>
              <w:jc w:val="right"/>
            </w:pPr>
            <w:r>
              <w:rPr>
                <w:rFonts w:ascii="宋体" w:hAnsi="宋体" w:cs="宋体" w:eastAsia="宋体"/>
                <w:b w:val="false"/>
              </w:rPr>
              <w:t>1.47%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-10.65%</w:t>
            </w:r>
          </w:p>
        </w:tc>
        <w:tc>
          <w:tcPr>
            <w:tcW/>
            <w:vAlign w:val="center"/>
          </w:tcPr>
          <w:p>
            <w:pPr>
              <w:spacing w:line="240" w:lineRule="auto"/>
              <w:jc w:val="right"/>
            </w:pPr>
            <w:r>
              <w:rPr>
                <w:rFonts w:ascii="宋体" w:hAnsi="宋体" w:cs="宋体" w:eastAsia="宋体"/>
                <w:b w:val="false"/>
              </w:rPr>
              <w:t>2.41%</w:t>
            </w:r>
          </w:p>
        </w:tc>
        <w:tc>
          <w:tcPr>
            <w:tcW/>
            <w:vAlign w:val="center"/>
          </w:tcPr>
          <w:p>
            <w:pPr>
              <w:spacing w:line="240" w:lineRule="auto"/>
              <w:jc w:val="right"/>
            </w:pPr>
            <w:r>
              <w:rPr>
                <w:rFonts w:ascii="宋体" w:hAnsi="宋体" w:cs="宋体" w:eastAsia="宋体"/>
                <w:b w:val="false"/>
              </w:rPr>
              <w:t>-1.45%</w:t>
            </w:r>
          </w:p>
        </w:tc>
        <w:tc>
          <w:tcPr>
            <w:tcW/>
            <w:vAlign w:val="center"/>
          </w:tcPr>
          <w:p>
            <w:pPr>
              <w:spacing w:line="240" w:lineRule="auto"/>
              <w:jc w:val="right"/>
            </w:pPr>
            <w:r>
              <w:rPr>
                <w:rFonts w:ascii="宋体" w:hAnsi="宋体" w:cs="宋体" w:eastAsia="宋体"/>
                <w:b w:val="false"/>
              </w:rPr>
              <w:t>0.85%</w:t>
            </w:r>
          </w:p>
        </w:tc>
        <w:tc>
          <w:tcPr>
            <w:tcW/>
            <w:vAlign w:val="center"/>
          </w:tcPr>
          <w:p>
            <w:pPr>
              <w:spacing w:line="240" w:lineRule="auto"/>
              <w:jc w:val="right"/>
            </w:pPr>
            <w:r>
              <w:rPr>
                <w:rFonts w:ascii="宋体" w:hAnsi="宋体" w:cs="宋体" w:eastAsia="宋体"/>
                <w:b w:val="false"/>
              </w:rPr>
              <w:t>-9.20%</w:t>
            </w:r>
          </w:p>
        </w:tc>
        <w:tc>
          <w:tcPr>
            <w:tcW/>
            <w:vAlign w:val="center"/>
          </w:tcPr>
          <w:p>
            <w:pPr>
              <w:spacing w:line="240" w:lineRule="auto"/>
              <w:jc w:val="right"/>
            </w:pPr>
            <w:r>
              <w:rPr>
                <w:rFonts w:ascii="宋体" w:hAnsi="宋体" w:cs="宋体" w:eastAsia="宋体"/>
                <w:b w:val="false"/>
              </w:rPr>
              <w:t>1.56%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23.81%</w:t>
            </w:r>
          </w:p>
        </w:tc>
        <w:tc>
          <w:tcPr>
            <w:tcW/>
            <w:vAlign w:val="center"/>
          </w:tcPr>
          <w:p>
            <w:pPr>
              <w:spacing w:line="240" w:lineRule="auto"/>
              <w:jc w:val="right"/>
            </w:pPr>
            <w:r>
              <w:rPr>
                <w:rFonts w:ascii="宋体" w:hAnsi="宋体" w:cs="宋体" w:eastAsia="宋体"/>
                <w:b w:val="false"/>
              </w:rPr>
              <w:t>2.24%</w:t>
            </w:r>
          </w:p>
        </w:tc>
        <w:tc>
          <w:tcPr>
            <w:tcW/>
            <w:vAlign w:val="center"/>
          </w:tcPr>
          <w:p>
            <w:pPr>
              <w:spacing w:line="240" w:lineRule="auto"/>
              <w:jc w:val="right"/>
            </w:pPr>
            <w:r>
              <w:rPr>
                <w:rFonts w:ascii="宋体" w:hAnsi="宋体" w:cs="宋体" w:eastAsia="宋体"/>
                <w:b w:val="false"/>
              </w:rPr>
              <w:t>15.31%</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8.50%</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-7.29%</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13.71%</w:t>
            </w:r>
          </w:p>
        </w:tc>
        <w:tc>
          <w:tcPr>
            <w:tcW/>
            <w:vAlign w:val="center"/>
          </w:tcPr>
          <w:p>
            <w:pPr>
              <w:spacing w:line="240" w:lineRule="auto"/>
              <w:jc w:val="right"/>
            </w:pPr>
            <w:r>
              <w:rPr>
                <w:rFonts w:ascii="宋体" w:hAnsi="宋体" w:cs="宋体" w:eastAsia="宋体"/>
                <w:b w:val="false"/>
              </w:rPr>
              <w:t>0.91%</w:t>
            </w:r>
          </w:p>
        </w:tc>
        <w:tc>
          <w:tcPr>
            <w:tcW/>
            <w:vAlign w:val="center"/>
          </w:tcPr>
          <w:p>
            <w:pPr>
              <w:spacing w:line="240" w:lineRule="auto"/>
              <w:jc w:val="right"/>
            </w:pPr>
            <w:r>
              <w:rPr>
                <w:rFonts w:ascii="宋体" w:hAnsi="宋体" w:cs="宋体" w:eastAsia="宋体"/>
                <w:b w:val="false"/>
              </w:rPr>
              <w:t>-21.00%</w:t>
            </w:r>
          </w:p>
        </w:tc>
        <w:tc>
          <w:tcPr>
            <w:tcW/>
            <w:vAlign w:val="center"/>
          </w:tcPr>
          <w:p>
            <w:pPr>
              <w:spacing w:line="240" w:lineRule="auto"/>
              <w:jc w:val="right"/>
            </w:pPr>
            <w:r>
              <w:rPr>
                <w:rFonts w:ascii="宋体" w:hAnsi="宋体" w:cs="宋体" w:eastAsia="宋体"/>
                <w:b w:val="false"/>
              </w:rPr>
              <w:t>0.95%</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-42.39%</w:t>
            </w:r>
          </w:p>
        </w:tc>
        <w:tc>
          <w:tcPr>
            <w:tcW/>
            <w:vAlign w:val="center"/>
          </w:tcPr>
          <w:p>
            <w:pPr>
              <w:spacing w:line="240" w:lineRule="auto"/>
              <w:jc w:val="right"/>
            </w:pPr>
            <w:r>
              <w:rPr>
                <w:rFonts w:ascii="宋体" w:hAnsi="宋体" w:cs="宋体" w:eastAsia="宋体"/>
                <w:b w:val="false"/>
              </w:rPr>
              <w:t>1.98%</w:t>
            </w:r>
          </w:p>
        </w:tc>
        <w:tc>
          <w:tcPr>
            <w:tcW/>
            <w:vAlign w:val="center"/>
          </w:tcPr>
          <w:p>
            <w:pPr>
              <w:spacing w:line="240" w:lineRule="auto"/>
              <w:jc w:val="right"/>
            </w:pPr>
            <w:r>
              <w:rPr>
                <w:rFonts w:ascii="宋体" w:hAnsi="宋体" w:cs="宋体" w:eastAsia="宋体"/>
                <w:b w:val="false"/>
              </w:rPr>
              <w:t>-1.18%</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-41.21%</w:t>
            </w:r>
          </w:p>
        </w:tc>
        <w:tc>
          <w:tcPr>
            <w:tcW/>
            <w:vAlign w:val="center"/>
          </w:tcPr>
          <w:p>
            <w:pPr>
              <w:spacing w:line="240" w:lineRule="auto"/>
              <w:jc w:val="right"/>
            </w:pPr>
            <w:r>
              <w:rPr>
                <w:rFonts w:ascii="宋体" w:hAnsi="宋体" w:cs="宋体" w:eastAsia="宋体"/>
                <w:b w:val="false"/>
              </w:rPr>
              <w:t>1.08%</w:t>
            </w:r>
          </w:p>
        </w:tc>
      </w:tr>
    </w:tbl>
    <w:p>
      <w:r>
        <w:rPr>
          <w:rFonts w:ascii="宋体" w:hAnsi="宋体" w:cs="宋体" w:eastAsia="宋体"/>
          <w:b w:val="false"/>
        </w:rPr>
        <w:t>注：1、本基金业绩比较基准为：中证800指数收益率×80%+中证综合债券指数收益率×20%。</w:t>
        <w:br/>
      </w:r>
      <w:r>
        <w:rPr>
          <w:rFonts w:ascii="宋体" w:hAnsi="宋体" w:cs="宋体" w:eastAsia="宋体"/>
          <w:b w:val="false"/>
        </w:rPr>
        <w:t>2、本基金自2021年07月21日成立至今尚未满五年，无过去五年的净值表现。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2025-07-01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进入2026年，全球经济步入复苏周期，中国经济呈现“温和复苏”态势。全国两会胜利召开，我国2026年继续设定中高速增长目标，为全年各项工作筑牢坚实托底支撑。两会同时明确，未来经济发展将更多依靠“新质生产力”，而新能源正是新质生产力的核心板块之一。</w:t>
        <w:br/>
      </w:r>
      <w:r>
        <w:rPr>
          <w:rFonts w:ascii="宋体" w:hAnsi="宋体" w:cs="宋体" w:eastAsia="宋体"/>
          <w:b w:val="false"/>
        </w:rPr>
        <w:t xml:space="preserve">    2026年一季度，传统锂电行业呈现“储能驱动、价格修复、供需紧平衡” 的复苏态势。一季度我国储能电池产量达145.1GWh，同比增长111.5%，延续高景气度；动力电池装车量为 291.9GWh，尽管国内新能源汽车销量偏弱，但受益于海外汽车出口的亮眼表现，仍实现了较高增长。2026年仍是储能电池的大年，在电池排产旺季的带动下，部分锂电材料存在涨价预期，其中也孕育着锂电材料的投资机会。龙头电池企业的固态电池产品基本通过工信部审核，但受材料成本居高不下的影响，产业推进仍需国家政策进一步支持；预计二季度将有固态电池装车的新进展，三季度起将开启新一轮固态产线招标，对固态产业链形成较强催化。</w:t>
        <w:br/>
      </w:r>
      <w:r>
        <w:rPr>
          <w:rFonts w:ascii="宋体" w:hAnsi="宋体" w:cs="宋体" w:eastAsia="宋体"/>
          <w:b w:val="false"/>
        </w:rPr>
        <w:t xml:space="preserve">    展望二季度，本基金认为，锂电产业链将在储能系统与海外出口的双轮驱动下进入传统旺季，其中储能系统全年将维持高增速，新能源出口在新能源汽车、储能系统的带动下也将持续保持高增长。随着美伊冲突加剧，国际原油现货价格长期在150美元/桶附近徘徊，叠加波斯湾地区原油出口量大幅下降，各国普遍意识到能源保供的迫切性，纷纷出台相关政策支持新能源产业发展。在此背景下，2026年我国新能源出口将延续景气态势，各细分板块均有望实现良好增长。</w:t>
        <w:br/>
      </w:r>
      <w:r>
        <w:rPr>
          <w:rFonts w:ascii="宋体" w:hAnsi="宋体" w:cs="宋体" w:eastAsia="宋体"/>
          <w:b w:val="false"/>
        </w:rPr>
        <w:t xml:space="preserve">    本基金将在密切跟踪固态电池产业发展变化的同时，积极关注新能源产业链的边际变化，提前布局相关核心标的，力争为广大投资者把握新能源出口景气度提升带来的投资机会。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产业先锋混合A基金份额净值为0.5898元，本报告期内，该类基金份额净值增长率为-6.93%，同期业绩比较基准收益率为-1.61%；截至报告期末东方阿尔法产业先锋混合C基金份额净值为0.5761元，本报告期内，该类基金份额净值增长率为-7.05%，同期业绩比较基准收益率为-1.61%。</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821,172,440.06</w:t>
            </w:r>
          </w:p>
        </w:tc>
        <w:tc>
          <w:tcPr>
            <w:tcW/>
            <w:vAlign w:val="center"/>
          </w:tcPr>
          <w:p>
            <w:pPr>
              <w:spacing w:line="240" w:lineRule="auto"/>
              <w:jc w:val="right"/>
            </w:pPr>
            <w:r>
              <w:rPr>
                <w:rFonts w:ascii="宋体" w:hAnsi="宋体" w:cs="宋体" w:eastAsia="宋体"/>
                <w:b w:val="false"/>
              </w:rPr>
              <w:t>89.42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821,172,440.06</w:t>
            </w:r>
          </w:p>
        </w:tc>
        <w:tc>
          <w:tcPr>
            <w:tcW/>
            <w:vAlign w:val="center"/>
          </w:tcPr>
          <w:p>
            <w:pPr>
              <w:spacing w:line="240" w:lineRule="auto"/>
              <w:jc w:val="right"/>
            </w:pPr>
            <w:r>
              <w:rPr>
                <w:rFonts w:ascii="宋体" w:hAnsi="宋体" w:cs="宋体" w:eastAsia="宋体"/>
                <w:b w:val="false"/>
              </w:rPr>
              <w:t>89.42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58,424,566.35</w:t>
            </w:r>
          </w:p>
        </w:tc>
        <w:tc>
          <w:tcPr>
            <w:tcW/>
            <w:vAlign w:val="center"/>
          </w:tcPr>
          <w:p>
            <w:pPr>
              <w:spacing w:line="240" w:lineRule="auto"/>
              <w:jc w:val="right"/>
            </w:pPr>
            <w:r>
              <w:rPr>
                <w:rFonts w:ascii="宋体" w:hAnsi="宋体" w:cs="宋体" w:eastAsia="宋体"/>
                <w:b w:val="false"/>
              </w:rPr>
              <w:t>6.36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58,424,566.35</w:t>
            </w:r>
          </w:p>
        </w:tc>
        <w:tc>
          <w:tcPr>
            <w:tcW/>
            <w:vAlign w:val="center"/>
          </w:tcPr>
          <w:p>
            <w:pPr>
              <w:spacing w:line="240" w:lineRule="auto"/>
              <w:jc w:val="right"/>
            </w:pPr>
            <w:r>
              <w:rPr>
                <w:rFonts w:ascii="宋体" w:hAnsi="宋体" w:cs="宋体" w:eastAsia="宋体"/>
                <w:b w:val="false"/>
              </w:rPr>
              <w:t>6.36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37,840,232.03</w:t>
            </w:r>
          </w:p>
        </w:tc>
        <w:tc>
          <w:tcPr>
            <w:tcW/>
            <w:vAlign w:val="center"/>
          </w:tcPr>
          <w:p>
            <w:pPr>
              <w:spacing w:line="240" w:lineRule="auto"/>
              <w:jc w:val="right"/>
            </w:pPr>
            <w:r>
              <w:rPr>
                <w:rFonts w:ascii="宋体" w:hAnsi="宋体" w:cs="宋体" w:eastAsia="宋体"/>
                <w:b w:val="false"/>
              </w:rPr>
              <w:t>4.12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876,199.00</w:t>
            </w:r>
          </w:p>
        </w:tc>
        <w:tc>
          <w:tcPr>
            <w:tcW/>
            <w:vAlign w:val="center"/>
          </w:tcPr>
          <w:p>
            <w:pPr>
              <w:spacing w:line="240" w:lineRule="auto"/>
              <w:jc w:val="right"/>
            </w:pPr>
            <w:r>
              <w:rPr>
                <w:rFonts w:ascii="宋体" w:hAnsi="宋体" w:cs="宋体" w:eastAsia="宋体"/>
                <w:b w:val="false"/>
              </w:rPr>
              <w:t>0.10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918,313,437.44</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750,321.38</w:t>
            </w:r>
          </w:p>
        </w:tc>
        <w:tc>
          <w:tcPr>
            <w:tcW/>
            <w:vAlign w:val="center"/>
          </w:tcPr>
          <w:p>
            <w:pPr>
              <w:spacing w:line="240" w:lineRule="auto"/>
              <w:jc w:val="right"/>
            </w:pPr>
            <w:r>
              <w:rPr>
                <w:rFonts w:ascii="宋体" w:hAnsi="宋体" w:cs="宋体" w:eastAsia="宋体"/>
                <w:b w:val="false"/>
              </w:rPr>
              <w:t>0.09</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799,015,085.32</w:t>
            </w:r>
          </w:p>
        </w:tc>
        <w:tc>
          <w:tcPr>
            <w:tcW/>
            <w:vAlign w:val="center"/>
          </w:tcPr>
          <w:p>
            <w:pPr>
              <w:spacing w:line="240" w:lineRule="auto"/>
              <w:jc w:val="right"/>
            </w:pPr>
            <w:r>
              <w:rPr>
                <w:rFonts w:ascii="宋体" w:hAnsi="宋体" w:cs="宋体" w:eastAsia="宋体"/>
                <w:b w:val="false"/>
              </w:rPr>
              <w:t>91.75</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596,224.68</w:t>
            </w:r>
          </w:p>
        </w:tc>
        <w:tc>
          <w:tcPr>
            <w:tcW/>
            <w:vAlign w:val="center"/>
          </w:tcPr>
          <w:p>
            <w:pPr>
              <w:spacing w:line="240" w:lineRule="auto"/>
              <w:jc w:val="right"/>
            </w:pPr>
            <w:r>
              <w:rPr>
                <w:rFonts w:ascii="宋体" w:hAnsi="宋体" w:cs="宋体" w:eastAsia="宋体"/>
                <w:b w:val="false"/>
              </w:rPr>
              <w:t>0.07</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30,840.08</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20,779,968.60</w:t>
            </w:r>
          </w:p>
        </w:tc>
        <w:tc>
          <w:tcPr>
            <w:tcW/>
            <w:vAlign w:val="center"/>
          </w:tcPr>
          <w:p>
            <w:pPr>
              <w:spacing w:line="240" w:lineRule="auto"/>
              <w:jc w:val="right"/>
            </w:pPr>
            <w:r>
              <w:rPr>
                <w:rFonts w:ascii="宋体" w:hAnsi="宋体" w:cs="宋体" w:eastAsia="宋体"/>
                <w:b w:val="false"/>
              </w:rPr>
              <w:t>2.39</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821,172,440.06</w:t>
            </w:r>
          </w:p>
        </w:tc>
        <w:tc>
          <w:tcPr>
            <w:tcW/>
            <w:vAlign w:val="center"/>
          </w:tcPr>
          <w:p>
            <w:pPr>
              <w:spacing w:line="240" w:lineRule="auto"/>
              <w:jc w:val="right"/>
            </w:pPr>
            <w:r>
              <w:rPr>
                <w:rFonts w:ascii="宋体" w:hAnsi="宋体" w:cs="宋体" w:eastAsia="宋体"/>
                <w:b w:val="false"/>
              </w:rPr>
              <w:t>94.29</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300750</w:t>
            </w:r>
          </w:p>
        </w:tc>
        <w:tc>
          <w:tcPr>
            <w:tcW/>
            <w:vAlign w:val="center"/>
          </w:tcPr>
          <w:p>
            <w:pPr>
              <w:spacing w:line="240" w:lineRule="auto"/>
              <w:jc w:val="left"/>
            </w:pPr>
            <w:r>
              <w:rPr>
                <w:rFonts w:ascii="宋体" w:hAnsi="宋体" w:cs="宋体" w:eastAsia="宋体"/>
                <w:b w:val="false"/>
              </w:rPr>
              <w:t>宁德时代</w:t>
            </w:r>
          </w:p>
        </w:tc>
        <w:tc>
          <w:tcPr>
            <w:tcW/>
            <w:vAlign w:val="center"/>
          </w:tcPr>
          <w:p>
            <w:pPr>
              <w:spacing w:line="240" w:lineRule="auto"/>
              <w:jc w:val="right"/>
            </w:pPr>
            <w:r>
              <w:rPr>
                <w:rFonts w:ascii="宋体" w:hAnsi="宋体" w:cs="宋体" w:eastAsia="宋体"/>
                <w:b w:val="false"/>
              </w:rPr>
              <w:t>120,400</w:t>
            </w:r>
          </w:p>
        </w:tc>
        <w:tc>
          <w:tcPr>
            <w:tcW/>
            <w:vAlign w:val="center"/>
          </w:tcPr>
          <w:p>
            <w:pPr>
              <w:spacing w:line="240" w:lineRule="auto"/>
              <w:jc w:val="right"/>
            </w:pPr>
            <w:r>
              <w:rPr>
                <w:rFonts w:ascii="宋体" w:hAnsi="宋体" w:cs="宋体" w:eastAsia="宋体"/>
                <w:b w:val="false"/>
              </w:rPr>
              <w:t>48,364,680.00</w:t>
            </w:r>
          </w:p>
        </w:tc>
        <w:tc>
          <w:tcPr>
            <w:tcW/>
            <w:vAlign w:val="center"/>
          </w:tcPr>
          <w:p>
            <w:pPr>
              <w:spacing w:line="240" w:lineRule="auto"/>
              <w:jc w:val="right"/>
            </w:pPr>
            <w:r>
              <w:rPr>
                <w:rFonts w:ascii="宋体" w:hAnsi="宋体" w:cs="宋体" w:eastAsia="宋体"/>
                <w:b w:val="false"/>
              </w:rPr>
              <w:t>5.55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688155</w:t>
            </w:r>
          </w:p>
        </w:tc>
        <w:tc>
          <w:tcPr>
            <w:tcW/>
            <w:vAlign w:val="center"/>
          </w:tcPr>
          <w:p>
            <w:pPr>
              <w:spacing w:line="240" w:lineRule="auto"/>
              <w:jc w:val="left"/>
            </w:pPr>
            <w:r>
              <w:rPr>
                <w:rFonts w:ascii="宋体" w:hAnsi="宋体" w:cs="宋体" w:eastAsia="宋体"/>
                <w:b w:val="false"/>
              </w:rPr>
              <w:t>先惠技术</w:t>
            </w:r>
          </w:p>
        </w:tc>
        <w:tc>
          <w:tcPr>
            <w:tcW/>
            <w:vAlign w:val="center"/>
          </w:tcPr>
          <w:p>
            <w:pPr>
              <w:spacing w:line="240" w:lineRule="auto"/>
              <w:jc w:val="right"/>
            </w:pPr>
            <w:r>
              <w:rPr>
                <w:rFonts w:ascii="宋体" w:hAnsi="宋体" w:cs="宋体" w:eastAsia="宋体"/>
                <w:b w:val="false"/>
              </w:rPr>
              <w:t>635,701</w:t>
            </w:r>
          </w:p>
        </w:tc>
        <w:tc>
          <w:tcPr>
            <w:tcW/>
            <w:vAlign w:val="center"/>
          </w:tcPr>
          <w:p>
            <w:pPr>
              <w:spacing w:line="240" w:lineRule="auto"/>
              <w:jc w:val="right"/>
            </w:pPr>
            <w:r>
              <w:rPr>
                <w:rFonts w:ascii="宋体" w:hAnsi="宋体" w:cs="宋体" w:eastAsia="宋体"/>
                <w:b w:val="false"/>
              </w:rPr>
              <w:t>46,094,679.51</w:t>
            </w:r>
          </w:p>
        </w:tc>
        <w:tc>
          <w:tcPr>
            <w:tcW/>
            <w:vAlign w:val="center"/>
          </w:tcPr>
          <w:p>
            <w:pPr>
              <w:spacing w:line="240" w:lineRule="auto"/>
              <w:jc w:val="right"/>
            </w:pPr>
            <w:r>
              <w:rPr>
                <w:rFonts w:ascii="宋体" w:hAnsi="宋体" w:cs="宋体" w:eastAsia="宋体"/>
                <w:b w:val="false"/>
              </w:rPr>
              <w:t>5.29</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301662</w:t>
            </w:r>
          </w:p>
        </w:tc>
        <w:tc>
          <w:tcPr>
            <w:tcW/>
            <w:vAlign w:val="center"/>
          </w:tcPr>
          <w:p>
            <w:pPr>
              <w:spacing w:line="240" w:lineRule="auto"/>
              <w:jc w:val="left"/>
            </w:pPr>
            <w:r>
              <w:rPr>
                <w:rFonts w:ascii="宋体" w:hAnsi="宋体" w:cs="宋体" w:eastAsia="宋体"/>
                <w:b w:val="false"/>
              </w:rPr>
              <w:t>宏工科技</w:t>
            </w:r>
          </w:p>
        </w:tc>
        <w:tc>
          <w:tcPr>
            <w:tcW/>
            <w:vAlign w:val="center"/>
          </w:tcPr>
          <w:p>
            <w:pPr>
              <w:spacing w:line="240" w:lineRule="auto"/>
              <w:jc w:val="right"/>
            </w:pPr>
            <w:r>
              <w:rPr>
                <w:rFonts w:ascii="宋体" w:hAnsi="宋体" w:cs="宋体" w:eastAsia="宋体"/>
                <w:b w:val="false"/>
              </w:rPr>
              <w:t>339,387</w:t>
            </w:r>
          </w:p>
        </w:tc>
        <w:tc>
          <w:tcPr>
            <w:tcW/>
            <w:vAlign w:val="center"/>
          </w:tcPr>
          <w:p>
            <w:pPr>
              <w:spacing w:line="240" w:lineRule="auto"/>
              <w:jc w:val="right"/>
            </w:pPr>
            <w:r>
              <w:rPr>
                <w:rFonts w:ascii="宋体" w:hAnsi="宋体" w:cs="宋体" w:eastAsia="宋体"/>
                <w:b w:val="false"/>
              </w:rPr>
              <w:t>45,820,638.87</w:t>
            </w:r>
          </w:p>
        </w:tc>
        <w:tc>
          <w:tcPr>
            <w:tcW/>
            <w:vAlign w:val="center"/>
          </w:tcPr>
          <w:p>
            <w:pPr>
              <w:spacing w:line="240" w:lineRule="auto"/>
              <w:jc w:val="right"/>
            </w:pPr>
            <w:r>
              <w:rPr>
                <w:rFonts w:ascii="宋体" w:hAnsi="宋体" w:cs="宋体" w:eastAsia="宋体"/>
                <w:b w:val="false"/>
              </w:rPr>
              <w:t>5.26</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300390</w:t>
            </w:r>
          </w:p>
        </w:tc>
        <w:tc>
          <w:tcPr>
            <w:tcW/>
            <w:vAlign w:val="center"/>
          </w:tcPr>
          <w:p>
            <w:pPr>
              <w:spacing w:line="240" w:lineRule="auto"/>
              <w:jc w:val="left"/>
            </w:pPr>
            <w:r>
              <w:rPr>
                <w:rFonts w:ascii="宋体" w:hAnsi="宋体" w:cs="宋体" w:eastAsia="宋体"/>
                <w:b w:val="false"/>
              </w:rPr>
              <w:t>天华新能</w:t>
            </w:r>
          </w:p>
        </w:tc>
        <w:tc>
          <w:tcPr>
            <w:tcW/>
            <w:vAlign w:val="center"/>
          </w:tcPr>
          <w:p>
            <w:pPr>
              <w:spacing w:line="240" w:lineRule="auto"/>
              <w:jc w:val="right"/>
            </w:pPr>
            <w:r>
              <w:rPr>
                <w:rFonts w:ascii="宋体" w:hAnsi="宋体" w:cs="宋体" w:eastAsia="宋体"/>
                <w:b w:val="false"/>
              </w:rPr>
              <w:t>774,000</w:t>
            </w:r>
          </w:p>
        </w:tc>
        <w:tc>
          <w:tcPr>
            <w:tcW/>
            <w:vAlign w:val="center"/>
          </w:tcPr>
          <w:p>
            <w:pPr>
              <w:spacing w:line="240" w:lineRule="auto"/>
              <w:jc w:val="right"/>
            </w:pPr>
            <w:r>
              <w:rPr>
                <w:rFonts w:ascii="宋体" w:hAnsi="宋体" w:cs="宋体" w:eastAsia="宋体"/>
                <w:b w:val="false"/>
              </w:rPr>
              <w:t>45,279,000.00</w:t>
            </w:r>
          </w:p>
        </w:tc>
        <w:tc>
          <w:tcPr>
            <w:tcW/>
            <w:vAlign w:val="center"/>
          </w:tcPr>
          <w:p>
            <w:pPr>
              <w:spacing w:line="240" w:lineRule="auto"/>
              <w:jc w:val="right"/>
            </w:pPr>
            <w:r>
              <w:rPr>
                <w:rFonts w:ascii="宋体" w:hAnsi="宋体" w:cs="宋体" w:eastAsia="宋体"/>
                <w:b w:val="false"/>
              </w:rPr>
              <w:t>5.20</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603663</w:t>
            </w:r>
          </w:p>
        </w:tc>
        <w:tc>
          <w:tcPr>
            <w:tcW/>
            <w:vAlign w:val="center"/>
          </w:tcPr>
          <w:p>
            <w:pPr>
              <w:spacing w:line="240" w:lineRule="auto"/>
              <w:jc w:val="left"/>
            </w:pPr>
            <w:r>
              <w:rPr>
                <w:rFonts w:ascii="宋体" w:hAnsi="宋体" w:cs="宋体" w:eastAsia="宋体"/>
                <w:b w:val="false"/>
              </w:rPr>
              <w:t>三祥新材</w:t>
            </w:r>
          </w:p>
        </w:tc>
        <w:tc>
          <w:tcPr>
            <w:tcW/>
            <w:vAlign w:val="center"/>
          </w:tcPr>
          <w:p>
            <w:pPr>
              <w:spacing w:line="240" w:lineRule="auto"/>
              <w:jc w:val="right"/>
            </w:pPr>
            <w:r>
              <w:rPr>
                <w:rFonts w:ascii="宋体" w:hAnsi="宋体" w:cs="宋体" w:eastAsia="宋体"/>
                <w:b w:val="false"/>
              </w:rPr>
              <w:t>1,053,155</w:t>
            </w:r>
          </w:p>
        </w:tc>
        <w:tc>
          <w:tcPr>
            <w:tcW/>
            <w:vAlign w:val="center"/>
          </w:tcPr>
          <w:p>
            <w:pPr>
              <w:spacing w:line="240" w:lineRule="auto"/>
              <w:jc w:val="right"/>
            </w:pPr>
            <w:r>
              <w:rPr>
                <w:rFonts w:ascii="宋体" w:hAnsi="宋体" w:cs="宋体" w:eastAsia="宋体"/>
                <w:b w:val="false"/>
              </w:rPr>
              <w:t>43,158,291.90</w:t>
            </w:r>
          </w:p>
        </w:tc>
        <w:tc>
          <w:tcPr>
            <w:tcW/>
            <w:vAlign w:val="center"/>
          </w:tcPr>
          <w:p>
            <w:pPr>
              <w:spacing w:line="240" w:lineRule="auto"/>
              <w:jc w:val="right"/>
            </w:pPr>
            <w:r>
              <w:rPr>
                <w:rFonts w:ascii="宋体" w:hAnsi="宋体" w:cs="宋体" w:eastAsia="宋体"/>
                <w:b w:val="false"/>
              </w:rPr>
              <w:t>4.96</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002759</w:t>
            </w:r>
          </w:p>
        </w:tc>
        <w:tc>
          <w:tcPr>
            <w:tcW/>
            <w:vAlign w:val="center"/>
          </w:tcPr>
          <w:p>
            <w:pPr>
              <w:spacing w:line="240" w:lineRule="auto"/>
              <w:jc w:val="left"/>
            </w:pPr>
            <w:r>
              <w:rPr>
                <w:rFonts w:ascii="宋体" w:hAnsi="宋体" w:cs="宋体" w:eastAsia="宋体"/>
                <w:b w:val="false"/>
              </w:rPr>
              <w:t>天际股份</w:t>
            </w:r>
          </w:p>
        </w:tc>
        <w:tc>
          <w:tcPr>
            <w:tcW/>
            <w:vAlign w:val="center"/>
          </w:tcPr>
          <w:p>
            <w:pPr>
              <w:spacing w:line="240" w:lineRule="auto"/>
              <w:jc w:val="right"/>
            </w:pPr>
            <w:r>
              <w:rPr>
                <w:rFonts w:ascii="宋体" w:hAnsi="宋体" w:cs="宋体" w:eastAsia="宋体"/>
                <w:b w:val="false"/>
              </w:rPr>
              <w:t>1,141,093</w:t>
            </w:r>
          </w:p>
        </w:tc>
        <w:tc>
          <w:tcPr>
            <w:tcW/>
            <w:vAlign w:val="center"/>
          </w:tcPr>
          <w:p>
            <w:pPr>
              <w:spacing w:line="240" w:lineRule="auto"/>
              <w:jc w:val="right"/>
            </w:pPr>
            <w:r>
              <w:rPr>
                <w:rFonts w:ascii="宋体" w:hAnsi="宋体" w:cs="宋体" w:eastAsia="宋体"/>
                <w:b w:val="false"/>
              </w:rPr>
              <w:t>39,367,708.50</w:t>
            </w:r>
          </w:p>
        </w:tc>
        <w:tc>
          <w:tcPr>
            <w:tcW/>
            <w:vAlign w:val="center"/>
          </w:tcPr>
          <w:p>
            <w:pPr>
              <w:spacing w:line="240" w:lineRule="auto"/>
              <w:jc w:val="right"/>
            </w:pPr>
            <w:r>
              <w:rPr>
                <w:rFonts w:ascii="宋体" w:hAnsi="宋体" w:cs="宋体" w:eastAsia="宋体"/>
                <w:b w:val="false"/>
              </w:rPr>
              <w:t>4.52</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688778</w:t>
            </w:r>
          </w:p>
        </w:tc>
        <w:tc>
          <w:tcPr>
            <w:tcW/>
            <w:vAlign w:val="center"/>
          </w:tcPr>
          <w:p>
            <w:pPr>
              <w:spacing w:line="240" w:lineRule="auto"/>
              <w:jc w:val="left"/>
            </w:pPr>
            <w:r>
              <w:rPr>
                <w:rFonts w:ascii="宋体" w:hAnsi="宋体" w:cs="宋体" w:eastAsia="宋体"/>
                <w:b w:val="false"/>
              </w:rPr>
              <w:t>厦钨新能</w:t>
            </w:r>
          </w:p>
        </w:tc>
        <w:tc>
          <w:tcPr>
            <w:tcW/>
            <w:vAlign w:val="center"/>
          </w:tcPr>
          <w:p>
            <w:pPr>
              <w:spacing w:line="240" w:lineRule="auto"/>
              <w:jc w:val="right"/>
            </w:pPr>
            <w:r>
              <w:rPr>
                <w:rFonts w:ascii="宋体" w:hAnsi="宋体" w:cs="宋体" w:eastAsia="宋体"/>
                <w:b w:val="false"/>
              </w:rPr>
              <w:t>541,435</w:t>
            </w:r>
          </w:p>
        </w:tc>
        <w:tc>
          <w:tcPr>
            <w:tcW/>
            <w:vAlign w:val="center"/>
          </w:tcPr>
          <w:p>
            <w:pPr>
              <w:spacing w:line="240" w:lineRule="auto"/>
              <w:jc w:val="right"/>
            </w:pPr>
            <w:r>
              <w:rPr>
                <w:rFonts w:ascii="宋体" w:hAnsi="宋体" w:cs="宋体" w:eastAsia="宋体"/>
                <w:b w:val="false"/>
              </w:rPr>
              <w:t>38,929,176.50</w:t>
            </w:r>
          </w:p>
        </w:tc>
        <w:tc>
          <w:tcPr>
            <w:tcW/>
            <w:vAlign w:val="center"/>
          </w:tcPr>
          <w:p>
            <w:pPr>
              <w:spacing w:line="240" w:lineRule="auto"/>
              <w:jc w:val="right"/>
            </w:pPr>
            <w:r>
              <w:rPr>
                <w:rFonts w:ascii="宋体" w:hAnsi="宋体" w:cs="宋体" w:eastAsia="宋体"/>
                <w:b w:val="false"/>
              </w:rPr>
              <w:t>4.47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920522</w:t>
            </w:r>
          </w:p>
        </w:tc>
        <w:tc>
          <w:tcPr>
            <w:tcW/>
            <w:vAlign w:val="center"/>
          </w:tcPr>
          <w:p>
            <w:pPr>
              <w:spacing w:line="240" w:lineRule="auto"/>
              <w:jc w:val="left"/>
            </w:pPr>
            <w:r>
              <w:rPr>
                <w:rFonts w:ascii="宋体" w:hAnsi="宋体" w:cs="宋体" w:eastAsia="宋体"/>
                <w:b w:val="false"/>
              </w:rPr>
              <w:t>纳科诺尔</w:t>
            </w:r>
          </w:p>
        </w:tc>
        <w:tc>
          <w:tcPr>
            <w:tcW/>
            <w:vAlign w:val="center"/>
          </w:tcPr>
          <w:p>
            <w:pPr>
              <w:spacing w:line="240" w:lineRule="auto"/>
              <w:jc w:val="right"/>
            </w:pPr>
            <w:r>
              <w:rPr>
                <w:rFonts w:ascii="宋体" w:hAnsi="宋体" w:cs="宋体" w:eastAsia="宋体"/>
                <w:b w:val="false"/>
              </w:rPr>
              <w:t>784,403</w:t>
            </w:r>
          </w:p>
        </w:tc>
        <w:tc>
          <w:tcPr>
            <w:tcW/>
            <w:vAlign w:val="center"/>
          </w:tcPr>
          <w:p>
            <w:pPr>
              <w:spacing w:line="240" w:lineRule="auto"/>
              <w:jc w:val="right"/>
            </w:pPr>
            <w:r>
              <w:rPr>
                <w:rFonts w:ascii="宋体" w:hAnsi="宋体" w:cs="宋体" w:eastAsia="宋体"/>
                <w:b w:val="false"/>
              </w:rPr>
              <w:t>37,172,858.17</w:t>
            </w:r>
          </w:p>
        </w:tc>
        <w:tc>
          <w:tcPr>
            <w:tcW/>
            <w:vAlign w:val="center"/>
          </w:tcPr>
          <w:p>
            <w:pPr>
              <w:spacing w:line="240" w:lineRule="auto"/>
              <w:jc w:val="right"/>
            </w:pPr>
            <w:r>
              <w:rPr>
                <w:rFonts w:ascii="宋体" w:hAnsi="宋体" w:cs="宋体" w:eastAsia="宋体"/>
                <w:b w:val="false"/>
              </w:rPr>
              <w:t>4.27</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688518</w:t>
            </w:r>
          </w:p>
        </w:tc>
        <w:tc>
          <w:tcPr>
            <w:tcW/>
            <w:vAlign w:val="center"/>
          </w:tcPr>
          <w:p>
            <w:pPr>
              <w:spacing w:line="240" w:lineRule="auto"/>
              <w:jc w:val="left"/>
            </w:pPr>
            <w:r>
              <w:rPr>
                <w:rFonts w:ascii="宋体" w:hAnsi="宋体" w:cs="宋体" w:eastAsia="宋体"/>
                <w:b w:val="false"/>
              </w:rPr>
              <w:t>联赢激光</w:t>
            </w:r>
          </w:p>
        </w:tc>
        <w:tc>
          <w:tcPr>
            <w:tcW/>
            <w:vAlign w:val="center"/>
          </w:tcPr>
          <w:p>
            <w:pPr>
              <w:spacing w:line="240" w:lineRule="auto"/>
              <w:jc w:val="right"/>
            </w:pPr>
            <w:r>
              <w:rPr>
                <w:rFonts w:ascii="宋体" w:hAnsi="宋体" w:cs="宋体" w:eastAsia="宋体"/>
                <w:b w:val="false"/>
              </w:rPr>
              <w:t>1,430,362</w:t>
            </w:r>
          </w:p>
        </w:tc>
        <w:tc>
          <w:tcPr>
            <w:tcW/>
            <w:vAlign w:val="center"/>
          </w:tcPr>
          <w:p>
            <w:pPr>
              <w:spacing w:line="240" w:lineRule="auto"/>
              <w:jc w:val="right"/>
            </w:pPr>
            <w:r>
              <w:rPr>
                <w:rFonts w:ascii="宋体" w:hAnsi="宋体" w:cs="宋体" w:eastAsia="宋体"/>
                <w:b w:val="false"/>
              </w:rPr>
              <w:t>33,899,579.40</w:t>
            </w:r>
          </w:p>
        </w:tc>
        <w:tc>
          <w:tcPr>
            <w:tcW/>
            <w:vAlign w:val="center"/>
          </w:tcPr>
          <w:p>
            <w:pPr>
              <w:spacing w:line="240" w:lineRule="auto"/>
              <w:jc w:val="right"/>
            </w:pPr>
            <w:r>
              <w:rPr>
                <w:rFonts w:ascii="宋体" w:hAnsi="宋体" w:cs="宋体" w:eastAsia="宋体"/>
                <w:b w:val="false"/>
              </w:rPr>
              <w:t>3.89</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301580</w:t>
            </w:r>
          </w:p>
        </w:tc>
        <w:tc>
          <w:tcPr>
            <w:tcW/>
            <w:vAlign w:val="center"/>
          </w:tcPr>
          <w:p>
            <w:pPr>
              <w:spacing w:line="240" w:lineRule="auto"/>
              <w:jc w:val="left"/>
            </w:pPr>
            <w:r>
              <w:rPr>
                <w:rFonts w:ascii="宋体" w:hAnsi="宋体" w:cs="宋体" w:eastAsia="宋体"/>
                <w:b w:val="false"/>
              </w:rPr>
              <w:t>爱迪特</w:t>
            </w:r>
          </w:p>
        </w:tc>
        <w:tc>
          <w:tcPr>
            <w:tcW/>
            <w:vAlign w:val="center"/>
          </w:tcPr>
          <w:p>
            <w:pPr>
              <w:spacing w:line="240" w:lineRule="auto"/>
              <w:jc w:val="right"/>
            </w:pPr>
            <w:r>
              <w:rPr>
                <w:rFonts w:ascii="宋体" w:hAnsi="宋体" w:cs="宋体" w:eastAsia="宋体"/>
                <w:b w:val="false"/>
              </w:rPr>
              <w:t>438,000</w:t>
            </w:r>
          </w:p>
        </w:tc>
        <w:tc>
          <w:tcPr>
            <w:tcW/>
            <w:vAlign w:val="center"/>
          </w:tcPr>
          <w:p>
            <w:pPr>
              <w:spacing w:line="240" w:lineRule="auto"/>
              <w:jc w:val="right"/>
            </w:pPr>
            <w:r>
              <w:rPr>
                <w:rFonts w:ascii="宋体" w:hAnsi="宋体" w:cs="宋体" w:eastAsia="宋体"/>
                <w:b w:val="false"/>
              </w:rPr>
              <w:t>30,660,000.00</w:t>
            </w:r>
          </w:p>
        </w:tc>
        <w:tc>
          <w:tcPr>
            <w:tcW/>
            <w:vAlign w:val="center"/>
          </w:tcPr>
          <w:p>
            <w:pPr>
              <w:spacing w:line="240" w:lineRule="auto"/>
              <w:jc w:val="right"/>
            </w:pPr>
            <w:r>
              <w:rPr>
                <w:rFonts w:ascii="宋体" w:hAnsi="宋体" w:cs="宋体" w:eastAsia="宋体"/>
                <w:b w:val="false"/>
              </w:rPr>
              <w:t>3.52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58,424,566.35</w:t>
            </w:r>
          </w:p>
        </w:tc>
        <w:tc>
          <w:tcPr>
            <w:tcW/>
            <w:vAlign w:val="center"/>
          </w:tcPr>
          <w:p>
            <w:pPr>
              <w:spacing w:line="240" w:lineRule="auto"/>
              <w:jc w:val="right"/>
            </w:pPr>
            <w:r>
              <w:rPr>
                <w:rFonts w:ascii="宋体" w:hAnsi="宋体" w:cs="宋体" w:eastAsia="宋体"/>
                <w:b w:val="false"/>
              </w:rPr>
              <w:t>6.71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58,424,566.35</w:t>
            </w:r>
          </w:p>
        </w:tc>
        <w:tc>
          <w:tcPr>
            <w:tcW/>
            <w:vAlign w:val="center"/>
          </w:tcPr>
          <w:p>
            <w:pPr>
              <w:spacing w:line="240" w:lineRule="auto"/>
              <w:jc w:val="right"/>
            </w:pPr>
            <w:r>
              <w:rPr>
                <w:rFonts w:ascii="宋体" w:hAnsi="宋体" w:cs="宋体" w:eastAsia="宋体"/>
                <w:b w:val="false"/>
              </w:rPr>
              <w:t>6.71</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446,000</w:t>
            </w:r>
          </w:p>
        </w:tc>
        <w:tc>
          <w:tcPr>
            <w:tcW/>
            <w:vAlign w:val="center"/>
          </w:tcPr>
          <w:p>
            <w:pPr>
              <w:spacing w:line="240" w:lineRule="auto"/>
              <w:jc w:val="right"/>
            </w:pPr>
            <w:r>
              <w:rPr>
                <w:rFonts w:ascii="宋体" w:hAnsi="宋体" w:cs="宋体" w:eastAsia="宋体"/>
                <w:b w:val="false"/>
              </w:rPr>
              <w:t>45,024,127.67</w:t>
            </w:r>
          </w:p>
        </w:tc>
        <w:tc>
          <w:tcPr>
            <w:tcW/>
            <w:vAlign w:val="center"/>
          </w:tcPr>
          <w:p>
            <w:pPr>
              <w:spacing w:line="240" w:lineRule="auto"/>
              <w:jc w:val="right"/>
            </w:pPr>
            <w:r>
              <w:rPr>
                <w:rFonts w:ascii="宋体" w:hAnsi="宋体" w:cs="宋体" w:eastAsia="宋体"/>
                <w:b w:val="false"/>
              </w:rPr>
              <w:t>5.17</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133,000</w:t>
            </w:r>
          </w:p>
        </w:tc>
        <w:tc>
          <w:tcPr>
            <w:tcW/>
            <w:vAlign w:val="center"/>
          </w:tcPr>
          <w:p>
            <w:pPr>
              <w:spacing w:line="240" w:lineRule="auto"/>
              <w:jc w:val="right"/>
            </w:pPr>
            <w:r>
              <w:rPr>
                <w:rFonts w:ascii="宋体" w:hAnsi="宋体" w:cs="宋体" w:eastAsia="宋体"/>
                <w:b w:val="false"/>
              </w:rPr>
              <w:t>13,400,438.68</w:t>
            </w:r>
          </w:p>
        </w:tc>
        <w:tc>
          <w:tcPr>
            <w:tcW/>
            <w:vAlign w:val="center"/>
          </w:tcPr>
          <w:p>
            <w:pPr>
              <w:spacing w:line="240" w:lineRule="auto"/>
              <w:jc w:val="right"/>
            </w:pPr>
            <w:r>
              <w:rPr>
                <w:rFonts w:ascii="宋体" w:hAnsi="宋体" w:cs="宋体" w:eastAsia="宋体"/>
                <w:b w:val="false"/>
              </w:rPr>
              <w:t>1.54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中，天际新能源科技股份有限公司在报告编制日前一年内因信息披露违规等事项受到中国证券监督管理委员会广东监管局责令改正的处罚。本基金就上述证券的投资决策程序符合相关法规及公司制度的要求。</w:t>
        <w:br/>
      </w:r>
      <w:r>
        <w:rPr>
          <w:rFonts w:ascii="宋体" w:hAnsi="宋体" w:cs="宋体" w:eastAsia="宋体"/>
          <w:b w:val="false"/>
        </w:rPr>
        <w:t xml:space="preserve">    本基金投资前十名的其余证券的发行主体本期未出现被监管部门立案调查，或在报告编制日前一年内受到公开谴责、处罚的情形。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876,199.00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876,199.00</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东方阿尔法产业先锋混合A</w:t>
            </w:r>
          </w:p>
        </w:tc>
        <w:tc>
          <w:tcPr>
            <w:tcW w:type="pct" w:w="1300"/>
            <w:vAlign w:val="center"/>
          </w:tcPr>
          <w:p>
            <w:pPr>
              <w:spacing w:line="240" w:lineRule="auto"/>
              <w:jc w:val="center"/>
            </w:pPr>
            <w:r>
              <w:rPr>
                <w:rFonts w:ascii="宋体" w:hAnsi="宋体" w:cs="宋体" w:eastAsia="宋体"/>
                <w:b w:val="false"/>
              </w:rPr>
              <w:t>东方阿尔法产业先锋混合C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1,145,587,691.28</w:t>
            </w:r>
          </w:p>
        </w:tc>
        <w:tc>
          <w:tcPr>
            <w:tcW w:type="pct" w:w="1300"/>
            <w:vAlign w:val="center"/>
          </w:tcPr>
          <w:p>
            <w:pPr>
              <w:spacing w:line="240" w:lineRule="auto"/>
              <w:jc w:val="right"/>
            </w:pPr>
            <w:r>
              <w:rPr>
                <w:rFonts w:ascii="宋体" w:hAnsi="宋体" w:cs="宋体" w:eastAsia="宋体"/>
                <w:b w:val="false"/>
              </w:rPr>
              <w:t>474,606,502.21</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20,259,560.86</w:t>
            </w:r>
          </w:p>
        </w:tc>
        <w:tc>
          <w:tcPr>
            <w:tcW w:type="pct" w:w="1300"/>
            <w:vAlign w:val="center"/>
          </w:tcPr>
          <w:p>
            <w:pPr>
              <w:spacing w:line="240" w:lineRule="auto"/>
              <w:jc w:val="right"/>
            </w:pPr>
            <w:r>
              <w:rPr>
                <w:rFonts w:ascii="宋体" w:hAnsi="宋体" w:cs="宋体" w:eastAsia="宋体"/>
                <w:b w:val="false"/>
              </w:rPr>
              <w:t>171,169,743.80</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93,431,385.33</w:t>
            </w:r>
          </w:p>
        </w:tc>
        <w:tc>
          <w:tcPr>
            <w:tcW w:type="pct" w:w="1300"/>
            <w:vAlign w:val="center"/>
          </w:tcPr>
          <w:p>
            <w:pPr>
              <w:spacing w:line="240" w:lineRule="auto"/>
              <w:jc w:val="right"/>
            </w:pPr>
            <w:r>
              <w:rPr>
                <w:rFonts w:ascii="宋体" w:hAnsi="宋体" w:cs="宋体" w:eastAsia="宋体"/>
                <w:b w:val="false"/>
              </w:rPr>
              <w:t>232,074,256.83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1,072,415,866.81</w:t>
            </w:r>
          </w:p>
        </w:tc>
        <w:tc>
          <w:tcPr>
            <w:tcW w:type="pct" w:w="1300"/>
            <w:vAlign w:val="center"/>
          </w:tcPr>
          <w:p>
            <w:pPr>
              <w:spacing w:line="240" w:lineRule="auto"/>
              <w:jc w:val="right"/>
            </w:pPr>
            <w:r>
              <w:rPr>
                <w:rFonts w:ascii="宋体" w:hAnsi="宋体" w:cs="宋体" w:eastAsia="宋体"/>
                <w:b w:val="false"/>
              </w:rPr>
              <w:t>413,701,989.18</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1、中国证券监督管理委员会批准的东方阿尔法产业先锋混合型发起式证券投资基金设立的文件；</w:t>
        <w:br/>
      </w:r>
      <w:r>
        <w:rPr>
          <w:rFonts w:ascii="宋体" w:hAnsi="宋体" w:cs="宋体" w:eastAsia="宋体"/>
          <w:b w:val="false"/>
        </w:rPr>
        <w:t xml:space="preserve">    2、《东方阿尔法产业先锋混合型发起式证券投资基金基金合同》；</w:t>
        <w:br/>
      </w:r>
      <w:r>
        <w:rPr>
          <w:rFonts w:ascii="宋体" w:hAnsi="宋体" w:cs="宋体" w:eastAsia="宋体"/>
          <w:b w:val="false"/>
        </w:rPr>
        <w:t xml:space="preserve">    3、《东方阿尔法产业先锋混合型发起式证券投资基金托管协议》；</w:t>
        <w:br/>
      </w:r>
      <w:r>
        <w:rPr>
          <w:rFonts w:ascii="宋体" w:hAnsi="宋体" w:cs="宋体" w:eastAsia="宋体"/>
          <w:b w:val="false"/>
        </w:rPr>
        <w:t xml:space="preserve">    4、《东方阿尔法产业先锋混合型发起式证券投资基金招募说明书》（含更新）；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东方阿尔法产业先锋混合型发起式证券投资基金2026年第1季度报告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