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东方阿尔法健康产业混合型发起式证券投资基金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2026年第1季度报告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2026年03月31日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中信银行股份有限公司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2026年04月22日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基金托管人中信银行股份有限公司根据本基金合同规定，于2026年04月20日复核了本报告中的财务指标、净值表现和投资组合报告等内容，保证复核内容不存在虚假记载、误导性陈述或者重大遗漏。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本报告期自2026年01月01日起至2026年03月31日止。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东方阿尔法健康产业混合发起</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024357</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2025年06月12日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172,136,977.67份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本基金采用自上而下与自下而上相结合的投资方法，以基本面分析为立足点，精选健康产业相关行业证券，在科学严格管理风险的前提下，谋求基金资产的中长期稳健增值。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1、资产配置策略</w:t>
              <w:br/>
            </w:r>
            <w:r>
              <w:rPr>
                <w:rFonts w:ascii="宋体" w:hAnsi="宋体" w:cs="宋体" w:eastAsia="宋体"/>
                <w:b w:val="false"/>
              </w:rPr>
              <w:t>本基金结合定性与定量分析经济和市场趋势，评估风险和收益，确定股票、债券、现金等资产的配置比例和调整原则，追求稳定增值，同时持续监控风险并适时调整。</w:t>
              <w:br/>
            </w:r>
            <w:r>
              <w:rPr>
                <w:rFonts w:ascii="宋体" w:hAnsi="宋体" w:cs="宋体" w:eastAsia="宋体"/>
                <w:b w:val="false"/>
              </w:rPr>
              <w:t>2、股票投资策略</w:t>
              <w:br/>
            </w:r>
            <w:r>
              <w:rPr>
                <w:rFonts w:ascii="宋体" w:hAnsi="宋体" w:cs="宋体" w:eastAsia="宋体"/>
                <w:b w:val="false"/>
              </w:rPr>
              <w:t>基金通过基本面研究，专注健康产业投资主题股票，跟踪行业发展，把握子行业轮动机会。在具体操作上，本基金将主要采用“自上而下”与“自下而上”相结合的方法，自上而下是分析每个阶段行业的主要增长驱动力和产业趋势，进而判断健康产业相关行业内各细分领域的景气度和预期风险收益，在其中配置优质个股。</w:t>
              <w:br/>
            </w:r>
            <w:r>
              <w:rPr>
                <w:rFonts w:ascii="宋体" w:hAnsi="宋体" w:cs="宋体" w:eastAsia="宋体"/>
                <w:b w:val="false"/>
              </w:rPr>
              <w:t>3、港股通标的股票投资策略</w:t>
              <w:br/>
            </w:r>
            <w:r>
              <w:rPr>
                <w:rFonts w:ascii="宋体" w:hAnsi="宋体" w:cs="宋体" w:eastAsia="宋体"/>
                <w:b w:val="false"/>
              </w:rPr>
              <w:t>本基金将通过内地与香港股票市场交易互联互通机制投资于香港股票市场，不使用合格境内机构投资者(QDII)境外投资额度进行境外投资。</w:t>
              <w:br/>
            </w:r>
            <w:r>
              <w:rPr>
                <w:rFonts w:ascii="宋体" w:hAnsi="宋体" w:cs="宋体" w:eastAsia="宋体"/>
                <w:b w:val="false"/>
              </w:rPr>
              <w:t>4、存托凭证投资策略</w:t>
              <w:br/>
            </w:r>
            <w:r>
              <w:rPr>
                <w:rFonts w:ascii="宋体" w:hAnsi="宋体" w:cs="宋体" w:eastAsia="宋体"/>
                <w:b w:val="false"/>
              </w:rPr>
              <w:t>本基金在深入研究的基础上，通过定性分析和定量分析相结合的方式，选择投资价值高的存托凭证进行投资。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7、股指期货投资策略</w:t>
              <w:br/>
            </w:r>
            <w:r>
              <w:rPr>
                <w:rFonts w:ascii="宋体" w:hAnsi="宋体" w:cs="宋体" w:eastAsia="宋体"/>
                <w:b w:val="false"/>
              </w:rPr>
              <w:t>本基金将按照风险管理的原则，以套期保值为主要目的，参与股指期货的投资。此外，本基金还将运用股指期货来管理特殊情况下的流动性风险，如预期大额申购赎回、大量分红等。</w:t>
              <w:br/>
            </w:r>
            <w:r>
              <w:rPr>
                <w:rFonts w:ascii="宋体" w:hAnsi="宋体" w:cs="宋体" w:eastAsia="宋体"/>
                <w:b w:val="false"/>
              </w:rPr>
              <w:t>8、融资业务投资策略</w:t>
              <w:br/>
            </w:r>
            <w:r>
              <w:rPr>
                <w:rFonts w:ascii="宋体" w:hAnsi="宋体" w:cs="宋体" w:eastAsia="宋体"/>
                <w:b w:val="false"/>
              </w:rPr>
              <w:t>本基金参与融资业务，将综合考虑融资成本、保证金比例、冲抵保证金证券折算率、信用资质等条件选择合适的交易对手方。同时，在保障基金投资组合充足流动性以及有效控制融资杠杆风险的前提下，确定融资比例。</w:t>
              <w:br/>
            </w:r>
            <w:r>
              <w:rPr>
                <w:rFonts w:ascii="宋体" w:hAnsi="宋体" w:cs="宋体" w:eastAsia="宋体"/>
                <w:b w:val="false"/>
              </w:rPr>
              <w:t>9、国债期货投资策略</w:t>
              <w:br/>
            </w:r>
            <w:r>
              <w:rPr>
                <w:rFonts w:ascii="宋体" w:hAnsi="宋体" w:cs="宋体" w:eastAsia="宋体"/>
                <w:b w:val="false"/>
              </w:rPr>
              <w:t>本基金以套期保值为主要目的，参与国债期货的投资，管理市场风险，故国债期货空头的合约价值主要与债券组合的多头价值相对应。</w:t>
              <w:br/>
            </w:r>
            <w:r>
              <w:rPr>
                <w:rFonts w:ascii="宋体" w:hAnsi="宋体" w:cs="宋体" w:eastAsia="宋体"/>
                <w:b w:val="false"/>
              </w:rPr>
              <w:t>10、股票期权投资策略</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11、资产支持证券投资策略</w:t>
              <w:br/>
            </w:r>
            <w:r>
              <w:rPr>
                <w:rFonts w:ascii="宋体" w:hAnsi="宋体" w:cs="宋体" w:eastAsia="宋体"/>
                <w:b w:val="false"/>
              </w:rPr>
              <w:t>本基金将综合运用久期管理、收益率曲线、个券选择以及把握市场交易机会等积极策略，在严格控制风险的情况下，结合信用研究和流动性管理，选择风险调整后收益高的品种进行投资，以期获得长期稳定收益。</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中证医药卫生指数收益率× 40%+ 中证内地消费主题指数收益率× 20%+恒生指数收益率×20%+ 中证综合债券指数收益率×20%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中信银行股份有限公司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东方阿尔法健康产业混合发起A</w:t>
            </w:r>
          </w:p>
        </w:tc>
        <w:tc>
          <w:tcPr>
            <w:tcW w:type="pct" w:w="1500"/>
            <w:vAlign w:val="center"/>
          </w:tcPr>
          <w:p>
            <w:pPr>
              <w:spacing w:line="240" w:lineRule="auto"/>
              <w:jc w:val="left"/>
            </w:pPr>
            <w:r>
              <w:rPr>
                <w:rFonts w:ascii="宋体" w:hAnsi="宋体" w:cs="宋体" w:eastAsia="宋体"/>
                <w:b w:val="false"/>
              </w:rPr>
              <w:t>东方阿尔法健康产业混合发起C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024357</w:t>
            </w:r>
          </w:p>
        </w:tc>
        <w:tc>
          <w:tcPr>
            <w:tcW w:type="pct" w:w="1500"/>
            <w:vAlign w:val="center"/>
          </w:tcPr>
          <w:p>
            <w:pPr>
              <w:spacing w:line="240" w:lineRule="auto"/>
              <w:jc w:val="left"/>
            </w:pPr>
            <w:r>
              <w:rPr>
                <w:rFonts w:ascii="宋体" w:hAnsi="宋体" w:cs="宋体" w:eastAsia="宋体"/>
                <w:b w:val="false"/>
              </w:rPr>
              <w:t>024358</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12,595,756.50份</w:t>
            </w:r>
          </w:p>
        </w:tc>
        <w:tc>
          <w:tcPr>
            <w:tcW w:type="pct" w:w="1500"/>
            <w:vAlign w:val="center"/>
          </w:tcPr>
          <w:p>
            <w:pPr>
              <w:spacing w:line="240" w:lineRule="auto"/>
              <w:jc w:val="left"/>
            </w:pPr>
            <w:r>
              <w:rPr>
                <w:rFonts w:ascii="宋体" w:hAnsi="宋体" w:cs="宋体" w:eastAsia="宋体"/>
                <w:b w:val="false"/>
              </w:rPr>
              <w:t>159,541,221.17份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报告期（2026年01月01日-2026年03月31日）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东方阿尔法健康产业混合发起A</w:t>
            </w:r>
          </w:p>
        </w:tc>
        <w:tc>
          <w:tcPr>
            <w:tcW w:type="pct" w:w="1500"/>
            <w:vAlign w:val="center"/>
          </w:tcPr>
          <w:tcPr>
            <w:shd w:fill="d9d9d9"/>
          </w:tcPr>
          <w:p>
            <w:pPr>
              <w:spacing w:line="240" w:lineRule="auto"/>
              <w:jc w:val="center"/>
            </w:pPr>
            <w:r>
              <w:rPr>
                <w:rFonts w:ascii="宋体" w:hAnsi="宋体" w:cs="宋体" w:eastAsia="宋体"/>
                <w:b w:val="false"/>
              </w:rPr>
              <w:t>东方阿尔法健康产业混合发起C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-559,785.15</w:t>
            </w:r>
          </w:p>
        </w:tc>
        <w:tc>
          <w:tcPr>
            <w:tcW w:type="pct" w:w="1500"/>
            <w:vAlign w:val="center"/>
          </w:tcPr>
          <w:p>
            <w:pPr>
              <w:spacing w:line="240" w:lineRule="auto"/>
              <w:jc w:val="right"/>
            </w:pPr>
            <w:r>
              <w:rPr>
                <w:rFonts w:ascii="宋体" w:hAnsi="宋体" w:cs="宋体" w:eastAsia="宋体"/>
                <w:b w:val="false"/>
              </w:rPr>
              <w:t>-5,190,922.65</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2,819,255.03</w:t>
            </w:r>
          </w:p>
        </w:tc>
        <w:tc>
          <w:tcPr>
            <w:tcW w:type="pct" w:w="1500"/>
            <w:vAlign w:val="center"/>
          </w:tcPr>
          <w:p>
            <w:pPr>
              <w:spacing w:line="240" w:lineRule="auto"/>
              <w:jc w:val="right"/>
            </w:pPr>
            <w:r>
              <w:rPr>
                <w:rFonts w:ascii="宋体" w:hAnsi="宋体" w:cs="宋体" w:eastAsia="宋体"/>
                <w:b w:val="false"/>
              </w:rPr>
              <w:t>-2,391,821.59</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0.1947</w:t>
            </w:r>
          </w:p>
        </w:tc>
        <w:tc>
          <w:tcPr>
            <w:tcW w:type="pct" w:w="1500"/>
            <w:vAlign w:val="center"/>
          </w:tcPr>
          <w:p>
            <w:pPr>
              <w:spacing w:line="240" w:lineRule="auto"/>
              <w:jc w:val="right"/>
            </w:pPr>
            <w:r>
              <w:rPr>
                <w:rFonts w:ascii="宋体" w:hAnsi="宋体" w:cs="宋体" w:eastAsia="宋体"/>
                <w:b w:val="false"/>
              </w:rPr>
              <w:t>-0.0160</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11,123,686.63</w:t>
            </w:r>
          </w:p>
        </w:tc>
        <w:tc>
          <w:tcPr>
            <w:tcW w:type="pct" w:w="1500"/>
            <w:vAlign w:val="center"/>
          </w:tcPr>
          <w:p>
            <w:pPr>
              <w:spacing w:line="240" w:lineRule="auto"/>
              <w:jc w:val="right"/>
            </w:pPr>
            <w:r>
              <w:rPr>
                <w:rFonts w:ascii="宋体" w:hAnsi="宋体" w:cs="宋体" w:eastAsia="宋体"/>
                <w:b w:val="false"/>
              </w:rPr>
              <w:t>140,400,804.51</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0.8831</w:t>
            </w:r>
          </w:p>
        </w:tc>
        <w:tc>
          <w:tcPr>
            <w:tcW w:type="pct" w:w="1500"/>
            <w:vAlign w:val="center"/>
          </w:tcPr>
          <w:p>
            <w:pPr>
              <w:spacing w:line="240" w:lineRule="auto"/>
              <w:jc w:val="right"/>
            </w:pPr>
            <w:r>
              <w:rPr>
                <w:rFonts w:ascii="宋体" w:hAnsi="宋体" w:cs="宋体" w:eastAsia="宋体"/>
                <w:b w:val="false"/>
              </w:rPr>
              <w:t>0.8800</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b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东方阿尔法健康产业混合发起A净值表现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-1.47%</w:t>
            </w:r>
          </w:p>
        </w:tc>
        <w:tc>
          <w:tcPr>
            <w:tcW/>
            <w:vAlign w:val="center"/>
          </w:tcPr>
          <w:p>
            <w:pPr>
              <w:spacing w:line="240" w:lineRule="auto"/>
              <w:jc w:val="right"/>
            </w:pPr>
            <w:r>
              <w:rPr>
                <w:rFonts w:ascii="宋体" w:hAnsi="宋体" w:cs="宋体" w:eastAsia="宋体"/>
                <w:b w:val="false"/>
              </w:rPr>
              <w:t>2.73%</w:t>
            </w:r>
          </w:p>
        </w:tc>
        <w:tc>
          <w:tcPr>
            <w:tcW/>
            <w:vAlign w:val="center"/>
          </w:tcPr>
          <w:p>
            <w:pPr>
              <w:spacing w:line="240" w:lineRule="auto"/>
              <w:jc w:val="right"/>
            </w:pPr>
            <w:r>
              <w:rPr>
                <w:rFonts w:ascii="宋体" w:hAnsi="宋体" w:cs="宋体" w:eastAsia="宋体"/>
                <w:b w:val="false"/>
              </w:rPr>
              <w:t>-2.87%</w:t>
            </w:r>
          </w:p>
        </w:tc>
        <w:tc>
          <w:tcPr>
            <w:tcW/>
            <w:vAlign w:val="center"/>
          </w:tcPr>
          <w:p>
            <w:pPr>
              <w:spacing w:line="240" w:lineRule="auto"/>
              <w:jc w:val="right"/>
            </w:pPr>
            <w:r>
              <w:rPr>
                <w:rFonts w:ascii="宋体" w:hAnsi="宋体" w:cs="宋体" w:eastAsia="宋体"/>
                <w:b w:val="false"/>
              </w:rPr>
              <w:t>0.89%</w:t>
            </w:r>
          </w:p>
        </w:tc>
        <w:tc>
          <w:tcPr>
            <w:tcW/>
            <w:vAlign w:val="center"/>
          </w:tcPr>
          <w:p>
            <w:pPr>
              <w:spacing w:line="240" w:lineRule="auto"/>
              <w:jc w:val="right"/>
            </w:pPr>
            <w:r>
              <w:rPr>
                <w:rFonts w:ascii="宋体" w:hAnsi="宋体" w:cs="宋体" w:eastAsia="宋体"/>
                <w:b w:val="false"/>
              </w:rPr>
              <w:t>1.40%</w:t>
            </w:r>
          </w:p>
        </w:tc>
        <w:tc>
          <w:tcPr>
            <w:tcW/>
            <w:vAlign w:val="center"/>
          </w:tcPr>
          <w:p>
            <w:pPr>
              <w:spacing w:line="240" w:lineRule="auto"/>
              <w:jc w:val="right"/>
            </w:pPr>
            <w:r>
              <w:rPr>
                <w:rFonts w:ascii="宋体" w:hAnsi="宋体" w:cs="宋体" w:eastAsia="宋体"/>
                <w:b w:val="false"/>
              </w:rPr>
              <w:t>1.84%</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-16.36%</w:t>
            </w:r>
          </w:p>
        </w:tc>
        <w:tc>
          <w:tcPr>
            <w:tcW/>
            <w:vAlign w:val="center"/>
          </w:tcPr>
          <w:p>
            <w:pPr>
              <w:spacing w:line="240" w:lineRule="auto"/>
              <w:jc w:val="right"/>
            </w:pPr>
            <w:r>
              <w:rPr>
                <w:rFonts w:ascii="宋体" w:hAnsi="宋体" w:cs="宋体" w:eastAsia="宋体"/>
                <w:b w:val="false"/>
              </w:rPr>
              <w:t>2.48%</w:t>
            </w:r>
          </w:p>
        </w:tc>
        <w:tc>
          <w:tcPr>
            <w:tcW/>
            <w:vAlign w:val="center"/>
          </w:tcPr>
          <w:p>
            <w:pPr>
              <w:spacing w:line="240" w:lineRule="auto"/>
              <w:jc w:val="right"/>
            </w:pPr>
            <w:r>
              <w:rPr>
                <w:rFonts w:ascii="宋体" w:hAnsi="宋体" w:cs="宋体" w:eastAsia="宋体"/>
                <w:b w:val="false"/>
              </w:rPr>
              <w:t>-9.84%</w:t>
            </w:r>
          </w:p>
        </w:tc>
        <w:tc>
          <w:tcPr>
            <w:tcW/>
            <w:vAlign w:val="center"/>
          </w:tcPr>
          <w:p>
            <w:pPr>
              <w:spacing w:line="240" w:lineRule="auto"/>
              <w:jc w:val="right"/>
            </w:pPr>
            <w:r>
              <w:rPr>
                <w:rFonts w:ascii="宋体" w:hAnsi="宋体" w:cs="宋体" w:eastAsia="宋体"/>
                <w:b w:val="false"/>
              </w:rPr>
              <w:t>0.78%</w:t>
            </w:r>
          </w:p>
        </w:tc>
        <w:tc>
          <w:tcPr>
            <w:tcW/>
            <w:vAlign w:val="center"/>
          </w:tcPr>
          <w:p>
            <w:pPr>
              <w:spacing w:line="240" w:lineRule="auto"/>
              <w:jc w:val="right"/>
            </w:pPr>
            <w:r>
              <w:rPr>
                <w:rFonts w:ascii="宋体" w:hAnsi="宋体" w:cs="宋体" w:eastAsia="宋体"/>
                <w:b w:val="false"/>
              </w:rPr>
              <w:t>-6.52%</w:t>
            </w:r>
          </w:p>
        </w:tc>
        <w:tc>
          <w:tcPr>
            <w:tcW/>
            <w:vAlign w:val="center"/>
          </w:tcPr>
          <w:p>
            <w:pPr>
              <w:spacing w:line="240" w:lineRule="auto"/>
              <w:jc w:val="right"/>
            </w:pPr>
            <w:r>
              <w:rPr>
                <w:rFonts w:ascii="宋体" w:hAnsi="宋体" w:cs="宋体" w:eastAsia="宋体"/>
                <w:b w:val="false"/>
              </w:rPr>
              <w:t>1.70%</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-11.69%</w:t>
            </w:r>
          </w:p>
        </w:tc>
        <w:tc>
          <w:tcPr>
            <w:tcW/>
            <w:vAlign w:val="center"/>
          </w:tcPr>
          <w:p>
            <w:pPr>
              <w:spacing w:line="240" w:lineRule="auto"/>
              <w:jc w:val="right"/>
            </w:pPr>
            <w:r>
              <w:rPr>
                <w:rFonts w:ascii="宋体" w:hAnsi="宋体" w:cs="宋体" w:eastAsia="宋体"/>
                <w:b w:val="false"/>
              </w:rPr>
              <w:t>2.34%</w:t>
            </w:r>
          </w:p>
        </w:tc>
        <w:tc>
          <w:tcPr>
            <w:tcW/>
            <w:vAlign w:val="center"/>
          </w:tcPr>
          <w:p>
            <w:pPr>
              <w:spacing w:line="240" w:lineRule="auto"/>
              <w:jc w:val="right"/>
            </w:pPr>
            <w:r>
              <w:rPr>
                <w:rFonts w:ascii="宋体" w:hAnsi="宋体" w:cs="宋体" w:eastAsia="宋体"/>
                <w:b w:val="false"/>
              </w:rPr>
              <w:t>-2.62%</w:t>
            </w:r>
          </w:p>
        </w:tc>
        <w:tc>
          <w:tcPr>
            <w:tcW/>
            <w:vAlign w:val="center"/>
          </w:tcPr>
          <w:p>
            <w:pPr>
              <w:spacing w:line="240" w:lineRule="auto"/>
              <w:jc w:val="right"/>
            </w:pPr>
            <w:r>
              <w:rPr>
                <w:rFonts w:ascii="宋体" w:hAnsi="宋体" w:cs="宋体" w:eastAsia="宋体"/>
                <w:b w:val="false"/>
              </w:rPr>
              <w:t>0.75%</w:t>
            </w:r>
          </w:p>
        </w:tc>
        <w:tc>
          <w:tcPr>
            <w:tcW/>
            <w:vAlign w:val="center"/>
          </w:tcPr>
          <w:p>
            <w:pPr>
              <w:spacing w:line="240" w:lineRule="auto"/>
              <w:jc w:val="right"/>
            </w:pPr>
            <w:r>
              <w:rPr>
                <w:rFonts w:ascii="宋体" w:hAnsi="宋体" w:cs="宋体" w:eastAsia="宋体"/>
                <w:b w:val="false"/>
              </w:rPr>
              <w:t>-9.07%</w:t>
            </w:r>
          </w:p>
        </w:tc>
        <w:tc>
          <w:tcPr>
            <w:tcW/>
            <w:vAlign w:val="center"/>
          </w:tcPr>
          <w:p>
            <w:pPr>
              <w:spacing w:line="240" w:lineRule="auto"/>
              <w:jc w:val="right"/>
            </w:pPr>
            <w:r>
              <w:rPr>
                <w:rFonts w:ascii="宋体" w:hAnsi="宋体" w:cs="宋体" w:eastAsia="宋体"/>
                <w:b w:val="false"/>
              </w:rPr>
              <w:t>1.59%</w:t>
            </w:r>
          </w:p>
        </w:tc>
      </w:tr>
    </w:tbl>
    <w:p>
      <w:pPr>
        <w:jc w:val="left"/>
      </w:pPr>
      <w:r>
        <w:rPr>
          <w:rFonts w:ascii="宋体" w:hAnsi="宋体" w:cs="宋体" w:eastAsia="宋体"/>
          <w:b w:val="true"/>
        </w:rPr>
        <w:t>东方阿尔法健康产业混合发起C净值表现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-1.57%</w:t>
            </w:r>
          </w:p>
        </w:tc>
        <w:tc>
          <w:tcPr>
            <w:tcW/>
            <w:vAlign w:val="center"/>
          </w:tcPr>
          <w:p>
            <w:pPr>
              <w:spacing w:line="240" w:lineRule="auto"/>
              <w:jc w:val="right"/>
            </w:pPr>
            <w:r>
              <w:rPr>
                <w:rFonts w:ascii="宋体" w:hAnsi="宋体" w:cs="宋体" w:eastAsia="宋体"/>
                <w:b w:val="false"/>
              </w:rPr>
              <w:t>2.72%</w:t>
            </w:r>
          </w:p>
        </w:tc>
        <w:tc>
          <w:tcPr>
            <w:tcW/>
            <w:vAlign w:val="center"/>
          </w:tcPr>
          <w:p>
            <w:pPr>
              <w:spacing w:line="240" w:lineRule="auto"/>
              <w:jc w:val="right"/>
            </w:pPr>
            <w:r>
              <w:rPr>
                <w:rFonts w:ascii="宋体" w:hAnsi="宋体" w:cs="宋体" w:eastAsia="宋体"/>
                <w:b w:val="false"/>
              </w:rPr>
              <w:t>-2.87%</w:t>
            </w:r>
          </w:p>
        </w:tc>
        <w:tc>
          <w:tcPr>
            <w:tcW/>
            <w:vAlign w:val="center"/>
          </w:tcPr>
          <w:p>
            <w:pPr>
              <w:spacing w:line="240" w:lineRule="auto"/>
              <w:jc w:val="right"/>
            </w:pPr>
            <w:r>
              <w:rPr>
                <w:rFonts w:ascii="宋体" w:hAnsi="宋体" w:cs="宋体" w:eastAsia="宋体"/>
                <w:b w:val="false"/>
              </w:rPr>
              <w:t>0.89%</w:t>
            </w:r>
          </w:p>
        </w:tc>
        <w:tc>
          <w:tcPr>
            <w:tcW/>
            <w:vAlign w:val="center"/>
          </w:tcPr>
          <w:p>
            <w:pPr>
              <w:spacing w:line="240" w:lineRule="auto"/>
              <w:jc w:val="right"/>
            </w:pPr>
            <w:r>
              <w:rPr>
                <w:rFonts w:ascii="宋体" w:hAnsi="宋体" w:cs="宋体" w:eastAsia="宋体"/>
                <w:b w:val="false"/>
              </w:rPr>
              <w:t>1.30%</w:t>
            </w:r>
          </w:p>
        </w:tc>
        <w:tc>
          <w:tcPr>
            <w:tcW/>
            <w:vAlign w:val="center"/>
          </w:tcPr>
          <w:p>
            <w:pPr>
              <w:spacing w:line="240" w:lineRule="auto"/>
              <w:jc w:val="right"/>
            </w:pPr>
            <w:r>
              <w:rPr>
                <w:rFonts w:ascii="宋体" w:hAnsi="宋体" w:cs="宋体" w:eastAsia="宋体"/>
                <w:b w:val="false"/>
              </w:rPr>
              <w:t>1.83%</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-16.53%</w:t>
            </w:r>
          </w:p>
        </w:tc>
        <w:tc>
          <w:tcPr>
            <w:tcW/>
            <w:vAlign w:val="center"/>
          </w:tcPr>
          <w:p>
            <w:pPr>
              <w:spacing w:line="240" w:lineRule="auto"/>
              <w:jc w:val="right"/>
            </w:pPr>
            <w:r>
              <w:rPr>
                <w:rFonts w:ascii="宋体" w:hAnsi="宋体" w:cs="宋体" w:eastAsia="宋体"/>
                <w:b w:val="false"/>
              </w:rPr>
              <w:t>2.48%</w:t>
            </w:r>
          </w:p>
        </w:tc>
        <w:tc>
          <w:tcPr>
            <w:tcW/>
            <w:vAlign w:val="center"/>
          </w:tcPr>
          <w:p>
            <w:pPr>
              <w:spacing w:line="240" w:lineRule="auto"/>
              <w:jc w:val="right"/>
            </w:pPr>
            <w:r>
              <w:rPr>
                <w:rFonts w:ascii="宋体" w:hAnsi="宋体" w:cs="宋体" w:eastAsia="宋体"/>
                <w:b w:val="false"/>
              </w:rPr>
              <w:t>-9.84%</w:t>
            </w:r>
          </w:p>
        </w:tc>
        <w:tc>
          <w:tcPr>
            <w:tcW/>
            <w:vAlign w:val="center"/>
          </w:tcPr>
          <w:p>
            <w:pPr>
              <w:spacing w:line="240" w:lineRule="auto"/>
              <w:jc w:val="right"/>
            </w:pPr>
            <w:r>
              <w:rPr>
                <w:rFonts w:ascii="宋体" w:hAnsi="宋体" w:cs="宋体" w:eastAsia="宋体"/>
                <w:b w:val="false"/>
              </w:rPr>
              <w:t>0.78%</w:t>
            </w:r>
          </w:p>
        </w:tc>
        <w:tc>
          <w:tcPr>
            <w:tcW/>
            <w:vAlign w:val="center"/>
          </w:tcPr>
          <w:p>
            <w:pPr>
              <w:spacing w:line="240" w:lineRule="auto"/>
              <w:jc w:val="right"/>
            </w:pPr>
            <w:r>
              <w:rPr>
                <w:rFonts w:ascii="宋体" w:hAnsi="宋体" w:cs="宋体" w:eastAsia="宋体"/>
                <w:b w:val="false"/>
              </w:rPr>
              <w:t>-6.69%</w:t>
            </w:r>
          </w:p>
        </w:tc>
        <w:tc>
          <w:tcPr>
            <w:tcW/>
            <w:vAlign w:val="center"/>
          </w:tcPr>
          <w:p>
            <w:pPr>
              <w:spacing w:line="240" w:lineRule="auto"/>
              <w:jc w:val="right"/>
            </w:pPr>
            <w:r>
              <w:rPr>
                <w:rFonts w:ascii="宋体" w:hAnsi="宋体" w:cs="宋体" w:eastAsia="宋体"/>
                <w:b w:val="false"/>
              </w:rPr>
              <w:t>1.70%</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-12.00%</w:t>
            </w:r>
          </w:p>
        </w:tc>
        <w:tc>
          <w:tcPr>
            <w:tcW/>
            <w:vAlign w:val="center"/>
          </w:tcPr>
          <w:p>
            <w:pPr>
              <w:spacing w:line="240" w:lineRule="auto"/>
              <w:jc w:val="right"/>
            </w:pPr>
            <w:r>
              <w:rPr>
                <w:rFonts w:ascii="宋体" w:hAnsi="宋体" w:cs="宋体" w:eastAsia="宋体"/>
                <w:b w:val="false"/>
              </w:rPr>
              <w:t>2.34%</w:t>
            </w:r>
          </w:p>
        </w:tc>
        <w:tc>
          <w:tcPr>
            <w:tcW/>
            <w:vAlign w:val="center"/>
          </w:tcPr>
          <w:p>
            <w:pPr>
              <w:spacing w:line="240" w:lineRule="auto"/>
              <w:jc w:val="right"/>
            </w:pPr>
            <w:r>
              <w:rPr>
                <w:rFonts w:ascii="宋体" w:hAnsi="宋体" w:cs="宋体" w:eastAsia="宋体"/>
                <w:b w:val="false"/>
              </w:rPr>
              <w:t>-2.62%</w:t>
            </w:r>
          </w:p>
        </w:tc>
        <w:tc>
          <w:tcPr>
            <w:tcW/>
            <w:vAlign w:val="center"/>
          </w:tcPr>
          <w:p>
            <w:pPr>
              <w:spacing w:line="240" w:lineRule="auto"/>
              <w:jc w:val="right"/>
            </w:pPr>
            <w:r>
              <w:rPr>
                <w:rFonts w:ascii="宋体" w:hAnsi="宋体" w:cs="宋体" w:eastAsia="宋体"/>
                <w:b w:val="false"/>
              </w:rPr>
              <w:t>0.75%</w:t>
            </w:r>
          </w:p>
        </w:tc>
        <w:tc>
          <w:tcPr>
            <w:tcW/>
            <w:vAlign w:val="center"/>
          </w:tcPr>
          <w:p>
            <w:pPr>
              <w:spacing w:line="240" w:lineRule="auto"/>
              <w:jc w:val="right"/>
            </w:pPr>
            <w:r>
              <w:rPr>
                <w:rFonts w:ascii="宋体" w:hAnsi="宋体" w:cs="宋体" w:eastAsia="宋体"/>
                <w:b w:val="false"/>
              </w:rPr>
              <w:t>-9.38%</w:t>
            </w:r>
          </w:p>
        </w:tc>
        <w:tc>
          <w:tcPr>
            <w:tcW/>
            <w:vAlign w:val="center"/>
          </w:tcPr>
          <w:p>
            <w:pPr>
              <w:spacing w:line="240" w:lineRule="auto"/>
              <w:jc w:val="right"/>
            </w:pPr>
            <w:r>
              <w:rPr>
                <w:rFonts w:ascii="宋体" w:hAnsi="宋体" w:cs="宋体" w:eastAsia="宋体"/>
                <w:b w:val="false"/>
              </w:rPr>
              <w:t>1.59%</w:t>
            </w:r>
          </w:p>
        </w:tc>
      </w:tr>
    </w:tbl>
    <w:p>
      <w:r>
        <w:rPr>
          <w:rFonts w:ascii="宋体" w:hAnsi="宋体" w:cs="宋体" w:eastAsia="宋体"/>
          <w:b w:val="false"/>
        </w:rPr>
        <w:t>注：1、本基金业绩比较基准为：中证医药卫生指数收益率× 40%+ 中证内地消费主题指数收益率× 20%+恒生指数收益率×20%+ 中证综合债券指数收益率×20%。</w:t>
        <w:br/>
      </w:r>
      <w:r>
        <w:rPr>
          <w:rFonts w:ascii="宋体" w:hAnsi="宋体" w:cs="宋体" w:eastAsia="宋体"/>
          <w:b w:val="false"/>
        </w:rPr>
        <w:t>2、本基金自2025年06月12日成立至今尚未满一年，无过去一年、过去三年和过去五年的净值表现。</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孟昱</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2025-06-12</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6年</w:t>
            </w:r>
          </w:p>
        </w:tc>
        <w:tc>
          <w:tcPr>
            <w:tcW/>
            <w:vAlign w:val="center"/>
          </w:tcPr>
          <w:p>
            <w:pPr>
              <w:spacing w:line="240" w:lineRule="auto"/>
              <w:jc w:val="left"/>
            </w:pPr>
            <w:r>
              <w:rPr>
                <w:rFonts w:ascii="宋体" w:hAnsi="宋体" w:cs="宋体" w:eastAsia="宋体"/>
                <w:b w:val="false"/>
              </w:rPr>
              <w:t>孟昱先生，中山大学理学硕士，2020年8月至2021年9月，在深圳市涌容资产管理有限公司工作，任研究部研究员；2021年10月至2023年10月，在深圳市中欧瑞博投资管理股份有限公司工作，历任医药投研部研究员、基金经理；2023年10月，入职东方阿尔法基金管理有限公司公募投资部，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b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b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报告期内，创新药板块的反弹并非偶然，而是政策、产业、业绩三重拐点共振的结果，标志着行业正从“低谷修复”迈向“价值回归”的黄金期。</w:t>
        <w:br/>
      </w:r>
      <w:r>
        <w:rPr>
          <w:rFonts w:ascii="宋体" w:hAnsi="宋体" w:cs="宋体" w:eastAsia="宋体"/>
          <w:b w:val="false"/>
        </w:rPr>
        <w:t xml:space="preserve">    政策拐点方面，顶层设计升级，支付体系不断优化。2026年政府工作报告将生物医药的产业定位从“新兴产业”提升为“新兴支柱产业”，明确其作为经济增长核心引擎的战略地位，与集成电路、航空航天并列。这一战略升级意味着政策资源将从“扶持”转向“倚重”，资本导向和制度供给将全面倾斜。政策层面不仅关注单一药品的创新，更鼓励产业链整合与集群效应。这意味着未来的投资机会将不仅局限于单品爆发，更在于具备“链主”潜力、能整合上下游（如CXO、AI制药平台、原料药）的龙头企业，为板块提供了坚实的系统性估值底座。</w:t>
        <w:br/>
      </w:r>
      <w:r>
        <w:rPr>
          <w:rFonts w:ascii="宋体" w:hAnsi="宋体" w:cs="宋体" w:eastAsia="宋体"/>
          <w:b w:val="false"/>
        </w:rPr>
        <w:t xml:space="preserve">    支付端改革持续推进，2026版医保目录于4月1日起执行，新增114种药品，其中包含50种1类创新药，同时显著提高癌症门诊等报销比例。与此同时，国家正积极发展商业健康险，构建“基本医保+商业保险”的多层次支付体系，为创新药商业化放量拓宽空间。审批端效率持续提升，创新药临床试验申请获批周期缩短60%，上市周期大幅压缩，为研发创新提供高效通道。</w:t>
        <w:br/>
      </w:r>
      <w:r>
        <w:rPr>
          <w:rFonts w:ascii="宋体" w:hAnsi="宋体" w:cs="宋体" w:eastAsia="宋体"/>
          <w:b w:val="false"/>
        </w:rPr>
        <w:t xml:space="preserve">    产业拐点显现，全球竞争力凸显，出海进入收获期。中国创新药已从“跟跑”逐步迈向“领跑”，尤其在PD-1/VEGF双抗、ADC等领域已处于全球领先地位。创新药对外授权（License-out）成为价值兑现的重要路径，2026年一季度，中国创新药对外授权交易总额已突破600亿美元，接近2025年全年的一半，交易数量达44项，增长势头持续放大。每一笔成功的出海交易，均直接转化为对本土CXO（医药研发及生产外包）企业的临床和商业化订单。</w:t>
        <w:br/>
      </w:r>
      <w:r>
        <w:rPr>
          <w:rFonts w:ascii="宋体" w:hAnsi="宋体" w:cs="宋体" w:eastAsia="宋体"/>
          <w:b w:val="false"/>
        </w:rPr>
        <w:t xml:space="preserve">    企业盈利逐步改善，CXO行业订单回暖。头部创新药企盈利逐步兑现，多家Biotech公司迈入盈利兑现新阶段，部分H股创新药龙头企业已首次实现年度盈利，跨越营收与盈利双里程碑。CXO作为创新药产业的“卖水人”，行业订单呈现爆发式增长，2026年一季度，行业龙头企业在手订单普遍实现20%以上同比增长，业绩指引积极，标志着行业盈利周期迎来向上拐点。</w:t>
        <w:br/>
      </w:r>
      <w:r>
        <w:rPr>
          <w:rFonts w:ascii="宋体" w:hAnsi="宋体" w:cs="宋体" w:eastAsia="宋体"/>
          <w:b w:val="false"/>
        </w:rPr>
        <w:t xml:space="preserve">    站在2026年当前时点，尽管创新药板块已实现显著反弹，但截至3月末，万得创新药指数的市盈率（TTM）仍处于近10年10.49%的历史较低分位，估值修复空间依然存在。同时，行业红利正加速向头部集中，正式进入“个股α元年”。</w:t>
        <w:br/>
      </w:r>
      <w:r>
        <w:rPr>
          <w:rFonts w:ascii="宋体" w:hAnsi="宋体" w:cs="宋体" w:eastAsia="宋体"/>
          <w:b w:val="false"/>
        </w:rPr>
        <w:t xml:space="preserve">    2026年是检验创新药企业核心竞争力的关键一年。随着BD交易常态化（开年两月交易总额即超500亿美元），投资逻辑需从“数合同”转向“看落地”。下半年，首批原创路线创新药将进入海外三期临床数据读出期，这是中国创新药正式进入“赚美元”阶段的关键节点。本基金将优选具备“两条腿走路”能力的企业——国内商业化路径清晰，且海外临床关键节点明确，尤其关注ADC及双抗行业，若相关产品海外三期临床结果达标，将直接驱动板块从“交易估值”向“盈利估值”切换。</w:t>
        <w:br/>
      </w:r>
      <w:r>
        <w:rPr>
          <w:rFonts w:ascii="宋体" w:hAnsi="宋体" w:cs="宋体" w:eastAsia="宋体"/>
          <w:b w:val="false"/>
        </w:rPr>
        <w:t xml:space="preserve">    我们认为，当前创新药行情的回调，是宏观风险偏好降低背景下，存量筹码博弈与基本面增量之间的矛盾体现，这种错位不会长期存在，终将迎来修正。创新药板块在2025年第四季度持续面临调整压力，本质是“存量筹码的获利了结需求”与“基本面增量的持续释放”之间的矛盾：一方面，前期布局BD红利的资金在利好兑现后存在落袋为安动机；另一方面，持续的地缘冲突导致市场风险偏好下降，资金减配创新药板块；与此同时，美联储降息预期带来的流动性改善、国内医保谈判温和落地以及核心产品放量加速，构成了坚实的基本面增量支撑。</w:t>
        <w:br/>
      </w:r>
      <w:r>
        <w:rPr>
          <w:rFonts w:ascii="宋体" w:hAnsi="宋体" w:cs="宋体" w:eastAsia="宋体"/>
          <w:b w:val="false"/>
        </w:rPr>
        <w:t xml:space="preserve">    这种矛盾可能导致市场出现震荡，但我们判断回调空间有限。核心原因在于，当前的调整是板块发展过程中的正常出清，而非行业发展趋势的逆转。随着资金从主题炒作转向业绩兑现，真正具备盈利能力与核心竞争力的优质企业将率先走出独立行情。因此，当前的回调并非行情终点，而是为中长期投资者提供了以更合理价格布局优质资产的窗口期。</w:t>
        <w:br/>
      </w:r>
      <w:r>
        <w:rPr>
          <w:rFonts w:ascii="宋体" w:hAnsi="宋体" w:cs="宋体" w:eastAsia="宋体"/>
          <w:b w:val="false"/>
        </w:rPr>
        <w:t xml:space="preserve">    从新技术浪潮的角度，小核酸（siRNA）药物正迎来从技术验证到业绩爆发的拐点。2026年1月，前沿生物与GSK达成独家授权，涉及两款小核酸管线，首付款4000万美元，潜在总金额超9.5亿美元，显示出全球巨头对该行业的认可。当前，小核酸产业具备三大驱动力：一是技术平台成熟，脱靶效应降低，递送系统突破；二是适应症从罕见病向慢性病（如心血管、代谢）拓展，市场空间打开；三是国内企业在肝外靶向等前沿领域已具备全球同步研发能力。我们将重点关注具备核心技术平台、管线进入临床关键期的小核酸企业。</w:t>
        <w:br/>
      </w:r>
      <w:r>
        <w:rPr>
          <w:rFonts w:ascii="宋体" w:hAnsi="宋体" w:cs="宋体" w:eastAsia="宋体"/>
          <w:b w:val="false"/>
        </w:rPr>
        <w:t xml:space="preserve">    风险层面，需警惕地缘政治对创新药出海进程的扰动、医保谈判政策的边际变化，以及部分早期研发管线的临床失败风险。但总体而言，当前创新药板块处于“好行业+合理估值”的错配期，2026年将是聚焦个股α、分享产业高质量发展红利的关键之年。</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健康产业混合发起A基金份额净值为0.8831元，本报告期内，该类基金份额净值增长率为-1.47%，同期业绩比较基准收益率为-2.87%；截至报告期末东方阿尔法健康产业混合发起C基金份额净值为0.8800元，本报告期内，该类基金份额净值增长率为-1.57%，同期业绩比较基准收益率为-2.87%。</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本基金为发起式基金，且截至本报告期末，本基金基金合同生效未满3年，暂不适用《公开募集证券投资基金运作管理办法》第四十一条第一款的规定。</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134,832,749.30</w:t>
            </w:r>
          </w:p>
        </w:tc>
        <w:tc>
          <w:tcPr>
            <w:tcW/>
            <w:vAlign w:val="center"/>
          </w:tcPr>
          <w:p>
            <w:pPr>
              <w:spacing w:line="240" w:lineRule="auto"/>
              <w:jc w:val="right"/>
            </w:pPr>
            <w:r>
              <w:rPr>
                <w:rFonts w:ascii="宋体" w:hAnsi="宋体" w:cs="宋体" w:eastAsia="宋体"/>
                <w:b w:val="false"/>
              </w:rPr>
              <w:t>83.69</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134,832,749.30</w:t>
            </w:r>
          </w:p>
        </w:tc>
        <w:tc>
          <w:tcPr>
            <w:tcW/>
            <w:vAlign w:val="center"/>
          </w:tcPr>
          <w:p>
            <w:pPr>
              <w:spacing w:line="240" w:lineRule="auto"/>
              <w:jc w:val="right"/>
            </w:pPr>
            <w:r>
              <w:rPr>
                <w:rFonts w:ascii="宋体" w:hAnsi="宋体" w:cs="宋体" w:eastAsia="宋体"/>
                <w:b w:val="false"/>
              </w:rPr>
              <w:t>83.69</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8,025,930.71</w:t>
            </w:r>
          </w:p>
        </w:tc>
        <w:tc>
          <w:tcPr>
            <w:tcW/>
            <w:vAlign w:val="center"/>
          </w:tcPr>
          <w:p>
            <w:pPr>
              <w:spacing w:line="240" w:lineRule="auto"/>
              <w:jc w:val="right"/>
            </w:pPr>
            <w:r>
              <w:rPr>
                <w:rFonts w:ascii="宋体" w:hAnsi="宋体" w:cs="宋体" w:eastAsia="宋体"/>
                <w:b w:val="false"/>
              </w:rPr>
              <w:t>4.98</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8,025,930.71</w:t>
            </w:r>
          </w:p>
        </w:tc>
        <w:tc>
          <w:tcPr>
            <w:tcW/>
            <w:vAlign w:val="center"/>
          </w:tcPr>
          <w:p>
            <w:pPr>
              <w:spacing w:line="240" w:lineRule="auto"/>
              <w:jc w:val="right"/>
            </w:pPr>
            <w:r>
              <w:rPr>
                <w:rFonts w:ascii="宋体" w:hAnsi="宋体" w:cs="宋体" w:eastAsia="宋体"/>
                <w:b w:val="false"/>
              </w:rPr>
              <w:t>4.98</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7,642,058.63</w:t>
            </w:r>
          </w:p>
        </w:tc>
        <w:tc>
          <w:tcPr>
            <w:tcW/>
            <w:vAlign w:val="center"/>
          </w:tcPr>
          <w:p>
            <w:pPr>
              <w:spacing w:line="240" w:lineRule="auto"/>
              <w:jc w:val="right"/>
            </w:pPr>
            <w:r>
              <w:rPr>
                <w:rFonts w:ascii="宋体" w:hAnsi="宋体" w:cs="宋体" w:eastAsia="宋体"/>
                <w:b w:val="false"/>
              </w:rPr>
              <w:t>4.74</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10,613,629.18</w:t>
            </w:r>
          </w:p>
        </w:tc>
        <w:tc>
          <w:tcPr>
            <w:tcW/>
            <w:vAlign w:val="center"/>
          </w:tcPr>
          <w:p>
            <w:pPr>
              <w:spacing w:line="240" w:lineRule="auto"/>
              <w:jc w:val="right"/>
            </w:pPr>
            <w:r>
              <w:rPr>
                <w:rFonts w:ascii="宋体" w:hAnsi="宋体" w:cs="宋体" w:eastAsia="宋体"/>
                <w:b w:val="false"/>
              </w:rPr>
              <w:t>6.59</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161,114,367.82</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注：报告期末本基金通过港股通交易机制投资的港股公允价值合计66,635,591.95元，占基金资产净值的比例为43.98%。</w:t>
      </w:r>
    </w:p>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68,197,157.35</w:t>
            </w:r>
          </w:p>
        </w:tc>
        <w:tc>
          <w:tcPr>
            <w:tcW/>
            <w:vAlign w:val="center"/>
          </w:tcPr>
          <w:p>
            <w:pPr>
              <w:spacing w:line="240" w:lineRule="auto"/>
              <w:jc w:val="right"/>
            </w:pPr>
            <w:r>
              <w:rPr>
                <w:rFonts w:ascii="宋体" w:hAnsi="宋体" w:cs="宋体" w:eastAsia="宋体"/>
                <w:b w:val="false"/>
              </w:rPr>
              <w:t>45.01</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68,197,157.35</w:t>
            </w:r>
          </w:p>
        </w:tc>
        <w:tc>
          <w:tcPr>
            <w:tcW/>
            <w:vAlign w:val="center"/>
          </w:tcPr>
          <w:p>
            <w:pPr>
              <w:spacing w:line="240" w:lineRule="auto"/>
              <w:jc w:val="right"/>
            </w:pPr>
            <w:r>
              <w:rPr>
                <w:rFonts w:ascii="宋体" w:hAnsi="宋体" w:cs="宋体" w:eastAsia="宋体"/>
                <w:b w:val="false"/>
              </w:rPr>
              <w:t>45.01</w:t>
            </w:r>
          </w:p>
        </w:tc>
      </w:tr>
    </w:tbl>
    <w:p/>
    <w:p>
      <w:pPr>
        <w:pStyle w:val="zhangjiep2"/>
      </w:pPr>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1538"/>
            <w:vAlign w:val="center"/>
          </w:tcPr>
          <w:tcPr>
            <w:shd w:fill="d9d9d9"/>
          </w:tcPr>
          <w:p>
            <w:pPr>
              <w:spacing w:line="240" w:lineRule="auto"/>
              <w:jc w:val="center"/>
            </w:pPr>
            <w:r>
              <w:rPr>
                <w:rFonts w:ascii="宋体" w:hAnsi="宋体" w:cs="宋体" w:eastAsia="宋体"/>
                <w:b w:val="false"/>
              </w:rPr>
              <w:t>公允价值（人民币）</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left"/>
            </w:pPr>
            <w:r>
              <w:rPr>
                <w:rFonts w:ascii="宋体" w:hAnsi="宋体" w:cs="宋体" w:eastAsia="宋体"/>
                <w:b w:val="false"/>
              </w:rPr>
              <w:t>医疗保健</w:t>
            </w:r>
          </w:p>
        </w:tc>
        <w:tc>
          <w:tcPr>
            <w:tcW/>
            <w:vAlign w:val="center"/>
          </w:tcPr>
          <w:p>
            <w:pPr>
              <w:spacing w:line="240" w:lineRule="auto"/>
              <w:jc w:val="right"/>
            </w:pPr>
            <w:r>
              <w:rPr>
                <w:rFonts w:ascii="宋体" w:hAnsi="宋体" w:cs="宋体" w:eastAsia="宋体"/>
                <w:b w:val="false"/>
              </w:rPr>
              <w:t>66,635,591.95</w:t>
            </w:r>
          </w:p>
        </w:tc>
        <w:tc>
          <w:tcPr>
            <w:tcW/>
            <w:vAlign w:val="center"/>
          </w:tcPr>
          <w:p>
            <w:pPr>
              <w:spacing w:line="240" w:lineRule="auto"/>
              <w:jc w:val="right"/>
            </w:pPr>
            <w:r>
              <w:rPr>
                <w:rFonts w:ascii="宋体" w:hAnsi="宋体" w:cs="宋体" w:eastAsia="宋体"/>
                <w:b w:val="false"/>
              </w:rPr>
              <w:t>43.98</w:t>
            </w:r>
          </w:p>
        </w:tc>
      </w:tr>
      <w:tr>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66,635,591.95</w:t>
            </w:r>
          </w:p>
        </w:tc>
        <w:tc>
          <w:tcPr>
            <w:tcW/>
            <w:vAlign w:val="center"/>
          </w:tcPr>
          <w:p>
            <w:pPr>
              <w:spacing w:line="240" w:lineRule="auto"/>
              <w:jc w:val="right"/>
            </w:pPr>
            <w:r>
              <w:rPr>
                <w:rFonts w:ascii="宋体" w:hAnsi="宋体" w:cs="宋体" w:eastAsia="宋体"/>
                <w:b w:val="false"/>
              </w:rPr>
              <w:t>43.98</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06990</w:t>
            </w:r>
          </w:p>
        </w:tc>
        <w:tc>
          <w:tcPr>
            <w:tcW/>
            <w:vAlign w:val="center"/>
          </w:tcPr>
          <w:p>
            <w:pPr>
              <w:spacing w:line="240" w:lineRule="auto"/>
              <w:jc w:val="left"/>
            </w:pPr>
            <w:r>
              <w:rPr>
                <w:rFonts w:ascii="宋体" w:hAnsi="宋体" w:cs="宋体" w:eastAsia="宋体"/>
                <w:b w:val="false"/>
              </w:rPr>
              <w:t>科伦博泰生物－Ｂ</w:t>
            </w:r>
          </w:p>
        </w:tc>
        <w:tc>
          <w:tcPr>
            <w:tcW/>
            <w:vAlign w:val="center"/>
          </w:tcPr>
          <w:p>
            <w:pPr>
              <w:spacing w:line="240" w:lineRule="auto"/>
              <w:jc w:val="right"/>
            </w:pPr>
            <w:r>
              <w:rPr>
                <w:rFonts w:ascii="宋体" w:hAnsi="宋体" w:cs="宋体" w:eastAsia="宋体"/>
                <w:b w:val="false"/>
              </w:rPr>
              <w:t>35,200</w:t>
            </w:r>
          </w:p>
        </w:tc>
        <w:tc>
          <w:tcPr>
            <w:tcW/>
            <w:vAlign w:val="center"/>
          </w:tcPr>
          <w:p>
            <w:pPr>
              <w:spacing w:line="240" w:lineRule="auto"/>
              <w:jc w:val="right"/>
            </w:pPr>
            <w:r>
              <w:rPr>
                <w:rFonts w:ascii="宋体" w:hAnsi="宋体" w:cs="宋体" w:eastAsia="宋体"/>
                <w:b w:val="false"/>
              </w:rPr>
              <w:t>14,296,726.40</w:t>
            </w:r>
          </w:p>
        </w:tc>
        <w:tc>
          <w:tcPr>
            <w:tcW/>
            <w:vAlign w:val="center"/>
          </w:tcPr>
          <w:p>
            <w:pPr>
              <w:spacing w:line="240" w:lineRule="auto"/>
              <w:jc w:val="right"/>
            </w:pPr>
            <w:r>
              <w:rPr>
                <w:rFonts w:ascii="宋体" w:hAnsi="宋体" w:cs="宋体" w:eastAsia="宋体"/>
                <w:b w:val="false"/>
              </w:rPr>
              <w:t>9.44</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002294</w:t>
            </w:r>
          </w:p>
        </w:tc>
        <w:tc>
          <w:tcPr>
            <w:tcW/>
            <w:vAlign w:val="center"/>
          </w:tcPr>
          <w:p>
            <w:pPr>
              <w:spacing w:line="240" w:lineRule="auto"/>
              <w:jc w:val="left"/>
            </w:pPr>
            <w:r>
              <w:rPr>
                <w:rFonts w:ascii="宋体" w:hAnsi="宋体" w:cs="宋体" w:eastAsia="宋体"/>
                <w:b w:val="false"/>
              </w:rPr>
              <w:t>信立泰</w:t>
            </w:r>
          </w:p>
        </w:tc>
        <w:tc>
          <w:tcPr>
            <w:tcW/>
            <w:vAlign w:val="center"/>
          </w:tcPr>
          <w:p>
            <w:pPr>
              <w:spacing w:line="240" w:lineRule="auto"/>
              <w:jc w:val="right"/>
            </w:pPr>
            <w:r>
              <w:rPr>
                <w:rFonts w:ascii="宋体" w:hAnsi="宋体" w:cs="宋体" w:eastAsia="宋体"/>
                <w:b w:val="false"/>
              </w:rPr>
              <w:t>231,600</w:t>
            </w:r>
          </w:p>
        </w:tc>
        <w:tc>
          <w:tcPr>
            <w:tcW/>
            <w:vAlign w:val="center"/>
          </w:tcPr>
          <w:p>
            <w:pPr>
              <w:spacing w:line="240" w:lineRule="auto"/>
              <w:jc w:val="right"/>
            </w:pPr>
            <w:r>
              <w:rPr>
                <w:rFonts w:ascii="宋体" w:hAnsi="宋体" w:cs="宋体" w:eastAsia="宋体"/>
                <w:b w:val="false"/>
              </w:rPr>
              <w:t>14,199,396.00</w:t>
            </w:r>
          </w:p>
        </w:tc>
        <w:tc>
          <w:tcPr>
            <w:tcW/>
            <w:vAlign w:val="center"/>
          </w:tcPr>
          <w:p>
            <w:pPr>
              <w:spacing w:line="240" w:lineRule="auto"/>
              <w:jc w:val="right"/>
            </w:pPr>
            <w:r>
              <w:rPr>
                <w:rFonts w:ascii="宋体" w:hAnsi="宋体" w:cs="宋体" w:eastAsia="宋体"/>
                <w:b w:val="false"/>
              </w:rPr>
              <w:t>9.37</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01801</w:t>
            </w:r>
          </w:p>
        </w:tc>
        <w:tc>
          <w:tcPr>
            <w:tcW/>
            <w:vAlign w:val="center"/>
          </w:tcPr>
          <w:p>
            <w:pPr>
              <w:spacing w:line="240" w:lineRule="auto"/>
              <w:jc w:val="left"/>
            </w:pPr>
            <w:r>
              <w:rPr>
                <w:rFonts w:ascii="宋体" w:hAnsi="宋体" w:cs="宋体" w:eastAsia="宋体"/>
                <w:b w:val="false"/>
              </w:rPr>
              <w:t>信达生物</w:t>
            </w:r>
          </w:p>
        </w:tc>
        <w:tc>
          <w:tcPr>
            <w:tcW/>
            <w:vAlign w:val="center"/>
          </w:tcPr>
          <w:p>
            <w:pPr>
              <w:spacing w:line="240" w:lineRule="auto"/>
              <w:jc w:val="right"/>
            </w:pPr>
            <w:r>
              <w:rPr>
                <w:rFonts w:ascii="宋体" w:hAnsi="宋体" w:cs="宋体" w:eastAsia="宋体"/>
                <w:b w:val="false"/>
              </w:rPr>
              <w:t>184,500</w:t>
            </w:r>
          </w:p>
        </w:tc>
        <w:tc>
          <w:tcPr>
            <w:tcW/>
            <w:vAlign w:val="center"/>
          </w:tcPr>
          <w:p>
            <w:pPr>
              <w:spacing w:line="240" w:lineRule="auto"/>
              <w:jc w:val="right"/>
            </w:pPr>
            <w:r>
              <w:rPr>
                <w:rFonts w:ascii="宋体" w:hAnsi="宋体" w:cs="宋体" w:eastAsia="宋体"/>
                <w:b w:val="false"/>
              </w:rPr>
              <w:t>13,830,572.95</w:t>
            </w:r>
          </w:p>
        </w:tc>
        <w:tc>
          <w:tcPr>
            <w:tcW/>
            <w:vAlign w:val="center"/>
          </w:tcPr>
          <w:p>
            <w:pPr>
              <w:spacing w:line="240" w:lineRule="auto"/>
              <w:jc w:val="right"/>
            </w:pPr>
            <w:r>
              <w:rPr>
                <w:rFonts w:ascii="宋体" w:hAnsi="宋体" w:cs="宋体" w:eastAsia="宋体"/>
                <w:b w:val="false"/>
              </w:rPr>
              <w:t>9.13</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688266</w:t>
            </w:r>
          </w:p>
        </w:tc>
        <w:tc>
          <w:tcPr>
            <w:tcW/>
            <w:vAlign w:val="center"/>
          </w:tcPr>
          <w:p>
            <w:pPr>
              <w:spacing w:line="240" w:lineRule="auto"/>
              <w:jc w:val="left"/>
            </w:pPr>
            <w:r>
              <w:rPr>
                <w:rFonts w:ascii="宋体" w:hAnsi="宋体" w:cs="宋体" w:eastAsia="宋体"/>
                <w:b w:val="false"/>
              </w:rPr>
              <w:t>泽璟制药</w:t>
            </w:r>
          </w:p>
        </w:tc>
        <w:tc>
          <w:tcPr>
            <w:tcW/>
            <w:vAlign w:val="center"/>
          </w:tcPr>
          <w:p>
            <w:pPr>
              <w:spacing w:line="240" w:lineRule="auto"/>
              <w:jc w:val="right"/>
            </w:pPr>
            <w:r>
              <w:rPr>
                <w:rFonts w:ascii="宋体" w:hAnsi="宋体" w:cs="宋体" w:eastAsia="宋体"/>
                <w:b w:val="false"/>
              </w:rPr>
              <w:t>127,692</w:t>
            </w:r>
          </w:p>
        </w:tc>
        <w:tc>
          <w:tcPr>
            <w:tcW/>
            <w:vAlign w:val="center"/>
          </w:tcPr>
          <w:p>
            <w:pPr>
              <w:spacing w:line="240" w:lineRule="auto"/>
              <w:jc w:val="right"/>
            </w:pPr>
            <w:r>
              <w:rPr>
                <w:rFonts w:ascii="宋体" w:hAnsi="宋体" w:cs="宋体" w:eastAsia="宋体"/>
                <w:b w:val="false"/>
              </w:rPr>
              <w:t>12,615,969.60</w:t>
            </w:r>
          </w:p>
        </w:tc>
        <w:tc>
          <w:tcPr>
            <w:tcW/>
            <w:vAlign w:val="center"/>
          </w:tcPr>
          <w:p>
            <w:pPr>
              <w:spacing w:line="240" w:lineRule="auto"/>
              <w:jc w:val="right"/>
            </w:pPr>
            <w:r>
              <w:rPr>
                <w:rFonts w:ascii="宋体" w:hAnsi="宋体" w:cs="宋体" w:eastAsia="宋体"/>
                <w:b w:val="false"/>
              </w:rPr>
              <w:t>8.33</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09926</w:t>
            </w:r>
          </w:p>
        </w:tc>
        <w:tc>
          <w:tcPr>
            <w:tcW/>
            <w:vAlign w:val="center"/>
          </w:tcPr>
          <w:p>
            <w:pPr>
              <w:spacing w:line="240" w:lineRule="auto"/>
              <w:jc w:val="left"/>
            </w:pPr>
            <w:r>
              <w:rPr>
                <w:rFonts w:ascii="宋体" w:hAnsi="宋体" w:cs="宋体" w:eastAsia="宋体"/>
                <w:b w:val="false"/>
              </w:rPr>
              <w:t>康方生物</w:t>
            </w:r>
          </w:p>
        </w:tc>
        <w:tc>
          <w:tcPr>
            <w:tcW/>
            <w:vAlign w:val="center"/>
          </w:tcPr>
          <w:p>
            <w:pPr>
              <w:spacing w:line="240" w:lineRule="auto"/>
              <w:jc w:val="right"/>
            </w:pPr>
            <w:r>
              <w:rPr>
                <w:rFonts w:ascii="宋体" w:hAnsi="宋体" w:cs="宋体" w:eastAsia="宋体"/>
                <w:b w:val="false"/>
              </w:rPr>
              <w:t>103,000</w:t>
            </w:r>
          </w:p>
        </w:tc>
        <w:tc>
          <w:tcPr>
            <w:tcW/>
            <w:vAlign w:val="center"/>
          </w:tcPr>
          <w:p>
            <w:pPr>
              <w:spacing w:line="240" w:lineRule="auto"/>
              <w:jc w:val="right"/>
            </w:pPr>
            <w:r>
              <w:rPr>
                <w:rFonts w:ascii="宋体" w:hAnsi="宋体" w:cs="宋体" w:eastAsia="宋体"/>
                <w:b w:val="false"/>
              </w:rPr>
              <w:t>11,840,889.27</w:t>
            </w:r>
          </w:p>
        </w:tc>
        <w:tc>
          <w:tcPr>
            <w:tcW/>
            <w:vAlign w:val="center"/>
          </w:tcPr>
          <w:p>
            <w:pPr>
              <w:spacing w:line="240" w:lineRule="auto"/>
              <w:jc w:val="right"/>
            </w:pPr>
            <w:r>
              <w:rPr>
                <w:rFonts w:ascii="宋体" w:hAnsi="宋体" w:cs="宋体" w:eastAsia="宋体"/>
                <w:b w:val="false"/>
              </w:rPr>
              <w:t>7.81</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09606</w:t>
            </w:r>
          </w:p>
        </w:tc>
        <w:tc>
          <w:tcPr>
            <w:tcW/>
            <w:vAlign w:val="center"/>
          </w:tcPr>
          <w:p>
            <w:pPr>
              <w:spacing w:line="240" w:lineRule="auto"/>
              <w:jc w:val="left"/>
            </w:pPr>
            <w:r>
              <w:rPr>
                <w:rFonts w:ascii="宋体" w:hAnsi="宋体" w:cs="宋体" w:eastAsia="宋体"/>
                <w:b w:val="false"/>
              </w:rPr>
              <w:t>映恩生物－Ｂ</w:t>
            </w:r>
          </w:p>
        </w:tc>
        <w:tc>
          <w:tcPr>
            <w:tcW/>
            <w:vAlign w:val="center"/>
          </w:tcPr>
          <w:p>
            <w:pPr>
              <w:spacing w:line="240" w:lineRule="auto"/>
              <w:jc w:val="right"/>
            </w:pPr>
            <w:r>
              <w:rPr>
                <w:rFonts w:ascii="宋体" w:hAnsi="宋体" w:cs="宋体" w:eastAsia="宋体"/>
                <w:b w:val="false"/>
              </w:rPr>
              <w:t>40,300</w:t>
            </w:r>
          </w:p>
        </w:tc>
        <w:tc>
          <w:tcPr>
            <w:tcW/>
            <w:vAlign w:val="center"/>
          </w:tcPr>
          <w:p>
            <w:pPr>
              <w:spacing w:line="240" w:lineRule="auto"/>
              <w:jc w:val="right"/>
            </w:pPr>
            <w:r>
              <w:rPr>
                <w:rFonts w:ascii="宋体" w:hAnsi="宋体" w:cs="宋体" w:eastAsia="宋体"/>
                <w:b w:val="false"/>
              </w:rPr>
              <w:t>10,496,951.08</w:t>
            </w:r>
          </w:p>
        </w:tc>
        <w:tc>
          <w:tcPr>
            <w:tcW/>
            <w:vAlign w:val="center"/>
          </w:tcPr>
          <w:p>
            <w:pPr>
              <w:spacing w:line="240" w:lineRule="auto"/>
              <w:jc w:val="right"/>
            </w:pPr>
            <w:r>
              <w:rPr>
                <w:rFonts w:ascii="宋体" w:hAnsi="宋体" w:cs="宋体" w:eastAsia="宋体"/>
                <w:b w:val="false"/>
              </w:rPr>
              <w:t>6.93</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01530</w:t>
            </w:r>
          </w:p>
        </w:tc>
        <w:tc>
          <w:tcPr>
            <w:tcW/>
            <w:vAlign w:val="center"/>
          </w:tcPr>
          <w:p>
            <w:pPr>
              <w:spacing w:line="240" w:lineRule="auto"/>
              <w:jc w:val="left"/>
            </w:pPr>
            <w:r>
              <w:rPr>
                <w:rFonts w:ascii="宋体" w:hAnsi="宋体" w:cs="宋体" w:eastAsia="宋体"/>
                <w:b w:val="false"/>
              </w:rPr>
              <w:t>三生制药</w:t>
            </w:r>
          </w:p>
        </w:tc>
        <w:tc>
          <w:tcPr>
            <w:tcW/>
            <w:vAlign w:val="center"/>
          </w:tcPr>
          <w:p>
            <w:pPr>
              <w:spacing w:line="240" w:lineRule="auto"/>
              <w:jc w:val="right"/>
            </w:pPr>
            <w:r>
              <w:rPr>
                <w:rFonts w:ascii="宋体" w:hAnsi="宋体" w:cs="宋体" w:eastAsia="宋体"/>
                <w:b w:val="false"/>
              </w:rPr>
              <w:t>493,000</w:t>
            </w:r>
          </w:p>
        </w:tc>
        <w:tc>
          <w:tcPr>
            <w:tcW/>
            <w:vAlign w:val="center"/>
          </w:tcPr>
          <w:p>
            <w:pPr>
              <w:spacing w:line="240" w:lineRule="auto"/>
              <w:jc w:val="right"/>
            </w:pPr>
            <w:r>
              <w:rPr>
                <w:rFonts w:ascii="宋体" w:hAnsi="宋体" w:cs="宋体" w:eastAsia="宋体"/>
                <w:b w:val="false"/>
              </w:rPr>
              <w:t>9,855,064.08</w:t>
            </w:r>
          </w:p>
        </w:tc>
        <w:tc>
          <w:tcPr>
            <w:tcW/>
            <w:vAlign w:val="center"/>
          </w:tcPr>
          <w:p>
            <w:pPr>
              <w:spacing w:line="240" w:lineRule="auto"/>
              <w:jc w:val="right"/>
            </w:pPr>
            <w:r>
              <w:rPr>
                <w:rFonts w:ascii="宋体" w:hAnsi="宋体" w:cs="宋体" w:eastAsia="宋体"/>
                <w:b w:val="false"/>
              </w:rPr>
              <w:t>6.50</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688382</w:t>
            </w:r>
          </w:p>
        </w:tc>
        <w:tc>
          <w:tcPr>
            <w:tcW/>
            <w:vAlign w:val="center"/>
          </w:tcPr>
          <w:p>
            <w:pPr>
              <w:spacing w:line="240" w:lineRule="auto"/>
              <w:jc w:val="left"/>
            </w:pPr>
            <w:r>
              <w:rPr>
                <w:rFonts w:ascii="宋体" w:hAnsi="宋体" w:cs="宋体" w:eastAsia="宋体"/>
                <w:b w:val="false"/>
              </w:rPr>
              <w:t>益方生物</w:t>
            </w:r>
          </w:p>
        </w:tc>
        <w:tc>
          <w:tcPr>
            <w:tcW/>
            <w:vAlign w:val="center"/>
          </w:tcPr>
          <w:p>
            <w:pPr>
              <w:spacing w:line="240" w:lineRule="auto"/>
              <w:jc w:val="right"/>
            </w:pPr>
            <w:r>
              <w:rPr>
                <w:rFonts w:ascii="宋体" w:hAnsi="宋体" w:cs="宋体" w:eastAsia="宋体"/>
                <w:b w:val="false"/>
              </w:rPr>
              <w:t>440,737</w:t>
            </w:r>
          </w:p>
        </w:tc>
        <w:tc>
          <w:tcPr>
            <w:tcW/>
            <w:vAlign w:val="center"/>
          </w:tcPr>
          <w:p>
            <w:pPr>
              <w:spacing w:line="240" w:lineRule="auto"/>
              <w:jc w:val="right"/>
            </w:pPr>
            <w:r>
              <w:rPr>
                <w:rFonts w:ascii="宋体" w:hAnsi="宋体" w:cs="宋体" w:eastAsia="宋体"/>
                <w:b w:val="false"/>
              </w:rPr>
              <w:t>8,382,817.74</w:t>
            </w:r>
          </w:p>
        </w:tc>
        <w:tc>
          <w:tcPr>
            <w:tcW/>
            <w:vAlign w:val="center"/>
          </w:tcPr>
          <w:p>
            <w:pPr>
              <w:spacing w:line="240" w:lineRule="auto"/>
              <w:jc w:val="right"/>
            </w:pPr>
            <w:r>
              <w:rPr>
                <w:rFonts w:ascii="宋体" w:hAnsi="宋体" w:cs="宋体" w:eastAsia="宋体"/>
                <w:b w:val="false"/>
              </w:rPr>
              <w:t>5.53</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688513</w:t>
            </w:r>
          </w:p>
        </w:tc>
        <w:tc>
          <w:tcPr>
            <w:tcW/>
            <w:vAlign w:val="center"/>
          </w:tcPr>
          <w:p>
            <w:pPr>
              <w:spacing w:line="240" w:lineRule="auto"/>
              <w:jc w:val="left"/>
            </w:pPr>
            <w:r>
              <w:rPr>
                <w:rFonts w:ascii="宋体" w:hAnsi="宋体" w:cs="宋体" w:eastAsia="宋体"/>
                <w:b w:val="false"/>
              </w:rPr>
              <w:t>苑东生物</w:t>
            </w:r>
          </w:p>
        </w:tc>
        <w:tc>
          <w:tcPr>
            <w:tcW/>
            <w:vAlign w:val="center"/>
          </w:tcPr>
          <w:p>
            <w:pPr>
              <w:spacing w:line="240" w:lineRule="auto"/>
              <w:jc w:val="right"/>
            </w:pPr>
            <w:r>
              <w:rPr>
                <w:rFonts w:ascii="宋体" w:hAnsi="宋体" w:cs="宋体" w:eastAsia="宋体"/>
                <w:b w:val="false"/>
              </w:rPr>
              <w:t>106,506</w:t>
            </w:r>
          </w:p>
        </w:tc>
        <w:tc>
          <w:tcPr>
            <w:tcW/>
            <w:vAlign w:val="center"/>
          </w:tcPr>
          <w:p>
            <w:pPr>
              <w:spacing w:line="240" w:lineRule="auto"/>
              <w:jc w:val="right"/>
            </w:pPr>
            <w:r>
              <w:rPr>
                <w:rFonts w:ascii="宋体" w:hAnsi="宋体" w:cs="宋体" w:eastAsia="宋体"/>
                <w:b w:val="false"/>
              </w:rPr>
              <w:t>6,857,921.34</w:t>
            </w:r>
          </w:p>
        </w:tc>
        <w:tc>
          <w:tcPr>
            <w:tcW/>
            <w:vAlign w:val="center"/>
          </w:tcPr>
          <w:p>
            <w:pPr>
              <w:spacing w:line="240" w:lineRule="auto"/>
              <w:jc w:val="right"/>
            </w:pPr>
            <w:r>
              <w:rPr>
                <w:rFonts w:ascii="宋体" w:hAnsi="宋体" w:cs="宋体" w:eastAsia="宋体"/>
                <w:b w:val="false"/>
              </w:rPr>
              <w:t>4.53</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01093</w:t>
            </w:r>
          </w:p>
        </w:tc>
        <w:tc>
          <w:tcPr>
            <w:tcW/>
            <w:vAlign w:val="center"/>
          </w:tcPr>
          <w:p>
            <w:pPr>
              <w:spacing w:line="240" w:lineRule="auto"/>
              <w:jc w:val="left"/>
            </w:pPr>
            <w:r>
              <w:rPr>
                <w:rFonts w:ascii="宋体" w:hAnsi="宋体" w:cs="宋体" w:eastAsia="宋体"/>
                <w:b w:val="false"/>
              </w:rPr>
              <w:t>石药集团</w:t>
            </w:r>
          </w:p>
        </w:tc>
        <w:tc>
          <w:tcPr>
            <w:tcW/>
            <w:vAlign w:val="center"/>
          </w:tcPr>
          <w:p>
            <w:pPr>
              <w:spacing w:line="240" w:lineRule="auto"/>
              <w:jc w:val="right"/>
            </w:pPr>
            <w:r>
              <w:rPr>
                <w:rFonts w:ascii="宋体" w:hAnsi="宋体" w:cs="宋体" w:eastAsia="宋体"/>
                <w:b w:val="false"/>
              </w:rPr>
              <w:t>786,000</w:t>
            </w:r>
          </w:p>
        </w:tc>
        <w:tc>
          <w:tcPr>
            <w:tcW/>
            <w:vAlign w:val="center"/>
          </w:tcPr>
          <w:p>
            <w:pPr>
              <w:spacing w:line="240" w:lineRule="auto"/>
              <w:jc w:val="right"/>
            </w:pPr>
            <w:r>
              <w:rPr>
                <w:rFonts w:ascii="宋体" w:hAnsi="宋体" w:cs="宋体" w:eastAsia="宋体"/>
                <w:b w:val="false"/>
              </w:rPr>
              <w:t>6,315,388.17</w:t>
            </w:r>
          </w:p>
        </w:tc>
        <w:tc>
          <w:tcPr>
            <w:tcW/>
            <w:vAlign w:val="center"/>
          </w:tcPr>
          <w:p>
            <w:pPr>
              <w:spacing w:line="240" w:lineRule="auto"/>
              <w:jc w:val="right"/>
            </w:pPr>
            <w:r>
              <w:rPr>
                <w:rFonts w:ascii="宋体" w:hAnsi="宋体" w:cs="宋体" w:eastAsia="宋体"/>
                <w:b w:val="false"/>
              </w:rPr>
              <w:t>4.17</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8,025,930.71</w:t>
            </w:r>
          </w:p>
        </w:tc>
        <w:tc>
          <w:tcPr>
            <w:tcW/>
            <w:vAlign w:val="center"/>
          </w:tcPr>
          <w:p>
            <w:pPr>
              <w:spacing w:line="240" w:lineRule="auto"/>
              <w:jc w:val="right"/>
            </w:pPr>
            <w:r>
              <w:rPr>
                <w:rFonts w:ascii="宋体" w:hAnsi="宋体" w:cs="宋体" w:eastAsia="宋体"/>
                <w:b w:val="false"/>
              </w:rPr>
              <w:t>5.30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8,025,930.71</w:t>
            </w:r>
          </w:p>
        </w:tc>
        <w:tc>
          <w:tcPr>
            <w:tcW/>
            <w:vAlign w:val="center"/>
          </w:tcPr>
          <w:p>
            <w:pPr>
              <w:spacing w:line="240" w:lineRule="auto"/>
              <w:jc w:val="right"/>
            </w:pPr>
            <w:r>
              <w:rPr>
                <w:rFonts w:ascii="宋体" w:hAnsi="宋体" w:cs="宋体" w:eastAsia="宋体"/>
                <w:b w:val="false"/>
              </w:rPr>
              <w:t>5.30</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019827</w:t>
            </w:r>
          </w:p>
        </w:tc>
        <w:tc>
          <w:tcPr>
            <w:tcW/>
            <w:vAlign w:val="center"/>
          </w:tcPr>
          <w:p>
            <w:pPr>
              <w:spacing w:line="240" w:lineRule="auto"/>
              <w:jc w:val="left"/>
            </w:pPr>
            <w:r>
              <w:rPr>
                <w:rFonts w:ascii="宋体" w:hAnsi="宋体" w:cs="宋体" w:eastAsia="宋体"/>
                <w:b w:val="false"/>
              </w:rPr>
              <w:t>26国债01</w:t>
            </w:r>
          </w:p>
        </w:tc>
        <w:tc>
          <w:tcPr>
            <w:tcW/>
            <w:vAlign w:val="center"/>
          </w:tcPr>
          <w:p>
            <w:pPr>
              <w:spacing w:line="240" w:lineRule="auto"/>
              <w:jc w:val="right"/>
            </w:pPr>
            <w:r>
              <w:rPr>
                <w:rFonts w:ascii="宋体" w:hAnsi="宋体" w:cs="宋体" w:eastAsia="宋体"/>
                <w:b w:val="false"/>
              </w:rPr>
              <w:t>73,000</w:t>
            </w:r>
          </w:p>
        </w:tc>
        <w:tc>
          <w:tcPr>
            <w:tcW/>
            <w:vAlign w:val="center"/>
          </w:tcPr>
          <w:p>
            <w:pPr>
              <w:spacing w:line="240" w:lineRule="auto"/>
              <w:jc w:val="right"/>
            </w:pPr>
            <w:r>
              <w:rPr>
                <w:rFonts w:ascii="宋体" w:hAnsi="宋体" w:cs="宋体" w:eastAsia="宋体"/>
                <w:b w:val="false"/>
              </w:rPr>
              <w:t>7,319,274.00</w:t>
            </w:r>
          </w:p>
        </w:tc>
        <w:tc>
          <w:tcPr>
            <w:tcW/>
            <w:vAlign w:val="center"/>
          </w:tcPr>
          <w:p>
            <w:pPr>
              <w:spacing w:line="240" w:lineRule="auto"/>
              <w:jc w:val="right"/>
            </w:pPr>
            <w:r>
              <w:rPr>
                <w:rFonts w:ascii="宋体" w:hAnsi="宋体" w:cs="宋体" w:eastAsia="宋体"/>
                <w:b w:val="false"/>
              </w:rPr>
              <w:t>4.83</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7,000</w:t>
            </w:r>
          </w:p>
        </w:tc>
        <w:tc>
          <w:tcPr>
            <w:tcW/>
            <w:vAlign w:val="center"/>
          </w:tcPr>
          <w:p>
            <w:pPr>
              <w:spacing w:line="240" w:lineRule="auto"/>
              <w:jc w:val="right"/>
            </w:pPr>
            <w:r>
              <w:rPr>
                <w:rFonts w:ascii="宋体" w:hAnsi="宋体" w:cs="宋体" w:eastAsia="宋体"/>
                <w:b w:val="false"/>
              </w:rPr>
              <w:t>706,656.71</w:t>
            </w:r>
          </w:p>
        </w:tc>
        <w:tc>
          <w:tcPr>
            <w:tcW/>
            <w:vAlign w:val="center"/>
          </w:tcPr>
          <w:p>
            <w:pPr>
              <w:spacing w:line="240" w:lineRule="auto"/>
              <w:jc w:val="right"/>
            </w:pPr>
            <w:r>
              <w:rPr>
                <w:rFonts w:ascii="宋体" w:hAnsi="宋体" w:cs="宋体" w:eastAsia="宋体"/>
                <w:b w:val="false"/>
              </w:rPr>
              <w:t>0.47</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10,613,629.18</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10,613,629.18</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本基金本报告期末前十名股票中不存在流通受限的情况。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东方阿尔法健康产业混合发起A</w:t>
            </w:r>
          </w:p>
        </w:tc>
        <w:tc>
          <w:tcPr>
            <w:tcW w:type="pct" w:w="1300"/>
            <w:vAlign w:val="center"/>
          </w:tcPr>
          <w:p>
            <w:pPr>
              <w:spacing w:line="240" w:lineRule="auto"/>
              <w:jc w:val="center"/>
            </w:pPr>
            <w:r>
              <w:rPr>
                <w:rFonts w:ascii="宋体" w:hAnsi="宋体" w:cs="宋体" w:eastAsia="宋体"/>
                <w:b w:val="false"/>
              </w:rPr>
              <w:t>东方阿尔法健康产业混合发起C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33,962,046.19</w:t>
            </w:r>
          </w:p>
        </w:tc>
        <w:tc>
          <w:tcPr>
            <w:tcW w:type="pct" w:w="1300"/>
            <w:vAlign w:val="center"/>
          </w:tcPr>
          <w:p>
            <w:pPr>
              <w:spacing w:line="240" w:lineRule="auto"/>
              <w:jc w:val="right"/>
            </w:pPr>
            <w:r>
              <w:rPr>
                <w:rFonts w:ascii="宋体" w:hAnsi="宋体" w:cs="宋体" w:eastAsia="宋体"/>
                <w:b w:val="false"/>
              </w:rPr>
              <w:t>144,377,635.11</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2,778,186.00</w:t>
            </w:r>
          </w:p>
        </w:tc>
        <w:tc>
          <w:tcPr>
            <w:tcW w:type="pct" w:w="1300"/>
            <w:vAlign w:val="center"/>
          </w:tcPr>
          <w:p>
            <w:pPr>
              <w:spacing w:line="240" w:lineRule="auto"/>
              <w:jc w:val="right"/>
            </w:pPr>
            <w:r>
              <w:rPr>
                <w:rFonts w:ascii="宋体" w:hAnsi="宋体" w:cs="宋体" w:eastAsia="宋体"/>
                <w:b w:val="false"/>
              </w:rPr>
              <w:t>159,586,618.49</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24,144,475.69</w:t>
            </w:r>
          </w:p>
        </w:tc>
        <w:tc>
          <w:tcPr>
            <w:tcW w:type="pct" w:w="1300"/>
            <w:vAlign w:val="center"/>
          </w:tcPr>
          <w:p>
            <w:pPr>
              <w:spacing w:line="240" w:lineRule="auto"/>
              <w:jc w:val="right"/>
            </w:pPr>
            <w:r>
              <w:rPr>
                <w:rFonts w:ascii="宋体" w:hAnsi="宋体" w:cs="宋体" w:eastAsia="宋体"/>
                <w:b w:val="false"/>
              </w:rPr>
              <w:t>144,423,032.43</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12,595,756.50</w:t>
            </w:r>
          </w:p>
        </w:tc>
        <w:tc>
          <w:tcPr>
            <w:tcW w:type="pct" w:w="1300"/>
            <w:vAlign w:val="center"/>
          </w:tcPr>
          <w:p>
            <w:pPr>
              <w:spacing w:line="240" w:lineRule="auto"/>
              <w:jc w:val="right"/>
            </w:pPr>
            <w:r>
              <w:rPr>
                <w:rFonts w:ascii="宋体" w:hAnsi="宋体" w:cs="宋体" w:eastAsia="宋体"/>
                <w:b w:val="false"/>
              </w:rPr>
              <w:t>159,541,221.17</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3077"/>
            <w:vAlign w:val="center"/>
          </w:tcPr>
          <w:p>
            <w:pPr>
              <w:spacing w:line="240" w:lineRule="auto"/>
              <w:jc w:val="center"/>
            </w:pPr>
          </w:p>
        </w:tc>
        <w:tc>
          <w:tcPr>
            <w:tcW w:type="pct" w:w="950"/>
            <w:vAlign w:val="center"/>
          </w:tcPr>
          <w:p>
            <w:pPr>
              <w:spacing w:line="240" w:lineRule="auto"/>
              <w:jc w:val="center"/>
            </w:pPr>
            <w:r>
              <w:rPr>
                <w:rFonts w:ascii="宋体" w:hAnsi="宋体" w:cs="宋体" w:eastAsia="宋体"/>
                <w:b w:val="false"/>
              </w:rPr>
              <w:t>东方阿尔法健康产业混合发起A</w:t>
            </w:r>
          </w:p>
        </w:tc>
        <w:tc>
          <w:tcPr>
            <w:tcW w:type="pct" w:w="950"/>
            <w:vAlign w:val="center"/>
          </w:tcPr>
          <w:p>
            <w:pPr>
              <w:spacing w:line="240" w:lineRule="auto"/>
              <w:jc w:val="center"/>
            </w:pPr>
            <w:r>
              <w:rPr>
                <w:rFonts w:ascii="宋体" w:hAnsi="宋体" w:cs="宋体" w:eastAsia="宋体"/>
                <w:b w:val="false"/>
              </w:rPr>
              <w:t>东方阿尔法健康产业混合发起C</w:t>
            </w:r>
          </w:p>
        </w:tc>
      </w:tr>
      <w:tr>
        <w:tc>
          <w:tcPr>
            <w:tcW w:type="pct" w:w="3077"/>
            <w:vAlign w:val="center"/>
          </w:tcPr>
          <w:p>
            <w:pPr>
              <w:spacing w:line="240" w:lineRule="auto"/>
              <w:jc w:val="left"/>
            </w:pPr>
            <w:r>
              <w:rPr>
                <w:rFonts w:ascii="宋体" w:hAnsi="宋体" w:cs="宋体" w:eastAsia="宋体"/>
                <w:b w:val="false"/>
              </w:rPr>
              <w:t>报告期期初管理人持有的本基金份额</w:t>
            </w:r>
          </w:p>
        </w:tc>
        <w:tc>
          <w:tcPr>
            <w:tcW w:type="pct" w:w="950"/>
            <w:vAlign w:val="center"/>
          </w:tcPr>
          <w:p>
            <w:pPr>
              <w:spacing w:line="240" w:lineRule="auto"/>
              <w:jc w:val="right"/>
            </w:pPr>
            <w:r>
              <w:rPr>
                <w:rFonts w:ascii="宋体" w:hAnsi="宋体" w:cs="宋体" w:eastAsia="宋体"/>
                <w:b w:val="false"/>
              </w:rPr>
              <w:t>5,000,388.96</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报告期期间买入/申购总份额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报告期期间卖出/赎回总份额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报告期期末管理人持有的本基金份额</w:t>
            </w:r>
          </w:p>
        </w:tc>
        <w:tc>
          <w:tcPr>
            <w:tcW w:type="pct" w:w="950"/>
            <w:vAlign w:val="center"/>
          </w:tcPr>
          <w:p>
            <w:pPr>
              <w:spacing w:line="240" w:lineRule="auto"/>
              <w:jc w:val="right"/>
            </w:pPr>
            <w:r>
              <w:rPr>
                <w:rFonts w:ascii="宋体" w:hAnsi="宋体" w:cs="宋体" w:eastAsia="宋体"/>
                <w:b w:val="false"/>
              </w:rPr>
              <w:t>5,000,388.96</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报告期期末持有的本基金份额占基金总份额比例（%）</w:t>
            </w:r>
          </w:p>
        </w:tc>
        <w:tc>
          <w:tcPr>
            <w:tcW w:type="pct" w:w="950"/>
            <w:vAlign w:val="center"/>
          </w:tcPr>
          <w:p>
            <w:pPr>
              <w:spacing w:line="240" w:lineRule="auto"/>
              <w:jc w:val="right"/>
            </w:pPr>
            <w:r>
              <w:rPr>
                <w:rFonts w:ascii="宋体" w:hAnsi="宋体" w:cs="宋体" w:eastAsia="宋体"/>
                <w:b w:val="false"/>
              </w:rPr>
              <w:t>2.90</w:t>
            </w:r>
          </w:p>
        </w:tc>
        <w:tc>
          <w:tcPr>
            <w:tcW w:type="pct" w:w="950"/>
            <w:vAlign w:val="center"/>
          </w:tcPr>
          <w:p>
            <w:pPr>
              <w:spacing w:line="240" w:lineRule="auto"/>
              <w:jc w:val="right"/>
            </w:pPr>
            <w:r>
              <w:rPr>
                <w:rFonts w:ascii="宋体" w:hAnsi="宋体" w:cs="宋体" w:eastAsia="宋体"/>
                <w:b w:val="false"/>
              </w:rPr>
              <w:t>-</w:t>
            </w:r>
          </w:p>
        </w:tc>
      </w:tr>
    </w:tbl>
    <w:p>
      <w:r>
        <w:rPr>
          <w:rFonts w:ascii="宋体" w:hAnsi="宋体" w:cs="宋体" w:eastAsia="宋体"/>
          <w:b w:val="false"/>
        </w:rPr>
        <w:t>注：报告期期末持有的本基金份额占基金总份额比例的分母采用期末基金份额总额，不区分下属不同类别基金。</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1538"/>
            <w:vAlign w:val="center"/>
          </w:tcPr>
          <w:tcPr>
            <w:shd w:fill="d9d9d9"/>
          </w:tcPr>
          <w:p>
            <w:pPr>
              <w:spacing w:line="240" w:lineRule="auto"/>
              <w:jc w:val="center"/>
            </w:pPr>
            <w:r>
              <w:rPr>
                <w:rFonts w:ascii="宋体" w:hAnsi="宋体" w:cs="宋体" w:eastAsia="宋体"/>
                <w:b w:val="false"/>
              </w:rPr>
              <w:t>项目</w:t>
            </w:r>
          </w:p>
        </w:tc>
        <w:tc>
          <w:tcPr>
            <w:tcW w:type="pct" w:w="692"/>
            <w:vAlign w:val="center"/>
          </w:tcPr>
          <w:tcPr>
            <w:shd w:fill="d9d9d9"/>
          </w:tcPr>
          <w:p>
            <w:pPr>
              <w:spacing w:line="240" w:lineRule="auto"/>
              <w:jc w:val="center"/>
            </w:pPr>
            <w:r>
              <w:rPr>
                <w:rFonts w:ascii="宋体" w:hAnsi="宋体" w:cs="宋体" w:eastAsia="宋体"/>
                <w:b w:val="false"/>
              </w:rPr>
              <w:t>持有份额总数</w:t>
            </w:r>
          </w:p>
        </w:tc>
        <w:tc>
          <w:tcPr>
            <w:tcW w:type="pct" w:w="692"/>
            <w:vAlign w:val="center"/>
          </w:tcPr>
          <w:tcPr>
            <w:shd w:fill="d9d9d9"/>
          </w:tcPr>
          <w:p>
            <w:pPr>
              <w:spacing w:line="240" w:lineRule="auto"/>
              <w:jc w:val="center"/>
            </w:pPr>
            <w:r>
              <w:rPr>
                <w:rFonts w:ascii="宋体" w:hAnsi="宋体" w:cs="宋体" w:eastAsia="宋体"/>
                <w:b w:val="false"/>
              </w:rPr>
              <w:t>持有份额占基金总份额比例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发起份额总数</w:t>
            </w:r>
          </w:p>
        </w:tc>
        <w:tc>
          <w:tcPr>
            <w:tcW w:type="pct" w:w="692"/>
            <w:vAlign w:val="center"/>
          </w:tcPr>
          <w:tcPr>
            <w:shd w:fill="d9d9d9"/>
          </w:tcPr>
          <w:p>
            <w:pPr>
              <w:spacing w:line="240" w:lineRule="auto"/>
              <w:jc w:val="center"/>
            </w:pPr>
            <w:r>
              <w:rPr>
                <w:rFonts w:ascii="宋体" w:hAnsi="宋体" w:cs="宋体" w:eastAsia="宋体"/>
                <w:b w:val="false"/>
              </w:rPr>
              <w:t>发起份额占基金总份额比例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发起份额承诺持有期限</w:t>
            </w:r>
          </w:p>
        </w:tc>
      </w:tr>
      <w:tr>
        <w:tc>
          <w:tcPr>
            <w:tcW/>
            <w:vAlign w:val="center"/>
          </w:tcPr>
          <w:p>
            <w:pPr>
              <w:spacing w:line="240" w:lineRule="auto"/>
              <w:jc w:val="left"/>
            </w:pPr>
            <w:r>
              <w:rPr>
                <w:rFonts w:ascii="宋体" w:hAnsi="宋体" w:cs="宋体" w:eastAsia="宋体"/>
                <w:b w:val="false"/>
              </w:rPr>
              <w:t>基金管理人固有资金</w:t>
            </w:r>
          </w:p>
        </w:tc>
        <w:tc>
          <w:tcPr>
            <w:tcW/>
            <w:vAlign w:val="center"/>
          </w:tcPr>
          <w:p>
            <w:pPr>
              <w:spacing w:line="240" w:lineRule="auto"/>
              <w:jc w:val="right"/>
            </w:pPr>
            <w:r>
              <w:rPr>
                <w:rFonts w:ascii="宋体" w:hAnsi="宋体" w:cs="宋体" w:eastAsia="宋体"/>
                <w:b w:val="false"/>
              </w:rPr>
              <w:t>5,000,388.96</w:t>
            </w:r>
          </w:p>
        </w:tc>
        <w:tc>
          <w:tcPr>
            <w:tcW/>
            <w:vAlign w:val="center"/>
          </w:tcPr>
          <w:p>
            <w:pPr>
              <w:spacing w:line="240" w:lineRule="auto"/>
              <w:jc w:val="right"/>
            </w:pPr>
            <w:r>
              <w:rPr>
                <w:rFonts w:ascii="宋体" w:hAnsi="宋体" w:cs="宋体" w:eastAsia="宋体"/>
                <w:b w:val="false"/>
              </w:rPr>
              <w:t>2.90%</w:t>
            </w:r>
          </w:p>
        </w:tc>
        <w:tc>
          <w:tcPr>
            <w:tcW/>
            <w:vAlign w:val="center"/>
          </w:tcPr>
          <w:p>
            <w:pPr>
              <w:spacing w:line="240" w:lineRule="auto"/>
              <w:jc w:val="right"/>
            </w:pPr>
            <w:r>
              <w:rPr>
                <w:rFonts w:ascii="宋体" w:hAnsi="宋体" w:cs="宋体" w:eastAsia="宋体"/>
                <w:b w:val="false"/>
              </w:rPr>
              <w:t>5,000,388.96</w:t>
            </w:r>
          </w:p>
        </w:tc>
        <w:tc>
          <w:tcPr>
            <w:tcW/>
            <w:vAlign w:val="center"/>
          </w:tcPr>
          <w:p>
            <w:pPr>
              <w:spacing w:line="240" w:lineRule="auto"/>
              <w:jc w:val="right"/>
            </w:pPr>
            <w:r>
              <w:rPr>
                <w:rFonts w:ascii="宋体" w:hAnsi="宋体" w:cs="宋体" w:eastAsia="宋体"/>
                <w:b w:val="false"/>
              </w:rPr>
              <w:t>2.90%</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基金管理人高级管理人员</w:t>
            </w:r>
          </w:p>
        </w:tc>
        <w:tc>
          <w:tcPr>
            <w:tcW/>
            <w:vAlign w:val="center"/>
          </w:tcPr>
          <w:p>
            <w:pPr>
              <w:spacing w:line="240" w:lineRule="auto"/>
              <w:jc w:val="right"/>
            </w:pPr>
            <w:r>
              <w:rPr>
                <w:rFonts w:ascii="宋体" w:hAnsi="宋体" w:cs="宋体" w:eastAsia="宋体"/>
                <w:b w:val="false"/>
              </w:rPr>
              <w:t>4,500,711.07</w:t>
            </w:r>
          </w:p>
        </w:tc>
        <w:tc>
          <w:tcPr>
            <w:tcW/>
            <w:vAlign w:val="center"/>
          </w:tcPr>
          <w:p>
            <w:pPr>
              <w:spacing w:line="240" w:lineRule="auto"/>
              <w:jc w:val="right"/>
            </w:pPr>
            <w:r>
              <w:rPr>
                <w:rFonts w:ascii="宋体" w:hAnsi="宋体" w:cs="宋体" w:eastAsia="宋体"/>
                <w:b w:val="false"/>
              </w:rPr>
              <w:t>2.61%</w:t>
            </w:r>
          </w:p>
        </w:tc>
        <w:tc>
          <w:tcPr>
            <w:tcW/>
            <w:vAlign w:val="center"/>
          </w:tcPr>
          <w:p>
            <w:pPr>
              <w:spacing w:line="240" w:lineRule="auto"/>
              <w:jc w:val="right"/>
            </w:pPr>
            <w:r>
              <w:rPr>
                <w:rFonts w:ascii="宋体" w:hAnsi="宋体" w:cs="宋体" w:eastAsia="宋体"/>
                <w:b w:val="false"/>
              </w:rPr>
              <w:t>4,500,711.07</w:t>
            </w:r>
          </w:p>
        </w:tc>
        <w:tc>
          <w:tcPr>
            <w:tcW/>
            <w:vAlign w:val="center"/>
          </w:tcPr>
          <w:p>
            <w:pPr>
              <w:spacing w:line="240" w:lineRule="auto"/>
              <w:jc w:val="right"/>
            </w:pPr>
            <w:r>
              <w:rPr>
                <w:rFonts w:ascii="宋体" w:hAnsi="宋体" w:cs="宋体" w:eastAsia="宋体"/>
                <w:b w:val="false"/>
              </w:rPr>
              <w:t>2.61%</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基金经理等人员</w:t>
            </w:r>
          </w:p>
        </w:tc>
        <w:tc>
          <w:tcPr>
            <w:tcW/>
            <w:vAlign w:val="center"/>
          </w:tcPr>
          <w:p>
            <w:pPr>
              <w:spacing w:line="240" w:lineRule="auto"/>
              <w:jc w:val="right"/>
            </w:pPr>
            <w:r>
              <w:rPr>
                <w:rFonts w:ascii="宋体" w:hAnsi="宋体" w:cs="宋体" w:eastAsia="宋体"/>
                <w:b w:val="false"/>
              </w:rPr>
              <w:t>500,419.00</w:t>
            </w:r>
          </w:p>
        </w:tc>
        <w:tc>
          <w:tcPr>
            <w:tcW/>
            <w:vAlign w:val="center"/>
          </w:tcPr>
          <w:p>
            <w:pPr>
              <w:spacing w:line="240" w:lineRule="auto"/>
              <w:jc w:val="right"/>
            </w:pPr>
            <w:r>
              <w:rPr>
                <w:rFonts w:ascii="宋体" w:hAnsi="宋体" w:cs="宋体" w:eastAsia="宋体"/>
                <w:b w:val="false"/>
              </w:rPr>
              <w:t>0.29%</w:t>
            </w:r>
          </w:p>
        </w:tc>
        <w:tc>
          <w:tcPr>
            <w:tcW/>
            <w:vAlign w:val="center"/>
          </w:tcPr>
          <w:p>
            <w:pPr>
              <w:spacing w:line="240" w:lineRule="auto"/>
              <w:jc w:val="right"/>
            </w:pPr>
            <w:r>
              <w:rPr>
                <w:rFonts w:ascii="宋体" w:hAnsi="宋体" w:cs="宋体" w:eastAsia="宋体"/>
                <w:b w:val="false"/>
              </w:rPr>
              <w:t>500,419.00</w:t>
            </w:r>
          </w:p>
        </w:tc>
        <w:tc>
          <w:tcPr>
            <w:tcW/>
            <w:vAlign w:val="center"/>
          </w:tcPr>
          <w:p>
            <w:pPr>
              <w:spacing w:line="240" w:lineRule="auto"/>
              <w:jc w:val="right"/>
            </w:pPr>
            <w:r>
              <w:rPr>
                <w:rFonts w:ascii="宋体" w:hAnsi="宋体" w:cs="宋体" w:eastAsia="宋体"/>
                <w:b w:val="false"/>
              </w:rPr>
              <w:t>0.29%</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基金管理人股东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10,001,519.03</w:t>
            </w:r>
          </w:p>
        </w:tc>
        <w:tc>
          <w:tcPr>
            <w:tcW/>
            <w:vAlign w:val="center"/>
          </w:tcPr>
          <w:p>
            <w:pPr>
              <w:spacing w:line="240" w:lineRule="auto"/>
              <w:jc w:val="right"/>
            </w:pPr>
            <w:r>
              <w:rPr>
                <w:rFonts w:ascii="宋体" w:hAnsi="宋体" w:cs="宋体" w:eastAsia="宋体"/>
                <w:b w:val="false"/>
              </w:rPr>
              <w:t>5.81%</w:t>
            </w:r>
          </w:p>
        </w:tc>
        <w:tc>
          <w:tcPr>
            <w:tcW/>
            <w:vAlign w:val="center"/>
          </w:tcPr>
          <w:p>
            <w:pPr>
              <w:spacing w:line="240" w:lineRule="auto"/>
              <w:jc w:val="right"/>
            </w:pPr>
            <w:r>
              <w:rPr>
                <w:rFonts w:ascii="宋体" w:hAnsi="宋体" w:cs="宋体" w:eastAsia="宋体"/>
                <w:b w:val="false"/>
              </w:rPr>
              <w:t>10,001,519.03</w:t>
            </w:r>
          </w:p>
        </w:tc>
        <w:tc>
          <w:tcPr>
            <w:tcW/>
            <w:vAlign w:val="center"/>
          </w:tcPr>
          <w:p>
            <w:pPr>
              <w:spacing w:line="240" w:lineRule="auto"/>
              <w:jc w:val="right"/>
            </w:pPr>
            <w:r>
              <w:rPr>
                <w:rFonts w:ascii="宋体" w:hAnsi="宋体" w:cs="宋体" w:eastAsia="宋体"/>
                <w:b w:val="false"/>
              </w:rPr>
              <w:t>5.81%</w:t>
            </w:r>
          </w:p>
        </w:tc>
        <w:tc>
          <w:tcPr>
            <w:tcW/>
            <w:vAlign w:val="center"/>
          </w:tcPr>
          <w:p>
            <w:pPr>
              <w:spacing w:line="240" w:lineRule="auto"/>
              <w:jc w:val="left"/>
            </w:pPr>
            <w:r>
              <w:rPr>
                <w:rFonts w:ascii="宋体" w:hAnsi="宋体" w:cs="宋体" w:eastAsia="宋体"/>
                <w:b w:val="false"/>
              </w:rPr>
              <w:t>-</w:t>
            </w:r>
          </w:p>
        </w:tc>
      </w:tr>
    </w:tbl>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Align w:val="center"/>
          </w:tcPr>
          <w:p>
            <w:pPr>
              <w:spacing w:line="240" w:lineRule="auto"/>
              <w:jc w:val="center"/>
            </w:pPr>
            <w:r>
              <w:rPr>
                <w:rFonts w:ascii="宋体" w:hAnsi="宋体" w:cs="宋体" w:eastAsia="宋体"/>
                <w:b w:val="false"/>
              </w:rPr>
              <w:t>机构</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2026年01月15日-2026年01月20日</w:t>
            </w:r>
          </w:p>
        </w:tc>
        <w:tc>
          <w:tcPr>
            <w:tcW/>
            <w:vAlign w:val="center"/>
          </w:tcPr>
          <w:p>
            <w:pPr>
              <w:spacing w:line="240" w:lineRule="auto"/>
              <w:jc w:val="right"/>
            </w:pPr>
            <w:r>
              <w:rPr>
                <w:rFonts w:ascii="宋体" w:hAnsi="宋体" w:cs="宋体" w:eastAsia="宋体"/>
                <w:b w:val="false"/>
              </w:rPr>
              <w:t>29,991,211.23</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29,991,211.23</w:t>
            </w:r>
          </w:p>
        </w:tc>
        <w:tc>
          <w:tcPr>
            <w:tcW/>
            <w:vAlign w:val="center"/>
          </w:tcPr>
          <w:p>
            <w:pPr>
              <w:spacing w:line="240" w:lineRule="auto"/>
              <w:jc w:val="right"/>
            </w:pPr>
            <w:r>
              <w:rPr>
                <w:rFonts w:ascii="宋体" w:hAnsi="宋体" w:cs="宋体" w:eastAsia="宋体"/>
                <w:b w:val="false"/>
              </w:rPr>
              <w:t>17.42%</w:t>
            </w:r>
          </w:p>
        </w:tc>
      </w:tr>
      <w:tr>
        <w:tc>
          <w:tcPr>
            <w:tcW/>
            <w:hMerge w:val="restart"/>
            <w:vAlign w:val="center"/>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vAlign w:val="center"/>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1、中国证券监督管理委员会批准的东方阿尔法健康产业混合型发起式证券投资基金设立的文件；</w:t>
        <w:br/>
      </w:r>
      <w:r>
        <w:rPr>
          <w:rFonts w:ascii="宋体" w:hAnsi="宋体" w:cs="宋体" w:eastAsia="宋体"/>
          <w:b w:val="false"/>
        </w:rPr>
        <w:t xml:space="preserve">    2、《东方阿尔法健康产业混合型发起式证券投资基金基金合同》；</w:t>
        <w:br/>
      </w:r>
      <w:r>
        <w:rPr>
          <w:rFonts w:ascii="宋体" w:hAnsi="宋体" w:cs="宋体" w:eastAsia="宋体"/>
          <w:b w:val="false"/>
        </w:rPr>
        <w:t xml:space="preserve">    3、《东方阿尔法健康产业混合型发起式证券投资基金托管协议》；</w:t>
        <w:br/>
      </w:r>
      <w:r>
        <w:rPr>
          <w:rFonts w:ascii="宋体" w:hAnsi="宋体" w:cs="宋体" w:eastAsia="宋体"/>
          <w:b w:val="false"/>
        </w:rPr>
        <w:t xml:space="preserve">    4、《东方阿尔法健康产业混合型发起式证券投资基金招募说明书》（含更新）；</w:t>
        <w:b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br/>
      </w:r>
      <w:r>
        <w:rPr>
          <w:rFonts w:ascii="宋体" w:hAnsi="宋体" w:cs="宋体" w:eastAsia="宋体"/>
          <w:b w:val="false"/>
        </w:rPr>
        <w:t xml:space="preserve">    2、投资者对本报告书如有疑问，可咨询本基金管理人东方阿尔法基金管理有限公司，客户服务电话：400-930-6677（免长途话费）。</w:t>
        <w:b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二〇二六年四月二十二日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东方阿尔法健康产业混合型发起式证券投资基金2026年第1季度报告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