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东方阿尔法瑞享混合型发起式证券投资基金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东方阿尔法瑞享混合发起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025777</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2025年10月21日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301,753,867.48份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在有效控制组合风险并保持良好流动性的前提下，通过深入研究、优选个股、主动的投资管理方式力求实现组合资产的稳健增值。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 xml:space="preserve">3、港股投资策略 </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6、股指期货投资策略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7、融资业务投资策略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8、国债期货投资策略</w:t>
              <w:br/>
            </w:r>
            <w:r>
              <w:rPr>
                <w:rFonts w:ascii="宋体" w:hAnsi="宋体" w:cs="宋体" w:eastAsia="宋体"/>
                <w:b w:val="false"/>
              </w:rPr>
              <w:t>本基金将按照风险管理的原则，以套期保值为主要目的，参与国债期货的投资，管理市场风险，故国债期货空头的合约价值主要与债券组合的多头价值相对应。</w:t>
              <w:br/>
            </w:r>
            <w:r>
              <w:rPr>
                <w:rFonts w:ascii="宋体" w:hAnsi="宋体" w:cs="宋体" w:eastAsia="宋体"/>
                <w:b w:val="false"/>
              </w:rPr>
              <w:t>9、资产支持证券投资策略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11、存托凭证投资策略</w:t>
              <w:br/>
            </w:r>
            <w:r>
              <w:rPr>
                <w:rFonts w:ascii="宋体" w:hAnsi="宋体" w:cs="宋体" w:eastAsia="宋体"/>
                <w:b w:val="false"/>
              </w:rPr>
              <w:t>本基金在深入研究的基础上，通过定性分析和定量分析相结合的方式，选择投资价值高的存托凭证进行投资。</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中证800指数收益率×60%+中证综合债券指数收益率×20%+恒生指数收益率（按估值汇率折算）×20%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东方阿尔法瑞享混合发起A</w:t>
            </w:r>
          </w:p>
        </w:tc>
        <w:tc>
          <w:tcPr>
            <w:tcW w:type="pct" w:w="1500"/>
            <w:vAlign w:val="center"/>
          </w:tcPr>
          <w:p>
            <w:pPr>
              <w:spacing w:line="240" w:lineRule="auto"/>
              <w:jc w:val="left"/>
            </w:pPr>
            <w:r>
              <w:rPr>
                <w:rFonts w:ascii="宋体" w:hAnsi="宋体" w:cs="宋体" w:eastAsia="宋体"/>
                <w:b w:val="false"/>
              </w:rPr>
              <w:t>东方阿尔法瑞享混合发起C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025777</w:t>
            </w:r>
          </w:p>
        </w:tc>
        <w:tc>
          <w:tcPr>
            <w:tcW w:type="pct" w:w="1500"/>
            <w:vAlign w:val="center"/>
          </w:tcPr>
          <w:p>
            <w:pPr>
              <w:spacing w:line="240" w:lineRule="auto"/>
              <w:jc w:val="left"/>
            </w:pPr>
            <w:r>
              <w:rPr>
                <w:rFonts w:ascii="宋体" w:hAnsi="宋体" w:cs="宋体" w:eastAsia="宋体"/>
                <w:b w:val="false"/>
              </w:rPr>
              <w:t>025778</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23,841,752.96份</w:t>
            </w:r>
          </w:p>
        </w:tc>
        <w:tc>
          <w:tcPr>
            <w:tcW w:type="pct" w:w="1500"/>
            <w:vAlign w:val="center"/>
          </w:tcPr>
          <w:p>
            <w:pPr>
              <w:spacing w:line="240" w:lineRule="auto"/>
              <w:jc w:val="left"/>
            </w:pPr>
            <w:r>
              <w:rPr>
                <w:rFonts w:ascii="宋体" w:hAnsi="宋体" w:cs="宋体" w:eastAsia="宋体"/>
                <w:b w:val="false"/>
              </w:rPr>
              <w:t>277,912,114.52份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东方阿尔法瑞享混合发起A</w:t>
            </w:r>
          </w:p>
        </w:tc>
        <w:tc>
          <w:tcPr>
            <w:tcW w:type="pct" w:w="1500"/>
            <w:vAlign w:val="center"/>
          </w:tcPr>
          <w:tcPr>
            <w:shd w:fill="d9d9d9"/>
          </w:tcPr>
          <w:p>
            <w:pPr>
              <w:spacing w:line="240" w:lineRule="auto"/>
              <w:jc w:val="center"/>
            </w:pPr>
            <w:r>
              <w:rPr>
                <w:rFonts w:ascii="宋体" w:hAnsi="宋体" w:cs="宋体" w:eastAsia="宋体"/>
                <w:b w:val="false"/>
              </w:rPr>
              <w:t>东方阿尔法瑞享混合发起C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1,892,268.77</w:t>
            </w:r>
          </w:p>
        </w:tc>
        <w:tc>
          <w:tcPr>
            <w:tcW w:type="pct" w:w="1500"/>
            <w:vAlign w:val="center"/>
          </w:tcPr>
          <w:p>
            <w:pPr>
              <w:spacing w:line="240" w:lineRule="auto"/>
              <w:jc w:val="right"/>
            </w:pPr>
            <w:r>
              <w:rPr>
                <w:rFonts w:ascii="宋体" w:hAnsi="宋体" w:cs="宋体" w:eastAsia="宋体"/>
                <w:b w:val="false"/>
              </w:rPr>
              <w:t>25,501,201.89</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3,378,156.31</w:t>
            </w:r>
          </w:p>
        </w:tc>
        <w:tc>
          <w:tcPr>
            <w:tcW w:type="pct" w:w="1500"/>
            <w:vAlign w:val="center"/>
          </w:tcPr>
          <w:p>
            <w:pPr>
              <w:spacing w:line="240" w:lineRule="auto"/>
              <w:jc w:val="right"/>
            </w:pPr>
            <w:r>
              <w:rPr>
                <w:rFonts w:ascii="宋体" w:hAnsi="宋体" w:cs="宋体" w:eastAsia="宋体"/>
                <w:b w:val="false"/>
              </w:rPr>
              <w:t>50,833,648.97</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0.1408</w:t>
            </w:r>
          </w:p>
        </w:tc>
        <w:tc>
          <w:tcPr>
            <w:tcW w:type="pct" w:w="1500"/>
            <w:vAlign w:val="center"/>
          </w:tcPr>
          <w:p>
            <w:pPr>
              <w:spacing w:line="240" w:lineRule="auto"/>
              <w:jc w:val="right"/>
            </w:pPr>
            <w:r>
              <w:rPr>
                <w:rFonts w:ascii="宋体" w:hAnsi="宋体" w:cs="宋体" w:eastAsia="宋体"/>
                <w:b w:val="false"/>
              </w:rPr>
              <w:t>0.1400</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32,322,398.52</w:t>
            </w:r>
          </w:p>
        </w:tc>
        <w:tc>
          <w:tcPr>
            <w:tcW w:type="pct" w:w="1500"/>
            <w:vAlign w:val="center"/>
          </w:tcPr>
          <w:p>
            <w:pPr>
              <w:spacing w:line="240" w:lineRule="auto"/>
              <w:jc w:val="right"/>
            </w:pPr>
            <w:r>
              <w:rPr>
                <w:rFonts w:ascii="宋体" w:hAnsi="宋体" w:cs="宋体" w:eastAsia="宋体"/>
                <w:b w:val="false"/>
              </w:rPr>
              <w:t>376,367,321.17</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1.3557</w:t>
            </w:r>
          </w:p>
        </w:tc>
        <w:tc>
          <w:tcPr>
            <w:tcW w:type="pct" w:w="1500"/>
            <w:vAlign w:val="center"/>
          </w:tcPr>
          <w:p>
            <w:pPr>
              <w:spacing w:line="240" w:lineRule="auto"/>
              <w:jc w:val="right"/>
            </w:pPr>
            <w:r>
              <w:rPr>
                <w:rFonts w:ascii="宋体" w:hAnsi="宋体" w:cs="宋体" w:eastAsia="宋体"/>
                <w:b w:val="false"/>
              </w:rPr>
              <w:t>1.3543</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东方阿尔法瑞享混合发起A净值表现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12.05%</w:t>
            </w:r>
          </w:p>
        </w:tc>
        <w:tc>
          <w:tcPr>
            <w:tcW/>
            <w:vAlign w:val="center"/>
          </w:tcPr>
          <w:p>
            <w:pPr>
              <w:spacing w:line="240" w:lineRule="auto"/>
              <w:jc w:val="right"/>
            </w:pPr>
            <w:r>
              <w:rPr>
                <w:rFonts w:ascii="宋体" w:hAnsi="宋体" w:cs="宋体" w:eastAsia="宋体"/>
                <w:b w:val="false"/>
              </w:rPr>
              <w:t>2.95%</w:t>
            </w:r>
          </w:p>
        </w:tc>
        <w:tc>
          <w:tcPr>
            <w:tcW/>
            <w:vAlign w:val="center"/>
          </w:tcPr>
          <w:p>
            <w:pPr>
              <w:spacing w:line="240" w:lineRule="auto"/>
              <w:jc w:val="right"/>
            </w:pPr>
            <w:r>
              <w:rPr>
                <w:rFonts w:ascii="宋体" w:hAnsi="宋体" w:cs="宋体" w:eastAsia="宋体"/>
                <w:b w:val="false"/>
              </w:rPr>
              <w:t>-2.23%</w:t>
            </w:r>
          </w:p>
        </w:tc>
        <w:tc>
          <w:tcPr>
            <w:tcW/>
            <w:vAlign w:val="center"/>
          </w:tcPr>
          <w:p>
            <w:pPr>
              <w:spacing w:line="240" w:lineRule="auto"/>
              <w:jc w:val="right"/>
            </w:pPr>
            <w:r>
              <w:rPr>
                <w:rFonts w:ascii="宋体" w:hAnsi="宋体" w:cs="宋体" w:eastAsia="宋体"/>
                <w:b w:val="false"/>
              </w:rPr>
              <w:t>0.88%</w:t>
            </w:r>
          </w:p>
        </w:tc>
        <w:tc>
          <w:tcPr>
            <w:tcW/>
            <w:vAlign w:val="center"/>
          </w:tcPr>
          <w:p>
            <w:pPr>
              <w:spacing w:line="240" w:lineRule="auto"/>
              <w:jc w:val="right"/>
            </w:pPr>
            <w:r>
              <w:rPr>
                <w:rFonts w:ascii="宋体" w:hAnsi="宋体" w:cs="宋体" w:eastAsia="宋体"/>
                <w:b w:val="false"/>
              </w:rPr>
              <w:t>14.28%</w:t>
            </w:r>
          </w:p>
        </w:tc>
        <w:tc>
          <w:tcPr>
            <w:tcW/>
            <w:vAlign w:val="center"/>
          </w:tcPr>
          <w:p>
            <w:pPr>
              <w:spacing w:line="240" w:lineRule="auto"/>
              <w:jc w:val="right"/>
            </w:pPr>
            <w:r>
              <w:rPr>
                <w:rFonts w:ascii="宋体" w:hAnsi="宋体" w:cs="宋体" w:eastAsia="宋体"/>
                <w:b w:val="false"/>
              </w:rPr>
              <w:t>2.07%</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35.57%</w:t>
            </w:r>
          </w:p>
        </w:tc>
        <w:tc>
          <w:tcPr>
            <w:tcW/>
            <w:vAlign w:val="center"/>
          </w:tcPr>
          <w:p>
            <w:pPr>
              <w:spacing w:line="240" w:lineRule="auto"/>
              <w:jc w:val="right"/>
            </w:pPr>
            <w:r>
              <w:rPr>
                <w:rFonts w:ascii="宋体" w:hAnsi="宋体" w:cs="宋体" w:eastAsia="宋体"/>
                <w:b w:val="false"/>
              </w:rPr>
              <w:t>2.83%</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0.80%</w:t>
            </w:r>
          </w:p>
        </w:tc>
        <w:tc>
          <w:tcPr>
            <w:tcW/>
            <w:vAlign w:val="center"/>
          </w:tcPr>
          <w:p>
            <w:pPr>
              <w:spacing w:line="240" w:lineRule="auto"/>
              <w:jc w:val="right"/>
            </w:pPr>
            <w:r>
              <w:rPr>
                <w:rFonts w:ascii="宋体" w:hAnsi="宋体" w:cs="宋体" w:eastAsia="宋体"/>
                <w:b w:val="false"/>
              </w:rPr>
              <w:t>36.38%</w:t>
            </w:r>
          </w:p>
        </w:tc>
        <w:tc>
          <w:tcPr>
            <w:tcW/>
            <w:vAlign w:val="center"/>
          </w:tcPr>
          <w:p>
            <w:pPr>
              <w:spacing w:line="240" w:lineRule="auto"/>
              <w:jc w:val="right"/>
            </w:pPr>
            <w:r>
              <w:rPr>
                <w:rFonts w:ascii="宋体" w:hAnsi="宋体" w:cs="宋体" w:eastAsia="宋体"/>
                <w:b w:val="false"/>
              </w:rPr>
              <w:t>2.03%</w:t>
            </w:r>
          </w:p>
        </w:tc>
      </w:tr>
    </w:tbl>
    <w:p>
      <w:pPr>
        <w:jc w:val="left"/>
      </w:pPr>
      <w:r>
        <w:rPr>
          <w:rFonts w:ascii="宋体" w:hAnsi="宋体" w:cs="宋体" w:eastAsia="宋体"/>
          <w:b w:val="true"/>
        </w:rPr>
        <w:t>东方阿尔法瑞享混合发起C净值表现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11.97%</w:t>
            </w:r>
          </w:p>
        </w:tc>
        <w:tc>
          <w:tcPr>
            <w:tcW/>
            <w:vAlign w:val="center"/>
          </w:tcPr>
          <w:p>
            <w:pPr>
              <w:spacing w:line="240" w:lineRule="auto"/>
              <w:jc w:val="right"/>
            </w:pPr>
            <w:r>
              <w:rPr>
                <w:rFonts w:ascii="宋体" w:hAnsi="宋体" w:cs="宋体" w:eastAsia="宋体"/>
                <w:b w:val="false"/>
              </w:rPr>
              <w:t>2.95%</w:t>
            </w:r>
          </w:p>
        </w:tc>
        <w:tc>
          <w:tcPr>
            <w:tcW/>
            <w:vAlign w:val="center"/>
          </w:tcPr>
          <w:p>
            <w:pPr>
              <w:spacing w:line="240" w:lineRule="auto"/>
              <w:jc w:val="right"/>
            </w:pPr>
            <w:r>
              <w:rPr>
                <w:rFonts w:ascii="宋体" w:hAnsi="宋体" w:cs="宋体" w:eastAsia="宋体"/>
                <w:b w:val="false"/>
              </w:rPr>
              <w:t>-2.23%</w:t>
            </w:r>
          </w:p>
        </w:tc>
        <w:tc>
          <w:tcPr>
            <w:tcW/>
            <w:vAlign w:val="center"/>
          </w:tcPr>
          <w:p>
            <w:pPr>
              <w:spacing w:line="240" w:lineRule="auto"/>
              <w:jc w:val="right"/>
            </w:pPr>
            <w:r>
              <w:rPr>
                <w:rFonts w:ascii="宋体" w:hAnsi="宋体" w:cs="宋体" w:eastAsia="宋体"/>
                <w:b w:val="false"/>
              </w:rPr>
              <w:t>0.88%</w:t>
            </w:r>
          </w:p>
        </w:tc>
        <w:tc>
          <w:tcPr>
            <w:tcW/>
            <w:vAlign w:val="center"/>
          </w:tcPr>
          <w:p>
            <w:pPr>
              <w:spacing w:line="240" w:lineRule="auto"/>
              <w:jc w:val="right"/>
            </w:pPr>
            <w:r>
              <w:rPr>
                <w:rFonts w:ascii="宋体" w:hAnsi="宋体" w:cs="宋体" w:eastAsia="宋体"/>
                <w:b w:val="false"/>
              </w:rPr>
              <w:t>14.20%</w:t>
            </w:r>
          </w:p>
        </w:tc>
        <w:tc>
          <w:tcPr>
            <w:tcW/>
            <w:vAlign w:val="center"/>
          </w:tcPr>
          <w:p>
            <w:pPr>
              <w:spacing w:line="240" w:lineRule="auto"/>
              <w:jc w:val="right"/>
            </w:pPr>
            <w:r>
              <w:rPr>
                <w:rFonts w:ascii="宋体" w:hAnsi="宋体" w:cs="宋体" w:eastAsia="宋体"/>
                <w:b w:val="false"/>
              </w:rPr>
              <w:t>2.07%</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35.43%</w:t>
            </w:r>
          </w:p>
        </w:tc>
        <w:tc>
          <w:tcPr>
            <w:tcW/>
            <w:vAlign w:val="center"/>
          </w:tcPr>
          <w:p>
            <w:pPr>
              <w:spacing w:line="240" w:lineRule="auto"/>
              <w:jc w:val="right"/>
            </w:pPr>
            <w:r>
              <w:rPr>
                <w:rFonts w:ascii="宋体" w:hAnsi="宋体" w:cs="宋体" w:eastAsia="宋体"/>
                <w:b w:val="false"/>
              </w:rPr>
              <w:t>2.83%</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0.80%</w:t>
            </w:r>
          </w:p>
        </w:tc>
        <w:tc>
          <w:tcPr>
            <w:tcW/>
            <w:vAlign w:val="center"/>
          </w:tcPr>
          <w:p>
            <w:pPr>
              <w:spacing w:line="240" w:lineRule="auto"/>
              <w:jc w:val="right"/>
            </w:pPr>
            <w:r>
              <w:rPr>
                <w:rFonts w:ascii="宋体" w:hAnsi="宋体" w:cs="宋体" w:eastAsia="宋体"/>
                <w:b w:val="false"/>
              </w:rPr>
              <w:t>36.24%</w:t>
            </w:r>
          </w:p>
        </w:tc>
        <w:tc>
          <w:tcPr>
            <w:tcW/>
            <w:vAlign w:val="center"/>
          </w:tcPr>
          <w:p>
            <w:pPr>
              <w:spacing w:line="240" w:lineRule="auto"/>
              <w:jc w:val="right"/>
            </w:pPr>
            <w:r>
              <w:rPr>
                <w:rFonts w:ascii="宋体" w:hAnsi="宋体" w:cs="宋体" w:eastAsia="宋体"/>
                <w:b w:val="false"/>
              </w:rPr>
              <w:t>2.03%</w:t>
            </w:r>
          </w:p>
        </w:tc>
      </w:tr>
    </w:tbl>
    <w:p>
      <w:r>
        <w:rPr>
          <w:rFonts w:ascii="宋体" w:hAnsi="宋体" w:cs="宋体" w:eastAsia="宋体"/>
          <w:b w:val="false"/>
        </w:rPr>
        <w:t>注：1、本基金业绩比较基准为：中证800指数收益率×60%+中证综合债券指数收益率×20%+恒生指数收益率（按估值汇率折算）×20%。</w:t>
        <w:br/>
      </w:r>
      <w:r>
        <w:rPr>
          <w:rFonts w:ascii="宋体" w:hAnsi="宋体" w:cs="宋体" w:eastAsia="宋体"/>
          <w:b w:val="false"/>
        </w:rPr>
        <w:t>2、本基金自2025年10月21日成立至今尚未满6个月，无过去六个月、过去一年、过去三年和过去五年的净值表现。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孙振波</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2025-10-21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7年</w:t>
            </w:r>
          </w:p>
        </w:tc>
        <w:tc>
          <w:tcPr>
            <w:tcW/>
            <w:vAlign w:val="center"/>
          </w:tcPr>
          <w:p>
            <w:pPr>
              <w:spacing w:line="240" w:lineRule="auto"/>
              <w:jc w:val="left"/>
            </w:pPr>
            <w:r>
              <w:rPr>
                <w:rFonts w:ascii="宋体" w:hAnsi="宋体" w:cs="宋体" w:eastAsia="宋体"/>
                <w:b w:val="false"/>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2026年一季度，全球能源转型进程在曲折中稳步推进。美伊冲突持续发酵，推动油气价格上行，需求预期强化进一步打开价格上涨空间。复盘上世纪70年代石油危机历史经验，高油价推动汽车消费向小型化转型，日本小型燃油车渗透率快速提升；而本轮美伊冲突引发的油价抬升背景下，海外新能源汽车渗透率仍处于较低水平，有望迎来新的需求增长空间。此外，户储作为低成本、部署便捷的分布式清洁电力解决方案，有望率先受益于欧洲能源安全保障需求提升及能源转型加速；国内大型储能亦有望受益于相关鼓励政策支持及电力市场波动加剧，维持高增长态势。</w:t>
        <w:br/>
      </w:r>
      <w:r>
        <w:rPr>
          <w:rFonts w:ascii="宋体" w:hAnsi="宋体" w:cs="宋体" w:eastAsia="宋体"/>
          <w:b w:val="false"/>
        </w:rPr>
        <w:t xml:space="preserve">    基于全球资源保护主义趋势强化的背景，前期尼日利亚、津巴布韦等地区已频发锂资源供给扰动；同时，当前澳洲柴油储备处于较低水平，或对锂矿运输造成潜在影响。国内方面，宁德时代复产预期仍不明确，江西云母锂企业面临换证停产窗口，后续锂资源供给下修可能性显著提升。</w:t>
        <w:br/>
      </w:r>
      <w:r>
        <w:rPr>
          <w:rFonts w:ascii="宋体" w:hAnsi="宋体" w:cs="宋体" w:eastAsia="宋体"/>
          <w:b w:val="false"/>
        </w:rPr>
        <w:t xml:space="preserve">    基于对资源周期与新能源产业长期需求的研判，本基金在2026年一季度维持对锂矿板块的重点配置，以捕捉行业周期反转带来的投资机遇，核心操作如下：</w:t>
        <w:br/>
      </w:r>
      <w:r>
        <w:rPr>
          <w:rFonts w:ascii="宋体" w:hAnsi="宋体" w:cs="宋体" w:eastAsia="宋体"/>
          <w:b w:val="false"/>
        </w:rPr>
        <w:t xml:space="preserve">    一、重点配置全球低成本锂资源龙头企业。在行业低谷期，拥有世界级优质锂资源、现金成本处于全球成本曲线左端的企业，展现出极强的抗风险能力。此类企业的产能持续扩张，将在行业需求回暖时转化为显著的盈利弹性。本基金优选治理结构完善、具备明确产能增长路径的龙头标的。</w:t>
        <w:br/>
      </w:r>
      <w:r>
        <w:rPr>
          <w:rFonts w:ascii="宋体" w:hAnsi="宋体" w:cs="宋体" w:eastAsia="宋体"/>
          <w:b w:val="false"/>
        </w:rPr>
        <w:t xml:space="preserve">    二、关注一体化锂盐加工企业。具备从锂资源开采到锂盐加工垂直一体化布局能力的企业，能够有效平滑锂资源价格波动影响，保障原料供应稳定性，同时在加工环节获取持续的技术溢价。在锂行业集中度持续提升的过程中，一体化龙头企业的竞争优势将进一步凸显。</w:t>
        <w:br/>
      </w:r>
      <w:r>
        <w:rPr>
          <w:rFonts w:ascii="宋体" w:hAnsi="宋体" w:cs="宋体" w:eastAsia="宋体"/>
          <w:b w:val="false"/>
        </w:rPr>
        <w:t xml:space="preserve">    三、布局高潜力锂资源勘探公司。从长期发展视角来看，全球锂资源需求将持续增长，现有已知锂资源储量可能面临供给压力。那些位于矿业友好地区、拥有已验证资源禀赋且具备清晰开发路径的锂资源勘探公司，具备长期期权价值，值得重点布局。</w:t>
        <w:br/>
      </w:r>
      <w:r>
        <w:rPr>
          <w:rFonts w:ascii="宋体" w:hAnsi="宋体" w:cs="宋体" w:eastAsia="宋体"/>
          <w:b w:val="false"/>
        </w:rPr>
        <w:t xml:space="preserve">    总结来看，本基金对锂矿板块的投资逻辑，并非基于锂价短期涨跌的博弈，而是基于两点长期判断：第一，电气化（含新能源汽车+储能）是全球能源革命的确定性方向，锂作为核心电池材料，其中长期需求增长曲线依然陡峭；第二，本轮行业供给出清完成后，锂行业将进入由需求主导、资本开支更为理性的新阶段，行业盈利波动性有望降低。这与本基金投资科技成长股时关注“供需两旺”和“基本面驱动”的理念内核保持一致。本基金将密切跟踪储能装机数据、行业库存周期及龙头企业资本开支动向，动态评估持仓结构，努力为投资人创造长期投资回报。</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瑞享混合发起A基金份额净值为1.3557元，本报告期内，该类基金份额净值增长率为12.05%，同期业绩比较基准收益率为-2.23%；截至报告期末东方阿尔法瑞享混合发起C基金份额净值为1.3543元，本报告期内，该类基金份额净值增长率为11.97%，同期业绩比较基准收益率为-2.23%。</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本基金为发起式基金，且截至本报告期末，本基金基金合同生效未满3年，暂不适用《公开募集证券投资基金运作管理办法》第四十一条第一款的规定。</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378,801,185.70</w:t>
            </w:r>
          </w:p>
        </w:tc>
        <w:tc>
          <w:tcPr>
            <w:tcW/>
            <w:vAlign w:val="center"/>
          </w:tcPr>
          <w:p>
            <w:pPr>
              <w:spacing w:line="240" w:lineRule="auto"/>
              <w:jc w:val="right"/>
            </w:pPr>
            <w:r>
              <w:rPr>
                <w:rFonts w:ascii="宋体" w:hAnsi="宋体" w:cs="宋体" w:eastAsia="宋体"/>
                <w:b w:val="false"/>
              </w:rPr>
              <w:t>84.61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378,801,185.70</w:t>
            </w:r>
          </w:p>
        </w:tc>
        <w:tc>
          <w:tcPr>
            <w:tcW/>
            <w:vAlign w:val="center"/>
          </w:tcPr>
          <w:p>
            <w:pPr>
              <w:spacing w:line="240" w:lineRule="auto"/>
              <w:jc w:val="right"/>
            </w:pPr>
            <w:r>
              <w:rPr>
                <w:rFonts w:ascii="宋体" w:hAnsi="宋体" w:cs="宋体" w:eastAsia="宋体"/>
                <w:b w:val="false"/>
              </w:rPr>
              <w:t>84.61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23,439,611.34</w:t>
            </w:r>
          </w:p>
        </w:tc>
        <w:tc>
          <w:tcPr>
            <w:tcW/>
            <w:vAlign w:val="center"/>
          </w:tcPr>
          <w:p>
            <w:pPr>
              <w:spacing w:line="240" w:lineRule="auto"/>
              <w:jc w:val="right"/>
            </w:pPr>
            <w:r>
              <w:rPr>
                <w:rFonts w:ascii="宋体" w:hAnsi="宋体" w:cs="宋体" w:eastAsia="宋体"/>
                <w:b w:val="false"/>
              </w:rPr>
              <w:t>5.24</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23,439,611.34</w:t>
            </w:r>
          </w:p>
        </w:tc>
        <w:tc>
          <w:tcPr>
            <w:tcW/>
            <w:vAlign w:val="center"/>
          </w:tcPr>
          <w:p>
            <w:pPr>
              <w:spacing w:line="240" w:lineRule="auto"/>
              <w:jc w:val="right"/>
            </w:pPr>
            <w:r>
              <w:rPr>
                <w:rFonts w:ascii="宋体" w:hAnsi="宋体" w:cs="宋体" w:eastAsia="宋体"/>
                <w:b w:val="false"/>
              </w:rPr>
              <w:t>5.24</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8,604,700.65</w:t>
            </w:r>
          </w:p>
        </w:tc>
        <w:tc>
          <w:tcPr>
            <w:tcW/>
            <w:vAlign w:val="center"/>
          </w:tcPr>
          <w:p>
            <w:pPr>
              <w:spacing w:line="240" w:lineRule="auto"/>
              <w:jc w:val="right"/>
            </w:pPr>
            <w:r>
              <w:rPr>
                <w:rFonts w:ascii="宋体" w:hAnsi="宋体" w:cs="宋体" w:eastAsia="宋体"/>
                <w:b w:val="false"/>
              </w:rPr>
              <w:t>1.92</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36,830,801.66</w:t>
            </w:r>
          </w:p>
        </w:tc>
        <w:tc>
          <w:tcPr>
            <w:tcW/>
            <w:vAlign w:val="center"/>
          </w:tcPr>
          <w:p>
            <w:pPr>
              <w:spacing w:line="240" w:lineRule="auto"/>
              <w:jc w:val="right"/>
            </w:pPr>
            <w:r>
              <w:rPr>
                <w:rFonts w:ascii="宋体" w:hAnsi="宋体" w:cs="宋体" w:eastAsia="宋体"/>
                <w:b w:val="false"/>
              </w:rPr>
              <w:t>8.23</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447,676,299.35</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112,620,575.32</w:t>
            </w:r>
          </w:p>
        </w:tc>
        <w:tc>
          <w:tcPr>
            <w:tcW/>
            <w:vAlign w:val="center"/>
          </w:tcPr>
          <w:p>
            <w:pPr>
              <w:spacing w:line="240" w:lineRule="auto"/>
              <w:jc w:val="right"/>
            </w:pPr>
            <w:r>
              <w:rPr>
                <w:rFonts w:ascii="宋体" w:hAnsi="宋体" w:cs="宋体" w:eastAsia="宋体"/>
                <w:b w:val="false"/>
              </w:rPr>
              <w:t>27.56</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248,492,380.38</w:t>
            </w:r>
          </w:p>
        </w:tc>
        <w:tc>
          <w:tcPr>
            <w:tcW/>
            <w:vAlign w:val="center"/>
          </w:tcPr>
          <w:p>
            <w:pPr>
              <w:spacing w:line="240" w:lineRule="auto"/>
              <w:jc w:val="right"/>
            </w:pPr>
            <w:r>
              <w:rPr>
                <w:rFonts w:ascii="宋体" w:hAnsi="宋体" w:cs="宋体" w:eastAsia="宋体"/>
                <w:b w:val="false"/>
              </w:rPr>
              <w:t>60.80</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6,662,226.00</w:t>
            </w:r>
          </w:p>
        </w:tc>
        <w:tc>
          <w:tcPr>
            <w:tcW/>
            <w:vAlign w:val="center"/>
          </w:tcPr>
          <w:p>
            <w:pPr>
              <w:spacing w:line="240" w:lineRule="auto"/>
              <w:jc w:val="right"/>
            </w:pPr>
            <w:r>
              <w:rPr>
                <w:rFonts w:ascii="宋体" w:hAnsi="宋体" w:cs="宋体" w:eastAsia="宋体"/>
                <w:b w:val="false"/>
              </w:rPr>
              <w:t>1.63</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11,026,004.00</w:t>
            </w:r>
          </w:p>
        </w:tc>
        <w:tc>
          <w:tcPr>
            <w:tcW/>
            <w:vAlign w:val="center"/>
          </w:tcPr>
          <w:p>
            <w:pPr>
              <w:spacing w:line="240" w:lineRule="auto"/>
              <w:jc w:val="right"/>
            </w:pPr>
            <w:r>
              <w:rPr>
                <w:rFonts w:ascii="宋体" w:hAnsi="宋体" w:cs="宋体" w:eastAsia="宋体"/>
                <w:b w:val="false"/>
              </w:rPr>
              <w:t>2.70</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378,801,185.70</w:t>
            </w:r>
          </w:p>
        </w:tc>
        <w:tc>
          <w:tcPr>
            <w:tcW/>
            <w:vAlign w:val="center"/>
          </w:tcPr>
          <w:p>
            <w:pPr>
              <w:spacing w:line="240" w:lineRule="auto"/>
              <w:jc w:val="right"/>
            </w:pPr>
            <w:r>
              <w:rPr>
                <w:rFonts w:ascii="宋体" w:hAnsi="宋体" w:cs="宋体" w:eastAsia="宋体"/>
                <w:b w:val="false"/>
              </w:rPr>
              <w:t>92.69</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002240</w:t>
            </w:r>
          </w:p>
        </w:tc>
        <w:tc>
          <w:tcPr>
            <w:tcW/>
            <w:vAlign w:val="center"/>
          </w:tcPr>
          <w:p>
            <w:pPr>
              <w:spacing w:line="240" w:lineRule="auto"/>
              <w:jc w:val="left"/>
            </w:pPr>
            <w:r>
              <w:rPr>
                <w:rFonts w:ascii="宋体" w:hAnsi="宋体" w:cs="宋体" w:eastAsia="宋体"/>
                <w:b w:val="false"/>
              </w:rPr>
              <w:t>盛新锂能</w:t>
            </w:r>
          </w:p>
        </w:tc>
        <w:tc>
          <w:tcPr>
            <w:tcW/>
            <w:vAlign w:val="center"/>
          </w:tcPr>
          <w:p>
            <w:pPr>
              <w:spacing w:line="240" w:lineRule="auto"/>
              <w:jc w:val="right"/>
            </w:pPr>
            <w:r>
              <w:rPr>
                <w:rFonts w:ascii="宋体" w:hAnsi="宋体" w:cs="宋体" w:eastAsia="宋体"/>
                <w:b w:val="false"/>
              </w:rPr>
              <w:t>1,008,600</w:t>
            </w:r>
          </w:p>
        </w:tc>
        <w:tc>
          <w:tcPr>
            <w:tcW/>
            <w:vAlign w:val="center"/>
          </w:tcPr>
          <w:p>
            <w:pPr>
              <w:spacing w:line="240" w:lineRule="auto"/>
              <w:jc w:val="right"/>
            </w:pPr>
            <w:r>
              <w:rPr>
                <w:rFonts w:ascii="宋体" w:hAnsi="宋体" w:cs="宋体" w:eastAsia="宋体"/>
                <w:b w:val="false"/>
              </w:rPr>
              <w:t>40,444,860.00</w:t>
            </w:r>
          </w:p>
        </w:tc>
        <w:tc>
          <w:tcPr>
            <w:tcW/>
            <w:vAlign w:val="center"/>
          </w:tcPr>
          <w:p>
            <w:pPr>
              <w:spacing w:line="240" w:lineRule="auto"/>
              <w:jc w:val="right"/>
            </w:pPr>
            <w:r>
              <w:rPr>
                <w:rFonts w:ascii="宋体" w:hAnsi="宋体" w:cs="宋体" w:eastAsia="宋体"/>
                <w:b w:val="false"/>
              </w:rPr>
              <w:t>9.90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001203</w:t>
            </w:r>
          </w:p>
        </w:tc>
        <w:tc>
          <w:tcPr>
            <w:tcW/>
            <w:vAlign w:val="center"/>
          </w:tcPr>
          <w:p>
            <w:pPr>
              <w:spacing w:line="240" w:lineRule="auto"/>
              <w:jc w:val="left"/>
            </w:pPr>
            <w:r>
              <w:rPr>
                <w:rFonts w:ascii="宋体" w:hAnsi="宋体" w:cs="宋体" w:eastAsia="宋体"/>
                <w:b w:val="false"/>
              </w:rPr>
              <w:t>大中矿业</w:t>
            </w:r>
          </w:p>
        </w:tc>
        <w:tc>
          <w:tcPr>
            <w:tcW/>
            <w:vAlign w:val="center"/>
          </w:tcPr>
          <w:p>
            <w:pPr>
              <w:spacing w:line="240" w:lineRule="auto"/>
              <w:jc w:val="right"/>
            </w:pPr>
            <w:r>
              <w:rPr>
                <w:rFonts w:ascii="宋体" w:hAnsi="宋体" w:cs="宋体" w:eastAsia="宋体"/>
                <w:b w:val="false"/>
              </w:rPr>
              <w:t>1,009,134</w:t>
            </w:r>
          </w:p>
        </w:tc>
        <w:tc>
          <w:tcPr>
            <w:tcW/>
            <w:vAlign w:val="center"/>
          </w:tcPr>
          <w:p>
            <w:pPr>
              <w:spacing w:line="240" w:lineRule="auto"/>
              <w:jc w:val="right"/>
            </w:pPr>
            <w:r>
              <w:rPr>
                <w:rFonts w:ascii="宋体" w:hAnsi="宋体" w:cs="宋体" w:eastAsia="宋体"/>
                <w:b w:val="false"/>
              </w:rPr>
              <w:t>40,294,720.62</w:t>
            </w:r>
          </w:p>
        </w:tc>
        <w:tc>
          <w:tcPr>
            <w:tcW/>
            <w:vAlign w:val="center"/>
          </w:tcPr>
          <w:p>
            <w:pPr>
              <w:spacing w:line="240" w:lineRule="auto"/>
              <w:jc w:val="right"/>
            </w:pPr>
            <w:r>
              <w:rPr>
                <w:rFonts w:ascii="宋体" w:hAnsi="宋体" w:cs="宋体" w:eastAsia="宋体"/>
                <w:b w:val="false"/>
              </w:rPr>
              <w:t>9.86</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002756</w:t>
            </w:r>
          </w:p>
        </w:tc>
        <w:tc>
          <w:tcPr>
            <w:tcW/>
            <w:vAlign w:val="center"/>
          </w:tcPr>
          <w:p>
            <w:pPr>
              <w:spacing w:line="240" w:lineRule="auto"/>
              <w:jc w:val="left"/>
            </w:pPr>
            <w:r>
              <w:rPr>
                <w:rFonts w:ascii="宋体" w:hAnsi="宋体" w:cs="宋体" w:eastAsia="宋体"/>
                <w:b w:val="false"/>
              </w:rPr>
              <w:t>永兴材料</w:t>
            </w:r>
          </w:p>
        </w:tc>
        <w:tc>
          <w:tcPr>
            <w:tcW/>
            <w:vAlign w:val="center"/>
          </w:tcPr>
          <w:p>
            <w:pPr>
              <w:spacing w:line="240" w:lineRule="auto"/>
              <w:jc w:val="right"/>
            </w:pPr>
            <w:r>
              <w:rPr>
                <w:rFonts w:ascii="宋体" w:hAnsi="宋体" w:cs="宋体" w:eastAsia="宋体"/>
                <w:b w:val="false"/>
              </w:rPr>
              <w:t>535,861</w:t>
            </w:r>
          </w:p>
        </w:tc>
        <w:tc>
          <w:tcPr>
            <w:tcW/>
            <w:vAlign w:val="center"/>
          </w:tcPr>
          <w:p>
            <w:pPr>
              <w:spacing w:line="240" w:lineRule="auto"/>
              <w:jc w:val="right"/>
            </w:pPr>
            <w:r>
              <w:rPr>
                <w:rFonts w:ascii="宋体" w:hAnsi="宋体" w:cs="宋体" w:eastAsia="宋体"/>
                <w:b w:val="false"/>
              </w:rPr>
              <w:t>40,093,120.02</w:t>
            </w:r>
          </w:p>
        </w:tc>
        <w:tc>
          <w:tcPr>
            <w:tcW/>
            <w:vAlign w:val="center"/>
          </w:tcPr>
          <w:p>
            <w:pPr>
              <w:spacing w:line="240" w:lineRule="auto"/>
              <w:jc w:val="right"/>
            </w:pPr>
            <w:r>
              <w:rPr>
                <w:rFonts w:ascii="宋体" w:hAnsi="宋体" w:cs="宋体" w:eastAsia="宋体"/>
                <w:b w:val="false"/>
              </w:rPr>
              <w:t>9.81</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000688</w:t>
            </w:r>
          </w:p>
        </w:tc>
        <w:tc>
          <w:tcPr>
            <w:tcW/>
            <w:vAlign w:val="center"/>
          </w:tcPr>
          <w:p>
            <w:pPr>
              <w:spacing w:line="240" w:lineRule="auto"/>
              <w:jc w:val="left"/>
            </w:pPr>
            <w:r>
              <w:rPr>
                <w:rFonts w:ascii="宋体" w:hAnsi="宋体" w:cs="宋体" w:eastAsia="宋体"/>
                <w:b w:val="false"/>
              </w:rPr>
              <w:t>国城矿业</w:t>
            </w:r>
          </w:p>
        </w:tc>
        <w:tc>
          <w:tcPr>
            <w:tcW/>
            <w:vAlign w:val="center"/>
          </w:tcPr>
          <w:p>
            <w:pPr>
              <w:spacing w:line="240" w:lineRule="auto"/>
              <w:jc w:val="right"/>
            </w:pPr>
            <w:r>
              <w:rPr>
                <w:rFonts w:ascii="宋体" w:hAnsi="宋体" w:cs="宋体" w:eastAsia="宋体"/>
                <w:b w:val="false"/>
              </w:rPr>
              <w:t>1,028,800</w:t>
            </w:r>
          </w:p>
        </w:tc>
        <w:tc>
          <w:tcPr>
            <w:tcW/>
            <w:vAlign w:val="center"/>
          </w:tcPr>
          <w:p>
            <w:pPr>
              <w:spacing w:line="240" w:lineRule="auto"/>
              <w:jc w:val="right"/>
            </w:pPr>
            <w:r>
              <w:rPr>
                <w:rFonts w:ascii="宋体" w:hAnsi="宋体" w:cs="宋体" w:eastAsia="宋体"/>
                <w:b w:val="false"/>
              </w:rPr>
              <w:t>39,989,456.00</w:t>
            </w:r>
          </w:p>
        </w:tc>
        <w:tc>
          <w:tcPr>
            <w:tcW/>
            <w:vAlign w:val="center"/>
          </w:tcPr>
          <w:p>
            <w:pPr>
              <w:spacing w:line="240" w:lineRule="auto"/>
              <w:jc w:val="right"/>
            </w:pPr>
            <w:r>
              <w:rPr>
                <w:rFonts w:ascii="宋体" w:hAnsi="宋体" w:cs="宋体" w:eastAsia="宋体"/>
                <w:b w:val="false"/>
              </w:rPr>
              <w:t>9.78</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300390</w:t>
            </w:r>
          </w:p>
        </w:tc>
        <w:tc>
          <w:tcPr>
            <w:tcW/>
            <w:vAlign w:val="center"/>
          </w:tcPr>
          <w:p>
            <w:pPr>
              <w:spacing w:line="240" w:lineRule="auto"/>
              <w:jc w:val="left"/>
            </w:pPr>
            <w:r>
              <w:rPr>
                <w:rFonts w:ascii="宋体" w:hAnsi="宋体" w:cs="宋体" w:eastAsia="宋体"/>
                <w:b w:val="false"/>
              </w:rPr>
              <w:t>天华新能</w:t>
            </w:r>
          </w:p>
        </w:tc>
        <w:tc>
          <w:tcPr>
            <w:tcW/>
            <w:vAlign w:val="center"/>
          </w:tcPr>
          <w:p>
            <w:pPr>
              <w:spacing w:line="240" w:lineRule="auto"/>
              <w:jc w:val="right"/>
            </w:pPr>
            <w:r>
              <w:rPr>
                <w:rFonts w:ascii="宋体" w:hAnsi="宋体" w:cs="宋体" w:eastAsia="宋体"/>
                <w:b w:val="false"/>
              </w:rPr>
              <w:t>664,910</w:t>
            </w:r>
          </w:p>
        </w:tc>
        <w:tc>
          <w:tcPr>
            <w:tcW/>
            <w:vAlign w:val="center"/>
          </w:tcPr>
          <w:p>
            <w:pPr>
              <w:spacing w:line="240" w:lineRule="auto"/>
              <w:jc w:val="right"/>
            </w:pPr>
            <w:r>
              <w:rPr>
                <w:rFonts w:ascii="宋体" w:hAnsi="宋体" w:cs="宋体" w:eastAsia="宋体"/>
                <w:b w:val="false"/>
              </w:rPr>
              <w:t>38,897,235.00</w:t>
            </w:r>
          </w:p>
        </w:tc>
        <w:tc>
          <w:tcPr>
            <w:tcW/>
            <w:vAlign w:val="center"/>
          </w:tcPr>
          <w:p>
            <w:pPr>
              <w:spacing w:line="240" w:lineRule="auto"/>
              <w:jc w:val="right"/>
            </w:pPr>
            <w:r>
              <w:rPr>
                <w:rFonts w:ascii="宋体" w:hAnsi="宋体" w:cs="宋体" w:eastAsia="宋体"/>
                <w:b w:val="false"/>
              </w:rPr>
              <w:t>9.52</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002497</w:t>
            </w:r>
          </w:p>
        </w:tc>
        <w:tc>
          <w:tcPr>
            <w:tcW/>
            <w:vAlign w:val="center"/>
          </w:tcPr>
          <w:p>
            <w:pPr>
              <w:spacing w:line="240" w:lineRule="auto"/>
              <w:jc w:val="left"/>
            </w:pPr>
            <w:r>
              <w:rPr>
                <w:rFonts w:ascii="宋体" w:hAnsi="宋体" w:cs="宋体" w:eastAsia="宋体"/>
                <w:b w:val="false"/>
              </w:rPr>
              <w:t>雅化集团</w:t>
            </w:r>
          </w:p>
        </w:tc>
        <w:tc>
          <w:tcPr>
            <w:tcW/>
            <w:vAlign w:val="center"/>
          </w:tcPr>
          <w:p>
            <w:pPr>
              <w:spacing w:line="240" w:lineRule="auto"/>
              <w:jc w:val="right"/>
            </w:pPr>
            <w:r>
              <w:rPr>
                <w:rFonts w:ascii="宋体" w:hAnsi="宋体" w:cs="宋体" w:eastAsia="宋体"/>
                <w:b w:val="false"/>
              </w:rPr>
              <w:t>1,540,400</w:t>
            </w:r>
          </w:p>
        </w:tc>
        <w:tc>
          <w:tcPr>
            <w:tcW/>
            <w:vAlign w:val="center"/>
          </w:tcPr>
          <w:p>
            <w:pPr>
              <w:spacing w:line="240" w:lineRule="auto"/>
              <w:jc w:val="right"/>
            </w:pPr>
            <w:r>
              <w:rPr>
                <w:rFonts w:ascii="宋体" w:hAnsi="宋体" w:cs="宋体" w:eastAsia="宋体"/>
                <w:b w:val="false"/>
              </w:rPr>
              <w:t>35,737,280.00</w:t>
            </w:r>
          </w:p>
        </w:tc>
        <w:tc>
          <w:tcPr>
            <w:tcW/>
            <w:vAlign w:val="center"/>
          </w:tcPr>
          <w:p>
            <w:pPr>
              <w:spacing w:line="240" w:lineRule="auto"/>
              <w:jc w:val="right"/>
            </w:pPr>
            <w:r>
              <w:rPr>
                <w:rFonts w:ascii="宋体" w:hAnsi="宋体" w:cs="宋体" w:eastAsia="宋体"/>
                <w:b w:val="false"/>
              </w:rPr>
              <w:t>8.74</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002192</w:t>
            </w:r>
          </w:p>
        </w:tc>
        <w:tc>
          <w:tcPr>
            <w:tcW/>
            <w:vAlign w:val="center"/>
          </w:tcPr>
          <w:p>
            <w:pPr>
              <w:spacing w:line="240" w:lineRule="auto"/>
              <w:jc w:val="left"/>
            </w:pPr>
            <w:r>
              <w:rPr>
                <w:rFonts w:ascii="宋体" w:hAnsi="宋体" w:cs="宋体" w:eastAsia="宋体"/>
                <w:b w:val="false"/>
              </w:rPr>
              <w:t>融捷股份</w:t>
            </w:r>
          </w:p>
        </w:tc>
        <w:tc>
          <w:tcPr>
            <w:tcW/>
            <w:vAlign w:val="center"/>
          </w:tcPr>
          <w:p>
            <w:pPr>
              <w:spacing w:line="240" w:lineRule="auto"/>
              <w:jc w:val="right"/>
            </w:pPr>
            <w:r>
              <w:rPr>
                <w:rFonts w:ascii="宋体" w:hAnsi="宋体" w:cs="宋体" w:eastAsia="宋体"/>
                <w:b w:val="false"/>
              </w:rPr>
              <w:t>417,362</w:t>
            </w:r>
          </w:p>
        </w:tc>
        <w:tc>
          <w:tcPr>
            <w:tcW/>
            <w:vAlign w:val="center"/>
          </w:tcPr>
          <w:p>
            <w:pPr>
              <w:spacing w:line="240" w:lineRule="auto"/>
              <w:jc w:val="right"/>
            </w:pPr>
            <w:r>
              <w:rPr>
                <w:rFonts w:ascii="宋体" w:hAnsi="宋体" w:cs="宋体" w:eastAsia="宋体"/>
                <w:b w:val="false"/>
              </w:rPr>
              <w:t>31,836,373.36</w:t>
            </w:r>
          </w:p>
        </w:tc>
        <w:tc>
          <w:tcPr>
            <w:tcW/>
            <w:vAlign w:val="center"/>
          </w:tcPr>
          <w:p>
            <w:pPr>
              <w:spacing w:line="240" w:lineRule="auto"/>
              <w:jc w:val="right"/>
            </w:pPr>
            <w:r>
              <w:rPr>
                <w:rFonts w:ascii="宋体" w:hAnsi="宋体" w:cs="宋体" w:eastAsia="宋体"/>
                <w:b w:val="false"/>
              </w:rPr>
              <w:t>7.79</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002738</w:t>
            </w:r>
          </w:p>
        </w:tc>
        <w:tc>
          <w:tcPr>
            <w:tcW/>
            <w:vAlign w:val="center"/>
          </w:tcPr>
          <w:p>
            <w:pPr>
              <w:spacing w:line="240" w:lineRule="auto"/>
              <w:jc w:val="left"/>
            </w:pPr>
            <w:r>
              <w:rPr>
                <w:rFonts w:ascii="宋体" w:hAnsi="宋体" w:cs="宋体" w:eastAsia="宋体"/>
                <w:b w:val="false"/>
              </w:rPr>
              <w:t>中矿资源</w:t>
            </w:r>
          </w:p>
        </w:tc>
        <w:tc>
          <w:tcPr>
            <w:tcW/>
            <w:vAlign w:val="center"/>
          </w:tcPr>
          <w:p>
            <w:pPr>
              <w:spacing w:line="240" w:lineRule="auto"/>
              <w:jc w:val="right"/>
            </w:pPr>
            <w:r>
              <w:rPr>
                <w:rFonts w:ascii="宋体" w:hAnsi="宋体" w:cs="宋体" w:eastAsia="宋体"/>
                <w:b w:val="false"/>
              </w:rPr>
              <w:t>374,615</w:t>
            </w:r>
          </w:p>
        </w:tc>
        <w:tc>
          <w:tcPr>
            <w:tcW/>
            <w:vAlign w:val="center"/>
          </w:tcPr>
          <w:p>
            <w:pPr>
              <w:spacing w:line="240" w:lineRule="auto"/>
              <w:jc w:val="right"/>
            </w:pPr>
            <w:r>
              <w:rPr>
                <w:rFonts w:ascii="宋体" w:hAnsi="宋体" w:cs="宋体" w:eastAsia="宋体"/>
                <w:b w:val="false"/>
              </w:rPr>
              <w:t>27,833,894.50</w:t>
            </w:r>
          </w:p>
        </w:tc>
        <w:tc>
          <w:tcPr>
            <w:tcW/>
            <w:vAlign w:val="center"/>
          </w:tcPr>
          <w:p>
            <w:pPr>
              <w:spacing w:line="240" w:lineRule="auto"/>
              <w:jc w:val="right"/>
            </w:pPr>
            <w:r>
              <w:rPr>
                <w:rFonts w:ascii="宋体" w:hAnsi="宋体" w:cs="宋体" w:eastAsia="宋体"/>
                <w:b w:val="false"/>
              </w:rPr>
              <w:t>6.81</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000408</w:t>
            </w:r>
          </w:p>
        </w:tc>
        <w:tc>
          <w:tcPr>
            <w:tcW/>
            <w:vAlign w:val="center"/>
          </w:tcPr>
          <w:p>
            <w:pPr>
              <w:spacing w:line="240" w:lineRule="auto"/>
              <w:jc w:val="left"/>
            </w:pPr>
            <w:r>
              <w:rPr>
                <w:rFonts w:ascii="宋体" w:hAnsi="宋体" w:cs="宋体" w:eastAsia="宋体"/>
                <w:b w:val="false"/>
              </w:rPr>
              <w:t>藏格矿业</w:t>
            </w:r>
          </w:p>
        </w:tc>
        <w:tc>
          <w:tcPr>
            <w:tcW/>
            <w:vAlign w:val="center"/>
          </w:tcPr>
          <w:p>
            <w:pPr>
              <w:spacing w:line="240" w:lineRule="auto"/>
              <w:jc w:val="right"/>
            </w:pPr>
            <w:r>
              <w:rPr>
                <w:rFonts w:ascii="宋体" w:hAnsi="宋体" w:cs="宋体" w:eastAsia="宋体"/>
                <w:b w:val="false"/>
              </w:rPr>
              <w:t>276,582</w:t>
            </w:r>
          </w:p>
        </w:tc>
        <w:tc>
          <w:tcPr>
            <w:tcW/>
            <w:vAlign w:val="center"/>
          </w:tcPr>
          <w:p>
            <w:pPr>
              <w:spacing w:line="240" w:lineRule="auto"/>
              <w:jc w:val="right"/>
            </w:pPr>
            <w:r>
              <w:rPr>
                <w:rFonts w:ascii="宋体" w:hAnsi="宋体" w:cs="宋体" w:eastAsia="宋体"/>
                <w:b w:val="false"/>
              </w:rPr>
              <w:t>21,924,655.14</w:t>
            </w:r>
          </w:p>
        </w:tc>
        <w:tc>
          <w:tcPr>
            <w:tcW/>
            <w:vAlign w:val="center"/>
          </w:tcPr>
          <w:p>
            <w:pPr>
              <w:spacing w:line="240" w:lineRule="auto"/>
              <w:jc w:val="right"/>
            </w:pPr>
            <w:r>
              <w:rPr>
                <w:rFonts w:ascii="宋体" w:hAnsi="宋体" w:cs="宋体" w:eastAsia="宋体"/>
                <w:b w:val="false"/>
              </w:rPr>
              <w:t>5.36</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002460</w:t>
            </w:r>
          </w:p>
        </w:tc>
        <w:tc>
          <w:tcPr>
            <w:tcW/>
            <w:vAlign w:val="center"/>
          </w:tcPr>
          <w:p>
            <w:pPr>
              <w:spacing w:line="240" w:lineRule="auto"/>
              <w:jc w:val="left"/>
            </w:pPr>
            <w:r>
              <w:rPr>
                <w:rFonts w:ascii="宋体" w:hAnsi="宋体" w:cs="宋体" w:eastAsia="宋体"/>
                <w:b w:val="false"/>
              </w:rPr>
              <w:t>赣锋锂业</w:t>
            </w:r>
          </w:p>
        </w:tc>
        <w:tc>
          <w:tcPr>
            <w:tcW/>
            <w:vAlign w:val="center"/>
          </w:tcPr>
          <w:p>
            <w:pPr>
              <w:spacing w:line="240" w:lineRule="auto"/>
              <w:jc w:val="right"/>
            </w:pPr>
            <w:r>
              <w:rPr>
                <w:rFonts w:ascii="宋体" w:hAnsi="宋体" w:cs="宋体" w:eastAsia="宋体"/>
                <w:b w:val="false"/>
              </w:rPr>
              <w:t>206,800</w:t>
            </w:r>
          </w:p>
        </w:tc>
        <w:tc>
          <w:tcPr>
            <w:tcW/>
            <w:vAlign w:val="center"/>
          </w:tcPr>
          <w:p>
            <w:pPr>
              <w:spacing w:line="240" w:lineRule="auto"/>
              <w:jc w:val="right"/>
            </w:pPr>
            <w:r>
              <w:rPr>
                <w:rFonts w:ascii="宋体" w:hAnsi="宋体" w:cs="宋体" w:eastAsia="宋体"/>
                <w:b w:val="false"/>
              </w:rPr>
              <w:t>16,208,984.00</w:t>
            </w:r>
          </w:p>
        </w:tc>
        <w:tc>
          <w:tcPr>
            <w:tcW/>
            <w:vAlign w:val="center"/>
          </w:tcPr>
          <w:p>
            <w:pPr>
              <w:spacing w:line="240" w:lineRule="auto"/>
              <w:jc w:val="right"/>
            </w:pPr>
            <w:r>
              <w:rPr>
                <w:rFonts w:ascii="宋体" w:hAnsi="宋体" w:cs="宋体" w:eastAsia="宋体"/>
                <w:b w:val="false"/>
              </w:rPr>
              <w:t>3.97</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23,439,611.34</w:t>
            </w:r>
          </w:p>
        </w:tc>
        <w:tc>
          <w:tcPr>
            <w:tcW/>
            <w:vAlign w:val="center"/>
          </w:tcPr>
          <w:p>
            <w:pPr>
              <w:spacing w:line="240" w:lineRule="auto"/>
              <w:jc w:val="right"/>
            </w:pPr>
            <w:r>
              <w:rPr>
                <w:rFonts w:ascii="宋体" w:hAnsi="宋体" w:cs="宋体" w:eastAsia="宋体"/>
                <w:b w:val="false"/>
              </w:rPr>
              <w:t>5.74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23,439,611.34</w:t>
            </w:r>
          </w:p>
        </w:tc>
        <w:tc>
          <w:tcPr>
            <w:tcW/>
            <w:vAlign w:val="center"/>
          </w:tcPr>
          <w:p>
            <w:pPr>
              <w:spacing w:line="240" w:lineRule="auto"/>
              <w:jc w:val="right"/>
            </w:pPr>
            <w:r>
              <w:rPr>
                <w:rFonts w:ascii="宋体" w:hAnsi="宋体" w:cs="宋体" w:eastAsia="宋体"/>
                <w:b w:val="false"/>
              </w:rPr>
              <w:t>5.74</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159,000</w:t>
            </w:r>
          </w:p>
        </w:tc>
        <w:tc>
          <w:tcPr>
            <w:tcW/>
            <w:vAlign w:val="center"/>
          </w:tcPr>
          <w:p>
            <w:pPr>
              <w:spacing w:line="240" w:lineRule="auto"/>
              <w:jc w:val="right"/>
            </w:pPr>
            <w:r>
              <w:rPr>
                <w:rFonts w:ascii="宋体" w:hAnsi="宋体" w:cs="宋体" w:eastAsia="宋体"/>
                <w:b w:val="false"/>
              </w:rPr>
              <w:t>16,020,073.31</w:t>
            </w:r>
          </w:p>
        </w:tc>
        <w:tc>
          <w:tcPr>
            <w:tcW/>
            <w:vAlign w:val="center"/>
          </w:tcPr>
          <w:p>
            <w:pPr>
              <w:spacing w:line="240" w:lineRule="auto"/>
              <w:jc w:val="right"/>
            </w:pPr>
            <w:r>
              <w:rPr>
                <w:rFonts w:ascii="宋体" w:hAnsi="宋体" w:cs="宋体" w:eastAsia="宋体"/>
                <w:b w:val="false"/>
              </w:rPr>
              <w:t>3.92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019827</w:t>
            </w:r>
          </w:p>
        </w:tc>
        <w:tc>
          <w:tcPr>
            <w:tcW/>
            <w:vAlign w:val="center"/>
          </w:tcPr>
          <w:p>
            <w:pPr>
              <w:spacing w:line="240" w:lineRule="auto"/>
              <w:jc w:val="left"/>
            </w:pPr>
            <w:r>
              <w:rPr>
                <w:rFonts w:ascii="宋体" w:hAnsi="宋体" w:cs="宋体" w:eastAsia="宋体"/>
                <w:b w:val="false"/>
              </w:rPr>
              <w:t>26国债01</w:t>
            </w:r>
          </w:p>
        </w:tc>
        <w:tc>
          <w:tcPr>
            <w:tcW/>
            <w:vAlign w:val="center"/>
          </w:tcPr>
          <w:p>
            <w:pPr>
              <w:spacing w:line="240" w:lineRule="auto"/>
              <w:jc w:val="right"/>
            </w:pPr>
            <w:r>
              <w:rPr>
                <w:rFonts w:ascii="宋体" w:hAnsi="宋体" w:cs="宋体" w:eastAsia="宋体"/>
                <w:b w:val="false"/>
              </w:rPr>
              <w:t>74,000</w:t>
            </w:r>
          </w:p>
        </w:tc>
        <w:tc>
          <w:tcPr>
            <w:tcW/>
            <w:vAlign w:val="center"/>
          </w:tcPr>
          <w:p>
            <w:pPr>
              <w:spacing w:line="240" w:lineRule="auto"/>
              <w:jc w:val="right"/>
            </w:pPr>
            <w:r>
              <w:rPr>
                <w:rFonts w:ascii="宋体" w:hAnsi="宋体" w:cs="宋体" w:eastAsia="宋体"/>
                <w:b w:val="false"/>
              </w:rPr>
              <w:t>7,419,538.03</w:t>
            </w:r>
          </w:p>
        </w:tc>
        <w:tc>
          <w:tcPr>
            <w:tcW/>
            <w:vAlign w:val="center"/>
          </w:tcPr>
          <w:p>
            <w:pPr>
              <w:spacing w:line="240" w:lineRule="auto"/>
              <w:jc w:val="right"/>
            </w:pPr>
            <w:r>
              <w:rPr>
                <w:rFonts w:ascii="宋体" w:hAnsi="宋体" w:cs="宋体" w:eastAsia="宋体"/>
                <w:b w:val="false"/>
              </w:rPr>
              <w:t>1.82</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36,830,801.66</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36,830,801.66</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东方阿尔法瑞享混合发起A</w:t>
            </w:r>
          </w:p>
        </w:tc>
        <w:tc>
          <w:tcPr>
            <w:tcW w:type="pct" w:w="1300"/>
            <w:vAlign w:val="center"/>
          </w:tcPr>
          <w:p>
            <w:pPr>
              <w:spacing w:line="240" w:lineRule="auto"/>
              <w:jc w:val="center"/>
            </w:pPr>
            <w:r>
              <w:rPr>
                <w:rFonts w:ascii="宋体" w:hAnsi="宋体" w:cs="宋体" w:eastAsia="宋体"/>
                <w:b w:val="false"/>
              </w:rPr>
              <w:t>东方阿尔法瑞享混合发起C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25,868,366.65</w:t>
            </w:r>
          </w:p>
        </w:tc>
        <w:tc>
          <w:tcPr>
            <w:tcW w:type="pct" w:w="1300"/>
            <w:vAlign w:val="center"/>
          </w:tcPr>
          <w:p>
            <w:pPr>
              <w:spacing w:line="240" w:lineRule="auto"/>
              <w:jc w:val="right"/>
            </w:pPr>
            <w:r>
              <w:rPr>
                <w:rFonts w:ascii="宋体" w:hAnsi="宋体" w:cs="宋体" w:eastAsia="宋体"/>
                <w:b w:val="false"/>
              </w:rPr>
              <w:t>470,866,761.60</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14,002,066.49</w:t>
            </w:r>
          </w:p>
        </w:tc>
        <w:tc>
          <w:tcPr>
            <w:tcW w:type="pct" w:w="1300"/>
            <w:vAlign w:val="center"/>
          </w:tcPr>
          <w:p>
            <w:pPr>
              <w:spacing w:line="240" w:lineRule="auto"/>
              <w:jc w:val="right"/>
            </w:pPr>
            <w:r>
              <w:rPr>
                <w:rFonts w:ascii="宋体" w:hAnsi="宋体" w:cs="宋体" w:eastAsia="宋体"/>
                <w:b w:val="false"/>
              </w:rPr>
              <w:t>965,247,096.55</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16,028,680.18</w:t>
            </w:r>
          </w:p>
        </w:tc>
        <w:tc>
          <w:tcPr>
            <w:tcW w:type="pct" w:w="1300"/>
            <w:vAlign w:val="center"/>
          </w:tcPr>
          <w:p>
            <w:pPr>
              <w:spacing w:line="240" w:lineRule="auto"/>
              <w:jc w:val="right"/>
            </w:pPr>
            <w:r>
              <w:rPr>
                <w:rFonts w:ascii="宋体" w:hAnsi="宋体" w:cs="宋体" w:eastAsia="宋体"/>
                <w:b w:val="false"/>
              </w:rPr>
              <w:t>1,158,201,743.63</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23,841,752.96</w:t>
            </w:r>
          </w:p>
        </w:tc>
        <w:tc>
          <w:tcPr>
            <w:tcW w:type="pct" w:w="1300"/>
            <w:vAlign w:val="center"/>
          </w:tcPr>
          <w:p>
            <w:pPr>
              <w:spacing w:line="240" w:lineRule="auto"/>
              <w:jc w:val="right"/>
            </w:pPr>
            <w:r>
              <w:rPr>
                <w:rFonts w:ascii="宋体" w:hAnsi="宋体" w:cs="宋体" w:eastAsia="宋体"/>
                <w:b w:val="false"/>
              </w:rPr>
              <w:t>277,912,114.52</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东方阿尔法瑞享混合发起A</w:t>
            </w:r>
          </w:p>
        </w:tc>
        <w:tc>
          <w:tcPr>
            <w:tcW w:type="pct" w:w="950"/>
            <w:vAlign w:val="center"/>
          </w:tcPr>
          <w:p>
            <w:pPr>
              <w:spacing w:line="240" w:lineRule="auto"/>
              <w:jc w:val="center"/>
            </w:pPr>
            <w:r>
              <w:rPr>
                <w:rFonts w:ascii="宋体" w:hAnsi="宋体" w:cs="宋体" w:eastAsia="宋体"/>
                <w:b w:val="false"/>
              </w:rPr>
              <w:t>东方阿尔法瑞享混合发起C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5,000,583.45</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5,000,583.45</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1.66</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5,000,583.45</w:t>
            </w:r>
          </w:p>
        </w:tc>
        <w:tc>
          <w:tcPr>
            <w:tcW/>
            <w:vAlign w:val="center"/>
          </w:tcPr>
          <w:p>
            <w:pPr>
              <w:spacing w:line="240" w:lineRule="auto"/>
              <w:jc w:val="right"/>
            </w:pPr>
            <w:r>
              <w:rPr>
                <w:rFonts w:ascii="宋体" w:hAnsi="宋体" w:cs="宋体" w:eastAsia="宋体"/>
                <w:b w:val="false"/>
              </w:rPr>
              <w:t>1.66%</w:t>
            </w:r>
          </w:p>
        </w:tc>
        <w:tc>
          <w:tcPr>
            <w:tcW/>
            <w:vAlign w:val="center"/>
          </w:tcPr>
          <w:p>
            <w:pPr>
              <w:spacing w:line="240" w:lineRule="auto"/>
              <w:jc w:val="right"/>
            </w:pPr>
            <w:r>
              <w:rPr>
                <w:rFonts w:ascii="宋体" w:hAnsi="宋体" w:cs="宋体" w:eastAsia="宋体"/>
                <w:b w:val="false"/>
              </w:rPr>
              <w:t>5,000,583.45</w:t>
            </w:r>
          </w:p>
        </w:tc>
        <w:tc>
          <w:tcPr>
            <w:tcW/>
            <w:vAlign w:val="center"/>
          </w:tcPr>
          <w:p>
            <w:pPr>
              <w:spacing w:line="240" w:lineRule="auto"/>
              <w:jc w:val="right"/>
            </w:pPr>
            <w:r>
              <w:rPr>
                <w:rFonts w:ascii="宋体" w:hAnsi="宋体" w:cs="宋体" w:eastAsia="宋体"/>
                <w:b w:val="false"/>
              </w:rPr>
              <w:t>1.66%</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4,502,163.68</w:t>
            </w:r>
          </w:p>
        </w:tc>
        <w:tc>
          <w:tcPr>
            <w:tcW/>
            <w:vAlign w:val="center"/>
          </w:tcPr>
          <w:p>
            <w:pPr>
              <w:spacing w:line="240" w:lineRule="auto"/>
              <w:jc w:val="right"/>
            </w:pPr>
            <w:r>
              <w:rPr>
                <w:rFonts w:ascii="宋体" w:hAnsi="宋体" w:cs="宋体" w:eastAsia="宋体"/>
                <w:b w:val="false"/>
              </w:rPr>
              <w:t>1.49%</w:t>
            </w:r>
          </w:p>
        </w:tc>
        <w:tc>
          <w:tcPr>
            <w:tcW/>
            <w:vAlign w:val="center"/>
          </w:tcPr>
          <w:p>
            <w:pPr>
              <w:spacing w:line="240" w:lineRule="auto"/>
              <w:jc w:val="right"/>
            </w:pPr>
            <w:r>
              <w:rPr>
                <w:rFonts w:ascii="宋体" w:hAnsi="宋体" w:cs="宋体" w:eastAsia="宋体"/>
                <w:b w:val="false"/>
              </w:rPr>
              <w:t>4,502,163.68</w:t>
            </w:r>
          </w:p>
        </w:tc>
        <w:tc>
          <w:tcPr>
            <w:tcW/>
            <w:vAlign w:val="center"/>
          </w:tcPr>
          <w:p>
            <w:pPr>
              <w:spacing w:line="240" w:lineRule="auto"/>
              <w:jc w:val="right"/>
            </w:pPr>
            <w:r>
              <w:rPr>
                <w:rFonts w:ascii="宋体" w:hAnsi="宋体" w:cs="宋体" w:eastAsia="宋体"/>
                <w:b w:val="false"/>
              </w:rPr>
              <w:t>1.49%</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509,448.23</w:t>
            </w:r>
          </w:p>
        </w:tc>
        <w:tc>
          <w:tcPr>
            <w:tcW/>
            <w:vAlign w:val="center"/>
          </w:tcPr>
          <w:p>
            <w:pPr>
              <w:spacing w:line="240" w:lineRule="auto"/>
              <w:jc w:val="right"/>
            </w:pPr>
            <w:r>
              <w:rPr>
                <w:rFonts w:ascii="宋体" w:hAnsi="宋体" w:cs="宋体" w:eastAsia="宋体"/>
                <w:b w:val="false"/>
              </w:rPr>
              <w:t>0.17%</w:t>
            </w:r>
          </w:p>
        </w:tc>
        <w:tc>
          <w:tcPr>
            <w:tcW/>
            <w:vAlign w:val="center"/>
          </w:tcPr>
          <w:p>
            <w:pPr>
              <w:spacing w:line="240" w:lineRule="auto"/>
              <w:jc w:val="right"/>
            </w:pPr>
            <w:r>
              <w:rPr>
                <w:rFonts w:ascii="宋体" w:hAnsi="宋体" w:cs="宋体" w:eastAsia="宋体"/>
                <w:b w:val="false"/>
              </w:rPr>
              <w:t>509,448.23</w:t>
            </w:r>
          </w:p>
        </w:tc>
        <w:tc>
          <w:tcPr>
            <w:tcW/>
            <w:vAlign w:val="center"/>
          </w:tcPr>
          <w:p>
            <w:pPr>
              <w:spacing w:line="240" w:lineRule="auto"/>
              <w:jc w:val="right"/>
            </w:pPr>
            <w:r>
              <w:rPr>
                <w:rFonts w:ascii="宋体" w:hAnsi="宋体" w:cs="宋体" w:eastAsia="宋体"/>
                <w:b w:val="false"/>
              </w:rPr>
              <w:t>0.17%</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10,012,195.36</w:t>
            </w:r>
          </w:p>
        </w:tc>
        <w:tc>
          <w:tcPr>
            <w:tcW/>
            <w:vAlign w:val="center"/>
          </w:tcPr>
          <w:p>
            <w:pPr>
              <w:spacing w:line="240" w:lineRule="auto"/>
              <w:jc w:val="right"/>
            </w:pPr>
            <w:r>
              <w:rPr>
                <w:rFonts w:ascii="宋体" w:hAnsi="宋体" w:cs="宋体" w:eastAsia="宋体"/>
                <w:b w:val="false"/>
              </w:rPr>
              <w:t>3.32%</w:t>
            </w:r>
          </w:p>
        </w:tc>
        <w:tc>
          <w:tcPr>
            <w:tcW/>
            <w:vAlign w:val="center"/>
          </w:tcPr>
          <w:p>
            <w:pPr>
              <w:spacing w:line="240" w:lineRule="auto"/>
              <w:jc w:val="right"/>
            </w:pPr>
            <w:r>
              <w:rPr>
                <w:rFonts w:ascii="宋体" w:hAnsi="宋体" w:cs="宋体" w:eastAsia="宋体"/>
                <w:b w:val="false"/>
              </w:rPr>
              <w:t>10,012,195.36</w:t>
            </w:r>
          </w:p>
        </w:tc>
        <w:tc>
          <w:tcPr>
            <w:tcW/>
            <w:vAlign w:val="center"/>
          </w:tcPr>
          <w:p>
            <w:pPr>
              <w:spacing w:line="240" w:lineRule="auto"/>
              <w:jc w:val="right"/>
            </w:pPr>
            <w:r>
              <w:rPr>
                <w:rFonts w:ascii="宋体" w:hAnsi="宋体" w:cs="宋体" w:eastAsia="宋体"/>
                <w:b w:val="false"/>
              </w:rPr>
              <w:t>3.32%</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1、中国证券监督管理委员会批准的东方阿尔法瑞享混合型发起式证券投资基金设立的文件；</w:t>
        <w:br/>
      </w:r>
      <w:r>
        <w:rPr>
          <w:rFonts w:ascii="宋体" w:hAnsi="宋体" w:cs="宋体" w:eastAsia="宋体"/>
          <w:b w:val="false"/>
        </w:rPr>
        <w:t xml:space="preserve">    2、《东方阿尔法瑞享混合型发起式证券投资基金基金合同》；</w:t>
        <w:br/>
      </w:r>
      <w:r>
        <w:rPr>
          <w:rFonts w:ascii="宋体" w:hAnsi="宋体" w:cs="宋体" w:eastAsia="宋体"/>
          <w:b w:val="false"/>
        </w:rPr>
        <w:t xml:space="preserve">    3、《东方阿尔法瑞享混合型发起式证券投资基金托管协议》；</w:t>
        <w:br/>
      </w:r>
      <w:r>
        <w:rPr>
          <w:rFonts w:ascii="宋体" w:hAnsi="宋体" w:cs="宋体" w:eastAsia="宋体"/>
          <w:b w:val="false"/>
        </w:rPr>
        <w:t xml:space="preserve">    4、《东方阿尔法瑞享混合型发起式证券投资基金招募说明书》（含更新）；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东方阿尔法瑞享混合型发起式证券投资基金2026年第1季度报告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