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东方阿尔法兴科一年持有期混合型证券投资基金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2026年第1季度报告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2026年03月31日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兴业银行股份有限公司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2026年04月22日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基金托管人兴业银行股份有限公司根据本基金合同规定，于2026年04月20日复核了本报告中的财务指标、净值表现和投资组合报告等内容，保证复核内容不存在虚假记载、误导性陈述或者重大遗漏。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本报告期自2026年01月01日起至2026年03月31日止。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Align w:val="center"/>
          </w:tcPr>
          <w:p>
            <w:pPr>
              <w:spacing w:line="240" w:lineRule="auto"/>
              <w:jc w:val="left"/>
            </w:pPr>
            <w:r>
              <w:rPr>
                <w:rFonts w:ascii="宋体" w:hAnsi="宋体" w:cs="宋体" w:eastAsia="宋体"/>
                <w:b w:val="false"/>
              </w:rPr>
              <w:t>基金简称</w:t>
            </w:r>
          </w:p>
        </w:tc>
        <w:tc>
          <w:tcPr>
            <w:tcW w:type="pct" w:w="3077"/>
            <w:hMerge w:val="restart"/>
            <w:vAlign w:val="center"/>
          </w:tcPr>
          <w:p>
            <w:pPr>
              <w:spacing w:line="240" w:lineRule="auto"/>
              <w:jc w:val="left"/>
            </w:pPr>
            <w:r>
              <w:rPr>
                <w:rFonts w:ascii="宋体" w:hAnsi="宋体" w:cs="宋体" w:eastAsia="宋体"/>
                <w:b w:val="false"/>
              </w:rPr>
              <w:t>东方阿尔法兴科一年持有混合</w:t>
            </w:r>
          </w:p>
        </w:tc>
        <w:tc>
          <w:tcPr>
            <w:hMerge w:val="continue"/>
          </w:tcPr>
          <w:p/>
        </w:tc>
      </w:tr>
      <w:tr>
        <w:tc>
          <w:tcPr>
            <w:tcW w:type="pct" w:w="1923"/>
            <w:vAlign w:val="center"/>
          </w:tcPr>
          <w:p>
            <w:pPr>
              <w:spacing w:line="240" w:lineRule="auto"/>
              <w:jc w:val="left"/>
            </w:pPr>
            <w:r>
              <w:rPr>
                <w:rFonts w:ascii="宋体" w:hAnsi="宋体" w:cs="宋体" w:eastAsia="宋体"/>
                <w:b w:val="false"/>
              </w:rPr>
              <w:t>基金主代码</w:t>
            </w:r>
          </w:p>
        </w:tc>
        <w:tc>
          <w:tcPr>
            <w:tcW/>
            <w:hMerge w:val="restart"/>
            <w:vAlign w:val="center"/>
          </w:tcPr>
          <w:p>
            <w:pPr>
              <w:spacing w:line="240" w:lineRule="auto"/>
              <w:jc w:val="left"/>
            </w:pPr>
            <w:r>
              <w:rPr>
                <w:rFonts w:ascii="宋体" w:hAnsi="宋体" w:cs="宋体" w:eastAsia="宋体"/>
                <w:b w:val="false"/>
              </w:rPr>
              <w:t>015900</w:t>
            </w:r>
          </w:p>
        </w:tc>
        <w:tc>
          <w:tcPr>
            <w:hMerge w:val="continue"/>
          </w:tcPr>
          <w:p/>
        </w:tc>
      </w:tr>
      <w:tr>
        <w:tc>
          <w:tcPr>
            <w:tcW w:type="pct" w:w="1923"/>
            <w:vAlign w:val="center"/>
          </w:tcPr>
          <w:p>
            <w:pPr>
              <w:spacing w:line="240" w:lineRule="auto"/>
              <w:jc w:val="left"/>
            </w:pPr>
            <w:r>
              <w:rPr>
                <w:rFonts w:ascii="宋体" w:hAnsi="宋体" w:cs="宋体" w:eastAsia="宋体"/>
                <w:b w:val="false"/>
              </w:rPr>
              <w:t>基金运作方式</w:t>
            </w:r>
          </w:p>
        </w:tc>
        <w:tc>
          <w:tcPr>
            <w:tcW/>
            <w:hMerge w:val="restart"/>
            <w:vAlign w:val="center"/>
          </w:tcPr>
          <w:p>
            <w:pPr>
              <w:spacing w:line="240" w:lineRule="auto"/>
              <w:jc w:val="left"/>
            </w:pPr>
            <w:r>
              <w:rPr>
                <w:rFonts w:ascii="宋体" w:hAnsi="宋体" w:cs="宋体" w:eastAsia="宋体"/>
                <w:b w:val="false"/>
              </w:rPr>
              <w:t>契约型开放式。每个开放日开放申购，每笔申购/转换转入申请所得基金份额持有满一年后每个开放日开放赎回/转换转出。</w:t>
            </w:r>
          </w:p>
        </w:tc>
        <w:tc>
          <w:tcPr>
            <w:hMerge w:val="continue"/>
          </w:tcPr>
          <w:p/>
        </w:tc>
      </w:tr>
      <w:tr>
        <w:tc>
          <w:tcPr>
            <w:tcW w:type="pct" w:w="1923"/>
            <w:vAlign w:val="center"/>
          </w:tcPr>
          <w:p>
            <w:pPr>
              <w:spacing w:line="240" w:lineRule="auto"/>
              <w:jc w:val="left"/>
            </w:pPr>
            <w:r>
              <w:rPr>
                <w:rFonts w:ascii="宋体" w:hAnsi="宋体" w:cs="宋体" w:eastAsia="宋体"/>
                <w:b w:val="false"/>
              </w:rPr>
              <w:t>基金合同生效日</w:t>
            </w:r>
          </w:p>
        </w:tc>
        <w:tc>
          <w:tcPr>
            <w:tcW/>
            <w:hMerge w:val="restart"/>
            <w:vAlign w:val="center"/>
          </w:tcPr>
          <w:p>
            <w:pPr>
              <w:spacing w:line="240" w:lineRule="auto"/>
              <w:jc w:val="left"/>
            </w:pPr>
            <w:r>
              <w:rPr>
                <w:rFonts w:ascii="宋体" w:hAnsi="宋体" w:cs="宋体" w:eastAsia="宋体"/>
                <w:b w:val="false"/>
              </w:rPr>
              <w:t>2022年09月28日</w:t>
            </w:r>
          </w:p>
        </w:tc>
        <w:tc>
          <w:tcPr>
            <w:hMerge w:val="continue"/>
          </w:tcPr>
          <w:p/>
        </w:tc>
      </w:tr>
      <w:tr>
        <w:tc>
          <w:tcPr>
            <w:tcW w:type="pct" w:w="1923"/>
            <w:vAlign w:val="center"/>
          </w:tcPr>
          <w:p>
            <w:pPr>
              <w:spacing w:line="240" w:lineRule="auto"/>
              <w:jc w:val="left"/>
            </w:pPr>
            <w:r>
              <w:rPr>
                <w:rFonts w:ascii="宋体" w:hAnsi="宋体" w:cs="宋体" w:eastAsia="宋体"/>
                <w:b w:val="false"/>
              </w:rPr>
              <w:t>报告期末基金份额总额</w:t>
            </w:r>
          </w:p>
        </w:tc>
        <w:tc>
          <w:tcPr>
            <w:tcW/>
            <w:hMerge w:val="restart"/>
            <w:vAlign w:val="center"/>
          </w:tcPr>
          <w:p>
            <w:pPr>
              <w:spacing w:line="240" w:lineRule="auto"/>
              <w:jc w:val="left"/>
            </w:pPr>
            <w:r>
              <w:rPr>
                <w:rFonts w:ascii="宋体" w:hAnsi="宋体" w:cs="宋体" w:eastAsia="宋体"/>
                <w:b w:val="false"/>
              </w:rPr>
              <w:t>62,119,615.75份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vAlign w:val="center"/>
          </w:tcPr>
          <w:p>
            <w:pPr>
              <w:spacing w:line="240" w:lineRule="auto"/>
              <w:jc w:val="left"/>
            </w:pPr>
            <w:r>
              <w:rPr>
                <w:rFonts w:ascii="宋体" w:hAnsi="宋体" w:cs="宋体" w:eastAsia="宋体"/>
                <w:b w:val="false"/>
              </w:rPr>
              <w:t>本基金在有效控制组合风险并保持良好流动性的前提下，通过深入研究、优选个股、主动的投资管理方式力求实现组合资产的稳健增值。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vAlign w:val="center"/>
          </w:tcPr>
          <w:p>
            <w:pPr>
              <w:spacing w:line="240" w:lineRule="auto"/>
              <w:jc w:val="left"/>
            </w:pPr>
            <w:r>
              <w:rPr>
                <w:rFonts w:ascii="宋体" w:hAnsi="宋体" w:cs="宋体" w:eastAsia="宋体"/>
                <w:b w:val="false"/>
              </w:rPr>
              <w:t>本基金的投资策略主要有以下11个方面内容：</w:t>
              <w:br/>
            </w:r>
            <w:r>
              <w:rPr>
                <w:rFonts w:ascii="宋体" w:hAnsi="宋体" w:cs="宋体" w:eastAsia="宋体"/>
                <w:b w:val="false"/>
              </w:rPr>
              <w:t>1、大类资产配置策略</w:t>
              <w:br/>
            </w:r>
            <w:r>
              <w:rPr>
                <w:rFonts w:ascii="宋体" w:hAnsi="宋体" w:cs="宋体" w:eastAsia="宋体"/>
                <w:b w:val="false"/>
              </w:rPr>
              <w:t>本基金根据对宏观经济周期的分析研究，结合基本面、市场面、政策面等多种因素的综合考量，研判所处经济周期的位置及未来发展方向，以确定组合中股票、债券、货币市场工具及其他金融工具的比例。</w:t>
              <w:br/>
            </w:r>
            <w:r>
              <w:rPr>
                <w:rFonts w:ascii="宋体" w:hAnsi="宋体" w:cs="宋体" w:eastAsia="宋体"/>
                <w:b w:val="false"/>
              </w:rPr>
              <w:t>2、股票投资策略</w:t>
              <w:br/>
            </w:r>
            <w:r>
              <w:rPr>
                <w:rFonts w:ascii="宋体" w:hAnsi="宋体" w:cs="宋体" w:eastAsia="宋体"/>
                <w:b w:val="false"/>
              </w:rPr>
              <w:t>本基金股票投资策略为通过自上而下的选股模式，通过产业精选和个股研究相结合，优选成长期产业，把握景气周期上行阶段的投资机会，选择产业内在经营模式、市场格局、竞争壁垒、产能投放、研发投入、新业务拓展和公司治理等方面具有领先优势的优质上市公司。</w:t>
              <w:br/>
            </w:r>
            <w:r>
              <w:rPr>
                <w:rFonts w:ascii="宋体" w:hAnsi="宋体" w:cs="宋体" w:eastAsia="宋体"/>
                <w:b w:val="false"/>
              </w:rPr>
              <w:t>3、港股投资策略</w:t>
              <w:br/>
            </w:r>
            <w:r>
              <w:rPr>
                <w:rFonts w:ascii="宋体" w:hAnsi="宋体" w:cs="宋体" w:eastAsia="宋体"/>
                <w:b w:val="false"/>
              </w:rPr>
              <w:t>本基金可通过内地与香港股票市场交易互联互通机制投资于香港股票市场，不使用合格境内机构投资者(QDII)境外投资额度进行境外投资。</w:t>
              <w:br/>
            </w:r>
            <w:r>
              <w:rPr>
                <w:rFonts w:ascii="宋体" w:hAnsi="宋体" w:cs="宋体" w:eastAsia="宋体"/>
                <w:b w:val="false"/>
              </w:rPr>
              <w:t>4、存托凭证投资策略</w:t>
              <w:br/>
            </w:r>
            <w:r>
              <w:rPr>
                <w:rFonts w:ascii="宋体" w:hAnsi="宋体" w:cs="宋体" w:eastAsia="宋体"/>
                <w:b w:val="false"/>
              </w:rPr>
              <w:t>本基金在深入研究的基础上，通过定性分析和定量分析相结合的方式，可选择投资价值高的存托凭证进行投资。</w:t>
              <w:br/>
            </w:r>
            <w:r>
              <w:rPr>
                <w:rFonts w:ascii="宋体" w:hAnsi="宋体" w:cs="宋体" w:eastAsia="宋体"/>
                <w:b w:val="false"/>
              </w:rPr>
              <w:t>5、债券类资产投资策略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6、可转债（含分离交易可转债）及可交换债券投资策略</w:t>
              <w:br/>
            </w:r>
            <w:r>
              <w:rPr>
                <w:rFonts w:ascii="宋体" w:hAnsi="宋体" w:cs="宋体" w:eastAsia="宋体"/>
                <w:b w:val="false"/>
              </w:rPr>
              <w:t>对于可转换债券的投资，本基金在评估其偿债能力的同时兼顾公司的成长性，以期通过转换条款分享因股价上升带来的高收益。</w:t>
              <w:br/>
            </w:r>
            <w:r>
              <w:rPr>
                <w:rFonts w:ascii="宋体" w:hAnsi="宋体" w:cs="宋体" w:eastAsia="宋体"/>
                <w:b w:val="false"/>
              </w:rPr>
              <w:t>7、股指期货投资策略</w:t>
              <w:br/>
            </w:r>
            <w:r>
              <w:rPr>
                <w:rFonts w:ascii="宋体" w:hAnsi="宋体" w:cs="宋体" w:eastAsia="宋体"/>
                <w:b w:val="false"/>
              </w:rPr>
              <w:t>本基金以套期保值为目的，在风险可控的前提下，参与股指期货的投资。本基金还将运用股指期货来管理特殊情况下的流动性风险，如预期大额申购赎回、大量分红等。</w:t>
              <w:br/>
            </w:r>
            <w:r>
              <w:rPr>
                <w:rFonts w:ascii="宋体" w:hAnsi="宋体" w:cs="宋体" w:eastAsia="宋体"/>
                <w:b w:val="false"/>
              </w:rPr>
              <w:t>8、融资业务的投资策略</w:t>
              <w:br/>
            </w:r>
            <w:r>
              <w:rPr>
                <w:rFonts w:ascii="宋体" w:hAnsi="宋体" w:cs="宋体" w:eastAsia="宋体"/>
                <w:b w:val="false"/>
              </w:rPr>
              <w:t>本基金参与融资业务，将综合考虑融资成本、保证金比例、冲抵保证金证券折算率、信用资质等条件选择合适的交易对手方。在保障基金投资组合充足流动性以及有效控制融资杠杆风险的前提下，确定融资比例。</w:t>
              <w:br/>
            </w:r>
            <w:r>
              <w:rPr>
                <w:rFonts w:ascii="宋体" w:hAnsi="宋体" w:cs="宋体" w:eastAsia="宋体"/>
                <w:b w:val="false"/>
              </w:rPr>
              <w:t>9、国债期货的投资策略</w:t>
              <w:br/>
            </w:r>
            <w:r>
              <w:rPr>
                <w:rFonts w:ascii="宋体" w:hAnsi="宋体" w:cs="宋体" w:eastAsia="宋体"/>
                <w:b w:val="false"/>
              </w:rPr>
              <w:t>本基金以套期保值为目的，以回避市场风险，通过动态管理国债期货合约数量，以萃取相应债券组合的超额收益。</w:t>
              <w:br/>
            </w:r>
            <w:r>
              <w:rPr>
                <w:rFonts w:ascii="宋体" w:hAnsi="宋体" w:cs="宋体" w:eastAsia="宋体"/>
                <w:b w:val="false"/>
              </w:rPr>
              <w:t xml:space="preserve">10、股票期权投资策略 </w:t>
              <w:br/>
            </w:r>
            <w:r>
              <w:rPr>
                <w:rFonts w:ascii="宋体" w:hAnsi="宋体" w:cs="宋体" w:eastAsia="宋体"/>
                <w:b w:val="false"/>
              </w:rPr>
              <w:t>本基金以套期保值为主要目的参与股票期权交易，结合投资目标、比例限制、风险收益特征以及法律法规的相关限定和要求，确定参与股票期权交易的投资时机和投资比例。</w:t>
              <w:br/>
            </w:r>
            <w:r>
              <w:rPr>
                <w:rFonts w:ascii="宋体" w:hAnsi="宋体" w:cs="宋体" w:eastAsia="宋体"/>
                <w:b w:val="false"/>
              </w:rPr>
              <w:t>11、资产支持证券投资策略</w:t>
              <w:br/>
            </w:r>
            <w:r>
              <w:rPr>
                <w:rFonts w:ascii="宋体" w:hAnsi="宋体" w:cs="宋体" w:eastAsia="宋体"/>
                <w:b w:val="false"/>
              </w:rPr>
              <w:t>本基金将投资包括资产抵押贷款支持证券(ABS)、住房抵押贷款支持证券(MBS)等在内的资产支持证券。</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vAlign w:val="center"/>
          </w:tcPr>
          <w:p>
            <w:pPr>
              <w:spacing w:line="240" w:lineRule="auto"/>
              <w:jc w:val="left"/>
            </w:pPr>
            <w:r>
              <w:rPr>
                <w:rFonts w:ascii="宋体" w:hAnsi="宋体" w:cs="宋体" w:eastAsia="宋体"/>
                <w:b w:val="false"/>
              </w:rPr>
              <w:t>中证800指数收益率×60%+中证综合债券指数收益率×20%+恒生指数收益率×20%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vAlign w:val="center"/>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c>
          <w:tcPr>
            <w:hMerge w:val="continue"/>
          </w:tcPr>
          <w:p/>
        </w:tc>
      </w:tr>
      <w:tr>
        <w:tc>
          <w:tcPr>
            <w:tcW w:type="pct" w:w="1923"/>
            <w:vAlign w:val="center"/>
          </w:tcPr>
          <w:p>
            <w:pPr>
              <w:spacing w:line="240" w:lineRule="auto"/>
              <w:jc w:val="left"/>
            </w:pPr>
            <w:r>
              <w:rPr>
                <w:rFonts w:ascii="宋体" w:hAnsi="宋体" w:cs="宋体" w:eastAsia="宋体"/>
                <w:b w:val="false"/>
              </w:rPr>
              <w:t>基金管理人</w:t>
            </w:r>
          </w:p>
        </w:tc>
        <w:tc>
          <w:tcPr>
            <w:tcW/>
            <w:hMerge w:val="restart"/>
            <w:vAlign w:val="center"/>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vAlign w:val="center"/>
          </w:tcPr>
          <w:p>
            <w:pPr>
              <w:spacing w:line="240" w:lineRule="auto"/>
              <w:jc w:val="left"/>
            </w:pPr>
            <w:r>
              <w:rPr>
                <w:rFonts w:ascii="宋体" w:hAnsi="宋体" w:cs="宋体" w:eastAsia="宋体"/>
                <w:b w:val="false"/>
              </w:rPr>
              <w:t>基金托管人</w:t>
            </w:r>
          </w:p>
        </w:tc>
        <w:tc>
          <w:tcPr>
            <w:tcW/>
            <w:hMerge w:val="restart"/>
            <w:vAlign w:val="center"/>
          </w:tcPr>
          <w:p>
            <w:pPr>
              <w:spacing w:line="240" w:lineRule="auto"/>
              <w:jc w:val="left"/>
            </w:pPr>
            <w:r>
              <w:rPr>
                <w:rFonts w:ascii="宋体" w:hAnsi="宋体" w:cs="宋体" w:eastAsia="宋体"/>
                <w:b w:val="false"/>
              </w:rPr>
              <w:t>兴业银行股份有限公司</w:t>
            </w:r>
          </w:p>
        </w:tc>
        <w:tc>
          <w:tcPr>
            <w:hMerge w:val="continue"/>
          </w:tcPr>
          <w:p/>
        </w:tc>
      </w:tr>
      <w:tr>
        <w:tc>
          <w:tcPr>
            <w:tcW/>
            <w:vAlign w:val="center"/>
          </w:tcPr>
          <w:p>
            <w:pPr>
              <w:spacing w:line="240" w:lineRule="auto"/>
              <w:jc w:val="left"/>
            </w:pPr>
            <w:r>
              <w:rPr>
                <w:rFonts w:ascii="宋体" w:hAnsi="宋体" w:cs="宋体" w:eastAsia="宋体"/>
                <w:b w:val="false"/>
              </w:rPr>
              <w:t>下属分级基金的基金简称</w:t>
            </w:r>
          </w:p>
        </w:tc>
        <w:tc>
          <w:tcPr>
            <w:tcW w:type="pct" w:w="1500"/>
            <w:vAlign w:val="center"/>
          </w:tcPr>
          <w:p>
            <w:pPr>
              <w:spacing w:line="240" w:lineRule="auto"/>
              <w:jc w:val="left"/>
            </w:pPr>
            <w:r>
              <w:rPr>
                <w:rFonts w:ascii="宋体" w:hAnsi="宋体" w:cs="宋体" w:eastAsia="宋体"/>
                <w:b w:val="false"/>
              </w:rPr>
              <w:t>东方阿尔法兴科一年持有混合A</w:t>
            </w:r>
          </w:p>
        </w:tc>
        <w:tc>
          <w:tcPr>
            <w:tcW w:type="pct" w:w="1500"/>
            <w:vAlign w:val="center"/>
          </w:tcPr>
          <w:p>
            <w:pPr>
              <w:spacing w:line="240" w:lineRule="auto"/>
              <w:jc w:val="left"/>
            </w:pPr>
            <w:r>
              <w:rPr>
                <w:rFonts w:ascii="宋体" w:hAnsi="宋体" w:cs="宋体" w:eastAsia="宋体"/>
                <w:b w:val="false"/>
              </w:rPr>
              <w:t>东方阿尔法兴科一年持有混合C</w:t>
            </w:r>
          </w:p>
        </w:tc>
      </w:tr>
      <w:tr>
        <w:tc>
          <w:tcPr>
            <w:tcW/>
            <w:vAlign w:val="center"/>
          </w:tcPr>
          <w:p>
            <w:pPr>
              <w:spacing w:line="240" w:lineRule="auto"/>
              <w:jc w:val="left"/>
            </w:pPr>
            <w:r>
              <w:rPr>
                <w:rFonts w:ascii="宋体" w:hAnsi="宋体" w:cs="宋体" w:eastAsia="宋体"/>
                <w:b w:val="false"/>
              </w:rPr>
              <w:t>下属分级基金的交易代码</w:t>
            </w:r>
          </w:p>
        </w:tc>
        <w:tc>
          <w:tcPr>
            <w:tcW w:type="pct" w:w="1500"/>
            <w:vAlign w:val="center"/>
          </w:tcPr>
          <w:p>
            <w:pPr>
              <w:spacing w:line="240" w:lineRule="auto"/>
              <w:jc w:val="left"/>
            </w:pPr>
            <w:r>
              <w:rPr>
                <w:rFonts w:ascii="宋体" w:hAnsi="宋体" w:cs="宋体" w:eastAsia="宋体"/>
                <w:b w:val="false"/>
              </w:rPr>
              <w:t>015900</w:t>
            </w:r>
          </w:p>
        </w:tc>
        <w:tc>
          <w:tcPr>
            <w:tcW w:type="pct" w:w="1500"/>
            <w:vAlign w:val="center"/>
          </w:tcPr>
          <w:p>
            <w:pPr>
              <w:spacing w:line="240" w:lineRule="auto"/>
              <w:jc w:val="left"/>
            </w:pPr>
            <w:r>
              <w:rPr>
                <w:rFonts w:ascii="宋体" w:hAnsi="宋体" w:cs="宋体" w:eastAsia="宋体"/>
                <w:b w:val="false"/>
              </w:rPr>
              <w:t>015901</w:t>
            </w:r>
          </w:p>
        </w:tc>
      </w:tr>
      <w:tr>
        <w:tc>
          <w:tcPr>
            <w:tcW/>
            <w:vAlign w:val="center"/>
          </w:tcPr>
          <w:p>
            <w:pPr>
              <w:spacing w:line="240" w:lineRule="auto"/>
              <w:jc w:val="left"/>
            </w:pPr>
            <w:r>
              <w:rPr>
                <w:rFonts w:ascii="宋体" w:hAnsi="宋体" w:cs="宋体" w:eastAsia="宋体"/>
                <w:b w:val="false"/>
              </w:rPr>
              <w:t>报告期末下属分级基金的份额总额</w:t>
            </w:r>
          </w:p>
        </w:tc>
        <w:tc>
          <w:tcPr>
            <w:tcW w:type="pct" w:w="1500"/>
            <w:vAlign w:val="center"/>
          </w:tcPr>
          <w:p>
            <w:pPr>
              <w:spacing w:line="240" w:lineRule="auto"/>
              <w:jc w:val="left"/>
            </w:pPr>
            <w:r>
              <w:rPr>
                <w:rFonts w:ascii="宋体" w:hAnsi="宋体" w:cs="宋体" w:eastAsia="宋体"/>
                <w:b w:val="false"/>
              </w:rPr>
              <w:t>52,609,514.91份</w:t>
            </w:r>
          </w:p>
        </w:tc>
        <w:tc>
          <w:tcPr>
            <w:tcW w:type="pct" w:w="1500"/>
            <w:vAlign w:val="center"/>
          </w:tcPr>
          <w:p>
            <w:pPr>
              <w:spacing w:line="240" w:lineRule="auto"/>
              <w:jc w:val="left"/>
            </w:pPr>
            <w:r>
              <w:rPr>
                <w:rFonts w:ascii="宋体" w:hAnsi="宋体" w:cs="宋体" w:eastAsia="宋体"/>
                <w:b w:val="false"/>
              </w:rPr>
              <w:t>9,510,100.84份</w:t>
            </w:r>
          </w:p>
        </w:tc>
      </w:tr>
    </w:tbl>
    <w:p>
      <w:r>
        <w:rPr>
          <w:rFonts w:ascii="宋体" w:hAnsi="宋体" w:cs="宋体" w:eastAsia="宋体"/>
          <w:b w:val="false"/>
        </w:rPr>
        <w:t>注：本基金对每份基金份额设置一年的最短持有期限。</w:t>
        <w:br/>
      </w:r>
      <w:r>
        <w:rPr>
          <w:rFonts w:ascii="宋体" w:hAnsi="宋体" w:cs="宋体" w:eastAsia="宋体"/>
          <w:b w:val="false"/>
        </w:rPr>
        <w:t>最短持有期限指从基金合同生效日（对认购份额而言，下同）、基金份额申购确认日（对申购份额而言，下同）或基金份额转换转入确认日（对转换转入份额而言，下同）起，至基金合同生效日、基金份额申购确认日或基金份额转换转入确认日次年的年度对应日的前一日。相应基金份额在最短持有期限内不可办理赎回及转换转出业务，最短持有期限届满后的下一个工作日起可以办理赎回及转换转出业务。</w:t>
        <w:br/>
      </w:r>
      <w:r>
        <w:rPr>
          <w:rFonts w:ascii="宋体" w:hAnsi="宋体" w:cs="宋体" w:eastAsia="宋体"/>
          <w:b w:val="false"/>
        </w:rPr>
        <w:t>因不可抗力或基金合同约定的其他情形致使基金管理人无法在基金份额的最短持有期限届满后按时开放办理该基金份额的赎回和转换转出业务的，则顺延至不可抗力或基金合同约定的其他情形的影响因素消除之日起的下一个工作日。</w:t>
      </w:r>
    </w:p>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vAlign w:val="center"/>
          </w:tcPr>
          <w:tcPr>
            <w:shd w:fill="d9d9d9"/>
          </w:tcPr>
          <w:p>
            <w:pPr>
              <w:spacing w:line="240" w:lineRule="auto"/>
              <w:jc w:val="center"/>
            </w:pPr>
            <w:r>
              <w:rPr>
                <w:rFonts w:ascii="宋体" w:hAnsi="宋体" w:cs="宋体" w:eastAsia="宋体"/>
                <w:b w:val="false"/>
              </w:rPr>
              <w:t>报告期（2026年01月01日-2026年03月31日）</w:t>
            </w:r>
          </w:p>
        </w:tc>
        <w:tc>
          <w:tcPr>
            <w:hMerge w:val="continue"/>
          </w:tcPr>
          <w:p/>
        </w:tc>
      </w:tr>
      <w:tr>
        <w:tc>
          <w:tcPr>
            <w:vMerge w:val="continue"/>
          </w:tcPr>
          <w:p/>
        </w:tc>
        <w:tc>
          <w:tcPr>
            <w:tcW w:type="pct" w:w="1500"/>
            <w:vAlign w:val="center"/>
          </w:tcPr>
          <w:tcPr>
            <w:shd w:fill="d9d9d9"/>
          </w:tcPr>
          <w:p>
            <w:pPr>
              <w:spacing w:line="240" w:lineRule="auto"/>
              <w:jc w:val="center"/>
            </w:pPr>
            <w:r>
              <w:rPr>
                <w:rFonts w:ascii="宋体" w:hAnsi="宋体" w:cs="宋体" w:eastAsia="宋体"/>
                <w:b w:val="false"/>
              </w:rPr>
              <w:t>东方阿尔法兴科一年持有混合A</w:t>
            </w:r>
          </w:p>
        </w:tc>
        <w:tc>
          <w:tcPr>
            <w:tcW w:type="pct" w:w="1500"/>
            <w:vAlign w:val="center"/>
          </w:tcPr>
          <w:tcPr>
            <w:shd w:fill="d9d9d9"/>
          </w:tcPr>
          <w:p>
            <w:pPr>
              <w:spacing w:line="240" w:lineRule="auto"/>
              <w:jc w:val="center"/>
            </w:pPr>
            <w:r>
              <w:rPr>
                <w:rFonts w:ascii="宋体" w:hAnsi="宋体" w:cs="宋体" w:eastAsia="宋体"/>
                <w:b w:val="false"/>
              </w:rPr>
              <w:t>东方阿尔法兴科一年持有混合C</w:t>
            </w:r>
          </w:p>
        </w:tc>
      </w:tr>
      <w:tr>
        <w:tc>
          <w:tcPr>
            <w:tcW/>
            <w:vAlign w:val="center"/>
          </w:tcPr>
          <w:p>
            <w:pPr>
              <w:spacing w:line="240" w:lineRule="auto"/>
              <w:jc w:val="left"/>
            </w:pPr>
            <w:r>
              <w:rPr>
                <w:rFonts w:ascii="宋体" w:hAnsi="宋体" w:cs="宋体" w:eastAsia="宋体"/>
                <w:b w:val="false"/>
              </w:rPr>
              <w:t>1.本期已实现收益</w:t>
            </w:r>
          </w:p>
        </w:tc>
        <w:tc>
          <w:tcPr>
            <w:tcW w:type="pct" w:w="1500"/>
            <w:vAlign w:val="center"/>
          </w:tcPr>
          <w:p>
            <w:pPr>
              <w:spacing w:line="240" w:lineRule="auto"/>
              <w:jc w:val="right"/>
            </w:pPr>
            <w:r>
              <w:rPr>
                <w:rFonts w:ascii="宋体" w:hAnsi="宋体" w:cs="宋体" w:eastAsia="宋体"/>
                <w:b w:val="false"/>
              </w:rPr>
              <w:t>5,837,345.19</w:t>
            </w:r>
          </w:p>
        </w:tc>
        <w:tc>
          <w:tcPr>
            <w:tcW w:type="pct" w:w="1500"/>
            <w:vAlign w:val="center"/>
          </w:tcPr>
          <w:p>
            <w:pPr>
              <w:spacing w:line="240" w:lineRule="auto"/>
              <w:jc w:val="right"/>
            </w:pPr>
            <w:r>
              <w:rPr>
                <w:rFonts w:ascii="宋体" w:hAnsi="宋体" w:cs="宋体" w:eastAsia="宋体"/>
                <w:b w:val="false"/>
              </w:rPr>
              <w:t>1,082,738.91</w:t>
            </w:r>
          </w:p>
        </w:tc>
      </w:tr>
      <w:tr>
        <w:tc>
          <w:tcPr>
            <w:tcW/>
            <w:vAlign w:val="center"/>
          </w:tcPr>
          <w:p>
            <w:pPr>
              <w:spacing w:line="240" w:lineRule="auto"/>
              <w:jc w:val="left"/>
            </w:pPr>
            <w:r>
              <w:rPr>
                <w:rFonts w:ascii="宋体" w:hAnsi="宋体" w:cs="宋体" w:eastAsia="宋体"/>
                <w:b w:val="false"/>
              </w:rPr>
              <w:t>2.本期利润</w:t>
            </w:r>
          </w:p>
        </w:tc>
        <w:tc>
          <w:tcPr>
            <w:tcW w:type="pct" w:w="1500"/>
            <w:vAlign w:val="center"/>
          </w:tcPr>
          <w:p>
            <w:pPr>
              <w:spacing w:line="240" w:lineRule="auto"/>
              <w:jc w:val="right"/>
            </w:pPr>
            <w:r>
              <w:rPr>
                <w:rFonts w:ascii="宋体" w:hAnsi="宋体" w:cs="宋体" w:eastAsia="宋体"/>
                <w:b w:val="false"/>
              </w:rPr>
              <w:t>159,455.93</w:t>
            </w:r>
          </w:p>
        </w:tc>
        <w:tc>
          <w:tcPr>
            <w:tcW w:type="pct" w:w="1500"/>
            <w:vAlign w:val="center"/>
          </w:tcPr>
          <w:p>
            <w:pPr>
              <w:spacing w:line="240" w:lineRule="auto"/>
              <w:jc w:val="right"/>
            </w:pPr>
            <w:r>
              <w:rPr>
                <w:rFonts w:ascii="宋体" w:hAnsi="宋体" w:cs="宋体" w:eastAsia="宋体"/>
                <w:b w:val="false"/>
              </w:rPr>
              <w:t>99,253.58</w:t>
            </w:r>
          </w:p>
        </w:tc>
      </w:tr>
      <w:tr>
        <w:tc>
          <w:tcPr>
            <w:tcW/>
            <w:vAlign w:val="center"/>
          </w:tcPr>
          <w:p>
            <w:pPr>
              <w:spacing w:line="240" w:lineRule="auto"/>
              <w:jc w:val="left"/>
            </w:pPr>
            <w:r>
              <w:rPr>
                <w:rFonts w:ascii="宋体" w:hAnsi="宋体" w:cs="宋体" w:eastAsia="宋体"/>
                <w:b w:val="false"/>
              </w:rPr>
              <w:t>3.加权平均基金份额本期利润</w:t>
            </w:r>
          </w:p>
        </w:tc>
        <w:tc>
          <w:tcPr>
            <w:tcW w:type="pct" w:w="1500"/>
            <w:vAlign w:val="center"/>
          </w:tcPr>
          <w:p>
            <w:pPr>
              <w:spacing w:line="240" w:lineRule="auto"/>
              <w:jc w:val="right"/>
            </w:pPr>
            <w:r>
              <w:rPr>
                <w:rFonts w:ascii="宋体" w:hAnsi="宋体" w:cs="宋体" w:eastAsia="宋体"/>
                <w:b w:val="false"/>
              </w:rPr>
              <w:t>0.0029</w:t>
            </w:r>
          </w:p>
        </w:tc>
        <w:tc>
          <w:tcPr>
            <w:tcW w:type="pct" w:w="1500"/>
            <w:vAlign w:val="center"/>
          </w:tcPr>
          <w:p>
            <w:pPr>
              <w:spacing w:line="240" w:lineRule="auto"/>
              <w:jc w:val="right"/>
            </w:pPr>
            <w:r>
              <w:rPr>
                <w:rFonts w:ascii="宋体" w:hAnsi="宋体" w:cs="宋体" w:eastAsia="宋体"/>
                <w:b w:val="false"/>
              </w:rPr>
              <w:t>0.0093</w:t>
            </w:r>
          </w:p>
        </w:tc>
      </w:tr>
      <w:tr>
        <w:tc>
          <w:tcPr>
            <w:tcW/>
            <w:vAlign w:val="center"/>
          </w:tcPr>
          <w:p>
            <w:pPr>
              <w:spacing w:line="240" w:lineRule="auto"/>
              <w:jc w:val="left"/>
            </w:pPr>
            <w:r>
              <w:rPr>
                <w:rFonts w:ascii="宋体" w:hAnsi="宋体" w:cs="宋体" w:eastAsia="宋体"/>
                <w:b w:val="false"/>
              </w:rPr>
              <w:t>4.期末基金资产净值</w:t>
            </w:r>
          </w:p>
        </w:tc>
        <w:tc>
          <w:tcPr>
            <w:tcW w:type="pct" w:w="1500"/>
            <w:vAlign w:val="center"/>
          </w:tcPr>
          <w:p>
            <w:pPr>
              <w:spacing w:line="240" w:lineRule="auto"/>
              <w:jc w:val="right"/>
            </w:pPr>
            <w:r>
              <w:rPr>
                <w:rFonts w:ascii="宋体" w:hAnsi="宋体" w:cs="宋体" w:eastAsia="宋体"/>
                <w:b w:val="false"/>
              </w:rPr>
              <w:t>51,856,543.25</w:t>
            </w:r>
          </w:p>
        </w:tc>
        <w:tc>
          <w:tcPr>
            <w:tcW w:type="pct" w:w="1500"/>
            <w:vAlign w:val="center"/>
          </w:tcPr>
          <w:p>
            <w:pPr>
              <w:spacing w:line="240" w:lineRule="auto"/>
              <w:jc w:val="right"/>
            </w:pPr>
            <w:r>
              <w:rPr>
                <w:rFonts w:ascii="宋体" w:hAnsi="宋体" w:cs="宋体" w:eastAsia="宋体"/>
                <w:b w:val="false"/>
              </w:rPr>
              <w:t>9,177,770.75</w:t>
            </w:r>
          </w:p>
        </w:tc>
      </w:tr>
      <w:tr>
        <w:tc>
          <w:tcPr>
            <w:tcW/>
            <w:vAlign w:val="center"/>
          </w:tcPr>
          <w:p>
            <w:pPr>
              <w:spacing w:line="240" w:lineRule="auto"/>
              <w:jc w:val="left"/>
            </w:pPr>
            <w:r>
              <w:rPr>
                <w:rFonts w:ascii="宋体" w:hAnsi="宋体" w:cs="宋体" w:eastAsia="宋体"/>
                <w:b w:val="false"/>
              </w:rPr>
              <w:t>5.期末基金份额净值</w:t>
            </w:r>
          </w:p>
        </w:tc>
        <w:tc>
          <w:tcPr>
            <w:tcW w:type="pct" w:w="1500"/>
            <w:vAlign w:val="center"/>
          </w:tcPr>
          <w:p>
            <w:pPr>
              <w:spacing w:line="240" w:lineRule="auto"/>
              <w:jc w:val="right"/>
            </w:pPr>
            <w:r>
              <w:rPr>
                <w:rFonts w:ascii="宋体" w:hAnsi="宋体" w:cs="宋体" w:eastAsia="宋体"/>
                <w:b w:val="false"/>
              </w:rPr>
              <w:t>0.9857</w:t>
            </w:r>
          </w:p>
        </w:tc>
        <w:tc>
          <w:tcPr>
            <w:tcW w:type="pct" w:w="1500"/>
            <w:vAlign w:val="center"/>
          </w:tcPr>
          <w:p>
            <w:pPr>
              <w:spacing w:line="240" w:lineRule="auto"/>
              <w:jc w:val="right"/>
            </w:pPr>
            <w:r>
              <w:rPr>
                <w:rFonts w:ascii="宋体" w:hAnsi="宋体" w:cs="宋体" w:eastAsia="宋体"/>
                <w:b w:val="false"/>
              </w:rPr>
              <w:t>0.9651</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b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pPr>
        <w:pStyle w:val="zhangjiep2"/>
      </w:pPr>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东方阿尔法兴科一年持有混合A净值表现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-0.34%</w:t>
            </w:r>
          </w:p>
        </w:tc>
        <w:tc>
          <w:tcPr>
            <w:tcW/>
            <w:vAlign w:val="center"/>
          </w:tcPr>
          <w:p>
            <w:pPr>
              <w:spacing w:line="240" w:lineRule="auto"/>
              <w:jc w:val="right"/>
            </w:pPr>
            <w:r>
              <w:rPr>
                <w:rFonts w:ascii="宋体" w:hAnsi="宋体" w:cs="宋体" w:eastAsia="宋体"/>
                <w:b w:val="false"/>
              </w:rPr>
              <w:t>1.02%</w:t>
            </w:r>
          </w:p>
        </w:tc>
        <w:tc>
          <w:tcPr>
            <w:tcW/>
            <w:vAlign w:val="center"/>
          </w:tcPr>
          <w:p>
            <w:pPr>
              <w:spacing w:line="240" w:lineRule="auto"/>
              <w:jc w:val="right"/>
            </w:pPr>
            <w:r>
              <w:rPr>
                <w:rFonts w:ascii="宋体" w:hAnsi="宋体" w:cs="宋体" w:eastAsia="宋体"/>
                <w:b w:val="false"/>
              </w:rPr>
              <w:t>-2.23%</w:t>
            </w:r>
          </w:p>
        </w:tc>
        <w:tc>
          <w:tcPr>
            <w:tcW/>
            <w:vAlign w:val="center"/>
          </w:tcPr>
          <w:p>
            <w:pPr>
              <w:spacing w:line="240" w:lineRule="auto"/>
              <w:jc w:val="right"/>
            </w:pPr>
            <w:r>
              <w:rPr>
                <w:rFonts w:ascii="宋体" w:hAnsi="宋体" w:cs="宋体" w:eastAsia="宋体"/>
                <w:b w:val="false"/>
              </w:rPr>
              <w:t>0.88%</w:t>
            </w:r>
          </w:p>
        </w:tc>
        <w:tc>
          <w:tcPr>
            <w:tcW/>
            <w:vAlign w:val="center"/>
          </w:tcPr>
          <w:p>
            <w:pPr>
              <w:spacing w:line="240" w:lineRule="auto"/>
              <w:jc w:val="right"/>
            </w:pPr>
            <w:r>
              <w:rPr>
                <w:rFonts w:ascii="宋体" w:hAnsi="宋体" w:cs="宋体" w:eastAsia="宋体"/>
                <w:b w:val="false"/>
              </w:rPr>
              <w:t>1.89%</w:t>
            </w:r>
          </w:p>
        </w:tc>
        <w:tc>
          <w:tcPr>
            <w:tcW/>
            <w:vAlign w:val="center"/>
          </w:tcPr>
          <w:p>
            <w:pPr>
              <w:spacing w:line="240" w:lineRule="auto"/>
              <w:jc w:val="right"/>
            </w:pPr>
            <w:r>
              <w:rPr>
                <w:rFonts w:ascii="宋体" w:hAnsi="宋体" w:cs="宋体" w:eastAsia="宋体"/>
                <w:b w:val="false"/>
              </w:rPr>
              <w:t>0.14%</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6.13%</w:t>
            </w:r>
          </w:p>
        </w:tc>
        <w:tc>
          <w:tcPr>
            <w:tcW/>
            <w:vAlign w:val="center"/>
          </w:tcPr>
          <w:p>
            <w:pPr>
              <w:spacing w:line="240" w:lineRule="auto"/>
              <w:jc w:val="right"/>
            </w:pPr>
            <w:r>
              <w:rPr>
                <w:rFonts w:ascii="宋体" w:hAnsi="宋体" w:cs="宋体" w:eastAsia="宋体"/>
                <w:b w:val="false"/>
              </w:rPr>
              <w:t>0.90%</w:t>
            </w:r>
          </w:p>
        </w:tc>
        <w:tc>
          <w:tcPr>
            <w:tcW/>
            <w:vAlign w:val="center"/>
          </w:tcPr>
          <w:p>
            <w:pPr>
              <w:spacing w:line="240" w:lineRule="auto"/>
              <w:jc w:val="right"/>
            </w:pPr>
            <w:r>
              <w:rPr>
                <w:rFonts w:ascii="宋体" w:hAnsi="宋体" w:cs="宋体" w:eastAsia="宋体"/>
                <w:b w:val="false"/>
              </w:rPr>
              <w:t>-3.16%</w:t>
            </w:r>
          </w:p>
        </w:tc>
        <w:tc>
          <w:tcPr>
            <w:tcW/>
            <w:vAlign w:val="center"/>
          </w:tcPr>
          <w:p>
            <w:pPr>
              <w:spacing w:line="240" w:lineRule="auto"/>
              <w:jc w:val="right"/>
            </w:pPr>
            <w:r>
              <w:rPr>
                <w:rFonts w:ascii="宋体" w:hAnsi="宋体" w:cs="宋体" w:eastAsia="宋体"/>
                <w:b w:val="false"/>
              </w:rPr>
              <w:t>0.83%</w:t>
            </w:r>
          </w:p>
        </w:tc>
        <w:tc>
          <w:tcPr>
            <w:tcW/>
            <w:vAlign w:val="center"/>
          </w:tcPr>
          <w:p>
            <w:pPr>
              <w:spacing w:line="240" w:lineRule="auto"/>
              <w:jc w:val="right"/>
            </w:pPr>
            <w:r>
              <w:rPr>
                <w:rFonts w:ascii="宋体" w:hAnsi="宋体" w:cs="宋体" w:eastAsia="宋体"/>
                <w:b w:val="false"/>
              </w:rPr>
              <w:t>9.29%</w:t>
            </w:r>
          </w:p>
        </w:tc>
        <w:tc>
          <w:tcPr>
            <w:tcW/>
            <w:vAlign w:val="center"/>
          </w:tcPr>
          <w:p>
            <w:pPr>
              <w:spacing w:line="240" w:lineRule="auto"/>
              <w:jc w:val="right"/>
            </w:pPr>
            <w:r>
              <w:rPr>
                <w:rFonts w:ascii="宋体" w:hAnsi="宋体" w:cs="宋体" w:eastAsia="宋体"/>
                <w:b w:val="false"/>
              </w:rPr>
              <w:t>0.07%</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10.45%</w:t>
            </w:r>
          </w:p>
        </w:tc>
        <w:tc>
          <w:tcPr>
            <w:tcW/>
            <w:vAlign w:val="center"/>
          </w:tcPr>
          <w:p>
            <w:pPr>
              <w:spacing w:line="240" w:lineRule="auto"/>
              <w:jc w:val="right"/>
            </w:pPr>
            <w:r>
              <w:rPr>
                <w:rFonts w:ascii="宋体" w:hAnsi="宋体" w:cs="宋体" w:eastAsia="宋体"/>
                <w:b w:val="false"/>
              </w:rPr>
              <w:t>1.07%</w:t>
            </w:r>
          </w:p>
        </w:tc>
        <w:tc>
          <w:tcPr>
            <w:tcW/>
            <w:vAlign w:val="center"/>
          </w:tcPr>
          <w:p>
            <w:pPr>
              <w:spacing w:line="240" w:lineRule="auto"/>
              <w:jc w:val="right"/>
            </w:pPr>
            <w:r>
              <w:rPr>
                <w:rFonts w:ascii="宋体" w:hAnsi="宋体" w:cs="宋体" w:eastAsia="宋体"/>
                <w:b w:val="false"/>
              </w:rPr>
              <w:t>12.24%</w:t>
            </w:r>
          </w:p>
        </w:tc>
        <w:tc>
          <w:tcPr>
            <w:tcW/>
            <w:vAlign w:val="center"/>
          </w:tcPr>
          <w:p>
            <w:pPr>
              <w:spacing w:line="240" w:lineRule="auto"/>
              <w:jc w:val="right"/>
            </w:pPr>
            <w:r>
              <w:rPr>
                <w:rFonts w:ascii="宋体" w:hAnsi="宋体" w:cs="宋体" w:eastAsia="宋体"/>
                <w:b w:val="false"/>
              </w:rPr>
              <w:t>0.86%</w:t>
            </w:r>
          </w:p>
        </w:tc>
        <w:tc>
          <w:tcPr>
            <w:tcW/>
            <w:vAlign w:val="center"/>
          </w:tcPr>
          <w:p>
            <w:pPr>
              <w:spacing w:line="240" w:lineRule="auto"/>
              <w:jc w:val="right"/>
            </w:pPr>
            <w:r>
              <w:rPr>
                <w:rFonts w:ascii="宋体" w:hAnsi="宋体" w:cs="宋体" w:eastAsia="宋体"/>
                <w:b w:val="false"/>
              </w:rPr>
              <w:t>-1.79%</w:t>
            </w:r>
          </w:p>
        </w:tc>
        <w:tc>
          <w:tcPr>
            <w:tcW/>
            <w:vAlign w:val="center"/>
          </w:tcPr>
          <w:p>
            <w:pPr>
              <w:spacing w:line="240" w:lineRule="auto"/>
              <w:jc w:val="right"/>
            </w:pPr>
            <w:r>
              <w:rPr>
                <w:rFonts w:ascii="宋体" w:hAnsi="宋体" w:cs="宋体" w:eastAsia="宋体"/>
                <w:b w:val="false"/>
              </w:rPr>
              <w:t>0.21%</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11.34%</w:t>
            </w:r>
          </w:p>
        </w:tc>
        <w:tc>
          <w:tcPr>
            <w:tcW/>
            <w:vAlign w:val="center"/>
          </w:tcPr>
          <w:p>
            <w:pPr>
              <w:spacing w:line="240" w:lineRule="auto"/>
              <w:jc w:val="right"/>
            </w:pPr>
            <w:r>
              <w:rPr>
                <w:rFonts w:ascii="宋体" w:hAnsi="宋体" w:cs="宋体" w:eastAsia="宋体"/>
                <w:b w:val="false"/>
              </w:rPr>
              <w:t>1.38%</w:t>
            </w:r>
          </w:p>
        </w:tc>
        <w:tc>
          <w:tcPr>
            <w:tcW/>
            <w:vAlign w:val="center"/>
          </w:tcPr>
          <w:p>
            <w:pPr>
              <w:spacing w:line="240" w:lineRule="auto"/>
              <w:jc w:val="right"/>
            </w:pPr>
            <w:r>
              <w:rPr>
                <w:rFonts w:ascii="宋体" w:hAnsi="宋体" w:cs="宋体" w:eastAsia="宋体"/>
                <w:b w:val="false"/>
              </w:rPr>
              <w:t>16.43%</w:t>
            </w:r>
          </w:p>
        </w:tc>
        <w:tc>
          <w:tcPr>
            <w:tcW/>
            <w:vAlign w:val="center"/>
          </w:tcPr>
          <w:p>
            <w:pPr>
              <w:spacing w:line="240" w:lineRule="auto"/>
              <w:jc w:val="right"/>
            </w:pPr>
            <w:r>
              <w:rPr>
                <w:rFonts w:ascii="宋体" w:hAnsi="宋体" w:cs="宋体" w:eastAsia="宋体"/>
                <w:b w:val="false"/>
              </w:rPr>
              <w:t>0.88%</w:t>
            </w:r>
          </w:p>
        </w:tc>
        <w:tc>
          <w:tcPr>
            <w:tcW/>
            <w:vAlign w:val="center"/>
          </w:tcPr>
          <w:p>
            <w:pPr>
              <w:spacing w:line="240" w:lineRule="auto"/>
              <w:jc w:val="right"/>
            </w:pPr>
            <w:r>
              <w:rPr>
                <w:rFonts w:ascii="宋体" w:hAnsi="宋体" w:cs="宋体" w:eastAsia="宋体"/>
                <w:b w:val="false"/>
              </w:rPr>
              <w:t>-5.09%</w:t>
            </w:r>
          </w:p>
        </w:tc>
        <w:tc>
          <w:tcPr>
            <w:tcW/>
            <w:vAlign w:val="center"/>
          </w:tcPr>
          <w:p>
            <w:pPr>
              <w:spacing w:line="240" w:lineRule="auto"/>
              <w:jc w:val="right"/>
            </w:pPr>
            <w:r>
              <w:rPr>
                <w:rFonts w:ascii="宋体" w:hAnsi="宋体" w:cs="宋体" w:eastAsia="宋体"/>
                <w:b w:val="false"/>
              </w:rPr>
              <w:t>0.50%</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-1.43%</w:t>
            </w:r>
          </w:p>
        </w:tc>
        <w:tc>
          <w:tcPr>
            <w:tcW/>
            <w:vAlign w:val="center"/>
          </w:tcPr>
          <w:p>
            <w:pPr>
              <w:spacing w:line="240" w:lineRule="auto"/>
              <w:jc w:val="right"/>
            </w:pPr>
            <w:r>
              <w:rPr>
                <w:rFonts w:ascii="宋体" w:hAnsi="宋体" w:cs="宋体" w:eastAsia="宋体"/>
                <w:b w:val="false"/>
              </w:rPr>
              <w:t>1.39%</w:t>
            </w:r>
          </w:p>
        </w:tc>
        <w:tc>
          <w:tcPr>
            <w:tcW/>
            <w:vAlign w:val="center"/>
          </w:tcPr>
          <w:p>
            <w:pPr>
              <w:spacing w:line="240" w:lineRule="auto"/>
              <w:jc w:val="right"/>
            </w:pPr>
            <w:r>
              <w:rPr>
                <w:rFonts w:ascii="宋体" w:hAnsi="宋体" w:cs="宋体" w:eastAsia="宋体"/>
                <w:b w:val="false"/>
              </w:rPr>
              <w:t>22.87%</w:t>
            </w:r>
          </w:p>
        </w:tc>
        <w:tc>
          <w:tcPr>
            <w:tcW/>
            <w:vAlign w:val="center"/>
          </w:tcPr>
          <w:p>
            <w:pPr>
              <w:spacing w:line="240" w:lineRule="auto"/>
              <w:jc w:val="right"/>
            </w:pPr>
            <w:r>
              <w:rPr>
                <w:rFonts w:ascii="宋体" w:hAnsi="宋体" w:cs="宋体" w:eastAsia="宋体"/>
                <w:b w:val="false"/>
              </w:rPr>
              <w:t>0.89%</w:t>
            </w:r>
          </w:p>
        </w:tc>
        <w:tc>
          <w:tcPr>
            <w:tcW/>
            <w:vAlign w:val="center"/>
          </w:tcPr>
          <w:p>
            <w:pPr>
              <w:spacing w:line="240" w:lineRule="auto"/>
              <w:jc w:val="right"/>
            </w:pPr>
            <w:r>
              <w:rPr>
                <w:rFonts w:ascii="宋体" w:hAnsi="宋体" w:cs="宋体" w:eastAsia="宋体"/>
                <w:b w:val="false"/>
              </w:rPr>
              <w:t>-24.30%</w:t>
            </w:r>
          </w:p>
        </w:tc>
        <w:tc>
          <w:tcPr>
            <w:tcW/>
            <w:vAlign w:val="center"/>
          </w:tcPr>
          <w:p>
            <w:pPr>
              <w:spacing w:line="240" w:lineRule="auto"/>
              <w:jc w:val="right"/>
            </w:pPr>
            <w:r>
              <w:rPr>
                <w:rFonts w:ascii="宋体" w:hAnsi="宋体" w:cs="宋体" w:eastAsia="宋体"/>
                <w:b w:val="false"/>
              </w:rPr>
              <w:t>0.50%</w:t>
            </w:r>
          </w:p>
        </w:tc>
      </w:tr>
    </w:tbl>
    <w:p>
      <w:pPr>
        <w:jc w:val="left"/>
      </w:pPr>
      <w:r>
        <w:rPr>
          <w:rFonts w:ascii="宋体" w:hAnsi="宋体" w:cs="宋体" w:eastAsia="宋体"/>
          <w:b w:val="true"/>
        </w:rPr>
        <w:t>东方阿尔法兴科一年持有混合C净值表现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-0.48%</w:t>
            </w:r>
          </w:p>
        </w:tc>
        <w:tc>
          <w:tcPr>
            <w:tcW/>
            <w:vAlign w:val="center"/>
          </w:tcPr>
          <w:p>
            <w:pPr>
              <w:spacing w:line="240" w:lineRule="auto"/>
              <w:jc w:val="right"/>
            </w:pPr>
            <w:r>
              <w:rPr>
                <w:rFonts w:ascii="宋体" w:hAnsi="宋体" w:cs="宋体" w:eastAsia="宋体"/>
                <w:b w:val="false"/>
              </w:rPr>
              <w:t>1.02%</w:t>
            </w:r>
          </w:p>
        </w:tc>
        <w:tc>
          <w:tcPr>
            <w:tcW/>
            <w:vAlign w:val="center"/>
          </w:tcPr>
          <w:p>
            <w:pPr>
              <w:spacing w:line="240" w:lineRule="auto"/>
              <w:jc w:val="right"/>
            </w:pPr>
            <w:r>
              <w:rPr>
                <w:rFonts w:ascii="宋体" w:hAnsi="宋体" w:cs="宋体" w:eastAsia="宋体"/>
                <w:b w:val="false"/>
              </w:rPr>
              <w:t>-2.23%</w:t>
            </w:r>
          </w:p>
        </w:tc>
        <w:tc>
          <w:tcPr>
            <w:tcW/>
            <w:vAlign w:val="center"/>
          </w:tcPr>
          <w:p>
            <w:pPr>
              <w:spacing w:line="240" w:lineRule="auto"/>
              <w:jc w:val="right"/>
            </w:pPr>
            <w:r>
              <w:rPr>
                <w:rFonts w:ascii="宋体" w:hAnsi="宋体" w:cs="宋体" w:eastAsia="宋体"/>
                <w:b w:val="false"/>
              </w:rPr>
              <w:t>0.88%</w:t>
            </w:r>
          </w:p>
        </w:tc>
        <w:tc>
          <w:tcPr>
            <w:tcW/>
            <w:vAlign w:val="center"/>
          </w:tcPr>
          <w:p>
            <w:pPr>
              <w:spacing w:line="240" w:lineRule="auto"/>
              <w:jc w:val="right"/>
            </w:pPr>
            <w:r>
              <w:rPr>
                <w:rFonts w:ascii="宋体" w:hAnsi="宋体" w:cs="宋体" w:eastAsia="宋体"/>
                <w:b w:val="false"/>
              </w:rPr>
              <w:t>1.75%</w:t>
            </w:r>
          </w:p>
        </w:tc>
        <w:tc>
          <w:tcPr>
            <w:tcW/>
            <w:vAlign w:val="center"/>
          </w:tcPr>
          <w:p>
            <w:pPr>
              <w:spacing w:line="240" w:lineRule="auto"/>
              <w:jc w:val="right"/>
            </w:pPr>
            <w:r>
              <w:rPr>
                <w:rFonts w:ascii="宋体" w:hAnsi="宋体" w:cs="宋体" w:eastAsia="宋体"/>
                <w:b w:val="false"/>
              </w:rPr>
              <w:t>0.14%</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5.80%</w:t>
            </w:r>
          </w:p>
        </w:tc>
        <w:tc>
          <w:tcPr>
            <w:tcW/>
            <w:vAlign w:val="center"/>
          </w:tcPr>
          <w:p>
            <w:pPr>
              <w:spacing w:line="240" w:lineRule="auto"/>
              <w:jc w:val="right"/>
            </w:pPr>
            <w:r>
              <w:rPr>
                <w:rFonts w:ascii="宋体" w:hAnsi="宋体" w:cs="宋体" w:eastAsia="宋体"/>
                <w:b w:val="false"/>
              </w:rPr>
              <w:t>0.90%</w:t>
            </w:r>
          </w:p>
        </w:tc>
        <w:tc>
          <w:tcPr>
            <w:tcW/>
            <w:vAlign w:val="center"/>
          </w:tcPr>
          <w:p>
            <w:pPr>
              <w:spacing w:line="240" w:lineRule="auto"/>
              <w:jc w:val="right"/>
            </w:pPr>
            <w:r>
              <w:rPr>
                <w:rFonts w:ascii="宋体" w:hAnsi="宋体" w:cs="宋体" w:eastAsia="宋体"/>
                <w:b w:val="false"/>
              </w:rPr>
              <w:t>-3.16%</w:t>
            </w:r>
          </w:p>
        </w:tc>
        <w:tc>
          <w:tcPr>
            <w:tcW/>
            <w:vAlign w:val="center"/>
          </w:tcPr>
          <w:p>
            <w:pPr>
              <w:spacing w:line="240" w:lineRule="auto"/>
              <w:jc w:val="right"/>
            </w:pPr>
            <w:r>
              <w:rPr>
                <w:rFonts w:ascii="宋体" w:hAnsi="宋体" w:cs="宋体" w:eastAsia="宋体"/>
                <w:b w:val="false"/>
              </w:rPr>
              <w:t>0.83%</w:t>
            </w:r>
          </w:p>
        </w:tc>
        <w:tc>
          <w:tcPr>
            <w:tcW/>
            <w:vAlign w:val="center"/>
          </w:tcPr>
          <w:p>
            <w:pPr>
              <w:spacing w:line="240" w:lineRule="auto"/>
              <w:jc w:val="right"/>
            </w:pPr>
            <w:r>
              <w:rPr>
                <w:rFonts w:ascii="宋体" w:hAnsi="宋体" w:cs="宋体" w:eastAsia="宋体"/>
                <w:b w:val="false"/>
              </w:rPr>
              <w:t>8.96%</w:t>
            </w:r>
          </w:p>
        </w:tc>
        <w:tc>
          <w:tcPr>
            <w:tcW/>
            <w:vAlign w:val="center"/>
          </w:tcPr>
          <w:p>
            <w:pPr>
              <w:spacing w:line="240" w:lineRule="auto"/>
              <w:jc w:val="right"/>
            </w:pPr>
            <w:r>
              <w:rPr>
                <w:rFonts w:ascii="宋体" w:hAnsi="宋体" w:cs="宋体" w:eastAsia="宋体"/>
                <w:b w:val="false"/>
              </w:rPr>
              <w:t>0.07%</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9.80%</w:t>
            </w:r>
          </w:p>
        </w:tc>
        <w:tc>
          <w:tcPr>
            <w:tcW/>
            <w:vAlign w:val="center"/>
          </w:tcPr>
          <w:p>
            <w:pPr>
              <w:spacing w:line="240" w:lineRule="auto"/>
              <w:jc w:val="right"/>
            </w:pPr>
            <w:r>
              <w:rPr>
                <w:rFonts w:ascii="宋体" w:hAnsi="宋体" w:cs="宋体" w:eastAsia="宋体"/>
                <w:b w:val="false"/>
              </w:rPr>
              <w:t>1.07%</w:t>
            </w:r>
          </w:p>
        </w:tc>
        <w:tc>
          <w:tcPr>
            <w:tcW/>
            <w:vAlign w:val="center"/>
          </w:tcPr>
          <w:p>
            <w:pPr>
              <w:spacing w:line="240" w:lineRule="auto"/>
              <w:jc w:val="right"/>
            </w:pPr>
            <w:r>
              <w:rPr>
                <w:rFonts w:ascii="宋体" w:hAnsi="宋体" w:cs="宋体" w:eastAsia="宋体"/>
                <w:b w:val="false"/>
              </w:rPr>
              <w:t>12.24%</w:t>
            </w:r>
          </w:p>
        </w:tc>
        <w:tc>
          <w:tcPr>
            <w:tcW/>
            <w:vAlign w:val="center"/>
          </w:tcPr>
          <w:p>
            <w:pPr>
              <w:spacing w:line="240" w:lineRule="auto"/>
              <w:jc w:val="right"/>
            </w:pPr>
            <w:r>
              <w:rPr>
                <w:rFonts w:ascii="宋体" w:hAnsi="宋体" w:cs="宋体" w:eastAsia="宋体"/>
                <w:b w:val="false"/>
              </w:rPr>
              <w:t>0.86%</w:t>
            </w:r>
          </w:p>
        </w:tc>
        <w:tc>
          <w:tcPr>
            <w:tcW/>
            <w:vAlign w:val="center"/>
          </w:tcPr>
          <w:p>
            <w:pPr>
              <w:spacing w:line="240" w:lineRule="auto"/>
              <w:jc w:val="right"/>
            </w:pPr>
            <w:r>
              <w:rPr>
                <w:rFonts w:ascii="宋体" w:hAnsi="宋体" w:cs="宋体" w:eastAsia="宋体"/>
                <w:b w:val="false"/>
              </w:rPr>
              <w:t>-2.44%</w:t>
            </w:r>
          </w:p>
        </w:tc>
        <w:tc>
          <w:tcPr>
            <w:tcW/>
            <w:vAlign w:val="center"/>
          </w:tcPr>
          <w:p>
            <w:pPr>
              <w:spacing w:line="240" w:lineRule="auto"/>
              <w:jc w:val="right"/>
            </w:pPr>
            <w:r>
              <w:rPr>
                <w:rFonts w:ascii="宋体" w:hAnsi="宋体" w:cs="宋体" w:eastAsia="宋体"/>
                <w:b w:val="false"/>
              </w:rPr>
              <w:t>0.21%</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9.35%</w:t>
            </w:r>
          </w:p>
        </w:tc>
        <w:tc>
          <w:tcPr>
            <w:tcW/>
            <w:vAlign w:val="center"/>
          </w:tcPr>
          <w:p>
            <w:pPr>
              <w:spacing w:line="240" w:lineRule="auto"/>
              <w:jc w:val="right"/>
            </w:pPr>
            <w:r>
              <w:rPr>
                <w:rFonts w:ascii="宋体" w:hAnsi="宋体" w:cs="宋体" w:eastAsia="宋体"/>
                <w:b w:val="false"/>
              </w:rPr>
              <w:t>1.38%</w:t>
            </w:r>
          </w:p>
        </w:tc>
        <w:tc>
          <w:tcPr>
            <w:tcW/>
            <w:vAlign w:val="center"/>
          </w:tcPr>
          <w:p>
            <w:pPr>
              <w:spacing w:line="240" w:lineRule="auto"/>
              <w:jc w:val="right"/>
            </w:pPr>
            <w:r>
              <w:rPr>
                <w:rFonts w:ascii="宋体" w:hAnsi="宋体" w:cs="宋体" w:eastAsia="宋体"/>
                <w:b w:val="false"/>
              </w:rPr>
              <w:t>16.43%</w:t>
            </w:r>
          </w:p>
        </w:tc>
        <w:tc>
          <w:tcPr>
            <w:tcW/>
            <w:vAlign w:val="center"/>
          </w:tcPr>
          <w:p>
            <w:pPr>
              <w:spacing w:line="240" w:lineRule="auto"/>
              <w:jc w:val="right"/>
            </w:pPr>
            <w:r>
              <w:rPr>
                <w:rFonts w:ascii="宋体" w:hAnsi="宋体" w:cs="宋体" w:eastAsia="宋体"/>
                <w:b w:val="false"/>
              </w:rPr>
              <w:t>0.88%</w:t>
            </w:r>
          </w:p>
        </w:tc>
        <w:tc>
          <w:tcPr>
            <w:tcW/>
            <w:vAlign w:val="center"/>
          </w:tcPr>
          <w:p>
            <w:pPr>
              <w:spacing w:line="240" w:lineRule="auto"/>
              <w:jc w:val="right"/>
            </w:pPr>
            <w:r>
              <w:rPr>
                <w:rFonts w:ascii="宋体" w:hAnsi="宋体" w:cs="宋体" w:eastAsia="宋体"/>
                <w:b w:val="false"/>
              </w:rPr>
              <w:t>-7.08%</w:t>
            </w:r>
          </w:p>
        </w:tc>
        <w:tc>
          <w:tcPr>
            <w:tcW/>
            <w:vAlign w:val="center"/>
          </w:tcPr>
          <w:p>
            <w:pPr>
              <w:spacing w:line="240" w:lineRule="auto"/>
              <w:jc w:val="right"/>
            </w:pPr>
            <w:r>
              <w:rPr>
                <w:rFonts w:ascii="宋体" w:hAnsi="宋体" w:cs="宋体" w:eastAsia="宋体"/>
                <w:b w:val="false"/>
              </w:rPr>
              <w:t>0.50%</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-3.49%</w:t>
            </w:r>
          </w:p>
        </w:tc>
        <w:tc>
          <w:tcPr>
            <w:tcW/>
            <w:vAlign w:val="center"/>
          </w:tcPr>
          <w:p>
            <w:pPr>
              <w:spacing w:line="240" w:lineRule="auto"/>
              <w:jc w:val="right"/>
            </w:pPr>
            <w:r>
              <w:rPr>
                <w:rFonts w:ascii="宋体" w:hAnsi="宋体" w:cs="宋体" w:eastAsia="宋体"/>
                <w:b w:val="false"/>
              </w:rPr>
              <w:t>1.39%</w:t>
            </w:r>
          </w:p>
        </w:tc>
        <w:tc>
          <w:tcPr>
            <w:tcW/>
            <w:vAlign w:val="center"/>
          </w:tcPr>
          <w:p>
            <w:pPr>
              <w:spacing w:line="240" w:lineRule="auto"/>
              <w:jc w:val="right"/>
            </w:pPr>
            <w:r>
              <w:rPr>
                <w:rFonts w:ascii="宋体" w:hAnsi="宋体" w:cs="宋体" w:eastAsia="宋体"/>
                <w:b w:val="false"/>
              </w:rPr>
              <w:t>22.87%</w:t>
            </w:r>
          </w:p>
        </w:tc>
        <w:tc>
          <w:tcPr>
            <w:tcW/>
            <w:vAlign w:val="center"/>
          </w:tcPr>
          <w:p>
            <w:pPr>
              <w:spacing w:line="240" w:lineRule="auto"/>
              <w:jc w:val="right"/>
            </w:pPr>
            <w:r>
              <w:rPr>
                <w:rFonts w:ascii="宋体" w:hAnsi="宋体" w:cs="宋体" w:eastAsia="宋体"/>
                <w:b w:val="false"/>
              </w:rPr>
              <w:t>0.89%</w:t>
            </w:r>
          </w:p>
        </w:tc>
        <w:tc>
          <w:tcPr>
            <w:tcW/>
            <w:vAlign w:val="center"/>
          </w:tcPr>
          <w:p>
            <w:pPr>
              <w:spacing w:line="240" w:lineRule="auto"/>
              <w:jc w:val="right"/>
            </w:pPr>
            <w:r>
              <w:rPr>
                <w:rFonts w:ascii="宋体" w:hAnsi="宋体" w:cs="宋体" w:eastAsia="宋体"/>
                <w:b w:val="false"/>
              </w:rPr>
              <w:t>-26.36%</w:t>
            </w:r>
          </w:p>
        </w:tc>
        <w:tc>
          <w:tcPr>
            <w:tcW/>
            <w:vAlign w:val="center"/>
          </w:tcPr>
          <w:p>
            <w:pPr>
              <w:spacing w:line="240" w:lineRule="auto"/>
              <w:jc w:val="right"/>
            </w:pPr>
            <w:r>
              <w:rPr>
                <w:rFonts w:ascii="宋体" w:hAnsi="宋体" w:cs="宋体" w:eastAsia="宋体"/>
                <w:b w:val="false"/>
              </w:rPr>
              <w:t>0.50%</w:t>
            </w:r>
          </w:p>
        </w:tc>
      </w:tr>
    </w:tbl>
    <w:p>
      <w:r>
        <w:rPr>
          <w:rFonts w:ascii="宋体" w:hAnsi="宋体" w:cs="宋体" w:eastAsia="宋体"/>
          <w:b w:val="false"/>
        </w:rPr>
        <w:t>注：1、本基金业绩比较基准为：中证800指数收益率×60%+中证综合债券指数收益率×20%+恒生指数收益率×20%。</w:t>
        <w:br/>
      </w:r>
      <w:r>
        <w:rPr>
          <w:rFonts w:ascii="宋体" w:hAnsi="宋体" w:cs="宋体" w:eastAsia="宋体"/>
          <w:b w:val="false"/>
        </w:rPr>
        <w:t>2、本基金自2022年09月28日成立至今尚未满五年，无过去五年的净值表现。</w:t>
      </w:r>
    </w:p>
    <w:p/>
    <w:p>
      <w:pPr>
        <w:pStyle w:val="zhangjiep2"/>
      </w:pPr>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尹智斌</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2023-11-01</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8年</w:t>
            </w:r>
          </w:p>
        </w:tc>
        <w:tc>
          <w:tcPr>
            <w:tcW/>
            <w:vAlign w:val="center"/>
          </w:tcPr>
          <w:p>
            <w:pPr>
              <w:spacing w:line="240" w:lineRule="auto"/>
              <w:jc w:val="left"/>
            </w:pPr>
            <w:r>
              <w:rPr>
                <w:rFonts w:ascii="宋体" w:hAnsi="宋体" w:cs="宋体" w:eastAsia="宋体"/>
                <w:b w:val="false"/>
              </w:rPr>
              <w:t>尹智斌先生，清华大学工学及经济学双学士，清华大学工学硕士，历任东方阿尔法基金管理有限公司电子、传媒互联网、建筑建材、社服行业研究员，曾担任东方阿尔法优选混合型发起式证券投资基金基金经理助理。现任东方阿尔法基金管理有限公司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br/>
      </w:r>
      <w:r>
        <w:rPr>
          <w:rFonts w:ascii="宋体" w:hAnsi="宋体" w:cs="宋体" w:eastAsia="宋体"/>
          <w:b w:val="false"/>
        </w:rPr>
        <w:t>2.证券从业的含义遵从《证券基金经营机构董事、监事、高级管理人员及从业人员监督管理办法》的相关规定。</w:t>
      </w:r>
    </w:p>
    <w:p/>
    <w:p>
      <w:pPr>
        <w:pStyle w:val="zhangjiep2"/>
      </w:pPr>
      <w:r>
        <w:rPr>
          <w:rStyle w:val="正文"/>
          <w:rFonts w:ascii="宋体" w:hAnsi="宋体" w:cs="宋体" w:eastAsia="宋体"/>
          <w:b w:val="true"/>
        </w:rPr>
        <w:t>4.1.1 期末兼任私募资产管理计划投资经理的基金经理同时管理的产品情况</w:t>
      </w:r>
    </w:p>
    <w:p>
      <w:r>
        <w:rPr>
          <w:rFonts w:ascii="宋体" w:hAnsi="宋体" w:cs="宋体" w:eastAsia="宋体"/>
          <w:b w:val="false"/>
        </w:rPr>
        <w:t xml:space="preserve">    无。</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pPr>
        <w:pStyle w:val="zhangjiep2"/>
      </w:pPr>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b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zhangjiep2"/>
      </w:pPr>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报告期内，市场风险偏好依然处于较高状态，成长股行情持续演绎，结合本基金能力圈及投资确定性考量，本基金依然坚守偏价值、重分红的投资范围，聚焦稳健回报，追求“稳稳的幸福”。自2024年4月国务院印发资本市场新“国九条”以来，相关政策有助于推动资本市场从融资性市场向投资性市场转型，构成资本市场发展的历史性重要拐点，本基金予以高度重视。从发达国家资本市场发展经验来看，当经济进入高质量发展阶段，资本市场往往更加重视中小股东利益，逐步步入慢牛长牛周期。围绕经济高质量发展目标，新“国九条”明确提出多措并举提高上市公司股息率，增强分红的稳定性、持续性和可预期性。</w:t>
        <w:br/>
      </w:r>
      <w:r>
        <w:rPr>
          <w:rFonts w:ascii="宋体" w:hAnsi="宋体" w:cs="宋体" w:eastAsia="宋体"/>
          <w:b w:val="false"/>
        </w:rPr>
        <w:t xml:space="preserve">    事实上，过去一段时间以来，上市公司提高分红的程度确实在持续提升，只是在成长股行情的背景下稍显逊色，但相较于债券市场已具备较强的投资吸引力，值得追求稳健回报、注重回撤控制的投资者重点关注。</w:t>
        <w:br/>
      </w:r>
      <w:r>
        <w:rPr>
          <w:rFonts w:ascii="宋体" w:hAnsi="宋体" w:cs="宋体" w:eastAsia="宋体"/>
          <w:b w:val="false"/>
        </w:rPr>
        <w:t xml:space="preserve">    目前本基金整体运作思路仍以追求稳健回报、实现“稳稳的幸福”为核心，主要结合上市公司分红水平、现金流质量、估值合理性、竞争格局及商业模式等维度进行均衡配置，具体布局方向如下：</w:t>
        <w:br/>
      </w:r>
      <w:r>
        <w:rPr>
          <w:rFonts w:ascii="宋体" w:hAnsi="宋体" w:cs="宋体" w:eastAsia="宋体"/>
          <w:b w:val="false"/>
        </w:rPr>
        <w:t xml:space="preserve">    （1）内需相关龙头企业，包括物业、家电等领域。当前市场对内需复苏仍存担忧，此类企业估值已处于较低区间，未来在超常规逆周期调节政策发力下，其业绩的悲观预期有望得到显著修复。</w:t>
        <w:br/>
      </w:r>
      <w:r>
        <w:rPr>
          <w:rFonts w:ascii="宋体" w:hAnsi="宋体" w:cs="宋体" w:eastAsia="宋体"/>
          <w:b w:val="false"/>
        </w:rPr>
        <w:t xml:space="preserve">    （2）制造业细分龙头企业。广义制造业领域中，机械、轻工、电子等行业已涌现出一批竞争格局稳定、现金流表现优异的细分龙头，当前受内需悲观预期影响估值处于低位。随着行业发展，此类企业远期资本开支有望大幅下降，自由现金流将逐步改善，潜在分红能力持续增强。同时，本基金也重点关注部分低估值、具备出海逻辑的制造业龙头，其产品海外竞争力正持续提升。</w:t>
        <w:br/>
      </w:r>
      <w:r>
        <w:rPr>
          <w:rFonts w:ascii="宋体" w:hAnsi="宋体" w:cs="宋体" w:eastAsia="宋体"/>
          <w:b w:val="false"/>
        </w:rPr>
        <w:t xml:space="preserve">    （3）上游资源类企业，目前主要聚焦油气相关低估值、高现金流标的。</w:t>
        <w:br/>
      </w:r>
      <w:r>
        <w:rPr>
          <w:rFonts w:ascii="宋体" w:hAnsi="宋体" w:cs="宋体" w:eastAsia="宋体"/>
          <w:b w:val="false"/>
        </w:rPr>
        <w:t xml:space="preserve">    当前诸多行业中小企业仍面临较大经营压力，部分企业面临出清风险，而行业龙头企业估值已压至较低水平。未来在超常规逆周期调节政策推动下，龙头企业有望抢占中小企业出清释放的市场份额，具备较大业绩弹性，后续组合将继续偏好布局行业龙头企业。</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兴科一年持有混合A基金份额净值为0.9857元，本报告期内，该类基金份额净值增长率为-0.34%，同期业绩比较基准收益率为-2.23%；截至报告期末东方阿尔法兴科一年持有混合C基金份额净值为0.9651元，本报告期内，该类基金份额净值增长率为-0.48%，同期业绩比较基准收益率为-2.23%。</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本报告期内，本基金未出现连续20个工作日基金份额持有人数量不满200人或者基金资产净值低于5000万的情形。</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55,604,811.77</w:t>
            </w:r>
          </w:p>
        </w:tc>
        <w:tc>
          <w:tcPr>
            <w:tcW/>
            <w:vAlign w:val="center"/>
          </w:tcPr>
          <w:p>
            <w:pPr>
              <w:spacing w:line="240" w:lineRule="auto"/>
              <w:jc w:val="right"/>
            </w:pPr>
            <w:r>
              <w:rPr>
                <w:rFonts w:ascii="宋体" w:hAnsi="宋体" w:cs="宋体" w:eastAsia="宋体"/>
                <w:b w:val="false"/>
              </w:rPr>
              <w:t>90.38</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55,604,811.77</w:t>
            </w:r>
          </w:p>
        </w:tc>
        <w:tc>
          <w:tcPr>
            <w:tcW/>
            <w:vAlign w:val="center"/>
          </w:tcPr>
          <w:p>
            <w:pPr>
              <w:spacing w:line="240" w:lineRule="auto"/>
              <w:jc w:val="right"/>
            </w:pPr>
            <w:r>
              <w:rPr>
                <w:rFonts w:ascii="宋体" w:hAnsi="宋体" w:cs="宋体" w:eastAsia="宋体"/>
                <w:b w:val="false"/>
              </w:rPr>
              <w:t>90.38</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3,331,381.64</w:t>
            </w:r>
          </w:p>
        </w:tc>
        <w:tc>
          <w:tcPr>
            <w:tcW/>
            <w:vAlign w:val="center"/>
          </w:tcPr>
          <w:p>
            <w:pPr>
              <w:spacing w:line="240" w:lineRule="auto"/>
              <w:jc w:val="right"/>
            </w:pPr>
            <w:r>
              <w:rPr>
                <w:rFonts w:ascii="宋体" w:hAnsi="宋体" w:cs="宋体" w:eastAsia="宋体"/>
                <w:b w:val="false"/>
              </w:rPr>
              <w:t>5.41</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3,331,381.64</w:t>
            </w:r>
          </w:p>
        </w:tc>
        <w:tc>
          <w:tcPr>
            <w:tcW/>
            <w:vAlign w:val="center"/>
          </w:tcPr>
          <w:p>
            <w:pPr>
              <w:spacing w:line="240" w:lineRule="auto"/>
              <w:jc w:val="right"/>
            </w:pPr>
            <w:r>
              <w:rPr>
                <w:rFonts w:ascii="宋体" w:hAnsi="宋体" w:cs="宋体" w:eastAsia="宋体"/>
                <w:b w:val="false"/>
              </w:rPr>
              <w:t>5.41</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2,369,587.24</w:t>
            </w:r>
          </w:p>
        </w:tc>
        <w:tc>
          <w:tcPr>
            <w:tcW/>
            <w:vAlign w:val="center"/>
          </w:tcPr>
          <w:p>
            <w:pPr>
              <w:spacing w:line="240" w:lineRule="auto"/>
              <w:jc w:val="right"/>
            </w:pPr>
            <w:r>
              <w:rPr>
                <w:rFonts w:ascii="宋体" w:hAnsi="宋体" w:cs="宋体" w:eastAsia="宋体"/>
                <w:b w:val="false"/>
              </w:rPr>
              <w:t>3.85</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218,695.95</w:t>
            </w:r>
          </w:p>
        </w:tc>
        <w:tc>
          <w:tcPr>
            <w:tcW/>
            <w:vAlign w:val="center"/>
          </w:tcPr>
          <w:p>
            <w:pPr>
              <w:spacing w:line="240" w:lineRule="auto"/>
              <w:jc w:val="right"/>
            </w:pPr>
            <w:r>
              <w:rPr>
                <w:rFonts w:ascii="宋体" w:hAnsi="宋体" w:cs="宋体" w:eastAsia="宋体"/>
                <w:b w:val="false"/>
              </w:rPr>
              <w:t>0.36</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61,524,476.60</w:t>
            </w:r>
          </w:p>
        </w:tc>
        <w:tc>
          <w:tcPr>
            <w:tcW/>
            <w:vAlign w:val="center"/>
          </w:tcPr>
          <w:p>
            <w:pPr>
              <w:spacing w:line="240" w:lineRule="auto"/>
              <w:jc w:val="right"/>
            </w:pPr>
            <w:r>
              <w:rPr>
                <w:rFonts w:ascii="宋体" w:hAnsi="宋体" w:cs="宋体" w:eastAsia="宋体"/>
                <w:b w:val="false"/>
              </w:rPr>
              <w:t>100.00</w:t>
            </w:r>
          </w:p>
        </w:tc>
      </w:tr>
    </w:tbl>
    <w:p>
      <w:r>
        <w:rPr>
          <w:rFonts w:ascii="宋体" w:hAnsi="宋体" w:cs="宋体" w:eastAsia="宋体"/>
          <w:b w:val="false"/>
        </w:rPr>
        <w:t>注：报告期末本基金通过港股通交易机制投资的港股公允价值合计21,169,503.25元，占基金资产净值的比例为34.68%。</w:t>
      </w:r>
    </w:p>
    <w:p/>
    <w:p>
      <w:pPr>
        <w:pStyle w:val="2"/>
        <w:jc w:val="left"/>
      </w:pPr>
      <w:r>
        <w:rPr>
          <w:rFonts w:ascii="宋体" w:hAnsi="宋体" w:cs="宋体" w:eastAsia="宋体"/>
        </w:rPr>
        <w:t>5.2 报告期末按行业分类的股票投资组合</w:t>
      </w:r>
    </w:p>
    <w:p>
      <w:pPr>
        <w:pStyle w:val="zhangjiep2"/>
      </w:pPr>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代码</w:t>
            </w:r>
          </w:p>
        </w:tc>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A</w:t>
            </w:r>
          </w:p>
        </w:tc>
        <w:tc>
          <w:tcPr>
            <w:tcW/>
            <w:vAlign w:val="center"/>
          </w:tcPr>
          <w:p>
            <w:pPr>
              <w:spacing w:line="240" w:lineRule="auto"/>
              <w:jc w:val="left"/>
            </w:pPr>
            <w:r>
              <w:rPr>
                <w:rFonts w:ascii="宋体" w:hAnsi="宋体" w:cs="宋体" w:eastAsia="宋体"/>
                <w:b w:val="false"/>
              </w:rPr>
              <w:t>农、林、牧、渔业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B</w:t>
            </w:r>
          </w:p>
        </w:tc>
        <w:tc>
          <w:tcPr>
            <w:tcW/>
            <w:vAlign w:val="center"/>
          </w:tcPr>
          <w:p>
            <w:pPr>
              <w:spacing w:line="240" w:lineRule="auto"/>
              <w:jc w:val="left"/>
            </w:pPr>
            <w:r>
              <w:rPr>
                <w:rFonts w:ascii="宋体" w:hAnsi="宋体" w:cs="宋体" w:eastAsia="宋体"/>
                <w:b w:val="false"/>
              </w:rPr>
              <w:t>采矿业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C</w:t>
            </w:r>
          </w:p>
        </w:tc>
        <w:tc>
          <w:tcPr>
            <w:tcW/>
            <w:vAlign w:val="center"/>
          </w:tcPr>
          <w:p>
            <w:pPr>
              <w:spacing w:line="240" w:lineRule="auto"/>
              <w:jc w:val="left"/>
            </w:pPr>
            <w:r>
              <w:rPr>
                <w:rFonts w:ascii="宋体" w:hAnsi="宋体" w:cs="宋体" w:eastAsia="宋体"/>
                <w:b w:val="false"/>
              </w:rPr>
              <w:t>制造业</w:t>
            </w:r>
          </w:p>
        </w:tc>
        <w:tc>
          <w:tcPr>
            <w:tcW/>
            <w:vAlign w:val="center"/>
          </w:tcPr>
          <w:p>
            <w:pPr>
              <w:spacing w:line="240" w:lineRule="auto"/>
              <w:jc w:val="right"/>
            </w:pPr>
            <w:r>
              <w:rPr>
                <w:rFonts w:ascii="宋体" w:hAnsi="宋体" w:cs="宋体" w:eastAsia="宋体"/>
                <w:b w:val="false"/>
              </w:rPr>
              <w:t>34,435,308.52</w:t>
            </w:r>
          </w:p>
        </w:tc>
        <w:tc>
          <w:tcPr>
            <w:tcW/>
            <w:vAlign w:val="center"/>
          </w:tcPr>
          <w:p>
            <w:pPr>
              <w:spacing w:line="240" w:lineRule="auto"/>
              <w:jc w:val="right"/>
            </w:pPr>
            <w:r>
              <w:rPr>
                <w:rFonts w:ascii="宋体" w:hAnsi="宋体" w:cs="宋体" w:eastAsia="宋体"/>
                <w:b w:val="false"/>
              </w:rPr>
              <w:t>56.42</w:t>
            </w:r>
          </w:p>
        </w:tc>
      </w:tr>
      <w:tr>
        <w:tc>
          <w:tcPr>
            <w:tcW/>
            <w:vAlign w:val="center"/>
          </w:tcPr>
          <w:p>
            <w:pPr>
              <w:spacing w:line="240" w:lineRule="auto"/>
              <w:jc w:val="center"/>
            </w:pPr>
            <w:r>
              <w:rPr>
                <w:rFonts w:ascii="宋体" w:hAnsi="宋体" w:cs="宋体" w:eastAsia="宋体"/>
                <w:b w:val="false"/>
              </w:rPr>
              <w:t>D</w:t>
            </w:r>
          </w:p>
        </w:tc>
        <w:tc>
          <w:tcPr>
            <w:tcW/>
            <w:vAlign w:val="center"/>
          </w:tcPr>
          <w:p>
            <w:pPr>
              <w:spacing w:line="240" w:lineRule="auto"/>
              <w:jc w:val="left"/>
            </w:pPr>
            <w:r>
              <w:rPr>
                <w:rFonts w:ascii="宋体" w:hAnsi="宋体" w:cs="宋体" w:eastAsia="宋体"/>
                <w:b w:val="false"/>
              </w:rPr>
              <w:t>电力、热力、燃气及水生产和供应业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E</w:t>
            </w:r>
          </w:p>
        </w:tc>
        <w:tc>
          <w:tcPr>
            <w:tcW/>
            <w:vAlign w:val="center"/>
          </w:tcPr>
          <w:p>
            <w:pPr>
              <w:spacing w:line="240" w:lineRule="auto"/>
              <w:jc w:val="left"/>
            </w:pPr>
            <w:r>
              <w:rPr>
                <w:rFonts w:ascii="宋体" w:hAnsi="宋体" w:cs="宋体" w:eastAsia="宋体"/>
                <w:b w:val="false"/>
              </w:rPr>
              <w:t>建筑业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F</w:t>
            </w:r>
          </w:p>
        </w:tc>
        <w:tc>
          <w:tcPr>
            <w:tcW/>
            <w:vAlign w:val="center"/>
          </w:tcPr>
          <w:p>
            <w:pPr>
              <w:spacing w:line="240" w:lineRule="auto"/>
              <w:jc w:val="left"/>
            </w:pPr>
            <w:r>
              <w:rPr>
                <w:rFonts w:ascii="宋体" w:hAnsi="宋体" w:cs="宋体" w:eastAsia="宋体"/>
                <w:b w:val="false"/>
              </w:rPr>
              <w:t>批发和零售业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G</w:t>
            </w:r>
          </w:p>
        </w:tc>
        <w:tc>
          <w:tcPr>
            <w:tcW/>
            <w:vAlign w:val="center"/>
          </w:tcPr>
          <w:p>
            <w:pPr>
              <w:spacing w:line="240" w:lineRule="auto"/>
              <w:jc w:val="left"/>
            </w:pPr>
            <w:r>
              <w:rPr>
                <w:rFonts w:ascii="宋体" w:hAnsi="宋体" w:cs="宋体" w:eastAsia="宋体"/>
                <w:b w:val="false"/>
              </w:rPr>
              <w:t>交通运输、仓储和邮政业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H</w:t>
            </w:r>
          </w:p>
        </w:tc>
        <w:tc>
          <w:tcPr>
            <w:tcW/>
            <w:vAlign w:val="center"/>
          </w:tcPr>
          <w:p>
            <w:pPr>
              <w:spacing w:line="240" w:lineRule="auto"/>
              <w:jc w:val="left"/>
            </w:pPr>
            <w:r>
              <w:rPr>
                <w:rFonts w:ascii="宋体" w:hAnsi="宋体" w:cs="宋体" w:eastAsia="宋体"/>
                <w:b w:val="false"/>
              </w:rPr>
              <w:t>住宿和餐饮业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I</w:t>
            </w:r>
          </w:p>
        </w:tc>
        <w:tc>
          <w:tcPr>
            <w:tcW/>
            <w:vAlign w:val="center"/>
          </w:tcPr>
          <w:p>
            <w:pPr>
              <w:spacing w:line="240" w:lineRule="auto"/>
              <w:jc w:val="left"/>
            </w:pPr>
            <w:r>
              <w:rPr>
                <w:rFonts w:ascii="宋体" w:hAnsi="宋体" w:cs="宋体" w:eastAsia="宋体"/>
                <w:b w:val="false"/>
              </w:rPr>
              <w:t>信息传输、软件和信息技术服务业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J</w:t>
            </w:r>
          </w:p>
        </w:tc>
        <w:tc>
          <w:tcPr>
            <w:tcW/>
            <w:vAlign w:val="center"/>
          </w:tcPr>
          <w:p>
            <w:pPr>
              <w:spacing w:line="240" w:lineRule="auto"/>
              <w:jc w:val="left"/>
            </w:pPr>
            <w:r>
              <w:rPr>
                <w:rFonts w:ascii="宋体" w:hAnsi="宋体" w:cs="宋体" w:eastAsia="宋体"/>
                <w:b w:val="false"/>
              </w:rPr>
              <w:t>金融业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K</w:t>
            </w:r>
          </w:p>
        </w:tc>
        <w:tc>
          <w:tcPr>
            <w:tcW/>
            <w:vAlign w:val="center"/>
          </w:tcPr>
          <w:p>
            <w:pPr>
              <w:spacing w:line="240" w:lineRule="auto"/>
              <w:jc w:val="left"/>
            </w:pPr>
            <w:r>
              <w:rPr>
                <w:rFonts w:ascii="宋体" w:hAnsi="宋体" w:cs="宋体" w:eastAsia="宋体"/>
                <w:b w:val="false"/>
              </w:rPr>
              <w:t>房地产业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L</w:t>
            </w:r>
          </w:p>
        </w:tc>
        <w:tc>
          <w:tcPr>
            <w:tcW/>
            <w:vAlign w:val="center"/>
          </w:tcPr>
          <w:p>
            <w:pPr>
              <w:spacing w:line="240" w:lineRule="auto"/>
              <w:jc w:val="left"/>
            </w:pPr>
            <w:r>
              <w:rPr>
                <w:rFonts w:ascii="宋体" w:hAnsi="宋体" w:cs="宋体" w:eastAsia="宋体"/>
                <w:b w:val="false"/>
              </w:rPr>
              <w:t>租赁和商务服务业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M</w:t>
            </w:r>
          </w:p>
        </w:tc>
        <w:tc>
          <w:tcPr>
            <w:tcW/>
            <w:vAlign w:val="center"/>
          </w:tcPr>
          <w:p>
            <w:pPr>
              <w:spacing w:line="240" w:lineRule="auto"/>
              <w:jc w:val="left"/>
            </w:pPr>
            <w:r>
              <w:rPr>
                <w:rFonts w:ascii="宋体" w:hAnsi="宋体" w:cs="宋体" w:eastAsia="宋体"/>
                <w:b w:val="false"/>
              </w:rPr>
              <w:t>科学研究和技术服务业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N</w:t>
            </w:r>
          </w:p>
        </w:tc>
        <w:tc>
          <w:tcPr>
            <w:tcW/>
            <w:vAlign w:val="center"/>
          </w:tcPr>
          <w:p>
            <w:pPr>
              <w:spacing w:line="240" w:lineRule="auto"/>
              <w:jc w:val="left"/>
            </w:pPr>
            <w:r>
              <w:rPr>
                <w:rFonts w:ascii="宋体" w:hAnsi="宋体" w:cs="宋体" w:eastAsia="宋体"/>
                <w:b w:val="false"/>
              </w:rPr>
              <w:t>水利、环境和公共设施管理业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O</w:t>
            </w:r>
          </w:p>
        </w:tc>
        <w:tc>
          <w:tcPr>
            <w:tcW/>
            <w:vAlign w:val="center"/>
          </w:tcPr>
          <w:p>
            <w:pPr>
              <w:spacing w:line="240" w:lineRule="auto"/>
              <w:jc w:val="left"/>
            </w:pPr>
            <w:r>
              <w:rPr>
                <w:rFonts w:ascii="宋体" w:hAnsi="宋体" w:cs="宋体" w:eastAsia="宋体"/>
                <w:b w:val="false"/>
              </w:rPr>
              <w:t>居民服务、修理和其他服务业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P</w:t>
            </w:r>
          </w:p>
        </w:tc>
        <w:tc>
          <w:tcPr>
            <w:tcW/>
            <w:vAlign w:val="center"/>
          </w:tcPr>
          <w:p>
            <w:pPr>
              <w:spacing w:line="240" w:lineRule="auto"/>
              <w:jc w:val="left"/>
            </w:pPr>
            <w:r>
              <w:rPr>
                <w:rFonts w:ascii="宋体" w:hAnsi="宋体" w:cs="宋体" w:eastAsia="宋体"/>
                <w:b w:val="false"/>
              </w:rPr>
              <w:t>教育</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Q</w:t>
            </w:r>
          </w:p>
        </w:tc>
        <w:tc>
          <w:tcPr>
            <w:tcW/>
            <w:vAlign w:val="center"/>
          </w:tcPr>
          <w:p>
            <w:pPr>
              <w:spacing w:line="240" w:lineRule="auto"/>
              <w:jc w:val="left"/>
            </w:pPr>
            <w:r>
              <w:rPr>
                <w:rFonts w:ascii="宋体" w:hAnsi="宋体" w:cs="宋体" w:eastAsia="宋体"/>
                <w:b w:val="false"/>
              </w:rPr>
              <w:t>卫生和社会工作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R</w:t>
            </w:r>
          </w:p>
        </w:tc>
        <w:tc>
          <w:tcPr>
            <w:tcW/>
            <w:vAlign w:val="center"/>
          </w:tcPr>
          <w:p>
            <w:pPr>
              <w:spacing w:line="240" w:lineRule="auto"/>
              <w:jc w:val="left"/>
            </w:pPr>
            <w:r>
              <w:rPr>
                <w:rFonts w:ascii="宋体" w:hAnsi="宋体" w:cs="宋体" w:eastAsia="宋体"/>
                <w:b w:val="false"/>
              </w:rPr>
              <w:t>文化、体育和娱乐业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S</w:t>
            </w:r>
          </w:p>
        </w:tc>
        <w:tc>
          <w:tcPr>
            <w:tcW/>
            <w:vAlign w:val="center"/>
          </w:tcPr>
          <w:p>
            <w:pPr>
              <w:spacing w:line="240" w:lineRule="auto"/>
              <w:jc w:val="left"/>
            </w:pPr>
            <w:r>
              <w:rPr>
                <w:rFonts w:ascii="宋体" w:hAnsi="宋体" w:cs="宋体" w:eastAsia="宋体"/>
                <w:b w:val="false"/>
              </w:rPr>
              <w:t>综合</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34,435,308.52</w:t>
            </w:r>
          </w:p>
        </w:tc>
        <w:tc>
          <w:tcPr>
            <w:tcW/>
            <w:vAlign w:val="center"/>
          </w:tcPr>
          <w:p>
            <w:pPr>
              <w:spacing w:line="240" w:lineRule="auto"/>
              <w:jc w:val="right"/>
            </w:pPr>
            <w:r>
              <w:rPr>
                <w:rFonts w:ascii="宋体" w:hAnsi="宋体" w:cs="宋体" w:eastAsia="宋体"/>
                <w:b w:val="false"/>
              </w:rPr>
              <w:t>56.42</w:t>
            </w:r>
          </w:p>
        </w:tc>
      </w:tr>
    </w:tbl>
    <w:p/>
    <w:p>
      <w:pPr>
        <w:pStyle w:val="zhangjiep2"/>
      </w:pPr>
      <w:r>
        <w:rPr>
          <w:rStyle w:val="正文"/>
          <w:rFonts w:ascii="宋体" w:hAnsi="宋体" w:cs="宋体" w:eastAsia="宋体"/>
          <w:b w:val="true"/>
        </w:rPr>
        <w:t>5.2.2 报告期末按行业分类的港股通投资股票投资组合</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1538"/>
            <w:vAlign w:val="center"/>
          </w:tcPr>
          <w:tcPr>
            <w:shd w:fill="d9d9d9"/>
          </w:tcPr>
          <w:p>
            <w:pPr>
              <w:spacing w:line="240" w:lineRule="auto"/>
              <w:jc w:val="center"/>
            </w:pPr>
            <w:r>
              <w:rPr>
                <w:rFonts w:ascii="宋体" w:hAnsi="宋体" w:cs="宋体" w:eastAsia="宋体"/>
                <w:b w:val="false"/>
              </w:rPr>
              <w:t>公允价值（人民币）</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left"/>
            </w:pPr>
            <w:r>
              <w:rPr>
                <w:rFonts w:ascii="宋体" w:hAnsi="宋体" w:cs="宋体" w:eastAsia="宋体"/>
                <w:b w:val="false"/>
              </w:rPr>
              <w:t>能源</w:t>
            </w:r>
          </w:p>
        </w:tc>
        <w:tc>
          <w:tcPr>
            <w:tcW/>
            <w:vAlign w:val="center"/>
          </w:tcPr>
          <w:p>
            <w:pPr>
              <w:spacing w:line="240" w:lineRule="auto"/>
              <w:jc w:val="right"/>
            </w:pPr>
            <w:r>
              <w:rPr>
                <w:rFonts w:ascii="宋体" w:hAnsi="宋体" w:cs="宋体" w:eastAsia="宋体"/>
                <w:b w:val="false"/>
              </w:rPr>
              <w:t>4,845,629.60</w:t>
            </w:r>
          </w:p>
        </w:tc>
        <w:tc>
          <w:tcPr>
            <w:tcW/>
            <w:vAlign w:val="center"/>
          </w:tcPr>
          <w:p>
            <w:pPr>
              <w:spacing w:line="240" w:lineRule="auto"/>
              <w:jc w:val="right"/>
            </w:pPr>
            <w:r>
              <w:rPr>
                <w:rFonts w:ascii="宋体" w:hAnsi="宋体" w:cs="宋体" w:eastAsia="宋体"/>
                <w:b w:val="false"/>
              </w:rPr>
              <w:t>7.94</w:t>
            </w:r>
          </w:p>
        </w:tc>
      </w:tr>
      <w:tr>
        <w:tc>
          <w:tcPr>
            <w:tcW/>
            <w:vAlign w:val="center"/>
          </w:tcPr>
          <w:p>
            <w:pPr>
              <w:spacing w:line="240" w:lineRule="auto"/>
              <w:jc w:val="left"/>
            </w:pPr>
            <w:r>
              <w:rPr>
                <w:rFonts w:ascii="宋体" w:hAnsi="宋体" w:cs="宋体" w:eastAsia="宋体"/>
                <w:b w:val="false"/>
              </w:rPr>
              <w:t>工业</w:t>
            </w:r>
          </w:p>
        </w:tc>
        <w:tc>
          <w:tcPr>
            <w:tcW/>
            <w:vAlign w:val="center"/>
          </w:tcPr>
          <w:p>
            <w:pPr>
              <w:spacing w:line="240" w:lineRule="auto"/>
              <w:jc w:val="right"/>
            </w:pPr>
            <w:r>
              <w:rPr>
                <w:rFonts w:ascii="宋体" w:hAnsi="宋体" w:cs="宋体" w:eastAsia="宋体"/>
                <w:b w:val="false"/>
              </w:rPr>
              <w:t>4,604,213.41</w:t>
            </w:r>
          </w:p>
        </w:tc>
        <w:tc>
          <w:tcPr>
            <w:tcW/>
            <w:vAlign w:val="center"/>
          </w:tcPr>
          <w:p>
            <w:pPr>
              <w:spacing w:line="240" w:lineRule="auto"/>
              <w:jc w:val="right"/>
            </w:pPr>
            <w:r>
              <w:rPr>
                <w:rFonts w:ascii="宋体" w:hAnsi="宋体" w:cs="宋体" w:eastAsia="宋体"/>
                <w:b w:val="false"/>
              </w:rPr>
              <w:t>7.54</w:t>
            </w:r>
          </w:p>
        </w:tc>
      </w:tr>
      <w:tr>
        <w:tc>
          <w:tcPr>
            <w:tcW/>
            <w:vAlign w:val="center"/>
          </w:tcPr>
          <w:p>
            <w:pPr>
              <w:spacing w:line="240" w:lineRule="auto"/>
              <w:jc w:val="left"/>
            </w:pPr>
            <w:r>
              <w:rPr>
                <w:rFonts w:ascii="宋体" w:hAnsi="宋体" w:cs="宋体" w:eastAsia="宋体"/>
                <w:b w:val="false"/>
              </w:rPr>
              <w:t>房地产</w:t>
            </w:r>
          </w:p>
        </w:tc>
        <w:tc>
          <w:tcPr>
            <w:tcW/>
            <w:vAlign w:val="center"/>
          </w:tcPr>
          <w:p>
            <w:pPr>
              <w:spacing w:line="240" w:lineRule="auto"/>
              <w:jc w:val="right"/>
            </w:pPr>
            <w:r>
              <w:rPr>
                <w:rFonts w:ascii="宋体" w:hAnsi="宋体" w:cs="宋体" w:eastAsia="宋体"/>
                <w:b w:val="false"/>
              </w:rPr>
              <w:t>11,719,660.24</w:t>
            </w:r>
          </w:p>
        </w:tc>
        <w:tc>
          <w:tcPr>
            <w:tcW/>
            <w:vAlign w:val="center"/>
          </w:tcPr>
          <w:p>
            <w:pPr>
              <w:spacing w:line="240" w:lineRule="auto"/>
              <w:jc w:val="right"/>
            </w:pPr>
            <w:r>
              <w:rPr>
                <w:rFonts w:ascii="宋体" w:hAnsi="宋体" w:cs="宋体" w:eastAsia="宋体"/>
                <w:b w:val="false"/>
              </w:rPr>
              <w:t>19.20</w:t>
            </w:r>
          </w:p>
        </w:tc>
      </w:tr>
      <w:tr>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21,169,503.25</w:t>
            </w:r>
          </w:p>
        </w:tc>
        <w:tc>
          <w:tcPr>
            <w:tcW/>
            <w:vAlign w:val="center"/>
          </w:tcPr>
          <w:p>
            <w:pPr>
              <w:spacing w:line="240" w:lineRule="auto"/>
              <w:jc w:val="right"/>
            </w:pPr>
            <w:r>
              <w:rPr>
                <w:rFonts w:ascii="宋体" w:hAnsi="宋体" w:cs="宋体" w:eastAsia="宋体"/>
                <w:b w:val="false"/>
              </w:rPr>
              <w:t>34.68</w:t>
            </w:r>
          </w:p>
        </w:tc>
      </w:tr>
    </w:tbl>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06049</w:t>
            </w:r>
          </w:p>
        </w:tc>
        <w:tc>
          <w:tcPr>
            <w:tcW/>
            <w:vAlign w:val="center"/>
          </w:tcPr>
          <w:p>
            <w:pPr>
              <w:spacing w:line="240" w:lineRule="auto"/>
              <w:jc w:val="left"/>
            </w:pPr>
            <w:r>
              <w:rPr>
                <w:rFonts w:ascii="宋体" w:hAnsi="宋体" w:cs="宋体" w:eastAsia="宋体"/>
                <w:b w:val="false"/>
              </w:rPr>
              <w:t>保利物业</w:t>
            </w:r>
          </w:p>
        </w:tc>
        <w:tc>
          <w:tcPr>
            <w:tcW/>
            <w:vAlign w:val="center"/>
          </w:tcPr>
          <w:p>
            <w:pPr>
              <w:spacing w:line="240" w:lineRule="auto"/>
              <w:jc w:val="right"/>
            </w:pPr>
            <w:r>
              <w:rPr>
                <w:rFonts w:ascii="宋体" w:hAnsi="宋体" w:cs="宋体" w:eastAsia="宋体"/>
                <w:b w:val="false"/>
              </w:rPr>
              <w:t>214,000</w:t>
            </w:r>
          </w:p>
        </w:tc>
        <w:tc>
          <w:tcPr>
            <w:tcW/>
            <w:vAlign w:val="center"/>
          </w:tcPr>
          <w:p>
            <w:pPr>
              <w:spacing w:line="240" w:lineRule="auto"/>
              <w:jc w:val="right"/>
            </w:pPr>
            <w:r>
              <w:rPr>
                <w:rFonts w:ascii="宋体" w:hAnsi="宋体" w:cs="宋体" w:eastAsia="宋体"/>
                <w:b w:val="false"/>
              </w:rPr>
              <w:t>5,895,280.56</w:t>
            </w:r>
          </w:p>
        </w:tc>
        <w:tc>
          <w:tcPr>
            <w:tcW/>
            <w:vAlign w:val="center"/>
          </w:tcPr>
          <w:p>
            <w:pPr>
              <w:spacing w:line="240" w:lineRule="auto"/>
              <w:jc w:val="right"/>
            </w:pPr>
            <w:r>
              <w:rPr>
                <w:rFonts w:ascii="宋体" w:hAnsi="宋体" w:cs="宋体" w:eastAsia="宋体"/>
                <w:b w:val="false"/>
              </w:rPr>
              <w:t>9.66</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000333</w:t>
            </w:r>
          </w:p>
        </w:tc>
        <w:tc>
          <w:tcPr>
            <w:tcW/>
            <w:vAlign w:val="center"/>
          </w:tcPr>
          <w:p>
            <w:pPr>
              <w:spacing w:line="240" w:lineRule="auto"/>
              <w:jc w:val="left"/>
            </w:pPr>
            <w:r>
              <w:rPr>
                <w:rFonts w:ascii="宋体" w:hAnsi="宋体" w:cs="宋体" w:eastAsia="宋体"/>
                <w:b w:val="false"/>
              </w:rPr>
              <w:t>美的集团</w:t>
            </w:r>
          </w:p>
        </w:tc>
        <w:tc>
          <w:tcPr>
            <w:tcW/>
            <w:vAlign w:val="center"/>
          </w:tcPr>
          <w:p>
            <w:pPr>
              <w:spacing w:line="240" w:lineRule="auto"/>
              <w:jc w:val="right"/>
            </w:pPr>
            <w:r>
              <w:rPr>
                <w:rFonts w:ascii="宋体" w:hAnsi="宋体" w:cs="宋体" w:eastAsia="宋体"/>
                <w:b w:val="false"/>
              </w:rPr>
              <w:t>76,400</w:t>
            </w:r>
          </w:p>
        </w:tc>
        <w:tc>
          <w:tcPr>
            <w:tcW/>
            <w:vAlign w:val="center"/>
          </w:tcPr>
          <w:p>
            <w:pPr>
              <w:spacing w:line="240" w:lineRule="auto"/>
              <w:jc w:val="right"/>
            </w:pPr>
            <w:r>
              <w:rPr>
                <w:rFonts w:ascii="宋体" w:hAnsi="宋体" w:cs="宋体" w:eastAsia="宋体"/>
                <w:b w:val="false"/>
              </w:rPr>
              <w:t>5,833,140.00</w:t>
            </w:r>
          </w:p>
        </w:tc>
        <w:tc>
          <w:tcPr>
            <w:tcW/>
            <w:vAlign w:val="center"/>
          </w:tcPr>
          <w:p>
            <w:pPr>
              <w:spacing w:line="240" w:lineRule="auto"/>
              <w:jc w:val="right"/>
            </w:pPr>
            <w:r>
              <w:rPr>
                <w:rFonts w:ascii="宋体" w:hAnsi="宋体" w:cs="宋体" w:eastAsia="宋体"/>
                <w:b w:val="false"/>
              </w:rPr>
              <w:t>9.56</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02669</w:t>
            </w:r>
          </w:p>
        </w:tc>
        <w:tc>
          <w:tcPr>
            <w:tcW/>
            <w:vAlign w:val="center"/>
          </w:tcPr>
          <w:p>
            <w:pPr>
              <w:spacing w:line="240" w:lineRule="auto"/>
              <w:jc w:val="left"/>
            </w:pPr>
            <w:r>
              <w:rPr>
                <w:rFonts w:ascii="宋体" w:hAnsi="宋体" w:cs="宋体" w:eastAsia="宋体"/>
                <w:b w:val="false"/>
              </w:rPr>
              <w:t>中海物业</w:t>
            </w:r>
          </w:p>
        </w:tc>
        <w:tc>
          <w:tcPr>
            <w:tcW/>
            <w:vAlign w:val="center"/>
          </w:tcPr>
          <w:p>
            <w:pPr>
              <w:spacing w:line="240" w:lineRule="auto"/>
              <w:jc w:val="right"/>
            </w:pPr>
            <w:r>
              <w:rPr>
                <w:rFonts w:ascii="宋体" w:hAnsi="宋体" w:cs="宋体" w:eastAsia="宋体"/>
                <w:b w:val="false"/>
              </w:rPr>
              <w:t>1,670,000</w:t>
            </w:r>
          </w:p>
        </w:tc>
        <w:tc>
          <w:tcPr>
            <w:tcW/>
            <w:vAlign w:val="center"/>
          </w:tcPr>
          <w:p>
            <w:pPr>
              <w:spacing w:line="240" w:lineRule="auto"/>
              <w:jc w:val="right"/>
            </w:pPr>
            <w:r>
              <w:rPr>
                <w:rFonts w:ascii="宋体" w:hAnsi="宋体" w:cs="宋体" w:eastAsia="宋体"/>
                <w:b w:val="false"/>
              </w:rPr>
              <w:t>5,824,379.68</w:t>
            </w:r>
          </w:p>
        </w:tc>
        <w:tc>
          <w:tcPr>
            <w:tcW/>
            <w:vAlign w:val="center"/>
          </w:tcPr>
          <w:p>
            <w:pPr>
              <w:spacing w:line="240" w:lineRule="auto"/>
              <w:jc w:val="right"/>
            </w:pPr>
            <w:r>
              <w:rPr>
                <w:rFonts w:ascii="宋体" w:hAnsi="宋体" w:cs="宋体" w:eastAsia="宋体"/>
                <w:b w:val="false"/>
              </w:rPr>
              <w:t>9.54</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300833</w:t>
            </w:r>
          </w:p>
        </w:tc>
        <w:tc>
          <w:tcPr>
            <w:tcW/>
            <w:vAlign w:val="center"/>
          </w:tcPr>
          <w:p>
            <w:pPr>
              <w:spacing w:line="240" w:lineRule="auto"/>
              <w:jc w:val="left"/>
            </w:pPr>
            <w:r>
              <w:rPr>
                <w:rFonts w:ascii="宋体" w:hAnsi="宋体" w:cs="宋体" w:eastAsia="宋体"/>
                <w:b w:val="false"/>
              </w:rPr>
              <w:t>浩洋股份</w:t>
            </w:r>
          </w:p>
        </w:tc>
        <w:tc>
          <w:tcPr>
            <w:tcW/>
            <w:vAlign w:val="center"/>
          </w:tcPr>
          <w:p>
            <w:pPr>
              <w:spacing w:line="240" w:lineRule="auto"/>
              <w:jc w:val="right"/>
            </w:pPr>
            <w:r>
              <w:rPr>
                <w:rFonts w:ascii="宋体" w:hAnsi="宋体" w:cs="宋体" w:eastAsia="宋体"/>
                <w:b w:val="false"/>
              </w:rPr>
              <w:t>175,300</w:t>
            </w:r>
          </w:p>
        </w:tc>
        <w:tc>
          <w:tcPr>
            <w:tcW/>
            <w:vAlign w:val="center"/>
          </w:tcPr>
          <w:p>
            <w:pPr>
              <w:spacing w:line="240" w:lineRule="auto"/>
              <w:jc w:val="right"/>
            </w:pPr>
            <w:r>
              <w:rPr>
                <w:rFonts w:ascii="宋体" w:hAnsi="宋体" w:cs="宋体" w:eastAsia="宋体"/>
                <w:b w:val="false"/>
              </w:rPr>
              <w:t>5,714,780.00</w:t>
            </w:r>
          </w:p>
        </w:tc>
        <w:tc>
          <w:tcPr>
            <w:tcW/>
            <w:vAlign w:val="center"/>
          </w:tcPr>
          <w:p>
            <w:pPr>
              <w:spacing w:line="240" w:lineRule="auto"/>
              <w:jc w:val="right"/>
            </w:pPr>
            <w:r>
              <w:rPr>
                <w:rFonts w:ascii="宋体" w:hAnsi="宋体" w:cs="宋体" w:eastAsia="宋体"/>
                <w:b w:val="false"/>
              </w:rPr>
              <w:t>9.36</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600690</w:t>
            </w:r>
          </w:p>
        </w:tc>
        <w:tc>
          <w:tcPr>
            <w:tcW/>
            <w:vAlign w:val="center"/>
          </w:tcPr>
          <w:p>
            <w:pPr>
              <w:spacing w:line="240" w:lineRule="auto"/>
              <w:jc w:val="left"/>
            </w:pPr>
            <w:r>
              <w:rPr>
                <w:rFonts w:ascii="宋体" w:hAnsi="宋体" w:cs="宋体" w:eastAsia="宋体"/>
                <w:b w:val="false"/>
              </w:rPr>
              <w:t>海尔智家</w:t>
            </w:r>
          </w:p>
        </w:tc>
        <w:tc>
          <w:tcPr>
            <w:tcW/>
            <w:vAlign w:val="center"/>
          </w:tcPr>
          <w:p>
            <w:pPr>
              <w:spacing w:line="240" w:lineRule="auto"/>
              <w:jc w:val="right"/>
            </w:pPr>
            <w:r>
              <w:rPr>
                <w:rFonts w:ascii="宋体" w:hAnsi="宋体" w:cs="宋体" w:eastAsia="宋体"/>
                <w:b w:val="false"/>
              </w:rPr>
              <w:t>240,000</w:t>
            </w:r>
          </w:p>
        </w:tc>
        <w:tc>
          <w:tcPr>
            <w:tcW/>
            <w:vAlign w:val="center"/>
          </w:tcPr>
          <w:p>
            <w:pPr>
              <w:spacing w:line="240" w:lineRule="auto"/>
              <w:jc w:val="right"/>
            </w:pPr>
            <w:r>
              <w:rPr>
                <w:rFonts w:ascii="宋体" w:hAnsi="宋体" w:cs="宋体" w:eastAsia="宋体"/>
                <w:b w:val="false"/>
              </w:rPr>
              <w:t>5,131,200.00</w:t>
            </w:r>
          </w:p>
        </w:tc>
        <w:tc>
          <w:tcPr>
            <w:tcW/>
            <w:vAlign w:val="center"/>
          </w:tcPr>
          <w:p>
            <w:pPr>
              <w:spacing w:line="240" w:lineRule="auto"/>
              <w:jc w:val="right"/>
            </w:pPr>
            <w:r>
              <w:rPr>
                <w:rFonts w:ascii="宋体" w:hAnsi="宋体" w:cs="宋体" w:eastAsia="宋体"/>
                <w:b w:val="false"/>
              </w:rPr>
              <w:t>8.41</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000725</w:t>
            </w:r>
          </w:p>
        </w:tc>
        <w:tc>
          <w:tcPr>
            <w:tcW/>
            <w:vAlign w:val="center"/>
          </w:tcPr>
          <w:p>
            <w:pPr>
              <w:spacing w:line="240" w:lineRule="auto"/>
              <w:jc w:val="left"/>
            </w:pPr>
            <w:r>
              <w:rPr>
                <w:rFonts w:ascii="宋体" w:hAnsi="宋体" w:cs="宋体" w:eastAsia="宋体"/>
                <w:b w:val="false"/>
              </w:rPr>
              <w:t>京东方Ａ</w:t>
            </w:r>
          </w:p>
        </w:tc>
        <w:tc>
          <w:tcPr>
            <w:tcW/>
            <w:vAlign w:val="center"/>
          </w:tcPr>
          <w:p>
            <w:pPr>
              <w:spacing w:line="240" w:lineRule="auto"/>
              <w:jc w:val="right"/>
            </w:pPr>
            <w:r>
              <w:rPr>
                <w:rFonts w:ascii="宋体" w:hAnsi="宋体" w:cs="宋体" w:eastAsia="宋体"/>
                <w:b w:val="false"/>
              </w:rPr>
              <w:t>1,275,000</w:t>
            </w:r>
          </w:p>
        </w:tc>
        <w:tc>
          <w:tcPr>
            <w:tcW/>
            <w:vAlign w:val="center"/>
          </w:tcPr>
          <w:p>
            <w:pPr>
              <w:spacing w:line="240" w:lineRule="auto"/>
              <w:jc w:val="right"/>
            </w:pPr>
            <w:r>
              <w:rPr>
                <w:rFonts w:ascii="宋体" w:hAnsi="宋体" w:cs="宋体" w:eastAsia="宋体"/>
                <w:b w:val="false"/>
              </w:rPr>
              <w:t>4,985,250.00</w:t>
            </w:r>
          </w:p>
        </w:tc>
        <w:tc>
          <w:tcPr>
            <w:tcW/>
            <w:vAlign w:val="center"/>
          </w:tcPr>
          <w:p>
            <w:pPr>
              <w:spacing w:line="240" w:lineRule="auto"/>
              <w:jc w:val="right"/>
            </w:pPr>
            <w:r>
              <w:rPr>
                <w:rFonts w:ascii="宋体" w:hAnsi="宋体" w:cs="宋体" w:eastAsia="宋体"/>
                <w:b w:val="false"/>
              </w:rPr>
              <w:t>8.17</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603129</w:t>
            </w:r>
          </w:p>
        </w:tc>
        <w:tc>
          <w:tcPr>
            <w:tcW/>
            <w:vAlign w:val="center"/>
          </w:tcPr>
          <w:p>
            <w:pPr>
              <w:spacing w:line="240" w:lineRule="auto"/>
              <w:jc w:val="left"/>
            </w:pPr>
            <w:r>
              <w:rPr>
                <w:rFonts w:ascii="宋体" w:hAnsi="宋体" w:cs="宋体" w:eastAsia="宋体"/>
                <w:b w:val="false"/>
              </w:rPr>
              <w:t>春风动力</w:t>
            </w:r>
          </w:p>
        </w:tc>
        <w:tc>
          <w:tcPr>
            <w:tcW/>
            <w:vAlign w:val="center"/>
          </w:tcPr>
          <w:p>
            <w:pPr>
              <w:spacing w:line="240" w:lineRule="auto"/>
              <w:jc w:val="right"/>
            </w:pPr>
            <w:r>
              <w:rPr>
                <w:rFonts w:ascii="宋体" w:hAnsi="宋体" w:cs="宋体" w:eastAsia="宋体"/>
                <w:b w:val="false"/>
              </w:rPr>
              <w:t>21,500</w:t>
            </w:r>
          </w:p>
        </w:tc>
        <w:tc>
          <w:tcPr>
            <w:tcW/>
            <w:vAlign w:val="center"/>
          </w:tcPr>
          <w:p>
            <w:pPr>
              <w:spacing w:line="240" w:lineRule="auto"/>
              <w:jc w:val="right"/>
            </w:pPr>
            <w:r>
              <w:rPr>
                <w:rFonts w:ascii="宋体" w:hAnsi="宋体" w:cs="宋体" w:eastAsia="宋体"/>
                <w:b w:val="false"/>
              </w:rPr>
              <w:t>4,914,900.00</w:t>
            </w:r>
          </w:p>
        </w:tc>
        <w:tc>
          <w:tcPr>
            <w:tcW/>
            <w:vAlign w:val="center"/>
          </w:tcPr>
          <w:p>
            <w:pPr>
              <w:spacing w:line="240" w:lineRule="auto"/>
              <w:jc w:val="right"/>
            </w:pPr>
            <w:r>
              <w:rPr>
                <w:rFonts w:ascii="宋体" w:hAnsi="宋体" w:cs="宋体" w:eastAsia="宋体"/>
                <w:b w:val="false"/>
              </w:rPr>
              <w:t>8.05</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00883</w:t>
            </w:r>
          </w:p>
        </w:tc>
        <w:tc>
          <w:tcPr>
            <w:tcW/>
            <w:vAlign w:val="center"/>
          </w:tcPr>
          <w:p>
            <w:pPr>
              <w:spacing w:line="240" w:lineRule="auto"/>
              <w:jc w:val="left"/>
            </w:pPr>
            <w:r>
              <w:rPr>
                <w:rFonts w:ascii="宋体" w:hAnsi="宋体" w:cs="宋体" w:eastAsia="宋体"/>
                <w:b w:val="false"/>
              </w:rPr>
              <w:t>中国海洋石油</w:t>
            </w:r>
          </w:p>
        </w:tc>
        <w:tc>
          <w:tcPr>
            <w:tcW/>
            <w:vAlign w:val="center"/>
          </w:tcPr>
          <w:p>
            <w:pPr>
              <w:spacing w:line="240" w:lineRule="auto"/>
              <w:jc w:val="right"/>
            </w:pPr>
            <w:r>
              <w:rPr>
                <w:rFonts w:ascii="宋体" w:hAnsi="宋体" w:cs="宋体" w:eastAsia="宋体"/>
                <w:b w:val="false"/>
              </w:rPr>
              <w:t>196,000</w:t>
            </w:r>
          </w:p>
        </w:tc>
        <w:tc>
          <w:tcPr>
            <w:tcW/>
            <w:vAlign w:val="center"/>
          </w:tcPr>
          <w:p>
            <w:pPr>
              <w:spacing w:line="240" w:lineRule="auto"/>
              <w:jc w:val="right"/>
            </w:pPr>
            <w:r>
              <w:rPr>
                <w:rFonts w:ascii="宋体" w:hAnsi="宋体" w:cs="宋体" w:eastAsia="宋体"/>
                <w:b w:val="false"/>
              </w:rPr>
              <w:t>4,845,629.60</w:t>
            </w:r>
          </w:p>
        </w:tc>
        <w:tc>
          <w:tcPr>
            <w:tcW/>
            <w:vAlign w:val="center"/>
          </w:tcPr>
          <w:p>
            <w:pPr>
              <w:spacing w:line="240" w:lineRule="auto"/>
              <w:jc w:val="right"/>
            </w:pPr>
            <w:r>
              <w:rPr>
                <w:rFonts w:ascii="宋体" w:hAnsi="宋体" w:cs="宋体" w:eastAsia="宋体"/>
                <w:b w:val="false"/>
              </w:rPr>
              <w:t>7.94</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00038</w:t>
            </w:r>
          </w:p>
        </w:tc>
        <w:tc>
          <w:tcPr>
            <w:tcW/>
            <w:vAlign w:val="center"/>
          </w:tcPr>
          <w:p>
            <w:pPr>
              <w:spacing w:line="240" w:lineRule="auto"/>
              <w:jc w:val="left"/>
            </w:pPr>
            <w:r>
              <w:rPr>
                <w:rFonts w:ascii="宋体" w:hAnsi="宋体" w:cs="宋体" w:eastAsia="宋体"/>
                <w:b w:val="false"/>
              </w:rPr>
              <w:t>第一拖拉机股份</w:t>
            </w:r>
          </w:p>
        </w:tc>
        <w:tc>
          <w:tcPr>
            <w:tcW/>
            <w:vAlign w:val="center"/>
          </w:tcPr>
          <w:p>
            <w:pPr>
              <w:spacing w:line="240" w:lineRule="auto"/>
              <w:jc w:val="right"/>
            </w:pPr>
            <w:r>
              <w:rPr>
                <w:rFonts w:ascii="宋体" w:hAnsi="宋体" w:cs="宋体" w:eastAsia="宋体"/>
                <w:b w:val="false"/>
              </w:rPr>
              <w:t>626,000</w:t>
            </w:r>
          </w:p>
        </w:tc>
        <w:tc>
          <w:tcPr>
            <w:tcW/>
            <w:vAlign w:val="center"/>
          </w:tcPr>
          <w:p>
            <w:pPr>
              <w:spacing w:line="240" w:lineRule="auto"/>
              <w:jc w:val="right"/>
            </w:pPr>
            <w:r>
              <w:rPr>
                <w:rFonts w:ascii="宋体" w:hAnsi="宋体" w:cs="宋体" w:eastAsia="宋体"/>
                <w:b w:val="false"/>
              </w:rPr>
              <w:t>4,604,213.41</w:t>
            </w:r>
          </w:p>
        </w:tc>
        <w:tc>
          <w:tcPr>
            <w:tcW/>
            <w:vAlign w:val="center"/>
          </w:tcPr>
          <w:p>
            <w:pPr>
              <w:spacing w:line="240" w:lineRule="auto"/>
              <w:jc w:val="right"/>
            </w:pPr>
            <w:r>
              <w:rPr>
                <w:rFonts w:ascii="宋体" w:hAnsi="宋体" w:cs="宋体" w:eastAsia="宋体"/>
                <w:b w:val="false"/>
              </w:rPr>
              <w:t>7.54</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002003</w:t>
            </w:r>
          </w:p>
        </w:tc>
        <w:tc>
          <w:tcPr>
            <w:tcW/>
            <w:vAlign w:val="center"/>
          </w:tcPr>
          <w:p>
            <w:pPr>
              <w:spacing w:line="240" w:lineRule="auto"/>
              <w:jc w:val="left"/>
            </w:pPr>
            <w:r>
              <w:rPr>
                <w:rFonts w:ascii="宋体" w:hAnsi="宋体" w:cs="宋体" w:eastAsia="宋体"/>
                <w:b w:val="false"/>
              </w:rPr>
              <w:t>伟星股份</w:t>
            </w:r>
          </w:p>
        </w:tc>
        <w:tc>
          <w:tcPr>
            <w:tcW/>
            <w:vAlign w:val="center"/>
          </w:tcPr>
          <w:p>
            <w:pPr>
              <w:spacing w:line="240" w:lineRule="auto"/>
              <w:jc w:val="right"/>
            </w:pPr>
            <w:r>
              <w:rPr>
                <w:rFonts w:ascii="宋体" w:hAnsi="宋体" w:cs="宋体" w:eastAsia="宋体"/>
                <w:b w:val="false"/>
              </w:rPr>
              <w:t>455,600</w:t>
            </w:r>
          </w:p>
        </w:tc>
        <w:tc>
          <w:tcPr>
            <w:tcW/>
            <w:vAlign w:val="center"/>
          </w:tcPr>
          <w:p>
            <w:pPr>
              <w:spacing w:line="240" w:lineRule="auto"/>
              <w:jc w:val="right"/>
            </w:pPr>
            <w:r>
              <w:rPr>
                <w:rFonts w:ascii="宋体" w:hAnsi="宋体" w:cs="宋体" w:eastAsia="宋体"/>
                <w:b w:val="false"/>
              </w:rPr>
              <w:t>4,487,660.00</w:t>
            </w:r>
          </w:p>
        </w:tc>
        <w:tc>
          <w:tcPr>
            <w:tcW/>
            <w:vAlign w:val="center"/>
          </w:tcPr>
          <w:p>
            <w:pPr>
              <w:spacing w:line="240" w:lineRule="auto"/>
              <w:jc w:val="right"/>
            </w:pPr>
            <w:r>
              <w:rPr>
                <w:rFonts w:ascii="宋体" w:hAnsi="宋体" w:cs="宋体" w:eastAsia="宋体"/>
                <w:b w:val="false"/>
              </w:rPr>
              <w:t>7.35</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国家债券</w:t>
            </w:r>
          </w:p>
        </w:tc>
        <w:tc>
          <w:tcPr>
            <w:tcW/>
            <w:vAlign w:val="center"/>
          </w:tcPr>
          <w:p>
            <w:pPr>
              <w:spacing w:line="240" w:lineRule="auto"/>
              <w:jc w:val="right"/>
            </w:pPr>
            <w:r>
              <w:rPr>
                <w:rFonts w:ascii="宋体" w:hAnsi="宋体" w:cs="宋体" w:eastAsia="宋体"/>
                <w:b w:val="false"/>
              </w:rPr>
              <w:t>3,331,381.64</w:t>
            </w:r>
          </w:p>
        </w:tc>
        <w:tc>
          <w:tcPr>
            <w:tcW/>
            <w:vAlign w:val="center"/>
          </w:tcPr>
          <w:p>
            <w:pPr>
              <w:spacing w:line="240" w:lineRule="auto"/>
              <w:jc w:val="right"/>
            </w:pPr>
            <w:r>
              <w:rPr>
                <w:rFonts w:ascii="宋体" w:hAnsi="宋体" w:cs="宋体" w:eastAsia="宋体"/>
                <w:b w:val="false"/>
              </w:rPr>
              <w:t>5.46</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央行票据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金融债券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其中：政策性金融债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企业债券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企业短期融资券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中期票据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可转债（可交换债）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同业存单</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3,331,381.64</w:t>
            </w:r>
          </w:p>
        </w:tc>
        <w:tc>
          <w:tcPr>
            <w:tcW/>
            <w:vAlign w:val="center"/>
          </w:tcPr>
          <w:p>
            <w:pPr>
              <w:spacing w:line="240" w:lineRule="auto"/>
              <w:jc w:val="right"/>
            </w:pPr>
            <w:r>
              <w:rPr>
                <w:rFonts w:ascii="宋体" w:hAnsi="宋体" w:cs="宋体" w:eastAsia="宋体"/>
                <w:b w:val="false"/>
              </w:rPr>
              <w:t>5.46</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019785</w:t>
            </w:r>
          </w:p>
        </w:tc>
        <w:tc>
          <w:tcPr>
            <w:tcW/>
            <w:vAlign w:val="center"/>
          </w:tcPr>
          <w:p>
            <w:pPr>
              <w:spacing w:line="240" w:lineRule="auto"/>
              <w:jc w:val="left"/>
            </w:pPr>
            <w:r>
              <w:rPr>
                <w:rFonts w:ascii="宋体" w:hAnsi="宋体" w:cs="宋体" w:eastAsia="宋体"/>
                <w:b w:val="false"/>
              </w:rPr>
              <w:t>25国债13</w:t>
            </w:r>
          </w:p>
        </w:tc>
        <w:tc>
          <w:tcPr>
            <w:tcW/>
            <w:vAlign w:val="center"/>
          </w:tcPr>
          <w:p>
            <w:pPr>
              <w:spacing w:line="240" w:lineRule="auto"/>
              <w:jc w:val="right"/>
            </w:pPr>
            <w:r>
              <w:rPr>
                <w:rFonts w:ascii="宋体" w:hAnsi="宋体" w:cs="宋体" w:eastAsia="宋体"/>
                <w:b w:val="false"/>
              </w:rPr>
              <w:t>33,000</w:t>
            </w:r>
          </w:p>
        </w:tc>
        <w:tc>
          <w:tcPr>
            <w:tcW/>
            <w:vAlign w:val="center"/>
          </w:tcPr>
          <w:p>
            <w:pPr>
              <w:spacing w:line="240" w:lineRule="auto"/>
              <w:jc w:val="right"/>
            </w:pPr>
            <w:r>
              <w:rPr>
                <w:rFonts w:ascii="宋体" w:hAnsi="宋体" w:cs="宋体" w:eastAsia="宋体"/>
                <w:b w:val="false"/>
              </w:rPr>
              <w:t>3,331,381.64</w:t>
            </w:r>
          </w:p>
        </w:tc>
        <w:tc>
          <w:tcPr>
            <w:tcW/>
            <w:vAlign w:val="center"/>
          </w:tcPr>
          <w:p>
            <w:pPr>
              <w:spacing w:line="240" w:lineRule="auto"/>
              <w:jc w:val="right"/>
            </w:pPr>
            <w:r>
              <w:rPr>
                <w:rFonts w:ascii="宋体" w:hAnsi="宋体" w:cs="宋体" w:eastAsia="宋体"/>
                <w:b w:val="false"/>
              </w:rPr>
              <w:t>5.46</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r>
    </w:p>
    <w:p/>
    <w:p>
      <w:pPr>
        <w:pStyle w:val="2"/>
        <w:jc w:val="left"/>
      </w:pPr>
      <w:r>
        <w:rPr>
          <w:rFonts w:ascii="宋体" w:hAnsi="宋体" w:cs="宋体" w:eastAsia="宋体"/>
        </w:rPr>
        <w:t>5.11 投资组合报告附注</w:t>
      </w:r>
    </w:p>
    <w:p>
      <w:pPr>
        <w:pStyle w:val="zhangjiep2"/>
      </w:pPr>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pPr>
        <w:pStyle w:val="zhangjiep2"/>
      </w:pPr>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pPr>
        <w:pStyle w:val="zhangjiep2"/>
      </w:pPr>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2308"/>
            <w:vAlign w:val="center"/>
          </w:tcPr>
          <w:tcPr>
            <w:shd w:fill="d9d9d9"/>
          </w:tcPr>
          <w:p>
            <w:pPr>
              <w:spacing w:line="240" w:lineRule="auto"/>
              <w:jc w:val="center"/>
            </w:pPr>
            <w:r>
              <w:rPr>
                <w:rFonts w:ascii="宋体" w:hAnsi="宋体" w:cs="宋体" w:eastAsia="宋体"/>
                <w:b w:val="false"/>
              </w:rPr>
              <w:t>名称</w:t>
            </w:r>
          </w:p>
        </w:tc>
        <w:tc>
          <w:tcPr>
            <w:tcW w:type="pct" w:w="1538"/>
            <w:vAlign w:val="center"/>
          </w:tcPr>
          <w:tcPr>
            <w:shd w:fill="d9d9d9"/>
          </w:tcPr>
          <w:p>
            <w:pPr>
              <w:spacing w:line="240" w:lineRule="auto"/>
              <w:jc w:val="center"/>
            </w:pPr>
            <w:r>
              <w:rPr>
                <w:rFonts w:ascii="宋体" w:hAnsi="宋体" w:cs="宋体" w:eastAsia="宋体"/>
                <w:b w:val="false"/>
              </w:rPr>
              <w:t>金额(元)</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存出保证金</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应收证券清算款</w:t>
            </w:r>
          </w:p>
        </w:tc>
        <w:tc>
          <w:tcPr>
            <w:tcW/>
            <w:vAlign w:val="center"/>
          </w:tcPr>
          <w:p>
            <w:pPr>
              <w:spacing w:line="240" w:lineRule="auto"/>
              <w:jc w:val="right"/>
            </w:pPr>
            <w:r>
              <w:rPr>
                <w:rFonts w:ascii="宋体" w:hAnsi="宋体" w:cs="宋体" w:eastAsia="宋体"/>
                <w:b w:val="false"/>
              </w:rPr>
              <w:t>218,468.12</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应收股利</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应收利息</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应收申购款</w:t>
            </w:r>
          </w:p>
        </w:tc>
        <w:tc>
          <w:tcPr>
            <w:tcW/>
            <w:vAlign w:val="center"/>
          </w:tcPr>
          <w:p>
            <w:pPr>
              <w:spacing w:line="240" w:lineRule="auto"/>
              <w:jc w:val="right"/>
            </w:pPr>
            <w:r>
              <w:rPr>
                <w:rFonts w:ascii="宋体" w:hAnsi="宋体" w:cs="宋体" w:eastAsia="宋体"/>
                <w:b w:val="false"/>
              </w:rPr>
              <w:t>227.83</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其他应收款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218,695.95</w:t>
            </w:r>
          </w:p>
        </w:tc>
      </w:tr>
    </w:tbl>
    <w:p/>
    <w:p>
      <w:pPr>
        <w:pStyle w:val="zhangjiep2"/>
      </w:pPr>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r>
    </w:p>
    <w:p/>
    <w:p>
      <w:pPr>
        <w:pStyle w:val="zhangjiep2"/>
      </w:pPr>
      <w:r>
        <w:rPr>
          <w:rStyle w:val="正文"/>
          <w:rFonts w:ascii="宋体" w:hAnsi="宋体" w:cs="宋体" w:eastAsia="宋体"/>
          <w:b w:val="true"/>
        </w:rPr>
        <w:t>5.11.5 报告期末前十名股票中存在流通受限情况的说明</w:t>
      </w:r>
    </w:p>
    <w:p>
      <w:r>
        <w:rPr>
          <w:rFonts w:ascii="宋体" w:hAnsi="宋体" w:cs="宋体" w:eastAsia="宋体"/>
          <w:b w:val="false"/>
        </w:rPr>
        <w:t xml:space="preserve">    本基金本报告期末前十名股票中不存在流通受限的情况。</w:t>
      </w:r>
    </w:p>
    <w:p/>
    <w:p>
      <w:pPr>
        <w:pStyle w:val="zhangjiep2"/>
      </w:pPr>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Layout w:type="fixed"/>
      </w:tblPr>
      <w:tblGrid>
        <w:gridCol w:w="3021"/>
        <w:gridCol w:w="3021"/>
        <w:gridCol w:w="3021"/>
      </w:tblGrid>
      <w:tr>
        <w:tc>
          <w:tcPr>
            <w:tcW w:type="pct" w:w="2308"/>
            <w:vAlign w:val="center"/>
          </w:tcPr>
          <w:p>
            <w:pPr>
              <w:spacing w:line="240" w:lineRule="auto"/>
              <w:jc w:val="center"/>
            </w:pPr>
          </w:p>
        </w:tc>
        <w:tc>
          <w:tcPr>
            <w:tcW w:type="pct" w:w="1300"/>
            <w:vAlign w:val="center"/>
          </w:tcPr>
          <w:p>
            <w:pPr>
              <w:spacing w:line="240" w:lineRule="auto"/>
              <w:jc w:val="center"/>
            </w:pPr>
            <w:r>
              <w:rPr>
                <w:rFonts w:ascii="宋体" w:hAnsi="宋体" w:cs="宋体" w:eastAsia="宋体"/>
                <w:b w:val="false"/>
              </w:rPr>
              <w:t>东方阿尔法兴科一年持有混合A</w:t>
            </w:r>
          </w:p>
        </w:tc>
        <w:tc>
          <w:tcPr>
            <w:tcW w:type="pct" w:w="1300"/>
            <w:vAlign w:val="center"/>
          </w:tcPr>
          <w:p>
            <w:pPr>
              <w:spacing w:line="240" w:lineRule="auto"/>
              <w:jc w:val="center"/>
            </w:pPr>
            <w:r>
              <w:rPr>
                <w:rFonts w:ascii="宋体" w:hAnsi="宋体" w:cs="宋体" w:eastAsia="宋体"/>
                <w:b w:val="false"/>
              </w:rPr>
              <w:t>东方阿尔法兴科一年持有混合C</w:t>
            </w:r>
          </w:p>
        </w:tc>
      </w:tr>
      <w:tr>
        <w:tc>
          <w:tcPr>
            <w:tcW/>
            <w:vAlign w:val="center"/>
          </w:tcPr>
          <w:p>
            <w:pPr>
              <w:spacing w:line="240" w:lineRule="auto"/>
              <w:jc w:val="left"/>
            </w:pPr>
            <w:r>
              <w:rPr>
                <w:rFonts w:ascii="宋体" w:hAnsi="宋体" w:cs="宋体" w:eastAsia="宋体"/>
                <w:b w:val="false"/>
              </w:rPr>
              <w:t>报告期期初基金份额总额</w:t>
            </w:r>
          </w:p>
        </w:tc>
        <w:tc>
          <w:tcPr>
            <w:tcW w:type="pct" w:w="1300"/>
            <w:vAlign w:val="center"/>
          </w:tcPr>
          <w:p>
            <w:pPr>
              <w:spacing w:line="240" w:lineRule="auto"/>
              <w:jc w:val="right"/>
            </w:pPr>
            <w:r>
              <w:rPr>
                <w:rFonts w:ascii="宋体" w:hAnsi="宋体" w:cs="宋体" w:eastAsia="宋体"/>
                <w:b w:val="false"/>
              </w:rPr>
              <w:t>60,945,022.14</w:t>
            </w:r>
          </w:p>
        </w:tc>
        <w:tc>
          <w:tcPr>
            <w:tcW w:type="pct" w:w="1300"/>
            <w:vAlign w:val="center"/>
          </w:tcPr>
          <w:p>
            <w:pPr>
              <w:spacing w:line="240" w:lineRule="auto"/>
              <w:jc w:val="right"/>
            </w:pPr>
            <w:r>
              <w:rPr>
                <w:rFonts w:ascii="宋体" w:hAnsi="宋体" w:cs="宋体" w:eastAsia="宋体"/>
                <w:b w:val="false"/>
              </w:rPr>
              <w:t>12,645,901.38</w:t>
            </w:r>
          </w:p>
        </w:tc>
      </w:tr>
      <w:tr>
        <w:tc>
          <w:tcPr>
            <w:tcW/>
            <w:vAlign w:val="center"/>
          </w:tcPr>
          <w:p>
            <w:pPr>
              <w:spacing w:line="240" w:lineRule="auto"/>
              <w:jc w:val="left"/>
            </w:pPr>
            <w:r>
              <w:rPr>
                <w:rFonts w:ascii="宋体" w:hAnsi="宋体" w:cs="宋体" w:eastAsia="宋体"/>
                <w:b w:val="false"/>
              </w:rPr>
              <w:t>报告期期间基金总申购份额</w:t>
            </w:r>
          </w:p>
        </w:tc>
        <w:tc>
          <w:tcPr>
            <w:tcW w:type="pct" w:w="1300"/>
            <w:vAlign w:val="center"/>
          </w:tcPr>
          <w:p>
            <w:pPr>
              <w:spacing w:line="240" w:lineRule="auto"/>
              <w:jc w:val="right"/>
            </w:pPr>
            <w:r>
              <w:rPr>
                <w:rFonts w:ascii="宋体" w:hAnsi="宋体" w:cs="宋体" w:eastAsia="宋体"/>
                <w:b w:val="false"/>
              </w:rPr>
              <w:t>222,221.27</w:t>
            </w:r>
          </w:p>
        </w:tc>
        <w:tc>
          <w:tcPr>
            <w:tcW w:type="pct" w:w="1300"/>
            <w:vAlign w:val="center"/>
          </w:tcPr>
          <w:p>
            <w:pPr>
              <w:spacing w:line="240" w:lineRule="auto"/>
              <w:jc w:val="right"/>
            </w:pPr>
            <w:r>
              <w:rPr>
                <w:rFonts w:ascii="宋体" w:hAnsi="宋体" w:cs="宋体" w:eastAsia="宋体"/>
                <w:b w:val="false"/>
              </w:rPr>
              <w:t>91,346.68</w:t>
            </w:r>
          </w:p>
        </w:tc>
      </w:tr>
      <w:tr>
        <w:tc>
          <w:tcPr>
            <w:tcW/>
            <w:vAlign w:val="center"/>
          </w:tcPr>
          <w:p>
            <w:pPr>
              <w:spacing w:line="240" w:lineRule="auto"/>
              <w:jc w:val="left"/>
            </w:pPr>
            <w:r>
              <w:rPr>
                <w:rFonts w:ascii="宋体" w:hAnsi="宋体" w:cs="宋体" w:eastAsia="宋体"/>
                <w:b w:val="false"/>
              </w:rPr>
              <w:t>减：报告期期间基金总赎回份额</w:t>
            </w:r>
          </w:p>
        </w:tc>
        <w:tc>
          <w:tcPr>
            <w:tcW w:type="pct" w:w="1300"/>
            <w:vAlign w:val="center"/>
          </w:tcPr>
          <w:p>
            <w:pPr>
              <w:spacing w:line="240" w:lineRule="auto"/>
              <w:jc w:val="right"/>
            </w:pPr>
            <w:r>
              <w:rPr>
                <w:rFonts w:ascii="宋体" w:hAnsi="宋体" w:cs="宋体" w:eastAsia="宋体"/>
                <w:b w:val="false"/>
              </w:rPr>
              <w:t>8,557,728.50</w:t>
            </w:r>
          </w:p>
        </w:tc>
        <w:tc>
          <w:tcPr>
            <w:tcW w:type="pct" w:w="1300"/>
            <w:vAlign w:val="center"/>
          </w:tcPr>
          <w:p>
            <w:pPr>
              <w:spacing w:line="240" w:lineRule="auto"/>
              <w:jc w:val="right"/>
            </w:pPr>
            <w:r>
              <w:rPr>
                <w:rFonts w:ascii="宋体" w:hAnsi="宋体" w:cs="宋体" w:eastAsia="宋体"/>
                <w:b w:val="false"/>
              </w:rPr>
              <w:t>3,227,147.22</w:t>
            </w:r>
          </w:p>
        </w:tc>
      </w:tr>
      <w:tr>
        <w:tc>
          <w:tcPr>
            <w:tcW/>
            <w:vAlign w:val="center"/>
          </w:tcPr>
          <w:p>
            <w:pPr>
              <w:spacing w:line="240" w:lineRule="auto"/>
              <w:jc w:val="left"/>
            </w:pPr>
            <w:r>
              <w:rPr>
                <w:rFonts w:ascii="宋体" w:hAnsi="宋体" w:cs="宋体" w:eastAsia="宋体"/>
                <w:b w:val="false"/>
              </w:rPr>
              <w:t>报告期期间基金拆分变动份额（份额减少以“-”填列）</w:t>
            </w:r>
          </w:p>
        </w:tc>
        <w:tc>
          <w:tcPr>
            <w:tcW w:type="pct" w:w="1300"/>
            <w:vAlign w:val="center"/>
          </w:tcPr>
          <w:p>
            <w:pPr>
              <w:spacing w:line="240" w:lineRule="auto"/>
              <w:jc w:val="right"/>
            </w:pPr>
            <w:r>
              <w:rPr>
                <w:rFonts w:ascii="宋体" w:hAnsi="宋体" w:cs="宋体" w:eastAsia="宋体"/>
                <w:b w:val="false"/>
              </w:rPr>
              <w:t>-</w:t>
            </w:r>
          </w:p>
        </w:tc>
        <w:tc>
          <w:tcPr>
            <w:tcW w:type="pct" w:w="130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1300"/>
            <w:vAlign w:val="center"/>
          </w:tcPr>
          <w:p>
            <w:pPr>
              <w:spacing w:line="240" w:lineRule="auto"/>
              <w:jc w:val="right"/>
            </w:pPr>
            <w:r>
              <w:rPr>
                <w:rFonts w:ascii="宋体" w:hAnsi="宋体" w:cs="宋体" w:eastAsia="宋体"/>
                <w:b w:val="false"/>
              </w:rPr>
              <w:t>52,609,514.91</w:t>
            </w:r>
          </w:p>
        </w:tc>
        <w:tc>
          <w:tcPr>
            <w:tcW w:type="pct" w:w="1300"/>
            <w:vAlign w:val="center"/>
          </w:tcPr>
          <w:p>
            <w:pPr>
              <w:spacing w:line="240" w:lineRule="auto"/>
              <w:jc w:val="right"/>
            </w:pPr>
            <w:r>
              <w:rPr>
                <w:rFonts w:ascii="宋体" w:hAnsi="宋体" w:cs="宋体" w:eastAsia="宋体"/>
                <w:b w:val="false"/>
              </w:rPr>
              <w:t>9,510,100.84</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r>
        <w:rPr>
          <w:rFonts w:ascii="宋体" w:hAnsi="宋体" w:cs="宋体" w:eastAsia="宋体"/>
          <w:b w:val="false"/>
        </w:rPr>
        <w:t xml:space="preserve">    截至本报告期末，本基金管理人未持有本基金份额。</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 xml:space="preserve">    本报告期内，本基金管理人未运用固有资金投资本基金。</w:t>
      </w:r>
    </w:p>
    <w:p>
      <w:pPr>
        <w:pStyle w:val="1"/>
        <w:jc w:val="center"/>
      </w:pPr>
      <w:r>
        <w:rPr>
          <w:rFonts w:ascii="宋体" w:hAnsi="宋体" w:cs="宋体" w:eastAsia="宋体"/>
        </w:rPr>
        <w:t>§8 影响投资者决策的其他重要信息</w:t>
      </w:r>
    </w:p>
    <w:p>
      <w:pPr>
        <w:pStyle w:val="2"/>
        <w:jc w:val="left"/>
      </w:pPr>
      <w:r>
        <w:rPr>
          <w:rFonts w:ascii="宋体" w:hAnsi="宋体" w:cs="宋体" w:eastAsia="宋体"/>
        </w:rPr>
        <w:t>8.1 报告期内单一投资者持有基金份额比例达到或超过20%的情况</w:t>
      </w:r>
    </w:p>
    <w:tbl>
      <w:tblPr>
        <w:tblW w:w="5000" w:type="pct"/>
        <w:tblBorders>
          <w:top w:val="single" w:sz="4"/>
          <w:left w:val="single" w:sz="4"/>
          <w:bottom w:val="single" w:sz="4"/>
          <w:right w:val="single" w:sz="4"/>
          <w:insideH w:val="single" w:sz="4"/>
          <w:insideV w:val="single" w:sz="4"/>
        </w:tblBorders>
      </w:tblPr>
      <w:tblGrid>
        <w:gridCol w:w="1133"/>
        <w:gridCol w:w="1133"/>
        <w:gridCol w:w="1133"/>
        <w:gridCol w:w="1133"/>
        <w:gridCol w:w="1133"/>
        <w:gridCol w:w="1133"/>
        <w:gridCol w:w="1133"/>
        <w:gridCol w:w="1133"/>
      </w:tblGrid>
      <w:tr>
        <w:tc>
          <w:tcPr>
            <w:tcW w:type="pct" w:w="269"/>
            <w:vMerge w:val="restart"/>
            <w:vAlign w:val="center"/>
          </w:tcPr>
          <w:tcPr>
            <w:shd w:fill="d9d9d9"/>
          </w:tcPr>
          <w:p>
            <w:pPr>
              <w:spacing w:line="240" w:lineRule="auto"/>
              <w:jc w:val="center"/>
            </w:pPr>
            <w:r>
              <w:rPr>
                <w:rFonts w:ascii="宋体" w:hAnsi="宋体" w:cs="宋体" w:eastAsia="宋体"/>
                <w:b w:val="false"/>
              </w:rPr>
              <w:t>投资者类别</w:t>
            </w:r>
          </w:p>
        </w:tc>
        <w:tc>
          <w:tcPr>
            <w:tcW w:type="pct" w:w="3192"/>
            <w:hMerge w:val="restart"/>
            <w:vAlign w:val="center"/>
          </w:tcPr>
          <w:tcPr>
            <w:shd w:fill="d9d9d9"/>
          </w:tcPr>
          <w:p>
            <w:pPr>
              <w:spacing w:line="240" w:lineRule="auto"/>
              <w:jc w:val="center"/>
            </w:pPr>
            <w:r>
              <w:rPr>
                <w:rFonts w:ascii="宋体" w:hAnsi="宋体" w:cs="宋体" w:eastAsia="宋体"/>
                <w:b w:val="false"/>
              </w:rPr>
              <w:t>报告期内持有基金份额变化情况</w:t>
            </w:r>
          </w:p>
        </w:tc>
        <w:tc>
          <w:tcPr>
            <w:hMerge w:val="continue"/>
          </w:tcPr>
          <w:p/>
        </w:tc>
        <w:tc>
          <w:tcPr>
            <w:hMerge w:val="continue"/>
          </w:tcPr>
          <w:p/>
        </w:tc>
        <w:tc>
          <w:tcPr>
            <w:hMerge w:val="continue"/>
          </w:tcPr>
          <w:p/>
        </w:tc>
        <w:tc>
          <w:tcPr>
            <w:hMerge w:val="continue"/>
          </w:tcPr>
          <w:p/>
        </w:tc>
        <w:tc>
          <w:tcPr>
            <w:tcW w:type="pct" w:w="1154"/>
            <w:hMerge w:val="restart"/>
            <w:vAlign w:val="center"/>
          </w:tcPr>
          <w:tcPr>
            <w:shd w:fill="d9d9d9"/>
          </w:tcPr>
          <w:p>
            <w:pPr>
              <w:spacing w:line="240" w:lineRule="auto"/>
              <w:jc w:val="center"/>
            </w:pPr>
            <w:r>
              <w:rPr>
                <w:rFonts w:ascii="宋体" w:hAnsi="宋体" w:cs="宋体" w:eastAsia="宋体"/>
                <w:b w:val="false"/>
              </w:rPr>
              <w:t>报告期末持有基金情况</w:t>
            </w:r>
          </w:p>
        </w:tc>
        <w:tc>
          <w:tcPr>
            <w:hMerge w:val="continue"/>
          </w:tcPr>
          <w:p/>
        </w:tc>
      </w:tr>
      <w:tr>
        <w:tc>
          <w:tcPr>
            <w:vMerge w:val="continue"/>
          </w:tcPr>
          <w:p/>
        </w:tc>
        <w:tc>
          <w:tcPr>
            <w:tcW w:type="pct" w:w="269"/>
            <w:vAlign w:val="center"/>
          </w:tcPr>
          <w:tcPr>
            <w:shd w:fill="d9d9d9"/>
          </w:tcPr>
          <w:p>
            <w:pPr>
              <w:spacing w:line="240" w:lineRule="auto"/>
              <w:jc w:val="center"/>
            </w:pPr>
            <w:r>
              <w:rPr>
                <w:rFonts w:ascii="宋体" w:hAnsi="宋体" w:cs="宋体" w:eastAsia="宋体"/>
                <w:b w:val="false"/>
              </w:rPr>
              <w:t>序号</w:t>
            </w:r>
          </w:p>
        </w:tc>
        <w:tc>
          <w:tcPr>
            <w:tcW w:type="pct" w:w="1346"/>
            <w:vAlign w:val="center"/>
          </w:tcPr>
          <w:tcPr>
            <w:shd w:fill="d9d9d9"/>
          </w:tcPr>
          <w:p>
            <w:pPr>
              <w:spacing w:line="240" w:lineRule="auto"/>
              <w:jc w:val="center"/>
            </w:pPr>
            <w:r>
              <w:rPr>
                <w:rFonts w:ascii="宋体" w:hAnsi="宋体" w:cs="宋体" w:eastAsia="宋体"/>
                <w:b w:val="false"/>
              </w:rPr>
              <w:t>持有基金份额比例达到或者超过20%的时间区间</w:t>
            </w:r>
          </w:p>
        </w:tc>
        <w:tc>
          <w:tcPr>
            <w:tcW w:type="pct" w:w="615"/>
            <w:vAlign w:val="center"/>
          </w:tcPr>
          <w:tcPr>
            <w:shd w:fill="d9d9d9"/>
          </w:tcPr>
          <w:p>
            <w:pPr>
              <w:spacing w:line="240" w:lineRule="auto"/>
              <w:jc w:val="center"/>
            </w:pPr>
            <w:r>
              <w:rPr>
                <w:rFonts w:ascii="宋体" w:hAnsi="宋体" w:cs="宋体" w:eastAsia="宋体"/>
                <w:b w:val="false"/>
              </w:rPr>
              <w:t>期初份额</w:t>
            </w:r>
          </w:p>
        </w:tc>
        <w:tc>
          <w:tcPr>
            <w:tcW w:type="pct" w:w="615"/>
            <w:vAlign w:val="center"/>
          </w:tcPr>
          <w:tcPr>
            <w:shd w:fill="d9d9d9"/>
          </w:tcPr>
          <w:p>
            <w:pPr>
              <w:spacing w:line="240" w:lineRule="auto"/>
              <w:jc w:val="center"/>
            </w:pPr>
            <w:r>
              <w:rPr>
                <w:rFonts w:ascii="宋体" w:hAnsi="宋体" w:cs="宋体" w:eastAsia="宋体"/>
                <w:b w:val="false"/>
              </w:rPr>
              <w:t>申购份额</w:t>
            </w:r>
          </w:p>
        </w:tc>
        <w:tc>
          <w:tcPr>
            <w:tcW w:type="pct" w:w="615"/>
            <w:vAlign w:val="center"/>
          </w:tcPr>
          <w:tcPr>
            <w:shd w:fill="d9d9d9"/>
          </w:tcPr>
          <w:p>
            <w:pPr>
              <w:spacing w:line="240" w:lineRule="auto"/>
              <w:jc w:val="center"/>
            </w:pPr>
            <w:r>
              <w:rPr>
                <w:rFonts w:ascii="宋体" w:hAnsi="宋体" w:cs="宋体" w:eastAsia="宋体"/>
                <w:b w:val="false"/>
              </w:rPr>
              <w:t>赎回份额</w:t>
            </w:r>
          </w:p>
        </w:tc>
        <w:tc>
          <w:tcPr>
            <w:tcW w:type="pct" w:w="615"/>
            <w:vAlign w:val="center"/>
          </w:tcPr>
          <w:tcPr>
            <w:shd w:fill="d9d9d9"/>
          </w:tcPr>
          <w:p>
            <w:pPr>
              <w:spacing w:line="240" w:lineRule="auto"/>
              <w:jc w:val="center"/>
            </w:pPr>
            <w:r>
              <w:rPr>
                <w:rFonts w:ascii="宋体" w:hAnsi="宋体" w:cs="宋体" w:eastAsia="宋体"/>
                <w:b w:val="false"/>
              </w:rPr>
              <w:t>持有份额</w:t>
            </w:r>
          </w:p>
        </w:tc>
        <w:tc>
          <w:tcPr>
            <w:tcW w:type="pct" w:w="538"/>
            <w:vAlign w:val="center"/>
          </w:tcPr>
          <w:tcPr>
            <w:shd w:fill="d9d9d9"/>
          </w:tcPr>
          <w:p>
            <w:pPr>
              <w:spacing w:line="240" w:lineRule="auto"/>
              <w:jc w:val="center"/>
            </w:pPr>
            <w:r>
              <w:rPr>
                <w:rFonts w:ascii="宋体" w:hAnsi="宋体" w:cs="宋体" w:eastAsia="宋体"/>
                <w:b w:val="false"/>
              </w:rPr>
              <w:t>份额占比</w:t>
            </w:r>
          </w:p>
        </w:tc>
      </w:tr>
      <w:tr>
        <w:tc>
          <w:tcPr>
            <w:tcW/>
            <w:vAlign w:val="center"/>
          </w:tcPr>
          <w:p>
            <w:pPr>
              <w:spacing w:line="240" w:lineRule="auto"/>
              <w:jc w:val="center"/>
            </w:pPr>
            <w:r>
              <w:rPr>
                <w:rFonts w:ascii="宋体" w:hAnsi="宋体" w:cs="宋体" w:eastAsia="宋体"/>
                <w:b w:val="false"/>
              </w:rPr>
              <w:t>个人</w:t>
            </w:r>
          </w:p>
        </w:tc>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center"/>
            </w:pPr>
            <w:r>
              <w:rPr>
                <w:rFonts w:ascii="宋体" w:hAnsi="宋体" w:cs="宋体" w:eastAsia="宋体"/>
                <w:b w:val="false"/>
              </w:rPr>
              <w:t>2026年01月01日-2026年03月31日</w:t>
            </w:r>
          </w:p>
        </w:tc>
        <w:tc>
          <w:tcPr>
            <w:tcW/>
            <w:vAlign w:val="center"/>
          </w:tcPr>
          <w:p>
            <w:pPr>
              <w:spacing w:line="240" w:lineRule="auto"/>
              <w:jc w:val="right"/>
            </w:pPr>
            <w:r>
              <w:rPr>
                <w:rFonts w:ascii="宋体" w:hAnsi="宋体" w:cs="宋体" w:eastAsia="宋体"/>
                <w:b w:val="false"/>
              </w:rPr>
              <w:t>19,132,126.80</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19,132,126.80</w:t>
            </w:r>
          </w:p>
        </w:tc>
        <w:tc>
          <w:tcPr>
            <w:tcW/>
            <w:vAlign w:val="center"/>
          </w:tcPr>
          <w:p>
            <w:pPr>
              <w:spacing w:line="240" w:lineRule="auto"/>
              <w:jc w:val="right"/>
            </w:pPr>
            <w:r>
              <w:rPr>
                <w:rFonts w:ascii="宋体" w:hAnsi="宋体" w:cs="宋体" w:eastAsia="宋体"/>
                <w:b w:val="false"/>
              </w:rPr>
              <w:t>30.80%</w:t>
            </w:r>
          </w:p>
        </w:tc>
      </w:tr>
      <w:tr>
        <w:tc>
          <w:tcPr>
            <w:tcW/>
            <w:hMerge w:val="restart"/>
            <w:vAlign w:val="center"/>
          </w:tcPr>
          <w:p>
            <w:pPr>
              <w:spacing w:line="240" w:lineRule="auto"/>
              <w:jc w:val="center"/>
            </w:pPr>
            <w:r>
              <w:rPr>
                <w:rFonts w:ascii="宋体" w:hAnsi="宋体" w:cs="宋体" w:eastAsia="宋体"/>
                <w:b w:val="false"/>
              </w:rPr>
              <w:t>产品特有风险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r>
        <w:tc>
          <w:tcPr>
            <w:tcW/>
            <w:hMerge w:val="restart"/>
            <w:vAlign w:val="center"/>
          </w:tcPr>
          <w:p>
            <w:pPr>
              <w:spacing w:line="240" w:lineRule="auto"/>
              <w:jc w:val="left"/>
            </w:pPr>
            <w:r>
              <w:rPr>
                <w:rFonts w:ascii="宋体" w:hAnsi="宋体" w:cs="宋体" w:eastAsia="宋体"/>
                <w:b w:val="false"/>
              </w:rPr>
              <w:t xml:space="preserve">    基金管理人秉承谨慎勤勉、独立决策、规范运作、充分披露原则，公平对待投资者，保障投资者合法权益。当单一投资者持有基金份额比例达到或超过20%时，由此可能导致的特有风险主要包括：</w:t>
              <w:br/>
            </w:r>
            <w:r>
              <w:rPr>
                <w:rFonts w:ascii="宋体" w:hAnsi="宋体" w:cs="宋体" w:eastAsia="宋体"/>
                <w:b w:val="false"/>
              </w:rPr>
              <w:t xml:space="preserve">    1、本基金单一投资者所持有的基金份额占比较大，单一投资者的巨额赎回，可能导致基金管理人被迫抛售证券以应付基金赎回的现金需要，对本基金的投资运作及净值表现产生较大影响。</w:t>
              <w:br/>
            </w:r>
            <w:r>
              <w:rPr>
                <w:rFonts w:ascii="宋体" w:hAnsi="宋体" w:cs="宋体" w:eastAsia="宋体"/>
                <w:b w:val="false"/>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br/>
            </w:r>
            <w:r>
              <w:rPr>
                <w:rFonts w:ascii="宋体" w:hAnsi="宋体" w:cs="宋体" w:eastAsia="宋体"/>
                <w:b w:val="false"/>
              </w:rPr>
              <w:t xml:space="preserve">    3、单一投资者巨额赎回可能导致本基金在短时间内无法变现足够的资产予以应对，可能会导致基金仓位调整困难，发生流动性风险。</w:t>
              <w:br/>
            </w:r>
            <w:r>
              <w:rPr>
                <w:rFonts w:ascii="宋体" w:hAnsi="宋体" w:cs="宋体" w:eastAsia="宋体"/>
                <w:b w:val="false"/>
              </w:rPr>
              <w:t xml:space="preserve">    4、持有基金份额占比较高的投资者在召开基金份额持有人大会并对重大事项进行投票表决时，可能拥有较大话语权。</w:t>
              <w:br/>
            </w:r>
            <w:r>
              <w:rPr>
                <w:rFonts w:ascii="宋体" w:hAnsi="宋体" w:cs="宋体" w:eastAsia="宋体"/>
                <w:b w:val="false"/>
              </w:rPr>
              <w:t xml:space="preserve">    5、超出基金管理人允许的单一投资者持有基金份额比例的申购申请不被确认的风险。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bl>
    <w:p/>
    <w:p>
      <w:pPr>
        <w:pStyle w:val="2"/>
        <w:jc w:val="left"/>
      </w:pPr>
      <w:r>
        <w:rPr>
          <w:rFonts w:ascii="宋体" w:hAnsi="宋体" w:cs="宋体" w:eastAsia="宋体"/>
        </w:rPr>
        <w:t>8.2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§9 备查文件目录</w:t>
      </w:r>
    </w:p>
    <w:p>
      <w:pPr>
        <w:pStyle w:val="2"/>
        <w:jc w:val="left"/>
      </w:pPr>
      <w:r>
        <w:rPr>
          <w:rFonts w:ascii="宋体" w:hAnsi="宋体" w:cs="宋体" w:eastAsia="宋体"/>
        </w:rPr>
        <w:t>9.1 备查文件目录</w:t>
      </w:r>
    </w:p>
    <w:p>
      <w:r>
        <w:rPr>
          <w:rFonts w:ascii="宋体" w:hAnsi="宋体" w:cs="宋体" w:eastAsia="宋体"/>
          <w:b w:val="false"/>
        </w:rPr>
        <w:t xml:space="preserve">    1、中国证券监督管理委员会批准的东方阿尔法兴科一年持有期混合型证券投资基金设立的文件；</w:t>
        <w:br/>
      </w:r>
      <w:r>
        <w:rPr>
          <w:rFonts w:ascii="宋体" w:hAnsi="宋体" w:cs="宋体" w:eastAsia="宋体"/>
          <w:b w:val="false"/>
        </w:rPr>
        <w:t xml:space="preserve">    2、《东方阿尔法兴科一年持有期混合型证券投资基金基金合同》；</w:t>
        <w:br/>
      </w:r>
      <w:r>
        <w:rPr>
          <w:rFonts w:ascii="宋体" w:hAnsi="宋体" w:cs="宋体" w:eastAsia="宋体"/>
          <w:b w:val="false"/>
        </w:rPr>
        <w:t xml:space="preserve">    3、《东方阿尔法兴科一年持有期混合型证券投资基金托管协议》；</w:t>
        <w:br/>
      </w:r>
      <w:r>
        <w:rPr>
          <w:rFonts w:ascii="宋体" w:hAnsi="宋体" w:cs="宋体" w:eastAsia="宋体"/>
          <w:b w:val="false"/>
        </w:rPr>
        <w:t xml:space="preserve">    4、《东方阿尔法兴科一年持有期混合型证券投资基金招募说明书》（含更新）；</w:t>
        <w:b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9.2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9.3 查阅方式</w:t>
      </w:r>
    </w:p>
    <w:p>
      <w:r>
        <w:rPr>
          <w:rFonts w:ascii="宋体" w:hAnsi="宋体" w:cs="宋体" w:eastAsia="宋体"/>
          <w:b w:val="false"/>
        </w:rPr>
        <w:t xml:space="preserve">    1、投资者可在营业时间免费查阅，也可按工本费购买复印件。</w:t>
        <w:br/>
      </w:r>
      <w:r>
        <w:rPr>
          <w:rFonts w:ascii="宋体" w:hAnsi="宋体" w:cs="宋体" w:eastAsia="宋体"/>
          <w:b w:val="false"/>
        </w:rPr>
        <w:t xml:space="preserve">    2、投资者对本报告书如有疑问，可咨询本基金管理人东方阿尔法基金管理有限公司，客户服务电话：400-930-6677（免长途话费）。</w:t>
        <w:b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二〇二六年四月二十二日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东方阿尔法兴科一年持有期混合型证券投资基金2026年第1季度报告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