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6CD91" w14:textId="77777777" w:rsidR="00033BEA" w:rsidRDefault="00033BEA" w:rsidP="00A76644">
      <w:pPr>
        <w:pStyle w:val="TOC1"/>
        <w:tabs>
          <w:tab w:val="right" w:leader="dot" w:pos="9080"/>
        </w:tabs>
        <w:spacing w:before="72" w:after="120"/>
        <w:jc w:val="center"/>
        <w:rPr>
          <w:rFonts w:ascii="宋体" w:hAnsi="宋体"/>
          <w:b/>
          <w:bCs/>
          <w:sz w:val="24"/>
        </w:rPr>
      </w:pPr>
    </w:p>
    <w:p w14:paraId="52A90100" w14:textId="77777777" w:rsidR="00033BEA" w:rsidRDefault="00033BEA" w:rsidP="00A76644">
      <w:pPr>
        <w:pStyle w:val="TOC1"/>
        <w:tabs>
          <w:tab w:val="right" w:leader="dot" w:pos="9080"/>
        </w:tabs>
        <w:spacing w:before="72" w:after="120"/>
        <w:jc w:val="center"/>
        <w:rPr>
          <w:rFonts w:ascii="宋体" w:hAnsi="宋体"/>
          <w:b/>
          <w:bCs/>
          <w:sz w:val="24"/>
        </w:rPr>
      </w:pPr>
    </w:p>
    <w:p w14:paraId="38984839"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东方阿尔法医疗健康混合型发起式证券投资基金</w:t>
      </w:r>
      <w:proofErr w:type="spellStart"/>
      <w:proofErr w:type="spellEnd"/>
    </w:p>
    <w:p w14:paraId="451789C6" w14:textId="77777777" w:rsidR="00396EB6" w:rsidRPr="00421707" w:rsidRDefault="00315609" w:rsidP="001663E4">
      <w:pPr>
        <w:pStyle w:val="TOC1"/>
        <w:tabs>
          <w:tab w:val="right" w:leader="dot" w:pos="9080"/>
        </w:tabs>
        <w:jc w:val="center"/>
        <w:rPr>
          <w:rFonts w:ascii="黑体" w:eastAsia="黑体" w:hAnsi="黑体"/>
          <w:b/>
          <w:bCs/>
          <w:sz w:val="36"/>
          <w:szCs w:val="36"/>
        </w:rPr>
      </w:pPr>
      <w:r w:rsidRPr="00421707">
        <w:rPr>
          <w:rFonts w:ascii="黑体" w:eastAsia="黑体" w:hAnsi="黑体" w:hint="eastAsia"/>
          <w:b/>
          <w:bCs/>
          <w:sz w:val="36"/>
          <w:szCs w:val="36"/>
        </w:rPr>
        <w:t>2026年第1季度报告</w:t>
      </w:r>
      <w:proofErr w:type="spellStart"/>
      <w:proofErr w:type="spellEnd"/>
    </w:p>
    <w:p w14:paraId="330D4D51" w14:textId="77777777" w:rsidR="00695511" w:rsidRPr="00A76644" w:rsidRDefault="00315609" w:rsidP="00421707">
      <w:pPr>
        <w:pStyle w:val="TOC1"/>
        <w:tabs>
          <w:tab w:val="right" w:leader="dot" w:pos="9080"/>
        </w:tabs>
        <w:spacing w:line="480" w:lineRule="auto"/>
        <w:jc w:val="center"/>
        <w:rPr>
          <w:rFonts w:ascii="宋体" w:eastAsia="宋体" w:hAnsi="宋体" w:cs="宋体"/>
          <w:b/>
          <w:bCs/>
          <w:sz w:val="24"/>
        </w:rPr>
      </w:pPr>
      <w:r>
        <w:rPr>
          <w:rFonts w:ascii="宋体" w:eastAsia="宋体" w:hAnsi="宋体" w:cs="宋体" w:hint="eastAsia"/>
          <w:b/>
          <w:bCs/>
          <w:sz w:val="24"/>
        </w:rPr>
        <w:t>2026年03月31日</w:t>
      </w:r>
      <w:proofErr w:type="spellStart"/>
      <w:proofErr w:type="spellEnd"/>
    </w:p>
    <w:p w14:paraId="205BF4D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2CCC2D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45B4059"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C03714"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80DD33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56C070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C562D33"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110C3F6"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3A845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5EF2E9F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2807BBEC"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BC10FDF"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488AAE42"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0B4C086D"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7EEBE708" w14:textId="77777777" w:rsidR="00514F66" w:rsidRPr="00514F66" w:rsidRDefault="00514F66" w:rsidP="00514F66">
      <w:pPr>
        <w:pStyle w:val="TOC1"/>
        <w:tabs>
          <w:tab w:val="right" w:leader="dot" w:pos="9080"/>
        </w:tabs>
        <w:spacing w:before="72" w:after="120"/>
        <w:jc w:val="center"/>
        <w:rPr>
          <w:rFonts w:ascii="宋体" w:hAnsi="宋体"/>
          <w:b/>
          <w:bCs/>
          <w:sz w:val="24"/>
        </w:rPr>
      </w:pPr>
    </w:p>
    <w:p w14:paraId="3B0B08E8"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基金管理人:</w:t>
      </w:r>
      <w:proofErr w:type="spellStart"/>
      <w:proofErr w:type="spellEnd"/>
      <w:r>
        <w:rPr>
          <w:rFonts w:ascii="宋体" w:hAnsi="宋体" w:cs="宋体" w:eastAsia="宋体"/>
          <w:b w:val="true"/>
          <w:color w:val=""/>
          <w:sz w:val="24"/>
          <w:u w:val="none"/>
        </w:rPr>
        <w:t>东方阿尔法基金管理有限公司</w:t>
      </w:r>
    </w:p>
    <w:p w14:paraId="31616E72"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基金托管人:</w:t>
      </w:r>
      <w:proofErr w:type="spellStart"/>
      <w:proofErr w:type="spellEnd"/>
      <w:r>
        <w:rPr>
          <w:rFonts w:ascii="宋体" w:hAnsi="宋体" w:cs="宋体" w:eastAsia="宋体"/>
          <w:b w:val="true"/>
          <w:color w:val=""/>
          <w:sz w:val="24"/>
          <w:u w:val="none"/>
        </w:rPr>
        <w:t>招商银行股份有限公司</w:t>
      </w:r>
    </w:p>
    <w:p w14:paraId="01D6CDCE" w14:textId="77777777" w:rsidR="00396EB6" w:rsidRDefault="00315609" w:rsidP="00421707">
      <w:pPr>
        <w:pStyle w:val="TOC1"/>
        <w:tabs>
          <w:tab w:val="right" w:leader="dot" w:pos="9080"/>
        </w:tabs>
        <w:spacing w:line="360" w:lineRule="auto"/>
        <w:jc w:val="center"/>
        <w:rPr>
          <w:rFonts w:ascii="宋体" w:eastAsia="宋体" w:hAnsi="宋体" w:cs="宋体"/>
          <w:b/>
          <w:bCs/>
          <w:sz w:val="24"/>
        </w:rPr>
      </w:pPr>
      <w:r>
        <w:rPr>
          <w:rFonts w:ascii="宋体" w:eastAsia="宋体" w:hAnsi="宋体" w:cs="宋体" w:hint="eastAsia"/>
          <w:b/>
          <w:bCs/>
          <w:sz w:val="24"/>
        </w:rPr>
        <w:t>报告送出日期:</w:t>
      </w:r>
      <w:proofErr w:type="spellStart"/>
      <w:proofErr w:type="spellEnd"/>
      <w:r>
        <w:rPr>
          <w:rFonts w:ascii="宋体" w:hAnsi="宋体" w:cs="宋体" w:eastAsia="宋体"/>
          <w:b w:val="true"/>
          <w:color w:val=""/>
          <w:sz w:val="24"/>
          <w:u w:val="none"/>
        </w:rPr>
        <w:t>2026年04月22日</w:t>
      </w:r>
    </w:p>
    <w:p w14:paraId="28A208C4" w14:textId="77777777" w:rsidR="00396EB6" w:rsidRDefault="00315609" w:rsidP="00A76644">
      <w:pPr>
        <w:jc w:val="center"/>
      </w:pPr>
      <w:r>
        <w:br w:type="page"/>
      </w:r>
    </w:p>
    <w:p w14:paraId="6B371222" w14:textId="77777777" w:rsidR="00C370BD" w:rsidRPr="00C370BD" w:rsidRDefault="00C370BD" w:rsidP="00801225">
      <w:pPr>
        <w:pStyle w:val="1"/>
        <w:spacing w:line="576" w:lineRule="auto"/>
        <w:jc w:val="center"/>
        <w:rPr>
          <w:rFonts w:ascii="宋体" w:eastAsia="宋体" w:hAnsi="宋体"/>
          <w:sz w:val="24"/>
          <w:szCs w:val="24"/>
        </w:rPr>
      </w:pPr>
      <w:bookmarkStart w:id="0" w:name="_Toc73379713"/>
      <w:r w:rsidRPr="00C370BD">
        <w:rPr>
          <w:rFonts w:ascii="宋体" w:eastAsia="宋体" w:hAnsi="宋体" w:hint="eastAsia"/>
          <w:bCs w:val="0"/>
          <w:sz w:val="24"/>
          <w:szCs w:val="24"/>
        </w:rPr>
        <w:lastRenderedPageBreak/>
        <w:t>§1 重要提示</w:t>
      </w:r>
      <w:bookmarkEnd w:id="0"/>
    </w:p>
    <w:p w14:paraId="7F352D6E" w14:textId="35951F40" w:rsidR="00F07C93" w:rsidRDefault="00F07C93" w:rsidP="00E67AEA">
      <w:pPr>
        <w:widowControl/>
        <w:rPr>
          <w:rFonts w:ascii="宋体" w:eastAsia="宋体" w:hAnsi="宋体"/>
        </w:rPr>
      </w:pPr>
      <w:r>
        <w:t xml:space="preserve">    基金管理人的董事会及董事保证本报告所载资料不存在虚假记载、误导性陈述或重大遗漏，并对其内容的真实性、准确性和完整性承担个别及连带责任。</w:t>
        <w:cr/>
        <w:t xml:space="preserve">    基金托管人招商银行股份有限公司根据本基金合同规定，于2026年04月20日复核了本报告中的财务指标、净值表现和投资组合报告等内容，保证复核内容不存在虚假记载、误导性陈述或者重大遗漏。</w:t>
        <w:cr/>
        <w:t xml:space="preserve">    基金管理人承诺以诚实信用、勤勉尽责的原则管理和运用基金资产，但不保证基金一定盈利。</w:t>
        <w:cr/>
        <w:t xml:space="preserve">    基金的过往业绩并不代表其未来表现。投资有风险，投资者在做出投资决策前应仔细阅读本基金的招募说明书。</w:t>
        <w:cr/>
        <w:t xml:space="preserve">    本报告中财务资料未经审计。</w:t>
        <w:cr/>
        <w:t xml:space="preserve">    本报告期自2026年01月01日起至2026年03月31日止。</w:t>
      </w:r>
      <w:proofErr w:type="spellStart"/>
      <w:proofErr w:type="spellEnd"/>
    </w:p>
    <w:p/>
    <w:p>
      <w:pPr>
        <w:pStyle w:val="1"/>
        <w:jc w:val="center"/>
      </w:pPr>
      <w:r>
        <w:rPr>
          <w:rFonts w:ascii="宋体" w:hAnsi="宋体" w:cs="宋体" w:eastAsia="宋体"/>
        </w:rPr>
        <w:t>§2 基金产品概况</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Align w:val="center"/>
          </w:tcPr>
          <w:p>
            <w:pPr>
              <w:spacing w:line="240" w:lineRule="auto"/>
              <w:jc w:val="left"/>
            </w:pPr>
            <w:r>
              <w:rPr>
                <w:rFonts w:ascii="宋体" w:hAnsi="宋体" w:cs="宋体" w:eastAsia="宋体"/>
                <w:b w:val="false"/>
              </w:rPr>
              <w:t>基金简称</w:t>
            </w:r>
          </w:p>
        </w:tc>
        <w:tc>
          <w:tcPr>
            <w:tcW w:type="pct" w:w="3077"/>
            <w:hMerge w:val="restart"/>
            <w:vAlign w:val="center"/>
          </w:tcPr>
          <w:p>
            <w:pPr>
              <w:spacing w:line="240" w:lineRule="auto"/>
              <w:jc w:val="left"/>
            </w:pPr>
            <w:r>
              <w:rPr>
                <w:rFonts w:ascii="宋体" w:hAnsi="宋体" w:cs="宋体" w:eastAsia="宋体"/>
                <w:b w:val="false"/>
              </w:rPr>
              <w:t>东方阿尔法医疗健康混合发起</w:t>
            </w:r>
          </w:p>
        </w:tc>
        <w:tc>
          <w:tcPr>
            <w:hMerge w:val="continue"/>
          </w:tcPr>
          <w:p/>
        </w:tc>
      </w:tr>
      <w:tr>
        <w:tc>
          <w:tcPr>
            <w:tcW w:type="pct" w:w="1923"/>
            <w:vAlign w:val="center"/>
          </w:tcPr>
          <w:p>
            <w:pPr>
              <w:spacing w:line="240" w:lineRule="auto"/>
              <w:jc w:val="left"/>
            </w:pPr>
            <w:r>
              <w:rPr>
                <w:rFonts w:ascii="宋体" w:hAnsi="宋体" w:cs="宋体" w:eastAsia="宋体"/>
                <w:b w:val="false"/>
              </w:rPr>
              <w:t>基金主代码</w:t>
            </w:r>
          </w:p>
        </w:tc>
        <w:tc>
          <w:tcPr>
            <w:tcW/>
            <w:hMerge w:val="restart"/>
            <w:vAlign w:val="center"/>
          </w:tcPr>
          <w:p>
            <w:pPr>
              <w:spacing w:line="240" w:lineRule="auto"/>
              <w:jc w:val="left"/>
            </w:pPr>
            <w:r>
              <w:rPr>
                <w:rFonts w:ascii="宋体" w:hAnsi="宋体" w:cs="宋体" w:eastAsia="宋体"/>
                <w:b w:val="false"/>
              </w:rPr>
              <w:t>014841</w:t>
            </w:r>
          </w:p>
        </w:tc>
        <w:tc>
          <w:tcPr>
            <w:hMerge w:val="continue"/>
          </w:tcPr>
          <w:p/>
        </w:tc>
      </w:tr>
      <w:tr>
        <w:tc>
          <w:tcPr>
            <w:tcW w:type="pct" w:w="1923"/>
            <w:vAlign w:val="center"/>
          </w:tcPr>
          <w:p>
            <w:pPr>
              <w:spacing w:line="240" w:lineRule="auto"/>
              <w:jc w:val="left"/>
            </w:pPr>
            <w:r>
              <w:rPr>
                <w:rFonts w:ascii="宋体" w:hAnsi="宋体" w:cs="宋体" w:eastAsia="宋体"/>
                <w:b w:val="false"/>
              </w:rPr>
              <w:t>基金运作方式</w:t>
            </w:r>
          </w:p>
        </w:tc>
        <w:tc>
          <w:tcPr>
            <w:tcW/>
            <w:hMerge w:val="restart"/>
            <w:vAlign w:val="center"/>
          </w:tcPr>
          <w:p>
            <w:pPr>
              <w:spacing w:line="240" w:lineRule="auto"/>
              <w:jc w:val="left"/>
            </w:pPr>
            <w:r>
              <w:rPr>
                <w:rFonts w:ascii="宋体" w:hAnsi="宋体" w:cs="宋体" w:eastAsia="宋体"/>
                <w:b w:val="false"/>
              </w:rPr>
              <w:t>契约型开放式</w:t>
            </w:r>
          </w:p>
        </w:tc>
        <w:tc>
          <w:tcPr>
            <w:hMerge w:val="continue"/>
          </w:tcPr>
          <w:p/>
        </w:tc>
      </w:tr>
      <w:tr>
        <w:tc>
          <w:tcPr>
            <w:tcW w:type="pct" w:w="1923"/>
            <w:vAlign w:val="center"/>
          </w:tcPr>
          <w:p>
            <w:pPr>
              <w:spacing w:line="240" w:lineRule="auto"/>
              <w:jc w:val="left"/>
            </w:pPr>
            <w:r>
              <w:rPr>
                <w:rFonts w:ascii="宋体" w:hAnsi="宋体" w:cs="宋体" w:eastAsia="宋体"/>
                <w:b w:val="false"/>
              </w:rPr>
              <w:t>基金合同生效日</w:t>
            </w:r>
          </w:p>
        </w:tc>
        <w:tc>
          <w:tcPr>
            <w:tcW/>
            <w:hMerge w:val="restart"/>
            <w:vAlign w:val="center"/>
          </w:tcPr>
          <w:p>
            <w:pPr>
              <w:spacing w:line="240" w:lineRule="auto"/>
              <w:jc w:val="left"/>
            </w:pPr>
            <w:r>
              <w:rPr>
                <w:rFonts w:ascii="宋体" w:hAnsi="宋体" w:cs="宋体" w:eastAsia="宋体"/>
                <w:b w:val="false"/>
              </w:rPr>
              <w:t>2022年03月30日</w:t>
            </w:r>
          </w:p>
        </w:tc>
        <w:tc>
          <w:tcPr>
            <w:hMerge w:val="continue"/>
          </w:tcPr>
          <w:p/>
        </w:tc>
      </w:tr>
      <w:tr>
        <w:tc>
          <w:tcPr>
            <w:tcW w:type="pct" w:w="1923"/>
            <w:vAlign w:val="center"/>
          </w:tcPr>
          <w:p>
            <w:pPr>
              <w:spacing w:line="240" w:lineRule="auto"/>
              <w:jc w:val="left"/>
            </w:pPr>
            <w:r>
              <w:rPr>
                <w:rFonts w:ascii="宋体" w:hAnsi="宋体" w:cs="宋体" w:eastAsia="宋体"/>
                <w:b w:val="false"/>
              </w:rPr>
              <w:t>报告期末基金份额总额</w:t>
            </w:r>
          </w:p>
        </w:tc>
        <w:tc>
          <w:tcPr>
            <w:tcW/>
            <w:hMerge w:val="restart"/>
            <w:vAlign w:val="center"/>
          </w:tcPr>
          <w:p>
            <w:pPr>
              <w:spacing w:line="240" w:lineRule="auto"/>
              <w:jc w:val="left"/>
            </w:pPr>
            <w:r>
              <w:rPr>
                <w:rFonts w:ascii="宋体" w:hAnsi="宋体" w:cs="宋体" w:eastAsia="宋体"/>
                <w:b w:val="false"/>
              </w:rPr>
              <w:t>141,254,598.60份</w:t>
            </w:r>
          </w:p>
        </w:tc>
        <w:tc>
          <w:tcPr>
            <w:hMerge w:val="continue"/>
          </w:tcPr>
          <w:p/>
        </w:tc>
      </w:tr>
      <w:tr>
        <w:tc>
          <w:tcPr>
            <w:tcW w:type="pct" w:w="1923"/>
            <w:vAlign w:val="center"/>
          </w:tcPr>
          <w:p>
            <w:pPr>
              <w:spacing w:line="240" w:lineRule="auto"/>
              <w:jc w:val="left"/>
            </w:pPr>
            <w:r>
              <w:rPr>
                <w:rFonts w:ascii="宋体" w:hAnsi="宋体" w:cs="宋体" w:eastAsia="宋体"/>
                <w:b w:val="false"/>
              </w:rPr>
              <w:t>投资目标</w:t>
            </w:r>
          </w:p>
        </w:tc>
        <w:tc>
          <w:tcPr>
            <w:tcW w:type="pct" w:w="2592"/>
            <w:hMerge w:val="restart"/>
            <w:vAlign w:val="center"/>
          </w:tcPr>
          <w:p>
            <w:pPr>
              <w:spacing w:line="240" w:lineRule="auto"/>
              <w:jc w:val="left"/>
            </w:pPr>
            <w:r>
              <w:rPr>
                <w:rFonts w:ascii="宋体" w:hAnsi="宋体" w:cs="宋体" w:eastAsia="宋体"/>
                <w:b w:val="false"/>
              </w:rPr>
              <w:t>本基金采用自上而下与自下而上相结合的投资方法，以基本面分析为立足点，精选医疗健康相关行业证券，在科学严格管理风险的前提下，谋求基金资产的中长期稳健增值。</w:t>
            </w:r>
          </w:p>
        </w:tc>
        <w:tc>
          <w:tcPr>
            <w:hMerge w:val="continue"/>
          </w:tcPr>
          <w:p/>
        </w:tc>
      </w:tr>
      <w:tr>
        <w:tc>
          <w:tcPr>
            <w:tcW w:type="pct" w:w="1923"/>
            <w:vAlign w:val="center"/>
          </w:tcPr>
          <w:p>
            <w:pPr>
              <w:spacing w:line="240" w:lineRule="auto"/>
              <w:jc w:val="left"/>
            </w:pPr>
            <w:r>
              <w:rPr>
                <w:rFonts w:ascii="宋体" w:hAnsi="宋体" w:cs="宋体" w:eastAsia="宋体"/>
                <w:b w:val="false"/>
              </w:rPr>
              <w:t>投资策略</w:t>
            </w:r>
          </w:p>
        </w:tc>
        <w:tc>
          <w:tcPr>
            <w:tcW/>
            <w:hMerge w:val="restart"/>
            <w:vAlign w:val="center"/>
          </w:tcPr>
          <w:p>
            <w:pPr>
              <w:spacing w:line="240" w:lineRule="auto"/>
              <w:jc w:val="left"/>
            </w:pPr>
            <w:r>
              <w:rPr>
                <w:rFonts w:ascii="宋体" w:hAnsi="宋体" w:cs="宋体" w:eastAsia="宋体"/>
                <w:b w:val="false"/>
              </w:rPr>
              <w:t>本基金的投资策略主要有以下11个方面内容：</w:t>
              <w:br/>
            </w:r>
            <w:r>
              <w:rPr>
                <w:rFonts w:ascii="宋体" w:hAnsi="宋体" w:cs="宋体" w:eastAsia="宋体"/>
                <w:b w:val="false"/>
              </w:rPr>
              <w:t>1、资产配置策略</w:t>
              <w:br/>
            </w:r>
            <w:r>
              <w:rPr>
                <w:rFonts w:ascii="宋体" w:hAnsi="宋体" w:cs="宋体" w:eastAsia="宋体"/>
                <w:b w:val="false"/>
              </w:rPr>
              <w:t>本基金通过定性与定量相结合的分析方法，对系统性风险以及可预见的未来时期内各大类资产的预期风险和预期收益率进行分析评估，制定本基金在各类资产之间的配置比例、调整原则和调整范围。</w:t>
              <w:br/>
            </w:r>
            <w:r>
              <w:rPr>
                <w:rFonts w:ascii="宋体" w:hAnsi="宋体" w:cs="宋体" w:eastAsia="宋体"/>
                <w:b w:val="false"/>
              </w:rPr>
              <w:t>2、股票投资策略</w:t>
              <w:br/>
            </w:r>
            <w:r>
              <w:rPr>
                <w:rFonts w:ascii="宋体" w:hAnsi="宋体" w:cs="宋体" w:eastAsia="宋体"/>
                <w:b w:val="false"/>
              </w:rPr>
              <w:t>本基金将通过系统和深入的基本面研究，专注于医疗健康产业投资，对行业发展进行密切跟踪，根据市场不同阶段充分把握各个子行业轮动带来的投资机会。</w:t>
              <w:br/>
            </w:r>
            <w:r>
              <w:rPr>
                <w:rFonts w:ascii="宋体" w:hAnsi="宋体" w:cs="宋体" w:eastAsia="宋体"/>
                <w:b w:val="false"/>
              </w:rPr>
              <w:t>3、港股通标的股票投资策略</w:t>
              <w:br/>
            </w:r>
            <w:r>
              <w:rPr>
                <w:rFonts w:ascii="宋体" w:hAnsi="宋体" w:cs="宋体" w:eastAsia="宋体"/>
                <w:b w:val="false"/>
              </w:rPr>
              <w:t>本基金从治理结构与管理层：良好的公司治理结构，优秀、诚信的公司管理层；行业集中度及行业地位：具备独特的核心竞争优势和定价能力；公司业绩表现：具备中长期持续增长的能力；与A股同类公司相比具有估值优势的公司等方面筛选港股通标的股票。</w:t>
              <w:br/>
            </w:r>
            <w:r>
              <w:rPr>
                <w:rFonts w:ascii="宋体" w:hAnsi="宋体" w:cs="宋体" w:eastAsia="宋体"/>
                <w:b w:val="false"/>
              </w:rPr>
              <w:t>4、存托凭证投资策略</w:t>
              <w:br/>
            </w:r>
            <w:r>
              <w:rPr>
                <w:rFonts w:ascii="宋体" w:hAnsi="宋体" w:cs="宋体" w:eastAsia="宋体"/>
                <w:b w:val="false"/>
              </w:rPr>
              <w:t>本基金可投资存托凭证，本基金将在深入研究的基础上，通过定性分析和定量分析相结合的方式，选择投资价值高的存托凭证进行投资。</w:t>
              <w:br/>
            </w:r>
            <w:r>
              <w:rPr>
                <w:rFonts w:ascii="宋体" w:hAnsi="宋体" w:cs="宋体" w:eastAsia="宋体"/>
                <w:b w:val="false"/>
              </w:rPr>
              <w:t>5、债券类资产投资策略</w:t>
              <w:br/>
            </w:r>
            <w:r>
              <w:rPr>
                <w:rFonts w:ascii="宋体" w:hAnsi="宋体" w:cs="宋体" w:eastAsia="宋体"/>
                <w:b w:val="false"/>
              </w:rPr>
              <w:t>本基金将采取较为积极的债券投资策略，通过利率预测分析、收益率曲线变动分析、债券信用分析、收益率利差分析等，研判各类属固定收益类资产的风险趋势与收益预期，精选个券进行投资。</w:t>
              <w:br/>
            </w:r>
            <w:r>
              <w:rPr>
                <w:rFonts w:ascii="宋体" w:hAnsi="宋体" w:cs="宋体" w:eastAsia="宋体"/>
                <w:b w:val="false"/>
              </w:rPr>
              <w:t>6、可转债（含分离交易可转债）及可交换债券投资策略</w:t>
              <w:br/>
            </w:r>
            <w:r>
              <w:rPr>
                <w:rFonts w:ascii="宋体" w:hAnsi="宋体" w:cs="宋体" w:eastAsia="宋体"/>
                <w:b w:val="false"/>
              </w:rPr>
              <w:t>本基金将重点关注可转债的转换价值、市场价值与其转换价值的比较、转换期限、公司经营业绩、公司当前股票价格、相关的赎回条件、回售条件等方面，以及通过对目标公司股票的投资价值分析和可交换债券的纯债部分价值分析综合开展投资决策。</w:t>
              <w:br/>
            </w:r>
            <w:r>
              <w:rPr>
                <w:rFonts w:ascii="宋体" w:hAnsi="宋体" w:cs="宋体" w:eastAsia="宋体"/>
                <w:b w:val="false"/>
              </w:rPr>
              <w:t>7、股指期货投资策略</w:t>
              <w:br/>
            </w:r>
            <w:r>
              <w:rPr>
                <w:rFonts w:ascii="宋体" w:hAnsi="宋体" w:cs="宋体" w:eastAsia="宋体"/>
                <w:b w:val="false"/>
              </w:rPr>
              <w:t>本基金以套期保值为目的，在风险可控的前提下，参与股指期货的投资。本基金还将运用股指期货来管理特殊情况下的流动性风险。</w:t>
              <w:br/>
            </w:r>
            <w:r>
              <w:rPr>
                <w:rFonts w:ascii="宋体" w:hAnsi="宋体" w:cs="宋体" w:eastAsia="宋体"/>
                <w:b w:val="false"/>
              </w:rPr>
              <w:t>8、融资业务的投资策略</w:t>
              <w:br/>
            </w:r>
            <w:r>
              <w:rPr>
                <w:rFonts w:ascii="宋体" w:hAnsi="宋体" w:cs="宋体" w:eastAsia="宋体"/>
                <w:b w:val="false"/>
              </w:rPr>
              <w:t>本基金参与融资业务，将综合考虑融资成本、保证金比例、冲抵保证金证券折算率、信用资质等条件选择合适的交易对手方。在保障基金投资组合充足流动性以及有效控制融资杠杆风险的前提下，确定融资比例。</w:t>
              <w:br/>
            </w:r>
            <w:r>
              <w:rPr>
                <w:rFonts w:ascii="宋体" w:hAnsi="宋体" w:cs="宋体" w:eastAsia="宋体"/>
                <w:b w:val="false"/>
              </w:rPr>
              <w:t>9、国债期货的投资策略</w:t>
              <w:br/>
            </w:r>
            <w:r>
              <w:rPr>
                <w:rFonts w:ascii="宋体" w:hAnsi="宋体" w:cs="宋体" w:eastAsia="宋体"/>
                <w:b w:val="false"/>
              </w:rPr>
              <w:t>本基金以套期保值为目的，以回避市场风险，通过动态管理国债期货合约数量，以萃取相应债券组合的超额收益。</w:t>
              <w:br/>
            </w:r>
            <w:r>
              <w:rPr>
                <w:rFonts w:ascii="宋体" w:hAnsi="宋体" w:cs="宋体" w:eastAsia="宋体"/>
                <w:b w:val="false"/>
              </w:rPr>
              <w:t xml:space="preserve">10、股票期权投资策略 </w:t>
              <w:br/>
            </w:r>
            <w:r>
              <w:rPr>
                <w:rFonts w:ascii="宋体" w:hAnsi="宋体" w:cs="宋体" w:eastAsia="宋体"/>
                <w:b w:val="false"/>
              </w:rPr>
              <w:t>本基金以套期保值为主要目的参与股票期权交易，结合投资目标、比例限制、风险收益特征以及法律法规的相关限定和要求，确定参与股票期权交易的投资时机和投资比例。</w:t>
              <w:br/>
            </w:r>
            <w:r>
              <w:rPr>
                <w:rFonts w:ascii="宋体" w:hAnsi="宋体" w:cs="宋体" w:eastAsia="宋体"/>
                <w:b w:val="false"/>
              </w:rPr>
              <w:t>11、资产支持证券投资策略</w:t>
              <w:br/>
            </w:r>
            <w:r>
              <w:rPr>
                <w:rFonts w:ascii="宋体" w:hAnsi="宋体" w:cs="宋体" w:eastAsia="宋体"/>
                <w:b w:val="false"/>
              </w:rPr>
              <w:t>基金将投资包括资产抵押贷款支持证券(ABS)、住房抵押贷款支持证券(MBS)等在内的资产支持证券。</w:t>
            </w:r>
          </w:p>
        </w:tc>
        <w:tc>
          <w:tcPr>
            <w:hMerge w:val="continue"/>
          </w:tcPr>
          <w:p/>
        </w:tc>
      </w:tr>
      <w:tr>
        <w:tc>
          <w:tcPr>
            <w:tcW w:type="pct" w:w="1923"/>
            <w:vAlign w:val="center"/>
          </w:tcPr>
          <w:p>
            <w:pPr>
              <w:spacing w:line="240" w:lineRule="auto"/>
              <w:jc w:val="left"/>
            </w:pPr>
            <w:r>
              <w:rPr>
                <w:rFonts w:ascii="宋体" w:hAnsi="宋体" w:cs="宋体" w:eastAsia="宋体"/>
                <w:b w:val="false"/>
              </w:rPr>
              <w:t>业绩比较基准</w:t>
            </w:r>
          </w:p>
        </w:tc>
        <w:tc>
          <w:tcPr>
            <w:tcW/>
            <w:hMerge w:val="restart"/>
            <w:vAlign w:val="center"/>
          </w:tcPr>
          <w:p>
            <w:pPr>
              <w:spacing w:line="240" w:lineRule="auto"/>
              <w:jc w:val="left"/>
            </w:pPr>
            <w:r>
              <w:rPr>
                <w:rFonts w:ascii="宋体" w:hAnsi="宋体" w:cs="宋体" w:eastAsia="宋体"/>
                <w:b w:val="false"/>
              </w:rPr>
              <w:t>中证医药卫生指数收益率×60%+恒生医疗保健指数收益率×20%+中证综合债券指数收益率×20%</w:t>
            </w:r>
          </w:p>
        </w:tc>
        <w:tc>
          <w:tcPr>
            <w:hMerge w:val="continue"/>
          </w:tcPr>
          <w:p/>
        </w:tc>
      </w:tr>
      <w:tr>
        <w:tc>
          <w:tcPr>
            <w:tcW w:type="pct" w:w="1923"/>
            <w:vAlign w:val="center"/>
          </w:tcPr>
          <w:p>
            <w:pPr>
              <w:spacing w:line="240" w:lineRule="auto"/>
              <w:jc w:val="left"/>
            </w:pPr>
            <w:r>
              <w:rPr>
                <w:rFonts w:ascii="宋体" w:hAnsi="宋体" w:cs="宋体" w:eastAsia="宋体"/>
                <w:b w:val="false"/>
              </w:rPr>
              <w:t>风险收益特征</w:t>
            </w:r>
          </w:p>
        </w:tc>
        <w:tc>
          <w:tcPr>
            <w:tcW w:type="pct" w:w="2592"/>
            <w:hMerge w:val="restart"/>
            <w:vAlign w:val="center"/>
          </w:tcPr>
          <w:p>
            <w:pPr>
              <w:spacing w:line="240" w:lineRule="auto"/>
              <w:jc w:val="left"/>
            </w:pPr>
            <w:r>
              <w:rPr>
                <w:rFonts w:ascii="宋体" w:hAnsi="宋体" w:cs="宋体" w:eastAsia="宋体"/>
                <w:b w:val="false"/>
              </w:rPr>
              <w:t>本基金为混合型基金，其预期收益和风险高于货币型基金、债券型基金。本基金如果投资港股通标的股票，需承担汇率风险以及境外市场的风险。</w:t>
            </w:r>
          </w:p>
        </w:tc>
        <w:tc>
          <w:tcPr>
            <w:hMerge w:val="continue"/>
          </w:tcPr>
          <w:p/>
        </w:tc>
      </w:tr>
      <w:tr>
        <w:tc>
          <w:tcPr>
            <w:tcW w:type="pct" w:w="1923"/>
            <w:vAlign w:val="center"/>
          </w:tcPr>
          <w:p>
            <w:pPr>
              <w:spacing w:line="240" w:lineRule="auto"/>
              <w:jc w:val="left"/>
            </w:pPr>
            <w:r>
              <w:rPr>
                <w:rFonts w:ascii="宋体" w:hAnsi="宋体" w:cs="宋体" w:eastAsia="宋体"/>
                <w:b w:val="false"/>
              </w:rPr>
              <w:t>基金管理人</w:t>
            </w:r>
          </w:p>
        </w:tc>
        <w:tc>
          <w:tcPr>
            <w:tcW/>
            <w:hMerge w:val="restart"/>
            <w:vAlign w:val="center"/>
          </w:tcPr>
          <w:p>
            <w:pPr>
              <w:spacing w:line="240" w:lineRule="auto"/>
              <w:jc w:val="left"/>
            </w:pPr>
            <w:r>
              <w:rPr>
                <w:rFonts w:ascii="宋体" w:hAnsi="宋体" w:cs="宋体" w:eastAsia="宋体"/>
                <w:b w:val="false"/>
              </w:rPr>
              <w:t>东方阿尔法基金管理有限公司</w:t>
            </w:r>
          </w:p>
        </w:tc>
        <w:tc>
          <w:tcPr>
            <w:hMerge w:val="continue"/>
          </w:tcPr>
          <w:p/>
        </w:tc>
      </w:tr>
      <w:tr>
        <w:tc>
          <w:tcPr>
            <w:tcW w:type="pct" w:w="1923"/>
            <w:vAlign w:val="center"/>
          </w:tcPr>
          <w:p>
            <w:pPr>
              <w:spacing w:line="240" w:lineRule="auto"/>
              <w:jc w:val="left"/>
            </w:pPr>
            <w:r>
              <w:rPr>
                <w:rFonts w:ascii="宋体" w:hAnsi="宋体" w:cs="宋体" w:eastAsia="宋体"/>
                <w:b w:val="false"/>
              </w:rPr>
              <w:t>基金托管人</w:t>
            </w:r>
          </w:p>
        </w:tc>
        <w:tc>
          <w:tcPr>
            <w:tcW/>
            <w:hMerge w:val="restart"/>
            <w:vAlign w:val="center"/>
          </w:tcPr>
          <w:p>
            <w:pPr>
              <w:spacing w:line="240" w:lineRule="auto"/>
              <w:jc w:val="left"/>
            </w:pPr>
            <w:r>
              <w:rPr>
                <w:rFonts w:ascii="宋体" w:hAnsi="宋体" w:cs="宋体" w:eastAsia="宋体"/>
                <w:b w:val="false"/>
              </w:rPr>
              <w:t>招商银行股份有限公司</w:t>
            </w:r>
          </w:p>
        </w:tc>
        <w:tc>
          <w:tcPr>
            <w:hMerge w:val="continue"/>
          </w:tcPr>
          <w:p/>
        </w:tc>
      </w:tr>
      <w:tr>
        <w:tc>
          <w:tcPr>
            <w:tcW/>
            <w:vAlign w:val="center"/>
          </w:tcPr>
          <w:p>
            <w:pPr>
              <w:spacing w:line="240" w:lineRule="auto"/>
              <w:jc w:val="left"/>
            </w:pPr>
            <w:r>
              <w:rPr>
                <w:rFonts w:ascii="宋体" w:hAnsi="宋体" w:cs="宋体" w:eastAsia="宋体"/>
                <w:b w:val="false"/>
              </w:rPr>
              <w:t>下属分级基金的基金简称</w:t>
            </w:r>
          </w:p>
        </w:tc>
        <w:tc>
          <w:tcPr>
            <w:tcW w:type="pct" w:w="1500"/>
            <w:vAlign w:val="center"/>
          </w:tcPr>
          <w:p>
            <w:pPr>
              <w:spacing w:line="240" w:lineRule="auto"/>
              <w:jc w:val="left"/>
            </w:pPr>
            <w:r>
              <w:rPr>
                <w:rFonts w:ascii="宋体" w:hAnsi="宋体" w:cs="宋体" w:eastAsia="宋体"/>
                <w:b w:val="false"/>
              </w:rPr>
              <w:t>东方阿尔法医疗健康混合发起A</w:t>
            </w:r>
          </w:p>
        </w:tc>
        <w:tc>
          <w:tcPr>
            <w:tcW w:type="pct" w:w="1500"/>
            <w:vAlign w:val="center"/>
          </w:tcPr>
          <w:p>
            <w:pPr>
              <w:spacing w:line="240" w:lineRule="auto"/>
              <w:jc w:val="left"/>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下属分级基金的交易代码</w:t>
            </w:r>
          </w:p>
        </w:tc>
        <w:tc>
          <w:tcPr>
            <w:tcW w:type="pct" w:w="1500"/>
            <w:vAlign w:val="center"/>
          </w:tcPr>
          <w:p>
            <w:pPr>
              <w:spacing w:line="240" w:lineRule="auto"/>
              <w:jc w:val="left"/>
            </w:pPr>
            <w:r>
              <w:rPr>
                <w:rFonts w:ascii="宋体" w:hAnsi="宋体" w:cs="宋体" w:eastAsia="宋体"/>
                <w:b w:val="false"/>
              </w:rPr>
              <w:t>014841</w:t>
            </w:r>
          </w:p>
        </w:tc>
        <w:tc>
          <w:tcPr>
            <w:tcW w:type="pct" w:w="1500"/>
            <w:vAlign w:val="center"/>
          </w:tcPr>
          <w:p>
            <w:pPr>
              <w:spacing w:line="240" w:lineRule="auto"/>
              <w:jc w:val="left"/>
            </w:pPr>
            <w:r>
              <w:rPr>
                <w:rFonts w:ascii="宋体" w:hAnsi="宋体" w:cs="宋体" w:eastAsia="宋体"/>
                <w:b w:val="false"/>
              </w:rPr>
              <w:t>014842</w:t>
            </w:r>
          </w:p>
        </w:tc>
      </w:tr>
      <w:tr>
        <w:tc>
          <w:tcPr>
            <w:tcW/>
            <w:vAlign w:val="center"/>
          </w:tcPr>
          <w:p>
            <w:pPr>
              <w:spacing w:line="240" w:lineRule="auto"/>
              <w:jc w:val="left"/>
            </w:pPr>
            <w:r>
              <w:rPr>
                <w:rFonts w:ascii="宋体" w:hAnsi="宋体" w:cs="宋体" w:eastAsia="宋体"/>
                <w:b w:val="false"/>
              </w:rPr>
              <w:t>报告期末下属分级基金的份额总额</w:t>
            </w:r>
          </w:p>
        </w:tc>
        <w:tc>
          <w:tcPr>
            <w:tcW w:type="pct" w:w="1500"/>
            <w:vAlign w:val="center"/>
          </w:tcPr>
          <w:p>
            <w:pPr>
              <w:spacing w:line="240" w:lineRule="auto"/>
              <w:jc w:val="left"/>
            </w:pPr>
            <w:r>
              <w:rPr>
                <w:rFonts w:ascii="宋体" w:hAnsi="宋体" w:cs="宋体" w:eastAsia="宋体"/>
                <w:b w:val="false"/>
              </w:rPr>
              <w:t>42,469,699.03份</w:t>
            </w:r>
          </w:p>
        </w:tc>
        <w:tc>
          <w:tcPr>
            <w:tcW w:type="pct" w:w="1500"/>
            <w:vAlign w:val="center"/>
          </w:tcPr>
          <w:p>
            <w:pPr>
              <w:spacing w:line="240" w:lineRule="auto"/>
              <w:jc w:val="left"/>
            </w:pPr>
            <w:r>
              <w:rPr>
                <w:rFonts w:ascii="宋体" w:hAnsi="宋体" w:cs="宋体" w:eastAsia="宋体"/>
                <w:b w:val="false"/>
              </w:rPr>
              <w:t>98,784,899.57份</w:t>
            </w:r>
          </w:p>
        </w:tc>
      </w:tr>
    </w:tbl>
    <w:p>
      <w:pPr>
        <w:pStyle w:val="1"/>
        <w:jc w:val="center"/>
      </w:pPr>
      <w:r>
        <w:rPr>
          <w:rFonts w:ascii="宋体" w:hAnsi="宋体" w:cs="宋体" w:eastAsia="宋体"/>
        </w:rPr>
        <w:t>§3 主要财务指标和基金净值表现</w:t>
      </w:r>
    </w:p>
    <w:p>
      <w:pPr>
        <w:pStyle w:val="2"/>
        <w:jc w:val="left"/>
      </w:pPr>
      <w:r>
        <w:rPr>
          <w:rFonts w:ascii="宋体" w:hAnsi="宋体" w:cs="宋体" w:eastAsia="宋体"/>
        </w:rPr>
        <w:t>3.1 主要财务指标</w:t>
      </w:r>
    </w:p>
    <w:p>
      <w:pPr>
        <w:jc w:val="right"/>
      </w:pPr>
      <w:r>
        <w:rPr>
          <w:rFonts w:ascii="宋体" w:hAnsi="宋体" w:cs="宋体" w:eastAsia="宋体"/>
          <w:b w:val="false"/>
        </w:rPr>
        <w:t>单位：人民币元</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923"/>
            <w:vMerge w:val="restart"/>
            <w:vAlign w:val="center"/>
          </w:tcPr>
          <w:tcPr>
            <w:shd w:fill="d9d9d9"/>
          </w:tcPr>
          <w:p>
            <w:pPr>
              <w:spacing w:line="240" w:lineRule="auto"/>
              <w:jc w:val="center"/>
            </w:pPr>
            <w:r>
              <w:rPr>
                <w:rFonts w:ascii="宋体" w:hAnsi="宋体" w:cs="宋体" w:eastAsia="宋体"/>
                <w:b w:val="true"/>
              </w:rPr>
              <w:t>主要财务指标</w:t>
            </w:r>
          </w:p>
        </w:tc>
        <w:tc>
          <w:tcPr>
            <w:tcW w:type="pct" w:w="3077"/>
            <w:hMerge w:val="restart"/>
            <w:vAlign w:val="center"/>
          </w:tcPr>
          <w:tcPr>
            <w:shd w:fill="d9d9d9"/>
          </w:tcPr>
          <w:p>
            <w:pPr>
              <w:spacing w:line="240" w:lineRule="auto"/>
              <w:jc w:val="center"/>
            </w:pPr>
            <w:r>
              <w:rPr>
                <w:rFonts w:ascii="宋体" w:hAnsi="宋体" w:cs="宋体" w:eastAsia="宋体"/>
                <w:b w:val="false"/>
              </w:rPr>
              <w:t>报告期（2026年01月01日-2026年03月31日）</w:t>
            </w:r>
          </w:p>
        </w:tc>
        <w:tc>
          <w:tcPr>
            <w:hMerge w:val="continue"/>
          </w:tcPr>
          <w:p/>
        </w:tc>
      </w:tr>
      <w:tr>
        <w:tc>
          <w:tcPr>
            <w:vMerge w:val="continue"/>
          </w:tcP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东方阿尔法医疗健康混合发起A</w:t>
            </w:r>
          </w:p>
        </w:tc>
        <w:tc>
          <w:tcPr>
            <w:tcW w:type="pct" w:w="1500"/>
            <w:vAlign w:val="center"/>
          </w:tcPr>
          <w:tcPr>
            <w:shd w:fill="d9d9d9"/>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1.本期已实现收益</w:t>
            </w:r>
          </w:p>
        </w:tc>
        <w:tc>
          <w:tcPr>
            <w:tcW w:type="pct" w:w="1500"/>
            <w:vAlign w:val="center"/>
          </w:tcPr>
          <w:p>
            <w:pPr>
              <w:spacing w:line="240" w:lineRule="auto"/>
              <w:jc w:val="right"/>
            </w:pPr>
            <w:r>
              <w:rPr>
                <w:rFonts w:ascii="宋体" w:hAnsi="宋体" w:cs="宋体" w:eastAsia="宋体"/>
                <w:b w:val="false"/>
              </w:rPr>
              <w:t>-470,911.84</w:t>
            </w:r>
          </w:p>
        </w:tc>
        <w:tc>
          <w:tcPr>
            <w:tcW w:type="pct" w:w="1500"/>
            <w:vAlign w:val="center"/>
          </w:tcPr>
          <w:p>
            <w:pPr>
              <w:spacing w:line="240" w:lineRule="auto"/>
              <w:jc w:val="right"/>
            </w:pPr>
            <w:r>
              <w:rPr>
                <w:rFonts w:ascii="宋体" w:hAnsi="宋体" w:cs="宋体" w:eastAsia="宋体"/>
                <w:b w:val="false"/>
              </w:rPr>
              <w:t>-1,001,084.04</w:t>
            </w:r>
          </w:p>
        </w:tc>
      </w:tr>
      <w:tr>
        <w:tc>
          <w:tcPr>
            <w:tcW/>
            <w:vAlign w:val="center"/>
          </w:tcPr>
          <w:p>
            <w:pPr>
              <w:spacing w:line="240" w:lineRule="auto"/>
              <w:jc w:val="left"/>
            </w:pPr>
            <w:r>
              <w:rPr>
                <w:rFonts w:ascii="宋体" w:hAnsi="宋体" w:cs="宋体" w:eastAsia="宋体"/>
                <w:b w:val="false"/>
              </w:rPr>
              <w:t>2.本期利润</w:t>
            </w:r>
          </w:p>
        </w:tc>
        <w:tc>
          <w:tcPr>
            <w:tcW w:type="pct" w:w="1500"/>
            <w:vAlign w:val="center"/>
          </w:tcPr>
          <w:p>
            <w:pPr>
              <w:spacing w:line="240" w:lineRule="auto"/>
              <w:jc w:val="right"/>
            </w:pPr>
            <w:r>
              <w:rPr>
                <w:rFonts w:ascii="宋体" w:hAnsi="宋体" w:cs="宋体" w:eastAsia="宋体"/>
                <w:b w:val="false"/>
              </w:rPr>
              <w:t>685,487.73</w:t>
            </w:r>
          </w:p>
        </w:tc>
        <w:tc>
          <w:tcPr>
            <w:tcW w:type="pct" w:w="1500"/>
            <w:vAlign w:val="center"/>
          </w:tcPr>
          <w:p>
            <w:pPr>
              <w:spacing w:line="240" w:lineRule="auto"/>
              <w:jc w:val="right"/>
            </w:pPr>
            <w:r>
              <w:rPr>
                <w:rFonts w:ascii="宋体" w:hAnsi="宋体" w:cs="宋体" w:eastAsia="宋体"/>
                <w:b w:val="false"/>
              </w:rPr>
              <w:t>1,539,008.00</w:t>
            </w:r>
          </w:p>
        </w:tc>
      </w:tr>
      <w:tr>
        <w:tc>
          <w:tcPr>
            <w:tcW/>
            <w:vAlign w:val="center"/>
          </w:tcPr>
          <w:p>
            <w:pPr>
              <w:spacing w:line="240" w:lineRule="auto"/>
              <w:jc w:val="left"/>
            </w:pPr>
            <w:r>
              <w:rPr>
                <w:rFonts w:ascii="宋体" w:hAnsi="宋体" w:cs="宋体" w:eastAsia="宋体"/>
                <w:b w:val="false"/>
              </w:rPr>
              <w:t>3.加权平均基金份额本期利润</w:t>
            </w:r>
          </w:p>
        </w:tc>
        <w:tc>
          <w:tcPr>
            <w:tcW w:type="pct" w:w="1500"/>
            <w:vAlign w:val="center"/>
          </w:tcPr>
          <w:p>
            <w:pPr>
              <w:spacing w:line="240" w:lineRule="auto"/>
              <w:jc w:val="right"/>
            </w:pPr>
            <w:r>
              <w:rPr>
                <w:rFonts w:ascii="宋体" w:hAnsi="宋体" w:cs="宋体" w:eastAsia="宋体"/>
                <w:b w:val="false"/>
              </w:rPr>
              <w:t>0.0163</w:t>
            </w:r>
          </w:p>
        </w:tc>
        <w:tc>
          <w:tcPr>
            <w:tcW w:type="pct" w:w="1500"/>
            <w:vAlign w:val="center"/>
          </w:tcPr>
          <w:p>
            <w:pPr>
              <w:spacing w:line="240" w:lineRule="auto"/>
              <w:jc w:val="right"/>
            </w:pPr>
            <w:r>
              <w:rPr>
                <w:rFonts w:ascii="宋体" w:hAnsi="宋体" w:cs="宋体" w:eastAsia="宋体"/>
                <w:b w:val="false"/>
              </w:rPr>
              <w:t>0.0203</w:t>
            </w:r>
          </w:p>
        </w:tc>
      </w:tr>
      <w:tr>
        <w:tc>
          <w:tcPr>
            <w:tcW/>
            <w:vAlign w:val="center"/>
          </w:tcPr>
          <w:p>
            <w:pPr>
              <w:spacing w:line="240" w:lineRule="auto"/>
              <w:jc w:val="left"/>
            </w:pPr>
            <w:r>
              <w:rPr>
                <w:rFonts w:ascii="宋体" w:hAnsi="宋体" w:cs="宋体" w:eastAsia="宋体"/>
                <w:b w:val="false"/>
              </w:rPr>
              <w:t>4.期末基金资产净值</w:t>
            </w:r>
          </w:p>
        </w:tc>
        <w:tc>
          <w:tcPr>
            <w:tcW w:type="pct" w:w="1500"/>
            <w:vAlign w:val="center"/>
          </w:tcPr>
          <w:p>
            <w:pPr>
              <w:spacing w:line="240" w:lineRule="auto"/>
              <w:jc w:val="right"/>
            </w:pPr>
            <w:r>
              <w:rPr>
                <w:rFonts w:ascii="宋体" w:hAnsi="宋体" w:cs="宋体" w:eastAsia="宋体"/>
                <w:b w:val="false"/>
              </w:rPr>
              <w:t>47,211,133.20</w:t>
            </w:r>
          </w:p>
        </w:tc>
        <w:tc>
          <w:tcPr>
            <w:tcW w:type="pct" w:w="1500"/>
            <w:vAlign w:val="center"/>
          </w:tcPr>
          <w:p>
            <w:pPr>
              <w:spacing w:line="240" w:lineRule="auto"/>
              <w:jc w:val="right"/>
            </w:pPr>
            <w:r>
              <w:rPr>
                <w:rFonts w:ascii="宋体" w:hAnsi="宋体" w:cs="宋体" w:eastAsia="宋体"/>
                <w:b w:val="false"/>
              </w:rPr>
              <w:t>107,653,531.82</w:t>
            </w:r>
          </w:p>
        </w:tc>
      </w:tr>
      <w:tr>
        <w:tc>
          <w:tcPr>
            <w:tcW/>
            <w:vAlign w:val="center"/>
          </w:tcPr>
          <w:p>
            <w:pPr>
              <w:spacing w:line="240" w:lineRule="auto"/>
              <w:jc w:val="left"/>
            </w:pPr>
            <w:r>
              <w:rPr>
                <w:rFonts w:ascii="宋体" w:hAnsi="宋体" w:cs="宋体" w:eastAsia="宋体"/>
                <w:b w:val="false"/>
              </w:rPr>
              <w:t>5.期末基金份额净值</w:t>
            </w:r>
          </w:p>
        </w:tc>
        <w:tc>
          <w:tcPr>
            <w:tcW w:type="pct" w:w="1500"/>
            <w:vAlign w:val="center"/>
          </w:tcPr>
          <w:p>
            <w:pPr>
              <w:spacing w:line="240" w:lineRule="auto"/>
              <w:jc w:val="right"/>
            </w:pPr>
            <w:r>
              <w:rPr>
                <w:rFonts w:ascii="宋体" w:hAnsi="宋体" w:cs="宋体" w:eastAsia="宋体"/>
                <w:b w:val="false"/>
              </w:rPr>
              <w:t>1.1116</w:t>
            </w:r>
          </w:p>
        </w:tc>
        <w:tc>
          <w:tcPr>
            <w:tcW w:type="pct" w:w="1500"/>
            <w:vAlign w:val="center"/>
          </w:tcPr>
          <w:p>
            <w:pPr>
              <w:spacing w:line="240" w:lineRule="auto"/>
              <w:jc w:val="right"/>
            </w:pPr>
            <w:r>
              <w:rPr>
                <w:rFonts w:ascii="宋体" w:hAnsi="宋体" w:cs="宋体" w:eastAsia="宋体"/>
                <w:b w:val="false"/>
              </w:rPr>
              <w:t>1.0898</w:t>
            </w:r>
          </w:p>
        </w:tc>
      </w:tr>
    </w:tbl>
    <w:p>
      <w:r>
        <w:rPr>
          <w:rFonts w:ascii="宋体" w:hAnsi="宋体" w:cs="宋体" w:eastAsia="宋体"/>
          <w:b w:val="false"/>
        </w:rPr>
        <w:t>注：1、本期已实现收益指基金本期利息收入、投资收益、其他收入(不含公允价值变动收益)扣除相关费用后的余额，本期利润为本期已实现收益加上本期公允价值变动收益。</w:t>
        <w:br/>
      </w:r>
      <w:r>
        <w:rPr>
          <w:rFonts w:ascii="宋体" w:hAnsi="宋体" w:cs="宋体" w:eastAsia="宋体"/>
          <w:b w:val="false"/>
        </w:rPr>
        <w:t>2、所述基金业绩指标不包括持有人认购或交易基金的各项费用，计入费用后实际收益水平要低于所列数字。</w:t>
      </w:r>
    </w:p>
    <w:p/>
    <w:p>
      <w:pPr>
        <w:pStyle w:val="2"/>
        <w:jc w:val="left"/>
      </w:pPr>
      <w:r>
        <w:rPr>
          <w:rFonts w:ascii="宋体" w:hAnsi="宋体" w:cs="宋体" w:eastAsia="宋体"/>
        </w:rPr>
        <w:t>3.2 基金净值表现</w:t>
      </w:r>
    </w:p>
    <w:p>
      <w:pPr>
        <w:pStyle w:val="zhangjiep2"/>
      </w:pPr>
      <w:r>
        <w:rPr>
          <w:rStyle w:val="正文"/>
          <w:rFonts w:ascii="宋体" w:hAnsi="宋体" w:cs="宋体" w:eastAsia="宋体"/>
          <w:b w:val="true"/>
        </w:rPr>
        <w:t>3.2.1 基金份额净值增长率及其与同期业绩比较基准收益率的比较</w:t>
      </w:r>
    </w:p>
    <w:p>
      <w:pPr>
        <w:jc w:val="left"/>
      </w:pPr>
      <w:r>
        <w:rPr>
          <w:rFonts w:ascii="宋体" w:hAnsi="宋体" w:cs="宋体" w:eastAsia="宋体"/>
          <w:b w:val="true"/>
        </w:rPr>
        <w:t>东方阿尔法医疗健康混合发起A净值表现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1.54%</w:t>
            </w:r>
          </w:p>
        </w:tc>
        <w:tc>
          <w:tcPr>
            <w:tcW/>
            <w:vAlign w:val="center"/>
          </w:tcPr>
          <w:p>
            <w:pPr>
              <w:spacing w:line="240" w:lineRule="auto"/>
              <w:jc w:val="right"/>
            </w:pPr>
            <w:r>
              <w:rPr>
                <w:rFonts w:ascii="宋体" w:hAnsi="宋体" w:cs="宋体" w:eastAsia="宋体"/>
                <w:b w:val="false"/>
              </w:rPr>
              <w:t>2.59%</w:t>
            </w:r>
          </w:p>
        </w:tc>
        <w:tc>
          <w:tcPr>
            <w:tcW/>
            <w:vAlign w:val="center"/>
          </w:tcPr>
          <w:p>
            <w:pPr>
              <w:spacing w:line="240" w:lineRule="auto"/>
              <w:jc w:val="right"/>
            </w:pPr>
            <w:r>
              <w:rPr>
                <w:rFonts w:ascii="宋体" w:hAnsi="宋体" w:cs="宋体" w:eastAsia="宋体"/>
                <w:b w:val="false"/>
              </w:rPr>
              <w:t>-0.99%</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2.53%</w:t>
            </w:r>
          </w:p>
        </w:tc>
        <w:tc>
          <w:tcPr>
            <w:tcW/>
            <w:vAlign w:val="center"/>
          </w:tcPr>
          <w:p>
            <w:pPr>
              <w:spacing w:line="240" w:lineRule="auto"/>
              <w:jc w:val="right"/>
            </w:pPr>
            <w:r>
              <w:rPr>
                <w:rFonts w:ascii="宋体" w:hAnsi="宋体" w:cs="宋体" w:eastAsia="宋体"/>
                <w:b w:val="false"/>
              </w:rPr>
              <w:t>1.39%</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-13.94%</w:t>
            </w:r>
          </w:p>
        </w:tc>
        <w:tc>
          <w:tcPr>
            <w:tcW/>
            <w:vAlign w:val="center"/>
          </w:tcPr>
          <w:p>
            <w:pPr>
              <w:spacing w:line="240" w:lineRule="auto"/>
              <w:jc w:val="right"/>
            </w:pPr>
            <w:r>
              <w:rPr>
                <w:rFonts w:ascii="宋体" w:hAnsi="宋体" w:cs="宋体" w:eastAsia="宋体"/>
                <w:b w:val="false"/>
              </w:rPr>
              <w:t>2.35%</w:t>
            </w:r>
          </w:p>
        </w:tc>
        <w:tc>
          <w:tcPr>
            <w:tcW/>
            <w:vAlign w:val="center"/>
          </w:tcPr>
          <w:p>
            <w:pPr>
              <w:spacing w:line="240" w:lineRule="auto"/>
              <w:jc w:val="right"/>
            </w:pPr>
            <w:r>
              <w:rPr>
                <w:rFonts w:ascii="宋体" w:hAnsi="宋体" w:cs="宋体" w:eastAsia="宋体"/>
                <w:b w:val="false"/>
              </w:rPr>
              <w:t>-12.60%</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-1.34%</w:t>
            </w:r>
          </w:p>
        </w:tc>
        <w:tc>
          <w:tcPr>
            <w:tcW/>
            <w:vAlign w:val="center"/>
          </w:tcPr>
          <w:p>
            <w:pPr>
              <w:spacing w:line="240" w:lineRule="auto"/>
              <w:jc w:val="right"/>
            </w:pPr>
            <w:r>
              <w:rPr>
                <w:rFonts w:ascii="宋体" w:hAnsi="宋体" w:cs="宋体" w:eastAsia="宋体"/>
                <w:b w:val="false"/>
              </w:rPr>
              <w:t>1.30%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15.59%</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6.31%</w:t>
            </w:r>
          </w:p>
        </w:tc>
        <w:tc>
          <w:tcPr>
            <w:tcW/>
            <w:vAlign w:val="center"/>
          </w:tcPr>
          <w:p>
            <w:pPr>
              <w:spacing w:line="240" w:lineRule="auto"/>
              <w:jc w:val="right"/>
            </w:pPr>
            <w:r>
              <w:rPr>
                <w:rFonts w:ascii="宋体" w:hAnsi="宋体" w:cs="宋体" w:eastAsia="宋体"/>
                <w:b w:val="false"/>
              </w:rPr>
              <w:t>1.15%</w:t>
            </w:r>
          </w:p>
        </w:tc>
        <w:tc>
          <w:tcPr>
            <w:tcW/>
            <w:vAlign w:val="center"/>
          </w:tcPr>
          <w:p>
            <w:pPr>
              <w:spacing w:line="240" w:lineRule="auto"/>
              <w:jc w:val="right"/>
            </w:pPr>
            <w:r>
              <w:rPr>
                <w:rFonts w:ascii="宋体" w:hAnsi="宋体" w:cs="宋体" w:eastAsia="宋体"/>
                <w:b w:val="false"/>
              </w:rPr>
              <w:t>9.28%</w:t>
            </w:r>
          </w:p>
        </w:tc>
        <w:tc>
          <w:tcPr>
            <w:tcW/>
            <w:vAlign w:val="center"/>
          </w:tcPr>
          <w:p>
            <w:pPr>
              <w:spacing w:line="240" w:lineRule="auto"/>
              <w:jc w:val="right"/>
            </w:pPr>
            <w:r>
              <w:rPr>
                <w:rFonts w:ascii="宋体" w:hAnsi="宋体" w:cs="宋体" w:eastAsia="宋体"/>
                <w:b w:val="false"/>
              </w:rPr>
              <w:t>1.18%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1.01%</w:t>
            </w:r>
          </w:p>
        </w:tc>
        <w:tc>
          <w:tcPr>
            <w:tcW/>
            <w:vAlign w:val="center"/>
          </w:tcPr>
          <w:p>
            <w:pPr>
              <w:spacing w:line="240" w:lineRule="auto"/>
              <w:jc w:val="right"/>
            </w:pPr>
            <w:r>
              <w:rPr>
                <w:rFonts w:ascii="宋体" w:hAnsi="宋体" w:cs="宋体" w:eastAsia="宋体"/>
                <w:b w:val="false"/>
              </w:rPr>
              <w:t>1.83%</w:t>
            </w:r>
          </w:p>
        </w:tc>
        <w:tc>
          <w:tcPr>
            <w:tcW/>
            <w:vAlign w:val="center"/>
          </w:tcPr>
          <w:p>
            <w:pPr>
              <w:spacing w:line="240" w:lineRule="auto"/>
              <w:jc w:val="right"/>
            </w:pPr>
            <w:r>
              <w:rPr>
                <w:rFonts w:ascii="宋体" w:hAnsi="宋体" w:cs="宋体" w:eastAsia="宋体"/>
                <w:b w:val="false"/>
              </w:rPr>
              <w:t>-8.70%</w:t>
            </w:r>
          </w:p>
        </w:tc>
        <w:tc>
          <w:tcPr>
            <w:tcW/>
            <w:vAlign w:val="center"/>
          </w:tcPr>
          <w:p>
            <w:pPr>
              <w:spacing w:line="240" w:lineRule="auto"/>
              <w:jc w:val="right"/>
            </w:pPr>
            <w:r>
              <w:rPr>
                <w:rFonts w:ascii="宋体" w:hAnsi="宋体" w:cs="宋体" w:eastAsia="宋体"/>
                <w:b w:val="false"/>
              </w:rPr>
              <w:t>1.19%</w:t>
            </w:r>
          </w:p>
        </w:tc>
        <w:tc>
          <w:tcPr>
            <w:tcW/>
            <w:vAlign w:val="center"/>
          </w:tcPr>
          <w:p>
            <w:pPr>
              <w:spacing w:line="240" w:lineRule="auto"/>
              <w:jc w:val="right"/>
            </w:pPr>
            <w:r>
              <w:rPr>
                <w:rFonts w:ascii="宋体" w:hAnsi="宋体" w:cs="宋体" w:eastAsia="宋体"/>
                <w:b w:val="false"/>
              </w:rPr>
              <w:t>9.71%</w:t>
            </w:r>
          </w:p>
        </w:tc>
        <w:tc>
          <w:tcPr>
            <w:tcW/>
            <w:vAlign w:val="center"/>
          </w:tcPr>
          <w:p>
            <w:pPr>
              <w:spacing w:line="240" w:lineRule="auto"/>
              <w:jc w:val="right"/>
            </w:pPr>
            <w:r>
              <w:rPr>
                <w:rFonts w:ascii="宋体" w:hAnsi="宋体" w:cs="宋体" w:eastAsia="宋体"/>
                <w:b w:val="false"/>
              </w:rPr>
              <w:t>0.64%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11.16%</w:t>
            </w:r>
          </w:p>
        </w:tc>
        <w:tc>
          <w:tcPr>
            <w:tcW/>
            <w:vAlign w:val="center"/>
          </w:tcPr>
          <w:p>
            <w:pPr>
              <w:spacing w:line="240" w:lineRule="auto"/>
              <w:jc w:val="right"/>
            </w:pPr>
            <w:r>
              <w:rPr>
                <w:rFonts w:ascii="宋体" w:hAnsi="宋体" w:cs="宋体" w:eastAsia="宋体"/>
                <w:b w:val="false"/>
              </w:rPr>
              <w:t>1.73%</w:t>
            </w:r>
          </w:p>
        </w:tc>
        <w:tc>
          <w:tcPr>
            <w:tcW/>
            <w:vAlign w:val="center"/>
          </w:tcPr>
          <w:p>
            <w:pPr>
              <w:spacing w:line="240" w:lineRule="auto"/>
              <w:jc w:val="right"/>
            </w:pPr>
            <w:r>
              <w:rPr>
                <w:rFonts w:ascii="宋体" w:hAnsi="宋体" w:cs="宋体" w:eastAsia="宋体"/>
                <w:b w:val="false"/>
              </w:rPr>
              <w:t>-11.71%</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22.87%</w:t>
            </w:r>
          </w:p>
        </w:tc>
        <w:tc>
          <w:tcPr>
            <w:tcW/>
            <w:vAlign w:val="center"/>
          </w:tcPr>
          <w:p>
            <w:pPr>
              <w:spacing w:line="240" w:lineRule="auto"/>
              <w:jc w:val="right"/>
            </w:pPr>
            <w:r>
              <w:rPr>
                <w:rFonts w:ascii="宋体" w:hAnsi="宋体" w:cs="宋体" w:eastAsia="宋体"/>
                <w:b w:val="false"/>
              </w:rPr>
              <w:t>0.50%</w:t>
            </w:r>
          </w:p>
        </w:tc>
      </w:tr>
    </w:tbl>
    <w:p>
      <w:pPr>
        <w:jc w:val="left"/>
      </w:pPr>
      <w:r>
        <w:rPr>
          <w:rFonts w:ascii="宋体" w:hAnsi="宋体" w:cs="宋体" w:eastAsia="宋体"/>
          <w:b w:val="true"/>
        </w:rPr>
        <w:t>东方阿尔法医疗健康混合发起C净值表现</w:t>
      </w:r>
    </w:p>
    <w:tbl>
      <w:tblPr>
        <w:tblW w:w="5000" w:type="pct"/>
        <w:tblBorders>
          <w:top w:val="single" w:sz="4"/>
          <w:left w:val="single" w:sz="4"/>
          <w:bottom w:val="single" w:sz="4"/>
          <w:right w:val="single" w:sz="4"/>
          <w:insideH w:val="single" w:sz="4"/>
          <w:insideV w:val="single" w:sz="4"/>
        </w:tblBorders>
      </w:tblPr>
      <w:tblGrid>
        <w:gridCol w:w="1295"/>
        <w:gridCol w:w="1295"/>
        <w:gridCol w:w="1295"/>
        <w:gridCol w:w="1295"/>
        <w:gridCol w:w="1295"/>
        <w:gridCol w:w="1295"/>
        <w:gridCol w:w="1295"/>
      </w:tblGrid>
      <w:tr>
        <w:tc>
          <w:tcPr>
            <w:tcW w:type="pct" w:w="846"/>
            <w:vAlign w:val="center"/>
          </w:tcPr>
          <w:tcPr>
            <w:shd w:fill="d9d9d9"/>
          </w:tcPr>
          <w:p>
            <w:pPr>
              <w:spacing w:line="240" w:lineRule="auto"/>
              <w:jc w:val="center"/>
            </w:pPr>
            <w:r>
              <w:rPr>
                <w:rFonts w:ascii="宋体" w:hAnsi="宋体" w:cs="宋体" w:eastAsia="宋体"/>
                <w:b w:val="false"/>
              </w:rPr>
              <w:t>阶段</w:t>
            </w:r>
          </w:p>
        </w:tc>
        <w:tc>
          <w:tcPr>
            <w:tcW w:type="pct" w:w="692"/>
            <w:vAlign w:val="center"/>
          </w:tcPr>
          <w:tcPr>
            <w:shd w:fill="d9d9d9"/>
          </w:tcPr>
          <w:p>
            <w:pPr>
              <w:spacing w:line="240" w:lineRule="auto"/>
              <w:jc w:val="center"/>
            </w:pPr>
            <w:r>
              <w:rPr>
                <w:rFonts w:ascii="宋体" w:hAnsi="宋体" w:cs="宋体" w:eastAsia="宋体"/>
                <w:b w:val="false"/>
              </w:rPr>
              <w:t>净值增长率①</w:t>
            </w:r>
          </w:p>
        </w:tc>
        <w:tc>
          <w:tcPr>
            <w:tcW w:type="pct" w:w="692"/>
            <w:vAlign w:val="center"/>
          </w:tcPr>
          <w:tcPr>
            <w:shd w:fill="d9d9d9"/>
          </w:tcPr>
          <w:p>
            <w:pPr>
              <w:spacing w:line="240" w:lineRule="auto"/>
              <w:jc w:val="center"/>
            </w:pPr>
            <w:r>
              <w:rPr>
                <w:rFonts w:ascii="宋体" w:hAnsi="宋体" w:cs="宋体" w:eastAsia="宋体"/>
                <w:b w:val="false"/>
              </w:rPr>
              <w:t>净值增长率标准差②</w:t>
            </w:r>
          </w:p>
        </w:tc>
        <w:tc>
          <w:tcPr>
            <w:tcW w:type="pct" w:w="692"/>
            <w:vAlign w:val="center"/>
          </w:tcPr>
          <w:tcPr>
            <w:shd w:fill="d9d9d9"/>
          </w:tcPr>
          <w:p>
            <w:pPr>
              <w:spacing w:line="240" w:lineRule="auto"/>
              <w:jc w:val="center"/>
            </w:pPr>
            <w:r>
              <w:rPr>
                <w:rFonts w:ascii="宋体" w:hAnsi="宋体" w:cs="宋体" w:eastAsia="宋体"/>
                <w:b w:val="false"/>
              </w:rPr>
              <w:t>业绩比较基准收益率③</w:t>
            </w:r>
          </w:p>
        </w:tc>
        <w:tc>
          <w:tcPr>
            <w:tcW w:type="pct" w:w="692"/>
            <w:vAlign w:val="center"/>
          </w:tcPr>
          <w:tcPr>
            <w:shd w:fill="d9d9d9"/>
          </w:tcPr>
          <w:p>
            <w:pPr>
              <w:spacing w:line="240" w:lineRule="auto"/>
              <w:jc w:val="center"/>
            </w:pPr>
            <w:r>
              <w:rPr>
                <w:rFonts w:ascii="宋体" w:hAnsi="宋体" w:cs="宋体" w:eastAsia="宋体"/>
                <w:b w:val="false"/>
              </w:rPr>
              <w:t>业绩比较基准收益率标准差④</w:t>
            </w:r>
          </w:p>
        </w:tc>
        <w:tc>
          <w:tcPr>
            <w:tcW w:type="pct" w:w="692"/>
            <w:vAlign w:val="center"/>
          </w:tcPr>
          <w:tcPr>
            <w:shd w:fill="d9d9d9"/>
          </w:tcPr>
          <w:p>
            <w:pPr>
              <w:spacing w:line="240" w:lineRule="auto"/>
              <w:jc w:val="center"/>
            </w:pPr>
            <w:r>
              <w:rPr>
                <w:rFonts w:ascii="宋体" w:hAnsi="宋体" w:cs="宋体" w:eastAsia="宋体"/>
                <w:b w:val="false"/>
              </w:rPr>
              <w:t>①-③</w:t>
            </w:r>
          </w:p>
        </w:tc>
        <w:tc>
          <w:tcPr>
            <w:tcW w:type="pct" w:w="692"/>
            <w:vAlign w:val="center"/>
          </w:tcPr>
          <w:tcPr>
            <w:shd w:fill="d9d9d9"/>
          </w:tcPr>
          <w:p>
            <w:pPr>
              <w:spacing w:line="240" w:lineRule="auto"/>
              <w:jc w:val="center"/>
            </w:pPr>
            <w:r>
              <w:rPr>
                <w:rFonts w:ascii="宋体" w:hAnsi="宋体" w:cs="宋体" w:eastAsia="宋体"/>
                <w:b w:val="false"/>
              </w:rPr>
              <w:t>②-④</w:t>
            </w:r>
          </w:p>
        </w:tc>
      </w:tr>
      <w:tr>
        <w:tc>
          <w:tcPr>
            <w:tcW/>
            <w:vAlign w:val="center"/>
          </w:tcPr>
          <w:p>
            <w:pPr>
              <w:spacing w:line="240" w:lineRule="auto"/>
              <w:jc w:val="left"/>
            </w:pPr>
            <w:r>
              <w:rPr>
                <w:rFonts w:ascii="宋体" w:hAnsi="宋体" w:cs="宋体" w:eastAsia="宋体"/>
                <w:b w:val="false"/>
              </w:rPr>
              <w:t>过去三个月</w:t>
            </w:r>
          </w:p>
        </w:tc>
        <w:tc>
          <w:tcPr>
            <w:tcW/>
            <w:vAlign w:val="center"/>
          </w:tcPr>
          <w:p>
            <w:pPr>
              <w:spacing w:line="240" w:lineRule="auto"/>
              <w:jc w:val="right"/>
            </w:pPr>
            <w:r>
              <w:rPr>
                <w:rFonts w:ascii="宋体" w:hAnsi="宋体" w:cs="宋体" w:eastAsia="宋体"/>
                <w:b w:val="false"/>
              </w:rPr>
              <w:t>1.42%</w:t>
            </w:r>
          </w:p>
        </w:tc>
        <w:tc>
          <w:tcPr>
            <w:tcW/>
            <w:vAlign w:val="center"/>
          </w:tcPr>
          <w:p>
            <w:pPr>
              <w:spacing w:line="240" w:lineRule="auto"/>
              <w:jc w:val="right"/>
            </w:pPr>
            <w:r>
              <w:rPr>
                <w:rFonts w:ascii="宋体" w:hAnsi="宋体" w:cs="宋体" w:eastAsia="宋体"/>
                <w:b w:val="false"/>
              </w:rPr>
              <w:t>2.60%</w:t>
            </w:r>
          </w:p>
        </w:tc>
        <w:tc>
          <w:tcPr>
            <w:tcW/>
            <w:vAlign w:val="center"/>
          </w:tcPr>
          <w:p>
            <w:pPr>
              <w:spacing w:line="240" w:lineRule="auto"/>
              <w:jc w:val="right"/>
            </w:pPr>
            <w:r>
              <w:rPr>
                <w:rFonts w:ascii="宋体" w:hAnsi="宋体" w:cs="宋体" w:eastAsia="宋体"/>
                <w:b w:val="false"/>
              </w:rPr>
              <w:t>-0.99%</w:t>
            </w:r>
          </w:p>
        </w:tc>
        <w:tc>
          <w:tcPr>
            <w:tcW/>
            <w:vAlign w:val="center"/>
          </w:tcPr>
          <w:p>
            <w:pPr>
              <w:spacing w:line="240" w:lineRule="auto"/>
              <w:jc w:val="right"/>
            </w:pPr>
            <w:r>
              <w:rPr>
                <w:rFonts w:ascii="宋体" w:hAnsi="宋体" w:cs="宋体" w:eastAsia="宋体"/>
                <w:b w:val="false"/>
              </w:rPr>
              <w:t>1.20%</w:t>
            </w:r>
          </w:p>
        </w:tc>
        <w:tc>
          <w:tcPr>
            <w:tcW/>
            <w:vAlign w:val="center"/>
          </w:tcPr>
          <w:p>
            <w:pPr>
              <w:spacing w:line="240" w:lineRule="auto"/>
              <w:jc w:val="right"/>
            </w:pPr>
            <w:r>
              <w:rPr>
                <w:rFonts w:ascii="宋体" w:hAnsi="宋体" w:cs="宋体" w:eastAsia="宋体"/>
                <w:b w:val="false"/>
              </w:rPr>
              <w:t>2.41%</w:t>
            </w:r>
          </w:p>
        </w:tc>
        <w:tc>
          <w:tcPr>
            <w:tcW/>
            <w:vAlign w:val="center"/>
          </w:tcPr>
          <w:p>
            <w:pPr>
              <w:spacing w:line="240" w:lineRule="auto"/>
              <w:jc w:val="right"/>
            </w:pPr>
            <w:r>
              <w:rPr>
                <w:rFonts w:ascii="宋体" w:hAnsi="宋体" w:cs="宋体" w:eastAsia="宋体"/>
                <w:b w:val="false"/>
              </w:rPr>
              <w:t>1.40%</w:t>
            </w:r>
          </w:p>
        </w:tc>
      </w:tr>
      <w:tr>
        <w:tc>
          <w:tcPr>
            <w:tcW/>
            <w:vAlign w:val="center"/>
          </w:tcPr>
          <w:p>
            <w:pPr>
              <w:spacing w:line="240" w:lineRule="auto"/>
              <w:jc w:val="left"/>
            </w:pPr>
            <w:r>
              <w:rPr>
                <w:rFonts w:ascii="宋体" w:hAnsi="宋体" w:cs="宋体" w:eastAsia="宋体"/>
                <w:b w:val="false"/>
              </w:rPr>
              <w:t>过去六个月</w:t>
            </w:r>
          </w:p>
        </w:tc>
        <w:tc>
          <w:tcPr>
            <w:tcW/>
            <w:vAlign w:val="center"/>
          </w:tcPr>
          <w:p>
            <w:pPr>
              <w:spacing w:line="240" w:lineRule="auto"/>
              <w:jc w:val="right"/>
            </w:pPr>
            <w:r>
              <w:rPr>
                <w:rFonts w:ascii="宋体" w:hAnsi="宋体" w:cs="宋体" w:eastAsia="宋体"/>
                <w:b w:val="false"/>
              </w:rPr>
              <w:t>-14.13%</w:t>
            </w:r>
          </w:p>
        </w:tc>
        <w:tc>
          <w:tcPr>
            <w:tcW/>
            <w:vAlign w:val="center"/>
          </w:tcPr>
          <w:p>
            <w:pPr>
              <w:spacing w:line="240" w:lineRule="auto"/>
              <w:jc w:val="right"/>
            </w:pPr>
            <w:r>
              <w:rPr>
                <w:rFonts w:ascii="宋体" w:hAnsi="宋体" w:cs="宋体" w:eastAsia="宋体"/>
                <w:b w:val="false"/>
              </w:rPr>
              <w:t>2.35%</w:t>
            </w:r>
          </w:p>
        </w:tc>
        <w:tc>
          <w:tcPr>
            <w:tcW/>
            <w:vAlign w:val="center"/>
          </w:tcPr>
          <w:p>
            <w:pPr>
              <w:spacing w:line="240" w:lineRule="auto"/>
              <w:jc w:val="right"/>
            </w:pPr>
            <w:r>
              <w:rPr>
                <w:rFonts w:ascii="宋体" w:hAnsi="宋体" w:cs="宋体" w:eastAsia="宋体"/>
                <w:b w:val="false"/>
              </w:rPr>
              <w:t>-12.60%</w:t>
            </w:r>
          </w:p>
        </w:tc>
        <w:tc>
          <w:tcPr>
            <w:tcW/>
            <w:vAlign w:val="center"/>
          </w:tcPr>
          <w:p>
            <w:pPr>
              <w:spacing w:line="240" w:lineRule="auto"/>
              <w:jc w:val="right"/>
            </w:pPr>
            <w:r>
              <w:rPr>
                <w:rFonts w:ascii="宋体" w:hAnsi="宋体" w:cs="宋体" w:eastAsia="宋体"/>
                <w:b w:val="false"/>
              </w:rPr>
              <w:t>1.05%</w:t>
            </w:r>
          </w:p>
        </w:tc>
        <w:tc>
          <w:tcPr>
            <w:tcW/>
            <w:vAlign w:val="center"/>
          </w:tcPr>
          <w:p>
            <w:pPr>
              <w:spacing w:line="240" w:lineRule="auto"/>
              <w:jc w:val="right"/>
            </w:pPr>
            <w:r>
              <w:rPr>
                <w:rFonts w:ascii="宋体" w:hAnsi="宋体" w:cs="宋体" w:eastAsia="宋体"/>
                <w:b w:val="false"/>
              </w:rPr>
              <w:t>-1.53%</w:t>
            </w:r>
          </w:p>
        </w:tc>
        <w:tc>
          <w:tcPr>
            <w:tcW/>
            <w:vAlign w:val="center"/>
          </w:tcPr>
          <w:p>
            <w:pPr>
              <w:spacing w:line="240" w:lineRule="auto"/>
              <w:jc w:val="right"/>
            </w:pPr>
            <w:r>
              <w:rPr>
                <w:rFonts w:ascii="宋体" w:hAnsi="宋体" w:cs="宋体" w:eastAsia="宋体"/>
                <w:b w:val="false"/>
              </w:rPr>
              <w:t>1.30%</w:t>
            </w:r>
          </w:p>
        </w:tc>
      </w:tr>
      <w:tr>
        <w:tc>
          <w:tcPr>
            <w:tcW/>
            <w:vAlign w:val="center"/>
          </w:tcPr>
          <w:p>
            <w:pPr>
              <w:spacing w:line="240" w:lineRule="auto"/>
              <w:jc w:val="left"/>
            </w:pPr>
            <w:r>
              <w:rPr>
                <w:rFonts w:ascii="宋体" w:hAnsi="宋体" w:cs="宋体" w:eastAsia="宋体"/>
                <w:b w:val="false"/>
              </w:rPr>
              <w:t>过去一年</w:t>
            </w:r>
          </w:p>
        </w:tc>
        <w:tc>
          <w:tcPr>
            <w:tcW/>
            <w:vAlign w:val="center"/>
          </w:tcPr>
          <w:p>
            <w:pPr>
              <w:spacing w:line="240" w:lineRule="auto"/>
              <w:jc w:val="right"/>
            </w:pPr>
            <w:r>
              <w:rPr>
                <w:rFonts w:ascii="宋体" w:hAnsi="宋体" w:cs="宋体" w:eastAsia="宋体"/>
                <w:b w:val="false"/>
              </w:rPr>
              <w:t>15.03%</w:t>
            </w:r>
          </w:p>
        </w:tc>
        <w:tc>
          <w:tcPr>
            <w:tcW/>
            <w:vAlign w:val="center"/>
          </w:tcPr>
          <w:p>
            <w:pPr>
              <w:spacing w:line="240" w:lineRule="auto"/>
              <w:jc w:val="right"/>
            </w:pPr>
            <w:r>
              <w:rPr>
                <w:rFonts w:ascii="宋体" w:hAnsi="宋体" w:cs="宋体" w:eastAsia="宋体"/>
                <w:b w:val="false"/>
              </w:rPr>
              <w:t>2.33%</w:t>
            </w:r>
          </w:p>
        </w:tc>
        <w:tc>
          <w:tcPr>
            <w:tcW/>
            <w:vAlign w:val="center"/>
          </w:tcPr>
          <w:p>
            <w:pPr>
              <w:spacing w:line="240" w:lineRule="auto"/>
              <w:jc w:val="right"/>
            </w:pPr>
            <w:r>
              <w:rPr>
                <w:rFonts w:ascii="宋体" w:hAnsi="宋体" w:cs="宋体" w:eastAsia="宋体"/>
                <w:b w:val="false"/>
              </w:rPr>
              <w:t>6.31%</w:t>
            </w:r>
          </w:p>
        </w:tc>
        <w:tc>
          <w:tcPr>
            <w:tcW/>
            <w:vAlign w:val="center"/>
          </w:tcPr>
          <w:p>
            <w:pPr>
              <w:spacing w:line="240" w:lineRule="auto"/>
              <w:jc w:val="right"/>
            </w:pPr>
            <w:r>
              <w:rPr>
                <w:rFonts w:ascii="宋体" w:hAnsi="宋体" w:cs="宋体" w:eastAsia="宋体"/>
                <w:b w:val="false"/>
              </w:rPr>
              <w:t>1.15%</w:t>
            </w:r>
          </w:p>
        </w:tc>
        <w:tc>
          <w:tcPr>
            <w:tcW/>
            <w:vAlign w:val="center"/>
          </w:tcPr>
          <w:p>
            <w:pPr>
              <w:spacing w:line="240" w:lineRule="auto"/>
              <w:jc w:val="right"/>
            </w:pPr>
            <w:r>
              <w:rPr>
                <w:rFonts w:ascii="宋体" w:hAnsi="宋体" w:cs="宋体" w:eastAsia="宋体"/>
                <w:b w:val="false"/>
              </w:rPr>
              <w:t>8.72%</w:t>
            </w:r>
          </w:p>
        </w:tc>
        <w:tc>
          <w:tcPr>
            <w:tcW/>
            <w:vAlign w:val="center"/>
          </w:tcPr>
          <w:p>
            <w:pPr>
              <w:spacing w:line="240" w:lineRule="auto"/>
              <w:jc w:val="right"/>
            </w:pPr>
            <w:r>
              <w:rPr>
                <w:rFonts w:ascii="宋体" w:hAnsi="宋体" w:cs="宋体" w:eastAsia="宋体"/>
                <w:b w:val="false"/>
              </w:rPr>
              <w:t>1.18%</w:t>
            </w:r>
          </w:p>
        </w:tc>
      </w:tr>
      <w:tr>
        <w:tc>
          <w:tcPr>
            <w:tcW/>
            <w:vAlign w:val="center"/>
          </w:tcPr>
          <w:p>
            <w:pPr>
              <w:spacing w:line="240" w:lineRule="auto"/>
              <w:jc w:val="left"/>
            </w:pPr>
            <w:r>
              <w:rPr>
                <w:rFonts w:ascii="宋体" w:hAnsi="宋体" w:cs="宋体" w:eastAsia="宋体"/>
                <w:b w:val="false"/>
              </w:rPr>
              <w:t>过去三年</w:t>
            </w:r>
          </w:p>
        </w:tc>
        <w:tc>
          <w:tcPr>
            <w:tcW/>
            <w:vAlign w:val="center"/>
          </w:tcPr>
          <w:p>
            <w:pPr>
              <w:spacing w:line="240" w:lineRule="auto"/>
              <w:jc w:val="right"/>
            </w:pPr>
            <w:r>
              <w:rPr>
                <w:rFonts w:ascii="宋体" w:hAnsi="宋体" w:cs="宋体" w:eastAsia="宋体"/>
                <w:b w:val="false"/>
              </w:rPr>
              <w:t>-0.48%</w:t>
            </w:r>
          </w:p>
        </w:tc>
        <w:tc>
          <w:tcPr>
            <w:tcW/>
            <w:vAlign w:val="center"/>
          </w:tcPr>
          <w:p>
            <w:pPr>
              <w:spacing w:line="240" w:lineRule="auto"/>
              <w:jc w:val="right"/>
            </w:pPr>
            <w:r>
              <w:rPr>
                <w:rFonts w:ascii="宋体" w:hAnsi="宋体" w:cs="宋体" w:eastAsia="宋体"/>
                <w:b w:val="false"/>
              </w:rPr>
              <w:t>1.83%</w:t>
            </w:r>
          </w:p>
        </w:tc>
        <w:tc>
          <w:tcPr>
            <w:tcW/>
            <w:vAlign w:val="center"/>
          </w:tcPr>
          <w:p>
            <w:pPr>
              <w:spacing w:line="240" w:lineRule="auto"/>
              <w:jc w:val="right"/>
            </w:pPr>
            <w:r>
              <w:rPr>
                <w:rFonts w:ascii="宋体" w:hAnsi="宋体" w:cs="宋体" w:eastAsia="宋体"/>
                <w:b w:val="false"/>
              </w:rPr>
              <w:t>-8.70%</w:t>
            </w:r>
          </w:p>
        </w:tc>
        <w:tc>
          <w:tcPr>
            <w:tcW/>
            <w:vAlign w:val="center"/>
          </w:tcPr>
          <w:p>
            <w:pPr>
              <w:spacing w:line="240" w:lineRule="auto"/>
              <w:jc w:val="right"/>
            </w:pPr>
            <w:r>
              <w:rPr>
                <w:rFonts w:ascii="宋体" w:hAnsi="宋体" w:cs="宋体" w:eastAsia="宋体"/>
                <w:b w:val="false"/>
              </w:rPr>
              <w:t>1.19%</w:t>
            </w:r>
          </w:p>
        </w:tc>
        <w:tc>
          <w:tcPr>
            <w:tcW/>
            <w:vAlign w:val="center"/>
          </w:tcPr>
          <w:p>
            <w:pPr>
              <w:spacing w:line="240" w:lineRule="auto"/>
              <w:jc w:val="right"/>
            </w:pPr>
            <w:r>
              <w:rPr>
                <w:rFonts w:ascii="宋体" w:hAnsi="宋体" w:cs="宋体" w:eastAsia="宋体"/>
                <w:b w:val="false"/>
              </w:rPr>
              <w:t>8.22%</w:t>
            </w:r>
          </w:p>
        </w:tc>
        <w:tc>
          <w:tcPr>
            <w:tcW/>
            <w:vAlign w:val="center"/>
          </w:tcPr>
          <w:p>
            <w:pPr>
              <w:spacing w:line="240" w:lineRule="auto"/>
              <w:jc w:val="right"/>
            </w:pPr>
            <w:r>
              <w:rPr>
                <w:rFonts w:ascii="宋体" w:hAnsi="宋体" w:cs="宋体" w:eastAsia="宋体"/>
                <w:b w:val="false"/>
              </w:rPr>
              <w:t>0.64%</w:t>
            </w:r>
          </w:p>
        </w:tc>
      </w:tr>
      <w:tr>
        <w:tc>
          <w:tcPr>
            <w:tcW/>
            <w:vAlign w:val="center"/>
          </w:tcPr>
          <w:p>
            <w:pPr>
              <w:spacing w:line="240" w:lineRule="auto"/>
              <w:jc w:val="left"/>
            </w:pPr>
            <w:r>
              <w:rPr>
                <w:rFonts w:ascii="宋体" w:hAnsi="宋体" w:cs="宋体" w:eastAsia="宋体"/>
                <w:b w:val="false"/>
              </w:rPr>
              <w:t>自基金合同生效起至今</w:t>
            </w:r>
          </w:p>
        </w:tc>
        <w:tc>
          <w:tcPr>
            <w:tcW/>
            <w:vAlign w:val="center"/>
          </w:tcPr>
          <w:p>
            <w:pPr>
              <w:spacing w:line="240" w:lineRule="auto"/>
              <w:jc w:val="right"/>
            </w:pPr>
            <w:r>
              <w:rPr>
                <w:rFonts w:ascii="宋体" w:hAnsi="宋体" w:cs="宋体" w:eastAsia="宋体"/>
                <w:b w:val="false"/>
              </w:rPr>
              <w:t>8.98%</w:t>
            </w:r>
          </w:p>
        </w:tc>
        <w:tc>
          <w:tcPr>
            <w:tcW/>
            <w:vAlign w:val="center"/>
          </w:tcPr>
          <w:p>
            <w:pPr>
              <w:spacing w:line="240" w:lineRule="auto"/>
              <w:jc w:val="right"/>
            </w:pPr>
            <w:r>
              <w:rPr>
                <w:rFonts w:ascii="宋体" w:hAnsi="宋体" w:cs="宋体" w:eastAsia="宋体"/>
                <w:b w:val="false"/>
              </w:rPr>
              <w:t>1.73%</w:t>
            </w:r>
          </w:p>
        </w:tc>
        <w:tc>
          <w:tcPr>
            <w:tcW/>
            <w:vAlign w:val="center"/>
          </w:tcPr>
          <w:p>
            <w:pPr>
              <w:spacing w:line="240" w:lineRule="auto"/>
              <w:jc w:val="right"/>
            </w:pPr>
            <w:r>
              <w:rPr>
                <w:rFonts w:ascii="宋体" w:hAnsi="宋体" w:cs="宋体" w:eastAsia="宋体"/>
                <w:b w:val="false"/>
              </w:rPr>
              <w:t>-11.71%</w:t>
            </w:r>
          </w:p>
        </w:tc>
        <w:tc>
          <w:tcPr>
            <w:tcW/>
            <w:vAlign w:val="center"/>
          </w:tcPr>
          <w:p>
            <w:pPr>
              <w:spacing w:line="240" w:lineRule="auto"/>
              <w:jc w:val="right"/>
            </w:pPr>
            <w:r>
              <w:rPr>
                <w:rFonts w:ascii="宋体" w:hAnsi="宋体" w:cs="宋体" w:eastAsia="宋体"/>
                <w:b w:val="false"/>
              </w:rPr>
              <w:t>1.23%</w:t>
            </w:r>
          </w:p>
        </w:tc>
        <w:tc>
          <w:tcPr>
            <w:tcW/>
            <w:vAlign w:val="center"/>
          </w:tcPr>
          <w:p>
            <w:pPr>
              <w:spacing w:line="240" w:lineRule="auto"/>
              <w:jc w:val="right"/>
            </w:pPr>
            <w:r>
              <w:rPr>
                <w:rFonts w:ascii="宋体" w:hAnsi="宋体" w:cs="宋体" w:eastAsia="宋体"/>
                <w:b w:val="false"/>
              </w:rPr>
              <w:t>20.69%</w:t>
            </w:r>
          </w:p>
        </w:tc>
        <w:tc>
          <w:tcPr>
            <w:tcW/>
            <w:vAlign w:val="center"/>
          </w:tcPr>
          <w:p>
            <w:pPr>
              <w:spacing w:line="240" w:lineRule="auto"/>
              <w:jc w:val="right"/>
            </w:pPr>
            <w:r>
              <w:rPr>
                <w:rFonts w:ascii="宋体" w:hAnsi="宋体" w:cs="宋体" w:eastAsia="宋体"/>
                <w:b w:val="false"/>
              </w:rPr>
              <w:t>0.50%</w:t>
            </w:r>
          </w:p>
        </w:tc>
      </w:tr>
    </w:tbl>
    <w:p>
      <w:r>
        <w:rPr>
          <w:rFonts w:ascii="宋体" w:hAnsi="宋体" w:cs="宋体" w:eastAsia="宋体"/>
          <w:b w:val="false"/>
        </w:rPr>
        <w:t>注：1、本基金业绩比较基准为：中证医药卫生指数收益率×60%+恒生医疗保健指数收益率×20%+中证综合债券指数收益率×20%。</w:t>
        <w:br/>
      </w:r>
      <w:r>
        <w:rPr>
          <w:rFonts w:ascii="宋体" w:hAnsi="宋体" w:cs="宋体" w:eastAsia="宋体"/>
          <w:b w:val="false"/>
        </w:rPr>
        <w:t>2、本基金自2022年03月30日成立至今尚未满五年，无过去五年的净值表现。</w:t>
      </w:r>
    </w:p>
    <w:p/>
    <w:p>
      <w:pPr>
        <w:pStyle w:val="zhangjiep2"/>
      </w:pPr>
      <w:r>
        <w:rPr>
          <w:rStyle w:val="正文"/>
          <w:rFonts w:ascii="宋体" w:hAnsi="宋体" w:cs="宋体" w:eastAsia="宋体"/>
          <w:b w:val="true"/>
        </w:rPr>
        <w:t>3.2.2 自基金合同生效以来基金累计净值增长率变动及其与同期业绩比较基准收益率变动的比较</w:t>
      </w:r>
    </w:p>
    <w:p>
      <w:r>
        <w:drawing>
          <wp:inline distT="0" distR="0" distB="0" distL="0">
            <wp:extent cx="5715000" cy="3048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16"/>
                    <a:stretch>
                      <a:fillRect/>
                    </a:stretch>
                  </pic:blipFill>
                  <pic:spPr>
                    <a:xfrm>
                      <a:off x="0" y="0"/>
                      <a:ext cx="5715000" cy="3048000"/>
                    </a:xfrm>
                    <a:prstGeom prst="rect">
                      <a:avLst/>
                    </a:prstGeom>
                  </pic:spPr>
                </pic:pic>
              </a:graphicData>
            </a:graphic>
          </wp:inline>
        </w:drawing>
      </w:r>
    </w:p>
    <w:p>
      <w:r>
        <w:drawing>
          <wp:inline distT="0" distR="0" distB="0" distL="0">
            <wp:extent cx="5715000" cy="3048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17"/>
                    <a:stretch>
                      <a:fillRect/>
                    </a:stretch>
                  </pic:blipFill>
                  <pic:spPr>
                    <a:xfrm>
                      <a:off x="0" y="0"/>
                      <a:ext cx="5715000" cy="3048000"/>
                    </a:xfrm>
                    <a:prstGeom prst="rect">
                      <a:avLst/>
                    </a:prstGeom>
                  </pic:spPr>
                </pic:pic>
              </a:graphicData>
            </a:graphic>
          </wp:inline>
        </w:drawing>
      </w:r>
    </w:p>
    <w:p>
      <w:pPr>
        <w:pStyle w:val="1"/>
        <w:jc w:val="center"/>
      </w:pPr>
      <w:r>
        <w:rPr>
          <w:rFonts w:ascii="宋体" w:hAnsi="宋体" w:cs="宋体" w:eastAsia="宋体"/>
        </w:rPr>
        <w:t>§4 管理人报告</w:t>
      </w:r>
    </w:p>
    <w:p>
      <w:pPr>
        <w:pStyle w:val="2"/>
        <w:jc w:val="left"/>
      </w:pPr>
      <w:r>
        <w:rPr>
          <w:rFonts w:ascii="宋体" w:hAnsi="宋体" w:cs="宋体" w:eastAsia="宋体"/>
        </w:rPr>
        <w:t>4.1 基金经理（或基金经理小组）简介</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538"/>
            <w:vMerge w:val="restart"/>
            <w:vAlign w:val="center"/>
          </w:tcPr>
          <w:tcPr>
            <w:shd w:fill="d9d9d9"/>
          </w:tcPr>
          <w:p>
            <w:pPr>
              <w:spacing w:line="240" w:lineRule="auto"/>
              <w:jc w:val="center"/>
            </w:pPr>
            <w:r>
              <w:rPr>
                <w:rFonts w:ascii="宋体" w:hAnsi="宋体" w:cs="宋体" w:eastAsia="宋体"/>
                <w:b w:val="false"/>
              </w:rPr>
              <w:t>姓名</w:t>
            </w:r>
          </w:p>
        </w:tc>
        <w:tc>
          <w:tcPr>
            <w:tcW w:type="pct" w:w="1231"/>
            <w:vMerge w:val="restart"/>
            <w:vAlign w:val="center"/>
          </w:tcPr>
          <w:tcPr>
            <w:shd w:fill="d9d9d9"/>
          </w:tcPr>
          <w:p>
            <w:pPr>
              <w:spacing w:line="240" w:lineRule="auto"/>
              <w:jc w:val="center"/>
            </w:pPr>
            <w:r>
              <w:rPr>
                <w:rFonts w:ascii="宋体" w:hAnsi="宋体" w:cs="宋体" w:eastAsia="宋体"/>
                <w:b w:val="false"/>
              </w:rPr>
              <w:t>职务</w:t>
            </w:r>
          </w:p>
        </w:tc>
        <w:tc>
          <w:tcPr>
            <w:tcW w:type="pct" w:w="808"/>
            <w:hMerge w:val="restart"/>
            <w:vAlign w:val="center"/>
          </w:tcPr>
          <w:tcPr>
            <w:shd w:fill="d9d9d9"/>
          </w:tcPr>
          <w:p>
            <w:pPr>
              <w:spacing w:line="240" w:lineRule="auto"/>
              <w:jc w:val="center"/>
            </w:pPr>
            <w:r>
              <w:rPr>
                <w:rFonts w:ascii="宋体" w:hAnsi="宋体" w:cs="宋体" w:eastAsia="宋体"/>
                <w:b w:val="false"/>
              </w:rPr>
              <w:t>任本基金的基金经理期限</w:t>
            </w:r>
          </w:p>
        </w:tc>
        <w:tc>
          <w:tcPr>
            <w:hMerge w:val="continue"/>
          </w:tcPr>
          <w:p/>
        </w:tc>
        <w:tc>
          <w:tcPr>
            <w:tcW w:type="pct" w:w="308"/>
            <w:vMerge w:val="restart"/>
            <w:vAlign w:val="center"/>
          </w:tcPr>
          <w:tcPr>
            <w:shd w:fill="d9d9d9"/>
          </w:tcPr>
          <w:p>
            <w:pPr>
              <w:spacing w:line="240" w:lineRule="auto"/>
              <w:jc w:val="center"/>
            </w:pPr>
            <w:r>
              <w:rPr>
                <w:rFonts w:ascii="宋体" w:hAnsi="宋体" w:cs="宋体" w:eastAsia="宋体"/>
                <w:b w:val="false"/>
              </w:rPr>
              <w:t>证券从业年限</w:t>
            </w:r>
          </w:p>
        </w:tc>
        <w:tc>
          <w:tcPr>
            <w:tcW w:type="pct" w:w="1462"/>
            <w:vMerge w:val="restart"/>
            <w:vAlign w:val="center"/>
          </w:tcPr>
          <w:tcPr>
            <w:shd w:fill="d9d9d9"/>
          </w:tcPr>
          <w:p>
            <w:pPr>
              <w:spacing w:line="240" w:lineRule="auto"/>
              <w:jc w:val="center"/>
            </w:pPr>
            <w:r>
              <w:rPr>
                <w:rFonts w:ascii="宋体" w:hAnsi="宋体" w:cs="宋体" w:eastAsia="宋体"/>
                <w:b w:val="false"/>
              </w:rPr>
              <w:t>说明</w:t>
            </w:r>
          </w:p>
        </w:tc>
      </w:tr>
      <w:tr>
        <w:tc>
          <w:tcPr>
            <w:vMerge w:val="continue"/>
          </w:tcPr>
          <w:p/>
        </w:tc>
        <w:tc>
          <w:tcPr>
            <w:vMerge w:val="continue"/>
          </w:tcPr>
          <w:p/>
        </w:tc>
        <w:tc>
          <w:tcPr>
            <w:tcW w:type="pct" w:w="400"/>
            <w:vAlign w:val="center"/>
          </w:tcPr>
          <w:tcPr>
            <w:shd w:fill="d9d9d9"/>
          </w:tcPr>
          <w:p>
            <w:pPr>
              <w:spacing w:line="240" w:lineRule="auto"/>
              <w:jc w:val="center"/>
            </w:pPr>
            <w:r>
              <w:rPr>
                <w:rFonts w:ascii="宋体" w:hAnsi="宋体" w:cs="宋体" w:eastAsia="宋体"/>
                <w:b w:val="false"/>
              </w:rPr>
              <w:t>任职日期</w:t>
            </w:r>
          </w:p>
        </w:tc>
        <w:tc>
          <w:tcPr>
            <w:tcW w:type="pct" w:w="392"/>
            <w:vAlign w:val="center"/>
          </w:tcPr>
          <w:tcPr>
            <w:shd w:fill="d9d9d9"/>
          </w:tcPr>
          <w:p>
            <w:pPr>
              <w:spacing w:line="240" w:lineRule="auto"/>
              <w:jc w:val="center"/>
            </w:pPr>
            <w:r>
              <w:rPr>
                <w:rFonts w:ascii="宋体" w:hAnsi="宋体" w:cs="宋体" w:eastAsia="宋体"/>
                <w:b w:val="false"/>
              </w:rPr>
              <w:t>离任日期</w:t>
            </w:r>
          </w:p>
        </w:tc>
        <w:tc>
          <w:tcPr>
            <w:vMerge w:val="continue"/>
          </w:tcPr>
          <w:p/>
        </w:tc>
        <w:tc>
          <w:tcPr>
            <w:vMerge w:val="continue"/>
          </w:tcPr>
          <w:p/>
        </w:tc>
      </w:tr>
      <w:tr>
        <w:tc>
          <w:tcPr>
            <w:tcW/>
            <w:vAlign w:val="center"/>
          </w:tcPr>
          <w:p>
            <w:pPr>
              <w:spacing w:line="240" w:lineRule="auto"/>
              <w:jc w:val="left"/>
            </w:pPr>
            <w:r>
              <w:rPr>
                <w:rFonts w:ascii="宋体" w:hAnsi="宋体" w:cs="宋体" w:eastAsia="宋体"/>
                <w:b w:val="false"/>
              </w:rPr>
              <w:t>孟昱</w:t>
            </w:r>
          </w:p>
        </w:tc>
        <w:tc>
          <w:tcPr>
            <w:tcW/>
            <w:vAlign w:val="center"/>
          </w:tcPr>
          <w:p>
            <w:pPr>
              <w:spacing w:line="240" w:lineRule="auto"/>
              <w:jc w:val="left"/>
            </w:pPr>
            <w:r>
              <w:rPr>
                <w:rFonts w:ascii="宋体" w:hAnsi="宋体" w:cs="宋体" w:eastAsia="宋体"/>
                <w:b w:val="false"/>
              </w:rPr>
              <w:t>基金经理</w:t>
            </w:r>
          </w:p>
        </w:tc>
        <w:tc>
          <w:tcPr>
            <w:tcW/>
            <w:vAlign w:val="center"/>
          </w:tcPr>
          <w:p>
            <w:pPr>
              <w:spacing w:line="240" w:lineRule="auto"/>
              <w:jc w:val="center"/>
            </w:pPr>
            <w:r>
              <w:rPr>
                <w:rFonts w:ascii="宋体" w:hAnsi="宋体" w:cs="宋体" w:eastAsia="宋体"/>
                <w:b w:val="false"/>
              </w:rPr>
              <w:t>2023-11-29</w:t>
            </w:r>
          </w:p>
        </w:tc>
        <w:tc>
          <w:tcPr>
            <w:tcW/>
            <w:vAlign w:val="center"/>
          </w:tcPr>
          <w:p>
            <w:pPr>
              <w:spacing w:line="240" w:lineRule="auto"/>
              <w:jc w:val="center"/>
            </w:pPr>
            <w:r>
              <w:rPr>
                <w:rFonts w:ascii="宋体" w:hAnsi="宋体" w:cs="宋体" w:eastAsia="宋体"/>
                <w:b w:val="false"/>
              </w:rPr>
              <w:t>-</w:t>
            </w:r>
          </w:p>
        </w:tc>
        <w:tc>
          <w:tcPr>
            <w:tcW/>
            <w:vAlign w:val="center"/>
          </w:tcPr>
          <w:p>
            <w:pPr>
              <w:spacing w:line="240" w:lineRule="auto"/>
              <w:jc w:val="center"/>
            </w:pPr>
            <w:r>
              <w:rPr>
                <w:rFonts w:ascii="宋体" w:hAnsi="宋体" w:cs="宋体" w:eastAsia="宋体"/>
                <w:b w:val="false"/>
              </w:rPr>
              <w:t>6年</w:t>
            </w:r>
          </w:p>
        </w:tc>
        <w:tc>
          <w:tcPr>
            <w:tcW/>
            <w:vAlign w:val="center"/>
          </w:tcPr>
          <w:p>
            <w:pPr>
              <w:spacing w:line="240" w:lineRule="auto"/>
              <w:jc w:val="left"/>
            </w:pPr>
            <w:r>
              <w:rPr>
                <w:rFonts w:ascii="宋体" w:hAnsi="宋体" w:cs="宋体" w:eastAsia="宋体"/>
                <w:b w:val="false"/>
              </w:rPr>
              <w:t>孟昱先生，中山大学理学硕士，2020年8月至2021年9月，在深圳市涌容资产管理有限公司工作，任研究部研究员；2021年10月至2023年10月，在深圳市中欧瑞博投资管理股份有限公司工作，历任医药投研部研究员、基金经理；2023年10月，入职东方阿尔法基金管理有限公司公募投资部，现任东方阿尔法基金管理有限公司基金经理</w:t>
            </w:r>
          </w:p>
        </w:tc>
      </w:tr>
    </w:tbl>
    <w:p>
      <w:r>
        <w:rPr>
          <w:rFonts w:ascii="宋体" w:hAnsi="宋体" w:cs="宋体" w:eastAsia="宋体"/>
          <w:b w:val="false"/>
        </w:rPr>
        <w:t>注：1.对基金的首任基金经理，其"任职日期"为基金合同生效日，"离任日期"为根据公告确定的解聘日期；对此后的非首任基金经理，"任职日期"和"离任日期"分别指公告确定的任职日期和离任日期。</w:t>
        <w:br/>
      </w:r>
      <w:r>
        <w:rPr>
          <w:rFonts w:ascii="宋体" w:hAnsi="宋体" w:cs="宋体" w:eastAsia="宋体"/>
          <w:b w:val="false"/>
        </w:rPr>
        <w:t>2.证券从业的含义遵从《证券基金经营机构董事、监事、高级管理人员及从业人员监督管理办法》的相关规定。</w:t>
      </w:r>
    </w:p>
    <w:p/>
    <w:p>
      <w:pPr>
        <w:pStyle w:val="zhangjiep2"/>
      </w:pPr>
      <w:r>
        <w:rPr>
          <w:rStyle w:val="正文"/>
          <w:rFonts w:ascii="宋体" w:hAnsi="宋体" w:cs="宋体" w:eastAsia="宋体"/>
          <w:b w:val="true"/>
        </w:rPr>
        <w:t>4.1.1 期末兼任私募资产管理计划投资经理的基金经理同时管理的产品情况</w:t>
      </w:r>
    </w:p>
    <w:p>
      <w:r>
        <w:rPr>
          <w:rFonts w:ascii="宋体" w:hAnsi="宋体" w:cs="宋体" w:eastAsia="宋体"/>
          <w:b w:val="false"/>
        </w:rPr>
        <w:t xml:space="preserve">    无。</w:t>
      </w:r>
    </w:p>
    <w:p/>
    <w:p>
      <w:pPr>
        <w:pStyle w:val="2"/>
        <w:jc w:val="left"/>
      </w:pPr>
      <w:r>
        <w:rPr>
          <w:rFonts w:ascii="宋体" w:hAnsi="宋体" w:cs="宋体" w:eastAsia="宋体"/>
        </w:rPr>
        <w:t>4.2 管理人对报告期内本基金运作遵规守信情况的说明</w:t>
      </w:r>
    </w:p>
    <w:p>
      <w:r>
        <w:rPr>
          <w:rFonts w:ascii="宋体" w:hAnsi="宋体" w:cs="宋体" w:eastAsia="宋体"/>
          <w:b w:val="false"/>
        </w:rPr>
        <w:t xml:space="preserve">    本报告期内，本基金管理人严格遵守《中华人民共和国证券投资基金法》及其各项实施细则等有关法律法规、本基金《基金合同》和其他有关法律法规的规定，本着诚实信用、勤勉尽责的原则管理和运用基金资产，在严格控制风险的基础上，为基金份额持有人谋求最大利益。本报告期内，基金运作整体合法合规，无损害基金份额持有人利益的行为。</w:t>
      </w:r>
    </w:p>
    <w:p/>
    <w:p>
      <w:pPr>
        <w:pStyle w:val="2"/>
        <w:jc w:val="left"/>
      </w:pPr>
      <w:r>
        <w:rPr>
          <w:rFonts w:ascii="宋体" w:hAnsi="宋体" w:cs="宋体" w:eastAsia="宋体"/>
        </w:rPr>
        <w:t>4.3 公平交易专项说明</w:t>
      </w:r>
    </w:p>
    <w:p>
      <w:pPr>
        <w:pStyle w:val="zhangjiep2"/>
      </w:pPr>
      <w:r>
        <w:rPr>
          <w:rStyle w:val="正文"/>
          <w:rFonts w:ascii="宋体" w:hAnsi="宋体" w:cs="宋体" w:eastAsia="宋体"/>
          <w:b w:val="true"/>
        </w:rPr>
        <w:t>4.3.1 公平交易制度的执行情况</w:t>
      </w:r>
    </w:p>
    <w:p>
      <w:r>
        <w:rPr>
          <w:rFonts w:ascii="宋体" w:hAnsi="宋体" w:cs="宋体" w:eastAsia="宋体"/>
          <w:b w:val="false"/>
        </w:rPr>
        <w:t xml:space="preserve">    本报告期内，本基金管理人严格执行《证券投资基金管理公司公平交易制度指导意见》，完善相应制度及流程，通过系统和人工等各种方式在各业务环节严格控制交易公平执行，公平对待旗下管理的所有基金和投资组合。</w:t>
        <w:br/>
      </w:r>
      <w:r>
        <w:rPr>
          <w:rFonts w:ascii="宋体" w:hAnsi="宋体" w:cs="宋体" w:eastAsia="宋体"/>
          <w:b w:val="false"/>
        </w:rPr>
        <w:t xml:space="preserve">    本报告期内，本基金管理人利用统计分析的方法和工具，按照不同的时间窗（包括当日内、3日内、5日内）对基金管理人管理的不同投资组合反向交易和同向交易的交易价差监控进行分析，未发现违反公平交易制度的异常行为。</w:t>
      </w:r>
    </w:p>
    <w:p/>
    <w:p>
      <w:pPr>
        <w:pStyle w:val="zhangjiep2"/>
      </w:pPr>
      <w:r>
        <w:rPr>
          <w:rStyle w:val="正文"/>
          <w:rFonts w:ascii="宋体" w:hAnsi="宋体" w:cs="宋体" w:eastAsia="宋体"/>
          <w:b w:val="true"/>
        </w:rPr>
        <w:t>4.3.2 异常交易行为的专项说明</w:t>
      </w:r>
    </w:p>
    <w:p>
      <w:r>
        <w:rPr>
          <w:rFonts w:ascii="宋体" w:hAnsi="宋体" w:cs="宋体" w:eastAsia="宋体"/>
          <w:b w:val="false"/>
        </w:rPr>
        <w:t xml:space="preserve">    报告期内，本基金不存在参与交易所公开竞价同日反向交易成交较少的单边交易量超过该证券当日成交量的5%的情况，且不存在其他可能导致非公平交易和利益输送的异常交易行为。</w:t>
      </w:r>
    </w:p>
    <w:p/>
    <w:p>
      <w:pPr>
        <w:pStyle w:val="2"/>
        <w:jc w:val="left"/>
      </w:pPr>
      <w:r>
        <w:rPr>
          <w:rFonts w:ascii="宋体" w:hAnsi="宋体" w:cs="宋体" w:eastAsia="宋体"/>
        </w:rPr>
        <w:t>4.4 报告期内基金的投资策略和运作分析</w:t>
      </w:r>
    </w:p>
    <w:p>
      <w:r>
        <w:rPr>
          <w:rFonts w:ascii="宋体" w:hAnsi="宋体" w:cs="宋体" w:eastAsia="宋体"/>
          <w:b w:val="false"/>
        </w:rPr>
        <w:t xml:space="preserve">    报告期内，创新药板块的反弹并非偶然，而是政策、产业、业绩三重拐点共振的结果，标志着行业正从“低谷修复”迈向“价值回归”的黄金期。</w:t>
        <w:br/>
      </w:r>
      <w:r>
        <w:rPr>
          <w:rFonts w:ascii="宋体" w:hAnsi="宋体" w:cs="宋体" w:eastAsia="宋体"/>
          <w:b w:val="false"/>
        </w:rPr>
        <w:t xml:space="preserve">    政策拐点方面，顶层设计升级，支付体系不断优化。2026年政府工作报告将生物医药的产业定位从“新兴产业”提升为“新兴支柱产业”，明确其作为经济增长核心引擎的战略地位，与集成电路、航空航天并列。这一战略升级意味着政策资源将从“扶持”转向“倚重”，资本导向和制度供给将全面倾斜。政策层面不仅关注单一药品的创新，更鼓励产业链整合与集群效应。这意味着未来的投资机会将不仅局限于单品爆发，更在于具备“链主”潜力、能整合上下游（如CXO、AI制药平台、原料药）的龙头企业，为板块提供了坚实的系统性估值底座。</w:t>
        <w:br/>
      </w:r>
      <w:r>
        <w:rPr>
          <w:rFonts w:ascii="宋体" w:hAnsi="宋体" w:cs="宋体" w:eastAsia="宋体"/>
          <w:b w:val="false"/>
        </w:rPr>
        <w:t xml:space="preserve">    支付端改革持续推进，2026版医保目录于4月1日起执行，新增114种药品，其中包含50种1类创新药，同时显著提高癌症门诊等报销比例。与此同时，国家正积极发展商业健康险，构建“基本医保+商业保险”的多层次支付体系，为创新药商业化放量拓宽空间。审批端效率持续提升，创新药临床试验申请获批周期缩短60%，上市周期大幅压缩，为研发创新提供高效通道。</w:t>
        <w:br/>
      </w:r>
      <w:r>
        <w:rPr>
          <w:rFonts w:ascii="宋体" w:hAnsi="宋体" w:cs="宋体" w:eastAsia="宋体"/>
          <w:b w:val="false"/>
        </w:rPr>
        <w:t xml:space="preserve">    产业拐点显现，全球竞争力凸显，出海进入收获期。中国创新药已从“跟跑”逐步迈向“领跑”，尤其在PD-1/VEGF双抗、ADC等领域已处于全球领先地位。创新药对外授权（License-out）成为价值兑现的重要路径，2026年一季度，中国创新药对外授权交易总额已突破600亿美元，接近2025年全年的一半，交易数量达44项，增长势头持续放大。每一笔成功的出海交易，均直接转化为对本土CXO（医药研发及生产外包）企业的临床和商业化订单。</w:t>
        <w:br/>
      </w:r>
      <w:r>
        <w:rPr>
          <w:rFonts w:ascii="宋体" w:hAnsi="宋体" w:cs="宋体" w:eastAsia="宋体"/>
          <w:b w:val="false"/>
        </w:rPr>
        <w:t xml:space="preserve">    企业盈利逐步改善，CXO行业订单回暖。头部创新药企盈利逐步兑现，多家Biotech公司迈入盈利兑现新阶段，部分H股创新药龙头企业已首次实现年度盈利，跨越营收与盈利双里程碑。CXO作为创新药产业的“卖水人”，行业订单呈现爆发式增长，2026年一季度，行业龙头企业在手订单普遍实现20%以上同比增长，业绩指引积极，标志着行业盈利周期迎来向上拐点。</w:t>
        <w:br/>
      </w:r>
      <w:r>
        <w:rPr>
          <w:rFonts w:ascii="宋体" w:hAnsi="宋体" w:cs="宋体" w:eastAsia="宋体"/>
          <w:b w:val="false"/>
        </w:rPr>
        <w:t xml:space="preserve">    站在2026年当前时点，尽管创新药板块已实现显著反弹，但截至3月末，万得创新药指数的市盈率（TTM）仍处于近10年10.49%的历史较低分位，估值修复空间依然存在。同时，行业红利正加速向头部集中，正式进入“个股α元年”。</w:t>
        <w:br/>
      </w:r>
      <w:r>
        <w:rPr>
          <w:rFonts w:ascii="宋体" w:hAnsi="宋体" w:cs="宋体" w:eastAsia="宋体"/>
          <w:b w:val="false"/>
        </w:rPr>
        <w:t xml:space="preserve">    2026年是检验创新药企业核心竞争力的关键一年。随着BD交易常态化（开年两月交易总额即超500亿美元），投资逻辑需从“数合同”转向“看落地”。下半年，首批原创路线创新药将进入海外三期临床数据读出期，这是中国创新药正式进入“赚美元”阶段的关键节点。本基金将优选具备“两条腿走路”能力的企业——国内商业化路径清晰，且海外临床关键节点明确，尤其关注ADC、双抗行业及分子胶领域，若相关产品海外三期临床结果达标，将直接驱动板块从“交易估值”向“盈利估值”切换。</w:t>
        <w:br/>
      </w:r>
      <w:r>
        <w:rPr>
          <w:rFonts w:ascii="宋体" w:hAnsi="宋体" w:cs="宋体" w:eastAsia="宋体"/>
          <w:b w:val="false"/>
        </w:rPr>
        <w:t xml:space="preserve">    我们认为，当前创新药行情的回调，是宏观风险偏好降低背景下，存量筹码博弈与基本面增量之间的矛盾体现，这种错位不会长期存在，终将迎来修正。创新药板块在2025年第四季度持续面临调整压力，本质是“存量筹码的获利了结需求”与“基本面增量的持续释放”之间的矛盾：一方面，前期布局BD红利的资金在利好兑现后存在落袋为安动机；另一方面，持续的地缘冲突导致市场风险偏好下降，资金减配创新药板块；与此同时，美联储降息预期带来的流动性改善、国内医保谈判温和落地以及核心产品放量加速，构成了坚实的基本面增量支撑。</w:t>
        <w:br/>
      </w:r>
      <w:r>
        <w:rPr>
          <w:rFonts w:ascii="宋体" w:hAnsi="宋体" w:cs="宋体" w:eastAsia="宋体"/>
          <w:b w:val="false"/>
        </w:rPr>
        <w:t xml:space="preserve">    这种矛盾可能导致市场出现震荡，但我们判断回调空间有限。核心原因在于，当前的调整是板块发展过程中的正常出清，而非行业发展趋势的逆转。随着资金从主题炒作转向业绩兑现，真正具备盈利能力与核心竞争力的优质企业将率先走出独立行情。因此，当前的回调并非行情终点，而是为中长期投资者提供了以更合理价格布局优质资产的窗口期。</w:t>
        <w:br/>
      </w:r>
      <w:r>
        <w:rPr>
          <w:rFonts w:ascii="宋体" w:hAnsi="宋体" w:cs="宋体" w:eastAsia="宋体"/>
          <w:b w:val="false"/>
        </w:rPr>
        <w:t xml:space="preserve">    风险层面，需警惕地缘政治对创新药出海进程的扰动、医保谈判政策的边际变化，以及部分早期研发管线的临床失败风险。但总体而言，当前创新药板块处于“好行业+合理估值”的错配期，2026年将是聚焦个股α、分享产业高质量发展红利的关键之年。</w:t>
      </w:r>
    </w:p>
    <w:p/>
    <w:p>
      <w:pPr>
        <w:pStyle w:val="2"/>
        <w:jc w:val="left"/>
      </w:pPr>
      <w:r>
        <w:rPr>
          <w:rFonts w:ascii="宋体" w:hAnsi="宋体" w:cs="宋体" w:eastAsia="宋体"/>
        </w:rPr>
        <w:t>4.5 报告期内基金的业绩表现</w:t>
      </w:r>
    </w:p>
    <w:p>
      <w:r>
        <w:rPr>
          <w:rFonts w:ascii="宋体" w:hAnsi="宋体" w:cs="宋体" w:eastAsia="宋体"/>
          <w:b w:val="false"/>
        </w:rPr>
        <w:t xml:space="preserve">    截至报告期末东方阿尔法医疗健康混合发起A基金份额净值为1.1116元，本报告期内，该类基金份额净值增长率为1.54%，同期业绩比较基准收益率为-0.99%；截至报告期末东方阿尔法医疗健康混合发起C基金份额净值为1.0898元，本报告期内，该类基金份额净值增长率为1.42%，同期业绩比较基准收益率为-0.99%。</w:t>
      </w:r>
    </w:p>
    <w:p/>
    <w:p>
      <w:pPr>
        <w:pStyle w:val="2"/>
        <w:jc w:val="left"/>
      </w:pPr>
      <w:r>
        <w:rPr>
          <w:rFonts w:ascii="宋体" w:hAnsi="宋体" w:cs="宋体" w:eastAsia="宋体"/>
        </w:rPr>
        <w:t>4.6 报告期内基金持有人数或基金资产净值预警说明</w:t>
      </w:r>
    </w:p>
    <w:p>
      <w:r>
        <w:rPr>
          <w:rFonts w:ascii="宋体" w:hAnsi="宋体" w:cs="宋体" w:eastAsia="宋体"/>
          <w:b w:val="false"/>
        </w:rPr>
        <w:t xml:space="preserve">    本报告期内，本基金未出现连续20个工作日基金份额持有人数量不满200人或者基金资产净值低于5000万的情形。</w:t>
      </w:r>
    </w:p>
    <w:p>
      <w:pPr>
        <w:pStyle w:val="1"/>
        <w:jc w:val="center"/>
      </w:pPr>
      <w:r>
        <w:rPr>
          <w:rFonts w:ascii="宋体" w:hAnsi="宋体" w:cs="宋体" w:eastAsia="宋体"/>
        </w:rPr>
        <w:t>§5 投资组合报告</w:t>
      </w:r>
    </w:p>
    <w:p>
      <w:pPr>
        <w:pStyle w:val="2"/>
        <w:jc w:val="left"/>
      </w:pPr>
      <w:r>
        <w:rPr>
          <w:rFonts w:ascii="宋体" w:hAnsi="宋体" w:cs="宋体" w:eastAsia="宋体"/>
        </w:rPr>
        <w:t>5.1 报告期末基金资产组合情况</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462"/>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项目</w:t>
            </w:r>
          </w:p>
        </w:tc>
        <w:tc>
          <w:tcPr>
            <w:tcW w:type="pct" w:w="1538"/>
            <w:vAlign w:val="center"/>
          </w:tcPr>
          <w:tcPr>
            <w:shd w:fill="d9d9d9"/>
          </w:tcPr>
          <w:p>
            <w:pPr>
              <w:spacing w:line="240" w:lineRule="auto"/>
              <w:jc w:val="center"/>
            </w:pPr>
            <w:r>
              <w:rPr>
                <w:rFonts w:ascii="宋体" w:hAnsi="宋体" w:cs="宋体" w:eastAsia="宋体"/>
                <w:b w:val="false"/>
              </w:rPr>
              <w:t>金额(元)</w:t>
            </w:r>
          </w:p>
        </w:tc>
        <w:tc>
          <w:tcPr>
            <w:tcW w:type="pct" w:w="1538"/>
            <w:vAlign w:val="center"/>
          </w:tcPr>
          <w:tcPr>
            <w:shd w:fill="d9d9d9"/>
          </w:tcPr>
          <w:p>
            <w:pPr>
              <w:spacing w:line="240" w:lineRule="auto"/>
              <w:jc w:val="center"/>
            </w:pPr>
            <w:r>
              <w:rPr>
                <w:rFonts w:ascii="宋体" w:hAnsi="宋体" w:cs="宋体" w:eastAsia="宋体"/>
                <w:b w:val="false"/>
              </w:rPr>
              <w:t>占基金总资产的比例（%）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权益投资</w:t>
            </w:r>
          </w:p>
        </w:tc>
        <w:tc>
          <w:tcPr>
            <w:tcW/>
            <w:vAlign w:val="center"/>
          </w:tcPr>
          <w:p>
            <w:pPr>
              <w:spacing w:line="240" w:lineRule="auto"/>
              <w:jc w:val="right"/>
            </w:pPr>
            <w:r>
              <w:rPr>
                <w:rFonts w:ascii="宋体" w:hAnsi="宋体" w:cs="宋体" w:eastAsia="宋体"/>
                <w:b w:val="false"/>
              </w:rPr>
              <w:t>133,407,736.14</w:t>
            </w:r>
          </w:p>
        </w:tc>
        <w:tc>
          <w:tcPr>
            <w:tcW/>
            <w:vAlign w:val="center"/>
          </w:tcPr>
          <w:p>
            <w:pPr>
              <w:spacing w:line="240" w:lineRule="auto"/>
              <w:jc w:val="right"/>
            </w:pPr>
            <w:r>
              <w:rPr>
                <w:rFonts w:ascii="宋体" w:hAnsi="宋体" w:cs="宋体" w:eastAsia="宋体"/>
                <w:b w:val="false"/>
              </w:rPr>
              <w:t>83.77</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其中：股票</w:t>
            </w:r>
          </w:p>
        </w:tc>
        <w:tc>
          <w:tcPr>
            <w:tcW/>
            <w:vAlign w:val="center"/>
          </w:tcPr>
          <w:p>
            <w:pPr>
              <w:spacing w:line="240" w:lineRule="auto"/>
              <w:jc w:val="right"/>
            </w:pPr>
            <w:r>
              <w:rPr>
                <w:rFonts w:ascii="宋体" w:hAnsi="宋体" w:cs="宋体" w:eastAsia="宋体"/>
                <w:b w:val="false"/>
              </w:rPr>
              <w:t>133,407,736.14</w:t>
            </w:r>
          </w:p>
        </w:tc>
        <w:tc>
          <w:tcPr>
            <w:tcW/>
            <w:vAlign w:val="center"/>
          </w:tcPr>
          <w:p>
            <w:pPr>
              <w:spacing w:line="240" w:lineRule="auto"/>
              <w:jc w:val="right"/>
            </w:pPr>
            <w:r>
              <w:rPr>
                <w:rFonts w:ascii="宋体" w:hAnsi="宋体" w:cs="宋体" w:eastAsia="宋体"/>
                <w:b w:val="false"/>
              </w:rPr>
              <w:t>83.77</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基金投资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固定收益投资</w:t>
            </w:r>
          </w:p>
        </w:tc>
        <w:tc>
          <w:tcPr>
            <w:tcW/>
            <w:vAlign w:val="center"/>
          </w:tcPr>
          <w:p>
            <w:pPr>
              <w:spacing w:line="240" w:lineRule="auto"/>
              <w:jc w:val="right"/>
            </w:pPr>
            <w:r>
              <w:rPr>
                <w:rFonts w:ascii="宋体" w:hAnsi="宋体" w:cs="宋体" w:eastAsia="宋体"/>
                <w:b w:val="false"/>
              </w:rPr>
              <w:t>8,152,985.07</w:t>
            </w:r>
          </w:p>
        </w:tc>
        <w:tc>
          <w:tcPr>
            <w:tcW/>
            <w:vAlign w:val="center"/>
          </w:tcPr>
          <w:p>
            <w:pPr>
              <w:spacing w:line="240" w:lineRule="auto"/>
              <w:jc w:val="right"/>
            </w:pPr>
            <w:r>
              <w:rPr>
                <w:rFonts w:ascii="宋体" w:hAnsi="宋体" w:cs="宋体" w:eastAsia="宋体"/>
                <w:b w:val="false"/>
              </w:rPr>
              <w:t>5.12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其中：债券</w:t>
            </w:r>
          </w:p>
        </w:tc>
        <w:tc>
          <w:tcPr>
            <w:tcW/>
            <w:vAlign w:val="center"/>
          </w:tcPr>
          <w:p>
            <w:pPr>
              <w:spacing w:line="240" w:lineRule="auto"/>
              <w:jc w:val="right"/>
            </w:pPr>
            <w:r>
              <w:rPr>
                <w:rFonts w:ascii="宋体" w:hAnsi="宋体" w:cs="宋体" w:eastAsia="宋体"/>
                <w:b w:val="false"/>
              </w:rPr>
              <w:t>8,152,985.07</w:t>
            </w:r>
          </w:p>
        </w:tc>
        <w:tc>
          <w:tcPr>
            <w:tcW/>
            <w:vAlign w:val="center"/>
          </w:tcPr>
          <w:p>
            <w:pPr>
              <w:spacing w:line="240" w:lineRule="auto"/>
              <w:jc w:val="right"/>
            </w:pPr>
            <w:r>
              <w:rPr>
                <w:rFonts w:ascii="宋体" w:hAnsi="宋体" w:cs="宋体" w:eastAsia="宋体"/>
                <w:b w:val="false"/>
              </w:rPr>
              <w:t>5.12</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 xml:space="preserve">      资产支持证券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pPr>
            <w:r>
              <w:rPr>
                <w:rFonts w:ascii="宋体" w:hAnsi="宋体" w:cs="宋体" w:eastAsia="宋体"/>
                <w:b w:val="false"/>
              </w:rPr>
              <w:t>贵金属投资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金融衍生品投资</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其中：买断式回购的买入返售金融资产</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银行存款和结算备付金合计</w:t>
            </w:r>
          </w:p>
        </w:tc>
        <w:tc>
          <w:tcPr>
            <w:tcW/>
            <w:vAlign w:val="center"/>
          </w:tcPr>
          <w:p>
            <w:pPr>
              <w:spacing w:line="240" w:lineRule="auto"/>
              <w:jc w:val="right"/>
            </w:pPr>
            <w:r>
              <w:rPr>
                <w:rFonts w:ascii="宋体" w:hAnsi="宋体" w:cs="宋体" w:eastAsia="宋体"/>
                <w:b w:val="false"/>
              </w:rPr>
              <w:t>2,632,184.63</w:t>
            </w:r>
          </w:p>
        </w:tc>
        <w:tc>
          <w:tcPr>
            <w:tcW/>
            <w:vAlign w:val="center"/>
          </w:tcPr>
          <w:p>
            <w:pPr>
              <w:spacing w:line="240" w:lineRule="auto"/>
              <w:jc w:val="right"/>
            </w:pPr>
            <w:r>
              <w:rPr>
                <w:rFonts w:ascii="宋体" w:hAnsi="宋体" w:cs="宋体" w:eastAsia="宋体"/>
                <w:b w:val="false"/>
              </w:rPr>
              <w:t>1.65</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其他资产</w:t>
            </w:r>
          </w:p>
        </w:tc>
        <w:tc>
          <w:tcPr>
            <w:tcW/>
            <w:vAlign w:val="center"/>
          </w:tcPr>
          <w:p>
            <w:pPr>
              <w:spacing w:line="240" w:lineRule="auto"/>
              <w:jc w:val="right"/>
            </w:pPr>
            <w:r>
              <w:rPr>
                <w:rFonts w:ascii="宋体" w:hAnsi="宋体" w:cs="宋体" w:eastAsia="宋体"/>
                <w:b w:val="false"/>
              </w:rPr>
              <w:t>15,070,972.19</w:t>
            </w:r>
          </w:p>
        </w:tc>
        <w:tc>
          <w:tcPr>
            <w:tcW/>
            <w:vAlign w:val="center"/>
          </w:tcPr>
          <w:p>
            <w:pPr>
              <w:spacing w:line="240" w:lineRule="auto"/>
              <w:jc w:val="right"/>
            </w:pPr>
            <w:r>
              <w:rPr>
                <w:rFonts w:ascii="宋体" w:hAnsi="宋体" w:cs="宋体" w:eastAsia="宋体"/>
                <w:b w:val="false"/>
              </w:rPr>
              <w:t>9.46</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159,263,878.03</w:t>
            </w:r>
          </w:p>
        </w:tc>
        <w:tc>
          <w:tcPr>
            <w:tcW/>
            <w:vAlign w:val="center"/>
          </w:tcPr>
          <w:p>
            <w:pPr>
              <w:spacing w:line="240" w:lineRule="auto"/>
              <w:jc w:val="right"/>
            </w:pPr>
            <w:r>
              <w:rPr>
                <w:rFonts w:ascii="宋体" w:hAnsi="宋体" w:cs="宋体" w:eastAsia="宋体"/>
                <w:b w:val="false"/>
              </w:rPr>
              <w:t>100.00</w:t>
            </w:r>
          </w:p>
        </w:tc>
      </w:tr>
    </w:tbl>
    <w:p>
      <w:r>
        <w:rPr>
          <w:rFonts w:ascii="宋体" w:hAnsi="宋体" w:cs="宋体" w:eastAsia="宋体"/>
          <w:b w:val="false"/>
        </w:rPr>
        <w:t>注：报告期末本基金通过港股通交易机制投资的港股公允价值合计63,183,681.26元，占基金资产净值的比例为40.80%。</w:t>
      </w:r>
    </w:p>
    <w:p/>
    <w:p>
      <w:pPr>
        <w:pStyle w:val="2"/>
        <w:jc w:val="left"/>
      </w:pPr>
      <w:r>
        <w:rPr>
          <w:rFonts w:ascii="宋体" w:hAnsi="宋体" w:cs="宋体" w:eastAsia="宋体"/>
        </w:rPr>
        <w:t>5.2 报告期末按行业分类的股票投资组合</w:t>
      </w:r>
    </w:p>
    <w:p>
      <w:pPr>
        <w:pStyle w:val="zhangjiep2"/>
      </w:pPr>
      <w:r>
        <w:rPr>
          <w:rStyle w:val="正文"/>
          <w:rFonts w:ascii="宋体" w:hAnsi="宋体" w:cs="宋体" w:eastAsia="宋体"/>
          <w:b w:val="true"/>
        </w:rPr>
        <w:t>5.2.1 报告期末按行业分类的境内股票投资组合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代码</w:t>
            </w:r>
          </w:p>
        </w:tc>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A</w:t>
            </w:r>
          </w:p>
        </w:tc>
        <w:tc>
          <w:tcPr>
            <w:tcW/>
            <w:vAlign w:val="center"/>
          </w:tcPr>
          <w:p>
            <w:pPr>
              <w:spacing w:line="240" w:lineRule="auto"/>
              <w:jc w:val="left"/>
            </w:pPr>
            <w:r>
              <w:rPr>
                <w:rFonts w:ascii="宋体" w:hAnsi="宋体" w:cs="宋体" w:eastAsia="宋体"/>
                <w:b w:val="false"/>
              </w:rPr>
              <w:t>农、林、牧、渔业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B</w:t>
            </w:r>
          </w:p>
        </w:tc>
        <w:tc>
          <w:tcPr>
            <w:tcW/>
            <w:vAlign w:val="center"/>
          </w:tcPr>
          <w:p>
            <w:pPr>
              <w:spacing w:line="240" w:lineRule="auto"/>
              <w:jc w:val="left"/>
            </w:pPr>
            <w:r>
              <w:rPr>
                <w:rFonts w:ascii="宋体" w:hAnsi="宋体" w:cs="宋体" w:eastAsia="宋体"/>
                <w:b w:val="false"/>
              </w:rPr>
              <w:t>采矿业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C</w:t>
            </w:r>
          </w:p>
        </w:tc>
        <w:tc>
          <w:tcPr>
            <w:tcW/>
            <w:vAlign w:val="center"/>
          </w:tcPr>
          <w:p>
            <w:pPr>
              <w:spacing w:line="240" w:lineRule="auto"/>
              <w:jc w:val="left"/>
            </w:pPr>
            <w:r>
              <w:rPr>
                <w:rFonts w:ascii="宋体" w:hAnsi="宋体" w:cs="宋体" w:eastAsia="宋体"/>
                <w:b w:val="false"/>
              </w:rPr>
              <w:t>制造业</w:t>
            </w:r>
          </w:p>
        </w:tc>
        <w:tc>
          <w:tcPr>
            <w:tcW/>
            <w:vAlign w:val="center"/>
          </w:tcPr>
          <w:p>
            <w:pPr>
              <w:spacing w:line="240" w:lineRule="auto"/>
              <w:jc w:val="right"/>
            </w:pPr>
            <w:r>
              <w:rPr>
                <w:rFonts w:ascii="宋体" w:hAnsi="宋体" w:cs="宋体" w:eastAsia="宋体"/>
                <w:b w:val="false"/>
              </w:rPr>
              <w:t>70,224,054.88</w:t>
            </w:r>
          </w:p>
        </w:tc>
        <w:tc>
          <w:tcPr>
            <w:tcW/>
            <w:vAlign w:val="center"/>
          </w:tcPr>
          <w:p>
            <w:pPr>
              <w:spacing w:line="240" w:lineRule="auto"/>
              <w:jc w:val="right"/>
            </w:pPr>
            <w:r>
              <w:rPr>
                <w:rFonts w:ascii="宋体" w:hAnsi="宋体" w:cs="宋体" w:eastAsia="宋体"/>
                <w:b w:val="false"/>
              </w:rPr>
              <w:t>45.35</w:t>
            </w:r>
          </w:p>
        </w:tc>
      </w:tr>
      <w:tr>
        <w:tc>
          <w:tcPr>
            <w:tcW/>
            <w:vAlign w:val="center"/>
          </w:tcPr>
          <w:p>
            <w:pPr>
              <w:spacing w:line="240" w:lineRule="auto"/>
              <w:jc w:val="center"/>
            </w:pPr>
            <w:r>
              <w:rPr>
                <w:rFonts w:ascii="宋体" w:hAnsi="宋体" w:cs="宋体" w:eastAsia="宋体"/>
                <w:b w:val="false"/>
              </w:rPr>
              <w:t>D</w:t>
            </w:r>
          </w:p>
        </w:tc>
        <w:tc>
          <w:tcPr>
            <w:tcW/>
            <w:vAlign w:val="center"/>
          </w:tcPr>
          <w:p>
            <w:pPr>
              <w:spacing w:line="240" w:lineRule="auto"/>
              <w:jc w:val="left"/>
            </w:pPr>
            <w:r>
              <w:rPr>
                <w:rFonts w:ascii="宋体" w:hAnsi="宋体" w:cs="宋体" w:eastAsia="宋体"/>
                <w:b w:val="false"/>
              </w:rPr>
              <w:t>电力、热力、燃气及水生产和供应业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E</w:t>
            </w:r>
          </w:p>
        </w:tc>
        <w:tc>
          <w:tcPr>
            <w:tcW/>
            <w:vAlign w:val="center"/>
          </w:tcPr>
          <w:p>
            <w:pPr>
              <w:spacing w:line="240" w:lineRule="auto"/>
              <w:jc w:val="left"/>
            </w:pPr>
            <w:r>
              <w:rPr>
                <w:rFonts w:ascii="宋体" w:hAnsi="宋体" w:cs="宋体" w:eastAsia="宋体"/>
                <w:b w:val="false"/>
              </w:rPr>
              <w:t>建筑业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F</w:t>
            </w:r>
          </w:p>
        </w:tc>
        <w:tc>
          <w:tcPr>
            <w:tcW/>
            <w:vAlign w:val="center"/>
          </w:tcPr>
          <w:p>
            <w:pPr>
              <w:spacing w:line="240" w:lineRule="auto"/>
              <w:jc w:val="left"/>
            </w:pPr>
            <w:r>
              <w:rPr>
                <w:rFonts w:ascii="宋体" w:hAnsi="宋体" w:cs="宋体" w:eastAsia="宋体"/>
                <w:b w:val="false"/>
              </w:rPr>
              <w:t>批发和零售业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G</w:t>
            </w:r>
          </w:p>
        </w:tc>
        <w:tc>
          <w:tcPr>
            <w:tcW/>
            <w:vAlign w:val="center"/>
          </w:tcPr>
          <w:p>
            <w:pPr>
              <w:spacing w:line="240" w:lineRule="auto"/>
              <w:jc w:val="left"/>
            </w:pPr>
            <w:r>
              <w:rPr>
                <w:rFonts w:ascii="宋体" w:hAnsi="宋体" w:cs="宋体" w:eastAsia="宋体"/>
                <w:b w:val="false"/>
              </w:rPr>
              <w:t>交通运输、仓储和邮政业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H</w:t>
            </w:r>
          </w:p>
        </w:tc>
        <w:tc>
          <w:tcPr>
            <w:tcW/>
            <w:vAlign w:val="center"/>
          </w:tcPr>
          <w:p>
            <w:pPr>
              <w:spacing w:line="240" w:lineRule="auto"/>
              <w:jc w:val="left"/>
            </w:pPr>
            <w:r>
              <w:rPr>
                <w:rFonts w:ascii="宋体" w:hAnsi="宋体" w:cs="宋体" w:eastAsia="宋体"/>
                <w:b w:val="false"/>
              </w:rPr>
              <w:t>住宿和餐饮业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I</w:t>
            </w:r>
          </w:p>
        </w:tc>
        <w:tc>
          <w:tcPr>
            <w:tcW/>
            <w:vAlign w:val="center"/>
          </w:tcPr>
          <w:p>
            <w:pPr>
              <w:spacing w:line="240" w:lineRule="auto"/>
              <w:jc w:val="left"/>
            </w:pPr>
            <w:r>
              <w:rPr>
                <w:rFonts w:ascii="宋体" w:hAnsi="宋体" w:cs="宋体" w:eastAsia="宋体"/>
                <w:b w:val="false"/>
              </w:rPr>
              <w:t>信息传输、软件和信息技术服务业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J</w:t>
            </w:r>
          </w:p>
        </w:tc>
        <w:tc>
          <w:tcPr>
            <w:tcW/>
            <w:vAlign w:val="center"/>
          </w:tcPr>
          <w:p>
            <w:pPr>
              <w:spacing w:line="240" w:lineRule="auto"/>
              <w:jc w:val="left"/>
            </w:pPr>
            <w:r>
              <w:rPr>
                <w:rFonts w:ascii="宋体" w:hAnsi="宋体" w:cs="宋体" w:eastAsia="宋体"/>
                <w:b w:val="false"/>
              </w:rPr>
              <w:t>金融业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K</w:t>
            </w:r>
          </w:p>
        </w:tc>
        <w:tc>
          <w:tcPr>
            <w:tcW/>
            <w:vAlign w:val="center"/>
          </w:tcPr>
          <w:p>
            <w:pPr>
              <w:spacing w:line="240" w:lineRule="auto"/>
              <w:jc w:val="left"/>
            </w:pPr>
            <w:r>
              <w:rPr>
                <w:rFonts w:ascii="宋体" w:hAnsi="宋体" w:cs="宋体" w:eastAsia="宋体"/>
                <w:b w:val="false"/>
              </w:rPr>
              <w:t>房地产业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L</w:t>
            </w:r>
          </w:p>
        </w:tc>
        <w:tc>
          <w:tcPr>
            <w:tcW/>
            <w:vAlign w:val="center"/>
          </w:tcPr>
          <w:p>
            <w:pPr>
              <w:spacing w:line="240" w:lineRule="auto"/>
              <w:jc w:val="left"/>
            </w:pPr>
            <w:r>
              <w:rPr>
                <w:rFonts w:ascii="宋体" w:hAnsi="宋体" w:cs="宋体" w:eastAsia="宋体"/>
                <w:b w:val="false"/>
              </w:rPr>
              <w:t>租赁和商务服务业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M</w:t>
            </w:r>
          </w:p>
        </w:tc>
        <w:tc>
          <w:tcPr>
            <w:tcW/>
            <w:vAlign w:val="center"/>
          </w:tcPr>
          <w:p>
            <w:pPr>
              <w:spacing w:line="240" w:lineRule="auto"/>
              <w:jc w:val="left"/>
            </w:pPr>
            <w:r>
              <w:rPr>
                <w:rFonts w:ascii="宋体" w:hAnsi="宋体" w:cs="宋体" w:eastAsia="宋体"/>
                <w:b w:val="false"/>
              </w:rPr>
              <w:t>科学研究和技术服务业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N</w:t>
            </w:r>
          </w:p>
        </w:tc>
        <w:tc>
          <w:tcPr>
            <w:tcW/>
            <w:vAlign w:val="center"/>
          </w:tcPr>
          <w:p>
            <w:pPr>
              <w:spacing w:line="240" w:lineRule="auto"/>
              <w:jc w:val="left"/>
            </w:pPr>
            <w:r>
              <w:rPr>
                <w:rFonts w:ascii="宋体" w:hAnsi="宋体" w:cs="宋体" w:eastAsia="宋体"/>
                <w:b w:val="false"/>
              </w:rPr>
              <w:t>水利、环境和公共设施管理业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O</w:t>
            </w:r>
          </w:p>
        </w:tc>
        <w:tc>
          <w:tcPr>
            <w:tcW/>
            <w:vAlign w:val="center"/>
          </w:tcPr>
          <w:p>
            <w:pPr>
              <w:spacing w:line="240" w:lineRule="auto"/>
              <w:jc w:val="left"/>
            </w:pPr>
            <w:r>
              <w:rPr>
                <w:rFonts w:ascii="宋体" w:hAnsi="宋体" w:cs="宋体" w:eastAsia="宋体"/>
                <w:b w:val="false"/>
              </w:rPr>
              <w:t>居民服务、修理和其他服务业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P</w:t>
            </w:r>
          </w:p>
        </w:tc>
        <w:tc>
          <w:tcPr>
            <w:tcW/>
            <w:vAlign w:val="center"/>
          </w:tcPr>
          <w:p>
            <w:pPr>
              <w:spacing w:line="240" w:lineRule="auto"/>
              <w:jc w:val="left"/>
            </w:pPr>
            <w:r>
              <w:rPr>
                <w:rFonts w:ascii="宋体" w:hAnsi="宋体" w:cs="宋体" w:eastAsia="宋体"/>
                <w:b w:val="false"/>
              </w:rPr>
              <w:t>教育</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Q</w:t>
            </w:r>
          </w:p>
        </w:tc>
        <w:tc>
          <w:tcPr>
            <w:tcW/>
            <w:vAlign w:val="center"/>
          </w:tcPr>
          <w:p>
            <w:pPr>
              <w:spacing w:line="240" w:lineRule="auto"/>
              <w:jc w:val="left"/>
            </w:pPr>
            <w:r>
              <w:rPr>
                <w:rFonts w:ascii="宋体" w:hAnsi="宋体" w:cs="宋体" w:eastAsia="宋体"/>
                <w:b w:val="false"/>
              </w:rPr>
              <w:t>卫生和社会工作</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R</w:t>
            </w:r>
          </w:p>
        </w:tc>
        <w:tc>
          <w:tcPr>
            <w:tcW/>
            <w:vAlign w:val="center"/>
          </w:tcPr>
          <w:p>
            <w:pPr>
              <w:spacing w:line="240" w:lineRule="auto"/>
              <w:jc w:val="left"/>
            </w:pPr>
            <w:r>
              <w:rPr>
                <w:rFonts w:ascii="宋体" w:hAnsi="宋体" w:cs="宋体" w:eastAsia="宋体"/>
                <w:b w:val="false"/>
              </w:rPr>
              <w:t>文化、体育和娱乐业</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S</w:t>
            </w:r>
          </w:p>
        </w:tc>
        <w:tc>
          <w:tcPr>
            <w:tcW/>
            <w:vAlign w:val="center"/>
          </w:tcPr>
          <w:p>
            <w:pPr>
              <w:spacing w:line="240" w:lineRule="auto"/>
              <w:jc w:val="left"/>
            </w:pPr>
            <w:r>
              <w:rPr>
                <w:rFonts w:ascii="宋体" w:hAnsi="宋体" w:cs="宋体" w:eastAsia="宋体"/>
                <w:b w:val="false"/>
              </w:rPr>
              <w:t>综合</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70,224,054.88</w:t>
            </w:r>
          </w:p>
        </w:tc>
        <w:tc>
          <w:tcPr>
            <w:tcW/>
            <w:vAlign w:val="center"/>
          </w:tcPr>
          <w:p>
            <w:pPr>
              <w:spacing w:line="240" w:lineRule="auto"/>
              <w:jc w:val="right"/>
            </w:pPr>
            <w:r>
              <w:rPr>
                <w:rFonts w:ascii="宋体" w:hAnsi="宋体" w:cs="宋体" w:eastAsia="宋体"/>
                <w:b w:val="false"/>
              </w:rPr>
              <w:t>45.35</w:t>
            </w:r>
          </w:p>
        </w:tc>
      </w:tr>
    </w:tbl>
    <w:p/>
    <w:p>
      <w:pPr>
        <w:pStyle w:val="zhangjiep2"/>
      </w:pPr>
      <w:r>
        <w:rPr>
          <w:rStyle w:val="正文"/>
          <w:rFonts w:ascii="宋体" w:hAnsi="宋体" w:cs="宋体" w:eastAsia="宋体"/>
          <w:b w:val="true"/>
        </w:rPr>
        <w:t>5.2.2 报告期末按行业分类的港股通投资股票投资组合</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1538"/>
            <w:vAlign w:val="center"/>
          </w:tcPr>
          <w:tcPr>
            <w:shd w:fill="d9d9d9"/>
          </w:tcPr>
          <w:p>
            <w:pPr>
              <w:spacing w:line="240" w:lineRule="auto"/>
              <w:jc w:val="center"/>
            </w:pPr>
            <w:r>
              <w:rPr>
                <w:rFonts w:ascii="宋体" w:hAnsi="宋体" w:cs="宋体" w:eastAsia="宋体"/>
                <w:b w:val="false"/>
              </w:rPr>
              <w:t>行业类别</w:t>
            </w:r>
          </w:p>
        </w:tc>
        <w:tc>
          <w:tcPr>
            <w:tcW w:type="pct" w:w="1538"/>
            <w:vAlign w:val="center"/>
          </w:tcPr>
          <w:tcPr>
            <w:shd w:fill="d9d9d9"/>
          </w:tcPr>
          <w:p>
            <w:pPr>
              <w:spacing w:line="240" w:lineRule="auto"/>
              <w:jc w:val="center"/>
            </w:pPr>
            <w:r>
              <w:rPr>
                <w:rFonts w:ascii="宋体" w:hAnsi="宋体" w:cs="宋体" w:eastAsia="宋体"/>
                <w:b w:val="false"/>
              </w:rPr>
              <w:t>公允价值（人民币）</w:t>
            </w:r>
          </w:p>
        </w:tc>
        <w:tc>
          <w:tcPr>
            <w:tcW w:type="pct" w:w="1538"/>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left"/>
            </w:pPr>
            <w:r>
              <w:rPr>
                <w:rFonts w:ascii="宋体" w:hAnsi="宋体" w:cs="宋体" w:eastAsia="宋体"/>
                <w:b w:val="false"/>
              </w:rPr>
              <w:t>医疗保健</w:t>
            </w:r>
          </w:p>
        </w:tc>
        <w:tc>
          <w:tcPr>
            <w:tcW/>
            <w:vAlign w:val="center"/>
          </w:tcPr>
          <w:p>
            <w:pPr>
              <w:spacing w:line="240" w:lineRule="auto"/>
              <w:jc w:val="right"/>
            </w:pPr>
            <w:r>
              <w:rPr>
                <w:rFonts w:ascii="宋体" w:hAnsi="宋体" w:cs="宋体" w:eastAsia="宋体"/>
                <w:b w:val="false"/>
              </w:rPr>
              <w:t>63,183,681.26</w:t>
            </w:r>
          </w:p>
        </w:tc>
        <w:tc>
          <w:tcPr>
            <w:tcW/>
            <w:vAlign w:val="center"/>
          </w:tcPr>
          <w:p>
            <w:pPr>
              <w:spacing w:line="240" w:lineRule="auto"/>
              <w:jc w:val="right"/>
            </w:pPr>
            <w:r>
              <w:rPr>
                <w:rFonts w:ascii="宋体" w:hAnsi="宋体" w:cs="宋体" w:eastAsia="宋体"/>
                <w:b w:val="false"/>
              </w:rPr>
              <w:t>40.80</w:t>
            </w:r>
          </w:p>
        </w:tc>
      </w:tr>
      <w:tr>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63,183,681.26</w:t>
            </w:r>
          </w:p>
        </w:tc>
        <w:tc>
          <w:tcPr>
            <w:tcW/>
            <w:vAlign w:val="center"/>
          </w:tcPr>
          <w:p>
            <w:pPr>
              <w:spacing w:line="240" w:lineRule="auto"/>
              <w:jc w:val="right"/>
            </w:pPr>
            <w:r>
              <w:rPr>
                <w:rFonts w:ascii="宋体" w:hAnsi="宋体" w:cs="宋体" w:eastAsia="宋体"/>
                <w:b w:val="false"/>
              </w:rPr>
              <w:t>40.80</w:t>
            </w:r>
          </w:p>
        </w:tc>
      </w:tr>
    </w:tbl>
    <w:p/>
    <w:p>
      <w:pPr>
        <w:pStyle w:val="2"/>
        <w:jc w:val="left"/>
      </w:pPr>
      <w:r>
        <w:rPr>
          <w:rFonts w:ascii="宋体" w:hAnsi="宋体" w:cs="宋体" w:eastAsia="宋体"/>
        </w:rPr>
        <w:t>5.3 报告期末按公允价值占基金资产净值比例大小排序的前十名股票投资明细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股票代码</w:t>
            </w:r>
          </w:p>
        </w:tc>
        <w:tc>
          <w:tcPr>
            <w:tcW w:type="pct" w:w="769"/>
            <w:vAlign w:val="center"/>
          </w:tcPr>
          <w:tcPr>
            <w:shd w:fill="d9d9d9"/>
          </w:tcPr>
          <w:p>
            <w:pPr>
              <w:spacing w:line="240" w:lineRule="auto"/>
              <w:jc w:val="center"/>
            </w:pPr>
            <w:r>
              <w:rPr>
                <w:rFonts w:ascii="宋体" w:hAnsi="宋体" w:cs="宋体" w:eastAsia="宋体"/>
                <w:b w:val="false"/>
              </w:rPr>
              <w:t>股票名称</w:t>
            </w:r>
          </w:p>
        </w:tc>
        <w:tc>
          <w:tcPr>
            <w:tcW w:type="pct" w:w="615"/>
            <w:vAlign w:val="center"/>
          </w:tcPr>
          <w:tcPr>
            <w:shd w:fill="d9d9d9"/>
          </w:tcPr>
          <w:p>
            <w:pPr>
              <w:spacing w:line="240" w:lineRule="auto"/>
              <w:jc w:val="center"/>
            </w:pPr>
            <w:r>
              <w:rPr>
                <w:rFonts w:ascii="宋体" w:hAnsi="宋体" w:cs="宋体" w:eastAsia="宋体"/>
                <w:b w:val="false"/>
              </w:rPr>
              <w:t>数量(股)</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002294</w:t>
            </w:r>
          </w:p>
        </w:tc>
        <w:tc>
          <w:tcPr>
            <w:tcW/>
            <w:vAlign w:val="center"/>
          </w:tcPr>
          <w:p>
            <w:pPr>
              <w:spacing w:line="240" w:lineRule="auto"/>
              <w:jc w:val="left"/>
            </w:pPr>
            <w:r>
              <w:rPr>
                <w:rFonts w:ascii="宋体" w:hAnsi="宋体" w:cs="宋体" w:eastAsia="宋体"/>
                <w:b w:val="false"/>
              </w:rPr>
              <w:t>信立泰</w:t>
            </w:r>
          </w:p>
        </w:tc>
        <w:tc>
          <w:tcPr>
            <w:tcW/>
            <w:vAlign w:val="center"/>
          </w:tcPr>
          <w:p>
            <w:pPr>
              <w:spacing w:line="240" w:lineRule="auto"/>
              <w:jc w:val="right"/>
            </w:pPr>
            <w:r>
              <w:rPr>
                <w:rFonts w:ascii="宋体" w:hAnsi="宋体" w:cs="宋体" w:eastAsia="宋体"/>
                <w:b w:val="false"/>
              </w:rPr>
              <w:t>222,800</w:t>
            </w:r>
          </w:p>
        </w:tc>
        <w:tc>
          <w:tcPr>
            <w:tcW/>
            <w:vAlign w:val="center"/>
          </w:tcPr>
          <w:p>
            <w:pPr>
              <w:spacing w:line="240" w:lineRule="auto"/>
              <w:jc w:val="right"/>
            </w:pPr>
            <w:r>
              <w:rPr>
                <w:rFonts w:ascii="宋体" w:hAnsi="宋体" w:cs="宋体" w:eastAsia="宋体"/>
                <w:b w:val="false"/>
              </w:rPr>
              <w:t>13,659,868.00</w:t>
            </w:r>
          </w:p>
        </w:tc>
        <w:tc>
          <w:tcPr>
            <w:tcW/>
            <w:vAlign w:val="center"/>
          </w:tcPr>
          <w:p>
            <w:pPr>
              <w:spacing w:line="240" w:lineRule="auto"/>
              <w:jc w:val="right"/>
            </w:pPr>
            <w:r>
              <w:rPr>
                <w:rFonts w:ascii="宋体" w:hAnsi="宋体" w:cs="宋体" w:eastAsia="宋体"/>
                <w:b w:val="false"/>
              </w:rPr>
              <w:t>8.82</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01801</w:t>
            </w:r>
          </w:p>
        </w:tc>
        <w:tc>
          <w:tcPr>
            <w:tcW/>
            <w:vAlign w:val="center"/>
          </w:tcPr>
          <w:p>
            <w:pPr>
              <w:spacing w:line="240" w:lineRule="auto"/>
              <w:jc w:val="left"/>
            </w:pPr>
            <w:r>
              <w:rPr>
                <w:rFonts w:ascii="宋体" w:hAnsi="宋体" w:cs="宋体" w:eastAsia="宋体"/>
                <w:b w:val="false"/>
              </w:rPr>
              <w:t>信达生物</w:t>
            </w:r>
          </w:p>
        </w:tc>
        <w:tc>
          <w:tcPr>
            <w:tcW/>
            <w:vAlign w:val="center"/>
          </w:tcPr>
          <w:p>
            <w:pPr>
              <w:spacing w:line="240" w:lineRule="auto"/>
              <w:jc w:val="right"/>
            </w:pPr>
            <w:r>
              <w:rPr>
                <w:rFonts w:ascii="宋体" w:hAnsi="宋体" w:cs="宋体" w:eastAsia="宋体"/>
                <w:b w:val="false"/>
              </w:rPr>
              <w:t>174,500</w:t>
            </w:r>
          </w:p>
        </w:tc>
        <w:tc>
          <w:tcPr>
            <w:tcW/>
            <w:vAlign w:val="center"/>
          </w:tcPr>
          <w:p>
            <w:pPr>
              <w:spacing w:line="240" w:lineRule="auto"/>
              <w:jc w:val="right"/>
            </w:pPr>
            <w:r>
              <w:rPr>
                <w:rFonts w:ascii="宋体" w:hAnsi="宋体" w:cs="宋体" w:eastAsia="宋体"/>
                <w:b w:val="false"/>
              </w:rPr>
              <w:t>13,080,948.40</w:t>
            </w:r>
          </w:p>
        </w:tc>
        <w:tc>
          <w:tcPr>
            <w:tcW/>
            <w:vAlign w:val="center"/>
          </w:tcPr>
          <w:p>
            <w:pPr>
              <w:spacing w:line="240" w:lineRule="auto"/>
              <w:jc w:val="right"/>
            </w:pPr>
            <w:r>
              <w:rPr>
                <w:rFonts w:ascii="宋体" w:hAnsi="宋体" w:cs="宋体" w:eastAsia="宋体"/>
                <w:b w:val="false"/>
              </w:rPr>
              <w:t>8.45</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06990</w:t>
            </w:r>
          </w:p>
        </w:tc>
        <w:tc>
          <w:tcPr>
            <w:tcW/>
            <w:vAlign w:val="center"/>
          </w:tcPr>
          <w:p>
            <w:pPr>
              <w:spacing w:line="240" w:lineRule="auto"/>
              <w:jc w:val="left"/>
            </w:pPr>
            <w:r>
              <w:rPr>
                <w:rFonts w:ascii="宋体" w:hAnsi="宋体" w:cs="宋体" w:eastAsia="宋体"/>
                <w:b w:val="false"/>
              </w:rPr>
              <w:t>科伦博泰生物－Ｂ</w:t>
            </w:r>
          </w:p>
        </w:tc>
        <w:tc>
          <w:tcPr>
            <w:tcW/>
            <w:vAlign w:val="center"/>
          </w:tcPr>
          <w:p>
            <w:pPr>
              <w:spacing w:line="240" w:lineRule="auto"/>
              <w:jc w:val="right"/>
            </w:pPr>
            <w:r>
              <w:rPr>
                <w:rFonts w:ascii="宋体" w:hAnsi="宋体" w:cs="宋体" w:eastAsia="宋体"/>
                <w:b w:val="false"/>
              </w:rPr>
              <w:t>31,600</w:t>
            </w:r>
          </w:p>
        </w:tc>
        <w:tc>
          <w:tcPr>
            <w:tcW/>
            <w:vAlign w:val="center"/>
          </w:tcPr>
          <w:p>
            <w:pPr>
              <w:spacing w:line="240" w:lineRule="auto"/>
              <w:jc w:val="right"/>
            </w:pPr>
            <w:r>
              <w:rPr>
                <w:rFonts w:ascii="宋体" w:hAnsi="宋体" w:cs="宋体" w:eastAsia="宋体"/>
                <w:b w:val="false"/>
              </w:rPr>
              <w:t>12,834,561.20</w:t>
            </w:r>
          </w:p>
        </w:tc>
        <w:tc>
          <w:tcPr>
            <w:tcW/>
            <w:vAlign w:val="center"/>
          </w:tcPr>
          <w:p>
            <w:pPr>
              <w:spacing w:line="240" w:lineRule="auto"/>
              <w:jc w:val="right"/>
            </w:pPr>
            <w:r>
              <w:rPr>
                <w:rFonts w:ascii="宋体" w:hAnsi="宋体" w:cs="宋体" w:eastAsia="宋体"/>
                <w:b w:val="false"/>
              </w:rPr>
              <w:t>8.29</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688266</w:t>
            </w:r>
          </w:p>
        </w:tc>
        <w:tc>
          <w:tcPr>
            <w:tcW/>
            <w:vAlign w:val="center"/>
          </w:tcPr>
          <w:p>
            <w:pPr>
              <w:spacing w:line="240" w:lineRule="auto"/>
              <w:jc w:val="left"/>
            </w:pPr>
            <w:r>
              <w:rPr>
                <w:rFonts w:ascii="宋体" w:hAnsi="宋体" w:cs="宋体" w:eastAsia="宋体"/>
                <w:b w:val="false"/>
              </w:rPr>
              <w:t>泽璟制药</w:t>
            </w:r>
          </w:p>
        </w:tc>
        <w:tc>
          <w:tcPr>
            <w:tcW/>
            <w:vAlign w:val="center"/>
          </w:tcPr>
          <w:p>
            <w:pPr>
              <w:spacing w:line="240" w:lineRule="auto"/>
              <w:jc w:val="right"/>
            </w:pPr>
            <w:r>
              <w:rPr>
                <w:rFonts w:ascii="宋体" w:hAnsi="宋体" w:cs="宋体" w:eastAsia="宋体"/>
                <w:b w:val="false"/>
              </w:rPr>
              <w:t>119,661</w:t>
            </w:r>
          </w:p>
        </w:tc>
        <w:tc>
          <w:tcPr>
            <w:tcW/>
            <w:vAlign w:val="center"/>
          </w:tcPr>
          <w:p>
            <w:pPr>
              <w:spacing w:line="240" w:lineRule="auto"/>
              <w:jc w:val="right"/>
            </w:pPr>
            <w:r>
              <w:rPr>
                <w:rFonts w:ascii="宋体" w:hAnsi="宋体" w:cs="宋体" w:eastAsia="宋体"/>
                <w:b w:val="false"/>
              </w:rPr>
              <w:t>11,822,506.80</w:t>
            </w:r>
          </w:p>
        </w:tc>
        <w:tc>
          <w:tcPr>
            <w:tcW/>
            <w:vAlign w:val="center"/>
          </w:tcPr>
          <w:p>
            <w:pPr>
              <w:spacing w:line="240" w:lineRule="auto"/>
              <w:jc w:val="right"/>
            </w:pPr>
            <w:r>
              <w:rPr>
                <w:rFonts w:ascii="宋体" w:hAnsi="宋体" w:cs="宋体" w:eastAsia="宋体"/>
                <w:b w:val="false"/>
              </w:rPr>
              <w:t>7.63</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09926</w:t>
            </w:r>
          </w:p>
        </w:tc>
        <w:tc>
          <w:tcPr>
            <w:tcW/>
            <w:vAlign w:val="center"/>
          </w:tcPr>
          <w:p>
            <w:pPr>
              <w:spacing w:line="240" w:lineRule="auto"/>
              <w:jc w:val="left"/>
            </w:pPr>
            <w:r>
              <w:rPr>
                <w:rFonts w:ascii="宋体" w:hAnsi="宋体" w:cs="宋体" w:eastAsia="宋体"/>
                <w:b w:val="false"/>
              </w:rPr>
              <w:t>康方生物</w:t>
            </w:r>
          </w:p>
        </w:tc>
        <w:tc>
          <w:tcPr>
            <w:tcW/>
            <w:vAlign w:val="center"/>
          </w:tcPr>
          <w:p>
            <w:pPr>
              <w:spacing w:line="240" w:lineRule="auto"/>
              <w:jc w:val="right"/>
            </w:pPr>
            <w:r>
              <w:rPr>
                <w:rFonts w:ascii="宋体" w:hAnsi="宋体" w:cs="宋体" w:eastAsia="宋体"/>
                <w:b w:val="false"/>
              </w:rPr>
              <w:t>101,000</w:t>
            </w:r>
          </w:p>
        </w:tc>
        <w:tc>
          <w:tcPr>
            <w:tcW/>
            <w:vAlign w:val="center"/>
          </w:tcPr>
          <w:p>
            <w:pPr>
              <w:spacing w:line="240" w:lineRule="auto"/>
              <w:jc w:val="right"/>
            </w:pPr>
            <w:r>
              <w:rPr>
                <w:rFonts w:ascii="宋体" w:hAnsi="宋体" w:cs="宋体" w:eastAsia="宋体"/>
                <w:b w:val="false"/>
              </w:rPr>
              <w:t>11,610,969.09</w:t>
            </w:r>
          </w:p>
        </w:tc>
        <w:tc>
          <w:tcPr>
            <w:tcW/>
            <w:vAlign w:val="center"/>
          </w:tcPr>
          <w:p>
            <w:pPr>
              <w:spacing w:line="240" w:lineRule="auto"/>
              <w:jc w:val="right"/>
            </w:pPr>
            <w:r>
              <w:rPr>
                <w:rFonts w:ascii="宋体" w:hAnsi="宋体" w:cs="宋体" w:eastAsia="宋体"/>
                <w:b w:val="false"/>
              </w:rPr>
              <w:t>7.50</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002653</w:t>
            </w:r>
          </w:p>
        </w:tc>
        <w:tc>
          <w:tcPr>
            <w:tcW/>
            <w:vAlign w:val="center"/>
          </w:tcPr>
          <w:p>
            <w:pPr>
              <w:spacing w:line="240" w:lineRule="auto"/>
              <w:jc w:val="left"/>
            </w:pPr>
            <w:r>
              <w:rPr>
                <w:rFonts w:ascii="宋体" w:hAnsi="宋体" w:cs="宋体" w:eastAsia="宋体"/>
                <w:b w:val="false"/>
              </w:rPr>
              <w:t>海思科</w:t>
            </w:r>
          </w:p>
        </w:tc>
        <w:tc>
          <w:tcPr>
            <w:tcW/>
            <w:vAlign w:val="center"/>
          </w:tcPr>
          <w:p>
            <w:pPr>
              <w:spacing w:line="240" w:lineRule="auto"/>
              <w:jc w:val="right"/>
            </w:pPr>
            <w:r>
              <w:rPr>
                <w:rFonts w:ascii="宋体" w:hAnsi="宋体" w:cs="宋体" w:eastAsia="宋体"/>
                <w:b w:val="false"/>
              </w:rPr>
              <w:t>191,500</w:t>
            </w:r>
          </w:p>
        </w:tc>
        <w:tc>
          <w:tcPr>
            <w:tcW/>
            <w:vAlign w:val="center"/>
          </w:tcPr>
          <w:p>
            <w:pPr>
              <w:spacing w:line="240" w:lineRule="auto"/>
              <w:jc w:val="right"/>
            </w:pPr>
            <w:r>
              <w:rPr>
                <w:rFonts w:ascii="宋体" w:hAnsi="宋体" w:cs="宋体" w:eastAsia="宋体"/>
                <w:b w:val="false"/>
              </w:rPr>
              <w:t>10,394,620.00</w:t>
            </w:r>
          </w:p>
        </w:tc>
        <w:tc>
          <w:tcPr>
            <w:tcW/>
            <w:vAlign w:val="center"/>
          </w:tcPr>
          <w:p>
            <w:pPr>
              <w:spacing w:line="240" w:lineRule="auto"/>
              <w:jc w:val="right"/>
            </w:pPr>
            <w:r>
              <w:rPr>
                <w:rFonts w:ascii="宋体" w:hAnsi="宋体" w:cs="宋体" w:eastAsia="宋体"/>
                <w:b w:val="false"/>
              </w:rPr>
              <w:t>6.71</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01530</w:t>
            </w:r>
          </w:p>
        </w:tc>
        <w:tc>
          <w:tcPr>
            <w:tcW/>
            <w:vAlign w:val="center"/>
          </w:tcPr>
          <w:p>
            <w:pPr>
              <w:spacing w:line="240" w:lineRule="auto"/>
              <w:jc w:val="left"/>
            </w:pPr>
            <w:r>
              <w:rPr>
                <w:rFonts w:ascii="宋体" w:hAnsi="宋体" w:cs="宋体" w:eastAsia="宋体"/>
                <w:b w:val="false"/>
              </w:rPr>
              <w:t>三生制药</w:t>
            </w:r>
          </w:p>
        </w:tc>
        <w:tc>
          <w:tcPr>
            <w:tcW/>
            <w:vAlign w:val="center"/>
          </w:tcPr>
          <w:p>
            <w:pPr>
              <w:spacing w:line="240" w:lineRule="auto"/>
              <w:jc w:val="right"/>
            </w:pPr>
            <w:r>
              <w:rPr>
                <w:rFonts w:ascii="宋体" w:hAnsi="宋体" w:cs="宋体" w:eastAsia="宋体"/>
                <w:b w:val="false"/>
              </w:rPr>
              <w:t>434,000</w:t>
            </w:r>
          </w:p>
        </w:tc>
        <w:tc>
          <w:tcPr>
            <w:tcW/>
            <w:vAlign w:val="center"/>
          </w:tcPr>
          <w:p>
            <w:pPr>
              <w:spacing w:line="240" w:lineRule="auto"/>
              <w:jc w:val="right"/>
            </w:pPr>
            <w:r>
              <w:rPr>
                <w:rFonts w:ascii="宋体" w:hAnsi="宋体" w:cs="宋体" w:eastAsia="宋体"/>
                <w:b w:val="false"/>
              </w:rPr>
              <w:t>8,675,654.79</w:t>
            </w:r>
          </w:p>
        </w:tc>
        <w:tc>
          <w:tcPr>
            <w:tcW/>
            <w:vAlign w:val="center"/>
          </w:tcPr>
          <w:p>
            <w:pPr>
              <w:spacing w:line="240" w:lineRule="auto"/>
              <w:jc w:val="right"/>
            </w:pPr>
            <w:r>
              <w:rPr>
                <w:rFonts w:ascii="宋体" w:hAnsi="宋体" w:cs="宋体" w:eastAsia="宋体"/>
                <w:b w:val="false"/>
              </w:rPr>
              <w:t>5.60</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09606</w:t>
            </w:r>
          </w:p>
        </w:tc>
        <w:tc>
          <w:tcPr>
            <w:tcW/>
            <w:vAlign w:val="center"/>
          </w:tcPr>
          <w:p>
            <w:pPr>
              <w:spacing w:line="240" w:lineRule="auto"/>
              <w:jc w:val="left"/>
            </w:pPr>
            <w:r>
              <w:rPr>
                <w:rFonts w:ascii="宋体" w:hAnsi="宋体" w:cs="宋体" w:eastAsia="宋体"/>
                <w:b w:val="false"/>
              </w:rPr>
              <w:t>映恩生物－Ｂ</w:t>
            </w:r>
          </w:p>
        </w:tc>
        <w:tc>
          <w:tcPr>
            <w:tcW/>
            <w:vAlign w:val="center"/>
          </w:tcPr>
          <w:p>
            <w:pPr>
              <w:spacing w:line="240" w:lineRule="auto"/>
              <w:jc w:val="right"/>
            </w:pPr>
            <w:r>
              <w:rPr>
                <w:rFonts w:ascii="宋体" w:hAnsi="宋体" w:cs="宋体" w:eastAsia="宋体"/>
                <w:b w:val="false"/>
              </w:rPr>
              <w:t>33,200</w:t>
            </w:r>
          </w:p>
        </w:tc>
        <w:tc>
          <w:tcPr>
            <w:tcW/>
            <w:vAlign w:val="center"/>
          </w:tcPr>
          <w:p>
            <w:pPr>
              <w:spacing w:line="240" w:lineRule="auto"/>
              <w:jc w:val="right"/>
            </w:pPr>
            <w:r>
              <w:rPr>
                <w:rFonts w:ascii="宋体" w:hAnsi="宋体" w:cs="宋体" w:eastAsia="宋体"/>
                <w:b w:val="false"/>
              </w:rPr>
              <w:t>8,647,612.30</w:t>
            </w:r>
          </w:p>
        </w:tc>
        <w:tc>
          <w:tcPr>
            <w:tcW/>
            <w:vAlign w:val="center"/>
          </w:tcPr>
          <w:p>
            <w:pPr>
              <w:spacing w:line="240" w:lineRule="auto"/>
              <w:jc w:val="right"/>
            </w:pPr>
            <w:r>
              <w:rPr>
                <w:rFonts w:ascii="宋体" w:hAnsi="宋体" w:cs="宋体" w:eastAsia="宋体"/>
                <w:b w:val="false"/>
              </w:rPr>
              <w:t>5.58</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688506</w:t>
            </w:r>
          </w:p>
        </w:tc>
        <w:tc>
          <w:tcPr>
            <w:tcW/>
            <w:vAlign w:val="center"/>
          </w:tcPr>
          <w:p>
            <w:pPr>
              <w:spacing w:line="240" w:lineRule="auto"/>
              <w:jc w:val="left"/>
            </w:pPr>
            <w:r>
              <w:rPr>
                <w:rFonts w:ascii="宋体" w:hAnsi="宋体" w:cs="宋体" w:eastAsia="宋体"/>
                <w:b w:val="false"/>
              </w:rPr>
              <w:t>百利天恒</w:t>
            </w:r>
          </w:p>
        </w:tc>
        <w:tc>
          <w:tcPr>
            <w:tcW/>
            <w:vAlign w:val="center"/>
          </w:tcPr>
          <w:p>
            <w:pPr>
              <w:spacing w:line="240" w:lineRule="auto"/>
              <w:jc w:val="right"/>
            </w:pPr>
            <w:r>
              <w:rPr>
                <w:rFonts w:ascii="宋体" w:hAnsi="宋体" w:cs="宋体" w:eastAsia="宋体"/>
                <w:b w:val="false"/>
              </w:rPr>
              <w:t>30,400</w:t>
            </w:r>
          </w:p>
        </w:tc>
        <w:tc>
          <w:tcPr>
            <w:tcW/>
            <w:vAlign w:val="center"/>
          </w:tcPr>
          <w:p>
            <w:pPr>
              <w:spacing w:line="240" w:lineRule="auto"/>
              <w:jc w:val="right"/>
            </w:pPr>
            <w:r>
              <w:rPr>
                <w:rFonts w:ascii="宋体" w:hAnsi="宋体" w:cs="宋体" w:eastAsia="宋体"/>
                <w:b w:val="false"/>
              </w:rPr>
              <w:t>8,451,200.00</w:t>
            </w:r>
          </w:p>
        </w:tc>
        <w:tc>
          <w:tcPr>
            <w:tcW/>
            <w:vAlign w:val="center"/>
          </w:tcPr>
          <w:p>
            <w:pPr>
              <w:spacing w:line="240" w:lineRule="auto"/>
              <w:jc w:val="right"/>
            </w:pPr>
            <w:r>
              <w:rPr>
                <w:rFonts w:ascii="宋体" w:hAnsi="宋体" w:cs="宋体" w:eastAsia="宋体"/>
                <w:b w:val="false"/>
              </w:rPr>
              <w:t>5.46</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688382</w:t>
            </w:r>
          </w:p>
        </w:tc>
        <w:tc>
          <w:tcPr>
            <w:tcW/>
            <w:vAlign w:val="center"/>
          </w:tcPr>
          <w:p>
            <w:pPr>
              <w:spacing w:line="240" w:lineRule="auto"/>
              <w:jc w:val="left"/>
            </w:pPr>
            <w:r>
              <w:rPr>
                <w:rFonts w:ascii="宋体" w:hAnsi="宋体" w:cs="宋体" w:eastAsia="宋体"/>
                <w:b w:val="false"/>
              </w:rPr>
              <w:t>益方生物</w:t>
            </w:r>
          </w:p>
        </w:tc>
        <w:tc>
          <w:tcPr>
            <w:tcW/>
            <w:vAlign w:val="center"/>
          </w:tcPr>
          <w:p>
            <w:pPr>
              <w:spacing w:line="240" w:lineRule="auto"/>
              <w:jc w:val="right"/>
            </w:pPr>
            <w:r>
              <w:rPr>
                <w:rFonts w:ascii="宋体" w:hAnsi="宋体" w:cs="宋体" w:eastAsia="宋体"/>
                <w:b w:val="false"/>
              </w:rPr>
              <w:t>363,388</w:t>
            </w:r>
          </w:p>
        </w:tc>
        <w:tc>
          <w:tcPr>
            <w:tcW/>
            <w:vAlign w:val="center"/>
          </w:tcPr>
          <w:p>
            <w:pPr>
              <w:spacing w:line="240" w:lineRule="auto"/>
              <w:jc w:val="right"/>
            </w:pPr>
            <w:r>
              <w:rPr>
                <w:rFonts w:ascii="宋体" w:hAnsi="宋体" w:cs="宋体" w:eastAsia="宋体"/>
                <w:b w:val="false"/>
              </w:rPr>
              <w:t>6,911,639.76</w:t>
            </w:r>
          </w:p>
        </w:tc>
        <w:tc>
          <w:tcPr>
            <w:tcW/>
            <w:vAlign w:val="center"/>
          </w:tcPr>
          <w:p>
            <w:pPr>
              <w:spacing w:line="240" w:lineRule="auto"/>
              <w:jc w:val="right"/>
            </w:pPr>
            <w:r>
              <w:rPr>
                <w:rFonts w:ascii="宋体" w:hAnsi="宋体" w:cs="宋体" w:eastAsia="宋体"/>
                <w:b w:val="false"/>
              </w:rPr>
              <w:t>4.46</w:t>
            </w:r>
          </w:p>
        </w:tc>
      </w:tr>
    </w:tbl>
    <w:p/>
    <w:p>
      <w:pPr>
        <w:pStyle w:val="2"/>
        <w:jc w:val="left"/>
      </w:pPr>
      <w:r>
        <w:rPr>
          <w:rFonts w:ascii="宋体" w:hAnsi="宋体" w:cs="宋体" w:eastAsia="宋体"/>
        </w:rPr>
        <w:t>5.4 报告期末按债券品种分类的债券投资组合</w:t>
      </w:r>
    </w:p>
    <w:tbl>
      <w:tblPr>
        <w:tblW w:w="5000" w:type="pct"/>
        <w:tblBorders>
          <w:top w:val="single" w:sz="4"/>
          <w:left w:val="single" w:sz="4"/>
          <w:bottom w:val="single" w:sz="4"/>
          <w:right w:val="single" w:sz="4"/>
          <w:insideH w:val="single" w:sz="4"/>
          <w:insideV w:val="single" w:sz="4"/>
        </w:tblBorders>
      </w:tblPr>
      <w:tblGrid>
        <w:gridCol w:w="2266"/>
        <w:gridCol w:w="2266"/>
        <w:gridCol w:w="2266"/>
        <w:gridCol w:w="2266"/>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1538"/>
            <w:vAlign w:val="center"/>
          </w:tcPr>
          <w:tcPr>
            <w:shd w:fill="d9d9d9"/>
          </w:tcPr>
          <w:p>
            <w:pPr>
              <w:spacing w:line="240" w:lineRule="auto"/>
              <w:jc w:val="center"/>
            </w:pPr>
            <w:r>
              <w:rPr>
                <w:rFonts w:ascii="宋体" w:hAnsi="宋体" w:cs="宋体" w:eastAsia="宋体"/>
                <w:b w:val="false"/>
              </w:rPr>
              <w:t>债券品种</w:t>
            </w:r>
          </w:p>
        </w:tc>
        <w:tc>
          <w:tcPr>
            <w:tcW w:type="pct" w:w="769"/>
            <w:vAlign w:val="center"/>
          </w:tcPr>
          <w:tcPr>
            <w:shd w:fill="d9d9d9"/>
          </w:tcPr>
          <w:p>
            <w:pPr>
              <w:spacing w:line="240" w:lineRule="auto"/>
              <w:jc w:val="center"/>
            </w:pPr>
            <w:r>
              <w:rPr>
                <w:rFonts w:ascii="宋体" w:hAnsi="宋体" w:cs="宋体" w:eastAsia="宋体"/>
                <w:b w:val="false"/>
              </w:rPr>
              <w:t>公允价值(元)</w:t>
            </w:r>
          </w:p>
        </w:tc>
        <w:tc>
          <w:tcPr>
            <w:tcW w:type="pct" w:w="1077"/>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国家债券</w:t>
            </w:r>
          </w:p>
        </w:tc>
        <w:tc>
          <w:tcPr>
            <w:tcW/>
            <w:vAlign w:val="center"/>
          </w:tcPr>
          <w:p>
            <w:pPr>
              <w:spacing w:line="240" w:lineRule="auto"/>
              <w:jc w:val="right"/>
            </w:pPr>
            <w:r>
              <w:rPr>
                <w:rFonts w:ascii="宋体" w:hAnsi="宋体" w:cs="宋体" w:eastAsia="宋体"/>
                <w:b w:val="false"/>
              </w:rPr>
              <w:t>8,152,985.07</w:t>
            </w:r>
          </w:p>
        </w:tc>
        <w:tc>
          <w:tcPr>
            <w:tcW/>
            <w:vAlign w:val="center"/>
          </w:tcPr>
          <w:p>
            <w:pPr>
              <w:spacing w:line="240" w:lineRule="auto"/>
              <w:jc w:val="right"/>
            </w:pPr>
            <w:r>
              <w:rPr>
                <w:rFonts w:ascii="宋体" w:hAnsi="宋体" w:cs="宋体" w:eastAsia="宋体"/>
                <w:b w:val="false"/>
              </w:rPr>
              <w:t>5.26</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央行票据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金融债券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p>
        </w:tc>
        <w:tc>
          <w:tcPr>
            <w:tcW/>
            <w:vAlign w:val="center"/>
          </w:tcPr>
          <w:p>
            <w:pPr>
              <w:spacing w:line="240" w:lineRule="auto"/>
              <w:jc w:val="left"/>
            </w:pPr>
            <w:r>
              <w:rPr>
                <w:rFonts w:ascii="宋体" w:hAnsi="宋体" w:cs="宋体" w:eastAsia="宋体"/>
                <w:b w:val="false"/>
              </w:rPr>
              <w:t>其中：政策性金融债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企业债券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企业短期融资券</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中期票据</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可转债（可交换债）</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同业存单</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9</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10</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8,152,985.07</w:t>
            </w:r>
          </w:p>
        </w:tc>
        <w:tc>
          <w:tcPr>
            <w:tcW/>
            <w:vAlign w:val="center"/>
          </w:tcPr>
          <w:p>
            <w:pPr>
              <w:spacing w:line="240" w:lineRule="auto"/>
              <w:jc w:val="right"/>
            </w:pPr>
            <w:r>
              <w:rPr>
                <w:rFonts w:ascii="宋体" w:hAnsi="宋体" w:cs="宋体" w:eastAsia="宋体"/>
                <w:b w:val="false"/>
              </w:rPr>
              <w:t>5.26</w:t>
            </w:r>
          </w:p>
        </w:tc>
      </w:tr>
    </w:tbl>
    <w:p/>
    <w:p>
      <w:pPr>
        <w:pStyle w:val="2"/>
        <w:jc w:val="left"/>
      </w:pPr>
      <w:r>
        <w:rPr>
          <w:rFonts w:ascii="宋体" w:hAnsi="宋体" w:cs="宋体" w:eastAsia="宋体"/>
        </w:rPr>
        <w:t>5.5 报告期末按公允价值占基金资产净值比例大小排序的前五名债券投资明细</w:t>
      </w:r>
    </w:p>
    <w:tbl>
      <w:tblPr>
        <w:tblW w:w="5000" w:type="pct"/>
        <w:tblBorders>
          <w:top w:val="single" w:sz="4"/>
          <w:left w:val="single" w:sz="4"/>
          <w:bottom w:val="single" w:sz="4"/>
          <w:right w:val="single" w:sz="4"/>
          <w:insideH w:val="single" w:sz="4"/>
          <w:insideV w:val="single" w:sz="4"/>
        </w:tblBorders>
      </w:tblPr>
      <w:tblGrid>
        <w:gridCol w:w="1510"/>
        <w:gridCol w:w="1510"/>
        <w:gridCol w:w="1510"/>
        <w:gridCol w:w="1510"/>
        <w:gridCol w:w="1510"/>
        <w:gridCol w:w="1510"/>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769"/>
            <w:vAlign w:val="center"/>
          </w:tcPr>
          <w:tcPr>
            <w:shd w:fill="d9d9d9"/>
          </w:tcPr>
          <w:p>
            <w:pPr>
              <w:spacing w:line="240" w:lineRule="auto"/>
              <w:jc w:val="center"/>
            </w:pPr>
            <w:r>
              <w:rPr>
                <w:rFonts w:ascii="宋体" w:hAnsi="宋体" w:cs="宋体" w:eastAsia="宋体"/>
                <w:b w:val="false"/>
              </w:rPr>
              <w:t>债券代码</w:t>
            </w:r>
          </w:p>
        </w:tc>
        <w:tc>
          <w:tcPr>
            <w:tcW w:type="pct" w:w="769"/>
            <w:vAlign w:val="center"/>
          </w:tcPr>
          <w:tcPr>
            <w:shd w:fill="d9d9d9"/>
          </w:tcPr>
          <w:p>
            <w:pPr>
              <w:spacing w:line="240" w:lineRule="auto"/>
              <w:jc w:val="center"/>
            </w:pPr>
            <w:r>
              <w:rPr>
                <w:rFonts w:ascii="宋体" w:hAnsi="宋体" w:cs="宋体" w:eastAsia="宋体"/>
                <w:b w:val="false"/>
              </w:rPr>
              <w:t>债券名称</w:t>
            </w:r>
          </w:p>
        </w:tc>
        <w:tc>
          <w:tcPr>
            <w:tcW w:type="pct" w:w="615"/>
            <w:vAlign w:val="center"/>
          </w:tcPr>
          <w:tcPr>
            <w:shd w:fill="d9d9d9"/>
          </w:tcPr>
          <w:p>
            <w:pPr>
              <w:spacing w:line="240" w:lineRule="auto"/>
              <w:jc w:val="center"/>
            </w:pPr>
            <w:r>
              <w:rPr>
                <w:rFonts w:ascii="宋体" w:hAnsi="宋体" w:cs="宋体" w:eastAsia="宋体"/>
                <w:b w:val="false"/>
              </w:rPr>
              <w:t>数量(张)</w:t>
            </w:r>
          </w:p>
        </w:tc>
        <w:tc>
          <w:tcPr>
            <w:tcW w:type="pct" w:w="923"/>
            <w:vAlign w:val="center"/>
          </w:tcPr>
          <w:tcPr>
            <w:shd w:fill="d9d9d9"/>
          </w:tcPr>
          <w:p>
            <w:pPr>
              <w:spacing w:line="240" w:lineRule="auto"/>
              <w:jc w:val="center"/>
            </w:pPr>
            <w:r>
              <w:rPr>
                <w:rFonts w:ascii="宋体" w:hAnsi="宋体" w:cs="宋体" w:eastAsia="宋体"/>
                <w:b w:val="false"/>
              </w:rPr>
              <w:t>公允价值(元)</w:t>
            </w:r>
          </w:p>
        </w:tc>
        <w:tc>
          <w:tcPr>
            <w:tcW w:type="pct" w:w="923"/>
            <w:vAlign w:val="center"/>
          </w:tcPr>
          <w:tcPr>
            <w:shd w:fill="d9d9d9"/>
          </w:tcPr>
          <w:p>
            <w:pPr>
              <w:spacing w:line="240" w:lineRule="auto"/>
              <w:jc w:val="center"/>
            </w:pPr>
            <w:r>
              <w:rPr>
                <w:rFonts w:ascii="宋体" w:hAnsi="宋体" w:cs="宋体" w:eastAsia="宋体"/>
                <w:b w:val="false"/>
              </w:rPr>
              <w:t>占基金资产净值比例(%)</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019785</w:t>
            </w:r>
          </w:p>
        </w:tc>
        <w:tc>
          <w:tcPr>
            <w:tcW/>
            <w:vAlign w:val="center"/>
          </w:tcPr>
          <w:p>
            <w:pPr>
              <w:spacing w:line="240" w:lineRule="auto"/>
              <w:jc w:val="left"/>
            </w:pPr>
            <w:r>
              <w:rPr>
                <w:rFonts w:ascii="宋体" w:hAnsi="宋体" w:cs="宋体" w:eastAsia="宋体"/>
                <w:b w:val="false"/>
              </w:rPr>
              <w:t>25国债13</w:t>
            </w:r>
          </w:p>
        </w:tc>
        <w:tc>
          <w:tcPr>
            <w:tcW/>
            <w:vAlign w:val="center"/>
          </w:tcPr>
          <w:p>
            <w:pPr>
              <w:spacing w:line="240" w:lineRule="auto"/>
              <w:jc w:val="right"/>
            </w:pPr>
            <w:r>
              <w:rPr>
                <w:rFonts w:ascii="宋体" w:hAnsi="宋体" w:cs="宋体" w:eastAsia="宋体"/>
                <w:b w:val="false"/>
              </w:rPr>
              <w:t>46,000</w:t>
            </w:r>
          </w:p>
        </w:tc>
        <w:tc>
          <w:tcPr>
            <w:tcW/>
            <w:vAlign w:val="center"/>
          </w:tcPr>
          <w:p>
            <w:pPr>
              <w:spacing w:line="240" w:lineRule="auto"/>
              <w:jc w:val="right"/>
            </w:pPr>
            <w:r>
              <w:rPr>
                <w:rFonts w:ascii="宋体" w:hAnsi="宋体" w:cs="宋体" w:eastAsia="宋体"/>
                <w:b w:val="false"/>
              </w:rPr>
              <w:t>4,643,744.11</w:t>
            </w:r>
          </w:p>
        </w:tc>
        <w:tc>
          <w:tcPr>
            <w:tcW/>
            <w:vAlign w:val="center"/>
          </w:tcPr>
          <w:p>
            <w:pPr>
              <w:spacing w:line="240" w:lineRule="auto"/>
              <w:jc w:val="right"/>
            </w:pPr>
            <w:r>
              <w:rPr>
                <w:rFonts w:ascii="宋体" w:hAnsi="宋体" w:cs="宋体" w:eastAsia="宋体"/>
                <w:b w:val="false"/>
              </w:rPr>
              <w:t>3.00</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019827</w:t>
            </w:r>
          </w:p>
        </w:tc>
        <w:tc>
          <w:tcPr>
            <w:tcW/>
            <w:vAlign w:val="center"/>
          </w:tcPr>
          <w:p>
            <w:pPr>
              <w:spacing w:line="240" w:lineRule="auto"/>
              <w:jc w:val="left"/>
            </w:pPr>
            <w:r>
              <w:rPr>
                <w:rFonts w:ascii="宋体" w:hAnsi="宋体" w:cs="宋体" w:eastAsia="宋体"/>
                <w:b w:val="false"/>
              </w:rPr>
              <w:t>26国债01</w:t>
            </w:r>
          </w:p>
        </w:tc>
        <w:tc>
          <w:tcPr>
            <w:tcW/>
            <w:vAlign w:val="center"/>
          </w:tcPr>
          <w:p>
            <w:pPr>
              <w:spacing w:line="240" w:lineRule="auto"/>
              <w:jc w:val="right"/>
            </w:pPr>
            <w:r>
              <w:rPr>
                <w:rFonts w:ascii="宋体" w:hAnsi="宋体" w:cs="宋体" w:eastAsia="宋体"/>
                <w:b w:val="false"/>
              </w:rPr>
              <w:t>35,000</w:t>
            </w:r>
          </w:p>
        </w:tc>
        <w:tc>
          <w:tcPr>
            <w:tcW/>
            <w:vAlign w:val="center"/>
          </w:tcPr>
          <w:p>
            <w:pPr>
              <w:spacing w:line="240" w:lineRule="auto"/>
              <w:jc w:val="right"/>
            </w:pPr>
            <w:r>
              <w:rPr>
                <w:rFonts w:ascii="宋体" w:hAnsi="宋体" w:cs="宋体" w:eastAsia="宋体"/>
                <w:b w:val="false"/>
              </w:rPr>
              <w:t>3,509,240.96</w:t>
            </w:r>
          </w:p>
        </w:tc>
        <w:tc>
          <w:tcPr>
            <w:tcW/>
            <w:vAlign w:val="center"/>
          </w:tcPr>
          <w:p>
            <w:pPr>
              <w:spacing w:line="240" w:lineRule="auto"/>
              <w:jc w:val="right"/>
            </w:pPr>
            <w:r>
              <w:rPr>
                <w:rFonts w:ascii="宋体" w:hAnsi="宋体" w:cs="宋体" w:eastAsia="宋体"/>
                <w:b w:val="false"/>
              </w:rPr>
              <w:t>2.27</w:t>
            </w:r>
          </w:p>
        </w:tc>
      </w:tr>
    </w:tbl>
    <w:p>
      <w:r>
        <w:rPr>
          <w:rFonts w:ascii="宋体" w:hAnsi="宋体" w:cs="宋体" w:eastAsia="宋体"/>
          <w:b w:val="false"/>
        </w:rPr>
        <w:t>注：本基金本报告期末仅持有上述债券。</w:t>
      </w:r>
    </w:p>
    <w:p/>
    <w:p>
      <w:pPr>
        <w:pStyle w:val="2"/>
        <w:jc w:val="left"/>
      </w:pPr>
      <w:r>
        <w:rPr>
          <w:rFonts w:ascii="宋体" w:hAnsi="宋体" w:cs="宋体" w:eastAsia="宋体"/>
        </w:rPr>
        <w:t>5.6 报告期末按公允价值占基金资产净值比例大小排序的前十名资产支持证券投资明细</w:t>
      </w:r>
    </w:p>
    <w:p>
      <w:r>
        <w:rPr>
          <w:rFonts w:ascii="宋体" w:hAnsi="宋体" w:cs="宋体" w:eastAsia="宋体"/>
          <w:b w:val="false"/>
        </w:rPr>
        <w:t xml:space="preserve">    本基金本报告期末未持有资产支持证券。</w:t>
      </w:r>
    </w:p>
    <w:p/>
    <w:p>
      <w:pPr>
        <w:pStyle w:val="2"/>
        <w:jc w:val="left"/>
      </w:pPr>
      <w:r>
        <w:rPr>
          <w:rFonts w:ascii="宋体" w:hAnsi="宋体" w:cs="宋体" w:eastAsia="宋体"/>
        </w:rPr>
        <w:t>5.7 报告期末按公允价值占基金资产净值比例大小排序的前五名贵金属投资明细</w:t>
      </w:r>
    </w:p>
    <w:p>
      <w:r>
        <w:rPr>
          <w:rFonts w:ascii="宋体" w:hAnsi="宋体" w:cs="宋体" w:eastAsia="宋体"/>
          <w:b w:val="false"/>
        </w:rPr>
        <w:t xml:space="preserve">    本基金本报告期末未持有贵金属。</w:t>
      </w:r>
    </w:p>
    <w:p/>
    <w:p>
      <w:pPr>
        <w:pStyle w:val="2"/>
        <w:jc w:val="left"/>
      </w:pPr>
      <w:r>
        <w:rPr>
          <w:rFonts w:ascii="宋体" w:hAnsi="宋体" w:cs="宋体" w:eastAsia="宋体"/>
        </w:rPr>
        <w:t>5.8 报告期末按公允价值占基金资产净值比例大小排序的前五名权证投资明细</w:t>
      </w:r>
    </w:p>
    <w:p>
      <w:r>
        <w:rPr>
          <w:rFonts w:ascii="宋体" w:hAnsi="宋体" w:cs="宋体" w:eastAsia="宋体"/>
          <w:b w:val="false"/>
        </w:rPr>
        <w:t xml:space="preserve">    本基金本报告期末未持有权证。</w:t>
      </w:r>
    </w:p>
    <w:p/>
    <w:p>
      <w:pPr>
        <w:pStyle w:val="2"/>
        <w:jc w:val="left"/>
      </w:pPr>
      <w:r>
        <w:rPr>
          <w:rFonts w:ascii="宋体" w:hAnsi="宋体" w:cs="宋体" w:eastAsia="宋体"/>
        </w:rPr>
        <w:t>5.9 报告期末本基金投资的股指期货交易情况说明</w:t>
      </w:r>
    </w:p>
    <w:p>
      <w:r>
        <w:rPr>
          <w:rFonts w:ascii="宋体" w:hAnsi="宋体" w:cs="宋体" w:eastAsia="宋体"/>
          <w:b w:val="false"/>
        </w:rPr>
        <w:t xml:space="preserve">    本基金本报告期末未持有股指期货。</w:t>
      </w:r>
    </w:p>
    <w:p/>
    <w:p>
      <w:pPr>
        <w:pStyle w:val="2"/>
        <w:jc w:val="left"/>
      </w:pPr>
      <w:r>
        <w:rPr>
          <w:rFonts w:ascii="宋体" w:hAnsi="宋体" w:cs="宋体" w:eastAsia="宋体"/>
        </w:rPr>
        <w:t>5.10 报告期末本基金投资的国债期货交易情况说明</w:t>
      </w:r>
    </w:p>
    <w:p>
      <w:r>
        <w:rPr>
          <w:rFonts w:ascii="宋体" w:hAnsi="宋体" w:cs="宋体" w:eastAsia="宋体"/>
          <w:b w:val="false"/>
        </w:rPr>
        <w:t xml:space="preserve">    本基金本报告期末未持有国债期货。</w:t>
      </w:r>
    </w:p>
    <w:p/>
    <w:p>
      <w:pPr>
        <w:pStyle w:val="2"/>
        <w:jc w:val="left"/>
      </w:pPr>
      <w:r>
        <w:rPr>
          <w:rFonts w:ascii="宋体" w:hAnsi="宋体" w:cs="宋体" w:eastAsia="宋体"/>
        </w:rPr>
        <w:t>5.11 投资组合报告附注</w:t>
      </w:r>
    </w:p>
    <w:p>
      <w:pPr>
        <w:pStyle w:val="zhangjiep2"/>
      </w:pPr>
      <w:r>
        <w:rPr>
          <w:rStyle w:val="正文"/>
          <w:rFonts w:ascii="宋体" w:hAnsi="宋体" w:cs="宋体" w:eastAsia="宋体"/>
          <w:b w:val="true"/>
        </w:rPr>
        <w:t>5.11.1 本基金投资的前十名证券的发行主体本期受到监管部门立案调查或报告编制日前一年内受到公开谴责、处罚的情形说明</w:t>
      </w:r>
    </w:p>
    <w:p>
      <w:r>
        <w:rPr>
          <w:rFonts w:ascii="宋体" w:hAnsi="宋体" w:cs="宋体" w:eastAsia="宋体"/>
          <w:b w:val="false"/>
        </w:rPr>
        <w:t xml:space="preserve">    本基金投资的前十名证券的发行主体本期未出现被监管部门立案调查，或在报告编制日前一年内受到公开谴责、处罚的情形。</w:t>
      </w:r>
    </w:p>
    <w:p/>
    <w:p>
      <w:pPr>
        <w:pStyle w:val="zhangjiep2"/>
      </w:pPr>
      <w:r>
        <w:rPr>
          <w:rStyle w:val="正文"/>
          <w:rFonts w:ascii="宋体" w:hAnsi="宋体" w:cs="宋体" w:eastAsia="宋体"/>
          <w:b w:val="true"/>
        </w:rPr>
        <w:t>5.11.2 基金投资的前十名股票超出基金合同规定的备选股票库情况的说明</w:t>
      </w:r>
    </w:p>
    <w:p>
      <w:r>
        <w:rPr>
          <w:rFonts w:ascii="宋体" w:hAnsi="宋体" w:cs="宋体" w:eastAsia="宋体"/>
          <w:b w:val="false"/>
        </w:rPr>
        <w:t xml:space="preserve">    基金投资的前十名股票，均为基金合同规定备选股票库之内的股票。</w:t>
      </w:r>
    </w:p>
    <w:p/>
    <w:p>
      <w:pPr>
        <w:pStyle w:val="zhangjiep2"/>
      </w:pPr>
      <w:r>
        <w:rPr>
          <w:rStyle w:val="正文"/>
          <w:rFonts w:ascii="宋体" w:hAnsi="宋体" w:cs="宋体" w:eastAsia="宋体"/>
          <w:b w:val="true"/>
        </w:rPr>
        <w:t>5.11.3 其他资产构成</w:t>
      </w:r>
    </w:p>
    <w:tbl>
      <w:tblPr>
        <w:tblW w:w="5000" w:type="pct"/>
        <w:tblBorders>
          <w:top w:val="single" w:sz="4"/>
          <w:left w:val="single" w:sz="4"/>
          <w:bottom w:val="single" w:sz="4"/>
          <w:right w:val="single" w:sz="4"/>
          <w:insideH w:val="single" w:sz="4"/>
          <w:insideV w:val="single" w:sz="4"/>
        </w:tblBorders>
      </w:tblPr>
      <w:tblGrid>
        <w:gridCol w:w="3021"/>
        <w:gridCol w:w="3021"/>
        <w:gridCol w:w="3021"/>
      </w:tblGrid>
      <w:tr>
        <w:tc>
          <w:tcPr>
            <w:tcW w:type="pct" w:w="615"/>
            <w:vAlign w:val="center"/>
          </w:tcPr>
          <w:tcPr>
            <w:shd w:fill="d9d9d9"/>
          </w:tcPr>
          <w:p>
            <w:pPr>
              <w:spacing w:line="240" w:lineRule="auto"/>
              <w:jc w:val="center"/>
            </w:pPr>
            <w:r>
              <w:rPr>
                <w:rFonts w:ascii="宋体" w:hAnsi="宋体" w:cs="宋体" w:eastAsia="宋体"/>
                <w:b w:val="false"/>
              </w:rPr>
              <w:t>序号</w:t>
            </w:r>
          </w:p>
        </w:tc>
        <w:tc>
          <w:tcPr>
            <w:tcW w:type="pct" w:w="2308"/>
            <w:vAlign w:val="center"/>
          </w:tcPr>
          <w:tcPr>
            <w:shd w:fill="d9d9d9"/>
          </w:tcPr>
          <w:p>
            <w:pPr>
              <w:spacing w:line="240" w:lineRule="auto"/>
              <w:jc w:val="center"/>
            </w:pPr>
            <w:r>
              <w:rPr>
                <w:rFonts w:ascii="宋体" w:hAnsi="宋体" w:cs="宋体" w:eastAsia="宋体"/>
                <w:b w:val="false"/>
              </w:rPr>
              <w:t>名称</w:t>
            </w:r>
          </w:p>
        </w:tc>
        <w:tc>
          <w:tcPr>
            <w:tcW w:type="pct" w:w="1538"/>
            <w:vAlign w:val="center"/>
          </w:tcPr>
          <w:tcPr>
            <w:shd w:fill="d9d9d9"/>
          </w:tcPr>
          <w:p>
            <w:pPr>
              <w:spacing w:line="240" w:lineRule="auto"/>
              <w:jc w:val="center"/>
            </w:pPr>
            <w:r>
              <w:rPr>
                <w:rFonts w:ascii="宋体" w:hAnsi="宋体" w:cs="宋体" w:eastAsia="宋体"/>
                <w:b w:val="false"/>
              </w:rPr>
              <w:t>金额(元)</w:t>
            </w:r>
          </w:p>
        </w:tc>
      </w:tr>
      <w:tr>
        <w:tc>
          <w:tcPr>
            <w:tcW/>
            <w:vAlign w:val="center"/>
          </w:tcPr>
          <w:p>
            <w:pPr>
              <w:spacing w:line="240" w:lineRule="auto"/>
              <w:jc w:val="center"/>
            </w:pPr>
            <w:r>
              <w:rPr>
                <w:rFonts w:ascii="宋体" w:hAnsi="宋体" w:cs="宋体" w:eastAsia="宋体"/>
                <w:b w:val="false"/>
              </w:rPr>
              <w:t>1</w:t>
            </w:r>
          </w:p>
        </w:tc>
        <w:tc>
          <w:tcPr>
            <w:tcW/>
            <w:vAlign w:val="center"/>
          </w:tcPr>
          <w:p>
            <w:pPr>
              <w:spacing w:line="240" w:lineRule="auto"/>
              <w:jc w:val="left"/>
            </w:pPr>
            <w:r>
              <w:rPr>
                <w:rFonts w:ascii="宋体" w:hAnsi="宋体" w:cs="宋体" w:eastAsia="宋体"/>
                <w:b w:val="false"/>
              </w:rPr>
              <w:t>存出保证金</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2</w:t>
            </w:r>
          </w:p>
        </w:tc>
        <w:tc>
          <w:tcPr>
            <w:tcW/>
            <w:vAlign w:val="center"/>
          </w:tcPr>
          <w:p>
            <w:pPr>
              <w:spacing w:line="240" w:lineRule="auto"/>
              <w:jc w:val="left"/>
            </w:pPr>
            <w:r>
              <w:rPr>
                <w:rFonts w:ascii="宋体" w:hAnsi="宋体" w:cs="宋体" w:eastAsia="宋体"/>
                <w:b w:val="false"/>
              </w:rPr>
              <w:t>应收证券清算款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3</w:t>
            </w:r>
          </w:p>
        </w:tc>
        <w:tc>
          <w:tcPr>
            <w:tcW/>
            <w:vAlign w:val="center"/>
          </w:tcPr>
          <w:p>
            <w:pPr>
              <w:spacing w:line="240" w:lineRule="auto"/>
              <w:jc w:val="left"/>
            </w:pPr>
            <w:r>
              <w:rPr>
                <w:rFonts w:ascii="宋体" w:hAnsi="宋体" w:cs="宋体" w:eastAsia="宋体"/>
                <w:b w:val="false"/>
              </w:rPr>
              <w:t>应收股利</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4</w:t>
            </w:r>
          </w:p>
        </w:tc>
        <w:tc>
          <w:tcPr>
            <w:tcW/>
            <w:vAlign w:val="center"/>
          </w:tcPr>
          <w:p>
            <w:pPr>
              <w:spacing w:line="240" w:lineRule="auto"/>
              <w:jc w:val="left"/>
            </w:pPr>
            <w:r>
              <w:rPr>
                <w:rFonts w:ascii="宋体" w:hAnsi="宋体" w:cs="宋体" w:eastAsia="宋体"/>
                <w:b w:val="false"/>
              </w:rPr>
              <w:t>应收利息</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5</w:t>
            </w:r>
          </w:p>
        </w:tc>
        <w:tc>
          <w:tcPr>
            <w:tcW/>
            <w:vAlign w:val="center"/>
          </w:tcPr>
          <w:p>
            <w:pPr>
              <w:spacing w:line="240" w:lineRule="auto"/>
              <w:jc w:val="left"/>
            </w:pPr>
            <w:r>
              <w:rPr>
                <w:rFonts w:ascii="宋体" w:hAnsi="宋体" w:cs="宋体" w:eastAsia="宋体"/>
                <w:b w:val="false"/>
              </w:rPr>
              <w:t>应收申购款</w:t>
            </w:r>
          </w:p>
        </w:tc>
        <w:tc>
          <w:tcPr>
            <w:tcW/>
            <w:vAlign w:val="center"/>
          </w:tcPr>
          <w:p>
            <w:pPr>
              <w:spacing w:line="240" w:lineRule="auto"/>
              <w:jc w:val="right"/>
            </w:pPr>
            <w:r>
              <w:rPr>
                <w:rFonts w:ascii="宋体" w:hAnsi="宋体" w:cs="宋体" w:eastAsia="宋体"/>
                <w:b w:val="false"/>
              </w:rPr>
              <w:t>15,070,972.19</w:t>
            </w:r>
          </w:p>
        </w:tc>
      </w:tr>
      <w:tr>
        <w:tc>
          <w:tcPr>
            <w:tcW/>
            <w:vAlign w:val="center"/>
          </w:tcPr>
          <w:p>
            <w:pPr>
              <w:spacing w:line="240" w:lineRule="auto"/>
              <w:jc w:val="center"/>
            </w:pPr>
            <w:r>
              <w:rPr>
                <w:rFonts w:ascii="宋体" w:hAnsi="宋体" w:cs="宋体" w:eastAsia="宋体"/>
                <w:b w:val="false"/>
              </w:rPr>
              <w:t>6</w:t>
            </w:r>
          </w:p>
        </w:tc>
        <w:tc>
          <w:tcPr>
            <w:tcW/>
            <w:vAlign w:val="center"/>
          </w:tcPr>
          <w:p>
            <w:pPr>
              <w:spacing w:line="240" w:lineRule="auto"/>
              <w:jc w:val="left"/>
            </w:pPr>
            <w:r>
              <w:rPr>
                <w:rFonts w:ascii="宋体" w:hAnsi="宋体" w:cs="宋体" w:eastAsia="宋体"/>
                <w:b w:val="false"/>
              </w:rPr>
              <w:t>其他应收款</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7</w:t>
            </w:r>
          </w:p>
        </w:tc>
        <w:tc>
          <w:tcPr>
            <w:tcW/>
            <w:vAlign w:val="center"/>
          </w:tcPr>
          <w:p>
            <w:pPr>
              <w:spacing w:line="240" w:lineRule="auto"/>
              <w:jc w:val="left"/>
            </w:pPr>
            <w:r>
              <w:rPr>
                <w:rFonts w:ascii="宋体" w:hAnsi="宋体" w:cs="宋体" w:eastAsia="宋体"/>
                <w:b w:val="false"/>
              </w:rPr>
              <w:t>其他</w:t>
            </w:r>
          </w:p>
        </w:tc>
        <w:tc>
          <w:tcPr>
            <w:tcW/>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center"/>
            </w:pPr>
            <w:r>
              <w:rPr>
                <w:rFonts w:ascii="宋体" w:hAnsi="宋体" w:cs="宋体" w:eastAsia="宋体"/>
                <w:b w:val="false"/>
              </w:rPr>
              <w:t>8</w:t>
            </w:r>
          </w:p>
        </w:tc>
        <w:tc>
          <w:tcPr>
            <w:tcW/>
            <w:vAlign w:val="center"/>
          </w:tcPr>
          <w:p>
            <w:pPr>
              <w:spacing w:line="240" w:lineRule="auto"/>
              <w:jc w:val="left"/>
            </w:pPr>
            <w:r>
              <w:rPr>
                <w:rFonts w:ascii="宋体" w:hAnsi="宋体" w:cs="宋体" w:eastAsia="宋体"/>
                <w:b w:val="false"/>
              </w:rPr>
              <w:t>合计</w:t>
            </w:r>
          </w:p>
        </w:tc>
        <w:tc>
          <w:tcPr>
            <w:tcW/>
            <w:vAlign w:val="center"/>
          </w:tcPr>
          <w:p>
            <w:pPr>
              <w:spacing w:line="240" w:lineRule="auto"/>
              <w:jc w:val="right"/>
            </w:pPr>
            <w:r>
              <w:rPr>
                <w:rFonts w:ascii="宋体" w:hAnsi="宋体" w:cs="宋体" w:eastAsia="宋体"/>
                <w:b w:val="false"/>
              </w:rPr>
              <w:t>15,070,972.19</w:t>
            </w:r>
          </w:p>
        </w:tc>
      </w:tr>
    </w:tbl>
    <w:p/>
    <w:p>
      <w:pPr>
        <w:pStyle w:val="zhangjiep2"/>
      </w:pPr>
      <w:r>
        <w:rPr>
          <w:rStyle w:val="正文"/>
          <w:rFonts w:ascii="宋体" w:hAnsi="宋体" w:cs="宋体" w:eastAsia="宋体"/>
          <w:b w:val="true"/>
        </w:rPr>
        <w:t>5.11.4 报告期末持有的处于转股期的可转换债券明细</w:t>
      </w:r>
    </w:p>
    <w:p>
      <w:r>
        <w:rPr>
          <w:rFonts w:ascii="宋体" w:hAnsi="宋体" w:cs="宋体" w:eastAsia="宋体"/>
          <w:b w:val="false"/>
        </w:rPr>
        <w:t xml:space="preserve">    本基金本报告期末未持有处于转股期的可转换债券。</w:t>
      </w:r>
    </w:p>
    <w:p/>
    <w:p>
      <w:pPr>
        <w:pStyle w:val="zhangjiep2"/>
      </w:pPr>
      <w:r>
        <w:rPr>
          <w:rStyle w:val="正文"/>
          <w:rFonts w:ascii="宋体" w:hAnsi="宋体" w:cs="宋体" w:eastAsia="宋体"/>
          <w:b w:val="true"/>
        </w:rPr>
        <w:t>5.11.5 报告期末前十名股票中存在流通受限情况的说明</w:t>
      </w:r>
    </w:p>
    <w:p>
      <w:r>
        <w:rPr>
          <w:rFonts w:ascii="宋体" w:hAnsi="宋体" w:cs="宋体" w:eastAsia="宋体"/>
          <w:b w:val="false"/>
        </w:rPr>
        <w:t xml:space="preserve">    本基金本报告期末前十名股票中不存在流通受限的情况。</w:t>
      </w:r>
    </w:p>
    <w:p/>
    <w:p>
      <w:pPr>
        <w:pStyle w:val="zhangjiep2"/>
      </w:pPr>
      <w:r>
        <w:rPr>
          <w:rStyle w:val="正文"/>
          <w:rFonts w:ascii="宋体" w:hAnsi="宋体" w:cs="宋体" w:eastAsia="宋体"/>
          <w:b w:val="true"/>
        </w:rPr>
        <w:t>5.11.6 投资组合报告附注的其他文字描述部分</w:t>
      </w:r>
    </w:p>
    <w:p>
      <w:r>
        <w:rPr>
          <w:rFonts w:ascii="宋体" w:hAnsi="宋体" w:cs="宋体" w:eastAsia="宋体"/>
          <w:b w:val="false"/>
        </w:rPr>
        <w:t xml:space="preserve">    由于四舍五入原因，分项之和与合计项之间可能存在尾差。</w:t>
      </w:r>
    </w:p>
    <w:p>
      <w:pPr>
        <w:pStyle w:val="1"/>
        <w:jc w:val="center"/>
      </w:pPr>
      <w:r>
        <w:rPr>
          <w:rFonts w:ascii="宋体" w:hAnsi="宋体" w:cs="宋体" w:eastAsia="宋体"/>
        </w:rPr>
        <w:t>§6 开放式基金份额变动</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2308"/>
            <w:vAlign w:val="center"/>
          </w:tcPr>
          <w:p>
            <w:pPr>
              <w:spacing w:line="240" w:lineRule="auto"/>
              <w:jc w:val="center"/>
            </w:pPr>
          </w:p>
        </w:tc>
        <w:tc>
          <w:tcPr>
            <w:tcW w:type="pct" w:w="1300"/>
            <w:vAlign w:val="center"/>
          </w:tcPr>
          <w:p>
            <w:pPr>
              <w:spacing w:line="240" w:lineRule="auto"/>
              <w:jc w:val="center"/>
            </w:pPr>
            <w:r>
              <w:rPr>
                <w:rFonts w:ascii="宋体" w:hAnsi="宋体" w:cs="宋体" w:eastAsia="宋体"/>
                <w:b w:val="false"/>
              </w:rPr>
              <w:t>东方阿尔法医疗健康混合发起A</w:t>
            </w:r>
          </w:p>
        </w:tc>
        <w:tc>
          <w:tcPr>
            <w:tcW w:type="pct" w:w="1300"/>
            <w:vAlign w:val="center"/>
          </w:tcPr>
          <w:p>
            <w:pPr>
              <w:spacing w:line="240" w:lineRule="auto"/>
              <w:jc w:val="center"/>
            </w:pPr>
            <w:r>
              <w:rPr>
                <w:rFonts w:ascii="宋体" w:hAnsi="宋体" w:cs="宋体" w:eastAsia="宋体"/>
                <w:b w:val="false"/>
              </w:rPr>
              <w:t>东方阿尔法医疗健康混合发起C</w:t>
            </w:r>
          </w:p>
        </w:tc>
      </w:tr>
      <w:tr>
        <w:tc>
          <w:tcPr>
            <w:tcW/>
            <w:vAlign w:val="center"/>
          </w:tcPr>
          <w:p>
            <w:pPr>
              <w:spacing w:line="240" w:lineRule="auto"/>
              <w:jc w:val="left"/>
            </w:pPr>
            <w:r>
              <w:rPr>
                <w:rFonts w:ascii="宋体" w:hAnsi="宋体" w:cs="宋体" w:eastAsia="宋体"/>
                <w:b w:val="false"/>
              </w:rPr>
              <w:t>报告期期初基金份额总额</w:t>
            </w:r>
          </w:p>
        </w:tc>
        <w:tc>
          <w:tcPr>
            <w:tcW w:type="pct" w:w="1300"/>
            <w:vAlign w:val="center"/>
          </w:tcPr>
          <w:p>
            <w:pPr>
              <w:spacing w:line="240" w:lineRule="auto"/>
              <w:jc w:val="right"/>
            </w:pPr>
            <w:r>
              <w:rPr>
                <w:rFonts w:ascii="宋体" w:hAnsi="宋体" w:cs="宋体" w:eastAsia="宋体"/>
                <w:b w:val="false"/>
              </w:rPr>
              <w:t>42,794,105.80</w:t>
            </w:r>
          </w:p>
        </w:tc>
        <w:tc>
          <w:tcPr>
            <w:tcW w:type="pct" w:w="1300"/>
            <w:vAlign w:val="center"/>
          </w:tcPr>
          <w:p>
            <w:pPr>
              <w:spacing w:line="240" w:lineRule="auto"/>
              <w:jc w:val="right"/>
            </w:pPr>
            <w:r>
              <w:rPr>
                <w:rFonts w:ascii="宋体" w:hAnsi="宋体" w:cs="宋体" w:eastAsia="宋体"/>
                <w:b w:val="false"/>
              </w:rPr>
              <w:t>76,264,698.10</w:t>
            </w:r>
          </w:p>
        </w:tc>
      </w:tr>
      <w:tr>
        <w:tc>
          <w:tcPr>
            <w:tcW/>
            <w:vAlign w:val="center"/>
          </w:tcPr>
          <w:p>
            <w:pPr>
              <w:spacing w:line="240" w:lineRule="auto"/>
              <w:jc w:val="left"/>
            </w:pPr>
            <w:r>
              <w:rPr>
                <w:rFonts w:ascii="宋体" w:hAnsi="宋体" w:cs="宋体" w:eastAsia="宋体"/>
                <w:b w:val="false"/>
              </w:rPr>
              <w:t>报告期期间基金总申购份额</w:t>
            </w:r>
          </w:p>
        </w:tc>
        <w:tc>
          <w:tcPr>
            <w:tcW w:type="pct" w:w="1300"/>
            <w:vAlign w:val="center"/>
          </w:tcPr>
          <w:p>
            <w:pPr>
              <w:spacing w:line="240" w:lineRule="auto"/>
              <w:jc w:val="right"/>
            </w:pPr>
            <w:r>
              <w:rPr>
                <w:rFonts w:ascii="宋体" w:hAnsi="宋体" w:cs="宋体" w:eastAsia="宋体"/>
                <w:b w:val="false"/>
              </w:rPr>
              <w:t>5,410,508.99</w:t>
            </w:r>
          </w:p>
        </w:tc>
        <w:tc>
          <w:tcPr>
            <w:tcW w:type="pct" w:w="1300"/>
            <w:vAlign w:val="center"/>
          </w:tcPr>
          <w:p>
            <w:pPr>
              <w:spacing w:line="240" w:lineRule="auto"/>
              <w:jc w:val="right"/>
            </w:pPr>
            <w:r>
              <w:rPr>
                <w:rFonts w:ascii="宋体" w:hAnsi="宋体" w:cs="宋体" w:eastAsia="宋体"/>
                <w:b w:val="false"/>
              </w:rPr>
              <w:t>73,314,113.39</w:t>
            </w:r>
          </w:p>
        </w:tc>
      </w:tr>
      <w:tr>
        <w:tc>
          <w:tcPr>
            <w:tcW/>
            <w:vAlign w:val="center"/>
          </w:tcPr>
          <w:p>
            <w:pPr>
              <w:spacing w:line="240" w:lineRule="auto"/>
              <w:jc w:val="left"/>
            </w:pPr>
            <w:r>
              <w:rPr>
                <w:rFonts w:ascii="宋体" w:hAnsi="宋体" w:cs="宋体" w:eastAsia="宋体"/>
                <w:b w:val="false"/>
              </w:rPr>
              <w:t>减：报告期期间基金总赎回份额</w:t>
            </w:r>
          </w:p>
        </w:tc>
        <w:tc>
          <w:tcPr>
            <w:tcW w:type="pct" w:w="1300"/>
            <w:vAlign w:val="center"/>
          </w:tcPr>
          <w:p>
            <w:pPr>
              <w:spacing w:line="240" w:lineRule="auto"/>
              <w:jc w:val="right"/>
            </w:pPr>
            <w:r>
              <w:rPr>
                <w:rFonts w:ascii="宋体" w:hAnsi="宋体" w:cs="宋体" w:eastAsia="宋体"/>
                <w:b w:val="false"/>
              </w:rPr>
              <w:t>5,734,915.76</w:t>
            </w:r>
          </w:p>
        </w:tc>
        <w:tc>
          <w:tcPr>
            <w:tcW w:type="pct" w:w="1300"/>
            <w:vAlign w:val="center"/>
          </w:tcPr>
          <w:p>
            <w:pPr>
              <w:spacing w:line="240" w:lineRule="auto"/>
              <w:jc w:val="right"/>
            </w:pPr>
            <w:r>
              <w:rPr>
                <w:rFonts w:ascii="宋体" w:hAnsi="宋体" w:cs="宋体" w:eastAsia="宋体"/>
                <w:b w:val="false"/>
              </w:rPr>
              <w:t>50,793,911.92</w:t>
            </w:r>
          </w:p>
        </w:tc>
      </w:tr>
      <w:tr>
        <w:tc>
          <w:tcPr>
            <w:tcW/>
            <w:vAlign w:val="center"/>
          </w:tcPr>
          <w:p>
            <w:pPr>
              <w:spacing w:line="240" w:lineRule="auto"/>
              <w:jc w:val="left"/>
            </w:pPr>
            <w:r>
              <w:rPr>
                <w:rFonts w:ascii="宋体" w:hAnsi="宋体" w:cs="宋体" w:eastAsia="宋体"/>
                <w:b w:val="false"/>
              </w:rPr>
              <w:t>报告期期间基金拆分变动份额（份额减少以“-”填列）</w:t>
            </w:r>
          </w:p>
        </w:tc>
        <w:tc>
          <w:tcPr>
            <w:tcW w:type="pct" w:w="1300"/>
            <w:vAlign w:val="center"/>
          </w:tcPr>
          <w:p>
            <w:pPr>
              <w:spacing w:line="240" w:lineRule="auto"/>
              <w:jc w:val="right"/>
            </w:pPr>
            <w:r>
              <w:rPr>
                <w:rFonts w:ascii="宋体" w:hAnsi="宋体" w:cs="宋体" w:eastAsia="宋体"/>
                <w:b w:val="false"/>
              </w:rPr>
              <w:t>-</w:t>
            </w:r>
          </w:p>
        </w:tc>
        <w:tc>
          <w:tcPr>
            <w:tcW w:type="pct" w:w="130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报告期期末基金份额总额</w:t>
            </w:r>
          </w:p>
        </w:tc>
        <w:tc>
          <w:tcPr>
            <w:tcW w:type="pct" w:w="1300"/>
            <w:vAlign w:val="center"/>
          </w:tcPr>
          <w:p>
            <w:pPr>
              <w:spacing w:line="240" w:lineRule="auto"/>
              <w:jc w:val="right"/>
            </w:pPr>
            <w:r>
              <w:rPr>
                <w:rFonts w:ascii="宋体" w:hAnsi="宋体" w:cs="宋体" w:eastAsia="宋体"/>
                <w:b w:val="false"/>
              </w:rPr>
              <w:t>42,469,699.03</w:t>
            </w:r>
          </w:p>
        </w:tc>
        <w:tc>
          <w:tcPr>
            <w:tcW w:type="pct" w:w="1300"/>
            <w:vAlign w:val="center"/>
          </w:tcPr>
          <w:p>
            <w:pPr>
              <w:spacing w:line="240" w:lineRule="auto"/>
              <w:jc w:val="right"/>
            </w:pPr>
            <w:r>
              <w:rPr>
                <w:rFonts w:ascii="宋体" w:hAnsi="宋体" w:cs="宋体" w:eastAsia="宋体"/>
                <w:b w:val="false"/>
              </w:rPr>
              <w:t>98,784,899.57</w:t>
            </w:r>
          </w:p>
        </w:tc>
      </w:tr>
    </w:tbl>
    <w:p>
      <w:pPr>
        <w:pStyle w:val="1"/>
        <w:jc w:val="center"/>
      </w:pPr>
      <w:r>
        <w:rPr>
          <w:rFonts w:ascii="宋体" w:hAnsi="宋体" w:cs="宋体" w:eastAsia="宋体"/>
        </w:rPr>
        <w:t>§7 基金管理人运用固有资金投资本基金情况</w:t>
      </w:r>
    </w:p>
    <w:p>
      <w:pPr>
        <w:pStyle w:val="2"/>
        <w:jc w:val="left"/>
      </w:pPr>
      <w:r>
        <w:rPr>
          <w:rFonts w:ascii="宋体" w:hAnsi="宋体" w:cs="宋体" w:eastAsia="宋体"/>
        </w:rPr>
        <w:t>7.1 基金管理人持有本基金份额变动情况</w:t>
      </w:r>
    </w:p>
    <w:p>
      <w:pPr>
        <w:jc w:val="right"/>
      </w:pPr>
      <w:r>
        <w:rPr>
          <w:rFonts w:ascii="宋体" w:hAnsi="宋体" w:cs="宋体" w:eastAsia="宋体"/>
          <w:b w:val="false"/>
        </w:rPr>
        <w:t>单位：份</w:t>
      </w:r>
    </w:p>
    <w:tbl>
      <w:tblPr>
        <w:tblW w:w="5000" w:type="pct"/>
        <w:tblBorders>
          <w:top w:val="single" w:sz="4"/>
          <w:left w:val="single" w:sz="4"/>
          <w:bottom w:val="single" w:sz="4"/>
          <w:right w:val="single" w:sz="4"/>
          <w:insideH w:val="single" w:sz="4"/>
          <w:insideV w:val="single" w:sz="4"/>
        </w:tblBorders>
        <w:tblLayout w:type="fixed"/>
      </w:tblPr>
      <w:tblGrid>
        <w:gridCol w:w="3021"/>
        <w:gridCol w:w="3021"/>
        <w:gridCol w:w="3021"/>
      </w:tblGrid>
      <w:tr>
        <w:tc>
          <w:tcPr>
            <w:tcW w:type="pct" w:w="3077"/>
            <w:vAlign w:val="center"/>
          </w:tcPr>
          <w:p>
            <w:pPr>
              <w:spacing w:line="240" w:lineRule="auto"/>
              <w:jc w:val="center"/>
            </w:pPr>
          </w:p>
        </w:tc>
        <w:tc>
          <w:tcPr>
            <w:tcW w:type="pct" w:w="950"/>
            <w:vAlign w:val="center"/>
          </w:tcPr>
          <w:p>
            <w:pPr>
              <w:spacing w:line="240" w:lineRule="auto"/>
              <w:jc w:val="center"/>
            </w:pPr>
            <w:r>
              <w:rPr>
                <w:rFonts w:ascii="宋体" w:hAnsi="宋体" w:cs="宋体" w:eastAsia="宋体"/>
                <w:b w:val="false"/>
              </w:rPr>
              <w:t>东方阿尔法医疗健康混合发起A</w:t>
            </w:r>
          </w:p>
        </w:tc>
        <w:tc>
          <w:tcPr>
            <w:tcW w:type="pct" w:w="950"/>
            <w:vAlign w:val="center"/>
          </w:tcPr>
          <w:p>
            <w:pPr>
              <w:spacing w:line="240" w:lineRule="auto"/>
              <w:jc w:val="center"/>
            </w:pPr>
            <w:r>
              <w:rPr>
                <w:rFonts w:ascii="宋体" w:hAnsi="宋体" w:cs="宋体" w:eastAsia="宋体"/>
                <w:b w:val="false"/>
              </w:rPr>
              <w:t>东方阿尔法医疗健康混合发起C</w:t>
            </w:r>
          </w:p>
        </w:tc>
      </w:tr>
      <w:tr>
        <w:tc>
          <w:tcPr>
            <w:tcW w:type="pct" w:w="3077"/>
            <w:vAlign w:val="center"/>
          </w:tcPr>
          <w:p>
            <w:pPr>
              <w:spacing w:line="240" w:lineRule="auto"/>
              <w:jc w:val="left"/>
            </w:pPr>
            <w:r>
              <w:rPr>
                <w:rFonts w:ascii="宋体" w:hAnsi="宋体" w:cs="宋体" w:eastAsia="宋体"/>
                <w:b w:val="false"/>
              </w:rPr>
              <w:t>报告期期初管理人持有的本基金份额</w:t>
            </w:r>
          </w:p>
        </w:tc>
        <w:tc>
          <w:tcPr>
            <w:tcW w:type="pct" w:w="950"/>
            <w:vAlign w:val="center"/>
          </w:tcPr>
          <w:p>
            <w:pPr>
              <w:spacing w:line="240" w:lineRule="auto"/>
              <w:jc w:val="right"/>
            </w:pPr>
            <w:r>
              <w:rPr>
                <w:rFonts w:ascii="宋体" w:hAnsi="宋体" w:cs="宋体" w:eastAsia="宋体"/>
                <w:b w:val="false"/>
              </w:rPr>
              <w:t>387,295.34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报告期期间买入/申购总份额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报告期期间卖出/赎回总份额</w:t>
            </w:r>
          </w:p>
        </w:tc>
        <w:tc>
          <w:tcPr>
            <w:tcW w:type="pct" w:w="950"/>
            <w:vAlign w:val="center"/>
          </w:tcPr>
          <w:p>
            <w:pPr>
              <w:spacing w:line="240" w:lineRule="auto"/>
              <w:jc w:val="right"/>
            </w:pPr>
            <w:r>
              <w:rPr>
                <w:rFonts w:ascii="宋体" w:hAnsi="宋体" w:cs="宋体" w:eastAsia="宋体"/>
                <w:b w:val="false"/>
              </w:rPr>
              <w:t>-</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报告期期末管理人持有的本基金份额</w:t>
            </w:r>
          </w:p>
        </w:tc>
        <w:tc>
          <w:tcPr>
            <w:tcW w:type="pct" w:w="950"/>
            <w:vAlign w:val="center"/>
          </w:tcPr>
          <w:p>
            <w:pPr>
              <w:spacing w:line="240" w:lineRule="auto"/>
              <w:jc w:val="right"/>
            </w:pPr>
            <w:r>
              <w:rPr>
                <w:rFonts w:ascii="宋体" w:hAnsi="宋体" w:cs="宋体" w:eastAsia="宋体"/>
                <w:b w:val="false"/>
              </w:rPr>
              <w:t>387,295.34</w:t>
            </w:r>
          </w:p>
        </w:tc>
        <w:tc>
          <w:tcPr>
            <w:tcW w:type="pct" w:w="950"/>
            <w:vAlign w:val="center"/>
          </w:tcPr>
          <w:p>
            <w:pPr>
              <w:spacing w:line="240" w:lineRule="auto"/>
              <w:jc w:val="right"/>
            </w:pPr>
            <w:r>
              <w:rPr>
                <w:rFonts w:ascii="宋体" w:hAnsi="宋体" w:cs="宋体" w:eastAsia="宋体"/>
                <w:b w:val="false"/>
              </w:rPr>
              <w:t>-</w:t>
            </w:r>
          </w:p>
        </w:tc>
      </w:tr>
      <w:tr>
        <w:tc>
          <w:tcPr>
            <w:tcW/>
            <w:vAlign w:val="center"/>
          </w:tcPr>
          <w:p>
            <w:pPr>
              <w:spacing w:line="240" w:lineRule="auto"/>
              <w:jc w:val="left"/>
            </w:pPr>
            <w:r>
              <w:rPr>
                <w:rFonts w:ascii="宋体" w:hAnsi="宋体" w:cs="宋体" w:eastAsia="宋体"/>
                <w:b w:val="false"/>
              </w:rPr>
              <w:t>报告期期末持有的本基金份额占基金总份额比例（%）</w:t>
            </w:r>
          </w:p>
        </w:tc>
        <w:tc>
          <w:tcPr>
            <w:tcW w:type="pct" w:w="950"/>
            <w:vAlign w:val="center"/>
          </w:tcPr>
          <w:p>
            <w:pPr>
              <w:spacing w:line="240" w:lineRule="auto"/>
              <w:jc w:val="right"/>
            </w:pPr>
            <w:r>
              <w:rPr>
                <w:rFonts w:ascii="宋体" w:hAnsi="宋体" w:cs="宋体" w:eastAsia="宋体"/>
                <w:b w:val="false"/>
              </w:rPr>
              <w:t>0.27</w:t>
            </w:r>
          </w:p>
        </w:tc>
        <w:tc>
          <w:tcPr>
            <w:tcW w:type="pct" w:w="950"/>
            <w:vAlign w:val="center"/>
          </w:tcPr>
          <w:p>
            <w:pPr>
              <w:spacing w:line="240" w:lineRule="auto"/>
              <w:jc w:val="right"/>
            </w:pPr>
            <w:r>
              <w:rPr>
                <w:rFonts w:ascii="宋体" w:hAnsi="宋体" w:cs="宋体" w:eastAsia="宋体"/>
                <w:b w:val="false"/>
              </w:rPr>
              <w:t>-</w:t>
            </w:r>
          </w:p>
        </w:tc>
      </w:tr>
    </w:tbl>
    <w:p>
      <w:r>
        <w:rPr>
          <w:rFonts w:ascii="宋体" w:hAnsi="宋体" w:cs="宋体" w:eastAsia="宋体"/>
          <w:b w:val="false"/>
        </w:rPr>
        <w:t>注：报告期期末持有的本基金份额占基金总份额比例的分母采用期末基金份额总额，不区分下属不同类别基金。</w:t>
      </w:r>
    </w:p>
    <w:p/>
    <w:p>
      <w:pPr>
        <w:pStyle w:val="2"/>
        <w:jc w:val="left"/>
      </w:pPr>
      <w:r>
        <w:rPr>
          <w:rFonts w:ascii="宋体" w:hAnsi="宋体" w:cs="宋体" w:eastAsia="宋体"/>
        </w:rPr>
        <w:t>7.2 基金管理人运用固有资金投资本基金交易明细</w:t>
      </w:r>
    </w:p>
    <w:p>
      <w:r>
        <w:rPr>
          <w:rFonts w:ascii="宋体" w:hAnsi="宋体" w:cs="宋体" w:eastAsia="宋体"/>
          <w:b w:val="false"/>
        </w:rPr>
        <w:t xml:space="preserve">    本报告期内，本基金管理人未运用固有资金投资本基金。</w:t>
      </w:r>
    </w:p>
    <w:p>
      <w:pPr>
        <w:pStyle w:val="1"/>
        <w:jc w:val="center"/>
      </w:pPr>
      <w:r>
        <w:rPr>
          <w:rFonts w:ascii="宋体" w:hAnsi="宋体" w:cs="宋体" w:eastAsia="宋体"/>
        </w:rPr>
        <w:t>§8 报告期末发起式基金发起资金持有份额情况</w:t>
      </w:r>
    </w:p>
    <w:p>
      <w:r>
        <w:rPr>
          <w:rFonts w:ascii="宋体" w:hAnsi="宋体" w:cs="宋体" w:eastAsia="宋体"/>
          <w:b w:val="false"/>
        </w:rPr>
        <w:t xml:space="preserve">    本基金基金合同于2022年03月30日生效。根据本基金基金合同的约定，发起资金认购本基金金额不少于1000万元，且发起资金认购的基金份额持有期限自基金合同生效日起不少于3年。自基金合同生效日起至本报告期末，发起资金认购的本基金基金份额持有期限已满3年。</w:t>
      </w:r>
    </w:p>
    <w:p>
      <w:pPr>
        <w:pStyle w:val="1"/>
        <w:jc w:val="center"/>
      </w:pPr>
      <w:r>
        <w:rPr>
          <w:rFonts w:ascii="宋体" w:hAnsi="宋体" w:cs="宋体" w:eastAsia="宋体"/>
        </w:rPr>
        <w:t>§9 影响投资者决策的其他重要信息</w:t>
      </w:r>
    </w:p>
    <w:p>
      <w:pPr>
        <w:pStyle w:val="2"/>
        <w:jc w:val="left"/>
      </w:pPr>
      <w:r>
        <w:rPr>
          <w:rFonts w:ascii="宋体" w:hAnsi="宋体" w:cs="宋体" w:eastAsia="宋体"/>
        </w:rPr>
        <w:t>9.1 报告期内单一投资者持有基金份额比例达到或超过20%的情况</w:t>
      </w:r>
    </w:p>
    <w:p>
      <w:r>
        <w:rPr>
          <w:rFonts w:ascii="宋体" w:hAnsi="宋体" w:cs="宋体" w:eastAsia="宋体"/>
          <w:b w:val="false"/>
        </w:rPr>
        <w:t xml:space="preserve">    本报告期内，本基金不存在单一投资者持有基金份额比例达到或超过20%的情况。</w:t>
      </w:r>
    </w:p>
    <w:p/>
    <w:p>
      <w:pPr>
        <w:pStyle w:val="2"/>
        <w:jc w:val="left"/>
      </w:pPr>
      <w:r>
        <w:rPr>
          <w:rFonts w:ascii="宋体" w:hAnsi="宋体" w:cs="宋体" w:eastAsia="宋体"/>
        </w:rPr>
        <w:t>9.2 影响投资者决策的其他重要信息</w:t>
      </w:r>
    </w:p>
    <w:p>
      <w:r>
        <w:rPr>
          <w:rFonts w:ascii="宋体" w:hAnsi="宋体" w:cs="宋体" w:eastAsia="宋体"/>
          <w:b w:val="false"/>
        </w:rPr>
        <w:t xml:space="preserve">    无。</w:t>
      </w:r>
    </w:p>
    <w:p>
      <w:pPr>
        <w:pStyle w:val="1"/>
        <w:jc w:val="center"/>
      </w:pPr>
      <w:r>
        <w:rPr>
          <w:rFonts w:ascii="宋体" w:hAnsi="宋体" w:cs="宋体" w:eastAsia="宋体"/>
        </w:rPr>
        <w:t>§10 备查文件目录</w:t>
      </w:r>
    </w:p>
    <w:p>
      <w:pPr>
        <w:pStyle w:val="2"/>
        <w:jc w:val="left"/>
      </w:pPr>
      <w:r>
        <w:rPr>
          <w:rFonts w:ascii="宋体" w:hAnsi="宋体" w:cs="宋体" w:eastAsia="宋体"/>
        </w:rPr>
        <w:t>10.1 备查文件目录</w:t>
      </w:r>
    </w:p>
    <w:p>
      <w:r>
        <w:rPr>
          <w:rFonts w:ascii="宋体" w:hAnsi="宋体" w:cs="宋体" w:eastAsia="宋体"/>
          <w:b w:val="false"/>
        </w:rPr>
        <w:t xml:space="preserve">    1、中国证券监督管理委员会批准的东方阿尔法医疗健康混合型发起式证券投资基金设立的文件；</w:t>
        <w:br/>
      </w:r>
      <w:r>
        <w:rPr>
          <w:rFonts w:ascii="宋体" w:hAnsi="宋体" w:cs="宋体" w:eastAsia="宋体"/>
          <w:b w:val="false"/>
        </w:rPr>
        <w:t xml:space="preserve">    2、《东方阿尔法医疗健康混合型发起式证券投资基金基金合同》；</w:t>
        <w:br/>
      </w:r>
      <w:r>
        <w:rPr>
          <w:rFonts w:ascii="宋体" w:hAnsi="宋体" w:cs="宋体" w:eastAsia="宋体"/>
          <w:b w:val="false"/>
        </w:rPr>
        <w:t xml:space="preserve">    3、《东方阿尔法医疗健康混合型发起式证券投资基金托管协议》；</w:t>
        <w:br/>
      </w:r>
      <w:r>
        <w:rPr>
          <w:rFonts w:ascii="宋体" w:hAnsi="宋体" w:cs="宋体" w:eastAsia="宋体"/>
          <w:b w:val="false"/>
        </w:rPr>
        <w:t xml:space="preserve">    4、《东方阿尔法医疗健康混合型发起式证券投资基金招募说明书》（含更新）；</w:t>
        <w:br/>
      </w:r>
      <w:r>
        <w:rPr>
          <w:rFonts w:ascii="宋体" w:hAnsi="宋体" w:cs="宋体" w:eastAsia="宋体"/>
          <w:b w:val="false"/>
        </w:rPr>
        <w:t xml:space="preserve">    5、基金管理人业务资格批件和营业执照。</w:t>
      </w:r>
    </w:p>
    <w:p/>
    <w:p>
      <w:pPr>
        <w:pStyle w:val="2"/>
        <w:jc w:val="left"/>
      </w:pPr>
      <w:r>
        <w:rPr>
          <w:rFonts w:ascii="宋体" w:hAnsi="宋体" w:cs="宋体" w:eastAsia="宋体"/>
        </w:rPr>
        <w:t>10.2 存放地点</w:t>
      </w:r>
    </w:p>
    <w:p>
      <w:r>
        <w:rPr>
          <w:rFonts w:ascii="宋体" w:hAnsi="宋体" w:cs="宋体" w:eastAsia="宋体"/>
          <w:b w:val="false"/>
        </w:rPr>
        <w:t xml:space="preserve">    基金管理人和基金托管人的住所。</w:t>
      </w:r>
    </w:p>
    <w:p/>
    <w:p>
      <w:pPr>
        <w:pStyle w:val="2"/>
        <w:jc w:val="left"/>
      </w:pPr>
      <w:r>
        <w:rPr>
          <w:rFonts w:ascii="宋体" w:hAnsi="宋体" w:cs="宋体" w:eastAsia="宋体"/>
        </w:rPr>
        <w:t>10.3 查阅方式</w:t>
      </w:r>
    </w:p>
    <w:p>
      <w:r>
        <w:rPr>
          <w:rFonts w:ascii="宋体" w:hAnsi="宋体" w:cs="宋体" w:eastAsia="宋体"/>
          <w:b w:val="false"/>
        </w:rPr>
        <w:t xml:space="preserve">    1、投资者可在营业时间免费查阅，也可按工本费购买复印件。</w:t>
        <w:br/>
      </w:r>
      <w:r>
        <w:rPr>
          <w:rFonts w:ascii="宋体" w:hAnsi="宋体" w:cs="宋体" w:eastAsia="宋体"/>
          <w:b w:val="false"/>
        </w:rPr>
        <w:t xml:space="preserve">    2、投资者对本报告书如有疑问，可咨询本基金管理人东方阿尔法基金管理有限公司，客户服务电话：400-930-6677（免长途话费）。</w:t>
        <w:br/>
      </w:r>
      <w:r>
        <w:rPr>
          <w:rFonts w:ascii="宋体" w:hAnsi="宋体" w:cs="宋体" w:eastAsia="宋体"/>
          <w:b w:val="false"/>
        </w:rPr>
        <w:t xml:space="preserve">    3、投资者可通过中国证监会基金电子披露网站（http://eid.csrc.gov.cn/fund/）和基金管理人网站（https://www.dfa66.com）查阅本报告书。</w:t>
      </w:r>
    </w:p>
    <w:p/>
    <w:p/>
    <w:p/>
    <w:p>
      <w:pPr>
        <w:jc w:val="right"/>
      </w:pPr>
      <w:r>
        <w:rPr>
          <w:rFonts w:ascii="宋体" w:hAnsi="宋体" w:cs="宋体" w:eastAsia="宋体"/>
          <w:b w:val="true"/>
        </w:rPr>
        <w:t>东方阿尔法基金管理有限公司</w:t>
      </w:r>
    </w:p>
    <w:p>
      <w:pPr>
        <w:jc w:val="right"/>
      </w:pPr>
      <w:r>
        <w:rPr>
          <w:rFonts w:ascii="宋体" w:hAnsi="宋体" w:cs="宋体" w:eastAsia="宋体"/>
          <w:b w:val="true"/>
        </w:rPr>
        <w:t>二〇二六年四月二十二日</w:t>
      </w:r>
    </w:p>
    <w:sectPr w:rsidR="00396EB6" w:rsidSect="000B0ABB">
      <w:headerReference w:type="even" r:id="rId8"/>
      <w:headerReference w:type="default" r:id="rId9"/>
      <w:footerReference w:type="even" r:id="rId10"/>
      <w:footerReference w:type="default" r:id="rId11"/>
      <w:headerReference w:type="first" r:id="rId12"/>
      <w:footerReference w:type="first" r:id="rId13"/>
      <w:pgSz w:w="11906" w:h="16838"/>
      <w:pgMar w:top="1440" w:right="1418" w:bottom="1440" w:left="1418"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C1C5DF" w14:textId="77777777" w:rsidR="00CF2DE6" w:rsidRDefault="00CF2DE6">
      <w:r>
        <w:separator/>
      </w:r>
    </w:p>
  </w:endnote>
  <w:endnote w:type="continuationSeparator" w:id="0">
    <w:p w14:paraId="7F07E51B" w14:textId="77777777" w:rsidR="00CF2DE6" w:rsidRDefault="00CF2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36F2E" w14:textId="77777777" w:rsidR="00210325" w:rsidRDefault="00210325">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10235" w14:textId="1E8BACBC" w:rsidR="00396EB6" w:rsidRPr="00BB3931" w:rsidRDefault="00315609">
    <w:pPr>
      <w:pBdr>
        <w:top w:val="single" w:sz="2" w:space="0" w:color="auto"/>
      </w:pBdr>
      <w:tabs>
        <w:tab w:val="right" w:pos="8640"/>
      </w:tabs>
      <w:jc w:val="center"/>
      <w:textAlignment w:val="center"/>
      <w:rPr>
        <w:rFonts w:ascii="宋体" w:eastAsia="宋体" w:hAnsi="宋体"/>
        <w:sz w:val="20"/>
        <w:szCs w:val="20"/>
      </w:rPr>
    </w:pPr>
    <w:r w:rsidRPr="00BB3931">
      <w:rPr>
        <w:rFonts w:ascii="宋体" w:eastAsia="宋体" w:hAnsi="宋体" w:cs="宋体" w:hint="eastAsia"/>
        <w:sz w:val="20"/>
        <w:szCs w:val="20"/>
        <w:lang w:bidi="ar"/>
      </w:rPr>
      <w:t>第</w:t>
    </w:r>
    <w:r w:rsidRPr="00BB3931">
      <w:rPr>
        <w:rFonts w:ascii="宋体" w:eastAsia="宋体" w:hAnsi="宋体" w:cs="Times New Roman" w:hint="eastAsia"/>
        <w:sz w:val="20"/>
        <w:szCs w:val="20"/>
        <w:lang w:bidi="ar"/>
      </w:rPr>
      <w:fldChar w:fldCharType="begin"/>
    </w:r>
    <w:r w:rsidRPr="00BB3931">
      <w:rPr>
        <w:rFonts w:ascii="宋体" w:eastAsia="宋体" w:hAnsi="宋体" w:cs="宋体" w:hint="eastAsia"/>
        <w:sz w:val="20"/>
        <w:szCs w:val="20"/>
        <w:lang w:bidi="ar"/>
      </w:rPr>
      <w:instrText>PAGE  \* MERGEFORMAT</w:instrText>
    </w:r>
    <w:r w:rsidRPr="00BB3931">
      <w:rPr>
        <w:rFonts w:ascii="宋体" w:eastAsia="宋体" w:hAnsi="宋体" w:cs="Times New Roman" w:hint="eastAsia"/>
        <w:sz w:val="20"/>
        <w:szCs w:val="20"/>
        <w:lang w:bidi="ar"/>
      </w:rPr>
      <w:fldChar w:fldCharType="separate"/>
    </w:r>
    <w:r w:rsidR="00421707" w:rsidRPr="00BB3931">
      <w:rPr>
        <w:rFonts w:ascii="宋体" w:eastAsia="宋体" w:hAnsi="宋体" w:cs="宋体"/>
        <w:noProof/>
        <w:sz w:val="20"/>
        <w:szCs w:val="20"/>
        <w:lang w:bidi="ar"/>
      </w:rPr>
      <w:t>2</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r w:rsidR="00FA6399" w:rsidRPr="00BB3931">
      <w:rPr>
        <w:rFonts w:ascii="宋体" w:eastAsia="宋体" w:hAnsi="宋体" w:cs="宋体" w:hint="eastAsia"/>
        <w:sz w:val="20"/>
        <w:szCs w:val="20"/>
        <w:lang w:bidi="ar"/>
      </w:rPr>
      <w:t>，</w:t>
    </w:r>
    <w:r w:rsidRPr="00BB3931">
      <w:rPr>
        <w:rFonts w:ascii="宋体" w:eastAsia="宋体" w:hAnsi="宋体" w:cs="宋体" w:hint="eastAsia"/>
        <w:sz w:val="20"/>
        <w:szCs w:val="20"/>
        <w:lang w:bidi="ar"/>
      </w:rPr>
      <w:t>共</w:t>
    </w:r>
    <w:r w:rsidRPr="00BB3931">
      <w:rPr>
        <w:rFonts w:ascii="宋体" w:eastAsia="宋体" w:hAnsi="宋体" w:cs="Times New Roman" w:hint="eastAsia"/>
        <w:sz w:val="20"/>
        <w:szCs w:val="20"/>
        <w:lang w:bidi="ar"/>
      </w:rPr>
      <w:fldChar w:fldCharType="begin"/>
    </w:r>
    <w:r w:rsidR="00210325" w:rsidRPr="00BB3931">
      <w:rPr>
        <w:rFonts w:ascii="宋体" w:eastAsia="宋体" w:hAnsi="宋体" w:cs="Times New Roman"/>
        <w:sz w:val="20"/>
        <w:szCs w:val="20"/>
        <w:lang w:bidi="ar"/>
      </w:rPr>
      <w:instrText>=</w:instrText>
    </w:r>
    <w:r w:rsidR="00210325" w:rsidRPr="00BB3931">
      <w:rPr>
        <w:rFonts w:ascii="宋体" w:eastAsia="宋体" w:hAnsi="宋体" w:cs="宋体"/>
        <w:sz w:val="20"/>
        <w:szCs w:val="20"/>
        <w:lang w:bidi="ar"/>
      </w:rPr>
      <w:fldChar w:fldCharType="begin"/>
    </w:r>
    <w:r w:rsidR="00210325" w:rsidRPr="00BB3931">
      <w:rPr>
        <w:rFonts w:ascii="宋体" w:eastAsia="宋体" w:hAnsi="宋体" w:cs="宋体"/>
        <w:sz w:val="20"/>
        <w:szCs w:val="20"/>
        <w:lang w:bidi="ar"/>
      </w:rPr>
      <w:instrText xml:space="preserve"> </w:instrText>
    </w:r>
    <w:r w:rsidRPr="00BB3931">
      <w:rPr>
        <w:rFonts w:ascii="宋体" w:eastAsia="宋体" w:hAnsi="宋体" w:cs="宋体" w:hint="eastAsia"/>
        <w:sz w:val="20"/>
        <w:szCs w:val="20"/>
        <w:lang w:bidi="ar"/>
      </w:rPr>
      <w:instrText>NUMPAGES</w:instrText>
    </w:r>
    <w:r w:rsidR="00210325" w:rsidRPr="00BB3931">
      <w:rPr>
        <w:rFonts w:ascii="宋体" w:eastAsia="宋体" w:hAnsi="宋体" w:cs="宋体"/>
        <w:sz w:val="20"/>
        <w:szCs w:val="20"/>
        <w:lang w:bidi="ar"/>
      </w:rPr>
      <w:instrText xml:space="preserve"> </w:instrText>
    </w:r>
    <w:r w:rsidR="00210325" w:rsidRPr="00BB3931">
      <w:rPr>
        <w:rFonts w:ascii="宋体" w:eastAsia="宋体" w:hAnsi="宋体" w:cs="宋体"/>
        <w:sz w:val="20"/>
        <w:szCs w:val="20"/>
        <w:lang w:bidi="ar"/>
      </w:rPr>
      <w:fldChar w:fldCharType="separate"/>
    </w:r>
    <w:r w:rsidR="00F07C93">
      <w:rPr>
        <w:rFonts w:ascii="宋体" w:eastAsia="宋体" w:hAnsi="宋体" w:cs="宋体"/>
        <w:noProof/>
        <w:sz w:val="20"/>
        <w:szCs w:val="20"/>
        <w:lang w:bidi="ar"/>
      </w:rPr>
      <w:instrText>2</w:instrText>
    </w:r>
    <w:r w:rsidR="00210325" w:rsidRPr="00BB3931">
      <w:rPr>
        <w:rFonts w:ascii="宋体" w:eastAsia="宋体" w:hAnsi="宋体" w:cs="宋体"/>
        <w:sz w:val="20"/>
        <w:szCs w:val="20"/>
        <w:lang w:bidi="ar"/>
      </w:rPr>
      <w:fldChar w:fldCharType="end"/>
    </w:r>
    <w:r w:rsidR="00210325" w:rsidRPr="00BB3931">
      <w:rPr>
        <w:rFonts w:ascii="宋体" w:eastAsia="宋体" w:hAnsi="宋体" w:cs="宋体"/>
        <w:sz w:val="20"/>
        <w:szCs w:val="20"/>
        <w:lang w:bidi="ar"/>
      </w:rPr>
      <w:instrText>-1</w:instrText>
    </w:r>
    <w:r w:rsidRPr="00BB3931">
      <w:rPr>
        <w:rFonts w:ascii="宋体" w:eastAsia="宋体" w:hAnsi="宋体" w:cs="Times New Roman" w:hint="eastAsia"/>
        <w:sz w:val="20"/>
        <w:szCs w:val="20"/>
        <w:lang w:bidi="ar"/>
      </w:rPr>
      <w:fldChar w:fldCharType="separate"/>
    </w:r>
    <w:r w:rsidR="00F07C93">
      <w:rPr>
        <w:rFonts w:ascii="宋体" w:eastAsia="宋体" w:hAnsi="宋体" w:cs="Times New Roman"/>
        <w:noProof/>
        <w:sz w:val="20"/>
        <w:szCs w:val="20"/>
        <w:lang w:bidi="ar"/>
      </w:rPr>
      <w:t>1</w:t>
    </w:r>
    <w:r w:rsidRPr="00BB3931">
      <w:rPr>
        <w:rFonts w:ascii="宋体" w:eastAsia="宋体" w:hAnsi="宋体" w:cs="宋体" w:hint="eastAsia"/>
        <w:sz w:val="20"/>
        <w:szCs w:val="20"/>
        <w:lang w:bidi="ar"/>
      </w:rPr>
      <w:fldChar w:fldCharType="end"/>
    </w:r>
    <w:r w:rsidRPr="00BB3931">
      <w:rPr>
        <w:rFonts w:ascii="宋体" w:eastAsia="宋体" w:hAnsi="宋体" w:cs="宋体" w:hint="eastAsia"/>
        <w:sz w:val="20"/>
        <w:szCs w:val="20"/>
        <w:lang w:bidi="ar"/>
      </w:rPr>
      <w:t>页</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04EC9" w14:textId="77777777" w:rsidR="00210325" w:rsidRDefault="00210325">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8A83EB" w14:textId="77777777" w:rsidR="00CF2DE6" w:rsidRDefault="00CF2DE6">
      <w:r>
        <w:separator/>
      </w:r>
    </w:p>
  </w:footnote>
  <w:footnote w:type="continuationSeparator" w:id="0">
    <w:p w14:paraId="6110B940" w14:textId="77777777" w:rsidR="00CF2DE6" w:rsidRDefault="00CF2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BB55B" w14:textId="77777777" w:rsidR="00210325" w:rsidRDefault="00210325">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98A64" w14:textId="77777777" w:rsidR="00396EB6" w:rsidRPr="00A53CFE" w:rsidRDefault="00315609">
    <w:pPr>
      <w:pStyle w:val="af1"/>
      <w:pBdr>
        <w:bottom w:val="single" w:sz="4" w:space="1" w:color="auto"/>
      </w:pBdr>
      <w:jc w:val="right"/>
      <w:rPr>
        <w:rFonts w:ascii="宋体" w:eastAsia="宋体" w:hAnsi="宋体"/>
      </w:rPr>
    </w:pPr>
    <w:r w:rsidRPr="00A53CFE">
      <w:rPr>
        <w:rFonts w:ascii="宋体" w:eastAsia="宋体" w:hAnsi="宋体" w:hint="eastAsia"/>
        <w:sz w:val="18"/>
      </w:rPr>
      <w:t>东方阿尔法医疗健康混合型发起式证券投资基金2026年第1季度报告</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4E7EB" w14:textId="77777777" w:rsidR="00210325" w:rsidRDefault="00210325">
    <w:pPr>
      <w:pStyle w:val="af1"/>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4F1"/>
    <w:rsid w:val="00031D8B"/>
    <w:rsid w:val="00033BEA"/>
    <w:rsid w:val="00093312"/>
    <w:rsid w:val="000934BF"/>
    <w:rsid w:val="000B0ABB"/>
    <w:rsid w:val="000B14F1"/>
    <w:rsid w:val="000D44F1"/>
    <w:rsid w:val="000F65E0"/>
    <w:rsid w:val="001567AA"/>
    <w:rsid w:val="001663E4"/>
    <w:rsid w:val="001941F0"/>
    <w:rsid w:val="001A0694"/>
    <w:rsid w:val="001A6F82"/>
    <w:rsid w:val="001E49DE"/>
    <w:rsid w:val="001E604E"/>
    <w:rsid w:val="001E72DB"/>
    <w:rsid w:val="00210325"/>
    <w:rsid w:val="00217CEB"/>
    <w:rsid w:val="0026022A"/>
    <w:rsid w:val="00294812"/>
    <w:rsid w:val="002C6A0C"/>
    <w:rsid w:val="002D4665"/>
    <w:rsid w:val="00315609"/>
    <w:rsid w:val="00324653"/>
    <w:rsid w:val="0039693D"/>
    <w:rsid w:val="00396EB6"/>
    <w:rsid w:val="003B4810"/>
    <w:rsid w:val="00421707"/>
    <w:rsid w:val="004245F7"/>
    <w:rsid w:val="00435171"/>
    <w:rsid w:val="0048630B"/>
    <w:rsid w:val="004A5321"/>
    <w:rsid w:val="004F33D8"/>
    <w:rsid w:val="004F7772"/>
    <w:rsid w:val="005037A9"/>
    <w:rsid w:val="00514F66"/>
    <w:rsid w:val="00536F98"/>
    <w:rsid w:val="005370B1"/>
    <w:rsid w:val="0054091C"/>
    <w:rsid w:val="005826D5"/>
    <w:rsid w:val="005B565C"/>
    <w:rsid w:val="005D1F67"/>
    <w:rsid w:val="00657345"/>
    <w:rsid w:val="00686AE6"/>
    <w:rsid w:val="006935A0"/>
    <w:rsid w:val="00695511"/>
    <w:rsid w:val="006C560C"/>
    <w:rsid w:val="007A3B64"/>
    <w:rsid w:val="007B3AFF"/>
    <w:rsid w:val="007F3D78"/>
    <w:rsid w:val="00801225"/>
    <w:rsid w:val="00832DA1"/>
    <w:rsid w:val="008432E9"/>
    <w:rsid w:val="008F2779"/>
    <w:rsid w:val="00917A48"/>
    <w:rsid w:val="0092608A"/>
    <w:rsid w:val="00931CFE"/>
    <w:rsid w:val="009A04DF"/>
    <w:rsid w:val="009A27BD"/>
    <w:rsid w:val="009C2384"/>
    <w:rsid w:val="009C68F3"/>
    <w:rsid w:val="009F43BC"/>
    <w:rsid w:val="00A53CFE"/>
    <w:rsid w:val="00A76644"/>
    <w:rsid w:val="00AB695A"/>
    <w:rsid w:val="00B02205"/>
    <w:rsid w:val="00B659D3"/>
    <w:rsid w:val="00BA1D2B"/>
    <w:rsid w:val="00BB3931"/>
    <w:rsid w:val="00BB5499"/>
    <w:rsid w:val="00BD2190"/>
    <w:rsid w:val="00C05CA1"/>
    <w:rsid w:val="00C06BEF"/>
    <w:rsid w:val="00C1377F"/>
    <w:rsid w:val="00C370BD"/>
    <w:rsid w:val="00C86ED5"/>
    <w:rsid w:val="00CA50CC"/>
    <w:rsid w:val="00CF2DE6"/>
    <w:rsid w:val="00D155B6"/>
    <w:rsid w:val="00D91EBF"/>
    <w:rsid w:val="00DB110D"/>
    <w:rsid w:val="00DE3FE0"/>
    <w:rsid w:val="00E220FA"/>
    <w:rsid w:val="00E44EAD"/>
    <w:rsid w:val="00E6731E"/>
    <w:rsid w:val="00E67AEA"/>
    <w:rsid w:val="00E913D3"/>
    <w:rsid w:val="00EC2CEF"/>
    <w:rsid w:val="00EE18AB"/>
    <w:rsid w:val="00F07C93"/>
    <w:rsid w:val="00F1496B"/>
    <w:rsid w:val="00F32DCB"/>
    <w:rsid w:val="00FA0949"/>
    <w:rsid w:val="00FA22F7"/>
    <w:rsid w:val="00FA6399"/>
    <w:rsid w:val="00FE53D3"/>
    <w:rsid w:val="17FF4F08"/>
    <w:rsid w:val="312016A7"/>
    <w:rsid w:val="328572ED"/>
    <w:rsid w:val="3E9A1429"/>
    <w:rsid w:val="5EE34946"/>
    <w:rsid w:val="62671060"/>
    <w:rsid w:val="67517C74"/>
    <w:rsid w:val="791E22E2"/>
    <w:rsid w:val="7A382AC9"/>
    <w:rsid w:val="7F246E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FFCBC"/>
  <w15:docId w15:val="{D89B03D2-9D7D-433E-9AEE-2EA6D7CF9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649"/>
    <w:pPr>
      <w:widowControl w:val="0"/>
      <w:spacing w:line="288" w:lineRule="auto"/>
      <w:jc w:val="both"/>
    </w:pPr>
    <w:rPr>
      <w:rFonts w:eastAsia="宋体"/>
    </w:rPr>
  </w:style>
  <w:style w:type="paragraph" w:styleId="1">
    <w:name w:val="heading 1"/>
    <w:aliases w:val="1"/>
    <w:basedOn w:val="a"/>
    <w:next w:val="a"/>
    <w:link w:val="10"/>
    <w:uiPriority w:val="9"/>
    <w:qFormat/>
    <w:rsid w:val="001B05B3"/>
    <w:pPr>
      <w:spacing w:before="340" w:after="330" w:line="576" w:lineRule="auto"/>
      <w:jc w:val="center"/>
      <w:outlineLvl w:val="0"/>
    </w:pPr>
    <w:rPr>
      <w:b/>
      <w:bCs/>
      <w:kern w:val="44"/>
      <w:sz w:val="24"/>
      <w:szCs w:val="44"/>
    </w:rPr>
  </w:style>
  <w:style w:type="paragraph" w:styleId="2">
    <w:name w:val="heading 2"/>
    <w:aliases w:val="2"/>
    <w:basedOn w:val="a"/>
    <w:next w:val="a"/>
    <w:link w:val="20"/>
    <w:uiPriority w:val="9"/>
    <w:unhideWhenUsed/>
    <w:qFormat/>
    <w:rsid w:val="00A5263B"/>
    <w:pPr>
      <w:adjustRightInd w:val="0"/>
      <w:spacing w:line="360" w:lineRule="auto"/>
      <w:jc w:val="left"/>
      <w:outlineLvl w:val="1"/>
    </w:pPr>
    <w:rPr>
      <w:rFonts w:asciiTheme="majorHAnsi" w:hAnsiTheme="majorHAnsi" w:cstheme="majorBidi"/>
      <w:b/>
      <w:bCs/>
      <w:sz w:val="24"/>
      <w:szCs w:val="32"/>
    </w:rPr>
  </w:style>
  <w:style w:type="paragraph" w:styleId="3">
    <w:name w:val="heading 3"/>
    <w:aliases w:val="3"/>
    <w:basedOn w:val="a"/>
    <w:next w:val="a"/>
    <w:link w:val="30"/>
    <w:uiPriority w:val="9"/>
    <w:unhideWhenUsed/>
    <w:qFormat/>
    <w:rsid w:val="00A5263B"/>
    <w:pPr>
      <w:keepNext/>
      <w:keepLines/>
      <w:spacing w:line="360" w:lineRule="auto"/>
      <w:outlineLvl w:val="2"/>
    </w:pPr>
    <w:rPr>
      <w:b/>
      <w:bCs/>
      <w:sz w:val="24"/>
      <w:szCs w:val="32"/>
    </w:rPr>
  </w:style>
  <w:style w:type="paragraph" w:styleId="4">
    <w:name w:val="heading 4"/>
    <w:basedOn w:val="a"/>
    <w:next w:val="a"/>
    <w:link w:val="40"/>
    <w:uiPriority w:val="9"/>
    <w:semiHidden/>
    <w:unhideWhenUsed/>
    <w:qFormat/>
    <w:rsid w:val="004A5321"/>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代码样式"/>
    <w:link w:val="Char"/>
    <w:qFormat/>
    <w:rsid w:val="004A5321"/>
    <w:pPr>
      <w:pBdr>
        <w:top w:val="single" w:sz="4" w:space="1" w:color="auto"/>
        <w:left w:val="single" w:sz="4" w:space="4" w:color="auto"/>
        <w:bottom w:val="single" w:sz="4" w:space="1" w:color="auto"/>
        <w:right w:val="single" w:sz="4" w:space="4" w:color="auto"/>
      </w:pBdr>
      <w:shd w:val="clear" w:color="auto" w:fill="A8D08D" w:themeFill="accent6" w:themeFillTint="99"/>
      <w:spacing w:beforeLines="50" w:afterLines="50"/>
      <w:ind w:leftChars="50" w:left="50" w:rightChars="50" w:right="50"/>
    </w:pPr>
  </w:style>
  <w:style w:type="character" w:customStyle="1" w:styleId="Char">
    <w:name w:val="代码样式 Char"/>
    <w:basedOn w:val="a0"/>
    <w:link w:val="a3"/>
    <w:qFormat/>
    <w:rsid w:val="004A5321"/>
    <w:rPr>
      <w:shd w:val="clear" w:color="auto" w:fill="A8D08D" w:themeFill="accent6" w:themeFillTint="99"/>
    </w:rPr>
  </w:style>
  <w:style w:type="character" w:customStyle="1" w:styleId="10">
    <w:name w:val="标题 1 字符"/>
    <w:aliases w:val="1 字符"/>
    <w:basedOn w:val="a0"/>
    <w:link w:val="1"/>
    <w:uiPriority w:val="9"/>
    <w:qFormat/>
    <w:rsid w:val="001B05B3"/>
    <w:rPr>
      <w:rFonts w:eastAsia="宋体"/>
      <w:b/>
      <w:bCs/>
      <w:kern w:val="44"/>
      <w:sz w:val="24"/>
      <w:szCs w:val="44"/>
    </w:rPr>
  </w:style>
  <w:style w:type="character" w:customStyle="1" w:styleId="20">
    <w:name w:val="标题 2 字符"/>
    <w:aliases w:val="2 字符"/>
    <w:basedOn w:val="a0"/>
    <w:link w:val="2"/>
    <w:uiPriority w:val="9"/>
    <w:rsid w:val="00A5263B"/>
    <w:rPr>
      <w:rFonts w:asciiTheme="majorHAnsi" w:eastAsia="宋体" w:hAnsiTheme="majorHAnsi" w:cstheme="majorBidi"/>
      <w:b/>
      <w:bCs/>
      <w:sz w:val="24"/>
      <w:szCs w:val="32"/>
    </w:rPr>
  </w:style>
  <w:style w:type="character" w:customStyle="1" w:styleId="30">
    <w:name w:val="标题 3 字符"/>
    <w:aliases w:val="3 字符"/>
    <w:basedOn w:val="a0"/>
    <w:link w:val="3"/>
    <w:uiPriority w:val="9"/>
    <w:rsid w:val="00A5263B"/>
    <w:rPr>
      <w:rFonts w:eastAsia="宋体"/>
      <w:b/>
      <w:bCs/>
      <w:sz w:val="24"/>
      <w:szCs w:val="32"/>
    </w:rPr>
  </w:style>
  <w:style w:type="character" w:customStyle="1" w:styleId="40">
    <w:name w:val="标题 4 字符"/>
    <w:basedOn w:val="a0"/>
    <w:link w:val="4"/>
    <w:uiPriority w:val="9"/>
    <w:semiHidden/>
    <w:rsid w:val="004A5321"/>
    <w:rPr>
      <w:rFonts w:asciiTheme="majorHAnsi" w:eastAsiaTheme="majorEastAsia" w:hAnsiTheme="majorHAnsi" w:cstheme="majorBidi"/>
      <w:b/>
      <w:bCs/>
      <w:sz w:val="28"/>
      <w:szCs w:val="28"/>
    </w:rPr>
  </w:style>
  <w:style w:type="paragraph" w:styleId="TOC1">
    <w:name w:val="toc 1"/>
    <w:basedOn w:val="a"/>
    <w:next w:val="a"/>
    <w:autoRedefine/>
    <w:uiPriority w:val="39"/>
    <w:unhideWhenUsed/>
    <w:rsid w:val="00D309ED"/>
    <w:pPr>
      <w:tabs>
        <w:tab w:val="right" w:leader="dot" w:pos="9060"/>
      </w:tabs>
      <w:spacing w:line="240" w:lineRule="auto"/>
      <w:jc w:val="left"/>
    </w:pPr>
    <w:rPr>
      <w:b/>
      <w:bCs/>
      <w:caps/>
      <w:szCs w:val="20"/>
    </w:rPr>
  </w:style>
  <w:style w:type="paragraph" w:styleId="TOC2">
    <w:name w:val="toc 2"/>
    <w:basedOn w:val="a"/>
    <w:next w:val="a"/>
    <w:autoRedefine/>
    <w:uiPriority w:val="39"/>
    <w:unhideWhenUsed/>
    <w:rsid w:val="002E045B"/>
    <w:pPr>
      <w:spacing w:line="240" w:lineRule="auto"/>
      <w:ind w:left="210"/>
      <w:jc w:val="left"/>
    </w:pPr>
    <w:rPr>
      <w:smallCaps/>
      <w:szCs w:val="20"/>
    </w:rPr>
  </w:style>
  <w:style w:type="paragraph" w:styleId="TOC3">
    <w:name w:val="toc 3"/>
    <w:basedOn w:val="a"/>
    <w:next w:val="a"/>
    <w:autoRedefine/>
    <w:uiPriority w:val="39"/>
    <w:unhideWhenUsed/>
    <w:rsid w:val="002E045B"/>
    <w:pPr>
      <w:spacing w:line="240" w:lineRule="auto"/>
      <w:ind w:left="420"/>
      <w:jc w:val="left"/>
    </w:pPr>
    <w:rPr>
      <w:i/>
      <w:iCs/>
      <w:szCs w:val="20"/>
    </w:rPr>
  </w:style>
  <w:style w:type="paragraph" w:styleId="a4">
    <w:name w:val="Normal Indent"/>
    <w:basedOn w:val="a"/>
    <w:link w:val="a5"/>
    <w:uiPriority w:val="99"/>
    <w:semiHidden/>
    <w:unhideWhenUsed/>
    <w:rsid w:val="004A5321"/>
    <w:pPr>
      <w:ind w:firstLineChars="200" w:firstLine="420"/>
    </w:pPr>
  </w:style>
  <w:style w:type="character" w:customStyle="1" w:styleId="a5">
    <w:name w:val="正文缩进 字符"/>
    <w:link w:val="a4"/>
    <w:uiPriority w:val="99"/>
    <w:semiHidden/>
    <w:qFormat/>
    <w:rsid w:val="004A5321"/>
    <w:rPr>
      <w:rFonts w:asciiTheme="minorHAnsi" w:eastAsiaTheme="minorEastAsia" w:hAnsiTheme="minorHAnsi" w:cstheme="minorBidi"/>
      <w:sz w:val="21"/>
      <w:szCs w:val="22"/>
    </w:rPr>
  </w:style>
  <w:style w:type="paragraph" w:styleId="a6">
    <w:name w:val="annotation text"/>
    <w:basedOn w:val="a"/>
    <w:link w:val="a7"/>
    <w:uiPriority w:val="99"/>
    <w:semiHidden/>
    <w:unhideWhenUsed/>
    <w:rsid w:val="004A5321"/>
    <w:pPr>
      <w:jc w:val="left"/>
    </w:pPr>
  </w:style>
  <w:style w:type="character" w:customStyle="1" w:styleId="a7">
    <w:name w:val="批注文字 字符"/>
    <w:basedOn w:val="a0"/>
    <w:link w:val="a6"/>
    <w:uiPriority w:val="99"/>
    <w:semiHidden/>
    <w:rsid w:val="004A5321"/>
    <w:rPr>
      <w:rFonts w:asciiTheme="minorHAnsi" w:eastAsiaTheme="minorEastAsia" w:hAnsiTheme="minorHAnsi" w:cstheme="minorBidi"/>
      <w:sz w:val="21"/>
      <w:szCs w:val="22"/>
    </w:rPr>
  </w:style>
  <w:style w:type="paragraph" w:styleId="a8">
    <w:name w:val="header"/>
    <w:basedOn w:val="a"/>
    <w:link w:val="a9"/>
    <w:uiPriority w:val="99"/>
    <w:unhideWhenUsed/>
    <w:rsid w:val="004A5321"/>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4A5321"/>
    <w:rPr>
      <w:rFonts w:asciiTheme="minorHAnsi" w:eastAsiaTheme="minorEastAsia" w:hAnsiTheme="minorHAnsi" w:cstheme="minorBidi"/>
      <w:sz w:val="18"/>
      <w:szCs w:val="18"/>
    </w:rPr>
  </w:style>
  <w:style w:type="paragraph" w:styleId="aa">
    <w:name w:val="footer"/>
    <w:basedOn w:val="a"/>
    <w:link w:val="ab"/>
    <w:uiPriority w:val="99"/>
    <w:unhideWhenUsed/>
    <w:rsid w:val="004A5321"/>
    <w:pPr>
      <w:tabs>
        <w:tab w:val="center" w:pos="4153"/>
        <w:tab w:val="right" w:pos="8306"/>
      </w:tabs>
      <w:snapToGrid w:val="0"/>
      <w:jc w:val="left"/>
    </w:pPr>
    <w:rPr>
      <w:sz w:val="18"/>
      <w:szCs w:val="18"/>
    </w:rPr>
  </w:style>
  <w:style w:type="character" w:customStyle="1" w:styleId="ab">
    <w:name w:val="页脚 字符"/>
    <w:basedOn w:val="a0"/>
    <w:link w:val="aa"/>
    <w:uiPriority w:val="99"/>
    <w:rsid w:val="004A5321"/>
    <w:rPr>
      <w:rFonts w:asciiTheme="minorHAnsi" w:eastAsiaTheme="minorEastAsia" w:hAnsiTheme="minorHAnsi" w:cstheme="minorBidi"/>
      <w:sz w:val="18"/>
      <w:szCs w:val="18"/>
    </w:rPr>
  </w:style>
  <w:style w:type="character" w:styleId="ac">
    <w:name w:val="annotation reference"/>
    <w:basedOn w:val="a0"/>
    <w:uiPriority w:val="99"/>
    <w:semiHidden/>
    <w:unhideWhenUsed/>
    <w:rsid w:val="004A5321"/>
    <w:rPr>
      <w:sz w:val="21"/>
      <w:szCs w:val="21"/>
    </w:rPr>
  </w:style>
  <w:style w:type="paragraph" w:styleId="ad">
    <w:name w:val="Body Text"/>
    <w:basedOn w:val="a"/>
    <w:link w:val="ae"/>
    <w:uiPriority w:val="99"/>
    <w:semiHidden/>
    <w:unhideWhenUsed/>
    <w:rsid w:val="004A5321"/>
    <w:pPr>
      <w:spacing w:after="120"/>
    </w:pPr>
  </w:style>
  <w:style w:type="character" w:customStyle="1" w:styleId="ae">
    <w:name w:val="正文文本 字符"/>
    <w:basedOn w:val="a0"/>
    <w:link w:val="ad"/>
    <w:uiPriority w:val="99"/>
    <w:semiHidden/>
    <w:rsid w:val="004A5321"/>
    <w:rPr>
      <w:rFonts w:asciiTheme="minorHAnsi" w:eastAsiaTheme="minorEastAsia" w:hAnsiTheme="minorHAnsi" w:cstheme="minorBidi"/>
      <w:sz w:val="21"/>
      <w:szCs w:val="22"/>
    </w:rPr>
  </w:style>
  <w:style w:type="paragraph" w:styleId="af">
    <w:name w:val="Date"/>
    <w:basedOn w:val="a"/>
    <w:next w:val="a"/>
    <w:link w:val="af0"/>
    <w:uiPriority w:val="99"/>
    <w:semiHidden/>
    <w:unhideWhenUsed/>
    <w:rsid w:val="004A5321"/>
    <w:pPr>
      <w:ind w:leftChars="2500" w:left="100"/>
    </w:pPr>
  </w:style>
  <w:style w:type="character" w:customStyle="1" w:styleId="af0">
    <w:name w:val="日期 字符"/>
    <w:basedOn w:val="a0"/>
    <w:link w:val="af"/>
    <w:uiPriority w:val="99"/>
    <w:semiHidden/>
    <w:rsid w:val="004A5321"/>
    <w:rPr>
      <w:rFonts w:asciiTheme="minorHAnsi" w:eastAsiaTheme="minorEastAsia" w:hAnsiTheme="minorHAnsi" w:cstheme="minorBidi"/>
      <w:sz w:val="21"/>
      <w:szCs w:val="22"/>
    </w:rPr>
  </w:style>
  <w:style w:type="character" w:styleId="af1">
    <w:name w:val="Hyperlink"/>
    <w:basedOn w:val="a0"/>
    <w:uiPriority w:val="99"/>
    <w:unhideWhenUsed/>
    <w:rsid w:val="004A5321"/>
    <w:rPr>
      <w:color w:val="0000FF"/>
      <w:u w:val="single"/>
    </w:rPr>
  </w:style>
  <w:style w:type="character" w:styleId="af2">
    <w:name w:val="Strong"/>
    <w:basedOn w:val="a0"/>
    <w:uiPriority w:val="22"/>
    <w:qFormat/>
    <w:rsid w:val="004A5321"/>
    <w:rPr>
      <w:b/>
      <w:bCs/>
    </w:rPr>
  </w:style>
  <w:style w:type="paragraph" w:styleId="af3">
    <w:name w:val="Plain Text"/>
    <w:basedOn w:val="a"/>
    <w:link w:val="af4"/>
    <w:uiPriority w:val="99"/>
    <w:semiHidden/>
    <w:unhideWhenUsed/>
    <w:rsid w:val="004A5321"/>
    <w:rPr>
      <w:rFonts w:asciiTheme="minorEastAsia" w:hAnsi="Courier New" w:cs="Courier New"/>
    </w:rPr>
  </w:style>
  <w:style w:type="character" w:customStyle="1" w:styleId="af4">
    <w:name w:val="纯文本 字符"/>
    <w:basedOn w:val="a0"/>
    <w:link w:val="af3"/>
    <w:uiPriority w:val="99"/>
    <w:semiHidden/>
    <w:rsid w:val="004A5321"/>
    <w:rPr>
      <w:rFonts w:asciiTheme="minorEastAsia" w:eastAsiaTheme="minorEastAsia" w:hAnsi="Courier New" w:cs="Courier New"/>
      <w:sz w:val="21"/>
      <w:szCs w:val="22"/>
    </w:rPr>
  </w:style>
  <w:style w:type="paragraph" w:styleId="af5">
    <w:name w:val="Normal (Web)"/>
    <w:basedOn w:val="a"/>
    <w:uiPriority w:val="99"/>
    <w:semiHidden/>
    <w:unhideWhenUsed/>
    <w:rsid w:val="004A5321"/>
    <w:rPr>
      <w:rFonts w:ascii="Times New Roman" w:hAnsi="Times New Roman" w:cs="宋体"/>
      <w:sz w:val="24"/>
      <w:szCs w:val="24"/>
    </w:rPr>
  </w:style>
  <w:style w:type="character" w:styleId="HTML">
    <w:name w:val="HTML Code"/>
    <w:basedOn w:val="a0"/>
    <w:uiPriority w:val="99"/>
    <w:semiHidden/>
    <w:unhideWhenUsed/>
    <w:rsid w:val="004A5321"/>
    <w:rPr>
      <w:rFonts w:ascii="Courier New" w:hAnsi="Courier New" w:cs="Courier New"/>
      <w:sz w:val="20"/>
      <w:szCs w:val="20"/>
    </w:rPr>
  </w:style>
  <w:style w:type="paragraph" w:styleId="af6">
    <w:name w:val="annotation subject"/>
    <w:basedOn w:val="a6"/>
    <w:next w:val="a6"/>
    <w:link w:val="af7"/>
    <w:uiPriority w:val="99"/>
    <w:semiHidden/>
    <w:unhideWhenUsed/>
    <w:rsid w:val="004A5321"/>
    <w:rPr>
      <w:b/>
      <w:bCs/>
    </w:rPr>
  </w:style>
  <w:style w:type="character" w:customStyle="1" w:styleId="af7">
    <w:name w:val="批注主题 字符"/>
    <w:basedOn w:val="a7"/>
    <w:link w:val="af6"/>
    <w:uiPriority w:val="99"/>
    <w:semiHidden/>
    <w:rsid w:val="004A5321"/>
    <w:rPr>
      <w:rFonts w:asciiTheme="minorHAnsi" w:eastAsiaTheme="minorEastAsia" w:hAnsiTheme="minorHAnsi" w:cstheme="minorBidi"/>
      <w:b/>
      <w:bCs/>
      <w:sz w:val="21"/>
      <w:szCs w:val="22"/>
    </w:rPr>
  </w:style>
  <w:style w:type="paragraph" w:styleId="af8">
    <w:name w:val="Balloon Text"/>
    <w:basedOn w:val="a"/>
    <w:link w:val="af9"/>
    <w:uiPriority w:val="99"/>
    <w:semiHidden/>
    <w:unhideWhenUsed/>
    <w:rsid w:val="004A5321"/>
    <w:rPr>
      <w:sz w:val="18"/>
      <w:szCs w:val="18"/>
    </w:rPr>
  </w:style>
  <w:style w:type="character" w:customStyle="1" w:styleId="af9">
    <w:name w:val="批注框文本 字符"/>
    <w:basedOn w:val="a0"/>
    <w:link w:val="af8"/>
    <w:uiPriority w:val="99"/>
    <w:semiHidden/>
    <w:rsid w:val="004A5321"/>
    <w:rPr>
      <w:rFonts w:asciiTheme="minorHAnsi" w:eastAsiaTheme="minorEastAsia" w:hAnsiTheme="minorHAnsi" w:cstheme="minorBidi"/>
      <w:sz w:val="18"/>
      <w:szCs w:val="18"/>
    </w:rPr>
  </w:style>
  <w:style w:type="table" w:styleId="afa">
    <w:name w:val="Table Grid"/>
    <w:basedOn w:val="a1"/>
    <w:uiPriority w:val="39"/>
    <w:rsid w:val="004A5321"/>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semiHidden/>
    <w:unhideWhenUsed/>
    <w:rsid w:val="004A5321"/>
    <w:rPr>
      <w:rFonts w:ascii="Times New Roman" w:eastAsia="宋体" w:hAnsi="Times New Roman" w:cs="Times New Roman"/>
      <w:kern w:val="0"/>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afb">
    <w:name w:val="List Paragraph"/>
    <w:basedOn w:val="a"/>
    <w:uiPriority w:val="34"/>
    <w:qFormat/>
    <w:rsid w:val="004A5321"/>
    <w:pPr>
      <w:ind w:firstLineChars="200" w:firstLine="420"/>
    </w:pPr>
  </w:style>
  <w:style w:type="paragraph" w:styleId="afc">
    <w:name w:val="Title"/>
    <w:basedOn w:val="a"/>
    <w:next w:val="a"/>
    <w:link w:val="afd"/>
    <w:uiPriority w:val="10"/>
    <w:qFormat/>
    <w:rsid w:val="004A5321"/>
    <w:pPr>
      <w:spacing w:before="240" w:after="60"/>
      <w:jc w:val="center"/>
      <w:outlineLvl w:val="0"/>
    </w:pPr>
    <w:rPr>
      <w:rFonts w:asciiTheme="majorHAnsi" w:eastAsiaTheme="majorEastAsia" w:hAnsiTheme="majorHAnsi" w:cstheme="majorBidi"/>
      <w:b/>
      <w:bCs/>
      <w:sz w:val="32"/>
      <w:szCs w:val="32"/>
    </w:rPr>
  </w:style>
  <w:style w:type="character" w:customStyle="1" w:styleId="afd">
    <w:name w:val="标题 字符"/>
    <w:basedOn w:val="a0"/>
    <w:link w:val="afc"/>
    <w:uiPriority w:val="10"/>
    <w:rsid w:val="004A5321"/>
    <w:rPr>
      <w:rFonts w:asciiTheme="majorHAnsi" w:eastAsiaTheme="majorEastAsia" w:hAnsiTheme="majorHAnsi" w:cstheme="majorBidi"/>
      <w:b/>
      <w:bCs/>
      <w:sz w:val="32"/>
      <w:szCs w:val="32"/>
    </w:rPr>
  </w:style>
  <w:style w:type="paragraph" w:customStyle="1" w:styleId="biaogeleft">
    <w:name w:val="biaoge_left"/>
    <w:basedOn w:val="a"/>
    <w:rsid w:val="005C5A2D"/>
    <w:pPr>
      <w:widowControl/>
      <w:autoSpaceDE w:val="0"/>
      <w:autoSpaceDN w:val="0"/>
      <w:adjustRightInd w:val="0"/>
      <w:spacing w:before="29"/>
      <w:ind w:left="15"/>
      <w:jc w:val="left"/>
    </w:pPr>
    <w:rPr>
      <w:rFonts w:ascii="宋体" w:hAnsi="宋体" w:cs="宋体"/>
      <w:kern w:val="0"/>
      <w:szCs w:val="24"/>
    </w:rPr>
  </w:style>
  <w:style w:type="paragraph" w:customStyle="1" w:styleId="biaogecenter">
    <w:name w:val="biaoge_center"/>
    <w:basedOn w:val="a"/>
    <w:rsid w:val="005C5A2D"/>
    <w:pPr>
      <w:widowControl/>
      <w:autoSpaceDE w:val="0"/>
      <w:autoSpaceDN w:val="0"/>
      <w:adjustRightInd w:val="0"/>
      <w:spacing w:before="29"/>
      <w:ind w:left="15"/>
      <w:jc w:val="center"/>
    </w:pPr>
    <w:rPr>
      <w:rFonts w:ascii="宋体" w:hAnsi="宋体" w:cs="宋体"/>
      <w:kern w:val="0"/>
      <w:szCs w:val="24"/>
    </w:rPr>
  </w:style>
  <w:style w:type="paragraph" w:customStyle="1" w:styleId="biaogeright">
    <w:name w:val="biaoge_right"/>
    <w:basedOn w:val="a"/>
    <w:rsid w:val="005C5A2D"/>
    <w:pPr>
      <w:widowControl/>
      <w:autoSpaceDE w:val="0"/>
      <w:autoSpaceDN w:val="0"/>
      <w:adjustRightInd w:val="0"/>
      <w:spacing w:before="29"/>
      <w:ind w:left="15"/>
      <w:jc w:val="right"/>
    </w:pPr>
    <w:rPr>
      <w:rFonts w:ascii="宋体" w:hAnsi="宋体" w:cs="宋体"/>
      <w:kern w:val="0"/>
      <w:szCs w:val="24"/>
    </w:rPr>
  </w:style>
  <w:style w:type="character" w:customStyle="1" w:styleId="zw">
    <w:name w:val="zw"/>
    <w:basedOn w:val="a0"/>
    <w:uiPriority w:val="1"/>
    <w:qFormat/>
    <w:rsid w:val="00EA2BBA"/>
    <w:rPr>
      <w:rFonts w:ascii="宋体" w:eastAsia="宋体" w:hAnsi="宋体"/>
      <w:color w:val="000000" w:themeColor="text1"/>
      <w:sz w:val="21"/>
    </w:rPr>
  </w:style>
  <w:style w:type="paragraph" w:styleId="TOC">
    <w:name w:val="TOC Heading"/>
    <w:basedOn w:val="1"/>
    <w:next w:val="a"/>
    <w:uiPriority w:val="39"/>
    <w:unhideWhenUsed/>
    <w:qFormat/>
    <w:rsid w:val="006907AF"/>
    <w:pPr>
      <w:keepNext/>
      <w:keepLines/>
      <w:widowControl/>
      <w:spacing w:before="24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TOC4">
    <w:name w:val="toc 4"/>
    <w:basedOn w:val="a"/>
    <w:next w:val="a"/>
    <w:autoRedefine/>
    <w:uiPriority w:val="39"/>
    <w:unhideWhenUsed/>
    <w:rsid w:val="001A4FE5"/>
    <w:pPr>
      <w:ind w:left="630"/>
      <w:jc w:val="left"/>
    </w:pPr>
    <w:rPr>
      <w:sz w:val="18"/>
      <w:szCs w:val="18"/>
    </w:rPr>
  </w:style>
  <w:style w:type="paragraph" w:styleId="TOC5">
    <w:name w:val="toc 5"/>
    <w:basedOn w:val="a"/>
    <w:next w:val="a"/>
    <w:autoRedefine/>
    <w:uiPriority w:val="39"/>
    <w:unhideWhenUsed/>
    <w:rsid w:val="001A4FE5"/>
    <w:pPr>
      <w:ind w:left="840"/>
      <w:jc w:val="left"/>
    </w:pPr>
    <w:rPr>
      <w:sz w:val="18"/>
      <w:szCs w:val="18"/>
    </w:rPr>
  </w:style>
  <w:style w:type="paragraph" w:styleId="TOC6">
    <w:name w:val="toc 6"/>
    <w:basedOn w:val="a"/>
    <w:next w:val="a"/>
    <w:autoRedefine/>
    <w:uiPriority w:val="39"/>
    <w:unhideWhenUsed/>
    <w:rsid w:val="001A4FE5"/>
    <w:pPr>
      <w:ind w:left="1050"/>
      <w:jc w:val="left"/>
    </w:pPr>
    <w:rPr>
      <w:sz w:val="18"/>
      <w:szCs w:val="18"/>
    </w:rPr>
  </w:style>
  <w:style w:type="paragraph" w:styleId="TOC7">
    <w:name w:val="toc 7"/>
    <w:basedOn w:val="a"/>
    <w:next w:val="a"/>
    <w:autoRedefine/>
    <w:uiPriority w:val="39"/>
    <w:unhideWhenUsed/>
    <w:rsid w:val="001A4FE5"/>
    <w:pPr>
      <w:ind w:left="1260"/>
      <w:jc w:val="left"/>
    </w:pPr>
    <w:rPr>
      <w:sz w:val="18"/>
      <w:szCs w:val="18"/>
    </w:rPr>
  </w:style>
  <w:style w:type="paragraph" w:styleId="TOC8">
    <w:name w:val="toc 8"/>
    <w:basedOn w:val="a"/>
    <w:next w:val="a"/>
    <w:autoRedefine/>
    <w:uiPriority w:val="39"/>
    <w:unhideWhenUsed/>
    <w:rsid w:val="000160C2"/>
    <w:pPr>
      <w:ind w:left="1470"/>
      <w:jc w:val="left"/>
    </w:pPr>
    <w:rPr>
      <w:rFonts w:eastAsiaTheme="minorHAnsi"/>
      <w:sz w:val="18"/>
      <w:szCs w:val="18"/>
    </w:rPr>
  </w:style>
  <w:style w:type="paragraph" w:styleId="TOC9">
    <w:name w:val="toc 9"/>
    <w:basedOn w:val="a"/>
    <w:next w:val="a"/>
    <w:autoRedefine/>
    <w:uiPriority w:val="39"/>
    <w:unhideWhenUsed/>
    <w:rsid w:val="000160C2"/>
    <w:pPr>
      <w:ind w:left="1680"/>
      <w:jc w:val="left"/>
    </w:pPr>
    <w:rPr>
      <w:rFonts w:eastAsiaTheme="minorHAnsi"/>
      <w:sz w:val="18"/>
      <w:szCs w:val="18"/>
    </w:rPr>
  </w:style>
  <w:style w:type="paragraph" w:styleId="afe">
    <w:name w:val="Document Map"/>
    <w:basedOn w:val="a"/>
    <w:link w:val="aff"/>
    <w:uiPriority w:val="99"/>
    <w:semiHidden/>
    <w:unhideWhenUsed/>
    <w:rsid w:val="001A4FE5"/>
    <w:rPr>
      <w:rFonts w:ascii="宋体"/>
      <w:sz w:val="18"/>
      <w:szCs w:val="18"/>
    </w:rPr>
  </w:style>
  <w:style w:type="character" w:customStyle="1" w:styleId="aff">
    <w:name w:val="文档结构图 字符"/>
    <w:basedOn w:val="a0"/>
    <w:link w:val="afe"/>
    <w:uiPriority w:val="99"/>
    <w:semiHidden/>
    <w:rsid w:val="001A4FE5"/>
    <w:rPr>
      <w:rFonts w:ascii="宋体" w:eastAsia="宋体"/>
      <w:sz w:val="18"/>
      <w:szCs w:val="18"/>
    </w:rPr>
  </w:style>
  <w:style w:type="paragraph" w:customStyle="1" w:styleId="zhangjiep2">
    <w:name w:val="zhangjie_p2"/>
    <w:basedOn w:val="a"/>
    <w:next w:val="a"/>
    <w:autoRedefine/>
    <w:qFormat/>
    <w:rsid w:val="00BB5D3E"/>
    <w:pPr>
      <w:spacing w:line="240" w:lineRule="auto"/>
      <w:jc w:val="left"/>
    </w:pPr>
    <w:rPr>
      <w:bCs/>
      <w:iCs/>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3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16" Target="media/image1.png" Type="http://schemas.openxmlformats.org/officeDocument/2006/relationships/image"/><Relationship Id="rId17" Target="media/image2.png" Type="http://schemas.openxmlformats.org/officeDocument/2006/relationships/imag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90AC41-F1FC-4D08-9FC0-94272FA53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2</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2020-03-27T02:14:00Z</dcterms:created>
  <cp:lastModifiedBy>李煜</cp:lastModifiedBy>
  <dcterms:modified xsi:type="dcterms:W3CDTF">2024-12-03T03:02:00Z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