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东方阿尔法优势产业混合型发起式证券投资基金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东方阿尔法优势产业混合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009644</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2020年06月28日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1,219,196,827.64份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本基金采用自上而下的方法进行大类资产配置，通过对宏观经济、政策环境、证券市场走势的跟踪和综合分析，进行前瞻性的战略判断，合理确定基金在股票、债券、现金等各类别资产中的投资比例，并适时进行动态调整。</w:t>
              <w:br/>
            </w:r>
            <w:r>
              <w:rPr>
                <w:rFonts w:ascii="宋体" w:hAnsi="宋体" w:cs="宋体" w:eastAsia="宋体"/>
                <w:b w:val="false"/>
              </w:rPr>
              <w:t>2、股票投资策略</w:t>
              <w:br/>
            </w:r>
            <w:r>
              <w:rPr>
                <w:rFonts w:ascii="宋体" w:hAnsi="宋体" w:cs="宋体" w:eastAsia="宋体"/>
                <w:b w:val="false"/>
              </w:rPr>
              <w:t>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6、融资业务的投资策略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7、国债期货的投资策略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8、资产支持证券投资策略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中证800指数收益率×70%+中证综合债券指数收益率×30%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东方阿尔法优势产业混合A</w:t>
            </w:r>
          </w:p>
        </w:tc>
        <w:tc>
          <w:tcPr>
            <w:tcW w:type="pct" w:w="1500"/>
            <w:vAlign w:val="center"/>
          </w:tcPr>
          <w:p>
            <w:pPr>
              <w:spacing w:line="240" w:lineRule="auto"/>
              <w:jc w:val="left"/>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009644</w:t>
            </w:r>
          </w:p>
        </w:tc>
        <w:tc>
          <w:tcPr>
            <w:tcW w:type="pct" w:w="1500"/>
            <w:vAlign w:val="center"/>
          </w:tcPr>
          <w:p>
            <w:pPr>
              <w:spacing w:line="240" w:lineRule="auto"/>
              <w:jc w:val="left"/>
            </w:pPr>
            <w:r>
              <w:rPr>
                <w:rFonts w:ascii="宋体" w:hAnsi="宋体" w:cs="宋体" w:eastAsia="宋体"/>
                <w:b w:val="false"/>
              </w:rPr>
              <w:t>009645</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634,231,964.58份</w:t>
            </w:r>
          </w:p>
        </w:tc>
        <w:tc>
          <w:tcPr>
            <w:tcW w:type="pct" w:w="1500"/>
            <w:vAlign w:val="center"/>
          </w:tcPr>
          <w:p>
            <w:pPr>
              <w:spacing w:line="240" w:lineRule="auto"/>
              <w:jc w:val="left"/>
            </w:pPr>
            <w:r>
              <w:rPr>
                <w:rFonts w:ascii="宋体" w:hAnsi="宋体" w:cs="宋体" w:eastAsia="宋体"/>
                <w:b w:val="false"/>
              </w:rPr>
              <w:t>584,964,863.06份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东方阿尔法优势产业混合A</w:t>
            </w:r>
          </w:p>
        </w:tc>
        <w:tc>
          <w:tcPr>
            <w:tcW w:type="pct" w:w="1500"/>
            <w:vAlign w:val="center"/>
          </w:tcPr>
          <w:tcPr>
            <w:shd w:fill="d9d9d9"/>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184,016,421.22</w:t>
            </w:r>
          </w:p>
        </w:tc>
        <w:tc>
          <w:tcPr>
            <w:tcW w:type="pct" w:w="1500"/>
            <w:vAlign w:val="center"/>
          </w:tcPr>
          <w:p>
            <w:pPr>
              <w:spacing w:line="240" w:lineRule="auto"/>
              <w:jc w:val="right"/>
            </w:pPr>
            <w:r>
              <w:rPr>
                <w:rFonts w:ascii="宋体" w:hAnsi="宋体" w:cs="宋体" w:eastAsia="宋体"/>
                <w:b w:val="false"/>
              </w:rPr>
              <w:t>168,899,078.84</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-6,148,632.55</w:t>
            </w:r>
          </w:p>
        </w:tc>
        <w:tc>
          <w:tcPr>
            <w:tcW w:type="pct" w:w="1500"/>
            <w:vAlign w:val="center"/>
          </w:tcPr>
          <w:p>
            <w:pPr>
              <w:spacing w:line="240" w:lineRule="auto"/>
              <w:jc w:val="right"/>
            </w:pPr>
            <w:r>
              <w:rPr>
                <w:rFonts w:ascii="宋体" w:hAnsi="宋体" w:cs="宋体" w:eastAsia="宋体"/>
                <w:b w:val="false"/>
              </w:rPr>
              <w:t>-9,029,709.91</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-0.0090</w:t>
            </w:r>
          </w:p>
        </w:tc>
        <w:tc>
          <w:tcPr>
            <w:tcW w:type="pct" w:w="1500"/>
            <w:vAlign w:val="center"/>
          </w:tcPr>
          <w:p>
            <w:pPr>
              <w:spacing w:line="240" w:lineRule="auto"/>
              <w:jc w:val="right"/>
            </w:pPr>
            <w:r>
              <w:rPr>
                <w:rFonts w:ascii="宋体" w:hAnsi="宋体" w:cs="宋体" w:eastAsia="宋体"/>
                <w:b w:val="false"/>
              </w:rPr>
              <w:t>-0.0139</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1,311,198,473.28</w:t>
            </w:r>
          </w:p>
        </w:tc>
        <w:tc>
          <w:tcPr>
            <w:tcW w:type="pct" w:w="1500"/>
            <w:vAlign w:val="center"/>
          </w:tcPr>
          <w:p>
            <w:pPr>
              <w:spacing w:line="240" w:lineRule="auto"/>
              <w:jc w:val="right"/>
            </w:pPr>
            <w:r>
              <w:rPr>
                <w:rFonts w:ascii="宋体" w:hAnsi="宋体" w:cs="宋体" w:eastAsia="宋体"/>
                <w:b w:val="false"/>
              </w:rPr>
              <w:t>1,175,098,672.13</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2.0674</w:t>
            </w:r>
          </w:p>
        </w:tc>
        <w:tc>
          <w:tcPr>
            <w:tcW w:type="pct" w:w="1500"/>
            <w:vAlign w:val="center"/>
          </w:tcPr>
          <w:p>
            <w:pPr>
              <w:spacing w:line="240" w:lineRule="auto"/>
              <w:jc w:val="right"/>
            </w:pPr>
            <w:r>
              <w:rPr>
                <w:rFonts w:ascii="宋体" w:hAnsi="宋体" w:cs="宋体" w:eastAsia="宋体"/>
                <w:b w:val="false"/>
              </w:rPr>
              <w:t>2.0088</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东方阿尔法优势产业混合A净值表现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-0.83%</w:t>
            </w:r>
          </w:p>
        </w:tc>
        <w:tc>
          <w:tcPr>
            <w:tcW/>
            <w:vAlign w:val="center"/>
          </w:tcPr>
          <w:p>
            <w:pPr>
              <w:spacing w:line="240" w:lineRule="auto"/>
              <w:jc w:val="right"/>
            </w:pPr>
            <w:r>
              <w:rPr>
                <w:rFonts w:ascii="宋体" w:hAnsi="宋体" w:cs="宋体" w:eastAsia="宋体"/>
                <w:b w:val="false"/>
              </w:rPr>
              <w:t>2.75%</w:t>
            </w:r>
          </w:p>
        </w:tc>
        <w:tc>
          <w:tcPr>
            <w:tcW/>
            <w:vAlign w:val="center"/>
          </w:tcPr>
          <w:p>
            <w:pPr>
              <w:spacing w:line="240" w:lineRule="auto"/>
              <w:jc w:val="right"/>
            </w:pPr>
            <w:r>
              <w:rPr>
                <w:rFonts w:ascii="宋体" w:hAnsi="宋体" w:cs="宋体" w:eastAsia="宋体"/>
                <w:b w:val="false"/>
              </w:rPr>
              <w:t>-1.29%</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0.46%</w:t>
            </w:r>
          </w:p>
        </w:tc>
        <w:tc>
          <w:tcPr>
            <w:tcW/>
            <w:vAlign w:val="center"/>
          </w:tcPr>
          <w:p>
            <w:pPr>
              <w:spacing w:line="240" w:lineRule="auto"/>
              <w:jc w:val="right"/>
            </w:pPr>
            <w:r>
              <w:rPr>
                <w:rFonts w:ascii="宋体" w:hAnsi="宋体" w:cs="宋体" w:eastAsia="宋体"/>
                <w:b w:val="false"/>
              </w:rPr>
              <w:t>1.97%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-0.33%</w:t>
            </w:r>
          </w:p>
        </w:tc>
        <w:tc>
          <w:tcPr>
            <w:tcW/>
            <w:vAlign w:val="center"/>
          </w:tcPr>
          <w:p>
            <w:pPr>
              <w:spacing w:line="240" w:lineRule="auto"/>
              <w:jc w:val="right"/>
            </w:pPr>
            <w:r>
              <w:rPr>
                <w:rFonts w:ascii="宋体" w:hAnsi="宋体" w:cs="宋体" w:eastAsia="宋体"/>
                <w:b w:val="false"/>
              </w:rPr>
              <w:t>2.87%</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0.74%</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2.13%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62.81%</w:t>
            </w:r>
          </w:p>
        </w:tc>
        <w:tc>
          <w:tcPr>
            <w:tcW/>
            <w:vAlign w:val="center"/>
          </w:tcPr>
          <w:p>
            <w:pPr>
              <w:spacing w:line="240" w:lineRule="auto"/>
              <w:jc w:val="right"/>
            </w:pPr>
            <w:r>
              <w:rPr>
                <w:rFonts w:ascii="宋体" w:hAnsi="宋体" w:cs="宋体" w:eastAsia="宋体"/>
                <w:b w:val="false"/>
              </w:rPr>
              <w:t>2.75%</w:t>
            </w:r>
          </w:p>
        </w:tc>
        <w:tc>
          <w:tcPr>
            <w:tcW/>
            <w:vAlign w:val="center"/>
          </w:tcPr>
          <w:p>
            <w:pPr>
              <w:spacing w:line="240" w:lineRule="auto"/>
              <w:jc w:val="right"/>
            </w:pPr>
            <w:r>
              <w:rPr>
                <w:rFonts w:ascii="宋体" w:hAnsi="宋体" w:cs="宋体" w:eastAsia="宋体"/>
                <w:b w:val="false"/>
              </w:rPr>
              <w:t>13.70%</w:t>
            </w:r>
          </w:p>
        </w:tc>
        <w:tc>
          <w:tcPr>
            <w:tcW/>
            <w:vAlign w:val="center"/>
          </w:tcPr>
          <w:p>
            <w:pPr>
              <w:spacing w:line="240" w:lineRule="auto"/>
              <w:jc w:val="right"/>
            </w:pPr>
            <w:r>
              <w:rPr>
                <w:rFonts w:ascii="宋体" w:hAnsi="宋体" w:cs="宋体" w:eastAsia="宋体"/>
                <w:b w:val="false"/>
              </w:rPr>
              <w:t>0.73%</w:t>
            </w:r>
          </w:p>
        </w:tc>
        <w:tc>
          <w:tcPr>
            <w:tcW/>
            <w:vAlign w:val="center"/>
          </w:tcPr>
          <w:p>
            <w:pPr>
              <w:spacing w:line="240" w:lineRule="auto"/>
              <w:jc w:val="right"/>
            </w:pPr>
            <w:r>
              <w:rPr>
                <w:rFonts w:ascii="宋体" w:hAnsi="宋体" w:cs="宋体" w:eastAsia="宋体"/>
                <w:b w:val="false"/>
              </w:rPr>
              <w:t>49.11%</w:t>
            </w:r>
          </w:p>
        </w:tc>
        <w:tc>
          <w:tcPr>
            <w:tcW/>
            <w:vAlign w:val="center"/>
          </w:tcPr>
          <w:p>
            <w:pPr>
              <w:spacing w:line="240" w:lineRule="auto"/>
              <w:jc w:val="right"/>
            </w:pPr>
            <w:r>
              <w:rPr>
                <w:rFonts w:ascii="宋体" w:hAnsi="宋体" w:cs="宋体" w:eastAsia="宋体"/>
                <w:b w:val="false"/>
              </w:rPr>
              <w:t>2.02%</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41.85%</w:t>
            </w:r>
          </w:p>
        </w:tc>
        <w:tc>
          <w:tcPr>
            <w:tcW/>
            <w:vAlign w:val="center"/>
          </w:tcPr>
          <w:p>
            <w:pPr>
              <w:spacing w:line="240" w:lineRule="auto"/>
              <w:jc w:val="right"/>
            </w:pPr>
            <w:r>
              <w:rPr>
                <w:rFonts w:ascii="宋体" w:hAnsi="宋体" w:cs="宋体" w:eastAsia="宋体"/>
                <w:b w:val="false"/>
              </w:rPr>
              <w:t>2.46%</w:t>
            </w:r>
          </w:p>
        </w:tc>
        <w:tc>
          <w:tcPr>
            <w:tcW/>
            <w:vAlign w:val="center"/>
          </w:tcPr>
          <w:p>
            <w:pPr>
              <w:spacing w:line="240" w:lineRule="auto"/>
              <w:jc w:val="right"/>
            </w:pPr>
            <w:r>
              <w:rPr>
                <w:rFonts w:ascii="宋体" w:hAnsi="宋体" w:cs="宋体" w:eastAsia="宋体"/>
                <w:b w:val="false"/>
              </w:rPr>
              <w:t>14.11%</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27.74%</w:t>
            </w:r>
          </w:p>
        </w:tc>
        <w:tc>
          <w:tcPr>
            <w:tcW/>
            <w:vAlign w:val="center"/>
          </w:tcPr>
          <w:p>
            <w:pPr>
              <w:spacing w:line="240" w:lineRule="auto"/>
              <w:jc w:val="right"/>
            </w:pPr>
            <w:r>
              <w:rPr>
                <w:rFonts w:ascii="宋体" w:hAnsi="宋体" w:cs="宋体" w:eastAsia="宋体"/>
                <w:b w:val="false"/>
              </w:rPr>
              <w:t>1.67%</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76.08%</w:t>
            </w:r>
          </w:p>
        </w:tc>
        <w:tc>
          <w:tcPr>
            <w:tcW/>
            <w:vAlign w:val="center"/>
          </w:tcPr>
          <w:p>
            <w:pPr>
              <w:spacing w:line="240" w:lineRule="auto"/>
              <w:jc w:val="right"/>
            </w:pPr>
            <w:r>
              <w:rPr>
                <w:rFonts w:ascii="宋体" w:hAnsi="宋体" w:cs="宋体" w:eastAsia="宋体"/>
                <w:b w:val="false"/>
              </w:rPr>
              <w:t>2.49%</w:t>
            </w:r>
          </w:p>
        </w:tc>
        <w:tc>
          <w:tcPr>
            <w:tcW/>
            <w:vAlign w:val="center"/>
          </w:tcPr>
          <w:p>
            <w:pPr>
              <w:spacing w:line="240" w:lineRule="auto"/>
              <w:jc w:val="right"/>
            </w:pPr>
            <w:r>
              <w:rPr>
                <w:rFonts w:ascii="宋体" w:hAnsi="宋体" w:cs="宋体" w:eastAsia="宋体"/>
                <w:b w:val="false"/>
              </w:rPr>
              <w:t>4.89%</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71.19%</w:t>
            </w:r>
          </w:p>
        </w:tc>
        <w:tc>
          <w:tcPr>
            <w:tcW/>
            <w:vAlign w:val="center"/>
          </w:tcPr>
          <w:p>
            <w:pPr>
              <w:spacing w:line="240" w:lineRule="auto"/>
              <w:jc w:val="right"/>
            </w:pPr>
            <w:r>
              <w:rPr>
                <w:rFonts w:ascii="宋体" w:hAnsi="宋体" w:cs="宋体" w:eastAsia="宋体"/>
                <w:b w:val="false"/>
              </w:rPr>
              <w:t>1.71%</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106.74%</w:t>
            </w:r>
          </w:p>
        </w:tc>
        <w:tc>
          <w:tcPr>
            <w:tcW/>
            <w:vAlign w:val="center"/>
          </w:tcPr>
          <w:p>
            <w:pPr>
              <w:spacing w:line="240" w:lineRule="auto"/>
              <w:jc w:val="right"/>
            </w:pPr>
            <w:r>
              <w:rPr>
                <w:rFonts w:ascii="宋体" w:hAnsi="宋体" w:cs="宋体" w:eastAsia="宋体"/>
                <w:b w:val="false"/>
              </w:rPr>
              <w:t>2.47%</w:t>
            </w:r>
          </w:p>
        </w:tc>
        <w:tc>
          <w:tcPr>
            <w:tcW/>
            <w:vAlign w:val="center"/>
          </w:tcPr>
          <w:p>
            <w:pPr>
              <w:spacing w:line="240" w:lineRule="auto"/>
              <w:jc w:val="right"/>
            </w:pPr>
            <w:r>
              <w:rPr>
                <w:rFonts w:ascii="宋体" w:hAnsi="宋体" w:cs="宋体" w:eastAsia="宋体"/>
                <w:b w:val="false"/>
              </w:rPr>
              <w:t>19.21%</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87.53%</w:t>
            </w:r>
          </w:p>
        </w:tc>
        <w:tc>
          <w:tcPr>
            <w:tcW/>
            <w:vAlign w:val="center"/>
          </w:tcPr>
          <w:p>
            <w:pPr>
              <w:spacing w:line="240" w:lineRule="auto"/>
              <w:jc w:val="right"/>
            </w:pPr>
            <w:r>
              <w:rPr>
                <w:rFonts w:ascii="宋体" w:hAnsi="宋体" w:cs="宋体" w:eastAsia="宋体"/>
                <w:b w:val="false"/>
              </w:rPr>
              <w:t>1.66%</w:t>
            </w:r>
          </w:p>
        </w:tc>
      </w:tr>
    </w:tbl>
    <w:p>
      <w:pPr>
        <w:jc w:val="left"/>
      </w:pPr>
      <w:r>
        <w:rPr>
          <w:rFonts w:ascii="宋体" w:hAnsi="宋体" w:cs="宋体" w:eastAsia="宋体"/>
          <w:b w:val="true"/>
        </w:rPr>
        <w:t>东方阿尔法优势产业混合C净值表现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-0.96%</w:t>
            </w:r>
          </w:p>
        </w:tc>
        <w:tc>
          <w:tcPr>
            <w:tcW/>
            <w:vAlign w:val="center"/>
          </w:tcPr>
          <w:p>
            <w:pPr>
              <w:spacing w:line="240" w:lineRule="auto"/>
              <w:jc w:val="right"/>
            </w:pPr>
            <w:r>
              <w:rPr>
                <w:rFonts w:ascii="宋体" w:hAnsi="宋体" w:cs="宋体" w:eastAsia="宋体"/>
                <w:b w:val="false"/>
              </w:rPr>
              <w:t>2.75%</w:t>
            </w:r>
          </w:p>
        </w:tc>
        <w:tc>
          <w:tcPr>
            <w:tcW/>
            <w:vAlign w:val="center"/>
          </w:tcPr>
          <w:p>
            <w:pPr>
              <w:spacing w:line="240" w:lineRule="auto"/>
              <w:jc w:val="right"/>
            </w:pPr>
            <w:r>
              <w:rPr>
                <w:rFonts w:ascii="宋体" w:hAnsi="宋体" w:cs="宋体" w:eastAsia="宋体"/>
                <w:b w:val="false"/>
              </w:rPr>
              <w:t>-1.29%</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0.33%</w:t>
            </w:r>
          </w:p>
        </w:tc>
        <w:tc>
          <w:tcPr>
            <w:tcW/>
            <w:vAlign w:val="center"/>
          </w:tcPr>
          <w:p>
            <w:pPr>
              <w:spacing w:line="240" w:lineRule="auto"/>
              <w:jc w:val="right"/>
            </w:pPr>
            <w:r>
              <w:rPr>
                <w:rFonts w:ascii="宋体" w:hAnsi="宋体" w:cs="宋体" w:eastAsia="宋体"/>
                <w:b w:val="false"/>
              </w:rPr>
              <w:t>1.97%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-0.58%</w:t>
            </w:r>
          </w:p>
        </w:tc>
        <w:tc>
          <w:tcPr>
            <w:tcW/>
            <w:vAlign w:val="center"/>
          </w:tcPr>
          <w:p>
            <w:pPr>
              <w:spacing w:line="240" w:lineRule="auto"/>
              <w:jc w:val="right"/>
            </w:pPr>
            <w:r>
              <w:rPr>
                <w:rFonts w:ascii="宋体" w:hAnsi="宋体" w:cs="宋体" w:eastAsia="宋体"/>
                <w:b w:val="false"/>
              </w:rPr>
              <w:t>2.87%</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0.74%</w:t>
            </w:r>
          </w:p>
        </w:tc>
        <w:tc>
          <w:tcPr>
            <w:tcW/>
            <w:vAlign w:val="center"/>
          </w:tcPr>
          <w:p>
            <w:pPr>
              <w:spacing w:line="240" w:lineRule="auto"/>
              <w:jc w:val="right"/>
            </w:pPr>
            <w:r>
              <w:rPr>
                <w:rFonts w:ascii="宋体" w:hAnsi="宋体" w:cs="宋体" w:eastAsia="宋体"/>
                <w:b w:val="false"/>
              </w:rPr>
              <w:t>0.47%</w:t>
            </w:r>
          </w:p>
        </w:tc>
        <w:tc>
          <w:tcPr>
            <w:tcW/>
            <w:vAlign w:val="center"/>
          </w:tcPr>
          <w:p>
            <w:pPr>
              <w:spacing w:line="240" w:lineRule="auto"/>
              <w:jc w:val="right"/>
            </w:pPr>
            <w:r>
              <w:rPr>
                <w:rFonts w:ascii="宋体" w:hAnsi="宋体" w:cs="宋体" w:eastAsia="宋体"/>
                <w:b w:val="false"/>
              </w:rPr>
              <w:t>2.13%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61.99%</w:t>
            </w:r>
          </w:p>
        </w:tc>
        <w:tc>
          <w:tcPr>
            <w:tcW/>
            <w:vAlign w:val="center"/>
          </w:tcPr>
          <w:p>
            <w:pPr>
              <w:spacing w:line="240" w:lineRule="auto"/>
              <w:jc w:val="right"/>
            </w:pPr>
            <w:r>
              <w:rPr>
                <w:rFonts w:ascii="宋体" w:hAnsi="宋体" w:cs="宋体" w:eastAsia="宋体"/>
                <w:b w:val="false"/>
              </w:rPr>
              <w:t>2.75%</w:t>
            </w:r>
          </w:p>
        </w:tc>
        <w:tc>
          <w:tcPr>
            <w:tcW/>
            <w:vAlign w:val="center"/>
          </w:tcPr>
          <w:p>
            <w:pPr>
              <w:spacing w:line="240" w:lineRule="auto"/>
              <w:jc w:val="right"/>
            </w:pPr>
            <w:r>
              <w:rPr>
                <w:rFonts w:ascii="宋体" w:hAnsi="宋体" w:cs="宋体" w:eastAsia="宋体"/>
                <w:b w:val="false"/>
              </w:rPr>
              <w:t>13.70%</w:t>
            </w:r>
          </w:p>
        </w:tc>
        <w:tc>
          <w:tcPr>
            <w:tcW/>
            <w:vAlign w:val="center"/>
          </w:tcPr>
          <w:p>
            <w:pPr>
              <w:spacing w:line="240" w:lineRule="auto"/>
              <w:jc w:val="right"/>
            </w:pPr>
            <w:r>
              <w:rPr>
                <w:rFonts w:ascii="宋体" w:hAnsi="宋体" w:cs="宋体" w:eastAsia="宋体"/>
                <w:b w:val="false"/>
              </w:rPr>
              <w:t>0.73%</w:t>
            </w:r>
          </w:p>
        </w:tc>
        <w:tc>
          <w:tcPr>
            <w:tcW/>
            <w:vAlign w:val="center"/>
          </w:tcPr>
          <w:p>
            <w:pPr>
              <w:spacing w:line="240" w:lineRule="auto"/>
              <w:jc w:val="right"/>
            </w:pPr>
            <w:r>
              <w:rPr>
                <w:rFonts w:ascii="宋体" w:hAnsi="宋体" w:cs="宋体" w:eastAsia="宋体"/>
                <w:b w:val="false"/>
              </w:rPr>
              <w:t>48.29%</w:t>
            </w:r>
          </w:p>
        </w:tc>
        <w:tc>
          <w:tcPr>
            <w:tcW/>
            <w:vAlign w:val="center"/>
          </w:tcPr>
          <w:p>
            <w:pPr>
              <w:spacing w:line="240" w:lineRule="auto"/>
              <w:jc w:val="right"/>
            </w:pPr>
            <w:r>
              <w:rPr>
                <w:rFonts w:ascii="宋体" w:hAnsi="宋体" w:cs="宋体" w:eastAsia="宋体"/>
                <w:b w:val="false"/>
              </w:rPr>
              <w:t>2.02%</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39.72%</w:t>
            </w:r>
          </w:p>
        </w:tc>
        <w:tc>
          <w:tcPr>
            <w:tcW/>
            <w:vAlign w:val="center"/>
          </w:tcPr>
          <w:p>
            <w:pPr>
              <w:spacing w:line="240" w:lineRule="auto"/>
              <w:jc w:val="right"/>
            </w:pPr>
            <w:r>
              <w:rPr>
                <w:rFonts w:ascii="宋体" w:hAnsi="宋体" w:cs="宋体" w:eastAsia="宋体"/>
                <w:b w:val="false"/>
              </w:rPr>
              <w:t>2.46%</w:t>
            </w:r>
          </w:p>
        </w:tc>
        <w:tc>
          <w:tcPr>
            <w:tcW/>
            <w:vAlign w:val="center"/>
          </w:tcPr>
          <w:p>
            <w:pPr>
              <w:spacing w:line="240" w:lineRule="auto"/>
              <w:jc w:val="right"/>
            </w:pPr>
            <w:r>
              <w:rPr>
                <w:rFonts w:ascii="宋体" w:hAnsi="宋体" w:cs="宋体" w:eastAsia="宋体"/>
                <w:b w:val="false"/>
              </w:rPr>
              <w:t>14.11%</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25.61%</w:t>
            </w:r>
          </w:p>
        </w:tc>
        <w:tc>
          <w:tcPr>
            <w:tcW/>
            <w:vAlign w:val="center"/>
          </w:tcPr>
          <w:p>
            <w:pPr>
              <w:spacing w:line="240" w:lineRule="auto"/>
              <w:jc w:val="right"/>
            </w:pPr>
            <w:r>
              <w:rPr>
                <w:rFonts w:ascii="宋体" w:hAnsi="宋体" w:cs="宋体" w:eastAsia="宋体"/>
                <w:b w:val="false"/>
              </w:rPr>
              <w:t>1.67%</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71.72%</w:t>
            </w:r>
          </w:p>
        </w:tc>
        <w:tc>
          <w:tcPr>
            <w:tcW/>
            <w:vAlign w:val="center"/>
          </w:tcPr>
          <w:p>
            <w:pPr>
              <w:spacing w:line="240" w:lineRule="auto"/>
              <w:jc w:val="right"/>
            </w:pPr>
            <w:r>
              <w:rPr>
                <w:rFonts w:ascii="宋体" w:hAnsi="宋体" w:cs="宋体" w:eastAsia="宋体"/>
                <w:b w:val="false"/>
              </w:rPr>
              <w:t>2.49%</w:t>
            </w:r>
          </w:p>
        </w:tc>
        <w:tc>
          <w:tcPr>
            <w:tcW/>
            <w:vAlign w:val="center"/>
          </w:tcPr>
          <w:p>
            <w:pPr>
              <w:spacing w:line="240" w:lineRule="auto"/>
              <w:jc w:val="right"/>
            </w:pPr>
            <w:r>
              <w:rPr>
                <w:rFonts w:ascii="宋体" w:hAnsi="宋体" w:cs="宋体" w:eastAsia="宋体"/>
                <w:b w:val="false"/>
              </w:rPr>
              <w:t>4.89%</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66.83%</w:t>
            </w:r>
          </w:p>
        </w:tc>
        <w:tc>
          <w:tcPr>
            <w:tcW/>
            <w:vAlign w:val="center"/>
          </w:tcPr>
          <w:p>
            <w:pPr>
              <w:spacing w:line="240" w:lineRule="auto"/>
              <w:jc w:val="right"/>
            </w:pPr>
            <w:r>
              <w:rPr>
                <w:rFonts w:ascii="宋体" w:hAnsi="宋体" w:cs="宋体" w:eastAsia="宋体"/>
                <w:b w:val="false"/>
              </w:rPr>
              <w:t>1.71%</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100.88%</w:t>
            </w:r>
          </w:p>
        </w:tc>
        <w:tc>
          <w:tcPr>
            <w:tcW/>
            <w:vAlign w:val="center"/>
          </w:tcPr>
          <w:p>
            <w:pPr>
              <w:spacing w:line="240" w:lineRule="auto"/>
              <w:jc w:val="right"/>
            </w:pPr>
            <w:r>
              <w:rPr>
                <w:rFonts w:ascii="宋体" w:hAnsi="宋体" w:cs="宋体" w:eastAsia="宋体"/>
                <w:b w:val="false"/>
              </w:rPr>
              <w:t>2.47%</w:t>
            </w:r>
          </w:p>
        </w:tc>
        <w:tc>
          <w:tcPr>
            <w:tcW/>
            <w:vAlign w:val="center"/>
          </w:tcPr>
          <w:p>
            <w:pPr>
              <w:spacing w:line="240" w:lineRule="auto"/>
              <w:jc w:val="right"/>
            </w:pPr>
            <w:r>
              <w:rPr>
                <w:rFonts w:ascii="宋体" w:hAnsi="宋体" w:cs="宋体" w:eastAsia="宋体"/>
                <w:b w:val="false"/>
              </w:rPr>
              <w:t>19.21%</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81.67%</w:t>
            </w:r>
          </w:p>
        </w:tc>
        <w:tc>
          <w:tcPr>
            <w:tcW/>
            <w:vAlign w:val="center"/>
          </w:tcPr>
          <w:p>
            <w:pPr>
              <w:spacing w:line="240" w:lineRule="auto"/>
              <w:jc w:val="right"/>
            </w:pPr>
            <w:r>
              <w:rPr>
                <w:rFonts w:ascii="宋体" w:hAnsi="宋体" w:cs="宋体" w:eastAsia="宋体"/>
                <w:b w:val="false"/>
              </w:rPr>
              <w:t>1.66%</w:t>
            </w:r>
          </w:p>
        </w:tc>
      </w:tr>
    </w:tbl>
    <w:p>
      <w:r>
        <w:rPr>
          <w:rFonts w:ascii="宋体" w:hAnsi="宋体" w:cs="宋体" w:eastAsia="宋体"/>
          <w:b w:val="false"/>
        </w:rPr>
        <w:t>注：本基金业绩比较基准为：中证800指数收益率×70%+中证综合债券指数收益率×30%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2025-11-05</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16年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c>
          <w:tcPr>
            <w:tcW/>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2026-01-28</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10年</w:t>
            </w:r>
          </w:p>
        </w:tc>
        <w:tc>
          <w:tcPr>
            <w:tcW/>
            <w:vAlign w:val="center"/>
          </w:tcPr>
          <w:p>
            <w:pPr>
              <w:spacing w:line="240" w:lineRule="auto"/>
              <w:jc w:val="left"/>
            </w:pPr>
            <w:r>
              <w:rPr>
                <w:rFonts w:ascii="宋体" w:hAnsi="宋体" w:cs="宋体" w:eastAsia="宋体"/>
                <w:b w:val="false"/>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2026年第一季度，国内1-3月制造业PMI分别为49.3%、49.0%、50.4%，基本符合季节性特征。2026年1-2月国内规模以上工业增加值合计同比增长6.3%，同比增速较2025年第四季度有边际提升。生产端方面，2026年1-2月国内规模以上工业增加值合计同比增长6.3%，同比增速较2025年第四季度实现边际提升，显示工业生产动能有所增强。投资端方面，2026年1-2月固定资产投资合计同比增长1.8%，其中广义基建投资同比增长9.8%，政策支撑效应较为显著。2026年作为“十五五”规划开局首年，尽管外部地缘政治等不确定因素仍较多，但国内宏观政策预计将持续保持积极有力，为国内经济稳定增长提供支撑。</w:t>
        <w:br/>
      </w:r>
      <w:r>
        <w:rPr>
          <w:rFonts w:ascii="宋体" w:hAnsi="宋体" w:cs="宋体" w:eastAsia="宋体"/>
          <w:b w:val="false"/>
        </w:rPr>
        <w:t xml:space="preserve">    受到2026年3月中东冲突的影响，A股市场主要宽基指数在2026年第一季度整体呈现宽幅震荡的走势，其中上证指数下跌1.94%、沪深300下跌3.89%、创业板指下跌0.57%、科创50下跌6.54%、中证500上涨2.03%。行业表现方面，申万一级行业指数分化明显，其中煤炭、石油石化、综合行业指数涨幅领先，涨幅均超10%；非银金融、商贸零售行业指数跌幅靠前，跌幅均超10%。</w:t>
        <w:br/>
      </w:r>
      <w:r>
        <w:rPr>
          <w:rFonts w:ascii="宋体" w:hAnsi="宋体" w:cs="宋体" w:eastAsia="宋体"/>
          <w:b w:val="false"/>
        </w:rPr>
        <w:t xml:space="preserve">    报告期内，本基金始终锚定科技产业升级核心，以AI产业链为核心布局方向。本基金持续看好AI产业发展前景，尤其关注光通信、PCB、液冷、电源等依赖中国科技制造能力的细分领域，相关国内企业有望持续在全球AI算力供应链中发挥关键作用，预计2026年相关产业景气度将持续提升，对应上市公司业绩有望保持高增长态势。同时，本基金将持续紧密跟踪各类新科技产品发展动态，积极挖掘其中从0到1、从1到N的投资机会，努力为基金持有人创造超额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势产业混合A基金份额净值为2.0674元，本报告期内，该类基金份额净值增长率为-0.83%，同期业绩比较基准收益率为-1.29%；截至报告期末东方阿尔法优势产业混合C基金份额净值为2.0088元，本报告期内，该类基金份额净值增长率为-0.96%，同期业绩比较基准收益率为-1.29%。</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2,281,660,927.99</w:t>
            </w:r>
          </w:p>
        </w:tc>
        <w:tc>
          <w:tcPr>
            <w:tcW/>
            <w:vAlign w:val="center"/>
          </w:tcPr>
          <w:p>
            <w:pPr>
              <w:spacing w:line="240" w:lineRule="auto"/>
              <w:jc w:val="right"/>
            </w:pPr>
            <w:r>
              <w:rPr>
                <w:rFonts w:ascii="宋体" w:hAnsi="宋体" w:cs="宋体" w:eastAsia="宋体"/>
                <w:b w:val="false"/>
              </w:rPr>
              <w:t>87.78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2,281,660,927.99</w:t>
            </w:r>
          </w:p>
        </w:tc>
        <w:tc>
          <w:tcPr>
            <w:tcW/>
            <w:vAlign w:val="center"/>
          </w:tcPr>
          <w:p>
            <w:pPr>
              <w:spacing w:line="240" w:lineRule="auto"/>
              <w:jc w:val="right"/>
            </w:pPr>
            <w:r>
              <w:rPr>
                <w:rFonts w:ascii="宋体" w:hAnsi="宋体" w:cs="宋体" w:eastAsia="宋体"/>
                <w:b w:val="false"/>
              </w:rPr>
              <w:t>87.78</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140,650,877.97</w:t>
            </w:r>
          </w:p>
        </w:tc>
        <w:tc>
          <w:tcPr>
            <w:tcW/>
            <w:vAlign w:val="center"/>
          </w:tcPr>
          <w:p>
            <w:pPr>
              <w:spacing w:line="240" w:lineRule="auto"/>
              <w:jc w:val="right"/>
            </w:pPr>
            <w:r>
              <w:rPr>
                <w:rFonts w:ascii="宋体" w:hAnsi="宋体" w:cs="宋体" w:eastAsia="宋体"/>
                <w:b w:val="false"/>
              </w:rPr>
              <w:t>5.41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140,650,877.97</w:t>
            </w:r>
          </w:p>
        </w:tc>
        <w:tc>
          <w:tcPr>
            <w:tcW/>
            <w:vAlign w:val="center"/>
          </w:tcPr>
          <w:p>
            <w:pPr>
              <w:spacing w:line="240" w:lineRule="auto"/>
              <w:jc w:val="right"/>
            </w:pPr>
            <w:r>
              <w:rPr>
                <w:rFonts w:ascii="宋体" w:hAnsi="宋体" w:cs="宋体" w:eastAsia="宋体"/>
                <w:b w:val="false"/>
              </w:rPr>
              <w:t>5.41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173,361,089.17</w:t>
            </w:r>
          </w:p>
        </w:tc>
        <w:tc>
          <w:tcPr>
            <w:tcW/>
            <w:vAlign w:val="center"/>
          </w:tcPr>
          <w:p>
            <w:pPr>
              <w:spacing w:line="240" w:lineRule="auto"/>
              <w:jc w:val="right"/>
            </w:pPr>
            <w:r>
              <w:rPr>
                <w:rFonts w:ascii="宋体" w:hAnsi="宋体" w:cs="宋体" w:eastAsia="宋体"/>
                <w:b w:val="false"/>
              </w:rPr>
              <w:t>6.67</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3,615,470.72</w:t>
            </w:r>
          </w:p>
        </w:tc>
        <w:tc>
          <w:tcPr>
            <w:tcW/>
            <w:vAlign w:val="center"/>
          </w:tcPr>
          <w:p>
            <w:pPr>
              <w:spacing w:line="240" w:lineRule="auto"/>
              <w:jc w:val="right"/>
            </w:pPr>
            <w:r>
              <w:rPr>
                <w:rFonts w:ascii="宋体" w:hAnsi="宋体" w:cs="宋体" w:eastAsia="宋体"/>
                <w:b w:val="false"/>
              </w:rPr>
              <w:t>0.14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2,599,288,365.85</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209,179.05</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2,280,811,389.78</w:t>
            </w:r>
          </w:p>
        </w:tc>
        <w:tc>
          <w:tcPr>
            <w:tcW/>
            <w:vAlign w:val="center"/>
          </w:tcPr>
          <w:p>
            <w:pPr>
              <w:spacing w:line="240" w:lineRule="auto"/>
              <w:jc w:val="right"/>
            </w:pPr>
            <w:r>
              <w:rPr>
                <w:rFonts w:ascii="宋体" w:hAnsi="宋体" w:cs="宋体" w:eastAsia="宋体"/>
                <w:b w:val="false"/>
              </w:rPr>
              <w:t>91.74</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596,224.68</w:t>
            </w:r>
          </w:p>
        </w:tc>
        <w:tc>
          <w:tcPr>
            <w:tcW/>
            <w:vAlign w:val="center"/>
          </w:tcPr>
          <w:p>
            <w:pPr>
              <w:spacing w:line="240" w:lineRule="auto"/>
              <w:jc w:val="right"/>
            </w:pPr>
            <w:r>
              <w:rPr>
                <w:rFonts w:ascii="宋体" w:hAnsi="宋体" w:cs="宋体" w:eastAsia="宋体"/>
                <w:b w:val="false"/>
              </w:rPr>
              <w:t>0.02</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44,134.48</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2,281,660,927.99</w:t>
            </w:r>
          </w:p>
        </w:tc>
        <w:tc>
          <w:tcPr>
            <w:tcW/>
            <w:vAlign w:val="center"/>
          </w:tcPr>
          <w:p>
            <w:pPr>
              <w:spacing w:line="240" w:lineRule="auto"/>
              <w:jc w:val="right"/>
            </w:pPr>
            <w:r>
              <w:rPr>
                <w:rFonts w:ascii="宋体" w:hAnsi="宋体" w:cs="宋体" w:eastAsia="宋体"/>
                <w:b w:val="false"/>
              </w:rPr>
              <w:t>91.77</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300502</w:t>
            </w:r>
          </w:p>
        </w:tc>
        <w:tc>
          <w:tcPr>
            <w:tcW/>
            <w:vAlign w:val="center"/>
          </w:tcPr>
          <w:p>
            <w:pPr>
              <w:spacing w:line="240" w:lineRule="auto"/>
              <w:jc w:val="left"/>
            </w:pPr>
            <w:r>
              <w:rPr>
                <w:rFonts w:ascii="宋体" w:hAnsi="宋体" w:cs="宋体" w:eastAsia="宋体"/>
                <w:b w:val="false"/>
              </w:rPr>
              <w:t>新易盛</w:t>
            </w:r>
          </w:p>
        </w:tc>
        <w:tc>
          <w:tcPr>
            <w:tcW/>
            <w:vAlign w:val="center"/>
          </w:tcPr>
          <w:p>
            <w:pPr>
              <w:spacing w:line="240" w:lineRule="auto"/>
              <w:jc w:val="right"/>
            </w:pPr>
            <w:r>
              <w:rPr>
                <w:rFonts w:ascii="宋体" w:hAnsi="宋体" w:cs="宋体" w:eastAsia="宋体"/>
                <w:b w:val="false"/>
              </w:rPr>
              <w:t>552,762</w:t>
            </w:r>
          </w:p>
        </w:tc>
        <w:tc>
          <w:tcPr>
            <w:tcW/>
            <w:vAlign w:val="center"/>
          </w:tcPr>
          <w:p>
            <w:pPr>
              <w:spacing w:line="240" w:lineRule="auto"/>
              <w:jc w:val="right"/>
            </w:pPr>
            <w:r>
              <w:rPr>
                <w:rFonts w:ascii="宋体" w:hAnsi="宋体" w:cs="宋体" w:eastAsia="宋体"/>
                <w:b w:val="false"/>
              </w:rPr>
              <w:t>244,785,124.08</w:t>
            </w:r>
          </w:p>
        </w:tc>
        <w:tc>
          <w:tcPr>
            <w:tcW/>
            <w:vAlign w:val="center"/>
          </w:tcPr>
          <w:p>
            <w:pPr>
              <w:spacing w:line="240" w:lineRule="auto"/>
              <w:jc w:val="right"/>
            </w:pPr>
            <w:r>
              <w:rPr>
                <w:rFonts w:ascii="宋体" w:hAnsi="宋体" w:cs="宋体" w:eastAsia="宋体"/>
                <w:b w:val="false"/>
              </w:rPr>
              <w:t>9.85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300308</w:t>
            </w:r>
          </w:p>
        </w:tc>
        <w:tc>
          <w:tcPr>
            <w:tcW/>
            <w:vAlign w:val="center"/>
          </w:tcPr>
          <w:p>
            <w:pPr>
              <w:spacing w:line="240" w:lineRule="auto"/>
              <w:jc w:val="left"/>
            </w:pPr>
            <w:r>
              <w:rPr>
                <w:rFonts w:ascii="宋体" w:hAnsi="宋体" w:cs="宋体" w:eastAsia="宋体"/>
                <w:b w:val="false"/>
              </w:rPr>
              <w:t>中际旭创</w:t>
            </w:r>
          </w:p>
        </w:tc>
        <w:tc>
          <w:tcPr>
            <w:tcW/>
            <w:vAlign w:val="center"/>
          </w:tcPr>
          <w:p>
            <w:pPr>
              <w:spacing w:line="240" w:lineRule="auto"/>
              <w:jc w:val="right"/>
            </w:pPr>
            <w:r>
              <w:rPr>
                <w:rFonts w:ascii="宋体" w:hAnsi="宋体" w:cs="宋体" w:eastAsia="宋体"/>
                <w:b w:val="false"/>
              </w:rPr>
              <w:t>406,971</w:t>
            </w:r>
          </w:p>
        </w:tc>
        <w:tc>
          <w:tcPr>
            <w:tcW/>
            <w:vAlign w:val="center"/>
          </w:tcPr>
          <w:p>
            <w:pPr>
              <w:spacing w:line="240" w:lineRule="auto"/>
              <w:jc w:val="right"/>
            </w:pPr>
            <w:r>
              <w:rPr>
                <w:rFonts w:ascii="宋体" w:hAnsi="宋体" w:cs="宋体" w:eastAsia="宋体"/>
                <w:b w:val="false"/>
              </w:rPr>
              <w:t>231,733,357.11</w:t>
            </w:r>
          </w:p>
        </w:tc>
        <w:tc>
          <w:tcPr>
            <w:tcW/>
            <w:vAlign w:val="center"/>
          </w:tcPr>
          <w:p>
            <w:pPr>
              <w:spacing w:line="240" w:lineRule="auto"/>
              <w:jc w:val="right"/>
            </w:pPr>
            <w:r>
              <w:rPr>
                <w:rFonts w:ascii="宋体" w:hAnsi="宋体" w:cs="宋体" w:eastAsia="宋体"/>
                <w:b w:val="false"/>
              </w:rPr>
              <w:t>9.32</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300548</w:t>
            </w:r>
          </w:p>
        </w:tc>
        <w:tc>
          <w:tcPr>
            <w:tcW/>
            <w:vAlign w:val="center"/>
          </w:tcPr>
          <w:p>
            <w:pPr>
              <w:spacing w:line="240" w:lineRule="auto"/>
              <w:jc w:val="left"/>
            </w:pPr>
            <w:r>
              <w:rPr>
                <w:rFonts w:ascii="宋体" w:hAnsi="宋体" w:cs="宋体" w:eastAsia="宋体"/>
                <w:b w:val="false"/>
              </w:rPr>
              <w:t>长芯博创</w:t>
            </w:r>
          </w:p>
        </w:tc>
        <w:tc>
          <w:tcPr>
            <w:tcW/>
            <w:vAlign w:val="center"/>
          </w:tcPr>
          <w:p>
            <w:pPr>
              <w:spacing w:line="240" w:lineRule="auto"/>
              <w:jc w:val="right"/>
            </w:pPr>
            <w:r>
              <w:rPr>
                <w:rFonts w:ascii="宋体" w:hAnsi="宋体" w:cs="宋体" w:eastAsia="宋体"/>
                <w:b w:val="false"/>
              </w:rPr>
              <w:t>1,052,087</w:t>
            </w:r>
          </w:p>
        </w:tc>
        <w:tc>
          <w:tcPr>
            <w:tcW/>
            <w:vAlign w:val="center"/>
          </w:tcPr>
          <w:p>
            <w:pPr>
              <w:spacing w:line="240" w:lineRule="auto"/>
              <w:jc w:val="right"/>
            </w:pPr>
            <w:r>
              <w:rPr>
                <w:rFonts w:ascii="宋体" w:hAnsi="宋体" w:cs="宋体" w:eastAsia="宋体"/>
                <w:b w:val="false"/>
              </w:rPr>
              <w:t>161,127,124.05</w:t>
            </w:r>
          </w:p>
        </w:tc>
        <w:tc>
          <w:tcPr>
            <w:tcW/>
            <w:vAlign w:val="center"/>
          </w:tcPr>
          <w:p>
            <w:pPr>
              <w:spacing w:line="240" w:lineRule="auto"/>
              <w:jc w:val="right"/>
            </w:pPr>
            <w:r>
              <w:rPr>
                <w:rFonts w:ascii="宋体" w:hAnsi="宋体" w:cs="宋体" w:eastAsia="宋体"/>
                <w:b w:val="false"/>
              </w:rPr>
              <w:t>6.48</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002222</w:t>
            </w:r>
          </w:p>
        </w:tc>
        <w:tc>
          <w:tcPr>
            <w:tcW/>
            <w:vAlign w:val="center"/>
          </w:tcPr>
          <w:p>
            <w:pPr>
              <w:spacing w:line="240" w:lineRule="auto"/>
              <w:jc w:val="left"/>
            </w:pPr>
            <w:r>
              <w:rPr>
                <w:rFonts w:ascii="宋体" w:hAnsi="宋体" w:cs="宋体" w:eastAsia="宋体"/>
                <w:b w:val="false"/>
              </w:rPr>
              <w:t>福晶科技</w:t>
            </w:r>
          </w:p>
        </w:tc>
        <w:tc>
          <w:tcPr>
            <w:tcW/>
            <w:vAlign w:val="center"/>
          </w:tcPr>
          <w:p>
            <w:pPr>
              <w:spacing w:line="240" w:lineRule="auto"/>
              <w:jc w:val="right"/>
            </w:pPr>
            <w:r>
              <w:rPr>
                <w:rFonts w:ascii="宋体" w:hAnsi="宋体" w:cs="宋体" w:eastAsia="宋体"/>
                <w:b w:val="false"/>
              </w:rPr>
              <w:t>2,037,000</w:t>
            </w:r>
          </w:p>
        </w:tc>
        <w:tc>
          <w:tcPr>
            <w:tcW/>
            <w:vAlign w:val="center"/>
          </w:tcPr>
          <w:p>
            <w:pPr>
              <w:spacing w:line="240" w:lineRule="auto"/>
              <w:jc w:val="right"/>
            </w:pPr>
            <w:r>
              <w:rPr>
                <w:rFonts w:ascii="宋体" w:hAnsi="宋体" w:cs="宋体" w:eastAsia="宋体"/>
                <w:b w:val="false"/>
              </w:rPr>
              <w:t>138,556,740.00</w:t>
            </w:r>
          </w:p>
        </w:tc>
        <w:tc>
          <w:tcPr>
            <w:tcW/>
            <w:vAlign w:val="center"/>
          </w:tcPr>
          <w:p>
            <w:pPr>
              <w:spacing w:line="240" w:lineRule="auto"/>
              <w:jc w:val="right"/>
            </w:pPr>
            <w:r>
              <w:rPr>
                <w:rFonts w:ascii="宋体" w:hAnsi="宋体" w:cs="宋体" w:eastAsia="宋体"/>
                <w:b w:val="false"/>
              </w:rPr>
              <w:t>5.57</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600183</w:t>
            </w:r>
          </w:p>
        </w:tc>
        <w:tc>
          <w:tcPr>
            <w:tcW/>
            <w:vAlign w:val="center"/>
          </w:tcPr>
          <w:p>
            <w:pPr>
              <w:spacing w:line="240" w:lineRule="auto"/>
              <w:jc w:val="left"/>
            </w:pPr>
            <w:r>
              <w:rPr>
                <w:rFonts w:ascii="宋体" w:hAnsi="宋体" w:cs="宋体" w:eastAsia="宋体"/>
                <w:b w:val="false"/>
              </w:rPr>
              <w:t>生益科技</w:t>
            </w:r>
          </w:p>
        </w:tc>
        <w:tc>
          <w:tcPr>
            <w:tcW/>
            <w:vAlign w:val="center"/>
          </w:tcPr>
          <w:p>
            <w:pPr>
              <w:spacing w:line="240" w:lineRule="auto"/>
              <w:jc w:val="right"/>
            </w:pPr>
            <w:r>
              <w:rPr>
                <w:rFonts w:ascii="宋体" w:hAnsi="宋体" w:cs="宋体" w:eastAsia="宋体"/>
                <w:b w:val="false"/>
              </w:rPr>
              <w:t>2,246,100</w:t>
            </w:r>
          </w:p>
        </w:tc>
        <w:tc>
          <w:tcPr>
            <w:tcW/>
            <w:vAlign w:val="center"/>
          </w:tcPr>
          <w:p>
            <w:pPr>
              <w:spacing w:line="240" w:lineRule="auto"/>
              <w:jc w:val="right"/>
            </w:pPr>
            <w:r>
              <w:rPr>
                <w:rFonts w:ascii="宋体" w:hAnsi="宋体" w:cs="宋体" w:eastAsia="宋体"/>
                <w:b w:val="false"/>
              </w:rPr>
              <w:t>121,671,237.00</w:t>
            </w:r>
          </w:p>
        </w:tc>
        <w:tc>
          <w:tcPr>
            <w:tcW/>
            <w:vAlign w:val="center"/>
          </w:tcPr>
          <w:p>
            <w:pPr>
              <w:spacing w:line="240" w:lineRule="auto"/>
              <w:jc w:val="right"/>
            </w:pPr>
            <w:r>
              <w:rPr>
                <w:rFonts w:ascii="宋体" w:hAnsi="宋体" w:cs="宋体" w:eastAsia="宋体"/>
                <w:b w:val="false"/>
              </w:rPr>
              <w:t>4.89</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300394</w:t>
            </w:r>
          </w:p>
        </w:tc>
        <w:tc>
          <w:tcPr>
            <w:tcW/>
            <w:vAlign w:val="center"/>
          </w:tcPr>
          <w:p>
            <w:pPr>
              <w:spacing w:line="240" w:lineRule="auto"/>
              <w:jc w:val="left"/>
            </w:pPr>
            <w:r>
              <w:rPr>
                <w:rFonts w:ascii="宋体" w:hAnsi="宋体" w:cs="宋体" w:eastAsia="宋体"/>
                <w:b w:val="false"/>
              </w:rPr>
              <w:t>天孚通信</w:t>
            </w:r>
          </w:p>
        </w:tc>
        <w:tc>
          <w:tcPr>
            <w:tcW/>
            <w:vAlign w:val="center"/>
          </w:tcPr>
          <w:p>
            <w:pPr>
              <w:spacing w:line="240" w:lineRule="auto"/>
              <w:jc w:val="right"/>
            </w:pPr>
            <w:r>
              <w:rPr>
                <w:rFonts w:ascii="宋体" w:hAnsi="宋体" w:cs="宋体" w:eastAsia="宋体"/>
                <w:b w:val="false"/>
              </w:rPr>
              <w:t>374,700</w:t>
            </w:r>
          </w:p>
        </w:tc>
        <w:tc>
          <w:tcPr>
            <w:tcW/>
            <w:vAlign w:val="center"/>
          </w:tcPr>
          <w:p>
            <w:pPr>
              <w:spacing w:line="240" w:lineRule="auto"/>
              <w:jc w:val="right"/>
            </w:pPr>
            <w:r>
              <w:rPr>
                <w:rFonts w:ascii="宋体" w:hAnsi="宋体" w:cs="宋体" w:eastAsia="宋体"/>
                <w:b w:val="false"/>
              </w:rPr>
              <w:t>113,009,520.00</w:t>
            </w:r>
          </w:p>
        </w:tc>
        <w:tc>
          <w:tcPr>
            <w:tcW/>
            <w:vAlign w:val="center"/>
          </w:tcPr>
          <w:p>
            <w:pPr>
              <w:spacing w:line="240" w:lineRule="auto"/>
              <w:jc w:val="right"/>
            </w:pPr>
            <w:r>
              <w:rPr>
                <w:rFonts w:ascii="宋体" w:hAnsi="宋体" w:cs="宋体" w:eastAsia="宋体"/>
                <w:b w:val="false"/>
              </w:rPr>
              <w:t>4.55</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002837</w:t>
            </w:r>
          </w:p>
        </w:tc>
        <w:tc>
          <w:tcPr>
            <w:tcW/>
            <w:vAlign w:val="center"/>
          </w:tcPr>
          <w:p>
            <w:pPr>
              <w:spacing w:line="240" w:lineRule="auto"/>
              <w:jc w:val="left"/>
            </w:pPr>
            <w:r>
              <w:rPr>
                <w:rFonts w:ascii="宋体" w:hAnsi="宋体" w:cs="宋体" w:eastAsia="宋体"/>
                <w:b w:val="false"/>
              </w:rPr>
              <w:t>英维克</w:t>
            </w:r>
          </w:p>
        </w:tc>
        <w:tc>
          <w:tcPr>
            <w:tcW/>
            <w:vAlign w:val="center"/>
          </w:tcPr>
          <w:p>
            <w:pPr>
              <w:spacing w:line="240" w:lineRule="auto"/>
              <w:jc w:val="right"/>
            </w:pPr>
            <w:r>
              <w:rPr>
                <w:rFonts w:ascii="宋体" w:hAnsi="宋体" w:cs="宋体" w:eastAsia="宋体"/>
                <w:b w:val="false"/>
              </w:rPr>
              <w:t>1,238,130</w:t>
            </w:r>
          </w:p>
        </w:tc>
        <w:tc>
          <w:tcPr>
            <w:tcW/>
            <w:vAlign w:val="center"/>
          </w:tcPr>
          <w:p>
            <w:pPr>
              <w:spacing w:line="240" w:lineRule="auto"/>
              <w:jc w:val="right"/>
            </w:pPr>
            <w:r>
              <w:rPr>
                <w:rFonts w:ascii="宋体" w:hAnsi="宋体" w:cs="宋体" w:eastAsia="宋体"/>
                <w:b w:val="false"/>
              </w:rPr>
              <w:t>104,436,265.50</w:t>
            </w:r>
          </w:p>
        </w:tc>
        <w:tc>
          <w:tcPr>
            <w:tcW/>
            <w:vAlign w:val="center"/>
          </w:tcPr>
          <w:p>
            <w:pPr>
              <w:spacing w:line="240" w:lineRule="auto"/>
              <w:jc w:val="right"/>
            </w:pPr>
            <w:r>
              <w:rPr>
                <w:rFonts w:ascii="宋体" w:hAnsi="宋体" w:cs="宋体" w:eastAsia="宋体"/>
                <w:b w:val="false"/>
              </w:rPr>
              <w:t>4.20</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002851</w:t>
            </w:r>
          </w:p>
        </w:tc>
        <w:tc>
          <w:tcPr>
            <w:tcW/>
            <w:vAlign w:val="center"/>
          </w:tcPr>
          <w:p>
            <w:pPr>
              <w:spacing w:line="240" w:lineRule="auto"/>
              <w:jc w:val="left"/>
            </w:pPr>
            <w:r>
              <w:rPr>
                <w:rFonts w:ascii="宋体" w:hAnsi="宋体" w:cs="宋体" w:eastAsia="宋体"/>
                <w:b w:val="false"/>
              </w:rPr>
              <w:t>麦格米特</w:t>
            </w:r>
          </w:p>
        </w:tc>
        <w:tc>
          <w:tcPr>
            <w:tcW/>
            <w:vAlign w:val="center"/>
          </w:tcPr>
          <w:p>
            <w:pPr>
              <w:spacing w:line="240" w:lineRule="auto"/>
              <w:jc w:val="right"/>
            </w:pPr>
            <w:r>
              <w:rPr>
                <w:rFonts w:ascii="宋体" w:hAnsi="宋体" w:cs="宋体" w:eastAsia="宋体"/>
                <w:b w:val="false"/>
              </w:rPr>
              <w:t>933,027</w:t>
            </w:r>
          </w:p>
        </w:tc>
        <w:tc>
          <w:tcPr>
            <w:tcW/>
            <w:vAlign w:val="center"/>
          </w:tcPr>
          <w:p>
            <w:pPr>
              <w:spacing w:line="240" w:lineRule="auto"/>
              <w:jc w:val="right"/>
            </w:pPr>
            <w:r>
              <w:rPr>
                <w:rFonts w:ascii="宋体" w:hAnsi="宋体" w:cs="宋体" w:eastAsia="宋体"/>
                <w:b w:val="false"/>
              </w:rPr>
              <w:t>90,690,224.40</w:t>
            </w:r>
          </w:p>
        </w:tc>
        <w:tc>
          <w:tcPr>
            <w:tcW/>
            <w:vAlign w:val="center"/>
          </w:tcPr>
          <w:p>
            <w:pPr>
              <w:spacing w:line="240" w:lineRule="auto"/>
              <w:jc w:val="right"/>
            </w:pPr>
            <w:r>
              <w:rPr>
                <w:rFonts w:ascii="宋体" w:hAnsi="宋体" w:cs="宋体" w:eastAsia="宋体"/>
                <w:b w:val="false"/>
              </w:rPr>
              <w:t>3.65</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002384</w:t>
            </w:r>
          </w:p>
        </w:tc>
        <w:tc>
          <w:tcPr>
            <w:tcW/>
            <w:vAlign w:val="center"/>
          </w:tcPr>
          <w:p>
            <w:pPr>
              <w:spacing w:line="240" w:lineRule="auto"/>
              <w:jc w:val="left"/>
            </w:pPr>
            <w:r>
              <w:rPr>
                <w:rFonts w:ascii="宋体" w:hAnsi="宋体" w:cs="宋体" w:eastAsia="宋体"/>
                <w:b w:val="false"/>
              </w:rPr>
              <w:t>东山精密</w:t>
            </w:r>
          </w:p>
        </w:tc>
        <w:tc>
          <w:tcPr>
            <w:tcW/>
            <w:vAlign w:val="center"/>
          </w:tcPr>
          <w:p>
            <w:pPr>
              <w:spacing w:line="240" w:lineRule="auto"/>
              <w:jc w:val="right"/>
            </w:pPr>
            <w:r>
              <w:rPr>
                <w:rFonts w:ascii="宋体" w:hAnsi="宋体" w:cs="宋体" w:eastAsia="宋体"/>
                <w:b w:val="false"/>
              </w:rPr>
              <w:t>719,300</w:t>
            </w:r>
          </w:p>
        </w:tc>
        <w:tc>
          <w:tcPr>
            <w:tcW/>
            <w:vAlign w:val="center"/>
          </w:tcPr>
          <w:p>
            <w:pPr>
              <w:spacing w:line="240" w:lineRule="auto"/>
              <w:jc w:val="right"/>
            </w:pPr>
            <w:r>
              <w:rPr>
                <w:rFonts w:ascii="宋体" w:hAnsi="宋体" w:cs="宋体" w:eastAsia="宋体"/>
                <w:b w:val="false"/>
              </w:rPr>
              <w:t>74,303,690.00</w:t>
            </w:r>
          </w:p>
        </w:tc>
        <w:tc>
          <w:tcPr>
            <w:tcW/>
            <w:vAlign w:val="center"/>
          </w:tcPr>
          <w:p>
            <w:pPr>
              <w:spacing w:line="240" w:lineRule="auto"/>
              <w:jc w:val="right"/>
            </w:pPr>
            <w:r>
              <w:rPr>
                <w:rFonts w:ascii="宋体" w:hAnsi="宋体" w:cs="宋体" w:eastAsia="宋体"/>
                <w:b w:val="false"/>
              </w:rPr>
              <w:t>2.99</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002463</w:t>
            </w:r>
          </w:p>
        </w:tc>
        <w:tc>
          <w:tcPr>
            <w:tcW/>
            <w:vAlign w:val="center"/>
          </w:tcPr>
          <w:p>
            <w:pPr>
              <w:spacing w:line="240" w:lineRule="auto"/>
              <w:jc w:val="left"/>
            </w:pPr>
            <w:r>
              <w:rPr>
                <w:rFonts w:ascii="宋体" w:hAnsi="宋体" w:cs="宋体" w:eastAsia="宋体"/>
                <w:b w:val="false"/>
              </w:rPr>
              <w:t>沪电股份</w:t>
            </w:r>
          </w:p>
        </w:tc>
        <w:tc>
          <w:tcPr>
            <w:tcW/>
            <w:vAlign w:val="center"/>
          </w:tcPr>
          <w:p>
            <w:pPr>
              <w:spacing w:line="240" w:lineRule="auto"/>
              <w:jc w:val="right"/>
            </w:pPr>
            <w:r>
              <w:rPr>
                <w:rFonts w:ascii="宋体" w:hAnsi="宋体" w:cs="宋体" w:eastAsia="宋体"/>
                <w:b w:val="false"/>
              </w:rPr>
              <w:t>970,200</w:t>
            </w:r>
          </w:p>
        </w:tc>
        <w:tc>
          <w:tcPr>
            <w:tcW/>
            <w:vAlign w:val="center"/>
          </w:tcPr>
          <w:p>
            <w:pPr>
              <w:spacing w:line="240" w:lineRule="auto"/>
              <w:jc w:val="right"/>
            </w:pPr>
            <w:r>
              <w:rPr>
                <w:rFonts w:ascii="宋体" w:hAnsi="宋体" w:cs="宋体" w:eastAsia="宋体"/>
                <w:b w:val="false"/>
              </w:rPr>
              <w:t>73,706,094.00</w:t>
            </w:r>
          </w:p>
        </w:tc>
        <w:tc>
          <w:tcPr>
            <w:tcW/>
            <w:vAlign w:val="center"/>
          </w:tcPr>
          <w:p>
            <w:pPr>
              <w:spacing w:line="240" w:lineRule="auto"/>
              <w:jc w:val="right"/>
            </w:pPr>
            <w:r>
              <w:rPr>
                <w:rFonts w:ascii="宋体" w:hAnsi="宋体" w:cs="宋体" w:eastAsia="宋体"/>
                <w:b w:val="false"/>
              </w:rPr>
              <w:t>2.96</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140,650,877.97</w:t>
            </w:r>
          </w:p>
        </w:tc>
        <w:tc>
          <w:tcPr>
            <w:tcW/>
            <w:vAlign w:val="center"/>
          </w:tcPr>
          <w:p>
            <w:pPr>
              <w:spacing w:line="240" w:lineRule="auto"/>
              <w:jc w:val="right"/>
            </w:pPr>
            <w:r>
              <w:rPr>
                <w:rFonts w:ascii="宋体" w:hAnsi="宋体" w:cs="宋体" w:eastAsia="宋体"/>
                <w:b w:val="false"/>
              </w:rPr>
              <w:t>5.66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140,650,877.97</w:t>
            </w:r>
          </w:p>
        </w:tc>
        <w:tc>
          <w:tcPr>
            <w:tcW/>
            <w:vAlign w:val="center"/>
          </w:tcPr>
          <w:p>
            <w:pPr>
              <w:spacing w:line="240" w:lineRule="auto"/>
              <w:jc w:val="right"/>
            </w:pPr>
            <w:r>
              <w:rPr>
                <w:rFonts w:ascii="宋体" w:hAnsi="宋体" w:cs="宋体" w:eastAsia="宋体"/>
                <w:b w:val="false"/>
              </w:rPr>
              <w:t>5.66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620,000</w:t>
            </w:r>
          </w:p>
        </w:tc>
        <w:tc>
          <w:tcPr>
            <w:tcW/>
            <w:vAlign w:val="center"/>
          </w:tcPr>
          <w:p>
            <w:pPr>
              <w:spacing w:line="240" w:lineRule="auto"/>
              <w:jc w:val="right"/>
            </w:pPr>
            <w:r>
              <w:rPr>
                <w:rFonts w:ascii="宋体" w:hAnsi="宋体" w:cs="宋体" w:eastAsia="宋体"/>
                <w:b w:val="false"/>
              </w:rPr>
              <w:t>62,163,696.99</w:t>
            </w:r>
          </w:p>
        </w:tc>
        <w:tc>
          <w:tcPr>
            <w:tcW/>
            <w:vAlign w:val="center"/>
          </w:tcPr>
          <w:p>
            <w:pPr>
              <w:spacing w:line="240" w:lineRule="auto"/>
              <w:jc w:val="right"/>
            </w:pPr>
            <w:r>
              <w:rPr>
                <w:rFonts w:ascii="宋体" w:hAnsi="宋体" w:cs="宋体" w:eastAsia="宋体"/>
                <w:b w:val="false"/>
              </w:rPr>
              <w:t>2.50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509,000</w:t>
            </w:r>
          </w:p>
        </w:tc>
        <w:tc>
          <w:tcPr>
            <w:tcW/>
            <w:vAlign w:val="center"/>
          </w:tcPr>
          <w:p>
            <w:pPr>
              <w:spacing w:line="240" w:lineRule="auto"/>
              <w:jc w:val="right"/>
            </w:pPr>
            <w:r>
              <w:rPr>
                <w:rFonts w:ascii="宋体" w:hAnsi="宋体" w:cs="宋体" w:eastAsia="宋体"/>
                <w:b w:val="false"/>
              </w:rPr>
              <w:t>51,384,038.08</w:t>
            </w:r>
          </w:p>
        </w:tc>
        <w:tc>
          <w:tcPr>
            <w:tcW/>
            <w:vAlign w:val="center"/>
          </w:tcPr>
          <w:p>
            <w:pPr>
              <w:spacing w:line="240" w:lineRule="auto"/>
              <w:jc w:val="right"/>
            </w:pPr>
            <w:r>
              <w:rPr>
                <w:rFonts w:ascii="宋体" w:hAnsi="宋体" w:cs="宋体" w:eastAsia="宋体"/>
                <w:b w:val="false"/>
              </w:rPr>
              <w:t>2.07</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269,000</w:t>
            </w:r>
          </w:p>
        </w:tc>
        <w:tc>
          <w:tcPr>
            <w:tcW/>
            <w:vAlign w:val="center"/>
          </w:tcPr>
          <w:p>
            <w:pPr>
              <w:spacing w:line="240" w:lineRule="auto"/>
              <w:jc w:val="right"/>
            </w:pPr>
            <w:r>
              <w:rPr>
                <w:rFonts w:ascii="宋体" w:hAnsi="宋体" w:cs="宋体" w:eastAsia="宋体"/>
                <w:b w:val="false"/>
              </w:rPr>
              <w:t>27,103,142.90</w:t>
            </w:r>
          </w:p>
        </w:tc>
        <w:tc>
          <w:tcPr>
            <w:tcW/>
            <w:vAlign w:val="center"/>
          </w:tcPr>
          <w:p>
            <w:pPr>
              <w:spacing w:line="240" w:lineRule="auto"/>
              <w:jc w:val="right"/>
            </w:pPr>
            <w:r>
              <w:rPr>
                <w:rFonts w:ascii="宋体" w:hAnsi="宋体" w:cs="宋体" w:eastAsia="宋体"/>
                <w:b w:val="false"/>
              </w:rPr>
              <w:t>1.09</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3,615,470.72</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3,615,470.72</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东方阿尔法优势产业混合A</w:t>
            </w:r>
          </w:p>
        </w:tc>
        <w:tc>
          <w:tcPr>
            <w:tcW w:type="pct" w:w="1300"/>
            <w:vAlign w:val="center"/>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764,522,533.40</w:t>
            </w:r>
          </w:p>
        </w:tc>
        <w:tc>
          <w:tcPr>
            <w:tcW w:type="pct" w:w="1300"/>
            <w:vAlign w:val="center"/>
          </w:tcPr>
          <w:p>
            <w:pPr>
              <w:spacing w:line="240" w:lineRule="auto"/>
              <w:jc w:val="right"/>
            </w:pPr>
            <w:r>
              <w:rPr>
                <w:rFonts w:ascii="宋体" w:hAnsi="宋体" w:cs="宋体" w:eastAsia="宋体"/>
                <w:b w:val="false"/>
              </w:rPr>
              <w:t>680,201,281.74</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71,772,042.37</w:t>
            </w:r>
          </w:p>
        </w:tc>
        <w:tc>
          <w:tcPr>
            <w:tcW w:type="pct" w:w="1300"/>
            <w:vAlign w:val="center"/>
          </w:tcPr>
          <w:p>
            <w:pPr>
              <w:spacing w:line="240" w:lineRule="auto"/>
              <w:jc w:val="right"/>
            </w:pPr>
            <w:r>
              <w:rPr>
                <w:rFonts w:ascii="宋体" w:hAnsi="宋体" w:cs="宋体" w:eastAsia="宋体"/>
                <w:b w:val="false"/>
              </w:rPr>
              <w:t>353,437,395.92</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202,062,611.19</w:t>
            </w:r>
          </w:p>
        </w:tc>
        <w:tc>
          <w:tcPr>
            <w:tcW w:type="pct" w:w="1300"/>
            <w:vAlign w:val="center"/>
          </w:tcPr>
          <w:p>
            <w:pPr>
              <w:spacing w:line="240" w:lineRule="auto"/>
              <w:jc w:val="right"/>
            </w:pPr>
            <w:r>
              <w:rPr>
                <w:rFonts w:ascii="宋体" w:hAnsi="宋体" w:cs="宋体" w:eastAsia="宋体"/>
                <w:b w:val="false"/>
              </w:rPr>
              <w:t>448,673,814.60</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634,231,964.58</w:t>
            </w:r>
          </w:p>
        </w:tc>
        <w:tc>
          <w:tcPr>
            <w:tcW w:type="pct" w:w="1300"/>
            <w:vAlign w:val="center"/>
          </w:tcPr>
          <w:p>
            <w:pPr>
              <w:spacing w:line="240" w:lineRule="auto"/>
              <w:jc w:val="right"/>
            </w:pPr>
            <w:r>
              <w:rPr>
                <w:rFonts w:ascii="宋体" w:hAnsi="宋体" w:cs="宋体" w:eastAsia="宋体"/>
                <w:b w:val="false"/>
              </w:rPr>
              <w:t>584,964,863.06</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2020年06月28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1、中国证券监督管理委员会批准的东方阿尔法优势产业混合型发起式证券投资基金设立的文件；</w:t>
        <w:br/>
      </w:r>
      <w:r>
        <w:rPr>
          <w:rFonts w:ascii="宋体" w:hAnsi="宋体" w:cs="宋体" w:eastAsia="宋体"/>
          <w:b w:val="false"/>
        </w:rPr>
        <w:t xml:space="preserve">    2、《东方阿尔法优势产业混合型发起式证券投资基金基金合同》；</w:t>
        <w:br/>
      </w:r>
      <w:r>
        <w:rPr>
          <w:rFonts w:ascii="宋体" w:hAnsi="宋体" w:cs="宋体" w:eastAsia="宋体"/>
          <w:b w:val="false"/>
        </w:rPr>
        <w:t xml:space="preserve">    3、《东方阿尔法优势产业混合型发起式证券投资基金托管协议》；</w:t>
        <w:br/>
      </w:r>
      <w:r>
        <w:rPr>
          <w:rFonts w:ascii="宋体" w:hAnsi="宋体" w:cs="宋体" w:eastAsia="宋体"/>
          <w:b w:val="false"/>
        </w:rPr>
        <w:t xml:space="preserve">    4、《东方阿尔法优势产业混合型发起式证券投资基金招募说明书》（含更新）；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东方阿尔法优势产业混合型发起式证券投资基金2026年第1季度报告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