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中信银行股份有限公司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基金托管人中信银行股份有限公司根据本基金合同规定，于2026年04月20日复核了本报告中的财务指标、净值表现和投资组合报告等内容，保证复核内容不存在虚假记载、误导性陈述或者重大遗漏。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东方阿尔法科技优选混合发起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024423</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2025年06月06日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114,590,791.85份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本基金在严格控制风险并保持良好流动性的前提下，重点投资于科技主题相关证券，力争获取超越业绩比较基准的投资回报，谋求基金资产的长期增值。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本基金结合定性与定量分析经济和市场趋势，评估风险和收益，确定股票、债券、现金等资产的配置比例和调整原则，追求稳定增值，同时持续监控风险并适时调整。</w:t>
              <w:br/>
            </w:r>
            <w:r>
              <w:rPr>
                <w:rFonts w:ascii="宋体" w:hAnsi="宋体" w:cs="宋体" w:eastAsia="宋体"/>
                <w:b w:val="false"/>
              </w:rPr>
              <w:t>2、股票投资策略</w:t>
              <w:br/>
            </w:r>
            <w:r>
              <w:rPr>
                <w:rFonts w:ascii="宋体" w:hAnsi="宋体" w:cs="宋体" w:eastAsia="宋体"/>
                <w:b w:val="false"/>
              </w:rPr>
              <w:t>本基金通过定性与定量结合的积极策略，自下而上精选科技主题股票，构建多元资产组合以实现长期稳健增值。</w:t>
              <w:br/>
            </w:r>
            <w:r>
              <w:rPr>
                <w:rFonts w:ascii="宋体" w:hAnsi="宋体" w:cs="宋体" w:eastAsia="宋体"/>
                <w:b w:val="false"/>
              </w:rPr>
              <w:t>3、港股投资策略</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中信银行股份有限公司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东方阿尔法科技优选混合发起A</w:t>
            </w:r>
          </w:p>
        </w:tc>
        <w:tc>
          <w:tcPr>
            <w:tcW w:type="pct" w:w="1500"/>
            <w:vAlign w:val="center"/>
          </w:tcPr>
          <w:p>
            <w:pPr>
              <w:spacing w:line="240" w:lineRule="auto"/>
              <w:jc w:val="left"/>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024423</w:t>
            </w:r>
          </w:p>
        </w:tc>
        <w:tc>
          <w:tcPr>
            <w:tcW w:type="pct" w:w="1500"/>
            <w:vAlign w:val="center"/>
          </w:tcPr>
          <w:p>
            <w:pPr>
              <w:spacing w:line="240" w:lineRule="auto"/>
              <w:jc w:val="left"/>
            </w:pPr>
            <w:r>
              <w:rPr>
                <w:rFonts w:ascii="宋体" w:hAnsi="宋体" w:cs="宋体" w:eastAsia="宋体"/>
                <w:b w:val="false"/>
              </w:rPr>
              <w:t>024424</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23,616,227.40份</w:t>
            </w:r>
          </w:p>
        </w:tc>
        <w:tc>
          <w:tcPr>
            <w:tcW w:type="pct" w:w="1500"/>
            <w:vAlign w:val="center"/>
          </w:tcPr>
          <w:p>
            <w:pPr>
              <w:spacing w:line="240" w:lineRule="auto"/>
              <w:jc w:val="left"/>
            </w:pPr>
            <w:r>
              <w:rPr>
                <w:rFonts w:ascii="宋体" w:hAnsi="宋体" w:cs="宋体" w:eastAsia="宋体"/>
                <w:b w:val="false"/>
              </w:rPr>
              <w:t>90,974,564.45份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东方阿尔法科技优选混合发起A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474,724.65</w:t>
            </w:r>
          </w:p>
        </w:tc>
        <w:tc>
          <w:tcPr>
            <w:tcW w:type="pct" w:w="1500"/>
            <w:vAlign w:val="center"/>
          </w:tcPr>
          <w:p>
            <w:pPr>
              <w:spacing w:line="240" w:lineRule="auto"/>
              <w:jc w:val="right"/>
            </w:pPr>
            <w:r>
              <w:rPr>
                <w:rFonts w:ascii="宋体" w:hAnsi="宋体" w:cs="宋体" w:eastAsia="宋体"/>
                <w:b w:val="false"/>
              </w:rPr>
              <w:t>2,823,473.42</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-1,085,678.63</w:t>
            </w:r>
          </w:p>
        </w:tc>
        <w:tc>
          <w:tcPr>
            <w:tcW w:type="pct" w:w="1500"/>
            <w:vAlign w:val="center"/>
          </w:tcPr>
          <w:p>
            <w:pPr>
              <w:spacing w:line="240" w:lineRule="auto"/>
              <w:jc w:val="right"/>
            </w:pPr>
            <w:r>
              <w:rPr>
                <w:rFonts w:ascii="宋体" w:hAnsi="宋体" w:cs="宋体" w:eastAsia="宋体"/>
                <w:b w:val="false"/>
              </w:rPr>
              <w:t>-3,930,507.44</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-0.0474</w:t>
            </w:r>
          </w:p>
        </w:tc>
        <w:tc>
          <w:tcPr>
            <w:tcW w:type="pct" w:w="1500"/>
            <w:vAlign w:val="center"/>
          </w:tcPr>
          <w:p>
            <w:pPr>
              <w:spacing w:line="240" w:lineRule="auto"/>
              <w:jc w:val="right"/>
            </w:pPr>
            <w:r>
              <w:rPr>
                <w:rFonts w:ascii="宋体" w:hAnsi="宋体" w:cs="宋体" w:eastAsia="宋体"/>
                <w:b w:val="false"/>
              </w:rPr>
              <w:t>-0.0311</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24,640,302.31</w:t>
            </w:r>
          </w:p>
        </w:tc>
        <w:tc>
          <w:tcPr>
            <w:tcW w:type="pct" w:w="1500"/>
            <w:vAlign w:val="center"/>
          </w:tcPr>
          <w:p>
            <w:pPr>
              <w:spacing w:line="240" w:lineRule="auto"/>
              <w:jc w:val="right"/>
            </w:pPr>
            <w:r>
              <w:rPr>
                <w:rFonts w:ascii="宋体" w:hAnsi="宋体" w:cs="宋体" w:eastAsia="宋体"/>
                <w:b w:val="false"/>
              </w:rPr>
              <w:t>94,611,971.24</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1.0434</w:t>
            </w:r>
          </w:p>
        </w:tc>
        <w:tc>
          <w:tcPr>
            <w:tcW w:type="pct" w:w="1500"/>
            <w:vAlign w:val="center"/>
          </w:tcPr>
          <w:p>
            <w:pPr>
              <w:spacing w:line="240" w:lineRule="auto"/>
              <w:jc w:val="right"/>
            </w:pPr>
            <w:r>
              <w:rPr>
                <w:rFonts w:ascii="宋体" w:hAnsi="宋体" w:cs="宋体" w:eastAsia="宋体"/>
                <w:b w:val="false"/>
              </w:rPr>
              <w:t>1.0400</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东方阿尔法科技优选混合发起A净值表现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2.96%</w:t>
            </w:r>
          </w:p>
        </w:tc>
        <w:tc>
          <w:tcPr>
            <w:tcW/>
            <w:vAlign w:val="center"/>
          </w:tcPr>
          <w:p>
            <w:pPr>
              <w:spacing w:line="240" w:lineRule="auto"/>
              <w:jc w:val="right"/>
            </w:pPr>
            <w:r>
              <w:rPr>
                <w:rFonts w:ascii="宋体" w:hAnsi="宋体" w:cs="宋体" w:eastAsia="宋体"/>
                <w:b w:val="false"/>
              </w:rPr>
              <w:t>-4.51%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5.77%</w:t>
            </w:r>
          </w:p>
        </w:tc>
        <w:tc>
          <w:tcPr>
            <w:tcW/>
            <w:vAlign w:val="center"/>
          </w:tcPr>
          <w:p>
            <w:pPr>
              <w:spacing w:line="240" w:lineRule="auto"/>
              <w:jc w:val="right"/>
            </w:pPr>
            <w:r>
              <w:rPr>
                <w:rFonts w:ascii="宋体" w:hAnsi="宋体" w:cs="宋体" w:eastAsia="宋体"/>
                <w:b w:val="false"/>
              </w:rPr>
              <w:t>1.74%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0.17%</w:t>
            </w:r>
          </w:p>
        </w:tc>
        <w:tc>
          <w:tcPr>
            <w:tcW/>
            <w:vAlign w:val="center"/>
          </w:tcPr>
          <w:p>
            <w:pPr>
              <w:spacing w:line="240" w:lineRule="auto"/>
              <w:jc w:val="right"/>
            </w:pPr>
            <w:r>
              <w:rPr>
                <w:rFonts w:ascii="宋体" w:hAnsi="宋体" w:cs="宋体" w:eastAsia="宋体"/>
                <w:b w:val="false"/>
              </w:rPr>
              <w:t>2.60%</w:t>
            </w:r>
          </w:p>
        </w:tc>
        <w:tc>
          <w:tcPr>
            <w:tcW/>
            <w:vAlign w:val="center"/>
          </w:tcPr>
          <w:p>
            <w:pPr>
              <w:spacing w:line="240" w:lineRule="auto"/>
              <w:jc w:val="right"/>
            </w:pPr>
            <w:r>
              <w:rPr>
                <w:rFonts w:ascii="宋体" w:hAnsi="宋体" w:cs="宋体" w:eastAsia="宋体"/>
                <w:b w:val="false"/>
              </w:rPr>
              <w:t>-6.80%</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6.97%</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4.34%</w:t>
            </w:r>
          </w:p>
        </w:tc>
        <w:tc>
          <w:tcPr>
            <w:tcW/>
            <w:vAlign w:val="center"/>
          </w:tcPr>
          <w:p>
            <w:pPr>
              <w:spacing w:line="240" w:lineRule="auto"/>
              <w:jc w:val="right"/>
            </w:pPr>
            <w:r>
              <w:rPr>
                <w:rFonts w:ascii="宋体" w:hAnsi="宋体" w:cs="宋体" w:eastAsia="宋体"/>
                <w:b w:val="false"/>
              </w:rPr>
              <w:t>2.20%</w:t>
            </w:r>
          </w:p>
        </w:tc>
        <w:tc>
          <w:tcPr>
            <w:tcW/>
            <w:vAlign w:val="center"/>
          </w:tcPr>
          <w:p>
            <w:pPr>
              <w:spacing w:line="240" w:lineRule="auto"/>
              <w:jc w:val="right"/>
            </w:pPr>
            <w:r>
              <w:rPr>
                <w:rFonts w:ascii="宋体" w:hAnsi="宋体" w:cs="宋体" w:eastAsia="宋体"/>
                <w:b w:val="false"/>
              </w:rPr>
              <w:t>31.97%</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-27.63%</w:t>
            </w:r>
          </w:p>
        </w:tc>
        <w:tc>
          <w:tcPr>
            <w:tcW/>
            <w:vAlign w:val="center"/>
          </w:tcPr>
          <w:p>
            <w:pPr>
              <w:spacing w:line="240" w:lineRule="auto"/>
              <w:jc w:val="right"/>
            </w:pPr>
            <w:r>
              <w:rPr>
                <w:rFonts w:ascii="宋体" w:hAnsi="宋体" w:cs="宋体" w:eastAsia="宋体"/>
                <w:b w:val="false"/>
              </w:rPr>
              <w:t>0.82%</w:t>
            </w:r>
          </w:p>
        </w:tc>
      </w:tr>
    </w:tbl>
    <w:p>
      <w:pPr>
        <w:jc w:val="left"/>
      </w:pPr>
      <w:r>
        <w:rPr>
          <w:rFonts w:ascii="宋体" w:hAnsi="宋体" w:cs="宋体" w:eastAsia="宋体"/>
          <w:b w:val="true"/>
        </w:rPr>
        <w:t>东方阿尔法科技优选混合发起C净值表现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1.15%</w:t>
            </w:r>
          </w:p>
        </w:tc>
        <w:tc>
          <w:tcPr>
            <w:tcW/>
            <w:vAlign w:val="center"/>
          </w:tcPr>
          <w:p>
            <w:pPr>
              <w:spacing w:line="240" w:lineRule="auto"/>
              <w:jc w:val="right"/>
            </w:pPr>
            <w:r>
              <w:rPr>
                <w:rFonts w:ascii="宋体" w:hAnsi="宋体" w:cs="宋体" w:eastAsia="宋体"/>
                <w:b w:val="false"/>
              </w:rPr>
              <w:t>2.96%</w:t>
            </w:r>
          </w:p>
        </w:tc>
        <w:tc>
          <w:tcPr>
            <w:tcW/>
            <w:vAlign w:val="center"/>
          </w:tcPr>
          <w:p>
            <w:pPr>
              <w:spacing w:line="240" w:lineRule="auto"/>
              <w:jc w:val="right"/>
            </w:pPr>
            <w:r>
              <w:rPr>
                <w:rFonts w:ascii="宋体" w:hAnsi="宋体" w:cs="宋体" w:eastAsia="宋体"/>
                <w:b w:val="false"/>
              </w:rPr>
              <w:t>-4.51%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5.66%</w:t>
            </w:r>
          </w:p>
        </w:tc>
        <w:tc>
          <w:tcPr>
            <w:tcW/>
            <w:vAlign w:val="center"/>
          </w:tcPr>
          <w:p>
            <w:pPr>
              <w:spacing w:line="240" w:lineRule="auto"/>
              <w:jc w:val="right"/>
            </w:pPr>
            <w:r>
              <w:rPr>
                <w:rFonts w:ascii="宋体" w:hAnsi="宋体" w:cs="宋体" w:eastAsia="宋体"/>
                <w:b w:val="false"/>
              </w:rPr>
              <w:t>1.74%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-0.04%</w:t>
            </w:r>
          </w:p>
        </w:tc>
        <w:tc>
          <w:tcPr>
            <w:tcW/>
            <w:vAlign w:val="center"/>
          </w:tcPr>
          <w:p>
            <w:pPr>
              <w:spacing w:line="240" w:lineRule="auto"/>
              <w:jc w:val="right"/>
            </w:pPr>
            <w:r>
              <w:rPr>
                <w:rFonts w:ascii="宋体" w:hAnsi="宋体" w:cs="宋体" w:eastAsia="宋体"/>
                <w:b w:val="false"/>
              </w:rPr>
              <w:t>2.60%</w:t>
            </w:r>
          </w:p>
        </w:tc>
        <w:tc>
          <w:tcPr>
            <w:tcW/>
            <w:vAlign w:val="center"/>
          </w:tcPr>
          <w:p>
            <w:pPr>
              <w:spacing w:line="240" w:lineRule="auto"/>
              <w:jc w:val="right"/>
            </w:pPr>
            <w:r>
              <w:rPr>
                <w:rFonts w:ascii="宋体" w:hAnsi="宋体" w:cs="宋体" w:eastAsia="宋体"/>
                <w:b w:val="false"/>
              </w:rPr>
              <w:t>-6.80%</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6.76%</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4.00%</w:t>
            </w:r>
          </w:p>
        </w:tc>
        <w:tc>
          <w:tcPr>
            <w:tcW/>
            <w:vAlign w:val="center"/>
          </w:tcPr>
          <w:p>
            <w:pPr>
              <w:spacing w:line="240" w:lineRule="auto"/>
              <w:jc w:val="right"/>
            </w:pPr>
            <w:r>
              <w:rPr>
                <w:rFonts w:ascii="宋体" w:hAnsi="宋体" w:cs="宋体" w:eastAsia="宋体"/>
                <w:b w:val="false"/>
              </w:rPr>
              <w:t>2.20%</w:t>
            </w:r>
          </w:p>
        </w:tc>
        <w:tc>
          <w:tcPr>
            <w:tcW/>
            <w:vAlign w:val="center"/>
          </w:tcPr>
          <w:p>
            <w:pPr>
              <w:spacing w:line="240" w:lineRule="auto"/>
              <w:jc w:val="right"/>
            </w:pPr>
            <w:r>
              <w:rPr>
                <w:rFonts w:ascii="宋体" w:hAnsi="宋体" w:cs="宋体" w:eastAsia="宋体"/>
                <w:b w:val="false"/>
              </w:rPr>
              <w:t>31.97%</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-27.97%</w:t>
            </w:r>
          </w:p>
        </w:tc>
        <w:tc>
          <w:tcPr>
            <w:tcW/>
            <w:vAlign w:val="center"/>
          </w:tcPr>
          <w:p>
            <w:pPr>
              <w:spacing w:line="240" w:lineRule="auto"/>
              <w:jc w:val="right"/>
            </w:pPr>
            <w:r>
              <w:rPr>
                <w:rFonts w:ascii="宋体" w:hAnsi="宋体" w:cs="宋体" w:eastAsia="宋体"/>
                <w:b w:val="false"/>
              </w:rPr>
              <w:t>0.82%</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br/>
      </w:r>
      <w:r>
        <w:rPr>
          <w:rFonts w:ascii="宋体" w:hAnsi="宋体" w:cs="宋体" w:eastAsia="宋体"/>
          <w:b w:val="false"/>
        </w:rPr>
        <w:t>2、本基金自2025年06月06日成立至今尚未满一年，无过去一年、过去三年和过去五年的净值表现。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2025-06-06</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潘令梓先生，南开大学保险学学士，香港大学会计学硕士，于2019年11月入职东方阿尔法基金管理有限公司，历任研究部研究员、基金经理助理。现任东方阿尔法基金管理有限公司基金经理。</w:t>
            </w: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c>
          <w:tcPr>
            <w:tcW/>
            <w:vAlign w:val="center"/>
          </w:tcPr>
          <w:p>
            <w:pPr>
              <w:spacing w:line="240" w:lineRule="auto"/>
              <w:jc w:val="left"/>
            </w:pPr>
            <w:r>
              <w:rPr>
                <w:rFonts w:ascii="宋体" w:hAnsi="宋体" w:cs="宋体" w:eastAsia="宋体"/>
                <w:b w:val="false"/>
              </w:rPr>
              <w:t>梁少文</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2025-12-01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2026年一季度，国内宏观经济保持稳健增长态势。中东地缘冲突引发国际原油价格上涨，对全球宏观经济运行造成一定冲击。目前冲突烈度已逐步放缓，但最终和谈进程仍存在不确定性。资本市场总体保持稳健运行，受中东冲突这一宏观事件影响后，A股指数逐步进入修复阶段。</w:t>
        <w:br/>
      </w:r>
      <w:r>
        <w:rPr>
          <w:rFonts w:ascii="宋体" w:hAnsi="宋体" w:cs="宋体" w:eastAsia="宋体"/>
          <w:b w:val="false"/>
        </w:rPr>
        <w:t xml:space="preserve">    半导体行业作为我国重点扶持发展的战略性产业，是国际地缘冲突背景下中美博弈的前沿阵地，其中半导体设备与材料领域更是突破美国“卡脖子”限制的关键，也是我国实现半导体产业链自主可控的重要环节，因此具备明确的投资机会。随着人工智能技术快速迭代发展，先进制程芯片需求实现快速增长，全球半导体晶圆厂陆续启动扩产计划，进一步拉动半导体设备需求景气度上行。</w:t>
        <w:br/>
      </w:r>
      <w:r>
        <w:rPr>
          <w:rFonts w:ascii="宋体" w:hAnsi="宋体" w:cs="宋体" w:eastAsia="宋体"/>
          <w:b w:val="false"/>
        </w:rPr>
        <w:t xml:space="preserve">    展望2026年二季度，本基金认为半导体设备材料行业将迎来良好投资机遇：一方面，国内重点晶圆厂及封装厂的加速扩产计划逐步落地，相关扩产效应将陆续传导至企业订单与业绩层面；另一方面，半导体产业链自主可控的需求愈发迫切，国产替代进程持续加快，国产化率提升已成为行业明确发展趋势。</w:t>
        <w:br/>
      </w:r>
      <w:r>
        <w:rPr>
          <w:rFonts w:ascii="宋体" w:hAnsi="宋体" w:cs="宋体" w:eastAsia="宋体"/>
          <w:b w:val="false"/>
        </w:rPr>
        <w:t xml:space="preserve">    基于以上分析，本基金将持续关注半导体设备材料产业链发展动态，重点聚焦国产化率提升、先进制程扩产等相关领域，严谨筛选优质标的，致力于把握半导体设备材料板块相关投资机会，力争为基金持有人创造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优选混合发起A基金份额净值为1.0434元，本报告期内，该类基金份额净值增长率为1.26%，同期业绩比较基准收益率为-4.51%；截至报告期末东方阿尔法科技优选混合发起C基金份额净值为1.0400元，本报告期内，该类基金份额净值增长率为1.15%，同期业绩比较基准收益率为-4.51%。</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本基金为发起式基金，且截至本报告期末，本基金基金合同生效未满3年，暂不适用《公开募集证券投资基金运作管理办法》第四十一条第一款的规定。</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110,954,365.25</w:t>
            </w:r>
          </w:p>
        </w:tc>
        <w:tc>
          <w:tcPr>
            <w:tcW/>
            <w:vAlign w:val="center"/>
          </w:tcPr>
          <w:p>
            <w:pPr>
              <w:spacing w:line="240" w:lineRule="auto"/>
              <w:jc w:val="right"/>
            </w:pPr>
            <w:r>
              <w:rPr>
                <w:rFonts w:ascii="宋体" w:hAnsi="宋体" w:cs="宋体" w:eastAsia="宋体"/>
                <w:b w:val="false"/>
              </w:rPr>
              <w:t>91.74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110,954,365.25</w:t>
            </w:r>
          </w:p>
        </w:tc>
        <w:tc>
          <w:tcPr>
            <w:tcW/>
            <w:vAlign w:val="center"/>
          </w:tcPr>
          <w:p>
            <w:pPr>
              <w:spacing w:line="240" w:lineRule="auto"/>
              <w:jc w:val="right"/>
            </w:pPr>
            <w:r>
              <w:rPr>
                <w:rFonts w:ascii="宋体" w:hAnsi="宋体" w:cs="宋体" w:eastAsia="宋体"/>
                <w:b w:val="false"/>
              </w:rPr>
              <w:t>91.74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6,950,829.62</w:t>
            </w:r>
          </w:p>
        </w:tc>
        <w:tc>
          <w:tcPr>
            <w:tcW/>
            <w:vAlign w:val="center"/>
          </w:tcPr>
          <w:p>
            <w:pPr>
              <w:spacing w:line="240" w:lineRule="auto"/>
              <w:jc w:val="right"/>
            </w:pPr>
            <w:r>
              <w:rPr>
                <w:rFonts w:ascii="宋体" w:hAnsi="宋体" w:cs="宋体" w:eastAsia="宋体"/>
                <w:b w:val="false"/>
              </w:rPr>
              <w:t>5.75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6,950,829.62</w:t>
            </w:r>
          </w:p>
        </w:tc>
        <w:tc>
          <w:tcPr>
            <w:tcW/>
            <w:vAlign w:val="center"/>
          </w:tcPr>
          <w:p>
            <w:pPr>
              <w:spacing w:line="240" w:lineRule="auto"/>
              <w:jc w:val="right"/>
            </w:pPr>
            <w:r>
              <w:rPr>
                <w:rFonts w:ascii="宋体" w:hAnsi="宋体" w:cs="宋体" w:eastAsia="宋体"/>
                <w:b w:val="false"/>
              </w:rPr>
              <w:t>5.75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1,360,855.96</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1,682,268.81</w:t>
            </w:r>
          </w:p>
        </w:tc>
        <w:tc>
          <w:tcPr>
            <w:tcW/>
            <w:vAlign w:val="center"/>
          </w:tcPr>
          <w:p>
            <w:pPr>
              <w:spacing w:line="240" w:lineRule="auto"/>
              <w:jc w:val="right"/>
            </w:pPr>
            <w:r>
              <w:rPr>
                <w:rFonts w:ascii="宋体" w:hAnsi="宋体" w:cs="宋体" w:eastAsia="宋体"/>
                <w:b w:val="false"/>
              </w:rPr>
              <w:t>1.39</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120,948,319.64</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110,954,365.25</w:t>
            </w:r>
          </w:p>
        </w:tc>
        <w:tc>
          <w:tcPr>
            <w:tcW/>
            <w:vAlign w:val="center"/>
          </w:tcPr>
          <w:p>
            <w:pPr>
              <w:spacing w:line="240" w:lineRule="auto"/>
              <w:jc w:val="right"/>
            </w:pPr>
            <w:r>
              <w:rPr>
                <w:rFonts w:ascii="宋体" w:hAnsi="宋体" w:cs="宋体" w:eastAsia="宋体"/>
                <w:b w:val="false"/>
              </w:rPr>
              <w:t>93.04</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110,954,365.25</w:t>
            </w:r>
          </w:p>
        </w:tc>
        <w:tc>
          <w:tcPr>
            <w:tcW/>
            <w:vAlign w:val="center"/>
          </w:tcPr>
          <w:p>
            <w:pPr>
              <w:spacing w:line="240" w:lineRule="auto"/>
              <w:jc w:val="right"/>
            </w:pPr>
            <w:r>
              <w:rPr>
                <w:rFonts w:ascii="宋体" w:hAnsi="宋体" w:cs="宋体" w:eastAsia="宋体"/>
                <w:b w:val="false"/>
              </w:rPr>
              <w:t>93.04</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688072</w:t>
            </w:r>
          </w:p>
        </w:tc>
        <w:tc>
          <w:tcPr>
            <w:tcW/>
            <w:vAlign w:val="center"/>
          </w:tcPr>
          <w:p>
            <w:pPr>
              <w:spacing w:line="240" w:lineRule="auto"/>
              <w:jc w:val="left"/>
            </w:pPr>
            <w:r>
              <w:rPr>
                <w:rFonts w:ascii="宋体" w:hAnsi="宋体" w:cs="宋体" w:eastAsia="宋体"/>
                <w:b w:val="false"/>
              </w:rPr>
              <w:t>拓荆科技</w:t>
            </w:r>
          </w:p>
        </w:tc>
        <w:tc>
          <w:tcPr>
            <w:tcW/>
            <w:vAlign w:val="center"/>
          </w:tcPr>
          <w:p>
            <w:pPr>
              <w:spacing w:line="240" w:lineRule="auto"/>
              <w:jc w:val="right"/>
            </w:pPr>
            <w:r>
              <w:rPr>
                <w:rFonts w:ascii="宋体" w:hAnsi="宋体" w:cs="宋体" w:eastAsia="宋体"/>
                <w:b w:val="false"/>
              </w:rPr>
              <w:t>30,479</w:t>
            </w:r>
          </w:p>
        </w:tc>
        <w:tc>
          <w:tcPr>
            <w:tcW/>
            <w:vAlign w:val="center"/>
          </w:tcPr>
          <w:p>
            <w:pPr>
              <w:spacing w:line="240" w:lineRule="auto"/>
              <w:jc w:val="right"/>
            </w:pPr>
            <w:r>
              <w:rPr>
                <w:rFonts w:ascii="宋体" w:hAnsi="宋体" w:cs="宋体" w:eastAsia="宋体"/>
                <w:b w:val="false"/>
              </w:rPr>
              <w:t>11,277,230.00</w:t>
            </w:r>
          </w:p>
        </w:tc>
        <w:tc>
          <w:tcPr>
            <w:tcW/>
            <w:vAlign w:val="center"/>
          </w:tcPr>
          <w:p>
            <w:pPr>
              <w:spacing w:line="240" w:lineRule="auto"/>
              <w:jc w:val="right"/>
            </w:pPr>
            <w:r>
              <w:rPr>
                <w:rFonts w:ascii="宋体" w:hAnsi="宋体" w:cs="宋体" w:eastAsia="宋体"/>
                <w:b w:val="false"/>
              </w:rPr>
              <w:t>9.46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688037</w:t>
            </w:r>
          </w:p>
        </w:tc>
        <w:tc>
          <w:tcPr>
            <w:tcW/>
            <w:vAlign w:val="center"/>
          </w:tcPr>
          <w:p>
            <w:pPr>
              <w:spacing w:line="240" w:lineRule="auto"/>
              <w:jc w:val="left"/>
            </w:pPr>
            <w:r>
              <w:rPr>
                <w:rFonts w:ascii="宋体" w:hAnsi="宋体" w:cs="宋体" w:eastAsia="宋体"/>
                <w:b w:val="false"/>
              </w:rPr>
              <w:t>芯源微</w:t>
            </w:r>
          </w:p>
        </w:tc>
        <w:tc>
          <w:tcPr>
            <w:tcW/>
            <w:vAlign w:val="center"/>
          </w:tcPr>
          <w:p>
            <w:pPr>
              <w:spacing w:line="240" w:lineRule="auto"/>
              <w:jc w:val="right"/>
            </w:pPr>
            <w:r>
              <w:rPr>
                <w:rFonts w:ascii="宋体" w:hAnsi="宋体" w:cs="宋体" w:eastAsia="宋体"/>
                <w:b w:val="false"/>
              </w:rPr>
              <w:t>67,141</w:t>
            </w:r>
          </w:p>
        </w:tc>
        <w:tc>
          <w:tcPr>
            <w:tcW/>
            <w:vAlign w:val="center"/>
          </w:tcPr>
          <w:p>
            <w:pPr>
              <w:spacing w:line="240" w:lineRule="auto"/>
              <w:jc w:val="right"/>
            </w:pPr>
            <w:r>
              <w:rPr>
                <w:rFonts w:ascii="宋体" w:hAnsi="宋体" w:cs="宋体" w:eastAsia="宋体"/>
                <w:b w:val="false"/>
              </w:rPr>
              <w:t>11,250,145.96</w:t>
            </w:r>
          </w:p>
        </w:tc>
        <w:tc>
          <w:tcPr>
            <w:tcW/>
            <w:vAlign w:val="center"/>
          </w:tcPr>
          <w:p>
            <w:pPr>
              <w:spacing w:line="240" w:lineRule="auto"/>
              <w:jc w:val="right"/>
            </w:pPr>
            <w:r>
              <w:rPr>
                <w:rFonts w:ascii="宋体" w:hAnsi="宋体" w:cs="宋体" w:eastAsia="宋体"/>
                <w:b w:val="false"/>
              </w:rPr>
              <w:t>9.43</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300567</w:t>
            </w:r>
          </w:p>
        </w:tc>
        <w:tc>
          <w:tcPr>
            <w:tcW/>
            <w:vAlign w:val="center"/>
          </w:tcPr>
          <w:p>
            <w:pPr>
              <w:spacing w:line="240" w:lineRule="auto"/>
              <w:jc w:val="left"/>
            </w:pPr>
            <w:r>
              <w:rPr>
                <w:rFonts w:ascii="宋体" w:hAnsi="宋体" w:cs="宋体" w:eastAsia="宋体"/>
                <w:b w:val="false"/>
              </w:rPr>
              <w:t>精测电子</w:t>
            </w:r>
          </w:p>
        </w:tc>
        <w:tc>
          <w:tcPr>
            <w:tcW/>
            <w:vAlign w:val="center"/>
          </w:tcPr>
          <w:p>
            <w:pPr>
              <w:spacing w:line="240" w:lineRule="auto"/>
              <w:jc w:val="right"/>
            </w:pPr>
            <w:r>
              <w:rPr>
                <w:rFonts w:ascii="宋体" w:hAnsi="宋体" w:cs="宋体" w:eastAsia="宋体"/>
                <w:b w:val="false"/>
              </w:rPr>
              <w:t>89,000</w:t>
            </w:r>
          </w:p>
        </w:tc>
        <w:tc>
          <w:tcPr>
            <w:tcW/>
            <w:vAlign w:val="center"/>
          </w:tcPr>
          <w:p>
            <w:pPr>
              <w:spacing w:line="240" w:lineRule="auto"/>
              <w:jc w:val="right"/>
            </w:pPr>
            <w:r>
              <w:rPr>
                <w:rFonts w:ascii="宋体" w:hAnsi="宋体" w:cs="宋体" w:eastAsia="宋体"/>
                <w:b w:val="false"/>
              </w:rPr>
              <w:t>11,187,300.00</w:t>
            </w:r>
          </w:p>
        </w:tc>
        <w:tc>
          <w:tcPr>
            <w:tcW/>
            <w:vAlign w:val="center"/>
          </w:tcPr>
          <w:p>
            <w:pPr>
              <w:spacing w:line="240" w:lineRule="auto"/>
              <w:jc w:val="right"/>
            </w:pPr>
            <w:r>
              <w:rPr>
                <w:rFonts w:ascii="宋体" w:hAnsi="宋体" w:cs="宋体" w:eastAsia="宋体"/>
                <w:b w:val="false"/>
              </w:rPr>
              <w:t>9.38</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688627</w:t>
            </w:r>
          </w:p>
        </w:tc>
        <w:tc>
          <w:tcPr>
            <w:tcW/>
            <w:vAlign w:val="center"/>
          </w:tcPr>
          <w:p>
            <w:pPr>
              <w:spacing w:line="240" w:lineRule="auto"/>
              <w:jc w:val="left"/>
            </w:pPr>
            <w:r>
              <w:rPr>
                <w:rFonts w:ascii="宋体" w:hAnsi="宋体" w:cs="宋体" w:eastAsia="宋体"/>
                <w:b w:val="false"/>
              </w:rPr>
              <w:t>精智达</w:t>
            </w:r>
          </w:p>
        </w:tc>
        <w:tc>
          <w:tcPr>
            <w:tcW/>
            <w:vAlign w:val="center"/>
          </w:tcPr>
          <w:p>
            <w:pPr>
              <w:spacing w:line="240" w:lineRule="auto"/>
              <w:jc w:val="right"/>
            </w:pPr>
            <w:r>
              <w:rPr>
                <w:rFonts w:ascii="宋体" w:hAnsi="宋体" w:cs="宋体" w:eastAsia="宋体"/>
                <w:b w:val="false"/>
              </w:rPr>
              <w:t>48,659</w:t>
            </w:r>
          </w:p>
        </w:tc>
        <w:tc>
          <w:tcPr>
            <w:tcW/>
            <w:vAlign w:val="center"/>
          </w:tcPr>
          <w:p>
            <w:pPr>
              <w:spacing w:line="240" w:lineRule="auto"/>
              <w:jc w:val="right"/>
            </w:pPr>
            <w:r>
              <w:rPr>
                <w:rFonts w:ascii="宋体" w:hAnsi="宋体" w:cs="宋体" w:eastAsia="宋体"/>
                <w:b w:val="false"/>
              </w:rPr>
              <w:t>11,082,087.25</w:t>
            </w:r>
          </w:p>
        </w:tc>
        <w:tc>
          <w:tcPr>
            <w:tcW/>
            <w:vAlign w:val="center"/>
          </w:tcPr>
          <w:p>
            <w:pPr>
              <w:spacing w:line="240" w:lineRule="auto"/>
              <w:jc w:val="right"/>
            </w:pPr>
            <w:r>
              <w:rPr>
                <w:rFonts w:ascii="宋体" w:hAnsi="宋体" w:cs="宋体" w:eastAsia="宋体"/>
                <w:b w:val="false"/>
              </w:rPr>
              <w:t>9.29</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688012</w:t>
            </w:r>
          </w:p>
        </w:tc>
        <w:tc>
          <w:tcPr>
            <w:tcW/>
            <w:vAlign w:val="center"/>
          </w:tcPr>
          <w:p>
            <w:pPr>
              <w:spacing w:line="240" w:lineRule="auto"/>
              <w:jc w:val="left"/>
            </w:pPr>
            <w:r>
              <w:rPr>
                <w:rFonts w:ascii="宋体" w:hAnsi="宋体" w:cs="宋体" w:eastAsia="宋体"/>
                <w:b w:val="false"/>
              </w:rPr>
              <w:t>中微公司</w:t>
            </w:r>
          </w:p>
        </w:tc>
        <w:tc>
          <w:tcPr>
            <w:tcW/>
            <w:vAlign w:val="center"/>
          </w:tcPr>
          <w:p>
            <w:pPr>
              <w:spacing w:line="240" w:lineRule="auto"/>
              <w:jc w:val="right"/>
            </w:pPr>
            <w:r>
              <w:rPr>
                <w:rFonts w:ascii="宋体" w:hAnsi="宋体" w:cs="宋体" w:eastAsia="宋体"/>
                <w:b w:val="false"/>
              </w:rPr>
              <w:t>28,206</w:t>
            </w:r>
          </w:p>
        </w:tc>
        <w:tc>
          <w:tcPr>
            <w:tcW/>
            <w:vAlign w:val="center"/>
          </w:tcPr>
          <w:p>
            <w:pPr>
              <w:spacing w:line="240" w:lineRule="auto"/>
              <w:jc w:val="right"/>
            </w:pPr>
            <w:r>
              <w:rPr>
                <w:rFonts w:ascii="宋体" w:hAnsi="宋体" w:cs="宋体" w:eastAsia="宋体"/>
                <w:b w:val="false"/>
              </w:rPr>
              <w:t>8,641,754.28</w:t>
            </w:r>
          </w:p>
        </w:tc>
        <w:tc>
          <w:tcPr>
            <w:tcW/>
            <w:vAlign w:val="center"/>
          </w:tcPr>
          <w:p>
            <w:pPr>
              <w:spacing w:line="240" w:lineRule="auto"/>
              <w:jc w:val="right"/>
            </w:pPr>
            <w:r>
              <w:rPr>
                <w:rFonts w:ascii="宋体" w:hAnsi="宋体" w:cs="宋体" w:eastAsia="宋体"/>
                <w:b w:val="false"/>
              </w:rPr>
              <w:t>7.25</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688361</w:t>
            </w:r>
          </w:p>
        </w:tc>
        <w:tc>
          <w:tcPr>
            <w:tcW/>
            <w:vAlign w:val="center"/>
          </w:tcPr>
          <w:p>
            <w:pPr>
              <w:spacing w:line="240" w:lineRule="auto"/>
              <w:jc w:val="left"/>
            </w:pPr>
            <w:r>
              <w:rPr>
                <w:rFonts w:ascii="宋体" w:hAnsi="宋体" w:cs="宋体" w:eastAsia="宋体"/>
                <w:b w:val="false"/>
              </w:rPr>
              <w:t>中科飞测</w:t>
            </w:r>
          </w:p>
        </w:tc>
        <w:tc>
          <w:tcPr>
            <w:tcW/>
            <w:vAlign w:val="center"/>
          </w:tcPr>
          <w:p>
            <w:pPr>
              <w:spacing w:line="240" w:lineRule="auto"/>
              <w:jc w:val="right"/>
            </w:pPr>
            <w:r>
              <w:rPr>
                <w:rFonts w:ascii="宋体" w:hAnsi="宋体" w:cs="宋体" w:eastAsia="宋体"/>
                <w:b w:val="false"/>
              </w:rPr>
              <w:t>55,106</w:t>
            </w:r>
          </w:p>
        </w:tc>
        <w:tc>
          <w:tcPr>
            <w:tcW/>
            <w:vAlign w:val="center"/>
          </w:tcPr>
          <w:p>
            <w:pPr>
              <w:spacing w:line="240" w:lineRule="auto"/>
              <w:jc w:val="right"/>
            </w:pPr>
            <w:r>
              <w:rPr>
                <w:rFonts w:ascii="宋体" w:hAnsi="宋体" w:cs="宋体" w:eastAsia="宋体"/>
                <w:b w:val="false"/>
              </w:rPr>
              <w:t>8,378,867.30</w:t>
            </w:r>
          </w:p>
        </w:tc>
        <w:tc>
          <w:tcPr>
            <w:tcW/>
            <w:vAlign w:val="center"/>
          </w:tcPr>
          <w:p>
            <w:pPr>
              <w:spacing w:line="240" w:lineRule="auto"/>
              <w:jc w:val="right"/>
            </w:pPr>
            <w:r>
              <w:rPr>
                <w:rFonts w:ascii="宋体" w:hAnsi="宋体" w:cs="宋体" w:eastAsia="宋体"/>
                <w:b w:val="false"/>
              </w:rPr>
              <w:t>7.03</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688630</w:t>
            </w:r>
          </w:p>
        </w:tc>
        <w:tc>
          <w:tcPr>
            <w:tcW/>
            <w:vAlign w:val="center"/>
          </w:tcPr>
          <w:p>
            <w:pPr>
              <w:spacing w:line="240" w:lineRule="auto"/>
              <w:jc w:val="left"/>
            </w:pPr>
            <w:r>
              <w:rPr>
                <w:rFonts w:ascii="宋体" w:hAnsi="宋体" w:cs="宋体" w:eastAsia="宋体"/>
                <w:b w:val="false"/>
              </w:rPr>
              <w:t>芯碁微装</w:t>
            </w:r>
          </w:p>
        </w:tc>
        <w:tc>
          <w:tcPr>
            <w:tcW/>
            <w:vAlign w:val="center"/>
          </w:tcPr>
          <w:p>
            <w:pPr>
              <w:spacing w:line="240" w:lineRule="auto"/>
              <w:jc w:val="right"/>
            </w:pPr>
            <w:r>
              <w:rPr>
                <w:rFonts w:ascii="宋体" w:hAnsi="宋体" w:cs="宋体" w:eastAsia="宋体"/>
                <w:b w:val="false"/>
              </w:rPr>
              <w:t>39,806</w:t>
            </w:r>
          </w:p>
        </w:tc>
        <w:tc>
          <w:tcPr>
            <w:tcW/>
            <w:vAlign w:val="center"/>
          </w:tcPr>
          <w:p>
            <w:pPr>
              <w:spacing w:line="240" w:lineRule="auto"/>
              <w:jc w:val="right"/>
            </w:pPr>
            <w:r>
              <w:rPr>
                <w:rFonts w:ascii="宋体" w:hAnsi="宋体" w:cs="宋体" w:eastAsia="宋体"/>
                <w:b w:val="false"/>
              </w:rPr>
              <w:t>7,698,480.40</w:t>
            </w:r>
          </w:p>
        </w:tc>
        <w:tc>
          <w:tcPr>
            <w:tcW/>
            <w:vAlign w:val="center"/>
          </w:tcPr>
          <w:p>
            <w:pPr>
              <w:spacing w:line="240" w:lineRule="auto"/>
              <w:jc w:val="right"/>
            </w:pPr>
            <w:r>
              <w:rPr>
                <w:rFonts w:ascii="宋体" w:hAnsi="宋体" w:cs="宋体" w:eastAsia="宋体"/>
                <w:b w:val="false"/>
              </w:rPr>
              <w:t>6.46</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688147</w:t>
            </w:r>
          </w:p>
        </w:tc>
        <w:tc>
          <w:tcPr>
            <w:tcW/>
            <w:vAlign w:val="center"/>
          </w:tcPr>
          <w:p>
            <w:pPr>
              <w:spacing w:line="240" w:lineRule="auto"/>
              <w:jc w:val="left"/>
            </w:pPr>
            <w:r>
              <w:rPr>
                <w:rFonts w:ascii="宋体" w:hAnsi="宋体" w:cs="宋体" w:eastAsia="宋体"/>
                <w:b w:val="false"/>
              </w:rPr>
              <w:t>微导纳米</w:t>
            </w:r>
          </w:p>
        </w:tc>
        <w:tc>
          <w:tcPr>
            <w:tcW/>
            <w:vAlign w:val="center"/>
          </w:tcPr>
          <w:p>
            <w:pPr>
              <w:spacing w:line="240" w:lineRule="auto"/>
              <w:jc w:val="right"/>
            </w:pPr>
            <w:r>
              <w:rPr>
                <w:rFonts w:ascii="宋体" w:hAnsi="宋体" w:cs="宋体" w:eastAsia="宋体"/>
                <w:b w:val="false"/>
              </w:rPr>
              <w:t>116,606</w:t>
            </w:r>
          </w:p>
        </w:tc>
        <w:tc>
          <w:tcPr>
            <w:tcW/>
            <w:vAlign w:val="center"/>
          </w:tcPr>
          <w:p>
            <w:pPr>
              <w:spacing w:line="240" w:lineRule="auto"/>
              <w:jc w:val="right"/>
            </w:pPr>
            <w:r>
              <w:rPr>
                <w:rFonts w:ascii="宋体" w:hAnsi="宋体" w:cs="宋体" w:eastAsia="宋体"/>
                <w:b w:val="false"/>
              </w:rPr>
              <w:t>7,468,614.30</w:t>
            </w:r>
          </w:p>
        </w:tc>
        <w:tc>
          <w:tcPr>
            <w:tcW/>
            <w:vAlign w:val="center"/>
          </w:tcPr>
          <w:p>
            <w:pPr>
              <w:spacing w:line="240" w:lineRule="auto"/>
              <w:jc w:val="right"/>
            </w:pPr>
            <w:r>
              <w:rPr>
                <w:rFonts w:ascii="宋体" w:hAnsi="宋体" w:cs="宋体" w:eastAsia="宋体"/>
                <w:b w:val="false"/>
              </w:rPr>
              <w:t>6.26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603061</w:t>
            </w:r>
          </w:p>
        </w:tc>
        <w:tc>
          <w:tcPr>
            <w:tcW/>
            <w:vAlign w:val="center"/>
          </w:tcPr>
          <w:p>
            <w:pPr>
              <w:spacing w:line="240" w:lineRule="auto"/>
              <w:jc w:val="left"/>
            </w:pPr>
            <w:r>
              <w:rPr>
                <w:rFonts w:ascii="宋体" w:hAnsi="宋体" w:cs="宋体" w:eastAsia="宋体"/>
                <w:b w:val="false"/>
              </w:rPr>
              <w:t>金海通</w:t>
            </w:r>
          </w:p>
        </w:tc>
        <w:tc>
          <w:tcPr>
            <w:tcW/>
            <w:vAlign w:val="center"/>
          </w:tcPr>
          <w:p>
            <w:pPr>
              <w:spacing w:line="240" w:lineRule="auto"/>
              <w:jc w:val="right"/>
            </w:pPr>
            <w:r>
              <w:rPr>
                <w:rFonts w:ascii="宋体" w:hAnsi="宋体" w:cs="宋体" w:eastAsia="宋体"/>
                <w:b w:val="false"/>
              </w:rPr>
              <w:t>26,300</w:t>
            </w:r>
          </w:p>
        </w:tc>
        <w:tc>
          <w:tcPr>
            <w:tcW/>
            <w:vAlign w:val="center"/>
          </w:tcPr>
          <w:p>
            <w:pPr>
              <w:spacing w:line="240" w:lineRule="auto"/>
              <w:jc w:val="right"/>
            </w:pPr>
            <w:r>
              <w:rPr>
                <w:rFonts w:ascii="宋体" w:hAnsi="宋体" w:cs="宋体" w:eastAsia="宋体"/>
                <w:b w:val="false"/>
              </w:rPr>
              <w:t>7,109,679.00</w:t>
            </w:r>
          </w:p>
        </w:tc>
        <w:tc>
          <w:tcPr>
            <w:tcW/>
            <w:vAlign w:val="center"/>
          </w:tcPr>
          <w:p>
            <w:pPr>
              <w:spacing w:line="240" w:lineRule="auto"/>
              <w:jc w:val="right"/>
            </w:pPr>
            <w:r>
              <w:rPr>
                <w:rFonts w:ascii="宋体" w:hAnsi="宋体" w:cs="宋体" w:eastAsia="宋体"/>
                <w:b w:val="false"/>
              </w:rPr>
              <w:t>5.96</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688200</w:t>
            </w:r>
          </w:p>
        </w:tc>
        <w:tc>
          <w:tcPr>
            <w:tcW/>
            <w:vAlign w:val="center"/>
          </w:tcPr>
          <w:p>
            <w:pPr>
              <w:spacing w:line="240" w:lineRule="auto"/>
              <w:jc w:val="left"/>
            </w:pPr>
            <w:r>
              <w:rPr>
                <w:rFonts w:ascii="宋体" w:hAnsi="宋体" w:cs="宋体" w:eastAsia="宋体"/>
                <w:b w:val="false"/>
              </w:rPr>
              <w:t>华峰测控</w:t>
            </w:r>
          </w:p>
        </w:tc>
        <w:tc>
          <w:tcPr>
            <w:tcW/>
            <w:vAlign w:val="center"/>
          </w:tcPr>
          <w:p>
            <w:pPr>
              <w:spacing w:line="240" w:lineRule="auto"/>
              <w:jc w:val="right"/>
            </w:pPr>
            <w:r>
              <w:rPr>
                <w:rFonts w:ascii="宋体" w:hAnsi="宋体" w:cs="宋体" w:eastAsia="宋体"/>
                <w:b w:val="false"/>
              </w:rPr>
              <w:t>26,280</w:t>
            </w:r>
          </w:p>
        </w:tc>
        <w:tc>
          <w:tcPr>
            <w:tcW/>
            <w:vAlign w:val="center"/>
          </w:tcPr>
          <w:p>
            <w:pPr>
              <w:spacing w:line="240" w:lineRule="auto"/>
              <w:jc w:val="right"/>
            </w:pPr>
            <w:r>
              <w:rPr>
                <w:rFonts w:ascii="宋体" w:hAnsi="宋体" w:cs="宋体" w:eastAsia="宋体"/>
                <w:b w:val="false"/>
              </w:rPr>
              <w:t>6,906,384.00</w:t>
            </w:r>
          </w:p>
        </w:tc>
        <w:tc>
          <w:tcPr>
            <w:tcW/>
            <w:vAlign w:val="center"/>
          </w:tcPr>
          <w:p>
            <w:pPr>
              <w:spacing w:line="240" w:lineRule="auto"/>
              <w:jc w:val="right"/>
            </w:pPr>
            <w:r>
              <w:rPr>
                <w:rFonts w:ascii="宋体" w:hAnsi="宋体" w:cs="宋体" w:eastAsia="宋体"/>
                <w:b w:val="false"/>
              </w:rPr>
              <w:t>5.79</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6,950,829.62</w:t>
            </w:r>
          </w:p>
        </w:tc>
        <w:tc>
          <w:tcPr>
            <w:tcW/>
            <w:vAlign w:val="center"/>
          </w:tcPr>
          <w:p>
            <w:pPr>
              <w:spacing w:line="240" w:lineRule="auto"/>
              <w:jc w:val="right"/>
            </w:pPr>
            <w:r>
              <w:rPr>
                <w:rFonts w:ascii="宋体" w:hAnsi="宋体" w:cs="宋体" w:eastAsia="宋体"/>
                <w:b w:val="false"/>
              </w:rPr>
              <w:t>5.83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6,950,829.62</w:t>
            </w:r>
          </w:p>
        </w:tc>
        <w:tc>
          <w:tcPr>
            <w:tcW/>
            <w:vAlign w:val="center"/>
          </w:tcPr>
          <w:p>
            <w:pPr>
              <w:spacing w:line="240" w:lineRule="auto"/>
              <w:jc w:val="right"/>
            </w:pPr>
            <w:r>
              <w:rPr>
                <w:rFonts w:ascii="宋体" w:hAnsi="宋体" w:cs="宋体" w:eastAsia="宋体"/>
                <w:b w:val="false"/>
              </w:rPr>
              <w:t>5.83</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65,000</w:t>
            </w:r>
          </w:p>
        </w:tc>
        <w:tc>
          <w:tcPr>
            <w:tcW/>
            <w:vAlign w:val="center"/>
          </w:tcPr>
          <w:p>
            <w:pPr>
              <w:spacing w:line="240" w:lineRule="auto"/>
              <w:jc w:val="right"/>
            </w:pPr>
            <w:r>
              <w:rPr>
                <w:rFonts w:ascii="宋体" w:hAnsi="宋体" w:cs="宋体" w:eastAsia="宋体"/>
                <w:b w:val="false"/>
              </w:rPr>
              <w:t>6,549,086.58</w:t>
            </w:r>
          </w:p>
        </w:tc>
        <w:tc>
          <w:tcPr>
            <w:tcW/>
            <w:vAlign w:val="center"/>
          </w:tcPr>
          <w:p>
            <w:pPr>
              <w:spacing w:line="240" w:lineRule="auto"/>
              <w:jc w:val="right"/>
            </w:pPr>
            <w:r>
              <w:rPr>
                <w:rFonts w:ascii="宋体" w:hAnsi="宋体" w:cs="宋体" w:eastAsia="宋体"/>
                <w:b w:val="false"/>
              </w:rPr>
              <w:t>5.49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3,000</w:t>
            </w:r>
          </w:p>
        </w:tc>
        <w:tc>
          <w:tcPr>
            <w:tcW/>
            <w:vAlign w:val="center"/>
          </w:tcPr>
          <w:p>
            <w:pPr>
              <w:spacing w:line="240" w:lineRule="auto"/>
              <w:jc w:val="right"/>
            </w:pPr>
            <w:r>
              <w:rPr>
                <w:rFonts w:ascii="宋体" w:hAnsi="宋体" w:cs="宋体" w:eastAsia="宋体"/>
                <w:b w:val="false"/>
              </w:rPr>
              <w:t>300,792.08</w:t>
            </w:r>
          </w:p>
        </w:tc>
        <w:tc>
          <w:tcPr>
            <w:tcW/>
            <w:vAlign w:val="center"/>
          </w:tcPr>
          <w:p>
            <w:pPr>
              <w:spacing w:line="240" w:lineRule="auto"/>
              <w:jc w:val="right"/>
            </w:pPr>
            <w:r>
              <w:rPr>
                <w:rFonts w:ascii="宋体" w:hAnsi="宋体" w:cs="宋体" w:eastAsia="宋体"/>
                <w:b w:val="false"/>
              </w:rPr>
              <w:t>0.25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1,000</w:t>
            </w:r>
          </w:p>
        </w:tc>
        <w:tc>
          <w:tcPr>
            <w:tcW/>
            <w:vAlign w:val="center"/>
          </w:tcPr>
          <w:p>
            <w:pPr>
              <w:spacing w:line="240" w:lineRule="auto"/>
              <w:jc w:val="right"/>
            </w:pPr>
            <w:r>
              <w:rPr>
                <w:rFonts w:ascii="宋体" w:hAnsi="宋体" w:cs="宋体" w:eastAsia="宋体"/>
                <w:b w:val="false"/>
              </w:rPr>
              <w:t>100,950.96</w:t>
            </w:r>
          </w:p>
        </w:tc>
        <w:tc>
          <w:tcPr>
            <w:tcW/>
            <w:vAlign w:val="center"/>
          </w:tcPr>
          <w:p>
            <w:pPr>
              <w:spacing w:line="240" w:lineRule="auto"/>
              <w:jc w:val="right"/>
            </w:pPr>
            <w:r>
              <w:rPr>
                <w:rFonts w:ascii="宋体" w:hAnsi="宋体" w:cs="宋体" w:eastAsia="宋体"/>
                <w:b w:val="false"/>
              </w:rPr>
              <w:t>0.08</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1,682,268.81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1,682,268.81</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东方阿尔法科技优选混合发起A</w:t>
            </w:r>
          </w:p>
        </w:tc>
        <w:tc>
          <w:tcPr>
            <w:tcW w:type="pct" w:w="1300"/>
            <w:vAlign w:val="center"/>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14,330,083.19</w:t>
            </w:r>
          </w:p>
        </w:tc>
        <w:tc>
          <w:tcPr>
            <w:tcW w:type="pct" w:w="1300"/>
            <w:vAlign w:val="center"/>
          </w:tcPr>
          <w:p>
            <w:pPr>
              <w:spacing w:line="240" w:lineRule="auto"/>
              <w:jc w:val="right"/>
            </w:pPr>
            <w:r>
              <w:rPr>
                <w:rFonts w:ascii="宋体" w:hAnsi="宋体" w:cs="宋体" w:eastAsia="宋体"/>
                <w:b w:val="false"/>
              </w:rPr>
              <w:t>43,188,467.80</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23,057,917.57</w:t>
            </w:r>
          </w:p>
        </w:tc>
        <w:tc>
          <w:tcPr>
            <w:tcW w:type="pct" w:w="1300"/>
            <w:vAlign w:val="center"/>
          </w:tcPr>
          <w:p>
            <w:pPr>
              <w:spacing w:line="240" w:lineRule="auto"/>
              <w:jc w:val="right"/>
            </w:pPr>
            <w:r>
              <w:rPr>
                <w:rFonts w:ascii="宋体" w:hAnsi="宋体" w:cs="宋体" w:eastAsia="宋体"/>
                <w:b w:val="false"/>
              </w:rPr>
              <w:t>491,096,130.58</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13,771,773.36</w:t>
            </w:r>
          </w:p>
        </w:tc>
        <w:tc>
          <w:tcPr>
            <w:tcW w:type="pct" w:w="1300"/>
            <w:vAlign w:val="center"/>
          </w:tcPr>
          <w:p>
            <w:pPr>
              <w:spacing w:line="240" w:lineRule="auto"/>
              <w:jc w:val="right"/>
            </w:pPr>
            <w:r>
              <w:rPr>
                <w:rFonts w:ascii="宋体" w:hAnsi="宋体" w:cs="宋体" w:eastAsia="宋体"/>
                <w:b w:val="false"/>
              </w:rPr>
              <w:t>443,310,033.93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23,616,227.40</w:t>
            </w:r>
          </w:p>
        </w:tc>
        <w:tc>
          <w:tcPr>
            <w:tcW w:type="pct" w:w="1300"/>
            <w:vAlign w:val="center"/>
          </w:tcPr>
          <w:p>
            <w:pPr>
              <w:spacing w:line="240" w:lineRule="auto"/>
              <w:jc w:val="right"/>
            </w:pPr>
            <w:r>
              <w:rPr>
                <w:rFonts w:ascii="宋体" w:hAnsi="宋体" w:cs="宋体" w:eastAsia="宋体"/>
                <w:b w:val="false"/>
              </w:rPr>
              <w:t>90,974,564.45</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8.73%</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8.73%</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8.73%</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8.73%</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1、中国证券监督管理委员会批准的东方阿尔法科技优选混合型发起式证券投资基金设立的文件；</w:t>
        <w:br/>
      </w:r>
      <w:r>
        <w:rPr>
          <w:rFonts w:ascii="宋体" w:hAnsi="宋体" w:cs="宋体" w:eastAsia="宋体"/>
          <w:b w:val="false"/>
        </w:rPr>
        <w:t xml:space="preserve">    2、《东方阿尔法科技优选混合型发起式证券投资基金基金合同》；</w:t>
        <w:br/>
      </w:r>
      <w:r>
        <w:rPr>
          <w:rFonts w:ascii="宋体" w:hAnsi="宋体" w:cs="宋体" w:eastAsia="宋体"/>
          <w:b w:val="false"/>
        </w:rPr>
        <w:t xml:space="preserve">    3、《东方阿尔法科技优选混合型发起式证券投资基金托管协议》；</w:t>
        <w:br/>
      </w:r>
      <w:r>
        <w:rPr>
          <w:rFonts w:ascii="宋体" w:hAnsi="宋体" w:cs="宋体" w:eastAsia="宋体"/>
          <w:b w:val="false"/>
        </w:rPr>
        <w:t xml:space="preserve">    4、《东方阿尔法科技优选混合型发起式证券投资基金招募说明书》（含更新）；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东方阿尔法科技优选混合型发起式证券投资基金2026年第1季度报告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