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东方阿尔法瑞丰混合型发起式证券投资基金（C类份额）基金产品资料概要更新</w:t>
      </w:r>
    </w:p>
    <w:p>
      <w:pPr>
        <w:jc w:val="right"/>
      </w:pPr>
      <w:r>
        <w:rPr>
          <w:rFonts w:ascii="宋体" w:hAnsi="宋体" w:eastAsia="宋体" w:cs="宋体"/>
          <w:b w:val="0"/>
        </w:rPr>
        <w:t>编制日期：2026年05月11日</w:t>
      </w:r>
    </w:p>
    <w:p>
      <w:pPr>
        <w:jc w:val="center"/>
      </w:pPr>
      <w:r>
        <w:rPr>
          <w:rFonts w:ascii="宋体" w:hAnsi="宋体" w:eastAsia="宋体" w:cs="宋体"/>
          <w:b w:val="0"/>
        </w:rPr>
        <w:t>送出日期：2026年05月13日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东方阿尔法瑞丰混合发起</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018362</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基金简称C</w:t>
            </w:r>
          </w:p>
        </w:tc>
        <w:tc>
          <w:tcPr>
            <w:tcW w:w="0" w:type="dxa"/>
            <w:vAlign w:val="center"/>
          </w:tcPr>
          <w:p>
            <w:pPr>
              <w:spacing w:line="240" w:lineRule="auto"/>
              <w:jc w:val="left"/>
            </w:pPr>
            <w:r>
              <w:rPr>
                <w:rFonts w:ascii="宋体" w:hAnsi="宋体" w:eastAsia="宋体" w:cs="宋体"/>
                <w:b w:val="0"/>
              </w:rPr>
              <w:t>东方阿尔法瑞丰混合发起C</w:t>
            </w:r>
          </w:p>
        </w:tc>
        <w:tc>
          <w:tcPr>
            <w:tcW w:w="0" w:type="dxa"/>
            <w:vAlign w:val="center"/>
          </w:tcPr>
          <w:p>
            <w:pPr>
              <w:spacing w:line="240" w:lineRule="auto"/>
              <w:jc w:val="left"/>
            </w:pPr>
            <w:r>
              <w:rPr>
                <w:rFonts w:ascii="宋体" w:hAnsi="宋体" w:eastAsia="宋体" w:cs="宋体"/>
                <w:b/>
              </w:rPr>
              <w:t>基金代码C</w:t>
            </w:r>
          </w:p>
        </w:tc>
        <w:tc>
          <w:tcPr>
            <w:tcW w:w="0" w:type="dxa"/>
            <w:vAlign w:val="center"/>
          </w:tcPr>
          <w:p>
            <w:pPr>
              <w:spacing w:line="240" w:lineRule="auto"/>
              <w:jc w:val="left"/>
            </w:pPr>
            <w:r>
              <w:rPr>
                <w:rFonts w:ascii="宋体" w:hAnsi="宋体" w:eastAsia="宋体" w:cs="宋体"/>
                <w:b w:val="0"/>
              </w:rPr>
              <w:t>018363</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中国农业银行股份有限公司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2023年05月12日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孙振波</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2023年05月12日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2019年07月01日</w:t>
            </w:r>
          </w:p>
        </w:tc>
      </w:tr>
    </w:tbl>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详见《东方阿尔法瑞丰混合型发起式证券投资基金招募说明书》第九部分“基金的投资”。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本基金在严格控制风险的基础之上，通过深入研究、优选个股、主动的投资管理方式力求实现组合资产的稳健增值。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公开发行的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回复到合理价值的过程中，分享股价提升带来的超额收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中证800指数收益率×60%+中证综合债券指数收益率×20%+恒生指数收益率×20%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58"/>
      </w:pPr>
      <w:r>
        <w:rPr>
          <w:rFonts w:ascii="宋体" w:hAnsi="宋体" w:eastAsia="宋体" w:cs="宋体"/>
          <w:b/>
        </w:rPr>
        <w:t>（二）投资组合资产配置图表/区域配置图表</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（三）自基金合同生效以来/最近十年（孰短）基金每年的净值增长率及与同期业绩比较基准的比较图</w:t>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rPr>
                <w:rFonts w:hint="eastAsia" w:eastAsia="宋体"/>
                <w:lang w:val="en-US" w:eastAsia="zh-CN"/>
              </w:rPr>
            </w:pPr>
            <w:r>
              <w:rPr>
                <w:rFonts w:hint="eastAsia"/>
                <w:lang w:val="en-US" w:eastAsia="zh-CN"/>
              </w:rPr>
              <w:t>-</w:t>
            </w:r>
            <w:bookmarkStart w:id="0" w:name="_GoBack"/>
            <w:bookmarkEnd w:id="0"/>
          </w:p>
        </w:tc>
        <w:tc>
          <w:tcPr>
            <w:tcW w:w="0" w:type="dxa"/>
            <w:vAlign w:val="center"/>
          </w:tcPr>
          <w:p>
            <w:pPr>
              <w:spacing w:line="240" w:lineRule="auto"/>
              <w:jc w:val="left"/>
            </w:pPr>
            <w:r>
              <w:rPr>
                <w:rFonts w:ascii="宋体" w:hAnsi="宋体" w:eastAsia="宋体" w:cs="宋体"/>
                <w:b w:val="0"/>
              </w:rPr>
              <w:t>C类份额无申购费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N&lt;7天</w:t>
            </w:r>
          </w:p>
        </w:tc>
        <w:tc>
          <w:tcPr>
            <w:tcW w:w="0" w:type="dxa"/>
            <w:vAlign w:val="center"/>
          </w:tcPr>
          <w:p>
            <w:pPr>
              <w:spacing w:line="240" w:lineRule="auto"/>
              <w:jc w:val="left"/>
            </w:pPr>
            <w:r>
              <w:rPr>
                <w:rFonts w:ascii="宋体" w:hAnsi="宋体" w:eastAsia="宋体" w:cs="宋体"/>
                <w:b w:val="0"/>
              </w:rPr>
              <w:t>1.5%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N≥30天</w:t>
            </w:r>
          </w:p>
        </w:tc>
        <w:tc>
          <w:tcPr>
            <w:tcW w:w="0" w:type="dxa"/>
            <w:vAlign w:val="center"/>
          </w:tcPr>
          <w:p>
            <w:pPr>
              <w:spacing w:line="240" w:lineRule="auto"/>
              <w:jc w:val="left"/>
            </w:pPr>
            <w:r>
              <w:rPr>
                <w:rFonts w:ascii="宋体" w:hAnsi="宋体" w:eastAsia="宋体" w:cs="宋体"/>
                <w:b w:val="0"/>
              </w:rPr>
              <w:t>0%</w:t>
            </w:r>
          </w:p>
        </w:tc>
        <w:tc>
          <w:tcPr>
            <w:tcW w:w="0" w:type="dxa"/>
            <w:vAlign w:val="center"/>
          </w:tcPr>
          <w:p>
            <w:pPr>
              <w:spacing w:line="240" w:lineRule="auto"/>
              <w:jc w:val="left"/>
            </w:pPr>
          </w:p>
        </w:tc>
      </w:tr>
    </w:tbl>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销售服务费C类</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r>
              <w:rPr>
                <w:rFonts w:ascii="宋体" w:hAnsi="宋体" w:eastAsia="宋体" w:cs="宋体"/>
                <w:b w:val="0"/>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15,000.00</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120,000.00</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律师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br w:type="textWrapping"/>
      </w:r>
      <w:r>
        <w:rPr>
          <w:rFonts w:ascii="宋体" w:hAnsi="宋体" w:eastAsia="宋体" w:cs="宋体"/>
          <w:b w:val="0"/>
        </w:rPr>
        <w:t>2、本基金审计费用、信息披露费为年金额，由基金整体承担，非单个份额类别费用，且年金额为预估值，最终实际金额以基金定期报告披露为准。</w:t>
      </w:r>
    </w:p>
    <w:p/>
    <w:p>
      <w:pPr>
        <w:pStyle w:val="58"/>
      </w:pPr>
      <w:r>
        <w:rPr>
          <w:rFonts w:ascii="宋体" w:hAnsi="宋体" w:eastAsia="宋体" w:cs="宋体"/>
          <w:b/>
        </w:rPr>
        <w:t>（三）基金运作综合费用测算</w:t>
      </w:r>
    </w:p>
    <w:p>
      <w:r>
        <w:rPr>
          <w:rFonts w:ascii="宋体" w:hAnsi="宋体" w:eastAsia="宋体" w:cs="宋体"/>
          <w:b w:val="0"/>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pPr>
              <w:spacing w:line="240" w:lineRule="auto"/>
              <w:jc w:val="center"/>
            </w:pPr>
            <w:r>
              <w:rPr>
                <w:rFonts w:ascii="宋体" w:hAnsi="宋体" w:eastAsia="宋体" w:cs="宋体"/>
                <w:b/>
              </w:rPr>
              <w:t>基金运作综合费用测算明细的类别</w:t>
            </w:r>
          </w:p>
        </w:tc>
        <w:tc>
          <w:tcPr>
            <w:tcW w:w="2462" w:type="pct"/>
            <w:vAlign w:val="center"/>
          </w:tcPr>
          <w:p>
            <w:pPr>
              <w:spacing w:line="240" w:lineRule="auto"/>
              <w:jc w:val="center"/>
            </w:pPr>
            <w:r>
              <w:rPr>
                <w:rFonts w:ascii="宋体" w:hAnsi="宋体" w:eastAsia="宋体" w:cs="宋体"/>
                <w:b/>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持有期</w:t>
            </w:r>
          </w:p>
        </w:tc>
        <w:tc>
          <w:tcPr>
            <w:tcW w:w="0" w:type="dxa"/>
            <w:vAlign w:val="center"/>
          </w:tcPr>
          <w:p>
            <w:pPr>
              <w:spacing w:line="240" w:lineRule="auto"/>
              <w:jc w:val="right"/>
            </w:pPr>
            <w:r>
              <w:rPr>
                <w:rFonts w:ascii="宋体" w:hAnsi="宋体" w:eastAsia="宋体" w:cs="宋体"/>
                <w:b w:val="0"/>
              </w:rPr>
              <w:t>2.05%</w:t>
            </w:r>
          </w:p>
        </w:tc>
      </w:tr>
    </w:tbl>
    <w:p>
      <w:r>
        <w:rPr>
          <w:rFonts w:ascii="宋体" w:hAnsi="宋体" w:eastAsia="宋体" w:cs="宋体"/>
          <w:b w:val="0"/>
        </w:rPr>
        <w:t>注：基金管理费率、托管费率、销售服务费率（若有）为基金现行费率，其他运作费用以最近一次基金年报披露的相关数据为基准测算。</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br w:type="textWrapping"/>
      </w:r>
      <w:r>
        <w:rPr>
          <w:rFonts w:ascii="宋体" w:hAnsi="宋体" w:eastAsia="宋体" w:cs="宋体"/>
          <w:b w:val="0"/>
        </w:rPr>
        <w:t xml:space="preserve">    1、本基金特有风险</w:t>
      </w:r>
      <w:r>
        <w:rPr>
          <w:rFonts w:ascii="宋体" w:hAnsi="宋体" w:eastAsia="宋体" w:cs="宋体"/>
          <w:b w:val="0"/>
        </w:rPr>
        <w:br w:type="textWrapping"/>
      </w:r>
      <w:r>
        <w:rPr>
          <w:rFonts w:ascii="宋体" w:hAnsi="宋体" w:eastAsia="宋体" w:cs="宋体"/>
          <w:b w:val="0"/>
        </w:rPr>
        <w:t xml:space="preserve">    （1）本基金为混合型基金，本基金投资于股票的比例占基金资产的60%-95%，投资集中度比较明显，股票市场的价格波动可能会导致基金净值发生剧烈波动的风险。</w:t>
      </w:r>
      <w:r>
        <w:rPr>
          <w:rFonts w:ascii="宋体" w:hAnsi="宋体" w:eastAsia="宋体" w:cs="宋体"/>
          <w:b w:val="0"/>
        </w:rPr>
        <w:br w:type="textWrapping"/>
      </w:r>
      <w:r>
        <w:rPr>
          <w:rFonts w:ascii="宋体" w:hAnsi="宋体" w:eastAsia="宋体" w:cs="宋体"/>
          <w:b w:val="0"/>
        </w:rPr>
        <w:t xml:space="preserve">    （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r>
      <w:r>
        <w:rPr>
          <w:rFonts w:ascii="宋体" w:hAnsi="宋体" w:eastAsia="宋体" w:cs="宋体"/>
          <w:b w:val="0"/>
        </w:rPr>
        <w:br w:type="textWrapping"/>
      </w:r>
      <w:r>
        <w:rPr>
          <w:rFonts w:ascii="宋体" w:hAnsi="宋体" w:eastAsia="宋体" w:cs="宋体"/>
          <w:b w:val="0"/>
        </w:rPr>
        <w:t xml:space="preserve">    （3）本基金除了投资于A股市场优质企业外，还可在法律法规规定的范围内投资港股通标的股票，会面临港股通机制下因投资环境、投资标的、市场制度以及交易规则等差异带来的特有风险。</w:t>
      </w:r>
      <w:r>
        <w:rPr>
          <w:rFonts w:ascii="宋体" w:hAnsi="宋体" w:eastAsia="宋体" w:cs="宋体"/>
          <w:b w:val="0"/>
        </w:rPr>
        <w:br w:type="textWrapping"/>
      </w:r>
      <w:r>
        <w:rPr>
          <w:rFonts w:ascii="宋体" w:hAnsi="宋体" w:eastAsia="宋体" w:cs="宋体"/>
          <w:b w:val="0"/>
        </w:rPr>
        <w:t xml:space="preserve">    （4）本基金可投资科创板和北交所上市交易股票，将承担因上市条件、交易规则、退市制度等差异带来的特有风险，包括流动性风险、退市风险、投资集中风险等。</w:t>
      </w:r>
      <w:r>
        <w:rPr>
          <w:rFonts w:ascii="宋体" w:hAnsi="宋体" w:eastAsia="宋体" w:cs="宋体"/>
          <w:b w:val="0"/>
        </w:rPr>
        <w:br w:type="textWrapping"/>
      </w:r>
      <w:r>
        <w:rPr>
          <w:rFonts w:ascii="宋体" w:hAnsi="宋体" w:eastAsia="宋体" w:cs="宋体"/>
          <w:b w:val="0"/>
        </w:rPr>
        <w:t xml:space="preserve">    （5）本基金可投资股指期货，可能会出现的风险包括基差风险、合约品种差异造成的风险、标的物风险、衍生品模型风险等。</w:t>
      </w:r>
      <w:r>
        <w:rPr>
          <w:rFonts w:ascii="宋体" w:hAnsi="宋体" w:eastAsia="宋体" w:cs="宋体"/>
          <w:b w:val="0"/>
        </w:rPr>
        <w:br w:type="textWrapping"/>
      </w:r>
      <w:r>
        <w:rPr>
          <w:rFonts w:ascii="宋体" w:hAnsi="宋体" w:eastAsia="宋体" w:cs="宋体"/>
          <w:b w:val="0"/>
        </w:rPr>
        <w:t xml:space="preserve">    （6）本基金可投资国债期货，国债期货的风险主要包含市场风险、流动性风险、信用风险、合规性风险以及国债期货实物交割风险等。</w:t>
      </w:r>
      <w:r>
        <w:rPr>
          <w:rFonts w:ascii="宋体" w:hAnsi="宋体" w:eastAsia="宋体" w:cs="宋体"/>
          <w:b w:val="0"/>
        </w:rPr>
        <w:br w:type="textWrapping"/>
      </w:r>
      <w:r>
        <w:rPr>
          <w:rFonts w:ascii="宋体" w:hAnsi="宋体" w:eastAsia="宋体" w:cs="宋体"/>
          <w:b w:val="0"/>
        </w:rPr>
        <w:t xml:space="preserve">    （7）本基金可投资资产支持类证券，资产支持证券的风险主要包括信用风险、利率风险、流动性风险、提前偿付风险等。</w:t>
      </w:r>
      <w:r>
        <w:rPr>
          <w:rFonts w:ascii="宋体" w:hAnsi="宋体" w:eastAsia="宋体" w:cs="宋体"/>
          <w:b w:val="0"/>
        </w:rPr>
        <w:br w:type="textWrapping"/>
      </w:r>
      <w:r>
        <w:rPr>
          <w:rFonts w:ascii="宋体" w:hAnsi="宋体" w:eastAsia="宋体" w:cs="宋体"/>
          <w:b w:val="0"/>
        </w:rPr>
        <w:t xml:space="preserve">    （8）本基金可投资存托凭证，将面临中国存托凭证价格大幅波动甚至出现较大亏损的风险，以及与中国存托凭证发行机制相关的风险。</w:t>
      </w:r>
      <w:r>
        <w:rPr>
          <w:rFonts w:ascii="宋体" w:hAnsi="宋体" w:eastAsia="宋体" w:cs="宋体"/>
          <w:b w:val="0"/>
        </w:rPr>
        <w:br w:type="textWrapping"/>
      </w:r>
      <w:r>
        <w:rPr>
          <w:rFonts w:ascii="宋体" w:hAnsi="宋体" w:eastAsia="宋体" w:cs="宋体"/>
          <w:b w:val="0"/>
        </w:rPr>
        <w:t xml:space="preserve">    （9）本基金可投资股票期权，股票期权的风险包括市场风险、流动性风险和基差风险。</w:t>
      </w:r>
      <w:r>
        <w:rPr>
          <w:rFonts w:ascii="宋体" w:hAnsi="宋体" w:eastAsia="宋体" w:cs="宋体"/>
          <w:b w:val="0"/>
        </w:rPr>
        <w:br w:type="textWrapping"/>
      </w:r>
      <w:r>
        <w:rPr>
          <w:rFonts w:ascii="宋体" w:hAnsi="宋体" w:eastAsia="宋体" w:cs="宋体"/>
          <w:b w:val="0"/>
        </w:rPr>
        <w:t xml:space="preserve">    （10）本基金可参与融资交易，融资交易的风险主要包括流动性风险、信用风险等，这些风险可能会给基金净值带来一定的负面影响和损失。</w:t>
      </w:r>
      <w:r>
        <w:rPr>
          <w:rFonts w:ascii="宋体" w:hAnsi="宋体" w:eastAsia="宋体" w:cs="宋体"/>
          <w:b w:val="0"/>
        </w:rPr>
        <w:br w:type="textWrapping"/>
      </w:r>
      <w:r>
        <w:rPr>
          <w:rFonts w:ascii="宋体" w:hAnsi="宋体" w:eastAsia="宋体" w:cs="宋体"/>
          <w:b w:val="0"/>
        </w:rPr>
        <w:t xml:space="preserve">    （11）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r>
        <w:rPr>
          <w:rFonts w:ascii="宋体" w:hAnsi="宋体" w:eastAsia="宋体" w:cs="宋体"/>
          <w:b w:val="0"/>
        </w:rPr>
        <w:br w:type="textWrapping"/>
      </w:r>
      <w:r>
        <w:rPr>
          <w:rFonts w:ascii="宋体" w:hAnsi="宋体" w:eastAsia="宋体" w:cs="宋体"/>
          <w:b w:val="0"/>
        </w:rPr>
        <w:t xml:space="preserve">    2、混合型证券投资基金的共有风险：市场风险、管理风险、职业道德风险、流动性风险、合规风险、投资管理风险、操作和技术风险以及不可抗力可能导致的其他风险。</w:t>
      </w:r>
    </w:p>
    <w:p/>
    <w:p>
      <w:pPr>
        <w:pStyle w:val="58"/>
      </w:pPr>
      <w:r>
        <w:rPr>
          <w:rFonts w:ascii="宋体" w:hAnsi="宋体" w:eastAsia="宋体" w:cs="宋体"/>
          <w:b/>
        </w:rPr>
        <w:t>（二）重要提示</w:t>
      </w:r>
    </w:p>
    <w:p>
      <w:pPr>
        <w:jc w:val="left"/>
      </w:pPr>
      <w:r>
        <w:rPr>
          <w:rFonts w:ascii="宋体" w:hAnsi="宋体" w:eastAsia="宋体" w:cs="宋体"/>
          <w:b w:val="0"/>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br w:type="textWrapping"/>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br w:type="textWrapping"/>
      </w:r>
      <w:r>
        <w:rPr>
          <w:rFonts w:ascii="宋体" w:hAnsi="宋体" w:eastAsia="宋体" w:cs="宋体"/>
          <w:b w:val="0"/>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br w:type="textWrapping"/>
      </w:r>
      <w:r>
        <w:rPr>
          <w:rFonts w:ascii="宋体" w:hAnsi="宋体" w:eastAsia="宋体" w:cs="宋体"/>
          <w:b w:val="0"/>
        </w:rPr>
        <w:t xml:space="preserve">    （1）基金合同、托管协议、招募说明书</w:t>
      </w:r>
      <w:r>
        <w:rPr>
          <w:rFonts w:ascii="宋体" w:hAnsi="宋体" w:eastAsia="宋体" w:cs="宋体"/>
          <w:b w:val="0"/>
        </w:rPr>
        <w:br w:type="textWrapping"/>
      </w:r>
      <w:r>
        <w:rPr>
          <w:rFonts w:ascii="宋体" w:hAnsi="宋体" w:eastAsia="宋体" w:cs="宋体"/>
          <w:b w:val="0"/>
        </w:rPr>
        <w:t xml:space="preserve">    （2）定期报告，包括基金季度报告、中期报告和年度报告</w:t>
      </w:r>
      <w:r>
        <w:rPr>
          <w:rFonts w:ascii="宋体" w:hAnsi="宋体" w:eastAsia="宋体" w:cs="宋体"/>
          <w:b w:val="0"/>
        </w:rPr>
        <w:br w:type="textWrapping"/>
      </w:r>
      <w:r>
        <w:rPr>
          <w:rFonts w:ascii="宋体" w:hAnsi="宋体" w:eastAsia="宋体" w:cs="宋体"/>
          <w:b w:val="0"/>
        </w:rPr>
        <w:t xml:space="preserve">    （3）基金份额净值</w:t>
      </w:r>
      <w:r>
        <w:rPr>
          <w:rFonts w:ascii="宋体" w:hAnsi="宋体" w:eastAsia="宋体" w:cs="宋体"/>
          <w:b w:val="0"/>
        </w:rPr>
        <w:br w:type="textWrapping"/>
      </w:r>
      <w:r>
        <w:rPr>
          <w:rFonts w:ascii="宋体" w:hAnsi="宋体" w:eastAsia="宋体" w:cs="宋体"/>
          <w:b w:val="0"/>
        </w:rPr>
        <w:t xml:space="preserve">    （4）基金销售机构及联系方式</w:t>
      </w:r>
      <w:r>
        <w:rPr>
          <w:rFonts w:ascii="宋体" w:hAnsi="宋体" w:eastAsia="宋体" w:cs="宋体"/>
          <w:b w:val="0"/>
        </w:rPr>
        <w:br w:type="textWrapping"/>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东方阿尔法瑞丰混合型发起式证券投资基金（C类份额）基金产品资料概要更新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237C6836"/>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66</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2026-05-07T01:17:54Z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