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东方阿尔法兴科一年持有期混合型证券投资基金（C类份额）基金产品资料概要更新</w:t>
      </w:r>
    </w:p>
    <w:p>
      <w:pPr>
        <w:jc w:val="right"/>
      </w:pPr>
      <w:r>
        <w:rPr>
          <w:rFonts w:ascii="宋体" w:hAnsi="宋体" w:cs="宋体" w:eastAsia="宋体"/>
          <w:b w:val="false"/>
        </w:rPr>
        <w:t>编制日期：2026年05月11日</w:t>
      </w:r>
    </w:p>
    <w:p>
      <w:pPr>
        <w:jc w:val="center"/>
      </w:pPr>
      <w:r>
        <w:rPr>
          <w:rFonts w:ascii="宋体" w:hAnsi="宋体" w:cs="宋体" w:eastAsia="宋体"/>
          <w:b w:val="false"/>
        </w:rPr>
        <w:t>送出日期：2026年05月13日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东方阿尔法兴科一年持有混合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015900</w:t>
            </w:r>
          </w:p>
        </w:tc>
      </w:tr>
      <w:tr>
        <w:tc>
          <w:tcPr>
            <w:tcW/>
            <w:vAlign w:val="center"/>
          </w:tcPr>
          <w:p>
            <w:pPr>
              <w:spacing w:line="240" w:lineRule="auto"/>
              <w:jc w:val="left"/>
            </w:pPr>
            <w:r>
              <w:rPr>
                <w:rFonts w:ascii="宋体" w:hAnsi="宋体" w:cs="宋体" w:eastAsia="宋体"/>
                <w:b w:val="true"/>
              </w:rPr>
              <w:t>基金简称C</w:t>
            </w:r>
          </w:p>
        </w:tc>
        <w:tc>
          <w:tcPr>
            <w:tcW/>
            <w:vAlign w:val="center"/>
          </w:tcPr>
          <w:p>
            <w:pPr>
              <w:spacing w:line="240" w:lineRule="auto"/>
              <w:jc w:val="left"/>
            </w:pPr>
            <w:r>
              <w:rPr>
                <w:rFonts w:ascii="宋体" w:hAnsi="宋体" w:cs="宋体" w:eastAsia="宋体"/>
                <w:b w:val="false"/>
              </w:rPr>
              <w:t>东方阿尔法兴科一年持有混合C</w:t>
            </w:r>
          </w:p>
        </w:tc>
        <w:tc>
          <w:tcPr>
            <w:tcW/>
            <w:vAlign w:val="center"/>
          </w:tcPr>
          <w:p>
            <w:pPr>
              <w:spacing w:line="240" w:lineRule="auto"/>
              <w:jc w:val="left"/>
            </w:pPr>
            <w:r>
              <w:rPr>
                <w:rFonts w:ascii="宋体" w:hAnsi="宋体" w:cs="宋体" w:eastAsia="宋体"/>
                <w:b w:val="true"/>
              </w:rPr>
              <w:t>基金代码C</w:t>
            </w:r>
          </w:p>
        </w:tc>
        <w:tc>
          <w:tcPr>
            <w:tcW/>
            <w:vAlign w:val="center"/>
          </w:tcPr>
          <w:p>
            <w:pPr>
              <w:spacing w:line="240" w:lineRule="auto"/>
              <w:jc w:val="left"/>
            </w:pPr>
            <w:r>
              <w:rPr>
                <w:rFonts w:ascii="宋体" w:hAnsi="宋体" w:cs="宋体" w:eastAsia="宋体"/>
                <w:b w:val="false"/>
              </w:rPr>
              <w:t>015901</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兴业银行股份有限公司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2022年09月28日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其他开放式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每个开放日开放申购，每笔认购/申购/转换转入申请所得基金份额持有满一年后每个开放日开放赎回</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尹智斌</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2023年11月01日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2018年08月06日</w:t>
            </w:r>
          </w:p>
        </w:tc>
      </w:tr>
    </w:tbl>
    <w:p>
      <w:r>
        <w:rPr>
          <w:rFonts w:ascii="宋体" w:hAnsi="宋体" w:cs="宋体" w:eastAsia="宋体"/>
          <w:b w:val="false"/>
        </w:rPr>
        <w:t>注：《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p>
      <w:pPr>
        <w:pStyle w:val="2"/>
        <w:jc w:val="left"/>
      </w:pPr>
      <w:r>
        <w:rPr>
          <w:rFonts w:ascii="宋体" w:hAnsi="宋体" w:cs="宋体" w:eastAsia="宋体"/>
        </w:rPr>
        <w:t>二、基金投资与净值表现</w:t>
      </w:r>
    </w:p>
    <w:p>
      <w:pPr>
        <w:pStyle w:val="zhangjiep2"/>
      </w:pPr>
      <w:r>
        <w:rPr>
          <w:rStyle w:val="正文"/>
          <w:rFonts w:ascii="宋体" w:hAnsi="宋体" w:cs="宋体" w:eastAsia="宋体"/>
          <w:b w:val="true"/>
        </w:rPr>
        <w:t>（一）投资目标与投资策略</w:t>
      </w:r>
    </w:p>
    <w:p>
      <w:r>
        <w:rPr>
          <w:rFonts w:ascii="宋体" w:hAnsi="宋体" w:cs="宋体" w:eastAsia="宋体"/>
          <w:b w:val="false"/>
        </w:rPr>
        <w:t xml:space="preserve">    详见《东方阿尔法兴科一年持有期混合型证券投资基金招募说明书》第九部分“基金的投资”。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本基金在有效控制组合风险并保持良好流动性的前提下，通过深入研究、优选个股、主动的投资管理方式力求实现组合资产的稳健增值。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创业板及其他中国证监会允许基金投资的股票及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br/>
            </w:r>
            <w:r>
              <w:rPr>
                <w:rFonts w:ascii="宋体" w:hAnsi="宋体" w:cs="宋体" w:eastAsia="宋体"/>
                <w:b w:val="false"/>
              </w:rPr>
              <w:t>基金的投资组合比例为：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中证800指数收益率×60%+中证综合债券指数收益率×20%+恒生指数收益率×20%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zhangjiep2"/>
      </w:pPr>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pPr>
        <w:pStyle w:val="zhangjiep2"/>
      </w:pPr>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pPr>
        <w:pStyle w:val="zhangjiep2"/>
      </w:pPr>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p>
        </w:tc>
        <w:tc>
          <w:tcPr>
            <w:tcW/>
            <w:vAlign w:val="center"/>
          </w:tcPr>
          <w:p>
            <w:pPr>
              <w:spacing w:line="240" w:lineRule="auto"/>
              <w:jc w:val="left"/>
            </w:pPr>
          </w:p>
        </w:tc>
        <w:tc>
          <w:tcPr>
            <w:tcW/>
            <w:vAlign w:val="center"/>
          </w:tcPr>
          <w:p>
            <w:pPr>
              <w:spacing w:line="240" w:lineRule="auto"/>
              <w:jc w:val="left"/>
            </w:pPr>
            <w:r>
              <w:rPr>
                <w:rFonts w:ascii="宋体" w:hAnsi="宋体" w:cs="宋体" w:eastAsia="宋体"/>
                <w:b w:val="false"/>
              </w:rPr>
              <w:t>C类份额无申购费</w:t>
            </w:r>
          </w:p>
        </w:tc>
      </w:tr>
      <w:tr>
        <w:tc>
          <w:tcPr>
            <w:tcW/>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p>
        </w:tc>
        <w:tc>
          <w:tcPr>
            <w:tcW/>
            <w:vAlign w:val="center"/>
          </w:tcPr>
          <w:p>
            <w:pPr>
              <w:spacing w:line="240" w:lineRule="auto"/>
              <w:jc w:val="left"/>
            </w:pPr>
          </w:p>
        </w:tc>
        <w:tc>
          <w:tcPr>
            <w:tcW/>
            <w:vAlign w:val="center"/>
          </w:tcPr>
          <w:p>
            <w:pPr>
              <w:spacing w:line="240" w:lineRule="auto"/>
              <w:jc w:val="left"/>
            </w:pPr>
            <w:r>
              <w:rPr>
                <w:rFonts w:ascii="宋体" w:hAnsi="宋体" w:cs="宋体" w:eastAsia="宋体"/>
                <w:b w:val="false"/>
              </w:rPr>
              <w:t>本基金对每份基金份额设定一年的最短持有期，赎回时不收取赎回费用。</w:t>
            </w:r>
          </w:p>
        </w:tc>
      </w:tr>
    </w:tbl>
    <w:p/>
    <w:p>
      <w:pPr>
        <w:pStyle w:val="zhangjiep2"/>
      </w:pPr>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销售服务费C类</w:t>
            </w:r>
          </w:p>
        </w:tc>
        <w:tc>
          <w:tcPr>
            <w:tcW/>
            <w:vAlign w:val="center"/>
          </w:tcPr>
          <w:p>
            <w:pPr>
              <w:spacing w:line="240" w:lineRule="auto"/>
              <w:jc w:val="left"/>
            </w:pPr>
            <w:r>
              <w:rPr>
                <w:rFonts w:ascii="宋体" w:hAnsi="宋体" w:cs="宋体" w:eastAsia="宋体"/>
                <w:b w:val="false"/>
              </w:rPr>
              <w:t>0.60%</w:t>
            </w:r>
          </w:p>
        </w:tc>
        <w:tc>
          <w:tcPr>
            <w:tcW/>
            <w:vAlign w:val="center"/>
          </w:tcPr>
          <w:p>
            <w:pPr>
              <w:spacing w:line="240" w:lineRule="auto"/>
              <w:jc w:val="left"/>
            </w:pPr>
            <w:r>
              <w:rPr>
                <w:rFonts w:ascii="宋体" w:hAnsi="宋体" w:cs="宋体" w:eastAsia="宋体"/>
                <w:b w:val="false"/>
              </w:rPr>
              <w:t>销售机构</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10,000.00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80,000.00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b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pPr>
        <w:pStyle w:val="zhangjiep2"/>
      </w:pPr>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2.10%</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pPr>
        <w:pStyle w:val="zhangjiep2"/>
      </w:pPr>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br/>
      </w:r>
      <w:r>
        <w:rPr>
          <w:rFonts w:ascii="宋体" w:hAnsi="宋体" w:cs="宋体" w:eastAsia="宋体"/>
          <w:b w:val="false"/>
        </w:rPr>
        <w:t xml:space="preserve">    1、本基金特有风险</w:t>
        <w:br/>
      </w:r>
      <w:r>
        <w:rPr>
          <w:rFonts w:ascii="宋体" w:hAnsi="宋体" w:cs="宋体" w:eastAsia="宋体"/>
          <w:b w:val="false"/>
        </w:rPr>
        <w:t xml:space="preserve">    （1）本基金为混合型基金，本基金投资于股票的比例占基金资产的60%-95%，投资集中度比较明显，股票市场的价格波动可能会导致基金净值发生剧烈波动的风险。</w:t>
        <w:br/>
      </w:r>
      <w:r>
        <w:rPr>
          <w:rFonts w:ascii="宋体" w:hAnsi="宋体" w:cs="宋体" w:eastAsia="宋体"/>
          <w:b w:val="false"/>
        </w:rPr>
        <w:t xml:space="preserve">    （2）本基金除了投资于A股市场优质企业外，还可在法律法规规定的范围内投资港股通标的股票，会面临港股通机制下因投资环境、投资标的、市场制度以及交易规则等差异带来的特有风险。</w:t>
        <w:b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br/>
      </w:r>
      <w:r>
        <w:rPr>
          <w:rFonts w:ascii="宋体" w:hAnsi="宋体" w:cs="宋体" w:eastAsia="宋体"/>
          <w:b w:val="false"/>
        </w:rPr>
        <w:t xml:space="preserve">    （4）本基金可投资股指期货，可能会出现的风险包括基差风险、合约品种差异造成的风险、标的物风险、衍生品模型风险等。</w:t>
        <w:br/>
      </w:r>
      <w:r>
        <w:rPr>
          <w:rFonts w:ascii="宋体" w:hAnsi="宋体" w:cs="宋体" w:eastAsia="宋体"/>
          <w:b w:val="false"/>
        </w:rPr>
        <w:t xml:space="preserve">    （5）本基金可投资国债期货，国债期货的风险主要包含市场风险、流动性风险、信用风险、合规性风险以及国债期货实物交割风险等。</w:t>
        <w:br/>
      </w:r>
      <w:r>
        <w:rPr>
          <w:rFonts w:ascii="宋体" w:hAnsi="宋体" w:cs="宋体" w:eastAsia="宋体"/>
          <w:b w:val="false"/>
        </w:rPr>
        <w:t xml:space="preserve">    （6）本基金可投资资产支持类证券，资产支持证券的风险主要包括信用风险、利率风险、流动性风险、提前偿付风险等。</w:t>
        <w:br/>
      </w:r>
      <w:r>
        <w:rPr>
          <w:rFonts w:ascii="宋体" w:hAnsi="宋体" w:cs="宋体" w:eastAsia="宋体"/>
          <w:b w:val="false"/>
        </w:rPr>
        <w:t xml:space="preserve">    （7）本基金可投资存托凭证，将面临中国存托凭证价格大幅波动甚至出现较大亏损的风险，以及与中国存托凭证发行机制相关的风险。</w:t>
        <w:br/>
      </w:r>
      <w:r>
        <w:rPr>
          <w:rFonts w:ascii="宋体" w:hAnsi="宋体" w:cs="宋体" w:eastAsia="宋体"/>
          <w:b w:val="false"/>
        </w:rPr>
        <w:t xml:space="preserve">    （8）本基金可投资股票期权，股票期权的风险包括市场风险、流动性风险和基差风险。</w:t>
        <w:br/>
      </w:r>
      <w:r>
        <w:rPr>
          <w:rFonts w:ascii="宋体" w:hAnsi="宋体" w:cs="宋体" w:eastAsia="宋体"/>
          <w:b w:val="false"/>
        </w:rPr>
        <w:t xml:space="preserve">    （9）本基金可参与融资交易，融资交易的风险主要包括流动性风险、信用风险等，这些风险可能会给基金净值带来一定的负面影响和损失。</w:t>
        <w:br/>
      </w:r>
      <w:r>
        <w:rPr>
          <w:rFonts w:ascii="宋体" w:hAnsi="宋体" w:cs="宋体" w:eastAsia="宋体"/>
          <w:b w:val="false"/>
        </w:rPr>
        <w:t xml:space="preserve">    （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br/>
      </w:r>
      <w:r>
        <w:rPr>
          <w:rFonts w:ascii="宋体" w:hAnsi="宋体" w:cs="宋体" w:eastAsia="宋体"/>
          <w:b w:val="false"/>
        </w:rPr>
        <w:t xml:space="preserve">    2、基金份额的最短持有期风险：本基金对每份基金份额设定一年锁定期，对投资者存在流动性风险。本基金主要运作方式设置为允许投资者日常申购，但对于每份份额设定一年锁定期，锁定期内基金份额持有人不能就该基金份额提出赎回申请。即投资者要考虑在锁定期资金不能赎回的风险。</w:t>
        <w:br/>
      </w:r>
      <w:r>
        <w:rPr>
          <w:rFonts w:ascii="宋体" w:hAnsi="宋体" w:cs="宋体" w:eastAsia="宋体"/>
          <w:b w:val="false"/>
        </w:rPr>
        <w:t xml:space="preserve">    3、开放式基金的共有风险：市场风险、管理风险、职业道德风险、流动性风险、合规风险、投资管理风险、操作和技术风险、启用侧袋机制的风险以及不可抗力可能导致的其他风险。</w:t>
      </w:r>
    </w:p>
    <w:p/>
    <w:p>
      <w:pPr>
        <w:pStyle w:val="zhangjiep2"/>
      </w:pPr>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b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b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br/>
      </w:r>
      <w:r>
        <w:rPr>
          <w:rFonts w:ascii="宋体" w:hAnsi="宋体" w:cs="宋体" w:eastAsia="宋体"/>
          <w:b w:val="false"/>
        </w:rPr>
        <w:t xml:space="preserve">    （1）基金合同、托管协议、招募说明书</w:t>
        <w:br/>
      </w:r>
      <w:r>
        <w:rPr>
          <w:rFonts w:ascii="宋体" w:hAnsi="宋体" w:cs="宋体" w:eastAsia="宋体"/>
          <w:b w:val="false"/>
        </w:rPr>
        <w:t xml:space="preserve">    （2）定期报告，包括基金季度报告、中期报告和年度报告</w:t>
        <w:br/>
      </w:r>
      <w:r>
        <w:rPr>
          <w:rFonts w:ascii="宋体" w:hAnsi="宋体" w:cs="宋体" w:eastAsia="宋体"/>
          <w:b w:val="false"/>
        </w:rPr>
        <w:t xml:space="preserve">    （3）基金份额净值</w:t>
        <w:br/>
      </w:r>
      <w:r>
        <w:rPr>
          <w:rFonts w:ascii="宋体" w:hAnsi="宋体" w:cs="宋体" w:eastAsia="宋体"/>
          <w:b w:val="false"/>
        </w:rPr>
        <w:t xml:space="preserve">    （4）基金销售机构及联系方式</w:t>
        <w:b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东方阿尔法兴科一年持有期混合型证券投资基金（C类份额）基金产品资料概要更新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