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东方阿尔法招阳混合型证券投资基金（C类份额）基金产品资料概要更新</w:t>
      </w:r>
    </w:p>
    <w:p>
      <w:pPr>
        <w:jc w:val="right"/>
      </w:pPr>
      <w:r>
        <w:rPr>
          <w:rFonts w:ascii="宋体" w:hAnsi="宋体" w:cs="宋体" w:eastAsia="宋体"/>
          <w:b w:val="false"/>
        </w:rPr>
        <w:t>编制日期：2026年05月11日</w:t>
      </w:r>
    </w:p>
    <w:p>
      <w:pPr>
        <w:jc w:val="center"/>
      </w:pPr>
      <w:r>
        <w:rPr>
          <w:rFonts w:ascii="宋体" w:hAnsi="宋体" w:cs="宋体" w:eastAsia="宋体"/>
          <w:b w:val="false"/>
        </w:rPr>
        <w:t>送出日期：2026年05月13日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东方阿尔法招阳混合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011184</w:t>
            </w:r>
          </w:p>
        </w:tc>
      </w:tr>
      <w:tr>
        <w:tc>
          <w:tcPr>
            <w:tcW/>
            <w:vAlign w:val="center"/>
          </w:tcPr>
          <w:p>
            <w:pPr>
              <w:spacing w:line="240" w:lineRule="auto"/>
              <w:jc w:val="left"/>
            </w:pPr>
            <w:r>
              <w:rPr>
                <w:rFonts w:ascii="宋体" w:hAnsi="宋体" w:cs="宋体" w:eastAsia="宋体"/>
                <w:b w:val="true"/>
              </w:rPr>
              <w:t>基金简称C</w:t>
            </w:r>
          </w:p>
        </w:tc>
        <w:tc>
          <w:tcPr>
            <w:tcW/>
            <w:vAlign w:val="center"/>
          </w:tcPr>
          <w:p>
            <w:pPr>
              <w:spacing w:line="240" w:lineRule="auto"/>
              <w:jc w:val="left"/>
            </w:pPr>
            <w:r>
              <w:rPr>
                <w:rFonts w:ascii="宋体" w:hAnsi="宋体" w:cs="宋体" w:eastAsia="宋体"/>
                <w:b w:val="false"/>
              </w:rPr>
              <w:t>东方阿尔法招阳混合C</w:t>
            </w:r>
          </w:p>
        </w:tc>
        <w:tc>
          <w:tcPr>
            <w:tcW/>
            <w:vAlign w:val="center"/>
          </w:tcPr>
          <w:p>
            <w:pPr>
              <w:spacing w:line="240" w:lineRule="auto"/>
              <w:jc w:val="left"/>
            </w:pPr>
            <w:r>
              <w:rPr>
                <w:rFonts w:ascii="宋体" w:hAnsi="宋体" w:cs="宋体" w:eastAsia="宋体"/>
                <w:b w:val="true"/>
              </w:rPr>
              <w:t>基金代码C</w:t>
            </w:r>
          </w:p>
        </w:tc>
        <w:tc>
          <w:tcPr>
            <w:tcW/>
            <w:vAlign w:val="center"/>
          </w:tcPr>
          <w:p>
            <w:pPr>
              <w:spacing w:line="240" w:lineRule="auto"/>
              <w:jc w:val="left"/>
            </w:pPr>
            <w:r>
              <w:rPr>
                <w:rFonts w:ascii="宋体" w:hAnsi="宋体" w:cs="宋体" w:eastAsia="宋体"/>
                <w:b w:val="false"/>
              </w:rPr>
              <w:t>011185</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2021年03月17日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潘令梓</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2024年11月19日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2019年11月29日</w:t>
            </w:r>
          </w:p>
        </w:tc>
      </w:tr>
    </w:tbl>
    <w:p>
      <w:r>
        <w:rPr>
          <w:rFonts w:ascii="宋体" w:hAnsi="宋体" w:cs="宋体" w:eastAsia="宋体"/>
          <w:b w:val="false"/>
        </w:rPr>
        <w:t>注：1、《基金合同》生效后，连续50个工作日出现基金份额持有人数量不满200人或者基金资产净值低于5000万元情形的，基金管理人将终止基金合同，并按照基金合同约定程序进行清算，此事项不需要召开基金份额持有人大会进行表决。</w:t>
        <w:br/>
      </w:r>
      <w:r>
        <w:rPr>
          <w:rFonts w:ascii="宋体" w:hAnsi="宋体" w:cs="宋体" w:eastAsia="宋体"/>
          <w:b w:val="false"/>
        </w:rPr>
        <w:t>2、本基金自2023年5月10日起增设E类份额，并开通E类份额申购、赎回、转换、定期定额投资业务。</w:t>
      </w:r>
    </w:p>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详见《东方阿尔法招阳混合型证券投资基金招募说明书》第九部分“基金的投资”。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在严格控制风险的基础之上，通过深入研究、优选个股、主动的投资管理方式力求实现组合资产的稳健增值。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如果法律法规或中国证监会变更投资品种的投资比例限制，基金管理人在履行适当程序后，可以调整上述投资品种的投资比例。</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恢复到合理价值的过程中，分享股价提升带来的超额收益。</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中证800指数收益率×80%+中证综合债券指数收益率×10%+恒生指数收益率×10%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本基金为混合型基金，其预期风险和预期收益高于债券型基金、货币市场基金。本基金如果投资港股通标的股票，需承担汇率风险以及境外市场的风险。</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p>
        </w:tc>
        <w:tc>
          <w:tcPr>
            <w:tcW/>
            <w:vAlign w:val="center"/>
          </w:tcPr>
          <w:p>
            <w:pPr>
              <w:spacing w:line="240" w:lineRule="auto"/>
              <w:jc w:val="left"/>
            </w:pPr>
          </w:p>
        </w:tc>
        <w:tc>
          <w:tcPr>
            <w:tcW/>
            <w:vAlign w:val="center"/>
          </w:tcPr>
          <w:p>
            <w:pPr>
              <w:spacing w:line="240" w:lineRule="auto"/>
              <w:jc w:val="left"/>
            </w:pPr>
            <w:r>
              <w:rPr>
                <w:rFonts w:ascii="宋体" w:hAnsi="宋体" w:cs="宋体" w:eastAsia="宋体"/>
                <w:b w:val="false"/>
              </w:rPr>
              <w:t>C类份额无申购费</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1.25%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1%</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N≥365天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销售服务费C类</w:t>
            </w:r>
          </w:p>
        </w:tc>
        <w:tc>
          <w:tcPr>
            <w:tcW/>
            <w:vAlign w:val="center"/>
          </w:tcPr>
          <w:p>
            <w:pPr>
              <w:spacing w:line="240" w:lineRule="auto"/>
              <w:jc w:val="left"/>
            </w:pPr>
            <w:r>
              <w:rPr>
                <w:rFonts w:ascii="宋体" w:hAnsi="宋体" w:cs="宋体" w:eastAsia="宋体"/>
                <w:b w:val="false"/>
              </w:rPr>
              <w:t>0.80%</w:t>
            </w:r>
          </w:p>
        </w:tc>
        <w:tc>
          <w:tcPr>
            <w:tcW/>
            <w:vAlign w:val="center"/>
          </w:tcPr>
          <w:p>
            <w:pPr>
              <w:spacing w:line="240" w:lineRule="auto"/>
              <w:jc w:val="left"/>
            </w:pPr>
            <w:r>
              <w:rPr>
                <w:rFonts w:ascii="宋体" w:hAnsi="宋体" w:cs="宋体" w:eastAsia="宋体"/>
                <w:b w:val="false"/>
              </w:rPr>
              <w:t>销售机构</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43,000.00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等费用；基金份额持有人大会费用；基金的证券、期货交易费用；基金的银行汇划费用；基金相关的开户费用、账户维护费用；基金投资港股通标的股票的合理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b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2.25%</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br/>
      </w:r>
      <w:r>
        <w:rPr>
          <w:rFonts w:ascii="宋体" w:hAnsi="宋体" w:cs="宋体" w:eastAsia="宋体"/>
          <w:b w:val="false"/>
        </w:rPr>
        <w:t xml:space="preserve">    1、本基金特有风险</w:t>
        <w:br/>
      </w:r>
      <w:r>
        <w:rPr>
          <w:rFonts w:ascii="宋体" w:hAnsi="宋体" w:cs="宋体" w:eastAsia="宋体"/>
          <w:b w:val="false"/>
        </w:rPr>
        <w:t xml:space="preserve">    （1）本基金投资于股票的比例占基金资产的60%-95%，投资集中度比较明显，股票市场的价格波动可能会导致基金净值发生剧烈波动的风险。</w:t>
        <w:br/>
      </w:r>
      <w:r>
        <w:rPr>
          <w:rFonts w:ascii="宋体" w:hAnsi="宋体" w:cs="宋体" w:eastAsia="宋体"/>
          <w:b w:val="false"/>
        </w:rPr>
        <w:t xml:space="preserve">    （2）本基金除了投资于A股市场优质企业外，还可在法律法规规定的范围内投资港股通标的股票，会面临港股通机制下因投资环境、投资标的、市场制度以及交易规则等差异带来的特有风险。</w:t>
        <w:b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br/>
      </w:r>
      <w:r>
        <w:rPr>
          <w:rFonts w:ascii="宋体" w:hAnsi="宋体" w:cs="宋体" w:eastAsia="宋体"/>
          <w:b w:val="false"/>
        </w:rPr>
        <w:t xml:space="preserve">    （4）本基金的投资范围包括存托凭证，如果投资，可能面临存托凭证价格大幅波动甚至出现较大亏损的风险，以及与创新企业发行人、境外发行人、存托凭证发行机制和交易机制等相关的风险。</w:t>
        <w:br/>
      </w:r>
      <w:r>
        <w:rPr>
          <w:rFonts w:ascii="宋体" w:hAnsi="宋体" w:cs="宋体" w:eastAsia="宋体"/>
          <w:b w:val="false"/>
        </w:rPr>
        <w:t xml:space="preserve">    （5）本基金可投资股指期货，股指期货采用保证金交易制度，由于保证金交易具有杠杆性，当出现不利行情时，微小的变动就可能会使投资人权益遭受较大损失。股指期货采用每日无负债结算制度，如果没有在规定的时间内补足保证金，按规定将被强制平仓，可能给基金净值带来重大损失。</w:t>
        <w:br/>
      </w:r>
      <w:r>
        <w:rPr>
          <w:rFonts w:ascii="宋体" w:hAnsi="宋体" w:cs="宋体" w:eastAsia="宋体"/>
          <w:b w:val="false"/>
        </w:rPr>
        <w:t xml:space="preserve">    （6）本基金可投资国债期货，国债期货的风险主要包含市场风险、流动性风险、信用风险、合规性风险以及国债期货实物交割风险等。</w:t>
        <w:br/>
      </w:r>
      <w:r>
        <w:rPr>
          <w:rFonts w:ascii="宋体" w:hAnsi="宋体" w:cs="宋体" w:eastAsia="宋体"/>
          <w:b w:val="false"/>
        </w:rPr>
        <w:t xml:space="preserve">    （7）本基金可投资资产支持类证券，资产支持证券的风险主要包括信用风险、利率风险、流动性风险、提前偿付风险等。</w:t>
        <w:br/>
      </w:r>
      <w:r>
        <w:rPr>
          <w:rFonts w:ascii="宋体" w:hAnsi="宋体" w:cs="宋体" w:eastAsia="宋体"/>
          <w:b w:val="false"/>
        </w:rPr>
        <w:t xml:space="preserve">    （8）本基金可参与融资交易，融资交易的风险主要包括流动性风险、信用风险等，这些风险可能会给基金净值带来一定的负面影响和损失。</w:t>
        <w:br/>
      </w:r>
      <w:r>
        <w:rPr>
          <w:rFonts w:ascii="宋体" w:hAnsi="宋体" w:cs="宋体" w:eastAsia="宋体"/>
          <w:b w:val="false"/>
        </w:rPr>
        <w:t xml:space="preserve">    （9）本基金采用证券经纪商交易结算模式，即本基金将通过基金管理人选定的证券经营机构进行场内交易和结算，该种交易结算模式可能存在操作风险、资金使用效率降低的风险、交易结算风险、投资信息安全保密风险、无法完成当日估值等风险。</w:t>
        <w:br/>
      </w:r>
      <w:r>
        <w:rPr>
          <w:rFonts w:ascii="宋体" w:hAnsi="宋体" w:cs="宋体" w:eastAsia="宋体"/>
          <w:b w:val="false"/>
        </w:rPr>
        <w:t xml:space="preserve">    2、开放式基金的共有风险：市场风险、管理风险、职业道德风险、流动性风险、合规风险、投资管理风险、操作和技术风险、启用侧袋机制的风险以及不可抗力可能导致的其他风险。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b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br/>
      </w:r>
      <w:r>
        <w:rPr>
          <w:rFonts w:ascii="宋体" w:hAnsi="宋体" w:cs="宋体" w:eastAsia="宋体"/>
          <w:b w:val="false"/>
        </w:rPr>
        <w:t xml:space="preserve">    因《基金合同》而产生的或与《基金合同》有关的一切争议，应友好协商解决；如经友好协商未能解决的，任何一方均有权将争议提交深圳国际仲裁院，仲裁地点为深圳市。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br/>
      </w:r>
      <w:r>
        <w:rPr>
          <w:rFonts w:ascii="宋体" w:hAnsi="宋体" w:cs="宋体" w:eastAsia="宋体"/>
          <w:b w:val="false"/>
        </w:rPr>
        <w:t xml:space="preserve">    （1）基金合同、托管协议、招募说明书</w:t>
        <w:br/>
      </w:r>
      <w:r>
        <w:rPr>
          <w:rFonts w:ascii="宋体" w:hAnsi="宋体" w:cs="宋体" w:eastAsia="宋体"/>
          <w:b w:val="false"/>
        </w:rPr>
        <w:t xml:space="preserve">    （2）定期报告，包括基金季度报告、中期报告和年度报告</w:t>
        <w:br/>
      </w:r>
      <w:r>
        <w:rPr>
          <w:rFonts w:ascii="宋体" w:hAnsi="宋体" w:cs="宋体" w:eastAsia="宋体"/>
          <w:b w:val="false"/>
        </w:rPr>
        <w:t xml:space="preserve">    （3）基金份额净值</w:t>
        <w:br/>
      </w:r>
      <w:r>
        <w:rPr>
          <w:rFonts w:ascii="宋体" w:hAnsi="宋体" w:cs="宋体" w:eastAsia="宋体"/>
          <w:b w:val="false"/>
        </w:rPr>
        <w:t xml:space="preserve">    （4）基金销售机构及联系方式</w:t>
        <w:b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东方阿尔法招阳混合型证券投资基金（C类份额）基金产品资料概要更新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