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tabs>
          <w:tab w:val="left" w:pos="6660"/>
        </w:tabs>
        <w:spacing w:line="360" w:lineRule="auto"/>
        <w:jc w:val="center"/>
        <w:rPr>
          <w:rFonts w:hint="eastAsia" w:ascii="宋体" w:hAnsi="宋体" w:cs="宋体"/>
          <w:bCs/>
          <w:sz w:val="44"/>
          <w:highlight w:val="none"/>
        </w:rPr>
        <w:sectPr>
          <w:headerReference r:id="rId5" w:type="first"/>
          <w:footerReference r:id="rId7" w:type="first"/>
          <w:headerReference r:id="rId3" w:type="default"/>
          <w:headerReference r:id="rId4" w:type="even"/>
          <w:footerReference r:id="rId6" w:type="even"/>
          <w:type w:val="continuous"/>
          <w:pgSz w:w="11906" w:h="16838"/>
          <w:pgMar w:top="1440" w:right="1800" w:bottom="1440" w:left="1800" w:header="851" w:footer="992" w:gutter="0"/>
          <w:pgNumType w:start="1"/>
          <w:cols w:space="720" w:num="1"/>
          <w:titlePg/>
          <w:docGrid w:type="lines" w:linePitch="312" w:charSpace="0"/>
        </w:sectPr>
      </w:pPr>
      <w:bookmarkStart w:id="0" w:name="TITLE_1dcaabda2013410d90fa438b83fbe5e8"/>
    </w:p>
    <w:bookmarkEnd w:id="0"/>
    <w:p>
      <w:pPr>
        <w:jc w:val="center"/>
        <w:rPr>
          <w:rFonts w:hint="eastAsia" w:ascii="宋体" w:hAnsi="宋体" w:cs="宋体"/>
          <w:b/>
          <w:sz w:val="52"/>
          <w:highlight w:val="none"/>
        </w:rPr>
      </w:pPr>
      <w:bookmarkStart w:id="1" w:name="CLAUSE_dc870a3347954c7fa94b8c9b3e218d43"/>
    </w:p>
    <w:p>
      <w:pPr>
        <w:jc w:val="center"/>
        <w:rPr>
          <w:rFonts w:hint="eastAsia" w:ascii="宋体" w:hAnsi="宋体" w:cs="宋体"/>
          <w:b/>
          <w:sz w:val="48"/>
          <w:szCs w:val="18"/>
          <w:highlight w:val="none"/>
        </w:rPr>
      </w:pPr>
      <w:r>
        <w:rPr>
          <w:rFonts w:hint="eastAsia" w:ascii="宋体" w:hAnsi="宋体" w:cs="宋体"/>
          <w:b/>
          <w:sz w:val="48"/>
          <w:szCs w:val="18"/>
          <w:highlight w:val="none"/>
        </w:rPr>
        <w:t>东方阿尔法基金管理有限公司</w:t>
      </w:r>
    </w:p>
    <w:p>
      <w:pPr>
        <w:rPr>
          <w:rFonts w:hint="eastAsia" w:ascii="宋体" w:hAnsi="宋体" w:cs="宋体"/>
          <w:b/>
          <w:highlight w:val="none"/>
        </w:rPr>
      </w:pPr>
    </w:p>
    <w:p>
      <w:pPr>
        <w:jc w:val="center"/>
        <w:rPr>
          <w:rFonts w:hint="eastAsia" w:ascii="宋体" w:hAnsi="宋体" w:cs="宋体"/>
          <w:b/>
          <w:sz w:val="52"/>
          <w:highlight w:val="none"/>
        </w:rPr>
      </w:pPr>
    </w:p>
    <w:p>
      <w:pPr>
        <w:jc w:val="center"/>
        <w:rPr>
          <w:rFonts w:hint="eastAsia" w:ascii="宋体" w:hAnsi="宋体" w:cs="宋体"/>
          <w:b/>
          <w:sz w:val="36"/>
          <w:szCs w:val="15"/>
          <w:highlight w:val="none"/>
        </w:rPr>
      </w:pPr>
      <w:bookmarkStart w:id="2" w:name="_Toc139992299"/>
      <w:bookmarkStart w:id="3" w:name="OLE_LINK13"/>
      <w:bookmarkStart w:id="4" w:name="_Toc123112222"/>
      <w:bookmarkStart w:id="5" w:name="_Toc139991724"/>
      <w:bookmarkStart w:id="6" w:name="_Toc123112261"/>
      <w:bookmarkStart w:id="7" w:name="_Toc123701381"/>
      <w:r>
        <w:rPr>
          <w:rFonts w:hint="eastAsia" w:ascii="宋体" w:hAnsi="宋体" w:cs="宋体"/>
          <w:b/>
          <w:sz w:val="36"/>
          <w:szCs w:val="15"/>
          <w:highlight w:val="none"/>
        </w:rPr>
        <w:t>东方阿尔法增利债券型发起式证券投资基金</w:t>
      </w:r>
    </w:p>
    <w:bookmarkEnd w:id="2"/>
    <w:bookmarkEnd w:id="3"/>
    <w:bookmarkEnd w:id="4"/>
    <w:bookmarkEnd w:id="5"/>
    <w:bookmarkEnd w:id="6"/>
    <w:bookmarkEnd w:id="7"/>
    <w:p>
      <w:pPr>
        <w:jc w:val="center"/>
        <w:rPr>
          <w:rFonts w:hint="eastAsia" w:ascii="宋体" w:hAnsi="宋体" w:cs="宋体"/>
          <w:b/>
          <w:sz w:val="48"/>
          <w:highlight w:val="none"/>
        </w:rPr>
      </w:pPr>
      <w:bookmarkStart w:id="8" w:name="_Toc139992300"/>
      <w:bookmarkStart w:id="9" w:name="_Toc123701382"/>
      <w:bookmarkStart w:id="10" w:name="_Toc123112223"/>
      <w:bookmarkStart w:id="11" w:name="_Toc123112262"/>
      <w:bookmarkStart w:id="12" w:name="_Toc139991725"/>
      <w:r>
        <w:rPr>
          <w:rFonts w:hint="eastAsia" w:ascii="宋体" w:hAnsi="宋体" w:cs="宋体"/>
          <w:b/>
          <w:sz w:val="40"/>
          <w:szCs w:val="16"/>
          <w:highlight w:val="none"/>
        </w:rPr>
        <w:t>基金合同</w:t>
      </w:r>
      <w:bookmarkEnd w:id="8"/>
      <w:bookmarkEnd w:id="9"/>
      <w:bookmarkEnd w:id="10"/>
      <w:bookmarkEnd w:id="11"/>
      <w:bookmarkEnd w:id="12"/>
    </w:p>
    <w:p>
      <w:pPr>
        <w:jc w:val="center"/>
        <w:rPr>
          <w:rFonts w:hint="eastAsia" w:ascii="宋体" w:hAnsi="宋体" w:cs="宋体"/>
          <w:b/>
          <w:sz w:val="52"/>
          <w:highlight w:val="none"/>
        </w:rPr>
      </w:pPr>
    </w:p>
    <w:p>
      <w:pPr>
        <w:jc w:val="center"/>
        <w:rPr>
          <w:rFonts w:hint="eastAsia" w:ascii="宋体" w:hAnsi="宋体" w:cs="宋体"/>
          <w:b/>
          <w:sz w:val="52"/>
          <w:highlight w:val="none"/>
        </w:rPr>
      </w:pPr>
    </w:p>
    <w:p>
      <w:pPr>
        <w:jc w:val="center"/>
        <w:rPr>
          <w:rFonts w:hint="eastAsia" w:ascii="宋体" w:hAnsi="宋体" w:cs="宋体"/>
          <w:b/>
          <w:sz w:val="52"/>
          <w:highlight w:val="none"/>
        </w:rPr>
      </w:pPr>
    </w:p>
    <w:p>
      <w:pPr>
        <w:jc w:val="center"/>
        <w:rPr>
          <w:rFonts w:hint="eastAsia" w:ascii="宋体" w:hAnsi="宋体" w:cs="宋体"/>
          <w:b/>
          <w:sz w:val="52"/>
          <w:highlight w:val="none"/>
        </w:rPr>
      </w:pPr>
    </w:p>
    <w:p>
      <w:pPr>
        <w:jc w:val="center"/>
        <w:rPr>
          <w:rFonts w:hint="eastAsia" w:ascii="宋体" w:hAnsi="宋体" w:cs="宋体"/>
          <w:b/>
          <w:sz w:val="52"/>
          <w:highlight w:val="none"/>
        </w:rPr>
      </w:pPr>
    </w:p>
    <w:p>
      <w:pPr>
        <w:jc w:val="center"/>
        <w:rPr>
          <w:rFonts w:hint="eastAsia" w:ascii="宋体" w:hAnsi="宋体" w:cs="宋体"/>
          <w:b/>
          <w:sz w:val="52"/>
          <w:highlight w:val="none"/>
        </w:rPr>
      </w:pPr>
    </w:p>
    <w:p>
      <w:pPr>
        <w:rPr>
          <w:rFonts w:hint="eastAsia" w:ascii="宋体" w:hAnsi="宋体" w:cs="宋体"/>
          <w:b/>
          <w:highlight w:val="none"/>
        </w:rPr>
      </w:pPr>
    </w:p>
    <w:p>
      <w:pPr>
        <w:spacing w:line="360" w:lineRule="auto"/>
        <w:ind w:firstLine="1285" w:firstLineChars="400"/>
        <w:outlineLvl w:val="0"/>
        <w:rPr>
          <w:rFonts w:hint="eastAsia" w:ascii="宋体" w:hAnsi="宋体" w:cs="宋体"/>
          <w:sz w:val="28"/>
          <w:szCs w:val="18"/>
          <w:highlight w:val="none"/>
        </w:rPr>
      </w:pPr>
      <w:bookmarkStart w:id="13" w:name="_Toc123701383"/>
      <w:bookmarkStart w:id="14" w:name="_Toc139992301"/>
      <w:bookmarkStart w:id="15" w:name="_Toc123112263"/>
      <w:bookmarkStart w:id="16" w:name="_Toc139991726"/>
      <w:bookmarkStart w:id="17" w:name="_Toc123112224"/>
      <w:r>
        <w:rPr>
          <w:rFonts w:hint="eastAsia" w:ascii="宋体" w:hAnsi="宋体" w:cs="宋体"/>
          <w:b/>
          <w:sz w:val="32"/>
          <w:szCs w:val="18"/>
          <w:highlight w:val="none"/>
        </w:rPr>
        <w:t>基金管理人：</w:t>
      </w:r>
      <w:bookmarkEnd w:id="13"/>
      <w:bookmarkEnd w:id="14"/>
      <w:bookmarkEnd w:id="15"/>
      <w:bookmarkEnd w:id="16"/>
      <w:bookmarkEnd w:id="17"/>
      <w:r>
        <w:rPr>
          <w:rFonts w:hint="eastAsia" w:ascii="宋体" w:hAnsi="宋体" w:cs="宋体"/>
          <w:sz w:val="28"/>
          <w:szCs w:val="18"/>
          <w:highlight w:val="none"/>
        </w:rPr>
        <w:t>东方阿尔法基金管理有限公司</w:t>
      </w:r>
    </w:p>
    <w:p>
      <w:pPr>
        <w:ind w:firstLine="1285" w:firstLineChars="400"/>
        <w:rPr>
          <w:rFonts w:hint="eastAsia" w:ascii="宋体" w:hAnsi="宋体" w:cs="宋体"/>
          <w:b/>
          <w:sz w:val="32"/>
          <w:szCs w:val="18"/>
          <w:highlight w:val="none"/>
        </w:rPr>
      </w:pPr>
      <w:bookmarkStart w:id="18" w:name="_Toc123112264"/>
      <w:bookmarkStart w:id="19" w:name="_Toc123112225"/>
      <w:bookmarkStart w:id="20" w:name="_Toc123701384"/>
      <w:bookmarkStart w:id="21" w:name="_Toc139992302"/>
      <w:bookmarkStart w:id="22" w:name="_Toc139991727"/>
      <w:r>
        <w:rPr>
          <w:rFonts w:hint="eastAsia" w:ascii="宋体" w:hAnsi="宋体" w:cs="宋体"/>
          <w:b/>
          <w:sz w:val="32"/>
          <w:szCs w:val="18"/>
          <w:highlight w:val="none"/>
        </w:rPr>
        <w:t>基金托管人：</w:t>
      </w:r>
      <w:r>
        <w:rPr>
          <w:rFonts w:hint="eastAsia" w:ascii="宋体" w:hAnsi="宋体" w:cs="宋体"/>
          <w:sz w:val="28"/>
          <w:szCs w:val="18"/>
          <w:highlight w:val="none"/>
        </w:rPr>
        <w:t>招商银行股份有限公司</w:t>
      </w:r>
      <w:r>
        <w:rPr>
          <w:rFonts w:hint="eastAsia" w:ascii="宋体" w:hAnsi="宋体" w:cs="宋体"/>
          <w:b/>
          <w:sz w:val="32"/>
          <w:szCs w:val="18"/>
          <w:highlight w:val="none"/>
        </w:rPr>
        <w:t xml:space="preserve">       </w:t>
      </w:r>
      <w:bookmarkEnd w:id="18"/>
      <w:bookmarkEnd w:id="19"/>
      <w:bookmarkEnd w:id="20"/>
      <w:bookmarkEnd w:id="21"/>
      <w:bookmarkEnd w:id="22"/>
      <w:r>
        <w:rPr>
          <w:rFonts w:hint="eastAsia" w:ascii="宋体" w:hAnsi="宋体" w:cs="宋体"/>
          <w:b/>
          <w:sz w:val="32"/>
          <w:szCs w:val="18"/>
          <w:highlight w:val="none"/>
        </w:rPr>
        <w:t xml:space="preserve"> </w:t>
      </w:r>
    </w:p>
    <w:p>
      <w:pPr>
        <w:jc w:val="center"/>
        <w:rPr>
          <w:rFonts w:hint="eastAsia" w:ascii="宋体" w:hAnsi="宋体" w:cs="宋体"/>
          <w:bCs/>
          <w:sz w:val="28"/>
          <w:szCs w:val="18"/>
          <w:highlight w:val="none"/>
        </w:rPr>
      </w:pPr>
    </w:p>
    <w:p>
      <w:pPr>
        <w:jc w:val="center"/>
        <w:rPr>
          <w:rFonts w:hint="eastAsia" w:ascii="宋体" w:hAnsi="宋体" w:cs="宋体"/>
          <w:bCs/>
          <w:sz w:val="24"/>
          <w:szCs w:val="18"/>
          <w:highlight w:val="none"/>
        </w:rPr>
      </w:pPr>
      <w:bookmarkStart w:id="23" w:name="_Toc123112266"/>
      <w:bookmarkStart w:id="24" w:name="_Toc139991729"/>
      <w:bookmarkStart w:id="25" w:name="_Toc123701386"/>
      <w:bookmarkStart w:id="26" w:name="_Toc123112227"/>
    </w:p>
    <w:p>
      <w:pPr>
        <w:jc w:val="center"/>
        <w:rPr>
          <w:rFonts w:hint="eastAsia" w:ascii="宋体" w:hAnsi="宋体" w:cs="宋体"/>
          <w:bCs/>
          <w:sz w:val="24"/>
          <w:szCs w:val="18"/>
          <w:highlight w:val="none"/>
        </w:rPr>
        <w:sectPr>
          <w:type w:val="continuous"/>
          <w:pgSz w:w="11906" w:h="16838"/>
          <w:pgMar w:top="1440" w:right="1800" w:bottom="1440" w:left="1800" w:header="851" w:footer="992" w:gutter="0"/>
          <w:pgNumType w:start="1"/>
          <w:cols w:space="720" w:num="1"/>
          <w:titlePg/>
          <w:docGrid w:type="lines" w:linePitch="312" w:charSpace="0"/>
        </w:sectPr>
      </w:pPr>
      <w:r>
        <w:rPr>
          <w:rFonts w:hint="eastAsia" w:ascii="宋体" w:hAnsi="宋体" w:cs="宋体"/>
          <w:b/>
          <w:bCs/>
          <w:sz w:val="28"/>
          <w:szCs w:val="18"/>
          <w:highlight w:val="none"/>
        </w:rPr>
        <w:t>二零二六年</w:t>
      </w:r>
      <w:r>
        <w:rPr>
          <w:rFonts w:hint="eastAsia" w:ascii="宋体" w:hAnsi="宋体" w:cs="宋体"/>
          <w:b/>
          <w:bCs/>
          <w:sz w:val="28"/>
          <w:szCs w:val="18"/>
          <w:highlight w:val="none"/>
          <w:lang w:val="en-US" w:eastAsia="zh-CN"/>
        </w:rPr>
        <w:t>五</w:t>
      </w:r>
      <w:r>
        <w:rPr>
          <w:rFonts w:hint="eastAsia" w:ascii="宋体" w:hAnsi="宋体" w:cs="宋体"/>
          <w:b/>
          <w:bCs/>
          <w:sz w:val="28"/>
          <w:szCs w:val="18"/>
          <w:highlight w:val="none"/>
        </w:rPr>
        <w:t>月</w:t>
      </w:r>
    </w:p>
    <w:bookmarkEnd w:id="1"/>
    <w:p>
      <w:pPr>
        <w:jc w:val="center"/>
        <w:rPr>
          <w:rFonts w:hint="eastAsia" w:ascii="宋体" w:hAnsi="宋体" w:cs="宋体"/>
          <w:bCs/>
          <w:sz w:val="28"/>
          <w:highlight w:val="none"/>
        </w:rPr>
      </w:pPr>
      <w:bookmarkStart w:id="27" w:name="CLAUSE_55ae710661bb48159fc07b3341cee4dd"/>
      <w:r>
        <w:rPr>
          <w:rFonts w:hint="eastAsia" w:ascii="宋体" w:hAnsi="宋体" w:cs="宋体"/>
          <w:highlight w:val="none"/>
        </w:rPr>
        <w:t xml:space="preserve"> </w:t>
      </w:r>
      <w:bookmarkStart w:id="28" w:name="CTS_55ae710661bb48159fc07b3341cee4dd"/>
      <w:bookmarkEnd w:id="28"/>
      <w:r>
        <w:rPr>
          <w:rFonts w:hint="eastAsia" w:ascii="宋体" w:hAnsi="宋体" w:cs="宋体"/>
          <w:bCs/>
          <w:sz w:val="28"/>
          <w:highlight w:val="none"/>
        </w:rPr>
        <w:t>目    录</w:t>
      </w:r>
      <w:bookmarkEnd w:id="23"/>
      <w:bookmarkEnd w:id="24"/>
      <w:bookmarkEnd w:id="25"/>
      <w:bookmarkEnd w:id="26"/>
    </w:p>
    <w:p>
      <w:pPr>
        <w:pStyle w:val="15"/>
        <w:tabs>
          <w:tab w:val="right" w:leader="dot" w:pos="8306"/>
          <w:tab w:val="clear" w:pos="8296"/>
        </w:tabs>
        <w:rPr>
          <w:rFonts w:hint="eastAsia" w:ascii="宋体" w:hAnsi="宋体" w:cs="宋体"/>
          <w:color w:val="000000"/>
          <w:kern w:val="0"/>
          <w:sz w:val="24"/>
          <w:highlight w:val="none"/>
        </w:rPr>
      </w:pPr>
      <w:r>
        <w:rPr>
          <w:rFonts w:hint="eastAsia" w:ascii="宋体" w:hAnsi="宋体" w:cs="宋体"/>
          <w:bCs/>
          <w:sz w:val="24"/>
          <w:highlight w:val="none"/>
        </w:rPr>
        <w:fldChar w:fldCharType="begin"/>
      </w:r>
      <w:r>
        <w:rPr>
          <w:rFonts w:hint="eastAsia" w:ascii="宋体" w:hAnsi="宋体" w:cs="宋体"/>
          <w:bCs/>
          <w:sz w:val="24"/>
          <w:highlight w:val="none"/>
        </w:rPr>
        <w:instrText xml:space="preserve"> TOC \o "1-1" \h \z \u </w:instrText>
      </w:r>
      <w:r>
        <w:rPr>
          <w:rFonts w:hint="eastAsia" w:ascii="宋体" w:hAnsi="宋体" w:cs="宋体"/>
          <w:bCs/>
          <w:sz w:val="24"/>
          <w:highlight w:val="none"/>
        </w:rPr>
        <w:fldChar w:fldCharType="separate"/>
      </w:r>
      <w:r>
        <w:rPr>
          <w:highlight w:val="none"/>
        </w:rPr>
        <w:fldChar w:fldCharType="begin"/>
      </w:r>
      <w:r>
        <w:rPr>
          <w:highlight w:val="none"/>
        </w:rPr>
        <w:instrText xml:space="preserve"> HYPERLINK \l "_Toc11660" </w:instrText>
      </w:r>
      <w:r>
        <w:rPr>
          <w:highlight w:val="none"/>
        </w:rPr>
        <w:fldChar w:fldCharType="separate"/>
      </w:r>
      <w:r>
        <w:rPr>
          <w:rFonts w:hint="eastAsia" w:ascii="宋体" w:hAnsi="宋体" w:cs="宋体"/>
          <w:kern w:val="0"/>
          <w:sz w:val="24"/>
          <w:highlight w:val="none"/>
        </w:rPr>
        <w:t>第一部分  前言</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_Toc11660 </w:instrText>
      </w:r>
      <w:r>
        <w:rPr>
          <w:rFonts w:hint="eastAsia" w:ascii="宋体" w:hAnsi="宋体" w:cs="宋体"/>
          <w:kern w:val="0"/>
          <w:sz w:val="24"/>
          <w:highlight w:val="none"/>
        </w:rPr>
        <w:fldChar w:fldCharType="separate"/>
      </w:r>
      <w:r>
        <w:rPr>
          <w:rFonts w:hint="eastAsia" w:ascii="宋体" w:hAnsi="宋体" w:cs="宋体"/>
          <w:kern w:val="0"/>
          <w:sz w:val="24"/>
          <w:highlight w:val="none"/>
        </w:rPr>
        <w:t>1</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"_Toc31551" </w:instrText>
      </w:r>
      <w:r>
        <w:rPr>
          <w:highlight w:val="none"/>
        </w:rPr>
        <w:fldChar w:fldCharType="separate"/>
      </w:r>
      <w:r>
        <w:rPr>
          <w:rFonts w:hint="eastAsia" w:ascii="宋体" w:hAnsi="宋体" w:cs="宋体"/>
          <w:kern w:val="0"/>
          <w:sz w:val="24"/>
          <w:highlight w:val="none"/>
        </w:rPr>
        <w:t>第二部分  释义</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_Toc31551 </w:instrText>
      </w:r>
      <w:r>
        <w:rPr>
          <w:rFonts w:hint="eastAsia" w:ascii="宋体" w:hAnsi="宋体" w:cs="宋体"/>
          <w:kern w:val="0"/>
          <w:sz w:val="24"/>
          <w:highlight w:val="none"/>
        </w:rPr>
        <w:fldChar w:fldCharType="separate"/>
      </w:r>
      <w:r>
        <w:rPr>
          <w:rFonts w:hint="eastAsia" w:ascii="宋体" w:hAnsi="宋体" w:cs="宋体"/>
          <w:kern w:val="0"/>
          <w:sz w:val="24"/>
          <w:highlight w:val="none"/>
        </w:rPr>
        <w:t>4</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"_Toc5246" </w:instrText>
      </w:r>
      <w:r>
        <w:rPr>
          <w:highlight w:val="none"/>
        </w:rPr>
        <w:fldChar w:fldCharType="separate"/>
      </w:r>
      <w:r>
        <w:rPr>
          <w:rFonts w:hint="eastAsia" w:ascii="宋体" w:hAnsi="宋体" w:cs="宋体"/>
          <w:kern w:val="0"/>
          <w:sz w:val="24"/>
          <w:highlight w:val="none"/>
        </w:rPr>
        <w:t>第三部分  基金的基本情况</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_Toc5246 </w:instrText>
      </w:r>
      <w:r>
        <w:rPr>
          <w:rFonts w:hint="eastAsia" w:ascii="宋体" w:hAnsi="宋体" w:cs="宋体"/>
          <w:kern w:val="0"/>
          <w:sz w:val="24"/>
          <w:highlight w:val="none"/>
        </w:rPr>
        <w:fldChar w:fldCharType="separate"/>
      </w:r>
      <w:r>
        <w:rPr>
          <w:rFonts w:hint="eastAsia" w:ascii="宋体" w:hAnsi="宋体" w:cs="宋体"/>
          <w:kern w:val="0"/>
          <w:sz w:val="24"/>
          <w:highlight w:val="none"/>
        </w:rPr>
        <w:t>10</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"_Toc24682" </w:instrText>
      </w:r>
      <w:r>
        <w:rPr>
          <w:highlight w:val="none"/>
        </w:rPr>
        <w:fldChar w:fldCharType="separate"/>
      </w:r>
      <w:r>
        <w:rPr>
          <w:rFonts w:hint="eastAsia" w:ascii="宋体" w:hAnsi="宋体" w:cs="宋体"/>
          <w:kern w:val="0"/>
          <w:sz w:val="24"/>
          <w:highlight w:val="none"/>
        </w:rPr>
        <w:t>第四部分  基金份额的发售</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_Toc24682 </w:instrText>
      </w:r>
      <w:r>
        <w:rPr>
          <w:rFonts w:hint="eastAsia" w:ascii="宋体" w:hAnsi="宋体" w:cs="宋体"/>
          <w:kern w:val="0"/>
          <w:sz w:val="24"/>
          <w:highlight w:val="none"/>
        </w:rPr>
        <w:fldChar w:fldCharType="separate"/>
      </w:r>
      <w:r>
        <w:rPr>
          <w:rFonts w:hint="eastAsia" w:ascii="宋体" w:hAnsi="宋体" w:cs="宋体"/>
          <w:kern w:val="0"/>
          <w:sz w:val="24"/>
          <w:highlight w:val="none"/>
        </w:rPr>
        <w:t>12</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"_Toc6559" </w:instrText>
      </w:r>
      <w:r>
        <w:rPr>
          <w:highlight w:val="none"/>
        </w:rPr>
        <w:fldChar w:fldCharType="separate"/>
      </w:r>
      <w:r>
        <w:rPr>
          <w:rFonts w:hint="eastAsia" w:ascii="宋体" w:hAnsi="宋体" w:cs="宋体"/>
          <w:kern w:val="0"/>
          <w:sz w:val="24"/>
          <w:highlight w:val="none"/>
        </w:rPr>
        <w:t>第五部分  基金备案</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_Toc6559 </w:instrText>
      </w:r>
      <w:r>
        <w:rPr>
          <w:rFonts w:hint="eastAsia" w:ascii="宋体" w:hAnsi="宋体" w:cs="宋体"/>
          <w:kern w:val="0"/>
          <w:sz w:val="24"/>
          <w:highlight w:val="none"/>
        </w:rPr>
        <w:fldChar w:fldCharType="separate"/>
      </w:r>
      <w:r>
        <w:rPr>
          <w:rFonts w:hint="eastAsia" w:ascii="宋体" w:hAnsi="宋体" w:cs="宋体"/>
          <w:kern w:val="0"/>
          <w:sz w:val="24"/>
          <w:highlight w:val="none"/>
        </w:rPr>
        <w:t>14</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"_Toc11081" </w:instrText>
      </w:r>
      <w:r>
        <w:rPr>
          <w:highlight w:val="none"/>
        </w:rPr>
        <w:fldChar w:fldCharType="separate"/>
      </w:r>
      <w:r>
        <w:rPr>
          <w:rFonts w:hint="eastAsia" w:ascii="宋体" w:hAnsi="宋体" w:cs="宋体"/>
          <w:kern w:val="0"/>
          <w:sz w:val="24"/>
          <w:highlight w:val="none"/>
        </w:rPr>
        <w:t>第六部分  基金份额的申购与赎回</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_Toc11081 </w:instrText>
      </w:r>
      <w:r>
        <w:rPr>
          <w:rFonts w:hint="eastAsia" w:ascii="宋体" w:hAnsi="宋体" w:cs="宋体"/>
          <w:kern w:val="0"/>
          <w:sz w:val="24"/>
          <w:highlight w:val="none"/>
        </w:rPr>
        <w:fldChar w:fldCharType="separate"/>
      </w:r>
      <w:r>
        <w:rPr>
          <w:rFonts w:hint="eastAsia" w:ascii="宋体" w:hAnsi="宋体" w:cs="宋体"/>
          <w:kern w:val="0"/>
          <w:sz w:val="24"/>
          <w:highlight w:val="none"/>
        </w:rPr>
        <w:t>16</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"_Toc16859" </w:instrText>
      </w:r>
      <w:r>
        <w:rPr>
          <w:highlight w:val="none"/>
        </w:rPr>
        <w:fldChar w:fldCharType="separate"/>
      </w:r>
      <w:r>
        <w:rPr>
          <w:rFonts w:hint="eastAsia" w:ascii="宋体" w:hAnsi="宋体" w:cs="宋体"/>
          <w:kern w:val="0"/>
          <w:sz w:val="24"/>
          <w:highlight w:val="none"/>
        </w:rPr>
        <w:t>第七部分  基金合同当事人及权利义务</w:t>
      </w:r>
      <w:bookmarkStart w:id="511" w:name="_GoBack"/>
      <w:bookmarkEnd w:id="511"/>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_Toc16859 </w:instrText>
      </w:r>
      <w:r>
        <w:rPr>
          <w:rFonts w:hint="eastAsia" w:ascii="宋体" w:hAnsi="宋体" w:cs="宋体"/>
          <w:kern w:val="0"/>
          <w:sz w:val="24"/>
          <w:highlight w:val="none"/>
        </w:rPr>
        <w:fldChar w:fldCharType="separate"/>
      </w:r>
      <w:r>
        <w:rPr>
          <w:rFonts w:hint="eastAsia" w:ascii="宋体" w:hAnsi="宋体" w:cs="宋体"/>
          <w:kern w:val="0"/>
          <w:sz w:val="24"/>
          <w:highlight w:val="none"/>
        </w:rPr>
        <w:t>26</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"_Toc20768" </w:instrText>
      </w:r>
      <w:r>
        <w:rPr>
          <w:highlight w:val="none"/>
        </w:rPr>
        <w:fldChar w:fldCharType="separate"/>
      </w:r>
      <w:r>
        <w:rPr>
          <w:rFonts w:hint="eastAsia" w:ascii="宋体" w:hAnsi="宋体" w:cs="宋体"/>
          <w:kern w:val="0"/>
          <w:sz w:val="24"/>
          <w:highlight w:val="none"/>
        </w:rPr>
        <w:t>第八部分  基金份额持有人大会</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_Toc20768 </w:instrText>
      </w:r>
      <w:r>
        <w:rPr>
          <w:rFonts w:hint="eastAsia" w:ascii="宋体" w:hAnsi="宋体" w:cs="宋体"/>
          <w:kern w:val="0"/>
          <w:sz w:val="24"/>
          <w:highlight w:val="none"/>
        </w:rPr>
        <w:fldChar w:fldCharType="separate"/>
      </w:r>
      <w:r>
        <w:rPr>
          <w:rFonts w:hint="eastAsia" w:ascii="宋体" w:hAnsi="宋体" w:cs="宋体"/>
          <w:kern w:val="0"/>
          <w:sz w:val="24"/>
          <w:highlight w:val="none"/>
        </w:rPr>
        <w:t>34</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"_Toc18769" </w:instrText>
      </w:r>
      <w:r>
        <w:rPr>
          <w:highlight w:val="none"/>
        </w:rPr>
        <w:fldChar w:fldCharType="separate"/>
      </w:r>
      <w:r>
        <w:rPr>
          <w:rFonts w:hint="eastAsia" w:ascii="宋体" w:hAnsi="宋体" w:cs="宋体"/>
          <w:kern w:val="0"/>
          <w:sz w:val="24"/>
          <w:highlight w:val="none"/>
        </w:rPr>
        <w:t>第九部分  基金管理人、基金托管人的更换条件和程序</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_Toc18769 </w:instrText>
      </w:r>
      <w:r>
        <w:rPr>
          <w:rFonts w:hint="eastAsia" w:ascii="宋体" w:hAnsi="宋体" w:cs="宋体"/>
          <w:kern w:val="0"/>
          <w:sz w:val="24"/>
          <w:highlight w:val="none"/>
        </w:rPr>
        <w:fldChar w:fldCharType="separate"/>
      </w:r>
      <w:r>
        <w:rPr>
          <w:rFonts w:hint="eastAsia" w:ascii="宋体" w:hAnsi="宋体" w:cs="宋体"/>
          <w:kern w:val="0"/>
          <w:sz w:val="24"/>
          <w:highlight w:val="none"/>
        </w:rPr>
        <w:t>44</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"_Toc20976" </w:instrText>
      </w:r>
      <w:r>
        <w:rPr>
          <w:highlight w:val="none"/>
        </w:rPr>
        <w:fldChar w:fldCharType="separate"/>
      </w:r>
      <w:r>
        <w:rPr>
          <w:rFonts w:hint="eastAsia" w:ascii="宋体" w:hAnsi="宋体" w:cs="宋体"/>
          <w:kern w:val="0"/>
          <w:sz w:val="24"/>
          <w:highlight w:val="none"/>
        </w:rPr>
        <w:t>第十部分  基金的托管</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_Toc20976 </w:instrText>
      </w:r>
      <w:r>
        <w:rPr>
          <w:rFonts w:hint="eastAsia" w:ascii="宋体" w:hAnsi="宋体" w:cs="宋体"/>
          <w:kern w:val="0"/>
          <w:sz w:val="24"/>
          <w:highlight w:val="none"/>
        </w:rPr>
        <w:fldChar w:fldCharType="separate"/>
      </w:r>
      <w:r>
        <w:rPr>
          <w:rFonts w:hint="eastAsia" w:ascii="宋体" w:hAnsi="宋体" w:cs="宋体"/>
          <w:kern w:val="0"/>
          <w:sz w:val="24"/>
          <w:highlight w:val="none"/>
        </w:rPr>
        <w:t>47</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"_Toc31469" </w:instrText>
      </w:r>
      <w:r>
        <w:rPr>
          <w:highlight w:val="none"/>
        </w:rPr>
        <w:fldChar w:fldCharType="separate"/>
      </w:r>
      <w:r>
        <w:rPr>
          <w:rFonts w:hint="eastAsia" w:ascii="宋体" w:hAnsi="宋体" w:cs="宋体"/>
          <w:kern w:val="0"/>
          <w:sz w:val="24"/>
          <w:highlight w:val="none"/>
        </w:rPr>
        <w:t>第十一部分  基金份额的登记</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_Toc31469 </w:instrText>
      </w:r>
      <w:r>
        <w:rPr>
          <w:rFonts w:hint="eastAsia" w:ascii="宋体" w:hAnsi="宋体" w:cs="宋体"/>
          <w:kern w:val="0"/>
          <w:sz w:val="24"/>
          <w:highlight w:val="none"/>
        </w:rPr>
        <w:fldChar w:fldCharType="separate"/>
      </w:r>
      <w:r>
        <w:rPr>
          <w:rFonts w:hint="eastAsia" w:ascii="宋体" w:hAnsi="宋体" w:cs="宋体"/>
          <w:kern w:val="0"/>
          <w:sz w:val="24"/>
          <w:highlight w:val="none"/>
        </w:rPr>
        <w:t>48</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"_Toc13343" </w:instrText>
      </w:r>
      <w:r>
        <w:rPr>
          <w:highlight w:val="none"/>
        </w:rPr>
        <w:fldChar w:fldCharType="separate"/>
      </w:r>
      <w:r>
        <w:rPr>
          <w:rFonts w:hint="eastAsia" w:ascii="宋体" w:hAnsi="宋体" w:cs="宋体"/>
          <w:kern w:val="0"/>
          <w:sz w:val="24"/>
          <w:highlight w:val="none"/>
        </w:rPr>
        <w:t>第十二部分  基金的投资</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_Toc13343 </w:instrText>
      </w:r>
      <w:r>
        <w:rPr>
          <w:rFonts w:hint="eastAsia" w:ascii="宋体" w:hAnsi="宋体" w:cs="宋体"/>
          <w:kern w:val="0"/>
          <w:sz w:val="24"/>
          <w:highlight w:val="none"/>
        </w:rPr>
        <w:fldChar w:fldCharType="separate"/>
      </w:r>
      <w:r>
        <w:rPr>
          <w:rFonts w:hint="eastAsia" w:ascii="宋体" w:hAnsi="宋体" w:cs="宋体"/>
          <w:kern w:val="0"/>
          <w:sz w:val="24"/>
          <w:highlight w:val="none"/>
        </w:rPr>
        <w:t>50</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"_Toc13819" </w:instrText>
      </w:r>
      <w:r>
        <w:rPr>
          <w:highlight w:val="none"/>
        </w:rPr>
        <w:fldChar w:fldCharType="separate"/>
      </w:r>
      <w:r>
        <w:rPr>
          <w:rFonts w:hint="eastAsia" w:ascii="宋体" w:hAnsi="宋体" w:cs="宋体"/>
          <w:kern w:val="0"/>
          <w:sz w:val="24"/>
          <w:highlight w:val="none"/>
        </w:rPr>
        <w:t>第十三部分  基金的财产</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_Toc13819 </w:instrText>
      </w:r>
      <w:r>
        <w:rPr>
          <w:rFonts w:hint="eastAsia" w:ascii="宋体" w:hAnsi="宋体" w:cs="宋体"/>
          <w:kern w:val="0"/>
          <w:sz w:val="24"/>
          <w:highlight w:val="none"/>
        </w:rPr>
        <w:fldChar w:fldCharType="separate"/>
      </w:r>
      <w:r>
        <w:rPr>
          <w:rFonts w:hint="eastAsia" w:ascii="宋体" w:hAnsi="宋体" w:cs="宋体"/>
          <w:kern w:val="0"/>
          <w:sz w:val="24"/>
          <w:highlight w:val="none"/>
        </w:rPr>
        <w:t>62</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"_Toc2623" </w:instrText>
      </w:r>
      <w:r>
        <w:rPr>
          <w:highlight w:val="none"/>
        </w:rPr>
        <w:fldChar w:fldCharType="separate"/>
      </w:r>
      <w:r>
        <w:rPr>
          <w:rFonts w:hint="eastAsia" w:ascii="宋体" w:hAnsi="宋体" w:cs="宋体"/>
          <w:kern w:val="0"/>
          <w:sz w:val="24"/>
          <w:highlight w:val="none"/>
        </w:rPr>
        <w:t>第十四部分  基金资产估值</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_Toc2623 </w:instrText>
      </w:r>
      <w:r>
        <w:rPr>
          <w:rFonts w:hint="eastAsia" w:ascii="宋体" w:hAnsi="宋体" w:cs="宋体"/>
          <w:kern w:val="0"/>
          <w:sz w:val="24"/>
          <w:highlight w:val="none"/>
        </w:rPr>
        <w:fldChar w:fldCharType="separate"/>
      </w:r>
      <w:r>
        <w:rPr>
          <w:rFonts w:hint="eastAsia" w:ascii="宋体" w:hAnsi="宋体" w:cs="宋体"/>
          <w:kern w:val="0"/>
          <w:sz w:val="24"/>
          <w:highlight w:val="none"/>
        </w:rPr>
        <w:t>63</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"_Toc6493" </w:instrText>
      </w:r>
      <w:r>
        <w:rPr>
          <w:highlight w:val="none"/>
        </w:rPr>
        <w:fldChar w:fldCharType="separate"/>
      </w:r>
      <w:r>
        <w:rPr>
          <w:rFonts w:hint="eastAsia" w:ascii="宋体" w:hAnsi="宋体" w:cs="宋体"/>
          <w:kern w:val="0"/>
          <w:sz w:val="24"/>
          <w:highlight w:val="none"/>
        </w:rPr>
        <w:t>第十五部分  基金费用与税收</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_Toc6493 </w:instrText>
      </w:r>
      <w:r>
        <w:rPr>
          <w:rFonts w:hint="eastAsia" w:ascii="宋体" w:hAnsi="宋体" w:cs="宋体"/>
          <w:kern w:val="0"/>
          <w:sz w:val="24"/>
          <w:highlight w:val="none"/>
        </w:rPr>
        <w:fldChar w:fldCharType="separate"/>
      </w:r>
      <w:r>
        <w:rPr>
          <w:rFonts w:hint="eastAsia" w:ascii="宋体" w:hAnsi="宋体" w:cs="宋体"/>
          <w:kern w:val="0"/>
          <w:sz w:val="24"/>
          <w:highlight w:val="none"/>
        </w:rPr>
        <w:t>72</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"_Toc15351" </w:instrText>
      </w:r>
      <w:r>
        <w:rPr>
          <w:highlight w:val="none"/>
        </w:rPr>
        <w:fldChar w:fldCharType="separate"/>
      </w:r>
      <w:r>
        <w:rPr>
          <w:rFonts w:hint="eastAsia" w:ascii="宋体" w:hAnsi="宋体" w:cs="宋体"/>
          <w:kern w:val="0"/>
          <w:sz w:val="24"/>
          <w:highlight w:val="none"/>
        </w:rPr>
        <w:t>第十六部分  基金的收益与分配</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_Toc15351 </w:instrText>
      </w:r>
      <w:r>
        <w:rPr>
          <w:rFonts w:hint="eastAsia" w:ascii="宋体" w:hAnsi="宋体" w:cs="宋体"/>
          <w:kern w:val="0"/>
          <w:sz w:val="24"/>
          <w:highlight w:val="none"/>
        </w:rPr>
        <w:fldChar w:fldCharType="separate"/>
      </w:r>
      <w:r>
        <w:rPr>
          <w:rFonts w:hint="eastAsia" w:ascii="宋体" w:hAnsi="宋体" w:cs="宋体"/>
          <w:kern w:val="0"/>
          <w:sz w:val="24"/>
          <w:highlight w:val="none"/>
        </w:rPr>
        <w:t>76</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"_Toc18747" </w:instrText>
      </w:r>
      <w:r>
        <w:rPr>
          <w:highlight w:val="none"/>
        </w:rPr>
        <w:fldChar w:fldCharType="separate"/>
      </w:r>
      <w:r>
        <w:rPr>
          <w:rFonts w:hint="eastAsia" w:ascii="宋体" w:hAnsi="宋体" w:cs="宋体"/>
          <w:kern w:val="0"/>
          <w:sz w:val="24"/>
          <w:highlight w:val="none"/>
        </w:rPr>
        <w:t>第十七部分  基金的会计与审计</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_Toc18747 </w:instrText>
      </w:r>
      <w:r>
        <w:rPr>
          <w:rFonts w:hint="eastAsia" w:ascii="宋体" w:hAnsi="宋体" w:cs="宋体"/>
          <w:kern w:val="0"/>
          <w:sz w:val="24"/>
          <w:highlight w:val="none"/>
        </w:rPr>
        <w:fldChar w:fldCharType="separate"/>
      </w:r>
      <w:r>
        <w:rPr>
          <w:rFonts w:hint="eastAsia" w:ascii="宋体" w:hAnsi="宋体" w:cs="宋体"/>
          <w:kern w:val="0"/>
          <w:sz w:val="24"/>
          <w:highlight w:val="none"/>
        </w:rPr>
        <w:t>78</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"_Toc21351" </w:instrText>
      </w:r>
      <w:r>
        <w:rPr>
          <w:highlight w:val="none"/>
        </w:rPr>
        <w:fldChar w:fldCharType="separate"/>
      </w:r>
      <w:r>
        <w:rPr>
          <w:rFonts w:hint="eastAsia" w:ascii="宋体" w:hAnsi="宋体" w:cs="宋体"/>
          <w:kern w:val="0"/>
          <w:sz w:val="24"/>
          <w:highlight w:val="none"/>
        </w:rPr>
        <w:t>第十八部分  基金的信息披露</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_Toc21351 </w:instrText>
      </w:r>
      <w:r>
        <w:rPr>
          <w:rFonts w:hint="eastAsia" w:ascii="宋体" w:hAnsi="宋体" w:cs="宋体"/>
          <w:kern w:val="0"/>
          <w:sz w:val="24"/>
          <w:highlight w:val="none"/>
        </w:rPr>
        <w:fldChar w:fldCharType="separate"/>
      </w:r>
      <w:r>
        <w:rPr>
          <w:rFonts w:hint="eastAsia" w:ascii="宋体" w:hAnsi="宋体" w:cs="宋体"/>
          <w:kern w:val="0"/>
          <w:sz w:val="24"/>
          <w:highlight w:val="none"/>
        </w:rPr>
        <w:t>79</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"_Toc11113" </w:instrText>
      </w:r>
      <w:r>
        <w:rPr>
          <w:highlight w:val="none"/>
        </w:rPr>
        <w:fldChar w:fldCharType="separate"/>
      </w:r>
      <w:r>
        <w:rPr>
          <w:rFonts w:hint="eastAsia" w:ascii="宋体" w:hAnsi="宋体" w:cs="宋体"/>
          <w:kern w:val="0"/>
          <w:sz w:val="24"/>
          <w:highlight w:val="none"/>
        </w:rPr>
        <w:t>第十九部分  基金合同的变更、终止与基金财产的清算</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_Toc11113 </w:instrText>
      </w:r>
      <w:r>
        <w:rPr>
          <w:rFonts w:hint="eastAsia" w:ascii="宋体" w:hAnsi="宋体" w:cs="宋体"/>
          <w:kern w:val="0"/>
          <w:sz w:val="24"/>
          <w:highlight w:val="none"/>
        </w:rPr>
        <w:fldChar w:fldCharType="separate"/>
      </w:r>
      <w:r>
        <w:rPr>
          <w:rFonts w:hint="eastAsia" w:ascii="宋体" w:hAnsi="宋体" w:cs="宋体"/>
          <w:kern w:val="0"/>
          <w:sz w:val="24"/>
          <w:highlight w:val="none"/>
        </w:rPr>
        <w:t>87</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"_Toc23166" </w:instrText>
      </w:r>
      <w:r>
        <w:rPr>
          <w:highlight w:val="none"/>
        </w:rPr>
        <w:fldChar w:fldCharType="separate"/>
      </w:r>
      <w:r>
        <w:rPr>
          <w:rFonts w:hint="eastAsia" w:ascii="宋体" w:hAnsi="宋体" w:cs="宋体"/>
          <w:kern w:val="0"/>
          <w:sz w:val="24"/>
          <w:highlight w:val="none"/>
        </w:rPr>
        <w:t>第二十部分  违约责任</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_Toc23166 </w:instrText>
      </w:r>
      <w:r>
        <w:rPr>
          <w:rFonts w:hint="eastAsia" w:ascii="宋体" w:hAnsi="宋体" w:cs="宋体"/>
          <w:kern w:val="0"/>
          <w:sz w:val="24"/>
          <w:highlight w:val="none"/>
        </w:rPr>
        <w:fldChar w:fldCharType="separate"/>
      </w:r>
      <w:r>
        <w:rPr>
          <w:rFonts w:hint="eastAsia" w:ascii="宋体" w:hAnsi="宋体" w:cs="宋体"/>
          <w:kern w:val="0"/>
          <w:sz w:val="24"/>
          <w:highlight w:val="none"/>
        </w:rPr>
        <w:t>90</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"_Toc6110" </w:instrText>
      </w:r>
      <w:r>
        <w:rPr>
          <w:highlight w:val="none"/>
        </w:rPr>
        <w:fldChar w:fldCharType="separate"/>
      </w:r>
      <w:r>
        <w:rPr>
          <w:rFonts w:hint="eastAsia" w:ascii="宋体" w:hAnsi="宋体" w:cs="宋体"/>
          <w:kern w:val="0"/>
          <w:sz w:val="24"/>
          <w:highlight w:val="none"/>
        </w:rPr>
        <w:t>第二十一部分  争议的处理和适用的法律</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_Toc6110 </w:instrText>
      </w:r>
      <w:r>
        <w:rPr>
          <w:rFonts w:hint="eastAsia" w:ascii="宋体" w:hAnsi="宋体" w:cs="宋体"/>
          <w:kern w:val="0"/>
          <w:sz w:val="24"/>
          <w:highlight w:val="none"/>
        </w:rPr>
        <w:fldChar w:fldCharType="separate"/>
      </w:r>
      <w:r>
        <w:rPr>
          <w:rFonts w:hint="eastAsia" w:ascii="宋体" w:hAnsi="宋体" w:cs="宋体"/>
          <w:kern w:val="0"/>
          <w:sz w:val="24"/>
          <w:highlight w:val="none"/>
        </w:rPr>
        <w:t>91</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"_Toc28690" </w:instrText>
      </w:r>
      <w:r>
        <w:rPr>
          <w:highlight w:val="none"/>
        </w:rPr>
        <w:fldChar w:fldCharType="separate"/>
      </w:r>
      <w:r>
        <w:rPr>
          <w:rFonts w:hint="eastAsia" w:ascii="宋体" w:hAnsi="宋体" w:cs="宋体"/>
          <w:kern w:val="0"/>
          <w:sz w:val="24"/>
          <w:highlight w:val="none"/>
        </w:rPr>
        <w:t>第二十二部分  基金合同的效力</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_Toc28690 </w:instrText>
      </w:r>
      <w:r>
        <w:rPr>
          <w:rFonts w:hint="eastAsia" w:ascii="宋体" w:hAnsi="宋体" w:cs="宋体"/>
          <w:kern w:val="0"/>
          <w:sz w:val="24"/>
          <w:highlight w:val="none"/>
        </w:rPr>
        <w:fldChar w:fldCharType="separate"/>
      </w:r>
      <w:r>
        <w:rPr>
          <w:rFonts w:hint="eastAsia" w:ascii="宋体" w:hAnsi="宋体" w:cs="宋体"/>
          <w:kern w:val="0"/>
          <w:sz w:val="24"/>
          <w:highlight w:val="none"/>
        </w:rPr>
        <w:t>92</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"_Toc9704" </w:instrText>
      </w:r>
      <w:r>
        <w:rPr>
          <w:highlight w:val="none"/>
        </w:rPr>
        <w:fldChar w:fldCharType="separate"/>
      </w:r>
      <w:r>
        <w:rPr>
          <w:rFonts w:hint="eastAsia" w:ascii="宋体" w:hAnsi="宋体" w:cs="宋体"/>
          <w:kern w:val="0"/>
          <w:sz w:val="24"/>
          <w:highlight w:val="none"/>
        </w:rPr>
        <w:t>第二十三部分  其他事项</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_Toc9704 </w:instrText>
      </w:r>
      <w:r>
        <w:rPr>
          <w:rFonts w:hint="eastAsia" w:ascii="宋体" w:hAnsi="宋体" w:cs="宋体"/>
          <w:kern w:val="0"/>
          <w:sz w:val="24"/>
          <w:highlight w:val="none"/>
        </w:rPr>
        <w:fldChar w:fldCharType="separate"/>
      </w:r>
      <w:r>
        <w:rPr>
          <w:rFonts w:hint="eastAsia" w:ascii="宋体" w:hAnsi="宋体" w:cs="宋体"/>
          <w:kern w:val="0"/>
          <w:sz w:val="24"/>
          <w:highlight w:val="none"/>
        </w:rPr>
        <w:t>93</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"_Toc15045" </w:instrText>
      </w:r>
      <w:r>
        <w:rPr>
          <w:highlight w:val="none"/>
        </w:rPr>
        <w:fldChar w:fldCharType="separate"/>
      </w:r>
      <w:r>
        <w:rPr>
          <w:rFonts w:hint="eastAsia" w:ascii="宋体" w:hAnsi="宋体" w:cs="宋体"/>
          <w:kern w:val="0"/>
          <w:sz w:val="24"/>
          <w:highlight w:val="none"/>
        </w:rPr>
        <w:t>第二十四部分  基金合同内容摘要</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_Toc15045 </w:instrText>
      </w:r>
      <w:r>
        <w:rPr>
          <w:rFonts w:hint="eastAsia" w:ascii="宋体" w:hAnsi="宋体" w:cs="宋体"/>
          <w:kern w:val="0"/>
          <w:sz w:val="24"/>
          <w:highlight w:val="none"/>
        </w:rPr>
        <w:fldChar w:fldCharType="separate"/>
      </w:r>
      <w:r>
        <w:rPr>
          <w:rFonts w:hint="eastAsia" w:ascii="宋体" w:hAnsi="宋体" w:cs="宋体"/>
          <w:kern w:val="0"/>
          <w:sz w:val="24"/>
          <w:highlight w:val="none"/>
        </w:rPr>
        <w:t>94</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2"/>
        <w:spacing w:before="0" w:after="0"/>
        <w:jc w:val="left"/>
        <w:rPr>
          <w:rFonts w:hint="eastAsia" w:hAnsi="宋体" w:cs="宋体"/>
          <w:b w:val="0"/>
          <w:bCs/>
          <w:color w:val="auto"/>
          <w:kern w:val="2"/>
          <w:highlight w:val="none"/>
        </w:rPr>
        <w:sectPr>
          <w:headerReference r:id="rId8" w:type="default"/>
          <w:pgSz w:w="11906" w:h="16838"/>
          <w:pgMar w:top="1440" w:right="1800" w:bottom="1440" w:left="1800" w:header="851" w:footer="992" w:gutter="0"/>
          <w:pgNumType w:start="1"/>
          <w:cols w:space="720" w:num="1"/>
          <w:docGrid w:type="lines" w:linePitch="312" w:charSpace="0"/>
        </w:sectPr>
      </w:pPr>
      <w:r>
        <w:rPr>
          <w:rFonts w:hint="eastAsia" w:hAnsi="宋体" w:cs="宋体"/>
          <w:b w:val="0"/>
          <w:bCs/>
          <w:color w:val="auto"/>
          <w:kern w:val="2"/>
          <w:highlight w:val="none"/>
        </w:rPr>
        <w:fldChar w:fldCharType="end"/>
      </w:r>
      <w:bookmarkEnd w:id="27"/>
      <w:bookmarkStart w:id="29" w:name="_Toc15517"/>
      <w:bookmarkStart w:id="30" w:name="_Toc8727"/>
      <w:bookmarkStart w:id="31" w:name="_Toc30935"/>
      <w:bookmarkStart w:id="32" w:name="_Toc4966"/>
      <w:bookmarkStart w:id="33" w:name="_Toc29629"/>
      <w:bookmarkStart w:id="34" w:name="_Toc141703880"/>
      <w:bookmarkStart w:id="35" w:name="_Toc23386"/>
      <w:bookmarkStart w:id="36" w:name="_Toc139991730"/>
      <w:bookmarkStart w:id="37" w:name="_Toc6306"/>
      <w:bookmarkStart w:id="38" w:name="_Toc26897"/>
      <w:bookmarkStart w:id="39" w:name="_Toc4867"/>
      <w:bookmarkStart w:id="40" w:name="_Toc32639"/>
      <w:bookmarkStart w:id="41" w:name="_Toc123701389"/>
      <w:bookmarkStart w:id="42" w:name="_Toc123112229"/>
      <w:bookmarkStart w:id="43" w:name="_Toc123112268"/>
      <w:bookmarkStart w:id="44" w:name="_Toc233456271"/>
    </w:p>
    <w:p>
      <w:pPr>
        <w:pStyle w:val="2"/>
        <w:spacing w:before="0" w:after="0"/>
        <w:jc w:val="center"/>
        <w:rPr>
          <w:rFonts w:hint="eastAsia" w:hAnsi="宋体" w:cs="宋体"/>
          <w:color w:val="auto"/>
          <w:sz w:val="30"/>
          <w:highlight w:val="none"/>
        </w:rPr>
      </w:pPr>
      <w:bookmarkStart w:id="45" w:name="_Toc11660"/>
      <w:bookmarkStart w:id="46" w:name="CLAUSE_0ba858bd04a945e28241adbc8b778bbc"/>
      <w:r>
        <w:rPr>
          <w:rFonts w:hint="eastAsia" w:hAnsi="宋体" w:cs="宋体"/>
          <w:highlight w:val="none"/>
        </w:rPr>
        <w:t xml:space="preserve"> </w:t>
      </w:r>
      <w:bookmarkStart w:id="47" w:name="CTS_0ba858bd04a945e28241adbc8b778bbc"/>
      <w:bookmarkEnd w:id="47"/>
      <w:r>
        <w:rPr>
          <w:rFonts w:hint="eastAsia" w:hAnsi="宋体" w:cs="宋体"/>
          <w:color w:val="auto"/>
          <w:sz w:val="30"/>
          <w:highlight w:val="none"/>
        </w:rPr>
        <w:t>第一部分  前言</w:t>
      </w:r>
      <w:bookmarkEnd w:id="29"/>
      <w:bookmarkEnd w:id="30"/>
      <w:bookmarkEnd w:id="31"/>
      <w:bookmarkEnd w:id="32"/>
      <w:bookmarkEnd w:id="33"/>
      <w:bookmarkEnd w:id="34"/>
      <w:bookmarkEnd w:id="35"/>
      <w:bookmarkEnd w:id="36"/>
      <w:bookmarkEnd w:id="37"/>
      <w:bookmarkEnd w:id="38"/>
      <w:bookmarkEnd w:id="39"/>
      <w:bookmarkEnd w:id="40"/>
      <w:bookmarkEnd w:id="45"/>
    </w:p>
    <w:p>
      <w:pPr>
        <w:rPr>
          <w:rFonts w:hint="eastAsia" w:ascii="宋体" w:hAnsi="宋体" w:cs="宋体"/>
          <w:bCs/>
          <w:highlight w:val="none"/>
        </w:rPr>
      </w:pPr>
      <w:bookmarkStart w:id="48" w:name="_Toc139991731"/>
    </w:p>
    <w:bookmarkEnd w:id="41"/>
    <w:bookmarkEnd w:id="42"/>
    <w:bookmarkEnd w:id="43"/>
    <w:bookmarkEnd w:id="48"/>
    <w:p>
      <w:pPr>
        <w:spacing w:line="360" w:lineRule="auto"/>
        <w:ind w:firstLine="480" w:firstLineChars="200"/>
        <w:rPr>
          <w:rFonts w:hint="eastAsia" w:ascii="宋体" w:hAnsi="宋体" w:cs="宋体"/>
          <w:bCs/>
          <w:sz w:val="24"/>
          <w:highlight w:val="none"/>
        </w:rPr>
      </w:pPr>
      <w:bookmarkStart w:id="49" w:name="_Toc258829399"/>
      <w:r>
        <w:rPr>
          <w:rFonts w:hint="eastAsia" w:ascii="宋体" w:hAnsi="宋体" w:cs="宋体"/>
          <w:bCs/>
          <w:sz w:val="24"/>
          <w:highlight w:val="none"/>
        </w:rPr>
        <w:t>一、订立本基金合同的目的、依据和原则</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1、订立本基金合同的目的是保护投资人合法权益，明确基金合同当事人的权利义务，规范基金运作。</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订立本基金合同的依据是《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 、《公开募集开放式证券投资基金流动性风险管理规定》（以下简称“《流动性风险管理规定》”）和其他有关法律法规。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3、订立本基金合同的原则是平等自愿、诚实信用、充分保护投资人合法权益。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pPr>
        <w:spacing w:line="360" w:lineRule="auto"/>
        <w:ind w:firstLine="480" w:firstLineChars="200"/>
        <w:rPr>
          <w:rFonts w:hint="eastAsia" w:ascii="宋体" w:hAnsi="宋体" w:cs="宋体"/>
          <w:bCs/>
          <w:highlight w:val="none"/>
        </w:rPr>
      </w:pPr>
      <w:r>
        <w:rPr>
          <w:rFonts w:hint="eastAsia" w:ascii="宋体" w:hAnsi="宋体" w:cs="宋体"/>
          <w:bCs/>
          <w:sz w:val="24"/>
          <w:highlight w:val="none"/>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三、东方阿尔法增利债券型发起式证券投资基金由基金管理人依照《基金法》、基金合同及其他有关规定募集，并经中国证券监督管理委员会(以下简称“中国证监会”)注册。</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中国证监会对本基金募集的注册，并不表明其对本基金的投资价值和市场前景做出实质性判断或保证，也不表明投资于本基金没有风险。</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基金管理人依照恪尽职守、诚实信用、谨慎勤勉的原则管理和运用基金财产，但不保证投资于本基金一定盈利，也不保证最低收益。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投资者应当认真阅读基金合同、基金招募说明书、基金产品资料概要等信息披露文件，自主判断基金的投资价值，自主做出投资决策，自行承担投资风险。</w:t>
      </w:r>
    </w:p>
    <w:p>
      <w:pPr>
        <w:numPr>
          <w:ilvl w:val="0"/>
          <w:numId w:val="2"/>
        </w:num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基金管理人、基金托管人在本基金合同之外披露涉及本基金的信息，其内容涉及界定基金合同当事人之间权利义务关系的，如与基金合同有冲突，以基金合同为准。</w:t>
      </w:r>
    </w:p>
    <w:p>
      <w:pPr>
        <w:numPr>
          <w:ilvl w:val="0"/>
          <w:numId w:val="2"/>
        </w:num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除了投资于A股市场优质企业外，还可在法律法规规定的范围内投资港股通标的股票（包括沪港通股票及深港通股票）。除了需要承担与境内证券投资基金类似的市场波动风险等一般投资风险之外，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本基金可根据投资策略需要或不同配置地市场环境的变化，选择将部分基金资产投资于港股或选择不将基金资产投资于港股，基金资产并非必然投资港股。</w:t>
      </w:r>
    </w:p>
    <w:p>
      <w:pPr>
        <w:numPr>
          <w:ilvl w:val="0"/>
          <w:numId w:val="2"/>
        </w:num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本基金的投资范围包括存托凭证，除与其他仅投资于境内市场股票的基金所面临的共同风险外，本基金还将面临投资存托凭证的特殊风险，详见本基金招募说明书。</w:t>
      </w:r>
    </w:p>
    <w:p>
      <w:pPr>
        <w:numPr>
          <w:ilvl w:val="0"/>
          <w:numId w:val="2"/>
        </w:num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本基金可投资于</w:t>
      </w:r>
      <w:bookmarkStart w:id="50" w:name="OLE_LINK9"/>
      <w:r>
        <w:rPr>
          <w:rFonts w:hint="eastAsia" w:ascii="宋体" w:hAnsi="宋体" w:cs="宋体"/>
          <w:bCs/>
          <w:sz w:val="24"/>
          <w:highlight w:val="none"/>
        </w:rPr>
        <w:t>国债期货</w:t>
      </w:r>
      <w:bookmarkEnd w:id="50"/>
      <w:r>
        <w:rPr>
          <w:rFonts w:hint="eastAsia" w:ascii="宋体" w:hAnsi="宋体" w:cs="宋体"/>
          <w:bCs/>
          <w:sz w:val="24"/>
          <w:highlight w:val="none"/>
        </w:rPr>
        <w:t>等金融衍生品，可能面临的风险包括市场风险、流动性风险、基差风险、保证金风险、信用风险、操作风险等。</w:t>
      </w:r>
    </w:p>
    <w:p>
      <w:pPr>
        <w:numPr>
          <w:ilvl w:val="0"/>
          <w:numId w:val="2"/>
        </w:num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管理人依据相关法律法规及核准设立批复等，经尽职调查、进行了充分的评估论证、履行了必要的决策程序，现将份额登记、估值核算等业务委托给本基金合同约定的基金服务机构——招商证券股份有限公司负责日常运营；管理人需定期了解基金服务机构的人员配备情况、业务操作的专业能力、业务隔离措施、软硬件设施等基本运作情况，以保证满足业务发展的实际需求；如本基金合同约定的基金服务机构发生变更的，管理人需另行发布相关公告。若投资人不同意管理人变更基金服务机构的，自公告之日起10日内可以赎回其持有的全部基金份额，若投资人自公告之日起10日后继续持有全部或部分基金份额的，视为其同意管理人变更基金服务机构。</w:t>
      </w:r>
    </w:p>
    <w:p>
      <w:pPr>
        <w:numPr>
          <w:ilvl w:val="0"/>
          <w:numId w:val="2"/>
        </w:num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pPr>
        <w:numPr>
          <w:ilvl w:val="0"/>
          <w:numId w:val="2"/>
        </w:num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本基金按照中国法律法规成立并运作，若基金合同的内容与届时有效的法律法规的强制性规定不一致，应当以届时有效的法律法规的规定为准。</w:t>
      </w:r>
    </w:p>
    <w:p>
      <w:pPr>
        <w:numPr>
          <w:ilvl w:val="0"/>
          <w:numId w:val="2"/>
        </w:numPr>
        <w:spacing w:line="360" w:lineRule="auto"/>
        <w:ind w:firstLine="480"/>
        <w:rPr>
          <w:rFonts w:hint="eastAsia" w:ascii="宋体" w:hAnsi="宋体" w:cs="宋体"/>
          <w:bCs/>
          <w:sz w:val="24"/>
          <w:highlight w:val="none"/>
        </w:rPr>
      </w:pPr>
      <w:r>
        <w:rPr>
          <w:rFonts w:hint="eastAsia" w:ascii="宋体" w:hAnsi="宋体" w:cs="宋体"/>
          <w:bCs/>
          <w:sz w:val="24"/>
          <w:highlight w:val="none"/>
        </w:rPr>
        <w:t>本基金可以投资于其他公开募集的证券投资基金，因此本基金所持有的基金的业绩表现、持有基金的基金管理人水平等因素将影响到本基金的基金业绩表现。</w:t>
      </w:r>
    </w:p>
    <w:p>
      <w:pPr>
        <w:numPr>
          <w:ilvl w:val="0"/>
          <w:numId w:val="2"/>
        </w:numPr>
        <w:spacing w:line="360" w:lineRule="auto"/>
        <w:ind w:firstLine="480"/>
        <w:rPr>
          <w:rFonts w:hint="eastAsia" w:ascii="宋体" w:hAnsi="宋体" w:cs="宋体"/>
          <w:bCs/>
          <w:sz w:val="24"/>
          <w:highlight w:val="none"/>
        </w:rPr>
      </w:pPr>
      <w:r>
        <w:rPr>
          <w:rFonts w:hint="eastAsia" w:ascii="宋体" w:hAnsi="宋体" w:cs="宋体"/>
          <w:bCs/>
          <w:sz w:val="24"/>
          <w:highlight w:val="none"/>
        </w:rPr>
        <w:t>对于通过基金管理人认购/申购C类基金份额收取的销售服务费，以及通过代销机构认购/申购并持续持有期限超过一年的C类基金份额收取的销售服务费采取先收后返模式，基金投资者实际收到的赎回款项或清算款项的金额可能与披露的基金份额净值计算的结果存在差异。投资者的实际赎回金额和清算资金以登记机构确认数据为准。</w:t>
      </w:r>
    </w:p>
    <w:p>
      <w:pPr>
        <w:pStyle w:val="2"/>
        <w:spacing w:before="0" w:after="0"/>
        <w:jc w:val="center"/>
        <w:rPr>
          <w:rFonts w:hint="eastAsia" w:hAnsi="宋体" w:cs="宋体"/>
          <w:color w:val="auto"/>
          <w:sz w:val="30"/>
          <w:highlight w:val="none"/>
        </w:rPr>
      </w:pPr>
      <w:r>
        <w:rPr>
          <w:rFonts w:hint="eastAsia" w:hAnsi="宋体" w:cs="宋体"/>
          <w:b w:val="0"/>
          <w:color w:val="auto"/>
          <w:kern w:val="2"/>
          <w:highlight w:val="none"/>
        </w:rPr>
        <w:br w:type="page"/>
      </w:r>
      <w:bookmarkStart w:id="51" w:name="_Toc3224"/>
      <w:bookmarkStart w:id="52" w:name="_Toc13020"/>
      <w:bookmarkStart w:id="53" w:name="_Toc24860"/>
      <w:bookmarkStart w:id="54" w:name="_Toc31551"/>
      <w:bookmarkStart w:id="55" w:name="_Toc15067"/>
      <w:bookmarkStart w:id="56" w:name="_Toc22864"/>
      <w:bookmarkStart w:id="57" w:name="_Toc6617"/>
      <w:bookmarkStart w:id="58" w:name="_Toc21301"/>
      <w:bookmarkStart w:id="59" w:name="_Toc819"/>
      <w:bookmarkStart w:id="60" w:name="_Toc2465"/>
      <w:bookmarkStart w:id="61" w:name="_Toc19592"/>
      <w:r>
        <w:rPr>
          <w:rFonts w:hint="eastAsia" w:hAnsi="宋体" w:cs="宋体"/>
          <w:color w:val="auto"/>
          <w:sz w:val="30"/>
          <w:highlight w:val="none"/>
        </w:rPr>
        <w:t>第二部分 释义</w:t>
      </w:r>
      <w:bookmarkEnd w:id="44"/>
      <w:bookmarkEnd w:id="49"/>
      <w:bookmarkEnd w:id="51"/>
      <w:bookmarkEnd w:id="52"/>
      <w:bookmarkEnd w:id="53"/>
      <w:bookmarkEnd w:id="54"/>
      <w:bookmarkEnd w:id="55"/>
      <w:bookmarkEnd w:id="56"/>
      <w:bookmarkEnd w:id="57"/>
      <w:bookmarkEnd w:id="58"/>
      <w:bookmarkEnd w:id="59"/>
      <w:bookmarkEnd w:id="60"/>
      <w:bookmarkEnd w:id="61"/>
    </w:p>
    <w:p>
      <w:pPr>
        <w:autoSpaceDE w:val="0"/>
        <w:autoSpaceDN w:val="0"/>
        <w:adjustRightInd w:val="0"/>
        <w:spacing w:line="360" w:lineRule="auto"/>
        <w:ind w:firstLine="420" w:firstLineChars="200"/>
        <w:rPr>
          <w:rFonts w:hint="eastAsia" w:ascii="宋体" w:hAnsi="宋体" w:cs="宋体"/>
          <w:bCs/>
          <w:highlight w:val="none"/>
        </w:rPr>
      </w:pPr>
    </w:p>
    <w:p>
      <w:pPr>
        <w:spacing w:line="360" w:lineRule="auto"/>
        <w:ind w:firstLine="480" w:firstLineChars="200"/>
        <w:rPr>
          <w:rFonts w:hint="eastAsia" w:ascii="宋体" w:hAnsi="宋体" w:cs="宋体"/>
          <w:bCs/>
          <w:sz w:val="24"/>
          <w:highlight w:val="none"/>
        </w:rPr>
      </w:pPr>
      <w:bookmarkStart w:id="62" w:name="OLE_LINK25"/>
      <w:bookmarkStart w:id="63" w:name="OLE_LINK24"/>
      <w:r>
        <w:rPr>
          <w:rFonts w:hint="eastAsia" w:ascii="宋体" w:hAnsi="宋体" w:cs="宋体"/>
          <w:bCs/>
          <w:sz w:val="24"/>
          <w:highlight w:val="none"/>
        </w:rPr>
        <w:t>在本基金合同中，除非文意另有所指，下列词语或简称具有如下含义：</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1、基金或本基金：指</w:t>
      </w:r>
      <w:r>
        <w:rPr>
          <w:rFonts w:hint="eastAsia" w:ascii="宋体" w:hAnsi="宋体" w:cs="宋体"/>
          <w:bCs/>
          <w:sz w:val="24"/>
          <w:szCs w:val="21"/>
          <w:highlight w:val="none"/>
        </w:rPr>
        <w:t>东方阿尔法增利债券型发起式证券投资基金</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2、基金管理人：指东方阿尔法基金管理有限公司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3、基金托管人：指</w:t>
      </w:r>
      <w:r>
        <w:rPr>
          <w:rFonts w:hint="eastAsia" w:ascii="宋体" w:hAnsi="宋体" w:cs="宋体"/>
          <w:bCs/>
          <w:sz w:val="24"/>
          <w:szCs w:val="21"/>
          <w:highlight w:val="none"/>
        </w:rPr>
        <w:t>招商银行</w:t>
      </w:r>
      <w:r>
        <w:rPr>
          <w:rFonts w:hint="eastAsia" w:ascii="宋体" w:hAnsi="宋体" w:cs="宋体"/>
          <w:bCs/>
          <w:sz w:val="24"/>
          <w:highlight w:val="none"/>
        </w:rPr>
        <w:t xml:space="preserve">股份有限公司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4、基金合同、《基金合同》或本基金合同：指《</w:t>
      </w:r>
      <w:r>
        <w:rPr>
          <w:rFonts w:hint="eastAsia" w:ascii="宋体" w:hAnsi="宋体" w:cs="宋体"/>
          <w:bCs/>
          <w:sz w:val="24"/>
          <w:szCs w:val="21"/>
          <w:highlight w:val="none"/>
        </w:rPr>
        <w:t>东方阿尔法增利债券型发起式证券投资基金基金</w:t>
      </w:r>
      <w:r>
        <w:rPr>
          <w:rFonts w:hint="eastAsia" w:ascii="宋体" w:hAnsi="宋体" w:cs="宋体"/>
          <w:bCs/>
          <w:sz w:val="24"/>
          <w:highlight w:val="none"/>
        </w:rPr>
        <w:t>合同》及对本基金合同的任何有效修订和补充</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5、托管协议：指基金管理人与基金托管人就本基金签订之《</w:t>
      </w:r>
      <w:r>
        <w:rPr>
          <w:rFonts w:hint="eastAsia" w:ascii="宋体" w:hAnsi="宋体" w:cs="宋体"/>
          <w:bCs/>
          <w:sz w:val="24"/>
          <w:szCs w:val="21"/>
          <w:highlight w:val="none"/>
        </w:rPr>
        <w:t>东方阿尔法增利债券型发起式证券投资基金</w:t>
      </w:r>
      <w:r>
        <w:rPr>
          <w:rFonts w:hint="eastAsia" w:ascii="宋体" w:hAnsi="宋体" w:cs="宋体"/>
          <w:bCs/>
          <w:sz w:val="24"/>
          <w:highlight w:val="none"/>
        </w:rPr>
        <w:t>托管协议》及对该托管协议的任何有效修订和补充</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6、招募说明书或《招募说明书》：指《</w:t>
      </w:r>
      <w:r>
        <w:rPr>
          <w:rFonts w:hint="eastAsia" w:ascii="宋体" w:hAnsi="宋体" w:cs="宋体"/>
          <w:bCs/>
          <w:sz w:val="24"/>
          <w:szCs w:val="21"/>
          <w:highlight w:val="none"/>
        </w:rPr>
        <w:t>东方阿尔法增利债券型发起式证券投资基金</w:t>
      </w:r>
      <w:r>
        <w:rPr>
          <w:rFonts w:hint="eastAsia" w:ascii="宋体" w:hAnsi="宋体" w:cs="宋体"/>
          <w:bCs/>
          <w:sz w:val="24"/>
          <w:highlight w:val="none"/>
        </w:rPr>
        <w:t>招募说明书》及其更新</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7、基金份额发售公告：指《</w:t>
      </w:r>
      <w:r>
        <w:rPr>
          <w:rFonts w:hint="eastAsia" w:ascii="宋体" w:hAnsi="宋体" w:cs="宋体"/>
          <w:bCs/>
          <w:sz w:val="24"/>
          <w:szCs w:val="21"/>
          <w:highlight w:val="none"/>
        </w:rPr>
        <w:t>东方阿尔法增利债券型发起式证券投资基金基金</w:t>
      </w:r>
      <w:r>
        <w:rPr>
          <w:rFonts w:hint="eastAsia" w:ascii="宋体" w:hAnsi="宋体" w:cs="宋体"/>
          <w:bCs/>
          <w:sz w:val="24"/>
          <w:highlight w:val="none"/>
        </w:rPr>
        <w:t>份额发售公告》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8、基金产品资料概要：指《</w:t>
      </w:r>
      <w:r>
        <w:rPr>
          <w:rFonts w:hint="eastAsia" w:ascii="宋体" w:hAnsi="宋体" w:cs="宋体"/>
          <w:bCs/>
          <w:sz w:val="24"/>
          <w:szCs w:val="21"/>
          <w:highlight w:val="none"/>
        </w:rPr>
        <w:t>东方阿尔法增利债券型发起式证券投资基金基金</w:t>
      </w:r>
      <w:r>
        <w:rPr>
          <w:rFonts w:hint="eastAsia" w:ascii="宋体" w:hAnsi="宋体" w:cs="宋体"/>
          <w:bCs/>
          <w:sz w:val="24"/>
          <w:highlight w:val="none"/>
        </w:rPr>
        <w:t>产品资料概要》及其更新</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9、法律法规：指中国现行有效并公布实施的法律、行政法规、规范性文件、司法解释、行政规章以及其他对基金合同当事人有约束力的决定、决议、通知等以及颁布机关对其不时做出的修订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基金法》：指2003年10月28日经第十届全国人民代表大会常务委员会第五次会议通过，经2004年6月1日起实施并在2012年12月28日经第十一届全国人民代表大会常务委员会第三十次会议修订，自2013年6月1日起实施，并经2015年4 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11、《销售办法》：指中国证监会2020年8月28日颁布、同年10月1日实施的《公开募集证券投资基金销售机构监督管理办法》及颁布机关对其不时做出的修订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12、《信息披露办法》：指中国证监会2019年7月26日颁布、同年9月1日实施的，并经2020年3月20日中国证监会《关于修改部分证券期货规章的决定》修正的《公开募集证券投资基金信息披露管理办法》及颁布机关对其不时做出的修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13、《运作办法》：指中国证监会2014年7月7日颁布、同年8月8日实施的《公开募集证券投资基金运作管理办法》及颁布机关对其不时做出的修订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14、《流动性风险管理规定》：指中国证监会2017年8月31日颁布、同年10月1日实施的《公开募集开放式证券投资基金流动性风险管理规定》及颁布机关对其不时做出的修订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15、中国证监会：指中国证券监督管理委员会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16、银行业监督管理机构：指中国人民银行和/或国家金融监督管理总局</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17、基金合同当事人：指受基金合同约束，根据基金合同享有权利并承担义务的法律主体，包括基金管理人、基金托管人和基金份额持有人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18、个人投资者：指依据有关法律法规规定可投资于证券投资基金的自然人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19、机构投资者：指依法可以投资证券投资基金的、在中华人民共和国境内合法登记并存续或经有关政府部门批准设立并存续的企业法人、事业法人、社会团体或其他组织</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20、合格境外投资者：指符合《合格境外机构投资者和人民币合格境外机构投资者境内证券期货投资管理办法》及相关法律法规规定使用来自境外的资金进行境内证券期货投资的境外机构投资者，包括合格境外机构投资者和人民币合格境外机构投资者</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21、投资人、投资者：指个人投资者、机构投资者、合格境外投资者和发起资金提供方以及法律法规或中国证监会允许购买证券投资基金的其他投资人的合称</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22、基金份额持有人：指依基金合同和招募说明书合法取得基金份额的投资人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23、基金销售业务：指为投资者开立基金交易账户，宣传推介基金，办理基金份额发售、申购、赎回、转换、转托管及定期定额投资及提供基金交易账户信息查询等活动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24、销售机构：包括直销机构和代销机构。直销机构，指东方阿尔法基金管理有限公司，即基金管理人；代销机构，指符合《销售办法》和中国证监会规定的其他条件，取得基金销售业务资格并与基金管理人签订了基金销售服务协议，办理基金销售业务的机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25、登记业务：指基金登记、存管、过户、清算和结算业务，具体内容包括投资人基金账户的建立和管理、基金份额登记、基金销售业务的确认、清算和结算、代理发放红利、建立并保管基金份额持有人名册和办理非交易过户等</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26、登记机构：指办理登记业务的机构。基金的登记机构为东方阿尔法</w:t>
      </w:r>
      <w:r>
        <w:rPr>
          <w:rFonts w:hint="eastAsia" w:ascii="宋体" w:hAnsi="宋体" w:cs="宋体"/>
          <w:sz w:val="24"/>
          <w:highlight w:val="none"/>
        </w:rPr>
        <w:t>基金</w:t>
      </w:r>
      <w:r>
        <w:rPr>
          <w:rFonts w:hint="eastAsia" w:ascii="宋体" w:hAnsi="宋体" w:cs="宋体"/>
          <w:bCs/>
          <w:sz w:val="24"/>
          <w:highlight w:val="none"/>
        </w:rPr>
        <w:t>管理有限公司或接受东方阿尔法</w:t>
      </w:r>
      <w:r>
        <w:rPr>
          <w:rFonts w:hint="eastAsia" w:ascii="宋体" w:hAnsi="宋体" w:cs="宋体"/>
          <w:sz w:val="24"/>
          <w:highlight w:val="none"/>
        </w:rPr>
        <w:t>基金</w:t>
      </w:r>
      <w:r>
        <w:rPr>
          <w:rFonts w:hint="eastAsia" w:ascii="宋体" w:hAnsi="宋体" w:cs="宋体"/>
          <w:bCs/>
          <w:sz w:val="24"/>
          <w:highlight w:val="none"/>
        </w:rPr>
        <w:t>管理有限公司委托代为办理登记业务的机构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27、基金账户：指登记机构为投资人开立的、记录其持有的、基金管理人所管理的基金份额余额及其变动情况的账户</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28、基金交易账户：指销售机构为投资人开立的、记录投资人通过该销售机构办理认购、申购、赎回、转换、转托管及定期定额投资等业务而引起的基金份额变动及结余情况的账户</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29、基金合同生效日：指基金募集达到法律法规规定及基金合同规定的条件，基金管理人向中国证监会办理基金备案手续完毕，并获得中国证监会书面确认的日期</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30、基金合同终止日：指基金合同规定的基金合同终止事由出现后，基金财产清算完毕，清算结果报中国证监会备案并予以公告的日期</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31、基金募集期：指自基金份额发售之日起至发售结束之日止的期间，最长不得超过3个月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32、存续期：指基金合同生效至终止之间的不定期期限</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33、工作日：</w:t>
      </w:r>
      <w:r>
        <w:rPr>
          <w:rFonts w:hint="eastAsia" w:ascii="宋体" w:hAnsi="宋体" w:cs="宋体"/>
          <w:sz w:val="24"/>
          <w:highlight w:val="none"/>
        </w:rPr>
        <w:t>指证券交易所及相关金融期货交易所的正常交易日</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34、T日：指销售机构在规定时间受理投资人申购、赎回或其他业务申请的开放日</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35、T+n日：指自T日起第n个工作日(不包含T日)</w:t>
      </w:r>
      <w:r>
        <w:rPr>
          <w:rFonts w:hint="eastAsia" w:ascii="宋体" w:hAnsi="宋体" w:cs="宋体"/>
          <w:sz w:val="24"/>
          <w:highlight w:val="none"/>
        </w:rPr>
        <w:t>，n为自然数</w:t>
      </w:r>
    </w:p>
    <w:p>
      <w:pPr>
        <w:spacing w:line="360" w:lineRule="auto"/>
        <w:ind w:firstLine="480" w:firstLineChars="200"/>
        <w:rPr>
          <w:rFonts w:hint="eastAsia" w:ascii="宋体" w:hAnsi="宋体" w:cs="宋体"/>
          <w:sz w:val="24"/>
          <w:highlight w:val="none"/>
        </w:rPr>
      </w:pPr>
      <w:r>
        <w:rPr>
          <w:rFonts w:hint="eastAsia" w:ascii="宋体" w:hAnsi="宋体" w:cs="宋体"/>
          <w:bCs/>
          <w:sz w:val="24"/>
          <w:highlight w:val="none"/>
        </w:rPr>
        <w:t>36、开放日：指为投资人办理基金份额申购、赎回或其他业务的工作日</w:t>
      </w:r>
      <w:r>
        <w:rPr>
          <w:rFonts w:hint="eastAsia" w:ascii="宋体" w:hAnsi="宋体" w:cs="宋体"/>
          <w:sz w:val="24"/>
          <w:highlight w:val="none"/>
        </w:rPr>
        <w:t>（若本基金参与港股通交易且该工作日为非港股通交易日时，则基金管理人可根据实际情况决定本基金是否暂停申购、赎回及转换业务，具体以届时提前发布的公告为准）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37、开放时间：指开放日基金接受申购、赎回或其他交易的时间段</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38、《业务规则》：指《东方阿尔法</w:t>
      </w:r>
      <w:r>
        <w:rPr>
          <w:rFonts w:hint="eastAsia" w:ascii="宋体" w:hAnsi="宋体" w:cs="宋体"/>
          <w:sz w:val="24"/>
          <w:highlight w:val="none"/>
        </w:rPr>
        <w:t>基金</w:t>
      </w:r>
      <w:r>
        <w:rPr>
          <w:rFonts w:hint="eastAsia" w:ascii="宋体" w:hAnsi="宋体" w:cs="宋体"/>
          <w:bCs/>
          <w:sz w:val="24"/>
          <w:highlight w:val="none"/>
        </w:rPr>
        <w:t>管理有限公司开放式基金业务规则》及其不时做出的修订，是规范基金管理人所管理的开放式证券投资基金登记方面的业务规则，由基金管理人和投资人共同遵守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39、认购：指在基金募集期内，投资人根据基金合同和招募说明书的规定申请购买基金份额的行为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40、申购：指基金合同生效后，投资人根据基金合同和招募说明书的规定申请购买基金份额的行为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41、赎回：指基金合同生效后，基金份额持有人按基金合同和招募说明书规定的条件要求将基金份额兑换为现金的行为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42、基金转换：指基金份额持有人按照本基金合同和基金管理人届时有效公告规定的条件，申请将其持有基金管理人管理的、某一基金的基金份额转换为基金管理人管理的其他基金份额的行为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43、转托管：指基金份额持有人在本基金的不同销售机构之间实施的变更所持基金份额销售机构的操作</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44、定期定额投资计划：指投资人通过有关销售机构提出申请，约定每期申购日、扣款金额及扣款方式，由销售机构于每期约定扣款日在投资人指定银行账户内自动完成扣款及受理基金申购申请的一种投资方式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45、巨额赎回：指本基金单个开放日，基金净赎回申请(赎回申请份额总数加上基金转换中转出申请份额总数后扣除申购申请份额总数及基金转换中转入申请份额总数后的余额)超过上一开放日基金总份额的10%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46、元：指人民币元</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47、基金收益：指基金投资所得红利、股息、债券利息、买卖证券价差、银行存款利息、已实现的其他合法收入及因运用基金财产带来的成本和费用的节约</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48、基金资产总值：指基金拥有的各类有价证券、银行存款本息、基金应收款项、基金份额及其他资产的价值总和</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49、基金资产净值：指基金资产总值减去基金负债后的价值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50、基金份额净值：指计算日基金资产净值除以计算日基金份额总数</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51、基金资产估值：指计算评估基金资产和负债的价值，以确定基金资产净值和基金份额净值的过程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52、规定媒介：指符合中国证监会规定条件的用以进行信息披露的全国性报刊及《信息披露办法》规定的互联网网站（包括基金管理人网站、基金托管人网站、中国证监会基金电子披露网站）等媒介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53、销售服务费：指从基金财产中计提的，用于本基金市场推广、销售以及基金份额持有人服务的费用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54、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55、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56、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57、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58、基金份额类别：指本基金根据认购/申购费用、销售服务费收取方式的不同，将基金份额分为不同的类别：A类基金份额、C类基金份额，各基金份额类别分别设置代码，分别计算和公告基金份额净值和基金份额累计净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59、A类基金份额：指在投资者认购、申购基金时收取认购、申购费用而不计提销售服务费，并在赎回时根据持有期限收取赎回费用的基金份额，其中，通过基金管理人认购、申购A类基金份额的不收取认购、申购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60、C类基金份额：指在投资者认购、申购基金份额时不收取认购、申购费用而是从本类别基金资产中计提销售服务费，并在赎回时根据持有期限收取赎回费用的基金份额，其中，通过基金管理人认购、申购C类基金份额的不收取销售服务费；通过代销机构认购、申购并持续持有期限超过一年的C类基金份额，不再继续收取销售服务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61、发起式基金：指符合《运作办法》和中国证监会规定的相关条件而募集、运作，由基金管理人、基金管理人股东、基金管理人高级管理人员或基金经理（指基金管理人员工中依法具有基金经理资格者，包括但不限于本基金的基金经理，同时也可以包括基金经理之外公司投研人员，下同）承诺认购一定金额并持有一定期限的证券投资基金</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62、发起资金：指用于认购发起式基金且源于基金管理人的股东资金、基金管理人固有资金、基金管理人高级管理人员或基金经理等人员参与认购的资金。发起资金认购本基金的金额不低于1000万元，且发起资金认购的基金份额持有期限不低于三年</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63、发起资金提供方：指以发起资金认购本基金且承诺以发起资金认购的基金份额持有期限不少于三年的基金管理人的股东、基金管理人、基金管理人高级管理人员或基金经理等人员</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64、沪港通：指上海证券交易所和香港联合交易所允许两地投资者通过当地证券公司（或经纪商）买卖规定范围内的对方交易所上市的股票，是沪港股票市场交易互联互通机制的简称</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65、深港通：指深圳证券交易所和香港联合交易所有限公司建立技术连接，使内地和香港投资者可以通过当地证券公司或经纪商买卖规定范围内的对方交易所上市的股票，是深港股票市场交易互联互通机制的简称</w:t>
      </w:r>
    </w:p>
    <w:p>
      <w:pPr>
        <w:spacing w:line="360" w:lineRule="auto"/>
        <w:ind w:firstLine="480" w:firstLineChars="200"/>
        <w:rPr>
          <w:rFonts w:hint="eastAsia" w:ascii="宋体" w:hAnsi="宋体" w:cs="宋体"/>
          <w:bCs/>
          <w:sz w:val="24"/>
          <w:highlight w:val="none"/>
        </w:rPr>
      </w:pPr>
      <w:r>
        <w:rPr>
          <w:rFonts w:hint="eastAsia" w:ascii="宋体" w:hAnsi="宋体" w:cs="宋体"/>
          <w:sz w:val="24"/>
          <w:highlight w:val="none"/>
        </w:rPr>
        <w:t>66</w:t>
      </w:r>
      <w:r>
        <w:rPr>
          <w:rFonts w:hint="eastAsia" w:ascii="宋体" w:hAnsi="宋体" w:cs="宋体"/>
          <w:bCs/>
          <w:sz w:val="24"/>
          <w:highlight w:val="none"/>
        </w:rPr>
        <w:t>、不可抗力：指本基金合同当事人不能预见、不能避免且不能克服的客观事件</w:t>
      </w:r>
    </w:p>
    <w:p>
      <w:pPr>
        <w:pStyle w:val="2"/>
        <w:spacing w:before="0" w:after="0"/>
        <w:jc w:val="center"/>
        <w:rPr>
          <w:rFonts w:hint="eastAsia" w:hAnsi="宋体" w:cs="宋体"/>
          <w:color w:val="auto"/>
          <w:sz w:val="30"/>
          <w:highlight w:val="none"/>
        </w:rPr>
      </w:pPr>
      <w:r>
        <w:rPr>
          <w:rFonts w:hint="eastAsia" w:hAnsi="宋体" w:cs="宋体"/>
          <w:b w:val="0"/>
          <w:bCs/>
          <w:color w:val="auto"/>
          <w:highlight w:val="none"/>
        </w:rPr>
        <w:br w:type="page"/>
      </w:r>
      <w:bookmarkEnd w:id="62"/>
      <w:bookmarkEnd w:id="63"/>
      <w:bookmarkStart w:id="64" w:name="_Toc22708"/>
      <w:bookmarkStart w:id="65" w:name="_Toc24571"/>
      <w:bookmarkStart w:id="66" w:name="_Toc545"/>
      <w:bookmarkStart w:id="67" w:name="_Toc13288"/>
      <w:bookmarkStart w:id="68" w:name="_Toc733"/>
      <w:bookmarkStart w:id="69" w:name="_Toc6683"/>
      <w:bookmarkStart w:id="70" w:name="_Toc18631"/>
      <w:bookmarkStart w:id="71" w:name="_Toc20627"/>
      <w:bookmarkStart w:id="72" w:name="_Toc20318"/>
      <w:bookmarkStart w:id="73" w:name="_Toc5246"/>
      <w:bookmarkStart w:id="74" w:name="_Toc6149"/>
      <w:bookmarkStart w:id="75" w:name="_Toc233456272"/>
      <w:bookmarkStart w:id="76" w:name="_Toc258829400"/>
      <w:r>
        <w:rPr>
          <w:rFonts w:hint="eastAsia" w:hAnsi="宋体" w:cs="宋体"/>
          <w:color w:val="auto"/>
          <w:sz w:val="30"/>
          <w:highlight w:val="none"/>
        </w:rPr>
        <w:t>第三部分  基金的基本情况</w:t>
      </w:r>
      <w:bookmarkEnd w:id="64"/>
      <w:bookmarkEnd w:id="65"/>
      <w:bookmarkEnd w:id="66"/>
      <w:bookmarkEnd w:id="67"/>
      <w:bookmarkEnd w:id="68"/>
      <w:bookmarkEnd w:id="69"/>
      <w:bookmarkEnd w:id="70"/>
      <w:bookmarkEnd w:id="71"/>
      <w:bookmarkEnd w:id="72"/>
      <w:bookmarkEnd w:id="73"/>
      <w:bookmarkEnd w:id="74"/>
      <w:bookmarkStart w:id="77" w:name="_Toc79392573"/>
    </w:p>
    <w:p>
      <w:pPr>
        <w:spacing w:line="360" w:lineRule="auto"/>
        <w:ind w:firstLine="540"/>
        <w:rPr>
          <w:rFonts w:hint="eastAsia" w:ascii="宋体" w:hAnsi="宋体" w:cs="宋体"/>
          <w:bCs/>
          <w:sz w:val="24"/>
          <w:highlight w:val="none"/>
        </w:rPr>
      </w:pPr>
      <w:bookmarkStart w:id="78" w:name="_Hlt88031774"/>
      <w:bookmarkEnd w:id="78"/>
      <w:bookmarkStart w:id="79" w:name="_Hlt88031741"/>
    </w:p>
    <w:bookmarkEnd w:id="79"/>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一、基金名称</w:t>
      </w:r>
      <w:bookmarkEnd w:id="77"/>
    </w:p>
    <w:p>
      <w:pPr>
        <w:spacing w:line="360" w:lineRule="auto"/>
        <w:ind w:firstLine="480" w:firstLineChars="200"/>
        <w:rPr>
          <w:rFonts w:hint="eastAsia" w:ascii="宋体" w:hAnsi="宋体" w:cs="宋体"/>
          <w:sz w:val="24"/>
          <w:highlight w:val="none"/>
        </w:rPr>
      </w:pPr>
      <w:r>
        <w:rPr>
          <w:rFonts w:hint="eastAsia" w:ascii="宋体" w:hAnsi="宋体" w:cs="宋体"/>
          <w:bCs/>
          <w:sz w:val="24"/>
          <w:highlight w:val="none"/>
        </w:rPr>
        <w:t>东方阿尔法增利债券型发起式证券投资基金</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80" w:name="_Toc79392574"/>
      <w:r>
        <w:rPr>
          <w:rFonts w:hint="eastAsia" w:ascii="宋体" w:hAnsi="宋体" w:cs="宋体"/>
          <w:b/>
          <w:sz w:val="24"/>
          <w:highlight w:val="none"/>
        </w:rPr>
        <w:t>二、基金的类别</w:t>
      </w:r>
      <w:bookmarkEnd w:id="80"/>
    </w:p>
    <w:p>
      <w:pPr>
        <w:spacing w:line="360" w:lineRule="auto"/>
        <w:ind w:left="796" w:leftChars="257" w:hanging="256"/>
        <w:rPr>
          <w:rFonts w:hint="eastAsia" w:ascii="宋体" w:hAnsi="宋体" w:cs="宋体"/>
          <w:sz w:val="24"/>
          <w:highlight w:val="none"/>
        </w:rPr>
      </w:pPr>
      <w:r>
        <w:rPr>
          <w:rFonts w:hint="eastAsia" w:ascii="宋体" w:hAnsi="宋体" w:cs="宋体"/>
          <w:bCs/>
          <w:sz w:val="24"/>
          <w:highlight w:val="none"/>
        </w:rPr>
        <w:t>债券型发起式</w:t>
      </w:r>
      <w:r>
        <w:rPr>
          <w:rFonts w:hint="eastAsia" w:ascii="宋体" w:hAnsi="宋体" w:cs="宋体"/>
          <w:sz w:val="24"/>
          <w:highlight w:val="none"/>
        </w:rPr>
        <w:t>证券投资基金</w:t>
      </w:r>
    </w:p>
    <w:p>
      <w:pPr>
        <w:spacing w:line="360" w:lineRule="auto"/>
        <w:ind w:left="796" w:leftChars="257" w:hanging="256"/>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81" w:name="_Toc79392575"/>
      <w:r>
        <w:rPr>
          <w:rFonts w:hint="eastAsia" w:ascii="宋体" w:hAnsi="宋体" w:cs="宋体"/>
          <w:b/>
          <w:sz w:val="24"/>
          <w:highlight w:val="none"/>
        </w:rPr>
        <w:t>三、基金的运作方式</w:t>
      </w:r>
    </w:p>
    <w:p>
      <w:pPr>
        <w:spacing w:line="360" w:lineRule="auto"/>
        <w:ind w:left="796" w:leftChars="257" w:hanging="256"/>
        <w:rPr>
          <w:rFonts w:hint="eastAsia" w:ascii="宋体" w:hAnsi="宋体" w:cs="宋体"/>
          <w:sz w:val="24"/>
          <w:highlight w:val="none"/>
        </w:rPr>
      </w:pPr>
      <w:r>
        <w:rPr>
          <w:rFonts w:hint="eastAsia" w:ascii="宋体" w:hAnsi="宋体" w:cs="宋体"/>
          <w:sz w:val="24"/>
          <w:highlight w:val="none"/>
        </w:rPr>
        <w:t>契约型开放式</w:t>
      </w:r>
    </w:p>
    <w:p>
      <w:pPr>
        <w:spacing w:line="360" w:lineRule="auto"/>
        <w:ind w:left="796" w:leftChars="257" w:hanging="256"/>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四、基金的投资目标</w:t>
      </w:r>
      <w:bookmarkEnd w:id="81"/>
    </w:p>
    <w:p>
      <w:pPr>
        <w:spacing w:line="360" w:lineRule="auto"/>
        <w:ind w:firstLine="480"/>
        <w:rPr>
          <w:rFonts w:hint="eastAsia" w:ascii="宋体" w:hAnsi="宋体" w:cs="宋体"/>
          <w:bCs/>
          <w:sz w:val="24"/>
          <w:highlight w:val="none"/>
        </w:rPr>
      </w:pPr>
      <w:bookmarkStart w:id="82" w:name="OLE_LINK2"/>
      <w:r>
        <w:rPr>
          <w:rFonts w:hint="eastAsia" w:ascii="宋体" w:hAnsi="宋体" w:cs="宋体"/>
          <w:bCs/>
          <w:sz w:val="24"/>
          <w:highlight w:val="none"/>
        </w:rPr>
        <w:t>本基金在严格的风险控制的基础上,力争实现基金资产的稳健增值。</w:t>
      </w:r>
      <w:bookmarkEnd w:id="82"/>
    </w:p>
    <w:p>
      <w:pPr>
        <w:spacing w:line="360" w:lineRule="auto"/>
        <w:ind w:firstLine="480"/>
        <w:rPr>
          <w:rFonts w:hint="eastAsia" w:ascii="宋体" w:hAnsi="宋体" w:cs="宋体"/>
          <w:bCs/>
          <w:sz w:val="24"/>
          <w:highlight w:val="none"/>
        </w:rPr>
      </w:pPr>
    </w:p>
    <w:p>
      <w:pPr>
        <w:pStyle w:val="11"/>
        <w:ind w:firstLine="420"/>
        <w:rPr>
          <w:rFonts w:hint="eastAsia" w:ascii="宋体" w:hAnsi="宋体" w:eastAsia="宋体" w:cs="宋体"/>
          <w:b/>
          <w:sz w:val="24"/>
          <w:highlight w:val="none"/>
        </w:rPr>
      </w:pPr>
      <w:r>
        <w:rPr>
          <w:rFonts w:hint="eastAsia" w:ascii="宋体" w:hAnsi="宋体" w:eastAsia="宋体" w:cs="宋体"/>
          <w:b/>
          <w:sz w:val="24"/>
          <w:highlight w:val="none"/>
        </w:rPr>
        <w:t>五、发起资金来源</w:t>
      </w:r>
    </w:p>
    <w:p>
      <w:pPr>
        <w:pStyle w:val="11"/>
        <w:ind w:firstLine="420"/>
        <w:rPr>
          <w:rFonts w:hint="eastAsia" w:ascii="宋体" w:hAnsi="宋体" w:eastAsia="宋体" w:cs="宋体"/>
          <w:bCs/>
          <w:sz w:val="24"/>
          <w:highlight w:val="none"/>
        </w:rPr>
      </w:pPr>
      <w:r>
        <w:rPr>
          <w:rFonts w:hint="eastAsia" w:ascii="宋体" w:hAnsi="宋体" w:eastAsia="宋体" w:cs="宋体"/>
          <w:bCs/>
          <w:sz w:val="24"/>
          <w:highlight w:val="none"/>
        </w:rPr>
        <w:t>本基金发起资金来源于基金管理人的股东资金、基金管理人固有资金、基金管理人的高级管理人员或基金经理等人员的资金。发起资金提供方认购本基金的总金额不少于1000万元。本基金发起资金提供方认购的基金份额持有期限自基金合同生效日起不少于3年,期间份额不能赎回。认购份额的高级管理人员或基金经理等人员在上述期限内离职的，其持有期限的承诺不受影响。法律法规和监管机构另有规定的除外。</w:t>
      </w:r>
    </w:p>
    <w:p>
      <w:pPr>
        <w:pStyle w:val="11"/>
        <w:rPr>
          <w:rFonts w:hint="eastAsia" w:ascii="宋体" w:hAnsi="宋体" w:eastAsia="宋体" w:cs="宋体"/>
          <w:bCs/>
          <w:sz w:val="24"/>
          <w:highlight w:val="none"/>
        </w:rPr>
      </w:pPr>
    </w:p>
    <w:p>
      <w:pPr>
        <w:spacing w:line="360" w:lineRule="auto"/>
        <w:ind w:firstLine="482" w:firstLineChars="200"/>
        <w:rPr>
          <w:rFonts w:hint="eastAsia" w:ascii="宋体" w:hAnsi="宋体" w:cs="宋体"/>
          <w:b/>
          <w:sz w:val="24"/>
          <w:highlight w:val="none"/>
        </w:rPr>
      </w:pPr>
      <w:bookmarkStart w:id="83" w:name="_Toc79392576"/>
      <w:r>
        <w:rPr>
          <w:rFonts w:hint="eastAsia" w:ascii="宋体" w:hAnsi="宋体" w:cs="宋体"/>
          <w:b/>
          <w:sz w:val="24"/>
          <w:highlight w:val="none"/>
        </w:rPr>
        <w:t>六、基金的最低募集份额总额</w:t>
      </w:r>
      <w:bookmarkEnd w:id="83"/>
      <w:r>
        <w:rPr>
          <w:rFonts w:hint="eastAsia" w:ascii="宋体" w:hAnsi="宋体" w:cs="宋体"/>
          <w:b/>
          <w:sz w:val="24"/>
          <w:highlight w:val="none"/>
        </w:rPr>
        <w:t>和金额</w:t>
      </w:r>
    </w:p>
    <w:p>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highlight w:val="none"/>
        </w:rPr>
        <w:t>本基金为发起式基金，基金的最低募集份额总额为1000万份，基金的最低募集金额为1000万元人民币。本基金不设首次募集目标上限。法律法规和监管机构另有规定的除外。</w:t>
      </w:r>
      <w:r>
        <w:rPr>
          <w:rFonts w:hint="eastAsia" w:ascii="宋体" w:hAnsi="宋体" w:cs="宋体"/>
          <w:bCs/>
          <w:sz w:val="24"/>
          <w:szCs w:val="24"/>
          <w:highlight w:val="none"/>
        </w:rPr>
        <w:t xml:space="preserve"> </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84" w:name="_Toc79392577"/>
      <w:r>
        <w:rPr>
          <w:rFonts w:hint="eastAsia" w:ascii="宋体" w:hAnsi="宋体" w:cs="宋体"/>
          <w:b/>
          <w:sz w:val="24"/>
          <w:highlight w:val="none"/>
        </w:rPr>
        <w:t>七、基金份额面值</w:t>
      </w:r>
      <w:bookmarkEnd w:id="84"/>
      <w:r>
        <w:rPr>
          <w:rFonts w:hint="eastAsia" w:ascii="宋体" w:hAnsi="宋体" w:cs="宋体"/>
          <w:b/>
          <w:sz w:val="24"/>
          <w:highlight w:val="none"/>
        </w:rPr>
        <w:t>和认购费用</w:t>
      </w:r>
    </w:p>
    <w:p>
      <w:pPr>
        <w:spacing w:line="360" w:lineRule="auto"/>
        <w:ind w:firstLine="480"/>
        <w:rPr>
          <w:rFonts w:hint="eastAsia" w:ascii="宋体" w:hAnsi="宋体" w:cs="宋体"/>
          <w:bCs/>
          <w:sz w:val="24"/>
          <w:highlight w:val="none"/>
        </w:rPr>
      </w:pPr>
      <w:r>
        <w:rPr>
          <w:rFonts w:hint="eastAsia" w:ascii="宋体" w:hAnsi="宋体" w:cs="宋体"/>
          <w:bCs/>
          <w:sz w:val="24"/>
          <w:highlight w:val="none"/>
        </w:rPr>
        <w:t>本基金基金份额发售面值为人民币1.00元。</w:t>
      </w:r>
    </w:p>
    <w:p>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本基金认购费率按招募说明书的规定执行。</w:t>
      </w:r>
    </w:p>
    <w:p>
      <w:pPr>
        <w:autoSpaceDE w:val="0"/>
        <w:autoSpaceDN w:val="0"/>
        <w:adjustRightInd w:val="0"/>
        <w:spacing w:line="360" w:lineRule="auto"/>
        <w:ind w:firstLine="480" w:firstLineChars="200"/>
        <w:jc w:val="left"/>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85" w:name="_Toc79392578"/>
      <w:r>
        <w:rPr>
          <w:rFonts w:hint="eastAsia" w:ascii="宋体" w:hAnsi="宋体" w:cs="宋体"/>
          <w:b/>
          <w:sz w:val="24"/>
          <w:highlight w:val="none"/>
        </w:rPr>
        <w:t>八、基金存续期限</w:t>
      </w:r>
      <w:bookmarkEnd w:id="85"/>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不定期</w:t>
      </w:r>
    </w:p>
    <w:p>
      <w:pPr>
        <w:spacing w:line="360" w:lineRule="auto"/>
        <w:ind w:firstLine="480" w:firstLineChars="200"/>
        <w:rPr>
          <w:rFonts w:hint="eastAsia" w:ascii="宋体" w:hAnsi="宋体" w:cs="宋体"/>
          <w:bCs/>
          <w:sz w:val="24"/>
          <w:highlight w:val="none"/>
        </w:rPr>
      </w:pPr>
    </w:p>
    <w:p>
      <w:pPr>
        <w:spacing w:line="360" w:lineRule="auto"/>
        <w:ind w:firstLine="480"/>
        <w:rPr>
          <w:rFonts w:hint="eastAsia" w:ascii="宋体" w:hAnsi="宋体" w:cs="宋体"/>
          <w:b/>
          <w:bCs/>
          <w:sz w:val="24"/>
          <w:highlight w:val="none"/>
        </w:rPr>
      </w:pPr>
      <w:bookmarkStart w:id="86" w:name="OLE_LINK37"/>
      <w:bookmarkStart w:id="87" w:name="OLE_LINK38"/>
      <w:r>
        <w:rPr>
          <w:rFonts w:hint="eastAsia" w:ascii="宋体" w:hAnsi="宋体" w:cs="宋体"/>
          <w:b/>
          <w:bCs/>
          <w:sz w:val="24"/>
          <w:highlight w:val="none"/>
        </w:rPr>
        <w:t>九、基金份额类别设置</w:t>
      </w:r>
    </w:p>
    <w:p>
      <w:pPr>
        <w:spacing w:line="360" w:lineRule="auto"/>
        <w:ind w:left="199" w:firstLine="425"/>
        <w:rPr>
          <w:rFonts w:hint="eastAsia" w:ascii="宋体" w:hAnsi="宋体" w:cs="宋体"/>
          <w:bCs/>
          <w:sz w:val="24"/>
          <w:highlight w:val="none"/>
        </w:rPr>
      </w:pPr>
      <w:r>
        <w:rPr>
          <w:rFonts w:hint="eastAsia" w:ascii="宋体" w:hAnsi="宋体" w:cs="宋体"/>
          <w:bCs/>
          <w:sz w:val="24"/>
          <w:highlight w:val="none"/>
        </w:rPr>
        <w:t>本基金根据所收取的认购/申购费用、销售服务费用等方式的差异，将基金份额分为不同的类别。</w:t>
      </w:r>
    </w:p>
    <w:p>
      <w:pPr>
        <w:spacing w:line="360" w:lineRule="auto"/>
        <w:ind w:left="199" w:firstLine="425"/>
        <w:rPr>
          <w:rFonts w:hint="eastAsia" w:ascii="宋体" w:hAnsi="宋体" w:cs="宋体"/>
          <w:bCs/>
          <w:sz w:val="24"/>
          <w:highlight w:val="none"/>
        </w:rPr>
      </w:pPr>
      <w:r>
        <w:rPr>
          <w:rFonts w:hint="eastAsia" w:ascii="宋体" w:hAnsi="宋体" w:cs="宋体"/>
          <w:bCs/>
          <w:sz w:val="24"/>
          <w:highlight w:val="none"/>
        </w:rPr>
        <w:t>在投资者认购、申购基金时收取认购/申购费用而不计提销售服务费，并在赎回时根据持有期限收取赎回费用的基金份额，称为A类基金份额，其中，通过基金管理人认购、申购A类基金份额的不收取认购、申购费用；在投资者认购、申购基金份额时不收取认购/申购费用,而是从本类别基金资产中计提销售服务费，并在赎回时根据持有期限收取赎回费用的基金份额，称为C类基金份额，其中，通过基金管理人认购、申购C类基金份额的不收取销售服务费；通过代销机构认购、申购并持续持有期限超过一年的C类基金份额，不再继续收取销售服务费。</w:t>
      </w:r>
    </w:p>
    <w:p>
      <w:pPr>
        <w:spacing w:line="360" w:lineRule="auto"/>
        <w:ind w:left="199" w:firstLine="425"/>
        <w:rPr>
          <w:rFonts w:hint="eastAsia" w:ascii="宋体" w:hAnsi="宋体" w:cs="宋体"/>
          <w:highlight w:val="none"/>
        </w:rPr>
      </w:pPr>
      <w:r>
        <w:rPr>
          <w:rFonts w:hint="eastAsia" w:ascii="宋体" w:hAnsi="宋体" w:cs="宋体"/>
          <w:bCs/>
          <w:sz w:val="24"/>
          <w:highlight w:val="none"/>
        </w:rPr>
        <w:t>本基金A类基金份额和C类基金份额分别设置代码。由于基金费用的不同，本基金A类基金份额和C类基金份额将分别计算基金份额净值，计算公式为：</w:t>
      </w:r>
    </w:p>
    <w:p>
      <w:pPr>
        <w:spacing w:line="360" w:lineRule="auto"/>
        <w:ind w:left="199" w:firstLine="425"/>
        <w:rPr>
          <w:rFonts w:hint="eastAsia" w:ascii="宋体" w:hAnsi="宋体" w:cs="宋体"/>
          <w:bCs/>
          <w:sz w:val="24"/>
          <w:highlight w:val="none"/>
        </w:rPr>
      </w:pPr>
      <w:r>
        <w:rPr>
          <w:rFonts w:hint="eastAsia" w:ascii="宋体" w:hAnsi="宋体" w:cs="宋体"/>
          <w:bCs/>
          <w:sz w:val="24"/>
          <w:highlight w:val="none"/>
        </w:rPr>
        <w:t>计算日某类基金份额净值＝该计算日该类基金份额的基金资产净值/该计算日该类别基金份额总数。</w:t>
      </w:r>
    </w:p>
    <w:p>
      <w:pPr>
        <w:spacing w:line="360" w:lineRule="auto"/>
        <w:ind w:left="199" w:firstLine="425"/>
        <w:rPr>
          <w:rFonts w:hint="eastAsia" w:ascii="宋体" w:hAnsi="宋体" w:cs="宋体"/>
          <w:bCs/>
          <w:sz w:val="24"/>
          <w:highlight w:val="none"/>
        </w:rPr>
      </w:pPr>
      <w:r>
        <w:rPr>
          <w:rFonts w:hint="eastAsia" w:ascii="宋体" w:hAnsi="宋体" w:cs="宋体"/>
          <w:bCs/>
          <w:sz w:val="24"/>
          <w:highlight w:val="none"/>
        </w:rPr>
        <w:t>投资者可自行选择认购/申购的基金份额类别。本基金份额类别的具体设置、费率水平等由基金管理人确定，并在招募说明书及基金产品资料概要中列明。</w:t>
      </w:r>
    </w:p>
    <w:p>
      <w:pPr>
        <w:spacing w:line="360" w:lineRule="auto"/>
        <w:ind w:left="199" w:firstLine="425"/>
        <w:rPr>
          <w:rFonts w:hint="eastAsia" w:ascii="宋体" w:hAnsi="宋体" w:cs="宋体"/>
          <w:bCs/>
          <w:sz w:val="24"/>
          <w:highlight w:val="none"/>
        </w:rPr>
      </w:pPr>
      <w:r>
        <w:rPr>
          <w:rFonts w:hint="eastAsia" w:ascii="宋体" w:hAnsi="宋体" w:cs="宋体"/>
          <w:bCs/>
          <w:sz w:val="24"/>
          <w:highlight w:val="none"/>
        </w:rPr>
        <w:t>在不违反法律法规规定、基金合同的约定以及对基金份额持有人利益无实质性不利影响的情况下，经履行适当程序后，基金管理人可调整基金份额类别设置、变更现有基金份额类别的申购费率或变更收费方式、暂停现有基金份额类别的销售或对基金份额分类办法及规则进行调整，并依照《信息披露办法》的有关规定在规定媒介上公告，此项调整不需要召开基金份额持有人大会。</w:t>
      </w:r>
    </w:p>
    <w:p>
      <w:pPr>
        <w:spacing w:line="360" w:lineRule="auto"/>
        <w:ind w:firstLine="480"/>
        <w:rPr>
          <w:rFonts w:hint="eastAsia" w:ascii="宋体" w:hAnsi="宋体" w:cs="宋体"/>
          <w:bCs/>
          <w:sz w:val="24"/>
          <w:highlight w:val="none"/>
        </w:rPr>
      </w:pPr>
    </w:p>
    <w:p>
      <w:pPr>
        <w:pStyle w:val="2"/>
        <w:spacing w:before="0" w:after="0"/>
        <w:jc w:val="center"/>
        <w:rPr>
          <w:rFonts w:hint="eastAsia" w:hAnsi="宋体" w:cs="宋体"/>
          <w:color w:val="auto"/>
          <w:sz w:val="30"/>
          <w:highlight w:val="none"/>
        </w:rPr>
      </w:pPr>
      <w:r>
        <w:rPr>
          <w:rFonts w:hint="eastAsia" w:hAnsi="宋体" w:cs="宋体"/>
          <w:b w:val="0"/>
          <w:bCs/>
          <w:color w:val="auto"/>
          <w:kern w:val="44"/>
          <w:sz w:val="21"/>
          <w:highlight w:val="none"/>
        </w:rPr>
        <w:br w:type="page"/>
      </w:r>
      <w:bookmarkEnd w:id="86"/>
      <w:bookmarkEnd w:id="87"/>
      <w:bookmarkStart w:id="88" w:name="_Toc15203"/>
      <w:bookmarkStart w:id="89" w:name="_Toc22074"/>
      <w:bookmarkStart w:id="90" w:name="_Toc90742390"/>
      <w:bookmarkStart w:id="91" w:name="_Toc90742688"/>
      <w:bookmarkStart w:id="92" w:name="_Toc27189"/>
      <w:bookmarkStart w:id="93" w:name="_Toc6714"/>
      <w:bookmarkStart w:id="94" w:name="_Toc90742321"/>
      <w:bookmarkStart w:id="95" w:name="_Toc3266"/>
      <w:bookmarkStart w:id="96" w:name="_Toc16265"/>
      <w:bookmarkStart w:id="97" w:name="_Toc27226"/>
      <w:bookmarkStart w:id="98" w:name="_Toc29948"/>
      <w:bookmarkStart w:id="99" w:name="_Toc24682"/>
      <w:bookmarkStart w:id="100" w:name="_Toc29784"/>
      <w:bookmarkStart w:id="101" w:name="_Toc7151"/>
      <w:r>
        <w:rPr>
          <w:rFonts w:hint="eastAsia" w:hAnsi="宋体" w:cs="宋体"/>
          <w:color w:val="auto"/>
          <w:sz w:val="30"/>
          <w:highlight w:val="none"/>
        </w:rPr>
        <w:t>第四部分  基金份额的发售</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spacing w:line="360" w:lineRule="auto"/>
        <w:ind w:firstLine="420" w:firstLineChars="200"/>
        <w:rPr>
          <w:rFonts w:hint="eastAsia" w:ascii="宋体" w:hAnsi="宋体" w:cs="宋体"/>
          <w:bCs/>
          <w:kern w:val="4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一、基金份额的发售时间、发售方式、发售对象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1、发售时间</w:t>
      </w:r>
    </w:p>
    <w:p>
      <w:pPr>
        <w:spacing w:line="360" w:lineRule="auto"/>
        <w:ind w:firstLine="480" w:firstLineChars="200"/>
        <w:rPr>
          <w:rFonts w:hint="eastAsia" w:ascii="宋体" w:hAnsi="宋体" w:cs="宋体"/>
          <w:bCs/>
          <w:highlight w:val="none"/>
        </w:rPr>
      </w:pPr>
      <w:r>
        <w:rPr>
          <w:rFonts w:hint="eastAsia" w:ascii="宋体" w:hAnsi="宋体" w:cs="宋体"/>
          <w:bCs/>
          <w:sz w:val="24"/>
          <w:highlight w:val="none"/>
        </w:rPr>
        <w:t>自基金份额发售之日起最长不得超过3个月，具体发售时间见基金份额发售公告。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2、发售方式</w:t>
      </w:r>
    </w:p>
    <w:p>
      <w:pPr>
        <w:spacing w:line="360" w:lineRule="auto"/>
        <w:ind w:firstLine="480" w:firstLineChars="200"/>
        <w:rPr>
          <w:rFonts w:hint="eastAsia" w:ascii="宋体" w:hAnsi="宋体" w:cs="宋体"/>
          <w:bCs/>
          <w:sz w:val="24"/>
          <w:highlight w:val="none"/>
          <w:lang w:val="en-US" w:eastAsia="zh-CN"/>
        </w:rPr>
      </w:pPr>
      <w:r>
        <w:rPr>
          <w:rFonts w:hint="eastAsia" w:ascii="宋体" w:hAnsi="宋体" w:cs="宋体"/>
          <w:bCs/>
          <w:sz w:val="24"/>
          <w:highlight w:val="none"/>
        </w:rPr>
        <w:t>通过东方阿尔法基金管理有限公司直销机构及代销机构的基金销售网点公开发售，各销售机构的具体名单见基金份额发售公告以及基金管理人网站公示。</w:t>
      </w:r>
      <w:r>
        <w:rPr>
          <w:rFonts w:hint="eastAsia" w:ascii="宋体" w:hAnsi="宋体" w:cs="宋体"/>
          <w:bCs/>
          <w:sz w:val="24"/>
          <w:highlight w:val="none"/>
          <w:lang w:val="en-US" w:eastAsia="zh-CN"/>
        </w:rPr>
        <w:t xml:space="preserve">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3、发售对象</w:t>
      </w:r>
    </w:p>
    <w:p>
      <w:pPr>
        <w:spacing w:line="360" w:lineRule="auto"/>
        <w:ind w:firstLine="480" w:firstLineChars="200"/>
        <w:rPr>
          <w:rFonts w:hint="eastAsia" w:ascii="宋体" w:hAnsi="宋体" w:cs="宋体"/>
          <w:bCs/>
          <w:sz w:val="24"/>
          <w:highlight w:val="none"/>
        </w:rPr>
      </w:pPr>
      <w:bookmarkStart w:id="102" w:name="OLE_LINK10"/>
      <w:r>
        <w:rPr>
          <w:rFonts w:hint="eastAsia" w:ascii="宋体" w:hAnsi="宋体" w:cs="宋体"/>
          <w:bCs/>
          <w:sz w:val="24"/>
          <w:highlight w:val="none"/>
        </w:rPr>
        <w:t>符合法律法规规定的可投资于证券投资基金的个人投资者、机构投资者、合格境外投资者、发起资金提供方以及法律法规或中国证监会允许购买证券投资基金的其他投资人。</w:t>
      </w:r>
    </w:p>
    <w:bookmarkEnd w:id="102"/>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二、基金份额的认购</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1、认购费用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C类基金份额不收取认购费用。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本基金A类份额的认购费率由基金管理人决定，并在招募说明书、基金产品资料概要及相关公告中列示。基金认购费用不列入基金财产，主要用于募集期间发生的各项费用。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2、募集期利息的处理方式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有效认购款项在募集期间产生的利息将折算为基金份额归基金份额持有人所有，其中利息转份额以登记机构的记录为准。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3、基金认购份额的计算</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基金认购份额具体的计算方法在招募说明书中列示。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4、认购份额余额的处理方式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认购份额余额的处理方式在招募说明书中列示。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5、认购申请的确认</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销售机构对认购申请的受理并不代表该申请一定成功，而仅代表销售机构确实接收到认购申请。认购的确认以登记机构或基金管理人的确认结果为准。对于认购申请及认购份额的确认情况，投资人可及时查询并妥善行使合法权利。</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三、基金份额认购金额的限制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1、投资人认购时，需按销售机构规定的方式全额缴款。</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2、基金管理人可以对每个基金交易账户的单笔最低认购金额进行限制，具体限制请参看招募说明书或相关公告。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3、基金管理人可以对募集期间的单个投资人的累计认购金额进行限制，具体限制和处理方法请参看招募说明书或相关公告。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4、投资人在募集期内可以多次认购基金份额，认购费按每笔认购申请单独计算。已受理的认购申请不允许撤销。</w:t>
      </w:r>
    </w:p>
    <w:p>
      <w:pPr>
        <w:spacing w:line="360" w:lineRule="auto"/>
        <w:ind w:firstLine="480" w:firstLineChars="200"/>
        <w:rPr>
          <w:rFonts w:hint="eastAsia" w:ascii="宋体" w:hAnsi="宋体" w:cs="宋体"/>
          <w:bCs/>
          <w:sz w:val="24"/>
          <w:highlight w:val="none"/>
        </w:rPr>
      </w:pPr>
      <w:bookmarkStart w:id="103" w:name="OLE_LINK40"/>
      <w:bookmarkStart w:id="104" w:name="OLE_LINK39"/>
      <w:r>
        <w:rPr>
          <w:rFonts w:hint="eastAsia" w:ascii="宋体" w:hAnsi="宋体" w:cs="宋体"/>
          <w:bCs/>
          <w:sz w:val="24"/>
          <w:highlight w:val="none"/>
        </w:rPr>
        <w:t>5、本基金单个投资人累计认购的基金份额达到或超过基金总份额50%的，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基金管理人使用固有资金、公司高级管理人员及基金经理等人员出资认购的基金份额超过基金总份额50%的，不受上述限制。</w:t>
      </w:r>
    </w:p>
    <w:bookmarkEnd w:id="103"/>
    <w:bookmarkEnd w:id="104"/>
    <w:p>
      <w:pPr>
        <w:spacing w:line="360" w:lineRule="auto"/>
        <w:ind w:firstLine="480" w:firstLineChars="200"/>
        <w:rPr>
          <w:rFonts w:hint="eastAsia" w:ascii="宋体" w:hAnsi="宋体" w:cs="宋体"/>
          <w:bCs/>
          <w:sz w:val="24"/>
          <w:highlight w:val="none"/>
        </w:rPr>
      </w:pPr>
    </w:p>
    <w:p>
      <w:pPr>
        <w:widowControl/>
        <w:ind w:firstLine="482" w:firstLineChars="200"/>
        <w:jc w:val="left"/>
        <w:rPr>
          <w:rFonts w:hint="eastAsia" w:ascii="宋体" w:hAnsi="宋体" w:cs="宋体"/>
          <w:b/>
          <w:bCs/>
          <w:sz w:val="24"/>
          <w:highlight w:val="none"/>
        </w:rPr>
      </w:pPr>
      <w:r>
        <w:rPr>
          <w:rFonts w:hint="eastAsia" w:ascii="宋体" w:hAnsi="宋体" w:cs="宋体"/>
          <w:b/>
          <w:bCs/>
          <w:sz w:val="24"/>
          <w:highlight w:val="none"/>
        </w:rPr>
        <w:t>四、发起资金的认购</w:t>
      </w:r>
    </w:p>
    <w:p>
      <w:pPr>
        <w:spacing w:line="360" w:lineRule="auto"/>
        <w:ind w:firstLine="480" w:firstLineChars="200"/>
        <w:rPr>
          <w:rFonts w:hint="eastAsia" w:ascii="宋体" w:hAnsi="宋体" w:cs="宋体"/>
          <w:bCs/>
          <w:sz w:val="24"/>
          <w:highlight w:val="none"/>
        </w:rPr>
        <w:sectPr>
          <w:footerReference r:id="rId9" w:type="default"/>
          <w:pgSz w:w="11906" w:h="16838"/>
          <w:pgMar w:top="1440" w:right="1800" w:bottom="1440" w:left="1800" w:header="851" w:footer="992" w:gutter="0"/>
          <w:pgNumType w:start="1" w:chapStyle="1"/>
          <w:cols w:space="720" w:num="1"/>
          <w:docGrid w:type="lines" w:linePitch="312" w:charSpace="0"/>
        </w:sectPr>
      </w:pPr>
      <w:r>
        <w:rPr>
          <w:rFonts w:hint="eastAsia" w:ascii="宋体" w:hAnsi="宋体" w:cs="宋体"/>
          <w:bCs/>
          <w:sz w:val="24"/>
          <w:highlight w:val="none"/>
        </w:rPr>
        <w:t>基金管理人股东资金、基金管理人固有资金、基金管理人高级管理人员、基金经理（包括基金经理之外的投研人员）等人员认购金额不低于1000万元，认购的基金份额持有期限不少于三年。</w:t>
      </w:r>
    </w:p>
    <w:p>
      <w:pPr>
        <w:pStyle w:val="2"/>
        <w:spacing w:before="0" w:after="0"/>
        <w:jc w:val="center"/>
        <w:rPr>
          <w:rFonts w:hint="eastAsia" w:hAnsi="宋体" w:cs="宋体"/>
          <w:color w:val="auto"/>
          <w:sz w:val="30"/>
          <w:highlight w:val="none"/>
        </w:rPr>
      </w:pPr>
      <w:bookmarkStart w:id="105" w:name="_Toc141703885"/>
      <w:bookmarkStart w:id="106" w:name="_Toc6559"/>
      <w:bookmarkStart w:id="107" w:name="_Toc139991735"/>
      <w:bookmarkStart w:id="108" w:name="_Toc1823"/>
      <w:bookmarkStart w:id="109" w:name="_Toc17912"/>
      <w:bookmarkStart w:id="110" w:name="_Toc7848"/>
      <w:bookmarkStart w:id="111" w:name="_Toc18526"/>
      <w:bookmarkStart w:id="112" w:name="_Toc18329"/>
      <w:bookmarkStart w:id="113" w:name="_Toc4741"/>
      <w:bookmarkStart w:id="114" w:name="_Toc14893"/>
      <w:bookmarkStart w:id="115" w:name="_Toc18797"/>
      <w:bookmarkStart w:id="116" w:name="_Toc26986"/>
      <w:bookmarkStart w:id="117" w:name="_Toc21988"/>
      <w:r>
        <w:rPr>
          <w:rFonts w:hint="eastAsia" w:hAnsi="宋体" w:cs="宋体"/>
          <w:color w:val="auto"/>
          <w:sz w:val="30"/>
          <w:highlight w:val="none"/>
        </w:rPr>
        <w:t>第五部分  基金备案</w:t>
      </w:r>
      <w:bookmarkEnd w:id="105"/>
      <w:bookmarkEnd w:id="106"/>
      <w:bookmarkEnd w:id="107"/>
      <w:bookmarkEnd w:id="108"/>
      <w:bookmarkEnd w:id="109"/>
      <w:bookmarkEnd w:id="110"/>
      <w:bookmarkEnd w:id="111"/>
      <w:bookmarkEnd w:id="112"/>
      <w:bookmarkEnd w:id="113"/>
      <w:bookmarkEnd w:id="114"/>
      <w:bookmarkEnd w:id="115"/>
      <w:bookmarkEnd w:id="116"/>
      <w:bookmarkEnd w:id="117"/>
    </w:p>
    <w:p>
      <w:pPr>
        <w:spacing w:line="360" w:lineRule="auto"/>
        <w:ind w:firstLine="54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118" w:name="OLE_LINK45"/>
      <w:bookmarkStart w:id="119" w:name="OLE_LINK46"/>
      <w:r>
        <w:rPr>
          <w:rFonts w:hint="eastAsia" w:ascii="宋体" w:hAnsi="宋体" w:cs="宋体"/>
          <w:b/>
          <w:sz w:val="24"/>
          <w:highlight w:val="none"/>
        </w:rPr>
        <w:t>一、基金备案的条件</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本基金自基金份额发售之日起3个月内，发起资金提供方认购本基金的总金额不少于1000万元，发起资金提供方承诺持有期限不少于三年的条件下，基金</w:t>
      </w:r>
      <w:r>
        <w:rPr>
          <w:rFonts w:hint="eastAsia" w:ascii="宋体" w:hAnsi="宋体" w:cs="宋体"/>
          <w:bCs/>
          <w:sz w:val="24"/>
          <w:highlight w:val="none"/>
        </w:rPr>
        <w:t>募集期届满或基金</w:t>
      </w:r>
      <w:r>
        <w:rPr>
          <w:rFonts w:hint="eastAsia" w:ascii="宋体" w:hAnsi="宋体" w:cs="宋体"/>
          <w:sz w:val="24"/>
          <w:highlight w:val="none"/>
        </w:rPr>
        <w:t>管理人依据法律法规及招募说明书可以决定停止基金发售，并在</w:t>
      </w:r>
      <w:r>
        <w:rPr>
          <w:rFonts w:hint="eastAsia" w:ascii="宋体" w:hAnsi="宋体" w:cs="宋体"/>
          <w:bCs/>
          <w:sz w:val="24"/>
          <w:highlight w:val="none"/>
        </w:rPr>
        <w:t>10</w:t>
      </w:r>
      <w:r>
        <w:rPr>
          <w:rFonts w:hint="eastAsia" w:ascii="宋体" w:hAnsi="宋体" w:cs="宋体"/>
          <w:sz w:val="24"/>
          <w:highlight w:val="none"/>
        </w:rPr>
        <w:t>日内聘请法定验资机构验资</w:t>
      </w:r>
      <w:r>
        <w:rPr>
          <w:rFonts w:hint="eastAsia" w:ascii="宋体" w:hAnsi="宋体" w:cs="宋体"/>
          <w:bCs/>
          <w:sz w:val="24"/>
          <w:highlight w:val="none"/>
        </w:rPr>
        <w:t>，</w:t>
      </w:r>
      <w:bookmarkStart w:id="120" w:name="_Hlk48047560"/>
      <w:r>
        <w:rPr>
          <w:rFonts w:hint="eastAsia" w:ascii="宋体" w:hAnsi="宋体" w:cs="宋体"/>
          <w:bCs/>
          <w:sz w:val="24"/>
          <w:highlight w:val="none"/>
        </w:rPr>
        <w:t>验资报告需对发起资金提供方及其持有的基金份额进行专门说明。</w:t>
      </w:r>
      <w:bookmarkEnd w:id="120"/>
      <w:r>
        <w:rPr>
          <w:rFonts w:hint="eastAsia" w:ascii="宋体" w:hAnsi="宋体" w:cs="宋体"/>
          <w:sz w:val="24"/>
          <w:highlight w:val="none"/>
        </w:rPr>
        <w:t>自收到验资报告之日起</w:t>
      </w:r>
      <w:r>
        <w:rPr>
          <w:rFonts w:hint="eastAsia" w:ascii="宋体" w:hAnsi="宋体" w:cs="宋体"/>
          <w:bCs/>
          <w:sz w:val="24"/>
          <w:highlight w:val="none"/>
        </w:rPr>
        <w:t>10</w:t>
      </w:r>
      <w:r>
        <w:rPr>
          <w:rFonts w:hint="eastAsia" w:ascii="宋体" w:hAnsi="宋体" w:cs="宋体"/>
          <w:sz w:val="24"/>
          <w:highlight w:val="none"/>
        </w:rPr>
        <w:t>日内，向中国证监会办理基金备案手续。</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pPr>
        <w:spacing w:line="360" w:lineRule="auto"/>
        <w:ind w:firstLine="480" w:firstLineChars="200"/>
        <w:jc w:val="left"/>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二、基金合同不能生效时募集资金的处理方式</w:t>
      </w:r>
    </w:p>
    <w:p>
      <w:pPr>
        <w:spacing w:line="360" w:lineRule="auto"/>
        <w:ind w:firstLine="480"/>
        <w:rPr>
          <w:rFonts w:hint="eastAsia" w:ascii="宋体" w:hAnsi="宋体" w:cs="宋体"/>
          <w:bCs/>
          <w:sz w:val="24"/>
          <w:highlight w:val="none"/>
        </w:rPr>
      </w:pPr>
      <w:r>
        <w:rPr>
          <w:rFonts w:hint="eastAsia" w:ascii="宋体" w:hAnsi="宋体" w:cs="宋体"/>
          <w:bCs/>
          <w:sz w:val="24"/>
          <w:highlight w:val="none"/>
        </w:rPr>
        <w:t>如果募集期限届满，未满足基金备案条件，基金管理人应当承担下列责任：</w:t>
      </w:r>
    </w:p>
    <w:p>
      <w:pPr>
        <w:spacing w:line="360" w:lineRule="auto"/>
        <w:ind w:firstLine="480"/>
        <w:rPr>
          <w:rFonts w:hint="eastAsia" w:ascii="宋体" w:hAnsi="宋体" w:cs="宋体"/>
          <w:bCs/>
          <w:sz w:val="24"/>
          <w:highlight w:val="none"/>
        </w:rPr>
      </w:pPr>
      <w:r>
        <w:rPr>
          <w:rFonts w:hint="eastAsia" w:ascii="宋体" w:hAnsi="宋体" w:cs="宋体"/>
          <w:bCs/>
          <w:sz w:val="24"/>
          <w:highlight w:val="none"/>
        </w:rPr>
        <w:t>1、以其固有财产承担因募集行为而产生的债务和费用；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2、在基金募集期限届满后30日内返还投资者已交纳的款项，并加计银行同期活期存款利息；</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3、如基金募集失败，基金管理人、基金托管人及销售机构不得请求报酬。基金管理人、基金托管人和销售机构为基金募集支付之一切费用应由各方各自承担。</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三、基金存续期内的基金份额持有人数量和资产规模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本基金的基金合同</w:t>
      </w:r>
      <w:r>
        <w:rPr>
          <w:rFonts w:hint="eastAsia" w:ascii="宋体" w:hAnsi="宋体" w:cs="宋体"/>
          <w:sz w:val="24"/>
          <w:highlight w:val="none"/>
        </w:rPr>
        <w:t>生效</w:t>
      </w:r>
      <w:r>
        <w:rPr>
          <w:rFonts w:hint="eastAsia" w:ascii="宋体" w:hAnsi="宋体" w:cs="宋体"/>
          <w:bCs/>
          <w:sz w:val="24"/>
          <w:highlight w:val="none"/>
        </w:rPr>
        <w:t>三年后（指基金合同生效之日起三年后的对应日），若基金资产净值低于两亿元的，基金合同自动终止。</w:t>
      </w:r>
    </w:p>
    <w:p>
      <w:pPr>
        <w:spacing w:line="360" w:lineRule="auto"/>
        <w:ind w:firstLine="480" w:firstLineChars="200"/>
        <w:rPr>
          <w:rFonts w:hint="eastAsia" w:ascii="宋体" w:hAnsi="宋体" w:cs="宋体"/>
          <w:bCs/>
          <w:sz w:val="24"/>
          <w:highlight w:val="none"/>
        </w:rPr>
      </w:pPr>
      <w:bookmarkStart w:id="121" w:name="OLE_LINK20"/>
      <w:r>
        <w:rPr>
          <w:rFonts w:hint="eastAsia" w:ascii="宋体" w:hAnsi="宋体" w:cs="宋体"/>
          <w:bCs/>
          <w:sz w:val="24"/>
          <w:highlight w:val="none"/>
        </w:rPr>
        <w:t>本基金在基金合同生效三年后继续存续的</w:t>
      </w:r>
      <w:r>
        <w:rPr>
          <w:rFonts w:hint="eastAsia" w:ascii="宋体" w:hAnsi="宋体" w:cs="宋体"/>
          <w:sz w:val="24"/>
          <w:highlight w:val="none"/>
        </w:rPr>
        <w:t>，连续20个工作日出现基金份额持有人数量不满200人或者基金资产净值低于5000万元</w:t>
      </w:r>
      <w:r>
        <w:rPr>
          <w:rFonts w:hint="eastAsia" w:ascii="宋体" w:hAnsi="宋体" w:cs="宋体"/>
          <w:bCs/>
          <w:sz w:val="24"/>
          <w:highlight w:val="none"/>
        </w:rPr>
        <w:t>情形</w:t>
      </w:r>
      <w:r>
        <w:rPr>
          <w:rFonts w:hint="eastAsia" w:ascii="宋体" w:hAnsi="宋体" w:cs="宋体"/>
          <w:sz w:val="24"/>
          <w:highlight w:val="none"/>
        </w:rPr>
        <w:t>的，基金管理人应当在定期报告中披露；连续50个工作日出现前述情形的，基金管理人应当</w:t>
      </w:r>
      <w:r>
        <w:rPr>
          <w:rFonts w:hint="eastAsia" w:ascii="宋体" w:hAnsi="宋体" w:cs="宋体"/>
          <w:bCs/>
          <w:sz w:val="24"/>
          <w:highlight w:val="none"/>
        </w:rPr>
        <w:t>根据</w:t>
      </w:r>
      <w:r>
        <w:rPr>
          <w:rFonts w:hint="eastAsia" w:ascii="宋体" w:hAnsi="宋体" w:cs="宋体"/>
          <w:sz w:val="24"/>
          <w:highlight w:val="none"/>
        </w:rPr>
        <w:t>基金合同</w:t>
      </w:r>
      <w:r>
        <w:rPr>
          <w:rFonts w:hint="eastAsia" w:ascii="宋体" w:hAnsi="宋体" w:cs="宋体"/>
          <w:bCs/>
          <w:sz w:val="24"/>
          <w:highlight w:val="none"/>
        </w:rPr>
        <w:t>约定进入清算程序并终止，而无需召</w:t>
      </w:r>
      <w:r>
        <w:rPr>
          <w:rFonts w:hint="eastAsia" w:ascii="宋体" w:hAnsi="宋体" w:cs="宋体"/>
          <w:sz w:val="24"/>
          <w:highlight w:val="none"/>
        </w:rPr>
        <w:t>开基金份额持有人大会</w:t>
      </w:r>
      <w:r>
        <w:rPr>
          <w:rFonts w:hint="eastAsia" w:ascii="宋体" w:hAnsi="宋体" w:cs="宋体"/>
          <w:bCs/>
          <w:sz w:val="24"/>
          <w:highlight w:val="none"/>
        </w:rPr>
        <w:t>。</w:t>
      </w:r>
    </w:p>
    <w:bookmarkEnd w:id="121"/>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法律法规或中国证监会另有规定时，从其规定。</w:t>
      </w:r>
    </w:p>
    <w:p>
      <w:pPr>
        <w:jc w:val="center"/>
        <w:rPr>
          <w:rFonts w:hint="eastAsia" w:ascii="宋体" w:hAnsi="宋体" w:cs="宋体"/>
          <w:bCs/>
          <w:kern w:val="44"/>
          <w:highlight w:val="none"/>
        </w:rPr>
      </w:pPr>
      <w:bookmarkStart w:id="122" w:name="_Toc141703886"/>
      <w:bookmarkStart w:id="123" w:name="_Toc123051452"/>
      <w:bookmarkStart w:id="124" w:name="_Toc123112234"/>
      <w:bookmarkStart w:id="125" w:name="_Toc4003"/>
      <w:bookmarkStart w:id="126" w:name="_Toc11081"/>
      <w:bookmarkStart w:id="127" w:name="_Toc17244"/>
      <w:bookmarkStart w:id="128" w:name="_Toc23822"/>
      <w:bookmarkStart w:id="129" w:name="_Toc123102453"/>
      <w:bookmarkStart w:id="130" w:name="_Toc98560352"/>
      <w:bookmarkStart w:id="131" w:name="_Toc48649707"/>
      <w:bookmarkStart w:id="132" w:name="_Toc20733"/>
      <w:bookmarkStart w:id="133" w:name="_Toc1270"/>
      <w:bookmarkStart w:id="134" w:name="_Toc610"/>
      <w:bookmarkStart w:id="135" w:name="_Toc79392606"/>
      <w:bookmarkStart w:id="136" w:name="_Toc1427"/>
      <w:bookmarkStart w:id="137" w:name="_Toc10463"/>
      <w:bookmarkStart w:id="138" w:name="_Toc23261"/>
      <w:bookmarkStart w:id="139" w:name="_Toc7920"/>
      <w:bookmarkStart w:id="140" w:name="_Toc139991736"/>
      <w:r>
        <w:rPr>
          <w:rFonts w:hint="eastAsia" w:ascii="宋体" w:hAnsi="宋体" w:cs="宋体"/>
          <w:bCs/>
          <w:kern w:val="44"/>
          <w:highlight w:val="none"/>
        </w:rPr>
        <w:br w:type="page"/>
      </w:r>
      <w:bookmarkEnd w:id="118"/>
      <w:bookmarkEnd w:id="119"/>
    </w:p>
    <w:p>
      <w:pPr>
        <w:pStyle w:val="2"/>
        <w:spacing w:before="0" w:after="0"/>
        <w:jc w:val="center"/>
        <w:rPr>
          <w:rFonts w:hint="eastAsia" w:hAnsi="宋体" w:cs="宋体"/>
          <w:color w:val="auto"/>
          <w:sz w:val="30"/>
          <w:highlight w:val="none"/>
        </w:rPr>
      </w:pPr>
      <w:r>
        <w:rPr>
          <w:rFonts w:hint="eastAsia" w:hAnsi="宋体" w:cs="宋体"/>
          <w:color w:val="auto"/>
          <w:sz w:val="30"/>
          <w:highlight w:val="none"/>
        </w:rPr>
        <w:t>第六部分  基金份额的申购与赎回</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pPr>
        <w:spacing w:line="360" w:lineRule="auto"/>
        <w:ind w:firstLine="54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141" w:name="OLE_LINK47"/>
      <w:r>
        <w:rPr>
          <w:rFonts w:hint="eastAsia" w:ascii="宋体" w:hAnsi="宋体" w:cs="宋体"/>
          <w:b/>
          <w:sz w:val="24"/>
          <w:highlight w:val="none"/>
        </w:rPr>
        <w:t>一、申购和赎回场所</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的申购与赎回将通过销售机构进行。具体的销售网点将由基金管理人在招募说明书或其他相关公告中列明。基金管理人可根据情况变更或增减销售机构，并在基金管理人网站公示。基金投资者应当在销售机构办理基金销售业务的营业场所或按销售机构提供的其他方式办理基金份额的申购与赎回。</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二、申购和赎回的开放日及时间</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1、开放日及开放时间</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投资人在开放日办理基金份额的申购和赎回，具体办理时间为证券交易所及相关金融期货交易所的正常交易日的交易时间，若本基金参与港股通交易且该工作日为非港股通交易日时，则基金管理人可根据实际情况决定本基金是否暂停申购、赎回及转换业务，具体以届时提前发布的公告为准。但基金管理人根据法律法规、中国证监会的要求或本基金合同的规定公告暂停申购、赎回时除外。</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2、申购、赎回开始日及业务办理时间</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基金管理人可根据实际情况依法决定本基金开始办理申购的具体日期，具体业务办理时间在申购开始公告中规定。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基金管理人自基金合同生效之日起不超过3个月开始办理赎回，具体业务办理时间在赎回开始公告中规定。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在确定申购开始与赎回开始时间后，基金管理人应在申购、赎回开放日前依照《信息披露办法》的有关规定在规定媒介上公告申购与赎回的开始时间。</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三、申购与赎回的原则</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1、“未知价”原则，即申购、赎回价格以申请当日收市后计算的该类别基金份额净值为基准进行计算；</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2、“金额申购、份额赎回”原则，即申购以金额申请，赎回以份额申请；</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3、当日的申购与赎回申请可以在基金管理人规定的时间内撤销；</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4、赎回遵循“先进先出”原则，即按照投资人认购、申购的先后次序进行顺序赎回； </w:t>
      </w:r>
    </w:p>
    <w:p>
      <w:pPr>
        <w:spacing w:line="360" w:lineRule="auto"/>
        <w:ind w:firstLine="480" w:firstLineChars="200"/>
        <w:rPr>
          <w:rFonts w:hint="eastAsia" w:ascii="宋体" w:hAnsi="宋体" w:cs="宋体"/>
          <w:b/>
          <w:sz w:val="24"/>
          <w:highlight w:val="none"/>
          <w:u w:val="single"/>
        </w:rPr>
      </w:pPr>
      <w:r>
        <w:rPr>
          <w:rFonts w:hint="eastAsia" w:ascii="宋体" w:hAnsi="宋体" w:cs="宋体"/>
          <w:bCs/>
          <w:sz w:val="24"/>
          <w:highlight w:val="none"/>
        </w:rPr>
        <w:t>5、办理申购、赎回业务时，应当遵循基金份额持有人利益优先原则</w:t>
      </w:r>
      <w:r>
        <w:rPr>
          <w:rFonts w:hint="eastAsia" w:ascii="宋体" w:hAnsi="宋体" w:cs="宋体"/>
          <w:bCs/>
          <w:color w:val="000000"/>
          <w:sz w:val="24"/>
          <w:highlight w:val="none"/>
        </w:rPr>
        <w:t>，确保投资者的合法权益不受损害并得到公平对待</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基金管理人可在法律法规允许的情况下，对上述原则进行调整。基金管理人必须在新规则开始实施前依照《信息披露办法》的有关规定在规定媒介上公告。</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四、申购与赎回的程序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1、申购和赎回的申请方式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投资人必须根据销售机构规定的程序，在开放日的具体业务办理时间内提出申购或赎回的申请。</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2、申购和赎回的款项支付</w:t>
      </w:r>
    </w:p>
    <w:p>
      <w:pPr>
        <w:spacing w:line="360" w:lineRule="auto"/>
        <w:ind w:firstLine="480" w:firstLineChars="200"/>
        <w:rPr>
          <w:rFonts w:hint="eastAsia" w:ascii="宋体" w:hAnsi="宋体" w:cs="宋体"/>
          <w:bCs/>
          <w:sz w:val="24"/>
          <w:highlight w:val="none"/>
          <w:lang w:val="zh-CN"/>
        </w:rPr>
      </w:pPr>
      <w:r>
        <w:rPr>
          <w:rFonts w:hint="eastAsia" w:ascii="宋体" w:hAnsi="宋体" w:cs="宋体"/>
          <w:bCs/>
          <w:sz w:val="24"/>
          <w:highlight w:val="none"/>
          <w:lang w:val="zh-CN"/>
        </w:rPr>
        <w:t>投资人申购基金份额时，必须</w:t>
      </w:r>
      <w:r>
        <w:rPr>
          <w:rFonts w:hint="eastAsia" w:ascii="宋体" w:hAnsi="宋体" w:cs="宋体"/>
          <w:sz w:val="24"/>
          <w:highlight w:val="none"/>
          <w:lang w:val="zh-CN"/>
        </w:rPr>
        <w:t>在规定时间内</w:t>
      </w:r>
      <w:r>
        <w:rPr>
          <w:rFonts w:hint="eastAsia" w:ascii="宋体" w:hAnsi="宋体" w:cs="宋体"/>
          <w:bCs/>
          <w:sz w:val="24"/>
          <w:highlight w:val="none"/>
          <w:lang w:val="zh-CN"/>
        </w:rPr>
        <w:t>全额交付申购款项，投资人交付申购款项，申购</w:t>
      </w:r>
      <w:r>
        <w:rPr>
          <w:rFonts w:hint="eastAsia" w:ascii="宋体" w:hAnsi="宋体" w:cs="宋体"/>
          <w:bCs/>
          <w:sz w:val="24"/>
          <w:szCs w:val="24"/>
          <w:highlight w:val="none"/>
        </w:rPr>
        <w:t>成立；基金份额登记机构确认基金份额时，申购生效</w:t>
      </w:r>
      <w:r>
        <w:rPr>
          <w:rFonts w:hint="eastAsia" w:ascii="宋体" w:hAnsi="宋体" w:cs="宋体"/>
          <w:bCs/>
          <w:sz w:val="24"/>
          <w:highlight w:val="none"/>
          <w:lang w:val="zh-CN"/>
        </w:rPr>
        <w:t>。若申购资金在规定时间内未全额到账则申购不成立，申购款项将退回投资人账户，基金管理人、基金托管人和销售机构等不承担由此产生的利息等任何损失。基金份额持有人在提交赎回申请时，必须有足够的基金份额余额，否则所提交的赎回申请不成立。</w:t>
      </w:r>
    </w:p>
    <w:p>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基金份额持有人递交赎回申请，赎回成立；基金份额登记机构确认赎回时，赎回生效。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投资人赎回申请生效后，基金管理人将在T＋7日(包括该日)内支付赎回款项。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在发生巨额赎回或本基金合同载明的暂停赎回或延缓支付赎回款项的情形时，款项的支付办法参照本基金合同有关条款处理。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遇证券、期货交易所或交易市场数据传输延迟、通讯系统故障、银行数据交换系统故障或其他非基金管理人及基金托管人所能控制的因素影响业务处理流程时，赎回款项顺延至上述因素影响消除的下一个工作日划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3、申购和赎回申请的确认</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应以交易时间结束前受理有效申购和赎回申请的当天作为申购或赎回申请日(T日)，在正常情况下，本基金登记机构在T+1日内（包括该日）对该交易的有效性进行确认。T日提交的有效申请，投资人可在T+2日后(包括该日)到销售网点柜台或以销售机构规定的其他方式</w:t>
      </w:r>
      <w:bookmarkStart w:id="142" w:name="OLE_LINK11"/>
      <w:r>
        <w:rPr>
          <w:rFonts w:hint="eastAsia" w:ascii="宋体" w:hAnsi="宋体" w:cs="宋体"/>
          <w:bCs/>
          <w:sz w:val="24"/>
          <w:highlight w:val="none"/>
        </w:rPr>
        <w:t>查询申请的确认情</w:t>
      </w:r>
      <w:bookmarkEnd w:id="142"/>
      <w:r>
        <w:rPr>
          <w:rFonts w:hint="eastAsia" w:ascii="宋体" w:hAnsi="宋体" w:cs="宋体"/>
          <w:bCs/>
          <w:sz w:val="24"/>
          <w:highlight w:val="none"/>
        </w:rPr>
        <w:t>况。若申购不成立或无效，则申购款项退还给投资人。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基金销售机构对申购、赎回申请的受理并不代表申请一定成功，而仅代表销售机构确实接收到申请。申购、赎回申请的确认以登记机构的确认结果为准。对于申请的确认情况，投资者应及时查询。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基金管理人可以在不违反法律法规且不对基金份额持有人利益造成损害的前提下，对上述业务办理时间、方式等进行调整，并在调整实施前依照《信息披露办法》的有关规定在规定媒介上公告。</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五、申购和赎回的数量限制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1、基金管理人可以规定投资人首次申购和每次申购的最低金额以及每次赎回的最低份额，具体规定请参见招募说明书或相关公告。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2、基金管理人可以规定投资人每个基金交易账户的最低基金份额余额，具体规定请参见招募说明书或相关公告。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3、基金管理人可以规定单个投资人累计持有的基金份额上限，具体规定请参见招募说明书或相关公告。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4、基金管理人有权规定单一投资者单日或单笔申购金额上限或累计持有的基金份额占基金份额总数的比例上限，具体金额请参见招募说明书或相关公告。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5、基金管理人有权规定本基金的总规模限额和单日净申购比例上限，具体规模或比例上限请参见招募说明书或相关公告。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w:t>
      </w:r>
      <w:bookmarkStart w:id="143" w:name="OLE_LINK51"/>
      <w:bookmarkStart w:id="144" w:name="OLE_LINK50"/>
      <w:r>
        <w:rPr>
          <w:rFonts w:hint="eastAsia" w:ascii="宋体" w:hAnsi="宋体" w:cs="宋体"/>
          <w:bCs/>
          <w:sz w:val="24"/>
          <w:highlight w:val="non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招募说明书或相关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7、基金管理人可在法律法规允许的情况下，调整上述规定申购金额、赎回份额和最低基金份额保留余额</w:t>
      </w:r>
      <w:r>
        <w:rPr>
          <w:rFonts w:hint="eastAsia" w:ascii="宋体" w:hAnsi="宋体" w:cs="宋体"/>
          <w:sz w:val="24"/>
          <w:highlight w:val="none"/>
        </w:rPr>
        <w:t>等</w:t>
      </w:r>
      <w:r>
        <w:rPr>
          <w:rFonts w:hint="eastAsia" w:ascii="宋体" w:hAnsi="宋体" w:cs="宋体"/>
          <w:bCs/>
          <w:sz w:val="24"/>
          <w:highlight w:val="none"/>
        </w:rPr>
        <w:t>数量限制。基金管理人必须在调整实施前依照《信息披露办法》的有关规定在规定媒介上公告。</w:t>
      </w:r>
    </w:p>
    <w:bookmarkEnd w:id="141"/>
    <w:p>
      <w:pPr>
        <w:spacing w:line="360" w:lineRule="auto"/>
        <w:rPr>
          <w:rFonts w:hint="eastAsia" w:ascii="宋体" w:hAnsi="宋体" w:cs="宋体"/>
          <w:b/>
          <w:sz w:val="24"/>
          <w:highlight w:val="none"/>
        </w:rPr>
      </w:pPr>
    </w:p>
    <w:bookmarkEnd w:id="143"/>
    <w:bookmarkEnd w:id="144"/>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六、申购和赎回的价格、费用及其用途</w:t>
      </w:r>
    </w:p>
    <w:p>
      <w:pPr>
        <w:spacing w:line="360" w:lineRule="auto"/>
        <w:ind w:firstLine="480" w:firstLineChars="200"/>
        <w:rPr>
          <w:rFonts w:hint="eastAsia" w:ascii="宋体" w:hAnsi="宋体" w:cs="宋体"/>
          <w:bCs/>
          <w:sz w:val="24"/>
          <w:highlight w:val="none"/>
        </w:rPr>
      </w:pPr>
      <w:bookmarkStart w:id="145" w:name="OLE_LINK62"/>
      <w:r>
        <w:rPr>
          <w:rFonts w:hint="eastAsia" w:ascii="宋体" w:hAnsi="宋体" w:cs="宋体"/>
          <w:bCs/>
          <w:sz w:val="24"/>
          <w:highlight w:val="none"/>
        </w:rPr>
        <w:t>1、本基金份额净值的计算，保留到小数点后4位，小数点后第5位四舍五入，由此产生的收益或损失由基金财产承担。T日各类基金份额净值在当天收市后计算，</w:t>
      </w:r>
      <w:r>
        <w:rPr>
          <w:rFonts w:hint="eastAsia" w:ascii="宋体" w:hAnsi="宋体" w:cs="宋体"/>
          <w:sz w:val="24"/>
          <w:highlight w:val="none"/>
        </w:rPr>
        <w:t>并</w:t>
      </w:r>
      <w:r>
        <w:rPr>
          <w:rFonts w:hint="eastAsia" w:ascii="宋体" w:hAnsi="宋体" w:cs="宋体"/>
          <w:bCs/>
          <w:sz w:val="24"/>
          <w:highlight w:val="none"/>
        </w:rPr>
        <w:t>按照基金合同的约定</w:t>
      </w:r>
      <w:r>
        <w:rPr>
          <w:rFonts w:hint="eastAsia" w:ascii="宋体" w:hAnsi="宋体" w:cs="宋体"/>
          <w:sz w:val="24"/>
          <w:highlight w:val="none"/>
        </w:rPr>
        <w:t>公告。</w:t>
      </w:r>
      <w:r>
        <w:rPr>
          <w:rFonts w:hint="eastAsia" w:ascii="宋体" w:hAnsi="宋体" w:cs="宋体"/>
          <w:bCs/>
          <w:sz w:val="24"/>
          <w:highlight w:val="none"/>
        </w:rPr>
        <w:t>遇特殊情况，经履行适当程序，可以适当延迟计算或公告。本基金A类基金份额和C类基金份额将分别计算基金份额净值。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申购份额的计算及余额的处理方式：本基金申购份额的计算详见《招募说明书》。本基金A类基金份额的申购费率由基金管理人决定，并在招募说明书、基金产品资料概要及相关公告中列示。申购的有效份额为净申购金额除以当日各类基金份额的基金份额净值，有效份额单位为份，上述计算结果均按四舍五入方法，保留到小数点后2位，由此产生的收益或损失由基金财产承担。</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赎回金额的计算及处理方式：本基金赎回金额的计算详见《招募说明书》。本基金的赎回费率由基金管理人决定，并在招募说明书、基金产品资料概要及相关公告中列示。赎回金额为按实际确认的有效赎回份额乘以当日各类基金份额的基金份额净值并扣除相应的费用，赎回金额单位为元。上述计算结果均按四舍五入方法，保留到小数点后2位，由此产生的收益或损失由基金财产承担。</w:t>
      </w:r>
    </w:p>
    <w:bookmarkEnd w:id="145"/>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4、通过代销机构申购本基金A类基金份额的申购费用由申购A类基金份额的投资人承担，不列入基金财产。C类基金份额不收取申购费用。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5、赎回费用由赎回基金份额的基金份额持有人承担，在基金份额持有人赎回基金份额时收取。对投资者收取的赎回费全额计入基金财产。</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本基金A类基金份额的申购费率、A类基金份额和C类基金份额的申购份额具体的计算方法、赎回费率、赎回金额具体的计算方法和收费方式由基金管理人根据基金合同的规定确定，并在招募说明书或相关公告中列示。基金管理人可以在基金合同约定的范围内调整费率或收费方式，并最迟应于新的费率或收费方式实施日前依照《信息披露办法》的有关规定在规定媒介上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7、当本基金发生大额申购或赎回情形时，基金管理人可以采用摆动定价机制，以确保基金估值的公平性。具体处理原则与操作规范遵循相关法律法规以及监管部门、自律规则的规定。</w:t>
      </w:r>
    </w:p>
    <w:p>
      <w:pPr>
        <w:spacing w:line="360" w:lineRule="auto"/>
        <w:ind w:firstLine="480" w:firstLineChars="200"/>
        <w:rPr>
          <w:rFonts w:hint="eastAsia" w:ascii="宋体" w:hAnsi="宋体" w:cs="宋体"/>
          <w:bCs/>
          <w:sz w:val="24"/>
          <w:highlight w:val="none"/>
        </w:rPr>
      </w:pPr>
      <w:bookmarkStart w:id="146" w:name="OLE_LINK57"/>
      <w:r>
        <w:rPr>
          <w:rFonts w:hint="eastAsia" w:ascii="宋体" w:hAnsi="宋体" w:cs="宋体"/>
          <w:bCs/>
          <w:sz w:val="24"/>
          <w:highlight w:val="none"/>
        </w:rPr>
        <w:t>8、基金管理人可以在不违反法律法规规定及基金合同约定且对基金份额持有人利益无实质性不利影响的情形下根据市场情况制定基金促销计划，定期或不定期地开展基金促销活动。在基金促销活动期间，按相关监管部门要求履行必要手续后，</w:t>
      </w:r>
      <w:bookmarkStart w:id="147" w:name="OLE_LINK55"/>
      <w:bookmarkStart w:id="148" w:name="OLE_LINK54"/>
      <w:r>
        <w:rPr>
          <w:rFonts w:hint="eastAsia" w:ascii="宋体" w:hAnsi="宋体" w:cs="宋体"/>
          <w:bCs/>
          <w:sz w:val="24"/>
          <w:highlight w:val="none"/>
        </w:rPr>
        <w:t>基金管理人可以适当调低基金的申购费率和销售服务费率。</w:t>
      </w:r>
    </w:p>
    <w:bookmarkEnd w:id="146"/>
    <w:bookmarkEnd w:id="147"/>
    <w:bookmarkEnd w:id="148"/>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七、拒绝或暂停申购的情形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发生下列情况时，基金管理人可拒绝或暂停接受投资人的申购申请：</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1、因不可抗力导致基金无法正常运作。</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2、发生基金合同规定的暂停基金资产估值情况时，基金管理人可暂停接受投资人的申购申请。</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3、因特殊原因（包括但不限于证券/期货交易场所、外汇市场或银行间债券交易市场依法决定临时停市或交易时间非正常停市），导致基金管理人无法计算当日基金资产净值。</w:t>
      </w:r>
    </w:p>
    <w:p>
      <w:pPr>
        <w:spacing w:line="360" w:lineRule="auto"/>
        <w:ind w:firstLine="480" w:firstLineChars="200"/>
        <w:rPr>
          <w:rFonts w:hint="eastAsia" w:ascii="宋体" w:hAnsi="宋体" w:cs="宋体"/>
          <w:bCs/>
          <w:sz w:val="24"/>
          <w:highlight w:val="none"/>
        </w:rPr>
      </w:pPr>
      <w:bookmarkStart w:id="149" w:name="_Hlt70481650"/>
      <w:bookmarkEnd w:id="149"/>
      <w:r>
        <w:rPr>
          <w:rFonts w:hint="eastAsia" w:ascii="宋体" w:hAnsi="宋体" w:cs="宋体"/>
          <w:bCs/>
          <w:sz w:val="24"/>
          <w:highlight w:val="none"/>
        </w:rPr>
        <w:t>4、接受某笔或某些申购申请可能会影响或损害现有基金份额持有人利益或对存量基金份额持有人利益构成潜在重大不利影响时。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5、基金资产规模过大，使基金管理人无法找到合适的投资品种，或其他可能对基金业绩产生负面影响，或发生其他损害现有基金份额持有人利益的情形。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6、基金管理人、基金托管人、基金销售机构或登记机构的异常情况导致基金销售系统、基金登记系统或基金会计系统无法正常运行。</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7、当特定资产占前一估值日基金资产净值50%以上的，经与基金托管人协商确认后，基金管理人应当暂停接受基金申购申请。</w:t>
      </w:r>
    </w:p>
    <w:p>
      <w:pPr>
        <w:widowControl/>
        <w:numPr>
          <w:ilvl w:val="255"/>
          <w:numId w:val="0"/>
        </w:num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8、基金管理人接受某笔或者某些申购申请有可能导致单一投资者持有基金份额的比例达到或者超过50%，或者变相规避50%集中度的情形时。</w:t>
      </w:r>
    </w:p>
    <w:p>
      <w:pPr>
        <w:widowControl/>
        <w:numPr>
          <w:ilvl w:val="255"/>
          <w:numId w:val="0"/>
        </w:num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9、申请超过基金管理人设定的基金总规模、单日净申购比例上限、单一投资者单日或单笔申购金额上限的，出现上述情形时，基金管理人有权将上述申购申请全部或部分确认失败。</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10、法律法规规定或中国证监会认定的其他情形。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生上述第1、2、3、5、6、7、10项暂停申购情形之一且基金管理人决定暂停接受投资人申购申请时，基金管理人应当根据有关规定在规定媒介上刊登暂停申购公告。如果投资人的申购申请被拒绝，被拒绝的申购款项将退还给投资人。在暂停申购的情况消除时，基金管理人应及时恢复申购业务的办理。</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八、暂停赎回或延缓支付赎回款项的情形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发生下列情形时，基金管理人可暂停接受投资人的赎回申请或延缓支付赎回款项：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1、因不可抗力导致基金管理人不能支付赎回款项。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2、发生基金合同规定的暂停基金资产估值情况时，基金管理人可暂停接受投资人的赎回申请或延缓支付赎回款项。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3、因特殊原因（包括但不限于证券/期货交易场所、外汇市场或银行间债券交易市场依法决定临时停市或交易时间非正常停市），导致基金管理人无法计算当日基金资产</w:t>
      </w:r>
      <w:bookmarkStart w:id="150" w:name="_Hlt152500890"/>
      <w:r>
        <w:rPr>
          <w:rFonts w:hint="eastAsia" w:ascii="宋体" w:hAnsi="宋体" w:cs="宋体"/>
          <w:bCs/>
          <w:sz w:val="24"/>
          <w:highlight w:val="none"/>
        </w:rPr>
        <w:t>净值。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4、连续两个或两个以上开放日发生巨额赎回。</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5、继续接受赎回申请将损害现有基金份额持有人利益的情形时。</w:t>
      </w:r>
    </w:p>
    <w:bookmarkEnd w:id="150"/>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6、当特定资产占前一估值日基金资产净值50%以上的，经与基金托管人协商确认后，基金管理人应当延缓支付赎回款项或暂停接受基金赎回申请。</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7、法律法规规定或中国证监会认定的其他情形。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生上述情形（除第4项外）之一且基金管理人决定暂停赎回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w:t>
      </w:r>
      <w:bookmarkStart w:id="151" w:name="OLE_LINK12"/>
      <w:r>
        <w:rPr>
          <w:rFonts w:hint="eastAsia" w:ascii="宋体" w:hAnsi="宋体" w:cs="宋体"/>
          <w:bCs/>
          <w:sz w:val="24"/>
          <w:highlight w:val="none"/>
        </w:rPr>
        <w:t>，并以后续开放日的该类基金份额净值为依据计算赎回金额</w:t>
      </w:r>
      <w:bookmarkEnd w:id="151"/>
      <w:r>
        <w:rPr>
          <w:rFonts w:hint="eastAsia" w:ascii="宋体" w:hAnsi="宋体" w:cs="宋体"/>
          <w:bCs/>
          <w:sz w:val="24"/>
          <w:highlight w:val="none"/>
        </w:rPr>
        <w:t>。若出现上述第4项所述情形，按基金合同的相关条款处理。基金份额持有人在申请赎回时可事先选择将当日可能未获受理部分予以撤销。在暂停赎回的情况消除时，基金管理人应及时恢复赎回业务的办理并公告。</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九、巨额赎回的情形及处理方式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1、巨额赎回的认定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2、巨额赎回的处理方式</w:t>
      </w:r>
    </w:p>
    <w:p>
      <w:pPr>
        <w:spacing w:line="360" w:lineRule="auto"/>
        <w:ind w:firstLine="480" w:firstLineChars="200"/>
        <w:rPr>
          <w:rFonts w:hint="eastAsia" w:ascii="宋体" w:hAnsi="宋体" w:cs="宋体"/>
          <w:bCs/>
          <w:sz w:val="24"/>
          <w:highlight w:val="none"/>
        </w:rPr>
      </w:pPr>
      <w:r>
        <w:rPr>
          <w:rStyle w:val="50"/>
          <w:rFonts w:hint="default"/>
          <w:highlight w:val="none"/>
        </w:rPr>
        <w:t>当基金出现巨额赎回时，基金管理人可以根据基金当时的资产组合状况决定全额赎回、部分延期赎回或暂停赎回。</w:t>
      </w:r>
      <w:r>
        <w:rPr>
          <w:rFonts w:ascii="宋体" w:hAnsi="宋体" w:cs="宋体"/>
          <w:sz w:val="24"/>
          <w:szCs w:val="24"/>
          <w:highlight w:val="none"/>
        </w:rPr>
        <w:t xml:space="preserve">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（1）全额赎回：当基金管理人认为有能力支付投资人的全部赎回申请时，按正常赎回程序执行。</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部分延期赎回不受单笔赎回最低份额的限制</w:t>
      </w:r>
      <w:r>
        <w:rPr>
          <w:rFonts w:hint="eastAsia" w:ascii="宋体" w:hAnsi="宋体" w:cs="宋体"/>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3）如发生巨额赎回且单个开放日内单个基金份额持有人申请赎回的基金份额超过前一开放日的基金总份额的10%时，本基金管理人对该单个基金份额持有人持有的赎回申请实施延期办理。对于该类基金份额持有人未超过上述比例的部分，基金管理人可以根据前述“（1）全额赎回”或“（2）部分延期赎回”的约定方式与其他基金份额持有人的赎回申请一并办理。延期的赎回申请与下一开放日赎回申请一并处理，无优先权并以下一开放日的该类别基金份额净值为基础计算赎回金额，以此类推，直到全部赎回为止。延期部分如选择取消赎回的，当日未获受理的部分赎回申请将被撤销。如投资人在提交赎回申请时未作明确选择，投资人未能赎回部分作自动延期赎回处理。部分延期赎回不受单笔赎回最低份额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在不违反法律法规的前提下，基金管理人在履行适当程序后，有权根据当时市场环境调整前述比例及处理规则，并在规定媒介上进行公告。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3、巨额赎回的公告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当发生上述巨额赎回并延期办理时，基金管理人应当通过邮寄、传真或者招募说明书规定的其他方式在3个交易日内通知基金份额持有人，说明有关处理方法，并在2日内在规定媒介上刊登公告。</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十、暂停申购或赎回的公告和重新开放申购或赎回的公告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1、发生上述暂停申购或赎回情况的，基金管理人应在规定期限内在规定媒介上刊登暂停公告。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暂停结束，基金重新开放申购或赎回时，基金管理人应依照《信息披露办法》的有关规定，在规定媒介上刊登基金重新开放申购或赎回公告；也可以根据实际情况在暂停公告中明确重新开放申购或赎回的时间，届时不再另行发布重新开放的公告。</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十一、基金转换</w:t>
      </w:r>
    </w:p>
    <w:p>
      <w:pPr>
        <w:spacing w:line="360" w:lineRule="auto"/>
        <w:ind w:firstLine="480" w:firstLineChars="200"/>
        <w:rPr>
          <w:rFonts w:hint="eastAsia" w:ascii="宋体" w:hAnsi="宋体" w:cs="宋体"/>
          <w:bCs/>
          <w:sz w:val="24"/>
          <w:highlight w:val="none"/>
        </w:rPr>
      </w:pPr>
      <w:bookmarkStart w:id="152" w:name="OLE_LINK8"/>
      <w:r>
        <w:rPr>
          <w:rFonts w:hint="eastAsia" w:ascii="宋体" w:hAnsi="宋体" w:cs="宋体"/>
          <w:bCs/>
          <w:sz w:val="24"/>
          <w:highlight w:val="none"/>
        </w:rPr>
        <w:t>基金管理人可以根据相关法律法规以及本基金合同的规定决定开办本基金的转换业务</w:t>
      </w:r>
      <w:bookmarkEnd w:id="152"/>
      <w:r>
        <w:rPr>
          <w:rFonts w:hint="eastAsia" w:ascii="宋体" w:hAnsi="宋体" w:cs="宋体"/>
          <w:bCs/>
          <w:sz w:val="24"/>
          <w:highlight w:val="none"/>
        </w:rPr>
        <w:t>，基金转换可以收取一定的转换费，相关规则由基金管理人届时根据相关法律法规及本基金合同的规定制定并公告，并提前告知基金托管人与相关机构。</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十二、基金的非交易过户</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pPr>
        <w:spacing w:line="360" w:lineRule="auto"/>
        <w:ind w:firstLine="480" w:firstLineChars="200"/>
        <w:rPr>
          <w:rFonts w:hint="eastAsia" w:ascii="宋体" w:hAnsi="宋体" w:cs="宋体"/>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十三、基金的转托管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基金份额持有人可办理已持有基金份额在不同销售机构之间的转托管，基金销售机构可以按照规定的标准收取转托管费。尽管有前述约定，基金销售机构仍有权决定是否办理基金份额的转托管业务。</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十四、定期定额投资计划</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十五、基金份额的冻结和解冻</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基金登记机构只受理国家有权机关依法要求的基金份额的冻结与解冻，以及登记机构认可、符合法律法规的其他情况下的冻结与解冻。</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基金份额的冻结手续、冻结方式按照登记机构的相关规定办理。基金份额被冻结的，被冻结部分产生的权益按照我国法律法规、监管规章及国家有权机关的要求以及登记机构业务规定来处理。</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十六、基金份额的转让</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十七、实施侧袋机制期间本基金的申购与赎回</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本基金实施侧袋机制的，本基金的申购和赎回安排详见招募说明书或相关公告。</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十八、其他业务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在不违反相关法律法规、对基金份额持有人的权利无实质性不利影响的前提下，基金管理人可制定相应的业务规则，届时无需召开基金份额持有人大会审议但应当履行法律法规或中国证监会规定的相关程序。</w:t>
      </w:r>
    </w:p>
    <w:p>
      <w:pPr>
        <w:pStyle w:val="2"/>
        <w:spacing w:before="0" w:after="0"/>
        <w:jc w:val="center"/>
        <w:rPr>
          <w:rFonts w:hint="eastAsia" w:hAnsi="宋体" w:cs="宋体"/>
          <w:color w:val="auto"/>
          <w:sz w:val="30"/>
          <w:highlight w:val="none"/>
        </w:rPr>
      </w:pPr>
      <w:r>
        <w:rPr>
          <w:rFonts w:hint="eastAsia" w:hAnsi="宋体" w:cs="宋体"/>
          <w:b w:val="0"/>
          <w:bCs/>
          <w:color w:val="auto"/>
          <w:highlight w:val="none"/>
        </w:rPr>
        <w:br w:type="page"/>
      </w:r>
      <w:bookmarkStart w:id="153" w:name="_Toc98560353"/>
      <w:bookmarkStart w:id="154" w:name="_Toc12245"/>
      <w:bookmarkStart w:id="155" w:name="_Toc123051453"/>
      <w:bookmarkStart w:id="156" w:name="_Toc139991737"/>
      <w:bookmarkStart w:id="157" w:name="_Toc15143"/>
      <w:bookmarkStart w:id="158" w:name="_Toc14835"/>
      <w:bookmarkStart w:id="159" w:name="_Toc16859"/>
      <w:bookmarkStart w:id="160" w:name="_Toc123112235"/>
      <w:bookmarkStart w:id="161" w:name="_Toc26207"/>
      <w:bookmarkStart w:id="162" w:name="_Toc123102454"/>
      <w:bookmarkStart w:id="163" w:name="_Toc3601"/>
      <w:bookmarkStart w:id="164" w:name="_Toc31653"/>
      <w:bookmarkStart w:id="165" w:name="_Toc141703887"/>
      <w:bookmarkStart w:id="166" w:name="_Toc31644"/>
      <w:bookmarkStart w:id="167" w:name="_Toc31235"/>
      <w:bookmarkStart w:id="168" w:name="_Toc29251"/>
      <w:bookmarkStart w:id="169" w:name="_Toc6405"/>
      <w:r>
        <w:rPr>
          <w:rFonts w:hint="eastAsia" w:hAnsi="宋体" w:cs="宋体"/>
          <w:color w:val="auto"/>
          <w:sz w:val="30"/>
          <w:highlight w:val="none"/>
        </w:rPr>
        <w:t>第七部分  基金合同当事人及权利义务</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Start w:id="170" w:name="_Hlt55355235"/>
      <w:bookmarkEnd w:id="170"/>
      <w:bookmarkStart w:id="171" w:name="_Toc523711668"/>
      <w:bookmarkStart w:id="172" w:name="_Toc79392580"/>
      <w:bookmarkStart w:id="173" w:name="_Toc15118234"/>
      <w:bookmarkStart w:id="174" w:name="_Toc57530239"/>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一、基金</w:t>
      </w:r>
      <w:bookmarkEnd w:id="171"/>
      <w:r>
        <w:rPr>
          <w:rFonts w:hint="eastAsia" w:ascii="宋体" w:hAnsi="宋体" w:cs="宋体"/>
          <w:b/>
          <w:sz w:val="24"/>
          <w:highlight w:val="none"/>
        </w:rPr>
        <w:t>管理人</w:t>
      </w:r>
      <w:bookmarkEnd w:id="172"/>
      <w:bookmarkEnd w:id="173"/>
      <w:bookmarkEnd w:id="174"/>
    </w:p>
    <w:p>
      <w:pPr>
        <w:spacing w:line="360" w:lineRule="auto"/>
        <w:ind w:firstLine="480" w:firstLineChars="200"/>
        <w:rPr>
          <w:rFonts w:hint="eastAsia" w:ascii="宋体" w:hAnsi="宋体" w:cs="宋体"/>
          <w:bCs/>
          <w:sz w:val="24"/>
          <w:highlight w:val="none"/>
        </w:rPr>
      </w:pPr>
      <w:bookmarkStart w:id="175" w:name="_Toc15118235"/>
      <w:r>
        <w:rPr>
          <w:rFonts w:hint="eastAsia" w:ascii="宋体" w:hAnsi="宋体" w:cs="宋体"/>
          <w:bCs/>
          <w:sz w:val="24"/>
          <w:highlight w:val="none"/>
        </w:rPr>
        <w:t>（一）</w:t>
      </w:r>
      <w:r>
        <w:rPr>
          <w:rFonts w:hint="eastAsia" w:ascii="宋体" w:hAnsi="宋体" w:cs="宋体"/>
          <w:bCs/>
          <w:sz w:val="24"/>
          <w:highlight w:val="none"/>
        </w:rPr>
        <w:tab/>
      </w:r>
      <w:r>
        <w:rPr>
          <w:rFonts w:hint="eastAsia" w:ascii="宋体" w:hAnsi="宋体" w:cs="宋体"/>
          <w:bCs/>
          <w:sz w:val="24"/>
          <w:highlight w:val="none"/>
        </w:rPr>
        <w:t>基金管理人简况</w:t>
      </w:r>
      <w:bookmarkEnd w:id="175"/>
    </w:p>
    <w:p>
      <w:pPr>
        <w:spacing w:line="360" w:lineRule="auto"/>
        <w:ind w:firstLine="480" w:firstLineChars="200"/>
        <w:rPr>
          <w:rFonts w:hint="eastAsia" w:ascii="宋体" w:hAnsi="宋体" w:cs="宋体"/>
          <w:sz w:val="24"/>
          <w:highlight w:val="none"/>
        </w:rPr>
      </w:pPr>
      <w:bookmarkStart w:id="176" w:name="_Toc15118236"/>
      <w:bookmarkStart w:id="177" w:name="_Toc15118237"/>
      <w:r>
        <w:rPr>
          <w:rFonts w:hint="eastAsia" w:ascii="宋体" w:hAnsi="宋体" w:cs="宋体"/>
          <w:sz w:val="24"/>
          <w:highlight w:val="none"/>
        </w:rPr>
        <w:t>名称：</w:t>
      </w:r>
      <w:r>
        <w:rPr>
          <w:rFonts w:hint="eastAsia" w:ascii="宋体" w:hAnsi="宋体" w:cs="宋体"/>
          <w:bCs/>
          <w:sz w:val="24"/>
          <w:highlight w:val="none"/>
        </w:rPr>
        <w:t>东方阿尔法基金管理有限公司</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住所： 深圳市福田区莲花街道紫荆社区深南大道6008号深圳特区报业大厦23楼BC</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法定代表人：</w:t>
      </w:r>
      <w:r>
        <w:rPr>
          <w:rFonts w:hint="eastAsia" w:ascii="宋体" w:hAnsi="宋体" w:cs="宋体"/>
          <w:bCs/>
          <w:sz w:val="24"/>
          <w:highlight w:val="none"/>
        </w:rPr>
        <w:t>刘明</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设立日期：</w:t>
      </w:r>
      <w:r>
        <w:rPr>
          <w:rFonts w:hint="eastAsia" w:ascii="宋体" w:hAnsi="宋体" w:cs="宋体"/>
          <w:color w:val="000000"/>
          <w:sz w:val="24"/>
          <w:highlight w:val="none"/>
        </w:rPr>
        <w:t>2017年7月4日</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批准设立机关及批准设立文号：中国证监会</w:t>
      </w:r>
      <w:r>
        <w:rPr>
          <w:rFonts w:hint="eastAsia" w:ascii="宋体" w:hAnsi="宋体" w:cs="宋体"/>
          <w:bCs/>
          <w:sz w:val="24"/>
          <w:highlight w:val="none"/>
        </w:rPr>
        <w:t>证监许可〔2017〕1031号</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组织形式：</w:t>
      </w:r>
      <w:r>
        <w:rPr>
          <w:rFonts w:hint="eastAsia" w:ascii="宋体" w:hAnsi="宋体" w:cs="宋体"/>
          <w:bCs/>
          <w:sz w:val="24"/>
          <w:highlight w:val="none"/>
        </w:rPr>
        <w:t>有限责任公司</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注册资本：</w:t>
      </w:r>
      <w:r>
        <w:rPr>
          <w:rFonts w:hint="eastAsia" w:ascii="宋体" w:hAnsi="宋体" w:cs="宋体"/>
          <w:bCs/>
          <w:sz w:val="24"/>
          <w:highlight w:val="none"/>
        </w:rPr>
        <w:t>人民币1亿元</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存续期限：</w:t>
      </w:r>
      <w:r>
        <w:rPr>
          <w:rFonts w:hint="eastAsia" w:ascii="宋体" w:hAnsi="宋体" w:cs="宋体"/>
          <w:bCs/>
          <w:sz w:val="24"/>
          <w:highlight w:val="none"/>
        </w:rPr>
        <w:t>持续经营</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联系电话：</w:t>
      </w:r>
      <w:r>
        <w:rPr>
          <w:rFonts w:hint="eastAsia" w:ascii="宋体" w:hAnsi="宋体" w:cs="宋体"/>
          <w:bCs/>
          <w:sz w:val="24"/>
          <w:highlight w:val="none"/>
        </w:rPr>
        <w:t>0755-21872909</w:t>
      </w:r>
    </w:p>
    <w:bookmarkEnd w:id="176"/>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（二）</w:t>
      </w:r>
      <w:r>
        <w:rPr>
          <w:rFonts w:hint="eastAsia" w:ascii="宋体" w:hAnsi="宋体" w:cs="宋体"/>
          <w:bCs/>
          <w:sz w:val="24"/>
          <w:highlight w:val="none"/>
        </w:rPr>
        <w:tab/>
      </w:r>
      <w:r>
        <w:rPr>
          <w:rFonts w:hint="eastAsia" w:ascii="宋体" w:hAnsi="宋体" w:cs="宋体"/>
          <w:bCs/>
          <w:sz w:val="24"/>
          <w:highlight w:val="none"/>
        </w:rPr>
        <w:t>基金管理人的权利与义务</w:t>
      </w:r>
      <w:bookmarkEnd w:id="177"/>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1、根据《基金法》、《运作办法》及其他有关规定，基金管理人的权利包括但不限于：</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（1）依法募集资金；</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（2）自《基金合同》生效之日起，根据法律法规和《基金合同》独立运用并管理基金财产；</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（3）依照《基金合同》收取基金管理费以及法律法规规定或中国证监会批准的其他费用；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（4）销售基金份额；</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w:t>
      </w:r>
      <w:bookmarkStart w:id="178" w:name="_Hlt88896155"/>
      <w:r>
        <w:rPr>
          <w:rFonts w:hint="eastAsia" w:ascii="宋体" w:hAnsi="宋体" w:cs="宋体"/>
          <w:bCs/>
          <w:sz w:val="24"/>
          <w:highlight w:val="none"/>
        </w:rPr>
        <w:t>按照规定召集</w:t>
      </w:r>
      <w:bookmarkEnd w:id="178"/>
      <w:r>
        <w:rPr>
          <w:rFonts w:hint="eastAsia" w:ascii="宋体" w:hAnsi="宋体" w:cs="宋体"/>
          <w:bCs/>
          <w:sz w:val="24"/>
          <w:highlight w:val="none"/>
        </w:rPr>
        <w:t>基金份额持有人大会；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（6）依据《基金合同》及有关法律规定监督基金托管人，如认为基金托管人违反了《基金合同》及国家有关法律规定，应呈报中国证监会和其他监管部门，并采取必要措施保护基金投资者的利益；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（7）在基金托管人更换时，提名新的基金托管人；</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 xml:space="preserve">（8）选择、更换基金销售机构，对基金销售机构的相关行为进行监督和处理； </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 xml:space="preserve">（9）担任或委托其他符合条件的机构担任基金登记机构办理基金登记业务并获得《基金合同》规定的费用； </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（10）依据《基金合同》及有关法律规定决定基金收益的分配方案；</w:t>
      </w:r>
      <w:r>
        <w:rPr>
          <w:rFonts w:hint="eastAsia" w:ascii="宋体" w:hAnsi="宋体" w:cs="宋体"/>
          <w:bCs/>
          <w:sz w:val="24"/>
          <w:highlight w:val="none"/>
        </w:rPr>
        <w:tab/>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 xml:space="preserve">（11）在《基金合同》约定的范围内，拒绝或暂停受理申购、赎回或转换申请； </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12）依照法律法规为基金的利益对被投资公司行使股东权利，为基金的利益行使因基金财产投资于证券、基金所产生的权利；在遵循基金份额持有人利益优先原则的前提下，以基金管理人名义直接行使因基金财产投资于其他基金份额所产生的权利，包括但不限于参加本基金持有基金的基金份额持有人大会并行使相关投票权利，代表本基金的基金份额持有人提议召开或召集本基金所持基金的基金份额持有人大会，且无需召开本基金的基金份额持有人大会，但本基金管理人需将表决意见事先征求基金托管人的意见，并将表决意见在定期报告中予以披露，法律法规另有规定的除外；</w:t>
      </w:r>
      <w:r>
        <w:rPr>
          <w:rFonts w:hint="eastAsia" w:ascii="宋体" w:hAnsi="宋体" w:cs="宋体"/>
          <w:bCs/>
          <w:sz w:val="24"/>
          <w:highlight w:val="none"/>
        </w:rPr>
        <w:tab/>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 xml:space="preserve">（13）在法律法规允许的前提下，为基金的利益依法为基金进行融资； </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（14）以基金管理人的名义，代表基金份额持有人的利益行使诉讼权利或者实施其他法律行为；</w:t>
      </w:r>
      <w:r>
        <w:rPr>
          <w:rFonts w:hint="eastAsia" w:ascii="宋体" w:hAnsi="宋体" w:cs="宋体"/>
          <w:bCs/>
          <w:sz w:val="24"/>
          <w:highlight w:val="none"/>
        </w:rPr>
        <w:tab/>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（15）选择、更换律师事务所、会计师事务所、</w:t>
      </w:r>
      <w:r>
        <w:rPr>
          <w:rFonts w:hint="eastAsia" w:ascii="宋体" w:hAnsi="宋体" w:cs="宋体"/>
          <w:bCs/>
          <w:sz w:val="24"/>
          <w:szCs w:val="24"/>
          <w:highlight w:val="none"/>
        </w:rPr>
        <w:t>证券、期货经纪商</w:t>
      </w:r>
      <w:r>
        <w:rPr>
          <w:rFonts w:hint="eastAsia" w:ascii="宋体" w:hAnsi="宋体" w:cs="宋体"/>
          <w:bCs/>
          <w:sz w:val="24"/>
          <w:highlight w:val="none"/>
        </w:rPr>
        <w:t>或其他为基金提供服务的外部机构；</w:t>
      </w:r>
      <w:r>
        <w:rPr>
          <w:rFonts w:hint="eastAsia" w:ascii="宋体" w:hAnsi="宋体" w:cs="宋体"/>
          <w:bCs/>
          <w:sz w:val="24"/>
          <w:highlight w:val="none"/>
        </w:rPr>
        <w:tab/>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（16）在符合有关法律、法规的前提下，制订和调整有关基金认购、申购、赎回、转换和非交易过户等业务规则；</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（17）在法规和基金合同规定的范围内决定调整基金费率结构和收费方式；</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（18）法律法规及中国证监会规定的和《基金合同》约定的其他权利。</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2、根据《基金法》、《运作办法》及其他有关规定，基金管理人的义务包括但不限于：</w:t>
      </w:r>
    </w:p>
    <w:p>
      <w:pPr>
        <w:spacing w:line="440" w:lineRule="atLeast"/>
        <w:ind w:firstLine="480" w:firstLineChars="200"/>
        <w:rPr>
          <w:rFonts w:hint="eastAsia" w:ascii="宋体" w:hAnsi="宋体" w:cs="宋体"/>
          <w:bCs/>
          <w:sz w:val="24"/>
          <w:highlight w:val="none"/>
        </w:rPr>
      </w:pPr>
      <w:bookmarkStart w:id="179" w:name="_Toc523711669"/>
      <w:r>
        <w:rPr>
          <w:rFonts w:hint="eastAsia" w:ascii="宋体" w:hAnsi="宋体" w:cs="宋体"/>
          <w:bCs/>
          <w:sz w:val="24"/>
          <w:highlight w:val="none"/>
        </w:rPr>
        <w:t>（1）依法募集资金，办理或者委托经中国证监会认定的其他机构代为办理基金份额的发售、申购、赎回和登记事宜；</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（2）办理基金备案手续；</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（3）自《基金合同》生效之日起,以诚实信用、谨慎勤勉的原则管理和运用基金财产；</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（4）配备足够的具有专业资格的人员进行基金投资分析、决策，以专业化的经营方式管理和运作基金财产；</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（5）建立健全内部风险控制、监察与稽核、财务管理及人事管理等制度，保证所管理的基金财产和基金管理人的财产相互独立,对所管理的不同基金分别管理，分别记账，进行证券、基金投资；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（6）除依据《基金法》、《基金合同》及其他有关规定外,不得利用基金财产为自己及任何第三人谋取利益，不得委托第三人运作基金财产；</w:t>
      </w:r>
      <w:bookmarkStart w:id="180" w:name="_Hlt88897298"/>
      <w:bookmarkEnd w:id="180"/>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（7）依法接受基金托管人的监督；</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（8）采取适当合理的措施使计算基金份额认购、申购、赎回和注销价格的方法符合《基金合同》等法律文件的规定，按有关规定计算并公告基金净值</w:t>
      </w:r>
      <w:r>
        <w:rPr>
          <w:rFonts w:hint="eastAsia" w:ascii="宋体" w:hAnsi="宋体" w:cs="宋体"/>
          <w:sz w:val="24"/>
          <w:highlight w:val="none"/>
        </w:rPr>
        <w:t>信息</w:t>
      </w:r>
      <w:r>
        <w:rPr>
          <w:rFonts w:hint="eastAsia" w:ascii="宋体" w:hAnsi="宋体" w:cs="宋体"/>
          <w:bCs/>
          <w:sz w:val="24"/>
          <w:highlight w:val="none"/>
        </w:rPr>
        <w:t>，确定基金份额申购、赎回的价格；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（9）进行基金会计核算并编制基金财务会计报告；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w:t>
      </w:r>
      <w:r>
        <w:rPr>
          <w:rFonts w:hint="eastAsia" w:ascii="宋体" w:hAnsi="宋体" w:cs="宋体"/>
          <w:sz w:val="24"/>
          <w:highlight w:val="none"/>
        </w:rPr>
        <w:t>编制季度报告、中期报告和年度基金报告</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w:t>
      </w:r>
      <w:r>
        <w:rPr>
          <w:rFonts w:hint="eastAsia" w:ascii="宋体" w:hAnsi="宋体" w:cs="宋体"/>
          <w:bCs/>
          <w:sz w:val="24"/>
          <w:highlight w:val="none"/>
        </w:rPr>
        <w:tab/>
      </w:r>
      <w:r>
        <w:rPr>
          <w:rFonts w:hint="eastAsia" w:ascii="宋体" w:hAnsi="宋体" w:cs="宋体"/>
          <w:bCs/>
          <w:sz w:val="24"/>
          <w:highlight w:val="none"/>
        </w:rPr>
        <w:t>严格按照《基金法》、《基金合同》及其他有关规定，履行信息披露及报告义务；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12）保守基金商业秘密，不泄露基金投资计划、投资意向等。除《基金法》、《基金合同》及其他有关规定另有规定外，在基金信息公开披露前应予保密，不向他人泄露，但向监管机构、司法机关提供或向审计、法律等外部专业顾问提供的除外；</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（13）按《基金合同》的约定确定基金收益分配方案，及时向基金份额持有人分配基金收益；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（14）按规定受理申购与赎回申请，及时、足额支付赎回款项；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（15）依据《基金法》、《基金合同》及其他有关规定召集基金份额持有人大会或配合基金托管人、基金份额持有人依法召集基金份额持有人大会；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（16）按规定保存基金财产管理业务活动的会计账册、报表、记录和其他相关资料，保存期限不低于法律法规规定的最低期限；</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（18）组织并参加基金财产清算小组,参与基金财产的保管、清理、估价、变现和分配；</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（19）面临解散、依法被撤销或者被依法宣告破产时，及时报告中国证监会并通知基金托管人；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（20）因违反《基金合同》导致基金财产的损失或损害基金份额持有人合法权益时，应当承担赔偿责任，其赔偿责任不因其退任而免除；</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（21）监督基金托管人按法律法规和《基金合同》规定履行自己的义务，基金托管人违反《基金合同》造成基金财产损失时，基金管理人应为基金份额持有人利益向基金托管人追偿；</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（22）当基金管理人将其义务委托第三方处理时，应当对第三方处理有关基金事务的行为承担责任；</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（23）以基金管理人名义，代表基金份额持有人利益行使诉讼权利或实施其他法律行为；</w:t>
      </w:r>
      <w:r>
        <w:rPr>
          <w:rFonts w:hint="eastAsia" w:ascii="宋体" w:hAnsi="宋体" w:cs="宋体"/>
          <w:bCs/>
          <w:sz w:val="24"/>
          <w:highlight w:val="none"/>
        </w:rPr>
        <w:tab/>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（24）基金管理人在募集期间未能达到基金</w:t>
      </w:r>
      <w:bookmarkStart w:id="181" w:name="_Hlt88823209"/>
      <w:bookmarkEnd w:id="181"/>
      <w:r>
        <w:rPr>
          <w:rFonts w:hint="eastAsia" w:ascii="宋体" w:hAnsi="宋体" w:cs="宋体"/>
          <w:bCs/>
          <w:sz w:val="24"/>
          <w:highlight w:val="none"/>
        </w:rPr>
        <w:t>的备案条件，《基金合同》不能生效，基金管理人承担全部募集费用，将已募集资金并加计银行同期活期存款利息在基金募集期结束后30日内退还基金认购人；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（25）执行生效的基金份额持有人大会的决议；</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（26）建立并保存基金份额持有人名册；</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（27）法律法规及中国证监会规定的和《基金合同》约定的其他义务。</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182" w:name="_Toc79392581"/>
      <w:bookmarkStart w:id="183" w:name="_Toc57530240"/>
      <w:bookmarkStart w:id="184" w:name="_Toc15118238"/>
      <w:r>
        <w:rPr>
          <w:rFonts w:hint="eastAsia" w:ascii="宋体" w:hAnsi="宋体" w:cs="宋体"/>
          <w:b/>
          <w:sz w:val="24"/>
          <w:highlight w:val="none"/>
        </w:rPr>
        <w:t>二、基金托管人</w:t>
      </w:r>
      <w:bookmarkEnd w:id="179"/>
      <w:bookmarkEnd w:id="182"/>
      <w:bookmarkEnd w:id="183"/>
      <w:bookmarkEnd w:id="184"/>
    </w:p>
    <w:p>
      <w:pPr>
        <w:spacing w:line="360" w:lineRule="auto"/>
        <w:ind w:firstLine="480" w:firstLineChars="200"/>
        <w:rPr>
          <w:rFonts w:hint="eastAsia" w:ascii="宋体" w:hAnsi="宋体" w:cs="宋体"/>
          <w:bCs/>
          <w:sz w:val="24"/>
          <w:highlight w:val="none"/>
        </w:rPr>
      </w:pPr>
      <w:bookmarkStart w:id="185" w:name="_Toc15118239"/>
      <w:r>
        <w:rPr>
          <w:rFonts w:hint="eastAsia" w:ascii="宋体" w:hAnsi="宋体" w:cs="宋体"/>
          <w:bCs/>
          <w:sz w:val="24"/>
          <w:highlight w:val="none"/>
        </w:rPr>
        <w:t>（一）</w:t>
      </w:r>
      <w:r>
        <w:rPr>
          <w:rFonts w:hint="eastAsia" w:ascii="宋体" w:hAnsi="宋体" w:cs="宋体"/>
          <w:bCs/>
          <w:sz w:val="24"/>
          <w:highlight w:val="none"/>
        </w:rPr>
        <w:tab/>
      </w:r>
      <w:r>
        <w:rPr>
          <w:rFonts w:hint="eastAsia" w:ascii="宋体" w:hAnsi="宋体" w:cs="宋体"/>
          <w:bCs/>
          <w:sz w:val="24"/>
          <w:highlight w:val="none"/>
        </w:rPr>
        <w:t>基金托管人简况</w:t>
      </w:r>
      <w:bookmarkEnd w:id="185"/>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名称：招商银行股份有限公司</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住所：深圳市深南大道7088号招商银行大厦</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法定代表人：缪建民</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成立时间：1987年3月31日</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批准</w:t>
      </w:r>
      <w:r>
        <w:rPr>
          <w:rFonts w:hint="eastAsia" w:ascii="宋体" w:hAnsi="宋体" w:cs="宋体"/>
          <w:bCs/>
          <w:sz w:val="24"/>
          <w:highlight w:val="none"/>
        </w:rPr>
        <w:t>设立机关和批准设立</w:t>
      </w:r>
      <w:r>
        <w:rPr>
          <w:rFonts w:hint="eastAsia" w:ascii="宋体" w:hAnsi="宋体" w:cs="宋体"/>
          <w:sz w:val="24"/>
          <w:highlight w:val="none"/>
        </w:rPr>
        <w:t>文号：</w:t>
      </w:r>
      <w:r>
        <w:rPr>
          <w:rFonts w:hint="eastAsia" w:ascii="宋体" w:hAnsi="宋体" w:cs="宋体"/>
          <w:bCs/>
          <w:sz w:val="24"/>
          <w:highlight w:val="none"/>
        </w:rPr>
        <w:t>中国人民银行银复</w:t>
      </w:r>
      <w:r>
        <w:rPr>
          <w:rFonts w:hint="eastAsia" w:ascii="宋体" w:hAnsi="宋体" w:cs="宋体"/>
          <w:sz w:val="24"/>
          <w:highlight w:val="none"/>
        </w:rPr>
        <w:t>字</w:t>
      </w:r>
      <w:r>
        <w:rPr>
          <w:rFonts w:hint="eastAsia" w:ascii="宋体" w:hAnsi="宋体" w:cs="宋体"/>
          <w:bCs/>
          <w:sz w:val="24"/>
          <w:highlight w:val="none"/>
        </w:rPr>
        <w:t>（1986）175</w:t>
      </w:r>
      <w:r>
        <w:rPr>
          <w:rFonts w:hint="eastAsia" w:ascii="宋体" w:hAnsi="宋体" w:cs="宋体"/>
          <w:sz w:val="24"/>
          <w:highlight w:val="none"/>
        </w:rPr>
        <w:t>号</w:t>
      </w:r>
      <w:r>
        <w:rPr>
          <w:rFonts w:hint="eastAsia" w:ascii="宋体" w:hAnsi="宋体" w:cs="宋体"/>
          <w:bCs/>
          <w:sz w:val="24"/>
          <w:highlight w:val="none"/>
        </w:rPr>
        <w:t>文、银复（1987）86号文</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组织形式：股份有限公司</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注册资本：人民币252.20亿元</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存续期间：持续经营</w:t>
      </w:r>
    </w:p>
    <w:p>
      <w:pPr>
        <w:spacing w:line="360" w:lineRule="auto"/>
        <w:ind w:firstLine="480" w:firstLineChars="200"/>
        <w:rPr>
          <w:rFonts w:hint="eastAsia" w:ascii="宋体" w:hAnsi="宋体" w:cs="宋体"/>
          <w:sz w:val="24"/>
          <w:highlight w:val="none"/>
        </w:rPr>
      </w:pPr>
      <w:r>
        <w:rPr>
          <w:rFonts w:hint="eastAsia" w:ascii="宋体" w:hAnsi="宋体" w:cs="宋体"/>
          <w:bCs/>
          <w:sz w:val="24"/>
          <w:highlight w:val="none"/>
        </w:rPr>
        <w:t>基金托管资格批文及文号：证监基金字[2002]83号</w:t>
      </w:r>
    </w:p>
    <w:p>
      <w:pPr>
        <w:spacing w:line="360" w:lineRule="auto"/>
        <w:ind w:firstLine="480" w:firstLineChars="200"/>
        <w:rPr>
          <w:rFonts w:hint="eastAsia" w:ascii="宋体" w:hAnsi="宋体" w:cs="宋体"/>
          <w:bCs/>
          <w:sz w:val="24"/>
          <w:highlight w:val="none"/>
        </w:rPr>
      </w:pPr>
      <w:bookmarkStart w:id="186" w:name="_Toc15118240"/>
      <w:r>
        <w:rPr>
          <w:rFonts w:hint="eastAsia" w:ascii="宋体" w:hAnsi="宋体" w:cs="宋体"/>
          <w:bCs/>
          <w:sz w:val="24"/>
          <w:highlight w:val="none"/>
        </w:rPr>
        <w:t>（二）</w:t>
      </w:r>
      <w:r>
        <w:rPr>
          <w:rFonts w:hint="eastAsia" w:ascii="宋体" w:hAnsi="宋体" w:cs="宋体"/>
          <w:bCs/>
          <w:sz w:val="24"/>
          <w:highlight w:val="none"/>
        </w:rPr>
        <w:tab/>
      </w:r>
      <w:r>
        <w:rPr>
          <w:rFonts w:hint="eastAsia" w:ascii="宋体" w:hAnsi="宋体" w:cs="宋体"/>
          <w:bCs/>
          <w:sz w:val="24"/>
          <w:highlight w:val="none"/>
        </w:rPr>
        <w:t>基金托管人的权利与义务</w:t>
      </w:r>
      <w:bookmarkEnd w:id="186"/>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1、根据《基金法》、《运作办法》及其他有关规定，基金托管人的权利包括但不限于：</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（1）自《基金合同》生效之日起，依法律法规和《基金合同》的规定安全保管基金财产；</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（2）依《基金合同》约定获得基金托管费以及法律法规规定或监管部门批准的其他费用；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（4）根据相关市场规则，为基金开设资金账户、证券账户等投资所需账户，为基金办理证券交易资金清算；</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（5）提议召开或召集基金份额持有人大会；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（6）在基金管理人更换时，提名新的基金管理人；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（7）法律法规及中国证监会规定的和《基金合同》约定的其他权利。</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2、根据《基金法》、《运作办法》及其他有关规定，基金托管人的义务包括但不限于：</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（1）以诚实信用、勤勉尽责的原则持有并安全保管基金财产；</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（2）设立专门的基金托管部门，具有符合要求的营业场所，配备足够的、合格的熟悉基金托管业务的专职人员，负责基金财产托管事宜；</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（4）除依据《基金法》、《基金合同》及其他有关规定外，不得利用基金财产为自己及任何第三人谋取利益，不得委托第三人托管基金财产；</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（5）保管由基金管理人代表基金签订的与基金有关的重大合同及有关凭证；</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（6）按规定开设基金财产的资金账户和证券账户等投资所需账户,按照《基金合同》的约定，根据基金管理人的投资指令，及时办理清算、交割事宜；</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保守基金商业秘密，除《基金法》、《基金合同》及其他有关规定另有规定外，在基金信息公开披露前予以保密，不得向他人泄露，但向监管机构、司法机关等有权机关或基金托管人上市的证券交易所提供或向审计、法律等外部专业顾问提供的除外；</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（8）复核、审查基金管理人计算的基金资产净值、</w:t>
      </w:r>
      <w:r>
        <w:rPr>
          <w:rFonts w:hint="eastAsia" w:ascii="宋体" w:hAnsi="宋体" w:cs="宋体"/>
          <w:sz w:val="24"/>
          <w:highlight w:val="none"/>
        </w:rPr>
        <w:t>基金份额净值、</w:t>
      </w:r>
      <w:r>
        <w:rPr>
          <w:rFonts w:hint="eastAsia" w:ascii="宋体" w:hAnsi="宋体" w:cs="宋体"/>
          <w:bCs/>
          <w:sz w:val="24"/>
          <w:highlight w:val="none"/>
        </w:rPr>
        <w:t>基金份额申购、赎回价格；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（9）办理与基金托管业务活动有关的信息披露事项；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对基金财务会计报告、季度报告、中期报告和年度基金报告出具意见，说明基金管理人在各重要方面的运作是否严格按照《基金合同》的规定进行；如果基金管理人有未执行《基金合同》规定的行为，还应当说明基金托管人是否采取了适当的措施；</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（11）保存基金托管业务活动的记录、账册、报表和其他相关资料，保存期限</w:t>
      </w:r>
      <w:r>
        <w:rPr>
          <w:rFonts w:hint="eastAsia" w:ascii="宋体" w:hAnsi="宋体" w:cs="宋体"/>
          <w:sz w:val="24"/>
          <w:highlight w:val="none"/>
        </w:rPr>
        <w:t>不低于法律法规规定的最低期限</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（12）保存基金份额持有人名册；</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（13）按规定制作相关账册并与基金管理人核对；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（14）依据基金管理人的指令或有关规定向基金份额持有人支付基金收益和赎回款项；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（15）依据《基金法》、《基金合同》及其他有关规定，召集基金份额持有人大会或配合基金管理人、基金份额持有人依法召集基金份额持有人大会；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（16）按照法律法规和《基金合同》的规定监督基金管理人的投资运作；</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（17）参加基金财产清算小组，参与基金财产的保管、清理、估价、变现和分配；</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（18）面临解散、依法被撤销或者被依法宣告破产时，及时报告中国证监会和银行监管机构，并通知基金管理人；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（19）因违反《基金合同》导致基金财产损失时，应承担赔偿责任，其赔偿责任不因其退任而免除；</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（20）按规定监督基金管理人按法律法规和《基金合同》规定履行自己的义务，基金管理人因违反《基金合同》造成基金财产损失时，应为基金份额持有人利益向基金管理人追偿</w:t>
      </w:r>
      <w:bookmarkStart w:id="187" w:name="_Hlt88825668"/>
      <w:bookmarkEnd w:id="187"/>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（21）执行生效的基金份额持有人大会的决议；</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（22）</w:t>
      </w:r>
      <w:bookmarkStart w:id="188" w:name="_Toc523711670"/>
      <w:r>
        <w:rPr>
          <w:rFonts w:hint="eastAsia" w:ascii="宋体" w:hAnsi="宋体" w:cs="宋体"/>
          <w:bCs/>
          <w:sz w:val="24"/>
          <w:highlight w:val="none"/>
        </w:rPr>
        <w:t>法律法规及中国证监会规定的和《基金合同》约定的其他义务。</w:t>
      </w:r>
    </w:p>
    <w:p>
      <w:pPr>
        <w:spacing w:line="360" w:lineRule="auto"/>
        <w:ind w:firstLine="480" w:firstLineChars="200"/>
        <w:rPr>
          <w:rFonts w:hint="eastAsia" w:ascii="宋体" w:hAnsi="宋体" w:cs="宋体"/>
          <w:bCs/>
          <w:sz w:val="24"/>
          <w:highlight w:val="none"/>
        </w:rPr>
      </w:pPr>
    </w:p>
    <w:bookmarkEnd w:id="188"/>
    <w:p>
      <w:pPr>
        <w:spacing w:line="360" w:lineRule="auto"/>
        <w:ind w:firstLine="482" w:firstLineChars="200"/>
        <w:rPr>
          <w:rFonts w:hint="eastAsia" w:ascii="宋体" w:hAnsi="宋体" w:cs="宋体"/>
          <w:b/>
          <w:sz w:val="24"/>
          <w:highlight w:val="none"/>
        </w:rPr>
      </w:pPr>
      <w:bookmarkStart w:id="189" w:name="_Toc79392582"/>
      <w:r>
        <w:rPr>
          <w:rFonts w:hint="eastAsia" w:ascii="宋体" w:hAnsi="宋体" w:cs="宋体"/>
          <w:b/>
          <w:sz w:val="24"/>
          <w:highlight w:val="none"/>
        </w:rPr>
        <w:t>三、基金份额持有人</w:t>
      </w:r>
      <w:bookmarkEnd w:id="189"/>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基金投资者持有本基金</w:t>
      </w:r>
      <w:bookmarkStart w:id="190" w:name="_Hlt88899909"/>
      <w:bookmarkEnd w:id="190"/>
      <w:r>
        <w:rPr>
          <w:rFonts w:hint="eastAsia" w:ascii="宋体" w:hAnsi="宋体" w:cs="宋体"/>
          <w:bCs/>
          <w:sz w:val="24"/>
          <w:highlight w:val="none"/>
        </w:rPr>
        <w:t>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除法律法规另有规定或基金合同另有约定外，同一类别每份基金份额具有同等的合法权益。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1、根据《基金法》、《运作办法》及其他有关规定，基金份额持有人的权利包括但不限于：</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（1）分享基金财产收益；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（2）参与分配清算后的剩余基金财产；</w:t>
      </w:r>
      <w:bookmarkStart w:id="191" w:name="_Hlt88825574"/>
      <w:bookmarkEnd w:id="191"/>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（3）依法申请赎回或转让其持有的基金份额；</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（4）按照规定要求召开基金份额持有人大会或者召集基金份额持有人大会；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（5）出席或者委派代表出席基金份额持有人大会，对基金份额持有人大会审议事项行使表决权；</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（6）查阅或者复制公开披露的基金信息资料；</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（7）监督基金管理人的投资运作；</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（8）对基金管理人、基金托管人、基金服务机构损害其合法权益的行为依法提起诉讼或仲裁；</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（9）法律法规及中国证监会规定的和《基金合同》约定的其他权利。</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2、根据《基金法》、《运作办法》及其他有关规定，基金份额持有人的义务包括但不限于：</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（1）认真阅读并遵守《基金合同》、《招募说明书》、基金产品资料概要等信息披露文件；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（2）了解所投资基金产品，了解自身风险承受能力，自主判断基金的投资价值，自主做出投资决策，自行承担投资风险；</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（3）关注基金信息披露，及时行使权利和履行义务；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（4）交纳基金认购、申购款项及法律法规和《基金合同》所规定的费用；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（5）在其持有的基金份额范围内，承担基金亏损或者《基金合同》终止的有限责任；</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（6）遵守基金管理人、基金托管人、销售机构和登记机构的申购、赎回及交易相关业务规则及其不时更新；</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（7）提供基金管理人和监管机构依法要求提供的信息，以及不时地更新和补充，并保证其真实性；</w:t>
      </w:r>
    </w:p>
    <w:p>
      <w:pPr>
        <w:spacing w:line="360" w:lineRule="auto"/>
        <w:ind w:firstLine="480" w:firstLineChars="200"/>
        <w:rPr>
          <w:rFonts w:hint="eastAsia" w:ascii="宋体" w:hAnsi="宋体" w:cs="宋体"/>
          <w:sz w:val="24"/>
          <w:highlight w:val="none"/>
        </w:rPr>
      </w:pPr>
      <w:r>
        <w:rPr>
          <w:rFonts w:hint="eastAsia" w:ascii="宋体" w:hAnsi="宋体" w:cs="宋体"/>
          <w:bCs/>
          <w:sz w:val="24"/>
          <w:highlight w:val="none"/>
        </w:rPr>
        <w:t>（8）接受基金管理人或销售机构要求的风险承受能力调查和评价，如实提供身份信息、投资经验、财产状况、风险认知等相关信息以及不时的更新和补充，并保证所提供资料、信息的真实性、准确性、完整性；</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（9）不从事任何有损基金及其他《基金合同》当事人合法权益的活动；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（10）执行生效的基金份额持有人大会的决议；</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（11）返还在基金交易过程中因任何原因获得的不当得利；</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（12）发起资金提供方认购的基金份额持有期限不少于3年，法律法规或监管机构另有规定的除外；</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（13）法律法规及中国证监会规定的和《基金合同》约定的其他义务。</w:t>
      </w:r>
    </w:p>
    <w:p>
      <w:pPr>
        <w:pStyle w:val="2"/>
        <w:spacing w:before="0" w:after="0"/>
        <w:jc w:val="center"/>
        <w:rPr>
          <w:rFonts w:hint="eastAsia" w:hAnsi="宋体" w:cs="宋体"/>
          <w:color w:val="auto"/>
          <w:sz w:val="30"/>
          <w:highlight w:val="none"/>
        </w:rPr>
      </w:pPr>
      <w:r>
        <w:rPr>
          <w:rFonts w:hint="eastAsia" w:hAnsi="宋体" w:cs="宋体"/>
          <w:b w:val="0"/>
          <w:bCs/>
          <w:color w:val="auto"/>
          <w:highlight w:val="none"/>
        </w:rPr>
        <w:br w:type="page"/>
      </w:r>
      <w:bookmarkStart w:id="192" w:name="_Toc4559"/>
      <w:bookmarkStart w:id="193" w:name="_Toc123051454"/>
      <w:bookmarkStart w:id="194" w:name="_Toc139991738"/>
      <w:bookmarkStart w:id="195" w:name="_Toc3321"/>
      <w:bookmarkStart w:id="196" w:name="_Toc25783"/>
      <w:bookmarkStart w:id="197" w:name="_Toc20768"/>
      <w:bookmarkStart w:id="198" w:name="_Toc18567"/>
      <w:bookmarkStart w:id="199" w:name="_Toc10650"/>
      <w:bookmarkStart w:id="200" w:name="_Toc6447"/>
      <w:bookmarkStart w:id="201" w:name="_Toc141703888"/>
      <w:bookmarkStart w:id="202" w:name="_Toc98560354"/>
      <w:bookmarkStart w:id="203" w:name="_Toc7058"/>
      <w:bookmarkStart w:id="204" w:name="_Toc3771"/>
      <w:bookmarkStart w:id="205" w:name="_Toc9706"/>
      <w:bookmarkStart w:id="206" w:name="_Toc123102455"/>
      <w:bookmarkStart w:id="207" w:name="_Toc79392583"/>
      <w:bookmarkStart w:id="208" w:name="_Toc123112236"/>
      <w:bookmarkStart w:id="209" w:name="_Toc11030"/>
      <w:r>
        <w:rPr>
          <w:rFonts w:hint="eastAsia" w:hAnsi="宋体" w:cs="宋体"/>
          <w:color w:val="auto"/>
          <w:sz w:val="30"/>
          <w:highlight w:val="none"/>
        </w:rPr>
        <w:t>第八部分  基金份额持有人大会</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tabs>
          <w:tab w:val="left" w:pos="1080"/>
        </w:tabs>
        <w:spacing w:line="360" w:lineRule="auto"/>
        <w:ind w:left="1075" w:leftChars="199" w:hanging="657" w:hangingChars="274"/>
        <w:rPr>
          <w:rFonts w:hint="eastAsia" w:ascii="宋体" w:hAnsi="宋体" w:cs="宋体"/>
          <w:bCs/>
          <w:sz w:val="24"/>
          <w:highlight w:val="none"/>
        </w:rPr>
      </w:pP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基金份额持有人大会由基金份额持有人组成，基金份额持有人的合法授权代表有权代表基金份额持有人出席会议并表决。</w:t>
      </w:r>
      <w:r>
        <w:rPr>
          <w:rFonts w:hint="eastAsia" w:ascii="宋体" w:hAnsi="宋体" w:cs="宋体"/>
          <w:sz w:val="24"/>
          <w:highlight w:val="none"/>
        </w:rPr>
        <w:t>除法律法规另有规定或基金合同另有约定外，</w:t>
      </w:r>
      <w:r>
        <w:rPr>
          <w:rFonts w:hint="eastAsia" w:ascii="宋体" w:hAnsi="宋体" w:cs="宋体"/>
          <w:bCs/>
          <w:sz w:val="24"/>
          <w:highlight w:val="none"/>
        </w:rPr>
        <w:t>基金份额持有人持有的每一基金份额拥有平等的投票权。</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本基金份额持有人大会不设日常机构，若未来本基金份额持有人大会成立日常机构，则按照届时有效的法律法规的规定执行。</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210" w:name="_Toc57530243"/>
      <w:bookmarkStart w:id="211" w:name="_Toc79392584"/>
      <w:bookmarkStart w:id="212" w:name="_Toc15641220"/>
      <w:r>
        <w:rPr>
          <w:rFonts w:hint="eastAsia" w:ascii="宋体" w:hAnsi="宋体" w:cs="宋体"/>
          <w:b/>
          <w:sz w:val="24"/>
          <w:highlight w:val="none"/>
        </w:rPr>
        <w:t>一、召开事由</w:t>
      </w:r>
      <w:bookmarkEnd w:id="210"/>
      <w:bookmarkEnd w:id="211"/>
      <w:bookmarkEnd w:id="212"/>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1、除法律法规、中国证监会和基金合同另有规定外，当出现或需要决定下列事由之一的，应当召开基金份额持有人大会：</w:t>
      </w:r>
    </w:p>
    <w:p>
      <w:pPr>
        <w:spacing w:line="440" w:lineRule="atLeast"/>
        <w:ind w:firstLine="480" w:firstLineChars="200"/>
        <w:rPr>
          <w:rFonts w:hint="eastAsia" w:ascii="宋体" w:hAnsi="宋体" w:cs="宋体"/>
          <w:bCs/>
          <w:highlight w:val="none"/>
        </w:rPr>
      </w:pPr>
      <w:r>
        <w:rPr>
          <w:rFonts w:hint="eastAsia" w:ascii="宋体" w:hAnsi="宋体" w:cs="宋体"/>
          <w:bCs/>
          <w:sz w:val="24"/>
          <w:highlight w:val="none"/>
        </w:rPr>
        <w:t xml:space="preserve">（1）终止《基金合同》； </w:t>
      </w:r>
    </w:p>
    <w:p>
      <w:pPr>
        <w:spacing w:line="440" w:lineRule="atLeast"/>
        <w:ind w:firstLine="480" w:firstLineChars="200"/>
        <w:rPr>
          <w:rFonts w:hint="eastAsia" w:ascii="宋体" w:hAnsi="宋体" w:cs="宋体"/>
          <w:bCs/>
          <w:highlight w:val="none"/>
        </w:rPr>
      </w:pPr>
      <w:r>
        <w:rPr>
          <w:rFonts w:hint="eastAsia" w:ascii="宋体" w:hAnsi="宋体" w:cs="宋体"/>
          <w:bCs/>
          <w:sz w:val="24"/>
          <w:highlight w:val="none"/>
        </w:rPr>
        <w:t>（2）更换基金管理人；</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（3）更换基金托管人；</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（4）转换基金运作方式；</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（5）调整基金管理人、基金托管人的报酬标准或提高销售服务费费率；</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（6）变更基金类别；</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（7）本基金与其他基金的合并；</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（8）变更基金投资目标、范围或策略；</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（9）变更基金份额持有人大会程序；</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（10）基金管理人或基金托管人要求召开基金份额持有人大会；</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（11）单独或合计持有本基金总份额10%以上（含10%）基金份额的基金份额持有人（以基金管理人收到提议当日的基金份额计算，下同）就同一事项书面要求召开基金份额持有人大会；</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（12）对基金合同当事人权利和义务产生重大影响的其他事项；</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（13）法律法规、《基金合同》或中国证监会规定的其他应当召开基金份额持有人大会的事项。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2、在法律法规规定和《基金合同》约定的范围内且对基金份额持有人利益无实质性不利影响的前提下，以下情况可由基金管理人和基金托管人协商后修改，不需召开基金份额持有人大会：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w:t>
      </w:r>
      <w:r>
        <w:rPr>
          <w:rFonts w:hint="eastAsia" w:ascii="宋体" w:hAnsi="宋体" w:cs="宋体"/>
          <w:bCs/>
          <w:sz w:val="24"/>
          <w:highlight w:val="none"/>
          <w:lang w:val="en-US" w:eastAsia="zh-CN"/>
        </w:rPr>
        <w:t>1</w:t>
      </w:r>
      <w:r>
        <w:rPr>
          <w:rFonts w:hint="eastAsia" w:ascii="宋体" w:hAnsi="宋体" w:cs="宋体"/>
          <w:bCs/>
          <w:sz w:val="24"/>
          <w:highlight w:val="none"/>
        </w:rPr>
        <w:t>）法律法规要求增加的基金费用的收取；</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w:t>
      </w:r>
      <w:r>
        <w:rPr>
          <w:rFonts w:hint="eastAsia" w:ascii="宋体" w:hAnsi="宋体" w:cs="宋体"/>
          <w:bCs/>
          <w:sz w:val="24"/>
          <w:highlight w:val="none"/>
          <w:lang w:val="en-US" w:eastAsia="zh-CN"/>
        </w:rPr>
        <w:t>2</w:t>
      </w:r>
      <w:r>
        <w:rPr>
          <w:rFonts w:hint="eastAsia" w:ascii="宋体" w:hAnsi="宋体" w:cs="宋体"/>
          <w:bCs/>
          <w:sz w:val="24"/>
          <w:highlight w:val="none"/>
        </w:rPr>
        <w:t>）在法律法规和《基金合同》规定的范围内调整本基金的申购费率、调低销售服务费率或变更收费方式；</w:t>
      </w:r>
    </w:p>
    <w:p>
      <w:pPr>
        <w:spacing w:line="360" w:lineRule="auto"/>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rPr>
        <w:t>（3）增加、减少或调整基金份额类别设置或者调整基金份额分类办法及规则等</w:t>
      </w:r>
      <w:r>
        <w:rPr>
          <w:rFonts w:hint="eastAsia" w:ascii="宋体" w:hAnsi="宋体" w:cs="宋体"/>
          <w:bCs/>
          <w:sz w:val="24"/>
          <w:highlight w:val="none"/>
          <w:lang w:eastAsia="zh-CN"/>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（4）因相应的法律法规发生变动而应当对《基金合同》进行修改；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（5）对《基金合同》的修改对基金份额持有人利益无实质性不利影响或修改不涉及《基金合同》当事人权利义务关系发生重大变化；</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（6）基金管理人、基金登记机构、基金销售机构调整有关认购、申购、赎回、转换、基金交易、非交易过户、转托管、基金份额转让、质押等业务规则；</w:t>
      </w:r>
    </w:p>
    <w:p>
      <w:pPr>
        <w:spacing w:line="360" w:lineRule="auto"/>
        <w:ind w:firstLine="480" w:firstLineChars="200"/>
        <w:rPr>
          <w:rFonts w:hint="eastAsia" w:ascii="宋体" w:hAnsi="宋体" w:cs="宋体"/>
          <w:b/>
          <w:sz w:val="24"/>
          <w:highlight w:val="none"/>
        </w:rPr>
      </w:pPr>
      <w:r>
        <w:rPr>
          <w:rFonts w:hint="eastAsia" w:ascii="宋体" w:hAnsi="宋体" w:cs="宋体"/>
          <w:sz w:val="24"/>
          <w:highlight w:val="none"/>
        </w:rPr>
        <w:t>（7）基金管理人在履行适当程序后，</w:t>
      </w:r>
      <w:r>
        <w:rPr>
          <w:rFonts w:hint="eastAsia" w:ascii="宋体" w:hAnsi="宋体" w:cs="宋体"/>
          <w:bCs/>
          <w:sz w:val="24"/>
          <w:highlight w:val="none"/>
        </w:rPr>
        <w:t>基金推出新业务或服务；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（8）按照法律法规和《基金合同》规定不需召开基金份额持有人大会的其他情形。</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213" w:name="_Toc15641221"/>
      <w:bookmarkStart w:id="214" w:name="_Toc57530244"/>
      <w:bookmarkStart w:id="215" w:name="_Toc79392585"/>
      <w:r>
        <w:rPr>
          <w:rFonts w:hint="eastAsia" w:ascii="宋体" w:hAnsi="宋体" w:cs="宋体"/>
          <w:b/>
          <w:sz w:val="24"/>
          <w:highlight w:val="none"/>
        </w:rPr>
        <w:t>二、会议召集人及召集方式</w:t>
      </w:r>
      <w:bookmarkEnd w:id="213"/>
      <w:bookmarkEnd w:id="214"/>
      <w:bookmarkEnd w:id="215"/>
    </w:p>
    <w:p>
      <w:pPr>
        <w:spacing w:line="360" w:lineRule="auto"/>
        <w:ind w:firstLine="480" w:firstLineChars="200"/>
        <w:rPr>
          <w:rFonts w:hint="eastAsia" w:ascii="宋体" w:hAnsi="宋体" w:cs="宋体"/>
          <w:bCs/>
          <w:sz w:val="24"/>
          <w:highlight w:val="none"/>
        </w:rPr>
      </w:pPr>
      <w:bookmarkStart w:id="216" w:name="_Toc57530245"/>
      <w:bookmarkStart w:id="217" w:name="_Toc15641222"/>
      <w:r>
        <w:rPr>
          <w:rFonts w:hint="eastAsia" w:ascii="宋体" w:hAnsi="宋体" w:cs="宋体"/>
          <w:bCs/>
          <w:sz w:val="24"/>
          <w:highlight w:val="none"/>
        </w:rPr>
        <w:t>1、除法律法规规定或《基金合同》另有约定外，基金份额持有人大会由基金管理人召集；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2、基金管理人未按规定召集或不能召集时，由基金托管人召集；</w:t>
      </w:r>
    </w:p>
    <w:p>
      <w:pPr>
        <w:spacing w:line="360" w:lineRule="auto"/>
        <w:ind w:firstLine="480"/>
        <w:rPr>
          <w:rFonts w:hint="eastAsia" w:ascii="宋体" w:hAnsi="宋体" w:cs="宋体"/>
          <w:bCs/>
          <w:sz w:val="24"/>
          <w:highlight w:val="none"/>
        </w:rPr>
      </w:pPr>
      <w:r>
        <w:rPr>
          <w:rFonts w:hint="eastAsia" w:ascii="宋体" w:hAnsi="宋体" w:cs="宋体"/>
          <w:bCs/>
          <w:sz w:val="24"/>
          <w:highlight w:val="none"/>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或在规定时间内未能作出书面答复，基金托管人仍认为有必要召开的，应当由基金托管人自行召集，并自出具书面决定之日起60日内召开并告知基金管理人，基金管理人应当配合；</w:t>
      </w:r>
    </w:p>
    <w:p>
      <w:pPr>
        <w:spacing w:line="360" w:lineRule="auto"/>
        <w:ind w:firstLine="480"/>
        <w:rPr>
          <w:rFonts w:hint="eastAsia" w:ascii="宋体" w:hAnsi="宋体" w:cs="宋体"/>
          <w:bCs/>
          <w:sz w:val="24"/>
          <w:highlight w:val="none"/>
        </w:rPr>
      </w:pPr>
      <w:r>
        <w:rPr>
          <w:rFonts w:hint="eastAsia" w:ascii="宋体" w:hAnsi="宋体" w:cs="宋体"/>
          <w:bCs/>
          <w:sz w:val="24"/>
          <w:highlight w:val="none"/>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或在规定时间内未能作出书面答复，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代表基金份额10%以上（含10%）的基金份额持有人就同一事项要求召开基金份额持有人大会，而基金管理人、基金托管人都不召集或在规定时间内未能作出书面答复的，单独或合计代表基金份额10%以上（含10%）的基金份额持有人有权自行召集，并至少提前30日报中国证监会备案。基金份额持有人依法自行召集基金份额持有人大会的，基金管理人、基金托管人应当配合，不得阻碍、干扰；</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6、基金份额持有人会议的召集人负责选择确定开会时间、地点、方式和权益登记日。</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218" w:name="_Toc79392586"/>
      <w:r>
        <w:rPr>
          <w:rFonts w:hint="eastAsia" w:ascii="宋体" w:hAnsi="宋体" w:cs="宋体"/>
          <w:b/>
          <w:sz w:val="24"/>
          <w:highlight w:val="none"/>
        </w:rPr>
        <w:t>三、召开基金份额持有人大会的通知时间、通知内容、通知方式</w:t>
      </w:r>
      <w:bookmarkEnd w:id="216"/>
      <w:bookmarkEnd w:id="217"/>
      <w:bookmarkEnd w:id="218"/>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1、召开基金份额持有人大会，召集人应于会议召开前30日，在规定媒介公告。基金份额持有人大会通知应至少载明以下内容：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（1）会议召开的时间、地点和会议形式；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（2）会议拟审议的事项、议事程序和表决方式；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（3）有权出席基金份额持有人大会的基金份额持有人的权益登记日；</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（4）授权委托证明的内容要求（包括但不限于代理人身份，代理权限和代理有效期限等）、送达时间和地点;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（5）会务常设联系人姓名及联系电话；</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（6）出席会议者必须准备的文件和必须履行的手续；</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（7）召集人需要通知的其他事项。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219" w:name="_Toc79392587"/>
      <w:bookmarkStart w:id="220" w:name="_Toc57530246"/>
      <w:bookmarkStart w:id="221" w:name="_Toc15641223"/>
      <w:r>
        <w:rPr>
          <w:rFonts w:hint="eastAsia" w:ascii="宋体" w:hAnsi="宋体" w:cs="宋体"/>
          <w:b/>
          <w:sz w:val="24"/>
          <w:highlight w:val="none"/>
        </w:rPr>
        <w:t>四、基金份额持有人出席会议的方式</w:t>
      </w:r>
      <w:bookmarkEnd w:id="219"/>
      <w:bookmarkEnd w:id="220"/>
      <w:bookmarkEnd w:id="221"/>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基金份额持有人大会可通过现场开会方式或通讯开会方式以及法律法规或监管机构允许的其他方式召开，会议的召开方式由会议召集人确定。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三个月以后、六个月以内，就原定审议事项重新召集基金份额持有人大会。重新召集的基金份额持有人大会到会者在权益登记日代表的有效的基金份额应不少于本基金在权益登记日基金总份额的三分之一（含三分之一）。</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通讯开会。通讯开会系指基金份额持有人将其对表决事项的投票以书面形式或会议通知载明的其他方式在表决截止日以前送达至召集人指定的地址。通讯开会应以书面方式或会议通知载明的其他方式进行表决。</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在同时符合以下条件时，通讯开会的方式视为有效：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（1）会议召集人按《基金合同》约定公布会议通知后，在2个工作日内连续公布相关提示性公告；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本人直接出具表决意见或授权他人代表出具表决意见的，基金份额持有人所持有的基金份额不小于在权益登记日基金总份额的二分之一（含二分之一）；若本人直接出具表决意见或授权他人代表出具表决意见参加基金份额持有人大会的持有人的基金份额低于前款规定比例的，召集人可以在原公告的基金份额持有人大会召开时间的三个月以后、六个月以内，就原定审议事项重新召集基金份额持有人大会。重新召集的基金份额持有人大会应当有代表三分之一以上（含三分之一）基金份额的持有人直接出具表决意见或授权他人代表出具表决意见；</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3、基金份额持有人授权他人代为出席会议并表决的，授权方式可以采用书面、网络、电话、短信或其他方式，具体方式在会议通知中列明。</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在法律法规和监管机关允许的情况下，在会议召开方式上，本基金亦可采用网络、电话等非现场方式或者以现场方式与非现场方式相结合的方式召开基金份额持有人大会，具体方式由会议召集人确定并在会议通知中列明。</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222" w:name="_Toc57530247"/>
      <w:bookmarkStart w:id="223" w:name="_Toc15641224"/>
      <w:bookmarkStart w:id="224" w:name="_Toc79392588"/>
      <w:r>
        <w:rPr>
          <w:rFonts w:hint="eastAsia" w:ascii="宋体" w:hAnsi="宋体" w:cs="宋体"/>
          <w:b/>
          <w:sz w:val="24"/>
          <w:highlight w:val="none"/>
        </w:rPr>
        <w:t>五、议事内容与程序</w:t>
      </w:r>
      <w:bookmarkEnd w:id="222"/>
      <w:bookmarkEnd w:id="223"/>
      <w:bookmarkEnd w:id="224"/>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1、议事内容及提案权</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基金份额持有人大会的召集人发出召集会议的通知后，对原有提案的修改应当在基金份额持有人大会召开前及时公告。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基金份额持有人大会不得对未事先公告的议事内容进行表决。</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2、议事程序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（1）现场开会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会议召集人应当制作出席会议人员的签名册。签名册载明参加会议人员姓名（或单位名称）、身份证明文件号码、持有或代表有表决权的基金份额、委托人姓名（或单位名称）和联系方式等事项。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（2）通讯开会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在通讯开会的情况下，首先由召集人提前30日公布提案，在所通知的表决截止日期后2个工作日内在公证机关监督下由召集人统计全部有效表决，在公证机关监督下形成决议。</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225" w:name="_Toc79392589"/>
      <w:bookmarkStart w:id="226" w:name="_Toc57530248"/>
      <w:bookmarkStart w:id="227" w:name="_Toc15641225"/>
      <w:r>
        <w:rPr>
          <w:rFonts w:hint="eastAsia" w:ascii="宋体" w:hAnsi="宋体" w:cs="宋体"/>
          <w:b/>
          <w:sz w:val="24"/>
          <w:highlight w:val="none"/>
        </w:rPr>
        <w:t>六、表决</w:t>
      </w:r>
      <w:bookmarkEnd w:id="225"/>
      <w:bookmarkEnd w:id="226"/>
      <w:bookmarkEnd w:id="227"/>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基金份额持有人所持每份基金份额有一票表决权。</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基金份额持有人大会决议分为一般决议和特别决议：</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2、特别决议，特别决议应当经参加大会的基金份额持有人或其代理人所持表决权的三分之二 以上（含三分之二 ）通过方可做出。除法律法规另有规定或本基金合同另有约定外，转换基金运作方式、更换基金管理人或者基金托管人、终止《基金合同》、与其他基金合并以特别决议通过方为有效。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基金份额持有人大会采取记名方式进行投票表决。</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采取通讯方式进行表决时，除非在计票时监督员及公证机关均认为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基金份额持有人大会的各项提案或同一项提案内并列的各项议题应当分开审议、逐项表决。</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228" w:name="_Toc15641226"/>
      <w:bookmarkStart w:id="229" w:name="_Toc57530249"/>
      <w:bookmarkStart w:id="230" w:name="_Toc79392590"/>
      <w:r>
        <w:rPr>
          <w:rFonts w:hint="eastAsia" w:ascii="宋体" w:hAnsi="宋体" w:cs="宋体"/>
          <w:b/>
          <w:sz w:val="24"/>
          <w:highlight w:val="none"/>
        </w:rPr>
        <w:t>七、计票</w:t>
      </w:r>
      <w:bookmarkEnd w:id="228"/>
      <w:bookmarkEnd w:id="229"/>
      <w:bookmarkEnd w:id="230"/>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1、现场开会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（2）监票人应当在基金份额持有人表决后立即进行清点并由大会主持人当场公布计票结果。</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（4）计票过程应由公证机关予以公证，基金管理人或基金托管人拒不出席大会的，不影响计票的效力。</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2、通讯开会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在通讯开会的情况下，计票方式为：由大会召集人授权的两名监督员在基金托管人授权代表（若由基金托管人召集，则为基金管理人授权代表）的监督下进行计票，并由公证机关对其计票过程予以公证</w:t>
      </w:r>
      <w:bookmarkStart w:id="231" w:name="_Toc15641227"/>
      <w:bookmarkStart w:id="232" w:name="_Toc79392591"/>
      <w:bookmarkStart w:id="233" w:name="_Toc57530250"/>
      <w:r>
        <w:rPr>
          <w:rFonts w:hint="eastAsia" w:ascii="宋体" w:hAnsi="宋体" w:cs="宋体"/>
          <w:bCs/>
          <w:sz w:val="24"/>
          <w:highlight w:val="none"/>
        </w:rPr>
        <w:t>。基金管理人或基金托管人拒派代表对表决意见的计票进行监督的，不影响计票和表决结果。</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八、生效与公告</w:t>
      </w:r>
      <w:bookmarkEnd w:id="231"/>
      <w:bookmarkEnd w:id="232"/>
      <w:bookmarkEnd w:id="233"/>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基金份额持有人大会的决议，召集人应当自通过之日起5日内报中国证监会备案。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基金份额持有人大会决议自表决通过之日起生效。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基金份额持有人大会决议自生效之日起2日内在规定媒介上公告。</w:t>
      </w:r>
      <w:bookmarkStart w:id="234" w:name="_Hlt88820702"/>
      <w:bookmarkEnd w:id="234"/>
      <w:r>
        <w:rPr>
          <w:rFonts w:hint="eastAsia" w:ascii="宋体" w:hAnsi="宋体" w:cs="宋体"/>
          <w:bCs/>
          <w:sz w:val="24"/>
          <w:highlight w:val="none"/>
        </w:rPr>
        <w:t>如果采用通讯方式进行表决，在公告基金份额持有人大会决议时，必须将公证书全文、公证机构、公证员姓名等一同公告。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基金管理人、基金托管人和基金份额持有人应当执行生效的基金份额持有人大会的决议。生效的基金份额持有人大会决议对全体基金份额持有人、基金管理人、基金托管人均有约束力。</w:t>
      </w:r>
    </w:p>
    <w:p>
      <w:pPr>
        <w:spacing w:line="360" w:lineRule="auto"/>
        <w:ind w:firstLine="480" w:firstLineChars="200"/>
        <w:rPr>
          <w:rFonts w:hint="eastAsia" w:ascii="宋体" w:hAnsi="宋体" w:cs="宋体"/>
          <w:bCs/>
          <w:sz w:val="24"/>
          <w:highlight w:val="none"/>
        </w:rPr>
      </w:pP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九、本基金持有的基金召开基金份额持有人大会时，本基金管理人应当代表本基金份额持有人的利益参与所持有的基金的基金份额持有人大会，并在遵循本基金份额持有人利益优先原则的前提下行使相关投票权利，无需事先召开本基金的基金份额持有人大会。本基金管理人需将表决意见事先征求基金托管人的意见，并将表决意见在定期报告中予以披露。投资者持有本基金基金份额的行为即视为同意本基金管理人直接参与本基金持有的基金的基金份额持有人大会并行使相关投票权利。</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遵循本基金基金份额持有人利益优先原则的前提下，本基金的基金管理人可代表本基金的基金份额持有人提议召开或召集本基金所持基金的基金份额持有人大会，无需事先召开本基金的基金份额持有人大会。投资者持有本基金基金份额的行为即视为同意本基金管理人代表本基金的基金份额持有人提议召开或召集本基金所持基金的基金份额持有人大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法律法规对于本基金参与本基金持有的基金召开的基金份额持有人大会或召集本基金持有的基金的基金份额持有人大会的程序或要求另有规定的，从其规定。</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十、实施侧袋机制期间基金份额持有人大会的特殊约定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1、基金份额持有人行使提议权、召集权、提名权所需单独或合计代表相关基金份额10%以上（含10%）；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2、现场开会的到会者在权益登记日代表的基金份额不少于本基金在权益登记日相关基金份额的二分之一（含二分之一）；</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3、通讯开会的直接出具表决意见或授权他人代表出具表决意见的基金份额持有人所持有的基金份额不小于在权益登记日相关基金份额的二分之一（含二分之一）；</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当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5、现场开会由出席大会的基金份额持有人和代理人所持表决权的50%以上（含50%）选举产生一名基金份额持有人作为该次基金份额持有人大会的主持人；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6、一般决议须经参加大会的基金份额持有人或其代理人所持表决权的二分之一以上（含二分之一）通过；</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7、特别决议应当经参加大会的基金份额持有人或其代理人所持表决权的三分之二以上（含三分之二）通过。</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侧袋机制实施期间，基金份额持有人大会审议事项涉及主袋账户和侧袋账户的，应分别由主袋账户、侧袋账户的基金份额持有人进行表决，同一类别账户内的每份基金份额具有平等的表决权。表决事项未涉及侧袋账户的，侧袋账户份额无表决权。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侧袋机制实施期间，关于基金份额持有人大会的相关规定以本节特殊约定内容为准，本节没有规定的适用上文相关约定。</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十一、本部分关于基金份额持有人大会召开事由、召开条件、议事程序、表决条件等规定，凡是直接引用法律法规或监管规定的部分，如将来法律法规或监管规定修改导致相关内容被取消或变更的，经与基金托管人协商一致，基金管理人提前公告后，可直接对本部分内容进行修改和调整，无需召开基金份额持有人大会审议。</w:t>
      </w:r>
    </w:p>
    <w:p>
      <w:pPr>
        <w:spacing w:line="360" w:lineRule="auto"/>
        <w:ind w:firstLine="480" w:firstLineChars="200"/>
        <w:rPr>
          <w:rFonts w:hint="eastAsia" w:ascii="宋体" w:hAnsi="宋体" w:cs="宋体"/>
          <w:bCs/>
          <w:sz w:val="24"/>
          <w:highlight w:val="none"/>
        </w:rPr>
      </w:pPr>
    </w:p>
    <w:p>
      <w:pPr>
        <w:rPr>
          <w:rFonts w:hint="eastAsia" w:ascii="宋体" w:hAnsi="宋体" w:cs="宋体"/>
          <w:highlight w:val="none"/>
        </w:rPr>
      </w:pPr>
      <w:bookmarkStart w:id="235" w:name="_Toc1745"/>
      <w:bookmarkStart w:id="236" w:name="_Toc3963"/>
      <w:bookmarkStart w:id="237" w:name="_Toc18769"/>
    </w:p>
    <w:p>
      <w:pPr>
        <w:pStyle w:val="2"/>
        <w:jc w:val="center"/>
        <w:rPr>
          <w:rFonts w:hint="eastAsia" w:hAnsi="宋体" w:cs="宋体"/>
          <w:color w:val="auto"/>
          <w:highlight w:val="none"/>
        </w:rPr>
      </w:pPr>
      <w:r>
        <w:rPr>
          <w:rFonts w:hint="eastAsia" w:hAnsi="宋体" w:cs="宋体"/>
          <w:b w:val="0"/>
          <w:bCs/>
          <w:color w:val="auto"/>
          <w:highlight w:val="none"/>
        </w:rPr>
        <w:br w:type="page"/>
      </w:r>
      <w:bookmarkStart w:id="238" w:name="_Toc16164"/>
      <w:bookmarkStart w:id="239" w:name="_Toc10398"/>
      <w:bookmarkStart w:id="240" w:name="_Toc3572"/>
      <w:bookmarkStart w:id="241" w:name="_Toc3080"/>
      <w:bookmarkStart w:id="242" w:name="_Toc123051455"/>
      <w:bookmarkStart w:id="243" w:name="_Toc123112237"/>
      <w:bookmarkStart w:id="244" w:name="_Toc98560355"/>
      <w:bookmarkStart w:id="245" w:name="_Toc21735"/>
      <w:bookmarkStart w:id="246" w:name="_Toc123102456"/>
      <w:bookmarkStart w:id="247" w:name="_Toc18206"/>
      <w:bookmarkStart w:id="248" w:name="_Toc139991739"/>
      <w:bookmarkStart w:id="249" w:name="_Toc31821"/>
      <w:bookmarkStart w:id="250" w:name="_Toc141703889"/>
      <w:bookmarkStart w:id="251" w:name="_Toc725"/>
      <w:r>
        <w:rPr>
          <w:rFonts w:hint="eastAsia" w:hAnsi="宋体" w:cs="宋体"/>
          <w:color w:val="auto"/>
          <w:sz w:val="30"/>
          <w:highlight w:val="none"/>
        </w:rPr>
        <w:t>第九部分  基金管理人、基金托管人的更换条件和程序</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pPr>
        <w:autoSpaceDE w:val="0"/>
        <w:autoSpaceDN w:val="0"/>
        <w:spacing w:line="360" w:lineRule="auto"/>
        <w:textAlignment w:val="bottom"/>
        <w:rPr>
          <w:rFonts w:hint="eastAsia" w:ascii="宋体" w:hAnsi="宋体" w:cs="宋体"/>
          <w:bCs/>
          <w:sz w:val="24"/>
          <w:highlight w:val="none"/>
        </w:rPr>
      </w:pPr>
      <w:bookmarkStart w:id="252" w:name="_Toc15118245"/>
      <w:bookmarkStart w:id="253" w:name="_Toc79392593"/>
      <w:bookmarkStart w:id="254" w:name="_Toc57530252"/>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一、基金管理人和基金托管人职责终止的情形</w:t>
      </w:r>
      <w:bookmarkEnd w:id="252"/>
      <w:bookmarkEnd w:id="253"/>
      <w:bookmarkEnd w:id="254"/>
    </w:p>
    <w:p>
      <w:pPr>
        <w:spacing w:line="360" w:lineRule="auto"/>
        <w:ind w:firstLine="480" w:firstLineChars="200"/>
        <w:rPr>
          <w:rFonts w:hint="eastAsia" w:ascii="宋体" w:hAnsi="宋体" w:cs="宋体"/>
          <w:bCs/>
          <w:sz w:val="24"/>
          <w:highlight w:val="none"/>
        </w:rPr>
      </w:pPr>
      <w:bookmarkStart w:id="255" w:name="_Toc22005971"/>
      <w:r>
        <w:rPr>
          <w:rFonts w:hint="eastAsia" w:ascii="宋体" w:hAnsi="宋体" w:cs="宋体"/>
          <w:bCs/>
          <w:sz w:val="24"/>
          <w:highlight w:val="none"/>
        </w:rPr>
        <w:t>（一）</w:t>
      </w:r>
      <w:r>
        <w:rPr>
          <w:rFonts w:hint="eastAsia" w:ascii="宋体" w:hAnsi="宋体" w:cs="宋体"/>
          <w:bCs/>
          <w:sz w:val="24"/>
          <w:highlight w:val="none"/>
        </w:rPr>
        <w:tab/>
      </w:r>
      <w:r>
        <w:rPr>
          <w:rFonts w:hint="eastAsia" w:ascii="宋体" w:hAnsi="宋体" w:cs="宋体"/>
          <w:bCs/>
          <w:sz w:val="24"/>
          <w:highlight w:val="none"/>
        </w:rPr>
        <w:t>基金管理人职责终止的情形</w:t>
      </w:r>
      <w:bookmarkEnd w:id="255"/>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有下列情形之一的，基金管理人职责终止：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1、被依法取消基金管理资格；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2、被基金份额持有人大会解任；</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3、依法解散、被依法撤销或被依法宣告破产；</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4、法律法规及中国证监会规定的和《基金合同》约定的其他情形。</w:t>
      </w:r>
    </w:p>
    <w:p>
      <w:pPr>
        <w:spacing w:line="360" w:lineRule="auto"/>
        <w:ind w:firstLine="480" w:firstLineChars="200"/>
        <w:rPr>
          <w:rFonts w:hint="eastAsia" w:ascii="宋体" w:hAnsi="宋体" w:cs="宋体"/>
          <w:bCs/>
          <w:sz w:val="24"/>
          <w:highlight w:val="none"/>
        </w:rPr>
      </w:pPr>
      <w:bookmarkStart w:id="256" w:name="_Toc22005972"/>
      <w:r>
        <w:rPr>
          <w:rFonts w:hint="eastAsia" w:ascii="宋体" w:hAnsi="宋体" w:cs="宋体"/>
          <w:bCs/>
          <w:sz w:val="24"/>
          <w:highlight w:val="none"/>
        </w:rPr>
        <w:t>（二）</w:t>
      </w:r>
      <w:r>
        <w:rPr>
          <w:rFonts w:hint="eastAsia" w:ascii="宋体" w:hAnsi="宋体" w:cs="宋体"/>
          <w:bCs/>
          <w:sz w:val="24"/>
          <w:highlight w:val="none"/>
        </w:rPr>
        <w:tab/>
      </w:r>
      <w:r>
        <w:rPr>
          <w:rFonts w:hint="eastAsia" w:ascii="宋体" w:hAnsi="宋体" w:cs="宋体"/>
          <w:bCs/>
          <w:sz w:val="24"/>
          <w:highlight w:val="none"/>
        </w:rPr>
        <w:t>基金托管人职责终止的情形</w:t>
      </w:r>
      <w:bookmarkEnd w:id="256"/>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有下列情形之一的，基金托管人职责终止：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1、被依法取消基金托管资格；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2、被基金份额持有人大会解任；</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3、依法解散、被依法撤销或被依法宣告破产；</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4、法律法规及中国证监会规定的和《基金合同》约定的其他情形。</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257" w:name="_Toc57530253"/>
      <w:bookmarkStart w:id="258" w:name="_Toc79392594"/>
      <w:bookmarkStart w:id="259" w:name="_Toc15118246"/>
      <w:r>
        <w:rPr>
          <w:rFonts w:hint="eastAsia" w:ascii="宋体" w:hAnsi="宋体" w:cs="宋体"/>
          <w:b/>
          <w:sz w:val="24"/>
          <w:highlight w:val="none"/>
        </w:rPr>
        <w:t>二、基金管理人和基金托管人的更换程序</w:t>
      </w:r>
      <w:bookmarkEnd w:id="257"/>
      <w:bookmarkEnd w:id="258"/>
      <w:bookmarkEnd w:id="259"/>
    </w:p>
    <w:p>
      <w:pPr>
        <w:spacing w:line="360" w:lineRule="auto"/>
        <w:ind w:firstLine="480" w:firstLineChars="200"/>
        <w:rPr>
          <w:rFonts w:hint="eastAsia" w:ascii="宋体" w:hAnsi="宋体" w:cs="宋体"/>
          <w:bCs/>
          <w:sz w:val="24"/>
          <w:highlight w:val="none"/>
        </w:rPr>
      </w:pPr>
      <w:bookmarkStart w:id="260" w:name="_Toc22005974"/>
      <w:r>
        <w:rPr>
          <w:rFonts w:hint="eastAsia" w:ascii="宋体" w:hAnsi="宋体" w:cs="宋体"/>
          <w:bCs/>
          <w:sz w:val="24"/>
          <w:highlight w:val="none"/>
        </w:rPr>
        <w:t>（一）</w:t>
      </w:r>
      <w:r>
        <w:rPr>
          <w:rFonts w:hint="eastAsia" w:ascii="宋体" w:hAnsi="宋体" w:cs="宋体"/>
          <w:bCs/>
          <w:sz w:val="24"/>
          <w:highlight w:val="none"/>
        </w:rPr>
        <w:tab/>
      </w:r>
      <w:r>
        <w:rPr>
          <w:rFonts w:hint="eastAsia" w:ascii="宋体" w:hAnsi="宋体" w:cs="宋体"/>
          <w:bCs/>
          <w:sz w:val="24"/>
          <w:highlight w:val="none"/>
        </w:rPr>
        <w:t>基金管理人的更换程序</w:t>
      </w:r>
      <w:bookmarkEnd w:id="260"/>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提名：临时基金管理人应向基金托管人、单独或合计持有10%以上（含10%）基金份额的基金份额持有人，征集新任基金管理人提名人选。新任基金管理人提名人选由临时基金管理人、基金托管人、单独或合计持有10%以上（含10%）基金份额的基金份额持有人提名的人选构成；</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2、决议：基金份额持有人大会在基金管理人职责终止后6个月内对被提名的基金管理人形成决议，该决议需经参加大会的基金份额持有人所持表决权的三分之二 以上（含三分之二）表决通过，决议自表决通过之日起生效；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临时基金管理人：新任基金管理人产生之前，临时基金管理人由基金管理人、基金托管人、单独或合计持有10%以上（含10%）基金份额的基金份额持有人提名，中国证监会根据《基金法》的规定，从提名人选中择优指定临时基金管理人。基金管理人、基金托管人、单独或合计持有10%以上（含10%）基金份额的基金份额持有人均不提名的，由中国证监会指定临时基金管理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4、备案：基金份额持有人大会更换基金管理人的决议须报中国证监会备案；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5、公告：基金管理人更换后，由基金托管人在更换基金管理人的基金份额持有人大会决议生效后2日内在规定媒介公告。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交接与责任划分：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和净值；基金管理人、临时基金管理人、新任基金管理人应对各自履职行为依法承担责任；</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审计：基金管理人职责终止的，应当按照法律法规规定聘请符合《中华人民共和国证券法》规定的会计师事务所对基金财产进行审计，并将审计结果予以公告，同时报中国证监会备案，审计费用在基金财产中列支；</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8、基金名称变更：基金管理人更换后，如果原任或新任基金管理人要求，应按其要求替换或删除基金名称中与原基金管理人有关的名称字样。</w:t>
      </w:r>
    </w:p>
    <w:p>
      <w:pPr>
        <w:spacing w:line="360" w:lineRule="auto"/>
        <w:ind w:firstLine="480" w:firstLineChars="200"/>
        <w:rPr>
          <w:rFonts w:hint="eastAsia" w:ascii="宋体" w:hAnsi="宋体" w:cs="宋体"/>
          <w:bCs/>
          <w:sz w:val="24"/>
          <w:highlight w:val="none"/>
        </w:rPr>
      </w:pPr>
      <w:bookmarkStart w:id="261" w:name="_Toc22005975"/>
      <w:r>
        <w:rPr>
          <w:rFonts w:hint="eastAsia" w:ascii="宋体" w:hAnsi="宋体" w:cs="宋体"/>
          <w:bCs/>
          <w:sz w:val="24"/>
          <w:highlight w:val="none"/>
        </w:rPr>
        <w:t>（二）</w:t>
      </w:r>
      <w:r>
        <w:rPr>
          <w:rFonts w:hint="eastAsia" w:ascii="宋体" w:hAnsi="宋体" w:cs="宋体"/>
          <w:bCs/>
          <w:sz w:val="24"/>
          <w:highlight w:val="none"/>
        </w:rPr>
        <w:tab/>
      </w:r>
      <w:r>
        <w:rPr>
          <w:rFonts w:hint="eastAsia" w:ascii="宋体" w:hAnsi="宋体" w:cs="宋体"/>
          <w:bCs/>
          <w:sz w:val="24"/>
          <w:highlight w:val="none"/>
        </w:rPr>
        <w:t>基金托管人的更换程序</w:t>
      </w:r>
      <w:bookmarkEnd w:id="261"/>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1、提名：新任基金托管人由基金管理人或由单独或合计持有10%以上（含10%）基金份额的基金份额持有人提名；</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3、临时基金托管人：新任基金托管人产生之前，由中国证监会指定临时基金托管人；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4、备案：基金份额持有人大会更换基金托管人的决议须报中国证监会备案；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5、公告：基金托管人更换后，由基金管理人在</w:t>
      </w:r>
      <w:r>
        <w:rPr>
          <w:rFonts w:hint="eastAsia" w:ascii="宋体" w:hAnsi="宋体" w:cs="宋体"/>
          <w:bCs/>
          <w:sz w:val="24"/>
          <w:szCs w:val="24"/>
          <w:highlight w:val="none"/>
        </w:rPr>
        <w:t>更换基金托管人的基金份额持有人大会决议生效</w:t>
      </w:r>
      <w:r>
        <w:rPr>
          <w:rFonts w:hint="eastAsia" w:ascii="宋体" w:hAnsi="宋体" w:cs="宋体"/>
          <w:bCs/>
          <w:sz w:val="24"/>
          <w:highlight w:val="none"/>
        </w:rPr>
        <w:t>后2日内在规定媒介公告。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6、交接：基金托管人职责终止的，应当妥善保管基金财产和基金托管业务资料，及时办理基金财产和基金托管业务的移交手续，新任基金托管人或者临时基金托管人应当及时接收。新任基金托管人或者临时基金托管人应与基金管理人核对基金资产总值和净值；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审计：基金托管人职责终止的，应当按照法律法规规定聘请符合《中华人民共和国证券法》规定的会计师事务所对基金财产进行审计，并将审计结果予以公告，同时报中国证监会备案，审计费用从基金财产中列支。</w:t>
      </w:r>
    </w:p>
    <w:p>
      <w:pPr>
        <w:spacing w:line="360" w:lineRule="auto"/>
        <w:ind w:firstLine="480" w:firstLineChars="200"/>
        <w:rPr>
          <w:rFonts w:hint="eastAsia" w:ascii="宋体" w:hAnsi="宋体" w:cs="宋体"/>
          <w:bCs/>
          <w:sz w:val="24"/>
          <w:highlight w:val="none"/>
        </w:rPr>
      </w:pPr>
      <w:bookmarkStart w:id="262" w:name="_Toc1357"/>
      <w:r>
        <w:rPr>
          <w:rFonts w:hint="eastAsia" w:ascii="宋体" w:hAnsi="宋体" w:cs="宋体"/>
          <w:bCs/>
          <w:sz w:val="24"/>
          <w:highlight w:val="none"/>
        </w:rPr>
        <w:t>（三）基金管理人与基金托管人同时更换的条件和程序。</w:t>
      </w:r>
      <w:bookmarkEnd w:id="262"/>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1、提名：如果基金管理人和基金托管人同时更换，由单独或合计持有基金总份额10%以上（含10%）的基金份额持有人提名新的基金管理人和基金托管人；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2、基金管理人和基金托管人的更换分别按上述程序进行；</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3、公告：新任基金管理人和新任基金托管人应在更换基金管理人和基金托管人的基金份额持有人大会决议生效后2日内在规定媒介上联合公告。</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三、新任或临时基金管理人接收基金管理业务，或新任或临时基金托管人接收基金财产和基金托管业务前，原基金管理人或原基金托管人应依据法律法规和《基金合同》的规定继续履行相关职责，并保证不对基金份额持有人的利益造成损害。原基金管理人或原基金托管人在继续履行相关职责期间，仍有权按照本基金合同的规定收取基金管理费或基金托管费。</w:t>
      </w:r>
    </w:p>
    <w:p>
      <w:pPr>
        <w:spacing w:line="360" w:lineRule="auto"/>
        <w:ind w:firstLine="482" w:firstLineChars="200"/>
        <w:rPr>
          <w:rFonts w:hint="eastAsia" w:ascii="宋体" w:hAnsi="宋体" w:cs="宋体"/>
          <w:b/>
          <w:bCs/>
          <w:sz w:val="24"/>
          <w:highlight w:val="none"/>
        </w:rPr>
      </w:pPr>
    </w:p>
    <w:p>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四、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pPr>
        <w:spacing w:line="360" w:lineRule="auto"/>
        <w:ind w:firstLine="480" w:firstLineChars="200"/>
        <w:rPr>
          <w:rFonts w:hint="eastAsia" w:ascii="宋体" w:hAnsi="宋体" w:cs="宋体"/>
          <w:bCs/>
          <w:sz w:val="24"/>
          <w:highlight w:val="none"/>
        </w:rPr>
      </w:pPr>
    </w:p>
    <w:p>
      <w:pPr>
        <w:pStyle w:val="2"/>
        <w:spacing w:before="0" w:after="0"/>
        <w:jc w:val="center"/>
        <w:rPr>
          <w:rFonts w:hint="eastAsia" w:hAnsi="宋体" w:cs="宋体"/>
          <w:color w:val="auto"/>
          <w:sz w:val="30"/>
          <w:highlight w:val="none"/>
        </w:rPr>
      </w:pPr>
      <w:r>
        <w:rPr>
          <w:rFonts w:hint="eastAsia" w:hAnsi="宋体" w:cs="宋体"/>
          <w:b w:val="0"/>
          <w:bCs/>
          <w:color w:val="auto"/>
          <w:kern w:val="2"/>
          <w:highlight w:val="none"/>
        </w:rPr>
        <w:br w:type="page"/>
      </w:r>
      <w:bookmarkStart w:id="263" w:name="_Toc139991740"/>
      <w:bookmarkStart w:id="264" w:name="_Toc20976"/>
      <w:bookmarkStart w:id="265" w:name="_Toc17198"/>
      <w:bookmarkStart w:id="266" w:name="_Toc5170"/>
      <w:bookmarkStart w:id="267" w:name="_Toc3329"/>
      <w:bookmarkStart w:id="268" w:name="_Toc32092"/>
      <w:bookmarkStart w:id="269" w:name="_Toc123051456"/>
      <w:bookmarkStart w:id="270" w:name="_Toc123102457"/>
      <w:bookmarkStart w:id="271" w:name="_Toc48649708"/>
      <w:bookmarkStart w:id="272" w:name="_Toc123112238"/>
      <w:bookmarkStart w:id="273" w:name="_Toc29408"/>
      <w:bookmarkStart w:id="274" w:name="_Toc79392622"/>
      <w:bookmarkStart w:id="275" w:name="_Toc21237"/>
      <w:bookmarkStart w:id="276" w:name="_Toc17920"/>
      <w:bookmarkStart w:id="277" w:name="_Toc141703890"/>
      <w:bookmarkStart w:id="278" w:name="_Toc32584"/>
      <w:bookmarkStart w:id="279" w:name="_Toc8791"/>
      <w:bookmarkStart w:id="280" w:name="_Toc98560356"/>
      <w:bookmarkStart w:id="281" w:name="_Toc739"/>
      <w:r>
        <w:rPr>
          <w:rFonts w:hint="eastAsia" w:hAnsi="宋体" w:cs="宋体"/>
          <w:color w:val="auto"/>
          <w:sz w:val="30"/>
          <w:highlight w:val="none"/>
        </w:rPr>
        <w:t>第十部分  基金的托管</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pPr>
        <w:autoSpaceDE w:val="0"/>
        <w:autoSpaceDN w:val="0"/>
        <w:spacing w:line="360" w:lineRule="auto"/>
        <w:textAlignment w:val="bottom"/>
        <w:rPr>
          <w:rFonts w:hint="eastAsia" w:ascii="宋体" w:hAnsi="宋体" w:cs="宋体"/>
          <w:bCs/>
          <w:sz w:val="24"/>
          <w:highlight w:val="none"/>
        </w:rPr>
      </w:pP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基金托管人和基金管理人按照《基金法》、《基金合同》及其他有关规定订立托管协议。</w:t>
      </w:r>
    </w:p>
    <w:p>
      <w:pPr>
        <w:autoSpaceDE w:val="0"/>
        <w:autoSpaceDN w:val="0"/>
        <w:spacing w:line="360" w:lineRule="auto"/>
        <w:ind w:firstLine="480" w:firstLineChars="200"/>
        <w:textAlignment w:val="bottom"/>
        <w:rPr>
          <w:rFonts w:hint="eastAsia" w:ascii="宋体" w:hAnsi="宋体" w:cs="宋体"/>
          <w:bCs/>
          <w:sz w:val="24"/>
          <w:highlight w:val="none"/>
        </w:rPr>
      </w:pPr>
      <w:r>
        <w:rPr>
          <w:rFonts w:hint="eastAsia" w:ascii="宋体" w:hAnsi="宋体" w:cs="宋体"/>
          <w:bCs/>
          <w:sz w:val="24"/>
          <w:highlight w:val="none"/>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pPr>
        <w:pStyle w:val="2"/>
        <w:spacing w:before="0" w:after="0"/>
        <w:jc w:val="center"/>
        <w:rPr>
          <w:rFonts w:hint="eastAsia" w:hAnsi="宋体" w:cs="宋体"/>
          <w:color w:val="auto"/>
          <w:sz w:val="30"/>
          <w:highlight w:val="none"/>
        </w:rPr>
      </w:pPr>
      <w:r>
        <w:rPr>
          <w:rFonts w:hint="eastAsia" w:hAnsi="宋体" w:cs="宋体"/>
          <w:b w:val="0"/>
          <w:bCs/>
          <w:color w:val="auto"/>
          <w:highlight w:val="none"/>
        </w:rPr>
        <w:br w:type="page"/>
      </w:r>
      <w:bookmarkStart w:id="282" w:name="_Toc16789"/>
      <w:bookmarkStart w:id="283" w:name="_Toc48649710"/>
      <w:bookmarkStart w:id="284" w:name="_Toc123112239"/>
      <w:bookmarkStart w:id="285" w:name="_Toc79392624"/>
      <w:bookmarkStart w:id="286" w:name="_Toc21886"/>
      <w:bookmarkStart w:id="287" w:name="_Toc14725"/>
      <w:bookmarkStart w:id="288" w:name="_Toc26084"/>
      <w:bookmarkStart w:id="289" w:name="_Toc2255"/>
      <w:bookmarkStart w:id="290" w:name="_Toc123051457"/>
      <w:bookmarkStart w:id="291" w:name="_Toc22674"/>
      <w:bookmarkStart w:id="292" w:name="_Toc123102458"/>
      <w:bookmarkStart w:id="293" w:name="_Toc141703891"/>
      <w:bookmarkStart w:id="294" w:name="_Toc31469"/>
      <w:bookmarkStart w:id="295" w:name="_Toc26152"/>
      <w:bookmarkStart w:id="296" w:name="_Toc139991741"/>
      <w:bookmarkStart w:id="297" w:name="_Toc98560357"/>
      <w:bookmarkStart w:id="298" w:name="_Toc26383"/>
      <w:bookmarkStart w:id="299" w:name="_Toc19520"/>
      <w:bookmarkStart w:id="300" w:name="_Toc3244"/>
      <w:r>
        <w:rPr>
          <w:rFonts w:hint="eastAsia" w:hAnsi="宋体" w:cs="宋体"/>
          <w:color w:val="auto"/>
          <w:sz w:val="30"/>
          <w:highlight w:val="none"/>
        </w:rPr>
        <w:t>第十一部分  基金份额的登记</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pPr>
        <w:autoSpaceDE w:val="0"/>
        <w:autoSpaceDN w:val="0"/>
        <w:spacing w:line="360" w:lineRule="auto"/>
        <w:textAlignment w:val="bottom"/>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一、基金的份额登记业务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二、基金登记业务办理机构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者基金账户管理、基金份额登记、清算及基金交易确认、发放红利、建立并保管基金份额持有人名册和办理非交易过户等事宜中的权利和义务，保护基金份额持有人的合法权益。</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三、基金登记机构的权利</w:t>
      </w:r>
      <w:bookmarkStart w:id="301" w:name="_Hlt88820748"/>
      <w:bookmarkEnd w:id="301"/>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基金登记机构享有以下权利：</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1、取得登记费；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2、建立和管理投资者基金账户；</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3、保管基金份额持有人开户资料、交易资料、基金份额持有人名册等；</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4、在法律法规允许的范围内，对登记业务的办理时间进行调整，并依照有关规定于开始实施前在规定媒介上公告；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5、法律法规及中国证监会规定的和《基金合同》约定的其他权利。</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四、基金登记机构的义务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基金登记机构承担以下义务：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1、配备足够的专业人员办理本基金份额的登记业务；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2、严格按照法律法规和《基金合同》规定的条件办理本基金份额的登记业务；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3、妥善保存登记数据，并将基金份额持有人名称、身份信息及基金份额明细等数据备份至中国证监会认定的机构，其保存期限自基金账户销户之日起不得少于20年；</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对基金份额持有人的基金账户信息负有保密义务，因违反该保密义务对投资者或基金带来的损失，须承担相应的赔偿责任，但司法强制检查情形及法律法规及中国证监会规定的和《基金合同》约定的其他情形除外；</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5、按《基金合同》及招募说明书规定为投资者办理非交易过户业务、提供其他必要的服务；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6、接受基金管理人的监督；</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7、如因登记机构的原因而造成基金管理人或者基金份额持有人损失的，依法承担相应的赔偿责任；</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8、法律法规及中国证监会规定的和《基金合同》约定的其他义务。</w:t>
      </w:r>
    </w:p>
    <w:p>
      <w:pPr>
        <w:pStyle w:val="2"/>
        <w:spacing w:before="0" w:after="0"/>
        <w:jc w:val="center"/>
        <w:rPr>
          <w:rFonts w:hint="eastAsia" w:hAnsi="宋体" w:cs="宋体"/>
          <w:color w:val="auto"/>
          <w:sz w:val="30"/>
          <w:highlight w:val="none"/>
        </w:rPr>
      </w:pPr>
      <w:r>
        <w:rPr>
          <w:rFonts w:hint="eastAsia" w:hAnsi="宋体" w:cs="宋体"/>
          <w:b w:val="0"/>
          <w:bCs/>
          <w:color w:val="auto"/>
          <w:highlight w:val="none"/>
        </w:rPr>
        <w:br w:type="page"/>
      </w:r>
      <w:bookmarkStart w:id="302" w:name="_Toc21917"/>
      <w:bookmarkStart w:id="303" w:name="_Toc3872"/>
      <w:bookmarkStart w:id="304" w:name="_Toc22538"/>
      <w:bookmarkStart w:id="305" w:name="_Toc801"/>
      <w:bookmarkStart w:id="306" w:name="_Toc11351"/>
      <w:bookmarkStart w:id="307" w:name="_Toc5477"/>
      <w:bookmarkStart w:id="308" w:name="_Toc11395"/>
      <w:bookmarkStart w:id="309" w:name="_Toc578"/>
      <w:bookmarkStart w:id="310" w:name="_Toc2981"/>
      <w:bookmarkStart w:id="311" w:name="_Toc16437"/>
      <w:bookmarkStart w:id="312" w:name="_Toc13343"/>
      <w:r>
        <w:rPr>
          <w:rFonts w:hint="eastAsia" w:hAnsi="宋体" w:cs="宋体"/>
          <w:color w:val="auto"/>
          <w:sz w:val="30"/>
          <w:highlight w:val="none"/>
        </w:rPr>
        <w:t>第十二部分  基金的投资</w:t>
      </w:r>
      <w:bookmarkEnd w:id="302"/>
      <w:bookmarkEnd w:id="303"/>
      <w:bookmarkEnd w:id="304"/>
      <w:bookmarkEnd w:id="305"/>
      <w:bookmarkEnd w:id="306"/>
      <w:bookmarkEnd w:id="307"/>
      <w:bookmarkEnd w:id="308"/>
      <w:bookmarkEnd w:id="309"/>
      <w:bookmarkEnd w:id="310"/>
      <w:bookmarkEnd w:id="311"/>
      <w:bookmarkEnd w:id="312"/>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一、投资目标</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本基金在严格的风险控制的基础上,力争实现基金资产的稳健增值。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                   </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二、投资范围</w:t>
      </w:r>
    </w:p>
    <w:p>
      <w:pPr>
        <w:spacing w:line="360" w:lineRule="auto"/>
        <w:ind w:firstLine="480"/>
        <w:rPr>
          <w:rFonts w:hint="eastAsia" w:ascii="宋体" w:hAnsi="宋体" w:cs="宋体"/>
          <w:sz w:val="24"/>
          <w:highlight w:val="none"/>
        </w:rPr>
      </w:pPr>
      <w:r>
        <w:rPr>
          <w:rFonts w:hint="eastAsia" w:ascii="宋体" w:hAnsi="宋体" w:cs="宋体"/>
          <w:sz w:val="24"/>
          <w:highlight w:val="none"/>
        </w:rPr>
        <w:t>本基金的投资范围为具有良好流动性的金融工具，包括债券(包括国债、央行票据、金融债券、企业债券、公司债券、中期票据、短期融资券、超短期融资券、次级债券、地方政府债券、可转换债券、可交换债券及其他经中国证监会允许投资的债券)、国内依法发行或上市的股票、存托凭证、港股通标的股票、资产支持证券、债券回购、银行存款、同业存单、国债期货、经中国证监会依法核准或注册的公开募集证券投资基金（仅限于全市场的股票型ETF及基金管理人旗下的股票型基金、计入权益类资产的混合型基金，不包括QDII基金、香港互认基金、基金中基金、其他可投资公募基金的非基金中基金、货币市场基金、非本基金管理人管理的基金（全市场的股票型ETF除外））以及法律法规或中国证监会允许基金投资的其他金融工具(须符合中国证监会相关规定)。</w:t>
      </w:r>
    </w:p>
    <w:p>
      <w:pPr>
        <w:spacing w:line="360" w:lineRule="auto"/>
        <w:ind w:firstLine="480"/>
        <w:rPr>
          <w:rFonts w:hint="eastAsia" w:ascii="宋体" w:hAnsi="宋体" w:cs="宋体"/>
          <w:sz w:val="24"/>
          <w:highlight w:val="none"/>
        </w:rPr>
      </w:pPr>
      <w:r>
        <w:rPr>
          <w:rFonts w:hint="eastAsia" w:ascii="宋体" w:hAnsi="宋体" w:cs="宋体"/>
          <w:sz w:val="24"/>
          <w:highlight w:val="none"/>
        </w:rPr>
        <w:t>如法律法规或监管机构以后允许基金投资其他品种，基金管理人在履行适当程序后，可以将其纳入投资范围，并可依据届时有效的法律法规适时合理地调整投资范围。</w:t>
      </w:r>
    </w:p>
    <w:p>
      <w:pPr>
        <w:spacing w:line="360" w:lineRule="auto"/>
        <w:ind w:firstLine="480"/>
        <w:rPr>
          <w:rFonts w:hint="eastAsia" w:ascii="宋体" w:hAnsi="宋体" w:cs="宋体"/>
          <w:sz w:val="24"/>
          <w:highlight w:val="none"/>
        </w:rPr>
      </w:pPr>
      <w:r>
        <w:rPr>
          <w:rFonts w:hint="eastAsia" w:ascii="宋体" w:hAnsi="宋体" w:cs="宋体"/>
          <w:sz w:val="24"/>
          <w:highlight w:val="none"/>
        </w:rPr>
        <w:t>本基金投资于债券的比例不低于基金资产的80%，投资于股票、存托凭证、股票型基金、混合型基金等权益类资产及可转换债券、可交换债券的合计比例为基金资产的10%-20%（其中投资于境内股票资产（含A股股票型ETF）的比例不低于基金资产的10%）；投资于港股通标的股票的比例不超过本基金股票资产的50%；本基金投资于证券投资基金的资产不超过基金资产净值的10%；本基金每个交易日日终在扣除国债期货合约需缴纳的交易保证金后，持有现金(不包括结算备付金、存出保证金、应收申购款等)或者到期日在1年以内的政府债券不低于基金资产净值的5%。其中，计入上述权益类资产的混合型基金需符合下列两个条件之一：</w:t>
      </w:r>
    </w:p>
    <w:p>
      <w:pPr>
        <w:spacing w:line="360" w:lineRule="auto"/>
        <w:ind w:firstLine="480"/>
        <w:rPr>
          <w:rFonts w:hint="eastAsia" w:ascii="宋体" w:hAnsi="宋体" w:cs="宋体"/>
          <w:sz w:val="24"/>
          <w:highlight w:val="none"/>
        </w:rPr>
      </w:pPr>
      <w:r>
        <w:rPr>
          <w:rFonts w:hint="eastAsia" w:ascii="宋体" w:hAnsi="宋体" w:cs="宋体"/>
          <w:sz w:val="24"/>
          <w:highlight w:val="none"/>
        </w:rPr>
        <w:t>1、基金合同约定股票及存托凭证资产投资比例不低于基金资产60%的混合型基金；</w:t>
      </w:r>
    </w:p>
    <w:p>
      <w:pPr>
        <w:spacing w:line="360" w:lineRule="auto"/>
        <w:ind w:firstLine="480"/>
        <w:rPr>
          <w:rFonts w:hint="eastAsia" w:ascii="宋体" w:hAnsi="宋体" w:cs="宋体"/>
          <w:sz w:val="24"/>
          <w:highlight w:val="none"/>
        </w:rPr>
      </w:pPr>
      <w:r>
        <w:rPr>
          <w:rFonts w:hint="eastAsia" w:ascii="宋体" w:hAnsi="宋体" w:cs="宋体"/>
          <w:sz w:val="24"/>
          <w:highlight w:val="none"/>
        </w:rPr>
        <w:t>2、根据基金披露的定期报告，最近四个季度中任一季度股票及存托凭证资产占基金资产比例均不低于60%的混合型基金。</w:t>
      </w:r>
    </w:p>
    <w:p>
      <w:pPr>
        <w:spacing w:line="360" w:lineRule="auto"/>
        <w:ind w:firstLine="480"/>
        <w:rPr>
          <w:rFonts w:hint="eastAsia" w:ascii="宋体" w:hAnsi="宋体" w:cs="宋体"/>
          <w:sz w:val="24"/>
          <w:highlight w:val="none"/>
        </w:rPr>
      </w:pPr>
      <w:r>
        <w:rPr>
          <w:rFonts w:hint="eastAsia" w:ascii="宋体" w:hAnsi="宋体" w:cs="宋体"/>
          <w:sz w:val="24"/>
          <w:highlight w:val="none"/>
        </w:rPr>
        <w:t>如法律法规或中国证监会允许，基金管理人在履行适当程序后，可以调整上述投资品种的投资比例。</w:t>
      </w:r>
    </w:p>
    <w:p>
      <w:pPr>
        <w:spacing w:line="360" w:lineRule="auto"/>
        <w:ind w:firstLine="480"/>
        <w:rPr>
          <w:rFonts w:hint="eastAsia" w:ascii="宋体" w:hAnsi="宋体" w:cs="宋体"/>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三、投资策略</w:t>
      </w:r>
    </w:p>
    <w:p>
      <w:pPr>
        <w:spacing w:line="360" w:lineRule="auto"/>
        <w:ind w:firstLine="480"/>
        <w:rPr>
          <w:rFonts w:hint="eastAsia" w:ascii="宋体" w:hAnsi="宋体" w:cs="宋体"/>
          <w:sz w:val="24"/>
          <w:highlight w:val="none"/>
        </w:rPr>
      </w:pPr>
      <w:r>
        <w:rPr>
          <w:rFonts w:hint="eastAsia" w:ascii="宋体" w:hAnsi="宋体" w:cs="宋体"/>
          <w:sz w:val="24"/>
          <w:highlight w:val="none"/>
        </w:rPr>
        <w:t>本基金将根据宏观经济、政策及市场环境，自上而下进行资产配置，结合基本面和量化分析手段自下而上选择具体的投资标的，进而获得稳定的超额收益。</w:t>
      </w:r>
    </w:p>
    <w:p>
      <w:pPr>
        <w:spacing w:line="360" w:lineRule="auto"/>
        <w:ind w:firstLine="480"/>
        <w:rPr>
          <w:rFonts w:hint="eastAsia" w:ascii="宋体" w:hAnsi="宋体" w:cs="宋体"/>
          <w:sz w:val="24"/>
          <w:highlight w:val="none"/>
        </w:rPr>
      </w:pPr>
      <w:r>
        <w:rPr>
          <w:rFonts w:hint="eastAsia" w:ascii="宋体" w:hAnsi="宋体" w:cs="宋体"/>
          <w:sz w:val="24"/>
          <w:highlight w:val="none"/>
        </w:rPr>
        <w:t>1、资产配置策略</w:t>
      </w:r>
    </w:p>
    <w:p>
      <w:pPr>
        <w:spacing w:line="360" w:lineRule="auto"/>
        <w:ind w:firstLine="480"/>
        <w:rPr>
          <w:rFonts w:hint="eastAsia" w:ascii="宋体" w:hAnsi="宋体" w:cs="宋体"/>
          <w:sz w:val="24"/>
          <w:highlight w:val="none"/>
        </w:rPr>
      </w:pPr>
      <w:r>
        <w:rPr>
          <w:rFonts w:hint="eastAsia" w:ascii="宋体" w:hAnsi="宋体" w:cs="宋体"/>
          <w:sz w:val="24"/>
          <w:highlight w:val="none"/>
        </w:rPr>
        <w:t>本基金主要根据宏观经济、政策环境、利率走势、市场技术指标、市场资金构成及流动性情况，运用定性和定量相结合的分析手段，对证券市场现阶段的系统性风险以及未来一段时期内各大类资产的风险和预期收益率进行分析评估，并据此制定本基金在各类资产之间的配置比例、调整原则和调整范围。</w:t>
      </w:r>
    </w:p>
    <w:p>
      <w:pPr>
        <w:spacing w:line="360" w:lineRule="auto"/>
        <w:ind w:firstLine="480"/>
        <w:rPr>
          <w:rFonts w:hint="eastAsia" w:ascii="宋体" w:hAnsi="宋体" w:cs="宋体"/>
          <w:sz w:val="24"/>
          <w:highlight w:val="none"/>
        </w:rPr>
      </w:pPr>
      <w:r>
        <w:rPr>
          <w:rFonts w:hint="eastAsia" w:ascii="宋体" w:hAnsi="宋体" w:cs="宋体"/>
          <w:sz w:val="24"/>
          <w:highlight w:val="none"/>
        </w:rPr>
        <w:t>2、债券投资策略</w:t>
      </w:r>
    </w:p>
    <w:p>
      <w:pPr>
        <w:spacing w:line="360" w:lineRule="auto"/>
        <w:ind w:firstLine="480"/>
        <w:rPr>
          <w:rFonts w:hint="eastAsia" w:ascii="宋体" w:hAnsi="宋体" w:cs="宋体"/>
          <w:sz w:val="24"/>
          <w:highlight w:val="none"/>
        </w:rPr>
      </w:pPr>
      <w:r>
        <w:rPr>
          <w:rFonts w:hint="eastAsia" w:ascii="宋体" w:hAnsi="宋体" w:cs="宋体"/>
          <w:sz w:val="24"/>
          <w:highlight w:val="none"/>
        </w:rPr>
        <w:t>（1）债券类属配置策略</w:t>
      </w:r>
    </w:p>
    <w:p>
      <w:pPr>
        <w:spacing w:line="360" w:lineRule="auto"/>
        <w:ind w:firstLine="480"/>
        <w:rPr>
          <w:rFonts w:hint="eastAsia" w:ascii="宋体" w:hAnsi="宋体" w:cs="宋体"/>
          <w:sz w:val="24"/>
          <w:highlight w:val="none"/>
        </w:rPr>
      </w:pPr>
      <w:r>
        <w:rPr>
          <w:rFonts w:hint="eastAsia" w:ascii="宋体" w:hAnsi="宋体" w:cs="宋体"/>
          <w:sz w:val="24"/>
          <w:highlight w:val="none"/>
        </w:rPr>
        <w:t>本基金将对不同类型固定收益品种的信用风险、税赋水平、市场流动性、市场风险等因素进行分析，研究同期限的国债、金融债、企业债、交易所和银行间市场投资品种的利差和变化趋势，评估不同债券板块之间的相对投资价值，确定债券类属配置策略，并根据市场变化及时进行调整。</w:t>
      </w:r>
    </w:p>
    <w:p>
      <w:pPr>
        <w:spacing w:line="360" w:lineRule="auto"/>
        <w:ind w:firstLine="480"/>
        <w:rPr>
          <w:rFonts w:hint="eastAsia" w:ascii="宋体" w:hAnsi="宋体" w:cs="宋体"/>
          <w:sz w:val="24"/>
          <w:highlight w:val="none"/>
        </w:rPr>
      </w:pPr>
      <w:r>
        <w:rPr>
          <w:rFonts w:hint="eastAsia" w:ascii="宋体" w:hAnsi="宋体" w:cs="宋体"/>
          <w:sz w:val="24"/>
          <w:highlight w:val="none"/>
        </w:rPr>
        <w:t>（2）久期管理策略</w:t>
      </w:r>
    </w:p>
    <w:p>
      <w:pPr>
        <w:spacing w:line="360" w:lineRule="auto"/>
        <w:ind w:firstLine="480"/>
        <w:rPr>
          <w:rFonts w:hint="eastAsia" w:ascii="宋体" w:hAnsi="宋体" w:cs="宋体"/>
          <w:sz w:val="24"/>
          <w:highlight w:val="none"/>
        </w:rPr>
      </w:pPr>
      <w:r>
        <w:rPr>
          <w:rFonts w:hint="eastAsia" w:ascii="宋体" w:hAnsi="宋体" w:cs="宋体"/>
          <w:sz w:val="24"/>
          <w:highlight w:val="none"/>
        </w:rPr>
        <w:t>本基金将基于对市场利率的变化趋势的预判，相应的调整债券组合的久期。本基金通过对影响债券投资的宏观经济变量和宏观经济政策等因素的综合分析，预测未来的市场利率的变动趋势，判断债券市场对上述因素及其变化的反应，并据此积极调整债券组合的久期。在预期利率下降时，增加组合久期，以较多地获得债券价格上升带来的收益，在预期利率上升时，减小组合久期，以规避债券价格下降的风险。</w:t>
      </w:r>
    </w:p>
    <w:p>
      <w:pPr>
        <w:spacing w:line="360" w:lineRule="auto"/>
        <w:ind w:firstLine="480"/>
        <w:rPr>
          <w:rFonts w:hint="eastAsia" w:ascii="宋体" w:hAnsi="宋体" w:cs="宋体"/>
          <w:sz w:val="24"/>
          <w:highlight w:val="none"/>
        </w:rPr>
      </w:pPr>
      <w:r>
        <w:rPr>
          <w:rFonts w:hint="eastAsia" w:ascii="宋体" w:hAnsi="宋体" w:cs="宋体"/>
          <w:sz w:val="24"/>
          <w:highlight w:val="none"/>
        </w:rPr>
        <w:t>（3）收益率曲线策略</w:t>
      </w:r>
    </w:p>
    <w:p>
      <w:pPr>
        <w:spacing w:line="360" w:lineRule="auto"/>
        <w:ind w:firstLine="480"/>
        <w:rPr>
          <w:rFonts w:hint="eastAsia" w:ascii="宋体" w:hAnsi="宋体" w:cs="宋体"/>
          <w:sz w:val="24"/>
          <w:highlight w:val="none"/>
        </w:rPr>
      </w:pPr>
      <w:r>
        <w:rPr>
          <w:rFonts w:hint="eastAsia" w:ascii="宋体" w:hAnsi="宋体" w:cs="宋体"/>
          <w:sz w:val="24"/>
          <w:highlight w:val="none"/>
        </w:rPr>
        <w:t>本基金资产组合中的长、中、短期债券主要根据收益率曲线形状的变化进行合理配置。本基金在确定固定收益资产组合平均久期的基础上，将结合收益率曲线变化的预测，适时采用跟踪收益率曲线的骑乘策略或者基于收益率曲线变化的子弹、杠铃及梯形策略构造组合，并进行动态调整。</w:t>
      </w:r>
    </w:p>
    <w:p>
      <w:pPr>
        <w:spacing w:line="360" w:lineRule="auto"/>
        <w:ind w:firstLine="480"/>
        <w:rPr>
          <w:rFonts w:hint="eastAsia" w:ascii="宋体" w:hAnsi="宋体" w:cs="宋体"/>
          <w:sz w:val="24"/>
          <w:highlight w:val="none"/>
        </w:rPr>
      </w:pPr>
      <w:r>
        <w:rPr>
          <w:rFonts w:hint="eastAsia" w:ascii="宋体" w:hAnsi="宋体" w:cs="宋体"/>
          <w:sz w:val="24"/>
          <w:highlight w:val="none"/>
        </w:rPr>
        <w:t>（4）信用策略（含资产支持证券）</w:t>
      </w:r>
    </w:p>
    <w:p>
      <w:pPr>
        <w:spacing w:line="360" w:lineRule="auto"/>
        <w:ind w:firstLine="480"/>
        <w:rPr>
          <w:rFonts w:hint="eastAsia" w:ascii="宋体" w:hAnsi="宋体" w:cs="宋体"/>
          <w:sz w:val="24"/>
          <w:highlight w:val="none"/>
        </w:rPr>
      </w:pPr>
      <w:r>
        <w:rPr>
          <w:rFonts w:hint="eastAsia" w:ascii="宋体" w:hAnsi="宋体" w:cs="宋体"/>
          <w:sz w:val="24"/>
          <w:highlight w:val="none"/>
        </w:rPr>
        <w:t>本基金将深入挖掘信用债（含资产支持证券，下同）的投资价值，在承担适度风险的前提下追求较高收益。本基金将利用内部信用评级体系对债券发行人及其发行的债券进行信用评估，并结合外部评级机构的信用评级，分析违约风险以及合理信用利差水平，判断债券的投资价值，谨慎选择债券发行人基本面良好、债券条款优惠的信用债进行投资。</w:t>
      </w:r>
    </w:p>
    <w:p>
      <w:pPr>
        <w:spacing w:line="360" w:lineRule="auto"/>
        <w:ind w:firstLine="480"/>
        <w:rPr>
          <w:rFonts w:hint="eastAsia" w:ascii="宋体" w:hAnsi="宋体" w:cs="宋体"/>
          <w:sz w:val="24"/>
          <w:highlight w:val="none"/>
        </w:rPr>
      </w:pPr>
      <w:r>
        <w:rPr>
          <w:rFonts w:hint="eastAsia" w:ascii="宋体" w:hAnsi="宋体" w:cs="宋体"/>
          <w:sz w:val="24"/>
          <w:highlight w:val="none"/>
        </w:rPr>
        <w:t>本基金投资于信用评级在AA+（含）以上的信用债，对信用评级的认定参照基金管理人选定的评级机构（不含中债资信）出具的信用评级，信用评级依照评级机构出具的债项评级，如无债项评级依照主体评级。其中，投资于AA+评级的信用债不超过信用债持仓的50%；投资于AAA及以上评级的信用债不低于信用债持仓的50%。</w:t>
      </w:r>
    </w:p>
    <w:p>
      <w:pPr>
        <w:spacing w:line="360" w:lineRule="auto"/>
        <w:ind w:firstLine="480"/>
        <w:rPr>
          <w:rFonts w:hint="eastAsia" w:ascii="宋体" w:hAnsi="宋体" w:cs="宋体"/>
          <w:sz w:val="24"/>
          <w:highlight w:val="none"/>
        </w:rPr>
      </w:pPr>
      <w:r>
        <w:rPr>
          <w:rFonts w:hint="eastAsia" w:ascii="宋体" w:hAnsi="宋体" w:cs="宋体"/>
          <w:sz w:val="24"/>
          <w:highlight w:val="none"/>
        </w:rPr>
        <w:t>本基金持有信用债期间，如果其信用评级下降不再符合前述标准，应在评级报告发布之日起3个月内调整至符合约定。如本基金遭遇巨额赎回、资产变现过程中因流动性等原因部分资产无法变现致使基金投资不符合上述投资策略的，基金管理人可以根据市场情况进行调整。</w:t>
      </w:r>
    </w:p>
    <w:p>
      <w:pPr>
        <w:spacing w:line="360" w:lineRule="auto"/>
        <w:ind w:firstLine="480"/>
        <w:rPr>
          <w:rFonts w:hint="eastAsia" w:ascii="宋体" w:hAnsi="宋体" w:cs="宋体"/>
          <w:sz w:val="24"/>
          <w:highlight w:val="none"/>
        </w:rPr>
      </w:pPr>
      <w:r>
        <w:rPr>
          <w:rFonts w:hint="eastAsia" w:ascii="宋体" w:hAnsi="宋体" w:cs="宋体"/>
          <w:sz w:val="24"/>
          <w:highlight w:val="none"/>
        </w:rPr>
        <w:t>（5）可转换债券和可交换债券投资策略</w:t>
      </w:r>
    </w:p>
    <w:p>
      <w:pPr>
        <w:spacing w:line="360" w:lineRule="auto"/>
        <w:ind w:firstLine="480"/>
        <w:rPr>
          <w:rFonts w:hint="eastAsia" w:ascii="宋体" w:hAnsi="宋体" w:cs="宋体"/>
          <w:sz w:val="24"/>
          <w:highlight w:val="none"/>
        </w:rPr>
      </w:pPr>
      <w:r>
        <w:rPr>
          <w:rFonts w:hint="eastAsia" w:ascii="宋体" w:hAnsi="宋体" w:cs="宋体"/>
          <w:sz w:val="24"/>
          <w:highlight w:val="none"/>
        </w:rPr>
        <w:t>可转换债券（含可分离交易可转债）兼具权益类证券与固定收益类证券的特性，具有抵御下行风险、分享股票价格上涨收益的特点。可转换债券的选择结合其债性和股性特征，在对公司基本面和转债条款深入研究的基础上进行估值分析，投资于公司基本面优良、具有较高安全边际和良好流动性的可转换债券，获取稳健的投资回报。</w:t>
      </w:r>
    </w:p>
    <w:p>
      <w:pPr>
        <w:spacing w:line="360" w:lineRule="auto"/>
        <w:ind w:firstLine="480"/>
        <w:rPr>
          <w:rFonts w:hint="eastAsia" w:ascii="宋体" w:hAnsi="宋体" w:cs="宋体"/>
          <w:sz w:val="24"/>
          <w:highlight w:val="none"/>
        </w:rPr>
      </w:pPr>
      <w:r>
        <w:rPr>
          <w:rFonts w:hint="eastAsia" w:ascii="宋体" w:hAnsi="宋体" w:cs="宋体"/>
          <w:sz w:val="24"/>
          <w:highlight w:val="none"/>
        </w:rPr>
        <w:t>可交换债券与可转换债券的区别在于换股期间用于交换的股票并非自身新发的股票，而是发行人持有的其他上市公司的股票。可交换债券同样具有股性和债性，其中债性与可转换债券相同，即选择持有可交换债券至到期以获取票面价值和票面利息；而对于股性的分析则需关注目标公司的股票价值。本基金将通过对目标公司股票的投资价值分析和可交换债券的纯债部分价值分析综合开展投资决策。</w:t>
      </w:r>
    </w:p>
    <w:p>
      <w:pPr>
        <w:spacing w:line="360" w:lineRule="auto"/>
        <w:ind w:firstLine="480"/>
        <w:rPr>
          <w:rFonts w:hint="eastAsia" w:ascii="宋体" w:hAnsi="宋体" w:cs="宋体"/>
          <w:sz w:val="24"/>
          <w:highlight w:val="none"/>
        </w:rPr>
      </w:pPr>
      <w:r>
        <w:rPr>
          <w:rFonts w:hint="eastAsia" w:ascii="宋体" w:hAnsi="宋体" w:cs="宋体"/>
          <w:sz w:val="24"/>
          <w:highlight w:val="none"/>
        </w:rPr>
        <w:t>（6）回购策略</w:t>
      </w:r>
    </w:p>
    <w:p>
      <w:pPr>
        <w:spacing w:line="360" w:lineRule="auto"/>
        <w:ind w:firstLine="480"/>
        <w:rPr>
          <w:rFonts w:hint="eastAsia" w:ascii="宋体" w:hAnsi="宋体" w:cs="宋体"/>
          <w:sz w:val="24"/>
          <w:highlight w:val="none"/>
        </w:rPr>
      </w:pPr>
      <w:r>
        <w:rPr>
          <w:rFonts w:hint="eastAsia" w:ascii="宋体" w:hAnsi="宋体" w:cs="宋体"/>
          <w:sz w:val="24"/>
          <w:highlight w:val="none"/>
        </w:rPr>
        <w:t>本基金将通过对回购利率和现券收益率以及其他投资品种收益率的比较，通过回购融入短期资金滚动操作，投资于收益率高于回购成本的债券以及其他获利机会，从而获得杠杆放大收益，并根据市场利率水平以及对利率期限结构的预期等，对回购放大的杠杆比例适时进行调整。</w:t>
      </w:r>
    </w:p>
    <w:p>
      <w:pPr>
        <w:spacing w:line="360" w:lineRule="auto"/>
        <w:ind w:firstLine="480"/>
        <w:rPr>
          <w:rFonts w:hint="eastAsia" w:ascii="宋体" w:hAnsi="宋体" w:cs="宋体"/>
          <w:sz w:val="24"/>
          <w:highlight w:val="none"/>
        </w:rPr>
      </w:pPr>
      <w:r>
        <w:rPr>
          <w:rFonts w:hint="eastAsia" w:ascii="宋体" w:hAnsi="宋体" w:cs="宋体"/>
          <w:sz w:val="24"/>
          <w:highlight w:val="none"/>
        </w:rPr>
        <w:t>3、股票投资策略</w:t>
      </w:r>
    </w:p>
    <w:p>
      <w:pPr>
        <w:spacing w:line="360" w:lineRule="auto"/>
        <w:ind w:firstLine="480"/>
        <w:rPr>
          <w:rFonts w:hint="eastAsia" w:ascii="宋体" w:hAnsi="宋体" w:cs="宋体"/>
          <w:sz w:val="24"/>
          <w:highlight w:val="none"/>
        </w:rPr>
      </w:pPr>
      <w:r>
        <w:rPr>
          <w:rFonts w:hint="eastAsia" w:ascii="宋体" w:hAnsi="宋体" w:cs="宋体"/>
          <w:sz w:val="24"/>
          <w:highlight w:val="none"/>
        </w:rPr>
        <w:t>采用“自下而上”的个股精选策略，基于公司内部研究团队对于个股的基本面的深入研究和细致的实地调研，有效挖掘价值低估及具有增长潜力的个股，为投资者获得超过业绩比较基准的收益。</w:t>
      </w:r>
    </w:p>
    <w:p>
      <w:pPr>
        <w:spacing w:line="360" w:lineRule="auto"/>
        <w:ind w:firstLine="480"/>
        <w:rPr>
          <w:rFonts w:hint="eastAsia" w:ascii="宋体" w:hAnsi="宋体" w:cs="宋体"/>
          <w:sz w:val="24"/>
          <w:highlight w:val="none"/>
        </w:rPr>
      </w:pPr>
      <w:r>
        <w:rPr>
          <w:rFonts w:hint="eastAsia" w:ascii="宋体" w:hAnsi="宋体" w:cs="宋体"/>
          <w:sz w:val="24"/>
          <w:highlight w:val="none"/>
        </w:rPr>
        <w:t>4、存托凭证投资策略</w:t>
      </w:r>
    </w:p>
    <w:p>
      <w:pPr>
        <w:spacing w:line="360" w:lineRule="auto"/>
        <w:ind w:firstLine="480"/>
        <w:rPr>
          <w:rFonts w:hint="eastAsia" w:ascii="宋体" w:hAnsi="宋体" w:cs="宋体"/>
          <w:sz w:val="24"/>
          <w:highlight w:val="none"/>
        </w:rPr>
      </w:pPr>
      <w:r>
        <w:rPr>
          <w:rFonts w:hint="eastAsia" w:ascii="宋体" w:hAnsi="宋体" w:cs="宋体"/>
          <w:sz w:val="24"/>
          <w:highlight w:val="none"/>
        </w:rPr>
        <w:t>本基金将根据本基金的投资目标和股票投资策略，基于对基础证券投资价值的深入研究判断，进行存托凭证的投资。</w:t>
      </w:r>
    </w:p>
    <w:p>
      <w:pPr>
        <w:spacing w:line="360" w:lineRule="auto"/>
        <w:ind w:firstLine="480"/>
        <w:rPr>
          <w:rFonts w:hint="eastAsia" w:ascii="宋体" w:hAnsi="宋体" w:cs="宋体"/>
          <w:sz w:val="24"/>
          <w:highlight w:val="none"/>
        </w:rPr>
      </w:pPr>
      <w:r>
        <w:rPr>
          <w:rFonts w:hint="eastAsia" w:ascii="宋体" w:hAnsi="宋体" w:cs="宋体"/>
          <w:sz w:val="24"/>
          <w:highlight w:val="none"/>
        </w:rPr>
        <w:t>5、港股投资策略</w:t>
      </w:r>
    </w:p>
    <w:p>
      <w:pPr>
        <w:spacing w:line="360" w:lineRule="auto"/>
        <w:ind w:firstLine="480"/>
        <w:rPr>
          <w:rFonts w:hint="eastAsia" w:ascii="宋体" w:hAnsi="宋体" w:cs="宋体"/>
          <w:sz w:val="24"/>
          <w:highlight w:val="none"/>
        </w:rPr>
      </w:pPr>
      <w:r>
        <w:rPr>
          <w:rFonts w:hint="eastAsia" w:ascii="宋体" w:hAnsi="宋体" w:cs="宋体"/>
          <w:sz w:val="24"/>
          <w:highlight w:val="none"/>
        </w:rPr>
        <w:t>本基金可通过港股通机制投资于香港股票市场。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考量，挖掘优质企业。</w:t>
      </w:r>
    </w:p>
    <w:p>
      <w:pPr>
        <w:spacing w:line="360" w:lineRule="auto"/>
        <w:ind w:firstLine="480"/>
        <w:rPr>
          <w:rFonts w:hint="eastAsia" w:ascii="宋体" w:hAnsi="宋体" w:cs="宋体"/>
          <w:sz w:val="24"/>
          <w:highlight w:val="none"/>
        </w:rPr>
      </w:pPr>
      <w:r>
        <w:rPr>
          <w:rFonts w:hint="eastAsia" w:ascii="宋体" w:hAnsi="宋体" w:cs="宋体"/>
          <w:sz w:val="24"/>
          <w:highlight w:val="none"/>
        </w:rPr>
        <w:t>6、基金投资策略</w:t>
      </w:r>
    </w:p>
    <w:p>
      <w:pPr>
        <w:spacing w:line="360" w:lineRule="auto"/>
        <w:ind w:firstLine="480"/>
        <w:rPr>
          <w:rFonts w:hint="eastAsia" w:ascii="宋体" w:hAnsi="宋体" w:cs="宋体"/>
          <w:sz w:val="24"/>
          <w:highlight w:val="none"/>
        </w:rPr>
      </w:pPr>
      <w:r>
        <w:rPr>
          <w:rFonts w:hint="eastAsia" w:ascii="宋体" w:hAnsi="宋体" w:cs="宋体"/>
          <w:sz w:val="24"/>
          <w:highlight w:val="none"/>
        </w:rPr>
        <w:t>对于权益类基金，本基金基于权益类基金投资目标的不同，将标的基金分为主动和被动两大类。</w:t>
      </w:r>
    </w:p>
    <w:p>
      <w:pPr>
        <w:spacing w:line="360" w:lineRule="auto"/>
        <w:ind w:firstLine="480"/>
        <w:rPr>
          <w:rFonts w:hint="eastAsia" w:ascii="宋体" w:hAnsi="宋体" w:cs="宋体"/>
          <w:sz w:val="24"/>
          <w:highlight w:val="none"/>
        </w:rPr>
      </w:pPr>
      <w:r>
        <w:rPr>
          <w:rFonts w:hint="eastAsia" w:ascii="宋体" w:hAnsi="宋体" w:cs="宋体"/>
          <w:sz w:val="24"/>
          <w:highlight w:val="none"/>
        </w:rPr>
        <w:t>其中，对于主动管理类基金，本基金通过自下而上的方式优选基金，研究过程中综合运用定量分析和定性分析的方式，通过层层筛选，聚焦基金管理人旗下中长期业绩持续稳定、风格清晰，且具备竞争优势的证券投资基金，精选基金构建投资组合。</w:t>
      </w:r>
    </w:p>
    <w:p>
      <w:pPr>
        <w:spacing w:line="360" w:lineRule="auto"/>
        <w:ind w:firstLine="480"/>
        <w:rPr>
          <w:rFonts w:hint="eastAsia" w:ascii="宋体" w:hAnsi="宋体" w:cs="宋体"/>
          <w:sz w:val="24"/>
          <w:highlight w:val="none"/>
        </w:rPr>
      </w:pPr>
      <w:r>
        <w:rPr>
          <w:rFonts w:hint="eastAsia" w:ascii="宋体" w:hAnsi="宋体" w:cs="宋体"/>
          <w:sz w:val="24"/>
          <w:highlight w:val="none"/>
        </w:rPr>
        <w:t>对于被动管理类基金，本基金将通过对国内外宏观经济、经济结构转型的方向、国家经济政策、产业政策导向的深入研究，优选中长期景气向好的指数基金进行配置，以增厚组合收益。此外，本基金也将基于对市场未来运行趋势和风格的预判，积极参与包括行业主题、风格或策略指数等在内的各类指数基金的投资，把握市场阶段性投资机会，以获取更高的超额收益。</w:t>
      </w:r>
    </w:p>
    <w:p>
      <w:pPr>
        <w:spacing w:line="360" w:lineRule="auto"/>
        <w:ind w:firstLine="480"/>
        <w:rPr>
          <w:rFonts w:hint="eastAsia" w:ascii="宋体" w:hAnsi="宋体" w:cs="宋体"/>
          <w:sz w:val="24"/>
          <w:highlight w:val="none"/>
        </w:rPr>
      </w:pPr>
      <w:r>
        <w:rPr>
          <w:rFonts w:hint="eastAsia" w:ascii="宋体" w:hAnsi="宋体" w:cs="宋体"/>
          <w:sz w:val="24"/>
          <w:highlight w:val="none"/>
        </w:rPr>
        <w:t>7、国债期货投资策略</w:t>
      </w:r>
    </w:p>
    <w:p>
      <w:pPr>
        <w:spacing w:line="360" w:lineRule="auto"/>
        <w:ind w:firstLine="480" w:firstLineChars="200"/>
        <w:rPr>
          <w:rFonts w:hint="eastAsia" w:ascii="宋体" w:hAnsi="宋体" w:cs="宋体"/>
          <w:bCs/>
          <w:sz w:val="24"/>
          <w:highlight w:val="none"/>
        </w:rPr>
      </w:pPr>
      <w:r>
        <w:rPr>
          <w:rFonts w:hint="eastAsia" w:ascii="宋体" w:hAnsi="宋体" w:cs="宋体"/>
          <w:sz w:val="24"/>
          <w:highlight w:val="none"/>
        </w:rPr>
        <w:t>本基金将根据风险管理的原则，以套期保值为目的，在风险可控的前提下，本着谨慎原则，参与国债期货的投资，以管理投资组合的系统性风险，改善组合的风险收益特性。</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四、投资限制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1、组合限制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基金的投资组合应遵循以下限制：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本基金投资于债券的比例不低于基金资产的80%，投资于股票、存托凭证、股票型基金、混合型基金等权益类资产及可转换债券、可交换债券的合计比例为基金资产的10%-20%（其中投资于境内股票资产（含A股股票型ETF）的比例不低于基金资产的10%）；投资于港股通标的股票的比例不超过本基金股票资产的50%；其中，计入上述权益类资产的混合型基金需符合下列两个条件之一：</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1）基金合同约定股票及存托凭证资产投资比例不低于基金资产60%的混合型基金；</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2）根据基金披露的定期报告，最近四个季度中任一季度股票及存托凭证资产占基金资产比例均不低于60%的混合型基金；</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（2）本基金每个交易日日终在扣除国债期货合约需缴纳的交易保证金后，保持不低于基金资产净值5％的现金或者到期日在一年以内的政府债券，其中现金不包括结算备付金、存出保证金和应收申购款等；</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（3）本基金持有一家公司发行的证券（含存托凭证，同一家公司在境内和香港同时上市的A+H股合计计算，但不包括本基金所投资的基金份额），其市值不超过基金资产净值的10%；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（4）本基金管理人管理的全部基金持有一家公司发行的证券（含存托凭证，同一家公司在境内和香港同时上市的A+H股合计计算，但不包括本基金所投资的基金份额），不超过该证券的10%；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（5）本基金投资于同一原始权益人的各类资产支持证券的比例，不得超过基金资产净值的10%；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（6）本基金持有的全部资产支持证券，其市值不得超过基金资产净值的20%；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（7）本基金持有的同一(指同一信用级别)资产支持证券的比例，不得超过该资产支持证券规模的10%；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（8）本基金管理人管理的全部基金投资于同一原始权益人的各类资产支持证券，不得超过其各类资产支持证券合计规模的10%；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（9）基金财产参与股票发行申购，本基金所申报的金额不超过本基金的总资产，本基金所申报的股票数量不超过拟发行股票公司本次发行股票的总量；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本基金参与国债期货交易，应当遵守下列要求：基金在任何交易日日终，持有的买入国债期货合约价值，不得超过基金资产净值的15%；基金在任何交易日日终，持有的卖出国债期货合约价值不得超过基金持有的债券总市值的30%；基金在任何交易日内交易（不包括平仓）的国债期货合约的成交金额不得超过上一交易日基金资产净值的30%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（12）本基金参与国债期货交易，基金所持有的债券（不含到期日在一年以内的政府债券）市值和买入、卖出国债期货合约价值，合计（轧差计算）不得低于基金资产的80%；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本基金主动投资于流动性受限资产（含封闭运作基金、定期开放基金等流通受限基金）的市值合计不得超过该基金资产净值的15%；因证券市场波动、上市公司股票停牌、基金规模变动等基金管理人之外的因素致使基金不符合该比例限制的，基金管理人不得主动新增流动性受限资产的投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（14）本基金与私募类证券资管产品及中国证监会认定的其他主体为交易对手开展逆回购交易的，可接受质押品的资质要求应当与本基金合同约定的投资范围保持一致；</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（15）本基金资产总值不超过基金资产净值的140%；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（16）本基金投资存托凭证的比例限制依照境内上市交易的股票执行，并与境内上市交易的股票合并计算，法律法规或监管机构另有规定的从其规定；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（17）本基金投资于证券投资基金的资产不超过基金资产净值的10%；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（18）本基金管理人管理的全部基金（ETF联接基金除外）持有单只基金不得超过被投资基金净资产的20%，被投资基金净资产规模以最近定期报告披露的规模为准；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（19）本基金不得持有具有复杂、衍生品性质的基金份额，包括分级基金和中国证监会认定的其他基金份额；</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（20）本基金投资其他基金时，被投资基金的运作期限应当不少于1年，最近定期报告披露的基金净资产应当不低于1亿元；</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（21）法律法规及中国证监会规定的和《基金合同》约定的其他投资限制。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因证券、期货市场波动、基金规模变动、本基金所投资的基金发生流动性限制、暂停申购、赎回或二级市场交易停牌等基金管理人之外的因素致使基金投资不符合上述（18）规定的投资比例的，基金管理人应当在20个交易日内进行调整，但中国证监会规定的特殊情形除外。除（2）、（13）、（14）、（18）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法律法规或监管部门取消或调整上述限制，如适用于本基金，基金管理人在履行适当程序后，则本基金投资不再受相关限制或按调整后的规定执行。</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2、禁止行为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为维护基金份额持有人的合法权益，基金财产不得用于下列投资或者活动：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（1）承销证券；</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（2）违反规定向他人贷款或者提供担保；</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（3）从事承担无限责任的投资；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（4）向其基金管理人、基金托管人出资；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（5）从事内幕交易、操纵证券交易价格及其他不正当的证券交易活动；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（6）法律、行政法规</w:t>
      </w:r>
      <w:r>
        <w:rPr>
          <w:rFonts w:ascii="宋体" w:hAnsi="宋体" w:cs="宋体"/>
          <w:bCs/>
          <w:sz w:val="24"/>
          <w:highlight w:val="none"/>
        </w:rPr>
        <w:t>和</w:t>
      </w:r>
      <w:r>
        <w:rPr>
          <w:rFonts w:hint="eastAsia" w:ascii="宋体" w:hAnsi="宋体" w:cs="宋体"/>
          <w:bCs/>
          <w:sz w:val="24"/>
          <w:highlight w:val="none"/>
        </w:rPr>
        <w:t>中国证监会规定禁止的其他活动。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本基金投资基金管理人、基金托管人及其关联方管理或托管的基金的情况，不属于前述重大关联交易，但是应当按照法律法规或监管规定的要求履行信息披露义务。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法律、行政法规或监管部门取消或变更上述禁止或限制性规定，如适用于本基金，基金管理人在履行适当程序后，则本基金投资不再受相关限制或以变更后的规定为准。</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五、业绩比较基准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中债-综合全价（总值）指数收益率×85%+沪深300指数收益率×10%+中证港股通综合指数（人民币）收益率*5%</w:t>
      </w:r>
    </w:p>
    <w:p>
      <w:pPr>
        <w:spacing w:line="360" w:lineRule="auto"/>
        <w:ind w:firstLine="480" w:firstLineChars="200"/>
        <w:rPr>
          <w:bCs/>
          <w:sz w:val="24"/>
          <w:highlight w:val="none"/>
        </w:rPr>
      </w:pPr>
      <w:r>
        <w:rPr>
          <w:rFonts w:hint="eastAsia"/>
          <w:bCs/>
          <w:sz w:val="24"/>
          <w:highlight w:val="none"/>
        </w:rPr>
        <w:t>1、业绩比较基准设定的原因</w:t>
      </w:r>
    </w:p>
    <w:p>
      <w:pPr>
        <w:spacing w:line="360" w:lineRule="auto"/>
        <w:ind w:firstLine="480"/>
        <w:rPr>
          <w:bCs/>
          <w:sz w:val="24"/>
          <w:highlight w:val="none"/>
        </w:rPr>
      </w:pPr>
      <w:r>
        <w:rPr>
          <w:rFonts w:hint="eastAsia"/>
          <w:bCs/>
          <w:sz w:val="24"/>
          <w:highlight w:val="none"/>
        </w:rPr>
        <w:t>（1）基于基金投资范围以及预期投资的主要资产类别，本基金主要投资于</w:t>
      </w:r>
      <w:r>
        <w:rPr>
          <w:bCs/>
          <w:sz w:val="24"/>
          <w:highlight w:val="none"/>
        </w:rPr>
        <w:t>A</w:t>
      </w:r>
      <w:r>
        <w:rPr>
          <w:rFonts w:hint="eastAsia"/>
          <w:bCs/>
          <w:sz w:val="24"/>
          <w:highlight w:val="none"/>
        </w:rPr>
        <w:t>股股票、港股通股票、债券等资产，相应选取与之匹配的A股指数、港股指数、债券指数作为基准要素。同时基于基金投资股票等</w:t>
      </w:r>
      <w:r>
        <w:rPr>
          <w:rFonts w:hint="eastAsia" w:ascii="宋体" w:hAnsi="宋体" w:cs="宋体"/>
          <w:sz w:val="24"/>
          <w:highlight w:val="none"/>
        </w:rPr>
        <w:t>权益类资产</w:t>
      </w:r>
      <w:r>
        <w:rPr>
          <w:rFonts w:hint="eastAsia"/>
          <w:bCs/>
          <w:sz w:val="24"/>
          <w:highlight w:val="none"/>
        </w:rPr>
        <w:t>占基金资产的比例为10%-20%（其中港股通股票不超过股票资产的50%）等投资比例限制，以及预期的资产配置比例中枢，本基金将股票资产与债券资产所对应的基准要素权重分别设置为15%与85%，其中将股票资产中的A股股票与港股通股票所对应的基准要素权重分别设置为10%与5%。</w:t>
      </w:r>
    </w:p>
    <w:p>
      <w:pPr>
        <w:spacing w:line="360" w:lineRule="auto"/>
        <w:ind w:firstLine="480"/>
        <w:rPr>
          <w:rFonts w:hint="eastAsia"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基于基金投资目标、投资范围和投资策略，本基金的债券资产采用全市场策略，主要通过类属配置与券种选择进行投资管理。综合考虑基准指数与产品定位和投资风格的匹配度，同时兼顾考虑基准指数的表征性、认可度，以及基准指数券种、久期、信用等级分布特征等，</w:t>
      </w:r>
      <w:r>
        <w:rPr>
          <w:rFonts w:hint="eastAsia" w:ascii="宋体" w:hAnsi="宋体" w:cs="宋体"/>
          <w:bCs/>
          <w:sz w:val="24"/>
          <w:highlight w:val="none"/>
        </w:rPr>
        <w:t>中债-综合全价（总值）指数</w:t>
      </w:r>
      <w:r>
        <w:rPr>
          <w:rFonts w:hint="eastAsia" w:ascii="宋体" w:hAnsi="宋体"/>
          <w:sz w:val="24"/>
          <w:highlight w:val="none"/>
        </w:rPr>
        <w:t>作为债券部分的业绩比较基准要素。</w:t>
      </w:r>
    </w:p>
    <w:p>
      <w:pPr>
        <w:spacing w:line="360" w:lineRule="auto"/>
        <w:ind w:firstLine="480" w:firstLineChars="200"/>
        <w:rPr>
          <w:rFonts w:hint="eastAsia" w:ascii="Times New Roman" w:hAnsi="Times New Roman"/>
          <w:bCs/>
          <w:sz w:val="24"/>
          <w:szCs w:val="24"/>
          <w:highlight w:val="none"/>
        </w:rPr>
      </w:pPr>
      <w:r>
        <w:rPr>
          <w:rFonts w:hint="eastAsia" w:ascii="宋体" w:hAnsi="宋体" w:cs="宋体"/>
          <w:bCs/>
          <w:sz w:val="24"/>
          <w:highlight w:val="none"/>
        </w:rPr>
        <w:t>中债-综合全价（总值）指数综合反映债券市场整体价格和投资回报情况。该指数涵盖了银行间市场和交易所市场，具有广泛的市场代表性，能够反映债券市场总体走势，</w:t>
      </w:r>
      <w:r>
        <w:rPr>
          <w:rFonts w:hint="eastAsia"/>
          <w:bCs/>
          <w:sz w:val="24"/>
          <w:szCs w:val="24"/>
          <w:highlight w:val="none"/>
        </w:rPr>
        <w:t>适合作为本基金债券部分的业绩比较基准要素。</w:t>
      </w:r>
    </w:p>
    <w:p>
      <w:pPr>
        <w:spacing w:line="360" w:lineRule="auto"/>
        <w:ind w:firstLine="480"/>
        <w:rPr>
          <w:rFonts w:hint="eastAsia" w:ascii="宋体" w:hAnsi="宋体"/>
          <w:sz w:val="24"/>
          <w:highlight w:val="none"/>
        </w:rPr>
      </w:pPr>
      <w:r>
        <w:rPr>
          <w:rFonts w:hint="eastAsia" w:ascii="宋体" w:hAnsi="宋体"/>
          <w:sz w:val="24"/>
          <w:highlight w:val="none"/>
        </w:rPr>
        <w:t>（3）基于基金投资目标、投资范围和投资策略，本基金的股票资产采用全市场选股策略，通过定量分析和定性分析相结合的方法挖掘A股与港股通范围内的优质公司，从而在严格的风险控制的基础上,力争实现基金资产的稳健增值。综合考虑基准指数与产品定位和投资风格的匹配度，同时兼顾考虑基准指数的表征性、认可度，以及指数盘别/市值覆盖、风格特征、行业与个股分布等，本基金选取</w:t>
      </w:r>
      <w:r>
        <w:rPr>
          <w:rFonts w:hint="eastAsia" w:ascii="宋体" w:hAnsi="宋体" w:cs="宋体"/>
          <w:bCs/>
          <w:sz w:val="24"/>
          <w:highlight w:val="none"/>
        </w:rPr>
        <w:t>沪深300</w:t>
      </w:r>
      <w:r>
        <w:rPr>
          <w:rFonts w:hint="eastAsia" w:ascii="宋体" w:hAnsi="宋体"/>
          <w:sz w:val="24"/>
          <w:highlight w:val="none"/>
        </w:rPr>
        <w:t>指数和</w:t>
      </w:r>
      <w:r>
        <w:rPr>
          <w:rFonts w:hint="eastAsia" w:ascii="宋体" w:hAnsi="宋体" w:cs="宋体"/>
          <w:bCs/>
          <w:sz w:val="24"/>
          <w:highlight w:val="none"/>
        </w:rPr>
        <w:t>中证港股通综合指数（人民币）</w:t>
      </w:r>
      <w:r>
        <w:rPr>
          <w:rFonts w:hint="eastAsia" w:ascii="宋体" w:hAnsi="宋体"/>
          <w:sz w:val="24"/>
          <w:highlight w:val="none"/>
        </w:rPr>
        <w:t>分别作为A股股票和港股通股票部分的基准要素。</w:t>
      </w:r>
    </w:p>
    <w:p>
      <w:pPr>
        <w:spacing w:line="360" w:lineRule="auto"/>
        <w:ind w:firstLine="480"/>
        <w:rPr>
          <w:bCs/>
          <w:sz w:val="24"/>
          <w:highlight w:val="none"/>
        </w:rPr>
      </w:pPr>
      <w:r>
        <w:rPr>
          <w:rFonts w:hint="eastAsia" w:ascii="宋体" w:hAnsi="宋体" w:cs="宋体"/>
          <w:bCs/>
          <w:sz w:val="24"/>
          <w:highlight w:val="none"/>
        </w:rPr>
        <w:t>沪深 300 指数由专业指数提供商中证指数有限公司编制和发布，由沪深A股中规模大、流动性好的最具代表性的 300 只股票组成，以综合反映沪深A股市场整体表现，具有良好的市场代表性和市场影响力</w:t>
      </w:r>
      <w:r>
        <w:rPr>
          <w:rFonts w:hint="eastAsia"/>
          <w:bCs/>
          <w:sz w:val="24"/>
          <w:highlight w:val="none"/>
        </w:rPr>
        <w:t>，适合作为本基金A股股票部分的业绩比较基准要素。</w:t>
      </w:r>
    </w:p>
    <w:p>
      <w:pPr>
        <w:spacing w:line="360" w:lineRule="auto"/>
        <w:ind w:firstLine="480" w:firstLineChars="200"/>
        <w:rPr>
          <w:bCs/>
          <w:sz w:val="24"/>
          <w:highlight w:val="none"/>
        </w:rPr>
      </w:pPr>
      <w:r>
        <w:rPr>
          <w:rFonts w:hint="eastAsia" w:ascii="宋体" w:hAnsi="宋体" w:cs="宋体"/>
          <w:bCs/>
          <w:sz w:val="24"/>
          <w:highlight w:val="none"/>
        </w:rPr>
        <w:t>中证港股通综合指数（人民币）选取符合港股通资格的上市公司证券作为样本，采用自由流通市值加权计算，以反映港股通范围内上市公司的整体状况和走势</w:t>
      </w:r>
      <w:r>
        <w:rPr>
          <w:rFonts w:hint="eastAsia"/>
          <w:bCs/>
          <w:sz w:val="24"/>
          <w:highlight w:val="none"/>
        </w:rPr>
        <w:t>，适合作为本基金港股通股票部分的业绩比较基准要素。</w:t>
      </w:r>
    </w:p>
    <w:p>
      <w:pPr>
        <w:spacing w:line="360" w:lineRule="auto"/>
        <w:ind w:firstLine="480"/>
        <w:rPr>
          <w:bCs/>
          <w:sz w:val="24"/>
          <w:highlight w:val="none"/>
        </w:rPr>
      </w:pPr>
      <w:r>
        <w:rPr>
          <w:rFonts w:hint="eastAsia"/>
          <w:bCs/>
          <w:sz w:val="24"/>
          <w:highlight w:val="none"/>
        </w:rPr>
        <w:t>综上，本基金选取的业绩比较基准与基金投资目标、投资范围、投资策略、投资比例限制相匹配。</w:t>
      </w:r>
    </w:p>
    <w:p>
      <w:pPr>
        <w:spacing w:line="360" w:lineRule="auto"/>
        <w:ind w:firstLine="480" w:firstLineChars="200"/>
        <w:rPr>
          <w:bCs/>
          <w:sz w:val="24"/>
          <w:highlight w:val="none"/>
        </w:rPr>
      </w:pPr>
      <w:r>
        <w:rPr>
          <w:rFonts w:hint="eastAsia"/>
          <w:bCs/>
          <w:sz w:val="24"/>
          <w:highlight w:val="none"/>
        </w:rPr>
        <w:t>2、业绩比较基准要素的基本信息</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中债-综合全价（总值）指数</w:t>
      </w:r>
      <w:r>
        <w:rPr>
          <w:rFonts w:hint="eastAsia" w:ascii="宋体" w:hAnsi="宋体" w:cs="宋体"/>
          <w:bCs/>
          <w:sz w:val="24"/>
          <w:szCs w:val="21"/>
          <w:highlight w:val="none"/>
        </w:rPr>
        <w:t>由</w:t>
      </w:r>
      <w:r>
        <w:rPr>
          <w:rFonts w:hint="eastAsia" w:ascii="宋体" w:hAnsi="宋体" w:cs="宋体"/>
          <w:bCs/>
          <w:sz w:val="24"/>
          <w:highlight w:val="none"/>
        </w:rPr>
        <w:t>中债金融估值中心有限公司编制发布，指数代码为</w:t>
      </w:r>
      <w:r>
        <w:rPr>
          <w:rFonts w:ascii="宋体" w:hAnsi="宋体" w:cs="宋体"/>
          <w:bCs/>
          <w:sz w:val="24"/>
          <w:highlight w:val="none"/>
        </w:rPr>
        <w:t>CBA00203</w:t>
      </w:r>
      <w:r>
        <w:rPr>
          <w:rFonts w:hint="eastAsia" w:ascii="宋体" w:hAnsi="宋体" w:cs="宋体"/>
          <w:bCs/>
          <w:sz w:val="24"/>
          <w:highlight w:val="none"/>
        </w:rPr>
        <w:t>，指数具体信息详见中国债券信息网，网址：</w:t>
      </w:r>
      <w:r>
        <w:rPr>
          <w:rFonts w:hint="eastAsia" w:ascii="宋体" w:hAnsi="宋体" w:cs="宋体"/>
          <w:bCs/>
          <w:sz w:val="24"/>
          <w:highlight w:val="none"/>
        </w:rPr>
        <w:fldChar w:fldCharType="begin"/>
      </w:r>
      <w:r>
        <w:rPr>
          <w:rFonts w:hint="eastAsia" w:ascii="宋体" w:hAnsi="宋体" w:cs="宋体"/>
          <w:bCs/>
          <w:sz w:val="24"/>
          <w:highlight w:val="none"/>
        </w:rPr>
        <w:instrText xml:space="preserve"> HYPERLINK "http://www.chinabond.com.cn。" </w:instrText>
      </w:r>
      <w:r>
        <w:rPr>
          <w:rFonts w:hint="eastAsia" w:ascii="宋体" w:hAnsi="宋体" w:cs="宋体"/>
          <w:bCs/>
          <w:sz w:val="24"/>
          <w:highlight w:val="none"/>
        </w:rPr>
        <w:fldChar w:fldCharType="separate"/>
      </w:r>
      <w:r>
        <w:rPr>
          <w:rStyle w:val="22"/>
          <w:rFonts w:hint="eastAsia" w:ascii="宋体" w:hAnsi="宋体" w:cs="宋体"/>
          <w:bCs/>
          <w:sz w:val="24"/>
          <w:highlight w:val="none"/>
        </w:rPr>
        <w:t>www.chinabond.com.cn。</w:t>
      </w:r>
      <w:r>
        <w:rPr>
          <w:rFonts w:hint="eastAsia" w:ascii="宋体" w:hAnsi="宋体" w:cs="宋体"/>
          <w:bCs/>
          <w:sz w:val="24"/>
          <w:highlight w:val="none"/>
        </w:rPr>
        <w:fldChar w:fldCharType="end"/>
      </w:r>
    </w:p>
    <w:p>
      <w:pPr>
        <w:spacing w:line="360" w:lineRule="auto"/>
        <w:ind w:firstLine="480" w:firstLineChars="200"/>
        <w:rPr>
          <w:bCs/>
          <w:sz w:val="24"/>
          <w:szCs w:val="24"/>
          <w:highlight w:val="none"/>
        </w:rPr>
      </w:pPr>
      <w:r>
        <w:rPr>
          <w:rFonts w:hint="eastAsia" w:ascii="宋体" w:hAnsi="宋体" w:cs="宋体"/>
          <w:bCs/>
          <w:sz w:val="24"/>
          <w:highlight w:val="none"/>
        </w:rPr>
        <w:t>沪深 300 指数</w:t>
      </w:r>
      <w:r>
        <w:rPr>
          <w:rFonts w:hint="eastAsia"/>
          <w:bCs/>
          <w:sz w:val="24"/>
          <w:szCs w:val="24"/>
          <w:highlight w:val="none"/>
        </w:rPr>
        <w:t>由中证指数有限公司编制发布，指数代码为000300，指数具体信息详见中证指数有限公司</w:t>
      </w:r>
      <w:r>
        <w:rPr>
          <w:rFonts w:hint="eastAsia"/>
          <w:bCs/>
          <w:sz w:val="24"/>
          <w:highlight w:val="none"/>
        </w:rPr>
        <w:t>网站</w:t>
      </w:r>
      <w:r>
        <w:rPr>
          <w:rFonts w:hint="eastAsia"/>
          <w:bCs/>
          <w:sz w:val="24"/>
          <w:szCs w:val="24"/>
          <w:highlight w:val="none"/>
        </w:rPr>
        <w:t>，网址：</w:t>
      </w:r>
      <w:r>
        <w:rPr>
          <w:rStyle w:val="25"/>
          <w:rFonts w:hint="eastAsia"/>
          <w:bCs/>
          <w:color w:val="auto"/>
          <w:sz w:val="24"/>
          <w:szCs w:val="24"/>
          <w:highlight w:val="none"/>
          <w:u w:val="none"/>
        </w:rPr>
        <w:t>www.csindex.com.cn。</w:t>
      </w:r>
    </w:p>
    <w:p>
      <w:pPr>
        <w:spacing w:line="360" w:lineRule="auto"/>
        <w:ind w:firstLine="480" w:firstLineChars="200"/>
        <w:rPr>
          <w:bCs/>
          <w:sz w:val="24"/>
          <w:szCs w:val="24"/>
          <w:highlight w:val="none"/>
        </w:rPr>
      </w:pPr>
      <w:r>
        <w:rPr>
          <w:rFonts w:hint="eastAsia"/>
          <w:bCs/>
          <w:sz w:val="24"/>
          <w:szCs w:val="24"/>
          <w:highlight w:val="none"/>
        </w:rPr>
        <w:t xml:space="preserve">中证港股通综合指数（人民币）由中证指数有限公司编制发布，指数代码为 </w:t>
      </w:r>
      <w:r>
        <w:rPr>
          <w:bCs/>
          <w:sz w:val="24"/>
          <w:szCs w:val="24"/>
          <w:highlight w:val="none"/>
        </w:rPr>
        <w:t>93093</w:t>
      </w:r>
      <w:r>
        <w:rPr>
          <w:rFonts w:hint="eastAsia"/>
          <w:bCs/>
          <w:sz w:val="24"/>
          <w:szCs w:val="24"/>
          <w:highlight w:val="none"/>
        </w:rPr>
        <w:t>3，指数具体信息详见中证指数有限公司网站，网址：www.csindex.com.cn。</w:t>
      </w:r>
    </w:p>
    <w:p>
      <w:pPr>
        <w:spacing w:line="360" w:lineRule="auto"/>
        <w:ind w:firstLine="480" w:firstLineChars="200"/>
        <w:rPr>
          <w:bCs/>
          <w:sz w:val="24"/>
          <w:szCs w:val="24"/>
          <w:highlight w:val="none"/>
        </w:rPr>
      </w:pPr>
      <w:r>
        <w:rPr>
          <w:rFonts w:hint="eastAsia"/>
          <w:bCs/>
          <w:sz w:val="24"/>
          <w:szCs w:val="24"/>
          <w:highlight w:val="none"/>
        </w:rPr>
        <w:t>3、业绩比较基准的计算方法</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本基金业绩比较基准收益率的计算方法以每日收益率为基础，以时间加权为计算原则。本基金先分别计算业绩比较基准中中债-综合全价（总值）指数、沪深 300 指数、中证港股通综合指数（人民币）的每日收益率，再按照预设权重比例计算当日组合要素基准的日收益率，并连乘每日收益率。</w:t>
      </w:r>
    </w:p>
    <w:p>
      <w:pPr>
        <w:spacing w:line="360" w:lineRule="auto"/>
        <w:ind w:firstLine="480" w:firstLineChars="200"/>
        <w:rPr>
          <w:bCs/>
          <w:sz w:val="24"/>
          <w:szCs w:val="24"/>
          <w:highlight w:val="none"/>
        </w:rPr>
      </w:pPr>
      <w:r>
        <w:rPr>
          <w:rFonts w:hint="eastAsia" w:ascii="宋体" w:hAnsi="宋体"/>
          <w:bCs/>
          <w:sz w:val="24"/>
          <w:szCs w:val="24"/>
          <w:highlight w:val="none"/>
        </w:rPr>
        <w:t>4、管理投资偏离业绩比较基准的</w:t>
      </w:r>
      <w:r>
        <w:rPr>
          <w:rFonts w:hint="eastAsia" w:ascii="宋体" w:hAnsi="宋体"/>
          <w:sz w:val="24"/>
          <w:highlight w:val="none"/>
        </w:rPr>
        <w:t>定性或定量</w:t>
      </w:r>
      <w:r>
        <w:rPr>
          <w:rFonts w:hint="eastAsia" w:ascii="宋体" w:hAnsi="宋体"/>
          <w:bCs/>
          <w:sz w:val="24"/>
          <w:szCs w:val="24"/>
          <w:highlight w:val="none"/>
        </w:rPr>
        <w:t>方法</w:t>
      </w:r>
    </w:p>
    <w:p>
      <w:pPr>
        <w:spacing w:line="360" w:lineRule="auto"/>
        <w:ind w:firstLine="480" w:firstLineChars="200"/>
        <w:rPr>
          <w:bCs/>
          <w:sz w:val="24"/>
          <w:highlight w:val="none"/>
        </w:rPr>
      </w:pPr>
      <w:r>
        <w:rPr>
          <w:rFonts w:hint="eastAsia"/>
          <w:bCs/>
          <w:sz w:val="24"/>
          <w:highlight w:val="none"/>
        </w:rPr>
        <w:t>基金管理人根据本基金类型、投资目标、投资风格、投资策略、风险收益特征等因素，审慎设置投资偏离业绩比较基准的监测指标和相关阈值。触发指标阈值的，基金经理原则上应当在基金管理人制度规定时间内调整完毕，或者提请投资决策委员会审议。投资决策委员会应当从保护基金份额持有人利益角度出发，对是否允许突破指标阈值作出决策，并对决策执行情况加强跟踪评估。</w:t>
      </w:r>
    </w:p>
    <w:p>
      <w:pPr>
        <w:spacing w:line="360" w:lineRule="auto"/>
        <w:ind w:firstLine="480" w:firstLineChars="200"/>
        <w:rPr>
          <w:bCs/>
          <w:sz w:val="24"/>
          <w:highlight w:val="none"/>
        </w:rPr>
      </w:pPr>
      <w:r>
        <w:rPr>
          <w:rFonts w:hint="eastAsia"/>
          <w:bCs/>
          <w:sz w:val="24"/>
          <w:highlight w:val="none"/>
        </w:rPr>
        <w:t>基金管理人在监测业绩比较基准偏离过程中，可以采用合适的基金业绩表现类指标（信息比率、跟踪误差、超额收益、卡玛比率等）；对于股票资产，可以采用股票配置偏离限额（仓位、行业或风格结构偏离等）、基准成份券覆盖率、主动比率等指标；对于债券资产，可以采用久期中枢、信用风险暴露集中度、含权资产（如有）仓位与结构、最大回撤等指标。</w:t>
      </w:r>
    </w:p>
    <w:p>
      <w:pPr>
        <w:spacing w:line="360" w:lineRule="auto"/>
        <w:ind w:firstLine="480" w:firstLineChars="200"/>
        <w:rPr>
          <w:bCs/>
          <w:sz w:val="24"/>
          <w:highlight w:val="none"/>
        </w:rPr>
      </w:pPr>
      <w:r>
        <w:rPr>
          <w:rFonts w:hint="eastAsia"/>
          <w:bCs/>
          <w:sz w:val="24"/>
          <w:highlight w:val="none"/>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pPr>
        <w:spacing w:line="360" w:lineRule="auto"/>
        <w:ind w:firstLine="480" w:firstLineChars="200"/>
        <w:rPr>
          <w:bCs/>
          <w:sz w:val="24"/>
          <w:highlight w:val="none"/>
        </w:rPr>
      </w:pPr>
      <w:r>
        <w:rPr>
          <w:rFonts w:hint="eastAsia" w:ascii="宋体" w:hAnsi="宋体"/>
          <w:bCs/>
          <w:sz w:val="24"/>
          <w:szCs w:val="24"/>
          <w:highlight w:val="none"/>
        </w:rPr>
        <w:t>5、</w:t>
      </w:r>
      <w:r>
        <w:rPr>
          <w:rFonts w:hint="eastAsia"/>
          <w:bCs/>
          <w:sz w:val="24"/>
          <w:highlight w:val="none"/>
        </w:rPr>
        <w:t>未来可能变更业绩比较基准的情况和程序</w:t>
      </w:r>
    </w:p>
    <w:p>
      <w:pPr>
        <w:spacing w:line="360" w:lineRule="auto"/>
        <w:ind w:firstLine="480" w:firstLineChars="200"/>
        <w:rPr>
          <w:bCs/>
          <w:sz w:val="24"/>
          <w:highlight w:val="none"/>
        </w:rPr>
      </w:pPr>
      <w:r>
        <w:rPr>
          <w:rFonts w:hint="eastAsia"/>
          <w:bCs/>
          <w:sz w:val="24"/>
          <w:highlight w:val="none"/>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pPr>
        <w:spacing w:line="360" w:lineRule="auto"/>
        <w:ind w:firstLine="480" w:firstLineChars="200"/>
        <w:rPr>
          <w:bCs/>
          <w:sz w:val="24"/>
          <w:highlight w:val="none"/>
        </w:rPr>
      </w:pPr>
      <w:r>
        <w:rPr>
          <w:rFonts w:hint="eastAsia"/>
          <w:bCs/>
          <w:sz w:val="24"/>
          <w:highlight w:val="none"/>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pPr>
        <w:spacing w:line="360" w:lineRule="auto"/>
        <w:ind w:firstLine="480" w:firstLineChars="200"/>
        <w:rPr>
          <w:bCs/>
          <w:sz w:val="24"/>
          <w:highlight w:val="none"/>
        </w:rPr>
      </w:pPr>
      <w:r>
        <w:rPr>
          <w:rFonts w:hint="eastAsia"/>
          <w:bCs/>
          <w:sz w:val="24"/>
          <w:highlight w:val="none"/>
        </w:rPr>
        <w:t>（2）调整业绩比较基准的要素权重、更换相同或相近特征的要素等，使新业绩比较基准代表性更强，且符合相关法律法规规定的；</w:t>
      </w:r>
    </w:p>
    <w:p>
      <w:pPr>
        <w:spacing w:line="360" w:lineRule="auto"/>
        <w:ind w:firstLine="480" w:firstLineChars="200"/>
        <w:rPr>
          <w:bCs/>
          <w:sz w:val="24"/>
          <w:highlight w:val="none"/>
        </w:rPr>
      </w:pPr>
      <w:r>
        <w:rPr>
          <w:rFonts w:hint="eastAsia"/>
          <w:bCs/>
          <w:sz w:val="24"/>
          <w:highlight w:val="none"/>
        </w:rPr>
        <w:t>（3）中国证监会认可的其他情形。</w:t>
      </w:r>
    </w:p>
    <w:p>
      <w:pPr>
        <w:spacing w:line="360" w:lineRule="auto"/>
        <w:ind w:firstLine="480" w:firstLineChars="200"/>
        <w:rPr>
          <w:bCs/>
          <w:sz w:val="24"/>
          <w:highlight w:val="none"/>
        </w:rPr>
      </w:pPr>
      <w:r>
        <w:rPr>
          <w:rFonts w:hint="eastAsia"/>
          <w:bCs/>
          <w:sz w:val="24"/>
          <w:highlight w:val="none"/>
        </w:rPr>
        <w:t>业绩比较基准变更涉及以下情形的，基金管理人应当按照规定履行变更注册、召开基金份额持有人大会等程序，法律法规、中国证监会另有规定的除外：</w:t>
      </w:r>
    </w:p>
    <w:p>
      <w:pPr>
        <w:spacing w:line="360" w:lineRule="auto"/>
        <w:ind w:firstLine="480" w:firstLineChars="200"/>
        <w:rPr>
          <w:bCs/>
          <w:sz w:val="24"/>
          <w:highlight w:val="none"/>
        </w:rPr>
      </w:pPr>
      <w:r>
        <w:rPr>
          <w:rFonts w:hint="eastAsia"/>
          <w:bCs/>
          <w:sz w:val="24"/>
          <w:highlight w:val="none"/>
        </w:rPr>
        <w:t>（1）基金投资目标、投资范围、投资策略、投资比例等拟进行重大调整，并变更业绩比较基准的；</w:t>
      </w:r>
    </w:p>
    <w:p>
      <w:pPr>
        <w:spacing w:line="360" w:lineRule="auto"/>
        <w:ind w:firstLine="480" w:firstLineChars="200"/>
        <w:rPr>
          <w:rFonts w:hint="eastAsia" w:ascii="宋体" w:hAnsi="宋体" w:cs="宋体"/>
          <w:bCs/>
          <w:sz w:val="24"/>
          <w:highlight w:val="none"/>
        </w:rPr>
      </w:pPr>
      <w:r>
        <w:rPr>
          <w:rFonts w:hint="eastAsia"/>
          <w:bCs/>
          <w:sz w:val="24"/>
          <w:highlight w:val="none"/>
        </w:rPr>
        <w:t>（2）其他对基金份额持有人利益产生重大实质性影响的情形。</w:t>
      </w:r>
    </w:p>
    <w:p>
      <w:pPr>
        <w:spacing w:line="360" w:lineRule="auto"/>
        <w:ind w:firstLine="0" w:firstLineChars="0"/>
        <w:rPr>
          <w:rFonts w:hint="eastAsia" w:ascii="宋体" w:hAnsi="宋体" w:cs="宋体"/>
          <w:bCs/>
          <w:sz w:val="24"/>
          <w:highlight w:val="none"/>
        </w:rPr>
      </w:pPr>
    </w:p>
    <w:p>
      <w:pPr>
        <w:numPr>
          <w:ins w:id="0" w:author="楚懿暄 [2]" w:date="2025-07-15T11:24:00Z"/>
        </w:num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六、风险收益特征</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为债券型基金，其预期风险与预期收益高于货币市场基金，低于混合型基金和股票型基金。本基金若投资香港联合交易所上市的股票，将面临港股通机制下因投资环境、投资标的、市场制度以及交易规则等差异带来的特有风险。</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七、基金管理人代表基金行使股东或债权人权利的处理原则及方法</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1、基金管理人按照国家有关规定代表基金独立行使股东或债权人权利，保护基金份额持有人的利益；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2、不谋求对上市公司的控股；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3、有利于基金财产的安全与增值；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4、不通过关联交易为自身、雇员、授权代理人或任何存在利害关系的第三人牟取任何不当利益。</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八、侧袋机制的实施和投资运作安排</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侧袋机制实施期间，本部分约定的投资组合比例、投资策略、组合限制、业绩比较基准、风险收益特征等约定仅适用于主袋账户。</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侧袋账户的实施条件、实施程序、运作安排、投资安排、特定资产的处置变现和支付等对投资者权益有重大影响的事项详见招募说明书的规定。</w:t>
      </w:r>
    </w:p>
    <w:p>
      <w:pPr>
        <w:spacing w:line="360" w:lineRule="auto"/>
        <w:rPr>
          <w:rFonts w:hint="eastAsia" w:ascii="宋体" w:hAnsi="宋体" w:cs="宋体"/>
          <w:bCs/>
          <w:sz w:val="24"/>
          <w:highlight w:val="none"/>
        </w:rPr>
      </w:pPr>
      <w:r>
        <w:rPr>
          <w:rFonts w:hint="eastAsia" w:ascii="宋体" w:hAnsi="宋体" w:cs="宋体"/>
          <w:bCs/>
          <w:sz w:val="24"/>
          <w:highlight w:val="none"/>
        </w:rPr>
        <w:t xml:space="preserve">                                                               </w:t>
      </w:r>
    </w:p>
    <w:p>
      <w:pPr>
        <w:spacing w:line="360" w:lineRule="auto"/>
        <w:ind w:firstLine="480" w:firstLineChars="200"/>
        <w:rPr>
          <w:rFonts w:hint="eastAsia" w:ascii="宋体" w:hAnsi="宋体" w:cs="宋体"/>
          <w:bCs/>
          <w:sz w:val="24"/>
          <w:highlight w:val="none"/>
        </w:rPr>
      </w:pPr>
    </w:p>
    <w:p>
      <w:pPr>
        <w:rPr>
          <w:rFonts w:hint="eastAsia" w:ascii="宋体" w:hAnsi="宋体" w:cs="宋体"/>
          <w:bCs/>
          <w:sz w:val="24"/>
          <w:highlight w:val="none"/>
        </w:rPr>
      </w:pPr>
    </w:p>
    <w:p>
      <w:pPr>
        <w:jc w:val="center"/>
        <w:rPr>
          <w:rFonts w:hint="eastAsia" w:ascii="宋体" w:hAnsi="宋体" w:cs="宋体"/>
          <w:bCs/>
          <w:kern w:val="44"/>
          <w:highlight w:val="none"/>
        </w:rPr>
      </w:pPr>
      <w:r>
        <w:rPr>
          <w:rFonts w:hint="eastAsia" w:ascii="宋体" w:hAnsi="宋体" w:cs="宋体"/>
          <w:bCs/>
          <w:kern w:val="44"/>
          <w:highlight w:val="none"/>
        </w:rPr>
        <w:br w:type="page"/>
      </w:r>
    </w:p>
    <w:p>
      <w:pPr>
        <w:pStyle w:val="2"/>
        <w:spacing w:before="0" w:after="0"/>
        <w:jc w:val="center"/>
        <w:rPr>
          <w:rFonts w:hint="eastAsia" w:hAnsi="宋体" w:cs="宋体"/>
          <w:color w:val="auto"/>
          <w:sz w:val="30"/>
          <w:highlight w:val="none"/>
        </w:rPr>
      </w:pPr>
      <w:bookmarkStart w:id="313" w:name="_Toc92662704"/>
      <w:bookmarkStart w:id="314" w:name="_Toc93226145"/>
      <w:bookmarkStart w:id="315" w:name="_Toc18000"/>
      <w:bookmarkStart w:id="316" w:name="_Toc139991743"/>
      <w:bookmarkStart w:id="317" w:name="_Toc20102"/>
      <w:bookmarkStart w:id="318" w:name="_Toc21642"/>
      <w:bookmarkStart w:id="319" w:name="_Toc13819"/>
      <w:bookmarkStart w:id="320" w:name="_Toc26114"/>
      <w:bookmarkStart w:id="321" w:name="_Toc32030"/>
      <w:bookmarkStart w:id="322" w:name="_Toc3054"/>
      <w:bookmarkStart w:id="323" w:name="_Toc24474"/>
      <w:bookmarkStart w:id="324" w:name="_Toc29561"/>
      <w:bookmarkStart w:id="325" w:name="_Toc128310496"/>
      <w:bookmarkStart w:id="326" w:name="_Toc31611"/>
      <w:bookmarkStart w:id="327" w:name="_Toc141703893"/>
      <w:bookmarkStart w:id="328" w:name="_Toc20782"/>
      <w:r>
        <w:rPr>
          <w:rFonts w:hint="eastAsia" w:hAnsi="宋体" w:cs="宋体"/>
          <w:color w:val="auto"/>
          <w:sz w:val="30"/>
          <w:highlight w:val="none"/>
        </w:rPr>
        <w:t>第十三部分  基金</w:t>
      </w:r>
      <w:bookmarkEnd w:id="313"/>
      <w:bookmarkEnd w:id="314"/>
      <w:r>
        <w:rPr>
          <w:rFonts w:hint="eastAsia" w:hAnsi="宋体" w:cs="宋体"/>
          <w:color w:val="auto"/>
          <w:sz w:val="30"/>
          <w:highlight w:val="none"/>
        </w:rPr>
        <w:t>的财产</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329" w:name="OLE_LINK69"/>
      <w:bookmarkStart w:id="330" w:name="OLE_LINK70"/>
      <w:r>
        <w:rPr>
          <w:rFonts w:hint="eastAsia" w:ascii="宋体" w:hAnsi="宋体" w:cs="宋体"/>
          <w:b/>
          <w:sz w:val="24"/>
          <w:highlight w:val="none"/>
        </w:rPr>
        <w:t>一、基金资产总值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基金资产总值是指基金拥有的各类有价证券、银行存款本息、基金应收款项、基金份额及其他资产的价值总和。</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二、基金资产净值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基金资产净值是指基金资产总值减去基金负债后的价值。</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三、基金财产的账户</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31" w:name="_Hlt88841837"/>
      <w:bookmarkEnd w:id="331"/>
      <w:r>
        <w:rPr>
          <w:rFonts w:hint="eastAsia" w:ascii="宋体" w:hAnsi="宋体" w:cs="宋体"/>
          <w:sz w:val="24"/>
          <w:highlight w:val="none"/>
        </w:rPr>
        <w:t>证券经纪商根据相关法律法规规定及相关协议约定为本基金开立相关资金账户。</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四、基金财产的保管和处分</w:t>
      </w:r>
      <w:bookmarkStart w:id="332" w:name="_Hlt88900062"/>
      <w:bookmarkEnd w:id="332"/>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本基金财产独立于基金管理人、基金托管人、证券经纪商和基金销售机构等基金服务</w:t>
      </w:r>
      <w:r>
        <w:rPr>
          <w:rFonts w:hint="eastAsia" w:ascii="宋体" w:hAnsi="宋体" w:cs="宋体"/>
          <w:sz w:val="24"/>
          <w:highlight w:val="none"/>
        </w:rPr>
        <w:t>机构</w:t>
      </w:r>
      <w:r>
        <w:rPr>
          <w:rFonts w:hint="eastAsia" w:ascii="宋体" w:hAnsi="宋体" w:cs="宋体"/>
          <w:bCs/>
          <w:sz w:val="24"/>
          <w:highlight w:val="none"/>
        </w:rPr>
        <w:t>的财产，并由基金托管人保管。基金管理人、基金托管人、证券经纪商、基金登记机构和基金销售机构等基金服务</w:t>
      </w:r>
      <w:r>
        <w:rPr>
          <w:rFonts w:hint="eastAsia" w:ascii="宋体" w:hAnsi="宋体" w:cs="宋体"/>
          <w:sz w:val="24"/>
          <w:highlight w:val="none"/>
        </w:rPr>
        <w:t>机构</w:t>
      </w:r>
      <w:r>
        <w:rPr>
          <w:rFonts w:hint="eastAsia" w:ascii="宋体" w:hAnsi="宋体" w:cs="宋体"/>
          <w:bCs/>
          <w:sz w:val="24"/>
          <w:highlight w:val="none"/>
        </w:rPr>
        <w:t>以其自有的财产承担其自身的法律责任，其债权人不得对本基金财产行使请求冻结、扣押或其他权利。除依法律法规和《基金合同》的规定处分外，基金财产不得被处分。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基金托管人、证券经纪商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pPr>
        <w:pStyle w:val="2"/>
        <w:spacing w:before="0" w:after="0"/>
        <w:jc w:val="center"/>
        <w:rPr>
          <w:rFonts w:hint="eastAsia" w:hAnsi="宋体" w:cs="宋体"/>
          <w:color w:val="auto"/>
          <w:sz w:val="30"/>
          <w:highlight w:val="none"/>
        </w:rPr>
      </w:pPr>
      <w:r>
        <w:rPr>
          <w:rFonts w:hint="eastAsia" w:hAnsi="宋体" w:cs="宋体"/>
          <w:b w:val="0"/>
          <w:bCs/>
          <w:color w:val="auto"/>
          <w:kern w:val="44"/>
          <w:sz w:val="21"/>
          <w:highlight w:val="none"/>
        </w:rPr>
        <w:br w:type="page"/>
      </w:r>
      <w:bookmarkStart w:id="333" w:name="_Toc19714"/>
      <w:bookmarkStart w:id="334" w:name="_Toc27832"/>
      <w:bookmarkStart w:id="335" w:name="_Toc31917"/>
      <w:bookmarkStart w:id="336" w:name="_Toc7802"/>
      <w:bookmarkStart w:id="337" w:name="_Toc2623"/>
      <w:bookmarkStart w:id="338" w:name="_Toc17782"/>
      <w:bookmarkStart w:id="339" w:name="_Toc871"/>
      <w:bookmarkStart w:id="340" w:name="_Toc141703894"/>
      <w:bookmarkStart w:id="341" w:name="_Toc139991744"/>
      <w:r>
        <w:rPr>
          <w:rFonts w:hint="eastAsia" w:hAnsi="宋体" w:cs="宋体"/>
          <w:color w:val="auto"/>
          <w:sz w:val="30"/>
          <w:highlight w:val="none"/>
        </w:rPr>
        <w:t>第十四部分  基金资产估值</w:t>
      </w:r>
      <w:bookmarkEnd w:id="333"/>
      <w:bookmarkEnd w:id="334"/>
      <w:bookmarkEnd w:id="335"/>
      <w:bookmarkEnd w:id="336"/>
      <w:bookmarkEnd w:id="337"/>
      <w:bookmarkEnd w:id="338"/>
      <w:bookmarkEnd w:id="339"/>
    </w:p>
    <w:p>
      <w:pPr>
        <w:spacing w:line="360" w:lineRule="auto"/>
        <w:ind w:firstLine="480" w:firstLineChars="200"/>
        <w:rPr>
          <w:rFonts w:hint="eastAsia" w:ascii="宋体" w:hAnsi="宋体" w:cs="宋体"/>
          <w:bCs/>
          <w:sz w:val="24"/>
          <w:highlight w:val="none"/>
        </w:rPr>
      </w:pPr>
    </w:p>
    <w:bookmarkEnd w:id="340"/>
    <w:bookmarkEnd w:id="341"/>
    <w:p>
      <w:pPr>
        <w:spacing w:line="360" w:lineRule="auto"/>
        <w:ind w:firstLine="482" w:firstLineChars="200"/>
        <w:rPr>
          <w:rFonts w:hint="eastAsia" w:ascii="宋体" w:hAnsi="宋体" w:cs="宋体"/>
          <w:b/>
          <w:sz w:val="24"/>
          <w:highlight w:val="none"/>
        </w:rPr>
      </w:pPr>
      <w:bookmarkStart w:id="342" w:name="_Toc139991745"/>
      <w:bookmarkStart w:id="343" w:name="_Toc32046"/>
      <w:bookmarkStart w:id="344" w:name="_Toc141703895"/>
      <w:r>
        <w:rPr>
          <w:rFonts w:hint="eastAsia" w:ascii="宋体" w:hAnsi="宋体" w:cs="宋体"/>
          <w:b/>
          <w:sz w:val="24"/>
          <w:highlight w:val="none"/>
        </w:rPr>
        <w:t>一、估值日</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本基金的估值日为本基金相关的证券交易场所的交易日以及国家法律法规规定需要对外披露基金净值的非交易日。</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二、估值对象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基金所拥有的股票、债券、基金份额、国债期货合约、资产支持证券和银行存款本息、应收款项、其它投资等资产及负债。</w:t>
      </w:r>
    </w:p>
    <w:p>
      <w:pPr>
        <w:spacing w:line="360" w:lineRule="auto"/>
        <w:ind w:firstLine="480" w:firstLineChars="200"/>
        <w:rPr>
          <w:rFonts w:hint="eastAsia" w:ascii="宋体" w:hAnsi="宋体" w:cs="宋体"/>
          <w:bCs/>
          <w:sz w:val="24"/>
          <w:highlight w:val="none"/>
        </w:rPr>
      </w:pPr>
    </w:p>
    <w:p>
      <w:pPr>
        <w:spacing w:line="360" w:lineRule="auto"/>
        <w:ind w:firstLine="569" w:firstLineChars="236"/>
        <w:rPr>
          <w:rFonts w:hint="eastAsia" w:ascii="宋体" w:hAnsi="宋体" w:cs="宋体"/>
          <w:b/>
          <w:sz w:val="24"/>
          <w:highlight w:val="none"/>
        </w:rPr>
      </w:pPr>
      <w:r>
        <w:rPr>
          <w:rFonts w:hint="eastAsia" w:ascii="宋体" w:hAnsi="宋体" w:cs="宋体"/>
          <w:b/>
          <w:sz w:val="24"/>
          <w:highlight w:val="none"/>
        </w:rPr>
        <w:t>三、估值原则</w:t>
      </w:r>
    </w:p>
    <w:p>
      <w:pPr>
        <w:spacing w:line="360" w:lineRule="auto"/>
        <w:rPr>
          <w:rFonts w:hint="eastAsia" w:ascii="宋体" w:hAnsi="宋体" w:cs="宋体"/>
          <w:bCs/>
          <w:sz w:val="24"/>
          <w:highlight w:val="none"/>
        </w:rPr>
      </w:pPr>
      <w:r>
        <w:rPr>
          <w:rFonts w:hint="eastAsia" w:ascii="宋体" w:hAnsi="宋体" w:cs="宋体"/>
          <w:bCs/>
          <w:sz w:val="24"/>
          <w:highlight w:val="none"/>
        </w:rPr>
        <w:t>　　基金管理人在确定相关金融资产和金融负债的公允价值时，应符合《企业会计准则》、监管部门有关规定。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（三）如经济环境发生重大变化或证券发行人发生影响证券价格的重大事件，使潜在估值调整对前一估值日的基金资产净值的影响在0.25%以上的，应对估值进行调整并确定公允价值。</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345" w:name="OLE_LINK6"/>
      <w:bookmarkStart w:id="346" w:name="OLE_LINK7"/>
      <w:r>
        <w:rPr>
          <w:rFonts w:hint="eastAsia" w:ascii="宋体" w:hAnsi="宋体" w:cs="宋体"/>
          <w:b/>
          <w:sz w:val="24"/>
          <w:highlight w:val="none"/>
        </w:rPr>
        <w:t>四、估值方法</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1、证券交易所上市的有价证券的估值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除本部分另有约定的品种外，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highlight w:val="none"/>
        </w:rPr>
        <w:t>（2）</w:t>
      </w:r>
      <w:r>
        <w:rPr>
          <w:rFonts w:hint="eastAsia" w:ascii="宋体" w:hAnsi="宋体" w:cs="宋体"/>
          <w:color w:val="000000"/>
          <w:sz w:val="24"/>
          <w:szCs w:val="24"/>
          <w:highlight w:val="none"/>
        </w:rPr>
        <w:t>交易所已上市或已挂牌转让的不含权固定收益品种（另有规定的除外），选取估值日第三方估值基准服务机构提供的相应品种当日的估值全价进行估值；</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bCs/>
          <w:sz w:val="24"/>
          <w:szCs w:val="24"/>
          <w:highlight w:val="none"/>
        </w:rPr>
        <w:t>（3）</w:t>
      </w:r>
      <w:r>
        <w:rPr>
          <w:rFonts w:hint="eastAsia" w:ascii="宋体" w:hAnsi="宋体" w:cs="宋体"/>
          <w:color w:val="000000"/>
          <w:sz w:val="24"/>
          <w:szCs w:val="24"/>
          <w:highlight w:val="none"/>
        </w:rPr>
        <w:t>对于已上市或已挂牌转让的含权固定收益品种（另有规定的除外），选取估值日第三方估值基准服务机构提供的相应品种当日的唯一估值全价或推荐估值全价进行估值；对于含投资者回售权的固定收益品种，行使回售权的，在回售登记日至实际收款日期间选取第三方估值基准服务机构提供的相应品种的唯一估值全价或推荐估值全价，同时充分考虑发行人的信用风险变化对公允价值的影响。回售登记期截止日（含当日）后未行使回售权的按照长待偿期所对应的价格进行估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交易所市场上市交易的公开发行的可转换债券等有活跃市场的含转股权的债券，实行全价交易的债券按估值日收盘价作为估值全价；实行净价交易的债券按估值日收盘价并加计每百元税前应计利息作为估值全价；</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（5）交易所上市不存在活跃市场的有价证券，应采用在当前情况下适用并且有足够可利用数据和其他信息支持的估值技术确定其公允价值。</w:t>
      </w:r>
      <w:r>
        <w:rPr>
          <w:rFonts w:hint="eastAsia" w:ascii="宋体" w:hAnsi="宋体" w:cs="宋体"/>
          <w:bCs/>
          <w:sz w:val="24"/>
          <w:szCs w:val="21"/>
          <w:highlight w:val="none"/>
        </w:rPr>
        <w:t>交易所市场挂牌转让的资产支持证券</w:t>
      </w:r>
      <w:r>
        <w:rPr>
          <w:rFonts w:hint="eastAsia" w:ascii="宋体" w:hAnsi="宋体" w:cs="宋体"/>
          <w:bCs/>
          <w:sz w:val="24"/>
          <w:highlight w:val="none"/>
        </w:rPr>
        <w:t>，采用估值技术确定公允价值。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（6）对于未上市或未挂牌转让且不存在活跃市场的固定收益品种，应采用在当前情况下适用并且有足够可利用数据和其他信息支持的估值技术确定其公允价值。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2、处于未上市期间的有价证券应区分如下情况处理：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（1）送股、转增股、配股和公开增发的新股，按估值日在证券交易所挂牌的同一股票的估值方法估值；该日无交易的，以最近一日的市价（收盘价）估值；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（2）首次公开发行未上市的股票，采用估值技术确定公允价值，在估值技术难以可靠计量公允价值的情况下，按成本估值。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3、对全国银行间市场上</w:t>
      </w:r>
      <w:bookmarkStart w:id="347" w:name="OLE_LINK5"/>
      <w:bookmarkStart w:id="348" w:name="OLE_LINK4"/>
      <w:r>
        <w:rPr>
          <w:rFonts w:hint="eastAsia" w:ascii="宋体" w:hAnsi="宋体" w:cs="宋体"/>
          <w:bCs/>
          <w:sz w:val="24"/>
          <w:highlight w:val="none"/>
        </w:rPr>
        <w:t>不含权的固定收益品种</w:t>
      </w:r>
      <w:bookmarkEnd w:id="347"/>
      <w:bookmarkEnd w:id="348"/>
      <w:r>
        <w:rPr>
          <w:rFonts w:hint="eastAsia" w:ascii="宋体" w:hAnsi="宋体" w:cs="宋体"/>
          <w:bCs/>
          <w:sz w:val="24"/>
          <w:highlight w:val="none"/>
        </w:rPr>
        <w:t>，按照第三方估值基准服务机构提供的相应品种当日的估值全价估值。对银行间市场上含权的固定收益品种，按照第三方估值基准服务机构提供的相应品种当日的唯一估值全价或推荐估值全价估值。对于含投资人回售权的固定收益品种，行使回售权的，在回售登记日至实际收款日期间建议选取第三方估值基准服务机构提供的相应品种的唯一估值全价或推荐估值全价，同时充分考虑发行人的信用风险变化对公允价值的影响。回售登记期截止日（含当日）后未行使回售权的按照长待偿期所对应的价格进行估值。对银行间市场未上市，且第三方估值机构未提供估值价格的债券，采用估值技术确定公允价值。</w:t>
      </w:r>
    </w:p>
    <w:p>
      <w:pPr>
        <w:spacing w:line="360" w:lineRule="auto"/>
        <w:ind w:firstLine="480" w:firstLineChars="200"/>
        <w:rPr>
          <w:rFonts w:hint="eastAsia" w:ascii="宋体" w:hAnsi="宋体" w:cs="宋体"/>
          <w:sz w:val="24"/>
          <w:szCs w:val="24"/>
          <w:highlight w:val="none"/>
        </w:rPr>
      </w:pPr>
      <w:r>
        <w:rPr>
          <w:rFonts w:hint="eastAsia" w:ascii="宋体" w:hAnsi="宋体" w:cs="宋体"/>
          <w:bCs/>
          <w:sz w:val="24"/>
          <w:highlight w:val="none"/>
        </w:rPr>
        <w:t>4、</w:t>
      </w:r>
      <w:r>
        <w:rPr>
          <w:rFonts w:hint="eastAsia" w:ascii="宋体" w:hAnsi="宋体" w:cs="宋体"/>
          <w:bCs/>
          <w:sz w:val="24"/>
          <w:szCs w:val="21"/>
          <w:highlight w:val="none"/>
        </w:rPr>
        <w:t>同一证券同时在两个或两个以上市场交易的，按证券所处的市场分别估值。</w:t>
      </w:r>
    </w:p>
    <w:p>
      <w:pPr>
        <w:spacing w:line="360" w:lineRule="auto"/>
        <w:ind w:firstLine="480" w:firstLineChars="200"/>
        <w:rPr>
          <w:rFonts w:hint="eastAsia" w:ascii="宋体" w:hAnsi="宋体" w:cs="宋体"/>
          <w:sz w:val="24"/>
          <w:szCs w:val="24"/>
          <w:highlight w:val="none"/>
        </w:rPr>
      </w:pPr>
      <w:r>
        <w:rPr>
          <w:rFonts w:hint="eastAsia" w:ascii="宋体" w:hAnsi="宋体" w:cs="宋体"/>
          <w:bCs/>
          <w:sz w:val="24"/>
          <w:highlight w:val="none"/>
        </w:rPr>
        <w:t>5、</w:t>
      </w:r>
      <w:r>
        <w:rPr>
          <w:rFonts w:hint="eastAsia" w:ascii="宋体" w:hAnsi="宋体" w:cs="宋体"/>
          <w:sz w:val="24"/>
          <w:szCs w:val="24"/>
          <w:highlight w:val="none"/>
        </w:rPr>
        <w:t>本基金持有的回购以成本列示，按合同利率在回购期间内逐日计提应收或应付利息。</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6、本基金持有的银行存款和备付金余额以本金列示，按相应利率逐日计提利息。</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7、本基金投资国债期货合约，一般以估值当日结算价进行估值，估值当日无结算价的，且最近交易日后经济环境未发生重大变化的，采用最近交易日结算价估值。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8、本基金投资同业存单，采用估值日第三方估值机构提供的估值价格数据进行估值。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9、汇率</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如本基金投资股票市场交易互联互通机制允许买卖的境外证券市场上市的股票，涉及相关货币对人民币汇率的，届时根据相关法律法规及监管机构的要求确定汇率来源，如法律法规及监管机构无相关规定，基金管理人与基金托管人协商一致后确定本基金的估值汇率来源。</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10、本基金投资存托凭证的估值核算，依照境内上市交易的股票执行。</w:t>
      </w:r>
    </w:p>
    <w:p>
      <w:pPr>
        <w:spacing w:line="360" w:lineRule="auto"/>
        <w:ind w:firstLine="480" w:firstLineChars="200"/>
        <w:rPr>
          <w:rFonts w:hint="eastAsia" w:ascii="宋体" w:hAnsi="宋体" w:cs="宋体"/>
          <w:sz w:val="24"/>
          <w:szCs w:val="24"/>
          <w:highlight w:val="none"/>
        </w:rPr>
      </w:pPr>
      <w:r>
        <w:rPr>
          <w:rFonts w:ascii="宋体" w:hAnsi="宋体" w:cs="宋体"/>
          <w:sz w:val="24"/>
          <w:szCs w:val="24"/>
          <w:highlight w:val="none"/>
        </w:rPr>
        <w:t>11</w:t>
      </w:r>
      <w:r>
        <w:rPr>
          <w:rFonts w:hint="eastAsia" w:ascii="宋体" w:hAnsi="宋体" w:cs="宋体"/>
          <w:sz w:val="24"/>
          <w:szCs w:val="24"/>
          <w:highlight w:val="none"/>
        </w:rPr>
        <w:t>、基金估值方法</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（1）交易所上市基金的估值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1）ETF基金按其估值日的收盘价估值；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2）境内上市开放式基金（LOF），按其估值日的份额净值估值；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3）境内上市定期开放式基金、封闭式基金，按其估值日的收盘价估值。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（2）非上市基金的估值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境内非货币市场基金，按其估值日的份额净值估值；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（3）如遇所投资基金不公布基金份额净值、进行折算或拆分、估值日无交易等特殊情况，基金管理人根据以下原则进行估值：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1）以所投资基金的基金份额净值估值的，若所投资基金与本基金估值频率一致但未公布估值日基金份额净值，按其最近公布的基金份额净值为基础估值；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3）若所投资基金前一估值日至估值日期间发生分红除权、折算或拆分，基金管理人应根据基金份额净值或收盘价、单位基金份额分红金额、折算拆分比例、持仓份额等因素合理确定公允价值。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（4）当基金管理人认为所投资基金按上述第（1）至第（3）项进行估值存在不公允时，应与基金托管人协商一致采用合理的估值技术或估值标准确定其公允价值。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12、如有确凿证据表明按上述方法进行估值不能客观反映其公允价值的，基金管理人可根据具体情况与基金托管人商定后，按最能反映公允价值的价格估值。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13、当发生大额申购或赎回情形时，基金管理人可以采用摆动定价机制，以确保基金估值的公平性。</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14、相关法律法规以及监管部门有强制规定的，从其规定。如有新增事项，按国家最新规定估值。</w:t>
      </w:r>
    </w:p>
    <w:p>
      <w:pPr>
        <w:spacing w:line="360" w:lineRule="auto"/>
        <w:ind w:firstLine="480" w:firstLineChars="200"/>
        <w:rPr>
          <w:rStyle w:val="32"/>
          <w:rFonts w:hint="eastAsia" w:ascii="宋体" w:hAnsi="宋体" w:cs="宋体"/>
          <w:bCs/>
          <w:sz w:val="24"/>
          <w:highlight w:val="none"/>
        </w:rPr>
      </w:pPr>
      <w:r>
        <w:rPr>
          <w:rStyle w:val="32"/>
          <w:rFonts w:hint="eastAsia" w:ascii="宋体" w:hAnsi="宋体" w:cs="宋体"/>
          <w:bCs/>
          <w:sz w:val="24"/>
          <w:highlight w:val="none"/>
        </w:rPr>
        <w:t>如基金管理人或基金托管人发现基金估值违反基金合同订明的估值方法、程序及相关法律法规的规定或者未能充分维护基金份额持有人利益时，应立即通知对方，共同查明原因，双方协商解决。</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w:t>
      </w:r>
      <w:r>
        <w:rPr>
          <w:rFonts w:hint="eastAsia" w:ascii="宋体" w:hAnsi="宋体" w:cs="宋体"/>
          <w:sz w:val="24"/>
          <w:highlight w:val="none"/>
        </w:rPr>
        <w:t>净值</w:t>
      </w:r>
      <w:r>
        <w:rPr>
          <w:rFonts w:hint="eastAsia" w:ascii="宋体" w:hAnsi="宋体" w:cs="宋体"/>
          <w:bCs/>
          <w:sz w:val="24"/>
          <w:szCs w:val="24"/>
          <w:highlight w:val="none"/>
        </w:rPr>
        <w:t>信息</w:t>
      </w:r>
      <w:r>
        <w:rPr>
          <w:rFonts w:hint="eastAsia" w:ascii="宋体" w:hAnsi="宋体" w:cs="宋体"/>
          <w:bCs/>
          <w:sz w:val="24"/>
          <w:highlight w:val="none"/>
        </w:rPr>
        <w:t>的计算结果对外予以公布。</w:t>
      </w:r>
    </w:p>
    <w:bookmarkEnd w:id="345"/>
    <w:bookmarkEnd w:id="346"/>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五、估值程序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份额净值是按照每个工作日闭市后，基金资产净值除以当日基金份额的余额数量计算，精确到0.0001元，小数点后第5位四舍五入。基金管理人可以设立大额赎回情形下的净值精度应急调整机制。国家另有规定的，从其规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szCs w:val="24"/>
          <w:highlight w:val="none"/>
        </w:rPr>
        <w:t>基金管理人</w:t>
      </w:r>
      <w:r>
        <w:rPr>
          <w:rFonts w:hint="eastAsia" w:ascii="宋体" w:hAnsi="宋体" w:cs="宋体"/>
          <w:bCs/>
          <w:sz w:val="24"/>
          <w:highlight w:val="none"/>
        </w:rPr>
        <w:t>每个工作日计算基金资产净值及各类基金份额净值，并按规定公告。</w:t>
      </w:r>
    </w:p>
    <w:p>
      <w:pPr>
        <w:numPr>
          <w:ilvl w:val="0"/>
          <w:numId w:val="3"/>
        </w:numPr>
        <w:spacing w:line="360" w:lineRule="auto"/>
        <w:ind w:firstLine="480"/>
        <w:rPr>
          <w:rFonts w:hint="eastAsia" w:ascii="宋体" w:hAnsi="宋体" w:cs="宋体"/>
          <w:bCs/>
          <w:sz w:val="24"/>
          <w:highlight w:val="none"/>
        </w:rPr>
      </w:pPr>
      <w:r>
        <w:rPr>
          <w:rFonts w:hint="eastAsia" w:ascii="宋体" w:hAnsi="宋体" w:cs="宋体"/>
          <w:bCs/>
          <w:sz w:val="24"/>
          <w:highlight w:val="none"/>
        </w:rPr>
        <w:t>基金管理人应每个工作日对基金资产估值。但基金管理人根据法律法规或本基金合同的规定暂停估值时除外。基金管理人每个工作日对基金资产估值后，将各类基金份额净值结果发送基金托管人，经基金托管人复核无误后，由基金管理人按约定对外公布。</w:t>
      </w:r>
    </w:p>
    <w:p>
      <w:pPr>
        <w:numPr>
          <w:ilvl w:val="255"/>
          <w:numId w:val="0"/>
        </w:numPr>
        <w:spacing w:line="360" w:lineRule="auto"/>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六、估值错误的处理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基金管理人和基金托管人将采取必要、适当、合理的措施确保基金资产估值的准确性、及时性。当任何一类基金份额净值小数点后4</w:t>
      </w:r>
      <w:r>
        <w:rPr>
          <w:rFonts w:hint="eastAsia" w:ascii="宋体" w:hAnsi="宋体" w:cs="宋体"/>
          <w:sz w:val="24"/>
          <w:highlight w:val="none"/>
        </w:rPr>
        <w:t>位</w:t>
      </w:r>
      <w:r>
        <w:rPr>
          <w:rFonts w:hint="eastAsia" w:ascii="宋体" w:hAnsi="宋体" w:cs="宋体"/>
          <w:bCs/>
          <w:sz w:val="24"/>
          <w:highlight w:val="none"/>
        </w:rPr>
        <w:t>以内(含第4位)发生估值错误时，视为该类基金份额净值错误。</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本基金合同的当事人应按照以下约定处理：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1、估值错误类型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本基金运作过程中，如果由于基金管理人或基金托管人、或登记机构、或</w:t>
      </w:r>
      <w:r>
        <w:rPr>
          <w:rFonts w:hint="eastAsia" w:ascii="宋体" w:hAnsi="宋体" w:cs="宋体"/>
          <w:color w:val="000000"/>
          <w:sz w:val="24"/>
          <w:szCs w:val="24"/>
          <w:highlight w:val="none"/>
        </w:rPr>
        <w:t>证券经纪机构、</w:t>
      </w:r>
      <w:r>
        <w:rPr>
          <w:rFonts w:hint="eastAsia" w:ascii="宋体" w:hAnsi="宋体" w:cs="宋体"/>
          <w:bCs/>
          <w:sz w:val="24"/>
          <w:highlight w:val="none"/>
        </w:rPr>
        <w:t>或销售机构、或投资人自身的过错造成估值错误，导致其他当事人遭受损失的，过错的责任人应当对由于该估值错误遭受损失当事人(“受损方”)的直接损失按下述“估值错误处理原则”给予赔偿，承担赔偿责任。</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上述估值错误的主要类型包括但不限于：资料申报差错、数据传输差错、数据计算差错、系统故障差错、下达指令差错等。</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2、估值错误处理原则</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（2）估值错误的责任方对有关当事人的直接损失负责，不对间接损失负责，并且仅对估值错误的有关直接当事人负责，不对第三方负责。</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（4）估值错误调整采用尽量恢复至假设未发生估值错误的正确情形的方式。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3、估值错误处理程序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估值错误被发现后，有关的当事人应当及时进行处理，处理的程序如下：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（1）查明估值错误发生的原因，列明所有的当事人，并根据估值错误发生的原因确定估值错误的责任方；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（2）根据估值错误处理原则或当事人协商的方法对因估值错误造成的损失进行评估；</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（3）根据估值错误处理原则或当事人协商的方法由估值错误的责任方进行更正和赔偿损失；</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（4）根据估值错误处理的方法，需要修改基金登记机构交易数据的，由基金登记机构进行更正，并就估值错误的更正向有关当事人进行确认。</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4、基金份额净值估值错误处理的方法如下：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（1）基金份额净值计算出现错误时，基金管理人应当立即予以纠正，通报基金托管人，并采取合理的措施防止损失进一步扩大。</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各类基金份额的基金份额净值计算错误偏差达到该类基金份额净值的0.25%时，基金管理人应当通报基金托管人并报中国证监会备案；错误偏差达到该类基金份额净值的0.5%时，基金管理人应当公告，并报中国证监会备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（3）当基金份额净值计算差错给基金和基金份额持有人造成损失需要进行赔偿时，基金管理人和基金托管人应根据实际情况界定双方承担的责任，经确认后按以下条款进行赔偿：</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pPr>
        <w:spacing w:line="360" w:lineRule="auto"/>
        <w:rPr>
          <w:rFonts w:hint="eastAsia" w:ascii="宋体" w:hAnsi="宋体" w:cs="宋体"/>
          <w:bCs/>
          <w:sz w:val="24"/>
          <w:highlight w:val="none"/>
        </w:rPr>
      </w:pPr>
      <w:r>
        <w:rPr>
          <w:rFonts w:hint="eastAsia" w:ascii="宋体" w:hAnsi="宋体" w:cs="宋体"/>
          <w:bCs/>
          <w:sz w:val="24"/>
          <w:highlight w:val="none"/>
        </w:rPr>
        <w:t>④由于基金管理人提供的信息错误（包括但不限于基金申购或赎回金额等），进而导致基金份额净值计算错误而引起的基金份额持有人和基金财产的损失，由基金管理人负责赔付。</w:t>
      </w:r>
    </w:p>
    <w:p>
      <w:pPr>
        <w:numPr>
          <w:ilvl w:val="0"/>
          <w:numId w:val="4"/>
        </w:num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前述内容如法律法规或者监管部门另有规定的，从其规定。如果行业另有通行做法，双方当事人应本着平等和保护基金份额持有人利益的原则进行协商。</w:t>
      </w:r>
    </w:p>
    <w:p>
      <w:pPr>
        <w:numPr>
          <w:ilvl w:val="255"/>
          <w:numId w:val="0"/>
        </w:numPr>
        <w:spacing w:line="360" w:lineRule="auto"/>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七、暂停估值的情形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1、基金投资所涉及的证券、期货交易市场或外汇市场遇法定节假日或因其他原因暂停营业时；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2、因不可抗力致使基金管理人、基金托管人无法准确评估基金资产价值时；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w:t>
      </w:r>
      <w:r>
        <w:rPr>
          <w:rFonts w:hint="eastAsia" w:ascii="宋体" w:hAnsi="宋体" w:cs="宋体"/>
          <w:sz w:val="24"/>
          <w:highlight w:val="none"/>
        </w:rPr>
        <w:t>当特定资产占前一估值日基金资产净值50%以上的，经与基金托管人协商确认后，基金管理人应当暂停估值；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4、法律法规、中国证监会规定和基金合同认定的其它情形。</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八、基金净值的确认</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用于基金信息披露的基金资产净值和各类基金份额净值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按约定对基金净值信息予以公布。</w:t>
      </w: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九、实施侧袋机制期间的基金资产估值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本基金实施侧袋机制的，应根据本部分的约定对主袋账户资产进行估值并披露主袋账户的基金份额净值和基金份额累计净值，暂停披露侧袋账户的基金净值信息。</w:t>
      </w:r>
    </w:p>
    <w:p>
      <w:pPr>
        <w:spacing w:line="360" w:lineRule="auto"/>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十、特殊情况的处理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1、基金管理人或基金托管人按估值方法的第12项进行估值时，所造成的误差不作为基金资产估值错误处理。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由于不可抗力，或证券交易所、期货交易所、证券经纪商或登记结算机构、期货公司及存款银行等第三方机构发送的数据错误，或国家会计政策变更、市场规则变更等非基金管理人与基金托管人原因，基金管理人和基金托管人虽然已经采取必要、适当、合理的措施进行检查，但未能发现错误或未能避免错误发生或虽发现错误但因前述原因无法及时更正的，由此造成的基金资产估值错误，基金管理人和基金托管人免除赔偿责任。但基金管理人、基金托管人应当积极采取必要的措施消除或减轻由此造成的影响。</w:t>
      </w:r>
    </w:p>
    <w:p>
      <w:pPr>
        <w:spacing w:line="360" w:lineRule="auto"/>
        <w:ind w:firstLine="480" w:firstLineChars="200"/>
        <w:rPr>
          <w:rFonts w:hint="eastAsia" w:ascii="宋体" w:hAnsi="宋体" w:cs="宋体"/>
          <w:bCs/>
          <w:sz w:val="24"/>
          <w:highlight w:val="none"/>
        </w:rPr>
      </w:pPr>
    </w:p>
    <w:p>
      <w:pPr>
        <w:pStyle w:val="2"/>
        <w:spacing w:before="0" w:after="0"/>
        <w:jc w:val="center"/>
        <w:rPr>
          <w:rFonts w:hint="eastAsia" w:hAnsi="宋体" w:cs="宋体"/>
          <w:color w:val="auto"/>
          <w:sz w:val="30"/>
          <w:highlight w:val="none"/>
        </w:rPr>
      </w:pPr>
      <w:r>
        <w:rPr>
          <w:rFonts w:hint="eastAsia" w:hAnsi="宋体" w:cs="宋体"/>
          <w:b w:val="0"/>
          <w:bCs/>
          <w:color w:val="auto"/>
          <w:sz w:val="30"/>
          <w:highlight w:val="none"/>
        </w:rPr>
        <w:br w:type="page"/>
      </w:r>
      <w:bookmarkEnd w:id="329"/>
      <w:bookmarkEnd w:id="330"/>
      <w:bookmarkStart w:id="349" w:name="_Toc3365"/>
      <w:bookmarkStart w:id="350" w:name="_Toc24601"/>
      <w:bookmarkStart w:id="351" w:name="_Toc32227"/>
      <w:bookmarkStart w:id="352" w:name="_Toc6493"/>
      <w:bookmarkStart w:id="353" w:name="_Toc12105"/>
      <w:bookmarkStart w:id="354" w:name="_Toc19706"/>
      <w:bookmarkStart w:id="355" w:name="_Toc13987"/>
      <w:bookmarkStart w:id="356" w:name="_Toc19752"/>
      <w:bookmarkStart w:id="357" w:name="_Toc15779"/>
      <w:bookmarkStart w:id="358" w:name="_Toc32041"/>
      <w:r>
        <w:rPr>
          <w:rFonts w:hint="eastAsia" w:hAnsi="宋体" w:cs="宋体"/>
          <w:color w:val="auto"/>
          <w:sz w:val="30"/>
          <w:highlight w:val="none"/>
        </w:rPr>
        <w:t>第十五部分  基金费用与税收</w:t>
      </w:r>
      <w:bookmarkEnd w:id="342"/>
      <w:bookmarkEnd w:id="343"/>
      <w:bookmarkEnd w:id="344"/>
      <w:bookmarkEnd w:id="349"/>
      <w:bookmarkEnd w:id="350"/>
      <w:bookmarkEnd w:id="351"/>
      <w:bookmarkEnd w:id="352"/>
      <w:bookmarkEnd w:id="353"/>
      <w:bookmarkEnd w:id="354"/>
      <w:bookmarkEnd w:id="355"/>
      <w:bookmarkEnd w:id="356"/>
      <w:bookmarkEnd w:id="357"/>
      <w:bookmarkEnd w:id="358"/>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359" w:name="OLE_LINK73"/>
      <w:r>
        <w:rPr>
          <w:rFonts w:hint="eastAsia" w:ascii="宋体" w:hAnsi="宋体" w:cs="宋体"/>
          <w:b/>
          <w:sz w:val="24"/>
          <w:highlight w:val="none"/>
        </w:rPr>
        <w:t>一、基金费用的种类</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1、基金管理人的管理费；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2、基金托管人的托管费；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3、C类基金份额的销售服务费；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4、除法律法规、中国证监会另有规定外，《基金合同》生效后与基金相关的信息披露费用；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5、《基金合同》生效后与基金相关的会计师费、律师费、审计费、公证费、诉讼费和仲裁费；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6、基金份额持有人大会费用；</w:t>
      </w:r>
    </w:p>
    <w:p>
      <w:pPr>
        <w:spacing w:line="360" w:lineRule="auto"/>
        <w:ind w:firstLine="480" w:firstLineChars="200"/>
        <w:rPr>
          <w:rFonts w:hint="eastAsia" w:ascii="宋体" w:hAnsi="宋体" w:cs="宋体"/>
          <w:bCs/>
          <w:sz w:val="24"/>
          <w:highlight w:val="none"/>
        </w:rPr>
      </w:pPr>
      <w:r>
        <w:rPr>
          <w:rFonts w:hint="eastAsia" w:ascii="宋体" w:hAnsi="宋体" w:cs="宋体"/>
          <w:sz w:val="24"/>
          <w:highlight w:val="none"/>
        </w:rPr>
        <w:t>7</w:t>
      </w:r>
      <w:r>
        <w:rPr>
          <w:rFonts w:hint="eastAsia" w:ascii="宋体" w:hAnsi="宋体" w:cs="宋体"/>
          <w:bCs/>
          <w:sz w:val="24"/>
          <w:highlight w:val="none"/>
        </w:rPr>
        <w:t>、基金相关账户的开户及维护费用；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8、基金的证券、期货交易费用；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9、基金的银行汇划费用；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10、基金投资港股通标的股票的合理费用；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11、基金投资其他基金而产生的费用，但法律法规禁止从基金财产中列支或基金合同另有约定的除外；</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w:t>
      </w:r>
      <w:r>
        <w:rPr>
          <w:rFonts w:ascii="宋体" w:hAnsi="宋体" w:cs="宋体"/>
          <w:bCs/>
          <w:sz w:val="24"/>
          <w:highlight w:val="none"/>
        </w:rPr>
        <w:t>2</w:t>
      </w:r>
      <w:r>
        <w:rPr>
          <w:rFonts w:hint="eastAsia" w:ascii="宋体" w:hAnsi="宋体" w:cs="宋体"/>
          <w:bCs/>
          <w:sz w:val="24"/>
          <w:highlight w:val="none"/>
        </w:rPr>
        <w:t>、按照国家有关规定和《基金合同》约定，可以在基金财产中列支的其他费用。</w:t>
      </w:r>
    </w:p>
    <w:p>
      <w:pPr>
        <w:numPr>
          <w:ilvl w:val="255"/>
          <w:numId w:val="0"/>
        </w:numPr>
        <w:spacing w:line="360" w:lineRule="auto"/>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二、基金费用计提方法、计提标准和支付方式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1、基金管理人的管理费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本基金的管理费按前一日基金资产净值扣除基金财产中本基金管理人自身管理的基金部分所对应资产净值后剩余部分（若为负数，则取0）的0.60%年费率计提。管理费的计算方法如下：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H＝E×0.60%÷当年天数</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H为每日应计提的基金管理费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E为前一日的基金资产净值扣除基金财产中本基金管理人自身管理的基金部分所对应资产净值后剩余部分（若为负数，则取0）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基金管理费每日计提，逐日累计至每月月末，按月支付，经基金管理人与基金托管人双方核对无误后，基金托管人</w:t>
      </w:r>
      <w:r>
        <w:rPr>
          <w:rFonts w:hint="eastAsia" w:ascii="宋体" w:hAnsi="宋体" w:cs="宋体"/>
          <w:bCs/>
          <w:sz w:val="24"/>
          <w:szCs w:val="24"/>
          <w:highlight w:val="none"/>
        </w:rPr>
        <w:t>按照</w:t>
      </w:r>
      <w:r>
        <w:rPr>
          <w:rFonts w:hint="eastAsia" w:ascii="宋体" w:hAnsi="宋体" w:cs="宋体"/>
          <w:sz w:val="24"/>
          <w:szCs w:val="24"/>
          <w:highlight w:val="none"/>
        </w:rPr>
        <w:t>与基金管理人协商一致的方式</w:t>
      </w:r>
      <w:r>
        <w:rPr>
          <w:rFonts w:hint="eastAsia" w:ascii="宋体" w:hAnsi="宋体" w:cs="宋体"/>
          <w:bCs/>
          <w:sz w:val="24"/>
          <w:highlight w:val="none"/>
        </w:rPr>
        <w:t>于次月首日起5个工作日内从基金财产中一次性支付给基金管理人。若遇法定节假日、公休假或不可抗力等，支付日期顺延。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2、基金托管人的托管费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本基金的托管费按前一日基金资产净值扣除基金财产中本基金托管人自身托管的基金部分所对应资产净值后剩余部分（若为负数，则取0）的0.10%的年费率计提。托管费的计算方法如下：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H＝E×0.10%÷当年天数</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H为每日应计提的基金托管费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E为前一日的基金资产净值扣除基金财产中本基金托管人自身托管的基金部分所对应资产净值后剩余部分（若为负数，则取0）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基金托管费每日计提，逐日累计至每月月末，按月支付，经基金管理人与基金托管人双方核对无误后，基金托管人</w:t>
      </w:r>
      <w:r>
        <w:rPr>
          <w:rFonts w:hint="eastAsia" w:ascii="宋体" w:hAnsi="宋体" w:cs="宋体"/>
          <w:bCs/>
          <w:sz w:val="24"/>
          <w:szCs w:val="24"/>
          <w:highlight w:val="none"/>
        </w:rPr>
        <w:t>按照</w:t>
      </w:r>
      <w:r>
        <w:rPr>
          <w:rFonts w:hint="eastAsia" w:ascii="宋体" w:hAnsi="宋体" w:cs="宋体"/>
          <w:sz w:val="24"/>
          <w:szCs w:val="24"/>
          <w:highlight w:val="none"/>
        </w:rPr>
        <w:t>与基金管理人协商一致的方式</w:t>
      </w:r>
      <w:r>
        <w:rPr>
          <w:rFonts w:hint="eastAsia" w:ascii="宋体" w:hAnsi="宋体" w:cs="宋体"/>
          <w:bCs/>
          <w:sz w:val="24"/>
          <w:highlight w:val="none"/>
        </w:rPr>
        <w:t>于次月首日起5个工作日内从基金财产中一次性支取。若遇法定节假日、公休假或不可抗力等，支付日期顺延。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3、基金销售服务费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A类基金份额不收取销售服务费，C类基金份额的销售服务费年费率为0.20%。本基金销售服务费将专门用于本基金的销售与基金份额持有人服务，基金管理人将在基金年度报告中对该项费用的列支情况作专项说明。销售服务费计提的计算公式如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H=E×0.20%÷当年天数</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H为C类基金份额每日应计提的销售服务费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E为C类基金份额前一日的基金资产净值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C类基金份额的基金销售服务费每日计提。</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（1）基金管理人销售服务费的返还机制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通过基金管理人认购、申购C类基金份额的不收取销售服务费。对于通过基金管理人认购、申购该类基金份额的情况，将先行计提相应的销售服务费，待投资者赎回基金份额或基金合同终止时，该费用将随同赎回款（或清算款）一并返还给投资者。</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基金销售子公司销售母公司所管理基金的，按照本条要求执行。</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若遇法定节假日、公休假或不可抗力等，支付日期顺延。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（2）代销机构的销售服务费的收取与返还机制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对于投资者持续持有期限未超过一年（即365天，下同）的基金份额收取的销售服务费，逐日累计至每月月末，按月支付，经基金管理人与基金托管人双方核对无误后，基金托管人按照与基金管理人协商一致的方式于次月首日起5个工作日内从基金财产中一次性支付给登记机构，由登记机构代付给销售机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对于基金份额持有人持续持有期限超过一年的C类基金份额，不再继续收取销售服务费。对于持续持有期限超过一年的基金份额继续计提的销售服务费，在投资者赎回基金份额或基金合同终止时，该费用随赎回款（或清算款）一并返还给投资者。</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若遇法定节假日、公休假或不可抗力等，支付日期顺延。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上述“一、基金费用的种类”中第4-11项费用，根据有关法规及相应协议规定，按费用实际支出金额列入当期费用，由基金托管人从基金财产中支付。</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三、不列入基金费用的项目</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下列费用不列入基金费用：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1、基金管理人和基金托管人因未履行或未完全履行义务导致的费用支出或基金财产的损失；</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2、基金管理人和基金托管人处理与基金运作无关的事项发生的费用；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3、《基金合同》生效前的相关费用；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4、其他根据相关法律法规及中国证监会的有关规定不得列入基金费用的项目。</w:t>
      </w:r>
      <w:bookmarkStart w:id="360" w:name="_Hlt88827255"/>
      <w:bookmarkEnd w:id="360"/>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四、基金综合费用水平</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本基金综合费用水平在招募说明书及产品资料概要中列示。</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五、实施侧袋机制期间的基金费用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本基金实施侧袋机制的，与侧袋账户有关的费用可以从侧袋账户中列支，但应待侧袋账户资产变现后方可列支，有关费用可酌情收取或减免，但不得收取管理费，详见招募说明书的规定</w:t>
      </w:r>
      <w:r>
        <w:rPr>
          <w:rFonts w:hint="eastAsia" w:ascii="宋体" w:hAnsi="宋体" w:cs="宋体"/>
          <w:color w:val="000000"/>
          <w:sz w:val="24"/>
          <w:szCs w:val="24"/>
          <w:highlight w:val="none"/>
        </w:rPr>
        <w:t>或相关公告</w:t>
      </w:r>
      <w:r>
        <w:rPr>
          <w:rFonts w:hint="eastAsia" w:ascii="宋体" w:hAnsi="宋体" w:cs="宋体"/>
          <w:sz w:val="24"/>
          <w:highlight w:val="none"/>
        </w:rPr>
        <w:t>。</w:t>
      </w:r>
    </w:p>
    <w:p>
      <w:pPr>
        <w:spacing w:line="360" w:lineRule="auto"/>
        <w:ind w:firstLine="480" w:firstLineChars="200"/>
        <w:rPr>
          <w:rFonts w:hint="eastAsia" w:ascii="宋体" w:hAnsi="宋体" w:cs="宋体"/>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六、基金税收</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本基金运作过程中涉及的各纳税主体，其纳税义务按国家税收法律、法规执行。基金财产投资的相关税收，由基金份额持有人承担，基金管理人或者其他扣缴义务人按照国家有关税收征收的规定代扣代缴。</w:t>
      </w:r>
    </w:p>
    <w:p>
      <w:pPr>
        <w:spacing w:line="360" w:lineRule="auto"/>
        <w:ind w:firstLine="480" w:firstLineChars="200"/>
        <w:rPr>
          <w:rFonts w:hint="eastAsia" w:ascii="宋体" w:hAnsi="宋体" w:cs="宋体"/>
          <w:bCs/>
          <w:sz w:val="24"/>
          <w:highlight w:val="none"/>
        </w:rPr>
      </w:pPr>
    </w:p>
    <w:p>
      <w:pPr>
        <w:pStyle w:val="2"/>
        <w:spacing w:before="0" w:after="0"/>
        <w:jc w:val="center"/>
        <w:rPr>
          <w:rFonts w:hint="eastAsia" w:hAnsi="宋体" w:cs="宋体"/>
          <w:color w:val="auto"/>
          <w:sz w:val="30"/>
          <w:highlight w:val="none"/>
        </w:rPr>
      </w:pPr>
      <w:bookmarkStart w:id="361" w:name="_Toc93226149"/>
      <w:bookmarkStart w:id="362" w:name="_Toc92662707"/>
      <w:bookmarkStart w:id="363" w:name="_Toc141703896"/>
      <w:bookmarkStart w:id="364" w:name="_Toc128310499"/>
      <w:bookmarkStart w:id="365" w:name="_Toc22552"/>
      <w:bookmarkStart w:id="366" w:name="_Toc139991746"/>
      <w:r>
        <w:rPr>
          <w:rFonts w:hint="eastAsia" w:hAnsi="宋体" w:cs="宋体"/>
          <w:b w:val="0"/>
          <w:bCs/>
          <w:color w:val="auto"/>
          <w:sz w:val="30"/>
          <w:highlight w:val="none"/>
        </w:rPr>
        <w:br w:type="page"/>
      </w:r>
      <w:bookmarkEnd w:id="359"/>
      <w:bookmarkStart w:id="367" w:name="_Toc19558"/>
      <w:bookmarkStart w:id="368" w:name="_Toc25883"/>
      <w:bookmarkStart w:id="369" w:name="_Toc178"/>
      <w:bookmarkStart w:id="370" w:name="_Toc15525"/>
      <w:bookmarkStart w:id="371" w:name="_Toc21829"/>
      <w:bookmarkStart w:id="372" w:name="_Toc20052"/>
      <w:bookmarkStart w:id="373" w:name="_Toc15351"/>
      <w:bookmarkStart w:id="374" w:name="_Toc1617"/>
      <w:bookmarkStart w:id="375" w:name="_Toc12761"/>
      <w:bookmarkStart w:id="376" w:name="_Toc3656"/>
      <w:r>
        <w:rPr>
          <w:rFonts w:hint="eastAsia" w:hAnsi="宋体" w:cs="宋体"/>
          <w:color w:val="auto"/>
          <w:sz w:val="30"/>
          <w:highlight w:val="none"/>
        </w:rPr>
        <w:t>第十六部分  基金</w:t>
      </w:r>
      <w:bookmarkEnd w:id="361"/>
      <w:bookmarkEnd w:id="362"/>
      <w:r>
        <w:rPr>
          <w:rFonts w:hint="eastAsia" w:hAnsi="宋体" w:cs="宋体"/>
          <w:color w:val="auto"/>
          <w:sz w:val="30"/>
          <w:highlight w:val="none"/>
        </w:rPr>
        <w:t>的收益与分配</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pPr>
        <w:rPr>
          <w:rFonts w:hint="eastAsia" w:ascii="宋体" w:hAnsi="宋体" w:cs="宋体"/>
          <w:bCs/>
          <w:highlight w:val="none"/>
        </w:rPr>
      </w:pPr>
    </w:p>
    <w:p>
      <w:pPr>
        <w:spacing w:line="360" w:lineRule="auto"/>
        <w:ind w:firstLine="542" w:firstLineChars="225"/>
        <w:rPr>
          <w:rFonts w:hint="eastAsia" w:ascii="宋体" w:hAnsi="宋体" w:cs="宋体"/>
          <w:b/>
          <w:sz w:val="24"/>
          <w:highlight w:val="none"/>
        </w:rPr>
      </w:pPr>
      <w:bookmarkStart w:id="377" w:name="OLE_LINK74"/>
      <w:r>
        <w:rPr>
          <w:rFonts w:hint="eastAsia" w:ascii="宋体" w:hAnsi="宋体" w:cs="宋体"/>
          <w:b/>
          <w:sz w:val="24"/>
          <w:highlight w:val="none"/>
        </w:rPr>
        <w:t>一、基金利润的构成</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基金利润指基金利息收入、投资收益、公允价值变动收益和其他收入扣除相关费用后的余额，基金已实现收益指基金利润减去公允价值变动收益后的余额。</w:t>
      </w:r>
    </w:p>
    <w:p>
      <w:pPr>
        <w:spacing w:line="360" w:lineRule="auto"/>
        <w:ind w:firstLine="540" w:firstLineChars="225"/>
        <w:rPr>
          <w:rFonts w:hint="eastAsia" w:ascii="宋体" w:hAnsi="宋体" w:cs="宋体"/>
          <w:bCs/>
          <w:sz w:val="24"/>
          <w:highlight w:val="none"/>
        </w:rPr>
      </w:pPr>
    </w:p>
    <w:p>
      <w:pPr>
        <w:spacing w:line="360" w:lineRule="auto"/>
        <w:ind w:firstLine="542" w:firstLineChars="225"/>
        <w:rPr>
          <w:rFonts w:hint="eastAsia" w:ascii="宋体" w:hAnsi="宋体" w:cs="宋体"/>
          <w:b/>
          <w:sz w:val="24"/>
          <w:highlight w:val="none"/>
        </w:rPr>
      </w:pPr>
      <w:r>
        <w:rPr>
          <w:rFonts w:hint="eastAsia" w:ascii="宋体" w:hAnsi="宋体" w:cs="宋体"/>
          <w:b/>
          <w:sz w:val="24"/>
          <w:highlight w:val="none"/>
        </w:rPr>
        <w:t>二、基金可供分配利润</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基金可供分配利润指截至收益分配基准日基金未分配利润与未分配利润中已实现收益的孰低数。</w:t>
      </w:r>
    </w:p>
    <w:p>
      <w:pPr>
        <w:spacing w:line="360" w:lineRule="auto"/>
        <w:ind w:firstLine="540" w:firstLineChars="225"/>
        <w:rPr>
          <w:rFonts w:hint="eastAsia" w:ascii="宋体" w:hAnsi="宋体" w:cs="宋体"/>
          <w:bCs/>
          <w:sz w:val="24"/>
          <w:highlight w:val="none"/>
        </w:rPr>
      </w:pPr>
    </w:p>
    <w:p>
      <w:pPr>
        <w:spacing w:line="360" w:lineRule="auto"/>
        <w:ind w:firstLine="542" w:firstLineChars="225"/>
        <w:rPr>
          <w:rFonts w:hint="eastAsia" w:ascii="宋体" w:hAnsi="宋体" w:cs="宋体"/>
          <w:b/>
          <w:sz w:val="24"/>
          <w:highlight w:val="none"/>
        </w:rPr>
      </w:pPr>
      <w:r>
        <w:rPr>
          <w:rFonts w:hint="eastAsia" w:ascii="宋体" w:hAnsi="宋体" w:cs="宋体"/>
          <w:b/>
          <w:sz w:val="24"/>
          <w:highlight w:val="none"/>
        </w:rPr>
        <w:t>三、基金收益分配原则</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1、在符合有关基金分红条件的前提下，</w:t>
      </w:r>
      <w:r>
        <w:rPr>
          <w:rFonts w:hint="eastAsia" w:ascii="宋体" w:hAnsi="宋体" w:cs="宋体"/>
          <w:sz w:val="24"/>
          <w:highlight w:val="none"/>
        </w:rPr>
        <w:t>本基金</w:t>
      </w:r>
      <w:r>
        <w:rPr>
          <w:rFonts w:hint="eastAsia" w:ascii="宋体" w:hAnsi="宋体" w:cs="宋体"/>
          <w:bCs/>
          <w:sz w:val="24"/>
          <w:highlight w:val="none"/>
        </w:rPr>
        <w:t>管理人可以根据实际情况进行</w:t>
      </w:r>
      <w:r>
        <w:rPr>
          <w:rFonts w:hint="eastAsia" w:ascii="宋体" w:hAnsi="宋体" w:cs="宋体"/>
          <w:sz w:val="24"/>
          <w:highlight w:val="none"/>
        </w:rPr>
        <w:t>收益分配</w:t>
      </w:r>
      <w:r>
        <w:rPr>
          <w:rFonts w:hint="eastAsia" w:ascii="宋体" w:hAnsi="宋体" w:cs="宋体"/>
          <w:bCs/>
          <w:sz w:val="24"/>
          <w:highlight w:val="none"/>
        </w:rPr>
        <w:t>，具体</w:t>
      </w:r>
      <w:r>
        <w:rPr>
          <w:rFonts w:hint="eastAsia" w:ascii="宋体" w:hAnsi="宋体" w:cs="宋体"/>
          <w:sz w:val="24"/>
          <w:highlight w:val="none"/>
        </w:rPr>
        <w:t>分配</w:t>
      </w:r>
      <w:r>
        <w:rPr>
          <w:rFonts w:hint="eastAsia" w:ascii="宋体" w:hAnsi="宋体" w:cs="宋体"/>
          <w:bCs/>
          <w:sz w:val="24"/>
          <w:highlight w:val="none"/>
        </w:rPr>
        <w:t>方案以公告为准，若《基金合同》生效不满3个月可不进行收益分配；</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2、本基金收益分配方式分两种：现金分红与红利再投资，投资者可选择现金红利或将现金红利自动转为相应类别的基金份额进行再投资；若投资者不选择，本基金默认的收益分配方式是现金分红；</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3、基金收益分配后各类基金份额净值不能低于面值；即基金收益分配基准日的各类基金份额净值减去每单位基金份额收益分配金额后不能低于面值；</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4、由于各类基金份额类别的收费方式不同，各基金份额类别对应的可分配收益将有所不同。本基金同一基金份额类别的每一基金份额享有同等分配权；</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5、法律法规或监管机关另有规定的，从其规定。</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在不违反法律法规规定、基金合同约定以及对现有基金份额持有人利益无实质不利影响的前提下，基金管理人在履行适当程序后可对基金收益分配原则进行调整，但应于变更实施日前在规定媒介公告。</w:t>
      </w:r>
    </w:p>
    <w:p>
      <w:pPr>
        <w:spacing w:line="360" w:lineRule="auto"/>
        <w:ind w:firstLine="540" w:firstLineChars="225"/>
        <w:rPr>
          <w:rFonts w:hint="eastAsia" w:ascii="宋体" w:hAnsi="宋体" w:cs="宋体"/>
          <w:bCs/>
          <w:sz w:val="24"/>
          <w:highlight w:val="none"/>
        </w:rPr>
      </w:pPr>
    </w:p>
    <w:p>
      <w:pPr>
        <w:spacing w:line="360" w:lineRule="auto"/>
        <w:ind w:firstLine="542" w:firstLineChars="225"/>
        <w:rPr>
          <w:rFonts w:hint="eastAsia" w:ascii="宋体" w:hAnsi="宋体" w:cs="宋体"/>
          <w:b/>
          <w:sz w:val="24"/>
          <w:highlight w:val="none"/>
        </w:rPr>
      </w:pPr>
      <w:r>
        <w:rPr>
          <w:rFonts w:hint="eastAsia" w:ascii="宋体" w:hAnsi="宋体" w:cs="宋体"/>
          <w:b/>
          <w:sz w:val="24"/>
          <w:highlight w:val="none"/>
        </w:rPr>
        <w:t>四、收益分配方案</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基金收益分配方案中应载明截止收益分配基准日的可供分配利润、基金收益分配对象、分配时间、分配数额及比例、分配方式等内容。</w:t>
      </w:r>
    </w:p>
    <w:p>
      <w:pPr>
        <w:spacing w:line="360" w:lineRule="auto"/>
        <w:ind w:firstLine="540" w:firstLineChars="225"/>
        <w:rPr>
          <w:rFonts w:hint="eastAsia" w:ascii="宋体" w:hAnsi="宋体" w:cs="宋体"/>
          <w:bCs/>
          <w:sz w:val="24"/>
          <w:highlight w:val="none"/>
        </w:rPr>
      </w:pPr>
    </w:p>
    <w:p>
      <w:pPr>
        <w:spacing w:line="360" w:lineRule="auto"/>
        <w:ind w:firstLine="542" w:firstLineChars="225"/>
        <w:rPr>
          <w:rFonts w:hint="eastAsia" w:ascii="宋体" w:hAnsi="宋体" w:cs="宋体"/>
          <w:b/>
          <w:sz w:val="24"/>
          <w:highlight w:val="none"/>
        </w:rPr>
      </w:pPr>
      <w:r>
        <w:rPr>
          <w:rFonts w:hint="eastAsia" w:ascii="宋体" w:hAnsi="宋体" w:cs="宋体"/>
          <w:b/>
          <w:sz w:val="24"/>
          <w:highlight w:val="none"/>
        </w:rPr>
        <w:t>五、收益分配方案的确定、公告与实施</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本基金收益分配方案由基金管理人拟定，并由基金托管人复核，依照《信息披露办法》的有关规定在规定媒介公告。</w:t>
      </w:r>
    </w:p>
    <w:p>
      <w:pPr>
        <w:spacing w:line="360" w:lineRule="auto"/>
        <w:ind w:firstLine="540" w:firstLineChars="225"/>
        <w:rPr>
          <w:rFonts w:hint="eastAsia" w:ascii="宋体" w:hAnsi="宋体" w:cs="宋体"/>
          <w:bCs/>
          <w:sz w:val="24"/>
          <w:highlight w:val="none"/>
        </w:rPr>
      </w:pPr>
    </w:p>
    <w:p>
      <w:pPr>
        <w:spacing w:line="360" w:lineRule="auto"/>
        <w:ind w:firstLine="542" w:firstLineChars="225"/>
        <w:rPr>
          <w:rFonts w:hint="eastAsia" w:ascii="宋体" w:hAnsi="宋体" w:cs="宋体"/>
          <w:b/>
          <w:sz w:val="24"/>
          <w:highlight w:val="none"/>
        </w:rPr>
      </w:pPr>
      <w:r>
        <w:rPr>
          <w:rFonts w:hint="eastAsia" w:ascii="宋体" w:hAnsi="宋体" w:cs="宋体"/>
          <w:b/>
          <w:sz w:val="24"/>
          <w:highlight w:val="none"/>
        </w:rPr>
        <w:t>六、基金收益分配中发生的费用</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pPr>
        <w:spacing w:line="360" w:lineRule="auto"/>
        <w:ind w:firstLine="540" w:firstLineChars="225"/>
        <w:rPr>
          <w:rFonts w:hint="eastAsia" w:ascii="宋体" w:hAnsi="宋体" w:cs="宋体"/>
          <w:bCs/>
          <w:sz w:val="24"/>
          <w:highlight w:val="none"/>
        </w:rPr>
      </w:pPr>
    </w:p>
    <w:p>
      <w:pPr>
        <w:spacing w:line="360" w:lineRule="auto"/>
        <w:ind w:firstLine="542" w:firstLineChars="225"/>
        <w:rPr>
          <w:rFonts w:hint="eastAsia" w:ascii="宋体" w:hAnsi="宋体" w:cs="宋体"/>
          <w:b/>
          <w:bCs/>
          <w:sz w:val="24"/>
          <w:highlight w:val="none"/>
        </w:rPr>
      </w:pPr>
      <w:r>
        <w:rPr>
          <w:rFonts w:hint="eastAsia" w:ascii="宋体" w:hAnsi="宋体" w:cs="宋体"/>
          <w:b/>
          <w:bCs/>
          <w:sz w:val="24"/>
          <w:highlight w:val="none"/>
        </w:rPr>
        <w:t>七、实施侧袋机制期间的收益分配</w:t>
      </w:r>
    </w:p>
    <w:p>
      <w:pPr>
        <w:spacing w:line="360" w:lineRule="auto"/>
        <w:ind w:firstLine="540" w:firstLineChars="225"/>
        <w:rPr>
          <w:rFonts w:hint="eastAsia" w:ascii="宋体" w:hAnsi="宋体" w:cs="宋体"/>
          <w:sz w:val="24"/>
          <w:highlight w:val="none"/>
        </w:rPr>
      </w:pPr>
      <w:r>
        <w:rPr>
          <w:rFonts w:hint="eastAsia" w:ascii="宋体" w:hAnsi="宋体" w:cs="宋体"/>
          <w:sz w:val="24"/>
          <w:highlight w:val="none"/>
        </w:rPr>
        <w:t>本基金实施侧袋机制的，侧袋账户不进行收益分配，详见招募说明书的规定。</w:t>
      </w:r>
    </w:p>
    <w:p>
      <w:pPr>
        <w:spacing w:line="360" w:lineRule="auto"/>
        <w:ind w:firstLine="540" w:firstLineChars="225"/>
        <w:rPr>
          <w:rFonts w:hint="eastAsia" w:ascii="宋体" w:hAnsi="宋体" w:cs="宋体"/>
          <w:bCs/>
          <w:sz w:val="24"/>
          <w:highlight w:val="none"/>
        </w:rPr>
      </w:pPr>
    </w:p>
    <w:p>
      <w:pPr>
        <w:pStyle w:val="2"/>
        <w:spacing w:before="0" w:after="0"/>
        <w:jc w:val="center"/>
        <w:rPr>
          <w:rFonts w:hint="eastAsia" w:hAnsi="宋体" w:cs="宋体"/>
          <w:color w:val="auto"/>
          <w:sz w:val="30"/>
          <w:highlight w:val="none"/>
        </w:rPr>
      </w:pPr>
      <w:r>
        <w:rPr>
          <w:rFonts w:hint="eastAsia" w:hAnsi="宋体" w:cs="宋体"/>
          <w:b w:val="0"/>
          <w:bCs/>
          <w:color w:val="auto"/>
          <w:kern w:val="44"/>
          <w:sz w:val="21"/>
          <w:highlight w:val="none"/>
        </w:rPr>
        <w:br w:type="page"/>
      </w:r>
      <w:bookmarkEnd w:id="377"/>
      <w:bookmarkStart w:id="378" w:name="_Toc92662708"/>
      <w:bookmarkStart w:id="379" w:name="_Toc93226150"/>
      <w:bookmarkStart w:id="380" w:name="_Toc13255"/>
      <w:bookmarkStart w:id="381" w:name="_Toc128310500"/>
      <w:bookmarkStart w:id="382" w:name="_Toc21206"/>
      <w:bookmarkStart w:id="383" w:name="_Toc141703897"/>
      <w:bookmarkStart w:id="384" w:name="_Toc17499"/>
      <w:bookmarkStart w:id="385" w:name="_Toc18747"/>
      <w:bookmarkStart w:id="386" w:name="_Toc139991747"/>
      <w:bookmarkStart w:id="387" w:name="_Toc31736"/>
      <w:bookmarkStart w:id="388" w:name="_Toc29695"/>
      <w:bookmarkStart w:id="389" w:name="_Toc18007"/>
      <w:bookmarkStart w:id="390" w:name="_Toc23859"/>
      <w:bookmarkStart w:id="391" w:name="_Toc1043"/>
      <w:bookmarkStart w:id="392" w:name="_Toc10894"/>
      <w:bookmarkStart w:id="393" w:name="_Toc28961"/>
      <w:r>
        <w:rPr>
          <w:rFonts w:hint="eastAsia" w:hAnsi="宋体" w:cs="宋体"/>
          <w:color w:val="auto"/>
          <w:sz w:val="30"/>
          <w:highlight w:val="none"/>
        </w:rPr>
        <w:t>第十七部分  基金</w:t>
      </w:r>
      <w:bookmarkEnd w:id="378"/>
      <w:bookmarkEnd w:id="379"/>
      <w:r>
        <w:rPr>
          <w:rFonts w:hint="eastAsia" w:hAnsi="宋体" w:cs="宋体"/>
          <w:color w:val="auto"/>
          <w:sz w:val="30"/>
          <w:highlight w:val="none"/>
        </w:rPr>
        <w:t>的会计与审计</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394" w:name="OLE_LINK77"/>
      <w:bookmarkStart w:id="395" w:name="OLE_LINK78"/>
      <w:bookmarkStart w:id="396" w:name="OLE_LINK75"/>
      <w:bookmarkStart w:id="397" w:name="OLE_LINK76"/>
      <w:r>
        <w:rPr>
          <w:rFonts w:hint="eastAsia" w:ascii="宋体" w:hAnsi="宋体" w:cs="宋体"/>
          <w:b/>
          <w:sz w:val="24"/>
          <w:highlight w:val="none"/>
        </w:rPr>
        <w:t>一、基金会计政策</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1、基金管理人为本基金的基金会计责任方；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2、基金的会计年度为公历年度的1月1日至12月31日；基金首次募集的会计年度按如下原则：如果《基金合同》生效少于2个月，可以并入下一个会计年度披露；</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3、基金核算以人民币为记账本位币，以人民币元为记账单位；</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4、会计制度执行国家有关会计制度；</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5、本基金独立建账、独立核算；</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6、基金管理人及基金托管人各自保留完整的会计账目、凭证并进行日常的会计核算，按照有关规定编制基金会计报表；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7、基金托管人每月与基金管理人就基金的会计核算、报表编制等进行核对确认。</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二、基金的年度审计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1、基金管理人聘请与基金管理人、基金托管人相互独立的符合《中华人民共和国证券法》规定的会计师事务所及其注册会计师对本基金的年度财务报表进行审计。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2、会计师事务所更换经办注册会计师，应事先征得基金管理人同意。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w:t>
      </w:r>
      <w:bookmarkStart w:id="398" w:name="_Hlt4221115"/>
      <w:bookmarkEnd w:id="398"/>
      <w:r>
        <w:rPr>
          <w:rFonts w:hint="eastAsia" w:ascii="宋体" w:hAnsi="宋体" w:cs="宋体"/>
          <w:bCs/>
          <w:sz w:val="24"/>
          <w:highlight w:val="none"/>
        </w:rPr>
        <w:t>基金管理人认为有充足理由更换会计师事务所，须通报基金托管人。更换会计师事务所需在2日内在规定媒介公告。</w:t>
      </w:r>
    </w:p>
    <w:bookmarkEnd w:id="394"/>
    <w:bookmarkEnd w:id="395"/>
    <w:p>
      <w:pPr>
        <w:pStyle w:val="2"/>
        <w:spacing w:before="0" w:after="0"/>
        <w:jc w:val="center"/>
        <w:rPr>
          <w:rFonts w:hint="eastAsia" w:hAnsi="宋体" w:cs="宋体"/>
          <w:color w:val="auto"/>
          <w:sz w:val="30"/>
          <w:highlight w:val="none"/>
        </w:rPr>
      </w:pPr>
      <w:r>
        <w:rPr>
          <w:rFonts w:hint="eastAsia" w:hAnsi="宋体" w:cs="宋体"/>
          <w:b w:val="0"/>
          <w:bCs/>
          <w:color w:val="auto"/>
          <w:highlight w:val="none"/>
        </w:rPr>
        <w:br w:type="page"/>
      </w:r>
      <w:bookmarkEnd w:id="396"/>
      <w:bookmarkEnd w:id="397"/>
      <w:bookmarkStart w:id="399" w:name="_Toc93226151"/>
      <w:bookmarkStart w:id="400" w:name="_Toc92662709"/>
      <w:bookmarkStart w:id="401" w:name="_Toc1173"/>
      <w:bookmarkStart w:id="402" w:name="_Toc193"/>
      <w:bookmarkStart w:id="403" w:name="_Toc12028"/>
      <w:bookmarkStart w:id="404" w:name="_Toc3056"/>
      <w:bookmarkStart w:id="405" w:name="_Toc139991748"/>
      <w:bookmarkStart w:id="406" w:name="_Toc8512"/>
      <w:bookmarkStart w:id="407" w:name="_Toc11802"/>
      <w:bookmarkStart w:id="408" w:name="_Toc29289"/>
      <w:bookmarkStart w:id="409" w:name="_Toc1421"/>
      <w:bookmarkStart w:id="410" w:name="_Toc11049"/>
      <w:bookmarkStart w:id="411" w:name="_Toc128310501"/>
      <w:bookmarkStart w:id="412" w:name="_Toc141703898"/>
      <w:bookmarkStart w:id="413" w:name="_Toc21351"/>
      <w:bookmarkStart w:id="414" w:name="_Toc31866"/>
      <w:r>
        <w:rPr>
          <w:rFonts w:hint="eastAsia" w:hAnsi="宋体" w:cs="宋体"/>
          <w:color w:val="auto"/>
          <w:sz w:val="30"/>
          <w:highlight w:val="none"/>
        </w:rPr>
        <w:t>第十八部分  基金</w:t>
      </w:r>
      <w:bookmarkEnd w:id="399"/>
      <w:bookmarkEnd w:id="400"/>
      <w:r>
        <w:rPr>
          <w:rFonts w:hint="eastAsia" w:hAnsi="宋体" w:cs="宋体"/>
          <w:color w:val="auto"/>
          <w:sz w:val="30"/>
          <w:highlight w:val="none"/>
        </w:rPr>
        <w:t>的信息披露</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415" w:name="OLE_LINK80"/>
      <w:bookmarkStart w:id="416" w:name="OLE_LINK79"/>
      <w:r>
        <w:rPr>
          <w:rFonts w:hint="eastAsia" w:ascii="宋体" w:hAnsi="宋体" w:cs="宋体"/>
          <w:b/>
          <w:sz w:val="24"/>
          <w:highlight w:val="none"/>
        </w:rPr>
        <w:t>一、本基金的信息披露应符合《基金法》、《运作办法》、《信息披露办法》、《流动性风险管理规定》、《基金合同》及其他有关规定。</w:t>
      </w:r>
      <w:r>
        <w:rPr>
          <w:rFonts w:hint="eastAsia" w:ascii="宋体" w:hAnsi="宋体" w:cs="宋体"/>
          <w:b/>
          <w:bCs/>
          <w:sz w:val="24"/>
          <w:highlight w:val="none"/>
        </w:rPr>
        <w:t>相关法律法规关于信息披露的规定发生变化时，本基金从其最新规定。</w:t>
      </w:r>
    </w:p>
    <w:p>
      <w:pPr>
        <w:numPr>
          <w:ilvl w:val="255"/>
          <w:numId w:val="0"/>
        </w:numPr>
        <w:spacing w:line="360" w:lineRule="auto"/>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二、信息披露义务人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本基金信息披露义务人包括基金管理人、基金托管人、召集基金份额持有人大会的基金份额持有人等法律法规和中国证监会规定的自然人、法人和非法人组织。</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本基金信息披露义务人</w:t>
      </w:r>
      <w:r>
        <w:rPr>
          <w:rFonts w:hint="eastAsia" w:ascii="宋体" w:hAnsi="宋体" w:cs="宋体"/>
          <w:sz w:val="24"/>
          <w:highlight w:val="none"/>
        </w:rPr>
        <w:t>以保护基金份额持有人利益为根本出发点，</w:t>
      </w:r>
      <w:r>
        <w:rPr>
          <w:rFonts w:hint="eastAsia" w:ascii="宋体" w:hAnsi="宋体" w:cs="宋体"/>
          <w:bCs/>
          <w:sz w:val="24"/>
          <w:highlight w:val="none"/>
        </w:rPr>
        <w:t>按照法律法规和中国证监会的规定披露基金信息，并保证所披露信息的真实性、准确性、完整性、及时性、简明性和易得性。</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本基金信息披露义务人应当在中国证监会规定时间内，将应予披露的基金信息通过符合中国证监会规定条件的</w:t>
      </w:r>
      <w:r>
        <w:rPr>
          <w:rFonts w:hint="eastAsia" w:ascii="宋体" w:hAnsi="宋体" w:cs="宋体"/>
          <w:sz w:val="24"/>
          <w:highlight w:val="none"/>
        </w:rPr>
        <w:t>全国性报刊（以下简称“规定报刊”）及《信息披露办法》规定的互联网网站（以下简称“规定网站”）</w:t>
      </w:r>
      <w:r>
        <w:rPr>
          <w:rFonts w:hint="eastAsia" w:ascii="宋体" w:hAnsi="宋体" w:cs="宋体"/>
          <w:bCs/>
          <w:sz w:val="24"/>
          <w:highlight w:val="none"/>
        </w:rPr>
        <w:t>等媒介披露，并保证基金投资者能够按照《基金合同》约定的时间和方式查阅或者复制公开披露的信息资料。规定网站包括基金管理人网站、基金托管人网站、中国证监会基金电子披露网站。规定网站应当无偿向投资者提供基金信息披露服务。</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三、本基金信息披露义务人承诺公开披露的基金信息，不得有下列行为：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1、虚假记载、误导性陈述或者重大遗漏；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2、对证券投资业绩进行预测；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3、违规承诺收益或者承担损失；</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4、诋毁其他基金管理人、基金托管人或者基金销售机构；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5、登载任何自然人、法人和非法人组织的祝贺性、恭维性或推荐性的文字；</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6、中国证监会禁止的其他行为。</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四、本基金公开披露的信息应采用中文文本。如同时采用外文文本的，基金信息披露义务人应保证不同文本的内容一致。不同文本之间发生歧义的，以中文文本为准。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本基金公开披露的信息采用阿拉伯数字；除特别说明外，货币单位为人民币元。</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五、公开披露的基金信息</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公开披露的基金信息包括：</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（一）基金招募说明书、《基金合同》、基金托管协议、</w:t>
      </w:r>
      <w:r>
        <w:rPr>
          <w:rFonts w:hint="eastAsia" w:ascii="宋体" w:hAnsi="宋体" w:cs="宋体"/>
          <w:sz w:val="24"/>
          <w:highlight w:val="none"/>
        </w:rPr>
        <w:t>基金产品资料概要</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1、《基金合同》是界定《基金合同》当事人的各项权利、义务关系，明确基金份额持有人大会召开的规则及具体程序，说明基金产品的特性等涉及基金投资者重大利益的事项的法律文件。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ascii="宋体" w:hAnsi="宋体" w:cs="宋体"/>
          <w:sz w:val="24"/>
          <w:highlight w:val="none"/>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3、基金托管协议是界定基金托管人和基金管理人在基金财产保管及基金运作监督等活动中的权利、义务关系的法律文件。</w:t>
      </w:r>
    </w:p>
    <w:p>
      <w:pPr>
        <w:spacing w:line="360" w:lineRule="auto"/>
        <w:ind w:firstLine="480" w:firstLineChars="200"/>
        <w:rPr>
          <w:rFonts w:hint="eastAsia" w:ascii="宋体" w:hAnsi="宋体" w:cs="宋体"/>
          <w:sz w:val="24"/>
          <w:highlight w:val="none"/>
        </w:rPr>
      </w:pPr>
      <w:r>
        <w:rPr>
          <w:rFonts w:hint="eastAsia" w:ascii="宋体" w:hAnsi="宋体" w:cs="宋体"/>
          <w:bCs/>
          <w:sz w:val="24"/>
          <w:highlight w:val="none"/>
        </w:rPr>
        <w:t>4、</w:t>
      </w:r>
      <w:r>
        <w:rPr>
          <w:rFonts w:hint="eastAsia" w:ascii="宋体" w:hAnsi="宋体" w:cs="宋体"/>
          <w:sz w:val="24"/>
          <w:highlight w:val="none"/>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pPr>
        <w:spacing w:line="360" w:lineRule="auto"/>
        <w:ind w:firstLine="480" w:firstLineChars="200"/>
        <w:rPr>
          <w:rFonts w:hint="eastAsia" w:ascii="宋体" w:hAnsi="宋体" w:cs="宋体"/>
          <w:sz w:val="24"/>
          <w:highlight w:val="none"/>
        </w:rPr>
      </w:pPr>
      <w:r>
        <w:rPr>
          <w:rFonts w:hint="eastAsia" w:ascii="宋体" w:hAnsi="宋体" w:cs="宋体"/>
          <w:bCs/>
          <w:sz w:val="24"/>
          <w:highlight w:val="none"/>
        </w:rPr>
        <w:t>基金募集申请经中国证监会注册后，基金管理人在基金份额发售的3日前，将</w:t>
      </w:r>
      <w:r>
        <w:rPr>
          <w:rFonts w:hint="eastAsia" w:ascii="宋体" w:hAnsi="宋体" w:cs="宋体"/>
          <w:bCs/>
          <w:sz w:val="24"/>
          <w:szCs w:val="24"/>
          <w:highlight w:val="none"/>
        </w:rPr>
        <w:t>基金份额发售公告、</w:t>
      </w:r>
      <w:r>
        <w:rPr>
          <w:rFonts w:hint="eastAsia" w:ascii="宋体" w:hAnsi="宋体" w:cs="宋体"/>
          <w:bCs/>
          <w:sz w:val="24"/>
          <w:highlight w:val="none"/>
        </w:rPr>
        <w:t>基金招募说明书提示性公告和《基金合同》提示性公告登载在</w:t>
      </w:r>
      <w:r>
        <w:rPr>
          <w:rFonts w:hint="eastAsia" w:ascii="宋体" w:hAnsi="宋体" w:cs="宋体"/>
          <w:sz w:val="24"/>
          <w:highlight w:val="none"/>
        </w:rPr>
        <w:t>规定</w:t>
      </w:r>
      <w:r>
        <w:rPr>
          <w:rFonts w:hint="eastAsia" w:ascii="宋体" w:hAnsi="宋体" w:cs="宋体"/>
          <w:bCs/>
          <w:sz w:val="24"/>
          <w:highlight w:val="none"/>
        </w:rPr>
        <w:t>报刊上，</w:t>
      </w:r>
      <w:r>
        <w:rPr>
          <w:rFonts w:hint="eastAsia" w:ascii="宋体" w:hAnsi="宋体" w:cs="宋体"/>
          <w:bCs/>
          <w:sz w:val="24"/>
          <w:szCs w:val="24"/>
          <w:highlight w:val="none"/>
        </w:rPr>
        <w:t>将基金份额发售公告、基金招募说明书、基金产品资料概要、《基金合同》和基金托管协议登载在规定网站上，并将基金产品资料概要登载在基金销售机构网站或营业网点上</w:t>
      </w:r>
      <w:r>
        <w:rPr>
          <w:rFonts w:hint="eastAsia" w:ascii="宋体" w:hAnsi="宋体" w:cs="宋体"/>
          <w:bCs/>
          <w:sz w:val="24"/>
          <w:highlight w:val="none"/>
        </w:rPr>
        <w:t>；基金托管人应当</w:t>
      </w:r>
      <w:r>
        <w:rPr>
          <w:rFonts w:hint="eastAsia" w:ascii="宋体" w:hAnsi="宋体" w:cs="宋体"/>
          <w:bCs/>
          <w:sz w:val="24"/>
          <w:szCs w:val="24"/>
          <w:highlight w:val="none"/>
        </w:rPr>
        <w:t>同时</w:t>
      </w:r>
      <w:r>
        <w:rPr>
          <w:rFonts w:hint="eastAsia" w:ascii="宋体" w:hAnsi="宋体" w:cs="宋体"/>
          <w:bCs/>
          <w:sz w:val="24"/>
          <w:highlight w:val="none"/>
        </w:rPr>
        <w:t>将《基金合同》、基金托管协议登载在规定网站上。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（二）基金份额发售公告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基金管理人应当就基金份额发售的具体事宜编制基金份额发售公告。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（三）《基金合同》生效公告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基金管理人应当在收到中国证监会确认文件的次日在</w:t>
      </w:r>
      <w:r>
        <w:rPr>
          <w:rFonts w:hint="eastAsia" w:ascii="宋体" w:hAnsi="宋体" w:cs="宋体"/>
          <w:sz w:val="24"/>
          <w:highlight w:val="none"/>
        </w:rPr>
        <w:t>规定</w:t>
      </w:r>
      <w:r>
        <w:rPr>
          <w:rFonts w:hint="eastAsia" w:ascii="宋体" w:hAnsi="宋体" w:cs="宋体"/>
          <w:bCs/>
          <w:sz w:val="24"/>
          <w:highlight w:val="none"/>
        </w:rPr>
        <w:t>媒介上登载《基金合同》生效公告。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基金合同生效公告中将说明基金募集情况及基金管理人、基金管理人高级管理人员、基金经理等人员以及基金管理人股东持有的基金份额、承诺持有的期限等情况。</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（四）基金净值信息</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《基金合同》生效后，在开始办理基金份额申购或者赎回前，基金管理人应当至少每周在规定网站披露一次各类基金份额净值和各类基金份额累计净值。</w:t>
      </w:r>
    </w:p>
    <w:p>
      <w:pPr>
        <w:spacing w:line="360" w:lineRule="auto"/>
        <w:ind w:firstLine="480" w:firstLineChars="200"/>
        <w:rPr>
          <w:rFonts w:hint="eastAsia" w:ascii="宋体" w:hAnsi="宋体" w:cs="宋体"/>
          <w:bCs/>
          <w:sz w:val="24"/>
          <w:highlight w:val="none"/>
        </w:rPr>
      </w:pPr>
      <w:r>
        <w:rPr>
          <w:rFonts w:hint="eastAsia" w:ascii="宋体" w:hAnsi="宋体" w:cs="宋体"/>
          <w:sz w:val="24"/>
          <w:highlight w:val="none"/>
        </w:rPr>
        <w:t>在开始办理基金份额申购或者赎回后，基金管理人应在不晚于每个开放日的次日，通过其规定网站、基金销售机构网站或者营业网点披露开放日的各类基金份额净值和各类基金份额累计净值。</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基金管理人应当在不晚于半年度和年度最后一日的次日，在规定网站披露半年度和年度最后一日的各类基金份额净值和各类基金份额累计净值。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（五）基金份额申购、赎回价格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基金管理人应当在《基金合同》、招募说明书等信息披露文件上载明基金份额申购、赎回价格的计算方式及有关申购、赎回费率，并保证投资者能够在基金销售机构网站或营业网点查阅或者复制前述信息资料。</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（六）基金定期报告，包括基金年度报告、基金中期报告和基金季度报告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基金管理人应当在每年结束之日起三个月内，编制完成基金年度报告，并将年度报告登载于规定网站上，将年度报告提示性公告登载在规定报刊上。基金年度报告的财务会计报告应当经过</w:t>
      </w:r>
      <w:r>
        <w:rPr>
          <w:rFonts w:hint="eastAsia" w:ascii="宋体" w:hAnsi="宋体" w:cs="宋体"/>
          <w:sz w:val="24"/>
          <w:highlight w:val="none"/>
        </w:rPr>
        <w:t>符合《中华人民共和国证券法》规定</w:t>
      </w:r>
      <w:r>
        <w:rPr>
          <w:rFonts w:hint="eastAsia" w:ascii="宋体" w:hAnsi="宋体" w:cs="宋体"/>
          <w:bCs/>
          <w:sz w:val="24"/>
          <w:highlight w:val="none"/>
        </w:rPr>
        <w:t>的会计师事务所审计。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基金管理人应当在上半年结束之日起两个月内，编制完成基金中期报告，并将中期报告登载在规定网站上，将中期报告提示性公告登载在规定报刊上。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基金管理人应当在每个季度结束之日起15个工作日内，编制完成基金季度报告，并将季度报告登载在规定网站上，将季度报告提示性公告登载在规定报刊上。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《基金合同》生效不足2个月的，基金管理人可以不编制当期季度报告、中期报告或者年度报告。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本基金持续运作过程中，基金管理人应当在基金年度报告和中期报告中披露基金组合资产情况及其流动性风险分析等。</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运作期间，如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基金管理人应在年度报告、中期报告、季度报告中分别披露基金管理人、基金管理人高级管理人员、基金经理等人员以及基金管理人股东持有基金的份额、期限及期间的变动情况。</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基金管理人应当在基金中期报告和年度报告中披露从基金财产中计提的管理费、托管费、销售服务费的金额，以及支付给基金销售机构的客户维护费总额、基金管理人实际收取的管理费净额。</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（七）临时报告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本基金发生重大事件，有关信息披露义务人应当在2日内编制临时报告书，并登载在规定报刊和规定网站上。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前款所称重大事件，是指可能对基金份额持有人权益或者基金份额的价格产生重大影响的下列事件：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1、基金份额持有人大会的召开及决定的事项；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2、终止《基金合同》、基金清算；</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3、转换基金运作方式、基金合并；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4、更换基金管理人、基金托管人、基金份额登记机构、基金改聘会计师事务所；</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5、基金管理人委托基金服务机构代为办理基金的份额登记、核算、估值等事项，基金托管人委托基金服务机构代为办理基金的核算、估值、复核等事项；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6、基金管理人、基金托管人的法定名称、住所发生变更；</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7、基金管理人变更持有百分之五以上股权的股东、变更基金管理人的实际控制人；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8、基金募集期延长或提前结束募集；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9、基金管理人高级管理人员、基金经理和基金托管人专门基金托管部门负责人发生变动；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10、基金管理人的董事在最近12个月内变更超过百分之五十；基金管理人、基金托管人专门基金托管部门的主要业务人员在最近12个月内变动超过百分之三十；</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11、涉及基金管理业务、基金财产、基金托管业务的诉讼或仲裁；</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12、</w:t>
      </w:r>
      <w:r>
        <w:rPr>
          <w:rFonts w:hint="eastAsia" w:ascii="宋体" w:hAnsi="宋体" w:cs="宋体"/>
          <w:sz w:val="24"/>
          <w:highlight w:val="none"/>
        </w:rPr>
        <w:t>基金管理人或其高级管理人员、基金经理因基金管理业务相关行为受到重大行政处罚、刑事处罚，基金托管人或其专门基金托管部门负责人因基金托管业务相关行为受到重大行政处罚、刑事处罚</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w:t>
      </w:r>
      <w:r>
        <w:rPr>
          <w:rFonts w:hint="eastAsia" w:ascii="宋体" w:hAnsi="宋体" w:cs="宋体"/>
          <w:sz w:val="24"/>
          <w:highlight w:val="none"/>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14、基金收益分配事项；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15、管理费、托管费、销售服务费、申购费、赎回费等费用计提标准、计提方式和费率发生变更；</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16、任何一类基金份额净值计价错误达该类基金份额净值百分之零点五；</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17、本基金开始办理申购、赎回；</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18、本基金发生巨额赎回并延期办理；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19、本基金连续发生巨额赎回并暂停接受赎回申请或延缓支付赎回款项；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20、本基金暂停接受申购、赎回申请或重新接受申购、赎回申请；</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21、本基金发生涉及基金申购、赎回事项调整或潜在影响投资者赎回等重大事项时；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22、基金管理人采用摆动定价机制进行估值；</w:t>
      </w:r>
    </w:p>
    <w:p>
      <w:pPr>
        <w:spacing w:line="360" w:lineRule="auto"/>
        <w:ind w:firstLine="480" w:firstLineChars="200"/>
        <w:rPr>
          <w:rFonts w:hint="eastAsia" w:ascii="宋体" w:hAnsi="宋体" w:cs="宋体"/>
          <w:sz w:val="24"/>
          <w:highlight w:val="none"/>
        </w:rPr>
      </w:pPr>
      <w:r>
        <w:rPr>
          <w:rFonts w:hint="eastAsia" w:ascii="宋体" w:hAnsi="宋体" w:cs="宋体"/>
          <w:bCs/>
          <w:sz w:val="24"/>
          <w:highlight w:val="none"/>
        </w:rPr>
        <w:t>23、</w:t>
      </w:r>
      <w:r>
        <w:rPr>
          <w:rFonts w:hint="eastAsia" w:ascii="宋体" w:hAnsi="宋体" w:cs="宋体"/>
          <w:sz w:val="24"/>
          <w:highlight w:val="none"/>
        </w:rPr>
        <w:t>调整基金份额类别设置；</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24、</w:t>
      </w:r>
      <w:r>
        <w:rPr>
          <w:rFonts w:hint="eastAsia" w:ascii="宋体" w:hAnsi="宋体" w:cs="宋体"/>
          <w:bCs/>
          <w:sz w:val="24"/>
          <w:highlight w:val="none"/>
        </w:rPr>
        <w:t>《基金合同》生效满三年后的存续期内，连续30个、40个、45个工作日出现基金份额持有人数量不满 200人或者基金资产净值低于5000万情形时</w:t>
      </w:r>
      <w:r>
        <w:rPr>
          <w:rFonts w:hint="eastAsia" w:ascii="宋体" w:hAnsi="宋体" w:cs="宋体"/>
          <w:sz w:val="24"/>
          <w:highlight w:val="none"/>
        </w:rPr>
        <w:t>；</w:t>
      </w:r>
    </w:p>
    <w:p>
      <w:pPr>
        <w:spacing w:line="360" w:lineRule="auto"/>
        <w:ind w:firstLine="480" w:firstLineChars="200"/>
        <w:rPr>
          <w:rFonts w:hint="eastAsia" w:ascii="宋体" w:hAnsi="宋体" w:cs="宋体"/>
          <w:sz w:val="24"/>
          <w:highlight w:val="none"/>
        </w:rPr>
      </w:pPr>
      <w:bookmarkStart w:id="417" w:name="_Hlk32686969"/>
      <w:r>
        <w:rPr>
          <w:rFonts w:hint="eastAsia" w:ascii="宋体" w:hAnsi="宋体" w:cs="宋体"/>
          <w:bCs/>
          <w:sz w:val="24"/>
          <w:highlight w:val="none"/>
        </w:rPr>
        <w:t>25、本基金推出新业务或服务；</w:t>
      </w:r>
      <w:bookmarkEnd w:id="417"/>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26、基金信息披露义务人认为可能对基金份额持有人权益或者基金份额的价格产生重大影响的其他事项或中国证监会规定或基金合同约定的其他事项。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（八）澄清公告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基金合同》存续期限内，任何公共媒介中出现的或者在市场上流传的消息可能对基金份额价格产生误导性影响或者引起较大波动的，以及可能损害基金份额持有人权益的，相关信息披露义务人知悉后应当立即对该消息进行公开澄清。</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（九）基金份额持有人大会决议</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基金份额持有人大会决定的事项，应当依法报中国证监会备案，并予以公告。</w:t>
      </w:r>
    </w:p>
    <w:p>
      <w:pPr>
        <w:autoSpaceDE w:val="0"/>
        <w:autoSpaceDN w:val="0"/>
        <w:adjustRightInd w:val="0"/>
        <w:spacing w:line="360" w:lineRule="auto"/>
        <w:ind w:firstLine="420"/>
        <w:jc w:val="left"/>
        <w:rPr>
          <w:rFonts w:hint="eastAsia" w:ascii="宋体" w:hAnsi="宋体" w:cs="宋体"/>
          <w:bCs/>
          <w:sz w:val="24"/>
          <w:highlight w:val="none"/>
        </w:rPr>
      </w:pPr>
      <w:r>
        <w:rPr>
          <w:rFonts w:hint="eastAsia" w:ascii="宋体" w:hAnsi="宋体" w:cs="宋体"/>
          <w:bCs/>
          <w:sz w:val="24"/>
          <w:highlight w:val="none"/>
        </w:rPr>
        <w:t>（十）基金管理人应当在季度报告、中期报告、年度报告等定期报告和招募说明书（更新）等文件中披露国债期货交易情况，包括投资政策、持仓情况、损益情况、风险指标等，并充分揭示国债期货交易对本基金总体风险的影响以及是否符合既定的投资政策和投资目标。</w:t>
      </w:r>
    </w:p>
    <w:p>
      <w:pPr>
        <w:autoSpaceDE w:val="0"/>
        <w:autoSpaceDN w:val="0"/>
        <w:adjustRightInd w:val="0"/>
        <w:spacing w:line="360" w:lineRule="auto"/>
        <w:ind w:firstLine="420"/>
        <w:jc w:val="left"/>
        <w:rPr>
          <w:rFonts w:hint="eastAsia" w:ascii="宋体" w:hAnsi="宋体" w:cs="宋体"/>
          <w:bCs/>
          <w:sz w:val="24"/>
          <w:highlight w:val="none"/>
        </w:rPr>
      </w:pPr>
      <w:r>
        <w:rPr>
          <w:rFonts w:hint="eastAsia" w:ascii="宋体" w:hAnsi="宋体" w:cs="宋体"/>
          <w:bCs/>
          <w:sz w:val="24"/>
          <w:highlight w:val="none"/>
        </w:rPr>
        <w:t>（十一）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pPr>
        <w:autoSpaceDE w:val="0"/>
        <w:autoSpaceDN w:val="0"/>
        <w:adjustRightInd w:val="0"/>
        <w:spacing w:line="360" w:lineRule="auto"/>
        <w:ind w:firstLine="420"/>
        <w:jc w:val="left"/>
        <w:rPr>
          <w:rFonts w:hint="eastAsia" w:ascii="宋体" w:hAnsi="宋体" w:cs="宋体"/>
          <w:bCs/>
          <w:sz w:val="24"/>
          <w:highlight w:val="none"/>
        </w:rPr>
      </w:pPr>
      <w:r>
        <w:rPr>
          <w:rFonts w:hint="eastAsia" w:ascii="宋体" w:hAnsi="宋体" w:cs="宋体"/>
          <w:bCs/>
          <w:sz w:val="24"/>
          <w:highlight w:val="none"/>
        </w:rPr>
        <w:t>（十二）基金应当在季度报告、中期报告、年度报告等定期报告和招募说明书（更新）等文件中披露本基金参与港股通交易的相关情况。</w:t>
      </w:r>
    </w:p>
    <w:p>
      <w:pPr>
        <w:spacing w:line="360" w:lineRule="auto"/>
        <w:ind w:firstLine="480" w:firstLineChars="200"/>
        <w:rPr>
          <w:rFonts w:hint="eastAsia" w:ascii="宋体" w:hAnsi="宋体" w:cs="宋体"/>
          <w:bCs/>
          <w:kern w:val="0"/>
          <w:sz w:val="24"/>
          <w:highlight w:val="none"/>
        </w:rPr>
      </w:pPr>
      <w:r>
        <w:rPr>
          <w:rFonts w:hint="eastAsia" w:ascii="宋体" w:hAnsi="宋体" w:cs="宋体"/>
          <w:kern w:val="0"/>
          <w:sz w:val="24"/>
          <w:highlight w:val="none"/>
        </w:rPr>
        <w:t>（十三）</w:t>
      </w:r>
      <w:bookmarkStart w:id="418" w:name="_Hlk33100930"/>
      <w:r>
        <w:rPr>
          <w:rFonts w:hint="eastAsia" w:ascii="宋体" w:hAnsi="宋体" w:cs="宋体"/>
          <w:bCs/>
          <w:kern w:val="0"/>
          <w:sz w:val="24"/>
          <w:highlight w:val="none"/>
        </w:rPr>
        <w:t>投资流通受限证券信息披露</w:t>
      </w:r>
      <w:bookmarkEnd w:id="418"/>
    </w:p>
    <w:p>
      <w:pPr>
        <w:spacing w:line="360" w:lineRule="auto"/>
        <w:ind w:firstLine="480" w:firstLineChars="200"/>
        <w:jc w:val="left"/>
        <w:rPr>
          <w:rFonts w:hint="eastAsia" w:ascii="宋体" w:hAnsi="宋体" w:cs="宋体"/>
          <w:bCs/>
          <w:sz w:val="24"/>
          <w:highlight w:val="none"/>
        </w:rPr>
      </w:pPr>
      <w:bookmarkStart w:id="419" w:name="_Hlk33101136"/>
      <w:r>
        <w:rPr>
          <w:rFonts w:hint="eastAsia" w:ascii="宋体" w:hAnsi="宋体" w:cs="宋体"/>
          <w:bCs/>
          <w:kern w:val="0"/>
          <w:sz w:val="24"/>
          <w:highlight w:val="none"/>
        </w:rPr>
        <w:t>基金管理公司应在投资非公开发行股票后两个交易日内，在中国证监会规定媒介披露所投资非公开发行股票的名称、数量、总成本、账面价值以及总成本和账面价值占基金资产净值的比例、锁定期等信息。</w:t>
      </w:r>
      <w:bookmarkEnd w:id="419"/>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（十四）实施侧袋机制期间的信息披露</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本基金实施侧袋机制的，相关信息披露义务人应当根据法律法规、基金合同和招募说明书的规定进行信息披露，详见招募说明书的规定。</w:t>
      </w:r>
    </w:p>
    <w:p>
      <w:pPr>
        <w:spacing w:line="360" w:lineRule="auto"/>
        <w:ind w:firstLine="480" w:firstLineChars="200"/>
        <w:rPr>
          <w:rFonts w:hint="eastAsia" w:ascii="宋体" w:hAnsi="宋体" w:cs="宋体"/>
          <w:bCs/>
          <w:kern w:val="0"/>
          <w:sz w:val="24"/>
          <w:highlight w:val="none"/>
        </w:rPr>
      </w:pPr>
      <w:r>
        <w:rPr>
          <w:rFonts w:hint="eastAsia" w:ascii="宋体" w:hAnsi="宋体" w:cs="宋体"/>
          <w:bCs/>
          <w:kern w:val="0"/>
          <w:sz w:val="24"/>
          <w:highlight w:val="none"/>
        </w:rPr>
        <w:t>（十五）</w:t>
      </w:r>
      <w:bookmarkStart w:id="420" w:name="_Hlk33100945"/>
      <w:r>
        <w:rPr>
          <w:rFonts w:hint="eastAsia" w:ascii="宋体" w:hAnsi="宋体" w:cs="宋体"/>
          <w:bCs/>
          <w:kern w:val="0"/>
          <w:sz w:val="24"/>
          <w:highlight w:val="none"/>
        </w:rPr>
        <w:t>清算报告</w:t>
      </w:r>
      <w:bookmarkEnd w:id="420"/>
    </w:p>
    <w:p>
      <w:pPr>
        <w:spacing w:line="360" w:lineRule="auto"/>
        <w:ind w:firstLine="480" w:firstLineChars="200"/>
        <w:rPr>
          <w:rFonts w:hint="eastAsia" w:ascii="宋体" w:hAnsi="宋体" w:cs="宋体"/>
          <w:sz w:val="24"/>
          <w:highlight w:val="none"/>
        </w:rPr>
      </w:pPr>
      <w:r>
        <w:rPr>
          <w:rFonts w:hint="eastAsia" w:ascii="宋体" w:hAnsi="宋体" w:cs="宋体"/>
          <w:bCs/>
          <w:kern w:val="0"/>
          <w:sz w:val="24"/>
          <w:highlight w:val="none"/>
        </w:rPr>
        <w:t>基金合同终止的，基金管理人应当依法组织清算组对基金财产进行清算并作出清算报告。清算报告应当经过</w:t>
      </w:r>
      <w:r>
        <w:rPr>
          <w:rFonts w:hint="eastAsia" w:ascii="宋体" w:hAnsi="宋体" w:cs="宋体"/>
          <w:sz w:val="24"/>
          <w:highlight w:val="none"/>
        </w:rPr>
        <w:t>符合《中华人民共和国证券法》规定的</w:t>
      </w:r>
      <w:r>
        <w:rPr>
          <w:rFonts w:hint="eastAsia" w:ascii="宋体" w:hAnsi="宋体" w:cs="宋体"/>
          <w:bCs/>
          <w:kern w:val="0"/>
          <w:sz w:val="24"/>
          <w:highlight w:val="none"/>
        </w:rPr>
        <w:t>会计师事务所审计，并由律师事务所出具法律意见书。清算组应当将清算报告登载在规定网站上，并将清算报告提示性公告登载在规定报刊上。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（十六）投资基金份额的信息披露</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投资基金份额的，基金管理人应在季度报告、中期报告、年度报告等定期报告和招募说明书（更新）等文件中披露所持基金的以下相关情况，包括（1）投资政策、持仓情况、损益情况、净值披露时间等。（2）交易及持有基金产生的费用，包括申购费、赎回费、销售服务费、管理费、托管费等，招募说明书中应当列明计算方法并举例说明。（3）本基金持有的基金发生的重大影响事件，如转换运作方式、与其他基金合并、终止基金合同以及召开基金份额持有人大会等。（4）本基金投资于基金管理人以及基金管理人关联方所管理基金的情况。</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（十</w:t>
      </w:r>
      <w:r>
        <w:rPr>
          <w:rFonts w:ascii="宋体" w:hAnsi="宋体" w:cs="宋体"/>
          <w:bCs/>
          <w:sz w:val="24"/>
          <w:highlight w:val="none"/>
        </w:rPr>
        <w:t>七</w:t>
      </w:r>
      <w:r>
        <w:rPr>
          <w:rFonts w:hint="eastAsia" w:ascii="宋体" w:hAnsi="宋体" w:cs="宋体"/>
          <w:bCs/>
          <w:sz w:val="24"/>
          <w:highlight w:val="none"/>
        </w:rPr>
        <w:t>）中国证监会规定的其他信息。</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六、信息披露事务管理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基金管理人、基金托管人应当建立健全信息披露管理制度，指定专门部门及高级管理人员负责管理信息披露事务。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基金信息披露义务人公开披露基金信息，应当符合中国证监会相关基金信息披露内容与格式准则等法规的规定。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基金管理人、基金托管人应当在规定报刊中选择一家披露本基金信息。基金管理人、基金托管人应当向中国证监会基金电子披露网站报送拟披露的基金信息，并保证相关报送信息的真实、准确、完整、及时。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为强化投资者保护，提升信息披露服务质量，基金管理人应当自中国证监会规定之日起，按照中国证监会规定向投资者及时提供对其投资决策有重大影响的信息。</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基金管理人、基金托管人除依法在规定媒介上披露信息外，还可以根据需要在其他公共媒介披露信息，但是其他公共媒介不得早于规定媒介披露信息，并且在不同媒介上披露同一信息的内容应当一致。</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为基金信息披露义务人公开披露的基金信息出具审计报告、法律意见书的专业机构，应当制作工作底稿，并将相关档案至少保存到《基金合同》终止后十年。</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自律规则的相关规定。按照《信息披露办法》自主披露如产生信息披露费用，该费用不得从基金财产中列支。</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bCs/>
          <w:sz w:val="24"/>
          <w:highlight w:val="none"/>
        </w:rPr>
      </w:pPr>
      <w:r>
        <w:rPr>
          <w:rFonts w:hint="eastAsia" w:ascii="宋体" w:hAnsi="宋体" w:cs="宋体"/>
          <w:b/>
          <w:sz w:val="24"/>
          <w:highlight w:val="none"/>
        </w:rPr>
        <w:t>七、</w:t>
      </w:r>
      <w:r>
        <w:rPr>
          <w:rFonts w:hint="eastAsia" w:ascii="宋体" w:hAnsi="宋体" w:cs="宋体"/>
          <w:b/>
          <w:bCs/>
          <w:sz w:val="24"/>
          <w:highlight w:val="none"/>
        </w:rPr>
        <w:t>暂停或延迟披露基本信息的情形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当出现下述情况时，基金管理人和基金托管人可暂停或延迟披露基金相关信息：</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1、不可抗力；</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2、基金投资所涉及的证券、期货交易市场或外汇市场遇法定节假日或因其他原因暂停营业时；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w:t>
      </w:r>
      <w:bookmarkStart w:id="421" w:name="_Hlk33101219"/>
      <w:r>
        <w:rPr>
          <w:rFonts w:hint="eastAsia" w:ascii="宋体" w:hAnsi="宋体" w:cs="宋体"/>
          <w:bCs/>
          <w:sz w:val="24"/>
          <w:highlight w:val="none"/>
        </w:rPr>
        <w:t>基金合同约定的暂停估值的情形</w:t>
      </w:r>
      <w:bookmarkEnd w:id="421"/>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4、法律法规、基金合同或中国证监会规定的情况。</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八、信息披露文件的存放与查阅</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依法必须披露的信息发布后，基金管理人、基金托管人应当按照相关法律法规规定将信息置备于公司住所，供社会公众查阅、复制。</w:t>
      </w:r>
    </w:p>
    <w:p>
      <w:pPr>
        <w:pStyle w:val="2"/>
        <w:spacing w:before="0" w:after="0"/>
        <w:jc w:val="center"/>
        <w:rPr>
          <w:rFonts w:hint="eastAsia" w:hAnsi="宋体" w:cs="宋体"/>
          <w:color w:val="auto"/>
          <w:sz w:val="30"/>
          <w:highlight w:val="none"/>
        </w:rPr>
      </w:pPr>
      <w:r>
        <w:rPr>
          <w:rFonts w:hint="eastAsia" w:hAnsi="宋体" w:cs="宋体"/>
          <w:b w:val="0"/>
          <w:bCs/>
          <w:color w:val="auto"/>
          <w:kern w:val="44"/>
          <w:sz w:val="21"/>
          <w:highlight w:val="none"/>
        </w:rPr>
        <w:br w:type="page"/>
      </w:r>
      <w:bookmarkEnd w:id="415"/>
      <w:bookmarkEnd w:id="416"/>
      <w:bookmarkStart w:id="422" w:name="_Toc8059"/>
      <w:bookmarkStart w:id="423" w:name="_Toc7170"/>
      <w:bookmarkStart w:id="424" w:name="_Toc123102466"/>
      <w:bookmarkStart w:id="425" w:name="_Toc123112247"/>
      <w:bookmarkStart w:id="426" w:name="_Toc27464"/>
      <w:bookmarkStart w:id="427" w:name="_Toc29891"/>
      <w:bookmarkStart w:id="428" w:name="_Toc141703899"/>
      <w:bookmarkStart w:id="429" w:name="_Toc123051465"/>
      <w:bookmarkStart w:id="430" w:name="_Toc6237"/>
      <w:bookmarkStart w:id="431" w:name="_Toc9005"/>
      <w:bookmarkStart w:id="432" w:name="_Toc8049"/>
      <w:bookmarkStart w:id="433" w:name="_Toc98560364"/>
      <w:bookmarkStart w:id="434" w:name="_Toc25647"/>
      <w:bookmarkStart w:id="435" w:name="_Toc11113"/>
      <w:bookmarkStart w:id="436" w:name="_Toc10006"/>
      <w:bookmarkStart w:id="437" w:name="_Toc139991749"/>
      <w:bookmarkStart w:id="438" w:name="_Toc22978"/>
      <w:r>
        <w:rPr>
          <w:rFonts w:hint="eastAsia" w:hAnsi="宋体" w:cs="宋体"/>
          <w:color w:val="auto"/>
          <w:sz w:val="30"/>
          <w:highlight w:val="none"/>
        </w:rPr>
        <w:t xml:space="preserve">第十九部分  </w:t>
      </w:r>
      <w:bookmarkStart w:id="439" w:name="_Hlt88828593"/>
      <w:r>
        <w:rPr>
          <w:rFonts w:hint="eastAsia" w:hAnsi="宋体" w:cs="宋体"/>
          <w:color w:val="auto"/>
          <w:sz w:val="30"/>
          <w:highlight w:val="none"/>
        </w:rPr>
        <w:t>基金合同</w:t>
      </w:r>
      <w:bookmarkEnd w:id="439"/>
      <w:r>
        <w:rPr>
          <w:rFonts w:hint="eastAsia" w:hAnsi="宋体" w:cs="宋体"/>
          <w:color w:val="auto"/>
          <w:sz w:val="30"/>
          <w:highlight w:val="none"/>
        </w:rPr>
        <w:t>的变更、终止与基金财产的清算</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440" w:name="_Toc79392639"/>
      <w:bookmarkStart w:id="441" w:name="OLE_LINK85"/>
      <w:bookmarkStart w:id="442" w:name="OLE_LINK84"/>
      <w:r>
        <w:rPr>
          <w:rFonts w:hint="eastAsia" w:ascii="宋体" w:hAnsi="宋体" w:cs="宋体"/>
          <w:b/>
          <w:sz w:val="24"/>
          <w:highlight w:val="none"/>
        </w:rPr>
        <w:t>一、《基金合同》的变更</w:t>
      </w:r>
      <w:bookmarkEnd w:id="440"/>
    </w:p>
    <w:p>
      <w:pPr>
        <w:autoSpaceDE w:val="0"/>
        <w:autoSpaceDN w:val="0"/>
        <w:adjustRightInd w:val="0"/>
        <w:spacing w:line="360" w:lineRule="auto"/>
        <w:ind w:firstLine="720" w:firstLineChars="300"/>
        <w:jc w:val="left"/>
        <w:rPr>
          <w:rFonts w:hint="eastAsia" w:ascii="宋体" w:hAnsi="宋体" w:cs="宋体"/>
          <w:bCs/>
          <w:sz w:val="24"/>
          <w:highlight w:val="none"/>
        </w:rPr>
      </w:pPr>
      <w:r>
        <w:rPr>
          <w:rFonts w:hint="eastAsia" w:ascii="宋体" w:hAnsi="宋体" w:cs="宋体"/>
          <w:bCs/>
          <w:sz w:val="24"/>
          <w:highlight w:val="none"/>
        </w:rPr>
        <w:t>1、变更基金合同涉及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 2、关于《基金合同》变更的基金份额持有人大会决议自表决通过之日起生效，并自生效后方可执行，自决议生效后两日内在规定媒介公告。</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二、《基金合同》的终止事由</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有下列情形之一的，经履行相关程序后，《基金合同》应当终止：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1、基金份额持有人大会决定终止的；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2、基金管理人、基金托管人职责终止，在6个月内没有新基金管理人、新基金托管人承接的；</w:t>
      </w:r>
    </w:p>
    <w:p>
      <w:pPr>
        <w:spacing w:line="360" w:lineRule="auto"/>
        <w:ind w:firstLine="480" w:firstLineChars="200"/>
        <w:rPr>
          <w:rFonts w:hint="eastAsia" w:ascii="宋体" w:hAnsi="宋体" w:cs="宋体"/>
          <w:bCs/>
          <w:sz w:val="24"/>
          <w:highlight w:val="none"/>
        </w:rPr>
      </w:pPr>
      <w:r>
        <w:rPr>
          <w:rFonts w:hint="eastAsia" w:ascii="宋体" w:hAnsi="宋体" w:cs="宋体"/>
          <w:sz w:val="24"/>
          <w:highlight w:val="none"/>
        </w:rPr>
        <w:t>3、</w:t>
      </w:r>
      <w:r>
        <w:rPr>
          <w:rFonts w:hint="eastAsia" w:ascii="宋体" w:hAnsi="宋体" w:cs="宋体"/>
          <w:bCs/>
          <w:sz w:val="24"/>
          <w:highlight w:val="none"/>
        </w:rPr>
        <w:t>基金合同生效3年的对应日，基金资产规模低于2亿元的；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4、基金合同生效三年后，连续50个工作日出现基金份额持有人数量不满200人或者基金资产净值低于5000万元情形的；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5、《基金合同》约定的其他情形；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6、相关法律法规和中国证监会规定的其他情况。</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三、基金财产的清算</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1、基金财产清算小组：自出现《基金合同》终止事由之日起30个工作日内成立清算小组，基金管理人或临时基金管理人组织基金财产清算小组并在中国证监会的监督下进行基金清算。</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2、基金财产清算小组组成：基金财产清算小组成员由基金管理人或临时基金管理人、基金托管人、</w:t>
      </w:r>
      <w:r>
        <w:rPr>
          <w:rFonts w:hint="eastAsia" w:ascii="宋体" w:hAnsi="宋体" w:cs="宋体"/>
          <w:sz w:val="24"/>
          <w:highlight w:val="none"/>
        </w:rPr>
        <w:t>符合《中华人民共和国证券法》规定</w:t>
      </w:r>
      <w:r>
        <w:rPr>
          <w:rFonts w:hint="eastAsia" w:ascii="宋体" w:hAnsi="宋体" w:cs="宋体"/>
          <w:bCs/>
          <w:sz w:val="24"/>
          <w:highlight w:val="none"/>
        </w:rPr>
        <w:t>的注册会计师、律师以及中国证监会指定的人员组成。基金财产清算小组可以聘用必要的工作人员。</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3、基金财产清算小组职责：基金财产清算小组负责基金财产的保管、清理、估价、变现和分配。基金财产清算小组可以依法进行必要的民事活动。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4、基金财产清算程序：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（1）《基金合同》终止情形出现时，由基金财产清算小组统一接管基金；</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（2）对基金财产和债权债务进行清理和确认；</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（3）对基金财产进行估值和变现；</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（4）制作清算报告；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（5）聘请会计师事务所对清算报告进行外部审计，聘请律师事务所对清算报告出具法律意见书；</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（6）将清算报告报中国证监会备案并公告；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（7）对基金剩余财产进行分配。</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5、基金财产清算的期限为6个月，但因本基金所持证券、基金的流动性受到限制而不能及时变现的，清算期限相应顺延。</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四、清算费用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清算费用是指基金财产清算小组在进行基金清算过程中发生的所有合理费用，清算费用由基金财产清算小组优先从基金财产中支付。</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五、基金财产清算剩余资产的分配</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依据基金财产清算的分配方案，将基金财产清算后的全部剩余资产扣除基金财产清算费用、交纳所欠税款并清偿基金债务后，按各类基金份额持有人持有的基金份额比例进行分配。</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六、基金财产清算的公告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清算过程中的有关重大事项须及时公告；基金财产清算报告经</w:t>
      </w:r>
      <w:r>
        <w:rPr>
          <w:rFonts w:hint="eastAsia" w:ascii="宋体" w:hAnsi="宋体" w:cs="宋体"/>
          <w:sz w:val="24"/>
          <w:highlight w:val="none"/>
        </w:rPr>
        <w:t>符合《中华人民共和国证券法》规定</w:t>
      </w:r>
      <w:r>
        <w:rPr>
          <w:rFonts w:hint="eastAsia" w:ascii="宋体" w:hAnsi="宋体" w:cs="宋体"/>
          <w:bCs/>
          <w:sz w:val="24"/>
          <w:highlight w:val="none"/>
        </w:rPr>
        <w:t>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七、基金财产清算账册及文件的保存</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基金财产清算账册及有关文件由基金托管人保存，保存年限不低于法律法规规定的最低期限。</w:t>
      </w:r>
    </w:p>
    <w:p>
      <w:pPr>
        <w:spacing w:line="360" w:lineRule="auto"/>
        <w:ind w:firstLine="480" w:firstLineChars="200"/>
        <w:rPr>
          <w:rFonts w:hint="eastAsia" w:ascii="宋体" w:hAnsi="宋体" w:cs="宋体"/>
          <w:bCs/>
          <w:sz w:val="24"/>
          <w:highlight w:val="none"/>
        </w:rPr>
      </w:pPr>
    </w:p>
    <w:p>
      <w:pPr>
        <w:pStyle w:val="2"/>
        <w:spacing w:before="0" w:after="0"/>
        <w:jc w:val="center"/>
        <w:rPr>
          <w:rFonts w:hint="eastAsia" w:hAnsi="宋体" w:cs="宋体"/>
          <w:color w:val="auto"/>
          <w:sz w:val="30"/>
          <w:highlight w:val="none"/>
        </w:rPr>
      </w:pPr>
      <w:bookmarkStart w:id="443" w:name="_Toc123051466"/>
      <w:bookmarkStart w:id="444" w:name="_Toc123112248"/>
      <w:bookmarkStart w:id="445" w:name="_Toc123102467"/>
      <w:bookmarkStart w:id="446" w:name="_Toc48649720"/>
      <w:bookmarkStart w:id="447" w:name="_Toc98560365"/>
      <w:bookmarkStart w:id="448" w:name="_Toc79392641"/>
      <w:r>
        <w:rPr>
          <w:rFonts w:hint="eastAsia" w:hAnsi="宋体" w:cs="宋体"/>
          <w:b w:val="0"/>
          <w:bCs/>
          <w:color w:val="auto"/>
          <w:highlight w:val="none"/>
        </w:rPr>
        <w:br w:type="page"/>
      </w:r>
      <w:bookmarkEnd w:id="441"/>
      <w:bookmarkEnd w:id="442"/>
      <w:bookmarkStart w:id="449" w:name="_Toc21240"/>
      <w:bookmarkStart w:id="450" w:name="_Toc141703901"/>
      <w:bookmarkStart w:id="451" w:name="_Toc12191"/>
      <w:bookmarkStart w:id="452" w:name="_Toc7367"/>
      <w:bookmarkStart w:id="453" w:name="_Toc13398"/>
      <w:bookmarkStart w:id="454" w:name="_Toc30645"/>
      <w:bookmarkStart w:id="455" w:name="_Toc139991750"/>
      <w:bookmarkStart w:id="456" w:name="_Toc9708"/>
      <w:bookmarkStart w:id="457" w:name="_Toc23166"/>
      <w:bookmarkStart w:id="458" w:name="_Toc8710"/>
      <w:bookmarkStart w:id="459" w:name="_Toc27058"/>
      <w:bookmarkStart w:id="460" w:name="_Toc23022"/>
      <w:bookmarkStart w:id="461" w:name="_Toc28549"/>
      <w:r>
        <w:rPr>
          <w:rFonts w:hint="eastAsia" w:hAnsi="宋体" w:cs="宋体"/>
          <w:color w:val="auto"/>
          <w:sz w:val="30"/>
          <w:highlight w:val="none"/>
        </w:rPr>
        <w:t>第二十部分  违约责任</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pPr>
        <w:spacing w:line="360" w:lineRule="auto"/>
        <w:ind w:firstLine="480" w:firstLineChars="200"/>
        <w:rPr>
          <w:rFonts w:hint="eastAsia" w:ascii="宋体" w:hAnsi="宋体" w:cs="宋体"/>
          <w:bCs/>
          <w:sz w:val="24"/>
          <w:highlight w:val="none"/>
        </w:rPr>
      </w:pPr>
    </w:p>
    <w:p>
      <w:pPr>
        <w:spacing w:line="360" w:lineRule="auto"/>
        <w:ind w:firstLine="480" w:firstLineChars="200"/>
        <w:rPr>
          <w:rFonts w:hint="eastAsia" w:ascii="宋体" w:hAnsi="宋体" w:cs="宋体"/>
          <w:b/>
          <w:bCs/>
          <w:sz w:val="24"/>
          <w:highlight w:val="none"/>
        </w:rPr>
      </w:pPr>
      <w:r>
        <w:rPr>
          <w:rFonts w:hint="eastAsia" w:ascii="宋体" w:hAnsi="宋体" w:cs="宋体"/>
          <w:bCs/>
          <w:sz w:val="24"/>
          <w:highlight w:val="none"/>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ascii="宋体" w:hAnsi="宋体" w:cs="宋体"/>
          <w:b/>
          <w:bCs/>
          <w:sz w:val="24"/>
          <w:highlight w:val="none"/>
        </w:rPr>
        <w:t>但是如发生下列情况，当事人免责：</w:t>
      </w:r>
    </w:p>
    <w:p>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1、不可抗力；</w:t>
      </w:r>
    </w:p>
    <w:p>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2、基金管理人和/或基金托管人按照届时有效的法律法规或中国证监会的规定作为或不作为而造成的损失等；</w:t>
      </w:r>
    </w:p>
    <w:p>
      <w:pPr>
        <w:spacing w:line="360" w:lineRule="auto"/>
        <w:ind w:firstLine="482" w:firstLineChars="200"/>
        <w:rPr>
          <w:rStyle w:val="26"/>
          <w:rFonts w:hint="eastAsia" w:ascii="宋体" w:hAnsi="宋体" w:cs="宋体"/>
          <w:highlight w:val="none"/>
          <w:lang w:val="zh-CN"/>
        </w:rPr>
      </w:pPr>
      <w:r>
        <w:rPr>
          <w:rFonts w:hint="eastAsia" w:ascii="宋体" w:hAnsi="宋体" w:cs="宋体"/>
          <w:b/>
          <w:bCs/>
          <w:sz w:val="24"/>
          <w:highlight w:val="none"/>
        </w:rPr>
        <w:t>3、基金管理人由于按照基金合同规定的投资原则投资或不投资造成的损失等。</w:t>
      </w:r>
    </w:p>
    <w:p>
      <w:pPr>
        <w:spacing w:line="360" w:lineRule="auto"/>
        <w:ind w:firstLine="420" w:firstLineChars="200"/>
        <w:rPr>
          <w:rStyle w:val="26"/>
          <w:rFonts w:hint="eastAsia" w:ascii="宋体" w:hAnsi="宋体" w:cs="宋体"/>
          <w:highlight w:val="none"/>
          <w:lang w:val="zh-CN"/>
        </w:rPr>
      </w:pPr>
    </w:p>
    <w:p>
      <w:pPr>
        <w:numPr>
          <w:ilvl w:val="255"/>
          <w:numId w:val="0"/>
        </w:num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 </w:t>
      </w:r>
    </w:p>
    <w:p>
      <w:pPr>
        <w:numPr>
          <w:ilvl w:val="255"/>
          <w:numId w:val="0"/>
        </w:numPr>
        <w:spacing w:line="360" w:lineRule="auto"/>
        <w:rPr>
          <w:rFonts w:hint="eastAsia" w:ascii="宋体" w:hAnsi="宋体" w:cs="宋体"/>
          <w:bCs/>
          <w:sz w:val="24"/>
          <w:highlight w:val="none"/>
        </w:rPr>
      </w:pP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三、由于基金管理人、基金托管人不可控制的因素导致业务出现差错，基金管理人和基金托管人虽然已经采取必要、适当、合理的措施进行检查，但是未能发现错误或未能避免错误发生或虽发现错误但因前述原因无法及时更正的，由此造成基金财产或投资人损失，基金管理人和基金托管人免除赔偿责任。但是基金管理人和基金托管人应积极采取必要的措施消除或减轻由此造成的影响。</w:t>
      </w:r>
    </w:p>
    <w:p>
      <w:pPr>
        <w:spacing w:line="360" w:lineRule="auto"/>
        <w:ind w:firstLine="480" w:firstLineChars="200"/>
        <w:rPr>
          <w:rFonts w:hint="eastAsia" w:ascii="宋体" w:hAnsi="宋体" w:cs="宋体"/>
          <w:bCs/>
          <w:sz w:val="24"/>
          <w:highlight w:val="none"/>
        </w:rPr>
      </w:pPr>
    </w:p>
    <w:p>
      <w:pPr>
        <w:spacing w:line="360" w:lineRule="auto"/>
        <w:ind w:firstLine="480" w:firstLineChars="200"/>
        <w:rPr>
          <w:rFonts w:hint="eastAsia" w:ascii="宋体" w:hAnsi="宋体" w:cs="宋体"/>
          <w:bCs/>
          <w:sz w:val="24"/>
          <w:highlight w:val="none"/>
        </w:rPr>
      </w:pPr>
    </w:p>
    <w:p>
      <w:pPr>
        <w:spacing w:line="360" w:lineRule="auto"/>
        <w:ind w:firstLine="480" w:firstLineChars="200"/>
        <w:rPr>
          <w:rFonts w:hint="eastAsia" w:ascii="宋体" w:hAnsi="宋体" w:cs="宋体"/>
          <w:bCs/>
          <w:sz w:val="24"/>
          <w:highlight w:val="none"/>
        </w:rPr>
      </w:pPr>
    </w:p>
    <w:p>
      <w:pPr>
        <w:spacing w:line="360" w:lineRule="auto"/>
        <w:ind w:firstLine="480" w:firstLineChars="200"/>
        <w:rPr>
          <w:rFonts w:hint="eastAsia" w:ascii="宋体" w:hAnsi="宋体" w:cs="宋体"/>
          <w:bCs/>
          <w:sz w:val="24"/>
          <w:highlight w:val="none"/>
        </w:rPr>
      </w:pPr>
    </w:p>
    <w:p>
      <w:pPr>
        <w:pStyle w:val="2"/>
        <w:spacing w:before="0" w:after="0"/>
        <w:jc w:val="center"/>
        <w:rPr>
          <w:rFonts w:hint="eastAsia" w:hAnsi="宋体" w:cs="宋体"/>
          <w:color w:val="auto"/>
          <w:sz w:val="30"/>
          <w:highlight w:val="none"/>
        </w:rPr>
      </w:pPr>
      <w:r>
        <w:rPr>
          <w:rFonts w:hint="eastAsia" w:hAnsi="宋体" w:cs="宋体"/>
          <w:b w:val="0"/>
          <w:bCs/>
          <w:color w:val="auto"/>
          <w:highlight w:val="none"/>
        </w:rPr>
        <w:br w:type="page"/>
      </w:r>
      <w:bookmarkStart w:id="462" w:name="_Toc123102468"/>
      <w:bookmarkStart w:id="463" w:name="_Toc7288"/>
      <w:bookmarkStart w:id="464" w:name="_Toc1790"/>
      <w:bookmarkStart w:id="465" w:name="_Toc8636"/>
      <w:bookmarkStart w:id="466" w:name="_Toc141703902"/>
      <w:bookmarkStart w:id="467" w:name="_Toc30350"/>
      <w:bookmarkStart w:id="468" w:name="_Toc6110"/>
      <w:bookmarkStart w:id="469" w:name="_Toc139991751"/>
      <w:bookmarkStart w:id="470" w:name="_Toc23999"/>
      <w:bookmarkStart w:id="471" w:name="_Toc25651"/>
      <w:bookmarkStart w:id="472" w:name="_Toc98560366"/>
      <w:bookmarkStart w:id="473" w:name="_Toc123051467"/>
      <w:bookmarkStart w:id="474" w:name="_Toc24923"/>
      <w:bookmarkStart w:id="475" w:name="_Toc3319"/>
      <w:bookmarkStart w:id="476" w:name="_Toc21983"/>
      <w:bookmarkStart w:id="477" w:name="_Toc6202"/>
      <w:bookmarkStart w:id="478" w:name="_Toc123112249"/>
      <w:r>
        <w:rPr>
          <w:rFonts w:hint="eastAsia" w:hAnsi="宋体" w:cs="宋体"/>
          <w:color w:val="auto"/>
          <w:sz w:val="30"/>
          <w:highlight w:val="none"/>
        </w:rPr>
        <w:t>第二十一部分  争议的处理和适用的法律</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pPr>
        <w:spacing w:line="360" w:lineRule="auto"/>
        <w:ind w:firstLine="480" w:firstLineChars="200"/>
        <w:rPr>
          <w:rFonts w:hint="eastAsia" w:ascii="宋体" w:hAnsi="宋体" w:cs="宋体"/>
          <w:bCs/>
          <w:sz w:val="24"/>
          <w:highlight w:val="none"/>
        </w:rPr>
      </w:pPr>
    </w:p>
    <w:p>
      <w:pPr>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各方当事人同意，因《基金合同》而产生的或与《基金合同》有关的一切争议，如经友好协商未能解决的，任何一方应当将争议提交深圳国际仲裁院，按照深圳国际仲裁院届时有效的仲裁规则进行仲裁。仲裁地点为深圳市。仲裁裁决是终局的，对当事人均有约束力。除非仲裁裁决另有决定，仲裁费用由败诉方承担。</w:t>
      </w:r>
    </w:p>
    <w:p>
      <w:pPr>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争议处理期间，基金合同当事人应恪守各自的职责，继续忠实、勤勉、尽责地履行基金合同规定的义务，维护基金份额持有人的合法权益。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《基金合同》受中国法律（不含港澳台地区法律）管辖。</w:t>
      </w:r>
    </w:p>
    <w:p>
      <w:pPr>
        <w:spacing w:line="360" w:lineRule="auto"/>
        <w:ind w:firstLine="480" w:firstLineChars="200"/>
        <w:rPr>
          <w:rFonts w:hint="eastAsia" w:ascii="宋体" w:hAnsi="宋体" w:cs="宋体"/>
          <w:bCs/>
          <w:sz w:val="24"/>
          <w:highlight w:val="none"/>
        </w:rPr>
      </w:pPr>
    </w:p>
    <w:p>
      <w:pPr>
        <w:jc w:val="center"/>
        <w:rPr>
          <w:rFonts w:hint="eastAsia" w:ascii="宋体" w:hAnsi="宋体" w:cs="宋体"/>
          <w:sz w:val="30"/>
          <w:highlight w:val="none"/>
        </w:rPr>
      </w:pPr>
      <w:bookmarkStart w:id="479" w:name="_Toc20350"/>
      <w:bookmarkStart w:id="480" w:name="_Toc123102469"/>
      <w:bookmarkStart w:id="481" w:name="_Toc139991752"/>
      <w:bookmarkStart w:id="482" w:name="_Toc141703903"/>
      <w:bookmarkStart w:id="483" w:name="_Toc123051468"/>
      <w:bookmarkStart w:id="484" w:name="_Toc123112250"/>
      <w:bookmarkStart w:id="485" w:name="_Toc8703"/>
      <w:bookmarkStart w:id="486" w:name="_Toc23991"/>
      <w:bookmarkStart w:id="487" w:name="_Toc29505"/>
      <w:bookmarkStart w:id="488" w:name="_Toc26461"/>
      <w:bookmarkStart w:id="489" w:name="_Toc8454"/>
      <w:bookmarkStart w:id="490" w:name="_Toc28690"/>
      <w:bookmarkStart w:id="491" w:name="_Toc11618"/>
      <w:bookmarkStart w:id="492" w:name="_Toc31966"/>
      <w:bookmarkStart w:id="493" w:name="_Toc484"/>
      <w:bookmarkStart w:id="494" w:name="_Toc2532"/>
      <w:r>
        <w:rPr>
          <w:rFonts w:hint="eastAsia" w:ascii="宋体" w:hAnsi="宋体" w:cs="宋体"/>
          <w:sz w:val="30"/>
          <w:highlight w:val="none"/>
        </w:rPr>
        <w:br w:type="page"/>
      </w:r>
    </w:p>
    <w:p>
      <w:pPr>
        <w:pStyle w:val="2"/>
        <w:spacing w:before="0" w:after="0"/>
        <w:jc w:val="center"/>
        <w:rPr>
          <w:rFonts w:hint="eastAsia" w:hAnsi="宋体" w:cs="宋体"/>
          <w:color w:val="auto"/>
          <w:sz w:val="30"/>
          <w:highlight w:val="none"/>
        </w:rPr>
      </w:pPr>
      <w:r>
        <w:rPr>
          <w:rFonts w:hint="eastAsia" w:hAnsi="宋体" w:cs="宋体"/>
          <w:color w:val="auto"/>
          <w:sz w:val="30"/>
          <w:highlight w:val="none"/>
        </w:rPr>
        <w:t>第二十二部分  基金合同的效力</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pPr>
        <w:spacing w:line="360" w:lineRule="auto"/>
        <w:ind w:firstLine="480" w:firstLineChars="200"/>
        <w:rPr>
          <w:rFonts w:hint="eastAsia" w:ascii="宋体" w:hAnsi="宋体" w:cs="宋体"/>
          <w:bCs/>
          <w:sz w:val="24"/>
          <w:highlight w:val="none"/>
        </w:rPr>
      </w:pP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《基金合同》是约定基金合同当事人之间权利义务关系的法律文件。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1、《基金合同》经基金管理人、基金托管人双方盖章以及双方法定代表人或授权代表签字或盖章并在募集结束后经基金管理人向中国证监会办理基金备案手续，并经中国证监会书面确认后生效。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2、《基金合同》的有效期自其生效之日起至基金财产清算结果报中国证监会备案并公告之日止。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3、《基金合同》自生效之日起对包括基金管理人、基金托管人和基金份额持有人在内的《基金合同》各方当事人具有同等的法律约束力。</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4、《基金合同》正本一式三份，除上报有关监管机构一份外，基金管理人、基金托管人各持有一份，每份具有同等的法律效力。</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5、《基金合同》可印制成册，供投资者在基金管理人、基金托管人、销售机构的办公场所和营业场所查阅。</w:t>
      </w:r>
    </w:p>
    <w:p>
      <w:pPr>
        <w:pStyle w:val="2"/>
        <w:spacing w:before="0" w:after="0"/>
        <w:jc w:val="center"/>
        <w:rPr>
          <w:rFonts w:hint="eastAsia" w:hAnsi="宋体" w:cs="宋体"/>
          <w:color w:val="auto"/>
          <w:sz w:val="30"/>
          <w:highlight w:val="none"/>
        </w:rPr>
      </w:pPr>
      <w:r>
        <w:rPr>
          <w:rFonts w:hint="eastAsia" w:hAnsi="宋体" w:cs="宋体"/>
          <w:b w:val="0"/>
          <w:bCs/>
          <w:color w:val="auto"/>
          <w:highlight w:val="none"/>
        </w:rPr>
        <w:br w:type="page"/>
      </w:r>
      <w:bookmarkStart w:id="495" w:name="_Toc9704"/>
      <w:bookmarkStart w:id="496" w:name="_Toc21726"/>
      <w:r>
        <w:rPr>
          <w:rFonts w:hint="eastAsia" w:hAnsi="宋体" w:cs="宋体"/>
          <w:color w:val="auto"/>
          <w:sz w:val="30"/>
          <w:highlight w:val="none"/>
        </w:rPr>
        <w:t>第二十三部分  其他事项</w:t>
      </w:r>
      <w:bookmarkEnd w:id="495"/>
      <w:bookmarkEnd w:id="496"/>
    </w:p>
    <w:p>
      <w:pPr>
        <w:spacing w:line="360" w:lineRule="auto"/>
        <w:ind w:firstLine="480" w:firstLineChars="200"/>
        <w:rPr>
          <w:rFonts w:hint="eastAsia" w:ascii="宋体" w:hAnsi="宋体" w:cs="宋体"/>
          <w:sz w:val="24"/>
          <w:highlight w:val="none"/>
        </w:rPr>
      </w:pP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《基金合同》如有未尽事宜，由《基金合同》当事人各方按有关法律法规协商解决。</w:t>
      </w:r>
    </w:p>
    <w:p>
      <w:pPr>
        <w:spacing w:line="360" w:lineRule="auto"/>
        <w:ind w:firstLine="480" w:firstLineChars="200"/>
        <w:rPr>
          <w:rFonts w:hint="eastAsia" w:ascii="宋体" w:hAnsi="宋体" w:cs="宋体"/>
          <w:sz w:val="24"/>
          <w:highlight w:val="none"/>
        </w:rPr>
      </w:pPr>
    </w:p>
    <w:p>
      <w:pPr>
        <w:jc w:val="center"/>
        <w:rPr>
          <w:rFonts w:hint="eastAsia" w:ascii="宋体" w:hAnsi="宋体" w:cs="宋体"/>
          <w:sz w:val="30"/>
          <w:highlight w:val="none"/>
        </w:rPr>
      </w:pPr>
      <w:bookmarkStart w:id="497" w:name="_Toc21122"/>
      <w:bookmarkStart w:id="498" w:name="_Toc141703905"/>
      <w:bookmarkStart w:id="499" w:name="_Toc9054"/>
      <w:bookmarkStart w:id="500" w:name="_Toc15664"/>
      <w:bookmarkStart w:id="501" w:name="_Toc32355"/>
      <w:bookmarkStart w:id="502" w:name="_Toc5108"/>
      <w:bookmarkStart w:id="503" w:name="_Toc20098"/>
      <w:bookmarkStart w:id="504" w:name="_Toc1360"/>
      <w:bookmarkStart w:id="505" w:name="_Toc17263"/>
      <w:bookmarkStart w:id="506" w:name="_Toc12499"/>
      <w:bookmarkStart w:id="507" w:name="_Toc15045"/>
      <w:bookmarkStart w:id="508" w:name="_Toc7437"/>
      <w:r>
        <w:rPr>
          <w:rFonts w:hint="eastAsia" w:ascii="宋体" w:hAnsi="宋体" w:cs="宋体"/>
          <w:sz w:val="30"/>
          <w:highlight w:val="none"/>
        </w:rPr>
        <w:br w:type="page"/>
      </w:r>
    </w:p>
    <w:p>
      <w:pPr>
        <w:pStyle w:val="2"/>
        <w:spacing w:before="0" w:after="0"/>
        <w:jc w:val="center"/>
        <w:rPr>
          <w:rFonts w:hint="eastAsia" w:hAnsi="宋体" w:cs="宋体"/>
          <w:color w:val="auto"/>
          <w:sz w:val="30"/>
          <w:highlight w:val="none"/>
        </w:rPr>
      </w:pPr>
      <w:r>
        <w:rPr>
          <w:rFonts w:hint="eastAsia" w:hAnsi="宋体" w:cs="宋体"/>
          <w:color w:val="auto"/>
          <w:sz w:val="30"/>
          <w:highlight w:val="none"/>
        </w:rPr>
        <w:t>第二十四部分  基金合同内容摘要</w:t>
      </w:r>
      <w:bookmarkEnd w:id="75"/>
      <w:bookmarkEnd w:id="76"/>
      <w:bookmarkEnd w:id="497"/>
      <w:bookmarkEnd w:id="498"/>
      <w:bookmarkEnd w:id="499"/>
      <w:bookmarkEnd w:id="500"/>
      <w:bookmarkEnd w:id="501"/>
      <w:bookmarkEnd w:id="502"/>
      <w:bookmarkEnd w:id="503"/>
      <w:bookmarkEnd w:id="504"/>
      <w:bookmarkEnd w:id="505"/>
      <w:bookmarkEnd w:id="506"/>
      <w:bookmarkEnd w:id="507"/>
      <w:bookmarkEnd w:id="508"/>
    </w:p>
    <w:p>
      <w:pPr>
        <w:autoSpaceDE w:val="0"/>
        <w:autoSpaceDN w:val="0"/>
        <w:adjustRightInd w:val="0"/>
        <w:spacing w:line="360" w:lineRule="auto"/>
        <w:rPr>
          <w:rFonts w:hint="eastAsia" w:ascii="宋体" w:hAnsi="宋体" w:cs="宋体"/>
          <w:bCs/>
          <w:highlight w:val="none"/>
        </w:rPr>
      </w:pPr>
    </w:p>
    <w:p>
      <w:pPr>
        <w:spacing w:line="360" w:lineRule="auto"/>
        <w:rPr>
          <w:rFonts w:hint="eastAsia" w:ascii="宋体" w:hAnsi="宋体" w:cs="宋体"/>
          <w:b/>
          <w:sz w:val="24"/>
          <w:szCs w:val="24"/>
          <w:highlight w:val="none"/>
        </w:rPr>
      </w:pPr>
      <w:r>
        <w:rPr>
          <w:rFonts w:hint="eastAsia" w:ascii="宋体" w:hAnsi="宋体" w:cs="宋体"/>
          <w:b/>
          <w:sz w:val="28"/>
          <w:szCs w:val="24"/>
          <w:highlight w:val="none"/>
        </w:rPr>
        <w:t>一、基金份额持有人、基金管理人和基金托管人的权利、义务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szCs w:val="24"/>
          <w:highlight w:val="none"/>
        </w:rPr>
        <w:t>（一）</w:t>
      </w:r>
      <w:r>
        <w:rPr>
          <w:rFonts w:hint="eastAsia" w:ascii="宋体" w:hAnsi="宋体" w:cs="宋体"/>
          <w:bCs/>
          <w:sz w:val="24"/>
          <w:szCs w:val="24"/>
          <w:highlight w:val="none"/>
        </w:rPr>
        <w:tab/>
      </w:r>
      <w:r>
        <w:rPr>
          <w:rFonts w:hint="eastAsia" w:ascii="宋体" w:hAnsi="宋体" w:cs="宋体"/>
          <w:bCs/>
          <w:sz w:val="24"/>
          <w:szCs w:val="24"/>
          <w:highlight w:val="none"/>
        </w:rPr>
        <w:t>基金份额持有人的权利与义务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投资者持有本基金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除法律法规另有规定或基金合同另有约定外，同一类别每份基金份额具有同等的合法权益。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1、根据《基金法》、《运作办法》及其他有关规定，基金份额持有人的权利包括但不限于：</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（1）分享基金财产收益；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（2）参与分配清算后的剩余基金财产；</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（3）依法申请赎回或转让其持有的基金份额；</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（4）按照规定要求召开基金份额持有人大会或者召集基金份额持有人大会；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（5）出席或者委派代表出席基金份额持有人大会，对基金份额持有人大会审议事项行使表决权；</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（6）查阅或者复制公开披露的基金信息资料；</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（7）监督基金管理人的投资运作；</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（8）对基金管理人、基金托管人、基金服务机构损害其合法权益的行为依法提起诉讼或仲裁；</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（9）法律法规及中国证监会规定的和《基金合同》约定的其他权利。</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2、根据《基金法》、《运作办法》及其他有关规定，基金份额持有人的义务包括但不限于：</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（1）认真阅读并遵守《基金合同》、《招募说明书》、基金产品资料概要等信息披露文件；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（2）了解所投资基金产品，了解自身风险承受能力，自主判断基金的投资价值，自主做出投资决策，自行承担投资风险；</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（3）关注基金信息披露，及时行使权利和履行义务；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（4）交纳基金认购、申购款项及法律法规和《基金合同》所规定的费用；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（5）在其持有的基金份额范围内，承担基金亏损或者《基金合同》终止的有限责任；</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（6）遵守基金管理人、基金托管人、销售机构和登记机构的申购、赎回及交易相关业务规则及其不时更新；</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（7）提供基金管理人和监管机构依法要求提供的信息，以及不时地更新和补充，并保证其真实性；</w:t>
      </w:r>
    </w:p>
    <w:p>
      <w:pPr>
        <w:spacing w:line="360" w:lineRule="auto"/>
        <w:ind w:firstLine="480" w:firstLineChars="200"/>
        <w:rPr>
          <w:rFonts w:hint="eastAsia" w:ascii="宋体" w:hAnsi="宋体" w:cs="宋体"/>
          <w:sz w:val="24"/>
          <w:highlight w:val="none"/>
        </w:rPr>
      </w:pPr>
      <w:r>
        <w:rPr>
          <w:rFonts w:hint="eastAsia" w:ascii="宋体" w:hAnsi="宋体" w:cs="宋体"/>
          <w:bCs/>
          <w:sz w:val="24"/>
          <w:highlight w:val="none"/>
        </w:rPr>
        <w:t>（8）接受基金管理人或销售机构要求的风险承受能力调查和评价，如实提供身份信息、投资经验、财产状况、风险认知等相关信息以及不时的更新和补充，并保证所提供资料、信息的真实性、准确性、完整性；</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（9）不从事任何有损基金及其他《基金合同》当事人合法权益的活动；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（10）执行生效的基金份额持有人大会的决议；</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（11）返还在基金交易过程中因任何原因获得的不当得利；</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（12）发起资金提供方认购的基金份额持有期限不少于3年，法律法规或监管机构另有规定的除外；</w:t>
      </w:r>
    </w:p>
    <w:p>
      <w:pPr>
        <w:spacing w:line="360" w:lineRule="auto"/>
        <w:ind w:firstLine="480" w:firstLineChars="200"/>
        <w:rPr>
          <w:rFonts w:hint="eastAsia" w:ascii="宋体" w:hAnsi="宋体" w:cs="宋体"/>
          <w:sz w:val="24"/>
          <w:highlight w:val="none"/>
        </w:rPr>
      </w:pPr>
      <w:r>
        <w:rPr>
          <w:rFonts w:hint="eastAsia" w:ascii="宋体" w:hAnsi="宋体" w:cs="宋体"/>
          <w:bCs/>
          <w:sz w:val="24"/>
          <w:highlight w:val="none"/>
        </w:rPr>
        <w:t>（13）法律法规及中国证监会规定的和《基金合同》约定的其他义务。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（二）</w:t>
      </w:r>
      <w:r>
        <w:rPr>
          <w:rFonts w:hint="eastAsia" w:ascii="宋体" w:hAnsi="宋体" w:cs="宋体"/>
          <w:bCs/>
          <w:sz w:val="24"/>
          <w:highlight w:val="none"/>
        </w:rPr>
        <w:tab/>
      </w:r>
      <w:r>
        <w:rPr>
          <w:rFonts w:hint="eastAsia" w:ascii="宋体" w:hAnsi="宋体" w:cs="宋体"/>
          <w:bCs/>
          <w:sz w:val="24"/>
          <w:highlight w:val="none"/>
        </w:rPr>
        <w:t>基金管理人的权利与义务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1、根据《基金法》、《运作办法》及其他有关规定，基金管理人的权利包括但不限于：</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（1）依法募集资金；</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（2）自《基金合同》生效之日起，根据法律法规和《基金合同》独立运用并管理基金财产；</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（3）依照《基金合同》收取基金管理费以及法律法规规定或中国证监会批准的其他费用；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（4）销售基金份额；</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（5）按照规定召集基金份额持有人大会；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（6）依据《基金合同》及有关法律规定监督基金托管人，如认为基金托管人违反了《基金合同》及国家有关法律规定，应呈报中国证监会和其他监管部门，并采取必要措施保护基金投资者的利益；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（7）在基金托管人更换时，提名新的基金托管人；</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 xml:space="preserve">（8）选择、更换基金销售机构，对基金销售机构的相关行为进行监督和处理； </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 xml:space="preserve">（9）担任或委托其他符合条件的机构担任基金登记机构办理基金登记业务并获得《基金合同》规定的费用； </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（10）依据《基金合同》及有关法律规定决定基金收益的分配方案；</w:t>
      </w:r>
      <w:r>
        <w:rPr>
          <w:rFonts w:hint="eastAsia" w:ascii="宋体" w:hAnsi="宋体" w:cs="宋体"/>
          <w:bCs/>
          <w:sz w:val="24"/>
          <w:highlight w:val="none"/>
        </w:rPr>
        <w:tab/>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 xml:space="preserve">（11）在《基金合同》约定的范围内，拒绝或暂停受理申购、赎回或转换申请； </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12）依照法律法规为基金的利益对被投资公司行使股东权利，为基金的利益行使因基金财产投资于证券、基金所产生的权利；在遵循基金份额持有人利益优先原则的前提下，以基金管理人名义直接行使因基金财产投资于其他基金份额所产生的权利，包括但不限于参加本基金持有基金的基金份额持有人大会并行使相关投票权利，代表本基金的基金份额持有人提议召开或召集本基金所持基金的基金份额持有人大会，且无需召开本基金的基金份额持有人大会，但本基金管理人需将表决意见事先征求基金托管人的意见，并将表决意见在定期报告中予以披露，法律法规另有规定的除外；</w:t>
      </w:r>
      <w:r>
        <w:rPr>
          <w:rFonts w:hint="eastAsia" w:ascii="宋体" w:hAnsi="宋体" w:cs="宋体"/>
          <w:bCs/>
          <w:sz w:val="24"/>
          <w:highlight w:val="none"/>
        </w:rPr>
        <w:tab/>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 xml:space="preserve">（13）在法律法规允许的前提下，为基金的利益依法为基金进行融资； </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（14）以基金管理人的名义，代表基金份额持有人的利益行使诉讼权利或者实施其他法律行为；</w:t>
      </w:r>
      <w:r>
        <w:rPr>
          <w:rFonts w:hint="eastAsia" w:ascii="宋体" w:hAnsi="宋体" w:cs="宋体"/>
          <w:bCs/>
          <w:sz w:val="24"/>
          <w:highlight w:val="none"/>
        </w:rPr>
        <w:tab/>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（15）选择、更换律师事务所、会计师事务所、</w:t>
      </w:r>
      <w:r>
        <w:rPr>
          <w:rFonts w:hint="eastAsia" w:ascii="宋体" w:hAnsi="宋体" w:cs="宋体"/>
          <w:bCs/>
          <w:sz w:val="24"/>
          <w:szCs w:val="24"/>
          <w:highlight w:val="none"/>
        </w:rPr>
        <w:t>证券、期货经纪商</w:t>
      </w:r>
      <w:r>
        <w:rPr>
          <w:rFonts w:hint="eastAsia" w:ascii="宋体" w:hAnsi="宋体" w:cs="宋体"/>
          <w:bCs/>
          <w:sz w:val="24"/>
          <w:highlight w:val="none"/>
        </w:rPr>
        <w:t>或其他为基金提供服务的外部机构；</w:t>
      </w:r>
      <w:r>
        <w:rPr>
          <w:rFonts w:hint="eastAsia" w:ascii="宋体" w:hAnsi="宋体" w:cs="宋体"/>
          <w:bCs/>
          <w:sz w:val="24"/>
          <w:highlight w:val="none"/>
        </w:rPr>
        <w:tab/>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（16）在符合有关法律、法规的前提下，制订和调整有关基金认购、申购、赎回、转换和非交易过户等业务规则；</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（17）在法规和基金合同规定的范围内决定调整基金费率结构和收费方式；</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（18）法律法规及中国证监会规定的和《基金合同》约定的其他权利。</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2、根据《基金法》、《运作办法》及其他有关规定，基金管理人的义务包括但不限于：</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（1）依法募集资金，办理或者委托经中国证监会认定的其他机构代为办理基金份额的发售、申购、赎回和登记事宜；</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（2）办理基金备案手续；</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（3）自《基金合同》生效之日起,以诚实信用、谨慎勤勉的原则管理和运用基金财产；</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（4）配备足够的具有专业资格的人员进行基金投资分析、决策，以专业化的经营方式管理和运作基金财产；</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（5）建立健全内部风险控制、监察与稽核、财务管理及人事管理等制度，保证所管理的基金财产和基金管理人的财产相互独立,对所管理的不同基金分别管理，分别记账，进行证券、基金投资；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（6）除依据《基金法》、《基金合同》及其他有关规定外,不得利用基金财产为自己及任何第三人谋取利益，不得委托第三人运作基金财产；</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（7）依法接受基金托管人的监督；</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（8）采取适当合理的措施使计算基金份额认购、申购、赎回和注销价格的方法符合《基金合同》等法律文件的规定，按有关规定计算并公告基金净值</w:t>
      </w:r>
      <w:r>
        <w:rPr>
          <w:rFonts w:hint="eastAsia" w:ascii="宋体" w:hAnsi="宋体" w:cs="宋体"/>
          <w:sz w:val="24"/>
          <w:highlight w:val="none"/>
        </w:rPr>
        <w:t>信息</w:t>
      </w:r>
      <w:r>
        <w:rPr>
          <w:rFonts w:hint="eastAsia" w:ascii="宋体" w:hAnsi="宋体" w:cs="宋体"/>
          <w:bCs/>
          <w:sz w:val="24"/>
          <w:highlight w:val="none"/>
        </w:rPr>
        <w:t>，确定基金份额申购、赎回的价格；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（9）进行基金会计核算并编制基金财务会计报告；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w:t>
      </w:r>
      <w:r>
        <w:rPr>
          <w:rFonts w:hint="eastAsia" w:ascii="宋体" w:hAnsi="宋体" w:cs="宋体"/>
          <w:sz w:val="24"/>
          <w:highlight w:val="none"/>
        </w:rPr>
        <w:t>编制季度报告、中期报告和年度基金报告</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w:t>
      </w:r>
      <w:r>
        <w:rPr>
          <w:rFonts w:hint="eastAsia" w:ascii="宋体" w:hAnsi="宋体" w:cs="宋体"/>
          <w:bCs/>
          <w:sz w:val="24"/>
          <w:highlight w:val="none"/>
        </w:rPr>
        <w:tab/>
      </w:r>
      <w:r>
        <w:rPr>
          <w:rFonts w:hint="eastAsia" w:ascii="宋体" w:hAnsi="宋体" w:cs="宋体"/>
          <w:bCs/>
          <w:sz w:val="24"/>
          <w:highlight w:val="none"/>
        </w:rPr>
        <w:t>严格按照《基金法》、《基金合同》及其他有关规定，履行信息披露及报告义务；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12）保守基金商业秘密，不泄露基金投资计划、投资意向等。除《基金法》、《基金合同》及其他有关规定另有规定外，在基金信息公开披露前应予保密，不向他人泄露，但向监管机构、司法机关提供或向审计、法律等外部专业顾问提供的除外；</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（13）按《基金合同》的约定确定基金收益分配方案，及时向基金份额持有人分配基金收益；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（14）按规定受理申购与赎回申请，及时、足额支付赎回款项；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（15）依据《基金法》、《基金合同》及其他有关规定召集基金份额持有人大会或配合基金托管人、基金份额持有人依法召集基金份额持有人大会；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（16）按规定保存基金财产管理业务活动的会计账册、报表、记录和其他相关资料，保存期限不低于法律法规规定的最低期限；</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（18）组织并参加基金财产清算小组,参与基金财产的保管、清理、估价、变现和分配；</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（19）面临解散、依法被撤销或者被依法宣告破产时，及时报告中国证监会并通知基金托管人；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（20）因违反《基金合同》导致基金财产的损失或损害基金份额持有人合法权益时，应当承担赔偿责任，其赔偿责任不因其退任而免除；</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（21）监督基金托管人按法律法规和《基金合同》规定履行自己的义务，基金托管人违反《基金合同》造成基金财产损失时，基金管理人应为基金份额持有人利益向基金托管人追偿；</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（22）当基金管理人将其义务委托第三方处理时，应当对第三方处理有关基金事务的行为承担责任；</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（23）以基金管理人名义，代表基金份额持有人利益行使诉讼权利或实施其他法律行为；</w:t>
      </w:r>
      <w:r>
        <w:rPr>
          <w:rFonts w:hint="eastAsia" w:ascii="宋体" w:hAnsi="宋体" w:cs="宋体"/>
          <w:bCs/>
          <w:sz w:val="24"/>
          <w:highlight w:val="none"/>
        </w:rPr>
        <w:tab/>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（24）基金管理人在募集期间未能达到基金的备案条件，《基金合同》不能生效，基金管理人承担全部募集费用，将已募集资金并加计银行同期活期存款利息在基金募集期结束后30日内退还基金认购人；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（25）执行生效的基金份额持有人大会的决议；</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（26）建立并保存基金份额持有人名册；</w:t>
      </w:r>
    </w:p>
    <w:p>
      <w:pPr>
        <w:spacing w:line="360" w:lineRule="auto"/>
        <w:ind w:firstLine="480" w:firstLineChars="200"/>
        <w:rPr>
          <w:rFonts w:hint="eastAsia" w:ascii="宋体" w:hAnsi="宋体" w:cs="宋体"/>
          <w:sz w:val="24"/>
          <w:highlight w:val="none"/>
        </w:rPr>
      </w:pPr>
      <w:r>
        <w:rPr>
          <w:rFonts w:hint="eastAsia" w:ascii="宋体" w:hAnsi="宋体" w:cs="宋体"/>
          <w:bCs/>
          <w:sz w:val="24"/>
          <w:highlight w:val="none"/>
        </w:rPr>
        <w:t>（27）法律法规及中国证监会规定的和《基金合同》约定的其他义务。</w:t>
      </w:r>
    </w:p>
    <w:p>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（三）</w:t>
      </w:r>
      <w:r>
        <w:rPr>
          <w:rFonts w:hint="eastAsia" w:ascii="宋体" w:hAnsi="宋体" w:cs="宋体"/>
          <w:bCs/>
          <w:sz w:val="24"/>
          <w:szCs w:val="24"/>
          <w:highlight w:val="none"/>
        </w:rPr>
        <w:tab/>
      </w:r>
      <w:r>
        <w:rPr>
          <w:rFonts w:hint="eastAsia" w:ascii="宋体" w:hAnsi="宋体" w:cs="宋体"/>
          <w:bCs/>
          <w:sz w:val="24"/>
          <w:szCs w:val="24"/>
          <w:highlight w:val="none"/>
        </w:rPr>
        <w:t>基金托管人的权利与义务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1、根据《基金法》、《运作办法》及其他有关规定，基金托管人的权利包括但不限于：</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（1）自《基金合同》生效之日起，依法律法规和《基金合同》的规定安全保管基金财产；</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（2）依《基金合同》约定获得基金托管费以及法律法规规定或监管部门批准的其他费用；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（4）根据相关市场规则，为基金开设资金账户、证券账户等投资所需账户，为基金办理证券交易资金清算；</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（5）提议召开或召集基金份额持有人大会；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（6）在基金管理人更换时，提名新的基金管理人；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（7）法律法规及中国证监会规定的和《基金合同》约定的其他权利。</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2、根据《基金法》、《运作办法》及其他有关规定，基金托管人的义务包括但不限于：</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（1）以诚实信用、勤勉尽责的原则持有并安全保管基金财产；</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（2）设立专门的基金托管部门，具有符合要求的营业场所，配备足够的、合格的熟悉基金托管业务的专职人员，负责基金财产托管事宜；</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（4）除依据《基金法》、《基金合同》及其他有关规定外，不得利用基金财产为自己及任何第三人谋取利益，不得委托第三人托管基金财产；</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（5）保管由基金管理人代表基金签订的与基金有关的重大合同及有关凭证；</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（6）按规定开设基金财产的资金账户和证券账户等投资所需账户,按照《基金合同》的约定，根据基金管理人的投资指令，及时办理清算、交割事宜；</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保守基金商业秘密，除《基金法》、《基金合同》及其他有关规定另有规定外，在基金信息公开披露前予以保密，不得向他人泄露，但向监管机构、司法机关等有权机关或基金托管人上市的证券交易所提供或向审计、法律等外部专业顾问提供的除外；</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（8）复核、审查基金管理人计算的基金资产净值、</w:t>
      </w:r>
      <w:r>
        <w:rPr>
          <w:rFonts w:hint="eastAsia" w:ascii="宋体" w:hAnsi="宋体" w:cs="宋体"/>
          <w:sz w:val="24"/>
          <w:highlight w:val="none"/>
        </w:rPr>
        <w:t>基金份额净值、</w:t>
      </w:r>
      <w:r>
        <w:rPr>
          <w:rFonts w:hint="eastAsia" w:ascii="宋体" w:hAnsi="宋体" w:cs="宋体"/>
          <w:bCs/>
          <w:sz w:val="24"/>
          <w:highlight w:val="none"/>
        </w:rPr>
        <w:t>基金份额申购、赎回价格；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（9）办理与基金托管业务活动有关的信息披露事项；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对基金财务会计报告、季度报告、中期报告和年度基金报告出具意见，说明基金管理人在各重要方面的运作是否严格按照《基金合同》的规定进行；如果基金管理人有未执行《基金合同》规定的行为，还应当说明基金托管人是否采取了适当的措施；</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（11）保存基金托管业务活动的记录、账册、报表和其他相关资料，保存期限</w:t>
      </w:r>
      <w:r>
        <w:rPr>
          <w:rFonts w:hint="eastAsia" w:ascii="宋体" w:hAnsi="宋体" w:cs="宋体"/>
          <w:sz w:val="24"/>
          <w:highlight w:val="none"/>
        </w:rPr>
        <w:t>不低于法律法规规定的最低期限</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（12）保存基金份额持有人名册；</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（13）按规定制作相关账册并与基金管理人核对；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（14）依据基金管理人的指令或有关规定向基金份额持有人支付基金收益和赎回款项；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（15）依据《基金法》、《基金合同》及其他有关规定，召集基金份额持有人大会或配合基金管理人、基金份额持有人依法召集基金份额持有人大会；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（16）按照法律法规和《基金合同》的规定监督基金管理人的投资运作；</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（17）参加基金财产清算小组，参与基金财产的保管、清理、估价、变现和分配；</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（18）面临解散、依法被撤销或者被依法宣告破产时，及时报告中国证监会和银行监管机构，并通知基金管理人；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（19）因违反《基金合同》导致基金财产损失时，应承担赔偿责任，其赔偿责任不因其退任而免除；</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（20）按规定监督基金管理人按法律法规和《基金合同》规定履行自己的义务，基金管理人因违反《基金合同》造成基金财产损失时，应为基金份额持有人利益向基金管理人追偿；</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（21）执行生效的基金份额持有人大会的决议；</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（22）法律法规及中国证监会规定的和《基金合同》约定的其他义务。</w:t>
      </w:r>
    </w:p>
    <w:p>
      <w:pPr>
        <w:spacing w:line="360" w:lineRule="auto"/>
        <w:rPr>
          <w:rFonts w:hint="eastAsia" w:ascii="宋体" w:hAnsi="宋体" w:cs="宋体"/>
          <w:sz w:val="24"/>
          <w:highlight w:val="none"/>
        </w:rPr>
      </w:pPr>
    </w:p>
    <w:p>
      <w:pPr>
        <w:spacing w:line="360" w:lineRule="auto"/>
        <w:rPr>
          <w:rFonts w:hint="eastAsia" w:ascii="宋体" w:hAnsi="宋体" w:cs="宋体"/>
          <w:b/>
          <w:sz w:val="24"/>
          <w:szCs w:val="24"/>
          <w:highlight w:val="none"/>
        </w:rPr>
      </w:pPr>
      <w:r>
        <w:rPr>
          <w:rFonts w:hint="eastAsia" w:ascii="宋体" w:hAnsi="宋体" w:cs="宋体"/>
          <w:b/>
          <w:sz w:val="28"/>
          <w:szCs w:val="24"/>
          <w:highlight w:val="none"/>
        </w:rPr>
        <w:t>二、基金份额持有人大会召集、议事及表决的程序和规则</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基金份额持有人大会由基金份额持有人组成，基金份额持有人的合法授权代表有权代表基金份额持有人出席会议并表决。</w:t>
      </w:r>
      <w:r>
        <w:rPr>
          <w:rFonts w:hint="eastAsia" w:ascii="宋体" w:hAnsi="宋体" w:cs="宋体"/>
          <w:sz w:val="24"/>
          <w:highlight w:val="none"/>
        </w:rPr>
        <w:t>除法律法规另有规定或基金合同另有约定外，</w:t>
      </w:r>
      <w:r>
        <w:rPr>
          <w:rFonts w:hint="eastAsia" w:ascii="宋体" w:hAnsi="宋体" w:cs="宋体"/>
          <w:bCs/>
          <w:sz w:val="24"/>
          <w:highlight w:val="none"/>
        </w:rPr>
        <w:t>基金份额持有人持有的每一基金份额拥有平等的投票权。</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本基金份额持有人大会不设日常机构，若未来本基金份额持有人大会成立日常机构，则按照届时有效的法律法规的规定执行。</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（一）召开事由</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1、除法律法规、中国证监会和基金合同另有规定外，当出现或需要决定下列事由之一的，应当召开基金份额持有人大会：</w:t>
      </w:r>
    </w:p>
    <w:p>
      <w:pPr>
        <w:spacing w:line="440" w:lineRule="atLeast"/>
        <w:ind w:firstLine="480" w:firstLineChars="200"/>
        <w:rPr>
          <w:rFonts w:hint="eastAsia" w:ascii="宋体" w:hAnsi="宋体" w:cs="宋体"/>
          <w:bCs/>
          <w:highlight w:val="none"/>
        </w:rPr>
      </w:pPr>
      <w:r>
        <w:rPr>
          <w:rFonts w:hint="eastAsia" w:ascii="宋体" w:hAnsi="宋体" w:cs="宋体"/>
          <w:bCs/>
          <w:sz w:val="24"/>
          <w:highlight w:val="none"/>
        </w:rPr>
        <w:t xml:space="preserve">（1）终止《基金合同》； </w:t>
      </w:r>
    </w:p>
    <w:p>
      <w:pPr>
        <w:spacing w:line="440" w:lineRule="atLeast"/>
        <w:ind w:firstLine="480" w:firstLineChars="200"/>
        <w:rPr>
          <w:rFonts w:hint="eastAsia" w:ascii="宋体" w:hAnsi="宋体" w:cs="宋体"/>
          <w:bCs/>
          <w:highlight w:val="none"/>
        </w:rPr>
      </w:pPr>
      <w:r>
        <w:rPr>
          <w:rFonts w:hint="eastAsia" w:ascii="宋体" w:hAnsi="宋体" w:cs="宋体"/>
          <w:bCs/>
          <w:sz w:val="24"/>
          <w:highlight w:val="none"/>
        </w:rPr>
        <w:t>（2）更换基金管理人；</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（3）更换基金托管人；</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（4）转换基金运作方式；</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（5）调整基金管理人、基金托管人的报酬标准或提高销售服务费费率；</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（6）变更基金类别；</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（7）本基金与其他基金的合并；</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（8）变更基金投资目标、范围或策略；</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（9）变更基金份额持有人大会程序；</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（10）基金管理人或基金托管人要求召开基金份额持有人大会；</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（11）单独或合计持有本基金总份额10%以上（含10%）基金份额的基金份额持有人（以基金管理人收到提议当日的基金份额计算，下同）就同一事项书面要求召开基金份额持有人大会；</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（12）对基金合同当事人权利和义务产生重大影响的其他事项；</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（13）法律法规、《基金合同》或中国证监会规定的其他应当召开基金份额持有人大会的事项。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2、在法律法规规定和《基金合同》约定的范围内且对基金份额持有人利益无实质性不利影响的前提下，以下情况可由基金管理人和基金托管人协商后修改，不需召开基金份额持有人大会：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w:t>
      </w:r>
      <w:r>
        <w:rPr>
          <w:rFonts w:hint="eastAsia" w:ascii="宋体" w:hAnsi="宋体" w:cs="宋体"/>
          <w:bCs/>
          <w:sz w:val="24"/>
          <w:highlight w:val="none"/>
          <w:lang w:val="en-US" w:eastAsia="zh-CN"/>
        </w:rPr>
        <w:t>1</w:t>
      </w:r>
      <w:r>
        <w:rPr>
          <w:rFonts w:hint="eastAsia" w:ascii="宋体" w:hAnsi="宋体" w:cs="宋体"/>
          <w:bCs/>
          <w:sz w:val="24"/>
          <w:highlight w:val="none"/>
        </w:rPr>
        <w:t>）法律法规要求增加的基金费用的收取；</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w:t>
      </w:r>
      <w:r>
        <w:rPr>
          <w:rFonts w:hint="eastAsia" w:ascii="宋体" w:hAnsi="宋体" w:cs="宋体"/>
          <w:bCs/>
          <w:sz w:val="24"/>
          <w:highlight w:val="none"/>
          <w:lang w:val="en-US" w:eastAsia="zh-CN"/>
        </w:rPr>
        <w:t>2</w:t>
      </w:r>
      <w:r>
        <w:rPr>
          <w:rFonts w:hint="eastAsia" w:ascii="宋体" w:hAnsi="宋体" w:cs="宋体"/>
          <w:bCs/>
          <w:sz w:val="24"/>
          <w:highlight w:val="none"/>
        </w:rPr>
        <w:t>）在法律法规和《基金合同》规定的范围内调整本基金的申购费率、调低销售服务费率或变更收费方式；</w:t>
      </w:r>
    </w:p>
    <w:p>
      <w:pPr>
        <w:spacing w:line="360" w:lineRule="auto"/>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rPr>
        <w:t>（3）增加、减少或调整基金份额类别设置或者调整基金份额分类办法及规则等</w:t>
      </w:r>
      <w:r>
        <w:rPr>
          <w:rFonts w:hint="eastAsia" w:ascii="宋体" w:hAnsi="宋体" w:cs="宋体"/>
          <w:bCs/>
          <w:sz w:val="24"/>
          <w:highlight w:val="none"/>
          <w:lang w:eastAsia="zh-CN"/>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（4）因相应的法律法规发生变动而应当对《基金合同》进行修改；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（5）对《基金合同》的修改对基金份额持有人利益无实质性不利影响或修改不涉及《基金合同》当事人权利义务关系发生重大变化；</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（6）基金管理人、基金登记机构、基金销售机构调整有关认购、申购、赎回、转换、基金交易、非交易过户、转托管、基金份额转让、质押等业务规则；</w:t>
      </w:r>
    </w:p>
    <w:p>
      <w:pPr>
        <w:spacing w:line="360" w:lineRule="auto"/>
        <w:ind w:firstLine="480" w:firstLineChars="200"/>
        <w:rPr>
          <w:rFonts w:hint="eastAsia" w:ascii="宋体" w:hAnsi="宋体" w:cs="宋体"/>
          <w:b/>
          <w:sz w:val="24"/>
          <w:highlight w:val="none"/>
        </w:rPr>
      </w:pPr>
      <w:r>
        <w:rPr>
          <w:rFonts w:hint="eastAsia" w:ascii="宋体" w:hAnsi="宋体" w:cs="宋体"/>
          <w:sz w:val="24"/>
          <w:highlight w:val="none"/>
        </w:rPr>
        <w:t>（7）基金管理人在履行适当程序后，</w:t>
      </w:r>
      <w:r>
        <w:rPr>
          <w:rFonts w:hint="eastAsia" w:ascii="宋体" w:hAnsi="宋体" w:cs="宋体"/>
          <w:bCs/>
          <w:sz w:val="24"/>
          <w:highlight w:val="none"/>
        </w:rPr>
        <w:t>基金推出新业务或服务；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（8）按照法律法规和《基金合同》规定不需召开基金份额持有人大会的其他情形。</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（二）会议召集人及召集方式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1、除法律法规规定或《基金合同》另有约定外，基金份额持有人大会由基金管理人召集；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2、基金管理人未按规定召集或不能召集时，由基金托管人召集；</w:t>
      </w:r>
    </w:p>
    <w:p>
      <w:pPr>
        <w:spacing w:line="360" w:lineRule="auto"/>
        <w:ind w:firstLine="480"/>
        <w:rPr>
          <w:rFonts w:hint="eastAsia" w:ascii="宋体" w:hAnsi="宋体" w:cs="宋体"/>
          <w:bCs/>
          <w:sz w:val="24"/>
          <w:highlight w:val="none"/>
        </w:rPr>
      </w:pPr>
      <w:r>
        <w:rPr>
          <w:rFonts w:hint="eastAsia" w:ascii="宋体" w:hAnsi="宋体" w:cs="宋体"/>
          <w:bCs/>
          <w:sz w:val="24"/>
          <w:highlight w:val="none"/>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或在规定时间内未能作出书面答复，基金托管人仍认为有必要召开的，应当由基金托管人自行召集，并自出具书面决定之日起60日内召开并告知基金管理人，基金管理人应当配合；</w:t>
      </w:r>
    </w:p>
    <w:p>
      <w:pPr>
        <w:spacing w:line="360" w:lineRule="auto"/>
        <w:ind w:firstLine="480"/>
        <w:rPr>
          <w:rFonts w:hint="eastAsia" w:ascii="宋体" w:hAnsi="宋体" w:cs="宋体"/>
          <w:bCs/>
          <w:sz w:val="24"/>
          <w:highlight w:val="none"/>
        </w:rPr>
      </w:pPr>
      <w:r>
        <w:rPr>
          <w:rFonts w:hint="eastAsia" w:ascii="宋体" w:hAnsi="宋体" w:cs="宋体"/>
          <w:bCs/>
          <w:sz w:val="24"/>
          <w:highlight w:val="none"/>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或在规定时间内未能作出书面答复，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代表基金份额10%以上（含10%）的基金份额持有人就同一事项要求召开基金份额持有人大会，而基金管理人、基金托管人都不召集或在规定时间内未能作出书面答复的，单独或合计代表基金份额10%以上（含10%）的基金份额持有人有权自行召集，并至少提前30日报中国证监会备案。基金份额持有人依法自行召集基金份额持有人大会的，基金管理人、基金托管人应当配合，不得阻碍、干扰；</w:t>
      </w:r>
    </w:p>
    <w:p>
      <w:pPr>
        <w:spacing w:line="360" w:lineRule="auto"/>
        <w:ind w:firstLine="480" w:firstLineChars="200"/>
        <w:rPr>
          <w:rFonts w:hint="eastAsia" w:ascii="宋体" w:hAnsi="宋体" w:cs="宋体"/>
          <w:sz w:val="24"/>
          <w:highlight w:val="none"/>
        </w:rPr>
      </w:pPr>
      <w:r>
        <w:rPr>
          <w:rFonts w:hint="eastAsia" w:ascii="宋体" w:hAnsi="宋体" w:cs="宋体"/>
          <w:bCs/>
          <w:sz w:val="24"/>
          <w:highlight w:val="none"/>
        </w:rPr>
        <w:t>6、基金份额持有人会议的召集人负责选择确定开会时间、地点、方式和权益登记日。</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（三）召开基金份额持有人大会的通知时间、通知内容、通知方式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1、召开基金份额持有人大会，召集人应于会议召开前30日，在规定媒介公告。基金份额持有人大会通知应至少载明以下内容：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（1）会议召开的时间、地点和会议形式；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（2）会议拟审议的事项、议事程序和表决方式；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（3）有权出席基金份额持有人大会的基金份额持有人的权益登记日；</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（4）授权委托证明的内容要求（包括但不限于代理人身份，代理权限和代理有效期限等）、送达时间和地点;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（5）会务常设联系人姓名及联系电话；</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（6）出席会议者必须准备的文件和必须履行的手续；</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（7）召集人需要通知的其他事项。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（四）基金份额持有人出席会议的方式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基金份额持有人大会可通过现场开会方式或通讯开会方式以及法律法规或监管机构允许的其他方式召开，会议的召开方式由会议召集人确定。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三个月以后、六个月以内，就原定审议事项重新召集基金份额持有人大会。重新召集的基金份额持有人大会到会者在权益登记日代表的有效的基金份额应不少于本基金在权益登记日基金总份额的三分之一（含三分之一）。</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通讯开会。通讯开会系指基金份额持有人将其对表决事项的投票以书面形式或会议通知载明的其他方式在表决截止日以前送达至召集人指定的地址。通讯开会应以书面方式或会议通知载明的其他方式进行表决。</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在同时符合以下条件时，通讯开会的方式视为有效：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（1）会议召集人按《基金合同》约定公布会议通知后，在2个工作日内连续公布相关提示性公告；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本人直接出具表决意见或授权他人代表出具表决意见的，基金份额持有人所持有的基金份额不小于在权益登记日基金总份额的二分之一（含二分之一）；若本人直接出具表决意见或授权他人代表出具表决意见参加基金份额持有人大会的持有人的基金份额低于前款规定比例的，召集人可以在原公告的基金份额持有人大会召开时间的三个月以后、六个月以内，就原定审议事项重新召集基金份额持有人大会。重新召集的基金份额持有人大会应当有代表三分之一以上（含三分之一）基金份额的持有人直接出具表决意见或授权他人代表出具表决意见；</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3、基金份额持有人授权他人代为出席会议并表决的，授权方式可以采用书面、网络、电话、短信或其他方式，具体方式在会议通知中列明。</w:t>
      </w:r>
    </w:p>
    <w:p>
      <w:pPr>
        <w:spacing w:line="360" w:lineRule="auto"/>
        <w:ind w:firstLine="480" w:firstLineChars="200"/>
        <w:rPr>
          <w:rFonts w:hint="eastAsia" w:ascii="宋体" w:hAnsi="宋体" w:cs="宋体"/>
          <w:sz w:val="24"/>
          <w:highlight w:val="none"/>
        </w:rPr>
      </w:pPr>
      <w:r>
        <w:rPr>
          <w:rFonts w:hint="eastAsia" w:ascii="宋体" w:hAnsi="宋体" w:cs="宋体"/>
          <w:bCs/>
          <w:sz w:val="24"/>
          <w:highlight w:val="none"/>
        </w:rPr>
        <w:t>4、在法律法规和监管机关允许的情况下，在会议召开方式上，本基金亦可采用网络、电话等非现场方式或者以现场方式与非现场方式相结合的方式召开基金份额持有人大会，具体方式由会议召集人确定并在会议通知中列明。</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（五）议事内容与程序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1、议事内容及提案权</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基金份额持有人大会的召集人发出召集会议的通知后，对原有提案的修改应当在基金份额持有人大会召开前及时公告。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基金份额持有人大会不得对未事先公告的议事内容进行表决。</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2、议事程序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（1）现场开会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会议召集人应当制作出席会议人员的签名册。签名册载明参加会议人员姓名（或单位名称）、身份证明文件号码、持有或代表有表决权的基金份额、委托人姓名（或单位名称）和联系方式等事项。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（2）通讯开会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在通讯开会的情况下，首先由召集人提前30日公布提案，在所通知的表决截止日期后2个工作日内在公证机关监督下由召集人统计全部有效表决，在公证机关监督下形成决议。</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（六）表决</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基金份额持有人所持每份基金份额有一票表决权。</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基金份额持有人大会决议分为一般决议和特别决议：</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2、特别决议，特别决议应当经参加大会的基金份额持有人或其代理人所持表决权的三分之二 以上（含三分之二 ）通过方可做出。除法律法规另有规定或本基金合同另有约定外，转换基金运作方式、更换基金管理人或者基金托管人、终止《基金合同》、与其他基金合并以特别决议通过方为有效。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基金份额持有人大会采取记名方式进行投票表决。</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采取通讯方式进行表决时，除非在计票时监督员及公证机关均认为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基金份额持有人大会的各项提案或同一项提案内并列的各项议题应当分开审议、逐项表决。</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（七）计票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1、现场开会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（2）监票人应当在基金份额持有人表决后立即进行清点并由大会主持人当场公布计票结果。</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（4）计票过程应由公证机关予以公证，基金管理人或基金托管人拒不出席大会的，不影响计票的效力。</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2、通讯开会</w:t>
      </w:r>
    </w:p>
    <w:p>
      <w:pPr>
        <w:spacing w:line="360" w:lineRule="auto"/>
        <w:ind w:firstLine="480" w:firstLineChars="200"/>
        <w:rPr>
          <w:rFonts w:hint="eastAsia" w:ascii="宋体" w:hAnsi="宋体" w:cs="宋体"/>
          <w:sz w:val="24"/>
          <w:highlight w:val="none"/>
        </w:rPr>
      </w:pPr>
      <w:r>
        <w:rPr>
          <w:rFonts w:hint="eastAsia" w:ascii="宋体" w:hAnsi="宋体" w:cs="宋体"/>
          <w:bCs/>
          <w:sz w:val="24"/>
          <w:highlight w:val="none"/>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（八）生效与公告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基金份额持有人大会的决议，召集人应当自通过之日起5日内报中国证监会备案。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基金份额持有人大会决议自表决通过之日起生效。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基金份额持有人大会决议自生效之日起2日内在规定媒介上公告。如果采用通讯方式进行表决，在公告基金份额持有人大会决议时，必须将公证书全文、公证机构、公证员姓名等一同公告。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基金管理人、基金托管人和基金份额持有人应当执行生效的基金份额持有人大会的决议。生效的基金份额持有人大会决议对全体基金份额持有人、基金管理人、基金托管人均有约束力。</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（九</w:t>
      </w:r>
      <w:r>
        <w:rPr>
          <w:rStyle w:val="26"/>
          <w:rFonts w:hint="eastAsia"/>
          <w:highlight w:val="none"/>
          <w:lang w:val="zh-CN"/>
        </w:rPr>
        <w:t>）</w:t>
      </w:r>
      <w:r>
        <w:rPr>
          <w:rFonts w:hint="eastAsia" w:ascii="宋体" w:hAnsi="宋体" w:cs="宋体"/>
          <w:bCs/>
          <w:sz w:val="24"/>
          <w:highlight w:val="none"/>
        </w:rPr>
        <w:t>本基金持有的基金召开基金份额持有人大会时，本基金管理人应当代表本基金份额持有人的利益参与所持有的基金的基金份额持有人大会，并在遵循本基金份额持有人利益优先原则的前提下行使相关投票权利，无需事先召开本基金的基金份额持有人大会。本基金管理人需将表决意见事先征求基金托管人的意见，并将表决意见在定期报告中予以披露。投资者持有本基金基金份额的行为即视为同意本基金管理人直接参与本基金持有的基金的基金份额持有人大会并行使相关投票权利。</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遵循本基金基金份额持有人利益优先原则的前提下，本基金的基金管理人可代表本基金的基金份额持有人提议召开或召集本基金所持基金的基金份额持有人大会，无需事先召开本基金的基金份额持有人大会。投资者持有本基金基金份额的行为即视为同意本基金管理人代表本基金的基金份额持有人提议召开或召集本基金所持基金的基金份额持有人大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法律法规对于本基金参与本基金持有的基金召开的基金份额持有人大会或召集本基金持有的基金的基金份额持有人大会的程序或要求另有规定的，从其规定。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（十）实施侧袋机制期间基金份额持有人大会的特殊约定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1、基金份额持有人行使提议权、召集权、提名权所需单独或合计代表相关基金份额10%以上（含10%）；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2、现场开会的到会者在权益登记日代表的基金份额不少于本基金在权益登记日相关基金份额的二分之一（含二分之一）；</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3、通讯开会的直接出具表决意见或授权他人代表出具表决意见的基金份额持有人所持有的基金份额不小于在权益登记日相关基金份额的二分之一（含二分之一）；</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当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5、现场开会由出席大会的基金份额持有人和代理人所持表决权的50%以上（含50%）选举产生一名基金份额持有人作为该次基金份额持有人大会的主持人；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6、一般决议须经参加大会的基金份额持有人或其代理人所持表决权的二分之一以上（含二分之一）通过；</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7、特别决议应当经参加大会的基金份额持有人或其代理人所持表决权的三分之二以上（含三分之二）通过。</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侧袋机制实施期间，基金份额持有人大会审议事项涉及主袋账户和侧袋账户的，应分别由主袋账户、侧袋账户的基金份额持有人进行表决，同一类别账户内的每份基金份额具有平等的表决权。表决事项未涉及侧袋账户的，侧袋账户份额无表决权。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侧袋机制实施期间，关于基金份额持有人大会的相关规定以本节特殊约定内容为准，本节没有规定的适用上文相关约定。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十一）本部分关于基金份额持有人大会召开事由、召开条件、议事程序、表决条件等规定，凡是直接引用法律法规或监管规定的部分，如将来法律法规或监管规定修改导致相关内容被取消或变更的，经与基金托管人协商一致，基金管理人提前公告后，可直接对本部分内容进行修改和调整，无需召开基金份额持有人大会审议。</w:t>
      </w:r>
    </w:p>
    <w:p>
      <w:pPr>
        <w:spacing w:line="360" w:lineRule="auto"/>
        <w:ind w:firstLine="480" w:firstLineChars="200"/>
        <w:rPr>
          <w:rFonts w:hint="eastAsia" w:ascii="宋体" w:hAnsi="宋体" w:cs="宋体"/>
          <w:bCs/>
          <w:sz w:val="24"/>
          <w:highlight w:val="none"/>
        </w:rPr>
      </w:pPr>
    </w:p>
    <w:p>
      <w:pPr>
        <w:spacing w:line="360" w:lineRule="auto"/>
        <w:rPr>
          <w:rFonts w:hint="eastAsia" w:ascii="宋体" w:hAnsi="宋体" w:cs="宋体"/>
          <w:b/>
          <w:sz w:val="28"/>
          <w:szCs w:val="24"/>
          <w:highlight w:val="none"/>
        </w:rPr>
      </w:pPr>
      <w:r>
        <w:rPr>
          <w:rFonts w:hint="eastAsia" w:ascii="宋体" w:hAnsi="宋体" w:cs="宋体"/>
          <w:b/>
          <w:sz w:val="28"/>
          <w:szCs w:val="24"/>
          <w:highlight w:val="none"/>
        </w:rPr>
        <w:t>三、基金收益分配原则、执行方式</w:t>
      </w:r>
    </w:p>
    <w:p>
      <w:pPr>
        <w:spacing w:line="360" w:lineRule="auto"/>
        <w:ind w:firstLine="540" w:firstLineChars="225"/>
        <w:rPr>
          <w:rFonts w:hint="eastAsia" w:ascii="宋体" w:hAnsi="宋体" w:cs="宋体"/>
          <w:sz w:val="24"/>
          <w:highlight w:val="none"/>
        </w:rPr>
      </w:pPr>
      <w:r>
        <w:rPr>
          <w:rFonts w:hint="eastAsia" w:ascii="宋体" w:hAnsi="宋体" w:cs="宋体"/>
          <w:sz w:val="24"/>
          <w:highlight w:val="none"/>
        </w:rPr>
        <w:t>（一）基金利润的构成</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基金利润指基金利息收入、投资收益、公允价值变动收益和其他收入扣除相关费用后的余额，基金已实现收益指基金利润减去公允价值变动收益后的余额。</w:t>
      </w:r>
    </w:p>
    <w:p>
      <w:pPr>
        <w:spacing w:line="360" w:lineRule="auto"/>
        <w:ind w:firstLine="540" w:firstLineChars="225"/>
        <w:rPr>
          <w:rFonts w:hint="eastAsia" w:ascii="宋体" w:hAnsi="宋体" w:cs="宋体"/>
          <w:sz w:val="24"/>
          <w:highlight w:val="none"/>
        </w:rPr>
      </w:pPr>
      <w:r>
        <w:rPr>
          <w:rFonts w:hint="eastAsia" w:ascii="宋体" w:hAnsi="宋体" w:cs="宋体"/>
          <w:sz w:val="24"/>
          <w:highlight w:val="none"/>
        </w:rPr>
        <w:t>（二）基金可供分配利润</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基金可供分配利润指截至收益分配基准日基金未分配利润与未分配利润中已实现收益的孰低数。</w:t>
      </w:r>
    </w:p>
    <w:p>
      <w:pPr>
        <w:spacing w:line="360" w:lineRule="auto"/>
        <w:ind w:firstLine="540" w:firstLineChars="225"/>
        <w:rPr>
          <w:rFonts w:hint="eastAsia" w:ascii="宋体" w:hAnsi="宋体" w:cs="宋体"/>
          <w:sz w:val="24"/>
          <w:highlight w:val="none"/>
        </w:rPr>
      </w:pPr>
      <w:r>
        <w:rPr>
          <w:rFonts w:hint="eastAsia" w:ascii="宋体" w:hAnsi="宋体" w:cs="宋体"/>
          <w:sz w:val="24"/>
          <w:highlight w:val="none"/>
        </w:rPr>
        <w:t>（三）基金收益分配原则</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1、在符合有关基金分红条件的前提下，</w:t>
      </w:r>
      <w:r>
        <w:rPr>
          <w:rFonts w:hint="eastAsia" w:ascii="宋体" w:hAnsi="宋体" w:cs="宋体"/>
          <w:sz w:val="24"/>
          <w:highlight w:val="none"/>
        </w:rPr>
        <w:t>本基金</w:t>
      </w:r>
      <w:r>
        <w:rPr>
          <w:rFonts w:hint="eastAsia" w:ascii="宋体" w:hAnsi="宋体" w:cs="宋体"/>
          <w:bCs/>
          <w:sz w:val="24"/>
          <w:highlight w:val="none"/>
        </w:rPr>
        <w:t>管理人可以根据实际情况进行</w:t>
      </w:r>
      <w:r>
        <w:rPr>
          <w:rFonts w:hint="eastAsia" w:ascii="宋体" w:hAnsi="宋体" w:cs="宋体"/>
          <w:sz w:val="24"/>
          <w:highlight w:val="none"/>
        </w:rPr>
        <w:t>收益分配</w:t>
      </w:r>
      <w:r>
        <w:rPr>
          <w:rFonts w:hint="eastAsia" w:ascii="宋体" w:hAnsi="宋体" w:cs="宋体"/>
          <w:bCs/>
          <w:sz w:val="24"/>
          <w:highlight w:val="none"/>
        </w:rPr>
        <w:t>，具体</w:t>
      </w:r>
      <w:r>
        <w:rPr>
          <w:rFonts w:hint="eastAsia" w:ascii="宋体" w:hAnsi="宋体" w:cs="宋体"/>
          <w:sz w:val="24"/>
          <w:highlight w:val="none"/>
        </w:rPr>
        <w:t>分配</w:t>
      </w:r>
      <w:r>
        <w:rPr>
          <w:rFonts w:hint="eastAsia" w:ascii="宋体" w:hAnsi="宋体" w:cs="宋体"/>
          <w:bCs/>
          <w:sz w:val="24"/>
          <w:highlight w:val="none"/>
        </w:rPr>
        <w:t>方案以公告为准，若《基金合同》生效不满3个月可不进行收益分配；</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2、本基金收益分配方式分两种：现金分红与红利再投资，投资者可选择现金红利或将现金红利自动转为相应类别的基金份额进行再投资；若投资者不选择，本基金默认的收益分配方式是现金分红；</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3、基金收益分配后各类基金份额净值不能低于面值；即基金收益分配基准日的各类基金份额净值减去每单位基金份额收益分配金额后不能低于面值；</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4、由于各类基金份额类别的收费方式不同，各基金份额类别对应的可分配收益将有所不同。本基金同一基金份额类别的每一基金份额享有同等分配权；</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5、法律法规或监管机关另有规定的，从其规定。</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在不违反法律法规规定、基金合同约定以及对现有基金份额持有人利益无实质不利影响的前提下，基金管理人在履行适当程序后可对基金收益分配原则进行调整，但应于变更实施日前在规定媒介公告。</w:t>
      </w:r>
    </w:p>
    <w:p>
      <w:pPr>
        <w:spacing w:line="360" w:lineRule="auto"/>
        <w:ind w:firstLine="540" w:firstLineChars="225"/>
        <w:rPr>
          <w:rFonts w:hint="eastAsia" w:ascii="宋体" w:hAnsi="宋体" w:cs="宋体"/>
          <w:sz w:val="24"/>
          <w:highlight w:val="none"/>
        </w:rPr>
      </w:pPr>
      <w:r>
        <w:rPr>
          <w:rFonts w:hint="eastAsia" w:ascii="宋体" w:hAnsi="宋体" w:cs="宋体"/>
          <w:sz w:val="24"/>
          <w:highlight w:val="none"/>
        </w:rPr>
        <w:t>（四）收益分配方案</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基金收益分配方案中应载明截止收益分配基准日的可供分配利润、基金收益分配对象、分配时间、分配数额及比例、分配方式等内容。</w:t>
      </w:r>
    </w:p>
    <w:p>
      <w:pPr>
        <w:spacing w:line="360" w:lineRule="auto"/>
        <w:ind w:firstLine="540" w:firstLineChars="225"/>
        <w:rPr>
          <w:rFonts w:hint="eastAsia" w:ascii="宋体" w:hAnsi="宋体" w:cs="宋体"/>
          <w:sz w:val="24"/>
          <w:highlight w:val="none"/>
        </w:rPr>
      </w:pPr>
      <w:r>
        <w:rPr>
          <w:rFonts w:hint="eastAsia" w:ascii="宋体" w:hAnsi="宋体" w:cs="宋体"/>
          <w:sz w:val="24"/>
          <w:highlight w:val="none"/>
        </w:rPr>
        <w:t>（五）收益分配方案的确定、公告与实施</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本基金收益分配方案由基金管理人拟定，并由基金托管人复核，依照《信息披露办法》的有关规定在规定媒介公告。</w:t>
      </w:r>
    </w:p>
    <w:p>
      <w:pPr>
        <w:spacing w:line="360" w:lineRule="auto"/>
        <w:ind w:firstLine="540" w:firstLineChars="225"/>
        <w:rPr>
          <w:rFonts w:hint="eastAsia" w:ascii="宋体" w:hAnsi="宋体" w:cs="宋体"/>
          <w:sz w:val="24"/>
          <w:highlight w:val="none"/>
        </w:rPr>
      </w:pPr>
      <w:r>
        <w:rPr>
          <w:rFonts w:hint="eastAsia" w:ascii="宋体" w:hAnsi="宋体" w:cs="宋体"/>
          <w:sz w:val="24"/>
          <w:highlight w:val="none"/>
        </w:rPr>
        <w:t>（六）基金收益分配中发生的费用</w:t>
      </w:r>
    </w:p>
    <w:p>
      <w:pPr>
        <w:spacing w:line="360" w:lineRule="auto"/>
        <w:ind w:firstLine="540" w:firstLineChars="225"/>
        <w:rPr>
          <w:rFonts w:hint="eastAsia" w:ascii="宋体" w:hAnsi="宋体" w:cs="宋体"/>
          <w:sz w:val="24"/>
          <w:highlight w:val="none"/>
        </w:rPr>
      </w:pPr>
      <w:r>
        <w:rPr>
          <w:rFonts w:hint="eastAsia" w:ascii="宋体" w:hAnsi="宋体" w:cs="宋体"/>
          <w:bCs/>
          <w:sz w:val="24"/>
          <w:highlight w:val="none"/>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pPr>
        <w:spacing w:line="360" w:lineRule="auto"/>
        <w:ind w:firstLine="540" w:firstLineChars="225"/>
        <w:rPr>
          <w:rFonts w:hint="eastAsia" w:ascii="宋体" w:hAnsi="宋体" w:cs="宋体"/>
          <w:sz w:val="24"/>
          <w:highlight w:val="none"/>
        </w:rPr>
      </w:pPr>
      <w:r>
        <w:rPr>
          <w:rFonts w:hint="eastAsia" w:ascii="宋体" w:hAnsi="宋体" w:cs="宋体"/>
          <w:sz w:val="24"/>
          <w:highlight w:val="none"/>
        </w:rPr>
        <w:t>（七）实施侧袋机制期间的收益分配</w:t>
      </w:r>
    </w:p>
    <w:p>
      <w:pPr>
        <w:spacing w:line="360" w:lineRule="auto"/>
        <w:ind w:firstLine="540" w:firstLineChars="225"/>
        <w:rPr>
          <w:rFonts w:hint="eastAsia" w:ascii="宋体" w:hAnsi="宋体" w:cs="宋体"/>
          <w:sz w:val="24"/>
          <w:highlight w:val="none"/>
        </w:rPr>
      </w:pPr>
      <w:r>
        <w:rPr>
          <w:rFonts w:hint="eastAsia" w:ascii="宋体" w:hAnsi="宋体" w:cs="宋体"/>
          <w:sz w:val="24"/>
          <w:highlight w:val="none"/>
        </w:rPr>
        <w:t>本基金实施侧袋机制的，侧袋账户不进行收益分配，详见招募说明书的规定。</w:t>
      </w:r>
    </w:p>
    <w:p>
      <w:pPr>
        <w:spacing w:line="360" w:lineRule="auto"/>
        <w:ind w:firstLine="540" w:firstLineChars="225"/>
        <w:rPr>
          <w:rFonts w:hint="eastAsia" w:ascii="宋体" w:hAnsi="宋体" w:cs="宋体"/>
          <w:sz w:val="24"/>
          <w:highlight w:val="none"/>
        </w:rPr>
      </w:pPr>
    </w:p>
    <w:p>
      <w:pPr>
        <w:spacing w:line="360" w:lineRule="auto"/>
        <w:ind w:firstLine="632" w:firstLineChars="225"/>
        <w:rPr>
          <w:rFonts w:hint="eastAsia" w:ascii="宋体" w:hAnsi="宋体" w:cs="宋体"/>
          <w:b/>
          <w:sz w:val="24"/>
          <w:szCs w:val="24"/>
          <w:highlight w:val="none"/>
        </w:rPr>
      </w:pPr>
      <w:r>
        <w:rPr>
          <w:rFonts w:hint="eastAsia" w:ascii="宋体" w:hAnsi="宋体" w:cs="宋体"/>
          <w:b/>
          <w:sz w:val="28"/>
          <w:szCs w:val="24"/>
          <w:highlight w:val="none"/>
        </w:rPr>
        <w:t>四、与基金财产管理、运营有关费用的提取、支付方式与比例</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（一）基金费用的种类</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1、基金管理人的管理费；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2、基金托管人的托管费；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3、C类基金份额的销售服务费；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4、除法律法规、中国证监会另有规定外，《基金合同》生效后与基金相关的信息披露费用；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5、《基金合同》生效后与基金相关的会计师费、律师费、审计费、公证费、诉讼费和仲裁费；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6、基金份额持有人大会费用；</w:t>
      </w:r>
    </w:p>
    <w:p>
      <w:pPr>
        <w:spacing w:line="360" w:lineRule="auto"/>
        <w:ind w:firstLine="480" w:firstLineChars="200"/>
        <w:rPr>
          <w:rFonts w:hint="eastAsia" w:ascii="宋体" w:hAnsi="宋体" w:cs="宋体"/>
          <w:bCs/>
          <w:sz w:val="24"/>
          <w:highlight w:val="none"/>
        </w:rPr>
      </w:pPr>
      <w:r>
        <w:rPr>
          <w:rFonts w:hint="eastAsia" w:ascii="宋体" w:hAnsi="宋体" w:cs="宋体"/>
          <w:sz w:val="24"/>
          <w:highlight w:val="none"/>
        </w:rPr>
        <w:t>7</w:t>
      </w:r>
      <w:r>
        <w:rPr>
          <w:rFonts w:hint="eastAsia" w:ascii="宋体" w:hAnsi="宋体" w:cs="宋体"/>
          <w:bCs/>
          <w:sz w:val="24"/>
          <w:highlight w:val="none"/>
        </w:rPr>
        <w:t>、基金相关账户的开户及维护费用；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8、基金的证券、期货交易费用；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9、基金的银行汇划费用；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10、基金投资港股通标的股票的合理费用；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11、基金投资其他基金而产生的费用，但法律法规禁止从基金财产中列支或基金合同另有约定的除外；</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12、按照国家有关规定和《基金合同》约定，可以在基金财产中列支的其他费用。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（二）基金费用计提方法、计提标准和支付方式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1、基金管理人的管理费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本基金的管理费按前一日基金资产净值扣除基金财产中本基金管理人自身管理的基金部分所对应资产净值后剩余部分（若为负数，则取0）的0.60%年费率计提。管理费的计算方法如下：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H＝E×0.60%÷当年天数</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H为每日应计提的基金管理费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E为前一日的基金资产净值扣除基金财产中本基金管理人自身管理的基金部分所对应资产净值后剩余部分（若为负数，则取0）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基金管理费每日计提，逐日累计至每月月末，按月支付，经基金管理人与基金托管人双方核对无误后，基金托管人</w:t>
      </w:r>
      <w:r>
        <w:rPr>
          <w:rFonts w:hint="eastAsia" w:ascii="宋体" w:hAnsi="宋体" w:cs="宋体"/>
          <w:bCs/>
          <w:sz w:val="24"/>
          <w:szCs w:val="24"/>
          <w:highlight w:val="none"/>
        </w:rPr>
        <w:t>按照</w:t>
      </w:r>
      <w:r>
        <w:rPr>
          <w:rFonts w:hint="eastAsia" w:ascii="宋体" w:hAnsi="宋体" w:cs="宋体"/>
          <w:sz w:val="24"/>
          <w:szCs w:val="24"/>
          <w:highlight w:val="none"/>
        </w:rPr>
        <w:t>与基金管理人协商一致的方式</w:t>
      </w:r>
      <w:r>
        <w:rPr>
          <w:rFonts w:hint="eastAsia" w:ascii="宋体" w:hAnsi="宋体" w:cs="宋体"/>
          <w:bCs/>
          <w:sz w:val="24"/>
          <w:highlight w:val="none"/>
        </w:rPr>
        <w:t>于次月首日起5个工作日内从基金财产中一次性支付给基金管理人。若遇法定节假日、公休假或不可抗力等，支付日期顺延。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2、基金托管人的托管费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本基金的托管费按前一日基金资产净值扣除基金财产中本基金托管人自身托管的基金部分所对应资产净值后剩余部分（若为负数，则取0）的0.10%的年费率计提。托管费的计算方法如下：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H＝E×0.10%÷当年天数</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H为每日应计提的基金托管费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E为前一日的基金资产净值扣除基金财产中本基金托管人自身托管的基金部分所对应资产净值后剩余部分（若为负数，则取0）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基金托管费每日计提，逐日累计至每月月末，按月支付，经基金管理人与基金托管人双方核对无误后，基金托管人</w:t>
      </w:r>
      <w:r>
        <w:rPr>
          <w:rFonts w:hint="eastAsia" w:ascii="宋体" w:hAnsi="宋体" w:cs="宋体"/>
          <w:bCs/>
          <w:sz w:val="24"/>
          <w:szCs w:val="24"/>
          <w:highlight w:val="none"/>
        </w:rPr>
        <w:t>按照</w:t>
      </w:r>
      <w:r>
        <w:rPr>
          <w:rFonts w:hint="eastAsia" w:ascii="宋体" w:hAnsi="宋体" w:cs="宋体"/>
          <w:sz w:val="24"/>
          <w:szCs w:val="24"/>
          <w:highlight w:val="none"/>
        </w:rPr>
        <w:t>与基金管理人协商一致的方式</w:t>
      </w:r>
      <w:r>
        <w:rPr>
          <w:rFonts w:hint="eastAsia" w:ascii="宋体" w:hAnsi="宋体" w:cs="宋体"/>
          <w:bCs/>
          <w:sz w:val="24"/>
          <w:highlight w:val="none"/>
        </w:rPr>
        <w:t>于次月首日起5个工作日内从基金财产中一次性支取。若遇法定节假日、公休假或不可抗力等，支付日期顺延。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3、基金销售服务费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A类基金份额不收取销售服务费，C类基金份额的销售服务费年费率为0.20%。本基金销售服务费将专门用于本基金的销售与基金份额持有人服务，基金管理人将在基金年度报告中对该项费用的列支情况作专项说明。销售服务费计提的计算公式如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H=E×0.20%÷当年天数</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H为C类基金份额每日应计提的销售服务费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E为C类基金份额前一日的基金资产净值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C类基金份额的基金销售服务费每日计提。</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（1）基金管理人销售服务费的返还机制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通过基金管理人认购、申购C类基金份额的不收取销售服务费。对于通过基金管理人认购、申购该类基金份额的情况，将先行计提相应的销售服务费，待投资者赎回基金份额或基金合同终止时，该费用将随同赎回款（或清算款）一并返还给投资者。</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基金销售子公司销售母公司所管理基金的，按照本条要求执行。</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若遇法定节假日、公休假或不可抗力等，支付日期顺延。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（2）代销机构的销售服务费的收取与返还机制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对于投资者持续持有期限未超过一年（即365天，下同）的基金份额收取的销售服务费，逐日累计至每月月末，按月支付，经基金管理人与基金托管人双方核对无误后，基金托管人按照与基金管理人协商一致的方式于次月首日起5个工作日内从基金财产中一次性支付给登记机构，由登记机构代付给销售机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对于基金份额持有人持续持有期限超过一年的C类基金份额，不再继续收取销售服务费。对于持续持有期限超过一年的基金份额继续计提的销售服务费，在投资者赎回基金份额或基金合同终止时，该费用随赎回款（或清算款）一并返还给投资者。若遇法定节假日、公休假或不可抗力等，支付日期顺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上述“（一）基金费用的种类”中第4-11项费用，根据有关法规及相应协议规定，按费用实际支出金额列入当期费用，由基金托管人从基金财产中支付。</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（三）不列入基金费用的项目</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下列费用不列入基金费用：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1、基金管理人和基金托管人因未履行或未完全履行义务导致的费用支出或基金财产的损失；</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2、基金管理人和基金托管人处理与基金运作无关的事项发生的费用；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3、《基金合同》生效前的相关费用；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4、其他根据相关法律法规及中国证监会的有关规定不得列入基金费用的项目。</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（四）基金综合费用水平</w:t>
      </w:r>
    </w:p>
    <w:p>
      <w:pPr>
        <w:spacing w:line="360" w:lineRule="auto"/>
        <w:ind w:firstLine="480" w:firstLineChars="200"/>
        <w:rPr>
          <w:rFonts w:hint="eastAsia" w:ascii="宋体" w:hAnsi="宋体" w:cs="宋体"/>
          <w:sz w:val="24"/>
          <w:highlight w:val="none"/>
        </w:rPr>
      </w:pPr>
      <w:r>
        <w:rPr>
          <w:rFonts w:hint="eastAsia" w:ascii="宋体" w:hAnsi="宋体" w:cs="宋体"/>
          <w:bCs/>
          <w:sz w:val="24"/>
          <w:highlight w:val="none"/>
        </w:rPr>
        <w:t>本基金综合费用水平在招募说明书及产品资料概要中列示。</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（五）实施侧袋机制期间的基金费用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本基金实施侧袋机制的，与侧袋账户有关的费用可以从侧袋账户中列支，但应待侧袋账户资产变现后方可列支，有关费用可酌情收取或减免，但不得收取管理费，详见招募说明书的规定或相关公告。</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（六）基金税收</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本基金运作过程中涉及的各纳税主体，其纳税义务按国家税收法律、法规执行。基金财产投资的相关税收，由基金份额持有人承担，基金管理人或者其他扣缴义务人按照国家有关税收征收的规定代扣代缴。</w:t>
      </w:r>
    </w:p>
    <w:p>
      <w:pPr>
        <w:spacing w:line="360" w:lineRule="auto"/>
        <w:ind w:firstLine="480" w:firstLineChars="200"/>
        <w:rPr>
          <w:rFonts w:hint="eastAsia" w:ascii="宋体" w:hAnsi="宋体" w:cs="宋体"/>
          <w:sz w:val="24"/>
          <w:highlight w:val="none"/>
        </w:rPr>
      </w:pPr>
    </w:p>
    <w:p>
      <w:pPr>
        <w:spacing w:line="360" w:lineRule="auto"/>
        <w:ind w:firstLine="562" w:firstLineChars="200"/>
        <w:rPr>
          <w:rFonts w:hint="eastAsia" w:ascii="宋体" w:hAnsi="宋体" w:cs="宋体"/>
          <w:b/>
          <w:sz w:val="24"/>
          <w:szCs w:val="24"/>
          <w:highlight w:val="none"/>
        </w:rPr>
      </w:pPr>
      <w:r>
        <w:rPr>
          <w:rFonts w:hint="eastAsia" w:ascii="宋体" w:hAnsi="宋体" w:cs="宋体"/>
          <w:b/>
          <w:sz w:val="28"/>
          <w:szCs w:val="24"/>
          <w:highlight w:val="none"/>
        </w:rPr>
        <w:t>五、基金财产的投资方向和投资限制</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（一）投资目标</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本基金在严格的风险控制的基础上，力争实现基金资产的稳健增值。</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（二）投资范围</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基金的投资范围为具有良好流动性的金融工具，包括债券(包括国债、央行票据、金融债券、企业债券、公司债券、中期票据、短期融资券、超短期融资券、次级债券、地方政府债券、可转换债券、可交换债券及其他经中国证监会允许投资的债券)、国内依法发行或上市的股票、存托凭证、港股通标的股票、资产支持证券、债券回购、银行存款、同业存单、国债期货、经中国证监会依法核准或注册的公开募集证券投资基金（仅限于全市场的股票型ETF及基金管理人旗下的股票型基金、计入权益类资产的混合型基金，不包括QDII基金、香港互认基金、基金中基金、其他可投资公募基金的非基金中基金、货币市场基金、非本基金管理人管理的基金（全市场的股票型ETF除外））以及法律法规或中国证监会允许基金投资的其他金融工具(须符合中国证监会相关规定)。</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如法律法规或监管机构以后允许基金投资其他品种，基金管理人在履行适当程序后，可以将其纳入投资范围，并可依据届时有效的法律法规适时合理地调整投资范围。</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基金投资于债券的比例不低于基金资产的80%，投资于股票、存托凭证、股票型基金、混合型基金等权益类资产及可转换债券、可交换债券的合计比例为基金资产的10%-20%（其中投资于境内股票资产（含A股股票型ETF）的比例不低于基金资产的10%）；投资于港股通标的股票的比例不超过本基金股票资产的50%；本基金投资于证券投资基金的资产不超过基金资产净值的10%；本基金每个交易日日终在扣除国债期货合约需缴纳的交易保证金后，持有现金(不包括结算备付金、存出保证金、应收申购款等)或者到期日在1年以内的政府债券不低于基金资产净值的5%。其中，计入上述权益类资产的混合型基金需符合下列两个条件之一：</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1、基金合同约定股票及存托凭证资产投资比例不低于基金资产60%的混合型基金；</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2、根据基金披露的定期报告，最近四个季度中任一季度股票及存托凭证资产占基金资产比例均不低于60%的混合型基金。</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如法律法规或中国证监会允许，基金管理人在履行适当程序后，可以调整上述投资品种的投资比例。</w:t>
      </w:r>
    </w:p>
    <w:p>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（三）投资策略</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本基金将根据宏观经济、政策及市场环境，自上而下进行资产配置，结合基本面和量化分析手段自下而上选择具体的投资标的，进而获得稳定的超额收益。</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1、资产配置策略</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基金主要根据宏观经济、政策环境、利率走势、市场技术指标、市场资金构成及流动性情况，运用定性和定量相结合的分析手段，对证券市场现阶段的系统性风险以及未来一段时期内各大类资产的风险和预期收益率进行分析评估，并据此制定本基金在各类资产之间的配置比例、调整原则和调整范围。</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2、债券投资策略</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（1）债券类属配置策略</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基金将对不同类型固定收益品种的信用风险、税赋水平、市场流动性、市场风险等因素进行分析，研究同期限的国债、金融债、企业债、交易所和银行间市场投资品种的利差和变化趋势，评估不同债券板块之间的相对投资价值，确定债券类属配置策略，并根据市场变化及时进行调整。</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（2）久期管理策略</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基金将基于对市场利率的变化趋势的预判，相应的调整债券组合的久期。本基金通过对影响债券投资的宏观经济变量和宏观经济政策等因素的综合分析，预测未来的市场利率的变动趋势，判断债券市场对上述因素及其变化的反应，并据此积极调整债券组合的久期。在预期利率下降时，增加组合久期，以较多地获得债券价格上升带来的收益，在预期利率上升时，减小组合久期，以规避债券价格下降的风险。</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（3）收益率曲线策略</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基金资产组合中的长、中、短期债券主要根据收益率曲线形状的变化进行合理配置。本基金在确定固定收益资产组合平均久期的基础上，将结合收益率曲线变化的预测，适时采用跟踪收益率曲线的骑乘策略或者基于收益率曲线变化的子弹、杠铃及梯形策略构造组合，并进行动态调整。</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（4）信用策略（含资产支持证券）</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基金将深入挖掘信用债（含资产支持证券，下同）的投资价值，在承担适度风险的前提下追求较高收益。本基金将利用内部信用评级体系对债券发行人及其发行的债券进行信用评估，并结合外部评级机构的信用评级，分析违约风险以及合理信用利差水平，判断债券的投资价值，谨慎选择债券发行人基本面良好、债券条款优惠的信用债进行投资。</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基金投资于信用评级在AA+（含）以上的信用债，对信用评级的认定参照基金管理人选定的评级机构（不含中债资信）出具的信用评级，信用评级依照评级机构出具的债项评级，如无债项评级依照主体评级。其中，投资于AA+评级的信用债不超过信用债持仓的50%；投资于AAA及以上评级的信用债不低于信用债持仓的50%。</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基金持有信用债期间，如果其信用评级下降不再符合前述标准，应在评级报告发布之日起3个月内调整至符合约定。如本基金遭遇巨额赎回、资产变现过程中因流动性等原因部分资产无法变现致使基金投资不符合上述投资策略的，基金管理人可以根据市场情况进行调整。</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（5）可转换债券和可交换债券投资策略</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可转换债券（含可分离交易可转债）兼具权益类证券与固定收益类证券的特性，具有抵御下行风险、分享股票价格上涨收益的特点。可转换债券的选择结合其债性和股性特征，在对公司基本面和转债条款深入研究的基础上进行估值分析，投资于公司基本面优良、具有较高安全边际和良好流动性的可转换债券，获取稳健的投资回报。</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可交换债券与可转换债券的区别在于换股期间用于交换的股票并非自身新发的股票，而是发行人持有的其他上市公司的股票。可交换债券同样具有股性和债性，其中债性与可转换债券相同，即选择持有可交换债券至到期以获取票面价值和票面利息；而对于股性的分析则需关注目标公司的股票价值。本基金将通过对目标公司股票的投资价值分析和可交换债券的纯债部分价值分析综合开展投资决策。</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（6）回购策略</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基金将通过对回购利率和现券收益率以及其他投资品种收益率的比较，通过回购融入短期资金滚动操作，投资于收益率高于回购成本的债券以及其他获利机会，从而获得杠杆放大收益，并根据市场利率水平以及对利率期限结构的预期等，对回购放大的杠杆比例适时进行调整。</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3、股票投资策略</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采用“自下而上”的个股精选策略，基于公司内部研究团队对于个股的基本面的深入研究和细致的实地调研，有效挖掘价值低估及具有增长潜力的个股，为投资者获得超过业绩比较基准的收益。</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4、存托凭证投资策略</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本基金将根据本基金的投资目标和股票投资策略，基于对基础证券投资价值的深入研究判断，进行存托凭证的投资。</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5、港股投资策略</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基金可通过港股通机制投资于香港股票市场。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考量，挖掘优质企业。</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6、基金投资策略</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对于权益类基金，本基金基于权益类基金投资目标的不同，将标的基金分为主动和被动两大类。</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其中，对于主动管理类基金，本基金通过自下而上的方式优选基金，研究过程中综合运用定量分析和定性分析的方式，通过层层筛选，聚焦基金管理人旗下中长期业绩持续稳定、风格清晰，且具备竞争优势的证券投资基金，精选基金构建投资组合。</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对于被动管理类基金，本基金将通过对国内外宏观经济、经济结构转型的方向、国家经济政策、产业政策导向的深入研究，优选中长期景气向好的指数基金进行配置，以增厚组合收益。此外，本基金也将基于对市场未来运行趋势和风格的预判，积极参与包括行业主题、风格或策略指数等在内的各类指数基金的投资，把握市场阶段性投资机会，以获取更高的超额收益。</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7、国债期货投资策略</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本基金将根据风险管理的原则，以套期保值为目的，在风险可控的前提下，本着谨慎原则，参与国债期货的投资，以管理投资组合的系统性风险，改善组合的风险收益特性。</w:t>
      </w:r>
    </w:p>
    <w:p>
      <w:pPr>
        <w:spacing w:line="360" w:lineRule="auto"/>
        <w:ind w:firstLine="480" w:firstLineChars="200"/>
        <w:rPr>
          <w:rFonts w:hint="eastAsia" w:ascii="宋体" w:hAnsi="宋体" w:cs="宋体"/>
          <w:bCs/>
          <w:sz w:val="24"/>
          <w:szCs w:val="24"/>
          <w:highlight w:val="none"/>
        </w:rPr>
      </w:pPr>
    </w:p>
    <w:p>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（四）投资限制</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1、组合限制</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基金的投资组合应遵循以下限制：</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本基金投资于债券的比例不低于基金资产的80%，投资于股票、存托凭证、股票型基金、混合型基金等权益类资产及可转换债券、可交换债券的合计比例为基金资产的10%-20%（其中投资于境内股票资产（含A股股票型ETF）的比例不低于基金资产的10%）；投资于港股通标的股票的比例不超过本基金股票资产的50%；其中，计入上述权益类资产的混合型基金需符合下列两个条件之一：</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1）基金合同约定股票及存托凭证资产投资比例不低于基金资产60%的混合型基金；</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2）根据基金披露的定期报告，最近四个季度中任一季度股票及存托凭证资产占基金资产比例均不低于60%的混合型基金；</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（2）本基金每个交易日日终在扣除国债期货合约需缴纳的交易保证金后，保持不低于基金资产净值5％的现金或者到期日在一年以内的政府债券，其中现金不包括结算备付金、存出保证金和应收申购款等；</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（3）本基金持有一家公司发行的证券（含存托凭证，同一家公司在境内和香港同时上市的A+H股合计计算，但不包括本基金所投资的基金份额），其市值不超过基金资产净值的10%；</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（4）本基金管理人管理的全部基金持有一家公司发行的证券（含存托凭证，同一家公司在境内和香港同时上市的A+H股合计计算，但不包括本基金所投资的基金份额），不超过该证券的10%；</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（5）本基金投资于同一原始权益人的各类资产支持证券的比例，不得超过基金资产净值的10%；</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（6）本基金持有的全部资产支持证券，其市值不得超过基金资产净值的20%；</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（7）本基金持有的同一(指同一信用级别)资产支持证券的比例，不得超过该资产支持证券规模的10%；</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（8）本基金管理人管理的全部基金投资于同一原始权益人的各类资产支持证券，不得超过其各类资产支持证券合计规模的10%；</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（9）基金财产参与股票发行申购，本基金所申报的金额不超过本基金的总资产，本基金所申报的股票数量不超过拟发行股票公司本次发行股票的总量；</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10）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11）本基金参与国债期货交易，应当遵守下列要求：基金在任何交易日日终，持有的买入国债期货合约价值，不得超过基金资产净值的15%；基金在任何交易日日终，持有的卖出国债期货合约价值不得超过基金持有的债券总市值的30%；基金在任何交易日内交易（不包括平仓）的国债期货合约的成交金额不得超过上一交易日基金资产净值的30%；</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（12）本基金参与国债期货交易，基金所持有的债券（不含到期日在一年以内的政府债券）市值和买入、卖出国债期货合约价值，合计（轧差计算）不得低于基金资产的80%；</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13）本基金主动投资于流动性受限资产（含封闭运作基金、定期开放基金等流通受限基金）的市值合计不得超过该基金资产净值的15%；因证券市场波动、上市公司股票停牌、基金规模变动等基金管理人之外的因素致使基金不符合该比例限制的，基金管理人不得主动新增流动性受限资产的投资；</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（14）本基金与私募类证券资管产品及中国证监会认定的其他主体为交易对手开展逆回购交易的，可接受质押品的资质要求应当与本基金合同约定的投资范围保持一致；</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（15）本基金资产总值不超过基金资产净值的140%；</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（16）本基金投资存托凭证的比例限制依照境内上市交易的股票执行，并与境内上市交易的股票合并计算，法律法规或监管机构另有规定的从其规定；</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（17）本基金投资于证券投资基金的资产不超过基金资产净值的10%；</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（18）本基金管理人管理的全部基金（ETF联接基金除外）持有单只基金不得超过被投资基金净资产的20%，被投资基金净资产规模以最近定期报告披露的规模为准；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（19）本基金不得持有具有复杂、衍生品性质的基金份额，包括分级基金和中国证监会认定的其他基金份额；</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（20）本基金投资其他基金时，被投资基金的运作期限应当不少于1年，最近定期报告披露的基金净资产应当不低于1亿元；</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（21）法律法规及中国证监会规定的和《基金合同》约定的其他投资限制。</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因证券、期货市场波动、基金规模变动、本基金所投资的基金发生流动性限制、暂停申购、赎回或二级市场交易停牌等基金管理人之外的因素致使基金投资不符合上述（18）规定的投资比例的，基金管理人应当在20个交易日内进行调整，但中国证监会规定的特殊情形除外。除（2）、（13）、（14）、（18）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法律法规或监管部门取消或调整上述限制，如适用于本基金，基金管理人在履行适当程序后，则本基金投资不再受相关限制或按调整后的规定执行。</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2、禁止行为</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为维护基金份额持有人的合法权益，基金财产不得用于下列投资或者活动：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（1）承销证券；</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（2）违反规定向他人贷款或者提供担保；</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（3）从事承担无限责任的投资；</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（4）向其基金管理人、基金托管人出资；</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（5）从事内幕交易、操纵证券交易价格及其他不正当的证券交易活动；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（6）法律、行政法规和中国证监会规定禁止的其他活动。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本基金投资基金管理人、基金托管人及其关联方管理或托管的基金的情况，不属于前述重大关联交易，但是应当按照法律法规或监管规定的要求履行信息披露义务。</w:t>
      </w:r>
    </w:p>
    <w:p>
      <w:pPr>
        <w:spacing w:line="360" w:lineRule="auto"/>
        <w:ind w:firstLine="480" w:firstLineChars="200"/>
        <w:rPr>
          <w:rFonts w:hint="eastAsia" w:ascii="宋体" w:hAnsi="宋体" w:cs="宋体"/>
          <w:sz w:val="24"/>
          <w:highlight w:val="none"/>
        </w:rPr>
      </w:pPr>
      <w:bookmarkStart w:id="509" w:name="_Hlk195287312"/>
      <w:r>
        <w:rPr>
          <w:rFonts w:hint="eastAsia" w:ascii="宋体" w:hAnsi="宋体" w:cs="宋体"/>
          <w:sz w:val="24"/>
          <w:highlight w:val="none"/>
        </w:rPr>
        <w:t>法律、行政法规或监管部门取消或变更上述禁止或限制性规定，如适用于本基金，基金管理人在履行适当程序后，则本基金投资不再受相关限制或以变更后的规定为准。</w:t>
      </w:r>
    </w:p>
    <w:bookmarkEnd w:id="509"/>
    <w:p>
      <w:pPr>
        <w:spacing w:line="360" w:lineRule="auto"/>
        <w:ind w:firstLine="480" w:firstLineChars="200"/>
        <w:rPr>
          <w:rFonts w:hint="eastAsia" w:ascii="宋体" w:hAnsi="宋体" w:cs="宋体"/>
          <w:bCs/>
          <w:sz w:val="24"/>
          <w:highlight w:val="none"/>
        </w:rPr>
      </w:pPr>
    </w:p>
    <w:p>
      <w:pPr>
        <w:spacing w:line="360" w:lineRule="auto"/>
        <w:ind w:firstLine="562" w:firstLineChars="200"/>
        <w:rPr>
          <w:rFonts w:hint="eastAsia" w:ascii="宋体" w:hAnsi="宋体" w:cs="宋体"/>
          <w:b/>
          <w:sz w:val="24"/>
          <w:szCs w:val="24"/>
          <w:highlight w:val="none"/>
        </w:rPr>
      </w:pPr>
      <w:r>
        <w:rPr>
          <w:rFonts w:hint="eastAsia" w:ascii="宋体" w:hAnsi="宋体" w:cs="宋体"/>
          <w:b/>
          <w:sz w:val="28"/>
          <w:szCs w:val="24"/>
          <w:highlight w:val="none"/>
        </w:rPr>
        <w:t>六、基金净值信息的计算方法和公告方式</w:t>
      </w:r>
    </w:p>
    <w:p>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（一）</w:t>
      </w:r>
      <w:bookmarkStart w:id="510" w:name="_Hlk51340931"/>
      <w:r>
        <w:rPr>
          <w:rFonts w:hint="eastAsia" w:ascii="宋体" w:hAnsi="宋体" w:cs="宋体"/>
          <w:bCs/>
          <w:sz w:val="24"/>
          <w:szCs w:val="24"/>
          <w:highlight w:val="none"/>
        </w:rPr>
        <w:t>估值方法</w:t>
      </w:r>
      <w:bookmarkEnd w:id="510"/>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1、证券交易所上市的有价证券的估值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除本部分另有约定的品种外，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highlight w:val="none"/>
        </w:rPr>
        <w:t>（2）</w:t>
      </w:r>
      <w:r>
        <w:rPr>
          <w:rFonts w:hint="eastAsia" w:ascii="宋体" w:hAnsi="宋体" w:cs="宋体"/>
          <w:color w:val="000000"/>
          <w:sz w:val="24"/>
          <w:szCs w:val="24"/>
          <w:highlight w:val="none"/>
        </w:rPr>
        <w:t>交易所已上市或已挂牌转让的不含权固定收益品种（另有规定的除外），选取估值日第三方估值基准服务机构提供的相应品种当日的估值全价进行估值；</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bCs/>
          <w:sz w:val="24"/>
          <w:szCs w:val="24"/>
          <w:highlight w:val="none"/>
        </w:rPr>
        <w:t>（3）</w:t>
      </w:r>
      <w:r>
        <w:rPr>
          <w:rFonts w:hint="eastAsia" w:ascii="宋体" w:hAnsi="宋体" w:cs="宋体"/>
          <w:color w:val="000000"/>
          <w:sz w:val="24"/>
          <w:szCs w:val="24"/>
          <w:highlight w:val="none"/>
        </w:rPr>
        <w:t>对于已上市或已挂牌转让的含权固定收益品种（另有规定的除外），选取估值日第三方估值基准服务机构提供的相应品种当日的唯一估值全价或推荐估值全价进行估值；对于含投资者回售权的固定收益品种，行使回售权的，在回售登记日至实际收款日期间选取第三方估值基准服务机构提供的相应品种的唯一估值全价或推荐估值全价，同时充分考虑发行人的信用风险变化对公允价值的影响。回售登记期截止日（含当日）后未行使回售权的按照长待偿期所对应的价格进行估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交易所市场上市交易的公开发行的可转换债券等有活跃市场的含转股权的债券，实行全价交易的债券按估值日收盘价作为估值全价；实行净价交易的债券按估值日收盘价并加计每百元税前应计利息作为估值全价；</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（5）交易所上市不存在活跃市场的有价证券，应采用在当前情况下适用并且有足够可利用数据和其他信息支持的估值技术确定其公允价值。</w:t>
      </w:r>
      <w:r>
        <w:rPr>
          <w:rFonts w:hint="eastAsia" w:ascii="宋体" w:hAnsi="宋体" w:cs="宋体"/>
          <w:bCs/>
          <w:sz w:val="24"/>
          <w:szCs w:val="21"/>
          <w:highlight w:val="none"/>
        </w:rPr>
        <w:t>交易所市场挂牌转让的资产支持证券</w:t>
      </w:r>
      <w:r>
        <w:rPr>
          <w:rFonts w:hint="eastAsia" w:ascii="宋体" w:hAnsi="宋体" w:cs="宋体"/>
          <w:bCs/>
          <w:sz w:val="24"/>
          <w:highlight w:val="none"/>
        </w:rPr>
        <w:t>，采用估值技术确定公允价值。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（6）对于未上市或未挂牌转让且不存在活跃市场的固定收益品种，应采用在当前情况下适用并且有足够可利用数据和其他信息支持的估值技术确定其公允价值。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2、处于未上市期间的有价证券应区分如下情况处理：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（1）送股、转增股、配股和公开增发的新股，按估值日在证券交易所挂牌的同一股票的估值方法估值；该日无交易的，以最近一日的市价（收盘价）估值；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（2）首次公开发行未上市的股票，采用估值技术确定公允价值，在估值技术难以可靠计量公允价值的情况下，按成本估值。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对全国银行间市场上不含权的固定收益品种，按照第三方估值基准服务机构提供的相应品种当日的估值全价估值。对银行间市场上含权的固定收益品种，按照第三方估值基准服务机构提供的相应品种当日的唯一估值全价或推荐估值全价估值。对于含投资人回售权的固定收益品种，行使回售权的，在回售登记日至实际收款日期间建议选取第三方估值基准服务机构提供的相应品种的唯一估值全价或推荐估值全价，同时充分考虑发行人的信用风险变化对公允价值的影响。回售登记期截止日（含当日）后未行使回售权的按照长待偿期所对应的价格进行估值。对银行间市场未上市，且第三方估值机构未提供估值价格的债券，采用估值技术确定公允价值。</w:t>
      </w:r>
    </w:p>
    <w:p>
      <w:pPr>
        <w:spacing w:line="360" w:lineRule="auto"/>
        <w:ind w:firstLine="480" w:firstLineChars="200"/>
        <w:rPr>
          <w:rFonts w:hint="eastAsia" w:ascii="宋体" w:hAnsi="宋体" w:cs="宋体"/>
          <w:sz w:val="24"/>
          <w:szCs w:val="24"/>
          <w:highlight w:val="none"/>
        </w:rPr>
      </w:pPr>
      <w:r>
        <w:rPr>
          <w:rFonts w:hint="eastAsia" w:ascii="宋体" w:hAnsi="宋体" w:cs="宋体"/>
          <w:bCs/>
          <w:sz w:val="24"/>
          <w:highlight w:val="none"/>
        </w:rPr>
        <w:t>4、</w:t>
      </w:r>
      <w:r>
        <w:rPr>
          <w:rFonts w:hint="eastAsia" w:ascii="宋体" w:hAnsi="宋体" w:cs="宋体"/>
          <w:bCs/>
          <w:sz w:val="24"/>
          <w:szCs w:val="21"/>
          <w:highlight w:val="none"/>
        </w:rPr>
        <w:t>同一证券同时在两个或两个以上市场交易的，按证券所处的市场分别估值。</w:t>
      </w:r>
    </w:p>
    <w:p>
      <w:pPr>
        <w:spacing w:line="360" w:lineRule="auto"/>
        <w:ind w:firstLine="480" w:firstLineChars="200"/>
        <w:rPr>
          <w:rFonts w:hint="eastAsia" w:ascii="宋体" w:hAnsi="宋体" w:cs="宋体"/>
          <w:sz w:val="24"/>
          <w:szCs w:val="24"/>
          <w:highlight w:val="none"/>
        </w:rPr>
      </w:pPr>
      <w:r>
        <w:rPr>
          <w:rFonts w:hint="eastAsia" w:ascii="宋体" w:hAnsi="宋体" w:cs="宋体"/>
          <w:bCs/>
          <w:sz w:val="24"/>
          <w:highlight w:val="none"/>
        </w:rPr>
        <w:t>5、</w:t>
      </w:r>
      <w:r>
        <w:rPr>
          <w:rFonts w:hint="eastAsia" w:ascii="宋体" w:hAnsi="宋体" w:cs="宋体"/>
          <w:sz w:val="24"/>
          <w:szCs w:val="24"/>
          <w:highlight w:val="none"/>
        </w:rPr>
        <w:t>本基金持有的回购以成本列示，按合同利率在回购期间内逐日计提应收或应付利息。</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6、本基金持有的银行存款和备付金余额以本金列示，按相应利率逐日计提利息。</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7、本基金投资国债期货合约，一般以估值当日结算价进行估值，估值当日无结算价的，且最近交易日后经济环境未发生重大变化的，采用最近交易日结算价估值。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8、本基金投资同业存单，采用估值日第三方估值机构提供的估值价格数据进行估值。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9、汇率</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如本基金投资股票市场交易互联互通机制允许买卖的境外证券市场上市的股票，涉及相关货币对人民币汇率的，届时根据相关法律法规及监管机构的要求确定汇率来源，如法律法规及监管机构无相关规定，基金管理人与基金托管人协商一致后确定本基金的估值汇率来源。</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10、本基金投资存托凭证的估值核算，依照境内上市交易的股票执行。</w:t>
      </w:r>
    </w:p>
    <w:p>
      <w:pPr>
        <w:spacing w:line="360" w:lineRule="auto"/>
        <w:ind w:firstLine="480" w:firstLineChars="200"/>
        <w:rPr>
          <w:rFonts w:hint="eastAsia" w:ascii="宋体" w:hAnsi="宋体" w:cs="宋体"/>
          <w:sz w:val="24"/>
          <w:szCs w:val="24"/>
          <w:highlight w:val="none"/>
        </w:rPr>
      </w:pPr>
      <w:r>
        <w:rPr>
          <w:rFonts w:ascii="宋体" w:hAnsi="宋体" w:cs="宋体"/>
          <w:sz w:val="24"/>
          <w:szCs w:val="24"/>
          <w:highlight w:val="none"/>
        </w:rPr>
        <w:t>11</w:t>
      </w:r>
      <w:r>
        <w:rPr>
          <w:rFonts w:hint="eastAsia" w:ascii="宋体" w:hAnsi="宋体" w:cs="宋体"/>
          <w:sz w:val="24"/>
          <w:szCs w:val="24"/>
          <w:highlight w:val="none"/>
        </w:rPr>
        <w:t>、基金估值方法</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（1）交易所上市基金的估值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1）ETF基金按其估值日的收盘价估值；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2）境内上市开放式基金（LOF），按其估值日的份额净值估值；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3）境内上市定期开放式基金、封闭式基金，按其估值日的收盘价估值。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（2）非上市基金的估值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境内非货币市场基金，按其估值日的份额净值估值；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（3）如遇所投资基金不公布基金份额净值、进行折算或拆分、估值日无交易等特殊情况，基金管理人根据以下原则进行估值：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1）以所投资基金的基金份额净值估值的，若所投资基金与本基金估值频率一致但未公布估值日基金份额净值，按其最近公布的基金份额净值为基础估值；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3）若所投资基金前一估值日至估值日期间发生分红除权、折算或拆分，基金管理人应根据基金份额净值或收盘价、单位基金份额分红金额、折算拆分比例、持仓份额等因素合理确定公允价值。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（4）当基金管理人认为所投资基金按上述第（1）至第（3）项进行估值存在不公允时，应与基金托管人协商一致采用合理的估值技术或估值标准确定其公允价值。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12、如有确凿证据表明按上述方法进行估值不能客观反映其公允价值的，基金管理人可根据具体情况与基金托管人商定后，按最能反映公允价值的价格估值。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13、当发生大额申购或赎回情形时，基金管理人可以采用摆动定价机制，以确保基金估值的公平性。</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14、相关法律法规以及监管部门有强制规定的，从其规定。如有新增事项，按国家最新规定估值。</w:t>
      </w:r>
    </w:p>
    <w:p>
      <w:pPr>
        <w:spacing w:line="360" w:lineRule="auto"/>
        <w:ind w:firstLine="480" w:firstLineChars="200"/>
        <w:rPr>
          <w:rStyle w:val="32"/>
          <w:rFonts w:hint="eastAsia" w:ascii="宋体" w:hAnsi="宋体" w:cs="宋体"/>
          <w:bCs/>
          <w:sz w:val="24"/>
          <w:highlight w:val="none"/>
        </w:rPr>
      </w:pPr>
      <w:r>
        <w:rPr>
          <w:rStyle w:val="32"/>
          <w:rFonts w:hint="eastAsia" w:ascii="宋体" w:hAnsi="宋体" w:cs="宋体"/>
          <w:bCs/>
          <w:sz w:val="24"/>
          <w:highlight w:val="none"/>
        </w:rPr>
        <w:t>如基金管理人或基金托管人发现基金估值违反基金合同订明的估值方法、程序及相关法律法规的规定或者未能充分维护基金份额持有人利益时，应立即通知对方，共同查明原因，双方协商解决。</w:t>
      </w:r>
    </w:p>
    <w:p>
      <w:pPr>
        <w:spacing w:line="360" w:lineRule="auto"/>
        <w:ind w:firstLine="480" w:firstLineChars="200"/>
        <w:rPr>
          <w:rFonts w:hint="eastAsia" w:ascii="宋体" w:hAnsi="宋体" w:cs="宋体"/>
          <w:sz w:val="24"/>
          <w:highlight w:val="none"/>
        </w:rPr>
      </w:pPr>
      <w:r>
        <w:rPr>
          <w:rFonts w:hint="eastAsia" w:ascii="宋体" w:hAnsi="宋体" w:cs="宋体"/>
          <w:bCs/>
          <w:sz w:val="24"/>
          <w:highlight w:val="none"/>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w:t>
      </w:r>
      <w:r>
        <w:rPr>
          <w:rFonts w:hint="eastAsia" w:ascii="宋体" w:hAnsi="宋体" w:cs="宋体"/>
          <w:sz w:val="24"/>
          <w:highlight w:val="none"/>
        </w:rPr>
        <w:t>净值</w:t>
      </w:r>
      <w:r>
        <w:rPr>
          <w:rFonts w:hint="eastAsia" w:ascii="宋体" w:hAnsi="宋体" w:cs="宋体"/>
          <w:bCs/>
          <w:sz w:val="24"/>
          <w:szCs w:val="24"/>
          <w:highlight w:val="none"/>
        </w:rPr>
        <w:t>信息</w:t>
      </w:r>
      <w:r>
        <w:rPr>
          <w:rFonts w:hint="eastAsia" w:ascii="宋体" w:hAnsi="宋体" w:cs="宋体"/>
          <w:bCs/>
          <w:sz w:val="24"/>
          <w:highlight w:val="none"/>
        </w:rPr>
        <w:t>的计算结果对外予以公布。</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（二）估值程序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份额净值是按照每个工作日闭市后，基金资产净值除以当日基金份额的余额数量计算，精确到0.0001元，小数点后第5位四舍五入。基金管理人可以设立大额赎回情形下的净值精度应急调整机制。国家另有规定的，从其规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szCs w:val="24"/>
          <w:highlight w:val="none"/>
        </w:rPr>
        <w:t>基金管理人</w:t>
      </w:r>
      <w:r>
        <w:rPr>
          <w:rFonts w:hint="eastAsia" w:ascii="宋体" w:hAnsi="宋体" w:cs="宋体"/>
          <w:bCs/>
          <w:sz w:val="24"/>
          <w:highlight w:val="none"/>
        </w:rPr>
        <w:t>每个工作日计算基金资产净值及各类基金份额净值，并按规定公告。</w:t>
      </w:r>
    </w:p>
    <w:p>
      <w:pPr>
        <w:numPr>
          <w:ilvl w:val="255"/>
          <w:numId w:val="0"/>
        </w:num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管理人应每个工作日对基金资产估值。但基金管理人根据法律法规或本基金合同的规定暂停估值时除外。基金管理人每个工作日对基金资产估值后，将各类基金份额净值结果发送基金托管人，经基金托管人复核无误后，由基金管理人按约定对外公布。</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（三）暂停估值的情形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1、基金投资所涉及的证券、期货交易市场或外汇市场遇法定节假日或因其他原因暂停营业时；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2、因不可抗力致使基金管理人、基金托管人无法准确评估基金资产价值时；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w:t>
      </w:r>
      <w:r>
        <w:rPr>
          <w:rFonts w:hint="eastAsia" w:ascii="宋体" w:hAnsi="宋体" w:cs="宋体"/>
          <w:sz w:val="24"/>
          <w:highlight w:val="none"/>
        </w:rPr>
        <w:t>当特定资产占前一估值日基金资产净值50%以上的，经与基金托管人协商确认后，基金管理人应当暂停估值；</w:t>
      </w:r>
    </w:p>
    <w:p>
      <w:pPr>
        <w:spacing w:line="360" w:lineRule="auto"/>
        <w:ind w:firstLine="480" w:firstLineChars="200"/>
        <w:rPr>
          <w:rFonts w:hint="eastAsia" w:ascii="宋体" w:hAnsi="宋体" w:cs="宋体"/>
          <w:sz w:val="24"/>
          <w:szCs w:val="24"/>
          <w:highlight w:val="none"/>
        </w:rPr>
      </w:pPr>
      <w:r>
        <w:rPr>
          <w:rFonts w:hint="eastAsia" w:ascii="宋体" w:hAnsi="宋体" w:cs="宋体"/>
          <w:bCs/>
          <w:sz w:val="24"/>
          <w:highlight w:val="none"/>
        </w:rPr>
        <w:t>4、法律法规、中国证监会规定和基金合同认定的其它情形。</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（四）基金净值的确认</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用于基金信息披露的基金资产净值和各类基金份额净值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按约定对基金净值信息予以公布。</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（五）实施侧袋机制期间的基金资产估值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本基金实施侧袋机制的，应根据本部分的约定对主袋账户资产进行估值并披露主袋账户的基金份额净值和基金份额累计净值，暂停披露侧袋账户的基金净值信息。</w:t>
      </w:r>
    </w:p>
    <w:p>
      <w:pPr>
        <w:spacing w:line="360" w:lineRule="auto"/>
        <w:rPr>
          <w:rFonts w:hint="eastAsia" w:ascii="宋体" w:hAnsi="宋体" w:cs="宋体"/>
          <w:sz w:val="24"/>
          <w:szCs w:val="24"/>
          <w:highlight w:val="none"/>
        </w:rPr>
      </w:pPr>
    </w:p>
    <w:p>
      <w:pPr>
        <w:spacing w:line="360" w:lineRule="auto"/>
        <w:rPr>
          <w:rFonts w:hint="eastAsia" w:ascii="宋体" w:hAnsi="宋体" w:cs="宋体"/>
          <w:b/>
          <w:sz w:val="28"/>
          <w:szCs w:val="24"/>
          <w:highlight w:val="none"/>
        </w:rPr>
      </w:pPr>
      <w:r>
        <w:rPr>
          <w:rFonts w:hint="eastAsia" w:ascii="宋体" w:hAnsi="宋体" w:cs="宋体"/>
          <w:b/>
          <w:sz w:val="28"/>
          <w:szCs w:val="24"/>
          <w:highlight w:val="none"/>
        </w:rPr>
        <w:t>七、基金合同解除和终止的事由、程序以及基金财产的清算方式</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（一）《基金合同》的变更</w:t>
      </w:r>
    </w:p>
    <w:p>
      <w:pPr>
        <w:autoSpaceDE w:val="0"/>
        <w:autoSpaceDN w:val="0"/>
        <w:adjustRightInd w:val="0"/>
        <w:spacing w:line="360" w:lineRule="auto"/>
        <w:ind w:firstLine="720" w:firstLineChars="300"/>
        <w:jc w:val="left"/>
        <w:rPr>
          <w:rFonts w:hint="eastAsia" w:ascii="宋体" w:hAnsi="宋体" w:cs="宋体"/>
          <w:bCs/>
          <w:sz w:val="24"/>
          <w:highlight w:val="none"/>
        </w:rPr>
      </w:pPr>
      <w:r>
        <w:rPr>
          <w:rFonts w:hint="eastAsia" w:ascii="宋体" w:hAnsi="宋体" w:cs="宋体"/>
          <w:bCs/>
          <w:sz w:val="24"/>
          <w:highlight w:val="none"/>
        </w:rPr>
        <w:t>1、变更基金合同涉及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 2、关于《基金合同》变更的基金份额持有人大会决议自表决通过之日起生效，并自生效后方可执行，自决议生效后两日内在规定媒介公告。</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（二）《基金合同》的终止事由</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有下列情形之一的，经履行相关程序后，《基金合同》应当终止：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1、基金份额持有人大会决定终止的；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2、基金管理人、基金托管人职责终止，在6个月内没有新基金管理人、新基金托管人承接的；</w:t>
      </w:r>
    </w:p>
    <w:p>
      <w:pPr>
        <w:spacing w:line="360" w:lineRule="auto"/>
        <w:ind w:firstLine="480" w:firstLineChars="200"/>
        <w:rPr>
          <w:rFonts w:hint="eastAsia" w:ascii="宋体" w:hAnsi="宋体" w:cs="宋体"/>
          <w:bCs/>
          <w:sz w:val="24"/>
          <w:highlight w:val="none"/>
        </w:rPr>
      </w:pPr>
      <w:r>
        <w:rPr>
          <w:rFonts w:hint="eastAsia" w:ascii="宋体" w:hAnsi="宋体" w:cs="宋体"/>
          <w:sz w:val="24"/>
          <w:highlight w:val="none"/>
        </w:rPr>
        <w:t>3、</w:t>
      </w:r>
      <w:r>
        <w:rPr>
          <w:rFonts w:hint="eastAsia" w:ascii="宋体" w:hAnsi="宋体" w:cs="宋体"/>
          <w:bCs/>
          <w:sz w:val="24"/>
          <w:highlight w:val="none"/>
        </w:rPr>
        <w:t>基金合同生效3年的对应日，基金资产规模低于2亿元的；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4、基金合同生效三年后，连续50个工作日出现基金份额持有人数量不满200人或者基金资产净值低于5000万元情形的；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5、《基金合同》约定的其他情形；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6、相关法律法规和中国证监会规定的其他情况。</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（三）基金财产的清算</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1、基金财产清算小组：自出现《基金合同》终止事由之日起30个工作日内成立清算小组，基金管理人或临时基金管理人组织基金财产清算小组并在中国证监会的监督下进行基金清算。</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2、基金财产清算小组组成：基金财产清算小组成员由基金管理人或临时基金管理人、基金托管人、</w:t>
      </w:r>
      <w:r>
        <w:rPr>
          <w:rFonts w:hint="eastAsia" w:ascii="宋体" w:hAnsi="宋体" w:cs="宋体"/>
          <w:sz w:val="24"/>
          <w:highlight w:val="none"/>
        </w:rPr>
        <w:t>符合《中华人民共和国证券法》规定</w:t>
      </w:r>
      <w:r>
        <w:rPr>
          <w:rFonts w:hint="eastAsia" w:ascii="宋体" w:hAnsi="宋体" w:cs="宋体"/>
          <w:bCs/>
          <w:sz w:val="24"/>
          <w:highlight w:val="none"/>
        </w:rPr>
        <w:t>的注册会计师、律师以及中国证监会指定的人员组成。基金财产清算小组可以聘用必要的工作人员。</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3、基金财产清算小组职责：基金财产清算小组负责基金财产的保管、清理、估价、变现和分配。基金财产清算小组可以依法进行必要的民事活动。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4、基金财产清算程序：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（1）《基金合同》终止情形出现时，由基金财产清算小组统一接管基金；</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（2）对基金财产和债权债务进行清理和确认；</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（3）对基金财产进行估值和变现；</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（4）制作清算报告；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（5）聘请会计师事务所对清算报告进行外部审计，聘请律师事务所对清算报告出具法律意见书；</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（6）将清算报告报中国证监会备案并公告；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（7）对基金剩余财产进行分配。</w:t>
      </w:r>
    </w:p>
    <w:p>
      <w:pPr>
        <w:spacing w:line="360" w:lineRule="auto"/>
        <w:ind w:firstLine="480" w:firstLineChars="200"/>
        <w:rPr>
          <w:rFonts w:hint="eastAsia" w:ascii="宋体" w:hAnsi="宋体" w:cs="宋体"/>
          <w:sz w:val="24"/>
          <w:szCs w:val="24"/>
          <w:highlight w:val="none"/>
        </w:rPr>
      </w:pPr>
      <w:r>
        <w:rPr>
          <w:rFonts w:hint="eastAsia" w:ascii="宋体" w:hAnsi="宋体" w:cs="宋体"/>
          <w:bCs/>
          <w:sz w:val="24"/>
          <w:highlight w:val="none"/>
        </w:rPr>
        <w:t>5、基金财产清算的期限为6个月，但因本基金所持证券、基金的流动性受到限制而不能及时变现的，清算期限相应顺延。</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（四）清算费用</w:t>
      </w:r>
    </w:p>
    <w:p>
      <w:pPr>
        <w:spacing w:line="360" w:lineRule="auto"/>
        <w:ind w:firstLine="480" w:firstLineChars="200"/>
        <w:rPr>
          <w:rFonts w:hint="eastAsia" w:ascii="宋体" w:hAnsi="宋体" w:cs="宋体"/>
          <w:sz w:val="24"/>
          <w:szCs w:val="24"/>
          <w:highlight w:val="none"/>
        </w:rPr>
      </w:pPr>
      <w:r>
        <w:rPr>
          <w:rFonts w:hint="eastAsia" w:ascii="宋体" w:hAnsi="宋体" w:cs="宋体"/>
          <w:bCs/>
          <w:sz w:val="24"/>
          <w:highlight w:val="none"/>
        </w:rPr>
        <w:t>清算费用是指基金财产清算小组在进行基金清算过程中发生的所有合理费用，清算费用由基金财产清算小组优先从基金财产中支付。</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（五）基金财产清算剩余资产的分配</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依据基金财产清算的分配方案，将基金财产清算后的全部剩余资产扣除基金财产清算费用、交纳所欠税款并清偿基金债务后，按各类基金份额持有人持有的基金份额比例进行分配。</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（六）基金财产清算的公告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清算过程中的有关重大事项须及时公告；基金财产清算报告经</w:t>
      </w:r>
      <w:r>
        <w:rPr>
          <w:rFonts w:hint="eastAsia" w:ascii="宋体" w:hAnsi="宋体" w:cs="宋体"/>
          <w:sz w:val="24"/>
          <w:highlight w:val="none"/>
        </w:rPr>
        <w:t>符合《中华人民共和国证券法》规定</w:t>
      </w:r>
      <w:r>
        <w:rPr>
          <w:rFonts w:hint="eastAsia" w:ascii="宋体" w:hAnsi="宋体" w:cs="宋体"/>
          <w:bCs/>
          <w:sz w:val="24"/>
          <w:highlight w:val="none"/>
        </w:rPr>
        <w:t>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（七）基金财产清算账册及文件的保存</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基金财产清算账册及有关文件由基金托管人保存，保存年限不低于法律法规规定的最低期限。</w:t>
      </w:r>
    </w:p>
    <w:p>
      <w:pPr>
        <w:spacing w:line="360" w:lineRule="auto"/>
        <w:ind w:firstLine="480" w:firstLineChars="200"/>
        <w:rPr>
          <w:rFonts w:hint="eastAsia" w:ascii="宋体" w:hAnsi="宋体" w:cs="宋体"/>
          <w:sz w:val="24"/>
          <w:highlight w:val="none"/>
        </w:rPr>
      </w:pPr>
    </w:p>
    <w:p>
      <w:pPr>
        <w:spacing w:line="360" w:lineRule="auto"/>
        <w:ind w:firstLine="562" w:firstLineChars="200"/>
        <w:rPr>
          <w:rFonts w:hint="eastAsia" w:ascii="宋体" w:hAnsi="宋体" w:cs="宋体"/>
          <w:b/>
          <w:sz w:val="28"/>
          <w:szCs w:val="24"/>
          <w:highlight w:val="none"/>
        </w:rPr>
      </w:pPr>
      <w:r>
        <w:rPr>
          <w:rFonts w:hint="eastAsia" w:ascii="宋体" w:hAnsi="宋体" w:cs="宋体"/>
          <w:b/>
          <w:sz w:val="28"/>
          <w:szCs w:val="24"/>
          <w:highlight w:val="none"/>
        </w:rPr>
        <w:t>八、争议解决方式</w:t>
      </w:r>
    </w:p>
    <w:p>
      <w:pPr>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各方当事人同意，因《基金合同》而产生的或与《基金合同》有关的一切争议，如经友好协商未能解决的，任何一方应当将争议提交深圳国际仲裁院，按照深圳国际仲裁院届时有效的仲裁规则进行仲裁。仲裁地点为深圳市。仲裁裁决是终局的，对当事人均有约束力。除非仲裁裁决另有决定，仲裁费用由败诉方承担。</w:t>
      </w:r>
    </w:p>
    <w:p>
      <w:pPr>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争议处理期间，基金合同当事人应恪守各自的职责，继续忠实、勤勉、尽责地履行基金合同规定的义务，维护基金份额持有人的合法权益。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《基金合同》受中国法律（不含港澳台地区法律）管辖。</w:t>
      </w:r>
    </w:p>
    <w:p>
      <w:pPr>
        <w:spacing w:line="360" w:lineRule="auto"/>
        <w:ind w:firstLine="480" w:firstLineChars="200"/>
        <w:rPr>
          <w:rFonts w:hint="eastAsia" w:ascii="宋体" w:hAnsi="宋体" w:cs="宋体"/>
          <w:bCs/>
          <w:sz w:val="24"/>
          <w:highlight w:val="none"/>
        </w:rPr>
      </w:pPr>
    </w:p>
    <w:p>
      <w:pPr>
        <w:spacing w:line="360" w:lineRule="auto"/>
        <w:ind w:firstLine="480" w:firstLineChars="200"/>
        <w:rPr>
          <w:rFonts w:hint="eastAsia" w:ascii="宋体" w:hAnsi="宋体" w:cs="宋体"/>
          <w:bCs/>
          <w:sz w:val="24"/>
          <w:highlight w:val="none"/>
        </w:rPr>
      </w:pPr>
    </w:p>
    <w:p>
      <w:pPr>
        <w:spacing w:line="360" w:lineRule="auto"/>
        <w:ind w:firstLine="562" w:firstLineChars="200"/>
        <w:rPr>
          <w:rFonts w:hint="eastAsia" w:ascii="宋体" w:hAnsi="宋体" w:cs="宋体"/>
          <w:b/>
          <w:sz w:val="28"/>
          <w:szCs w:val="24"/>
          <w:highlight w:val="none"/>
        </w:rPr>
      </w:pPr>
      <w:r>
        <w:rPr>
          <w:rFonts w:hint="eastAsia" w:ascii="宋体" w:hAnsi="宋体" w:cs="宋体"/>
          <w:b/>
          <w:sz w:val="28"/>
          <w:szCs w:val="24"/>
          <w:highlight w:val="none"/>
        </w:rPr>
        <w:t>九、基金合同存放地和投资人取得合同的方式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《基金合同》可印制成册，供投资者在基金管理人、基金托管人、销售机构的办公场所和营业场所查阅。</w:t>
      </w:r>
    </w:p>
    <w:p>
      <w:pPr>
        <w:autoSpaceDE w:val="0"/>
        <w:autoSpaceDN w:val="0"/>
        <w:adjustRightInd w:val="0"/>
        <w:spacing w:line="360" w:lineRule="auto"/>
        <w:ind w:firstLine="420" w:firstLineChars="200"/>
        <w:jc w:val="right"/>
        <w:rPr>
          <w:rFonts w:hint="eastAsia" w:ascii="宋体" w:hAnsi="宋体" w:cs="宋体"/>
          <w:bCs/>
          <w:highlight w:val="none"/>
        </w:rPr>
      </w:pPr>
    </w:p>
    <w:p>
      <w:pPr>
        <w:autoSpaceDE w:val="0"/>
        <w:autoSpaceDN w:val="0"/>
        <w:adjustRightInd w:val="0"/>
        <w:spacing w:line="360" w:lineRule="auto"/>
        <w:ind w:firstLine="420" w:firstLineChars="200"/>
        <w:rPr>
          <w:rFonts w:hint="eastAsia" w:ascii="宋体" w:hAnsi="宋体" w:cs="宋体"/>
          <w:bCs/>
          <w:highlight w:val="none"/>
        </w:rPr>
      </w:pPr>
    </w:p>
    <w:p>
      <w:pPr>
        <w:autoSpaceDE w:val="0"/>
        <w:autoSpaceDN w:val="0"/>
        <w:adjustRightInd w:val="0"/>
        <w:spacing w:line="360" w:lineRule="auto"/>
        <w:ind w:firstLine="420" w:firstLineChars="200"/>
        <w:jc w:val="right"/>
        <w:rPr>
          <w:rFonts w:hint="eastAsia" w:ascii="宋体" w:hAnsi="宋体" w:cs="宋体"/>
          <w:bCs/>
          <w:highlight w:val="none"/>
        </w:rPr>
      </w:pPr>
    </w:p>
    <w:p>
      <w:pPr>
        <w:autoSpaceDE w:val="0"/>
        <w:autoSpaceDN w:val="0"/>
        <w:adjustRightInd w:val="0"/>
        <w:spacing w:line="360" w:lineRule="auto"/>
        <w:ind w:firstLine="420" w:firstLineChars="200"/>
        <w:jc w:val="right"/>
        <w:rPr>
          <w:rFonts w:hint="eastAsia" w:ascii="宋体" w:hAnsi="宋体" w:cs="宋体"/>
          <w:bCs/>
          <w:highlight w:val="none"/>
        </w:rPr>
      </w:pPr>
    </w:p>
    <w:p>
      <w:pPr>
        <w:autoSpaceDE w:val="0"/>
        <w:autoSpaceDN w:val="0"/>
        <w:adjustRightInd w:val="0"/>
        <w:spacing w:line="360" w:lineRule="auto"/>
        <w:ind w:firstLine="420" w:firstLineChars="200"/>
        <w:jc w:val="right"/>
        <w:rPr>
          <w:rFonts w:hint="eastAsia" w:ascii="宋体" w:hAnsi="宋体" w:cs="宋体"/>
          <w:bCs/>
          <w:highlight w:val="none"/>
        </w:rPr>
      </w:pPr>
    </w:p>
    <w:p>
      <w:pPr>
        <w:autoSpaceDE w:val="0"/>
        <w:autoSpaceDN w:val="0"/>
        <w:adjustRightInd w:val="0"/>
        <w:spacing w:line="360" w:lineRule="auto"/>
        <w:ind w:firstLine="420" w:firstLineChars="200"/>
        <w:jc w:val="right"/>
        <w:rPr>
          <w:rFonts w:hint="eastAsia" w:ascii="宋体" w:hAnsi="宋体" w:cs="宋体"/>
          <w:bCs/>
          <w:highlight w:val="none"/>
        </w:rPr>
      </w:pPr>
    </w:p>
    <w:p>
      <w:pPr>
        <w:autoSpaceDE w:val="0"/>
        <w:autoSpaceDN w:val="0"/>
        <w:adjustRightInd w:val="0"/>
        <w:spacing w:line="360" w:lineRule="auto"/>
        <w:ind w:firstLine="420" w:firstLineChars="200"/>
        <w:jc w:val="right"/>
        <w:rPr>
          <w:rFonts w:hint="eastAsia" w:ascii="宋体" w:hAnsi="宋体" w:cs="宋体"/>
          <w:bCs/>
          <w:highlight w:val="none"/>
        </w:rPr>
      </w:pPr>
    </w:p>
    <w:bookmarkEnd w:id="46"/>
    <w:p>
      <w:pPr>
        <w:autoSpaceDE w:val="0"/>
        <w:autoSpaceDN w:val="0"/>
        <w:adjustRightInd w:val="0"/>
        <w:spacing w:line="360" w:lineRule="auto"/>
        <w:ind w:firstLine="420" w:firstLineChars="200"/>
        <w:jc w:val="right"/>
        <w:rPr>
          <w:rFonts w:hint="eastAsia" w:ascii="宋体" w:hAnsi="宋体" w:cs="宋体"/>
          <w:bCs/>
          <w:highlight w:val="none"/>
        </w:rPr>
      </w:pPr>
    </w:p>
    <w:sectPr>
      <w:footerReference r:id="rId10"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p>
    <w:pPr>
      <w:pStyle w:val="13"/>
    </w:pP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numPr>
        <w:ilvl w:val="255"/>
        <w:numId w:val="0"/>
      </w:num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13</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numPr>
                              <w:ilvl w:val="255"/>
                              <w:numId w:val="0"/>
                            </w:numPr>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3"/>
                      <w:numPr>
                        <w:ilvl w:val="255"/>
                        <w:numId w:val="0"/>
                      </w:numPr>
                    </w:pPr>
                  </w:p>
                  <w:p/>
                </w:txbxContent>
              </v:textbox>
            </v:shape>
          </w:pict>
        </mc:Fallback>
      </mc:AlternateConten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numPr>
        <w:ilvl w:val="255"/>
        <w:numId w:val="0"/>
      </w:numPr>
    </w:pPr>
    <w: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numPr>
                              <w:ilvl w:val="255"/>
                              <w:numId w:val="0"/>
                            </w:numPr>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3"/>
                      <w:numPr>
                        <w:ilvl w:val="255"/>
                        <w:numId w:val="0"/>
                      </w:numPr>
                    </w:pPr>
                  </w:p>
                  <w:p/>
                </w:txbxContent>
              </v:textbox>
            </v:shape>
          </w:pict>
        </mc:Fallback>
      </mc:AlternateContent>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ckThinLargeGap" w:color="auto" w:sz="24" w:space="10"/>
      </w:pBdr>
      <w:tabs>
        <w:tab w:val="right" w:pos="8280"/>
      </w:tabs>
      <w:wordWrap w:val="0"/>
      <w:adjustRightInd w:val="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ckThinLargeGap" w:color="auto" w:sz="24" w:space="10"/>
      </w:pBdr>
      <w:tabs>
        <w:tab w:val="right" w:pos="8280"/>
      </w:tabs>
      <w:wordWrap w:val="0"/>
      <w:adjustRightInd w:val="0"/>
      <w:jc w:val="both"/>
    </w:pPr>
    <w:r>
      <w:rPr>
        <w:rFonts w:hint="eastAsia"/>
        <w:color w:val="000000"/>
      </w:rPr>
      <w:t>东方阿尔法增利债券型发起式证券投资基金</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C12C15"/>
    <w:multiLevelType w:val="singleLevel"/>
    <w:tmpl w:val="90C12C15"/>
    <w:lvl w:ilvl="0" w:tentative="0">
      <w:start w:val="4"/>
      <w:numFmt w:val="decimal"/>
      <w:suff w:val="nothing"/>
      <w:lvlText w:val="（%1）"/>
      <w:lvlJc w:val="left"/>
    </w:lvl>
  </w:abstractNum>
  <w:abstractNum w:abstractNumId="1">
    <w:nsid w:val="FB273E8C"/>
    <w:multiLevelType w:val="singleLevel"/>
    <w:tmpl w:val="FB273E8C"/>
    <w:lvl w:ilvl="0" w:tentative="0">
      <w:start w:val="2"/>
      <w:numFmt w:val="decimal"/>
      <w:suff w:val="nothing"/>
      <w:lvlText w:val="%1、"/>
      <w:lvlJc w:val="left"/>
      <w:pPr>
        <w:ind w:left="150"/>
      </w:pPr>
    </w:lvl>
  </w:abstractNum>
  <w:abstractNum w:abstractNumId="2">
    <w:nsid w:val="0000000A"/>
    <w:multiLevelType w:val="singleLevel"/>
    <w:tmpl w:val="0000000A"/>
    <w:lvl w:ilvl="0" w:tentative="0">
      <w:start w:val="4"/>
      <w:numFmt w:val="chineseCounting"/>
      <w:suff w:val="nothing"/>
      <w:lvlText w:val="%1、"/>
      <w:lvlJc w:val="left"/>
    </w:lvl>
  </w:abstractNum>
  <w:abstractNum w:abstractNumId="3">
    <w:nsid w:val="0000000C"/>
    <w:multiLevelType w:val="singleLevel"/>
    <w:tmpl w:val="0000000C"/>
    <w:lvl w:ilvl="0" w:tentative="0">
      <w:start w:val="1"/>
      <w:numFmt w:val="bullet"/>
      <w:pStyle w:val="36"/>
      <w:lvlText w:val=""/>
      <w:lvlJc w:val="left"/>
      <w:pPr>
        <w:tabs>
          <w:tab w:val="left" w:pos="360"/>
        </w:tabs>
        <w:ind w:left="360" w:hanging="360"/>
      </w:pPr>
      <w:rPr>
        <w:rFonts w:hint="default" w:ascii="Symbol" w:hAnsi="Symbol"/>
        <w:color w:val="auto"/>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楚懿暄 [2]">
    <w15:presenceInfo w15:providerId="None" w15:userId="楚懿暄"/>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iYTFkMTQ1MTMzM2E5MjkwMTYyODkwYjMyMDM0YjkifQ=="/>
  </w:docVars>
  <w:rsids>
    <w:rsidRoot w:val="00172A27"/>
    <w:rsid w:val="00000D07"/>
    <w:rsid w:val="00001365"/>
    <w:rsid w:val="00001A48"/>
    <w:rsid w:val="00001EF7"/>
    <w:rsid w:val="00005C8F"/>
    <w:rsid w:val="00005EBC"/>
    <w:rsid w:val="000078FB"/>
    <w:rsid w:val="00013C9A"/>
    <w:rsid w:val="0002128C"/>
    <w:rsid w:val="00027584"/>
    <w:rsid w:val="000311D3"/>
    <w:rsid w:val="000312E6"/>
    <w:rsid w:val="00033CB7"/>
    <w:rsid w:val="00035126"/>
    <w:rsid w:val="00035558"/>
    <w:rsid w:val="000361D8"/>
    <w:rsid w:val="0004130B"/>
    <w:rsid w:val="000563C1"/>
    <w:rsid w:val="00063265"/>
    <w:rsid w:val="000655A0"/>
    <w:rsid w:val="00071998"/>
    <w:rsid w:val="000732CC"/>
    <w:rsid w:val="00080E5C"/>
    <w:rsid w:val="0008177C"/>
    <w:rsid w:val="0008261C"/>
    <w:rsid w:val="0008408E"/>
    <w:rsid w:val="00086DFB"/>
    <w:rsid w:val="00093C28"/>
    <w:rsid w:val="00094882"/>
    <w:rsid w:val="00096589"/>
    <w:rsid w:val="000A14A0"/>
    <w:rsid w:val="000A3B21"/>
    <w:rsid w:val="000A3BAE"/>
    <w:rsid w:val="000A3FDB"/>
    <w:rsid w:val="000A4B79"/>
    <w:rsid w:val="000A62E6"/>
    <w:rsid w:val="000B17D0"/>
    <w:rsid w:val="000C43F2"/>
    <w:rsid w:val="000C57C0"/>
    <w:rsid w:val="000D3257"/>
    <w:rsid w:val="000D4B00"/>
    <w:rsid w:val="000D4C8B"/>
    <w:rsid w:val="000E083C"/>
    <w:rsid w:val="000E2052"/>
    <w:rsid w:val="0010136F"/>
    <w:rsid w:val="001109DB"/>
    <w:rsid w:val="0012378D"/>
    <w:rsid w:val="00133FE8"/>
    <w:rsid w:val="00135D36"/>
    <w:rsid w:val="00140FF7"/>
    <w:rsid w:val="0014765F"/>
    <w:rsid w:val="00150AE2"/>
    <w:rsid w:val="0015184B"/>
    <w:rsid w:val="00162EF9"/>
    <w:rsid w:val="001670F2"/>
    <w:rsid w:val="001707C0"/>
    <w:rsid w:val="00172A27"/>
    <w:rsid w:val="00174EF2"/>
    <w:rsid w:val="001811CE"/>
    <w:rsid w:val="001820B1"/>
    <w:rsid w:val="00184BF8"/>
    <w:rsid w:val="001877DD"/>
    <w:rsid w:val="00193A17"/>
    <w:rsid w:val="001959D7"/>
    <w:rsid w:val="00195CB4"/>
    <w:rsid w:val="001A0156"/>
    <w:rsid w:val="001B505D"/>
    <w:rsid w:val="001C2D47"/>
    <w:rsid w:val="001C2DFA"/>
    <w:rsid w:val="001C414A"/>
    <w:rsid w:val="001C587D"/>
    <w:rsid w:val="001E2737"/>
    <w:rsid w:val="001E49A3"/>
    <w:rsid w:val="001E5D8F"/>
    <w:rsid w:val="001E612E"/>
    <w:rsid w:val="001E72E1"/>
    <w:rsid w:val="001F4801"/>
    <w:rsid w:val="001F7211"/>
    <w:rsid w:val="00204064"/>
    <w:rsid w:val="002062F6"/>
    <w:rsid w:val="0021033D"/>
    <w:rsid w:val="0021308C"/>
    <w:rsid w:val="00217C8D"/>
    <w:rsid w:val="00221DFD"/>
    <w:rsid w:val="00233FBD"/>
    <w:rsid w:val="002343D5"/>
    <w:rsid w:val="00241CA0"/>
    <w:rsid w:val="00251B1A"/>
    <w:rsid w:val="00251C2A"/>
    <w:rsid w:val="00256903"/>
    <w:rsid w:val="002603C8"/>
    <w:rsid w:val="00262E5E"/>
    <w:rsid w:val="0026516B"/>
    <w:rsid w:val="00265DF9"/>
    <w:rsid w:val="002708D2"/>
    <w:rsid w:val="00277F6A"/>
    <w:rsid w:val="00281710"/>
    <w:rsid w:val="0028489D"/>
    <w:rsid w:val="0028496F"/>
    <w:rsid w:val="002869EE"/>
    <w:rsid w:val="00286DE0"/>
    <w:rsid w:val="0029062C"/>
    <w:rsid w:val="00291229"/>
    <w:rsid w:val="00291F71"/>
    <w:rsid w:val="002925A2"/>
    <w:rsid w:val="002A5BCE"/>
    <w:rsid w:val="002A5DE9"/>
    <w:rsid w:val="002B1B75"/>
    <w:rsid w:val="002B58E5"/>
    <w:rsid w:val="002B5F42"/>
    <w:rsid w:val="002B7D93"/>
    <w:rsid w:val="002C030E"/>
    <w:rsid w:val="002D0D71"/>
    <w:rsid w:val="002D37E1"/>
    <w:rsid w:val="002D5CBE"/>
    <w:rsid w:val="002D659D"/>
    <w:rsid w:val="002E4D8C"/>
    <w:rsid w:val="002E5F72"/>
    <w:rsid w:val="002E7D67"/>
    <w:rsid w:val="002F158E"/>
    <w:rsid w:val="002F73E6"/>
    <w:rsid w:val="00303A11"/>
    <w:rsid w:val="00306BD3"/>
    <w:rsid w:val="003161F5"/>
    <w:rsid w:val="0032038F"/>
    <w:rsid w:val="00326BAC"/>
    <w:rsid w:val="00333030"/>
    <w:rsid w:val="003441C8"/>
    <w:rsid w:val="0034538F"/>
    <w:rsid w:val="00345E0D"/>
    <w:rsid w:val="0036429F"/>
    <w:rsid w:val="00367A52"/>
    <w:rsid w:val="00370F0F"/>
    <w:rsid w:val="0037527F"/>
    <w:rsid w:val="003811CB"/>
    <w:rsid w:val="003824D9"/>
    <w:rsid w:val="00382D7C"/>
    <w:rsid w:val="003874C6"/>
    <w:rsid w:val="0039092F"/>
    <w:rsid w:val="003B1A55"/>
    <w:rsid w:val="003B66FF"/>
    <w:rsid w:val="003C400D"/>
    <w:rsid w:val="003C46B8"/>
    <w:rsid w:val="003D45E9"/>
    <w:rsid w:val="003D7C40"/>
    <w:rsid w:val="003E1ABD"/>
    <w:rsid w:val="003E3345"/>
    <w:rsid w:val="003E6F70"/>
    <w:rsid w:val="003E7778"/>
    <w:rsid w:val="003F13FE"/>
    <w:rsid w:val="003F1A9A"/>
    <w:rsid w:val="003F394E"/>
    <w:rsid w:val="003F603B"/>
    <w:rsid w:val="003F7CB0"/>
    <w:rsid w:val="0040466F"/>
    <w:rsid w:val="00407D87"/>
    <w:rsid w:val="00411D49"/>
    <w:rsid w:val="00413D10"/>
    <w:rsid w:val="00413F66"/>
    <w:rsid w:val="004206DF"/>
    <w:rsid w:val="0042644D"/>
    <w:rsid w:val="00427557"/>
    <w:rsid w:val="004339BC"/>
    <w:rsid w:val="00435BC1"/>
    <w:rsid w:val="0044163E"/>
    <w:rsid w:val="00445F32"/>
    <w:rsid w:val="004572B7"/>
    <w:rsid w:val="004574B6"/>
    <w:rsid w:val="00462EC6"/>
    <w:rsid w:val="0046646D"/>
    <w:rsid w:val="004755EF"/>
    <w:rsid w:val="00475A52"/>
    <w:rsid w:val="00480DFF"/>
    <w:rsid w:val="00483394"/>
    <w:rsid w:val="00483619"/>
    <w:rsid w:val="00484E21"/>
    <w:rsid w:val="00485546"/>
    <w:rsid w:val="004858DC"/>
    <w:rsid w:val="00485A30"/>
    <w:rsid w:val="00485A32"/>
    <w:rsid w:val="00485BC5"/>
    <w:rsid w:val="00487879"/>
    <w:rsid w:val="0049152E"/>
    <w:rsid w:val="00497607"/>
    <w:rsid w:val="004A24B0"/>
    <w:rsid w:val="004A317A"/>
    <w:rsid w:val="004A6C06"/>
    <w:rsid w:val="004B17BB"/>
    <w:rsid w:val="004B39B8"/>
    <w:rsid w:val="004C0BD4"/>
    <w:rsid w:val="004C2683"/>
    <w:rsid w:val="004C5913"/>
    <w:rsid w:val="004D07DE"/>
    <w:rsid w:val="004D0BE7"/>
    <w:rsid w:val="004D1489"/>
    <w:rsid w:val="004E1C53"/>
    <w:rsid w:val="004E438B"/>
    <w:rsid w:val="004E7BC0"/>
    <w:rsid w:val="004F05AC"/>
    <w:rsid w:val="004F4449"/>
    <w:rsid w:val="004F745D"/>
    <w:rsid w:val="0050052F"/>
    <w:rsid w:val="0051039E"/>
    <w:rsid w:val="00512718"/>
    <w:rsid w:val="00512D9E"/>
    <w:rsid w:val="0052298E"/>
    <w:rsid w:val="00526B79"/>
    <w:rsid w:val="00532986"/>
    <w:rsid w:val="0053352C"/>
    <w:rsid w:val="0054263E"/>
    <w:rsid w:val="005454F9"/>
    <w:rsid w:val="00552387"/>
    <w:rsid w:val="00553283"/>
    <w:rsid w:val="00553F12"/>
    <w:rsid w:val="005543A5"/>
    <w:rsid w:val="005560E1"/>
    <w:rsid w:val="00564DEC"/>
    <w:rsid w:val="00566156"/>
    <w:rsid w:val="005737E3"/>
    <w:rsid w:val="00573A7E"/>
    <w:rsid w:val="00584C45"/>
    <w:rsid w:val="00587AC7"/>
    <w:rsid w:val="005915CD"/>
    <w:rsid w:val="00593558"/>
    <w:rsid w:val="00596F78"/>
    <w:rsid w:val="005A0896"/>
    <w:rsid w:val="005A60F8"/>
    <w:rsid w:val="005A6B08"/>
    <w:rsid w:val="005B6757"/>
    <w:rsid w:val="005C01E1"/>
    <w:rsid w:val="005C5FE4"/>
    <w:rsid w:val="005C68DE"/>
    <w:rsid w:val="005D054A"/>
    <w:rsid w:val="005D35BB"/>
    <w:rsid w:val="005E0B0B"/>
    <w:rsid w:val="005E1CC4"/>
    <w:rsid w:val="005F3000"/>
    <w:rsid w:val="00603221"/>
    <w:rsid w:val="0060494B"/>
    <w:rsid w:val="00604E59"/>
    <w:rsid w:val="006101D0"/>
    <w:rsid w:val="0061552E"/>
    <w:rsid w:val="00626C70"/>
    <w:rsid w:val="00630CFB"/>
    <w:rsid w:val="00631FB2"/>
    <w:rsid w:val="00635174"/>
    <w:rsid w:val="00635A0F"/>
    <w:rsid w:val="006448DB"/>
    <w:rsid w:val="006502AA"/>
    <w:rsid w:val="006504C8"/>
    <w:rsid w:val="00656988"/>
    <w:rsid w:val="00662B79"/>
    <w:rsid w:val="00663728"/>
    <w:rsid w:val="00666A8E"/>
    <w:rsid w:val="00670505"/>
    <w:rsid w:val="0067209F"/>
    <w:rsid w:val="00672748"/>
    <w:rsid w:val="006727AF"/>
    <w:rsid w:val="00675AA7"/>
    <w:rsid w:val="006865E8"/>
    <w:rsid w:val="00691202"/>
    <w:rsid w:val="006925D0"/>
    <w:rsid w:val="0069339C"/>
    <w:rsid w:val="006A3DB1"/>
    <w:rsid w:val="006A3E87"/>
    <w:rsid w:val="006B0A0B"/>
    <w:rsid w:val="006B227F"/>
    <w:rsid w:val="006B44DC"/>
    <w:rsid w:val="006B4C76"/>
    <w:rsid w:val="006B68C5"/>
    <w:rsid w:val="006B7088"/>
    <w:rsid w:val="006C4442"/>
    <w:rsid w:val="006C73CE"/>
    <w:rsid w:val="006E0C3F"/>
    <w:rsid w:val="006E0CAA"/>
    <w:rsid w:val="006E3086"/>
    <w:rsid w:val="006E6D9B"/>
    <w:rsid w:val="006F338B"/>
    <w:rsid w:val="006F65EF"/>
    <w:rsid w:val="00701D6E"/>
    <w:rsid w:val="00707CF3"/>
    <w:rsid w:val="00711005"/>
    <w:rsid w:val="00712BE2"/>
    <w:rsid w:val="007253C9"/>
    <w:rsid w:val="007318F4"/>
    <w:rsid w:val="0074167D"/>
    <w:rsid w:val="00746F7F"/>
    <w:rsid w:val="0074701F"/>
    <w:rsid w:val="0075234D"/>
    <w:rsid w:val="007604D1"/>
    <w:rsid w:val="00764617"/>
    <w:rsid w:val="00766AC4"/>
    <w:rsid w:val="0076704E"/>
    <w:rsid w:val="00767C22"/>
    <w:rsid w:val="007805B4"/>
    <w:rsid w:val="0078545E"/>
    <w:rsid w:val="00790DC7"/>
    <w:rsid w:val="007A0C47"/>
    <w:rsid w:val="007A1472"/>
    <w:rsid w:val="007A2C81"/>
    <w:rsid w:val="007A6220"/>
    <w:rsid w:val="007B4685"/>
    <w:rsid w:val="007B66B0"/>
    <w:rsid w:val="007B732C"/>
    <w:rsid w:val="007C03C9"/>
    <w:rsid w:val="007C2075"/>
    <w:rsid w:val="007C6FFB"/>
    <w:rsid w:val="007C77DE"/>
    <w:rsid w:val="007D18C7"/>
    <w:rsid w:val="007D241B"/>
    <w:rsid w:val="007D369D"/>
    <w:rsid w:val="007D7AED"/>
    <w:rsid w:val="007E27EB"/>
    <w:rsid w:val="007E4290"/>
    <w:rsid w:val="007F29D3"/>
    <w:rsid w:val="007F3065"/>
    <w:rsid w:val="007F413D"/>
    <w:rsid w:val="007F5538"/>
    <w:rsid w:val="007F7191"/>
    <w:rsid w:val="007F7F3D"/>
    <w:rsid w:val="00814EFF"/>
    <w:rsid w:val="0081604A"/>
    <w:rsid w:val="00820CE4"/>
    <w:rsid w:val="00823CB7"/>
    <w:rsid w:val="00825781"/>
    <w:rsid w:val="00825BA9"/>
    <w:rsid w:val="00830AE6"/>
    <w:rsid w:val="008332CC"/>
    <w:rsid w:val="00841ECB"/>
    <w:rsid w:val="00844BFF"/>
    <w:rsid w:val="0085057B"/>
    <w:rsid w:val="008628B5"/>
    <w:rsid w:val="00871852"/>
    <w:rsid w:val="00884CB2"/>
    <w:rsid w:val="00887A1C"/>
    <w:rsid w:val="00890B3E"/>
    <w:rsid w:val="00895C20"/>
    <w:rsid w:val="00896082"/>
    <w:rsid w:val="008A4723"/>
    <w:rsid w:val="008B06F1"/>
    <w:rsid w:val="008B2981"/>
    <w:rsid w:val="008B2A19"/>
    <w:rsid w:val="008C0FCC"/>
    <w:rsid w:val="008C237F"/>
    <w:rsid w:val="008C646C"/>
    <w:rsid w:val="008D0F07"/>
    <w:rsid w:val="008D59EE"/>
    <w:rsid w:val="008E168B"/>
    <w:rsid w:val="008E6818"/>
    <w:rsid w:val="008E6844"/>
    <w:rsid w:val="008F0D00"/>
    <w:rsid w:val="008F32DE"/>
    <w:rsid w:val="0090509A"/>
    <w:rsid w:val="00905E4F"/>
    <w:rsid w:val="009078E3"/>
    <w:rsid w:val="009133A4"/>
    <w:rsid w:val="00914F7B"/>
    <w:rsid w:val="00924015"/>
    <w:rsid w:val="00927BA8"/>
    <w:rsid w:val="009363AF"/>
    <w:rsid w:val="00946A4B"/>
    <w:rsid w:val="009472CA"/>
    <w:rsid w:val="00961B0D"/>
    <w:rsid w:val="00962194"/>
    <w:rsid w:val="00966C41"/>
    <w:rsid w:val="00974242"/>
    <w:rsid w:val="00975906"/>
    <w:rsid w:val="00982812"/>
    <w:rsid w:val="00991D35"/>
    <w:rsid w:val="00992270"/>
    <w:rsid w:val="00992C06"/>
    <w:rsid w:val="009A1E0D"/>
    <w:rsid w:val="009A2E6F"/>
    <w:rsid w:val="009A6F5B"/>
    <w:rsid w:val="009B472F"/>
    <w:rsid w:val="009B673B"/>
    <w:rsid w:val="009C234C"/>
    <w:rsid w:val="009C3D38"/>
    <w:rsid w:val="009C5AE1"/>
    <w:rsid w:val="009C633C"/>
    <w:rsid w:val="009C77DD"/>
    <w:rsid w:val="009D0183"/>
    <w:rsid w:val="009D4B7C"/>
    <w:rsid w:val="009D5427"/>
    <w:rsid w:val="009D543D"/>
    <w:rsid w:val="009E4168"/>
    <w:rsid w:val="009E4551"/>
    <w:rsid w:val="00A0068D"/>
    <w:rsid w:val="00A01C90"/>
    <w:rsid w:val="00A0493E"/>
    <w:rsid w:val="00A04CDA"/>
    <w:rsid w:val="00A1077C"/>
    <w:rsid w:val="00A142F0"/>
    <w:rsid w:val="00A20EDF"/>
    <w:rsid w:val="00A3171A"/>
    <w:rsid w:val="00A32961"/>
    <w:rsid w:val="00A36550"/>
    <w:rsid w:val="00A3662E"/>
    <w:rsid w:val="00A549E4"/>
    <w:rsid w:val="00A618A0"/>
    <w:rsid w:val="00A61E76"/>
    <w:rsid w:val="00A651A9"/>
    <w:rsid w:val="00A65771"/>
    <w:rsid w:val="00A65E58"/>
    <w:rsid w:val="00A664CD"/>
    <w:rsid w:val="00A93462"/>
    <w:rsid w:val="00AA4DAA"/>
    <w:rsid w:val="00AB5B3E"/>
    <w:rsid w:val="00AB6B1E"/>
    <w:rsid w:val="00AC435E"/>
    <w:rsid w:val="00AC4CE0"/>
    <w:rsid w:val="00AC782C"/>
    <w:rsid w:val="00AD1622"/>
    <w:rsid w:val="00AD17A7"/>
    <w:rsid w:val="00AD1C5D"/>
    <w:rsid w:val="00AD2C0F"/>
    <w:rsid w:val="00AD2CF2"/>
    <w:rsid w:val="00AD4DAA"/>
    <w:rsid w:val="00AD6530"/>
    <w:rsid w:val="00AD6AC3"/>
    <w:rsid w:val="00AE00E5"/>
    <w:rsid w:val="00AE0B2F"/>
    <w:rsid w:val="00AE2CE5"/>
    <w:rsid w:val="00AF1554"/>
    <w:rsid w:val="00AF279E"/>
    <w:rsid w:val="00AF381A"/>
    <w:rsid w:val="00AF51AE"/>
    <w:rsid w:val="00AF5985"/>
    <w:rsid w:val="00AF6F22"/>
    <w:rsid w:val="00B06509"/>
    <w:rsid w:val="00B0650F"/>
    <w:rsid w:val="00B11BED"/>
    <w:rsid w:val="00B1361A"/>
    <w:rsid w:val="00B136A5"/>
    <w:rsid w:val="00B150D8"/>
    <w:rsid w:val="00B17780"/>
    <w:rsid w:val="00B20AA2"/>
    <w:rsid w:val="00B210C3"/>
    <w:rsid w:val="00B22616"/>
    <w:rsid w:val="00B247F1"/>
    <w:rsid w:val="00B26F92"/>
    <w:rsid w:val="00B4487F"/>
    <w:rsid w:val="00B4531B"/>
    <w:rsid w:val="00B456A2"/>
    <w:rsid w:val="00B465DC"/>
    <w:rsid w:val="00B468B0"/>
    <w:rsid w:val="00B52399"/>
    <w:rsid w:val="00B53B10"/>
    <w:rsid w:val="00B55CF5"/>
    <w:rsid w:val="00B56329"/>
    <w:rsid w:val="00B567CB"/>
    <w:rsid w:val="00B606EB"/>
    <w:rsid w:val="00B60A13"/>
    <w:rsid w:val="00B62102"/>
    <w:rsid w:val="00B73862"/>
    <w:rsid w:val="00B7595C"/>
    <w:rsid w:val="00B80A10"/>
    <w:rsid w:val="00B81A02"/>
    <w:rsid w:val="00B86692"/>
    <w:rsid w:val="00B87D30"/>
    <w:rsid w:val="00B927EB"/>
    <w:rsid w:val="00B95249"/>
    <w:rsid w:val="00B96ED5"/>
    <w:rsid w:val="00BA044D"/>
    <w:rsid w:val="00BA3671"/>
    <w:rsid w:val="00BA45BE"/>
    <w:rsid w:val="00BA6DF5"/>
    <w:rsid w:val="00BB3C0A"/>
    <w:rsid w:val="00BB449B"/>
    <w:rsid w:val="00BB54F5"/>
    <w:rsid w:val="00BC556F"/>
    <w:rsid w:val="00BC7AF0"/>
    <w:rsid w:val="00BD3150"/>
    <w:rsid w:val="00BE0A91"/>
    <w:rsid w:val="00BE31B6"/>
    <w:rsid w:val="00BE5AF5"/>
    <w:rsid w:val="00BE5F70"/>
    <w:rsid w:val="00BE752A"/>
    <w:rsid w:val="00BF1CF7"/>
    <w:rsid w:val="00BF2BB3"/>
    <w:rsid w:val="00BF2DE4"/>
    <w:rsid w:val="00BF4C10"/>
    <w:rsid w:val="00C006CE"/>
    <w:rsid w:val="00C00CF8"/>
    <w:rsid w:val="00C01AA9"/>
    <w:rsid w:val="00C115AA"/>
    <w:rsid w:val="00C139C6"/>
    <w:rsid w:val="00C2151D"/>
    <w:rsid w:val="00C218DB"/>
    <w:rsid w:val="00C245FF"/>
    <w:rsid w:val="00C26B42"/>
    <w:rsid w:val="00C32271"/>
    <w:rsid w:val="00C33022"/>
    <w:rsid w:val="00C375CC"/>
    <w:rsid w:val="00C40729"/>
    <w:rsid w:val="00C408DA"/>
    <w:rsid w:val="00C41428"/>
    <w:rsid w:val="00C42DBF"/>
    <w:rsid w:val="00C434EC"/>
    <w:rsid w:val="00C43D51"/>
    <w:rsid w:val="00C45BC7"/>
    <w:rsid w:val="00C50C8C"/>
    <w:rsid w:val="00C56B4D"/>
    <w:rsid w:val="00C60927"/>
    <w:rsid w:val="00C60E11"/>
    <w:rsid w:val="00C6710D"/>
    <w:rsid w:val="00C74439"/>
    <w:rsid w:val="00C76338"/>
    <w:rsid w:val="00C8142A"/>
    <w:rsid w:val="00C825E0"/>
    <w:rsid w:val="00C87446"/>
    <w:rsid w:val="00C92C62"/>
    <w:rsid w:val="00C9430E"/>
    <w:rsid w:val="00C95EE2"/>
    <w:rsid w:val="00CA1CD6"/>
    <w:rsid w:val="00CA6E83"/>
    <w:rsid w:val="00CB15CA"/>
    <w:rsid w:val="00CC040C"/>
    <w:rsid w:val="00CC5A44"/>
    <w:rsid w:val="00CC5E8E"/>
    <w:rsid w:val="00CC6F11"/>
    <w:rsid w:val="00CC7073"/>
    <w:rsid w:val="00CD041C"/>
    <w:rsid w:val="00CD2D5A"/>
    <w:rsid w:val="00CD5C16"/>
    <w:rsid w:val="00CE3464"/>
    <w:rsid w:val="00CE601F"/>
    <w:rsid w:val="00CF2734"/>
    <w:rsid w:val="00CF72FC"/>
    <w:rsid w:val="00D01E49"/>
    <w:rsid w:val="00D02BA3"/>
    <w:rsid w:val="00D2723E"/>
    <w:rsid w:val="00D41931"/>
    <w:rsid w:val="00D44DC8"/>
    <w:rsid w:val="00D45BCF"/>
    <w:rsid w:val="00D46AFB"/>
    <w:rsid w:val="00D51D68"/>
    <w:rsid w:val="00D53117"/>
    <w:rsid w:val="00D60314"/>
    <w:rsid w:val="00D63074"/>
    <w:rsid w:val="00D67343"/>
    <w:rsid w:val="00D71E90"/>
    <w:rsid w:val="00D759DB"/>
    <w:rsid w:val="00D777A3"/>
    <w:rsid w:val="00D9124D"/>
    <w:rsid w:val="00D920D1"/>
    <w:rsid w:val="00DA0A84"/>
    <w:rsid w:val="00DA30ED"/>
    <w:rsid w:val="00DA4C06"/>
    <w:rsid w:val="00DB06A6"/>
    <w:rsid w:val="00DB521C"/>
    <w:rsid w:val="00DB5F19"/>
    <w:rsid w:val="00DC05B3"/>
    <w:rsid w:val="00DC230D"/>
    <w:rsid w:val="00DC6A63"/>
    <w:rsid w:val="00DD2E11"/>
    <w:rsid w:val="00DD6F31"/>
    <w:rsid w:val="00DD76B8"/>
    <w:rsid w:val="00DE042A"/>
    <w:rsid w:val="00DE7266"/>
    <w:rsid w:val="00DF3F5D"/>
    <w:rsid w:val="00DF5A2A"/>
    <w:rsid w:val="00E02235"/>
    <w:rsid w:val="00E02564"/>
    <w:rsid w:val="00E12792"/>
    <w:rsid w:val="00E13412"/>
    <w:rsid w:val="00E1650E"/>
    <w:rsid w:val="00E2114E"/>
    <w:rsid w:val="00E21339"/>
    <w:rsid w:val="00E21549"/>
    <w:rsid w:val="00E22666"/>
    <w:rsid w:val="00E33985"/>
    <w:rsid w:val="00E40720"/>
    <w:rsid w:val="00E41451"/>
    <w:rsid w:val="00E43FC9"/>
    <w:rsid w:val="00E46F56"/>
    <w:rsid w:val="00E51FA8"/>
    <w:rsid w:val="00E55294"/>
    <w:rsid w:val="00E57476"/>
    <w:rsid w:val="00E606D6"/>
    <w:rsid w:val="00E72D2B"/>
    <w:rsid w:val="00E7630A"/>
    <w:rsid w:val="00E826D6"/>
    <w:rsid w:val="00E9633D"/>
    <w:rsid w:val="00E97349"/>
    <w:rsid w:val="00EA0062"/>
    <w:rsid w:val="00EB2195"/>
    <w:rsid w:val="00EB5213"/>
    <w:rsid w:val="00EB576F"/>
    <w:rsid w:val="00EB5F0A"/>
    <w:rsid w:val="00EB616F"/>
    <w:rsid w:val="00EB6667"/>
    <w:rsid w:val="00EB6C9B"/>
    <w:rsid w:val="00EC29AF"/>
    <w:rsid w:val="00EC43D3"/>
    <w:rsid w:val="00EC7A8E"/>
    <w:rsid w:val="00ED48D6"/>
    <w:rsid w:val="00ED5D45"/>
    <w:rsid w:val="00ED7B70"/>
    <w:rsid w:val="00EE3CC3"/>
    <w:rsid w:val="00EE5321"/>
    <w:rsid w:val="00EE5556"/>
    <w:rsid w:val="00EE5869"/>
    <w:rsid w:val="00EF2B50"/>
    <w:rsid w:val="00EF30F0"/>
    <w:rsid w:val="00EF4952"/>
    <w:rsid w:val="00EF54A3"/>
    <w:rsid w:val="00F05EA4"/>
    <w:rsid w:val="00F07800"/>
    <w:rsid w:val="00F24B82"/>
    <w:rsid w:val="00F31CC2"/>
    <w:rsid w:val="00F352F8"/>
    <w:rsid w:val="00F37149"/>
    <w:rsid w:val="00F37162"/>
    <w:rsid w:val="00F37B3D"/>
    <w:rsid w:val="00F503EC"/>
    <w:rsid w:val="00F5483C"/>
    <w:rsid w:val="00F54B63"/>
    <w:rsid w:val="00F5568E"/>
    <w:rsid w:val="00F65F9B"/>
    <w:rsid w:val="00F65FE6"/>
    <w:rsid w:val="00F70F7A"/>
    <w:rsid w:val="00F75ECA"/>
    <w:rsid w:val="00F81B54"/>
    <w:rsid w:val="00F83516"/>
    <w:rsid w:val="00F90A83"/>
    <w:rsid w:val="00F97C42"/>
    <w:rsid w:val="00FB0097"/>
    <w:rsid w:val="00FB6157"/>
    <w:rsid w:val="00FC1118"/>
    <w:rsid w:val="00FC1740"/>
    <w:rsid w:val="00FC1C3C"/>
    <w:rsid w:val="00FC323A"/>
    <w:rsid w:val="00FC464F"/>
    <w:rsid w:val="00FC5C1B"/>
    <w:rsid w:val="00FC7A4D"/>
    <w:rsid w:val="00FD497B"/>
    <w:rsid w:val="00FD4AC4"/>
    <w:rsid w:val="00FD635F"/>
    <w:rsid w:val="00FD7214"/>
    <w:rsid w:val="00FE1454"/>
    <w:rsid w:val="00FF1870"/>
    <w:rsid w:val="00FF4CAE"/>
    <w:rsid w:val="00FF6B07"/>
    <w:rsid w:val="010C14B1"/>
    <w:rsid w:val="0194674A"/>
    <w:rsid w:val="03985E90"/>
    <w:rsid w:val="03D063BE"/>
    <w:rsid w:val="03E428A3"/>
    <w:rsid w:val="04992B5B"/>
    <w:rsid w:val="064B256D"/>
    <w:rsid w:val="06B054D2"/>
    <w:rsid w:val="06DC2BB0"/>
    <w:rsid w:val="07362D8B"/>
    <w:rsid w:val="0A08326D"/>
    <w:rsid w:val="0BD87766"/>
    <w:rsid w:val="0D215336"/>
    <w:rsid w:val="0E8813E4"/>
    <w:rsid w:val="0FEB1AE4"/>
    <w:rsid w:val="106110E0"/>
    <w:rsid w:val="111E4A8C"/>
    <w:rsid w:val="119103F7"/>
    <w:rsid w:val="12486EC1"/>
    <w:rsid w:val="129A3917"/>
    <w:rsid w:val="14C2469F"/>
    <w:rsid w:val="15052B04"/>
    <w:rsid w:val="170E497B"/>
    <w:rsid w:val="185E16E5"/>
    <w:rsid w:val="1A1633D5"/>
    <w:rsid w:val="1A77205B"/>
    <w:rsid w:val="1ACB3B53"/>
    <w:rsid w:val="1B1103CE"/>
    <w:rsid w:val="1E1D2112"/>
    <w:rsid w:val="1E3E5D85"/>
    <w:rsid w:val="1EA10B6D"/>
    <w:rsid w:val="207163EE"/>
    <w:rsid w:val="215154F3"/>
    <w:rsid w:val="21B831B5"/>
    <w:rsid w:val="23097A3C"/>
    <w:rsid w:val="24ED6EEE"/>
    <w:rsid w:val="25A156C1"/>
    <w:rsid w:val="25F06A58"/>
    <w:rsid w:val="27531A88"/>
    <w:rsid w:val="2844420E"/>
    <w:rsid w:val="28AE3A94"/>
    <w:rsid w:val="2B72479C"/>
    <w:rsid w:val="2BE237DB"/>
    <w:rsid w:val="2D120924"/>
    <w:rsid w:val="31944E73"/>
    <w:rsid w:val="32AA22EE"/>
    <w:rsid w:val="34253E60"/>
    <w:rsid w:val="348C6963"/>
    <w:rsid w:val="34BC39A3"/>
    <w:rsid w:val="37172A21"/>
    <w:rsid w:val="37B447A7"/>
    <w:rsid w:val="38DA461C"/>
    <w:rsid w:val="3C3A6681"/>
    <w:rsid w:val="3E872031"/>
    <w:rsid w:val="40E1125B"/>
    <w:rsid w:val="418A796D"/>
    <w:rsid w:val="419B4FFA"/>
    <w:rsid w:val="42DD7875"/>
    <w:rsid w:val="444C3824"/>
    <w:rsid w:val="460045CD"/>
    <w:rsid w:val="46EA782A"/>
    <w:rsid w:val="47217705"/>
    <w:rsid w:val="47C87B80"/>
    <w:rsid w:val="47E3436A"/>
    <w:rsid w:val="484374D3"/>
    <w:rsid w:val="4A506530"/>
    <w:rsid w:val="4AAC3789"/>
    <w:rsid w:val="4BC51105"/>
    <w:rsid w:val="4CB14913"/>
    <w:rsid w:val="4D2756BB"/>
    <w:rsid w:val="4F154C80"/>
    <w:rsid w:val="4F831FD2"/>
    <w:rsid w:val="50026293"/>
    <w:rsid w:val="51481806"/>
    <w:rsid w:val="51583EA0"/>
    <w:rsid w:val="51A562DF"/>
    <w:rsid w:val="52F442D9"/>
    <w:rsid w:val="532A2ADB"/>
    <w:rsid w:val="532A7941"/>
    <w:rsid w:val="54424345"/>
    <w:rsid w:val="546C5CD9"/>
    <w:rsid w:val="581A3C9E"/>
    <w:rsid w:val="592E36F6"/>
    <w:rsid w:val="593257A1"/>
    <w:rsid w:val="59EE3D5F"/>
    <w:rsid w:val="5A3122CC"/>
    <w:rsid w:val="5ADC59C5"/>
    <w:rsid w:val="5C33001D"/>
    <w:rsid w:val="5CCE45D1"/>
    <w:rsid w:val="5E90412B"/>
    <w:rsid w:val="60435E2D"/>
    <w:rsid w:val="623E4995"/>
    <w:rsid w:val="63C35974"/>
    <w:rsid w:val="65F657B5"/>
    <w:rsid w:val="664301DB"/>
    <w:rsid w:val="67376C31"/>
    <w:rsid w:val="67764A22"/>
    <w:rsid w:val="67772FAC"/>
    <w:rsid w:val="68886033"/>
    <w:rsid w:val="6AA3205B"/>
    <w:rsid w:val="6F7947F4"/>
    <w:rsid w:val="72242091"/>
    <w:rsid w:val="73221F8B"/>
    <w:rsid w:val="744501BA"/>
    <w:rsid w:val="769A1F00"/>
    <w:rsid w:val="7732524E"/>
    <w:rsid w:val="77DA2E34"/>
    <w:rsid w:val="78373BF3"/>
    <w:rsid w:val="79565D2F"/>
    <w:rsid w:val="7CAC5AD1"/>
    <w:rsid w:val="7EB3006D"/>
    <w:rsid w:val="7F875650"/>
    <w:rsid w:val="7FF86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qFormat/>
    <w:uiPriority w:val="0"/>
    <w:pPr>
      <w:shd w:val="clear" w:color="auto" w:fill="000080"/>
    </w:pPr>
  </w:style>
  <w:style w:type="paragraph" w:styleId="7">
    <w:name w:val="annotation text"/>
    <w:basedOn w:val="1"/>
    <w:link w:val="47"/>
    <w:qFormat/>
    <w:uiPriority w:val="0"/>
    <w:pPr>
      <w:jc w:val="left"/>
    </w:pPr>
    <w:rPr>
      <w:lang w:val="zh-CN"/>
    </w:rPr>
  </w:style>
  <w:style w:type="paragraph" w:styleId="8">
    <w:name w:val="Body Text"/>
    <w:basedOn w:val="1"/>
    <w:link w:val="28"/>
    <w:qFormat/>
    <w:uiPriority w:val="0"/>
    <w:pPr>
      <w:autoSpaceDE w:val="0"/>
      <w:autoSpaceDN w:val="0"/>
      <w:adjustRightInd w:val="0"/>
      <w:spacing w:line="360" w:lineRule="auto"/>
      <w:jc w:val="left"/>
    </w:pPr>
    <w:rPr>
      <w:rFonts w:ascii="宋体"/>
      <w:kern w:val="0"/>
      <w:sz w:val="20"/>
      <w:lang w:val="zh-CN"/>
    </w:rPr>
  </w:style>
  <w:style w:type="paragraph" w:styleId="9">
    <w:name w:val="toc 3"/>
    <w:basedOn w:val="1"/>
    <w:next w:val="1"/>
    <w:qFormat/>
    <w:uiPriority w:val="0"/>
    <w:pPr>
      <w:ind w:left="840" w:leftChars="400"/>
    </w:pPr>
  </w:style>
  <w:style w:type="paragraph" w:styleId="10">
    <w:name w:val="Plain Text"/>
    <w:basedOn w:val="1"/>
    <w:qFormat/>
    <w:uiPriority w:val="0"/>
    <w:pPr>
      <w:adjustRightInd w:val="0"/>
      <w:spacing w:line="312" w:lineRule="atLeast"/>
      <w:textAlignment w:val="baseline"/>
    </w:pPr>
    <w:rPr>
      <w:rFonts w:ascii="宋体" w:hAnsi="Courier New"/>
      <w:kern w:val="0"/>
    </w:rPr>
  </w:style>
  <w:style w:type="paragraph" w:styleId="11">
    <w:name w:val="Body Text Indent 2"/>
    <w:basedOn w:val="1"/>
    <w:qFormat/>
    <w:uiPriority w:val="0"/>
    <w:pPr>
      <w:spacing w:line="360" w:lineRule="auto"/>
      <w:ind w:firstLine="425"/>
    </w:pPr>
    <w:rPr>
      <w:rFonts w:ascii="仿宋_GB2312" w:eastAsia="仿宋_GB2312"/>
      <w:sz w:val="28"/>
    </w:rPr>
  </w:style>
  <w:style w:type="paragraph" w:styleId="12">
    <w:name w:val="Balloon Text"/>
    <w:basedOn w:val="1"/>
    <w:qFormat/>
    <w:uiPriority w:val="0"/>
    <w:rPr>
      <w:sz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link w:val="3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0"/>
    <w:pPr>
      <w:tabs>
        <w:tab w:val="right" w:leader="dot" w:pos="8296"/>
      </w:tabs>
      <w:spacing w:line="360" w:lineRule="auto"/>
    </w:pPr>
  </w:style>
  <w:style w:type="paragraph" w:styleId="16">
    <w:name w:val="footnote text"/>
    <w:basedOn w:val="1"/>
    <w:qFormat/>
    <w:uiPriority w:val="0"/>
    <w:pPr>
      <w:snapToGrid w:val="0"/>
      <w:jc w:val="left"/>
    </w:pPr>
    <w:rPr>
      <w:sz w:val="18"/>
    </w:rPr>
  </w:style>
  <w:style w:type="paragraph" w:styleId="17">
    <w:name w:val="Body Text Indent 3"/>
    <w:basedOn w:val="1"/>
    <w:qFormat/>
    <w:uiPriority w:val="0"/>
    <w:pPr>
      <w:autoSpaceDE w:val="0"/>
      <w:autoSpaceDN w:val="0"/>
      <w:adjustRightInd w:val="0"/>
      <w:spacing w:line="360" w:lineRule="auto"/>
      <w:ind w:left="420" w:firstLine="435"/>
    </w:pPr>
    <w:rPr>
      <w:color w:val="0000FF"/>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19">
    <w:name w:val="Title"/>
    <w:basedOn w:val="1"/>
    <w:next w:val="1"/>
    <w:link w:val="30"/>
    <w:qFormat/>
    <w:uiPriority w:val="0"/>
    <w:pPr>
      <w:spacing w:before="240" w:after="60"/>
      <w:jc w:val="center"/>
      <w:outlineLvl w:val="0"/>
    </w:pPr>
    <w:rPr>
      <w:rFonts w:ascii="Cambria" w:hAnsi="Cambria"/>
      <w:b/>
      <w:sz w:val="32"/>
    </w:rPr>
  </w:style>
  <w:style w:type="paragraph" w:styleId="20">
    <w:name w:val="annotation subject"/>
    <w:basedOn w:val="7"/>
    <w:next w:val="7"/>
    <w:qFormat/>
    <w:uiPriority w:val="0"/>
    <w:rPr>
      <w:b/>
    </w:rPr>
  </w:style>
  <w:style w:type="character" w:styleId="23">
    <w:name w:val="Strong"/>
    <w:basedOn w:val="22"/>
    <w:qFormat/>
    <w:uiPriority w:val="22"/>
    <w:rPr>
      <w:b/>
    </w:rPr>
  </w:style>
  <w:style w:type="character" w:styleId="24">
    <w:name w:val="page number"/>
    <w:basedOn w:val="22"/>
    <w:qFormat/>
    <w:uiPriority w:val="0"/>
  </w:style>
  <w:style w:type="character" w:styleId="25">
    <w:name w:val="Hyperlink"/>
    <w:basedOn w:val="22"/>
    <w:qFormat/>
    <w:uiPriority w:val="0"/>
    <w:rPr>
      <w:color w:val="0000FF"/>
      <w:u w:val="single"/>
    </w:rPr>
  </w:style>
  <w:style w:type="character" w:styleId="26">
    <w:name w:val="annotation reference"/>
    <w:basedOn w:val="22"/>
    <w:qFormat/>
    <w:uiPriority w:val="0"/>
    <w:rPr>
      <w:sz w:val="21"/>
    </w:rPr>
  </w:style>
  <w:style w:type="character" w:styleId="27">
    <w:name w:val="footnote reference"/>
    <w:basedOn w:val="22"/>
    <w:qFormat/>
    <w:uiPriority w:val="0"/>
    <w:rPr>
      <w:vertAlign w:val="superscript"/>
    </w:rPr>
  </w:style>
  <w:style w:type="character" w:customStyle="1" w:styleId="28">
    <w:name w:val="正文文本 字符"/>
    <w:link w:val="8"/>
    <w:qFormat/>
    <w:uiPriority w:val="0"/>
    <w:rPr>
      <w:rFonts w:ascii="宋体"/>
      <w:kern w:val="0"/>
    </w:rPr>
  </w:style>
  <w:style w:type="character" w:customStyle="1" w:styleId="29">
    <w:name w:val="unnamed11"/>
    <w:basedOn w:val="22"/>
    <w:qFormat/>
    <w:uiPriority w:val="0"/>
    <w:rPr>
      <w:rFonts w:hint="eastAsia" w:ascii="宋体" w:hAnsi="宋体" w:eastAsia="宋体"/>
      <w:sz w:val="18"/>
    </w:rPr>
  </w:style>
  <w:style w:type="character" w:customStyle="1" w:styleId="30">
    <w:name w:val="标题 字符"/>
    <w:basedOn w:val="22"/>
    <w:link w:val="19"/>
    <w:qFormat/>
    <w:uiPriority w:val="0"/>
    <w:rPr>
      <w:rFonts w:ascii="Cambria" w:hAnsi="Cambria"/>
      <w:b/>
      <w:kern w:val="2"/>
      <w:sz w:val="32"/>
    </w:rPr>
  </w:style>
  <w:style w:type="character" w:customStyle="1" w:styleId="31">
    <w:name w:val="页眉 字符"/>
    <w:basedOn w:val="22"/>
    <w:link w:val="14"/>
    <w:qFormat/>
    <w:uiPriority w:val="0"/>
    <w:rPr>
      <w:rFonts w:eastAsia="宋体"/>
      <w:kern w:val="2"/>
      <w:sz w:val="18"/>
      <w:lang w:val="en-US" w:eastAsia="zh-CN"/>
    </w:rPr>
  </w:style>
  <w:style w:type="character" w:customStyle="1" w:styleId="32">
    <w:name w:val="read"/>
    <w:basedOn w:val="22"/>
    <w:qFormat/>
    <w:uiPriority w:val="0"/>
  </w:style>
  <w:style w:type="paragraph" w:customStyle="1" w:styleId="33">
    <w:name w:val="Char Char"/>
    <w:basedOn w:val="1"/>
    <w:qFormat/>
    <w:uiPriority w:val="0"/>
  </w:style>
  <w:style w:type="paragraph" w:customStyle="1" w:styleId="3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5">
    <w:name w:val="unnamed1"/>
    <w:basedOn w:val="1"/>
    <w:qFormat/>
    <w:uiPriority w:val="0"/>
    <w:pPr>
      <w:spacing w:before="60" w:after="60"/>
      <w:ind w:left="15" w:right="15"/>
    </w:pPr>
    <w:rPr>
      <w:rFonts w:hint="eastAsia" w:ascii="宋体" w:hAnsi="宋体"/>
      <w:color w:val="000000"/>
      <w:sz w:val="18"/>
      <w:szCs w:val="18"/>
    </w:rPr>
  </w:style>
  <w:style w:type="paragraph" w:customStyle="1" w:styleId="36">
    <w:name w:val="List_bullet"/>
    <w:basedOn w:val="1"/>
    <w:qFormat/>
    <w:uiPriority w:val="0"/>
    <w:pPr>
      <w:widowControl/>
      <w:numPr>
        <w:ilvl w:val="0"/>
        <w:numId w:val="1"/>
      </w:numPr>
      <w:jc w:val="left"/>
    </w:pPr>
    <w:rPr>
      <w:kern w:val="0"/>
      <w:sz w:val="24"/>
    </w:rPr>
  </w:style>
  <w:style w:type="paragraph" w:customStyle="1" w:styleId="37">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
    <w:name w:val="正文正文"/>
    <w:basedOn w:val="1"/>
    <w:qFormat/>
    <w:uiPriority w:val="0"/>
    <w:pPr>
      <w:spacing w:after="78" w:afterLines="25" w:line="360" w:lineRule="auto"/>
      <w:ind w:firstLine="200" w:firstLineChars="200"/>
    </w:pPr>
    <w:rPr>
      <w:sz w:val="24"/>
    </w:rPr>
  </w:style>
  <w:style w:type="paragraph" w:customStyle="1" w:styleId="39">
    <w:name w:val="Char"/>
    <w:basedOn w:val="1"/>
    <w:qFormat/>
    <w:uiPriority w:val="0"/>
  </w:style>
  <w:style w:type="paragraph" w:customStyle="1" w:styleId="40">
    <w:name w:val="Char1"/>
    <w:basedOn w:val="1"/>
    <w:qFormat/>
    <w:uiPriority w:val="0"/>
  </w:style>
  <w:style w:type="paragraph" w:customStyle="1" w:styleId="41">
    <w:name w:val="Char Char Char"/>
    <w:basedOn w:val="1"/>
    <w:qFormat/>
    <w:uiPriority w:val="0"/>
  </w:style>
  <w:style w:type="paragraph" w:customStyle="1" w:styleId="42">
    <w:name w:val="InfoBlue"/>
    <w:basedOn w:val="1"/>
    <w:next w:val="8"/>
    <w:qFormat/>
    <w:uiPriority w:val="0"/>
    <w:pPr>
      <w:tabs>
        <w:tab w:val="left" w:pos="420"/>
      </w:tabs>
      <w:spacing w:after="120" w:line="240" w:lineRule="atLeast"/>
      <w:ind w:left="420" w:hanging="420"/>
      <w:jc w:val="left"/>
    </w:pPr>
    <w:rPr>
      <w:rFonts w:ascii="宋体" w:hAnsi="宋体"/>
    </w:rPr>
  </w:style>
  <w:style w:type="paragraph" w:customStyle="1" w:styleId="43">
    <w:name w:val="Char Char Char Char"/>
    <w:basedOn w:val="1"/>
    <w:qFormat/>
    <w:uiPriority w:val="0"/>
    <w:pPr>
      <w:tabs>
        <w:tab w:val="left" w:pos="360"/>
      </w:tabs>
    </w:pPr>
  </w:style>
  <w:style w:type="paragraph" w:customStyle="1" w:styleId="44">
    <w:name w:val="Char Char1"/>
    <w:basedOn w:val="1"/>
    <w:qFormat/>
    <w:uiPriority w:val="0"/>
  </w:style>
  <w:style w:type="paragraph" w:customStyle="1" w:styleId="45">
    <w:name w:val="正文所"/>
    <w:basedOn w:val="1"/>
    <w:qFormat/>
    <w:uiPriority w:val="0"/>
    <w:pPr>
      <w:spacing w:line="360" w:lineRule="auto"/>
      <w:ind w:firstLine="420" w:firstLineChars="200"/>
    </w:pPr>
    <w:rPr>
      <w:rFonts w:ascii="宋体"/>
    </w:rPr>
  </w:style>
  <w:style w:type="paragraph" w:customStyle="1" w:styleId="46">
    <w:name w:val="修订1"/>
    <w:hidden/>
    <w:semiHidden/>
    <w:qFormat/>
    <w:uiPriority w:val="99"/>
    <w:rPr>
      <w:rFonts w:ascii="Times New Roman" w:hAnsi="Times New Roman" w:eastAsia="宋体" w:cs="Times New Roman"/>
      <w:kern w:val="2"/>
      <w:sz w:val="21"/>
      <w:lang w:val="en-US" w:eastAsia="zh-CN" w:bidi="ar-SA"/>
    </w:rPr>
  </w:style>
  <w:style w:type="character" w:customStyle="1" w:styleId="47">
    <w:name w:val="批注文字 字符1"/>
    <w:link w:val="7"/>
    <w:qFormat/>
    <w:uiPriority w:val="0"/>
    <w:rPr>
      <w:kern w:val="2"/>
      <w:sz w:val="21"/>
    </w:rPr>
  </w:style>
  <w:style w:type="character" w:customStyle="1" w:styleId="48">
    <w:name w:val="grame"/>
    <w:basedOn w:val="22"/>
    <w:qFormat/>
    <w:uiPriority w:val="0"/>
  </w:style>
  <w:style w:type="paragraph" w:styleId="49">
    <w:name w:val="List Paragraph"/>
    <w:basedOn w:val="1"/>
    <w:qFormat/>
    <w:uiPriority w:val="34"/>
    <w:pPr>
      <w:ind w:firstLine="420" w:firstLineChars="200"/>
    </w:pPr>
  </w:style>
  <w:style w:type="character" w:customStyle="1" w:styleId="50">
    <w:name w:val="fontstyle01"/>
    <w:basedOn w:val="22"/>
    <w:qFormat/>
    <w:uiPriority w:val="0"/>
    <w:rPr>
      <w:rFonts w:hint="eastAsia" w:ascii="宋体" w:hAnsi="宋体" w:eastAsia="宋体" w:cs="宋体"/>
      <w:color w:val="000000"/>
      <w:sz w:val="24"/>
      <w:szCs w:val="24"/>
    </w:rPr>
  </w:style>
  <w:style w:type="paragraph" w:customStyle="1" w:styleId="51">
    <w:name w:val="修订2"/>
    <w:hidden/>
    <w:semiHidden/>
    <w:qFormat/>
    <w:uiPriority w:val="99"/>
    <w:rPr>
      <w:rFonts w:ascii="Times New Roman" w:hAnsi="Times New Roman" w:eastAsia="宋体" w:cs="Times New Roman"/>
      <w:kern w:val="2"/>
      <w:sz w:val="21"/>
      <w:lang w:val="en-US" w:eastAsia="zh-CN" w:bidi="ar-SA"/>
    </w:rPr>
  </w:style>
  <w:style w:type="character" w:customStyle="1" w:styleId="52">
    <w:name w:val="批注文字 字符"/>
    <w:qFormat/>
    <w:uiPriority w:val="0"/>
    <w:rPr>
      <w:kern w:val="2"/>
      <w:sz w:val="21"/>
    </w:rPr>
  </w:style>
  <w:style w:type="paragraph" w:customStyle="1" w:styleId="53">
    <w:name w:val="修订3"/>
    <w:hidden/>
    <w:semiHidden/>
    <w:qFormat/>
    <w:uiPriority w:val="99"/>
    <w:rPr>
      <w:rFonts w:ascii="Times New Roman" w:hAnsi="Times New Roman" w:eastAsia="宋体" w:cs="Times New Roman"/>
      <w:kern w:val="2"/>
      <w:sz w:val="21"/>
      <w:lang w:val="en-US" w:eastAsia="zh-CN" w:bidi="ar-SA"/>
    </w:rPr>
  </w:style>
  <w:style w:type="paragraph" w:customStyle="1" w:styleId="54">
    <w:name w:val="修订4"/>
    <w:hidden/>
    <w:semiHidden/>
    <w:qFormat/>
    <w:uiPriority w:val="99"/>
    <w:rPr>
      <w:rFonts w:ascii="Times New Roman" w:hAnsi="Times New Roman" w:eastAsia="宋体" w:cs="Times New Roman"/>
      <w:kern w:val="2"/>
      <w:sz w:val="21"/>
      <w:lang w:val="en-US" w:eastAsia="zh-CN" w:bidi="ar-SA"/>
    </w:rPr>
  </w:style>
  <w:style w:type="paragraph" w:customStyle="1" w:styleId="55">
    <w:name w:val="修订5"/>
    <w:hidden/>
    <w:unhideWhenUsed/>
    <w:qFormat/>
    <w:uiPriority w:val="99"/>
    <w:rPr>
      <w:rFonts w:ascii="Times New Roman" w:hAnsi="Times New Roman" w:eastAsia="宋体" w:cs="Times New Roman"/>
      <w:kern w:val="2"/>
      <w:sz w:val="21"/>
      <w:lang w:val="en-US" w:eastAsia="zh-CN" w:bidi="ar-SA"/>
    </w:rPr>
  </w:style>
  <w:style w:type="paragraph" w:customStyle="1" w:styleId="56">
    <w:name w:val="Char Char2"/>
    <w:basedOn w:val="1"/>
    <w:qFormat/>
    <w:uiPriority w:val="0"/>
  </w:style>
  <w:style w:type="paragraph" w:customStyle="1" w:styleId="57">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b:Sources xmlns:b="http://schemas.openxmlformats.org/officeDocument/2006/bibliography" xmlns="http://schemas.openxmlformats.org/officeDocument/2006/bibliography" SelectedStyle="" StyleName=""/>
</file>

<file path=customXml/item4.xml><?xml version="1.0" encoding="utf-8"?>
<b:Sources xmlns:b="http://schemas.openxmlformats.org/officeDocument/2006/bibliography" xmlns="http://schemas.openxmlformats.org/officeDocument/2006/bibliography" SelectedStyle="" StyleName=""/>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AE1998-99C5-4692-9B90-0F5CD34251F9}">
  <ds:schemaRefs/>
</ds:datastoreItem>
</file>

<file path=customXml/itemProps3.xml><?xml version="1.0" encoding="utf-8"?>
<ds:datastoreItem xmlns:ds="http://schemas.openxmlformats.org/officeDocument/2006/customXml" ds:itemID="{AB7A427B-8EFA-4711-9827-7126B383F948}">
  <ds:schemaRefs/>
</ds:datastoreItem>
</file>

<file path=customXml/itemProps4.xml><?xml version="1.0" encoding="utf-8"?>
<ds:datastoreItem xmlns:ds="http://schemas.openxmlformats.org/officeDocument/2006/customXml" ds:itemID="{E3CCF1C7-5E38-460E-A441-795A3A3F0939}">
  <ds:schemaRefs/>
</ds:datastoreItem>
</file>

<file path=customXml/itemProps5.xml><?xml version="1.0" encoding="utf-8"?>
<ds:datastoreItem xmlns:ds="http://schemas.openxmlformats.org/officeDocument/2006/customXml" ds:itemID="{777E9138-84B4-44A0-BDF3-B5050596699F}">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131</Pages>
  <Words>85044</Words>
  <Characters>85982</Characters>
  <Lines>645</Lines>
  <Paragraphs>181</Paragraphs>
  <TotalTime>1</TotalTime>
  <ScaleCrop>false</ScaleCrop>
  <LinksUpToDate>false</LinksUpToDate>
  <CharactersWithSpaces>86352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2025-08-22T08:54:00Z</dcterms:created>
  <dc:creator>郑恩婵</dc:creator>
  <cp:lastModifiedBy>聪子</cp:lastModifiedBy>
  <cp:lastPrinted>2411-12-31T15:59:00Z</cp:lastPrinted>
  <dcterms:modified xsi:type="dcterms:W3CDTF">2026-05-19T03:15:07Z</dcterms:modified>
  <dc:title>___证券投资基金招募说明书1</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ontractId">
    <vt:lpwstr>1dcaabda2013410d90fa438b83fbe5e8</vt:lpwstr>
  </property>
  <property fmtid="{D5CDD505-2E9C-101B-9397-08002B2CF9AE}" pid="4" name="verificationId">
    <vt:lpwstr>9c962d0c207750f8</vt:lpwstr>
  </property>
  <property fmtid="{D5CDD505-2E9C-101B-9397-08002B2CF9AE}" pid="5" name="KSOTemplateDocerSaveRecord">
    <vt:lpwstr>eyJoZGlkIjoiNGQ1MWJmNTZlNjVkN2I2MWE1MTBlYzZlOWQ4MTBkZjQiLCJ1c2VySWQiOiIzNDg1MzgzMzAifQ==</vt:lpwstr>
  </property>
  <property fmtid="{D5CDD505-2E9C-101B-9397-08002B2CF9AE}" pid="6" name="ICV">
    <vt:lpwstr>707D9F75F1B4438DB2BBA1EB93A02DD2_13</vt:lpwstr>
  </property>
</Properties>
</file>