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cs="宋体"/>
        </w:rPr>
      </w:pPr>
      <w:r>
        <w:rPr>
          <w:rFonts w:hint="eastAsia" w:ascii="宋体" w:hAnsi="宋体" w:eastAsia="宋体" w:cs="宋体"/>
        </w:rPr>
        <w:t>东方阿尔法增利债券型发起式证券投资基金(C类份额)</w:t>
      </w:r>
      <w:r>
        <w:rPr>
          <w:rFonts w:ascii="宋体" w:hAnsi="宋体" w:eastAsia="宋体" w:cs="宋体"/>
        </w:rPr>
        <w:t>基金产品资料概要</w:t>
      </w:r>
    </w:p>
    <w:p>
      <w:pPr>
        <w:jc w:val="right"/>
        <w:rPr>
          <w:rFonts w:hint="eastAsia" w:ascii="宋体" w:hAnsi="宋体" w:cs="宋体"/>
        </w:rPr>
      </w:pPr>
      <w:r>
        <w:rPr>
          <w:rFonts w:ascii="宋体" w:hAnsi="宋体" w:eastAsia="宋体" w:cs="宋体"/>
          <w:b w:val="0"/>
        </w:rPr>
        <w:t>编制日期：2026年</w:t>
      </w:r>
      <w:r>
        <w:rPr>
          <w:rFonts w:hint="eastAsia" w:ascii="宋体" w:hAnsi="宋体" w:cs="宋体"/>
          <w:b w:val="0"/>
          <w:lang w:val="en-US" w:eastAsia="zh-CN"/>
        </w:rPr>
        <w:t>5</w:t>
      </w:r>
      <w:r>
        <w:rPr>
          <w:rFonts w:ascii="宋体" w:hAnsi="宋体" w:eastAsia="宋体" w:cs="宋体"/>
          <w:b w:val="0"/>
        </w:rPr>
        <w:t>月</w:t>
      </w:r>
      <w:r>
        <w:rPr>
          <w:rFonts w:hint="eastAsia" w:ascii="宋体" w:hAnsi="宋体" w:cs="宋体"/>
          <w:b w:val="0"/>
          <w:lang w:val="en-US" w:eastAsia="zh-CN"/>
        </w:rPr>
        <w:t>25</w:t>
      </w:r>
      <w:r>
        <w:rPr>
          <w:rFonts w:ascii="宋体" w:hAnsi="宋体" w:eastAsia="宋体" w:cs="宋体"/>
          <w:b w:val="0"/>
        </w:rPr>
        <w:t>日</w:t>
      </w:r>
    </w:p>
    <w:p>
      <w:pPr>
        <w:jc w:val="center"/>
        <w:rPr>
          <w:rFonts w:hint="eastAsia" w:ascii="宋体" w:hAnsi="宋体" w:cs="宋体"/>
        </w:rPr>
      </w:pPr>
      <w:r>
        <w:rPr>
          <w:rFonts w:ascii="宋体" w:hAnsi="宋体" w:eastAsia="宋体" w:cs="宋体"/>
          <w:b w:val="0"/>
        </w:rPr>
        <w:t>送出日期：2026年</w:t>
      </w:r>
      <w:r>
        <w:rPr>
          <w:rFonts w:hint="eastAsia" w:ascii="宋体" w:hAnsi="宋体" w:cs="宋体"/>
          <w:b w:val="0"/>
          <w:lang w:val="en-US" w:eastAsia="zh-CN"/>
        </w:rPr>
        <w:t>5</w:t>
      </w:r>
      <w:r>
        <w:rPr>
          <w:rFonts w:ascii="宋体" w:hAnsi="宋体" w:eastAsia="宋体" w:cs="宋体"/>
          <w:b w:val="0"/>
        </w:rPr>
        <w:t>月</w:t>
      </w:r>
      <w:r>
        <w:rPr>
          <w:rFonts w:hint="eastAsia" w:ascii="宋体" w:hAnsi="宋体" w:cs="宋体"/>
          <w:b w:val="0"/>
          <w:lang w:val="en-US" w:eastAsia="zh-CN"/>
        </w:rPr>
        <w:t>26</w:t>
      </w:r>
      <w:r>
        <w:rPr>
          <w:rFonts w:ascii="宋体" w:hAnsi="宋体" w:eastAsia="宋体" w:cs="宋体"/>
          <w:b w:val="0"/>
        </w:rPr>
        <w:t>日</w:t>
      </w:r>
    </w:p>
    <w:p>
      <w:pPr>
        <w:jc w:val="center"/>
        <w:rPr>
          <w:rFonts w:hint="eastAsia" w:ascii="宋体" w:hAnsi="宋体" w:cs="宋体"/>
        </w:rPr>
      </w:pPr>
      <w:r>
        <w:rPr>
          <w:rFonts w:ascii="宋体" w:hAnsi="宋体" w:eastAsia="宋体" w:cs="宋体"/>
          <w:b/>
        </w:rPr>
        <w:t>本概要提供本基金的重要信息，是招募说明书的一部分。</w:t>
      </w:r>
    </w:p>
    <w:p>
      <w:pPr>
        <w:jc w:val="center"/>
        <w:rPr>
          <w:rFonts w:hint="eastAsia" w:ascii="宋体" w:hAnsi="宋体" w:cs="宋体"/>
        </w:rPr>
      </w:pPr>
      <w:r>
        <w:rPr>
          <w:rFonts w:ascii="宋体" w:hAnsi="宋体" w:eastAsia="宋体" w:cs="宋体"/>
          <w:b/>
        </w:rPr>
        <w:t>作出投资决定前，请阅读完整的招募说明书等销售文件。</w:t>
      </w:r>
    </w:p>
    <w:p>
      <w:pPr>
        <w:pStyle w:val="3"/>
        <w:jc w:val="left"/>
        <w:rPr>
          <w:rFonts w:hint="eastAsia" w:ascii="宋体" w:hAnsi="宋体" w:cs="宋体"/>
        </w:rPr>
      </w:pPr>
      <w:r>
        <w:rPr>
          <w:rFonts w:ascii="宋体" w:hAnsi="宋体" w:eastAsia="宋体" w:cs="宋体"/>
        </w:rPr>
        <w:t>一、产品概况</w:t>
      </w:r>
    </w:p>
    <w:tbl>
      <w:tblPr>
        <w:tblStyle w:val="27"/>
        <w:tblW w:w="5001"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1832"/>
        <w:gridCol w:w="281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86" w:type="pct"/>
            <w:vAlign w:val="center"/>
          </w:tcPr>
          <w:p>
            <w:pPr>
              <w:spacing w:line="240" w:lineRule="auto"/>
              <w:jc w:val="left"/>
              <w:rPr>
                <w:rFonts w:hint="eastAsia" w:ascii="宋体" w:hAnsi="宋体" w:cs="宋体"/>
              </w:rPr>
            </w:pPr>
            <w:r>
              <w:rPr>
                <w:rFonts w:ascii="宋体" w:hAnsi="宋体" w:eastAsia="宋体" w:cs="宋体"/>
                <w:b/>
              </w:rPr>
              <w:t>基金简称</w:t>
            </w:r>
          </w:p>
        </w:tc>
        <w:tc>
          <w:tcPr>
            <w:tcW w:w="1513" w:type="pct"/>
            <w:vAlign w:val="center"/>
          </w:tcPr>
          <w:p>
            <w:pPr>
              <w:spacing w:line="240" w:lineRule="auto"/>
              <w:jc w:val="left"/>
              <w:rPr>
                <w:rFonts w:hint="eastAsia" w:ascii="宋体" w:hAnsi="宋体" w:cs="宋体"/>
              </w:rPr>
            </w:pPr>
            <w:r>
              <w:rPr>
                <w:rFonts w:hint="eastAsia" w:ascii="宋体" w:hAnsi="宋体" w:cs="宋体"/>
              </w:rPr>
              <w:t>东方阿尔法增利债券发起</w:t>
            </w:r>
          </w:p>
        </w:tc>
        <w:tc>
          <w:tcPr>
            <w:tcW w:w="1250" w:type="pct"/>
            <w:vAlign w:val="center"/>
          </w:tcPr>
          <w:p>
            <w:pPr>
              <w:spacing w:line="240" w:lineRule="auto"/>
              <w:jc w:val="left"/>
              <w:rPr>
                <w:rFonts w:hint="eastAsia" w:ascii="宋体" w:hAnsi="宋体" w:cs="宋体"/>
              </w:rPr>
            </w:pPr>
            <w:r>
              <w:rPr>
                <w:rFonts w:ascii="宋体" w:hAnsi="宋体" w:eastAsia="宋体" w:cs="宋体"/>
                <w:b/>
              </w:rPr>
              <w:t>基金代码</w:t>
            </w:r>
          </w:p>
        </w:tc>
        <w:tc>
          <w:tcPr>
            <w:tcW w:w="1250" w:type="pct"/>
            <w:vAlign w:val="center"/>
          </w:tcPr>
          <w:p>
            <w:pPr>
              <w:spacing w:line="240" w:lineRule="auto"/>
              <w:jc w:val="left"/>
              <w:rPr>
                <w:rFonts w:hint="eastAsia" w:ascii="宋体" w:hAnsi="宋体" w:cs="宋体"/>
              </w:rPr>
            </w:pPr>
            <w:r>
              <w:rPr>
                <w:rFonts w:hint="eastAsia" w:ascii="宋体" w:hAnsi="宋体" w:cs="宋体"/>
                <w:b w:val="0"/>
                <w:lang w:val="en-US" w:eastAsia="zh-CN"/>
              </w:rPr>
              <w:t>027654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86" w:type="pct"/>
            <w:vAlign w:val="center"/>
          </w:tcPr>
          <w:p>
            <w:pPr>
              <w:spacing w:line="240" w:lineRule="auto"/>
              <w:jc w:val="left"/>
              <w:rPr>
                <w:rFonts w:hint="eastAsia" w:ascii="宋体" w:hAnsi="宋体" w:cs="宋体"/>
              </w:rPr>
            </w:pPr>
            <w:r>
              <w:rPr>
                <w:rFonts w:ascii="宋体" w:hAnsi="宋体" w:eastAsia="宋体" w:cs="宋体"/>
                <w:b/>
              </w:rPr>
              <w:t>基金简称C</w:t>
            </w:r>
          </w:p>
        </w:tc>
        <w:tc>
          <w:tcPr>
            <w:tcW w:w="1513" w:type="pct"/>
            <w:vAlign w:val="center"/>
          </w:tcPr>
          <w:p>
            <w:pPr>
              <w:spacing w:line="240" w:lineRule="auto"/>
              <w:jc w:val="left"/>
              <w:rPr>
                <w:rFonts w:hint="eastAsia" w:ascii="宋体" w:hAnsi="宋体" w:cs="宋体"/>
              </w:rPr>
            </w:pPr>
            <w:r>
              <w:rPr>
                <w:rFonts w:hint="eastAsia" w:ascii="宋体" w:hAnsi="宋体" w:cs="宋体"/>
              </w:rPr>
              <w:t>东方阿尔法增利债券发起C</w:t>
            </w:r>
          </w:p>
        </w:tc>
        <w:tc>
          <w:tcPr>
            <w:tcW w:w="1250" w:type="pct"/>
            <w:vAlign w:val="center"/>
          </w:tcPr>
          <w:p>
            <w:pPr>
              <w:spacing w:line="240" w:lineRule="auto"/>
              <w:jc w:val="left"/>
              <w:rPr>
                <w:rFonts w:hint="eastAsia" w:ascii="宋体" w:hAnsi="宋体" w:cs="宋体"/>
              </w:rPr>
            </w:pPr>
            <w:r>
              <w:rPr>
                <w:rFonts w:ascii="宋体" w:hAnsi="宋体" w:eastAsia="宋体" w:cs="宋体"/>
                <w:b/>
              </w:rPr>
              <w:t>基金代码C</w:t>
            </w:r>
          </w:p>
        </w:tc>
        <w:tc>
          <w:tcPr>
            <w:tcW w:w="1250" w:type="pct"/>
            <w:vAlign w:val="center"/>
          </w:tcPr>
          <w:p>
            <w:pPr>
              <w:spacing w:line="240" w:lineRule="auto"/>
              <w:jc w:val="left"/>
              <w:rPr>
                <w:rFonts w:hint="eastAsia" w:ascii="宋体" w:hAnsi="宋体" w:cs="宋体"/>
              </w:rPr>
            </w:pPr>
            <w:r>
              <w:rPr>
                <w:rFonts w:hint="eastAsia" w:ascii="宋体" w:hAnsi="宋体" w:cs="宋体"/>
                <w:b w:val="0"/>
                <w:lang w:val="en-US" w:eastAsia="zh-CN"/>
              </w:rPr>
              <w:t>027655</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86" w:type="pct"/>
            <w:vAlign w:val="center"/>
          </w:tcPr>
          <w:p>
            <w:pPr>
              <w:spacing w:line="240" w:lineRule="auto"/>
              <w:jc w:val="left"/>
              <w:rPr>
                <w:rFonts w:hint="eastAsia" w:ascii="宋体" w:hAnsi="宋体" w:cs="宋体"/>
              </w:rPr>
            </w:pPr>
            <w:r>
              <w:rPr>
                <w:rFonts w:ascii="宋体" w:hAnsi="宋体" w:eastAsia="宋体" w:cs="宋体"/>
                <w:b/>
              </w:rPr>
              <w:t>基金管理人</w:t>
            </w:r>
          </w:p>
        </w:tc>
        <w:tc>
          <w:tcPr>
            <w:tcW w:w="1513" w:type="pct"/>
            <w:vAlign w:val="center"/>
          </w:tcPr>
          <w:p>
            <w:pPr>
              <w:spacing w:line="240" w:lineRule="auto"/>
              <w:jc w:val="left"/>
              <w:rPr>
                <w:rFonts w:hint="eastAsia" w:ascii="宋体" w:hAnsi="宋体" w:cs="宋体"/>
              </w:rPr>
            </w:pPr>
            <w:r>
              <w:rPr>
                <w:rFonts w:ascii="宋体" w:hAnsi="宋体" w:eastAsia="宋体" w:cs="宋体"/>
                <w:b w:val="0"/>
              </w:rPr>
              <w:t>东方阿尔法基金管理有限公司</w:t>
            </w:r>
          </w:p>
        </w:tc>
        <w:tc>
          <w:tcPr>
            <w:tcW w:w="1250" w:type="pct"/>
            <w:vAlign w:val="center"/>
          </w:tcPr>
          <w:p>
            <w:pPr>
              <w:spacing w:line="240" w:lineRule="auto"/>
              <w:jc w:val="left"/>
              <w:rPr>
                <w:rFonts w:hint="eastAsia" w:ascii="宋体" w:hAnsi="宋体" w:cs="宋体"/>
              </w:rPr>
            </w:pPr>
            <w:r>
              <w:rPr>
                <w:rFonts w:ascii="宋体" w:hAnsi="宋体" w:eastAsia="宋体" w:cs="宋体"/>
                <w:b/>
              </w:rPr>
              <w:t>基金托管人</w:t>
            </w:r>
          </w:p>
        </w:tc>
        <w:tc>
          <w:tcPr>
            <w:tcW w:w="1250" w:type="pct"/>
            <w:vAlign w:val="center"/>
          </w:tcPr>
          <w:p>
            <w:pPr>
              <w:spacing w:line="240" w:lineRule="auto"/>
              <w:jc w:val="left"/>
              <w:rPr>
                <w:rFonts w:hint="eastAsia" w:ascii="宋体" w:hAnsi="宋体" w:cs="宋体"/>
              </w:rPr>
            </w:pPr>
            <w:r>
              <w:rPr>
                <w:rFonts w:hint="eastAsia" w:ascii="宋体" w:hAnsi="宋体" w:cs="宋体"/>
                <w:color w:val="00000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86" w:type="pct"/>
            <w:vAlign w:val="center"/>
          </w:tcPr>
          <w:p>
            <w:pPr>
              <w:spacing w:line="240" w:lineRule="auto"/>
              <w:jc w:val="left"/>
              <w:rPr>
                <w:rFonts w:hint="eastAsia" w:ascii="宋体" w:hAnsi="宋体" w:cs="宋体"/>
              </w:rPr>
            </w:pPr>
            <w:r>
              <w:rPr>
                <w:rFonts w:ascii="宋体" w:hAnsi="宋体" w:eastAsia="宋体" w:cs="宋体"/>
                <w:b/>
              </w:rPr>
              <w:t>基金合同生效日</w:t>
            </w:r>
          </w:p>
        </w:tc>
        <w:tc>
          <w:tcPr>
            <w:tcW w:w="1513" w:type="pct"/>
            <w:vAlign w:val="center"/>
          </w:tcPr>
          <w:p>
            <w:pPr>
              <w:spacing w:line="240" w:lineRule="auto"/>
              <w:jc w:val="left"/>
              <w:rPr>
                <w:rFonts w:hint="eastAsia" w:ascii="宋体" w:hAnsi="宋体" w:eastAsia="宋体" w:cs="宋体"/>
                <w:lang w:eastAsia="zh-CN"/>
              </w:rPr>
            </w:pPr>
            <w:r>
              <w:rPr>
                <w:rFonts w:hint="eastAsia" w:ascii="宋体" w:hAnsi="宋体" w:cs="宋体"/>
                <w:b w:val="0"/>
                <w:lang w:val="en-US" w:eastAsia="zh-CN"/>
              </w:rPr>
              <w:t>-</w:t>
            </w:r>
          </w:p>
        </w:tc>
        <w:tc>
          <w:tcPr>
            <w:tcW w:w="1250" w:type="pct"/>
            <w:vAlign w:val="center"/>
          </w:tcPr>
          <w:p>
            <w:pPr>
              <w:spacing w:line="240" w:lineRule="auto"/>
              <w:jc w:val="left"/>
              <w:rPr>
                <w:rFonts w:hint="eastAsia" w:ascii="宋体" w:hAnsi="宋体" w:cs="宋体"/>
              </w:rPr>
            </w:pPr>
            <w:r>
              <w:rPr>
                <w:rFonts w:ascii="宋体" w:hAnsi="宋体" w:eastAsia="宋体" w:cs="宋体"/>
                <w:b/>
              </w:rPr>
              <w:t>上市交易所及上市日期</w:t>
            </w:r>
          </w:p>
        </w:tc>
        <w:tc>
          <w:tcPr>
            <w:tcW w:w="1250" w:type="pct"/>
            <w:vAlign w:val="center"/>
          </w:tcPr>
          <w:p>
            <w:pPr>
              <w:spacing w:line="240" w:lineRule="auto"/>
              <w:jc w:val="left"/>
              <w:rPr>
                <w:rFonts w:hint="eastAsia" w:ascii="宋体" w:hAnsi="宋体" w:cs="宋体"/>
              </w:rPr>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86" w:type="pct"/>
            <w:vAlign w:val="center"/>
          </w:tcPr>
          <w:p>
            <w:pPr>
              <w:spacing w:line="240" w:lineRule="auto"/>
              <w:jc w:val="left"/>
              <w:rPr>
                <w:rFonts w:hint="eastAsia" w:ascii="宋体" w:hAnsi="宋体" w:cs="宋体"/>
              </w:rPr>
            </w:pPr>
            <w:r>
              <w:rPr>
                <w:rFonts w:ascii="宋体" w:hAnsi="宋体" w:eastAsia="宋体" w:cs="宋体"/>
                <w:b/>
              </w:rPr>
              <w:t>基金类型</w:t>
            </w:r>
          </w:p>
        </w:tc>
        <w:tc>
          <w:tcPr>
            <w:tcW w:w="1513" w:type="pct"/>
            <w:vAlign w:val="center"/>
          </w:tcPr>
          <w:p>
            <w:pPr>
              <w:spacing w:line="240" w:lineRule="auto"/>
              <w:jc w:val="left"/>
              <w:rPr>
                <w:rFonts w:hint="eastAsia" w:ascii="宋体" w:hAnsi="宋体" w:cs="宋体"/>
              </w:rPr>
            </w:pPr>
            <w:r>
              <w:rPr>
                <w:rFonts w:hint="eastAsia" w:ascii="宋体" w:hAnsi="宋体" w:cs="宋体"/>
              </w:rPr>
              <w:t>债券型</w:t>
            </w:r>
          </w:p>
        </w:tc>
        <w:tc>
          <w:tcPr>
            <w:tcW w:w="1250" w:type="pct"/>
            <w:vAlign w:val="center"/>
          </w:tcPr>
          <w:p>
            <w:pPr>
              <w:spacing w:line="240" w:lineRule="auto"/>
              <w:jc w:val="left"/>
              <w:rPr>
                <w:rFonts w:hint="eastAsia" w:ascii="宋体" w:hAnsi="宋体" w:cs="宋体"/>
              </w:rPr>
            </w:pPr>
            <w:r>
              <w:rPr>
                <w:rFonts w:ascii="宋体" w:hAnsi="宋体" w:eastAsia="宋体" w:cs="宋体"/>
                <w:b/>
              </w:rPr>
              <w:t>交易币种</w:t>
            </w:r>
          </w:p>
        </w:tc>
        <w:tc>
          <w:tcPr>
            <w:tcW w:w="1250" w:type="pct"/>
            <w:vAlign w:val="center"/>
          </w:tcPr>
          <w:p>
            <w:pPr>
              <w:spacing w:line="240" w:lineRule="auto"/>
              <w:jc w:val="left"/>
              <w:rPr>
                <w:rFonts w:hint="eastAsia" w:ascii="宋体" w:hAnsi="宋体" w:cs="宋体"/>
              </w:rPr>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86" w:type="pct"/>
            <w:vAlign w:val="center"/>
          </w:tcPr>
          <w:p>
            <w:pPr>
              <w:spacing w:line="240" w:lineRule="auto"/>
              <w:jc w:val="left"/>
              <w:rPr>
                <w:rFonts w:hint="eastAsia" w:ascii="宋体" w:hAnsi="宋体" w:cs="宋体"/>
              </w:rPr>
            </w:pPr>
            <w:r>
              <w:rPr>
                <w:rFonts w:ascii="宋体" w:hAnsi="宋体" w:eastAsia="宋体" w:cs="宋体"/>
                <w:b/>
              </w:rPr>
              <w:t>运作方式</w:t>
            </w:r>
          </w:p>
        </w:tc>
        <w:tc>
          <w:tcPr>
            <w:tcW w:w="1513" w:type="pct"/>
            <w:vAlign w:val="center"/>
          </w:tcPr>
          <w:p>
            <w:pPr>
              <w:spacing w:line="240" w:lineRule="auto"/>
              <w:jc w:val="left"/>
              <w:rPr>
                <w:rFonts w:hint="eastAsia" w:ascii="宋体" w:hAnsi="宋体" w:cs="宋体"/>
              </w:rPr>
            </w:pPr>
            <w:r>
              <w:rPr>
                <w:rFonts w:ascii="宋体" w:hAnsi="宋体" w:eastAsia="宋体" w:cs="宋体"/>
                <w:b w:val="0"/>
              </w:rPr>
              <w:t>普通开放式</w:t>
            </w:r>
          </w:p>
        </w:tc>
        <w:tc>
          <w:tcPr>
            <w:tcW w:w="1250" w:type="pct"/>
            <w:vAlign w:val="center"/>
          </w:tcPr>
          <w:p>
            <w:pPr>
              <w:spacing w:line="240" w:lineRule="auto"/>
              <w:jc w:val="left"/>
              <w:rPr>
                <w:rFonts w:hint="eastAsia" w:ascii="宋体" w:hAnsi="宋体" w:cs="宋体"/>
              </w:rPr>
            </w:pPr>
            <w:r>
              <w:rPr>
                <w:rFonts w:ascii="宋体" w:hAnsi="宋体" w:eastAsia="宋体" w:cs="宋体"/>
                <w:b/>
              </w:rPr>
              <w:t>开放频率</w:t>
            </w:r>
          </w:p>
        </w:tc>
        <w:tc>
          <w:tcPr>
            <w:tcW w:w="1250" w:type="pct"/>
            <w:vAlign w:val="center"/>
          </w:tcPr>
          <w:p>
            <w:pPr>
              <w:spacing w:line="240" w:lineRule="auto"/>
              <w:jc w:val="left"/>
              <w:rPr>
                <w:rFonts w:hint="eastAsia" w:ascii="宋体" w:hAnsi="宋体" w:cs="宋体"/>
              </w:rPr>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86" w:type="pct"/>
            <w:vMerge w:val="restart"/>
            <w:vAlign w:val="center"/>
          </w:tcPr>
          <w:p>
            <w:pPr>
              <w:spacing w:line="240" w:lineRule="auto"/>
              <w:jc w:val="left"/>
              <w:rPr>
                <w:rFonts w:hint="eastAsia" w:ascii="宋体" w:hAnsi="宋体" w:cs="宋体"/>
              </w:rPr>
            </w:pPr>
            <w:r>
              <w:rPr>
                <w:rFonts w:ascii="宋体" w:hAnsi="宋体" w:eastAsia="宋体" w:cs="宋体"/>
                <w:b/>
              </w:rPr>
              <w:t>基金经理</w:t>
            </w:r>
          </w:p>
        </w:tc>
        <w:tc>
          <w:tcPr>
            <w:tcW w:w="1513" w:type="pct"/>
            <w:vMerge w:val="restart"/>
            <w:vAlign w:val="center"/>
          </w:tcPr>
          <w:p>
            <w:pPr>
              <w:spacing w:line="240" w:lineRule="auto"/>
              <w:jc w:val="left"/>
              <w:rPr>
                <w:rFonts w:hint="eastAsia" w:ascii="宋体" w:hAnsi="宋体" w:cs="宋体"/>
              </w:rPr>
            </w:pPr>
            <w:r>
              <w:rPr>
                <w:rFonts w:hint="eastAsia" w:ascii="宋体" w:hAnsi="宋体" w:cs="宋体"/>
                <w:color w:val="000000"/>
              </w:rPr>
              <w:t>吴秋松</w:t>
            </w:r>
          </w:p>
        </w:tc>
        <w:tc>
          <w:tcPr>
            <w:tcW w:w="1250" w:type="pct"/>
            <w:vAlign w:val="center"/>
          </w:tcPr>
          <w:p>
            <w:pPr>
              <w:spacing w:line="240" w:lineRule="auto"/>
              <w:jc w:val="left"/>
              <w:rPr>
                <w:rFonts w:hint="eastAsia" w:ascii="宋体" w:hAnsi="宋体" w:cs="宋体"/>
              </w:rPr>
            </w:pPr>
            <w:r>
              <w:rPr>
                <w:rFonts w:ascii="宋体" w:hAnsi="宋体" w:eastAsia="宋体" w:cs="宋体"/>
                <w:b/>
              </w:rPr>
              <w:t>开始担任本基金基金经理的日期</w:t>
            </w:r>
          </w:p>
        </w:tc>
        <w:tc>
          <w:tcPr>
            <w:tcW w:w="1250" w:type="pct"/>
            <w:vAlign w:val="center"/>
          </w:tcPr>
          <w:p>
            <w:pPr>
              <w:spacing w:line="240" w:lineRule="auto"/>
              <w:jc w:val="left"/>
              <w:rPr>
                <w:rFonts w:hint="eastAsia" w:ascii="宋体" w:hAnsi="宋体" w:eastAsia="宋体" w:cs="宋体"/>
                <w:lang w:val="en-US" w:eastAsia="zh-CN"/>
              </w:rPr>
            </w:pPr>
            <w:r>
              <w:rPr>
                <w:rFonts w:hint="eastAsia" w:ascii="宋体" w:hAnsi="宋体" w:cs="宋体"/>
                <w:lang w:val="en-US" w:eastAsia="zh-CN"/>
              </w:rPr>
              <w:t>-</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86" w:type="pct"/>
            <w:vMerge w:val="continue"/>
          </w:tcPr>
          <w:p>
            <w:pPr>
              <w:rPr>
                <w:rFonts w:hint="eastAsia" w:ascii="宋体" w:hAnsi="宋体" w:cs="宋体"/>
              </w:rPr>
            </w:pPr>
          </w:p>
        </w:tc>
        <w:tc>
          <w:tcPr>
            <w:tcW w:w="1513" w:type="pct"/>
            <w:vMerge w:val="continue"/>
          </w:tcPr>
          <w:p>
            <w:pPr>
              <w:rPr>
                <w:rFonts w:hint="eastAsia" w:ascii="宋体" w:hAnsi="宋体" w:cs="宋体"/>
              </w:rPr>
            </w:pPr>
          </w:p>
        </w:tc>
        <w:tc>
          <w:tcPr>
            <w:tcW w:w="1250" w:type="pct"/>
            <w:vAlign w:val="center"/>
          </w:tcPr>
          <w:p>
            <w:pPr>
              <w:spacing w:line="240" w:lineRule="auto"/>
              <w:jc w:val="left"/>
              <w:rPr>
                <w:rFonts w:hint="eastAsia" w:ascii="宋体" w:hAnsi="宋体" w:cs="宋体"/>
              </w:rPr>
            </w:pPr>
            <w:r>
              <w:rPr>
                <w:rFonts w:ascii="宋体" w:hAnsi="宋体" w:eastAsia="宋体" w:cs="宋体"/>
                <w:b/>
              </w:rPr>
              <w:t>证券从业日期</w:t>
            </w:r>
          </w:p>
        </w:tc>
        <w:tc>
          <w:tcPr>
            <w:tcW w:w="1250" w:type="pct"/>
            <w:vAlign w:val="center"/>
          </w:tcPr>
          <w:p>
            <w:pPr>
              <w:spacing w:line="240" w:lineRule="auto"/>
              <w:jc w:val="left"/>
              <w:rPr>
                <w:rFonts w:hint="eastAsia" w:ascii="宋体" w:hAnsi="宋体" w:cs="宋体"/>
              </w:rPr>
            </w:pPr>
            <w:r>
              <w:rPr>
                <w:rFonts w:hint="eastAsia" w:ascii="宋体" w:hAnsi="宋体" w:cs="宋体"/>
              </w:rPr>
              <w:t>2016-06-06</w:t>
            </w:r>
          </w:p>
        </w:tc>
      </w:tr>
    </w:tbl>
    <w:p>
      <w:pPr>
        <w:spacing w:line="240" w:lineRule="auto"/>
        <w:rPr>
          <w:rFonts w:hint="eastAsia" w:ascii="宋体" w:hAnsi="宋体" w:cs="宋体"/>
          <w:color w:val="000000"/>
          <w:kern w:val="0"/>
          <w:szCs w:val="21"/>
        </w:rPr>
      </w:pPr>
      <w:r>
        <w:rPr>
          <w:rFonts w:hint="eastAsia" w:ascii="宋体" w:hAnsi="宋体" w:cs="宋体"/>
          <w:color w:val="000000"/>
          <w:kern w:val="0"/>
          <w:szCs w:val="21"/>
        </w:rPr>
        <w:t>注：本基金为二级债基，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本基金投资于证券投资基金的资产不超过基金资产净值的10%。在通常情况下本基金的预期风险水平及净值波动水平高于纯债基金。</w:t>
      </w:r>
    </w:p>
    <w:p>
      <w:pPr>
        <w:spacing w:line="240" w:lineRule="auto"/>
        <w:rPr>
          <w:rFonts w:hint="eastAsia" w:ascii="宋体" w:hAnsi="宋体" w:cs="宋体"/>
          <w:color w:val="000000"/>
          <w:kern w:val="0"/>
          <w:szCs w:val="21"/>
        </w:rPr>
      </w:pPr>
    </w:p>
    <w:p>
      <w:pPr>
        <w:pStyle w:val="3"/>
        <w:jc w:val="left"/>
        <w:rPr>
          <w:rFonts w:hint="eastAsia" w:ascii="宋体" w:hAnsi="宋体" w:cs="宋体"/>
        </w:rPr>
      </w:pPr>
      <w:r>
        <w:rPr>
          <w:rFonts w:ascii="宋体" w:hAnsi="宋体" w:eastAsia="宋体" w:cs="宋体"/>
        </w:rPr>
        <w:t>二、基金投资与净值表现</w:t>
      </w:r>
    </w:p>
    <w:p>
      <w:pPr>
        <w:pStyle w:val="58"/>
        <w:rPr>
          <w:rFonts w:hint="eastAsia" w:ascii="宋体" w:hAnsi="宋体" w:cs="宋体"/>
        </w:rPr>
      </w:pPr>
      <w:r>
        <w:rPr>
          <w:rFonts w:ascii="宋体" w:hAnsi="宋体" w:eastAsia="宋体" w:cs="宋体"/>
          <w:b/>
        </w:rPr>
        <w:t>（一）投资目标与投资策略</w:t>
      </w:r>
    </w:p>
    <w:p>
      <w:pPr>
        <w:pStyle w:val="59"/>
        <w:spacing w:before="0"/>
        <w:ind w:left="0" w:firstLine="432"/>
        <w:rPr>
          <w:rFonts w:hint="eastAsia" w:hAnsi="宋体"/>
          <w:color w:val="000000"/>
        </w:rPr>
      </w:pPr>
      <w:r>
        <w:rPr>
          <w:rFonts w:ascii="宋体" w:hAnsi="宋体" w:eastAsia="宋体" w:cs="宋体"/>
          <w:b w:val="0"/>
        </w:rPr>
        <w:t xml:space="preserve">    </w:t>
      </w:r>
      <w:r>
        <w:rPr>
          <w:rFonts w:hint="eastAsia" w:hAnsi="宋体"/>
          <w:color w:val="000000"/>
        </w:rPr>
        <w:t>详见《</w:t>
      </w:r>
      <w:r>
        <w:rPr>
          <w:rFonts w:hint="eastAsia"/>
        </w:rPr>
        <w:t>东方阿尔法增利债券型发起式证券投资基金招募说明书</w:t>
      </w:r>
      <w:r>
        <w:rPr>
          <w:rFonts w:hint="eastAsia" w:hAnsi="宋体"/>
          <w:color w:val="000000"/>
        </w:rPr>
        <w:t>》第九部分“基金的投资”。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投资目标</w:t>
            </w:r>
          </w:p>
        </w:tc>
        <w:tc>
          <w:tcPr>
            <w:tcW w:w="3846" w:type="pct"/>
            <w:vAlign w:val="center"/>
          </w:tcPr>
          <w:p>
            <w:pPr>
              <w:spacing w:line="240" w:lineRule="auto"/>
              <w:ind w:firstLine="420" w:firstLineChars="200"/>
              <w:jc w:val="left"/>
              <w:rPr>
                <w:rFonts w:hint="eastAsia" w:ascii="宋体" w:hAnsi="宋体" w:cs="宋体"/>
              </w:rPr>
            </w:pPr>
            <w:r>
              <w:rPr>
                <w:rFonts w:hint="eastAsia" w:ascii="宋体" w:hAnsi="宋体" w:cs="宋体"/>
                <w:color w:val="000000"/>
              </w:rPr>
              <w:t>本基金在严格的风险控制的基础上,力争实现基金资产的稳健增值。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投资范围</w:t>
            </w:r>
          </w:p>
        </w:tc>
        <w:tc>
          <w:tcPr>
            <w:tcW w:w="3846" w:type="pct"/>
            <w:vAlign w:val="center"/>
          </w:tcPr>
          <w:p>
            <w:pPr>
              <w:spacing w:line="240" w:lineRule="auto"/>
              <w:ind w:firstLine="420" w:firstLineChars="200"/>
              <w:jc w:val="left"/>
              <w:rPr>
                <w:rFonts w:hint="eastAsia" w:ascii="宋体" w:hAnsi="宋体" w:cs="宋体"/>
              </w:rPr>
            </w:pPr>
            <w:r>
              <w:rPr>
                <w:rFonts w:hint="eastAsia" w:ascii="宋体" w:hAnsi="宋体" w:cs="宋体"/>
              </w:rPr>
              <w:t>本基金的投资范围为具有良好流动性的金融工具，包括债券(包括国债、央行票据、金融债券、企业债券、公司债券、中期票据、短期融资券、超短期融资券、次级债券、地方政府债券、可转换债券、可交换债券及其他经中国证监会允许投资的债券)、国内依法发行或上市的股票、存托凭证、港股通标的股票、资产支持证券、债券回购、银行存款、同业存单、国债期货、经中国证监会依法核准或注册的公开募集证券投资基金（仅限于全市场的股票型ETF及基金管理人旗下的股票型基金、计入权益类资产的混合型基金，不包括QDII基金、香港互认基金、基金中基金、其他可投资公募基金的非基金中基金、货币市场基金、非本基金管理人管理的基金（全市场的股票型ETF除外））以及法律法规或中国证监会允许基金投资的其他金融工具(须符合中国证监会相关规定)。</w:t>
            </w:r>
          </w:p>
          <w:p>
            <w:pPr>
              <w:spacing w:line="240" w:lineRule="auto"/>
              <w:ind w:firstLine="420" w:firstLineChars="200"/>
              <w:jc w:val="left"/>
              <w:rPr>
                <w:rFonts w:hint="eastAsia" w:ascii="宋体" w:hAnsi="宋体" w:cs="宋体"/>
              </w:rPr>
            </w:pPr>
            <w:r>
              <w:rPr>
                <w:rFonts w:hint="eastAsia" w:ascii="宋体" w:hAnsi="宋体" w:cs="宋体"/>
              </w:rPr>
              <w:t>如法律法规或监管机构以后允许基金投资其他品种，基金管理人在履行适当程序后，可以将其纳入投资范围，并可依据届时有效的法律法规适时合理地调整投资范围。</w:t>
            </w:r>
          </w:p>
          <w:p>
            <w:pPr>
              <w:spacing w:line="240" w:lineRule="auto"/>
              <w:ind w:firstLine="420" w:firstLineChars="200"/>
              <w:jc w:val="left"/>
              <w:rPr>
                <w:rFonts w:hint="eastAsia" w:ascii="宋体" w:hAnsi="宋体" w:cs="宋体"/>
              </w:rPr>
            </w:pPr>
            <w:r>
              <w:rPr>
                <w:rFonts w:hint="eastAsia" w:ascii="宋体" w:hAnsi="宋体" w:cs="宋体"/>
              </w:rPr>
              <w:t>本基金投资于债券的比例不低于基金资产的80%，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本基金投资于证券投资基金的资产不超过基金资产净值的10%；本基金每个交易日日终在扣除国债期货合约需缴纳的交易保证金后，持有现金(不包括结算备付金、存出保证金、应收申购款等)或者到期日在1年以内的政府债券不低于基金资产净值的5%。其中，计入上述权益类资产的混合型基金需符合下列两个条件之一：</w:t>
            </w:r>
          </w:p>
          <w:p>
            <w:pPr>
              <w:spacing w:line="240" w:lineRule="auto"/>
              <w:ind w:firstLine="420" w:firstLineChars="200"/>
              <w:jc w:val="left"/>
              <w:rPr>
                <w:rFonts w:hint="eastAsia" w:ascii="宋体" w:hAnsi="宋体" w:cs="宋体"/>
              </w:rPr>
            </w:pPr>
            <w:r>
              <w:rPr>
                <w:rFonts w:hint="eastAsia" w:ascii="宋体" w:hAnsi="宋体" w:cs="宋体"/>
              </w:rPr>
              <w:t>1、基金合同约定股票及存托凭证资产投资比例不低于基金资产60%的混合型基金；</w:t>
            </w:r>
          </w:p>
          <w:p>
            <w:pPr>
              <w:spacing w:line="240" w:lineRule="auto"/>
              <w:ind w:firstLine="420" w:firstLineChars="200"/>
              <w:jc w:val="left"/>
              <w:rPr>
                <w:rFonts w:hint="eastAsia" w:ascii="宋体" w:hAnsi="宋体" w:cs="宋体"/>
              </w:rPr>
            </w:pPr>
            <w:r>
              <w:rPr>
                <w:rFonts w:hint="eastAsia" w:ascii="宋体" w:hAnsi="宋体" w:cs="宋体"/>
              </w:rPr>
              <w:t>2、根据基金披露的定期报告，最近四个季度中任一季度股票及存托凭证资产占基金资产比例均不低于60%的混合型基金。</w:t>
            </w:r>
          </w:p>
          <w:p>
            <w:pPr>
              <w:spacing w:line="240" w:lineRule="auto"/>
              <w:ind w:firstLine="420" w:firstLineChars="200"/>
              <w:jc w:val="left"/>
              <w:rPr>
                <w:rFonts w:hint="eastAsia" w:ascii="宋体" w:hAnsi="宋体" w:cs="宋体"/>
              </w:rPr>
            </w:pPr>
            <w:r>
              <w:rPr>
                <w:rFonts w:hint="eastAsia" w:ascii="宋体" w:hAnsi="宋体" w:cs="宋体"/>
              </w:rPr>
              <w:t>如法律法规或中国证监会允许，基金管理人在履行适当程序后，可以调整上述投资品种的投资比例。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主要投资策略</w:t>
            </w:r>
          </w:p>
        </w:tc>
        <w:tc>
          <w:tcPr>
            <w:tcW w:w="3846" w:type="pct"/>
            <w:vAlign w:val="center"/>
          </w:tcPr>
          <w:p>
            <w:pPr>
              <w:spacing w:line="240" w:lineRule="auto"/>
              <w:ind w:firstLine="420" w:firstLineChars="200"/>
              <w:jc w:val="left"/>
              <w:rPr>
                <w:rFonts w:hint="eastAsia" w:ascii="宋体" w:hAnsi="宋体" w:cs="宋体"/>
              </w:rPr>
            </w:pPr>
            <w:r>
              <w:rPr>
                <w:rFonts w:hint="eastAsia" w:ascii="宋体" w:hAnsi="宋体" w:cs="宋体"/>
              </w:rPr>
              <w:t>本基金将根据宏观经济、政策及市场环境，自上而下进行资产配置，结合基本面和量化分析手段自下而上选择具体的投资标的，进而获得稳定的超额收益。主要投资策略为：资产配置策略、债券投资策略、股票投资策略、存托凭证投资策略、港股投资策略、基金投资策略以及国债期货投资策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业绩比较基准</w:t>
            </w:r>
          </w:p>
        </w:tc>
        <w:tc>
          <w:tcPr>
            <w:tcW w:w="3846" w:type="pct"/>
            <w:vAlign w:val="center"/>
          </w:tcPr>
          <w:p>
            <w:pPr>
              <w:spacing w:line="240" w:lineRule="auto"/>
              <w:ind w:firstLine="420" w:firstLineChars="200"/>
              <w:jc w:val="left"/>
              <w:rPr>
                <w:rFonts w:hint="eastAsia" w:ascii="宋体" w:hAnsi="宋体" w:cs="宋体"/>
              </w:rPr>
            </w:pPr>
            <w:r>
              <w:rPr>
                <w:rFonts w:hint="eastAsia" w:ascii="宋体" w:hAnsi="宋体" w:cs="宋体"/>
                <w:color w:val="000000"/>
              </w:rPr>
              <w:t>中债-综合全价（总值）指数收益率×85%+沪深300指数收益率×10%+中证港股通综合指数（人民币）收益率*5%</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风险收益特征</w:t>
            </w:r>
          </w:p>
        </w:tc>
        <w:tc>
          <w:tcPr>
            <w:tcW w:w="3846" w:type="pct"/>
            <w:vAlign w:val="center"/>
          </w:tcPr>
          <w:p>
            <w:pPr>
              <w:spacing w:line="240" w:lineRule="auto"/>
              <w:ind w:firstLine="420" w:firstLineChars="200"/>
              <w:jc w:val="left"/>
              <w:rPr>
                <w:rFonts w:hint="eastAsia" w:ascii="宋体" w:hAnsi="宋体" w:cs="宋体"/>
              </w:rPr>
            </w:pPr>
            <w:r>
              <w:rPr>
                <w:rFonts w:hint="eastAsia" w:ascii="宋体" w:hAnsi="宋体" w:cs="宋体"/>
              </w:rPr>
              <w:t>本基金为债券型基金，其预期风险与预期收益高于货币市场基金，低于混合型基金和股票型基金。本基金若投资香港联合交易所上市的股票，将面临港股通机制下因投资环境、投资标的、市场制度以及交易规则等差异带来的特有风险。</w:t>
            </w:r>
          </w:p>
        </w:tc>
      </w:tr>
    </w:tbl>
    <w:p>
      <w:pPr>
        <w:ind w:firstLine="420" w:firstLineChars="200"/>
        <w:rPr>
          <w:rFonts w:hint="eastAsia" w:ascii="宋体" w:hAnsi="宋体" w:cs="宋体"/>
        </w:rPr>
      </w:pPr>
      <w:r>
        <w:rPr>
          <w:rFonts w:hint="eastAsia" w:ascii="宋体" w:hAnsi="宋体" w:eastAsia="宋体" w:cs="宋体"/>
          <w:b w:val="0"/>
        </w:rPr>
        <w:t>注：不同的代销机构采用的评价方法不同，本法律文件风险收益特征表述与代销机构基金风险评价可能存在不一致的风险，投资人在申购本基金时需按照代销机构的要求完成风险承受能力与产品风险之间的匹配检验。</w:t>
      </w:r>
    </w:p>
    <w:p>
      <w:pPr>
        <w:pStyle w:val="58"/>
        <w:rPr>
          <w:rFonts w:hint="eastAsia" w:ascii="宋体" w:hAnsi="宋体" w:cs="宋体"/>
        </w:rPr>
      </w:pPr>
      <w:r>
        <w:rPr>
          <w:rFonts w:ascii="宋体" w:hAnsi="宋体" w:eastAsia="宋体" w:cs="宋体"/>
          <w:b/>
        </w:rPr>
        <w:t>（二）投资组合资产配置图表/区域配置图表</w:t>
      </w:r>
    </w:p>
    <w:p>
      <w:pPr>
        <w:pStyle w:val="52"/>
        <w:rPr>
          <w:rFonts w:hint="eastAsia" w:ascii="宋体" w:hAnsi="宋体" w:cs="宋体"/>
        </w:rPr>
      </w:pPr>
      <w:r>
        <w:rPr>
          <w:rFonts w:hint="eastAsia" w:hAnsi="宋体"/>
          <w:color w:val="000000"/>
        </w:rPr>
        <w:t>暂无。</w:t>
      </w:r>
    </w:p>
    <w:p>
      <w:pPr>
        <w:pStyle w:val="58"/>
        <w:rPr>
          <w:rFonts w:hint="eastAsia" w:ascii="宋体" w:hAnsi="宋体" w:cs="宋体"/>
        </w:rPr>
      </w:pPr>
      <w:r>
        <w:rPr>
          <w:rFonts w:ascii="宋体" w:hAnsi="宋体" w:eastAsia="宋体" w:cs="宋体"/>
          <w:b/>
        </w:rPr>
        <w:t>（三）自基金合同生效以来/最近十年（孰短）基金每年的净值增长率及与同期业绩比较基准的比较图</w:t>
      </w:r>
    </w:p>
    <w:p>
      <w:pPr>
        <w:rPr>
          <w:rFonts w:hint="eastAsia" w:ascii="宋体" w:hAnsi="宋体" w:cs="宋体"/>
        </w:rPr>
      </w:pPr>
      <w:r>
        <w:rPr>
          <w:rFonts w:hint="eastAsia" w:ascii="宋体" w:hAnsi="宋体" w:cs="宋体"/>
          <w:color w:val="000000"/>
        </w:rPr>
        <w:t>暂无。</w:t>
      </w:r>
    </w:p>
    <w:p>
      <w:pPr>
        <w:rPr>
          <w:rFonts w:hint="eastAsia" w:ascii="宋体" w:hAnsi="宋体" w:cs="宋体"/>
        </w:rPr>
      </w:pPr>
    </w:p>
    <w:p>
      <w:pPr>
        <w:pStyle w:val="3"/>
        <w:jc w:val="left"/>
        <w:rPr>
          <w:rFonts w:hint="eastAsia" w:ascii="宋体" w:hAnsi="宋体" w:cs="宋体"/>
        </w:rPr>
      </w:pPr>
      <w:r>
        <w:rPr>
          <w:rFonts w:ascii="宋体" w:hAnsi="宋体" w:eastAsia="宋体" w:cs="宋体"/>
        </w:rPr>
        <w:t>三、投资本基金涉及的费用</w:t>
      </w:r>
    </w:p>
    <w:p>
      <w:pPr>
        <w:pStyle w:val="58"/>
        <w:rPr>
          <w:rFonts w:hint="eastAsia" w:ascii="宋体" w:hAnsi="宋体" w:cs="宋体"/>
        </w:rPr>
      </w:pPr>
      <w:r>
        <w:rPr>
          <w:rFonts w:ascii="宋体" w:hAnsi="宋体" w:eastAsia="宋体" w:cs="宋体"/>
          <w:b/>
        </w:rPr>
        <w:t>（一）基金销售相关费用</w:t>
      </w:r>
    </w:p>
    <w:p>
      <w:pPr>
        <w:rPr>
          <w:rFonts w:ascii="宋体" w:hAnsi="宋体" w:eastAsia="宋体" w:cs="宋体"/>
          <w:b w:val="0"/>
        </w:rPr>
      </w:pPr>
      <w:r>
        <w:rPr>
          <w:rFonts w:ascii="宋体" w:hAnsi="宋体" w:eastAsia="宋体" w:cs="宋体"/>
          <w:b w:val="0"/>
        </w:rPr>
        <w:t>以下费用在申购/赎回基金过程中收取：</w:t>
      </w:r>
    </w:p>
    <w:p>
      <w:pPr>
        <w:rPr>
          <w:rFonts w:hint="eastAsia" w:ascii="宋体" w:hAnsi="宋体" w:eastAsia="宋体" w:cs="宋体"/>
          <w:b w:val="0"/>
        </w:rPr>
      </w:pP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1"/>
        <w:gridCol w:w="3435"/>
        <w:gridCol w:w="1888"/>
        <w:gridCol w:w="254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Align w:val="center"/>
          </w:tcPr>
          <w:p>
            <w:pPr>
              <w:spacing w:line="240" w:lineRule="auto"/>
              <w:jc w:val="left"/>
              <w:rPr>
                <w:rFonts w:hint="eastAsia" w:ascii="宋体" w:hAnsi="宋体" w:cs="宋体"/>
              </w:rPr>
            </w:pPr>
            <w:r>
              <w:rPr>
                <w:rFonts w:ascii="宋体" w:hAnsi="宋体" w:eastAsia="宋体" w:cs="宋体"/>
                <w:b/>
              </w:rPr>
              <w:t>费用类型</w:t>
            </w:r>
          </w:p>
        </w:tc>
        <w:tc>
          <w:tcPr>
            <w:tcW w:w="1849" w:type="pct"/>
            <w:vAlign w:val="center"/>
          </w:tcPr>
          <w:p>
            <w:pPr>
              <w:spacing w:line="240" w:lineRule="auto"/>
              <w:jc w:val="left"/>
              <w:rPr>
                <w:rFonts w:hint="eastAsia" w:ascii="宋体" w:hAnsi="宋体" w:cs="宋体"/>
              </w:rPr>
            </w:pPr>
            <w:r>
              <w:rPr>
                <w:rFonts w:ascii="宋体" w:hAnsi="宋体" w:eastAsia="宋体" w:cs="宋体"/>
                <w:b/>
              </w:rPr>
              <w:t>份额(S)或金额(M)/持有期限(N)</w:t>
            </w:r>
          </w:p>
        </w:tc>
        <w:tc>
          <w:tcPr>
            <w:tcW w:w="1016" w:type="pct"/>
            <w:vAlign w:val="center"/>
          </w:tcPr>
          <w:p>
            <w:pPr>
              <w:spacing w:line="240" w:lineRule="auto"/>
              <w:jc w:val="left"/>
              <w:rPr>
                <w:rFonts w:hint="eastAsia" w:ascii="宋体" w:hAnsi="宋体" w:cs="宋体"/>
              </w:rPr>
            </w:pPr>
            <w:r>
              <w:rPr>
                <w:rFonts w:ascii="宋体" w:hAnsi="宋体" w:eastAsia="宋体" w:cs="宋体"/>
                <w:b/>
              </w:rPr>
              <w:t>收费方式/费率</w:t>
            </w:r>
          </w:p>
        </w:tc>
        <w:tc>
          <w:tcPr>
            <w:tcW w:w="1368" w:type="pct"/>
            <w:vAlign w:val="center"/>
          </w:tcPr>
          <w:p>
            <w:pPr>
              <w:spacing w:line="240" w:lineRule="auto"/>
              <w:jc w:val="left"/>
              <w:rPr>
                <w:rFonts w:hint="eastAsia" w:ascii="宋体" w:hAnsi="宋体" w:cs="宋体"/>
              </w:rPr>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Align w:val="center"/>
          </w:tcPr>
          <w:p>
            <w:pPr>
              <w:spacing w:line="240" w:lineRule="auto"/>
              <w:jc w:val="left"/>
              <w:rPr>
                <w:rFonts w:ascii="宋体" w:hAnsi="宋体" w:eastAsia="宋体" w:cs="宋体"/>
                <w:b/>
              </w:rPr>
            </w:pPr>
            <w:r>
              <w:rPr>
                <w:rFonts w:hint="eastAsia" w:ascii="宋体" w:hAnsi="宋体" w:cs="宋体"/>
                <w:b/>
                <w:bCs/>
                <w:color w:val="000000"/>
              </w:rPr>
              <w:t>认购费（前收费）</w:t>
            </w:r>
          </w:p>
        </w:tc>
        <w:tc>
          <w:tcPr>
            <w:tcW w:w="1849" w:type="pct"/>
            <w:vAlign w:val="center"/>
          </w:tcPr>
          <w:p>
            <w:pPr>
              <w:spacing w:line="240" w:lineRule="auto"/>
              <w:jc w:val="left"/>
              <w:rPr>
                <w:rFonts w:hint="eastAsia" w:ascii="宋体" w:hAnsi="宋体" w:cs="宋体"/>
                <w:lang w:val="en-US" w:eastAsia="zh-CN"/>
              </w:rPr>
            </w:pPr>
            <w:r>
              <w:rPr>
                <w:rFonts w:hint="eastAsia" w:ascii="宋体" w:hAnsi="宋体" w:cs="宋体"/>
                <w:lang w:val="en-US" w:eastAsia="zh-CN"/>
              </w:rPr>
              <w:t>-</w:t>
            </w:r>
          </w:p>
        </w:tc>
        <w:tc>
          <w:tcPr>
            <w:tcW w:w="1016" w:type="pct"/>
            <w:vAlign w:val="center"/>
          </w:tcPr>
          <w:p>
            <w:pPr>
              <w:spacing w:line="240" w:lineRule="auto"/>
              <w:jc w:val="left"/>
              <w:rPr>
                <w:rFonts w:hint="eastAsia" w:ascii="宋体" w:hAnsi="宋体" w:cs="宋体"/>
                <w:lang w:val="en-US" w:eastAsia="zh-CN"/>
              </w:rPr>
            </w:pPr>
            <w:r>
              <w:rPr>
                <w:rFonts w:hint="eastAsia" w:ascii="宋体" w:hAnsi="宋体" w:cs="宋体"/>
                <w:lang w:val="en-US" w:eastAsia="zh-CN"/>
              </w:rPr>
              <w:t>-</w:t>
            </w:r>
          </w:p>
        </w:tc>
        <w:tc>
          <w:tcPr>
            <w:tcW w:w="1368" w:type="pct"/>
            <w:vAlign w:val="center"/>
          </w:tcPr>
          <w:p>
            <w:pPr>
              <w:spacing w:line="240" w:lineRule="auto"/>
              <w:jc w:val="left"/>
              <w:rPr>
                <w:rFonts w:ascii="宋体" w:hAnsi="宋体" w:eastAsia="宋体" w:cs="宋体"/>
                <w:b w:val="0"/>
              </w:rPr>
            </w:pPr>
            <w:r>
              <w:rPr>
                <w:rFonts w:hint="eastAsia" w:ascii="宋体" w:hAnsi="宋体" w:cs="宋体"/>
                <w:color w:val="000000"/>
              </w:rPr>
              <w:t>C类份额无认购费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Align w:val="center"/>
          </w:tcPr>
          <w:p>
            <w:pPr>
              <w:spacing w:line="240" w:lineRule="auto"/>
              <w:jc w:val="left"/>
              <w:rPr>
                <w:rFonts w:hint="eastAsia" w:ascii="宋体" w:hAnsi="宋体" w:cs="宋体"/>
              </w:rPr>
            </w:pPr>
            <w:r>
              <w:rPr>
                <w:rFonts w:ascii="宋体" w:hAnsi="宋体" w:eastAsia="宋体" w:cs="宋体"/>
                <w:b/>
              </w:rPr>
              <w:t>申购费(前收费)</w:t>
            </w:r>
          </w:p>
        </w:tc>
        <w:tc>
          <w:tcPr>
            <w:tcW w:w="1849" w:type="pct"/>
            <w:vAlign w:val="center"/>
          </w:tcPr>
          <w:p>
            <w:pPr>
              <w:spacing w:line="240" w:lineRule="auto"/>
              <w:jc w:val="left"/>
              <w:rPr>
                <w:rFonts w:hint="eastAsia" w:ascii="宋体" w:hAnsi="宋体" w:eastAsia="宋体" w:cs="宋体"/>
                <w:lang w:val="en-US" w:eastAsia="zh-CN"/>
              </w:rPr>
            </w:pPr>
            <w:r>
              <w:rPr>
                <w:rFonts w:hint="eastAsia" w:ascii="宋体" w:hAnsi="宋体" w:cs="宋体"/>
                <w:lang w:val="en-US" w:eastAsia="zh-CN"/>
              </w:rPr>
              <w:t>-</w:t>
            </w:r>
          </w:p>
        </w:tc>
        <w:tc>
          <w:tcPr>
            <w:tcW w:w="1016" w:type="pct"/>
            <w:vAlign w:val="center"/>
          </w:tcPr>
          <w:p>
            <w:pPr>
              <w:spacing w:line="240" w:lineRule="auto"/>
              <w:jc w:val="left"/>
              <w:rPr>
                <w:rFonts w:hint="eastAsia" w:ascii="宋体" w:hAnsi="宋体" w:eastAsia="宋体" w:cs="宋体"/>
                <w:lang w:val="en-US" w:eastAsia="zh-CN"/>
              </w:rPr>
            </w:pPr>
            <w:r>
              <w:rPr>
                <w:rFonts w:hint="eastAsia" w:ascii="宋体" w:hAnsi="宋体" w:cs="宋体"/>
                <w:lang w:val="en-US" w:eastAsia="zh-CN"/>
              </w:rPr>
              <w:t>-</w:t>
            </w:r>
          </w:p>
        </w:tc>
        <w:tc>
          <w:tcPr>
            <w:tcW w:w="1368" w:type="pct"/>
            <w:vAlign w:val="center"/>
          </w:tcPr>
          <w:p>
            <w:pPr>
              <w:spacing w:line="240" w:lineRule="auto"/>
              <w:jc w:val="left"/>
              <w:rPr>
                <w:rFonts w:hint="eastAsia" w:ascii="宋体" w:hAnsi="宋体" w:cs="宋体"/>
              </w:rPr>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restart"/>
            <w:vAlign w:val="center"/>
          </w:tcPr>
          <w:p>
            <w:pPr>
              <w:spacing w:line="240" w:lineRule="auto"/>
              <w:jc w:val="left"/>
              <w:rPr>
                <w:rFonts w:hint="eastAsia" w:ascii="宋体" w:hAnsi="宋体" w:cs="宋体"/>
              </w:rPr>
            </w:pPr>
            <w:r>
              <w:rPr>
                <w:rFonts w:ascii="宋体" w:hAnsi="宋体" w:eastAsia="宋体" w:cs="宋体"/>
                <w:b/>
              </w:rPr>
              <w:t>赎回费</w:t>
            </w:r>
          </w:p>
        </w:tc>
        <w:tc>
          <w:tcPr>
            <w:tcW w:w="1849" w:type="pct"/>
            <w:vAlign w:val="center"/>
          </w:tcPr>
          <w:p>
            <w:pPr>
              <w:spacing w:line="240" w:lineRule="auto"/>
              <w:jc w:val="left"/>
              <w:rPr>
                <w:rFonts w:hint="eastAsia" w:ascii="宋体" w:hAnsi="宋体" w:cs="宋体"/>
              </w:rPr>
            </w:pPr>
            <w:r>
              <w:rPr>
                <w:rFonts w:ascii="宋体" w:hAnsi="宋体" w:eastAsia="宋体" w:cs="宋体"/>
                <w:b w:val="0"/>
              </w:rPr>
              <w:t>N&lt;7天</w:t>
            </w:r>
          </w:p>
        </w:tc>
        <w:tc>
          <w:tcPr>
            <w:tcW w:w="1016" w:type="pct"/>
            <w:vAlign w:val="center"/>
          </w:tcPr>
          <w:p>
            <w:pPr>
              <w:spacing w:line="240" w:lineRule="auto"/>
              <w:jc w:val="left"/>
              <w:rPr>
                <w:rFonts w:hint="eastAsia" w:ascii="宋体" w:hAnsi="宋体" w:cs="宋体"/>
              </w:rPr>
            </w:pPr>
            <w:r>
              <w:rPr>
                <w:rFonts w:hint="eastAsia" w:ascii="宋体" w:hAnsi="宋体" w:cs="宋体"/>
                <w:color w:val="000000"/>
              </w:rPr>
              <w:t>1.50%</w:t>
            </w:r>
          </w:p>
        </w:tc>
        <w:tc>
          <w:tcPr>
            <w:tcW w:w="1368" w:type="pct"/>
            <w:vAlign w:val="center"/>
          </w:tcPr>
          <w:p>
            <w:pPr>
              <w:spacing w:line="240" w:lineRule="auto"/>
              <w:jc w:val="left"/>
              <w:rPr>
                <w:rFonts w:hint="eastAsia" w:ascii="宋体" w:hAnsi="宋体" w:cs="宋体"/>
              </w:rPr>
            </w:pPr>
            <w:r>
              <w:rPr>
                <w:rFonts w:hint="eastAsia" w:ascii="宋体" w:hAnsi="宋体" w:cs="宋体"/>
                <w:bCs/>
                <w:lang w:val="en-US" w:eastAsia="zh-CN"/>
              </w:rPr>
              <w:t>适用于</w:t>
            </w:r>
            <w:r>
              <w:rPr>
                <w:rFonts w:hint="eastAsia" w:ascii="宋体" w:hAnsi="宋体" w:cs="宋体"/>
                <w:bCs/>
              </w:rPr>
              <w:t>个人投资者</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tcPr>
          <w:p>
            <w:pPr>
              <w:rPr>
                <w:rFonts w:hint="eastAsia" w:ascii="宋体" w:hAnsi="宋体" w:cs="宋体"/>
              </w:rPr>
            </w:pPr>
          </w:p>
        </w:tc>
        <w:tc>
          <w:tcPr>
            <w:tcW w:w="1849" w:type="pct"/>
            <w:vAlign w:val="center"/>
          </w:tcPr>
          <w:p>
            <w:pPr>
              <w:spacing w:line="240" w:lineRule="auto"/>
              <w:jc w:val="left"/>
              <w:rPr>
                <w:rFonts w:hint="eastAsia" w:ascii="宋体" w:hAnsi="宋体" w:cs="宋体"/>
              </w:rPr>
            </w:pPr>
            <w:r>
              <w:rPr>
                <w:rFonts w:ascii="宋体" w:hAnsi="宋体" w:eastAsia="宋体" w:cs="宋体"/>
                <w:b w:val="0"/>
              </w:rPr>
              <w:t>7天≤N</w:t>
            </w:r>
          </w:p>
        </w:tc>
        <w:tc>
          <w:tcPr>
            <w:tcW w:w="1016" w:type="pct"/>
            <w:vAlign w:val="center"/>
          </w:tcPr>
          <w:p>
            <w:pPr>
              <w:spacing w:line="240" w:lineRule="auto"/>
              <w:jc w:val="left"/>
              <w:rPr>
                <w:rFonts w:hint="eastAsia" w:ascii="宋体" w:hAnsi="宋体" w:cs="宋体"/>
              </w:rPr>
            </w:pPr>
            <w:r>
              <w:rPr>
                <w:rFonts w:hint="eastAsia" w:ascii="宋体" w:hAnsi="宋体" w:cs="宋体"/>
                <w:color w:val="000000"/>
              </w:rPr>
              <w:t>0.00%</w:t>
            </w:r>
          </w:p>
        </w:tc>
        <w:tc>
          <w:tcPr>
            <w:tcW w:w="1368" w:type="pct"/>
            <w:vAlign w:val="center"/>
          </w:tcPr>
          <w:p>
            <w:pPr>
              <w:spacing w:line="240" w:lineRule="auto"/>
              <w:jc w:val="left"/>
              <w:rPr>
                <w:rFonts w:hint="eastAsia" w:ascii="宋体" w:hAnsi="宋体" w:cs="宋体"/>
              </w:rPr>
            </w:pPr>
            <w:r>
              <w:rPr>
                <w:rFonts w:hint="eastAsia" w:ascii="宋体" w:hAnsi="宋体" w:cs="宋体"/>
                <w:bCs/>
                <w:lang w:val="en-US" w:eastAsia="zh-CN"/>
              </w:rPr>
              <w:t>适用于</w:t>
            </w:r>
            <w:r>
              <w:rPr>
                <w:rFonts w:hint="eastAsia" w:ascii="宋体" w:hAnsi="宋体" w:cs="宋体"/>
                <w:bCs/>
              </w:rPr>
              <w:t>个人投资者</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tcPr>
          <w:p>
            <w:pPr>
              <w:rPr>
                <w:rFonts w:hint="eastAsia" w:ascii="宋体" w:hAnsi="宋体" w:cs="宋体"/>
              </w:rPr>
            </w:pPr>
          </w:p>
        </w:tc>
        <w:tc>
          <w:tcPr>
            <w:tcW w:w="1849" w:type="pct"/>
            <w:vAlign w:val="center"/>
          </w:tcPr>
          <w:p>
            <w:pPr>
              <w:spacing w:line="240" w:lineRule="auto"/>
              <w:jc w:val="left"/>
              <w:rPr>
                <w:rFonts w:hint="eastAsia" w:ascii="宋体" w:hAnsi="宋体" w:cs="宋体"/>
              </w:rPr>
            </w:pPr>
            <w:r>
              <w:rPr>
                <w:rFonts w:hint="eastAsia" w:ascii="宋体" w:hAnsi="宋体" w:cs="宋体"/>
                <w:kern w:val="0"/>
                <w:szCs w:val="21"/>
              </w:rPr>
              <w:t>T</w:t>
            </w:r>
            <w:r>
              <w:rPr>
                <w:rFonts w:hint="eastAsia" w:ascii="宋体" w:hAnsi="宋体" w:cs="宋体"/>
              </w:rPr>
              <w:t>＜</w:t>
            </w:r>
            <w:r>
              <w:rPr>
                <w:rFonts w:ascii="宋体" w:hAnsi="宋体" w:cs="宋体"/>
              </w:rPr>
              <w:t>7</w:t>
            </w:r>
            <w:r>
              <w:rPr>
                <w:rFonts w:hint="eastAsia" w:ascii="宋体" w:hAnsi="宋体" w:cs="宋体"/>
              </w:rPr>
              <w:t>天</w:t>
            </w:r>
          </w:p>
        </w:tc>
        <w:tc>
          <w:tcPr>
            <w:tcW w:w="1016" w:type="pct"/>
            <w:vAlign w:val="center"/>
          </w:tcPr>
          <w:p>
            <w:pPr>
              <w:spacing w:line="240" w:lineRule="auto"/>
              <w:jc w:val="left"/>
              <w:rPr>
                <w:rFonts w:hint="eastAsia" w:ascii="宋体" w:hAnsi="宋体" w:cs="宋体"/>
              </w:rPr>
            </w:pPr>
            <w:r>
              <w:rPr>
                <w:rFonts w:hint="eastAsia" w:ascii="宋体" w:hAnsi="宋体" w:cs="宋体"/>
              </w:rPr>
              <w:t>1.50%</w:t>
            </w:r>
          </w:p>
        </w:tc>
        <w:tc>
          <w:tcPr>
            <w:tcW w:w="1368" w:type="pct"/>
            <w:vAlign w:val="center"/>
          </w:tcPr>
          <w:p>
            <w:pPr>
              <w:spacing w:line="240" w:lineRule="auto"/>
              <w:jc w:val="left"/>
              <w:rPr>
                <w:rFonts w:hint="eastAsia" w:ascii="宋体" w:hAnsi="宋体" w:cs="宋体"/>
              </w:rPr>
            </w:pPr>
            <w:r>
              <w:rPr>
                <w:rFonts w:hint="eastAsia" w:ascii="宋体" w:hAnsi="宋体" w:cs="宋体"/>
                <w:lang w:val="en-US" w:eastAsia="zh-CN"/>
              </w:rPr>
              <w:t>适用于</w:t>
            </w:r>
            <w:r>
              <w:rPr>
                <w:rFonts w:hint="eastAsia" w:ascii="宋体" w:hAnsi="宋体" w:cs="宋体"/>
              </w:rPr>
              <w:t>除个人投资者以外的投资者</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rPr>
          <w:trHeight w:val="290" w:hRule="atLeast"/>
        </w:trPr>
        <w:tc>
          <w:tcPr>
            <w:tcW w:w="765" w:type="pct"/>
            <w:vMerge w:val="continue"/>
          </w:tcPr>
          <w:p>
            <w:pPr>
              <w:rPr>
                <w:rFonts w:hint="eastAsia" w:ascii="宋体" w:hAnsi="宋体" w:cs="宋体"/>
              </w:rPr>
            </w:pPr>
          </w:p>
        </w:tc>
        <w:tc>
          <w:tcPr>
            <w:tcW w:w="1849" w:type="pct"/>
            <w:vAlign w:val="center"/>
          </w:tcPr>
          <w:p>
            <w:pPr>
              <w:spacing w:line="240" w:lineRule="auto"/>
              <w:jc w:val="left"/>
              <w:rPr>
                <w:rFonts w:ascii="宋体" w:hAnsi="宋体" w:eastAsia="宋体" w:cs="宋体"/>
                <w:b w:val="0"/>
              </w:rPr>
            </w:pPr>
            <w:r>
              <w:rPr>
                <w:rFonts w:hint="eastAsia" w:ascii="宋体" w:hAnsi="宋体" w:cs="宋体"/>
              </w:rPr>
              <w:t>7天≤</w:t>
            </w:r>
            <w:r>
              <w:rPr>
                <w:rFonts w:hint="eastAsia" w:ascii="宋体" w:hAnsi="宋体" w:cs="宋体"/>
                <w:kern w:val="0"/>
                <w:szCs w:val="21"/>
              </w:rPr>
              <w:t>T</w:t>
            </w:r>
            <w:r>
              <w:rPr>
                <w:rFonts w:hint="eastAsia" w:ascii="宋体" w:hAnsi="宋体" w:cs="宋体"/>
              </w:rPr>
              <w:t>＜30天</w:t>
            </w:r>
          </w:p>
        </w:tc>
        <w:tc>
          <w:tcPr>
            <w:tcW w:w="1016" w:type="pct"/>
            <w:vAlign w:val="center"/>
          </w:tcPr>
          <w:p>
            <w:pPr>
              <w:spacing w:line="240" w:lineRule="auto"/>
              <w:jc w:val="left"/>
              <w:rPr>
                <w:rFonts w:ascii="宋体" w:hAnsi="宋体" w:eastAsia="宋体" w:cs="宋体"/>
                <w:b w:val="0"/>
              </w:rPr>
            </w:pPr>
            <w:r>
              <w:rPr>
                <w:rFonts w:hint="eastAsia" w:ascii="宋体" w:hAnsi="宋体" w:cs="宋体"/>
              </w:rPr>
              <w:t>1.00%</w:t>
            </w:r>
          </w:p>
        </w:tc>
        <w:tc>
          <w:tcPr>
            <w:tcW w:w="1368" w:type="pct"/>
            <w:vAlign w:val="center"/>
          </w:tcPr>
          <w:p>
            <w:pPr>
              <w:spacing w:line="240" w:lineRule="auto"/>
              <w:jc w:val="left"/>
              <w:rPr>
                <w:rFonts w:hint="eastAsia" w:ascii="宋体" w:hAnsi="宋体" w:cs="宋体"/>
              </w:rPr>
            </w:pPr>
            <w:r>
              <w:rPr>
                <w:rFonts w:hint="eastAsia" w:ascii="宋体" w:hAnsi="宋体" w:cs="宋体"/>
                <w:lang w:val="en-US" w:eastAsia="zh-CN"/>
              </w:rPr>
              <w:t>适用于</w:t>
            </w:r>
            <w:r>
              <w:rPr>
                <w:rFonts w:hint="eastAsia" w:ascii="宋体" w:hAnsi="宋体" w:cs="宋体"/>
              </w:rPr>
              <w:t>除个人投资者以外的投资者</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tcPr>
          <w:p>
            <w:pPr>
              <w:rPr>
                <w:rFonts w:hint="eastAsia" w:ascii="宋体" w:hAnsi="宋体" w:cs="宋体"/>
              </w:rPr>
            </w:pPr>
          </w:p>
        </w:tc>
        <w:tc>
          <w:tcPr>
            <w:tcW w:w="1849" w:type="pct"/>
            <w:vAlign w:val="center"/>
          </w:tcPr>
          <w:p>
            <w:pPr>
              <w:spacing w:line="240" w:lineRule="auto"/>
              <w:jc w:val="left"/>
              <w:rPr>
                <w:rFonts w:ascii="宋体" w:hAnsi="宋体" w:eastAsia="宋体" w:cs="宋体"/>
                <w:b w:val="0"/>
              </w:rPr>
            </w:pPr>
            <w:r>
              <w:rPr>
                <w:rFonts w:hint="eastAsia" w:ascii="宋体" w:hAnsi="宋体" w:cs="宋体"/>
                <w:kern w:val="0"/>
                <w:szCs w:val="21"/>
              </w:rPr>
              <w:t>T</w:t>
            </w:r>
            <w:r>
              <w:rPr>
                <w:rFonts w:hint="eastAsia" w:ascii="宋体" w:hAnsi="宋体" w:cs="宋体"/>
              </w:rPr>
              <w:t>≥30天</w:t>
            </w:r>
          </w:p>
        </w:tc>
        <w:tc>
          <w:tcPr>
            <w:tcW w:w="1016" w:type="pct"/>
            <w:vAlign w:val="center"/>
          </w:tcPr>
          <w:p>
            <w:pPr>
              <w:spacing w:line="240" w:lineRule="auto"/>
              <w:jc w:val="left"/>
              <w:rPr>
                <w:rFonts w:ascii="宋体" w:hAnsi="宋体" w:eastAsia="宋体" w:cs="宋体"/>
                <w:b w:val="0"/>
              </w:rPr>
            </w:pPr>
            <w:r>
              <w:rPr>
                <w:rFonts w:hint="eastAsia" w:ascii="宋体" w:hAnsi="宋体" w:cs="宋体"/>
              </w:rPr>
              <w:t>0.00%</w:t>
            </w:r>
          </w:p>
        </w:tc>
        <w:tc>
          <w:tcPr>
            <w:tcW w:w="1368" w:type="pct"/>
            <w:vAlign w:val="center"/>
          </w:tcPr>
          <w:p>
            <w:pPr>
              <w:spacing w:line="240" w:lineRule="auto"/>
              <w:jc w:val="left"/>
              <w:rPr>
                <w:rFonts w:hint="eastAsia" w:ascii="宋体" w:hAnsi="宋体" w:cs="宋体"/>
              </w:rPr>
            </w:pPr>
            <w:r>
              <w:rPr>
                <w:rFonts w:hint="eastAsia" w:ascii="宋体" w:hAnsi="宋体" w:cs="宋体"/>
                <w:lang w:val="en-US" w:eastAsia="zh-CN"/>
              </w:rPr>
              <w:t>适用于</w:t>
            </w:r>
            <w:r>
              <w:rPr>
                <w:rFonts w:hint="eastAsia" w:ascii="宋体" w:hAnsi="宋体" w:cs="宋体"/>
              </w:rPr>
              <w:t>除个人投资者以外的投资者</w:t>
            </w:r>
          </w:p>
        </w:tc>
      </w:tr>
    </w:tbl>
    <w:p>
      <w:pPr>
        <w:pStyle w:val="60"/>
        <w:rPr>
          <w:rFonts w:hint="eastAsia" w:ascii="宋体" w:hAnsi="宋体" w:cs="宋体"/>
        </w:rPr>
      </w:pPr>
      <w:r>
        <w:rPr>
          <w:rFonts w:hint="eastAsia" w:hAnsi="宋体"/>
          <w:color w:val="000000"/>
        </w:rPr>
        <w:t>注：对于通过基金管理人认购/申购C类基金份额收取的销售服务费，以及通过代销机构认购/申购并持续持有期限超过一年的C类基金份额收取的销售服务费采取先收后返模式，基金投资者实际收到的赎回款项或清算款项的金额可能与披露的基金份额净值计算的结果存在差异。投资者的实际赎回金额和清算资金以登记机构确认数据为准。</w:t>
      </w:r>
    </w:p>
    <w:p>
      <w:pPr>
        <w:pStyle w:val="58"/>
        <w:rPr>
          <w:rFonts w:hint="eastAsia" w:ascii="宋体" w:hAnsi="宋体" w:cs="宋体"/>
        </w:rPr>
      </w:pPr>
      <w:r>
        <w:rPr>
          <w:rFonts w:ascii="宋体" w:hAnsi="宋体" w:eastAsia="宋体" w:cs="宋体"/>
          <w:b/>
        </w:rPr>
        <w:t>（二）基金运作相关费用</w:t>
      </w:r>
    </w:p>
    <w:p>
      <w:pPr>
        <w:rPr>
          <w:rFonts w:hint="eastAsia" w:ascii="宋体" w:hAnsi="宋体" w:cs="宋体"/>
        </w:rPr>
      </w:pPr>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2"/>
        <w:gridCol w:w="4286"/>
        <w:gridCol w:w="2858"/>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rFonts w:hint="eastAsia" w:ascii="宋体" w:hAnsi="宋体" w:cs="宋体"/>
              </w:rPr>
            </w:pPr>
            <w:r>
              <w:rPr>
                <w:rFonts w:ascii="宋体" w:hAnsi="宋体" w:eastAsia="宋体" w:cs="宋体"/>
                <w:b/>
              </w:rPr>
              <w:t>费用类别</w:t>
            </w:r>
          </w:p>
        </w:tc>
        <w:tc>
          <w:tcPr>
            <w:tcW w:w="2307" w:type="pct"/>
            <w:vAlign w:val="center"/>
          </w:tcPr>
          <w:p>
            <w:pPr>
              <w:spacing w:line="240" w:lineRule="auto"/>
              <w:jc w:val="left"/>
              <w:rPr>
                <w:rFonts w:hint="eastAsia" w:ascii="宋体" w:hAnsi="宋体" w:cs="宋体"/>
              </w:rPr>
            </w:pPr>
            <w:r>
              <w:rPr>
                <w:rFonts w:ascii="宋体" w:hAnsi="宋体" w:eastAsia="宋体" w:cs="宋体"/>
                <w:b/>
              </w:rPr>
              <w:t>收费方式/年费率或金额</w:t>
            </w:r>
          </w:p>
        </w:tc>
        <w:tc>
          <w:tcPr>
            <w:tcW w:w="1538" w:type="pct"/>
            <w:vAlign w:val="center"/>
          </w:tcPr>
          <w:p>
            <w:pPr>
              <w:spacing w:line="240" w:lineRule="auto"/>
              <w:jc w:val="left"/>
              <w:rPr>
                <w:rFonts w:hint="eastAsia" w:ascii="宋体" w:hAnsi="宋体" w:cs="宋体"/>
              </w:rPr>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rFonts w:hint="eastAsia" w:ascii="宋体" w:hAnsi="宋体" w:cs="宋体"/>
              </w:rPr>
            </w:pPr>
            <w:r>
              <w:rPr>
                <w:rFonts w:ascii="宋体" w:hAnsi="宋体" w:eastAsia="宋体" w:cs="宋体"/>
                <w:b w:val="0"/>
              </w:rPr>
              <w:t>管理费</w:t>
            </w:r>
          </w:p>
        </w:tc>
        <w:tc>
          <w:tcPr>
            <w:tcW w:w="2307" w:type="pct"/>
            <w:vAlign w:val="center"/>
          </w:tcPr>
          <w:p>
            <w:pPr>
              <w:spacing w:line="240" w:lineRule="auto"/>
              <w:jc w:val="left"/>
              <w:rPr>
                <w:rFonts w:hint="eastAsia" w:ascii="宋体" w:hAnsi="宋体" w:cs="宋体"/>
              </w:rPr>
            </w:pPr>
            <w:r>
              <w:rPr>
                <w:rFonts w:hint="eastAsia" w:ascii="宋体" w:hAnsi="宋体" w:cs="宋体"/>
                <w:color w:val="000000"/>
              </w:rPr>
              <w:t>0.</w:t>
            </w:r>
            <w:r>
              <w:rPr>
                <w:rFonts w:hint="eastAsia" w:ascii="宋体" w:hAnsi="宋体" w:cs="宋体"/>
                <w:color w:val="000000"/>
                <w:lang w:val="en-US" w:eastAsia="zh-CN"/>
              </w:rPr>
              <w:t>6</w:t>
            </w:r>
            <w:r>
              <w:rPr>
                <w:rFonts w:hint="eastAsia" w:ascii="宋体" w:hAnsi="宋体" w:cs="宋体"/>
                <w:color w:val="000000"/>
              </w:rPr>
              <w:t>0%</w:t>
            </w:r>
          </w:p>
        </w:tc>
        <w:tc>
          <w:tcPr>
            <w:tcW w:w="1538" w:type="pct"/>
            <w:vAlign w:val="center"/>
          </w:tcPr>
          <w:p>
            <w:pPr>
              <w:spacing w:line="240" w:lineRule="auto"/>
              <w:jc w:val="left"/>
              <w:rPr>
                <w:rFonts w:hint="eastAsia" w:ascii="宋体" w:hAnsi="宋体" w:cs="宋体"/>
              </w:rPr>
            </w:pPr>
            <w:r>
              <w:rPr>
                <w:rFonts w:hint="eastAsia" w:ascii="宋体" w:hAnsi="宋体" w:cs="宋体"/>
                <w:color w:val="000000"/>
              </w:rPr>
              <w:t>基金管理人和</w:t>
            </w:r>
            <w:r>
              <w:rPr>
                <w:rFonts w:hint="eastAsia" w:ascii="宋体" w:hAnsi="宋体" w:cs="宋体"/>
                <w:color w:val="000000"/>
                <w:lang w:val="en-US" w:eastAsia="zh-CN"/>
              </w:rPr>
              <w:t>代销</w:t>
            </w:r>
            <w:r>
              <w:rPr>
                <w:rFonts w:hint="eastAsia" w:ascii="宋体" w:hAnsi="宋体" w:cs="宋体"/>
                <w:color w:val="000000"/>
              </w:rPr>
              <w:t>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rFonts w:hint="eastAsia" w:ascii="宋体" w:hAnsi="宋体" w:cs="宋体"/>
              </w:rPr>
            </w:pPr>
            <w:r>
              <w:rPr>
                <w:rFonts w:ascii="宋体" w:hAnsi="宋体" w:eastAsia="宋体" w:cs="宋体"/>
                <w:b w:val="0"/>
              </w:rPr>
              <w:t>托管费</w:t>
            </w:r>
          </w:p>
        </w:tc>
        <w:tc>
          <w:tcPr>
            <w:tcW w:w="2307" w:type="pct"/>
            <w:vAlign w:val="center"/>
          </w:tcPr>
          <w:p>
            <w:pPr>
              <w:spacing w:line="240" w:lineRule="auto"/>
              <w:jc w:val="left"/>
              <w:rPr>
                <w:rFonts w:hint="eastAsia" w:ascii="宋体" w:hAnsi="宋体" w:cs="宋体"/>
              </w:rPr>
            </w:pPr>
            <w:r>
              <w:rPr>
                <w:rFonts w:hint="eastAsia" w:ascii="宋体" w:hAnsi="宋体" w:cs="宋体"/>
                <w:color w:val="000000"/>
              </w:rPr>
              <w:t>0.10%</w:t>
            </w:r>
          </w:p>
        </w:tc>
        <w:tc>
          <w:tcPr>
            <w:tcW w:w="1538" w:type="pct"/>
            <w:vAlign w:val="center"/>
          </w:tcPr>
          <w:p>
            <w:pPr>
              <w:spacing w:line="240" w:lineRule="auto"/>
              <w:jc w:val="left"/>
              <w:rPr>
                <w:rFonts w:hint="eastAsia" w:ascii="宋体" w:hAnsi="宋体" w:cs="宋体"/>
              </w:rPr>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rFonts w:hint="eastAsia" w:ascii="宋体" w:hAnsi="宋体" w:cs="宋体"/>
              </w:rPr>
            </w:pPr>
            <w:r>
              <w:rPr>
                <w:rFonts w:ascii="宋体" w:hAnsi="宋体" w:eastAsia="宋体" w:cs="宋体"/>
                <w:b w:val="0"/>
              </w:rPr>
              <w:t>销售服务费C类</w:t>
            </w:r>
          </w:p>
        </w:tc>
        <w:tc>
          <w:tcPr>
            <w:tcW w:w="2307" w:type="pct"/>
            <w:vAlign w:val="center"/>
          </w:tcPr>
          <w:p>
            <w:pPr>
              <w:spacing w:line="240" w:lineRule="auto"/>
              <w:jc w:val="left"/>
              <w:rPr>
                <w:rFonts w:hint="eastAsia" w:ascii="宋体" w:hAnsi="宋体" w:cs="宋体"/>
              </w:rPr>
            </w:pPr>
            <w:r>
              <w:rPr>
                <w:rFonts w:hint="eastAsia" w:ascii="宋体" w:hAnsi="宋体" w:cs="宋体"/>
                <w:color w:val="000000"/>
              </w:rPr>
              <w:t>0.</w:t>
            </w:r>
            <w:r>
              <w:rPr>
                <w:rFonts w:hint="eastAsia" w:ascii="宋体" w:hAnsi="宋体" w:cs="宋体"/>
                <w:color w:val="000000"/>
                <w:lang w:val="en-US" w:eastAsia="zh-CN"/>
              </w:rPr>
              <w:t>2</w:t>
            </w:r>
            <w:r>
              <w:rPr>
                <w:rFonts w:hint="eastAsia" w:ascii="宋体" w:hAnsi="宋体" w:cs="宋体"/>
                <w:color w:val="000000"/>
              </w:rPr>
              <w:t>0%</w:t>
            </w:r>
          </w:p>
        </w:tc>
        <w:tc>
          <w:tcPr>
            <w:tcW w:w="1538" w:type="pct"/>
            <w:vAlign w:val="center"/>
          </w:tcPr>
          <w:p>
            <w:pPr>
              <w:spacing w:line="240" w:lineRule="auto"/>
              <w:jc w:val="left"/>
              <w:rPr>
                <w:rFonts w:hint="eastAsia" w:ascii="宋体" w:hAnsi="宋体" w:cs="宋体"/>
              </w:rPr>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rFonts w:hint="eastAsia" w:ascii="宋体" w:hAnsi="宋体" w:cs="宋体"/>
              </w:rPr>
            </w:pPr>
            <w:r>
              <w:rPr>
                <w:rFonts w:ascii="宋体" w:hAnsi="宋体" w:eastAsia="宋体" w:cs="宋体"/>
                <w:b w:val="0"/>
              </w:rPr>
              <w:t>审计费用</w:t>
            </w:r>
          </w:p>
        </w:tc>
        <w:tc>
          <w:tcPr>
            <w:tcW w:w="2307" w:type="pct"/>
            <w:vAlign w:val="center"/>
          </w:tcPr>
          <w:p>
            <w:pPr>
              <w:spacing w:line="240" w:lineRule="auto"/>
              <w:jc w:val="left"/>
              <w:rPr>
                <w:rFonts w:hint="eastAsia" w:ascii="宋体" w:hAnsi="宋体" w:cs="宋体"/>
              </w:rPr>
            </w:pPr>
            <w:r>
              <w:rPr>
                <w:rFonts w:hint="eastAsia" w:ascii="宋体" w:hAnsi="宋体" w:cs="宋体"/>
                <w:color w:val="000000"/>
              </w:rPr>
              <w:t>-</w:t>
            </w:r>
          </w:p>
        </w:tc>
        <w:tc>
          <w:tcPr>
            <w:tcW w:w="1538" w:type="pct"/>
            <w:vAlign w:val="center"/>
          </w:tcPr>
          <w:p>
            <w:pPr>
              <w:spacing w:line="240" w:lineRule="auto"/>
              <w:jc w:val="left"/>
              <w:rPr>
                <w:rFonts w:hint="eastAsia" w:ascii="宋体" w:hAnsi="宋体" w:cs="宋体"/>
              </w:rPr>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rFonts w:hint="eastAsia" w:ascii="宋体" w:hAnsi="宋体" w:cs="宋体"/>
              </w:rPr>
            </w:pPr>
            <w:r>
              <w:rPr>
                <w:rFonts w:ascii="宋体" w:hAnsi="宋体" w:eastAsia="宋体" w:cs="宋体"/>
                <w:b w:val="0"/>
              </w:rPr>
              <w:t>信息披露费</w:t>
            </w:r>
          </w:p>
        </w:tc>
        <w:tc>
          <w:tcPr>
            <w:tcW w:w="2307" w:type="pct"/>
            <w:vAlign w:val="center"/>
          </w:tcPr>
          <w:p>
            <w:pPr>
              <w:spacing w:line="240" w:lineRule="auto"/>
              <w:jc w:val="left"/>
              <w:rPr>
                <w:rFonts w:hint="eastAsia" w:ascii="宋体" w:hAnsi="宋体" w:cs="宋体"/>
              </w:rPr>
            </w:pPr>
            <w:r>
              <w:rPr>
                <w:rFonts w:hint="eastAsia" w:ascii="宋体" w:hAnsi="宋体" w:cs="宋体"/>
                <w:color w:val="000000"/>
              </w:rPr>
              <w:t>-</w:t>
            </w:r>
          </w:p>
        </w:tc>
        <w:tc>
          <w:tcPr>
            <w:tcW w:w="1538" w:type="pct"/>
            <w:vAlign w:val="center"/>
          </w:tcPr>
          <w:p>
            <w:pPr>
              <w:spacing w:line="240" w:lineRule="auto"/>
              <w:jc w:val="left"/>
              <w:rPr>
                <w:rFonts w:hint="eastAsia" w:ascii="宋体" w:hAnsi="宋体" w:cs="宋体"/>
              </w:rPr>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3" w:type="pct"/>
            <w:vAlign w:val="center"/>
          </w:tcPr>
          <w:p>
            <w:pPr>
              <w:spacing w:line="240" w:lineRule="auto"/>
              <w:jc w:val="left"/>
              <w:rPr>
                <w:rFonts w:hint="eastAsia" w:ascii="宋体" w:hAnsi="宋体" w:cs="宋体"/>
              </w:rPr>
            </w:pPr>
            <w:r>
              <w:rPr>
                <w:rFonts w:ascii="宋体" w:hAnsi="宋体" w:eastAsia="宋体" w:cs="宋体"/>
                <w:b w:val="0"/>
              </w:rPr>
              <w:t>其他费用</w:t>
            </w:r>
          </w:p>
        </w:tc>
        <w:tc>
          <w:tcPr>
            <w:tcW w:w="2307" w:type="pct"/>
            <w:vAlign w:val="center"/>
          </w:tcPr>
          <w:p>
            <w:pPr>
              <w:spacing w:line="240" w:lineRule="auto"/>
              <w:jc w:val="left"/>
              <w:rPr>
                <w:rFonts w:hint="eastAsia" w:ascii="宋体" w:hAnsi="宋体" w:cs="宋体"/>
              </w:rPr>
            </w:pPr>
            <w:r>
              <w:rPr>
                <w:rFonts w:hint="eastAsia" w:ascii="宋体" w:hAnsi="宋体" w:cs="宋体"/>
                <w:color w:val="000000"/>
              </w:rPr>
              <w:t>《基金合同》生效后与基金相关的律师费、诉讼费和仲裁费等费用；基金份额持有人大会费用；基金的证券、期货交易费用；基金的银行汇划费用；基金相关的开户费用、账户维护费用；基金投资港股通标的股票的合理费用；基金投资其他基金而产生的费用，但法律法规禁止从基金财产中列支或基金合同另有约定的除外；按照国家有关规定和《基金合同》约定，可以在基金财产中列支的其他费用。</w:t>
            </w:r>
          </w:p>
        </w:tc>
        <w:tc>
          <w:tcPr>
            <w:tcW w:w="1538" w:type="pct"/>
            <w:vAlign w:val="center"/>
          </w:tcPr>
          <w:p>
            <w:pPr>
              <w:spacing w:line="240" w:lineRule="auto"/>
              <w:jc w:val="left"/>
              <w:rPr>
                <w:rFonts w:hint="eastAsia" w:ascii="宋体" w:hAnsi="宋体" w:cs="宋体"/>
              </w:rPr>
            </w:pPr>
            <w:r>
              <w:rPr>
                <w:rFonts w:ascii="宋体" w:hAnsi="宋体" w:eastAsia="宋体" w:cs="宋体"/>
                <w:b w:val="0"/>
              </w:rPr>
              <w:t>相关服务机构</w:t>
            </w:r>
          </w:p>
        </w:tc>
      </w:tr>
    </w:tbl>
    <w:p>
      <w:pPr>
        <w:pStyle w:val="60"/>
        <w:spacing w:before="0"/>
        <w:ind w:left="0" w:firstLine="432"/>
        <w:rPr>
          <w:rFonts w:hint="eastAsia" w:hAnsi="宋体"/>
          <w:color w:val="000000"/>
        </w:rPr>
      </w:pPr>
      <w:r>
        <w:rPr>
          <w:rFonts w:hint="eastAsia" w:hAnsi="宋体"/>
          <w:color w:val="000000"/>
        </w:rPr>
        <w:t>注：1、本基金交易证券、基金等产生的费用和税负，按实际发生额从基金资产扣除。</w:t>
      </w:r>
    </w:p>
    <w:p>
      <w:pPr>
        <w:ind w:firstLine="420" w:firstLineChars="200"/>
        <w:rPr>
          <w:rFonts w:hint="eastAsia" w:ascii="宋体" w:hAnsi="宋体" w:cs="宋体"/>
        </w:rPr>
      </w:pPr>
      <w:r>
        <w:rPr>
          <w:rFonts w:hint="eastAsia" w:ascii="宋体" w:hAnsi="宋体" w:cs="宋体"/>
          <w:color w:val="000000"/>
        </w:rPr>
        <w:t>2、本基金审计费用、信息披露费为年金额，由基金整体承担，非单个份额类别费用，且年金额为预估值，最终实际金额以基金定期报告披露为准。</w:t>
      </w:r>
    </w:p>
    <w:p>
      <w:pPr>
        <w:pStyle w:val="58"/>
        <w:rPr>
          <w:rFonts w:hint="eastAsia" w:ascii="宋体" w:hAnsi="宋体" w:cs="宋体"/>
        </w:rPr>
      </w:pPr>
      <w:r>
        <w:rPr>
          <w:rFonts w:ascii="宋体" w:hAnsi="宋体" w:eastAsia="宋体" w:cs="宋体"/>
          <w:b/>
        </w:rPr>
        <w:t>（三）基金运作综合费用测算</w:t>
      </w:r>
    </w:p>
    <w:p>
      <w:pPr>
        <w:pStyle w:val="60"/>
        <w:rPr>
          <w:rFonts w:hint="eastAsia" w:hAnsi="宋体"/>
          <w:color w:val="000000"/>
        </w:rPr>
      </w:pPr>
      <w:r>
        <w:rPr>
          <w:rFonts w:hint="eastAsia" w:hAnsi="宋体"/>
          <w:color w:val="000000"/>
        </w:rPr>
        <w:t>暂无。</w:t>
      </w:r>
    </w:p>
    <w:p>
      <w:pPr>
        <w:rPr>
          <w:rFonts w:hint="eastAsia" w:ascii="宋体" w:hAnsi="宋体" w:cs="宋体"/>
        </w:rPr>
      </w:pPr>
    </w:p>
    <w:p>
      <w:pPr>
        <w:pStyle w:val="3"/>
        <w:jc w:val="left"/>
        <w:rPr>
          <w:rFonts w:hint="eastAsia" w:ascii="宋体" w:hAnsi="宋体" w:cs="宋体"/>
        </w:rPr>
      </w:pPr>
      <w:r>
        <w:rPr>
          <w:rFonts w:ascii="宋体" w:hAnsi="宋体" w:eastAsia="宋体" w:cs="宋体"/>
        </w:rPr>
        <w:t>四、风险揭示与重要提示</w:t>
      </w:r>
    </w:p>
    <w:p>
      <w:pPr>
        <w:pStyle w:val="58"/>
        <w:rPr>
          <w:rFonts w:hint="eastAsia" w:ascii="宋体" w:hAnsi="宋体" w:cs="宋体"/>
        </w:rPr>
      </w:pPr>
      <w:r>
        <w:rPr>
          <w:rFonts w:ascii="宋体" w:hAnsi="宋体" w:eastAsia="宋体" w:cs="宋体"/>
          <w:b/>
        </w:rPr>
        <w:t>（一）风险揭示</w:t>
      </w:r>
    </w:p>
    <w:p>
      <w:pPr>
        <w:pStyle w:val="59"/>
        <w:spacing w:before="0" w:line="240" w:lineRule="auto"/>
        <w:ind w:left="0" w:firstLine="432"/>
        <w:rPr>
          <w:rFonts w:hint="eastAsia" w:hAnsi="宋体"/>
          <w:color w:val="000000"/>
        </w:rPr>
      </w:pPr>
      <w:r>
        <w:rPr>
          <w:rFonts w:hint="eastAsia" w:hAnsi="宋体"/>
          <w:color w:val="000000"/>
        </w:rPr>
        <w:t>本基金不提供任何保证。投资者可能损失本金。投资有风险，投资者购买基金时应认真阅读本基金的《招募说明书》等销售文件。</w:t>
      </w:r>
    </w:p>
    <w:p>
      <w:pPr>
        <w:pStyle w:val="59"/>
        <w:spacing w:before="0" w:line="240" w:lineRule="auto"/>
        <w:ind w:left="0" w:firstLine="432"/>
        <w:rPr>
          <w:rFonts w:hint="eastAsia" w:hAnsi="宋体"/>
          <w:color w:val="000000"/>
        </w:rPr>
      </w:pPr>
      <w:r>
        <w:rPr>
          <w:rFonts w:hint="eastAsia" w:hAnsi="宋体"/>
          <w:color w:val="000000"/>
        </w:rPr>
        <w:t>1、本基金特有风险</w:t>
      </w:r>
    </w:p>
    <w:p>
      <w:pPr>
        <w:spacing w:line="240" w:lineRule="auto"/>
        <w:ind w:firstLine="420" w:firstLineChars="200"/>
        <w:jc w:val="left"/>
        <w:rPr>
          <w:rFonts w:hint="eastAsia" w:ascii="宋体" w:hAnsi="宋体" w:cs="宋体"/>
          <w:color w:val="000000"/>
        </w:rPr>
      </w:pPr>
      <w:r>
        <w:rPr>
          <w:rFonts w:hint="eastAsia" w:ascii="宋体" w:hAnsi="宋体" w:cs="宋体"/>
          <w:color w:val="000000"/>
        </w:rPr>
        <w:t>（</w:t>
      </w:r>
      <w:r>
        <w:rPr>
          <w:rFonts w:hint="eastAsia" w:ascii="宋体" w:hAnsi="宋体" w:eastAsia="宋体" w:cs="宋体"/>
          <w:color w:val="000000"/>
          <w:kern w:val="0"/>
          <w:szCs w:val="21"/>
        </w:rPr>
        <w:t>1）</w:t>
      </w:r>
      <w:r>
        <w:rPr>
          <w:rFonts w:hint="eastAsia" w:ascii="宋体" w:hAnsi="宋体" w:eastAsia="宋体" w:cs="宋体"/>
          <w:b w:val="0"/>
          <w:color w:val="000000"/>
          <w:kern w:val="0"/>
          <w:sz w:val="21"/>
          <w:szCs w:val="21"/>
          <w:lang w:val="en-US" w:eastAsia="zh-CN" w:bidi="ar-SA"/>
        </w:rPr>
        <w:t>本基金投资于债券资产不低于基金资产的80%，具有对债券市场的系统性风险，不能完全规避市场下跌的风险，在市场大幅上涨时也不能保证基金净值能够完全跟随或超越市场上涨幅度。</w:t>
      </w:r>
    </w:p>
    <w:p>
      <w:pPr>
        <w:pStyle w:val="59"/>
        <w:spacing w:line="240" w:lineRule="auto"/>
        <w:ind w:firstLine="432"/>
        <w:rPr>
          <w:rFonts w:hint="eastAsia" w:hAnsi="宋体"/>
          <w:color w:val="000000"/>
        </w:rPr>
      </w:pPr>
      <w:r>
        <w:rPr>
          <w:rFonts w:hint="eastAsia" w:hAnsi="宋体"/>
          <w:color w:val="000000"/>
          <w:lang w:eastAsia="zh-CN"/>
        </w:rPr>
        <w:t>（</w:t>
      </w:r>
      <w:r>
        <w:rPr>
          <w:rFonts w:hint="eastAsia" w:hAnsi="宋体"/>
          <w:color w:val="000000"/>
          <w:lang w:val="en-US" w:eastAsia="zh-CN"/>
        </w:rPr>
        <w:t>2</w:t>
      </w:r>
      <w:r>
        <w:rPr>
          <w:rFonts w:hint="eastAsia" w:hAnsi="宋体"/>
          <w:color w:val="000000"/>
          <w:lang w:eastAsia="zh-CN"/>
        </w:rPr>
        <w:t>）</w:t>
      </w:r>
      <w:r>
        <w:rPr>
          <w:rFonts w:hint="eastAsia" w:hAnsi="宋体"/>
          <w:color w:val="000000"/>
        </w:rPr>
        <w:t>本基金投资于股票、存托凭证、股票型基金、混合型基金等权益类资产及可转换债券、可交换债券的合计比例为基金资产的10%-20%（其中投资于境内股票资产（含A股股票型ETF）的比例不低于基金资产的10%）</w:t>
      </w:r>
      <w:r>
        <w:rPr>
          <w:rFonts w:hint="eastAsia" w:hAnsi="宋体"/>
          <w:color w:val="000000"/>
          <w:lang w:eastAsia="zh-CN"/>
        </w:rPr>
        <w:t>。</w:t>
      </w:r>
      <w:r>
        <w:rPr>
          <w:rFonts w:hint="eastAsia" w:hAnsi="宋体"/>
          <w:color w:val="000000"/>
        </w:rPr>
        <w:t>投资于港股通标的股票的比例不超过本基金股票资产的50%</w:t>
      </w:r>
      <w:r>
        <w:rPr>
          <w:rFonts w:hint="eastAsia" w:hAnsi="宋体"/>
          <w:color w:val="000000"/>
          <w:lang w:eastAsia="zh-CN"/>
        </w:rPr>
        <w:t>。</w:t>
      </w:r>
      <w:r>
        <w:rPr>
          <w:rFonts w:hint="eastAsia" w:hAnsi="宋体"/>
          <w:color w:val="000000"/>
        </w:rPr>
        <w:t>本基金投资于证券投资基金的资产不超过基金资产净值的10%</w:t>
      </w:r>
      <w:r>
        <w:rPr>
          <w:rFonts w:hint="eastAsia" w:hAnsi="宋体"/>
          <w:color w:val="000000"/>
          <w:lang w:eastAsia="zh-CN"/>
        </w:rPr>
        <w:t>。</w:t>
      </w:r>
      <w:r>
        <w:rPr>
          <w:rFonts w:hint="eastAsia" w:hAnsi="宋体"/>
          <w:color w:val="000000"/>
        </w:rPr>
        <w:t>在通常情况下本基金的预期风险水平及净值波动水平高于纯债基金。</w:t>
      </w:r>
    </w:p>
    <w:p>
      <w:pPr>
        <w:pStyle w:val="59"/>
        <w:spacing w:line="240" w:lineRule="auto"/>
        <w:ind w:firstLine="432"/>
        <w:rPr>
          <w:rFonts w:hint="eastAsia" w:hAnsi="宋体"/>
          <w:color w:val="000000"/>
        </w:rPr>
      </w:pPr>
      <w:r>
        <w:rPr>
          <w:rFonts w:hint="eastAsia" w:hAnsi="宋体"/>
          <w:color w:val="000000"/>
        </w:rPr>
        <w:t>（</w:t>
      </w:r>
      <w:r>
        <w:rPr>
          <w:rFonts w:hint="eastAsia" w:hAnsi="宋体"/>
          <w:color w:val="000000"/>
          <w:lang w:val="en-US" w:eastAsia="zh-CN"/>
        </w:rPr>
        <w:t>3</w:t>
      </w:r>
      <w:r>
        <w:rPr>
          <w:rFonts w:hint="eastAsia" w:hAnsi="宋体"/>
          <w:color w:val="000000"/>
        </w:rPr>
        <w:t>）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r>
    </w:p>
    <w:p>
      <w:pPr>
        <w:pStyle w:val="59"/>
        <w:spacing w:line="240" w:lineRule="auto"/>
        <w:ind w:firstLine="432"/>
        <w:rPr>
          <w:rFonts w:hint="eastAsia" w:hAnsi="宋体"/>
          <w:color w:val="000000"/>
        </w:rPr>
      </w:pPr>
      <w:r>
        <w:rPr>
          <w:rFonts w:hint="eastAsia" w:hAnsi="宋体"/>
          <w:color w:val="000000"/>
        </w:rPr>
        <w:t>（</w:t>
      </w:r>
      <w:r>
        <w:rPr>
          <w:rFonts w:hint="eastAsia" w:hAnsi="宋体"/>
          <w:color w:val="000000"/>
          <w:lang w:val="en-US" w:eastAsia="zh-CN"/>
        </w:rPr>
        <w:t>4</w:t>
      </w:r>
      <w:r>
        <w:rPr>
          <w:rFonts w:hint="eastAsia" w:hAnsi="宋体"/>
          <w:color w:val="000000"/>
        </w:rPr>
        <w:t>）本基金可投资国债期货，国债期货的风险主要包含市场风险、流动性风险、信用风险、合规性风险以及国债期货实物交割风险等。</w:t>
      </w:r>
    </w:p>
    <w:p>
      <w:pPr>
        <w:pStyle w:val="59"/>
        <w:spacing w:line="240" w:lineRule="auto"/>
        <w:ind w:firstLine="432"/>
        <w:rPr>
          <w:rFonts w:hint="eastAsia" w:hAnsi="宋体"/>
          <w:color w:val="000000"/>
        </w:rPr>
      </w:pPr>
      <w:r>
        <w:rPr>
          <w:rFonts w:hint="eastAsia" w:hAnsi="宋体"/>
          <w:color w:val="000000"/>
        </w:rPr>
        <w:t>（</w:t>
      </w:r>
      <w:r>
        <w:rPr>
          <w:rFonts w:hint="eastAsia" w:hAnsi="宋体"/>
          <w:color w:val="000000"/>
          <w:lang w:val="en-US" w:eastAsia="zh-CN"/>
        </w:rPr>
        <w:t>5</w:t>
      </w:r>
      <w:r>
        <w:rPr>
          <w:rFonts w:hint="eastAsia" w:hAnsi="宋体"/>
          <w:color w:val="000000"/>
        </w:rPr>
        <w:t>）本基金可投资资产支持证券，资产支持证券的风险主要包括信用风险、利率风险、流动性风险、提前偿付风险等。</w:t>
      </w:r>
    </w:p>
    <w:p>
      <w:pPr>
        <w:pStyle w:val="59"/>
        <w:spacing w:line="240" w:lineRule="auto"/>
        <w:ind w:firstLine="432"/>
        <w:rPr>
          <w:rFonts w:hint="eastAsia" w:hAnsi="宋体"/>
          <w:color w:val="000000"/>
        </w:rPr>
      </w:pPr>
      <w:r>
        <w:rPr>
          <w:rFonts w:hint="eastAsia" w:hAnsi="宋体"/>
          <w:color w:val="000000"/>
        </w:rPr>
        <w:t>（</w:t>
      </w:r>
      <w:r>
        <w:rPr>
          <w:rFonts w:hint="eastAsia" w:hAnsi="宋体"/>
          <w:color w:val="000000"/>
          <w:lang w:val="en-US" w:eastAsia="zh-CN"/>
        </w:rPr>
        <w:t>6</w:t>
      </w:r>
      <w:r>
        <w:rPr>
          <w:rFonts w:hint="eastAsia" w:hAnsi="宋体"/>
          <w:color w:val="000000"/>
        </w:rPr>
        <w:t>）本基金可投资存托凭证，除与其他仅投资于境内市场股票的基金所面临的共同风险外，本基金还将面临中国存托凭证价格大幅波动甚至出现较大亏损的风险，以及与中国存托凭证发行机制相关的风险等。</w:t>
      </w:r>
    </w:p>
    <w:p>
      <w:pPr>
        <w:pStyle w:val="59"/>
        <w:spacing w:line="240" w:lineRule="auto"/>
        <w:ind w:firstLine="432"/>
        <w:rPr>
          <w:rFonts w:hint="eastAsia" w:hAnsi="宋体"/>
          <w:color w:val="000000"/>
        </w:rPr>
      </w:pPr>
      <w:r>
        <w:rPr>
          <w:rFonts w:hint="eastAsia" w:hAnsi="宋体"/>
          <w:color w:val="000000"/>
        </w:rPr>
        <w:t>（</w:t>
      </w:r>
      <w:r>
        <w:rPr>
          <w:rFonts w:hint="eastAsia" w:hAnsi="宋体"/>
          <w:color w:val="000000"/>
          <w:lang w:val="en-US" w:eastAsia="zh-CN"/>
        </w:rPr>
        <w:t>7</w:t>
      </w:r>
      <w:r>
        <w:rPr>
          <w:rFonts w:hint="eastAsia" w:hAnsi="宋体"/>
          <w:color w:val="000000"/>
        </w:rPr>
        <w:t>）本基金除与其他投资于内地市场股票的基金所面临的共同风险外，本基金还面临港股通机制下因投资环境、投资者结构、投资标的构成、市场制度以及交易规则等差异所带来的特有风险。</w:t>
      </w:r>
    </w:p>
    <w:p>
      <w:pPr>
        <w:pStyle w:val="59"/>
        <w:spacing w:line="240" w:lineRule="auto"/>
        <w:ind w:firstLine="432"/>
        <w:rPr>
          <w:rFonts w:hint="eastAsia" w:hAnsi="宋体"/>
          <w:color w:val="000000"/>
        </w:rPr>
      </w:pPr>
      <w:r>
        <w:rPr>
          <w:rFonts w:hint="eastAsia" w:hAnsi="宋体"/>
          <w:color w:val="000000"/>
        </w:rPr>
        <w:t>（</w:t>
      </w:r>
      <w:r>
        <w:rPr>
          <w:rFonts w:hint="eastAsia" w:hAnsi="宋体"/>
          <w:color w:val="000000"/>
          <w:lang w:val="en-US" w:eastAsia="zh-CN"/>
        </w:rPr>
        <w:t>8</w:t>
      </w:r>
      <w:r>
        <w:rPr>
          <w:rFonts w:hint="eastAsia" w:hAnsi="宋体"/>
          <w:color w:val="000000"/>
        </w:rPr>
        <w:t>）本基金可投资其他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pPr>
        <w:pStyle w:val="59"/>
        <w:spacing w:line="240" w:lineRule="auto"/>
        <w:ind w:firstLine="432"/>
        <w:rPr>
          <w:rFonts w:hint="eastAsia" w:hAnsi="宋体"/>
          <w:color w:val="000000"/>
        </w:rPr>
      </w:pPr>
      <w:r>
        <w:rPr>
          <w:rFonts w:hint="eastAsia" w:hAnsi="宋体"/>
          <w:color w:val="000000"/>
        </w:rPr>
        <w:t>（</w:t>
      </w:r>
      <w:r>
        <w:rPr>
          <w:rFonts w:hint="eastAsia" w:hAnsi="宋体"/>
          <w:color w:val="000000"/>
          <w:lang w:val="en-US" w:eastAsia="zh-CN"/>
        </w:rPr>
        <w:t>9</w:t>
      </w:r>
      <w:r>
        <w:rPr>
          <w:rFonts w:hint="eastAsia" w:hAnsi="宋体"/>
          <w:color w:val="000000"/>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pPr>
        <w:spacing w:line="240" w:lineRule="auto"/>
        <w:ind w:firstLine="420" w:firstLineChars="200"/>
        <w:jc w:val="left"/>
        <w:rPr>
          <w:rFonts w:hint="eastAsia" w:ascii="宋体" w:hAnsi="宋体" w:cs="宋体"/>
        </w:rPr>
      </w:pPr>
      <w:r>
        <w:rPr>
          <w:rFonts w:hint="eastAsia" w:ascii="宋体" w:hAnsi="宋体" w:cs="宋体"/>
          <w:color w:val="000000"/>
        </w:rPr>
        <w:t>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Pr>
        <w:spacing w:line="240" w:lineRule="auto"/>
        <w:rPr>
          <w:rFonts w:hint="eastAsia" w:ascii="宋体" w:hAnsi="宋体" w:cs="宋体"/>
        </w:rPr>
      </w:pPr>
    </w:p>
    <w:p>
      <w:pPr>
        <w:pStyle w:val="58"/>
        <w:rPr>
          <w:rFonts w:hint="eastAsia" w:ascii="宋体" w:hAnsi="宋体" w:cs="宋体"/>
        </w:rPr>
      </w:pPr>
      <w:r>
        <w:rPr>
          <w:rFonts w:ascii="宋体" w:hAnsi="宋体" w:eastAsia="宋体" w:cs="宋体"/>
          <w:b/>
        </w:rPr>
        <w:t>（二）重要提示</w:t>
      </w:r>
    </w:p>
    <w:p>
      <w:pPr>
        <w:pStyle w:val="59"/>
        <w:spacing w:before="0" w:line="240" w:lineRule="auto"/>
        <w:ind w:left="0" w:firstLine="432"/>
        <w:rPr>
          <w:rFonts w:hint="eastAsia" w:hAnsi="宋体"/>
          <w:color w:val="000000"/>
        </w:rPr>
      </w:pPr>
      <w:r>
        <w:rPr>
          <w:rFonts w:hint="eastAsia" w:hAnsi="宋体"/>
          <w:color w:val="000000"/>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pPr>
        <w:pStyle w:val="59"/>
        <w:spacing w:before="0" w:line="240" w:lineRule="auto"/>
        <w:ind w:left="0" w:firstLine="432"/>
        <w:rPr>
          <w:rFonts w:hint="eastAsia" w:hAnsi="宋体"/>
          <w:color w:val="000000"/>
        </w:rPr>
      </w:pPr>
      <w:r>
        <w:rPr>
          <w:rFonts w:hint="eastAsia" w:hAnsi="宋体"/>
          <w:color w:val="000000"/>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pStyle w:val="59"/>
        <w:spacing w:before="0" w:line="240" w:lineRule="auto"/>
        <w:ind w:left="0" w:firstLine="432"/>
        <w:rPr>
          <w:rFonts w:hint="eastAsia" w:hAnsi="宋体"/>
          <w:b/>
          <w:bCs/>
          <w:color w:val="000000"/>
        </w:rPr>
      </w:pPr>
      <w:bookmarkStart w:id="0" w:name="_GoBack"/>
      <w:r>
        <w:rPr>
          <w:rFonts w:hint="eastAsia" w:hAnsi="宋体"/>
          <w:b/>
          <w:bCs/>
          <w:color w:val="000000"/>
        </w:rPr>
        <w:t>因《基金合同》而产生的或与《基金合同》有关的一切争议，应友好协商解决；如经友好协商未能解决的，则任何一方应当按《基金合同》的约定提交仲裁。详情见本基金《基金合同》第二十一部分“争议的处理和适用的法律”。</w:t>
      </w:r>
    </w:p>
    <w:bookmarkEnd w:id="0"/>
    <w:p>
      <w:pPr>
        <w:jc w:val="left"/>
        <w:rPr>
          <w:rFonts w:hint="eastAsia" w:ascii="宋体" w:hAnsi="宋体" w:cs="宋体"/>
        </w:rPr>
      </w:pPr>
    </w:p>
    <w:p>
      <w:pPr>
        <w:rPr>
          <w:rFonts w:hint="eastAsia" w:ascii="宋体" w:hAnsi="宋体" w:cs="宋体"/>
        </w:rPr>
      </w:pPr>
    </w:p>
    <w:p>
      <w:pPr>
        <w:pStyle w:val="3"/>
        <w:jc w:val="left"/>
        <w:rPr>
          <w:rFonts w:hint="eastAsia" w:ascii="宋体" w:hAnsi="宋体" w:cs="宋体"/>
        </w:rPr>
      </w:pPr>
      <w:r>
        <w:rPr>
          <w:rFonts w:ascii="宋体" w:hAnsi="宋体" w:eastAsia="宋体" w:cs="宋体"/>
        </w:rPr>
        <w:t>五、其他资料查询方式</w:t>
      </w:r>
    </w:p>
    <w:p>
      <w:pPr>
        <w:jc w:val="left"/>
        <w:rPr>
          <w:rFonts w:hint="eastAsia" w:ascii="宋体" w:hAnsi="宋体" w:cs="宋体"/>
        </w:rPr>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Pr>
        <w:rPr>
          <w:rFonts w:hint="eastAsia" w:ascii="宋体" w:hAnsi="宋体" w:cs="宋体"/>
        </w:rPr>
      </w:pPr>
    </w:p>
    <w:p>
      <w:pPr>
        <w:pStyle w:val="3"/>
        <w:jc w:val="left"/>
        <w:rPr>
          <w:rFonts w:hint="eastAsia" w:ascii="宋体" w:hAnsi="宋体" w:cs="宋体"/>
        </w:rPr>
      </w:pPr>
      <w:r>
        <w:rPr>
          <w:rFonts w:ascii="宋体" w:hAnsi="宋体" w:eastAsia="宋体" w:cs="宋体"/>
        </w:rPr>
        <w:t>六、其他情况说明</w:t>
      </w:r>
    </w:p>
    <w:p>
      <w:pPr>
        <w:jc w:val="left"/>
        <w:rPr>
          <w:rFonts w:hint="eastAsia" w:ascii="宋体" w:hAnsi="宋体" w:cs="宋体"/>
        </w:rPr>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东方阿尔法增利债券型发起式证券投资基金(C类份额)基金产品资料概要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9213562"/>
    <w:rsid w:val="1551776E"/>
    <w:rsid w:val="17FF4F08"/>
    <w:rsid w:val="18C159B5"/>
    <w:rsid w:val="22A74E48"/>
    <w:rsid w:val="237C6836"/>
    <w:rsid w:val="312016A7"/>
    <w:rsid w:val="328572ED"/>
    <w:rsid w:val="3E9A1429"/>
    <w:rsid w:val="3F795282"/>
    <w:rsid w:val="42F96E72"/>
    <w:rsid w:val="463B3722"/>
    <w:rsid w:val="49B16F8D"/>
    <w:rsid w:val="5EE34946"/>
    <w:rsid w:val="62671060"/>
    <w:rsid w:val="67517C74"/>
    <w:rsid w:val="6C715681"/>
    <w:rsid w:val="721B05FF"/>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 w:type="paragraph" w:customStyle="1" w:styleId="59">
    <w:name w:val="wenzishuom"/>
    <w:basedOn w:val="1"/>
    <w:qFormat/>
    <w:uiPriority w:val="0"/>
    <w:pPr>
      <w:widowControl/>
      <w:autoSpaceDE w:val="0"/>
      <w:autoSpaceDN w:val="0"/>
      <w:adjustRightInd w:val="0"/>
      <w:spacing w:before="29" w:line="288" w:lineRule="auto"/>
      <w:ind w:left="15"/>
    </w:pPr>
    <w:rPr>
      <w:rFonts w:ascii="宋体" w:hAnsi="宋体" w:eastAsia="宋体" w:cs="宋体"/>
      <w:kern w:val="0"/>
      <w:szCs w:val="21"/>
    </w:rPr>
  </w:style>
  <w:style w:type="paragraph" w:customStyle="1" w:styleId="60">
    <w:name w:val="neirong"/>
    <w:basedOn w:val="1"/>
    <w:qFormat/>
    <w:uiPriority w:val="0"/>
    <w:pPr>
      <w:widowControl/>
      <w:autoSpaceDE w:val="0"/>
      <w:autoSpaceDN w:val="0"/>
      <w:adjustRightInd w:val="0"/>
      <w:spacing w:before="29" w:line="288" w:lineRule="auto"/>
      <w:ind w:left="15"/>
      <w:jc w:val="left"/>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4225</Words>
  <Characters>4385</Characters>
  <Lines>1</Lines>
  <Paragraphs>1</Paragraphs>
  <TotalTime>10</TotalTime>
  <ScaleCrop>false</ScaleCrop>
  <LinksUpToDate>false</LinksUpToDate>
  <CharactersWithSpaces>4422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2026-05-25T05:18:24Z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0D97020DD83C4DF6B0917487D326F62D_12</vt:lpwstr>
  </property>
</Properties>
</file>