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东方阿尔法招阳混合型证券投资基金（E类份额）基金产品资料概要更新</w:t>
      </w:r>
    </w:p>
    <w:p>
      <w:pPr>
        <w:jc w:val="right"/>
      </w:pPr>
      <w:r>
        <w:rPr>
          <w:rFonts w:ascii="宋体" w:hAnsi="宋体" w:eastAsia="宋体" w:cs="宋体"/>
          <w:b w:val="0"/>
        </w:rPr>
        <w:t>编制日期：2026年06月</w:t>
      </w:r>
      <w:r>
        <w:rPr>
          <w:rFonts w:hint="eastAsia" w:ascii="宋体" w:hAnsi="宋体" w:cs="宋体"/>
          <w:b w:val="0"/>
          <w:lang w:val="en-US" w:eastAsia="zh-CN"/>
        </w:rPr>
        <w:t>12</w:t>
      </w:r>
      <w:r>
        <w:rPr>
          <w:rFonts w:ascii="宋体" w:hAnsi="宋体" w:eastAsia="宋体" w:cs="宋体"/>
          <w:b w:val="0"/>
        </w:rPr>
        <w:t>日</w:t>
      </w:r>
    </w:p>
    <w:p>
      <w:pPr>
        <w:jc w:val="center"/>
      </w:pPr>
      <w:r>
        <w:rPr>
          <w:rFonts w:ascii="宋体" w:hAnsi="宋体" w:eastAsia="宋体" w:cs="宋体"/>
          <w:b w:val="0"/>
        </w:rPr>
        <w:t>送出日期：2026年06月</w:t>
      </w:r>
      <w:r>
        <w:rPr>
          <w:rFonts w:hint="eastAsia" w:ascii="宋体" w:hAnsi="宋体" w:cs="宋体"/>
          <w:b w:val="0"/>
          <w:lang w:val="en-US" w:eastAsia="zh-CN"/>
        </w:rPr>
        <w:t>13</w:t>
      </w:r>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东方阿尔法招阳混合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011184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基金简称E</w:t>
            </w:r>
          </w:p>
        </w:tc>
        <w:tc>
          <w:tcPr>
            <w:tcW w:w="0" w:type="dxa"/>
            <w:vAlign w:val="center"/>
          </w:tcPr>
          <w:p>
            <w:pPr>
              <w:spacing w:line="240" w:lineRule="auto"/>
              <w:jc w:val="left"/>
            </w:pPr>
            <w:r>
              <w:rPr>
                <w:rFonts w:ascii="宋体" w:hAnsi="宋体" w:eastAsia="宋体" w:cs="宋体"/>
                <w:b w:val="0"/>
              </w:rPr>
              <w:t>东方阿尔法招阳混合E</w:t>
            </w:r>
          </w:p>
        </w:tc>
        <w:tc>
          <w:tcPr>
            <w:tcW w:w="0" w:type="dxa"/>
            <w:vAlign w:val="center"/>
          </w:tcPr>
          <w:p>
            <w:pPr>
              <w:spacing w:line="240" w:lineRule="auto"/>
              <w:jc w:val="left"/>
            </w:pPr>
            <w:r>
              <w:rPr>
                <w:rFonts w:ascii="宋体" w:hAnsi="宋体" w:eastAsia="宋体" w:cs="宋体"/>
                <w:b/>
              </w:rPr>
              <w:t>基金代码E</w:t>
            </w:r>
          </w:p>
        </w:tc>
        <w:tc>
          <w:tcPr>
            <w:tcW w:w="0" w:type="dxa"/>
            <w:vAlign w:val="center"/>
          </w:tcPr>
          <w:p>
            <w:pPr>
              <w:spacing w:line="240" w:lineRule="auto"/>
              <w:jc w:val="left"/>
            </w:pPr>
            <w:r>
              <w:rPr>
                <w:rFonts w:ascii="宋体" w:hAnsi="宋体" w:eastAsia="宋体" w:cs="宋体"/>
                <w:b w:val="0"/>
              </w:rPr>
              <w:t>017889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2021年03月17日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2026年06月04日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r>
        <w:rPr>
          <w:rFonts w:ascii="宋体" w:hAnsi="宋体" w:eastAsia="宋体" w:cs="宋体"/>
          <w:b w:val="0"/>
        </w:rPr>
        <w:t>注：1、《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r>
        <w:rPr>
          <w:rFonts w:ascii="宋体" w:hAnsi="宋体" w:eastAsia="宋体" w:cs="宋体"/>
          <w:b w:val="0"/>
        </w:rPr>
        <w:br w:type="textWrapping"/>
      </w:r>
      <w:r>
        <w:rPr>
          <w:rFonts w:ascii="宋体" w:hAnsi="宋体" w:eastAsia="宋体" w:cs="宋体"/>
          <w:b w:val="0"/>
        </w:rPr>
        <w:t>2、本基金自2023年5月10日起增设E类份额，并开通E类份额申购、赎回、转换、定期定额投资业务。</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详见《东方阿尔法招阳混合型证券投资基金招募说明书》第九部分“基金的投资”。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本基金为混合型基金，其预期风险和预期收益高于债券型基金、货币市场基金。本基金如果投资港股通标的股票，需承担汇率风险以及境外市场的风险。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E类份额无申购费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0天&lt;N&lt;7天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销售服务费E类</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1.95%</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（4）本基金的投资范围包括存托凭证，如果投资，可能面临存托凭证价格大幅波动甚至出现较大亏损的风险，以及与创新企业发行人、境外发行人、存托凭证发行机制和交易机制等相关的风险。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东方阿尔法招阳混合型证券投资基金（E类份额）基金产品资料概要更新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C290D35"/>
    <w:rsid w:val="17FF4F08"/>
    <w:rsid w:val="312016A7"/>
    <w:rsid w:val="328572ED"/>
    <w:rsid w:val="3E9A1429"/>
    <w:rsid w:val="4A483332"/>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2026-06-12T01:00:44Z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