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bookmarkStart w:id="1" w:name="_GoBack"/>
      <w:bookmarkEnd w:id="1"/>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东方阿尔法科技甄选混合型发起式证券投资基金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2026年第2季度报告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2026年06月30日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2026年07月15日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基金托管人招商银行股份有限公司根据本基金合同规定，于2026年07月14日复核了本报告中的财务指标、净值表现和投资组合报告等内容，保证复核内容不存在虚假记载、误导性陈述或者重大遗漏。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本报告期自2026年04月01日起至2026年06月30日止。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东方阿尔法科技甄选混合发起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025792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2025年10月30日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732,159,524.73份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本基金主要投资科技主题相关的上市公司股票，采用积极主动的投资策略，在有效控制投资组合风险的前提下，力争获取超越业绩比较基准的投资回报，实现基金资产的长期稳健增值。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本基金通过定性与定量相结合的积极投资策略，自下而上地精选价值被低估并且具有良好基本面的符合科技主题的股票构建投资组合。</w:t>
            </w:r>
            <w:r>
              <w:rPr>
                <w:rFonts w:ascii="宋体" w:hAnsi="宋体" w:eastAsia="宋体" w:cs="宋体"/>
                <w:b w:val="0"/>
              </w:rPr>
              <w:br w:type="textWrapping"/>
            </w:r>
            <w:r>
              <w:rPr>
                <w:rFonts w:ascii="宋体" w:hAnsi="宋体" w:eastAsia="宋体" w:cs="宋体"/>
                <w:b w:val="0"/>
              </w:rPr>
              <w:t>3、存托凭证投资策略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5、港股投资策略 </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8、融资业务投资策略</w:t>
            </w:r>
            <w:r>
              <w:rPr>
                <w:rFonts w:ascii="宋体" w:hAnsi="宋体" w:eastAsia="宋体" w:cs="宋体"/>
                <w:b w:val="0"/>
              </w:rPr>
              <w:br w:type="textWrapping"/>
            </w:r>
            <w:r>
              <w:rPr>
                <w:rFonts w:ascii="宋体" w:hAnsi="宋体" w:eastAsia="宋体" w:cs="宋体"/>
                <w:b w:val="0"/>
              </w:rPr>
              <w:t>本基金如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9、股票期权投资策略</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10、国债期货投资策略</w:t>
            </w:r>
            <w:r>
              <w:rPr>
                <w:rFonts w:ascii="宋体" w:hAnsi="宋体" w:eastAsia="宋体" w:cs="宋体"/>
                <w:b w:val="0"/>
              </w:rPr>
              <w:br w:type="textWrapping"/>
            </w:r>
            <w:r>
              <w:rPr>
                <w:rFonts w:ascii="宋体" w:hAnsi="宋体" w:eastAsia="宋体" w:cs="宋体"/>
                <w:b w:val="0"/>
              </w:rPr>
              <w:t>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东方阿尔法科技甄选混合发起A</w:t>
            </w:r>
          </w:p>
        </w:tc>
        <w:tc>
          <w:tcPr>
            <w:tcW w:w="1500" w:type="pct"/>
            <w:vAlign w:val="center"/>
          </w:tcPr>
          <w:p>
            <w:pPr>
              <w:spacing w:line="240" w:lineRule="auto"/>
              <w:jc w:val="left"/>
            </w:pPr>
            <w:r>
              <w:rPr>
                <w:rFonts w:ascii="宋体" w:hAnsi="宋体" w:eastAsia="宋体" w:cs="宋体"/>
                <w:b w:val="0"/>
              </w:rPr>
              <w:t>东方阿尔法科技甄选混合发起C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025792</w:t>
            </w:r>
          </w:p>
        </w:tc>
        <w:tc>
          <w:tcPr>
            <w:tcW w:w="1500" w:type="pct"/>
            <w:vAlign w:val="center"/>
          </w:tcPr>
          <w:p>
            <w:pPr>
              <w:spacing w:line="240" w:lineRule="auto"/>
              <w:jc w:val="left"/>
            </w:pPr>
            <w:r>
              <w:rPr>
                <w:rFonts w:ascii="宋体" w:hAnsi="宋体" w:eastAsia="宋体" w:cs="宋体"/>
                <w:b w:val="0"/>
              </w:rPr>
              <w:t>025793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21,981,743.96份</w:t>
            </w:r>
          </w:p>
        </w:tc>
        <w:tc>
          <w:tcPr>
            <w:tcW w:w="1500" w:type="pct"/>
            <w:vAlign w:val="center"/>
          </w:tcPr>
          <w:p>
            <w:pPr>
              <w:spacing w:line="240" w:lineRule="auto"/>
              <w:jc w:val="left"/>
            </w:pPr>
            <w:r>
              <w:rPr>
                <w:rFonts w:ascii="宋体" w:hAnsi="宋体" w:eastAsia="宋体" w:cs="宋体"/>
                <w:b w:val="0"/>
              </w:rPr>
              <w:t>710,177,780.77份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报告期（2026年04月01日-2026年06月30日）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东方阿尔法科技甄选混合发起A</w:t>
            </w:r>
          </w:p>
        </w:tc>
        <w:tc>
          <w:tcPr>
            <w:tcW w:w="1500" w:type="pct"/>
            <w:shd w:val="clear" w:color="auto" w:fill="D9D9D9"/>
            <w:vAlign w:val="center"/>
          </w:tcPr>
          <w:p>
            <w:pPr>
              <w:spacing w:line="240" w:lineRule="auto"/>
              <w:jc w:val="center"/>
            </w:pPr>
            <w:r>
              <w:rPr>
                <w:rFonts w:ascii="宋体" w:hAnsi="宋体" w:eastAsia="宋体" w:cs="宋体"/>
                <w:b w:val="0"/>
              </w:rPr>
              <w:t>东方阿尔法科技甄选混合发起C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-1,227,501.73</w:t>
            </w:r>
          </w:p>
        </w:tc>
        <w:tc>
          <w:tcPr>
            <w:tcW w:w="1500" w:type="pct"/>
            <w:vAlign w:val="center"/>
          </w:tcPr>
          <w:p>
            <w:pPr>
              <w:spacing w:line="240" w:lineRule="auto"/>
              <w:jc w:val="right"/>
            </w:pPr>
            <w:r>
              <w:rPr>
                <w:rFonts w:ascii="宋体" w:hAnsi="宋体" w:eastAsia="宋体" w:cs="宋体"/>
                <w:b w:val="0"/>
              </w:rPr>
              <w:t>730,186.13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11,084,178.86</w:t>
            </w:r>
          </w:p>
        </w:tc>
        <w:tc>
          <w:tcPr>
            <w:tcW w:w="1500" w:type="pct"/>
            <w:vAlign w:val="center"/>
          </w:tcPr>
          <w:p>
            <w:pPr>
              <w:spacing w:line="240" w:lineRule="auto"/>
              <w:jc w:val="right"/>
            </w:pPr>
            <w:r>
              <w:rPr>
                <w:rFonts w:ascii="宋体" w:hAnsi="宋体" w:eastAsia="宋体" w:cs="宋体"/>
                <w:b w:val="0"/>
              </w:rPr>
              <w:t>129,561,927.21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0.5441</w:t>
            </w:r>
          </w:p>
        </w:tc>
        <w:tc>
          <w:tcPr>
            <w:tcW w:w="1500" w:type="pct"/>
            <w:vAlign w:val="center"/>
          </w:tcPr>
          <w:p>
            <w:pPr>
              <w:spacing w:line="240" w:lineRule="auto"/>
              <w:jc w:val="right"/>
            </w:pPr>
            <w:r>
              <w:rPr>
                <w:rFonts w:ascii="宋体" w:hAnsi="宋体" w:eastAsia="宋体" w:cs="宋体"/>
                <w:b w:val="0"/>
              </w:rPr>
              <w:t>0.8629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40,461,369.73</w:t>
            </w:r>
          </w:p>
        </w:tc>
        <w:tc>
          <w:tcPr>
            <w:tcW w:w="1500" w:type="pct"/>
            <w:vAlign w:val="center"/>
          </w:tcPr>
          <w:p>
            <w:pPr>
              <w:spacing w:line="240" w:lineRule="auto"/>
              <w:jc w:val="right"/>
            </w:pPr>
            <w:r>
              <w:rPr>
                <w:rFonts w:ascii="宋体" w:hAnsi="宋体" w:eastAsia="宋体" w:cs="宋体"/>
                <w:b w:val="0"/>
              </w:rPr>
              <w:t>1,304,280,191.33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1.8407</w:t>
            </w:r>
          </w:p>
        </w:tc>
        <w:tc>
          <w:tcPr>
            <w:tcW w:w="1500" w:type="pct"/>
            <w:vAlign w:val="center"/>
          </w:tcPr>
          <w:p>
            <w:pPr>
              <w:spacing w:line="240" w:lineRule="auto"/>
              <w:jc w:val="right"/>
            </w:pPr>
            <w:r>
              <w:rPr>
                <w:rFonts w:ascii="宋体" w:hAnsi="宋体" w:eastAsia="宋体" w:cs="宋体"/>
                <w:b w:val="0"/>
              </w:rPr>
              <w:t>1.8366</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东方阿尔法科技甄选混合发起A净值表现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42.34%</w:t>
            </w:r>
          </w:p>
        </w:tc>
        <w:tc>
          <w:tcPr>
            <w:tcW w:w="0" w:type="dxa"/>
            <w:vAlign w:val="center"/>
          </w:tcPr>
          <w:p>
            <w:pPr>
              <w:spacing w:line="240" w:lineRule="auto"/>
              <w:jc w:val="right"/>
            </w:pPr>
            <w:r>
              <w:rPr>
                <w:rFonts w:ascii="宋体" w:hAnsi="宋体" w:eastAsia="宋体" w:cs="宋体"/>
                <w:b w:val="0"/>
              </w:rPr>
              <w:t>3.22%</w:t>
            </w:r>
          </w:p>
        </w:tc>
        <w:tc>
          <w:tcPr>
            <w:tcW w:w="0" w:type="dxa"/>
            <w:vAlign w:val="center"/>
          </w:tcPr>
          <w:p>
            <w:pPr>
              <w:spacing w:line="240" w:lineRule="auto"/>
              <w:jc w:val="right"/>
            </w:pPr>
            <w:r>
              <w:rPr>
                <w:rFonts w:ascii="宋体" w:hAnsi="宋体" w:eastAsia="宋体" w:cs="宋体"/>
                <w:b w:val="0"/>
              </w:rPr>
              <w:t>40.40%</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1.94%</w:t>
            </w:r>
          </w:p>
        </w:tc>
        <w:tc>
          <w:tcPr>
            <w:tcW w:w="0" w:type="dxa"/>
            <w:vAlign w:val="center"/>
          </w:tcPr>
          <w:p>
            <w:pPr>
              <w:spacing w:line="240" w:lineRule="auto"/>
              <w:jc w:val="right"/>
            </w:pPr>
            <w:r>
              <w:rPr>
                <w:rFonts w:ascii="宋体" w:hAnsi="宋体" w:eastAsia="宋体" w:cs="宋体"/>
                <w:b w:val="0"/>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66.58%</w:t>
            </w:r>
          </w:p>
        </w:tc>
        <w:tc>
          <w:tcPr>
            <w:tcW w:w="0" w:type="dxa"/>
            <w:vAlign w:val="center"/>
          </w:tcPr>
          <w:p>
            <w:pPr>
              <w:spacing w:line="240" w:lineRule="auto"/>
              <w:jc w:val="right"/>
            </w:pPr>
            <w:r>
              <w:rPr>
                <w:rFonts w:ascii="宋体" w:hAnsi="宋体" w:eastAsia="宋体" w:cs="宋体"/>
                <w:b w:val="0"/>
              </w:rPr>
              <w:t>2.89%</w:t>
            </w:r>
          </w:p>
        </w:tc>
        <w:tc>
          <w:tcPr>
            <w:tcW w:w="0" w:type="dxa"/>
            <w:vAlign w:val="center"/>
          </w:tcPr>
          <w:p>
            <w:pPr>
              <w:spacing w:line="240" w:lineRule="auto"/>
              <w:jc w:val="right"/>
            </w:pPr>
            <w:r>
              <w:rPr>
                <w:rFonts w:ascii="宋体" w:hAnsi="宋体" w:eastAsia="宋体" w:cs="宋体"/>
                <w:b w:val="0"/>
              </w:rPr>
              <w:t>34.06%</w:t>
            </w:r>
          </w:p>
        </w:tc>
        <w:tc>
          <w:tcPr>
            <w:tcW w:w="0" w:type="dxa"/>
            <w:vAlign w:val="center"/>
          </w:tcPr>
          <w:p>
            <w:pPr>
              <w:spacing w:line="240" w:lineRule="auto"/>
              <w:jc w:val="right"/>
            </w:pPr>
            <w:r>
              <w:rPr>
                <w:rFonts w:ascii="宋体" w:hAnsi="宋体" w:eastAsia="宋体" w:cs="宋体"/>
                <w:b w:val="0"/>
              </w:rPr>
              <w:t>1.57%</w:t>
            </w:r>
          </w:p>
        </w:tc>
        <w:tc>
          <w:tcPr>
            <w:tcW w:w="0" w:type="dxa"/>
            <w:vAlign w:val="center"/>
          </w:tcPr>
          <w:p>
            <w:pPr>
              <w:spacing w:line="240" w:lineRule="auto"/>
              <w:jc w:val="right"/>
            </w:pPr>
            <w:r>
              <w:rPr>
                <w:rFonts w:ascii="宋体" w:hAnsi="宋体" w:eastAsia="宋体" w:cs="宋体"/>
                <w:b w:val="0"/>
              </w:rPr>
              <w:t>32.52%</w:t>
            </w:r>
          </w:p>
        </w:tc>
        <w:tc>
          <w:tcPr>
            <w:tcW w:w="0" w:type="dxa"/>
            <w:vAlign w:val="center"/>
          </w:tcPr>
          <w:p>
            <w:pPr>
              <w:spacing w:line="240" w:lineRule="auto"/>
              <w:jc w:val="right"/>
            </w:pPr>
            <w:r>
              <w:rPr>
                <w:rFonts w:ascii="宋体" w:hAnsi="宋体" w:eastAsia="宋体" w:cs="宋体"/>
                <w:b w:val="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84.07%</w:t>
            </w:r>
          </w:p>
        </w:tc>
        <w:tc>
          <w:tcPr>
            <w:tcW w:w="0" w:type="dxa"/>
            <w:vAlign w:val="center"/>
          </w:tcPr>
          <w:p>
            <w:pPr>
              <w:spacing w:line="240" w:lineRule="auto"/>
              <w:jc w:val="right"/>
            </w:pPr>
            <w:r>
              <w:rPr>
                <w:rFonts w:ascii="宋体" w:hAnsi="宋体" w:eastAsia="宋体" w:cs="宋体"/>
                <w:b w:val="0"/>
              </w:rPr>
              <w:t>2.80%</w:t>
            </w:r>
          </w:p>
        </w:tc>
        <w:tc>
          <w:tcPr>
            <w:tcW w:w="0" w:type="dxa"/>
            <w:vAlign w:val="center"/>
          </w:tcPr>
          <w:p>
            <w:pPr>
              <w:spacing w:line="240" w:lineRule="auto"/>
              <w:jc w:val="right"/>
            </w:pPr>
            <w:r>
              <w:rPr>
                <w:rFonts w:ascii="宋体" w:hAnsi="宋体" w:eastAsia="宋体" w:cs="宋体"/>
                <w:b w:val="0"/>
              </w:rPr>
              <w:t>28.75%</w:t>
            </w:r>
          </w:p>
        </w:tc>
        <w:tc>
          <w:tcPr>
            <w:tcW w:w="0" w:type="dxa"/>
            <w:vAlign w:val="center"/>
          </w:tcPr>
          <w:p>
            <w:pPr>
              <w:spacing w:line="240" w:lineRule="auto"/>
              <w:jc w:val="right"/>
            </w:pPr>
            <w:r>
              <w:rPr>
                <w:rFonts w:ascii="宋体" w:hAnsi="宋体" w:eastAsia="宋体" w:cs="宋体"/>
                <w:b w:val="0"/>
              </w:rPr>
              <w:t>1.51%</w:t>
            </w:r>
          </w:p>
        </w:tc>
        <w:tc>
          <w:tcPr>
            <w:tcW w:w="0" w:type="dxa"/>
            <w:vAlign w:val="center"/>
          </w:tcPr>
          <w:p>
            <w:pPr>
              <w:spacing w:line="240" w:lineRule="auto"/>
              <w:jc w:val="right"/>
            </w:pPr>
            <w:r>
              <w:rPr>
                <w:rFonts w:ascii="宋体" w:hAnsi="宋体" w:eastAsia="宋体" w:cs="宋体"/>
                <w:b w:val="0"/>
              </w:rPr>
              <w:t>55.32%</w:t>
            </w:r>
          </w:p>
        </w:tc>
        <w:tc>
          <w:tcPr>
            <w:tcW w:w="0" w:type="dxa"/>
            <w:vAlign w:val="center"/>
          </w:tcPr>
          <w:p>
            <w:pPr>
              <w:spacing w:line="240" w:lineRule="auto"/>
              <w:jc w:val="right"/>
            </w:pPr>
            <w:r>
              <w:rPr>
                <w:rFonts w:ascii="宋体" w:hAnsi="宋体" w:eastAsia="宋体" w:cs="宋体"/>
                <w:b w:val="0"/>
              </w:rPr>
              <w:t>1.29%</w:t>
            </w:r>
          </w:p>
        </w:tc>
      </w:tr>
    </w:tbl>
    <w:p>
      <w:pPr>
        <w:jc w:val="left"/>
      </w:pPr>
      <w:r>
        <w:rPr>
          <w:rFonts w:ascii="宋体" w:hAnsi="宋体" w:eastAsia="宋体" w:cs="宋体"/>
          <w:b/>
        </w:rPr>
        <w:t>东方阿尔法科技甄选混合发起C净值表现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42.23%</w:t>
            </w:r>
          </w:p>
        </w:tc>
        <w:tc>
          <w:tcPr>
            <w:tcW w:w="0" w:type="dxa"/>
            <w:vAlign w:val="center"/>
          </w:tcPr>
          <w:p>
            <w:pPr>
              <w:spacing w:line="240" w:lineRule="auto"/>
              <w:jc w:val="right"/>
            </w:pPr>
            <w:r>
              <w:rPr>
                <w:rFonts w:ascii="宋体" w:hAnsi="宋体" w:eastAsia="宋体" w:cs="宋体"/>
                <w:b w:val="0"/>
              </w:rPr>
              <w:t>3.22%</w:t>
            </w:r>
          </w:p>
        </w:tc>
        <w:tc>
          <w:tcPr>
            <w:tcW w:w="0" w:type="dxa"/>
            <w:vAlign w:val="center"/>
          </w:tcPr>
          <w:p>
            <w:pPr>
              <w:spacing w:line="240" w:lineRule="auto"/>
              <w:jc w:val="right"/>
            </w:pPr>
            <w:r>
              <w:rPr>
                <w:rFonts w:ascii="宋体" w:hAnsi="宋体" w:eastAsia="宋体" w:cs="宋体"/>
                <w:b w:val="0"/>
              </w:rPr>
              <w:t>40.40%</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1.83%</w:t>
            </w:r>
          </w:p>
        </w:tc>
        <w:tc>
          <w:tcPr>
            <w:tcW w:w="0" w:type="dxa"/>
            <w:vAlign w:val="center"/>
          </w:tcPr>
          <w:p>
            <w:pPr>
              <w:spacing w:line="240" w:lineRule="auto"/>
              <w:jc w:val="right"/>
            </w:pPr>
            <w:r>
              <w:rPr>
                <w:rFonts w:ascii="宋体" w:hAnsi="宋体" w:eastAsia="宋体" w:cs="宋体"/>
                <w:b w:val="0"/>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66.27%</w:t>
            </w:r>
          </w:p>
        </w:tc>
        <w:tc>
          <w:tcPr>
            <w:tcW w:w="0" w:type="dxa"/>
            <w:vAlign w:val="center"/>
          </w:tcPr>
          <w:p>
            <w:pPr>
              <w:spacing w:line="240" w:lineRule="auto"/>
              <w:jc w:val="right"/>
            </w:pPr>
            <w:r>
              <w:rPr>
                <w:rFonts w:ascii="宋体" w:hAnsi="宋体" w:eastAsia="宋体" w:cs="宋体"/>
                <w:b w:val="0"/>
              </w:rPr>
              <w:t>2.89%</w:t>
            </w:r>
          </w:p>
        </w:tc>
        <w:tc>
          <w:tcPr>
            <w:tcW w:w="0" w:type="dxa"/>
            <w:vAlign w:val="center"/>
          </w:tcPr>
          <w:p>
            <w:pPr>
              <w:spacing w:line="240" w:lineRule="auto"/>
              <w:jc w:val="right"/>
            </w:pPr>
            <w:r>
              <w:rPr>
                <w:rFonts w:ascii="宋体" w:hAnsi="宋体" w:eastAsia="宋体" w:cs="宋体"/>
                <w:b w:val="0"/>
              </w:rPr>
              <w:t>34.06%</w:t>
            </w:r>
          </w:p>
        </w:tc>
        <w:tc>
          <w:tcPr>
            <w:tcW w:w="0" w:type="dxa"/>
            <w:vAlign w:val="center"/>
          </w:tcPr>
          <w:p>
            <w:pPr>
              <w:spacing w:line="240" w:lineRule="auto"/>
              <w:jc w:val="right"/>
            </w:pPr>
            <w:r>
              <w:rPr>
                <w:rFonts w:ascii="宋体" w:hAnsi="宋体" w:eastAsia="宋体" w:cs="宋体"/>
                <w:b w:val="0"/>
              </w:rPr>
              <w:t>1.57%</w:t>
            </w:r>
          </w:p>
        </w:tc>
        <w:tc>
          <w:tcPr>
            <w:tcW w:w="0" w:type="dxa"/>
            <w:vAlign w:val="center"/>
          </w:tcPr>
          <w:p>
            <w:pPr>
              <w:spacing w:line="240" w:lineRule="auto"/>
              <w:jc w:val="right"/>
            </w:pPr>
            <w:r>
              <w:rPr>
                <w:rFonts w:ascii="宋体" w:hAnsi="宋体" w:eastAsia="宋体" w:cs="宋体"/>
                <w:b w:val="0"/>
              </w:rPr>
              <w:t>32.21%</w:t>
            </w:r>
          </w:p>
        </w:tc>
        <w:tc>
          <w:tcPr>
            <w:tcW w:w="0" w:type="dxa"/>
            <w:vAlign w:val="center"/>
          </w:tcPr>
          <w:p>
            <w:pPr>
              <w:spacing w:line="240" w:lineRule="auto"/>
              <w:jc w:val="right"/>
            </w:pPr>
            <w:r>
              <w:rPr>
                <w:rFonts w:ascii="宋体" w:hAnsi="宋体" w:eastAsia="宋体" w:cs="宋体"/>
                <w:b w:val="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83.66%</w:t>
            </w:r>
          </w:p>
        </w:tc>
        <w:tc>
          <w:tcPr>
            <w:tcW w:w="0" w:type="dxa"/>
            <w:vAlign w:val="center"/>
          </w:tcPr>
          <w:p>
            <w:pPr>
              <w:spacing w:line="240" w:lineRule="auto"/>
              <w:jc w:val="right"/>
            </w:pPr>
            <w:r>
              <w:rPr>
                <w:rFonts w:ascii="宋体" w:hAnsi="宋体" w:eastAsia="宋体" w:cs="宋体"/>
                <w:b w:val="0"/>
              </w:rPr>
              <w:t>2.80%</w:t>
            </w:r>
          </w:p>
        </w:tc>
        <w:tc>
          <w:tcPr>
            <w:tcW w:w="0" w:type="dxa"/>
            <w:vAlign w:val="center"/>
          </w:tcPr>
          <w:p>
            <w:pPr>
              <w:spacing w:line="240" w:lineRule="auto"/>
              <w:jc w:val="right"/>
            </w:pPr>
            <w:r>
              <w:rPr>
                <w:rFonts w:ascii="宋体" w:hAnsi="宋体" w:eastAsia="宋体" w:cs="宋体"/>
                <w:b w:val="0"/>
              </w:rPr>
              <w:t>28.75%</w:t>
            </w:r>
          </w:p>
        </w:tc>
        <w:tc>
          <w:tcPr>
            <w:tcW w:w="0" w:type="dxa"/>
            <w:vAlign w:val="center"/>
          </w:tcPr>
          <w:p>
            <w:pPr>
              <w:spacing w:line="240" w:lineRule="auto"/>
              <w:jc w:val="right"/>
            </w:pPr>
            <w:r>
              <w:rPr>
                <w:rFonts w:ascii="宋体" w:hAnsi="宋体" w:eastAsia="宋体" w:cs="宋体"/>
                <w:b w:val="0"/>
              </w:rPr>
              <w:t>1.51%</w:t>
            </w:r>
          </w:p>
        </w:tc>
        <w:tc>
          <w:tcPr>
            <w:tcW w:w="0" w:type="dxa"/>
            <w:vAlign w:val="center"/>
          </w:tcPr>
          <w:p>
            <w:pPr>
              <w:spacing w:line="240" w:lineRule="auto"/>
              <w:jc w:val="right"/>
            </w:pPr>
            <w:r>
              <w:rPr>
                <w:rFonts w:ascii="宋体" w:hAnsi="宋体" w:eastAsia="宋体" w:cs="宋体"/>
                <w:b w:val="0"/>
              </w:rPr>
              <w:t>54.91%</w:t>
            </w:r>
          </w:p>
        </w:tc>
        <w:tc>
          <w:tcPr>
            <w:tcW w:w="0" w:type="dxa"/>
            <w:vAlign w:val="center"/>
          </w:tcPr>
          <w:p>
            <w:pPr>
              <w:spacing w:line="240" w:lineRule="auto"/>
              <w:jc w:val="right"/>
            </w:pPr>
            <w:r>
              <w:rPr>
                <w:rFonts w:ascii="宋体" w:hAnsi="宋体" w:eastAsia="宋体" w:cs="宋体"/>
                <w:b w:val="0"/>
              </w:rPr>
              <w:t>1.29%</w:t>
            </w:r>
          </w:p>
        </w:tc>
      </w:tr>
    </w:tbl>
    <w:p>
      <w:r>
        <w:rPr>
          <w:rFonts w:ascii="宋体" w:hAnsi="宋体" w:eastAsia="宋体" w:cs="宋体"/>
          <w:b w:val="0"/>
        </w:rPr>
        <w:t>注：本基金业绩比较基准为：中国战略新兴产业成份指数收益率*70%+中债-综合指数(全价)收益率*20%+恒生科技指数收益率(按估值汇率折算)*10%。</w:t>
      </w:r>
      <w:r>
        <w:rPr>
          <w:rFonts w:ascii="宋体" w:hAnsi="宋体" w:eastAsia="宋体" w:cs="宋体"/>
          <w:b w:val="0"/>
        </w:rPr>
        <w:br w:type="textWrapping"/>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吴秋松</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2025-10-30</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10年</w:t>
            </w:r>
          </w:p>
        </w:tc>
        <w:tc>
          <w:tcPr>
            <w:tcW w:w="0" w:type="dxa"/>
            <w:vAlign w:val="center"/>
          </w:tcPr>
          <w:p>
            <w:pPr>
              <w:spacing w:line="240" w:lineRule="auto"/>
              <w:jc w:val="left"/>
            </w:pPr>
            <w:r>
              <w:rPr>
                <w:rFonts w:ascii="宋体" w:hAnsi="宋体" w:eastAsia="宋体" w:cs="宋体"/>
                <w:b w:val="0"/>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程子晴</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2025-11-07</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5年</w:t>
            </w:r>
          </w:p>
        </w:tc>
        <w:tc>
          <w:tcPr>
            <w:tcW w:w="0" w:type="dxa"/>
            <w:vAlign w:val="center"/>
          </w:tcPr>
          <w:p>
            <w:pPr>
              <w:spacing w:line="240" w:lineRule="auto"/>
              <w:jc w:val="left"/>
            </w:pPr>
            <w:r>
              <w:rPr>
                <w:rFonts w:ascii="宋体" w:hAnsi="宋体" w:eastAsia="宋体" w:cs="宋体"/>
                <w:b w:val="0"/>
              </w:rPr>
              <w:t>程子晴女士，复旦大学管理学学士，香港科技大学理学硕士，于2021年1月入职东方阿尔法基金管理有限公司，历任研究部研究员、基金经理助理。现担任东方阿尔法基金管理有限公司基金经理。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本基金基金经理不存在兼任私募资产管理计划的投资经理的情况。</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报告期内，全球宏观环境复杂多变，地缘冲突、能源供需错配、AI 算力需求爆发等多重因素交织，国内经济稳步复苏、产业结构持续优化。本基金坚持优选供给格局、把握产业趋势的投资策略，围绕电力供需缺口下中国高端制造出海、服务器功率持续升级等核心逻辑开展投资运作，力争实现基金资产的稳健增值。</w:t>
      </w:r>
      <w:r>
        <w:rPr>
          <w:rFonts w:ascii="宋体" w:hAnsi="宋体" w:eastAsia="宋体" w:cs="宋体"/>
          <w:b w:val="0"/>
        </w:rPr>
        <w:br w:type="textWrapping"/>
      </w:r>
      <w:r>
        <w:rPr>
          <w:rFonts w:ascii="宋体" w:hAnsi="宋体" w:eastAsia="宋体" w:cs="宋体"/>
          <w:b w:val="0"/>
        </w:rPr>
        <w:t xml:space="preserve">    报告期内，基金整体运作平稳，组合结构向高景气、强确定性方向集中。本基金产品服务器上游元器件，MLCC、功率半导体、液冷、SOFC等板块贡献显著超额收益。基金投资重视供给格局研判，重仓细分行业龙头企业，紧扣北美缺电、AIDC基建、中国企业出海、服务器用电功率效率升级等产业趋势，持仓集中度与流动性管理均保持合理水平。</w:t>
      </w:r>
      <w:r>
        <w:rPr>
          <w:rFonts w:ascii="宋体" w:hAnsi="宋体" w:eastAsia="宋体" w:cs="宋体"/>
          <w:b w:val="0"/>
        </w:rPr>
        <w:br w:type="textWrapping"/>
      </w:r>
      <w:r>
        <w:rPr>
          <w:rFonts w:ascii="宋体" w:hAnsi="宋体" w:eastAsia="宋体" w:cs="宋体"/>
          <w:b w:val="0"/>
        </w:rPr>
        <w:t xml:space="preserve">    展望下一阶段，全球经济弱复苏与高波动并存，国内迈入“十五五”规划开局与两会政策落地的关键时期，地缘风险、流动性周期、产业政策将共同主导市场走向。本基金将保持战略定力，紧跟政策导向与产业趋势，持续优化资产配置与行业结构。</w:t>
      </w:r>
      <w:r>
        <w:rPr>
          <w:rFonts w:ascii="宋体" w:hAnsi="宋体" w:eastAsia="宋体" w:cs="宋体"/>
          <w:b w:val="0"/>
        </w:rPr>
        <w:br w:type="textWrapping"/>
      </w:r>
      <w:r>
        <w:rPr>
          <w:rFonts w:ascii="宋体" w:hAnsi="宋体" w:eastAsia="宋体" w:cs="宋体"/>
          <w:b w:val="0"/>
        </w:rPr>
        <w:t xml:space="preserve">    国内方面，“十五五”规划正式启航，两会政策发力托底经济。“十五五”规划以高质量发展、新质生产力、科技自立自强、能源资源安全为核心方向，新型电力系统、高端装备、数字经济、绿色低碳将成为中长期核心投资主线。两会定调稳增长、扩内需、防风险，财政与货币政策协同发力，国内经济运行有望保持在合理区间。</w:t>
      </w:r>
      <w:r>
        <w:rPr>
          <w:rFonts w:ascii="宋体" w:hAnsi="宋体" w:eastAsia="宋体" w:cs="宋体"/>
          <w:b w:val="0"/>
        </w:rPr>
        <w:br w:type="textWrapping"/>
      </w:r>
      <w:r>
        <w:rPr>
          <w:rFonts w:ascii="宋体" w:hAnsi="宋体" w:eastAsia="宋体" w:cs="宋体"/>
          <w:b w:val="0"/>
        </w:rPr>
        <w:t xml:space="preserve">    国际方面，美伊局势暂时缓和，石油价格回落。新任美联储主席给宏观政策预期带来不确定性，框架灵活度更高，“降息+缩表”组合兼顾缓解财政压力同时抑制资产泡沫化，但预期管理缺失，对衰退容忍度更高，市场波动加剧。海外主要经济体利率周期逐步进入后半段，流动性环境边际改善，但经济增长动能偏弱，全球资金持续向高景气、高安全属性资产倾斜。</w:t>
      </w:r>
      <w:r>
        <w:rPr>
          <w:rFonts w:ascii="宋体" w:hAnsi="宋体" w:eastAsia="宋体" w:cs="宋体"/>
          <w:b w:val="0"/>
        </w:rPr>
        <w:br w:type="textWrapping"/>
      </w:r>
      <w:r>
        <w:rPr>
          <w:rFonts w:ascii="宋体" w:hAnsi="宋体" w:eastAsia="宋体" w:cs="宋体"/>
          <w:b w:val="0"/>
        </w:rPr>
        <w:t xml:space="preserve">    当前A股市场迎来居民定期存款搬家、AI全球技术革命等历史性机遇，国内流动性保持充裕，国民经济有望触底回升，A股市场具备中长期配置价值。后续市场将从估值修复阶段逐步转向业绩驱动阶段，高景气板块与低估值高股息板块将持续呈现结构性投资机会。</w:t>
      </w:r>
      <w:r>
        <w:rPr>
          <w:rFonts w:ascii="宋体" w:hAnsi="宋体" w:eastAsia="宋体" w:cs="宋体"/>
          <w:b w:val="0"/>
        </w:rPr>
        <w:br w:type="textWrapping"/>
      </w:r>
      <w:r>
        <w:rPr>
          <w:rFonts w:ascii="宋体" w:hAnsi="宋体" w:eastAsia="宋体" w:cs="宋体"/>
          <w:b w:val="0"/>
        </w:rPr>
        <w:t xml:space="preserve">    在全球电力基建重构及AI电力需求释放的双重产业趋势下，相关领域需求景气度具备强持续性。中国电力设备出海、全球低碳转型的产业趋势明确，在数据中心电源、数据中心备电、数据中心服务器用电领域存在丰富的投资机遇。本基金将持续“翻石头”挖掘优质标的，在把握产业趋势机会的同时，通过严选格局清晰、壁垒优越的个股，努力为投资者创造超额收益。</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科技甄选混合发起A基金份额净值为1.8407元，本报告期内，该类基金份额净值增长率为42.34%，同期业绩比较基准收益率为40.40%；截至报告期末东方阿尔法科技甄选混合发起C基金份额净值为1.8366元，本报告期内，该类基金份额净值增长率为42.23%，同期业绩比较基准收益率为40.40%。</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1,176,155,705.34</w:t>
            </w:r>
          </w:p>
        </w:tc>
        <w:tc>
          <w:tcPr>
            <w:tcW w:w="0" w:type="dxa"/>
            <w:vAlign w:val="center"/>
          </w:tcPr>
          <w:p>
            <w:pPr>
              <w:spacing w:line="240" w:lineRule="auto"/>
              <w:jc w:val="right"/>
            </w:pPr>
            <w:r>
              <w:rPr>
                <w:rFonts w:ascii="宋体" w:hAnsi="宋体" w:eastAsia="宋体" w:cs="宋体"/>
                <w:b w:val="0"/>
              </w:rPr>
              <w:t>85.80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1,176,155,705.34</w:t>
            </w:r>
          </w:p>
        </w:tc>
        <w:tc>
          <w:tcPr>
            <w:tcW w:w="0" w:type="dxa"/>
            <w:vAlign w:val="center"/>
          </w:tcPr>
          <w:p>
            <w:pPr>
              <w:spacing w:line="240" w:lineRule="auto"/>
              <w:jc w:val="right"/>
            </w:pPr>
            <w:r>
              <w:rPr>
                <w:rFonts w:ascii="宋体" w:hAnsi="宋体" w:eastAsia="宋体" w:cs="宋体"/>
                <w:b w:val="0"/>
              </w:rPr>
              <w:t>85.80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53,222,637.54</w:t>
            </w:r>
          </w:p>
        </w:tc>
        <w:tc>
          <w:tcPr>
            <w:tcW w:w="0" w:type="dxa"/>
            <w:vAlign w:val="center"/>
          </w:tcPr>
          <w:p>
            <w:pPr>
              <w:spacing w:line="240" w:lineRule="auto"/>
              <w:jc w:val="right"/>
            </w:pPr>
            <w:r>
              <w:rPr>
                <w:rFonts w:ascii="宋体" w:hAnsi="宋体" w:eastAsia="宋体" w:cs="宋体"/>
                <w:b w:val="0"/>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53,222,637.54</w:t>
            </w:r>
          </w:p>
        </w:tc>
        <w:tc>
          <w:tcPr>
            <w:tcW w:w="0" w:type="dxa"/>
            <w:vAlign w:val="center"/>
          </w:tcPr>
          <w:p>
            <w:pPr>
              <w:spacing w:line="240" w:lineRule="auto"/>
              <w:jc w:val="right"/>
            </w:pPr>
            <w:r>
              <w:rPr>
                <w:rFonts w:ascii="宋体" w:hAnsi="宋体" w:eastAsia="宋体" w:cs="宋体"/>
                <w:b w:val="0"/>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22,986,955.80</w:t>
            </w:r>
          </w:p>
        </w:tc>
        <w:tc>
          <w:tcPr>
            <w:tcW w:w="0" w:type="dxa"/>
            <w:vAlign w:val="center"/>
          </w:tcPr>
          <w:p>
            <w:pPr>
              <w:spacing w:line="240" w:lineRule="auto"/>
              <w:jc w:val="right"/>
            </w:pPr>
            <w:r>
              <w:rPr>
                <w:rFonts w:ascii="宋体" w:hAnsi="宋体" w:eastAsia="宋体" w:cs="宋体"/>
                <w:b w:val="0"/>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118,455,645.31</w:t>
            </w:r>
          </w:p>
        </w:tc>
        <w:tc>
          <w:tcPr>
            <w:tcW w:w="0" w:type="dxa"/>
            <w:vAlign w:val="center"/>
          </w:tcPr>
          <w:p>
            <w:pPr>
              <w:spacing w:line="240" w:lineRule="auto"/>
              <w:jc w:val="right"/>
            </w:pPr>
            <w:r>
              <w:rPr>
                <w:rFonts w:ascii="宋体" w:hAnsi="宋体" w:eastAsia="宋体" w:cs="宋体"/>
                <w:b w:val="0"/>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1,370,820,943.99</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注：报告期末本基金通过港股通交易机制投资的港股公允价值合计5,619.52元，占基金资产净值的比例为0.00%。</w:t>
      </w:r>
    </w:p>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082"/>
        <w:gridCol w:w="1896"/>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1,087,857,670.14</w:t>
            </w:r>
          </w:p>
        </w:tc>
        <w:tc>
          <w:tcPr>
            <w:tcW w:w="0" w:type="dxa"/>
            <w:vAlign w:val="center"/>
          </w:tcPr>
          <w:p>
            <w:pPr>
              <w:spacing w:line="240" w:lineRule="auto"/>
              <w:jc w:val="right"/>
            </w:pPr>
            <w:r>
              <w:rPr>
                <w:rFonts w:ascii="宋体" w:hAnsi="宋体" w:eastAsia="宋体" w:cs="宋体"/>
                <w:b w:val="0"/>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94,659.93</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85,166,475.75</w:t>
            </w:r>
          </w:p>
        </w:tc>
        <w:tc>
          <w:tcPr>
            <w:tcW w:w="0" w:type="dxa"/>
            <w:vAlign w:val="center"/>
          </w:tcPr>
          <w:p>
            <w:pPr>
              <w:spacing w:line="240" w:lineRule="auto"/>
              <w:jc w:val="right"/>
            </w:pPr>
            <w:r>
              <w:rPr>
                <w:rFonts w:ascii="宋体" w:hAnsi="宋体" w:eastAsia="宋体" w:cs="宋体"/>
                <w:b w:val="0"/>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3,031,280.00</w:t>
            </w:r>
          </w:p>
        </w:tc>
        <w:tc>
          <w:tcPr>
            <w:tcW w:w="0" w:type="dxa"/>
            <w:vAlign w:val="center"/>
          </w:tcPr>
          <w:p>
            <w:pPr>
              <w:spacing w:line="240" w:lineRule="auto"/>
              <w:jc w:val="right"/>
            </w:pPr>
            <w:r>
              <w:rPr>
                <w:rFonts w:ascii="宋体" w:hAnsi="宋体" w:eastAsia="宋体" w:cs="宋体"/>
                <w:b w:val="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1,176,150,085.82</w:t>
            </w:r>
          </w:p>
        </w:tc>
        <w:tc>
          <w:tcPr>
            <w:tcW w:w="0" w:type="dxa"/>
            <w:vAlign w:val="center"/>
          </w:tcPr>
          <w:p>
            <w:pPr>
              <w:spacing w:line="240" w:lineRule="auto"/>
              <w:jc w:val="right"/>
            </w:pPr>
            <w:r>
              <w:rPr>
                <w:rFonts w:ascii="宋体" w:hAnsi="宋体" w:eastAsia="宋体" w:cs="宋体"/>
                <w:b w:val="0"/>
              </w:rPr>
              <w:t>87.46</w:t>
            </w:r>
          </w:p>
        </w:tc>
      </w:tr>
    </w:tbl>
    <w:p/>
    <w:p>
      <w:pPr>
        <w:pStyle w:val="58"/>
      </w:pPr>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信息技术</w:t>
            </w:r>
          </w:p>
        </w:tc>
        <w:tc>
          <w:tcPr>
            <w:tcW w:w="0" w:type="dxa"/>
            <w:vAlign w:val="center"/>
          </w:tcPr>
          <w:p>
            <w:pPr>
              <w:spacing w:line="240" w:lineRule="auto"/>
              <w:jc w:val="right"/>
            </w:pPr>
            <w:r>
              <w:rPr>
                <w:rFonts w:ascii="宋体" w:hAnsi="宋体" w:eastAsia="宋体" w:cs="宋体"/>
                <w:b w:val="0"/>
              </w:rPr>
              <w:t>5,619.52</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5,619.52</w:t>
            </w:r>
          </w:p>
        </w:tc>
        <w:tc>
          <w:tcPr>
            <w:tcW w:w="0" w:type="dxa"/>
            <w:vAlign w:val="center"/>
          </w:tcPr>
          <w:p>
            <w:pPr>
              <w:spacing w:line="240" w:lineRule="auto"/>
              <w:jc w:val="right"/>
            </w:pPr>
            <w:r>
              <w:rPr>
                <w:rFonts w:ascii="宋体" w:hAnsi="宋体" w:eastAsia="宋体" w:cs="宋体"/>
                <w:b w:val="0"/>
              </w:rPr>
              <w:t>0.00</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300408</w:t>
            </w:r>
          </w:p>
        </w:tc>
        <w:tc>
          <w:tcPr>
            <w:tcW w:w="0" w:type="dxa"/>
            <w:vAlign w:val="center"/>
          </w:tcPr>
          <w:p>
            <w:pPr>
              <w:spacing w:line="240" w:lineRule="auto"/>
              <w:jc w:val="left"/>
            </w:pPr>
            <w:r>
              <w:rPr>
                <w:rFonts w:ascii="宋体" w:hAnsi="宋体" w:eastAsia="宋体" w:cs="宋体"/>
                <w:b w:val="0"/>
              </w:rPr>
              <w:t>三环集团</w:t>
            </w:r>
          </w:p>
        </w:tc>
        <w:tc>
          <w:tcPr>
            <w:tcW w:w="0" w:type="dxa"/>
            <w:vAlign w:val="center"/>
          </w:tcPr>
          <w:p>
            <w:pPr>
              <w:spacing w:line="240" w:lineRule="auto"/>
              <w:jc w:val="right"/>
            </w:pPr>
            <w:r>
              <w:rPr>
                <w:rFonts w:ascii="宋体" w:hAnsi="宋体" w:eastAsia="宋体" w:cs="宋体"/>
                <w:b w:val="0"/>
              </w:rPr>
              <w:t>626,900</w:t>
            </w:r>
          </w:p>
        </w:tc>
        <w:tc>
          <w:tcPr>
            <w:tcW w:w="0" w:type="dxa"/>
            <w:vAlign w:val="center"/>
          </w:tcPr>
          <w:p>
            <w:pPr>
              <w:spacing w:line="240" w:lineRule="auto"/>
              <w:jc w:val="right"/>
            </w:pPr>
            <w:r>
              <w:rPr>
                <w:rFonts w:ascii="宋体" w:hAnsi="宋体" w:eastAsia="宋体" w:cs="宋体"/>
                <w:b w:val="0"/>
              </w:rPr>
              <w:t>104,629,610.00</w:t>
            </w:r>
          </w:p>
        </w:tc>
        <w:tc>
          <w:tcPr>
            <w:tcW w:w="0" w:type="dxa"/>
            <w:vAlign w:val="center"/>
          </w:tcPr>
          <w:p>
            <w:pPr>
              <w:spacing w:line="240" w:lineRule="auto"/>
              <w:jc w:val="right"/>
            </w:pPr>
            <w:r>
              <w:rPr>
                <w:rFonts w:ascii="宋体" w:hAnsi="宋体" w:eastAsia="宋体" w:cs="宋体"/>
                <w:b w:val="0"/>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300136</w:t>
            </w:r>
          </w:p>
        </w:tc>
        <w:tc>
          <w:tcPr>
            <w:tcW w:w="0" w:type="dxa"/>
            <w:vAlign w:val="center"/>
          </w:tcPr>
          <w:p>
            <w:pPr>
              <w:spacing w:line="240" w:lineRule="auto"/>
              <w:jc w:val="left"/>
            </w:pPr>
            <w:r>
              <w:rPr>
                <w:rFonts w:ascii="宋体" w:hAnsi="宋体" w:eastAsia="宋体" w:cs="宋体"/>
                <w:b w:val="0"/>
              </w:rPr>
              <w:t>信维通信</w:t>
            </w:r>
          </w:p>
        </w:tc>
        <w:tc>
          <w:tcPr>
            <w:tcW w:w="0" w:type="dxa"/>
            <w:vAlign w:val="center"/>
          </w:tcPr>
          <w:p>
            <w:pPr>
              <w:spacing w:line="240" w:lineRule="auto"/>
              <w:jc w:val="right"/>
            </w:pPr>
            <w:r>
              <w:rPr>
                <w:rFonts w:ascii="宋体" w:hAnsi="宋体" w:eastAsia="宋体" w:cs="宋体"/>
                <w:b w:val="0"/>
              </w:rPr>
              <w:t>873,200</w:t>
            </w:r>
          </w:p>
        </w:tc>
        <w:tc>
          <w:tcPr>
            <w:tcW w:w="0" w:type="dxa"/>
            <w:vAlign w:val="center"/>
          </w:tcPr>
          <w:p>
            <w:pPr>
              <w:spacing w:line="240" w:lineRule="auto"/>
              <w:jc w:val="right"/>
            </w:pPr>
            <w:r>
              <w:rPr>
                <w:rFonts w:ascii="宋体" w:hAnsi="宋体" w:eastAsia="宋体" w:cs="宋体"/>
                <w:b w:val="0"/>
              </w:rPr>
              <w:t>104,129,100.00</w:t>
            </w:r>
          </w:p>
        </w:tc>
        <w:tc>
          <w:tcPr>
            <w:tcW w:w="0" w:type="dxa"/>
            <w:vAlign w:val="center"/>
          </w:tcPr>
          <w:p>
            <w:pPr>
              <w:spacing w:line="240" w:lineRule="auto"/>
              <w:jc w:val="right"/>
            </w:pPr>
            <w:r>
              <w:rPr>
                <w:rFonts w:ascii="宋体" w:hAnsi="宋体" w:eastAsia="宋体" w:cs="宋体"/>
                <w:b w:val="0"/>
              </w:rPr>
              <w:t>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605376</w:t>
            </w:r>
          </w:p>
        </w:tc>
        <w:tc>
          <w:tcPr>
            <w:tcW w:w="0" w:type="dxa"/>
            <w:vAlign w:val="center"/>
          </w:tcPr>
          <w:p>
            <w:pPr>
              <w:spacing w:line="240" w:lineRule="auto"/>
              <w:jc w:val="left"/>
            </w:pPr>
            <w:r>
              <w:rPr>
                <w:rFonts w:ascii="宋体" w:hAnsi="宋体" w:eastAsia="宋体" w:cs="宋体"/>
                <w:b w:val="0"/>
              </w:rPr>
              <w:t>博迁新材</w:t>
            </w:r>
          </w:p>
        </w:tc>
        <w:tc>
          <w:tcPr>
            <w:tcW w:w="0" w:type="dxa"/>
            <w:vAlign w:val="center"/>
          </w:tcPr>
          <w:p>
            <w:pPr>
              <w:spacing w:line="240" w:lineRule="auto"/>
              <w:jc w:val="right"/>
            </w:pPr>
            <w:r>
              <w:rPr>
                <w:rFonts w:ascii="宋体" w:hAnsi="宋体" w:eastAsia="宋体" w:cs="宋体"/>
                <w:b w:val="0"/>
              </w:rPr>
              <w:t>373,100</w:t>
            </w:r>
          </w:p>
        </w:tc>
        <w:tc>
          <w:tcPr>
            <w:tcW w:w="0" w:type="dxa"/>
            <w:vAlign w:val="center"/>
          </w:tcPr>
          <w:p>
            <w:pPr>
              <w:spacing w:line="240" w:lineRule="auto"/>
              <w:jc w:val="right"/>
            </w:pPr>
            <w:r>
              <w:rPr>
                <w:rFonts w:ascii="宋体" w:hAnsi="宋体" w:eastAsia="宋体" w:cs="宋体"/>
                <w:b w:val="0"/>
              </w:rPr>
              <w:t>101,222,030.00</w:t>
            </w:r>
          </w:p>
        </w:tc>
        <w:tc>
          <w:tcPr>
            <w:tcW w:w="0" w:type="dxa"/>
            <w:vAlign w:val="center"/>
          </w:tcPr>
          <w:p>
            <w:pPr>
              <w:spacing w:line="240" w:lineRule="auto"/>
              <w:jc w:val="right"/>
            </w:pPr>
            <w:r>
              <w:rPr>
                <w:rFonts w:ascii="宋体" w:hAnsi="宋体" w:eastAsia="宋体" w:cs="宋体"/>
                <w:b w:val="0"/>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300285</w:t>
            </w:r>
          </w:p>
        </w:tc>
        <w:tc>
          <w:tcPr>
            <w:tcW w:w="0" w:type="dxa"/>
            <w:vAlign w:val="center"/>
          </w:tcPr>
          <w:p>
            <w:pPr>
              <w:spacing w:line="240" w:lineRule="auto"/>
              <w:jc w:val="left"/>
            </w:pPr>
            <w:r>
              <w:rPr>
                <w:rFonts w:ascii="宋体" w:hAnsi="宋体" w:eastAsia="宋体" w:cs="宋体"/>
                <w:b w:val="0"/>
              </w:rPr>
              <w:t>国瓷材料</w:t>
            </w:r>
          </w:p>
        </w:tc>
        <w:tc>
          <w:tcPr>
            <w:tcW w:w="0" w:type="dxa"/>
            <w:vAlign w:val="center"/>
          </w:tcPr>
          <w:p>
            <w:pPr>
              <w:spacing w:line="240" w:lineRule="auto"/>
              <w:jc w:val="right"/>
            </w:pPr>
            <w:r>
              <w:rPr>
                <w:rFonts w:ascii="宋体" w:hAnsi="宋体" w:eastAsia="宋体" w:cs="宋体"/>
                <w:b w:val="0"/>
              </w:rPr>
              <w:t>966,500</w:t>
            </w:r>
          </w:p>
        </w:tc>
        <w:tc>
          <w:tcPr>
            <w:tcW w:w="0" w:type="dxa"/>
            <w:vAlign w:val="center"/>
          </w:tcPr>
          <w:p>
            <w:pPr>
              <w:spacing w:line="240" w:lineRule="auto"/>
              <w:jc w:val="right"/>
            </w:pPr>
            <w:r>
              <w:rPr>
                <w:rFonts w:ascii="宋体" w:hAnsi="宋体" w:eastAsia="宋体" w:cs="宋体"/>
                <w:b w:val="0"/>
              </w:rPr>
              <w:t>99,723,470.00</w:t>
            </w:r>
          </w:p>
        </w:tc>
        <w:tc>
          <w:tcPr>
            <w:tcW w:w="0" w:type="dxa"/>
            <w:vAlign w:val="center"/>
          </w:tcPr>
          <w:p>
            <w:pPr>
              <w:spacing w:line="240" w:lineRule="auto"/>
              <w:jc w:val="right"/>
            </w:pPr>
            <w:r>
              <w:rPr>
                <w:rFonts w:ascii="宋体" w:hAnsi="宋体" w:eastAsia="宋体" w:cs="宋体"/>
                <w:b w:val="0"/>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300806</w:t>
            </w:r>
          </w:p>
        </w:tc>
        <w:tc>
          <w:tcPr>
            <w:tcW w:w="0" w:type="dxa"/>
            <w:vAlign w:val="center"/>
          </w:tcPr>
          <w:p>
            <w:pPr>
              <w:spacing w:line="240" w:lineRule="auto"/>
              <w:jc w:val="left"/>
            </w:pPr>
            <w:r>
              <w:rPr>
                <w:rFonts w:ascii="宋体" w:hAnsi="宋体" w:eastAsia="宋体" w:cs="宋体"/>
                <w:b w:val="0"/>
              </w:rPr>
              <w:t>斯迪克</w:t>
            </w:r>
          </w:p>
        </w:tc>
        <w:tc>
          <w:tcPr>
            <w:tcW w:w="0" w:type="dxa"/>
            <w:vAlign w:val="center"/>
          </w:tcPr>
          <w:p>
            <w:pPr>
              <w:spacing w:line="240" w:lineRule="auto"/>
              <w:jc w:val="right"/>
            </w:pPr>
            <w:r>
              <w:rPr>
                <w:rFonts w:ascii="宋体" w:hAnsi="宋体" w:eastAsia="宋体" w:cs="宋体"/>
                <w:b w:val="0"/>
              </w:rPr>
              <w:t>837,200</w:t>
            </w:r>
          </w:p>
        </w:tc>
        <w:tc>
          <w:tcPr>
            <w:tcW w:w="0" w:type="dxa"/>
            <w:vAlign w:val="center"/>
          </w:tcPr>
          <w:p>
            <w:pPr>
              <w:spacing w:line="240" w:lineRule="auto"/>
              <w:jc w:val="right"/>
            </w:pPr>
            <w:r>
              <w:rPr>
                <w:rFonts w:ascii="宋体" w:hAnsi="宋体" w:eastAsia="宋体" w:cs="宋体"/>
                <w:b w:val="0"/>
              </w:rPr>
              <w:t>93,766,400.00</w:t>
            </w:r>
          </w:p>
        </w:tc>
        <w:tc>
          <w:tcPr>
            <w:tcW w:w="0" w:type="dxa"/>
            <w:vAlign w:val="center"/>
          </w:tcPr>
          <w:p>
            <w:pPr>
              <w:spacing w:line="240" w:lineRule="auto"/>
              <w:jc w:val="right"/>
            </w:pPr>
            <w:r>
              <w:rPr>
                <w:rFonts w:ascii="宋体" w:hAnsi="宋体" w:eastAsia="宋体" w:cs="宋体"/>
                <w:b w:val="0"/>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300975</w:t>
            </w:r>
          </w:p>
        </w:tc>
        <w:tc>
          <w:tcPr>
            <w:tcW w:w="0" w:type="dxa"/>
            <w:vAlign w:val="center"/>
          </w:tcPr>
          <w:p>
            <w:pPr>
              <w:spacing w:line="240" w:lineRule="auto"/>
              <w:jc w:val="left"/>
            </w:pPr>
            <w:r>
              <w:rPr>
                <w:rFonts w:ascii="宋体" w:hAnsi="宋体" w:eastAsia="宋体" w:cs="宋体"/>
                <w:b w:val="0"/>
              </w:rPr>
              <w:t>商络电子</w:t>
            </w:r>
          </w:p>
        </w:tc>
        <w:tc>
          <w:tcPr>
            <w:tcW w:w="0" w:type="dxa"/>
            <w:vAlign w:val="center"/>
          </w:tcPr>
          <w:p>
            <w:pPr>
              <w:spacing w:line="240" w:lineRule="auto"/>
              <w:jc w:val="right"/>
            </w:pPr>
            <w:r>
              <w:rPr>
                <w:rFonts w:ascii="宋体" w:hAnsi="宋体" w:eastAsia="宋体" w:cs="宋体"/>
                <w:b w:val="0"/>
              </w:rPr>
              <w:t>1,645,729</w:t>
            </w:r>
          </w:p>
        </w:tc>
        <w:tc>
          <w:tcPr>
            <w:tcW w:w="0" w:type="dxa"/>
            <w:vAlign w:val="center"/>
          </w:tcPr>
          <w:p>
            <w:pPr>
              <w:spacing w:line="240" w:lineRule="auto"/>
              <w:jc w:val="right"/>
            </w:pPr>
            <w:r>
              <w:rPr>
                <w:rFonts w:ascii="宋体" w:hAnsi="宋体" w:eastAsia="宋体" w:cs="宋体"/>
                <w:b w:val="0"/>
              </w:rPr>
              <w:t>85,166,475.75</w:t>
            </w:r>
          </w:p>
        </w:tc>
        <w:tc>
          <w:tcPr>
            <w:tcW w:w="0" w:type="dxa"/>
            <w:vAlign w:val="center"/>
          </w:tcPr>
          <w:p>
            <w:pPr>
              <w:spacing w:line="240" w:lineRule="auto"/>
              <w:jc w:val="right"/>
            </w:pPr>
            <w:r>
              <w:rPr>
                <w:rFonts w:ascii="宋体" w:hAnsi="宋体" w:eastAsia="宋体" w:cs="宋体"/>
                <w:b w:val="0"/>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002859</w:t>
            </w:r>
          </w:p>
        </w:tc>
        <w:tc>
          <w:tcPr>
            <w:tcW w:w="0" w:type="dxa"/>
            <w:vAlign w:val="center"/>
          </w:tcPr>
          <w:p>
            <w:pPr>
              <w:spacing w:line="240" w:lineRule="auto"/>
              <w:jc w:val="left"/>
            </w:pPr>
            <w:r>
              <w:rPr>
                <w:rFonts w:ascii="宋体" w:hAnsi="宋体" w:eastAsia="宋体" w:cs="宋体"/>
                <w:b w:val="0"/>
              </w:rPr>
              <w:t>洁美科技</w:t>
            </w:r>
          </w:p>
        </w:tc>
        <w:tc>
          <w:tcPr>
            <w:tcW w:w="0" w:type="dxa"/>
            <w:vAlign w:val="center"/>
          </w:tcPr>
          <w:p>
            <w:pPr>
              <w:spacing w:line="240" w:lineRule="auto"/>
              <w:jc w:val="right"/>
            </w:pPr>
            <w:r>
              <w:rPr>
                <w:rFonts w:ascii="宋体" w:hAnsi="宋体" w:eastAsia="宋体" w:cs="宋体"/>
                <w:b w:val="0"/>
              </w:rPr>
              <w:t>774,957</w:t>
            </w:r>
          </w:p>
        </w:tc>
        <w:tc>
          <w:tcPr>
            <w:tcW w:w="0" w:type="dxa"/>
            <w:vAlign w:val="center"/>
          </w:tcPr>
          <w:p>
            <w:pPr>
              <w:spacing w:line="240" w:lineRule="auto"/>
              <w:jc w:val="right"/>
            </w:pPr>
            <w:r>
              <w:rPr>
                <w:rFonts w:ascii="宋体" w:hAnsi="宋体" w:eastAsia="宋体" w:cs="宋体"/>
                <w:b w:val="0"/>
              </w:rPr>
              <w:t>84,865,541.07</w:t>
            </w:r>
          </w:p>
        </w:tc>
        <w:tc>
          <w:tcPr>
            <w:tcW w:w="0" w:type="dxa"/>
            <w:vAlign w:val="center"/>
          </w:tcPr>
          <w:p>
            <w:pPr>
              <w:spacing w:line="240" w:lineRule="auto"/>
              <w:jc w:val="right"/>
            </w:pPr>
            <w:r>
              <w:rPr>
                <w:rFonts w:ascii="宋体" w:hAnsi="宋体" w:eastAsia="宋体" w:cs="宋体"/>
                <w:b w:val="0"/>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002484</w:t>
            </w:r>
          </w:p>
        </w:tc>
        <w:tc>
          <w:tcPr>
            <w:tcW w:w="0" w:type="dxa"/>
            <w:vAlign w:val="center"/>
          </w:tcPr>
          <w:p>
            <w:pPr>
              <w:spacing w:line="240" w:lineRule="auto"/>
              <w:jc w:val="left"/>
            </w:pPr>
            <w:r>
              <w:rPr>
                <w:rFonts w:ascii="宋体" w:hAnsi="宋体" w:eastAsia="宋体" w:cs="宋体"/>
                <w:b w:val="0"/>
              </w:rPr>
              <w:t>江海股份</w:t>
            </w:r>
          </w:p>
        </w:tc>
        <w:tc>
          <w:tcPr>
            <w:tcW w:w="0" w:type="dxa"/>
            <w:vAlign w:val="center"/>
          </w:tcPr>
          <w:p>
            <w:pPr>
              <w:spacing w:line="240" w:lineRule="auto"/>
              <w:jc w:val="right"/>
            </w:pPr>
            <w:r>
              <w:rPr>
                <w:rFonts w:ascii="宋体" w:hAnsi="宋体" w:eastAsia="宋体" w:cs="宋体"/>
                <w:b w:val="0"/>
              </w:rPr>
              <w:t>770,000</w:t>
            </w:r>
          </w:p>
        </w:tc>
        <w:tc>
          <w:tcPr>
            <w:tcW w:w="0" w:type="dxa"/>
            <w:vAlign w:val="center"/>
          </w:tcPr>
          <w:p>
            <w:pPr>
              <w:spacing w:line="240" w:lineRule="auto"/>
              <w:jc w:val="right"/>
            </w:pPr>
            <w:r>
              <w:rPr>
                <w:rFonts w:ascii="宋体" w:hAnsi="宋体" w:eastAsia="宋体" w:cs="宋体"/>
                <w:b w:val="0"/>
              </w:rPr>
              <w:t>80,850,000.00</w:t>
            </w:r>
          </w:p>
        </w:tc>
        <w:tc>
          <w:tcPr>
            <w:tcW w:w="0" w:type="dxa"/>
            <w:vAlign w:val="center"/>
          </w:tcPr>
          <w:p>
            <w:pPr>
              <w:spacing w:line="240" w:lineRule="auto"/>
              <w:jc w:val="right"/>
            </w:pPr>
            <w:r>
              <w:rPr>
                <w:rFonts w:ascii="宋体" w:hAnsi="宋体" w:eastAsia="宋体" w:cs="宋体"/>
                <w:b w:val="0"/>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688200</w:t>
            </w:r>
          </w:p>
        </w:tc>
        <w:tc>
          <w:tcPr>
            <w:tcW w:w="0" w:type="dxa"/>
            <w:vAlign w:val="center"/>
          </w:tcPr>
          <w:p>
            <w:pPr>
              <w:spacing w:line="240" w:lineRule="auto"/>
              <w:jc w:val="left"/>
            </w:pPr>
            <w:r>
              <w:rPr>
                <w:rFonts w:ascii="宋体" w:hAnsi="宋体" w:eastAsia="宋体" w:cs="宋体"/>
                <w:b w:val="0"/>
              </w:rPr>
              <w:t>华峰测控</w:t>
            </w:r>
          </w:p>
        </w:tc>
        <w:tc>
          <w:tcPr>
            <w:tcW w:w="0" w:type="dxa"/>
            <w:vAlign w:val="center"/>
          </w:tcPr>
          <w:p>
            <w:pPr>
              <w:spacing w:line="240" w:lineRule="auto"/>
              <w:jc w:val="right"/>
            </w:pPr>
            <w:r>
              <w:rPr>
                <w:rFonts w:ascii="宋体" w:hAnsi="宋体" w:eastAsia="宋体" w:cs="宋体"/>
                <w:b w:val="0"/>
              </w:rPr>
              <w:t>135,000</w:t>
            </w:r>
          </w:p>
        </w:tc>
        <w:tc>
          <w:tcPr>
            <w:tcW w:w="0" w:type="dxa"/>
            <w:vAlign w:val="center"/>
          </w:tcPr>
          <w:p>
            <w:pPr>
              <w:spacing w:line="240" w:lineRule="auto"/>
              <w:jc w:val="right"/>
            </w:pPr>
            <w:r>
              <w:rPr>
                <w:rFonts w:ascii="宋体" w:hAnsi="宋体" w:eastAsia="宋体" w:cs="宋体"/>
                <w:b w:val="0"/>
              </w:rPr>
              <w:t>70,888,500.00</w:t>
            </w:r>
          </w:p>
        </w:tc>
        <w:tc>
          <w:tcPr>
            <w:tcW w:w="0" w:type="dxa"/>
            <w:vAlign w:val="center"/>
          </w:tcPr>
          <w:p>
            <w:pPr>
              <w:spacing w:line="240" w:lineRule="auto"/>
              <w:jc w:val="right"/>
            </w:pPr>
            <w:r>
              <w:rPr>
                <w:rFonts w:ascii="宋体" w:hAnsi="宋体" w:eastAsia="宋体" w:cs="宋体"/>
                <w:b w:val="0"/>
              </w:rPr>
              <w:t>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000636</w:t>
            </w:r>
          </w:p>
        </w:tc>
        <w:tc>
          <w:tcPr>
            <w:tcW w:w="0" w:type="dxa"/>
            <w:vAlign w:val="center"/>
          </w:tcPr>
          <w:p>
            <w:pPr>
              <w:spacing w:line="240" w:lineRule="auto"/>
              <w:jc w:val="left"/>
            </w:pPr>
            <w:r>
              <w:rPr>
                <w:rFonts w:ascii="宋体" w:hAnsi="宋体" w:eastAsia="宋体" w:cs="宋体"/>
                <w:b w:val="0"/>
              </w:rPr>
              <w:t>风华高科</w:t>
            </w:r>
          </w:p>
        </w:tc>
        <w:tc>
          <w:tcPr>
            <w:tcW w:w="0" w:type="dxa"/>
            <w:vAlign w:val="center"/>
          </w:tcPr>
          <w:p>
            <w:pPr>
              <w:spacing w:line="240" w:lineRule="auto"/>
              <w:jc w:val="right"/>
            </w:pPr>
            <w:r>
              <w:rPr>
                <w:rFonts w:ascii="宋体" w:hAnsi="宋体" w:eastAsia="宋体" w:cs="宋体"/>
                <w:b w:val="0"/>
              </w:rPr>
              <w:t>830,000</w:t>
            </w:r>
          </w:p>
        </w:tc>
        <w:tc>
          <w:tcPr>
            <w:tcW w:w="0" w:type="dxa"/>
            <w:vAlign w:val="center"/>
          </w:tcPr>
          <w:p>
            <w:pPr>
              <w:spacing w:line="240" w:lineRule="auto"/>
              <w:jc w:val="right"/>
            </w:pPr>
            <w:r>
              <w:rPr>
                <w:rFonts w:ascii="宋体" w:hAnsi="宋体" w:eastAsia="宋体" w:cs="宋体"/>
                <w:b w:val="0"/>
              </w:rPr>
              <w:t>59,959,200.00</w:t>
            </w:r>
          </w:p>
        </w:tc>
        <w:tc>
          <w:tcPr>
            <w:tcW w:w="0" w:type="dxa"/>
            <w:vAlign w:val="center"/>
          </w:tcPr>
          <w:p>
            <w:pPr>
              <w:spacing w:line="240" w:lineRule="auto"/>
              <w:jc w:val="right"/>
            </w:pPr>
            <w:r>
              <w:rPr>
                <w:rFonts w:ascii="宋体" w:hAnsi="宋体" w:eastAsia="宋体" w:cs="宋体"/>
                <w:b w:val="0"/>
              </w:rPr>
              <w:t>4.46</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53,222,637.54</w:t>
            </w:r>
          </w:p>
        </w:tc>
        <w:tc>
          <w:tcPr>
            <w:tcW w:w="0" w:type="dxa"/>
            <w:vAlign w:val="center"/>
          </w:tcPr>
          <w:p>
            <w:pPr>
              <w:spacing w:line="240" w:lineRule="auto"/>
              <w:jc w:val="right"/>
            </w:pPr>
            <w:r>
              <w:rPr>
                <w:rFonts w:ascii="宋体" w:hAnsi="宋体" w:eastAsia="宋体" w:cs="宋体"/>
                <w:b w:val="0"/>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53,222,637.54</w:t>
            </w:r>
          </w:p>
        </w:tc>
        <w:tc>
          <w:tcPr>
            <w:tcW w:w="0" w:type="dxa"/>
            <w:vAlign w:val="center"/>
          </w:tcPr>
          <w:p>
            <w:pPr>
              <w:spacing w:line="240" w:lineRule="auto"/>
              <w:jc w:val="right"/>
            </w:pPr>
            <w:r>
              <w:rPr>
                <w:rFonts w:ascii="宋体" w:hAnsi="宋体" w:eastAsia="宋体" w:cs="宋体"/>
                <w:b w:val="0"/>
              </w:rPr>
              <w:t>3.96</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019827</w:t>
            </w:r>
          </w:p>
        </w:tc>
        <w:tc>
          <w:tcPr>
            <w:tcW w:w="0" w:type="dxa"/>
            <w:vAlign w:val="center"/>
          </w:tcPr>
          <w:p>
            <w:pPr>
              <w:spacing w:line="240" w:lineRule="auto"/>
              <w:jc w:val="left"/>
            </w:pPr>
            <w:r>
              <w:rPr>
                <w:rFonts w:ascii="宋体" w:hAnsi="宋体" w:eastAsia="宋体" w:cs="宋体"/>
                <w:b w:val="0"/>
              </w:rPr>
              <w:t>26国债01</w:t>
            </w:r>
          </w:p>
        </w:tc>
        <w:tc>
          <w:tcPr>
            <w:tcW w:w="0" w:type="dxa"/>
            <w:vAlign w:val="center"/>
          </w:tcPr>
          <w:p>
            <w:pPr>
              <w:spacing w:line="240" w:lineRule="auto"/>
              <w:jc w:val="right"/>
            </w:pPr>
            <w:r>
              <w:rPr>
                <w:rFonts w:ascii="宋体" w:hAnsi="宋体" w:eastAsia="宋体" w:cs="宋体"/>
                <w:b w:val="0"/>
              </w:rPr>
              <w:t>280,000</w:t>
            </w:r>
          </w:p>
        </w:tc>
        <w:tc>
          <w:tcPr>
            <w:tcW w:w="0" w:type="dxa"/>
            <w:vAlign w:val="center"/>
          </w:tcPr>
          <w:p>
            <w:pPr>
              <w:spacing w:line="240" w:lineRule="auto"/>
              <w:jc w:val="right"/>
            </w:pPr>
            <w:r>
              <w:rPr>
                <w:rFonts w:ascii="宋体" w:hAnsi="宋体" w:eastAsia="宋体" w:cs="宋体"/>
                <w:b w:val="0"/>
              </w:rPr>
              <w:t>28,181,493.70</w:t>
            </w:r>
          </w:p>
        </w:tc>
        <w:tc>
          <w:tcPr>
            <w:tcW w:w="0" w:type="dxa"/>
            <w:vAlign w:val="center"/>
          </w:tcPr>
          <w:p>
            <w:pPr>
              <w:spacing w:line="240" w:lineRule="auto"/>
              <w:jc w:val="right"/>
            </w:pPr>
            <w:r>
              <w:rPr>
                <w:rFonts w:ascii="宋体" w:hAnsi="宋体" w:eastAsia="宋体" w:cs="宋体"/>
                <w:b w:val="0"/>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019835</w:t>
            </w:r>
          </w:p>
        </w:tc>
        <w:tc>
          <w:tcPr>
            <w:tcW w:w="0" w:type="dxa"/>
            <w:vAlign w:val="center"/>
          </w:tcPr>
          <w:p>
            <w:pPr>
              <w:spacing w:line="240" w:lineRule="auto"/>
              <w:jc w:val="left"/>
            </w:pPr>
            <w:r>
              <w:rPr>
                <w:rFonts w:ascii="宋体" w:hAnsi="宋体" w:eastAsia="宋体" w:cs="宋体"/>
                <w:b w:val="0"/>
              </w:rPr>
              <w:t>26国债09</w:t>
            </w:r>
          </w:p>
        </w:tc>
        <w:tc>
          <w:tcPr>
            <w:tcW w:w="0" w:type="dxa"/>
            <w:vAlign w:val="center"/>
          </w:tcPr>
          <w:p>
            <w:pPr>
              <w:spacing w:line="240" w:lineRule="auto"/>
              <w:jc w:val="right"/>
            </w:pPr>
            <w:r>
              <w:rPr>
                <w:rFonts w:ascii="宋体" w:hAnsi="宋体" w:eastAsia="宋体" w:cs="宋体"/>
                <w:b w:val="0"/>
              </w:rPr>
              <w:t>250,000</w:t>
            </w:r>
          </w:p>
        </w:tc>
        <w:tc>
          <w:tcPr>
            <w:tcW w:w="0" w:type="dxa"/>
            <w:vAlign w:val="center"/>
          </w:tcPr>
          <w:p>
            <w:pPr>
              <w:spacing w:line="240" w:lineRule="auto"/>
              <w:jc w:val="right"/>
            </w:pPr>
            <w:r>
              <w:rPr>
                <w:rFonts w:ascii="宋体" w:hAnsi="宋体" w:eastAsia="宋体" w:cs="宋体"/>
                <w:b w:val="0"/>
              </w:rPr>
              <w:t>25,041,143.84</w:t>
            </w:r>
          </w:p>
        </w:tc>
        <w:tc>
          <w:tcPr>
            <w:tcW w:w="0" w:type="dxa"/>
            <w:vAlign w:val="center"/>
          </w:tcPr>
          <w:p>
            <w:pPr>
              <w:spacing w:line="240" w:lineRule="auto"/>
              <w:jc w:val="right"/>
            </w:pPr>
            <w:r>
              <w:rPr>
                <w:rFonts w:ascii="宋体" w:hAnsi="宋体" w:eastAsia="宋体" w:cs="宋体"/>
                <w:b w:val="0"/>
              </w:rPr>
              <w:t>1.86</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118,455,645.31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118,455,645.31</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本基金本报告期末前十名股票中不存在流通受限的情况。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东方阿尔法科技甄选混合发起A</w:t>
            </w:r>
          </w:p>
        </w:tc>
        <w:tc>
          <w:tcPr>
            <w:tcW w:w="1300" w:type="pct"/>
            <w:vAlign w:val="center"/>
          </w:tcPr>
          <w:p>
            <w:pPr>
              <w:spacing w:line="240" w:lineRule="auto"/>
              <w:jc w:val="center"/>
            </w:pPr>
            <w:r>
              <w:rPr>
                <w:rFonts w:ascii="宋体" w:hAnsi="宋体" w:eastAsia="宋体" w:cs="宋体"/>
                <w:b w:val="0"/>
              </w:rPr>
              <w:t>东方阿尔法科技甄选混合发起C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25,136,584.73</w:t>
            </w:r>
          </w:p>
        </w:tc>
        <w:tc>
          <w:tcPr>
            <w:tcW w:w="1300" w:type="pct"/>
            <w:vAlign w:val="center"/>
          </w:tcPr>
          <w:p>
            <w:pPr>
              <w:spacing w:line="240" w:lineRule="auto"/>
              <w:jc w:val="right"/>
            </w:pPr>
            <w:r>
              <w:rPr>
                <w:rFonts w:ascii="宋体" w:hAnsi="宋体" w:eastAsia="宋体" w:cs="宋体"/>
                <w:b w:val="0"/>
              </w:rPr>
              <w:t>101,365,967.85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12,131,941.46</w:t>
            </w:r>
          </w:p>
        </w:tc>
        <w:tc>
          <w:tcPr>
            <w:tcW w:w="1300" w:type="pct"/>
            <w:vAlign w:val="center"/>
          </w:tcPr>
          <w:p>
            <w:pPr>
              <w:spacing w:line="240" w:lineRule="auto"/>
              <w:jc w:val="right"/>
            </w:pPr>
            <w:r>
              <w:rPr>
                <w:rFonts w:ascii="宋体" w:hAnsi="宋体" w:eastAsia="宋体" w:cs="宋体"/>
                <w:b w:val="0"/>
              </w:rPr>
              <w:t>923,444,017.24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15,286,782.23</w:t>
            </w:r>
          </w:p>
        </w:tc>
        <w:tc>
          <w:tcPr>
            <w:tcW w:w="1300" w:type="pct"/>
            <w:vAlign w:val="center"/>
          </w:tcPr>
          <w:p>
            <w:pPr>
              <w:spacing w:line="240" w:lineRule="auto"/>
              <w:jc w:val="right"/>
            </w:pPr>
            <w:r>
              <w:rPr>
                <w:rFonts w:ascii="宋体" w:hAnsi="宋体" w:eastAsia="宋体" w:cs="宋体"/>
                <w:b w:val="0"/>
              </w:rPr>
              <w:t>314,632,204.32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21,981,743.96</w:t>
            </w:r>
          </w:p>
        </w:tc>
        <w:tc>
          <w:tcPr>
            <w:tcW w:w="1300" w:type="pct"/>
            <w:vAlign w:val="center"/>
          </w:tcPr>
          <w:p>
            <w:pPr>
              <w:spacing w:line="240" w:lineRule="auto"/>
              <w:jc w:val="right"/>
            </w:pPr>
            <w:r>
              <w:rPr>
                <w:rFonts w:ascii="宋体" w:hAnsi="宋体" w:eastAsia="宋体" w:cs="宋体"/>
                <w:b w:val="0"/>
              </w:rPr>
              <w:t>710,177,780.77</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692" w:type="pct"/>
            <w:shd w:val="clear" w:color="auto" w:fill="D9D9D9"/>
            <w:vAlign w:val="center"/>
          </w:tcPr>
          <w:p>
            <w:pPr>
              <w:spacing w:line="240" w:lineRule="auto"/>
              <w:jc w:val="center"/>
            </w:pPr>
            <w:r>
              <w:rPr>
                <w:rFonts w:ascii="宋体" w:hAnsi="宋体" w:eastAsia="宋体" w:cs="宋体"/>
                <w:b w:val="0"/>
              </w:rPr>
              <w:t>持有份额总数</w:t>
            </w:r>
          </w:p>
        </w:tc>
        <w:tc>
          <w:tcPr>
            <w:tcW w:w="692"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发起份额总数</w:t>
            </w:r>
          </w:p>
        </w:tc>
        <w:tc>
          <w:tcPr>
            <w:tcW w:w="692"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1.37%</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1.37%</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1.37%</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1.37%</w:t>
            </w:r>
          </w:p>
        </w:tc>
        <w:tc>
          <w:tcPr>
            <w:tcW w:w="0" w:type="dxa"/>
            <w:vAlign w:val="center"/>
          </w:tcPr>
          <w:p>
            <w:pPr>
              <w:spacing w:line="240" w:lineRule="auto"/>
              <w:jc w:val="left"/>
            </w:pPr>
            <w:r>
              <w:rPr>
                <w:rFonts w:ascii="宋体" w:hAnsi="宋体" w:eastAsia="宋体" w:cs="宋体"/>
                <w:b w:val="0"/>
              </w:rPr>
              <w:t>-</w:t>
            </w:r>
          </w:p>
        </w:tc>
      </w:tr>
    </w:tbl>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032"/>
        <w:gridCol w:w="1581"/>
        <w:gridCol w:w="1032"/>
        <w:gridCol w:w="1581"/>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机构</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2026年05月12日-2026年06月16日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31,543,960.90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31,543,960.90</w:t>
            </w:r>
          </w:p>
        </w:tc>
        <w:tc>
          <w:tcPr>
            <w:tcW w:w="0" w:type="dxa"/>
            <w:vAlign w:val="center"/>
          </w:tcPr>
          <w:p>
            <w:pPr>
              <w:spacing w:line="240" w:lineRule="auto"/>
              <w:jc w:val="right"/>
            </w:pPr>
            <w:r>
              <w:rPr>
                <w:rFonts w:ascii="宋体" w:hAnsi="宋体" w:eastAsia="宋体" w:cs="宋体"/>
                <w:b w:val="0"/>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1、中国证券监督管理委员会批准的东方阿尔法科技甄选混合型发起式证券投资基金设立的文件；</w:t>
      </w:r>
      <w:r>
        <w:rPr>
          <w:rFonts w:ascii="宋体" w:hAnsi="宋体" w:eastAsia="宋体" w:cs="宋体"/>
          <w:b w:val="0"/>
        </w:rPr>
        <w:br w:type="textWrapping"/>
      </w:r>
      <w:r>
        <w:rPr>
          <w:rFonts w:ascii="宋体" w:hAnsi="宋体" w:eastAsia="宋体" w:cs="宋体"/>
          <w:b w:val="0"/>
        </w:rPr>
        <w:t xml:space="preserve">    2、《东方阿尔法科技甄选混合型发起式证券投资基金基金合同》；</w:t>
      </w:r>
      <w:r>
        <w:rPr>
          <w:rFonts w:ascii="宋体" w:hAnsi="宋体" w:eastAsia="宋体" w:cs="宋体"/>
          <w:b w:val="0"/>
        </w:rPr>
        <w:br w:type="textWrapping"/>
      </w:r>
      <w:r>
        <w:rPr>
          <w:rFonts w:ascii="宋体" w:hAnsi="宋体" w:eastAsia="宋体" w:cs="宋体"/>
          <w:b w:val="0"/>
        </w:rPr>
        <w:t xml:space="preserve">    3、《东方阿尔法科技甄选混合型发起式证券投资基金托管协议》；</w:t>
      </w:r>
      <w:r>
        <w:rPr>
          <w:rFonts w:ascii="宋体" w:hAnsi="宋体" w:eastAsia="宋体" w:cs="宋体"/>
          <w:b w:val="0"/>
        </w:rPr>
        <w:br w:type="textWrapping"/>
      </w:r>
      <w:r>
        <w:rPr>
          <w:rFonts w:ascii="宋体" w:hAnsi="宋体" w:eastAsia="宋体" w:cs="宋体"/>
          <w:b w:val="0"/>
        </w:rPr>
        <w:t xml:space="preserve">    4、《东方阿尔法科技甄选混合型发起式证券投资基金招募说明书》（含更新）；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二〇二六年七月十五日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东方阿尔法科技甄选混合型发起式证券投资基金2026年第2季度报告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53A6DB9"/>
    <w:rsid w:val="17FF4F08"/>
    <w:rsid w:val="312016A7"/>
    <w:rsid w:val="328572ED"/>
    <w:rsid w:val="3E9A1429"/>
    <w:rsid w:val="50E94943"/>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2026-07-14T00:58:00Z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