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bookmarkStart w:id="1" w:name="_GoBack"/>
      <w:bookmarkEnd w:id="1"/>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东方阿尔法瑞利混合型发起式证券投资基金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2026年07月15日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本报告期自2026年04月14日（基金合同生效日）起至2026年06月30日止。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东方阿尔法瑞利混合发起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2026年04月14日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131,166,454.31份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在严格控制投资组合风险并保持基金资产良好的流动性的前提下，通过专业化研究分析，力争实现基金资产的稳健增值。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在大类资产配置的基础上，本基金将采用“自下而上”的方式精选个股，结合定性和定量分析对公司投资价值进行评估，在控制风险的基础上创造持续超越业绩比较基准的收益。</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本基金投资存托凭证的策略依照上述境内上市交易的股票投资策略执行。</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本基金将通过研究判断宏观经济趋势、财政和货币政策走向、市场供求和估值变化，合理配置债券类资产，并灵活运用久期偏离、收益率曲线配置和类属配置等投资策略。</w:t>
            </w:r>
            <w:r>
              <w:rPr>
                <w:rFonts w:ascii="宋体" w:hAnsi="宋体" w:eastAsia="宋体" w:cs="宋体"/>
                <w:b w:val="0"/>
              </w:rPr>
              <w:br w:type="textWrapping"/>
            </w:r>
            <w:r>
              <w:rPr>
                <w:rFonts w:ascii="宋体" w:hAnsi="宋体" w:eastAsia="宋体" w:cs="宋体"/>
                <w:b w:val="0"/>
              </w:rPr>
              <w:t>6、可转换债券及可交换债券投资策略</w:t>
            </w:r>
            <w:r>
              <w:rPr>
                <w:rFonts w:ascii="宋体" w:hAnsi="宋体" w:eastAsia="宋体" w:cs="宋体"/>
                <w:b w:val="0"/>
              </w:rPr>
              <w:br w:type="textWrapping"/>
            </w:r>
            <w:r>
              <w:rPr>
                <w:rFonts w:ascii="宋体" w:hAnsi="宋体" w:eastAsia="宋体" w:cs="宋体"/>
                <w:b w:val="0"/>
              </w:rPr>
              <w:t>本基金将通过对发行人、转股标的公司进行各自行业和基本面分析，再结合市场估值和内嵌条款对其投资价值进行综合判断。</w:t>
            </w:r>
            <w:r>
              <w:rPr>
                <w:rFonts w:ascii="宋体" w:hAnsi="宋体" w:eastAsia="宋体" w:cs="宋体"/>
                <w:b w:val="0"/>
              </w:rPr>
              <w:br w:type="textWrapping"/>
            </w:r>
            <w:r>
              <w:rPr>
                <w:rFonts w:ascii="宋体" w:hAnsi="宋体" w:eastAsia="宋体" w:cs="宋体"/>
                <w:b w:val="0"/>
              </w:rPr>
              <w:t>7、资产支持证券投资策略</w:t>
            </w:r>
            <w:r>
              <w:rPr>
                <w:rFonts w:ascii="宋体" w:hAnsi="宋体" w:eastAsia="宋体" w:cs="宋体"/>
                <w:b w:val="0"/>
              </w:rPr>
              <w:br w:type="textWrapping"/>
            </w:r>
            <w:r>
              <w:rPr>
                <w:rFonts w:ascii="宋体" w:hAnsi="宋体" w:eastAsia="宋体" w:cs="宋体"/>
                <w:b w:val="0"/>
              </w:rPr>
              <w:t>本基金将通过分析影响资产支持证券定价的多种因素，包括市场利率、发行条款、提前偿还率、支持资产的构成及质量等，评估其内在价值进行投资。</w:t>
            </w:r>
            <w:r>
              <w:rPr>
                <w:rFonts w:ascii="宋体" w:hAnsi="宋体" w:eastAsia="宋体" w:cs="宋体"/>
                <w:b w:val="0"/>
              </w:rPr>
              <w:br w:type="textWrapping"/>
            </w:r>
            <w:r>
              <w:rPr>
                <w:rFonts w:ascii="宋体" w:hAnsi="宋体" w:eastAsia="宋体" w:cs="宋体"/>
                <w:b w:val="0"/>
              </w:rPr>
              <w:t>8、股指期货投资策略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本基金将按照风险管理的原则，以套期保值为主要目的，参与股指期货的投资。本基金还将利用股指期货流动性好、交易成本低等特点，通过股指期货对投资组合的仓位进行及时调整，提高投资组合的运作效率。</w:t>
            </w:r>
            <w:r>
              <w:rPr>
                <w:rFonts w:ascii="宋体" w:hAnsi="宋体" w:eastAsia="宋体" w:cs="宋体"/>
                <w:b w:val="0"/>
              </w:rPr>
              <w:br w:type="textWrapping"/>
            </w:r>
            <w:r>
              <w:rPr>
                <w:rFonts w:ascii="宋体" w:hAnsi="宋体" w:eastAsia="宋体" w:cs="宋体"/>
                <w:b w:val="0"/>
              </w:rPr>
              <w:t>9、国债期货投资策略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本基金还将利用国债期货合约流动性好、交易成本低等特点，通过分析期货合约的风险收益特征对投资组合的利率风险暴露进行及时调整，提高投资组合的运作效率。</w:t>
            </w:r>
            <w:r>
              <w:rPr>
                <w:rFonts w:ascii="宋体" w:hAnsi="宋体" w:eastAsia="宋体" w:cs="宋体"/>
                <w:b w:val="0"/>
              </w:rPr>
              <w:br w:type="textWrapping"/>
            </w:r>
            <w:r>
              <w:rPr>
                <w:rFonts w:ascii="宋体" w:hAnsi="宋体" w:eastAsia="宋体" w:cs="宋体"/>
                <w:b w:val="0"/>
              </w:rPr>
              <w:t>10、股票期权投资策略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本基金以套期保值为主要目的参与股票期权交易，利用场内期权合约流动性好、交易成本低等特点，通过分析期权合约的风险收益特征对投资组合的仓位进行及时调整，提高投资组合的运作效率。</w:t>
            </w:r>
            <w:r>
              <w:rPr>
                <w:rFonts w:ascii="宋体" w:hAnsi="宋体" w:eastAsia="宋体" w:cs="宋体"/>
                <w:b w:val="0"/>
              </w:rPr>
              <w:br w:type="textWrapping"/>
            </w:r>
            <w:r>
              <w:rPr>
                <w:rFonts w:ascii="宋体" w:hAnsi="宋体" w:eastAsia="宋体" w:cs="宋体"/>
                <w:b w:val="0"/>
              </w:rPr>
              <w:t>11、融资业务投资策略</w:t>
            </w:r>
            <w:r>
              <w:rPr>
                <w:rFonts w:ascii="宋体" w:hAnsi="宋体" w:eastAsia="宋体" w:cs="宋体"/>
                <w:b w:val="0"/>
              </w:rPr>
              <w:br w:type="textWrapping"/>
            </w:r>
            <w:r>
              <w:rPr>
                <w:rFonts w:ascii="宋体" w:hAnsi="宋体" w:eastAsia="宋体" w:cs="宋体"/>
                <w:b w:val="0"/>
              </w:rPr>
              <w:t>本基金如参与融资业务，将综合考虑融资成本、保证金比例、冲抵保证金证券折算率、信用资质等条件选择合适的交易对手方。在保障基金投资组合充足流动性以及有效控制融资杠杆风险的前提下，确定融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中证800指数收益率×60%+中证综合债（全价）指数收益率×20%+恒生指数收益率×20%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东方阿尔法瑞利混合发起A</w:t>
            </w:r>
          </w:p>
        </w:tc>
        <w:tc>
          <w:tcPr>
            <w:tcW w:w="1500" w:type="pct"/>
            <w:vAlign w:val="center"/>
          </w:tcPr>
          <w:p>
            <w:pPr>
              <w:spacing w:line="240" w:lineRule="auto"/>
              <w:jc w:val="left"/>
            </w:pPr>
            <w:r>
              <w:rPr>
                <w:rFonts w:ascii="宋体" w:hAnsi="宋体" w:eastAsia="宋体" w:cs="宋体"/>
                <w:b w:val="0"/>
              </w:rPr>
              <w:t>东方阿尔法瑞利混合发起C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026993</w:t>
            </w:r>
          </w:p>
        </w:tc>
        <w:tc>
          <w:tcPr>
            <w:tcW w:w="1500" w:type="pct"/>
            <w:vAlign w:val="center"/>
          </w:tcPr>
          <w:p>
            <w:pPr>
              <w:spacing w:line="240" w:lineRule="auto"/>
              <w:jc w:val="left"/>
            </w:pPr>
            <w:r>
              <w:rPr>
                <w:rFonts w:ascii="宋体" w:hAnsi="宋体" w:eastAsia="宋体" w:cs="宋体"/>
                <w:b w:val="0"/>
              </w:rPr>
              <w:t>026994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20,662,213.71份</w:t>
            </w:r>
          </w:p>
        </w:tc>
        <w:tc>
          <w:tcPr>
            <w:tcW w:w="1500" w:type="pct"/>
            <w:vAlign w:val="center"/>
          </w:tcPr>
          <w:p>
            <w:pPr>
              <w:spacing w:line="240" w:lineRule="auto"/>
              <w:jc w:val="left"/>
            </w:pPr>
            <w:r>
              <w:rPr>
                <w:rFonts w:ascii="宋体" w:hAnsi="宋体" w:eastAsia="宋体" w:cs="宋体"/>
                <w:b w:val="0"/>
              </w:rPr>
              <w:t>110,504,240.60份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报告期（2026年04月14日（基金合同生效日）-2026年06月30日）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东方阿尔法瑞利混合发起A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东方阿尔法瑞利混合发起C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-451,954.49</w:t>
            </w:r>
          </w:p>
        </w:tc>
        <w:tc>
          <w:tcPr>
            <w:tcW w:w="1500" w:type="pct"/>
            <w:vAlign w:val="center"/>
          </w:tcPr>
          <w:p>
            <w:pPr>
              <w:spacing w:line="240" w:lineRule="auto"/>
              <w:jc w:val="right"/>
            </w:pPr>
            <w:r>
              <w:rPr>
                <w:rFonts w:ascii="宋体" w:hAnsi="宋体" w:eastAsia="宋体" w:cs="宋体"/>
                <w:b w:val="0"/>
              </w:rPr>
              <w:t>-3,350,519.65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6,540,120.70</w:t>
            </w:r>
          </w:p>
        </w:tc>
        <w:tc>
          <w:tcPr>
            <w:tcW w:w="1500" w:type="pct"/>
            <w:vAlign w:val="center"/>
          </w:tcPr>
          <w:p>
            <w:pPr>
              <w:spacing w:line="240" w:lineRule="auto"/>
              <w:jc w:val="right"/>
            </w:pPr>
            <w:r>
              <w:rPr>
                <w:rFonts w:ascii="宋体" w:hAnsi="宋体" w:eastAsia="宋体" w:cs="宋体"/>
                <w:b w:val="0"/>
              </w:rPr>
              <w:t>15,895,231.16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0.3940</w:t>
            </w:r>
          </w:p>
        </w:tc>
        <w:tc>
          <w:tcPr>
            <w:tcW w:w="1500" w:type="pct"/>
            <w:vAlign w:val="center"/>
          </w:tcPr>
          <w:p>
            <w:pPr>
              <w:spacing w:line="240" w:lineRule="auto"/>
              <w:jc w:val="right"/>
            </w:pPr>
            <w:r>
              <w:rPr>
                <w:rFonts w:ascii="宋体" w:hAnsi="宋体" w:eastAsia="宋体" w:cs="宋体"/>
                <w:b w:val="0"/>
              </w:rPr>
              <w:t>0.2431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30,007,497.95</w:t>
            </w:r>
          </w:p>
        </w:tc>
        <w:tc>
          <w:tcPr>
            <w:tcW w:w="1500" w:type="pct"/>
            <w:vAlign w:val="center"/>
          </w:tcPr>
          <w:p>
            <w:pPr>
              <w:spacing w:line="240" w:lineRule="auto"/>
              <w:jc w:val="right"/>
            </w:pPr>
            <w:r>
              <w:rPr>
                <w:rFonts w:ascii="宋体" w:hAnsi="宋体" w:eastAsia="宋体" w:cs="宋体"/>
                <w:b w:val="0"/>
              </w:rPr>
              <w:t>160,397,432.17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1.4523</w:t>
            </w:r>
          </w:p>
        </w:tc>
        <w:tc>
          <w:tcPr>
            <w:tcW w:w="1500" w:type="pct"/>
            <w:vAlign w:val="center"/>
          </w:tcPr>
          <w:p>
            <w:pPr>
              <w:spacing w:line="240" w:lineRule="auto"/>
              <w:jc w:val="right"/>
            </w:pPr>
            <w:r>
              <w:rPr>
                <w:rFonts w:ascii="宋体" w:hAnsi="宋体" w:eastAsia="宋体" w:cs="宋体"/>
                <w:b w:val="0"/>
              </w:rPr>
              <w:t>1.4515</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东方阿尔法瑞利混合发起A净值表现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45.23%</w:t>
            </w:r>
          </w:p>
        </w:tc>
        <w:tc>
          <w:tcPr>
            <w:tcW w:w="0" w:type="dxa"/>
            <w:vAlign w:val="center"/>
          </w:tcPr>
          <w:p>
            <w:pPr>
              <w:spacing w:line="240" w:lineRule="auto"/>
              <w:jc w:val="right"/>
            </w:pPr>
            <w:r>
              <w:rPr>
                <w:rFonts w:ascii="宋体" w:hAnsi="宋体" w:eastAsia="宋体" w:cs="宋体"/>
                <w:b w:val="0"/>
              </w:rPr>
              <w:t>3.39%</w:t>
            </w:r>
          </w:p>
        </w:tc>
        <w:tc>
          <w:tcPr>
            <w:tcW w:w="0" w:type="dxa"/>
            <w:vAlign w:val="center"/>
          </w:tcPr>
          <w:p>
            <w:pPr>
              <w:spacing w:line="240" w:lineRule="auto"/>
              <w:jc w:val="right"/>
            </w:pPr>
            <w:r>
              <w:rPr>
                <w:rFonts w:ascii="宋体" w:hAnsi="宋体" w:eastAsia="宋体" w:cs="宋体"/>
                <w:b w:val="0"/>
              </w:rPr>
              <w:t>2.85%</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42.38%</w:t>
            </w:r>
          </w:p>
        </w:tc>
        <w:tc>
          <w:tcPr>
            <w:tcW w:w="0" w:type="dxa"/>
            <w:vAlign w:val="center"/>
          </w:tcPr>
          <w:p>
            <w:pPr>
              <w:spacing w:line="240" w:lineRule="auto"/>
              <w:jc w:val="right"/>
            </w:pPr>
            <w:r>
              <w:rPr>
                <w:rFonts w:ascii="宋体" w:hAnsi="宋体" w:eastAsia="宋体" w:cs="宋体"/>
                <w:b w:val="0"/>
              </w:rPr>
              <w:t>2.49%</w:t>
            </w:r>
          </w:p>
        </w:tc>
      </w:tr>
    </w:tbl>
    <w:p>
      <w:pPr>
        <w:jc w:val="left"/>
      </w:pPr>
      <w:r>
        <w:rPr>
          <w:rFonts w:ascii="宋体" w:hAnsi="宋体" w:eastAsia="宋体" w:cs="宋体"/>
          <w:b/>
        </w:rPr>
        <w:t>东方阿尔法瑞利混合发起C净值表现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45.15%</w:t>
            </w:r>
          </w:p>
        </w:tc>
        <w:tc>
          <w:tcPr>
            <w:tcW w:w="0" w:type="dxa"/>
            <w:vAlign w:val="center"/>
          </w:tcPr>
          <w:p>
            <w:pPr>
              <w:spacing w:line="240" w:lineRule="auto"/>
              <w:jc w:val="right"/>
            </w:pPr>
            <w:r>
              <w:rPr>
                <w:rFonts w:ascii="宋体" w:hAnsi="宋体" w:eastAsia="宋体" w:cs="宋体"/>
                <w:b w:val="0"/>
              </w:rPr>
              <w:t>3.39%</w:t>
            </w:r>
          </w:p>
        </w:tc>
        <w:tc>
          <w:tcPr>
            <w:tcW w:w="0" w:type="dxa"/>
            <w:vAlign w:val="center"/>
          </w:tcPr>
          <w:p>
            <w:pPr>
              <w:spacing w:line="240" w:lineRule="auto"/>
              <w:jc w:val="right"/>
            </w:pPr>
            <w:r>
              <w:rPr>
                <w:rFonts w:ascii="宋体" w:hAnsi="宋体" w:eastAsia="宋体" w:cs="宋体"/>
                <w:b w:val="0"/>
              </w:rPr>
              <w:t>2.85%</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42.30%</w:t>
            </w:r>
          </w:p>
        </w:tc>
        <w:tc>
          <w:tcPr>
            <w:tcW w:w="0" w:type="dxa"/>
            <w:vAlign w:val="center"/>
          </w:tcPr>
          <w:p>
            <w:pPr>
              <w:spacing w:line="240" w:lineRule="auto"/>
              <w:jc w:val="right"/>
            </w:pPr>
            <w:r>
              <w:rPr>
                <w:rFonts w:ascii="宋体" w:hAnsi="宋体" w:eastAsia="宋体" w:cs="宋体"/>
                <w:b w:val="0"/>
              </w:rPr>
              <w:t>2.49%</w:t>
            </w:r>
          </w:p>
        </w:tc>
      </w:tr>
    </w:tbl>
    <w:p>
      <w:r>
        <w:rPr>
          <w:rFonts w:ascii="宋体" w:hAnsi="宋体" w:eastAsia="宋体" w:cs="宋体"/>
          <w:b w:val="0"/>
        </w:rPr>
        <w:t>注：本基金业绩比较基准为：中证800指数收益率×60%+中证综合债（全价）指数收益率×20%+恒生指数收益率×20%。</w:t>
      </w:r>
      <w:r>
        <w:rPr>
          <w:rFonts w:ascii="宋体" w:hAnsi="宋体" w:eastAsia="宋体" w:cs="宋体"/>
          <w:b w:val="0"/>
        </w:rPr>
        <w:br w:type="textWrapping"/>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2026-04-14</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2026-05-11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5年</w:t>
            </w:r>
          </w:p>
        </w:tc>
        <w:tc>
          <w:tcPr>
            <w:tcW w:w="0" w:type="dxa"/>
            <w:vAlign w:val="center"/>
          </w:tcPr>
          <w:p>
            <w:pPr>
              <w:spacing w:line="240" w:lineRule="auto"/>
              <w:jc w:val="left"/>
            </w:pPr>
            <w:r>
              <w:rPr>
                <w:rFonts w:ascii="宋体" w:hAnsi="宋体" w:eastAsia="宋体" w:cs="宋体"/>
                <w:b w:val="0"/>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回顾2026年二季度，中东地缘冲突缓解，石油价格逐渐回落到冲突前的水平，宏观风险阶段性解除后，全球主要国家资本市场趋势向上，AI产业链相关的资产进入上行趋势。</w:t>
      </w:r>
      <w:r>
        <w:rPr>
          <w:rFonts w:ascii="宋体" w:hAnsi="宋体" w:eastAsia="宋体" w:cs="宋体"/>
          <w:b w:val="0"/>
        </w:rPr>
        <w:br w:type="textWrapping"/>
      </w:r>
      <w:r>
        <w:rPr>
          <w:rFonts w:ascii="宋体" w:hAnsi="宋体" w:eastAsia="宋体" w:cs="宋体"/>
          <w:b w:val="0"/>
        </w:rPr>
        <w:t xml:space="preserve">    国内AI大模型快速发展，与海外大模型的差距快速缩小，带动国内对AI数据中心建设的需求。由于美国对出口到我国的GPU设置了严格限制，国内无法正常采购海外性能最好的GPU，因此GPU的国产替代进入加速阶段。国产算力产业链，迎来景气度加速和国产替代率加速的双重趋势，未来的高增速可期。</w:t>
      </w:r>
      <w:r>
        <w:rPr>
          <w:rFonts w:ascii="宋体" w:hAnsi="宋体" w:eastAsia="宋体" w:cs="宋体"/>
          <w:b w:val="0"/>
        </w:rPr>
        <w:br w:type="textWrapping"/>
      </w:r>
      <w:r>
        <w:rPr>
          <w:rFonts w:ascii="宋体" w:hAnsi="宋体" w:eastAsia="宋体" w:cs="宋体"/>
          <w:b w:val="0"/>
        </w:rPr>
        <w:t xml:space="preserve">    展望2026年三季度，我们认为国产算力方向具有好的投资机会。一方面，头部大模型厂商和云厂商的需求旺盛，国产GPU的性能能满足客户对推理和部分训练场景的需求，国产GPU处于供不应求的卖方市场；另一方面，国产GPU供应链的卡点逐步打通，供应端进入加速释放的阶段，相应的业绩也会随着供应增加而快速增长。</w:t>
      </w:r>
      <w:r>
        <w:rPr>
          <w:rFonts w:ascii="宋体" w:hAnsi="宋体" w:eastAsia="宋体" w:cs="宋体"/>
          <w:b w:val="0"/>
        </w:rPr>
        <w:br w:type="textWrapping"/>
      </w:r>
      <w:r>
        <w:rPr>
          <w:rFonts w:ascii="宋体" w:hAnsi="宋体" w:eastAsia="宋体" w:cs="宋体"/>
          <w:b w:val="0"/>
        </w:rPr>
        <w:t xml:space="preserve">    基于以上分析，本基金持续关注国产算力链条，把握国产算力的投资机会。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瑞利混合发起A基金份额净值为1.4523元，本报告期内，该类基金份额净值增长率为45.23%，同期业绩比较基准收益率为2.85%；截至报告期末东方阿尔法瑞利混合发起C基金份额净值为1.4515元，本报告期内，该类基金份额净值增长率为45.15%，同期业绩比较基准收益率为2.85%。</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177,318,235.39</w:t>
            </w:r>
          </w:p>
        </w:tc>
        <w:tc>
          <w:tcPr>
            <w:tcW w:w="0" w:type="dxa"/>
            <w:vAlign w:val="center"/>
          </w:tcPr>
          <w:p>
            <w:pPr>
              <w:spacing w:line="240" w:lineRule="auto"/>
              <w:jc w:val="right"/>
            </w:pPr>
            <w:r>
              <w:rPr>
                <w:rFonts w:ascii="宋体" w:hAnsi="宋体" w:eastAsia="宋体" w:cs="宋体"/>
                <w:b w:val="0"/>
              </w:rPr>
              <w:t>87.06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177,318,235.39</w:t>
            </w:r>
          </w:p>
        </w:tc>
        <w:tc>
          <w:tcPr>
            <w:tcW w:w="0" w:type="dxa"/>
            <w:vAlign w:val="center"/>
          </w:tcPr>
          <w:p>
            <w:pPr>
              <w:spacing w:line="240" w:lineRule="auto"/>
              <w:jc w:val="right"/>
            </w:pPr>
            <w:r>
              <w:rPr>
                <w:rFonts w:ascii="宋体" w:hAnsi="宋体" w:eastAsia="宋体" w:cs="宋体"/>
                <w:b w:val="0"/>
              </w:rPr>
              <w:t>87.06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10,225,409.20</w:t>
            </w:r>
          </w:p>
        </w:tc>
        <w:tc>
          <w:tcPr>
            <w:tcW w:w="0" w:type="dxa"/>
            <w:vAlign w:val="center"/>
          </w:tcPr>
          <w:p>
            <w:pPr>
              <w:spacing w:line="240" w:lineRule="auto"/>
              <w:jc w:val="right"/>
            </w:pPr>
            <w:r>
              <w:rPr>
                <w:rFonts w:ascii="宋体" w:hAnsi="宋体" w:eastAsia="宋体" w:cs="宋体"/>
                <w:b w:val="0"/>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10,225,409.20</w:t>
            </w:r>
          </w:p>
        </w:tc>
        <w:tc>
          <w:tcPr>
            <w:tcW w:w="0" w:type="dxa"/>
            <w:vAlign w:val="center"/>
          </w:tcPr>
          <w:p>
            <w:pPr>
              <w:spacing w:line="240" w:lineRule="auto"/>
              <w:jc w:val="right"/>
            </w:pPr>
            <w:r>
              <w:rPr>
                <w:rFonts w:ascii="宋体" w:hAnsi="宋体" w:eastAsia="宋体" w:cs="宋体"/>
                <w:b w:val="0"/>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11,537,701.84</w:t>
            </w:r>
          </w:p>
        </w:tc>
        <w:tc>
          <w:tcPr>
            <w:tcW w:w="0" w:type="dxa"/>
            <w:vAlign w:val="center"/>
          </w:tcPr>
          <w:p>
            <w:pPr>
              <w:spacing w:line="240" w:lineRule="auto"/>
              <w:jc w:val="right"/>
            </w:pPr>
            <w:r>
              <w:rPr>
                <w:rFonts w:ascii="宋体" w:hAnsi="宋体" w:eastAsia="宋体" w:cs="宋体"/>
                <w:b w:val="0"/>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4,587,242.09</w:t>
            </w:r>
          </w:p>
        </w:tc>
        <w:tc>
          <w:tcPr>
            <w:tcW w:w="0" w:type="dxa"/>
            <w:vAlign w:val="center"/>
          </w:tcPr>
          <w:p>
            <w:pPr>
              <w:spacing w:line="240" w:lineRule="auto"/>
              <w:jc w:val="right"/>
            </w:pPr>
            <w:r>
              <w:rPr>
                <w:rFonts w:ascii="宋体" w:hAnsi="宋体" w:eastAsia="宋体" w:cs="宋体"/>
                <w:b w:val="0"/>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203,668,588.52</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注：报告期末本基金通过港股通交易机制投资的港股公允价值合计11,809,083.74元，占基金资产净值的比例为6.20%。</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97,973,583.71</w:t>
            </w:r>
          </w:p>
        </w:tc>
        <w:tc>
          <w:tcPr>
            <w:tcW w:w="0" w:type="dxa"/>
            <w:vAlign w:val="center"/>
          </w:tcPr>
          <w:p>
            <w:pPr>
              <w:spacing w:line="240" w:lineRule="auto"/>
              <w:jc w:val="right"/>
            </w:pPr>
            <w:r>
              <w:rPr>
                <w:rFonts w:ascii="宋体" w:hAnsi="宋体" w:eastAsia="宋体" w:cs="宋体"/>
                <w:b w:val="0"/>
              </w:rPr>
              <w:t>51.46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64,561,241.94</w:t>
            </w:r>
          </w:p>
        </w:tc>
        <w:tc>
          <w:tcPr>
            <w:tcW w:w="0" w:type="dxa"/>
            <w:vAlign w:val="center"/>
          </w:tcPr>
          <w:p>
            <w:pPr>
              <w:spacing w:line="240" w:lineRule="auto"/>
              <w:jc w:val="right"/>
            </w:pPr>
            <w:r>
              <w:rPr>
                <w:rFonts w:ascii="宋体" w:hAnsi="宋体" w:eastAsia="宋体" w:cs="宋体"/>
                <w:b w:val="0"/>
              </w:rPr>
              <w:t>33.91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2,974,326.00</w:t>
            </w:r>
          </w:p>
        </w:tc>
        <w:tc>
          <w:tcPr>
            <w:tcW w:w="0" w:type="dxa"/>
            <w:vAlign w:val="center"/>
          </w:tcPr>
          <w:p>
            <w:pPr>
              <w:spacing w:line="240" w:lineRule="auto"/>
              <w:jc w:val="right"/>
            </w:pPr>
            <w:r>
              <w:rPr>
                <w:rFonts w:ascii="宋体" w:hAnsi="宋体" w:eastAsia="宋体" w:cs="宋体"/>
                <w:b w:val="0"/>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165,509,151.65</w:t>
            </w:r>
          </w:p>
        </w:tc>
        <w:tc>
          <w:tcPr>
            <w:tcW w:w="0" w:type="dxa"/>
            <w:vAlign w:val="center"/>
          </w:tcPr>
          <w:p>
            <w:pPr>
              <w:spacing w:line="240" w:lineRule="auto"/>
              <w:jc w:val="right"/>
            </w:pPr>
            <w:r>
              <w:rPr>
                <w:rFonts w:ascii="宋体" w:hAnsi="宋体" w:eastAsia="宋体" w:cs="宋体"/>
                <w:b w:val="0"/>
              </w:rPr>
              <w:t>86.92</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11,809,083.74</w:t>
            </w:r>
          </w:p>
        </w:tc>
        <w:tc>
          <w:tcPr>
            <w:tcW w:w="0" w:type="dxa"/>
            <w:vAlign w:val="center"/>
          </w:tcPr>
          <w:p>
            <w:pPr>
              <w:spacing w:line="240" w:lineRule="auto"/>
              <w:jc w:val="right"/>
            </w:pPr>
            <w:r>
              <w:rPr>
                <w:rFonts w:ascii="宋体" w:hAnsi="宋体" w:eastAsia="宋体" w:cs="宋体"/>
                <w:b w:val="0"/>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11,809,083.74</w:t>
            </w:r>
          </w:p>
        </w:tc>
        <w:tc>
          <w:tcPr>
            <w:tcW w:w="0" w:type="dxa"/>
            <w:vAlign w:val="center"/>
          </w:tcPr>
          <w:p>
            <w:pPr>
              <w:spacing w:line="240" w:lineRule="auto"/>
              <w:jc w:val="right"/>
            </w:pPr>
            <w:r>
              <w:rPr>
                <w:rFonts w:ascii="宋体" w:hAnsi="宋体" w:eastAsia="宋体" w:cs="宋体"/>
                <w:b w:val="0"/>
              </w:rPr>
              <w:t>6.20</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688702</w:t>
            </w:r>
          </w:p>
        </w:tc>
        <w:tc>
          <w:tcPr>
            <w:tcW w:w="0" w:type="dxa"/>
            <w:vAlign w:val="center"/>
          </w:tcPr>
          <w:p>
            <w:pPr>
              <w:spacing w:line="240" w:lineRule="auto"/>
              <w:jc w:val="left"/>
            </w:pPr>
            <w:r>
              <w:rPr>
                <w:rFonts w:ascii="宋体" w:hAnsi="宋体" w:eastAsia="宋体" w:cs="宋体"/>
                <w:b w:val="0"/>
              </w:rPr>
              <w:t>盛科通信</w:t>
            </w:r>
          </w:p>
        </w:tc>
        <w:tc>
          <w:tcPr>
            <w:tcW w:w="0" w:type="dxa"/>
            <w:vAlign w:val="center"/>
          </w:tcPr>
          <w:p>
            <w:pPr>
              <w:spacing w:line="240" w:lineRule="auto"/>
              <w:jc w:val="right"/>
            </w:pPr>
            <w:r>
              <w:rPr>
                <w:rFonts w:ascii="宋体" w:hAnsi="宋体" w:eastAsia="宋体" w:cs="宋体"/>
                <w:b w:val="0"/>
              </w:rPr>
              <w:t>44,448</w:t>
            </w:r>
          </w:p>
        </w:tc>
        <w:tc>
          <w:tcPr>
            <w:tcW w:w="0" w:type="dxa"/>
            <w:vAlign w:val="center"/>
          </w:tcPr>
          <w:p>
            <w:pPr>
              <w:spacing w:line="240" w:lineRule="auto"/>
              <w:jc w:val="right"/>
            </w:pPr>
            <w:r>
              <w:rPr>
                <w:rFonts w:ascii="宋体" w:hAnsi="宋体" w:eastAsia="宋体" w:cs="宋体"/>
                <w:b w:val="0"/>
              </w:rPr>
              <w:t>17,334,275.52</w:t>
            </w:r>
          </w:p>
        </w:tc>
        <w:tc>
          <w:tcPr>
            <w:tcW w:w="0" w:type="dxa"/>
            <w:vAlign w:val="center"/>
          </w:tcPr>
          <w:p>
            <w:pPr>
              <w:spacing w:line="240" w:lineRule="auto"/>
              <w:jc w:val="right"/>
            </w:pPr>
            <w:r>
              <w:rPr>
                <w:rFonts w:ascii="宋体" w:hAnsi="宋体" w:eastAsia="宋体" w:cs="宋体"/>
                <w:b w:val="0"/>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688256</w:t>
            </w:r>
          </w:p>
        </w:tc>
        <w:tc>
          <w:tcPr>
            <w:tcW w:w="0" w:type="dxa"/>
            <w:vAlign w:val="center"/>
          </w:tcPr>
          <w:p>
            <w:pPr>
              <w:spacing w:line="240" w:lineRule="auto"/>
              <w:jc w:val="left"/>
            </w:pPr>
            <w:r>
              <w:rPr>
                <w:rFonts w:ascii="宋体" w:hAnsi="宋体" w:eastAsia="宋体" w:cs="宋体"/>
                <w:b w:val="0"/>
              </w:rPr>
              <w:t>寒武纪</w:t>
            </w:r>
          </w:p>
        </w:tc>
        <w:tc>
          <w:tcPr>
            <w:tcW w:w="0" w:type="dxa"/>
            <w:vAlign w:val="center"/>
          </w:tcPr>
          <w:p>
            <w:pPr>
              <w:spacing w:line="240" w:lineRule="auto"/>
              <w:jc w:val="right"/>
            </w:pPr>
            <w:r>
              <w:rPr>
                <w:rFonts w:ascii="宋体" w:hAnsi="宋体" w:eastAsia="宋体" w:cs="宋体"/>
                <w:b w:val="0"/>
              </w:rPr>
              <w:t>10,093</w:t>
            </w:r>
          </w:p>
        </w:tc>
        <w:tc>
          <w:tcPr>
            <w:tcW w:w="0" w:type="dxa"/>
            <w:vAlign w:val="center"/>
          </w:tcPr>
          <w:p>
            <w:pPr>
              <w:spacing w:line="240" w:lineRule="auto"/>
              <w:jc w:val="right"/>
            </w:pPr>
            <w:r>
              <w:rPr>
                <w:rFonts w:ascii="宋体" w:hAnsi="宋体" w:eastAsia="宋体" w:cs="宋体"/>
                <w:b w:val="0"/>
              </w:rPr>
              <w:t>16,103,886.15</w:t>
            </w:r>
          </w:p>
        </w:tc>
        <w:tc>
          <w:tcPr>
            <w:tcW w:w="0" w:type="dxa"/>
            <w:vAlign w:val="center"/>
          </w:tcPr>
          <w:p>
            <w:pPr>
              <w:spacing w:line="240" w:lineRule="auto"/>
              <w:jc w:val="right"/>
            </w:pPr>
            <w:r>
              <w:rPr>
                <w:rFonts w:ascii="宋体" w:hAnsi="宋体" w:eastAsia="宋体" w:cs="宋体"/>
                <w:b w:val="0"/>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688521</w:t>
            </w:r>
          </w:p>
        </w:tc>
        <w:tc>
          <w:tcPr>
            <w:tcW w:w="0" w:type="dxa"/>
            <w:vAlign w:val="center"/>
          </w:tcPr>
          <w:p>
            <w:pPr>
              <w:spacing w:line="240" w:lineRule="auto"/>
              <w:jc w:val="left"/>
            </w:pPr>
            <w:r>
              <w:rPr>
                <w:rFonts w:ascii="宋体" w:hAnsi="宋体" w:eastAsia="宋体" w:cs="宋体"/>
                <w:b w:val="0"/>
              </w:rPr>
              <w:t>芯原股份</w:t>
            </w:r>
          </w:p>
        </w:tc>
        <w:tc>
          <w:tcPr>
            <w:tcW w:w="0" w:type="dxa"/>
            <w:vAlign w:val="center"/>
          </w:tcPr>
          <w:p>
            <w:pPr>
              <w:spacing w:line="240" w:lineRule="auto"/>
              <w:jc w:val="right"/>
            </w:pPr>
            <w:r>
              <w:rPr>
                <w:rFonts w:ascii="宋体" w:hAnsi="宋体" w:eastAsia="宋体" w:cs="宋体"/>
                <w:b w:val="0"/>
              </w:rPr>
              <w:t>42,919</w:t>
            </w:r>
          </w:p>
        </w:tc>
        <w:tc>
          <w:tcPr>
            <w:tcW w:w="0" w:type="dxa"/>
            <w:vAlign w:val="center"/>
          </w:tcPr>
          <w:p>
            <w:pPr>
              <w:spacing w:line="240" w:lineRule="auto"/>
              <w:jc w:val="right"/>
            </w:pPr>
            <w:r>
              <w:rPr>
                <w:rFonts w:ascii="宋体" w:hAnsi="宋体" w:eastAsia="宋体" w:cs="宋体"/>
                <w:b w:val="0"/>
              </w:rPr>
              <w:t>15,928,957.66</w:t>
            </w:r>
          </w:p>
        </w:tc>
        <w:tc>
          <w:tcPr>
            <w:tcW w:w="0" w:type="dxa"/>
            <w:vAlign w:val="center"/>
          </w:tcPr>
          <w:p>
            <w:pPr>
              <w:spacing w:line="240" w:lineRule="auto"/>
              <w:jc w:val="right"/>
            </w:pPr>
            <w:r>
              <w:rPr>
                <w:rFonts w:ascii="宋体" w:hAnsi="宋体" w:eastAsia="宋体" w:cs="宋体"/>
                <w:b w:val="0"/>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688041</w:t>
            </w:r>
          </w:p>
        </w:tc>
        <w:tc>
          <w:tcPr>
            <w:tcW w:w="0" w:type="dxa"/>
            <w:vAlign w:val="center"/>
          </w:tcPr>
          <w:p>
            <w:pPr>
              <w:spacing w:line="240" w:lineRule="auto"/>
              <w:jc w:val="left"/>
            </w:pPr>
            <w:r>
              <w:rPr>
                <w:rFonts w:ascii="宋体" w:hAnsi="宋体" w:eastAsia="宋体" w:cs="宋体"/>
                <w:b w:val="0"/>
              </w:rPr>
              <w:t>海光信息</w:t>
            </w:r>
          </w:p>
        </w:tc>
        <w:tc>
          <w:tcPr>
            <w:tcW w:w="0" w:type="dxa"/>
            <w:vAlign w:val="center"/>
          </w:tcPr>
          <w:p>
            <w:pPr>
              <w:spacing w:line="240" w:lineRule="auto"/>
              <w:jc w:val="right"/>
            </w:pPr>
            <w:r>
              <w:rPr>
                <w:rFonts w:ascii="宋体" w:hAnsi="宋体" w:eastAsia="宋体" w:cs="宋体"/>
                <w:b w:val="0"/>
              </w:rPr>
              <w:t>42,143</w:t>
            </w:r>
          </w:p>
        </w:tc>
        <w:tc>
          <w:tcPr>
            <w:tcW w:w="0" w:type="dxa"/>
            <w:vAlign w:val="center"/>
          </w:tcPr>
          <w:p>
            <w:pPr>
              <w:spacing w:line="240" w:lineRule="auto"/>
              <w:jc w:val="right"/>
            </w:pPr>
            <w:r>
              <w:rPr>
                <w:rFonts w:ascii="宋体" w:hAnsi="宋体" w:eastAsia="宋体" w:cs="宋体"/>
                <w:b w:val="0"/>
              </w:rPr>
              <w:t>15,605,552.90</w:t>
            </w:r>
          </w:p>
        </w:tc>
        <w:tc>
          <w:tcPr>
            <w:tcW w:w="0" w:type="dxa"/>
            <w:vAlign w:val="center"/>
          </w:tcPr>
          <w:p>
            <w:pPr>
              <w:spacing w:line="240" w:lineRule="auto"/>
              <w:jc w:val="right"/>
            </w:pPr>
            <w:r>
              <w:rPr>
                <w:rFonts w:ascii="宋体" w:hAnsi="宋体" w:eastAsia="宋体" w:cs="宋体"/>
                <w:b w:val="0"/>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688802</w:t>
            </w:r>
          </w:p>
        </w:tc>
        <w:tc>
          <w:tcPr>
            <w:tcW w:w="0" w:type="dxa"/>
            <w:vAlign w:val="center"/>
          </w:tcPr>
          <w:p>
            <w:pPr>
              <w:spacing w:line="240" w:lineRule="auto"/>
              <w:jc w:val="left"/>
            </w:pPr>
            <w:r>
              <w:rPr>
                <w:rFonts w:ascii="宋体" w:hAnsi="宋体" w:eastAsia="宋体" w:cs="宋体"/>
                <w:b w:val="0"/>
              </w:rPr>
              <w:t>沐曦股份</w:t>
            </w:r>
          </w:p>
        </w:tc>
        <w:tc>
          <w:tcPr>
            <w:tcW w:w="0" w:type="dxa"/>
            <w:vAlign w:val="center"/>
          </w:tcPr>
          <w:p>
            <w:pPr>
              <w:spacing w:line="240" w:lineRule="auto"/>
              <w:jc w:val="right"/>
            </w:pPr>
            <w:r>
              <w:rPr>
                <w:rFonts w:ascii="宋体" w:hAnsi="宋体" w:eastAsia="宋体" w:cs="宋体"/>
                <w:b w:val="0"/>
              </w:rPr>
              <w:t>15,981</w:t>
            </w:r>
          </w:p>
        </w:tc>
        <w:tc>
          <w:tcPr>
            <w:tcW w:w="0" w:type="dxa"/>
            <w:vAlign w:val="center"/>
          </w:tcPr>
          <w:p>
            <w:pPr>
              <w:spacing w:line="240" w:lineRule="auto"/>
              <w:jc w:val="right"/>
            </w:pPr>
            <w:r>
              <w:rPr>
                <w:rFonts w:ascii="宋体" w:hAnsi="宋体" w:eastAsia="宋体" w:cs="宋体"/>
                <w:b w:val="0"/>
              </w:rPr>
              <w:t>13,237,062.30</w:t>
            </w:r>
          </w:p>
        </w:tc>
        <w:tc>
          <w:tcPr>
            <w:tcW w:w="0" w:type="dxa"/>
            <w:vAlign w:val="center"/>
          </w:tcPr>
          <w:p>
            <w:pPr>
              <w:spacing w:line="240" w:lineRule="auto"/>
              <w:jc w:val="right"/>
            </w:pPr>
            <w:r>
              <w:rPr>
                <w:rFonts w:ascii="宋体" w:hAnsi="宋体" w:eastAsia="宋体" w:cs="宋体"/>
                <w:b w:val="0"/>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688795</w:t>
            </w:r>
          </w:p>
        </w:tc>
        <w:tc>
          <w:tcPr>
            <w:tcW w:w="0" w:type="dxa"/>
            <w:vAlign w:val="center"/>
          </w:tcPr>
          <w:p>
            <w:pPr>
              <w:spacing w:line="240" w:lineRule="auto"/>
              <w:jc w:val="left"/>
            </w:pPr>
            <w:r>
              <w:rPr>
                <w:rFonts w:ascii="宋体" w:hAnsi="宋体" w:eastAsia="宋体" w:cs="宋体"/>
                <w:b w:val="0"/>
              </w:rPr>
              <w:t>摩尔线程</w:t>
            </w:r>
          </w:p>
        </w:tc>
        <w:tc>
          <w:tcPr>
            <w:tcW w:w="0" w:type="dxa"/>
            <w:vAlign w:val="center"/>
          </w:tcPr>
          <w:p>
            <w:pPr>
              <w:spacing w:line="240" w:lineRule="auto"/>
              <w:jc w:val="right"/>
            </w:pPr>
            <w:r>
              <w:rPr>
                <w:rFonts w:ascii="宋体" w:hAnsi="宋体" w:eastAsia="宋体" w:cs="宋体"/>
                <w:b w:val="0"/>
              </w:rPr>
              <w:t>17,583</w:t>
            </w:r>
          </w:p>
        </w:tc>
        <w:tc>
          <w:tcPr>
            <w:tcW w:w="0" w:type="dxa"/>
            <w:vAlign w:val="center"/>
          </w:tcPr>
          <w:p>
            <w:pPr>
              <w:spacing w:line="240" w:lineRule="auto"/>
              <w:jc w:val="right"/>
            </w:pPr>
            <w:r>
              <w:rPr>
                <w:rFonts w:ascii="宋体" w:hAnsi="宋体" w:eastAsia="宋体" w:cs="宋体"/>
                <w:b w:val="0"/>
              </w:rPr>
              <w:t>12,598,043.67</w:t>
            </w:r>
          </w:p>
        </w:tc>
        <w:tc>
          <w:tcPr>
            <w:tcW w:w="0" w:type="dxa"/>
            <w:vAlign w:val="center"/>
          </w:tcPr>
          <w:p>
            <w:pPr>
              <w:spacing w:line="240" w:lineRule="auto"/>
              <w:jc w:val="right"/>
            </w:pPr>
            <w:r>
              <w:rPr>
                <w:rFonts w:ascii="宋体" w:hAnsi="宋体" w:eastAsia="宋体" w:cs="宋体"/>
                <w:b w:val="0"/>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688629</w:t>
            </w:r>
          </w:p>
        </w:tc>
        <w:tc>
          <w:tcPr>
            <w:tcW w:w="0" w:type="dxa"/>
            <w:vAlign w:val="center"/>
          </w:tcPr>
          <w:p>
            <w:pPr>
              <w:spacing w:line="240" w:lineRule="auto"/>
              <w:jc w:val="left"/>
            </w:pPr>
            <w:r>
              <w:rPr>
                <w:rFonts w:ascii="宋体" w:hAnsi="宋体" w:eastAsia="宋体" w:cs="宋体"/>
                <w:b w:val="0"/>
              </w:rPr>
              <w:t>华丰科技</w:t>
            </w:r>
          </w:p>
        </w:tc>
        <w:tc>
          <w:tcPr>
            <w:tcW w:w="0" w:type="dxa"/>
            <w:vAlign w:val="center"/>
          </w:tcPr>
          <w:p>
            <w:pPr>
              <w:spacing w:line="240" w:lineRule="auto"/>
              <w:jc w:val="right"/>
            </w:pPr>
            <w:r>
              <w:rPr>
                <w:rFonts w:ascii="宋体" w:hAnsi="宋体" w:eastAsia="宋体" w:cs="宋体"/>
                <w:b w:val="0"/>
              </w:rPr>
              <w:t>62,716</w:t>
            </w:r>
          </w:p>
        </w:tc>
        <w:tc>
          <w:tcPr>
            <w:tcW w:w="0" w:type="dxa"/>
            <w:vAlign w:val="center"/>
          </w:tcPr>
          <w:p>
            <w:pPr>
              <w:spacing w:line="240" w:lineRule="auto"/>
              <w:jc w:val="right"/>
            </w:pPr>
            <w:r>
              <w:rPr>
                <w:rFonts w:ascii="宋体" w:hAnsi="宋体" w:eastAsia="宋体" w:cs="宋体"/>
                <w:b w:val="0"/>
              </w:rPr>
              <w:t>11,759,877.16</w:t>
            </w:r>
          </w:p>
        </w:tc>
        <w:tc>
          <w:tcPr>
            <w:tcW w:w="0" w:type="dxa"/>
            <w:vAlign w:val="center"/>
          </w:tcPr>
          <w:p>
            <w:pPr>
              <w:spacing w:line="240" w:lineRule="auto"/>
              <w:jc w:val="right"/>
            </w:pPr>
            <w:r>
              <w:rPr>
                <w:rFonts w:ascii="宋体" w:hAnsi="宋体" w:eastAsia="宋体" w:cs="宋体"/>
                <w:b w:val="0"/>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002281</w:t>
            </w:r>
          </w:p>
        </w:tc>
        <w:tc>
          <w:tcPr>
            <w:tcW w:w="0" w:type="dxa"/>
            <w:vAlign w:val="center"/>
          </w:tcPr>
          <w:p>
            <w:pPr>
              <w:spacing w:line="240" w:lineRule="auto"/>
              <w:jc w:val="left"/>
            </w:pPr>
            <w:r>
              <w:rPr>
                <w:rFonts w:ascii="宋体" w:hAnsi="宋体" w:eastAsia="宋体" w:cs="宋体"/>
                <w:b w:val="0"/>
              </w:rPr>
              <w:t>光迅科技</w:t>
            </w:r>
          </w:p>
        </w:tc>
        <w:tc>
          <w:tcPr>
            <w:tcW w:w="0" w:type="dxa"/>
            <w:vAlign w:val="center"/>
          </w:tcPr>
          <w:p>
            <w:pPr>
              <w:spacing w:line="240" w:lineRule="auto"/>
              <w:jc w:val="right"/>
            </w:pPr>
            <w:r>
              <w:rPr>
                <w:rFonts w:ascii="宋体" w:hAnsi="宋体" w:eastAsia="宋体" w:cs="宋体"/>
                <w:b w:val="0"/>
              </w:rPr>
              <w:t>41,600</w:t>
            </w:r>
          </w:p>
        </w:tc>
        <w:tc>
          <w:tcPr>
            <w:tcW w:w="0" w:type="dxa"/>
            <w:vAlign w:val="center"/>
          </w:tcPr>
          <w:p>
            <w:pPr>
              <w:spacing w:line="240" w:lineRule="auto"/>
              <w:jc w:val="right"/>
            </w:pPr>
            <w:r>
              <w:rPr>
                <w:rFonts w:ascii="宋体" w:hAnsi="宋体" w:eastAsia="宋体" w:cs="宋体"/>
                <w:b w:val="0"/>
              </w:rPr>
              <w:t>10,688,704.00</w:t>
            </w:r>
          </w:p>
        </w:tc>
        <w:tc>
          <w:tcPr>
            <w:tcW w:w="0" w:type="dxa"/>
            <w:vAlign w:val="center"/>
          </w:tcPr>
          <w:p>
            <w:pPr>
              <w:spacing w:line="240" w:lineRule="auto"/>
              <w:jc w:val="right"/>
            </w:pPr>
            <w:r>
              <w:rPr>
                <w:rFonts w:ascii="宋体" w:hAnsi="宋体" w:eastAsia="宋体" w:cs="宋体"/>
                <w:b w:val="0"/>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000988</w:t>
            </w:r>
          </w:p>
        </w:tc>
        <w:tc>
          <w:tcPr>
            <w:tcW w:w="0" w:type="dxa"/>
            <w:vAlign w:val="center"/>
          </w:tcPr>
          <w:p>
            <w:pPr>
              <w:spacing w:line="240" w:lineRule="auto"/>
              <w:jc w:val="left"/>
            </w:pPr>
            <w:r>
              <w:rPr>
                <w:rFonts w:ascii="宋体" w:hAnsi="宋体" w:eastAsia="宋体" w:cs="宋体"/>
                <w:b w:val="0"/>
              </w:rPr>
              <w:t>华工科技</w:t>
            </w:r>
          </w:p>
        </w:tc>
        <w:tc>
          <w:tcPr>
            <w:tcW w:w="0" w:type="dxa"/>
            <w:vAlign w:val="center"/>
          </w:tcPr>
          <w:p>
            <w:pPr>
              <w:spacing w:line="240" w:lineRule="auto"/>
              <w:jc w:val="right"/>
            </w:pPr>
            <w:r>
              <w:rPr>
                <w:rFonts w:ascii="宋体" w:hAnsi="宋体" w:eastAsia="宋体" w:cs="宋体"/>
                <w:b w:val="0"/>
              </w:rPr>
              <w:t>53,088</w:t>
            </w:r>
          </w:p>
        </w:tc>
        <w:tc>
          <w:tcPr>
            <w:tcW w:w="0" w:type="dxa"/>
            <w:vAlign w:val="center"/>
          </w:tcPr>
          <w:p>
            <w:pPr>
              <w:spacing w:line="240" w:lineRule="auto"/>
              <w:jc w:val="right"/>
            </w:pPr>
            <w:r>
              <w:rPr>
                <w:rFonts w:ascii="宋体" w:hAnsi="宋体" w:eastAsia="宋体" w:cs="宋体"/>
                <w:b w:val="0"/>
              </w:rPr>
              <w:t>9,800,575.68</w:t>
            </w:r>
          </w:p>
        </w:tc>
        <w:tc>
          <w:tcPr>
            <w:tcW w:w="0" w:type="dxa"/>
            <w:vAlign w:val="center"/>
          </w:tcPr>
          <w:p>
            <w:pPr>
              <w:spacing w:line="240" w:lineRule="auto"/>
              <w:jc w:val="right"/>
            </w:pPr>
            <w:r>
              <w:rPr>
                <w:rFonts w:ascii="宋体" w:hAnsi="宋体" w:eastAsia="宋体" w:cs="宋体"/>
                <w:b w:val="0"/>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688691</w:t>
            </w:r>
          </w:p>
        </w:tc>
        <w:tc>
          <w:tcPr>
            <w:tcW w:w="0" w:type="dxa"/>
            <w:vAlign w:val="center"/>
          </w:tcPr>
          <w:p>
            <w:pPr>
              <w:spacing w:line="240" w:lineRule="auto"/>
              <w:jc w:val="left"/>
            </w:pPr>
            <w:r>
              <w:rPr>
                <w:rFonts w:ascii="宋体" w:hAnsi="宋体" w:eastAsia="宋体" w:cs="宋体"/>
                <w:b w:val="0"/>
              </w:rPr>
              <w:t>灿芯股份</w:t>
            </w:r>
          </w:p>
        </w:tc>
        <w:tc>
          <w:tcPr>
            <w:tcW w:w="0" w:type="dxa"/>
            <w:vAlign w:val="center"/>
          </w:tcPr>
          <w:p>
            <w:pPr>
              <w:spacing w:line="240" w:lineRule="auto"/>
              <w:jc w:val="right"/>
            </w:pPr>
            <w:r>
              <w:rPr>
                <w:rFonts w:ascii="宋体" w:hAnsi="宋体" w:eastAsia="宋体" w:cs="宋体"/>
                <w:b w:val="0"/>
              </w:rPr>
              <w:t>78,263</w:t>
            </w:r>
          </w:p>
        </w:tc>
        <w:tc>
          <w:tcPr>
            <w:tcW w:w="0" w:type="dxa"/>
            <w:vAlign w:val="center"/>
          </w:tcPr>
          <w:p>
            <w:pPr>
              <w:spacing w:line="240" w:lineRule="auto"/>
              <w:jc w:val="right"/>
            </w:pPr>
            <w:r>
              <w:rPr>
                <w:rFonts w:ascii="宋体" w:hAnsi="宋体" w:eastAsia="宋体" w:cs="宋体"/>
                <w:b w:val="0"/>
              </w:rPr>
              <w:t>9,073,029.59</w:t>
            </w:r>
          </w:p>
        </w:tc>
        <w:tc>
          <w:tcPr>
            <w:tcW w:w="0" w:type="dxa"/>
            <w:vAlign w:val="center"/>
          </w:tcPr>
          <w:p>
            <w:pPr>
              <w:spacing w:line="240" w:lineRule="auto"/>
              <w:jc w:val="right"/>
            </w:pPr>
            <w:r>
              <w:rPr>
                <w:rFonts w:ascii="宋体" w:hAnsi="宋体" w:eastAsia="宋体" w:cs="宋体"/>
                <w:b w:val="0"/>
              </w:rPr>
              <w:t>4.77</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10,225,409.20</w:t>
            </w:r>
          </w:p>
        </w:tc>
        <w:tc>
          <w:tcPr>
            <w:tcW w:w="0" w:type="dxa"/>
            <w:vAlign w:val="center"/>
          </w:tcPr>
          <w:p>
            <w:pPr>
              <w:spacing w:line="240" w:lineRule="auto"/>
              <w:jc w:val="right"/>
            </w:pPr>
            <w:r>
              <w:rPr>
                <w:rFonts w:ascii="宋体" w:hAnsi="宋体" w:eastAsia="宋体" w:cs="宋体"/>
                <w:b w:val="0"/>
              </w:rPr>
              <w:t>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10,225,409.20</w:t>
            </w:r>
          </w:p>
        </w:tc>
        <w:tc>
          <w:tcPr>
            <w:tcW w:w="0" w:type="dxa"/>
            <w:vAlign w:val="center"/>
          </w:tcPr>
          <w:p>
            <w:pPr>
              <w:spacing w:line="240" w:lineRule="auto"/>
              <w:jc w:val="right"/>
            </w:pPr>
            <w:r>
              <w:rPr>
                <w:rFonts w:ascii="宋体" w:hAnsi="宋体" w:eastAsia="宋体" w:cs="宋体"/>
                <w:b w:val="0"/>
              </w:rPr>
              <w:t>5.37</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019835</w:t>
            </w:r>
          </w:p>
        </w:tc>
        <w:tc>
          <w:tcPr>
            <w:tcW w:w="0" w:type="dxa"/>
            <w:vAlign w:val="center"/>
          </w:tcPr>
          <w:p>
            <w:pPr>
              <w:spacing w:line="240" w:lineRule="auto"/>
              <w:jc w:val="left"/>
            </w:pPr>
            <w:r>
              <w:rPr>
                <w:rFonts w:ascii="宋体" w:hAnsi="宋体" w:eastAsia="宋体" w:cs="宋体"/>
                <w:b w:val="0"/>
              </w:rPr>
              <w:t>26国债09</w:t>
            </w:r>
          </w:p>
        </w:tc>
        <w:tc>
          <w:tcPr>
            <w:tcW w:w="0" w:type="dxa"/>
            <w:vAlign w:val="center"/>
          </w:tcPr>
          <w:p>
            <w:pPr>
              <w:spacing w:line="240" w:lineRule="auto"/>
              <w:jc w:val="right"/>
            </w:pPr>
            <w:r>
              <w:rPr>
                <w:rFonts w:ascii="宋体" w:hAnsi="宋体" w:eastAsia="宋体" w:cs="宋体"/>
                <w:b w:val="0"/>
              </w:rPr>
              <w:t>85,000</w:t>
            </w:r>
          </w:p>
        </w:tc>
        <w:tc>
          <w:tcPr>
            <w:tcW w:w="0" w:type="dxa"/>
            <w:vAlign w:val="center"/>
          </w:tcPr>
          <w:p>
            <w:pPr>
              <w:spacing w:line="240" w:lineRule="auto"/>
              <w:jc w:val="right"/>
            </w:pPr>
            <w:r>
              <w:rPr>
                <w:rFonts w:ascii="宋体" w:hAnsi="宋体" w:eastAsia="宋体" w:cs="宋体"/>
                <w:b w:val="0"/>
              </w:rPr>
              <w:t>8,513,988.90</w:t>
            </w:r>
          </w:p>
        </w:tc>
        <w:tc>
          <w:tcPr>
            <w:tcW w:w="0" w:type="dxa"/>
            <w:vAlign w:val="center"/>
          </w:tcPr>
          <w:p>
            <w:pPr>
              <w:spacing w:line="240" w:lineRule="auto"/>
              <w:jc w:val="right"/>
            </w:pPr>
            <w:r>
              <w:rPr>
                <w:rFonts w:ascii="宋体" w:hAnsi="宋体" w:eastAsia="宋体" w:cs="宋体"/>
                <w:b w:val="0"/>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16,000</w:t>
            </w:r>
          </w:p>
        </w:tc>
        <w:tc>
          <w:tcPr>
            <w:tcW w:w="0" w:type="dxa"/>
            <w:vAlign w:val="center"/>
          </w:tcPr>
          <w:p>
            <w:pPr>
              <w:spacing w:line="240" w:lineRule="auto"/>
              <w:jc w:val="right"/>
            </w:pPr>
            <w:r>
              <w:rPr>
                <w:rFonts w:ascii="宋体" w:hAnsi="宋体" w:eastAsia="宋体" w:cs="宋体"/>
                <w:b w:val="0"/>
              </w:rPr>
              <w:t>1,610,371.07</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1,000</w:t>
            </w:r>
          </w:p>
        </w:tc>
        <w:tc>
          <w:tcPr>
            <w:tcW w:w="0" w:type="dxa"/>
            <w:vAlign w:val="center"/>
          </w:tcPr>
          <w:p>
            <w:pPr>
              <w:spacing w:line="240" w:lineRule="auto"/>
              <w:jc w:val="right"/>
            </w:pPr>
            <w:r>
              <w:rPr>
                <w:rFonts w:ascii="宋体" w:hAnsi="宋体" w:eastAsia="宋体" w:cs="宋体"/>
                <w:b w:val="0"/>
              </w:rPr>
              <w:t>101,049.23</w:t>
            </w:r>
          </w:p>
        </w:tc>
        <w:tc>
          <w:tcPr>
            <w:tcW w:w="0" w:type="dxa"/>
            <w:vAlign w:val="center"/>
          </w:tcPr>
          <w:p>
            <w:pPr>
              <w:spacing w:line="240" w:lineRule="auto"/>
              <w:jc w:val="right"/>
            </w:pPr>
            <w:r>
              <w:rPr>
                <w:rFonts w:ascii="宋体" w:hAnsi="宋体" w:eastAsia="宋体" w:cs="宋体"/>
                <w:b w:val="0"/>
              </w:rPr>
              <w:t>0.05</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4,587,242.09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4,587,242.09</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东方阿尔法瑞利混合发起A</w:t>
            </w:r>
          </w:p>
        </w:tc>
        <w:tc>
          <w:tcPr>
            <w:tcW w:w="1300" w:type="pct"/>
            <w:vAlign w:val="center"/>
          </w:tcPr>
          <w:p>
            <w:pPr>
              <w:spacing w:line="240" w:lineRule="auto"/>
              <w:jc w:val="center"/>
            </w:pPr>
            <w:r>
              <w:rPr>
                <w:rFonts w:ascii="宋体" w:hAnsi="宋体" w:eastAsia="宋体" w:cs="宋体"/>
                <w:b w:val="0"/>
              </w:rPr>
              <w:t>东方阿尔法瑞利混合发起C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基金合同生效日（2026年04月14日）基金份额总额</w:t>
            </w:r>
          </w:p>
        </w:tc>
        <w:tc>
          <w:tcPr>
            <w:tcW w:w="1300" w:type="pct"/>
            <w:vAlign w:val="center"/>
          </w:tcPr>
          <w:p>
            <w:pPr>
              <w:spacing w:line="240" w:lineRule="auto"/>
              <w:jc w:val="right"/>
            </w:pPr>
            <w:r>
              <w:rPr>
                <w:rFonts w:ascii="宋体" w:hAnsi="宋体" w:eastAsia="宋体" w:cs="宋体"/>
                <w:b w:val="0"/>
              </w:rPr>
              <w:t>10,169,541.21</w:t>
            </w:r>
          </w:p>
        </w:tc>
        <w:tc>
          <w:tcPr>
            <w:tcW w:w="1300" w:type="pct"/>
            <w:vAlign w:val="center"/>
          </w:tcPr>
          <w:p>
            <w:pPr>
              <w:spacing w:line="240" w:lineRule="auto"/>
              <w:jc w:val="right"/>
            </w:pPr>
            <w:r>
              <w:rPr>
                <w:rFonts w:ascii="宋体" w:hAnsi="宋体" w:eastAsia="宋体" w:cs="宋体"/>
                <w:b w:val="0"/>
              </w:rPr>
              <w:t>253,510.00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基金合同生效日起至报告期期末基金总申购份额</w:t>
            </w:r>
          </w:p>
        </w:tc>
        <w:tc>
          <w:tcPr>
            <w:tcW w:w="1300" w:type="pct"/>
            <w:vAlign w:val="center"/>
          </w:tcPr>
          <w:p>
            <w:pPr>
              <w:spacing w:line="240" w:lineRule="auto"/>
              <w:jc w:val="right"/>
            </w:pPr>
            <w:r>
              <w:rPr>
                <w:rFonts w:ascii="宋体" w:hAnsi="宋体" w:eastAsia="宋体" w:cs="宋体"/>
                <w:b w:val="0"/>
              </w:rPr>
              <w:t>20,815,547.49</w:t>
            </w:r>
          </w:p>
        </w:tc>
        <w:tc>
          <w:tcPr>
            <w:tcW w:w="1300" w:type="pct"/>
            <w:vAlign w:val="center"/>
          </w:tcPr>
          <w:p>
            <w:pPr>
              <w:spacing w:line="240" w:lineRule="auto"/>
              <w:jc w:val="right"/>
            </w:pPr>
            <w:r>
              <w:rPr>
                <w:rFonts w:ascii="宋体" w:hAnsi="宋体" w:eastAsia="宋体" w:cs="宋体"/>
                <w:b w:val="0"/>
              </w:rPr>
              <w:t>267,705,308.96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减：基金合同生效日起至报告期期末基金总赎回份额</w:t>
            </w:r>
          </w:p>
        </w:tc>
        <w:tc>
          <w:tcPr>
            <w:tcW w:w="1300" w:type="pct"/>
            <w:vAlign w:val="center"/>
          </w:tcPr>
          <w:p>
            <w:pPr>
              <w:spacing w:line="240" w:lineRule="auto"/>
              <w:jc w:val="right"/>
            </w:pPr>
            <w:r>
              <w:rPr>
                <w:rFonts w:ascii="宋体" w:hAnsi="宋体" w:eastAsia="宋体" w:cs="宋体"/>
                <w:b w:val="0"/>
              </w:rPr>
              <w:t>10,322,874.99</w:t>
            </w:r>
          </w:p>
        </w:tc>
        <w:tc>
          <w:tcPr>
            <w:tcW w:w="1300" w:type="pct"/>
            <w:vAlign w:val="center"/>
          </w:tcPr>
          <w:p>
            <w:pPr>
              <w:spacing w:line="240" w:lineRule="auto"/>
              <w:jc w:val="right"/>
            </w:pPr>
            <w:r>
              <w:rPr>
                <w:rFonts w:ascii="宋体" w:hAnsi="宋体" w:eastAsia="宋体" w:cs="宋体"/>
                <w:b w:val="0"/>
              </w:rPr>
              <w:t>157,454,578.36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20,662,213.71</w:t>
            </w:r>
          </w:p>
        </w:tc>
        <w:tc>
          <w:tcPr>
            <w:tcW w:w="1300" w:type="pct"/>
            <w:vAlign w:val="center"/>
          </w:tcPr>
          <w:p>
            <w:pPr>
              <w:spacing w:line="240" w:lineRule="auto"/>
              <w:jc w:val="right"/>
            </w:pPr>
            <w:r>
              <w:rPr>
                <w:rFonts w:ascii="宋体" w:hAnsi="宋体" w:eastAsia="宋体" w:cs="宋体"/>
                <w:b w:val="0"/>
              </w:rPr>
              <w:t>110,504,240.60</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10,000,388.88</w:t>
            </w:r>
          </w:p>
        </w:tc>
        <w:tc>
          <w:tcPr>
            <w:tcW w:w="0" w:type="dxa"/>
            <w:vAlign w:val="center"/>
          </w:tcPr>
          <w:p>
            <w:pPr>
              <w:spacing w:line="240" w:lineRule="auto"/>
              <w:jc w:val="right"/>
            </w:pPr>
            <w:r>
              <w:rPr>
                <w:rFonts w:ascii="宋体" w:hAnsi="宋体" w:eastAsia="宋体" w:cs="宋体"/>
                <w:b w:val="0"/>
              </w:rPr>
              <w:t>7.62%</w:t>
            </w:r>
          </w:p>
        </w:tc>
        <w:tc>
          <w:tcPr>
            <w:tcW w:w="0" w:type="dxa"/>
            <w:vAlign w:val="center"/>
          </w:tcPr>
          <w:p>
            <w:pPr>
              <w:spacing w:line="240" w:lineRule="auto"/>
              <w:jc w:val="right"/>
            </w:pPr>
            <w:r>
              <w:rPr>
                <w:rFonts w:ascii="宋体" w:hAnsi="宋体" w:eastAsia="宋体" w:cs="宋体"/>
                <w:b w:val="0"/>
              </w:rPr>
              <w:t>10,000,388.88</w:t>
            </w:r>
          </w:p>
        </w:tc>
        <w:tc>
          <w:tcPr>
            <w:tcW w:w="0" w:type="dxa"/>
            <w:vAlign w:val="center"/>
          </w:tcPr>
          <w:p>
            <w:pPr>
              <w:spacing w:line="240" w:lineRule="auto"/>
              <w:jc w:val="right"/>
            </w:pPr>
            <w:r>
              <w:rPr>
                <w:rFonts w:ascii="宋体" w:hAnsi="宋体" w:eastAsia="宋体" w:cs="宋体"/>
                <w:b w:val="0"/>
              </w:rPr>
              <w:t>7.62%</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10,000,388.88</w:t>
            </w:r>
          </w:p>
        </w:tc>
        <w:tc>
          <w:tcPr>
            <w:tcW w:w="0" w:type="dxa"/>
            <w:vAlign w:val="center"/>
          </w:tcPr>
          <w:p>
            <w:pPr>
              <w:spacing w:line="240" w:lineRule="auto"/>
              <w:jc w:val="right"/>
            </w:pPr>
            <w:r>
              <w:rPr>
                <w:rFonts w:ascii="宋体" w:hAnsi="宋体" w:eastAsia="宋体" w:cs="宋体"/>
                <w:b w:val="0"/>
              </w:rPr>
              <w:t>7.62%</w:t>
            </w:r>
          </w:p>
        </w:tc>
        <w:tc>
          <w:tcPr>
            <w:tcW w:w="0" w:type="dxa"/>
            <w:vAlign w:val="center"/>
          </w:tcPr>
          <w:p>
            <w:pPr>
              <w:spacing w:line="240" w:lineRule="auto"/>
              <w:jc w:val="right"/>
            </w:pPr>
            <w:r>
              <w:rPr>
                <w:rFonts w:ascii="宋体" w:hAnsi="宋体" w:eastAsia="宋体" w:cs="宋体"/>
                <w:b w:val="0"/>
              </w:rPr>
              <w:t>10,000,388.88</w:t>
            </w:r>
          </w:p>
        </w:tc>
        <w:tc>
          <w:tcPr>
            <w:tcW w:w="0" w:type="dxa"/>
            <w:vAlign w:val="center"/>
          </w:tcPr>
          <w:p>
            <w:pPr>
              <w:spacing w:line="240" w:lineRule="auto"/>
              <w:jc w:val="right"/>
            </w:pPr>
            <w:r>
              <w:rPr>
                <w:rFonts w:ascii="宋体" w:hAnsi="宋体" w:eastAsia="宋体" w:cs="宋体"/>
                <w:b w:val="0"/>
              </w:rPr>
              <w:t>7.62%</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个人</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2026年04月14日-2026年05月20日</w:t>
            </w:r>
          </w:p>
        </w:tc>
        <w:tc>
          <w:tcPr>
            <w:tcW w:w="0" w:type="dxa"/>
            <w:vAlign w:val="center"/>
          </w:tcPr>
          <w:p>
            <w:pPr>
              <w:spacing w:line="240" w:lineRule="auto"/>
              <w:jc w:val="right"/>
            </w:pPr>
            <w:r>
              <w:rPr>
                <w:rFonts w:ascii="宋体" w:hAnsi="宋体" w:eastAsia="宋体" w:cs="宋体"/>
                <w:b w:val="0"/>
              </w:rPr>
              <w:t>10,000,388.88</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10,000,388.88</w:t>
            </w:r>
          </w:p>
        </w:tc>
        <w:tc>
          <w:tcPr>
            <w:tcW w:w="0" w:type="dxa"/>
            <w:vAlign w:val="center"/>
          </w:tcPr>
          <w:p>
            <w:pPr>
              <w:spacing w:line="240" w:lineRule="auto"/>
              <w:jc w:val="right"/>
            </w:pPr>
            <w:r>
              <w:rPr>
                <w:rFonts w:ascii="宋体" w:hAnsi="宋体" w:eastAsia="宋体" w:cs="宋体"/>
                <w:b w:val="0"/>
              </w:rPr>
              <w:t>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1、中国证券监督管理委员会批准的东方阿尔法瑞利混合型发起式证券投资基金设立的文件；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2、《东方阿尔法瑞利混合型发起式证券投资基金基金合同》；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3、《东方阿尔法瑞利混合型发起式证券投资基金托管协议》；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4、《东方阿尔法瑞利混合型发起式证券投资基金招募说明书》（含更新）；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二〇二六年七月十五日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东方阿尔法瑞利混合型发起式证券投资基金2026年第2季度报告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7350AAA"/>
    <w:rsid w:val="274B3557"/>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2026-07-14T00:58:26Z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