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tabs>
          <w:tab w:val="right" w:leader="dot" w:pos="9080"/>
        </w:tabs>
        <w:spacing w:before="72" w:after="120"/>
        <w:jc w:val="center"/>
        <w:rPr>
          <w:rFonts w:ascii="宋体" w:hAnsi="宋体"/>
          <w:b/>
          <w:bCs/>
          <w:sz w:val="24"/>
        </w:rPr>
      </w:pPr>
    </w:p>
    <w:p>
      <w:pPr>
        <w:pStyle w:val="19"/>
        <w:tabs>
          <w:tab w:val="right" w:leader="dot" w:pos="9080"/>
        </w:tabs>
        <w:spacing w:before="72" w:after="120"/>
        <w:jc w:val="center"/>
        <w:rPr>
          <w:rFonts w:ascii="宋体" w:hAnsi="宋体"/>
          <w:b/>
          <w:bCs/>
          <w:sz w:val="24"/>
        </w:rPr>
      </w:pPr>
    </w:p>
    <w:p>
      <w:pPr>
        <w:pStyle w:val="19"/>
        <w:tabs>
          <w:tab w:val="right" w:leader="dot" w:pos="9080"/>
        </w:tabs>
        <w:jc w:val="center"/>
        <w:rPr>
          <w:rFonts w:ascii="黑体" w:hAnsi="黑体" w:eastAsia="黑体"/>
          <w:b/>
          <w:bCs/>
          <w:sz w:val="36"/>
          <w:szCs w:val="36"/>
        </w:rPr>
      </w:pPr>
      <w:r>
        <w:rPr>
          <w:rFonts w:hint="eastAsia" w:ascii="黑体" w:hAnsi="黑体" w:eastAsia="黑体"/>
          <w:b/>
          <w:bCs/>
          <w:sz w:val="36"/>
          <w:szCs w:val="36"/>
        </w:rPr>
        <w:t>东方阿尔法产业先锋混合型发起式证券投资基金</w:t>
      </w:r>
    </w:p>
    <w:p>
      <w:pPr>
        <w:pStyle w:val="19"/>
        <w:tabs>
          <w:tab w:val="right" w:leader="dot" w:pos="9080"/>
        </w:tabs>
        <w:jc w:val="center"/>
        <w:rPr>
          <w:rFonts w:ascii="黑体" w:hAnsi="黑体" w:eastAsia="黑体"/>
          <w:b/>
          <w:bCs/>
          <w:sz w:val="36"/>
          <w:szCs w:val="36"/>
        </w:rPr>
      </w:pPr>
      <w:r>
        <w:rPr>
          <w:rFonts w:hint="eastAsia" w:ascii="黑体" w:hAnsi="黑体" w:eastAsia="黑体"/>
          <w:b/>
          <w:bCs/>
          <w:sz w:val="36"/>
          <w:szCs w:val="36"/>
        </w:rPr>
        <w:t>2026年第2季度报告</w:t>
      </w:r>
    </w:p>
    <w:p>
      <w:pPr>
        <w:pStyle w:val="19"/>
        <w:tabs>
          <w:tab w:val="right" w:leader="dot" w:pos="9080"/>
        </w:tabs>
        <w:spacing w:line="480" w:lineRule="auto"/>
        <w:jc w:val="center"/>
        <w:rPr>
          <w:rFonts w:ascii="宋体" w:hAnsi="宋体" w:eastAsia="宋体" w:cs="宋体"/>
          <w:b/>
          <w:bCs/>
          <w:sz w:val="24"/>
        </w:rPr>
      </w:pPr>
      <w:r>
        <w:rPr>
          <w:rFonts w:hint="eastAsia" w:ascii="宋体" w:hAnsi="宋体" w:eastAsia="宋体" w:cs="宋体"/>
          <w:b/>
          <w:bCs/>
          <w:sz w:val="24"/>
        </w:rPr>
        <w:t>2026年06月30日</w:t>
      </w:r>
    </w:p>
    <w:p>
      <w:pPr>
        <w:pStyle w:val="19"/>
        <w:tabs>
          <w:tab w:val="right" w:leader="dot" w:pos="9080"/>
        </w:tabs>
        <w:spacing w:before="72" w:after="120"/>
        <w:jc w:val="center"/>
        <w:rPr>
          <w:rFonts w:ascii="宋体" w:hAnsi="宋体"/>
          <w:b/>
          <w:bCs/>
          <w:sz w:val="24"/>
        </w:rPr>
      </w:pPr>
    </w:p>
    <w:p>
      <w:pPr>
        <w:pStyle w:val="19"/>
        <w:tabs>
          <w:tab w:val="right" w:leader="dot" w:pos="9080"/>
        </w:tabs>
        <w:spacing w:before="72" w:after="120"/>
        <w:jc w:val="center"/>
        <w:rPr>
          <w:rFonts w:ascii="宋体" w:hAnsi="宋体"/>
          <w:b/>
          <w:bCs/>
          <w:sz w:val="24"/>
        </w:rPr>
      </w:pPr>
    </w:p>
    <w:p>
      <w:pPr>
        <w:pStyle w:val="19"/>
        <w:tabs>
          <w:tab w:val="right" w:leader="dot" w:pos="9080"/>
        </w:tabs>
        <w:spacing w:before="72" w:after="120"/>
        <w:jc w:val="center"/>
        <w:rPr>
          <w:rFonts w:ascii="宋体" w:hAnsi="宋体"/>
          <w:b/>
          <w:bCs/>
          <w:sz w:val="24"/>
        </w:rPr>
      </w:pPr>
    </w:p>
    <w:p>
      <w:pPr>
        <w:pStyle w:val="19"/>
        <w:tabs>
          <w:tab w:val="right" w:leader="dot" w:pos="9080"/>
        </w:tabs>
        <w:spacing w:before="72" w:after="120"/>
        <w:jc w:val="center"/>
        <w:rPr>
          <w:rFonts w:ascii="宋体" w:hAnsi="宋体"/>
          <w:b/>
          <w:bCs/>
          <w:sz w:val="24"/>
        </w:rPr>
      </w:pPr>
    </w:p>
    <w:p>
      <w:pPr>
        <w:pStyle w:val="19"/>
        <w:tabs>
          <w:tab w:val="right" w:leader="dot" w:pos="9080"/>
        </w:tabs>
        <w:spacing w:before="72" w:after="120"/>
        <w:jc w:val="center"/>
        <w:rPr>
          <w:rFonts w:ascii="宋体" w:hAnsi="宋体"/>
          <w:b/>
          <w:bCs/>
          <w:sz w:val="24"/>
        </w:rPr>
      </w:pPr>
    </w:p>
    <w:p>
      <w:pPr>
        <w:pStyle w:val="19"/>
        <w:tabs>
          <w:tab w:val="right" w:leader="dot" w:pos="9080"/>
        </w:tabs>
        <w:spacing w:before="72" w:after="120"/>
        <w:jc w:val="center"/>
        <w:rPr>
          <w:rFonts w:ascii="宋体" w:hAnsi="宋体"/>
          <w:b/>
          <w:bCs/>
          <w:sz w:val="24"/>
        </w:rPr>
      </w:pPr>
    </w:p>
    <w:p>
      <w:pPr>
        <w:pStyle w:val="19"/>
        <w:tabs>
          <w:tab w:val="right" w:leader="dot" w:pos="9080"/>
        </w:tabs>
        <w:spacing w:before="72" w:after="120"/>
        <w:jc w:val="center"/>
        <w:rPr>
          <w:rFonts w:ascii="宋体" w:hAnsi="宋体"/>
          <w:b/>
          <w:bCs/>
          <w:sz w:val="24"/>
        </w:rPr>
      </w:pPr>
    </w:p>
    <w:p>
      <w:pPr>
        <w:pStyle w:val="19"/>
        <w:tabs>
          <w:tab w:val="right" w:leader="dot" w:pos="9080"/>
        </w:tabs>
        <w:spacing w:before="72" w:after="120"/>
        <w:jc w:val="center"/>
        <w:rPr>
          <w:rFonts w:ascii="宋体" w:hAnsi="宋体"/>
          <w:b/>
          <w:bCs/>
          <w:sz w:val="24"/>
        </w:rPr>
      </w:pPr>
    </w:p>
    <w:p>
      <w:pPr>
        <w:pStyle w:val="19"/>
        <w:tabs>
          <w:tab w:val="right" w:leader="dot" w:pos="9080"/>
        </w:tabs>
        <w:spacing w:before="72" w:after="120"/>
        <w:jc w:val="center"/>
        <w:rPr>
          <w:rFonts w:ascii="宋体" w:hAnsi="宋体"/>
          <w:b/>
          <w:bCs/>
          <w:sz w:val="24"/>
        </w:rPr>
      </w:pPr>
    </w:p>
    <w:p>
      <w:pPr>
        <w:pStyle w:val="19"/>
        <w:tabs>
          <w:tab w:val="right" w:leader="dot" w:pos="9080"/>
        </w:tabs>
        <w:spacing w:before="72" w:after="120"/>
        <w:jc w:val="center"/>
        <w:rPr>
          <w:rFonts w:ascii="宋体" w:hAnsi="宋体"/>
          <w:b/>
          <w:bCs/>
          <w:sz w:val="24"/>
        </w:rPr>
      </w:pPr>
    </w:p>
    <w:p>
      <w:pPr>
        <w:pStyle w:val="19"/>
        <w:tabs>
          <w:tab w:val="right" w:leader="dot" w:pos="9080"/>
        </w:tabs>
        <w:spacing w:before="72" w:after="120"/>
        <w:jc w:val="center"/>
        <w:rPr>
          <w:rFonts w:ascii="宋体" w:hAnsi="宋体"/>
          <w:b/>
          <w:bCs/>
          <w:sz w:val="24"/>
        </w:rPr>
      </w:pPr>
    </w:p>
    <w:p>
      <w:pPr>
        <w:pStyle w:val="19"/>
        <w:tabs>
          <w:tab w:val="right" w:leader="dot" w:pos="9080"/>
        </w:tabs>
        <w:spacing w:before="72" w:after="120"/>
        <w:jc w:val="center"/>
        <w:rPr>
          <w:rFonts w:ascii="宋体" w:hAnsi="宋体"/>
          <w:b/>
          <w:bCs/>
          <w:sz w:val="24"/>
        </w:rPr>
      </w:pPr>
    </w:p>
    <w:p>
      <w:pPr>
        <w:pStyle w:val="19"/>
        <w:tabs>
          <w:tab w:val="right" w:leader="dot" w:pos="9080"/>
        </w:tabs>
        <w:spacing w:before="72" w:after="120"/>
        <w:jc w:val="center"/>
        <w:rPr>
          <w:rFonts w:ascii="宋体" w:hAnsi="宋体"/>
          <w:b/>
          <w:bCs/>
          <w:sz w:val="24"/>
        </w:rPr>
      </w:pPr>
    </w:p>
    <w:p>
      <w:pPr>
        <w:pStyle w:val="19"/>
        <w:tabs>
          <w:tab w:val="right" w:leader="dot" w:pos="9080"/>
        </w:tabs>
        <w:spacing w:before="72" w:after="120"/>
        <w:jc w:val="center"/>
        <w:rPr>
          <w:rFonts w:ascii="宋体" w:hAnsi="宋体"/>
          <w:b/>
          <w:bCs/>
          <w:sz w:val="24"/>
        </w:rPr>
      </w:pPr>
    </w:p>
    <w:p>
      <w:pPr>
        <w:pStyle w:val="19"/>
        <w:tabs>
          <w:tab w:val="right" w:leader="dot" w:pos="9080"/>
        </w:tabs>
        <w:spacing w:before="72" w:after="120"/>
        <w:jc w:val="center"/>
        <w:rPr>
          <w:rFonts w:ascii="宋体" w:hAnsi="宋体"/>
          <w:b/>
          <w:bCs/>
          <w:sz w:val="24"/>
        </w:rPr>
      </w:pPr>
    </w:p>
    <w:p>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基金管理人:</w:t>
      </w:r>
      <w:r>
        <w:rPr>
          <w:rFonts w:ascii="宋体" w:hAnsi="宋体" w:eastAsia="宋体" w:cs="宋体"/>
          <w:b/>
          <w:color w:val="auto"/>
          <w:sz w:val="24"/>
          <w:u w:val="none"/>
        </w:rPr>
        <w:t>东方阿尔法基金管理有限公司</w:t>
      </w:r>
    </w:p>
    <w:p>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基金托管人:</w:t>
      </w:r>
      <w:r>
        <w:rPr>
          <w:rFonts w:ascii="宋体" w:hAnsi="宋体" w:eastAsia="宋体" w:cs="宋体"/>
          <w:b/>
          <w:color w:val="auto"/>
          <w:sz w:val="24"/>
          <w:u w:val="none"/>
        </w:rPr>
        <w:t>招商银行股份有限公司</w:t>
      </w:r>
    </w:p>
    <w:p>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报告送出日期:</w:t>
      </w:r>
      <w:r>
        <w:rPr>
          <w:rFonts w:ascii="宋体" w:hAnsi="宋体" w:eastAsia="宋体" w:cs="宋体"/>
          <w:b/>
          <w:color w:val="auto"/>
          <w:sz w:val="24"/>
          <w:u w:val="none"/>
        </w:rPr>
        <w:t>2026年07月20日</w:t>
      </w:r>
    </w:p>
    <w:p>
      <w:pPr>
        <w:jc w:val="center"/>
      </w:pPr>
      <w:r>
        <w:br w:type="page"/>
      </w:r>
    </w:p>
    <w:p>
      <w:pPr>
        <w:pStyle w:val="2"/>
        <w:spacing w:line="576" w:lineRule="auto"/>
        <w:jc w:val="center"/>
        <w:rPr>
          <w:rFonts w:ascii="宋体" w:hAnsi="宋体" w:eastAsia="宋体"/>
          <w:sz w:val="24"/>
          <w:szCs w:val="24"/>
        </w:rPr>
      </w:pPr>
      <w:bookmarkStart w:id="0" w:name="_Toc73379713"/>
      <w:r>
        <w:rPr>
          <w:rFonts w:hint="eastAsia" w:ascii="宋体" w:hAnsi="宋体" w:eastAsia="宋体"/>
          <w:bCs w:val="0"/>
          <w:sz w:val="24"/>
          <w:szCs w:val="24"/>
        </w:rPr>
        <w:t>§1 重要提示</w:t>
      </w:r>
      <w:bookmarkEnd w:id="0"/>
    </w:p>
    <w:p>
      <w:pPr>
        <w:widowControl/>
        <w:rPr>
          <w:rFonts w:ascii="宋体" w:hAnsi="宋体" w:eastAsia="宋体"/>
        </w:rPr>
      </w:pPr>
      <w:r>
        <w:t xml:space="preserve">    基金管理人的董事会及董事保证本报告所载资料不存在虚假记载、误导性陈述或重大遗漏，并对其内容的真实性、准确性和完整性承担个别及连带责任。</w:t>
      </w:r>
      <w:r>
        <w:cr/>
      </w:r>
      <w:r>
        <w:t xml:space="preserve">    基金托管人招商银行股份有限公司根据本基金合同规定，于2026年07月14日复核了本报告中的财务指标、净值表现和投资组合报告等内容，保证复核内容不存在虚假记载、误导性陈述或者重大遗漏。</w:t>
      </w:r>
      <w:r>
        <w:cr/>
      </w:r>
      <w:r>
        <w:t xml:space="preserve">    基金管理人承诺以诚实信用、勤勉尽责的原则管理和运用基金资产，但不保证基金一定盈利。</w:t>
      </w:r>
      <w:r>
        <w:cr/>
      </w:r>
      <w:r>
        <w:t xml:space="preserve">    基金的过往业绩并不代表其未来表现。投资有风险，投资者在做出投资决策前应仔细阅读本基金的招募说明书。</w:t>
      </w:r>
      <w:r>
        <w:cr/>
      </w:r>
      <w:r>
        <w:t xml:space="preserve">    本报告中财务资料未经审计。</w:t>
      </w:r>
      <w:r>
        <w:cr/>
      </w:r>
      <w:r>
        <w:t xml:space="preserve">    本报告期自2026年04月01日起至2026年06月30日止。</w:t>
      </w:r>
    </w:p>
    <w:p/>
    <w:p>
      <w:pPr>
        <w:pStyle w:val="2"/>
        <w:jc w:val="center"/>
      </w:pPr>
      <w:r>
        <w:rPr>
          <w:rFonts w:ascii="宋体" w:hAnsi="宋体" w:eastAsia="宋体" w:cs="宋体"/>
        </w:rPr>
        <w:t>§2 基金产品概况</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1"/>
        <w:gridCol w:w="2786"/>
        <w:gridCol w:w="2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pPr>
              <w:spacing w:line="240" w:lineRule="auto"/>
              <w:jc w:val="left"/>
            </w:pPr>
            <w:r>
              <w:rPr>
                <w:rFonts w:ascii="宋体" w:hAnsi="宋体" w:eastAsia="宋体" w:cs="宋体"/>
                <w:b w:val="0"/>
              </w:rPr>
              <w:t>基金简称</w:t>
            </w:r>
          </w:p>
        </w:tc>
        <w:tc>
          <w:tcPr>
            <w:tcW w:w="3077" w:type="pct"/>
            <w:gridSpan w:val="2"/>
            <w:vAlign w:val="center"/>
          </w:tcPr>
          <w:p>
            <w:pPr>
              <w:spacing w:line="240" w:lineRule="auto"/>
              <w:jc w:val="left"/>
            </w:pPr>
            <w:r>
              <w:rPr>
                <w:rFonts w:ascii="宋体" w:hAnsi="宋体" w:eastAsia="宋体" w:cs="宋体"/>
                <w:b w:val="0"/>
              </w:rPr>
              <w:t>东方阿尔法产业先锋混合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pPr>
              <w:spacing w:line="240" w:lineRule="auto"/>
              <w:jc w:val="left"/>
            </w:pPr>
            <w:r>
              <w:rPr>
                <w:rFonts w:ascii="宋体" w:hAnsi="宋体" w:eastAsia="宋体" w:cs="宋体"/>
                <w:b w:val="0"/>
              </w:rPr>
              <w:t>基金主代码</w:t>
            </w:r>
          </w:p>
        </w:tc>
        <w:tc>
          <w:tcPr>
            <w:tcW w:w="0" w:type="dxa"/>
            <w:gridSpan w:val="2"/>
            <w:vAlign w:val="center"/>
          </w:tcPr>
          <w:p>
            <w:pPr>
              <w:spacing w:line="240" w:lineRule="auto"/>
              <w:jc w:val="left"/>
            </w:pPr>
            <w:r>
              <w:rPr>
                <w:rFonts w:ascii="宋体" w:hAnsi="宋体" w:eastAsia="宋体" w:cs="宋体"/>
                <w:b w:val="0"/>
              </w:rPr>
              <w:t>011704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pPr>
              <w:spacing w:line="240" w:lineRule="auto"/>
              <w:jc w:val="left"/>
            </w:pPr>
            <w:r>
              <w:rPr>
                <w:rFonts w:ascii="宋体" w:hAnsi="宋体" w:eastAsia="宋体" w:cs="宋体"/>
                <w:b w:val="0"/>
              </w:rPr>
              <w:t>基金运作方式</w:t>
            </w:r>
          </w:p>
        </w:tc>
        <w:tc>
          <w:tcPr>
            <w:tcW w:w="0" w:type="dxa"/>
            <w:gridSpan w:val="2"/>
            <w:vAlign w:val="center"/>
          </w:tcPr>
          <w:p>
            <w:pPr>
              <w:spacing w:line="240" w:lineRule="auto"/>
              <w:jc w:val="left"/>
            </w:pPr>
            <w:r>
              <w:rPr>
                <w:rFonts w:ascii="宋体" w:hAnsi="宋体" w:eastAsia="宋体" w:cs="宋体"/>
                <w:b w:val="0"/>
              </w:rPr>
              <w:t>契约型开放式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pPr>
              <w:spacing w:line="240" w:lineRule="auto"/>
              <w:jc w:val="left"/>
            </w:pPr>
            <w:r>
              <w:rPr>
                <w:rFonts w:ascii="宋体" w:hAnsi="宋体" w:eastAsia="宋体" w:cs="宋体"/>
                <w:b w:val="0"/>
              </w:rPr>
              <w:t>基金合同生效日</w:t>
            </w:r>
          </w:p>
        </w:tc>
        <w:tc>
          <w:tcPr>
            <w:tcW w:w="0" w:type="dxa"/>
            <w:gridSpan w:val="2"/>
            <w:vAlign w:val="center"/>
          </w:tcPr>
          <w:p>
            <w:pPr>
              <w:spacing w:line="240" w:lineRule="auto"/>
              <w:jc w:val="left"/>
            </w:pPr>
            <w:r>
              <w:rPr>
                <w:rFonts w:ascii="宋体" w:hAnsi="宋体" w:eastAsia="宋体" w:cs="宋体"/>
                <w:b w:val="0"/>
              </w:rPr>
              <w:t>2021年07月21日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pPr>
              <w:spacing w:line="240" w:lineRule="auto"/>
              <w:jc w:val="left"/>
            </w:pPr>
            <w:r>
              <w:rPr>
                <w:rFonts w:ascii="宋体" w:hAnsi="宋体" w:eastAsia="宋体" w:cs="宋体"/>
                <w:b w:val="0"/>
              </w:rPr>
              <w:t>报告期末基金份额总额</w:t>
            </w:r>
          </w:p>
        </w:tc>
        <w:tc>
          <w:tcPr>
            <w:tcW w:w="0" w:type="dxa"/>
            <w:gridSpan w:val="2"/>
            <w:vAlign w:val="center"/>
          </w:tcPr>
          <w:p>
            <w:pPr>
              <w:spacing w:line="240" w:lineRule="auto"/>
              <w:jc w:val="left"/>
            </w:pPr>
            <w:r>
              <w:rPr>
                <w:rFonts w:ascii="宋体" w:hAnsi="宋体" w:eastAsia="宋体" w:cs="宋体"/>
                <w:b w:val="0"/>
              </w:rPr>
              <w:t>1,265,329,387.21份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pPr>
              <w:spacing w:line="240" w:lineRule="auto"/>
              <w:jc w:val="left"/>
            </w:pPr>
            <w:r>
              <w:rPr>
                <w:rFonts w:ascii="宋体" w:hAnsi="宋体" w:eastAsia="宋体" w:cs="宋体"/>
                <w:b w:val="0"/>
              </w:rPr>
              <w:t>投资目标</w:t>
            </w:r>
          </w:p>
        </w:tc>
        <w:tc>
          <w:tcPr>
            <w:tcW w:w="2592" w:type="pct"/>
            <w:gridSpan w:val="2"/>
            <w:vAlign w:val="center"/>
          </w:tcPr>
          <w:p>
            <w:pPr>
              <w:spacing w:line="240" w:lineRule="auto"/>
              <w:jc w:val="left"/>
            </w:pPr>
            <w:r>
              <w:rPr>
                <w:rFonts w:ascii="宋体" w:hAnsi="宋体" w:eastAsia="宋体" w:cs="宋体"/>
                <w:b w:val="0"/>
              </w:rPr>
              <w:t>本基金在严格控制风险的前提下，通过产业精选和个股研究，力求选择景气度上行产业中具有先锋优势的优质个股，力争实现基金资产的持续稳定增值。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pPr>
              <w:spacing w:line="240" w:lineRule="auto"/>
              <w:jc w:val="left"/>
            </w:pPr>
            <w:r>
              <w:rPr>
                <w:rFonts w:ascii="宋体" w:hAnsi="宋体" w:eastAsia="宋体" w:cs="宋体"/>
                <w:b w:val="0"/>
              </w:rPr>
              <w:t>投资策略</w:t>
            </w:r>
          </w:p>
        </w:tc>
        <w:tc>
          <w:tcPr>
            <w:tcW w:w="0" w:type="dxa"/>
            <w:gridSpan w:val="2"/>
            <w:vAlign w:val="center"/>
          </w:tcPr>
          <w:p>
            <w:pPr>
              <w:spacing w:line="240" w:lineRule="auto"/>
              <w:jc w:val="left"/>
            </w:pPr>
            <w:r>
              <w:rPr>
                <w:rFonts w:ascii="宋体" w:hAnsi="宋体" w:eastAsia="宋体" w:cs="宋体"/>
                <w:b w:val="0"/>
              </w:rPr>
              <w:t>本基金的投资策略主要有以下10个方面内容：</w:t>
            </w:r>
            <w:r>
              <w:rPr>
                <w:rFonts w:ascii="宋体" w:hAnsi="宋体" w:eastAsia="宋体" w:cs="宋体"/>
                <w:b w:val="0"/>
              </w:rPr>
              <w:br w:type="textWrapping"/>
            </w:r>
            <w:r>
              <w:rPr>
                <w:rFonts w:ascii="宋体" w:hAnsi="宋体" w:eastAsia="宋体" w:cs="宋体"/>
                <w:b w:val="0"/>
              </w:rPr>
              <w:t>1、大类资产配置策略</w:t>
            </w:r>
            <w:r>
              <w:rPr>
                <w:rFonts w:ascii="宋体" w:hAnsi="宋体" w:eastAsia="宋体" w:cs="宋体"/>
                <w:b w:val="0"/>
              </w:rPr>
              <w:br w:type="textWrapping"/>
            </w:r>
            <w:r>
              <w:rPr>
                <w:rFonts w:ascii="宋体" w:hAnsi="宋体" w:eastAsia="宋体" w:cs="宋体"/>
                <w:b w:val="0"/>
              </w:rPr>
              <w:t>本基金根据对宏观经济周期的分析研究，结合基本面、市面场、政策面等多种因素的综合考量，研判所处经济周期的位置及未来发展方向，以确定组合中股票、债券、货币市场工具及其他金融工具的比例。</w:t>
            </w:r>
            <w:r>
              <w:rPr>
                <w:rFonts w:ascii="宋体" w:hAnsi="宋体" w:eastAsia="宋体" w:cs="宋体"/>
                <w:b w:val="0"/>
              </w:rPr>
              <w:br w:type="textWrapping"/>
            </w:r>
            <w:r>
              <w:rPr>
                <w:rFonts w:ascii="宋体" w:hAnsi="宋体" w:eastAsia="宋体" w:cs="宋体"/>
                <w:b w:val="0"/>
              </w:rPr>
              <w:t>2、股票投资策略</w:t>
            </w:r>
            <w:r>
              <w:rPr>
                <w:rFonts w:ascii="宋体" w:hAnsi="宋体" w:eastAsia="宋体" w:cs="宋体"/>
                <w:b w:val="0"/>
              </w:rPr>
              <w:br w:type="textWrapping"/>
            </w:r>
            <w:r>
              <w:rPr>
                <w:rFonts w:ascii="宋体" w:hAnsi="宋体" w:eastAsia="宋体" w:cs="宋体"/>
                <w:b w:val="0"/>
              </w:rPr>
              <w:t>本基金通过产业精选和个股研究相结合，一方面通过产业精选分析产业景气周期的变化和产业格局的变化，筛选具备投资机会的产业；另一方面，通过对公司定性分析、经营分析和估值探讨，判断公司投资价值。选择在景气度上行产业内具有先锋优势的优质上市公司，构成本基金的投资组合。</w:t>
            </w:r>
            <w:r>
              <w:rPr>
                <w:rFonts w:ascii="宋体" w:hAnsi="宋体" w:eastAsia="宋体" w:cs="宋体"/>
                <w:b w:val="0"/>
              </w:rPr>
              <w:br w:type="textWrapping"/>
            </w:r>
            <w:r>
              <w:rPr>
                <w:rFonts w:ascii="宋体" w:hAnsi="宋体" w:eastAsia="宋体" w:cs="宋体"/>
                <w:b w:val="0"/>
              </w:rPr>
              <w:t>3、存托凭证投资策略</w:t>
            </w:r>
            <w:r>
              <w:rPr>
                <w:rFonts w:ascii="宋体" w:hAnsi="宋体" w:eastAsia="宋体" w:cs="宋体"/>
                <w:b w:val="0"/>
              </w:rPr>
              <w:br w:type="textWrapping"/>
            </w:r>
            <w:r>
              <w:rPr>
                <w:rFonts w:ascii="宋体" w:hAnsi="宋体" w:eastAsia="宋体" w:cs="宋体"/>
                <w:b w:val="0"/>
              </w:rPr>
              <w:t>本基金可投资存托凭证，本基金将在深入研究的基础上，通过定性分析和定量分析相结合的方式，选择投资价值高的存托凭证进行投资。</w:t>
            </w:r>
            <w:r>
              <w:rPr>
                <w:rFonts w:ascii="宋体" w:hAnsi="宋体" w:eastAsia="宋体" w:cs="宋体"/>
                <w:b w:val="0"/>
              </w:rPr>
              <w:br w:type="textWrapping"/>
            </w:r>
            <w:r>
              <w:rPr>
                <w:rFonts w:ascii="宋体" w:hAnsi="宋体" w:eastAsia="宋体" w:cs="宋体"/>
                <w:b w:val="0"/>
              </w:rPr>
              <w:t>4、债券类资产投资策略</w:t>
            </w:r>
            <w:r>
              <w:rPr>
                <w:rFonts w:ascii="宋体" w:hAnsi="宋体" w:eastAsia="宋体" w:cs="宋体"/>
                <w:b w:val="0"/>
              </w:rPr>
              <w:br w:type="textWrapping"/>
            </w:r>
            <w:r>
              <w:rPr>
                <w:rFonts w:ascii="宋体" w:hAnsi="宋体" w:eastAsia="宋体" w:cs="宋体"/>
                <w:b w:val="0"/>
              </w:rPr>
              <w:t>本基金的债券投资将采取较为积极的策略，通过利率预测分析、收益率曲线变动分析、债券信用分析、收益率利差分析等，研判各类属固定收益类资产的风险趋势与收益预期，精选个券进行投资。</w:t>
            </w:r>
            <w:r>
              <w:rPr>
                <w:rFonts w:ascii="宋体" w:hAnsi="宋体" w:eastAsia="宋体" w:cs="宋体"/>
                <w:b w:val="0"/>
              </w:rPr>
              <w:br w:type="textWrapping"/>
            </w:r>
            <w:r>
              <w:rPr>
                <w:rFonts w:ascii="宋体" w:hAnsi="宋体" w:eastAsia="宋体" w:cs="宋体"/>
                <w:b w:val="0"/>
              </w:rPr>
              <w:t>5、可转债（含分离交易可转债）及可交换债券投资策略</w:t>
            </w:r>
            <w:r>
              <w:rPr>
                <w:rFonts w:ascii="宋体" w:hAnsi="宋体" w:eastAsia="宋体" w:cs="宋体"/>
                <w:b w:val="0"/>
              </w:rPr>
              <w:br w:type="textWrapping"/>
            </w:r>
            <w:r>
              <w:rPr>
                <w:rFonts w:ascii="宋体" w:hAnsi="宋体" w:eastAsia="宋体" w:cs="宋体"/>
                <w:b w:val="0"/>
              </w:rPr>
              <w:t>对于可转换债券的投资，本基金将在评估其偿债能力的同时兼顾公司的成长性，以期通过转换条款分享因股价上升带来的高收益。</w:t>
            </w:r>
            <w:r>
              <w:rPr>
                <w:rFonts w:ascii="宋体" w:hAnsi="宋体" w:eastAsia="宋体" w:cs="宋体"/>
                <w:b w:val="0"/>
              </w:rPr>
              <w:br w:type="textWrapping"/>
            </w:r>
            <w:r>
              <w:rPr>
                <w:rFonts w:ascii="宋体" w:hAnsi="宋体" w:eastAsia="宋体" w:cs="宋体"/>
                <w:b w:val="0"/>
              </w:rPr>
              <w:t>6、股指期货投资策略</w:t>
            </w:r>
            <w:r>
              <w:rPr>
                <w:rFonts w:ascii="宋体" w:hAnsi="宋体" w:eastAsia="宋体" w:cs="宋体"/>
                <w:b w:val="0"/>
              </w:rPr>
              <w:br w:type="textWrapping"/>
            </w:r>
            <w:r>
              <w:rPr>
                <w:rFonts w:ascii="宋体" w:hAnsi="宋体" w:eastAsia="宋体" w:cs="宋体"/>
                <w:b w:val="0"/>
              </w:rPr>
              <w:t>本基金投资股指期货将以投资组合避险和有效管理为目的，通过套期保值策略，对冲系统性风险，应对组合构建与调整中的流动性风险，力求风险收益的优化。</w:t>
            </w:r>
            <w:r>
              <w:rPr>
                <w:rFonts w:ascii="宋体" w:hAnsi="宋体" w:eastAsia="宋体" w:cs="宋体"/>
                <w:b w:val="0"/>
              </w:rPr>
              <w:br w:type="textWrapping"/>
            </w:r>
            <w:r>
              <w:rPr>
                <w:rFonts w:ascii="宋体" w:hAnsi="宋体" w:eastAsia="宋体" w:cs="宋体"/>
                <w:b w:val="0"/>
              </w:rPr>
              <w:t>7、融资业务的投资策略</w:t>
            </w:r>
            <w:r>
              <w:rPr>
                <w:rFonts w:ascii="宋体" w:hAnsi="宋体" w:eastAsia="宋体" w:cs="宋体"/>
                <w:b w:val="0"/>
              </w:rPr>
              <w:br w:type="textWrapping"/>
            </w:r>
            <w:r>
              <w:rPr>
                <w:rFonts w:ascii="宋体" w:hAnsi="宋体" w:eastAsia="宋体" w:cs="宋体"/>
                <w:b w:val="0"/>
              </w:rPr>
              <w:t>本基金将根据相关法律法规的规定参与融资业务。本基金参与融资业务，将综合考虑融资成本、保证金比例、冲抵保证金证券折算率、信用资质等条选择合适的交易对手方。同时，在保障基金投资组合充足流动性以及有效控制融资杠杆风险的前提下，确定融资比例。</w:t>
            </w:r>
            <w:r>
              <w:rPr>
                <w:rFonts w:ascii="宋体" w:hAnsi="宋体" w:eastAsia="宋体" w:cs="宋体"/>
                <w:b w:val="0"/>
              </w:rPr>
              <w:br w:type="textWrapping"/>
            </w:r>
            <w:r>
              <w:rPr>
                <w:rFonts w:ascii="宋体" w:hAnsi="宋体" w:eastAsia="宋体" w:cs="宋体"/>
                <w:b w:val="0"/>
              </w:rPr>
              <w:t>8、国债期货的投资策略</w:t>
            </w:r>
            <w:r>
              <w:rPr>
                <w:rFonts w:ascii="宋体" w:hAnsi="宋体" w:eastAsia="宋体" w:cs="宋体"/>
                <w:b w:val="0"/>
              </w:rPr>
              <w:br w:type="textWrapping"/>
            </w:r>
            <w:r>
              <w:rPr>
                <w:rFonts w:ascii="宋体" w:hAnsi="宋体" w:eastAsia="宋体" w:cs="宋体"/>
                <w:b w:val="0"/>
              </w:rPr>
              <w:t>基金管理人将结合对宏观经济形势和政策趋势的判断、对债券市场进行定性和定量分析，构建量化分析体系，在最大限度保证基金资产安全的基础上，力求实现所资产的长期稳定增值。</w:t>
            </w:r>
            <w:r>
              <w:rPr>
                <w:rFonts w:ascii="宋体" w:hAnsi="宋体" w:eastAsia="宋体" w:cs="宋体"/>
                <w:b w:val="0"/>
              </w:rPr>
              <w:br w:type="textWrapping"/>
            </w:r>
            <w:r>
              <w:rPr>
                <w:rFonts w:ascii="宋体" w:hAnsi="宋体" w:eastAsia="宋体" w:cs="宋体"/>
                <w:b w:val="0"/>
              </w:rPr>
              <w:t>9、股票期权的投资策略</w:t>
            </w:r>
            <w:r>
              <w:rPr>
                <w:rFonts w:ascii="宋体" w:hAnsi="宋体" w:eastAsia="宋体" w:cs="宋体"/>
                <w:b w:val="0"/>
              </w:rPr>
              <w:br w:type="textWrapping"/>
            </w:r>
            <w:r>
              <w:rPr>
                <w:rFonts w:ascii="宋体" w:hAnsi="宋体" w:eastAsia="宋体" w:cs="宋体"/>
                <w:b w:val="0"/>
              </w:rPr>
              <w:t>本基金投资股票期权将以套期保值为主要目的，结合投资目标、比例限制、风险收益特征以及法律法规的相关限定和要求，确定参与股票期权交易的投资时机和投资比例。</w:t>
            </w:r>
            <w:r>
              <w:rPr>
                <w:rFonts w:ascii="宋体" w:hAnsi="宋体" w:eastAsia="宋体" w:cs="宋体"/>
                <w:b w:val="0"/>
              </w:rPr>
              <w:br w:type="textWrapping"/>
            </w:r>
            <w:r>
              <w:rPr>
                <w:rFonts w:ascii="宋体" w:hAnsi="宋体" w:eastAsia="宋体" w:cs="宋体"/>
                <w:b w:val="0"/>
              </w:rPr>
              <w:t>10、资产支持证券投资策略</w:t>
            </w:r>
            <w:r>
              <w:rPr>
                <w:rFonts w:ascii="宋体" w:hAnsi="宋体" w:eastAsia="宋体" w:cs="宋体"/>
                <w:b w:val="0"/>
              </w:rPr>
              <w:br w:type="textWrapping"/>
            </w:r>
            <w:r>
              <w:rPr>
                <w:rFonts w:ascii="宋体" w:hAnsi="宋体" w:eastAsia="宋体" w:cs="宋体"/>
                <w:b w:val="0"/>
              </w:rPr>
              <w:t>本基金可以投资包括资产抵押贷款支持证券(ABS)、住房抵押贷款支持证券(MBS)等在内的资产支持证券。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pPr>
              <w:spacing w:line="240" w:lineRule="auto"/>
              <w:jc w:val="left"/>
            </w:pPr>
            <w:r>
              <w:rPr>
                <w:rFonts w:ascii="宋体" w:hAnsi="宋体" w:eastAsia="宋体" w:cs="宋体"/>
                <w:b w:val="0"/>
              </w:rPr>
              <w:t>业绩比较基准</w:t>
            </w:r>
          </w:p>
        </w:tc>
        <w:tc>
          <w:tcPr>
            <w:tcW w:w="0" w:type="dxa"/>
            <w:gridSpan w:val="2"/>
            <w:vAlign w:val="center"/>
          </w:tcPr>
          <w:p>
            <w:pPr>
              <w:spacing w:line="240" w:lineRule="auto"/>
              <w:jc w:val="left"/>
            </w:pPr>
            <w:r>
              <w:rPr>
                <w:rFonts w:ascii="宋体" w:hAnsi="宋体" w:eastAsia="宋体" w:cs="宋体"/>
                <w:b w:val="0"/>
              </w:rPr>
              <w:t>中证800指数收益率×80%+中证综合债券指数收益率×20%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pPr>
              <w:spacing w:line="240" w:lineRule="auto"/>
              <w:jc w:val="left"/>
            </w:pPr>
            <w:r>
              <w:rPr>
                <w:rFonts w:ascii="宋体" w:hAnsi="宋体" w:eastAsia="宋体" w:cs="宋体"/>
                <w:b w:val="0"/>
              </w:rPr>
              <w:t>风险收益特征</w:t>
            </w:r>
          </w:p>
        </w:tc>
        <w:tc>
          <w:tcPr>
            <w:tcW w:w="2592" w:type="pct"/>
            <w:gridSpan w:val="2"/>
            <w:vAlign w:val="center"/>
          </w:tcPr>
          <w:p>
            <w:pPr>
              <w:spacing w:line="240" w:lineRule="auto"/>
              <w:jc w:val="left"/>
            </w:pPr>
            <w:r>
              <w:rPr>
                <w:rFonts w:ascii="宋体" w:hAnsi="宋体" w:eastAsia="宋体" w:cs="宋体"/>
                <w:b w:val="0"/>
              </w:rPr>
              <w:t>本基金为混合型基金，其预期收益和风险高于货币型基金、债券型基金。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pPr>
              <w:spacing w:line="240" w:lineRule="auto"/>
              <w:jc w:val="left"/>
            </w:pPr>
            <w:r>
              <w:rPr>
                <w:rFonts w:ascii="宋体" w:hAnsi="宋体" w:eastAsia="宋体" w:cs="宋体"/>
                <w:b w:val="0"/>
              </w:rPr>
              <w:t>基金管理人</w:t>
            </w:r>
          </w:p>
        </w:tc>
        <w:tc>
          <w:tcPr>
            <w:tcW w:w="0" w:type="dxa"/>
            <w:gridSpan w:val="2"/>
            <w:vAlign w:val="center"/>
          </w:tcPr>
          <w:p>
            <w:pPr>
              <w:spacing w:line="240" w:lineRule="auto"/>
              <w:jc w:val="left"/>
            </w:pPr>
            <w:r>
              <w:rPr>
                <w:rFonts w:ascii="宋体" w:hAnsi="宋体" w:eastAsia="宋体" w:cs="宋体"/>
                <w:b w:val="0"/>
              </w:rPr>
              <w:t>东方阿尔法基金管理有限公司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pPr>
              <w:spacing w:line="240" w:lineRule="auto"/>
              <w:jc w:val="left"/>
            </w:pPr>
            <w:r>
              <w:rPr>
                <w:rFonts w:ascii="宋体" w:hAnsi="宋体" w:eastAsia="宋体" w:cs="宋体"/>
                <w:b w:val="0"/>
              </w:rPr>
              <w:t>基金托管人</w:t>
            </w:r>
          </w:p>
        </w:tc>
        <w:tc>
          <w:tcPr>
            <w:tcW w:w="0" w:type="dxa"/>
            <w:gridSpan w:val="2"/>
            <w:vAlign w:val="center"/>
          </w:tcPr>
          <w:p>
            <w:pPr>
              <w:spacing w:line="240" w:lineRule="auto"/>
              <w:jc w:val="left"/>
            </w:pPr>
            <w:r>
              <w:rPr>
                <w:rFonts w:ascii="宋体" w:hAnsi="宋体" w:eastAsia="宋体" w:cs="宋体"/>
                <w:b w:val="0"/>
              </w:rPr>
              <w:t>招商银行股份有限公司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下属分级基金的基金简称</w:t>
            </w:r>
          </w:p>
        </w:tc>
        <w:tc>
          <w:tcPr>
            <w:tcW w:w="1500" w:type="pct"/>
            <w:vAlign w:val="center"/>
          </w:tcPr>
          <w:p>
            <w:pPr>
              <w:spacing w:line="240" w:lineRule="auto"/>
              <w:jc w:val="left"/>
            </w:pPr>
            <w:r>
              <w:rPr>
                <w:rFonts w:ascii="宋体" w:hAnsi="宋体" w:eastAsia="宋体" w:cs="宋体"/>
                <w:b w:val="0"/>
              </w:rPr>
              <w:t>东方阿尔法产业先锋混合A</w:t>
            </w:r>
          </w:p>
        </w:tc>
        <w:tc>
          <w:tcPr>
            <w:tcW w:w="1500" w:type="pct"/>
            <w:vAlign w:val="center"/>
          </w:tcPr>
          <w:p>
            <w:pPr>
              <w:spacing w:line="240" w:lineRule="auto"/>
              <w:jc w:val="left"/>
            </w:pPr>
            <w:r>
              <w:rPr>
                <w:rFonts w:ascii="宋体" w:hAnsi="宋体" w:eastAsia="宋体" w:cs="宋体"/>
                <w:b w:val="0"/>
              </w:rPr>
              <w:t>东方阿尔法产业先锋混合C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下属分级基金的交易代码</w:t>
            </w:r>
          </w:p>
        </w:tc>
        <w:tc>
          <w:tcPr>
            <w:tcW w:w="1500" w:type="pct"/>
            <w:vAlign w:val="center"/>
          </w:tcPr>
          <w:p>
            <w:pPr>
              <w:spacing w:line="240" w:lineRule="auto"/>
              <w:jc w:val="left"/>
            </w:pPr>
            <w:r>
              <w:rPr>
                <w:rFonts w:ascii="宋体" w:hAnsi="宋体" w:eastAsia="宋体" w:cs="宋体"/>
                <w:b w:val="0"/>
              </w:rPr>
              <w:t>011704</w:t>
            </w:r>
          </w:p>
        </w:tc>
        <w:tc>
          <w:tcPr>
            <w:tcW w:w="1500" w:type="pct"/>
            <w:vAlign w:val="center"/>
          </w:tcPr>
          <w:p>
            <w:pPr>
              <w:spacing w:line="240" w:lineRule="auto"/>
              <w:jc w:val="left"/>
            </w:pPr>
            <w:r>
              <w:rPr>
                <w:rFonts w:ascii="宋体" w:hAnsi="宋体" w:eastAsia="宋体" w:cs="宋体"/>
                <w:b w:val="0"/>
              </w:rPr>
              <w:t>011705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报告期末下属分级基金的份额总额</w:t>
            </w:r>
          </w:p>
        </w:tc>
        <w:tc>
          <w:tcPr>
            <w:tcW w:w="1500" w:type="pct"/>
            <w:vAlign w:val="center"/>
          </w:tcPr>
          <w:p>
            <w:pPr>
              <w:spacing w:line="240" w:lineRule="auto"/>
              <w:jc w:val="left"/>
            </w:pPr>
            <w:r>
              <w:rPr>
                <w:rFonts w:ascii="宋体" w:hAnsi="宋体" w:eastAsia="宋体" w:cs="宋体"/>
                <w:b w:val="0"/>
              </w:rPr>
              <w:t>942,658,632.90份</w:t>
            </w:r>
          </w:p>
        </w:tc>
        <w:tc>
          <w:tcPr>
            <w:tcW w:w="1500" w:type="pct"/>
            <w:vAlign w:val="center"/>
          </w:tcPr>
          <w:p>
            <w:pPr>
              <w:spacing w:line="240" w:lineRule="auto"/>
              <w:jc w:val="left"/>
            </w:pPr>
            <w:r>
              <w:rPr>
                <w:rFonts w:ascii="宋体" w:hAnsi="宋体" w:eastAsia="宋体" w:cs="宋体"/>
                <w:b w:val="0"/>
              </w:rPr>
              <w:t>322,670,754.31份</w:t>
            </w:r>
          </w:p>
        </w:tc>
      </w:tr>
    </w:tbl>
    <w:p>
      <w:pPr>
        <w:pStyle w:val="2"/>
        <w:jc w:val="center"/>
      </w:pPr>
      <w:r>
        <w:rPr>
          <w:rFonts w:ascii="宋体" w:hAnsi="宋体" w:eastAsia="宋体" w:cs="宋体"/>
        </w:rPr>
        <w:t>§3 主要财务指标和基金净值表现</w:t>
      </w:r>
    </w:p>
    <w:p>
      <w:pPr>
        <w:pStyle w:val="3"/>
        <w:jc w:val="left"/>
      </w:pPr>
      <w:r>
        <w:rPr>
          <w:rFonts w:ascii="宋体" w:hAnsi="宋体" w:eastAsia="宋体" w:cs="宋体"/>
        </w:rPr>
        <w:t>3.1 主要财务指标</w:t>
      </w:r>
    </w:p>
    <w:p>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1"/>
        <w:gridCol w:w="2786"/>
        <w:gridCol w:w="2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Merge w:val="restart"/>
            <w:shd w:val="clear" w:color="auto" w:fill="D9D9D9"/>
            <w:vAlign w:val="center"/>
          </w:tcPr>
          <w:p>
            <w:pPr>
              <w:spacing w:line="240" w:lineRule="auto"/>
              <w:jc w:val="center"/>
            </w:pPr>
            <w:r>
              <w:rPr>
                <w:rFonts w:ascii="宋体" w:hAnsi="宋体" w:eastAsia="宋体" w:cs="宋体"/>
                <w:b/>
              </w:rPr>
              <w:t>主要财务指标</w:t>
            </w:r>
          </w:p>
        </w:tc>
        <w:tc>
          <w:tcPr>
            <w:tcW w:w="3077" w:type="pct"/>
            <w:gridSpan w:val="2"/>
            <w:shd w:val="clear" w:color="auto" w:fill="D9D9D9"/>
            <w:vAlign w:val="center"/>
          </w:tcPr>
          <w:p>
            <w:pPr>
              <w:spacing w:line="240" w:lineRule="auto"/>
              <w:jc w:val="center"/>
            </w:pPr>
            <w:r>
              <w:rPr>
                <w:rFonts w:ascii="宋体" w:hAnsi="宋体" w:eastAsia="宋体" w:cs="宋体"/>
                <w:b w:val="0"/>
              </w:rPr>
              <w:t>报告期（2026年04月01日-2026年06月30日）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tc>
        <w:tc>
          <w:tcPr>
            <w:tcW w:w="1500" w:type="pct"/>
            <w:shd w:val="clear" w:color="auto" w:fill="D9D9D9"/>
            <w:vAlign w:val="center"/>
          </w:tcPr>
          <w:p>
            <w:pPr>
              <w:spacing w:line="240" w:lineRule="auto"/>
              <w:jc w:val="center"/>
            </w:pPr>
            <w:r>
              <w:rPr>
                <w:rFonts w:ascii="宋体" w:hAnsi="宋体" w:eastAsia="宋体" w:cs="宋体"/>
                <w:b w:val="0"/>
              </w:rPr>
              <w:t>东方阿尔法产业先锋混合A</w:t>
            </w:r>
          </w:p>
        </w:tc>
        <w:tc>
          <w:tcPr>
            <w:tcW w:w="1500" w:type="pct"/>
            <w:shd w:val="clear" w:color="auto" w:fill="D9D9D9"/>
            <w:vAlign w:val="center"/>
          </w:tcPr>
          <w:p>
            <w:pPr>
              <w:spacing w:line="240" w:lineRule="auto"/>
              <w:jc w:val="center"/>
            </w:pPr>
            <w:r>
              <w:rPr>
                <w:rFonts w:ascii="宋体" w:hAnsi="宋体" w:eastAsia="宋体" w:cs="宋体"/>
                <w:b w:val="0"/>
              </w:rPr>
              <w:t>东方阿尔法产业先锋混合C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1.本期已实现收益</w:t>
            </w:r>
          </w:p>
        </w:tc>
        <w:tc>
          <w:tcPr>
            <w:tcW w:w="1500" w:type="pct"/>
            <w:vAlign w:val="center"/>
          </w:tcPr>
          <w:p>
            <w:pPr>
              <w:spacing w:line="240" w:lineRule="auto"/>
              <w:jc w:val="right"/>
            </w:pPr>
            <w:r>
              <w:rPr>
                <w:rFonts w:ascii="宋体" w:hAnsi="宋体" w:eastAsia="宋体" w:cs="宋体"/>
                <w:b w:val="0"/>
              </w:rPr>
              <w:t>79,253,186.62</w:t>
            </w:r>
          </w:p>
        </w:tc>
        <w:tc>
          <w:tcPr>
            <w:tcW w:w="1500" w:type="pct"/>
            <w:vAlign w:val="center"/>
          </w:tcPr>
          <w:p>
            <w:pPr>
              <w:spacing w:line="240" w:lineRule="auto"/>
              <w:jc w:val="right"/>
            </w:pPr>
            <w:r>
              <w:rPr>
                <w:rFonts w:ascii="宋体" w:hAnsi="宋体" w:eastAsia="宋体" w:cs="宋体"/>
                <w:b w:val="0"/>
              </w:rPr>
              <w:t>29,059,368.73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2.本期利润</w:t>
            </w:r>
          </w:p>
        </w:tc>
        <w:tc>
          <w:tcPr>
            <w:tcW w:w="1500" w:type="pct"/>
            <w:vAlign w:val="center"/>
          </w:tcPr>
          <w:p>
            <w:pPr>
              <w:spacing w:line="240" w:lineRule="auto"/>
              <w:jc w:val="right"/>
            </w:pPr>
            <w:r>
              <w:rPr>
                <w:rFonts w:ascii="宋体" w:hAnsi="宋体" w:eastAsia="宋体" w:cs="宋体"/>
                <w:b w:val="0"/>
              </w:rPr>
              <w:t>163,738,771.03</w:t>
            </w:r>
          </w:p>
        </w:tc>
        <w:tc>
          <w:tcPr>
            <w:tcW w:w="1500" w:type="pct"/>
            <w:vAlign w:val="center"/>
          </w:tcPr>
          <w:p>
            <w:pPr>
              <w:spacing w:line="240" w:lineRule="auto"/>
              <w:jc w:val="right"/>
            </w:pPr>
            <w:r>
              <w:rPr>
                <w:rFonts w:ascii="宋体" w:hAnsi="宋体" w:eastAsia="宋体" w:cs="宋体"/>
                <w:b w:val="0"/>
              </w:rPr>
              <w:t>60,367,373.55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3.加权平均基金份额本期利润</w:t>
            </w:r>
          </w:p>
        </w:tc>
        <w:tc>
          <w:tcPr>
            <w:tcW w:w="1500" w:type="pct"/>
            <w:vAlign w:val="center"/>
          </w:tcPr>
          <w:p>
            <w:pPr>
              <w:spacing w:line="240" w:lineRule="auto"/>
              <w:jc w:val="right"/>
            </w:pPr>
            <w:r>
              <w:rPr>
                <w:rFonts w:ascii="宋体" w:hAnsi="宋体" w:eastAsia="宋体" w:cs="宋体"/>
                <w:b w:val="0"/>
              </w:rPr>
              <w:t>0.1612</w:t>
            </w:r>
          </w:p>
        </w:tc>
        <w:tc>
          <w:tcPr>
            <w:tcW w:w="1500" w:type="pct"/>
            <w:vAlign w:val="center"/>
          </w:tcPr>
          <w:p>
            <w:pPr>
              <w:spacing w:line="240" w:lineRule="auto"/>
              <w:jc w:val="right"/>
            </w:pPr>
            <w:r>
              <w:rPr>
                <w:rFonts w:ascii="宋体" w:hAnsi="宋体" w:eastAsia="宋体" w:cs="宋体"/>
                <w:b w:val="0"/>
              </w:rPr>
              <w:t>0.1573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4.期末基金资产净值</w:t>
            </w:r>
          </w:p>
        </w:tc>
        <w:tc>
          <w:tcPr>
            <w:tcW w:w="1500" w:type="pct"/>
            <w:vAlign w:val="center"/>
          </w:tcPr>
          <w:p>
            <w:pPr>
              <w:spacing w:line="240" w:lineRule="auto"/>
              <w:jc w:val="right"/>
            </w:pPr>
            <w:r>
              <w:rPr>
                <w:rFonts w:ascii="宋体" w:hAnsi="宋体" w:eastAsia="宋体" w:cs="宋体"/>
                <w:b w:val="0"/>
              </w:rPr>
              <w:t>705,670,396.01</w:t>
            </w:r>
          </w:p>
        </w:tc>
        <w:tc>
          <w:tcPr>
            <w:tcW w:w="1500" w:type="pct"/>
            <w:vAlign w:val="center"/>
          </w:tcPr>
          <w:p>
            <w:pPr>
              <w:spacing w:line="240" w:lineRule="auto"/>
              <w:jc w:val="right"/>
            </w:pPr>
            <w:r>
              <w:rPr>
                <w:rFonts w:ascii="宋体" w:hAnsi="宋体" w:eastAsia="宋体" w:cs="宋体"/>
                <w:b w:val="0"/>
              </w:rPr>
              <w:t>235,646,148.27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5.期末基金份额净值</w:t>
            </w:r>
          </w:p>
        </w:tc>
        <w:tc>
          <w:tcPr>
            <w:tcW w:w="1500" w:type="pct"/>
            <w:vAlign w:val="center"/>
          </w:tcPr>
          <w:p>
            <w:pPr>
              <w:spacing w:line="240" w:lineRule="auto"/>
              <w:jc w:val="right"/>
            </w:pPr>
            <w:r>
              <w:rPr>
                <w:rFonts w:ascii="宋体" w:hAnsi="宋体" w:eastAsia="宋体" w:cs="宋体"/>
                <w:b w:val="0"/>
              </w:rPr>
              <w:t>0.7486</w:t>
            </w:r>
          </w:p>
        </w:tc>
        <w:tc>
          <w:tcPr>
            <w:tcW w:w="1500" w:type="pct"/>
            <w:vAlign w:val="center"/>
          </w:tcPr>
          <w:p>
            <w:pPr>
              <w:spacing w:line="240" w:lineRule="auto"/>
              <w:jc w:val="right"/>
            </w:pPr>
            <w:r>
              <w:rPr>
                <w:rFonts w:ascii="宋体" w:hAnsi="宋体" w:eastAsia="宋体" w:cs="宋体"/>
                <w:b w:val="0"/>
              </w:rPr>
              <w:t>0.7303</w:t>
            </w:r>
          </w:p>
        </w:tc>
      </w:tr>
    </w:tbl>
    <w:p>
      <w:r>
        <w:rPr>
          <w:rFonts w:ascii="宋体" w:hAnsi="宋体" w:eastAsia="宋体" w:cs="宋体"/>
          <w:b w:val="0"/>
        </w:rPr>
        <w:t>注：1、本期已实现收益指基金本期利息收入、投资收益、其他收入(不含公允价值变动收益)扣除相关费用后的余额，本期利润为本期已实现收益加上本期公允价值变动收益。</w:t>
      </w:r>
      <w:r>
        <w:rPr>
          <w:rFonts w:ascii="宋体" w:hAnsi="宋体" w:eastAsia="宋体" w:cs="宋体"/>
          <w:b w:val="0"/>
        </w:rPr>
        <w:br w:type="textWrapping"/>
      </w:r>
      <w:r>
        <w:rPr>
          <w:rFonts w:ascii="宋体" w:hAnsi="宋体" w:eastAsia="宋体" w:cs="宋体"/>
          <w:b w:val="0"/>
        </w:rPr>
        <w:t>2、所述基金业绩指标不包括持有人认购或交易基金的各项费用，计入费用后实际收益水平要低于所列数字。</w:t>
      </w:r>
    </w:p>
    <w:p/>
    <w:p>
      <w:pPr>
        <w:pStyle w:val="3"/>
        <w:jc w:val="left"/>
      </w:pPr>
      <w:r>
        <w:rPr>
          <w:rFonts w:ascii="宋体" w:hAnsi="宋体" w:eastAsia="宋体" w:cs="宋体"/>
        </w:rPr>
        <w:t>3.2 基金净值表现</w:t>
      </w:r>
    </w:p>
    <w:p>
      <w:pPr>
        <w:pStyle w:val="58"/>
      </w:pPr>
      <w:r>
        <w:rPr>
          <w:rFonts w:ascii="宋体" w:hAnsi="宋体" w:eastAsia="宋体" w:cs="宋体"/>
          <w:b/>
        </w:rPr>
        <w:t>3.2.1 基金份额净值增长率及其与同期业绩比较基准收益率的比较</w:t>
      </w:r>
    </w:p>
    <w:p>
      <w:pPr>
        <w:jc w:val="left"/>
      </w:pPr>
      <w:r>
        <w:rPr>
          <w:rFonts w:ascii="宋体" w:hAnsi="宋体" w:eastAsia="宋体" w:cs="宋体"/>
          <w:b/>
        </w:rPr>
        <w:t>东方阿尔法产业先锋混合A净值表现</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1"/>
        <w:gridCol w:w="1285"/>
        <w:gridCol w:w="1286"/>
        <w:gridCol w:w="1286"/>
        <w:gridCol w:w="1286"/>
        <w:gridCol w:w="1286"/>
        <w:gridCol w:w="1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pct"/>
            <w:shd w:val="clear" w:color="auto" w:fill="D9D9D9"/>
            <w:vAlign w:val="center"/>
          </w:tcPr>
          <w:p>
            <w:pPr>
              <w:spacing w:line="240" w:lineRule="auto"/>
              <w:jc w:val="center"/>
            </w:pPr>
            <w:r>
              <w:rPr>
                <w:rFonts w:ascii="宋体" w:hAnsi="宋体" w:eastAsia="宋体" w:cs="宋体"/>
                <w:b w:val="0"/>
              </w:rPr>
              <w:t>阶段</w:t>
            </w:r>
          </w:p>
        </w:tc>
        <w:tc>
          <w:tcPr>
            <w:tcW w:w="692" w:type="pct"/>
            <w:shd w:val="clear" w:color="auto" w:fill="D9D9D9"/>
            <w:vAlign w:val="center"/>
          </w:tcPr>
          <w:p>
            <w:pPr>
              <w:spacing w:line="240" w:lineRule="auto"/>
              <w:jc w:val="center"/>
            </w:pPr>
            <w:r>
              <w:rPr>
                <w:rFonts w:ascii="宋体" w:hAnsi="宋体" w:eastAsia="宋体" w:cs="宋体"/>
                <w:b w:val="0"/>
              </w:rPr>
              <w:t>净值增长率①</w:t>
            </w:r>
          </w:p>
        </w:tc>
        <w:tc>
          <w:tcPr>
            <w:tcW w:w="692" w:type="pct"/>
            <w:shd w:val="clear" w:color="auto" w:fill="D9D9D9"/>
            <w:vAlign w:val="center"/>
          </w:tcPr>
          <w:p>
            <w:pPr>
              <w:spacing w:line="240" w:lineRule="auto"/>
              <w:jc w:val="center"/>
            </w:pPr>
            <w:r>
              <w:rPr>
                <w:rFonts w:ascii="宋体" w:hAnsi="宋体" w:eastAsia="宋体" w:cs="宋体"/>
                <w:b w:val="0"/>
              </w:rPr>
              <w:t>净值增长率标准差②</w:t>
            </w:r>
          </w:p>
        </w:tc>
        <w:tc>
          <w:tcPr>
            <w:tcW w:w="692" w:type="pct"/>
            <w:shd w:val="clear" w:color="auto" w:fill="D9D9D9"/>
            <w:vAlign w:val="center"/>
          </w:tcPr>
          <w:p>
            <w:pPr>
              <w:spacing w:line="240" w:lineRule="auto"/>
              <w:jc w:val="center"/>
            </w:pPr>
            <w:r>
              <w:rPr>
                <w:rFonts w:ascii="宋体" w:hAnsi="宋体" w:eastAsia="宋体" w:cs="宋体"/>
                <w:b w:val="0"/>
              </w:rPr>
              <w:t>业绩比较基准收益率③</w:t>
            </w:r>
          </w:p>
        </w:tc>
        <w:tc>
          <w:tcPr>
            <w:tcW w:w="692" w:type="pct"/>
            <w:shd w:val="clear" w:color="auto" w:fill="D9D9D9"/>
            <w:vAlign w:val="center"/>
          </w:tcPr>
          <w:p>
            <w:pPr>
              <w:spacing w:line="240" w:lineRule="auto"/>
              <w:jc w:val="center"/>
            </w:pPr>
            <w:r>
              <w:rPr>
                <w:rFonts w:ascii="宋体" w:hAnsi="宋体" w:eastAsia="宋体" w:cs="宋体"/>
                <w:b w:val="0"/>
              </w:rPr>
              <w:t>业绩比较基准收益率标准差④</w:t>
            </w:r>
          </w:p>
        </w:tc>
        <w:tc>
          <w:tcPr>
            <w:tcW w:w="692" w:type="pct"/>
            <w:shd w:val="clear" w:color="auto" w:fill="D9D9D9"/>
            <w:vAlign w:val="center"/>
          </w:tcPr>
          <w:p>
            <w:pPr>
              <w:spacing w:line="240" w:lineRule="auto"/>
              <w:jc w:val="center"/>
            </w:pPr>
            <w:r>
              <w:rPr>
                <w:rFonts w:ascii="宋体" w:hAnsi="宋体" w:eastAsia="宋体" w:cs="宋体"/>
                <w:b w:val="0"/>
              </w:rPr>
              <w:t>①-③</w:t>
            </w:r>
          </w:p>
        </w:tc>
        <w:tc>
          <w:tcPr>
            <w:tcW w:w="692" w:type="pct"/>
            <w:shd w:val="clear" w:color="auto" w:fill="D9D9D9"/>
            <w:vAlign w:val="center"/>
          </w:tcPr>
          <w:p>
            <w:pPr>
              <w:spacing w:line="240" w:lineRule="auto"/>
              <w:jc w:val="center"/>
            </w:pPr>
            <w:r>
              <w:rPr>
                <w:rFonts w:ascii="宋体" w:hAnsi="宋体" w:eastAsia="宋体" w:cs="宋体"/>
                <w:b w:val="0"/>
              </w:rPr>
              <w:t>②-④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过去三个月</w:t>
            </w:r>
          </w:p>
        </w:tc>
        <w:tc>
          <w:tcPr>
            <w:tcW w:w="0" w:type="dxa"/>
            <w:vAlign w:val="center"/>
          </w:tcPr>
          <w:p>
            <w:pPr>
              <w:spacing w:line="240" w:lineRule="auto"/>
              <w:jc w:val="right"/>
            </w:pPr>
            <w:r>
              <w:rPr>
                <w:rFonts w:ascii="宋体" w:hAnsi="宋体" w:eastAsia="宋体" w:cs="宋体"/>
                <w:b w:val="0"/>
              </w:rPr>
              <w:t>26.92%</w:t>
            </w:r>
          </w:p>
        </w:tc>
        <w:tc>
          <w:tcPr>
            <w:tcW w:w="0" w:type="dxa"/>
            <w:vAlign w:val="center"/>
          </w:tcPr>
          <w:p>
            <w:pPr>
              <w:spacing w:line="240" w:lineRule="auto"/>
              <w:jc w:val="right"/>
            </w:pPr>
            <w:r>
              <w:rPr>
                <w:rFonts w:ascii="宋体" w:hAnsi="宋体" w:eastAsia="宋体" w:cs="宋体"/>
                <w:b w:val="0"/>
              </w:rPr>
              <w:t>2.50%</w:t>
            </w:r>
          </w:p>
        </w:tc>
        <w:tc>
          <w:tcPr>
            <w:tcW w:w="0" w:type="dxa"/>
            <w:vAlign w:val="center"/>
          </w:tcPr>
          <w:p>
            <w:pPr>
              <w:spacing w:line="240" w:lineRule="auto"/>
              <w:jc w:val="right"/>
            </w:pPr>
            <w:r>
              <w:rPr>
                <w:rFonts w:ascii="宋体" w:hAnsi="宋体" w:eastAsia="宋体" w:cs="宋体"/>
                <w:b w:val="0"/>
              </w:rPr>
              <w:t>11.19%</w:t>
            </w:r>
          </w:p>
        </w:tc>
        <w:tc>
          <w:tcPr>
            <w:tcW w:w="0" w:type="dxa"/>
            <w:vAlign w:val="center"/>
          </w:tcPr>
          <w:p>
            <w:pPr>
              <w:spacing w:line="240" w:lineRule="auto"/>
              <w:jc w:val="right"/>
            </w:pPr>
            <w:r>
              <w:rPr>
                <w:rFonts w:ascii="宋体" w:hAnsi="宋体" w:eastAsia="宋体" w:cs="宋体"/>
                <w:b w:val="0"/>
              </w:rPr>
              <w:t>1.07%</w:t>
            </w:r>
          </w:p>
        </w:tc>
        <w:tc>
          <w:tcPr>
            <w:tcW w:w="0" w:type="dxa"/>
            <w:vAlign w:val="center"/>
          </w:tcPr>
          <w:p>
            <w:pPr>
              <w:spacing w:line="240" w:lineRule="auto"/>
              <w:jc w:val="right"/>
            </w:pPr>
            <w:r>
              <w:rPr>
                <w:rFonts w:ascii="宋体" w:hAnsi="宋体" w:eastAsia="宋体" w:cs="宋体"/>
                <w:b w:val="0"/>
              </w:rPr>
              <w:t>15.73%</w:t>
            </w:r>
          </w:p>
        </w:tc>
        <w:tc>
          <w:tcPr>
            <w:tcW w:w="0" w:type="dxa"/>
            <w:vAlign w:val="center"/>
          </w:tcPr>
          <w:p>
            <w:pPr>
              <w:spacing w:line="240" w:lineRule="auto"/>
              <w:jc w:val="right"/>
            </w:pPr>
            <w:r>
              <w:rPr>
                <w:rFonts w:ascii="宋体" w:hAnsi="宋体" w:eastAsia="宋体" w:cs="宋体"/>
                <w:b w:val="0"/>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过去六个月</w:t>
            </w:r>
          </w:p>
        </w:tc>
        <w:tc>
          <w:tcPr>
            <w:tcW w:w="0" w:type="dxa"/>
            <w:vAlign w:val="center"/>
          </w:tcPr>
          <w:p>
            <w:pPr>
              <w:spacing w:line="240" w:lineRule="auto"/>
              <w:jc w:val="right"/>
            </w:pPr>
            <w:r>
              <w:rPr>
                <w:rFonts w:ascii="宋体" w:hAnsi="宋体" w:eastAsia="宋体" w:cs="宋体"/>
                <w:b w:val="0"/>
              </w:rPr>
              <w:t>18.13%</w:t>
            </w:r>
          </w:p>
        </w:tc>
        <w:tc>
          <w:tcPr>
            <w:tcW w:w="0" w:type="dxa"/>
            <w:vAlign w:val="center"/>
          </w:tcPr>
          <w:p>
            <w:pPr>
              <w:spacing w:line="240" w:lineRule="auto"/>
              <w:jc w:val="right"/>
            </w:pPr>
            <w:r>
              <w:rPr>
                <w:rFonts w:ascii="宋体" w:hAnsi="宋体" w:eastAsia="宋体" w:cs="宋体"/>
                <w:b w:val="0"/>
              </w:rPr>
              <w:t>2.44%</w:t>
            </w:r>
          </w:p>
        </w:tc>
        <w:tc>
          <w:tcPr>
            <w:tcW w:w="0" w:type="dxa"/>
            <w:vAlign w:val="center"/>
          </w:tcPr>
          <w:p>
            <w:pPr>
              <w:spacing w:line="240" w:lineRule="auto"/>
              <w:jc w:val="right"/>
            </w:pPr>
            <w:r>
              <w:rPr>
                <w:rFonts w:ascii="宋体" w:hAnsi="宋体" w:eastAsia="宋体" w:cs="宋体"/>
                <w:b w:val="0"/>
              </w:rPr>
              <w:t>9.39%</w:t>
            </w:r>
          </w:p>
        </w:tc>
        <w:tc>
          <w:tcPr>
            <w:tcW w:w="0" w:type="dxa"/>
            <w:vAlign w:val="center"/>
          </w:tcPr>
          <w:p>
            <w:pPr>
              <w:spacing w:line="240" w:lineRule="auto"/>
              <w:jc w:val="right"/>
            </w:pPr>
            <w:r>
              <w:rPr>
                <w:rFonts w:ascii="宋体" w:hAnsi="宋体" w:eastAsia="宋体" w:cs="宋体"/>
                <w:b w:val="0"/>
              </w:rPr>
              <w:t>0.99%</w:t>
            </w:r>
          </w:p>
        </w:tc>
        <w:tc>
          <w:tcPr>
            <w:tcW w:w="0" w:type="dxa"/>
            <w:vAlign w:val="center"/>
          </w:tcPr>
          <w:p>
            <w:pPr>
              <w:spacing w:line="240" w:lineRule="auto"/>
              <w:jc w:val="right"/>
            </w:pPr>
            <w:r>
              <w:rPr>
                <w:rFonts w:ascii="宋体" w:hAnsi="宋体" w:eastAsia="宋体" w:cs="宋体"/>
                <w:b w:val="0"/>
              </w:rPr>
              <w:t>8.74%</w:t>
            </w:r>
          </w:p>
        </w:tc>
        <w:tc>
          <w:tcPr>
            <w:tcW w:w="0" w:type="dxa"/>
            <w:vAlign w:val="center"/>
          </w:tcPr>
          <w:p>
            <w:pPr>
              <w:spacing w:line="240" w:lineRule="auto"/>
              <w:jc w:val="right"/>
            </w:pPr>
            <w:r>
              <w:rPr>
                <w:rFonts w:ascii="宋体" w:hAnsi="宋体" w:eastAsia="宋体" w:cs="宋体"/>
                <w:b w:val="0"/>
              </w:rPr>
              <w:t>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过去一年</w:t>
            </w:r>
          </w:p>
        </w:tc>
        <w:tc>
          <w:tcPr>
            <w:tcW w:w="0" w:type="dxa"/>
            <w:vAlign w:val="center"/>
          </w:tcPr>
          <w:p>
            <w:pPr>
              <w:spacing w:line="240" w:lineRule="auto"/>
              <w:jc w:val="right"/>
            </w:pPr>
            <w:r>
              <w:rPr>
                <w:rFonts w:ascii="宋体" w:hAnsi="宋体" w:eastAsia="宋体" w:cs="宋体"/>
                <w:b w:val="0"/>
              </w:rPr>
              <w:t>67.21%</w:t>
            </w:r>
          </w:p>
        </w:tc>
        <w:tc>
          <w:tcPr>
            <w:tcW w:w="0" w:type="dxa"/>
            <w:vAlign w:val="center"/>
          </w:tcPr>
          <w:p>
            <w:pPr>
              <w:spacing w:line="240" w:lineRule="auto"/>
              <w:jc w:val="right"/>
            </w:pPr>
            <w:r>
              <w:rPr>
                <w:rFonts w:ascii="宋体" w:hAnsi="宋体" w:eastAsia="宋体" w:cs="宋体"/>
                <w:b w:val="0"/>
              </w:rPr>
              <w:t>2.48%</w:t>
            </w:r>
          </w:p>
        </w:tc>
        <w:tc>
          <w:tcPr>
            <w:tcW w:w="0" w:type="dxa"/>
            <w:vAlign w:val="center"/>
          </w:tcPr>
          <w:p>
            <w:pPr>
              <w:spacing w:line="240" w:lineRule="auto"/>
              <w:jc w:val="right"/>
            </w:pPr>
            <w:r>
              <w:rPr>
                <w:rFonts w:ascii="宋体" w:hAnsi="宋体" w:eastAsia="宋体" w:cs="宋体"/>
                <w:b w:val="0"/>
              </w:rPr>
              <w:t>26.47%</w:t>
            </w:r>
          </w:p>
        </w:tc>
        <w:tc>
          <w:tcPr>
            <w:tcW w:w="0" w:type="dxa"/>
            <w:vAlign w:val="center"/>
          </w:tcPr>
          <w:p>
            <w:pPr>
              <w:spacing w:line="240" w:lineRule="auto"/>
              <w:jc w:val="right"/>
            </w:pPr>
            <w:r>
              <w:rPr>
                <w:rFonts w:ascii="宋体" w:hAnsi="宋体" w:eastAsia="宋体" w:cs="宋体"/>
                <w:b w:val="0"/>
              </w:rPr>
              <w:t>0.88%</w:t>
            </w:r>
          </w:p>
        </w:tc>
        <w:tc>
          <w:tcPr>
            <w:tcW w:w="0" w:type="dxa"/>
            <w:vAlign w:val="center"/>
          </w:tcPr>
          <w:p>
            <w:pPr>
              <w:spacing w:line="240" w:lineRule="auto"/>
              <w:jc w:val="right"/>
            </w:pPr>
            <w:r>
              <w:rPr>
                <w:rFonts w:ascii="宋体" w:hAnsi="宋体" w:eastAsia="宋体" w:cs="宋体"/>
                <w:b w:val="0"/>
              </w:rPr>
              <w:t>40.74%</w:t>
            </w:r>
          </w:p>
        </w:tc>
        <w:tc>
          <w:tcPr>
            <w:tcW w:w="0" w:type="dxa"/>
            <w:vAlign w:val="center"/>
          </w:tcPr>
          <w:p>
            <w:pPr>
              <w:spacing w:line="240" w:lineRule="auto"/>
              <w:jc w:val="right"/>
            </w:pPr>
            <w:r>
              <w:rPr>
                <w:rFonts w:ascii="宋体" w:hAnsi="宋体" w:eastAsia="宋体" w:cs="宋体"/>
                <w:b w:val="0"/>
              </w:rPr>
              <w:t>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过去三年</w:t>
            </w:r>
          </w:p>
        </w:tc>
        <w:tc>
          <w:tcPr>
            <w:tcW w:w="0" w:type="dxa"/>
            <w:vAlign w:val="center"/>
          </w:tcPr>
          <w:p>
            <w:pPr>
              <w:spacing w:line="240" w:lineRule="auto"/>
              <w:jc w:val="right"/>
            </w:pPr>
            <w:r>
              <w:rPr>
                <w:rFonts w:ascii="宋体" w:hAnsi="宋体" w:eastAsia="宋体" w:cs="宋体"/>
                <w:b w:val="0"/>
              </w:rPr>
              <w:t>27.51%</w:t>
            </w:r>
          </w:p>
        </w:tc>
        <w:tc>
          <w:tcPr>
            <w:tcW w:w="0" w:type="dxa"/>
            <w:vAlign w:val="center"/>
          </w:tcPr>
          <w:p>
            <w:pPr>
              <w:spacing w:line="240" w:lineRule="auto"/>
              <w:jc w:val="right"/>
            </w:pPr>
            <w:r>
              <w:rPr>
                <w:rFonts w:ascii="宋体" w:hAnsi="宋体" w:eastAsia="宋体" w:cs="宋体"/>
                <w:b w:val="0"/>
              </w:rPr>
              <w:t>1.93%</w:t>
            </w:r>
          </w:p>
        </w:tc>
        <w:tc>
          <w:tcPr>
            <w:tcW w:w="0" w:type="dxa"/>
            <w:vAlign w:val="center"/>
          </w:tcPr>
          <w:p>
            <w:pPr>
              <w:spacing w:line="240" w:lineRule="auto"/>
              <w:jc w:val="right"/>
            </w:pPr>
            <w:r>
              <w:rPr>
                <w:rFonts w:ascii="宋体" w:hAnsi="宋体" w:eastAsia="宋体" w:cs="宋体"/>
                <w:b w:val="0"/>
              </w:rPr>
              <w:t>31.45%</w:t>
            </w:r>
          </w:p>
        </w:tc>
        <w:tc>
          <w:tcPr>
            <w:tcW w:w="0" w:type="dxa"/>
            <w:vAlign w:val="center"/>
          </w:tcPr>
          <w:p>
            <w:pPr>
              <w:spacing w:line="240" w:lineRule="auto"/>
              <w:jc w:val="right"/>
            </w:pPr>
            <w:r>
              <w:rPr>
                <w:rFonts w:ascii="宋体" w:hAnsi="宋体" w:eastAsia="宋体" w:cs="宋体"/>
                <w:b w:val="0"/>
              </w:rPr>
              <w:t>0.94%</w:t>
            </w:r>
          </w:p>
        </w:tc>
        <w:tc>
          <w:tcPr>
            <w:tcW w:w="0" w:type="dxa"/>
            <w:vAlign w:val="center"/>
          </w:tcPr>
          <w:p>
            <w:pPr>
              <w:spacing w:line="240" w:lineRule="auto"/>
              <w:jc w:val="right"/>
            </w:pPr>
            <w:r>
              <w:rPr>
                <w:rFonts w:ascii="宋体" w:hAnsi="宋体" w:eastAsia="宋体" w:cs="宋体"/>
                <w:b w:val="0"/>
              </w:rPr>
              <w:t>-3.94%</w:t>
            </w:r>
          </w:p>
        </w:tc>
        <w:tc>
          <w:tcPr>
            <w:tcW w:w="0" w:type="dxa"/>
            <w:vAlign w:val="center"/>
          </w:tcPr>
          <w:p>
            <w:pPr>
              <w:spacing w:line="240" w:lineRule="auto"/>
              <w:jc w:val="right"/>
            </w:pPr>
            <w:r>
              <w:rPr>
                <w:rFonts w:ascii="宋体" w:hAnsi="宋体" w:eastAsia="宋体" w:cs="宋体"/>
                <w:b w:val="0"/>
              </w:rPr>
              <w:t>0.99%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自基金合同生效起至今</w:t>
            </w:r>
          </w:p>
        </w:tc>
        <w:tc>
          <w:tcPr>
            <w:tcW w:w="0" w:type="dxa"/>
            <w:vAlign w:val="center"/>
          </w:tcPr>
          <w:p>
            <w:pPr>
              <w:spacing w:line="240" w:lineRule="auto"/>
              <w:jc w:val="right"/>
            </w:pPr>
            <w:r>
              <w:rPr>
                <w:rFonts w:ascii="宋体" w:hAnsi="宋体" w:eastAsia="宋体" w:cs="宋体"/>
                <w:b w:val="0"/>
              </w:rPr>
              <w:t>-25.14%</w:t>
            </w:r>
          </w:p>
        </w:tc>
        <w:tc>
          <w:tcPr>
            <w:tcW w:w="0" w:type="dxa"/>
            <w:vAlign w:val="center"/>
          </w:tcPr>
          <w:p>
            <w:pPr>
              <w:spacing w:line="240" w:lineRule="auto"/>
              <w:jc w:val="right"/>
            </w:pPr>
            <w:r>
              <w:rPr>
                <w:rFonts w:ascii="宋体" w:hAnsi="宋体" w:eastAsia="宋体" w:cs="宋体"/>
                <w:b w:val="0"/>
              </w:rPr>
              <w:t>2.01%</w:t>
            </w:r>
          </w:p>
        </w:tc>
        <w:tc>
          <w:tcPr>
            <w:tcW w:w="0" w:type="dxa"/>
            <w:vAlign w:val="center"/>
          </w:tcPr>
          <w:p>
            <w:pPr>
              <w:spacing w:line="240" w:lineRule="auto"/>
              <w:jc w:val="right"/>
            </w:pPr>
            <w:r>
              <w:rPr>
                <w:rFonts w:ascii="宋体" w:hAnsi="宋体" w:eastAsia="宋体" w:cs="宋体"/>
                <w:b w:val="0"/>
              </w:rPr>
              <w:t>9.87%</w:t>
            </w:r>
          </w:p>
        </w:tc>
        <w:tc>
          <w:tcPr>
            <w:tcW w:w="0" w:type="dxa"/>
            <w:vAlign w:val="center"/>
          </w:tcPr>
          <w:p>
            <w:pPr>
              <w:spacing w:line="240" w:lineRule="auto"/>
              <w:jc w:val="right"/>
            </w:pPr>
            <w:r>
              <w:rPr>
                <w:rFonts w:ascii="宋体" w:hAnsi="宋体" w:eastAsia="宋体" w:cs="宋体"/>
                <w:b w:val="0"/>
              </w:rPr>
              <w:t>0.91%</w:t>
            </w:r>
          </w:p>
        </w:tc>
        <w:tc>
          <w:tcPr>
            <w:tcW w:w="0" w:type="dxa"/>
            <w:vAlign w:val="center"/>
          </w:tcPr>
          <w:p>
            <w:pPr>
              <w:spacing w:line="240" w:lineRule="auto"/>
              <w:jc w:val="right"/>
            </w:pPr>
            <w:r>
              <w:rPr>
                <w:rFonts w:ascii="宋体" w:hAnsi="宋体" w:eastAsia="宋体" w:cs="宋体"/>
                <w:b w:val="0"/>
              </w:rPr>
              <w:t>-35.01%</w:t>
            </w:r>
          </w:p>
        </w:tc>
        <w:tc>
          <w:tcPr>
            <w:tcW w:w="0" w:type="dxa"/>
            <w:vAlign w:val="center"/>
          </w:tcPr>
          <w:p>
            <w:pPr>
              <w:spacing w:line="240" w:lineRule="auto"/>
              <w:jc w:val="right"/>
            </w:pPr>
            <w:r>
              <w:rPr>
                <w:rFonts w:ascii="宋体" w:hAnsi="宋体" w:eastAsia="宋体" w:cs="宋体"/>
                <w:b w:val="0"/>
              </w:rPr>
              <w:t>1.10%</w:t>
            </w:r>
          </w:p>
        </w:tc>
      </w:tr>
    </w:tbl>
    <w:p>
      <w:pPr>
        <w:jc w:val="left"/>
      </w:pPr>
      <w:r>
        <w:rPr>
          <w:rFonts w:ascii="宋体" w:hAnsi="宋体" w:eastAsia="宋体" w:cs="宋体"/>
          <w:b/>
        </w:rPr>
        <w:t>东方阿尔法产业先锋混合C净值表现</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1"/>
        <w:gridCol w:w="1285"/>
        <w:gridCol w:w="1286"/>
        <w:gridCol w:w="1286"/>
        <w:gridCol w:w="1286"/>
        <w:gridCol w:w="1286"/>
        <w:gridCol w:w="1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pct"/>
            <w:shd w:val="clear" w:color="auto" w:fill="D9D9D9"/>
            <w:vAlign w:val="center"/>
          </w:tcPr>
          <w:p>
            <w:pPr>
              <w:spacing w:line="240" w:lineRule="auto"/>
              <w:jc w:val="center"/>
            </w:pPr>
            <w:r>
              <w:rPr>
                <w:rFonts w:ascii="宋体" w:hAnsi="宋体" w:eastAsia="宋体" w:cs="宋体"/>
                <w:b w:val="0"/>
              </w:rPr>
              <w:t>阶段</w:t>
            </w:r>
          </w:p>
        </w:tc>
        <w:tc>
          <w:tcPr>
            <w:tcW w:w="692" w:type="pct"/>
            <w:shd w:val="clear" w:color="auto" w:fill="D9D9D9"/>
            <w:vAlign w:val="center"/>
          </w:tcPr>
          <w:p>
            <w:pPr>
              <w:spacing w:line="240" w:lineRule="auto"/>
              <w:jc w:val="center"/>
            </w:pPr>
            <w:r>
              <w:rPr>
                <w:rFonts w:ascii="宋体" w:hAnsi="宋体" w:eastAsia="宋体" w:cs="宋体"/>
                <w:b w:val="0"/>
              </w:rPr>
              <w:t>净值增长率①</w:t>
            </w:r>
          </w:p>
        </w:tc>
        <w:tc>
          <w:tcPr>
            <w:tcW w:w="692" w:type="pct"/>
            <w:shd w:val="clear" w:color="auto" w:fill="D9D9D9"/>
            <w:vAlign w:val="center"/>
          </w:tcPr>
          <w:p>
            <w:pPr>
              <w:spacing w:line="240" w:lineRule="auto"/>
              <w:jc w:val="center"/>
            </w:pPr>
            <w:r>
              <w:rPr>
                <w:rFonts w:ascii="宋体" w:hAnsi="宋体" w:eastAsia="宋体" w:cs="宋体"/>
                <w:b w:val="0"/>
              </w:rPr>
              <w:t>净值增长率标准差②</w:t>
            </w:r>
          </w:p>
        </w:tc>
        <w:tc>
          <w:tcPr>
            <w:tcW w:w="692" w:type="pct"/>
            <w:shd w:val="clear" w:color="auto" w:fill="D9D9D9"/>
            <w:vAlign w:val="center"/>
          </w:tcPr>
          <w:p>
            <w:pPr>
              <w:spacing w:line="240" w:lineRule="auto"/>
              <w:jc w:val="center"/>
            </w:pPr>
            <w:r>
              <w:rPr>
                <w:rFonts w:ascii="宋体" w:hAnsi="宋体" w:eastAsia="宋体" w:cs="宋体"/>
                <w:b w:val="0"/>
              </w:rPr>
              <w:t>业绩比较基准收益率③</w:t>
            </w:r>
          </w:p>
        </w:tc>
        <w:tc>
          <w:tcPr>
            <w:tcW w:w="692" w:type="pct"/>
            <w:shd w:val="clear" w:color="auto" w:fill="D9D9D9"/>
            <w:vAlign w:val="center"/>
          </w:tcPr>
          <w:p>
            <w:pPr>
              <w:spacing w:line="240" w:lineRule="auto"/>
              <w:jc w:val="center"/>
            </w:pPr>
            <w:r>
              <w:rPr>
                <w:rFonts w:ascii="宋体" w:hAnsi="宋体" w:eastAsia="宋体" w:cs="宋体"/>
                <w:b w:val="0"/>
              </w:rPr>
              <w:t>业绩比较基准收益率标准差④</w:t>
            </w:r>
          </w:p>
        </w:tc>
        <w:tc>
          <w:tcPr>
            <w:tcW w:w="692" w:type="pct"/>
            <w:shd w:val="clear" w:color="auto" w:fill="D9D9D9"/>
            <w:vAlign w:val="center"/>
          </w:tcPr>
          <w:p>
            <w:pPr>
              <w:spacing w:line="240" w:lineRule="auto"/>
              <w:jc w:val="center"/>
            </w:pPr>
            <w:r>
              <w:rPr>
                <w:rFonts w:ascii="宋体" w:hAnsi="宋体" w:eastAsia="宋体" w:cs="宋体"/>
                <w:b w:val="0"/>
              </w:rPr>
              <w:t>①-③</w:t>
            </w:r>
          </w:p>
        </w:tc>
        <w:tc>
          <w:tcPr>
            <w:tcW w:w="692" w:type="pct"/>
            <w:shd w:val="clear" w:color="auto" w:fill="D9D9D9"/>
            <w:vAlign w:val="center"/>
          </w:tcPr>
          <w:p>
            <w:pPr>
              <w:spacing w:line="240" w:lineRule="auto"/>
              <w:jc w:val="center"/>
            </w:pPr>
            <w:r>
              <w:rPr>
                <w:rFonts w:ascii="宋体" w:hAnsi="宋体" w:eastAsia="宋体" w:cs="宋体"/>
                <w:b w:val="0"/>
              </w:rPr>
              <w:t>②-④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过去三个月</w:t>
            </w:r>
          </w:p>
        </w:tc>
        <w:tc>
          <w:tcPr>
            <w:tcW w:w="0" w:type="dxa"/>
            <w:vAlign w:val="center"/>
          </w:tcPr>
          <w:p>
            <w:pPr>
              <w:spacing w:line="240" w:lineRule="auto"/>
              <w:jc w:val="right"/>
            </w:pPr>
            <w:r>
              <w:rPr>
                <w:rFonts w:ascii="宋体" w:hAnsi="宋体" w:eastAsia="宋体" w:cs="宋体"/>
                <w:b w:val="0"/>
              </w:rPr>
              <w:t>26.77%</w:t>
            </w:r>
          </w:p>
        </w:tc>
        <w:tc>
          <w:tcPr>
            <w:tcW w:w="0" w:type="dxa"/>
            <w:vAlign w:val="center"/>
          </w:tcPr>
          <w:p>
            <w:pPr>
              <w:spacing w:line="240" w:lineRule="auto"/>
              <w:jc w:val="right"/>
            </w:pPr>
            <w:r>
              <w:rPr>
                <w:rFonts w:ascii="宋体" w:hAnsi="宋体" w:eastAsia="宋体" w:cs="宋体"/>
                <w:b w:val="0"/>
              </w:rPr>
              <w:t>2.50%</w:t>
            </w:r>
          </w:p>
        </w:tc>
        <w:tc>
          <w:tcPr>
            <w:tcW w:w="0" w:type="dxa"/>
            <w:vAlign w:val="center"/>
          </w:tcPr>
          <w:p>
            <w:pPr>
              <w:spacing w:line="240" w:lineRule="auto"/>
              <w:jc w:val="right"/>
            </w:pPr>
            <w:r>
              <w:rPr>
                <w:rFonts w:ascii="宋体" w:hAnsi="宋体" w:eastAsia="宋体" w:cs="宋体"/>
                <w:b w:val="0"/>
              </w:rPr>
              <w:t>11.19%</w:t>
            </w:r>
          </w:p>
        </w:tc>
        <w:tc>
          <w:tcPr>
            <w:tcW w:w="0" w:type="dxa"/>
            <w:vAlign w:val="center"/>
          </w:tcPr>
          <w:p>
            <w:pPr>
              <w:spacing w:line="240" w:lineRule="auto"/>
              <w:jc w:val="right"/>
            </w:pPr>
            <w:r>
              <w:rPr>
                <w:rFonts w:ascii="宋体" w:hAnsi="宋体" w:eastAsia="宋体" w:cs="宋体"/>
                <w:b w:val="0"/>
              </w:rPr>
              <w:t>1.07%</w:t>
            </w:r>
          </w:p>
        </w:tc>
        <w:tc>
          <w:tcPr>
            <w:tcW w:w="0" w:type="dxa"/>
            <w:vAlign w:val="center"/>
          </w:tcPr>
          <w:p>
            <w:pPr>
              <w:spacing w:line="240" w:lineRule="auto"/>
              <w:jc w:val="right"/>
            </w:pPr>
            <w:r>
              <w:rPr>
                <w:rFonts w:ascii="宋体" w:hAnsi="宋体" w:eastAsia="宋体" w:cs="宋体"/>
                <w:b w:val="0"/>
              </w:rPr>
              <w:t>15.58%</w:t>
            </w:r>
          </w:p>
        </w:tc>
        <w:tc>
          <w:tcPr>
            <w:tcW w:w="0" w:type="dxa"/>
            <w:vAlign w:val="center"/>
          </w:tcPr>
          <w:p>
            <w:pPr>
              <w:spacing w:line="240" w:lineRule="auto"/>
              <w:jc w:val="right"/>
            </w:pPr>
            <w:r>
              <w:rPr>
                <w:rFonts w:ascii="宋体" w:hAnsi="宋体" w:eastAsia="宋体" w:cs="宋体"/>
                <w:b w:val="0"/>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过去六个月</w:t>
            </w:r>
          </w:p>
        </w:tc>
        <w:tc>
          <w:tcPr>
            <w:tcW w:w="0" w:type="dxa"/>
            <w:vAlign w:val="center"/>
          </w:tcPr>
          <w:p>
            <w:pPr>
              <w:spacing w:line="240" w:lineRule="auto"/>
              <w:jc w:val="right"/>
            </w:pPr>
            <w:r>
              <w:rPr>
                <w:rFonts w:ascii="宋体" w:hAnsi="宋体" w:eastAsia="宋体" w:cs="宋体"/>
                <w:b w:val="0"/>
              </w:rPr>
              <w:t>17.83%</w:t>
            </w:r>
          </w:p>
        </w:tc>
        <w:tc>
          <w:tcPr>
            <w:tcW w:w="0" w:type="dxa"/>
            <w:vAlign w:val="center"/>
          </w:tcPr>
          <w:p>
            <w:pPr>
              <w:spacing w:line="240" w:lineRule="auto"/>
              <w:jc w:val="right"/>
            </w:pPr>
            <w:r>
              <w:rPr>
                <w:rFonts w:ascii="宋体" w:hAnsi="宋体" w:eastAsia="宋体" w:cs="宋体"/>
                <w:b w:val="0"/>
              </w:rPr>
              <w:t>2.44%</w:t>
            </w:r>
          </w:p>
        </w:tc>
        <w:tc>
          <w:tcPr>
            <w:tcW w:w="0" w:type="dxa"/>
            <w:vAlign w:val="center"/>
          </w:tcPr>
          <w:p>
            <w:pPr>
              <w:spacing w:line="240" w:lineRule="auto"/>
              <w:jc w:val="right"/>
            </w:pPr>
            <w:r>
              <w:rPr>
                <w:rFonts w:ascii="宋体" w:hAnsi="宋体" w:eastAsia="宋体" w:cs="宋体"/>
                <w:b w:val="0"/>
              </w:rPr>
              <w:t>9.39%</w:t>
            </w:r>
          </w:p>
        </w:tc>
        <w:tc>
          <w:tcPr>
            <w:tcW w:w="0" w:type="dxa"/>
            <w:vAlign w:val="center"/>
          </w:tcPr>
          <w:p>
            <w:pPr>
              <w:spacing w:line="240" w:lineRule="auto"/>
              <w:jc w:val="right"/>
            </w:pPr>
            <w:r>
              <w:rPr>
                <w:rFonts w:ascii="宋体" w:hAnsi="宋体" w:eastAsia="宋体" w:cs="宋体"/>
                <w:b w:val="0"/>
              </w:rPr>
              <w:t>0.99%</w:t>
            </w:r>
          </w:p>
        </w:tc>
        <w:tc>
          <w:tcPr>
            <w:tcW w:w="0" w:type="dxa"/>
            <w:vAlign w:val="center"/>
          </w:tcPr>
          <w:p>
            <w:pPr>
              <w:spacing w:line="240" w:lineRule="auto"/>
              <w:jc w:val="right"/>
            </w:pPr>
            <w:r>
              <w:rPr>
                <w:rFonts w:ascii="宋体" w:hAnsi="宋体" w:eastAsia="宋体" w:cs="宋体"/>
                <w:b w:val="0"/>
              </w:rPr>
              <w:t>8.44%</w:t>
            </w:r>
          </w:p>
        </w:tc>
        <w:tc>
          <w:tcPr>
            <w:tcW w:w="0" w:type="dxa"/>
            <w:vAlign w:val="center"/>
          </w:tcPr>
          <w:p>
            <w:pPr>
              <w:spacing w:line="240" w:lineRule="auto"/>
              <w:jc w:val="right"/>
            </w:pPr>
            <w:r>
              <w:rPr>
                <w:rFonts w:ascii="宋体" w:hAnsi="宋体" w:eastAsia="宋体" w:cs="宋体"/>
                <w:b w:val="0"/>
              </w:rPr>
              <w:t>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过去一年</w:t>
            </w:r>
          </w:p>
        </w:tc>
        <w:tc>
          <w:tcPr>
            <w:tcW w:w="0" w:type="dxa"/>
            <w:vAlign w:val="center"/>
          </w:tcPr>
          <w:p>
            <w:pPr>
              <w:spacing w:line="240" w:lineRule="auto"/>
              <w:jc w:val="right"/>
            </w:pPr>
            <w:r>
              <w:rPr>
                <w:rFonts w:ascii="宋体" w:hAnsi="宋体" w:eastAsia="宋体" w:cs="宋体"/>
                <w:b w:val="0"/>
              </w:rPr>
              <w:t>66.39%</w:t>
            </w:r>
          </w:p>
        </w:tc>
        <w:tc>
          <w:tcPr>
            <w:tcW w:w="0" w:type="dxa"/>
            <w:vAlign w:val="center"/>
          </w:tcPr>
          <w:p>
            <w:pPr>
              <w:spacing w:line="240" w:lineRule="auto"/>
              <w:jc w:val="right"/>
            </w:pPr>
            <w:r>
              <w:rPr>
                <w:rFonts w:ascii="宋体" w:hAnsi="宋体" w:eastAsia="宋体" w:cs="宋体"/>
                <w:b w:val="0"/>
              </w:rPr>
              <w:t>2.48%</w:t>
            </w:r>
          </w:p>
        </w:tc>
        <w:tc>
          <w:tcPr>
            <w:tcW w:w="0" w:type="dxa"/>
            <w:vAlign w:val="center"/>
          </w:tcPr>
          <w:p>
            <w:pPr>
              <w:spacing w:line="240" w:lineRule="auto"/>
              <w:jc w:val="right"/>
            </w:pPr>
            <w:r>
              <w:rPr>
                <w:rFonts w:ascii="宋体" w:hAnsi="宋体" w:eastAsia="宋体" w:cs="宋体"/>
                <w:b w:val="0"/>
              </w:rPr>
              <w:t>26.47%</w:t>
            </w:r>
          </w:p>
        </w:tc>
        <w:tc>
          <w:tcPr>
            <w:tcW w:w="0" w:type="dxa"/>
            <w:vAlign w:val="center"/>
          </w:tcPr>
          <w:p>
            <w:pPr>
              <w:spacing w:line="240" w:lineRule="auto"/>
              <w:jc w:val="right"/>
            </w:pPr>
            <w:r>
              <w:rPr>
                <w:rFonts w:ascii="宋体" w:hAnsi="宋体" w:eastAsia="宋体" w:cs="宋体"/>
                <w:b w:val="0"/>
              </w:rPr>
              <w:t>0.88%</w:t>
            </w:r>
          </w:p>
        </w:tc>
        <w:tc>
          <w:tcPr>
            <w:tcW w:w="0" w:type="dxa"/>
            <w:vAlign w:val="center"/>
          </w:tcPr>
          <w:p>
            <w:pPr>
              <w:spacing w:line="240" w:lineRule="auto"/>
              <w:jc w:val="right"/>
            </w:pPr>
            <w:r>
              <w:rPr>
                <w:rFonts w:ascii="宋体" w:hAnsi="宋体" w:eastAsia="宋体" w:cs="宋体"/>
                <w:b w:val="0"/>
              </w:rPr>
              <w:t>39.92%</w:t>
            </w:r>
          </w:p>
        </w:tc>
        <w:tc>
          <w:tcPr>
            <w:tcW w:w="0" w:type="dxa"/>
            <w:vAlign w:val="center"/>
          </w:tcPr>
          <w:p>
            <w:pPr>
              <w:spacing w:line="240" w:lineRule="auto"/>
              <w:jc w:val="right"/>
            </w:pPr>
            <w:r>
              <w:rPr>
                <w:rFonts w:ascii="宋体" w:hAnsi="宋体" w:eastAsia="宋体" w:cs="宋体"/>
                <w:b w:val="0"/>
              </w:rPr>
              <w:t>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过去三年</w:t>
            </w:r>
          </w:p>
        </w:tc>
        <w:tc>
          <w:tcPr>
            <w:tcW w:w="0" w:type="dxa"/>
            <w:vAlign w:val="center"/>
          </w:tcPr>
          <w:p>
            <w:pPr>
              <w:spacing w:line="240" w:lineRule="auto"/>
              <w:jc w:val="right"/>
            </w:pPr>
            <w:r>
              <w:rPr>
                <w:rFonts w:ascii="宋体" w:hAnsi="宋体" w:eastAsia="宋体" w:cs="宋体"/>
                <w:b w:val="0"/>
              </w:rPr>
              <w:t>25.61%</w:t>
            </w:r>
          </w:p>
        </w:tc>
        <w:tc>
          <w:tcPr>
            <w:tcW w:w="0" w:type="dxa"/>
            <w:vAlign w:val="center"/>
          </w:tcPr>
          <w:p>
            <w:pPr>
              <w:spacing w:line="240" w:lineRule="auto"/>
              <w:jc w:val="right"/>
            </w:pPr>
            <w:r>
              <w:rPr>
                <w:rFonts w:ascii="宋体" w:hAnsi="宋体" w:eastAsia="宋体" w:cs="宋体"/>
                <w:b w:val="0"/>
              </w:rPr>
              <w:t>1.93%</w:t>
            </w:r>
          </w:p>
        </w:tc>
        <w:tc>
          <w:tcPr>
            <w:tcW w:w="0" w:type="dxa"/>
            <w:vAlign w:val="center"/>
          </w:tcPr>
          <w:p>
            <w:pPr>
              <w:spacing w:line="240" w:lineRule="auto"/>
              <w:jc w:val="right"/>
            </w:pPr>
            <w:r>
              <w:rPr>
                <w:rFonts w:ascii="宋体" w:hAnsi="宋体" w:eastAsia="宋体" w:cs="宋体"/>
                <w:b w:val="0"/>
              </w:rPr>
              <w:t>31.45%</w:t>
            </w:r>
          </w:p>
        </w:tc>
        <w:tc>
          <w:tcPr>
            <w:tcW w:w="0" w:type="dxa"/>
            <w:vAlign w:val="center"/>
          </w:tcPr>
          <w:p>
            <w:pPr>
              <w:spacing w:line="240" w:lineRule="auto"/>
              <w:jc w:val="right"/>
            </w:pPr>
            <w:r>
              <w:rPr>
                <w:rFonts w:ascii="宋体" w:hAnsi="宋体" w:eastAsia="宋体" w:cs="宋体"/>
                <w:b w:val="0"/>
              </w:rPr>
              <w:t>0.94%</w:t>
            </w:r>
          </w:p>
        </w:tc>
        <w:tc>
          <w:tcPr>
            <w:tcW w:w="0" w:type="dxa"/>
            <w:vAlign w:val="center"/>
          </w:tcPr>
          <w:p>
            <w:pPr>
              <w:spacing w:line="240" w:lineRule="auto"/>
              <w:jc w:val="right"/>
            </w:pPr>
            <w:r>
              <w:rPr>
                <w:rFonts w:ascii="宋体" w:hAnsi="宋体" w:eastAsia="宋体" w:cs="宋体"/>
                <w:b w:val="0"/>
              </w:rPr>
              <w:t>-5.84%</w:t>
            </w:r>
          </w:p>
        </w:tc>
        <w:tc>
          <w:tcPr>
            <w:tcW w:w="0" w:type="dxa"/>
            <w:vAlign w:val="center"/>
          </w:tcPr>
          <w:p>
            <w:pPr>
              <w:spacing w:line="240" w:lineRule="auto"/>
              <w:jc w:val="right"/>
            </w:pPr>
            <w:r>
              <w:rPr>
                <w:rFonts w:ascii="宋体" w:hAnsi="宋体" w:eastAsia="宋体" w:cs="宋体"/>
                <w:b w:val="0"/>
              </w:rPr>
              <w:t>0.99%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自基金合同生效起至今</w:t>
            </w:r>
          </w:p>
        </w:tc>
        <w:tc>
          <w:tcPr>
            <w:tcW w:w="0" w:type="dxa"/>
            <w:vAlign w:val="center"/>
          </w:tcPr>
          <w:p>
            <w:pPr>
              <w:spacing w:line="240" w:lineRule="auto"/>
              <w:jc w:val="right"/>
            </w:pPr>
            <w:r>
              <w:rPr>
                <w:rFonts w:ascii="宋体" w:hAnsi="宋体" w:eastAsia="宋体" w:cs="宋体"/>
                <w:b w:val="0"/>
              </w:rPr>
              <w:t>-26.97%</w:t>
            </w:r>
          </w:p>
        </w:tc>
        <w:tc>
          <w:tcPr>
            <w:tcW w:w="0" w:type="dxa"/>
            <w:vAlign w:val="center"/>
          </w:tcPr>
          <w:p>
            <w:pPr>
              <w:spacing w:line="240" w:lineRule="auto"/>
              <w:jc w:val="right"/>
            </w:pPr>
            <w:r>
              <w:rPr>
                <w:rFonts w:ascii="宋体" w:hAnsi="宋体" w:eastAsia="宋体" w:cs="宋体"/>
                <w:b w:val="0"/>
              </w:rPr>
              <w:t>2.01%</w:t>
            </w:r>
          </w:p>
        </w:tc>
        <w:tc>
          <w:tcPr>
            <w:tcW w:w="0" w:type="dxa"/>
            <w:vAlign w:val="center"/>
          </w:tcPr>
          <w:p>
            <w:pPr>
              <w:spacing w:line="240" w:lineRule="auto"/>
              <w:jc w:val="right"/>
            </w:pPr>
            <w:r>
              <w:rPr>
                <w:rFonts w:ascii="宋体" w:hAnsi="宋体" w:eastAsia="宋体" w:cs="宋体"/>
                <w:b w:val="0"/>
              </w:rPr>
              <w:t>9.87%</w:t>
            </w:r>
          </w:p>
        </w:tc>
        <w:tc>
          <w:tcPr>
            <w:tcW w:w="0" w:type="dxa"/>
            <w:vAlign w:val="center"/>
          </w:tcPr>
          <w:p>
            <w:pPr>
              <w:spacing w:line="240" w:lineRule="auto"/>
              <w:jc w:val="right"/>
            </w:pPr>
            <w:r>
              <w:rPr>
                <w:rFonts w:ascii="宋体" w:hAnsi="宋体" w:eastAsia="宋体" w:cs="宋体"/>
                <w:b w:val="0"/>
              </w:rPr>
              <w:t>0.91%</w:t>
            </w:r>
          </w:p>
        </w:tc>
        <w:tc>
          <w:tcPr>
            <w:tcW w:w="0" w:type="dxa"/>
            <w:vAlign w:val="center"/>
          </w:tcPr>
          <w:p>
            <w:pPr>
              <w:spacing w:line="240" w:lineRule="auto"/>
              <w:jc w:val="right"/>
            </w:pPr>
            <w:r>
              <w:rPr>
                <w:rFonts w:ascii="宋体" w:hAnsi="宋体" w:eastAsia="宋体" w:cs="宋体"/>
                <w:b w:val="0"/>
              </w:rPr>
              <w:t>-36.84%</w:t>
            </w:r>
          </w:p>
        </w:tc>
        <w:tc>
          <w:tcPr>
            <w:tcW w:w="0" w:type="dxa"/>
            <w:vAlign w:val="center"/>
          </w:tcPr>
          <w:p>
            <w:pPr>
              <w:spacing w:line="240" w:lineRule="auto"/>
              <w:jc w:val="right"/>
            </w:pPr>
            <w:r>
              <w:rPr>
                <w:rFonts w:ascii="宋体" w:hAnsi="宋体" w:eastAsia="宋体" w:cs="宋体"/>
                <w:b w:val="0"/>
              </w:rPr>
              <w:t>1.10%</w:t>
            </w:r>
          </w:p>
        </w:tc>
      </w:tr>
    </w:tbl>
    <w:p>
      <w:r>
        <w:rPr>
          <w:rFonts w:ascii="宋体" w:hAnsi="宋体" w:eastAsia="宋体" w:cs="宋体"/>
          <w:b w:val="0"/>
        </w:rPr>
        <w:t>注：1本基金业绩比较基准为：中证800指数收益率×80%+中证综合债券指数收益率×20%。</w:t>
      </w:r>
      <w:r>
        <w:rPr>
          <w:rFonts w:ascii="宋体" w:hAnsi="宋体" w:eastAsia="宋体" w:cs="宋体"/>
          <w:b w:val="0"/>
        </w:rPr>
        <w:br w:type="textWrapping"/>
      </w:r>
      <w:bookmarkStart w:id="1" w:name="_GoBack"/>
      <w:bookmarkEnd w:id="1"/>
    </w:p>
    <w:p>
      <w:pPr>
        <w:pStyle w:val="58"/>
      </w:pPr>
      <w:r>
        <w:rPr>
          <w:rFonts w:ascii="宋体" w:hAnsi="宋体" w:eastAsia="宋体" w:cs="宋体"/>
          <w:b/>
        </w:rPr>
        <w:t>3.2.2 自基金合同生效以来基金累计净值增长率变动及其与同期业绩比较基准收益率变动的比较</w:t>
      </w:r>
    </w:p>
    <w:p>
      <w:r>
        <w:drawing>
          <wp:inline distT="0" distB="0" distL="0" distR="0">
            <wp:extent cx="5715000" cy="3048000"/>
            <wp:effectExtent l="0" t="0" r="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10"/>
                    <a:stretch>
                      <a:fillRect/>
                    </a:stretch>
                  </pic:blipFill>
                  <pic:spPr>
                    <a:xfrm>
                      <a:off x="0" y="0"/>
                      <a:ext cx="5715000" cy="3048000"/>
                    </a:xfrm>
                    <a:prstGeom prst="rect">
                      <a:avLst/>
                    </a:prstGeom>
                  </pic:spPr>
                </pic:pic>
              </a:graphicData>
            </a:graphic>
          </wp:inline>
        </w:drawing>
      </w:r>
    </w:p>
    <w:p>
      <w:r>
        <w:drawing>
          <wp:inline distT="0" distB="0" distL="0" distR="0">
            <wp:extent cx="5715000" cy="3048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11"/>
                    <a:stretch>
                      <a:fillRect/>
                    </a:stretch>
                  </pic:blipFill>
                  <pic:spPr>
                    <a:xfrm>
                      <a:off x="0" y="0"/>
                      <a:ext cx="5715000" cy="3048000"/>
                    </a:xfrm>
                    <a:prstGeom prst="rect">
                      <a:avLst/>
                    </a:prstGeom>
                  </pic:spPr>
                </pic:pic>
              </a:graphicData>
            </a:graphic>
          </wp:inline>
        </w:drawing>
      </w:r>
    </w:p>
    <w:p>
      <w:pPr>
        <w:pStyle w:val="2"/>
        <w:jc w:val="center"/>
      </w:pPr>
      <w:r>
        <w:rPr>
          <w:rFonts w:ascii="宋体" w:hAnsi="宋体" w:eastAsia="宋体" w:cs="宋体"/>
        </w:rPr>
        <w:t>§4 管理人报告</w:t>
      </w:r>
    </w:p>
    <w:p>
      <w:pPr>
        <w:pStyle w:val="3"/>
        <w:jc w:val="left"/>
      </w:pPr>
      <w:r>
        <w:rPr>
          <w:rFonts w:ascii="宋体" w:hAnsi="宋体" w:eastAsia="宋体" w:cs="宋体"/>
        </w:rPr>
        <w:t>4.1 基金经理（或基金经理小组）简介</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6"/>
        <w:gridCol w:w="2547"/>
        <w:gridCol w:w="1266"/>
        <w:gridCol w:w="790"/>
        <w:gridCol w:w="576"/>
        <w:gridCol w:w="3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pct"/>
            <w:vMerge w:val="restart"/>
            <w:shd w:val="clear" w:color="auto" w:fill="D9D9D9"/>
            <w:vAlign w:val="center"/>
          </w:tcPr>
          <w:p>
            <w:pPr>
              <w:spacing w:line="240" w:lineRule="auto"/>
              <w:jc w:val="center"/>
            </w:pPr>
            <w:r>
              <w:rPr>
                <w:rFonts w:ascii="宋体" w:hAnsi="宋体" w:eastAsia="宋体" w:cs="宋体"/>
                <w:b w:val="0"/>
              </w:rPr>
              <w:t>姓名</w:t>
            </w:r>
          </w:p>
        </w:tc>
        <w:tc>
          <w:tcPr>
            <w:tcW w:w="1231" w:type="pct"/>
            <w:vMerge w:val="restart"/>
            <w:shd w:val="clear" w:color="auto" w:fill="D9D9D9"/>
            <w:vAlign w:val="center"/>
          </w:tcPr>
          <w:p>
            <w:pPr>
              <w:spacing w:line="240" w:lineRule="auto"/>
              <w:jc w:val="center"/>
            </w:pPr>
            <w:r>
              <w:rPr>
                <w:rFonts w:ascii="宋体" w:hAnsi="宋体" w:eastAsia="宋体" w:cs="宋体"/>
                <w:b w:val="0"/>
              </w:rPr>
              <w:t>职务</w:t>
            </w:r>
          </w:p>
        </w:tc>
        <w:tc>
          <w:tcPr>
            <w:tcW w:w="808" w:type="pct"/>
            <w:gridSpan w:val="2"/>
            <w:shd w:val="clear" w:color="auto" w:fill="D9D9D9"/>
            <w:vAlign w:val="center"/>
          </w:tcPr>
          <w:p>
            <w:pPr>
              <w:spacing w:line="240" w:lineRule="auto"/>
              <w:jc w:val="center"/>
            </w:pPr>
            <w:r>
              <w:rPr>
                <w:rFonts w:ascii="宋体" w:hAnsi="宋体" w:eastAsia="宋体" w:cs="宋体"/>
                <w:b w:val="0"/>
              </w:rPr>
              <w:t>任本基金的基金经理期限</w:t>
            </w:r>
          </w:p>
        </w:tc>
        <w:tc>
          <w:tcPr>
            <w:tcW w:w="308" w:type="pct"/>
            <w:vMerge w:val="restart"/>
            <w:shd w:val="clear" w:color="auto" w:fill="D9D9D9"/>
            <w:vAlign w:val="center"/>
          </w:tcPr>
          <w:p>
            <w:pPr>
              <w:spacing w:line="240" w:lineRule="auto"/>
              <w:jc w:val="center"/>
            </w:pPr>
            <w:r>
              <w:rPr>
                <w:rFonts w:ascii="宋体" w:hAnsi="宋体" w:eastAsia="宋体" w:cs="宋体"/>
                <w:b w:val="0"/>
              </w:rPr>
              <w:t>证券从业年限</w:t>
            </w:r>
          </w:p>
        </w:tc>
        <w:tc>
          <w:tcPr>
            <w:tcW w:w="1462" w:type="pct"/>
            <w:vMerge w:val="restart"/>
            <w:shd w:val="clear" w:color="auto" w:fill="D9D9D9"/>
            <w:vAlign w:val="center"/>
          </w:tcPr>
          <w:p>
            <w:pPr>
              <w:spacing w:line="240" w:lineRule="auto"/>
              <w:jc w:val="center"/>
            </w:pPr>
            <w:r>
              <w:rPr>
                <w:rFonts w:ascii="宋体" w:hAnsi="宋体" w:eastAsia="宋体" w:cs="宋体"/>
                <w:b w:val="0"/>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tc>
        <w:tc>
          <w:tcPr>
            <w:vMerge w:val="continue"/>
          </w:tcPr>
          <w:p/>
        </w:tc>
        <w:tc>
          <w:tcPr>
            <w:tcW w:w="400" w:type="pct"/>
            <w:shd w:val="clear" w:color="auto" w:fill="D9D9D9"/>
            <w:vAlign w:val="center"/>
          </w:tcPr>
          <w:p>
            <w:pPr>
              <w:spacing w:line="240" w:lineRule="auto"/>
              <w:jc w:val="center"/>
            </w:pPr>
            <w:r>
              <w:rPr>
                <w:rFonts w:ascii="宋体" w:hAnsi="宋体" w:eastAsia="宋体" w:cs="宋体"/>
                <w:b w:val="0"/>
              </w:rPr>
              <w:t>任职日期</w:t>
            </w:r>
          </w:p>
        </w:tc>
        <w:tc>
          <w:tcPr>
            <w:tcW w:w="392" w:type="pct"/>
            <w:shd w:val="clear" w:color="auto" w:fill="D9D9D9"/>
            <w:vAlign w:val="center"/>
          </w:tcPr>
          <w:p>
            <w:pPr>
              <w:spacing w:line="240" w:lineRule="auto"/>
              <w:jc w:val="center"/>
            </w:pPr>
            <w:r>
              <w:rPr>
                <w:rFonts w:ascii="宋体" w:hAnsi="宋体" w:eastAsia="宋体" w:cs="宋体"/>
                <w:b w:val="0"/>
              </w:rPr>
              <w:t>离任日期</w:t>
            </w:r>
          </w:p>
        </w:tc>
        <w:tc>
          <w:tcPr>
            <w:vMerge w:val="continue"/>
          </w:tcPr>
          <w:p/>
        </w:tc>
        <w:tc>
          <w:tcPr>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周谧</w:t>
            </w:r>
          </w:p>
        </w:tc>
        <w:tc>
          <w:tcPr>
            <w:tcW w:w="0" w:type="dxa"/>
            <w:vAlign w:val="center"/>
          </w:tcPr>
          <w:p>
            <w:pPr>
              <w:spacing w:line="240" w:lineRule="auto"/>
              <w:jc w:val="left"/>
            </w:pPr>
            <w:r>
              <w:rPr>
                <w:rFonts w:ascii="宋体" w:hAnsi="宋体" w:eastAsia="宋体" w:cs="宋体"/>
                <w:b w:val="0"/>
              </w:rPr>
              <w:t>基金经理</w:t>
            </w:r>
          </w:p>
        </w:tc>
        <w:tc>
          <w:tcPr>
            <w:tcW w:w="0" w:type="dxa"/>
            <w:vAlign w:val="center"/>
          </w:tcPr>
          <w:p>
            <w:pPr>
              <w:spacing w:line="240" w:lineRule="auto"/>
              <w:jc w:val="center"/>
            </w:pPr>
            <w:r>
              <w:rPr>
                <w:rFonts w:ascii="宋体" w:hAnsi="宋体" w:eastAsia="宋体" w:cs="宋体"/>
                <w:b w:val="0"/>
              </w:rPr>
              <w:t>2025-07-01</w:t>
            </w:r>
          </w:p>
        </w:tc>
        <w:tc>
          <w:tcPr>
            <w:tcW w:w="0" w:type="dxa"/>
            <w:vAlign w:val="center"/>
          </w:tcPr>
          <w:p>
            <w:pPr>
              <w:spacing w:line="240" w:lineRule="auto"/>
              <w:jc w:val="center"/>
            </w:pPr>
            <w:r>
              <w:rPr>
                <w:rFonts w:ascii="宋体" w:hAnsi="宋体" w:eastAsia="宋体" w:cs="宋体"/>
                <w:b w:val="0"/>
              </w:rPr>
              <w:t>-</w:t>
            </w:r>
          </w:p>
        </w:tc>
        <w:tc>
          <w:tcPr>
            <w:tcW w:w="0" w:type="dxa"/>
            <w:vAlign w:val="center"/>
          </w:tcPr>
          <w:p>
            <w:pPr>
              <w:spacing w:line="240" w:lineRule="auto"/>
              <w:jc w:val="center"/>
            </w:pPr>
            <w:r>
              <w:rPr>
                <w:rFonts w:ascii="宋体" w:hAnsi="宋体" w:eastAsia="宋体" w:cs="宋体"/>
                <w:b w:val="0"/>
              </w:rPr>
              <w:t>16年</w:t>
            </w:r>
          </w:p>
        </w:tc>
        <w:tc>
          <w:tcPr>
            <w:tcW w:w="0" w:type="dxa"/>
            <w:vAlign w:val="center"/>
          </w:tcPr>
          <w:p>
            <w:pPr>
              <w:spacing w:line="240" w:lineRule="auto"/>
              <w:jc w:val="left"/>
            </w:pPr>
            <w:r>
              <w:rPr>
                <w:rFonts w:ascii="宋体" w:hAnsi="宋体" w:eastAsia="宋体" w:cs="宋体"/>
                <w:b w:val="0"/>
              </w:rPr>
              <w:t>周谧先生，中国人民大学应用数学硕士。2008年9月起历任中再资产管理股份有限公司金融工程分析师、平安证券有限责任公司高级量化分析师、国金创新投资有限公司投资经理、深圳铸成投资有限公司投资部副总监、财信证券有限责任公司投资经理、金信基金管理有限公司基金经理。2022年10月加入东方阿尔法基金管理有限公司，现任东方阿尔法基金管理有限公司基金经理。</w:t>
            </w:r>
          </w:p>
        </w:tc>
      </w:tr>
    </w:tbl>
    <w:p>
      <w:r>
        <w:rPr>
          <w:rFonts w:ascii="宋体" w:hAnsi="宋体" w:eastAsia="宋体" w:cs="宋体"/>
          <w:b w:val="0"/>
        </w:rPr>
        <w:t>注：1.对基金的首任基金经理，其"任职日期"为基金合同生效日，"离任日期"为根据公告确定的解聘日期；对此后的非首任基金经理，"任职日期"和"离任日期"分别指公告确定的任职日期和离任日期。</w:t>
      </w:r>
      <w:r>
        <w:rPr>
          <w:rFonts w:ascii="宋体" w:hAnsi="宋体" w:eastAsia="宋体" w:cs="宋体"/>
          <w:b w:val="0"/>
        </w:rPr>
        <w:br w:type="textWrapping"/>
      </w:r>
      <w:r>
        <w:rPr>
          <w:rFonts w:ascii="宋体" w:hAnsi="宋体" w:eastAsia="宋体" w:cs="宋体"/>
          <w:b w:val="0"/>
        </w:rPr>
        <w:t>2.证券从业的含义遵从《证券基金经营机构董事、监事、高级管理人员及从业人员监督管理办法》的相关规定。</w:t>
      </w:r>
    </w:p>
    <w:p/>
    <w:p>
      <w:pPr>
        <w:pStyle w:val="58"/>
      </w:pPr>
      <w:r>
        <w:rPr>
          <w:rFonts w:ascii="宋体" w:hAnsi="宋体" w:eastAsia="宋体" w:cs="宋体"/>
          <w:b/>
        </w:rPr>
        <w:t>4.1.1 期末兼任私募资产管理计划投资经理的基金经理同时管理的产品情况</w:t>
      </w:r>
    </w:p>
    <w:p>
      <w:r>
        <w:rPr>
          <w:rFonts w:ascii="宋体" w:hAnsi="宋体" w:eastAsia="宋体" w:cs="宋体"/>
          <w:b w:val="0"/>
        </w:rPr>
        <w:t xml:space="preserve">    本基金基金经理不存在兼任私募资产管理计划的投资经理的情况。</w:t>
      </w:r>
    </w:p>
    <w:p/>
    <w:p>
      <w:pPr>
        <w:pStyle w:val="3"/>
        <w:jc w:val="left"/>
      </w:pPr>
      <w:r>
        <w:rPr>
          <w:rFonts w:ascii="宋体" w:hAnsi="宋体" w:eastAsia="宋体" w:cs="宋体"/>
        </w:rPr>
        <w:t>4.2 管理人对报告期内本基金运作遵规守信情况的说明</w:t>
      </w:r>
    </w:p>
    <w:p>
      <w:r>
        <w:rPr>
          <w:rFonts w:ascii="宋体" w:hAnsi="宋体" w:eastAsia="宋体" w:cs="宋体"/>
          <w:b w:val="0"/>
        </w:rPr>
        <w:t xml:space="preserve">    本报告期内，本基金管理人严格遵守《中华人民共和国证券投资基金法》及其各项实施细则等有关法律法规、本基金《基金合同》和其他有关法律法规的规定，本着诚实信用、勤勉尽责的原则管理和运用基金资产，在严格控制风险的基础上，为基金份额持有人谋求最大利益。本报告期内，基金运作整体合法合规，无损害基金份额持有人利益的行为。</w:t>
      </w:r>
    </w:p>
    <w:p/>
    <w:p>
      <w:pPr>
        <w:pStyle w:val="3"/>
        <w:jc w:val="left"/>
      </w:pPr>
      <w:r>
        <w:rPr>
          <w:rFonts w:ascii="宋体" w:hAnsi="宋体" w:eastAsia="宋体" w:cs="宋体"/>
        </w:rPr>
        <w:t>4.3 公平交易专项说明</w:t>
      </w:r>
    </w:p>
    <w:p>
      <w:pPr>
        <w:pStyle w:val="58"/>
      </w:pPr>
      <w:r>
        <w:rPr>
          <w:rFonts w:ascii="宋体" w:hAnsi="宋体" w:eastAsia="宋体" w:cs="宋体"/>
          <w:b/>
        </w:rPr>
        <w:t>4.3.1 公平交易制度的执行情况</w:t>
      </w:r>
    </w:p>
    <w:p>
      <w:r>
        <w:rPr>
          <w:rFonts w:ascii="宋体" w:hAnsi="宋体" w:eastAsia="宋体" w:cs="宋体"/>
          <w:b w:val="0"/>
        </w:rPr>
        <w:t xml:space="preserve">    本报告期内，本基金管理人严格执行《证券投资基金管理公司公平交易制度指导意见》，完善相应制度及流程，通过系统和人工等各种方式在各业务环节严格控制交易公平执行，公平对待旗下管理的所有基金和投资组合。</w:t>
      </w:r>
      <w:r>
        <w:rPr>
          <w:rFonts w:ascii="宋体" w:hAnsi="宋体" w:eastAsia="宋体" w:cs="宋体"/>
          <w:b w:val="0"/>
        </w:rPr>
        <w:br w:type="textWrapping"/>
      </w:r>
      <w:r>
        <w:rPr>
          <w:rFonts w:ascii="宋体" w:hAnsi="宋体" w:eastAsia="宋体" w:cs="宋体"/>
          <w:b w:val="0"/>
        </w:rPr>
        <w:t xml:space="preserve">    本报告期内，本基金管理人利用统计分析的方法和工具，按照不同的时间窗（包括当日内、3日内、5日内）对基金管理人管理的不同投资组合反向交易和同向交易的交易价差监控进行分析，未发现违反公平交易制度的异常行为。</w:t>
      </w:r>
    </w:p>
    <w:p/>
    <w:p>
      <w:pPr>
        <w:pStyle w:val="58"/>
      </w:pPr>
      <w:r>
        <w:rPr>
          <w:rFonts w:ascii="宋体" w:hAnsi="宋体" w:eastAsia="宋体" w:cs="宋体"/>
          <w:b/>
        </w:rPr>
        <w:t>4.3.2 异常交易行为的专项说明</w:t>
      </w:r>
    </w:p>
    <w:p>
      <w:r>
        <w:rPr>
          <w:rFonts w:ascii="宋体" w:hAnsi="宋体" w:eastAsia="宋体" w:cs="宋体"/>
          <w:b w:val="0"/>
        </w:rPr>
        <w:t xml:space="preserve">    报告期内，本基金不存在参与交易所公开竞价同日反向交易成交较少的单边交易量超过该证券当日成交量的5%的情况，且不存在其他可能导致非公平交易和利益输送的异常交易行为。</w:t>
      </w:r>
    </w:p>
    <w:p/>
    <w:p>
      <w:pPr>
        <w:pStyle w:val="3"/>
        <w:jc w:val="left"/>
      </w:pPr>
      <w:r>
        <w:rPr>
          <w:rFonts w:ascii="宋体" w:hAnsi="宋体" w:eastAsia="宋体" w:cs="宋体"/>
        </w:rPr>
        <w:t>4.4 报告期内基金的投资策略和运作分析</w:t>
      </w:r>
    </w:p>
    <w:p>
      <w:r>
        <w:rPr>
          <w:rFonts w:ascii="宋体" w:hAnsi="宋体" w:eastAsia="宋体" w:cs="宋体"/>
          <w:b w:val="0"/>
        </w:rPr>
        <w:t xml:space="preserve">    二季度国内经济延续“外热内冷”格局，GDP增速约4.6%，出口与AI硬件产业链景气延续，但内需消费和传统投资仍承压。宏观政策方面，货币政策维持稳健宽松，财政靠前发力但边际效力递减。碳酸锂价格从年初低点反弹超70%，突破18万元/吨，大宗商品价格先高后落，PPI同比温和回升。海外方面，美联储降息预期升温叠加中东地缘扰动，全球流动性边际改善但波动加剧。欧洲经济复苏乏力，日本央行退出宽松节奏放缓。整体看，二季度海内外宏观环境对锂电产业链的估值压制有所缓解，但出口增速的可持续性仍是核心关切。</w:t>
      </w:r>
      <w:r>
        <w:rPr>
          <w:rFonts w:ascii="宋体" w:hAnsi="宋体" w:eastAsia="宋体" w:cs="宋体"/>
          <w:b w:val="0"/>
        </w:rPr>
        <w:br w:type="textWrapping"/>
      </w:r>
      <w:r>
        <w:rPr>
          <w:rFonts w:ascii="宋体" w:hAnsi="宋体" w:eastAsia="宋体" w:cs="宋体"/>
          <w:b w:val="0"/>
        </w:rPr>
        <w:t xml:space="preserve">    固态电池开启量产元年的序章，今年被行业定义为半固态电池量产元年。蔚来ET7搭载150kWh半固态电池包、CLTC续航突破1055公里；智己L6光年版采用清陶能源方案，能量密度飙至400Wh/kg；宁德时代宣布凝聚态电池首批产品将于三季度交付整车客户；比亚迪确认自研半固态电池推进。车企争先宣告“固态电池车型上市”。工信部对固态电池验收进度有所滞后，但主要也是纯固态电池成本所致，半固态的推广进度不受影响。国标落地前夜，行业标准仍在博弈，量产并非终点而是新一轮淘汰的起点。</w:t>
      </w:r>
      <w:r>
        <w:rPr>
          <w:rFonts w:ascii="宋体" w:hAnsi="宋体" w:eastAsia="宋体" w:cs="宋体"/>
          <w:b w:val="0"/>
        </w:rPr>
        <w:br w:type="textWrapping"/>
      </w:r>
      <w:r>
        <w:rPr>
          <w:rFonts w:ascii="宋体" w:hAnsi="宋体" w:eastAsia="宋体" w:cs="宋体"/>
          <w:b w:val="0"/>
        </w:rPr>
        <w:t xml:space="preserve">    二季度作为传统淡季，产业链却呈现高景气态势。6月头部电池企业排产同比增速近70%、环比增6%；材料环节排产同比增50%-60%。1-7月电池/正极/负极/隔膜/电解液累计排产同比增长49%-62%，电解液同比最高达77%。储能订单已能看到2027年，排产弹性远超市场预期。锂电设备方面，订单高增，固态设备成新看点。 设备商业绩加速复苏，2026年整体新签订单增速预计维持20%-30%，行业平均毛利率约28%、同比提升0.8个百分点。先导智能二季度持续斩获海内外头部客户固态设备订单，覆盖干法电极、电解质涂布、600MPa等静压、固态叠片等高附加值专用设备。CIBF 2026展会验证了设备“平台化、通用化、柔性化“的发展趋势，固态整线方案成为各设备企业竞逐的新方向。锂电材料量价齐升。 碳酸锂现货均价一度突破20万元/吨，磷酸铁锂正极材料多家头部企业二季度出货量环比大幅增长，中游材料盈利弹性开始超越上游资源品本身。</w:t>
      </w:r>
      <w:r>
        <w:rPr>
          <w:rFonts w:ascii="宋体" w:hAnsi="宋体" w:eastAsia="宋体" w:cs="宋体"/>
          <w:b w:val="0"/>
        </w:rPr>
        <w:br w:type="textWrapping"/>
      </w:r>
      <w:r>
        <w:rPr>
          <w:rFonts w:ascii="宋体" w:hAnsi="宋体" w:eastAsia="宋体" w:cs="宋体"/>
          <w:b w:val="0"/>
        </w:rPr>
        <w:t xml:space="preserve">    本基金二季度开始重点配置锂电铜箔产业链，核心逻辑如下：</w:t>
      </w:r>
      <w:r>
        <w:rPr>
          <w:rFonts w:ascii="宋体" w:hAnsi="宋体" w:eastAsia="宋体" w:cs="宋体"/>
          <w:b w:val="0"/>
        </w:rPr>
        <w:br w:type="textWrapping"/>
      </w:r>
      <w:r>
        <w:rPr>
          <w:rFonts w:ascii="宋体" w:hAnsi="宋体" w:eastAsia="宋体" w:cs="宋体"/>
          <w:b w:val="0"/>
        </w:rPr>
        <w:t xml:space="preserve">    1. 周期拐点确立。 部分企业单吨毛利从2024年的-500元修复至4000元以上，行业从亏损走向盈利的拐点信号清晰。</w:t>
      </w:r>
      <w:r>
        <w:rPr>
          <w:rFonts w:ascii="宋体" w:hAnsi="宋体" w:eastAsia="宋体" w:cs="宋体"/>
          <w:b w:val="0"/>
        </w:rPr>
        <w:br w:type="textWrapping"/>
      </w:r>
      <w:r>
        <w:rPr>
          <w:rFonts w:ascii="宋体" w:hAnsi="宋体" w:eastAsia="宋体" w:cs="宋体"/>
          <w:b w:val="0"/>
        </w:rPr>
        <w:t xml:space="preserve">    2. 加工费涨价启动。4月起主流厂商对二线电池客户提价1500-2000元/吨，6月下旬提前上调1000-2000元/吨，4.5μm超薄产品加工费维持在25000-26000元/吨、涨幅上限更高。二季度是首次提价的关键窗口。</w:t>
      </w:r>
      <w:r>
        <w:rPr>
          <w:rFonts w:ascii="宋体" w:hAnsi="宋体" w:eastAsia="宋体" w:cs="宋体"/>
          <w:b w:val="0"/>
        </w:rPr>
        <w:br w:type="textWrapping"/>
      </w:r>
      <w:r>
        <w:rPr>
          <w:rFonts w:ascii="宋体" w:hAnsi="宋体" w:eastAsia="宋体" w:cs="宋体"/>
          <w:b w:val="0"/>
        </w:rPr>
        <w:t xml:space="preserve">    3. AI领域拓展带来第二增长曲线。锂电铜箔许多公司天然有做超薄铜箔以及超光滑表面处理的能力，这就使自身切入了电子铜箔领域。特别是M8、M9等铜箔工艺更加复杂且利润率较高，切入这个领域的锂电铜箔公司将享受巨大的AI红利。</w:t>
      </w:r>
      <w:r>
        <w:rPr>
          <w:rFonts w:ascii="宋体" w:hAnsi="宋体" w:eastAsia="宋体" w:cs="宋体"/>
          <w:b w:val="0"/>
        </w:rPr>
        <w:br w:type="textWrapping"/>
      </w:r>
      <w:r>
        <w:rPr>
          <w:rFonts w:ascii="宋体" w:hAnsi="宋体" w:eastAsia="宋体" w:cs="宋体"/>
          <w:b w:val="0"/>
        </w:rPr>
        <w:t xml:space="preserve">    展望三季度，锂电产业链有望“四底确认”——价格底（碳酸锂18万元/吨夯实）、库存底（二季度主动补库启动）、盈利底（材料环节毛利修复）、情绪底（板块从左侧迈入右侧）。7月排产在6月高位基础上有望继续抬升。本基金继续看好供需格局向好并且有固态电池、AI业务作为期权的公司。特别在材料端，看好有固态电池材料以及AI相关材料的公司，能够同时享受固态电池进展以及AI涨价大周期的公司。设备端也会考虑跌幅较深以及有跟半导体相关业务的锂电设备，同时受益锂电和AI订单景气。</w:t>
      </w:r>
    </w:p>
    <w:p/>
    <w:p>
      <w:pPr>
        <w:pStyle w:val="3"/>
        <w:jc w:val="left"/>
      </w:pPr>
      <w:r>
        <w:rPr>
          <w:rFonts w:ascii="宋体" w:hAnsi="宋体" w:eastAsia="宋体" w:cs="宋体"/>
        </w:rPr>
        <w:t>4.5 报告期内基金的业绩表现</w:t>
      </w:r>
    </w:p>
    <w:p>
      <w:r>
        <w:rPr>
          <w:rFonts w:ascii="宋体" w:hAnsi="宋体" w:eastAsia="宋体" w:cs="宋体"/>
          <w:b w:val="0"/>
        </w:rPr>
        <w:t xml:space="preserve">    截至报告期末东方阿尔法产业先锋混合A基金份额净值为0.7486元，本报告期内，该类基金份额净值增长率为26.92%，同期业绩比较基准收益率为11.19%；截至报告期末东方阿尔法产业先锋混合C基金份额净值为0.7303元，本报告期内，该类基金份额净值增长率为26.77%，同期业绩比较基准收益率为11.19%。</w:t>
      </w:r>
    </w:p>
    <w:p/>
    <w:p>
      <w:pPr>
        <w:pStyle w:val="3"/>
        <w:jc w:val="left"/>
      </w:pPr>
      <w:r>
        <w:rPr>
          <w:rFonts w:ascii="宋体" w:hAnsi="宋体" w:eastAsia="宋体" w:cs="宋体"/>
        </w:rPr>
        <w:t>4.6 报告期内基金持有人数或基金资产净值预警说明</w:t>
      </w:r>
    </w:p>
    <w:p>
      <w:r>
        <w:rPr>
          <w:rFonts w:ascii="宋体" w:hAnsi="宋体" w:eastAsia="宋体" w:cs="宋体"/>
          <w:b w:val="0"/>
        </w:rPr>
        <w:t xml:space="preserve">    本报告期内，本基金未出现连续20个工作日基金份额持有人数量不满200人或者基金资产净值低于5000万的情形。</w:t>
      </w:r>
    </w:p>
    <w:p>
      <w:pPr>
        <w:pStyle w:val="2"/>
        <w:jc w:val="center"/>
      </w:pPr>
      <w:r>
        <w:rPr>
          <w:rFonts w:ascii="宋体" w:hAnsi="宋体" w:eastAsia="宋体" w:cs="宋体"/>
        </w:rPr>
        <w:t>§5 投资组合报告</w:t>
      </w:r>
    </w:p>
    <w:p>
      <w:pPr>
        <w:pStyle w:val="3"/>
        <w:jc w:val="left"/>
      </w:pPr>
      <w:r>
        <w:rPr>
          <w:rFonts w:ascii="宋体" w:hAnsi="宋体" w:eastAsia="宋体" w:cs="宋体"/>
        </w:rPr>
        <w:t>5.1 报告期末基金资产组合情况</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2856"/>
        <w:gridCol w:w="2856"/>
        <w:gridCol w:w="2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D9D9D9"/>
            <w:vAlign w:val="center"/>
          </w:tcPr>
          <w:p>
            <w:pPr>
              <w:spacing w:line="240" w:lineRule="auto"/>
              <w:jc w:val="center"/>
            </w:pPr>
            <w:r>
              <w:rPr>
                <w:rFonts w:ascii="宋体" w:hAnsi="宋体" w:eastAsia="宋体" w:cs="宋体"/>
                <w:b w:val="0"/>
              </w:rPr>
              <w:t>序号</w:t>
            </w:r>
          </w:p>
        </w:tc>
        <w:tc>
          <w:tcPr>
            <w:tcW w:w="1538" w:type="pct"/>
            <w:shd w:val="clear" w:color="auto" w:fill="D9D9D9"/>
            <w:vAlign w:val="center"/>
          </w:tcPr>
          <w:p>
            <w:pPr>
              <w:spacing w:line="240" w:lineRule="auto"/>
              <w:jc w:val="center"/>
            </w:pPr>
            <w:r>
              <w:rPr>
                <w:rFonts w:ascii="宋体" w:hAnsi="宋体" w:eastAsia="宋体" w:cs="宋体"/>
                <w:b w:val="0"/>
              </w:rPr>
              <w:t>项目</w:t>
            </w:r>
          </w:p>
        </w:tc>
        <w:tc>
          <w:tcPr>
            <w:tcW w:w="1538" w:type="pct"/>
            <w:shd w:val="clear" w:color="auto" w:fill="D9D9D9"/>
            <w:vAlign w:val="center"/>
          </w:tcPr>
          <w:p>
            <w:pPr>
              <w:spacing w:line="240" w:lineRule="auto"/>
              <w:jc w:val="center"/>
            </w:pPr>
            <w:r>
              <w:rPr>
                <w:rFonts w:ascii="宋体" w:hAnsi="宋体" w:eastAsia="宋体" w:cs="宋体"/>
                <w:b w:val="0"/>
              </w:rPr>
              <w:t>金额(元)</w:t>
            </w:r>
          </w:p>
        </w:tc>
        <w:tc>
          <w:tcPr>
            <w:tcW w:w="1538" w:type="pct"/>
            <w:shd w:val="clear" w:color="auto" w:fill="D9D9D9"/>
            <w:vAlign w:val="center"/>
          </w:tcPr>
          <w:p>
            <w:pPr>
              <w:spacing w:line="240" w:lineRule="auto"/>
              <w:jc w:val="center"/>
            </w:pPr>
            <w:r>
              <w:rPr>
                <w:rFonts w:ascii="宋体" w:hAnsi="宋体" w:eastAsia="宋体" w:cs="宋体"/>
                <w:b w:val="0"/>
              </w:rPr>
              <w:t>占基金总资产的比例（%）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1</w:t>
            </w:r>
          </w:p>
        </w:tc>
        <w:tc>
          <w:tcPr>
            <w:tcW w:w="0" w:type="dxa"/>
            <w:vAlign w:val="center"/>
          </w:tcPr>
          <w:p>
            <w:pPr>
              <w:spacing w:line="240" w:lineRule="auto"/>
              <w:jc w:val="left"/>
            </w:pPr>
            <w:r>
              <w:rPr>
                <w:rFonts w:ascii="宋体" w:hAnsi="宋体" w:eastAsia="宋体" w:cs="宋体"/>
                <w:b w:val="0"/>
              </w:rPr>
              <w:t>权益投资</w:t>
            </w:r>
          </w:p>
        </w:tc>
        <w:tc>
          <w:tcPr>
            <w:tcW w:w="0" w:type="dxa"/>
            <w:vAlign w:val="center"/>
          </w:tcPr>
          <w:p>
            <w:pPr>
              <w:spacing w:line="240" w:lineRule="auto"/>
              <w:jc w:val="right"/>
            </w:pPr>
            <w:r>
              <w:rPr>
                <w:rFonts w:ascii="宋体" w:hAnsi="宋体" w:eastAsia="宋体" w:cs="宋体"/>
                <w:b w:val="0"/>
              </w:rPr>
              <w:t>889,507,079.53</w:t>
            </w:r>
          </w:p>
        </w:tc>
        <w:tc>
          <w:tcPr>
            <w:tcW w:w="0" w:type="dxa"/>
            <w:vAlign w:val="center"/>
          </w:tcPr>
          <w:p>
            <w:pPr>
              <w:spacing w:line="240" w:lineRule="auto"/>
              <w:jc w:val="right"/>
            </w:pPr>
            <w:r>
              <w:rPr>
                <w:rFonts w:ascii="宋体" w:hAnsi="宋体" w:eastAsia="宋体" w:cs="宋体"/>
                <w:b w:val="0"/>
              </w:rPr>
              <w:t>92.37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p>
        </w:tc>
        <w:tc>
          <w:tcPr>
            <w:tcW w:w="0" w:type="dxa"/>
            <w:vAlign w:val="center"/>
          </w:tcPr>
          <w:p>
            <w:pPr>
              <w:spacing w:line="240" w:lineRule="auto"/>
              <w:jc w:val="left"/>
            </w:pPr>
            <w:r>
              <w:rPr>
                <w:rFonts w:ascii="宋体" w:hAnsi="宋体" w:eastAsia="宋体" w:cs="宋体"/>
                <w:b w:val="0"/>
              </w:rPr>
              <w:t>其中：股票</w:t>
            </w:r>
          </w:p>
        </w:tc>
        <w:tc>
          <w:tcPr>
            <w:tcW w:w="0" w:type="dxa"/>
            <w:vAlign w:val="center"/>
          </w:tcPr>
          <w:p>
            <w:pPr>
              <w:spacing w:line="240" w:lineRule="auto"/>
              <w:jc w:val="right"/>
            </w:pPr>
            <w:r>
              <w:rPr>
                <w:rFonts w:ascii="宋体" w:hAnsi="宋体" w:eastAsia="宋体" w:cs="宋体"/>
                <w:b w:val="0"/>
              </w:rPr>
              <w:t>889,507,079.53</w:t>
            </w:r>
          </w:p>
        </w:tc>
        <w:tc>
          <w:tcPr>
            <w:tcW w:w="0" w:type="dxa"/>
            <w:vAlign w:val="center"/>
          </w:tcPr>
          <w:p>
            <w:pPr>
              <w:spacing w:line="240" w:lineRule="auto"/>
              <w:jc w:val="right"/>
            </w:pPr>
            <w:r>
              <w:rPr>
                <w:rFonts w:ascii="宋体" w:hAnsi="宋体" w:eastAsia="宋体" w:cs="宋体"/>
                <w:b w:val="0"/>
              </w:rPr>
              <w:t>92.37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2</w:t>
            </w:r>
          </w:p>
        </w:tc>
        <w:tc>
          <w:tcPr>
            <w:tcW w:w="0" w:type="dxa"/>
            <w:vAlign w:val="center"/>
          </w:tcPr>
          <w:p>
            <w:pPr>
              <w:spacing w:line="240" w:lineRule="auto"/>
              <w:jc w:val="left"/>
            </w:pPr>
            <w:r>
              <w:rPr>
                <w:rFonts w:ascii="宋体" w:hAnsi="宋体" w:eastAsia="宋体" w:cs="宋体"/>
                <w:b w:val="0"/>
              </w:rPr>
              <w:t>基金投资</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3</w:t>
            </w:r>
          </w:p>
        </w:tc>
        <w:tc>
          <w:tcPr>
            <w:tcW w:w="0" w:type="dxa"/>
            <w:vAlign w:val="center"/>
          </w:tcPr>
          <w:p>
            <w:pPr>
              <w:spacing w:line="240" w:lineRule="auto"/>
              <w:jc w:val="left"/>
            </w:pPr>
            <w:r>
              <w:rPr>
                <w:rFonts w:ascii="宋体" w:hAnsi="宋体" w:eastAsia="宋体" w:cs="宋体"/>
                <w:b w:val="0"/>
              </w:rPr>
              <w:t>固定收益投资</w:t>
            </w:r>
          </w:p>
        </w:tc>
        <w:tc>
          <w:tcPr>
            <w:tcW w:w="0" w:type="dxa"/>
            <w:vAlign w:val="center"/>
          </w:tcPr>
          <w:p>
            <w:pPr>
              <w:spacing w:line="240" w:lineRule="auto"/>
              <w:jc w:val="right"/>
            </w:pPr>
            <w:r>
              <w:rPr>
                <w:rFonts w:ascii="宋体" w:hAnsi="宋体" w:eastAsia="宋体" w:cs="宋体"/>
                <w:b w:val="0"/>
              </w:rPr>
              <w:t>54,192,169.81</w:t>
            </w:r>
          </w:p>
        </w:tc>
        <w:tc>
          <w:tcPr>
            <w:tcW w:w="0" w:type="dxa"/>
            <w:vAlign w:val="center"/>
          </w:tcPr>
          <w:p>
            <w:pPr>
              <w:spacing w:line="240" w:lineRule="auto"/>
              <w:jc w:val="right"/>
            </w:pPr>
            <w:r>
              <w:rPr>
                <w:rFonts w:ascii="宋体" w:hAnsi="宋体" w:eastAsia="宋体" w:cs="宋体"/>
                <w:b w:val="0"/>
              </w:rPr>
              <w:t>5.63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p>
        </w:tc>
        <w:tc>
          <w:tcPr>
            <w:tcW w:w="0" w:type="dxa"/>
            <w:vAlign w:val="center"/>
          </w:tcPr>
          <w:p>
            <w:pPr>
              <w:spacing w:line="240" w:lineRule="auto"/>
              <w:jc w:val="left"/>
            </w:pPr>
            <w:r>
              <w:rPr>
                <w:rFonts w:ascii="宋体" w:hAnsi="宋体" w:eastAsia="宋体" w:cs="宋体"/>
                <w:b w:val="0"/>
              </w:rPr>
              <w:t>其中：债券</w:t>
            </w:r>
          </w:p>
        </w:tc>
        <w:tc>
          <w:tcPr>
            <w:tcW w:w="0" w:type="dxa"/>
            <w:vAlign w:val="center"/>
          </w:tcPr>
          <w:p>
            <w:pPr>
              <w:spacing w:line="240" w:lineRule="auto"/>
              <w:jc w:val="right"/>
            </w:pPr>
            <w:r>
              <w:rPr>
                <w:rFonts w:ascii="宋体" w:hAnsi="宋体" w:eastAsia="宋体" w:cs="宋体"/>
                <w:b w:val="0"/>
              </w:rPr>
              <w:t>54,192,169.81</w:t>
            </w:r>
          </w:p>
        </w:tc>
        <w:tc>
          <w:tcPr>
            <w:tcW w:w="0" w:type="dxa"/>
            <w:vAlign w:val="center"/>
          </w:tcPr>
          <w:p>
            <w:pPr>
              <w:spacing w:line="240" w:lineRule="auto"/>
              <w:jc w:val="right"/>
            </w:pPr>
            <w:r>
              <w:rPr>
                <w:rFonts w:ascii="宋体" w:hAnsi="宋体" w:eastAsia="宋体" w:cs="宋体"/>
                <w:b w:val="0"/>
              </w:rPr>
              <w:t>5.63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p>
        </w:tc>
        <w:tc>
          <w:tcPr>
            <w:tcW w:w="0" w:type="dxa"/>
            <w:vAlign w:val="center"/>
          </w:tcPr>
          <w:p>
            <w:pPr>
              <w:spacing w:line="240" w:lineRule="auto"/>
              <w:jc w:val="left"/>
            </w:pPr>
            <w:r>
              <w:rPr>
                <w:rFonts w:ascii="宋体" w:hAnsi="宋体" w:eastAsia="宋体" w:cs="宋体"/>
                <w:b w:val="0"/>
              </w:rPr>
              <w:t xml:space="preserve">      资产支持证券</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4</w:t>
            </w:r>
          </w:p>
        </w:tc>
        <w:tc>
          <w:tcPr>
            <w:tcW w:w="0" w:type="dxa"/>
            <w:vAlign w:val="center"/>
          </w:tcPr>
          <w:p>
            <w:pPr>
              <w:spacing w:line="240" w:lineRule="auto"/>
            </w:pPr>
            <w:r>
              <w:rPr>
                <w:rFonts w:ascii="宋体" w:hAnsi="宋体" w:eastAsia="宋体" w:cs="宋体"/>
                <w:b w:val="0"/>
              </w:rPr>
              <w:t>贵金属投资</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5</w:t>
            </w:r>
          </w:p>
        </w:tc>
        <w:tc>
          <w:tcPr>
            <w:tcW w:w="0" w:type="dxa"/>
            <w:vAlign w:val="center"/>
          </w:tcPr>
          <w:p>
            <w:pPr>
              <w:spacing w:line="240" w:lineRule="auto"/>
              <w:jc w:val="left"/>
            </w:pPr>
            <w:r>
              <w:rPr>
                <w:rFonts w:ascii="宋体" w:hAnsi="宋体" w:eastAsia="宋体" w:cs="宋体"/>
                <w:b w:val="0"/>
              </w:rPr>
              <w:t>金融衍生品投资</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6</w:t>
            </w:r>
          </w:p>
        </w:tc>
        <w:tc>
          <w:tcPr>
            <w:tcW w:w="0" w:type="dxa"/>
            <w:vAlign w:val="center"/>
          </w:tcPr>
          <w:p>
            <w:pPr>
              <w:spacing w:line="240" w:lineRule="auto"/>
              <w:jc w:val="left"/>
            </w:pPr>
            <w:r>
              <w:rPr>
                <w:rFonts w:ascii="宋体" w:hAnsi="宋体" w:eastAsia="宋体" w:cs="宋体"/>
                <w:b w:val="0"/>
              </w:rPr>
              <w:t>买入返售金融资产</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p>
        </w:tc>
        <w:tc>
          <w:tcPr>
            <w:tcW w:w="0" w:type="dxa"/>
            <w:vAlign w:val="center"/>
          </w:tcPr>
          <w:p>
            <w:pPr>
              <w:spacing w:line="240" w:lineRule="auto"/>
              <w:jc w:val="left"/>
            </w:pPr>
            <w:r>
              <w:rPr>
                <w:rFonts w:ascii="宋体" w:hAnsi="宋体" w:eastAsia="宋体" w:cs="宋体"/>
                <w:b w:val="0"/>
              </w:rPr>
              <w:t>其中：买断式回购的买入返售金融资产</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7</w:t>
            </w:r>
          </w:p>
        </w:tc>
        <w:tc>
          <w:tcPr>
            <w:tcW w:w="0" w:type="dxa"/>
            <w:vAlign w:val="center"/>
          </w:tcPr>
          <w:p>
            <w:pPr>
              <w:spacing w:line="240" w:lineRule="auto"/>
              <w:jc w:val="left"/>
            </w:pPr>
            <w:r>
              <w:rPr>
                <w:rFonts w:ascii="宋体" w:hAnsi="宋体" w:eastAsia="宋体" w:cs="宋体"/>
                <w:b w:val="0"/>
              </w:rPr>
              <w:t>银行存款和结算备付金合计</w:t>
            </w:r>
          </w:p>
        </w:tc>
        <w:tc>
          <w:tcPr>
            <w:tcW w:w="0" w:type="dxa"/>
            <w:vAlign w:val="center"/>
          </w:tcPr>
          <w:p>
            <w:pPr>
              <w:spacing w:line="240" w:lineRule="auto"/>
              <w:jc w:val="right"/>
            </w:pPr>
            <w:r>
              <w:rPr>
                <w:rFonts w:ascii="宋体" w:hAnsi="宋体" w:eastAsia="宋体" w:cs="宋体"/>
                <w:b w:val="0"/>
              </w:rPr>
              <w:t>18,428,938.13</w:t>
            </w:r>
          </w:p>
        </w:tc>
        <w:tc>
          <w:tcPr>
            <w:tcW w:w="0" w:type="dxa"/>
            <w:vAlign w:val="center"/>
          </w:tcPr>
          <w:p>
            <w:pPr>
              <w:spacing w:line="240" w:lineRule="auto"/>
              <w:jc w:val="right"/>
            </w:pPr>
            <w:r>
              <w:rPr>
                <w:rFonts w:ascii="宋体" w:hAnsi="宋体" w:eastAsia="宋体" w:cs="宋体"/>
                <w:b w:val="0"/>
              </w:rPr>
              <w:t>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8</w:t>
            </w:r>
          </w:p>
        </w:tc>
        <w:tc>
          <w:tcPr>
            <w:tcW w:w="0" w:type="dxa"/>
            <w:vAlign w:val="center"/>
          </w:tcPr>
          <w:p>
            <w:pPr>
              <w:spacing w:line="240" w:lineRule="auto"/>
              <w:jc w:val="left"/>
            </w:pPr>
            <w:r>
              <w:rPr>
                <w:rFonts w:ascii="宋体" w:hAnsi="宋体" w:eastAsia="宋体" w:cs="宋体"/>
                <w:b w:val="0"/>
              </w:rPr>
              <w:t>其他资产</w:t>
            </w:r>
          </w:p>
        </w:tc>
        <w:tc>
          <w:tcPr>
            <w:tcW w:w="0" w:type="dxa"/>
            <w:vAlign w:val="center"/>
          </w:tcPr>
          <w:p>
            <w:pPr>
              <w:spacing w:line="240" w:lineRule="auto"/>
              <w:jc w:val="right"/>
            </w:pPr>
            <w:r>
              <w:rPr>
                <w:rFonts w:ascii="宋体" w:hAnsi="宋体" w:eastAsia="宋体" w:cs="宋体"/>
                <w:b w:val="0"/>
              </w:rPr>
              <w:t>851,644.27</w:t>
            </w:r>
          </w:p>
        </w:tc>
        <w:tc>
          <w:tcPr>
            <w:tcW w:w="0" w:type="dxa"/>
            <w:vAlign w:val="center"/>
          </w:tcPr>
          <w:p>
            <w:pPr>
              <w:spacing w:line="240" w:lineRule="auto"/>
              <w:jc w:val="right"/>
            </w:pPr>
            <w:r>
              <w:rPr>
                <w:rFonts w:ascii="宋体" w:hAnsi="宋体" w:eastAsia="宋体" w:cs="宋体"/>
                <w:b w:val="0"/>
              </w:rPr>
              <w:t>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9</w:t>
            </w:r>
          </w:p>
        </w:tc>
        <w:tc>
          <w:tcPr>
            <w:tcW w:w="0" w:type="dxa"/>
            <w:vAlign w:val="center"/>
          </w:tcPr>
          <w:p>
            <w:pPr>
              <w:spacing w:line="240" w:lineRule="auto"/>
              <w:jc w:val="left"/>
            </w:pPr>
            <w:r>
              <w:rPr>
                <w:rFonts w:ascii="宋体" w:hAnsi="宋体" w:eastAsia="宋体" w:cs="宋体"/>
                <w:b w:val="0"/>
              </w:rPr>
              <w:t>合计</w:t>
            </w:r>
          </w:p>
        </w:tc>
        <w:tc>
          <w:tcPr>
            <w:tcW w:w="0" w:type="dxa"/>
            <w:vAlign w:val="center"/>
          </w:tcPr>
          <w:p>
            <w:pPr>
              <w:spacing w:line="240" w:lineRule="auto"/>
              <w:jc w:val="right"/>
            </w:pPr>
            <w:r>
              <w:rPr>
                <w:rFonts w:ascii="宋体" w:hAnsi="宋体" w:eastAsia="宋体" w:cs="宋体"/>
                <w:b w:val="0"/>
              </w:rPr>
              <w:t>962,979,831.74</w:t>
            </w:r>
          </w:p>
        </w:tc>
        <w:tc>
          <w:tcPr>
            <w:tcW w:w="0" w:type="dxa"/>
            <w:vAlign w:val="center"/>
          </w:tcPr>
          <w:p>
            <w:pPr>
              <w:spacing w:line="240" w:lineRule="auto"/>
              <w:jc w:val="right"/>
            </w:pPr>
            <w:r>
              <w:rPr>
                <w:rFonts w:ascii="宋体" w:hAnsi="宋体" w:eastAsia="宋体" w:cs="宋体"/>
                <w:b w:val="0"/>
              </w:rPr>
              <w:t>100.00</w:t>
            </w:r>
          </w:p>
        </w:tc>
      </w:tr>
    </w:tbl>
    <w:p/>
    <w:p>
      <w:pPr>
        <w:pStyle w:val="3"/>
        <w:jc w:val="left"/>
      </w:pPr>
      <w:r>
        <w:rPr>
          <w:rFonts w:ascii="宋体" w:hAnsi="宋体" w:eastAsia="宋体" w:cs="宋体"/>
        </w:rPr>
        <w:t>5.2 报告期末按行业分类的股票投资组合</w:t>
      </w:r>
    </w:p>
    <w:p>
      <w:pPr>
        <w:pStyle w:val="58"/>
      </w:pPr>
      <w:r>
        <w:rPr>
          <w:rFonts w:ascii="宋体" w:hAnsi="宋体" w:eastAsia="宋体" w:cs="宋体"/>
          <w:b/>
        </w:rPr>
        <w:t>5.2.1 报告期末按行业分类的境内股票投资组合</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8"/>
        <w:gridCol w:w="3095"/>
        <w:gridCol w:w="1858"/>
        <w:gridCol w:w="3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pPr>
              <w:spacing w:line="240" w:lineRule="auto"/>
              <w:jc w:val="center"/>
            </w:pPr>
            <w:r>
              <w:rPr>
                <w:rFonts w:ascii="宋体" w:hAnsi="宋体" w:eastAsia="宋体" w:cs="宋体"/>
                <w:b w:val="0"/>
              </w:rPr>
              <w:t>代码</w:t>
            </w:r>
          </w:p>
        </w:tc>
        <w:tc>
          <w:tcPr>
            <w:tcW w:w="1538" w:type="pct"/>
            <w:shd w:val="clear" w:color="auto" w:fill="D9D9D9"/>
            <w:vAlign w:val="center"/>
          </w:tcPr>
          <w:p>
            <w:pPr>
              <w:spacing w:line="240" w:lineRule="auto"/>
              <w:jc w:val="center"/>
            </w:pPr>
            <w:r>
              <w:rPr>
                <w:rFonts w:ascii="宋体" w:hAnsi="宋体" w:eastAsia="宋体" w:cs="宋体"/>
                <w:b w:val="0"/>
              </w:rPr>
              <w:t>行业类别</w:t>
            </w:r>
          </w:p>
        </w:tc>
        <w:tc>
          <w:tcPr>
            <w:tcW w:w="923" w:type="pct"/>
            <w:shd w:val="clear" w:color="auto" w:fill="D9D9D9"/>
            <w:vAlign w:val="center"/>
          </w:tcPr>
          <w:p>
            <w:pPr>
              <w:spacing w:line="240" w:lineRule="auto"/>
              <w:jc w:val="center"/>
            </w:pPr>
            <w:r>
              <w:rPr>
                <w:rFonts w:ascii="宋体" w:hAnsi="宋体" w:eastAsia="宋体" w:cs="宋体"/>
                <w:b w:val="0"/>
              </w:rPr>
              <w:t>公允价值(元)</w:t>
            </w:r>
          </w:p>
        </w:tc>
        <w:tc>
          <w:tcPr>
            <w:tcW w:w="1538" w:type="pct"/>
            <w:shd w:val="clear" w:color="auto" w:fill="D9D9D9"/>
            <w:vAlign w:val="center"/>
          </w:tcPr>
          <w:p>
            <w:pPr>
              <w:spacing w:line="240" w:lineRule="auto"/>
              <w:jc w:val="center"/>
            </w:pPr>
            <w:r>
              <w:rPr>
                <w:rFonts w:ascii="宋体" w:hAnsi="宋体" w:eastAsia="宋体" w:cs="宋体"/>
                <w:b w:val="0"/>
              </w:rPr>
              <w:t>占基金资产净值比例（%）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A</w:t>
            </w:r>
          </w:p>
        </w:tc>
        <w:tc>
          <w:tcPr>
            <w:tcW w:w="0" w:type="dxa"/>
            <w:vAlign w:val="center"/>
          </w:tcPr>
          <w:p>
            <w:pPr>
              <w:spacing w:line="240" w:lineRule="auto"/>
              <w:jc w:val="left"/>
            </w:pPr>
            <w:r>
              <w:rPr>
                <w:rFonts w:ascii="宋体" w:hAnsi="宋体" w:eastAsia="宋体" w:cs="宋体"/>
                <w:b w:val="0"/>
              </w:rPr>
              <w:t>农、林、牧、渔业</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B</w:t>
            </w:r>
          </w:p>
        </w:tc>
        <w:tc>
          <w:tcPr>
            <w:tcW w:w="0" w:type="dxa"/>
            <w:vAlign w:val="center"/>
          </w:tcPr>
          <w:p>
            <w:pPr>
              <w:spacing w:line="240" w:lineRule="auto"/>
              <w:jc w:val="left"/>
            </w:pPr>
            <w:r>
              <w:rPr>
                <w:rFonts w:ascii="宋体" w:hAnsi="宋体" w:eastAsia="宋体" w:cs="宋体"/>
                <w:b w:val="0"/>
              </w:rPr>
              <w:t>采矿业</w:t>
            </w:r>
          </w:p>
        </w:tc>
        <w:tc>
          <w:tcPr>
            <w:tcW w:w="0" w:type="dxa"/>
            <w:vAlign w:val="center"/>
          </w:tcPr>
          <w:p>
            <w:pPr>
              <w:spacing w:line="240" w:lineRule="auto"/>
              <w:jc w:val="right"/>
            </w:pPr>
            <w:r>
              <w:rPr>
                <w:rFonts w:ascii="宋体" w:hAnsi="宋体" w:eastAsia="宋体" w:cs="宋体"/>
                <w:b w:val="0"/>
              </w:rPr>
              <w:t>655,167.34</w:t>
            </w:r>
          </w:p>
        </w:tc>
        <w:tc>
          <w:tcPr>
            <w:tcW w:w="0" w:type="dxa"/>
            <w:vAlign w:val="center"/>
          </w:tcPr>
          <w:p>
            <w:pPr>
              <w:spacing w:line="240" w:lineRule="auto"/>
              <w:jc w:val="right"/>
            </w:pPr>
            <w:r>
              <w:rPr>
                <w:rFonts w:ascii="宋体" w:hAnsi="宋体" w:eastAsia="宋体" w:cs="宋体"/>
                <w:b w:val="0"/>
              </w:rPr>
              <w:t>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C</w:t>
            </w:r>
          </w:p>
        </w:tc>
        <w:tc>
          <w:tcPr>
            <w:tcW w:w="0" w:type="dxa"/>
            <w:vAlign w:val="center"/>
          </w:tcPr>
          <w:p>
            <w:pPr>
              <w:spacing w:line="240" w:lineRule="auto"/>
              <w:jc w:val="left"/>
            </w:pPr>
            <w:r>
              <w:rPr>
                <w:rFonts w:ascii="宋体" w:hAnsi="宋体" w:eastAsia="宋体" w:cs="宋体"/>
                <w:b w:val="0"/>
              </w:rPr>
              <w:t>制造业</w:t>
            </w:r>
          </w:p>
        </w:tc>
        <w:tc>
          <w:tcPr>
            <w:tcW w:w="0" w:type="dxa"/>
            <w:vAlign w:val="center"/>
          </w:tcPr>
          <w:p>
            <w:pPr>
              <w:spacing w:line="240" w:lineRule="auto"/>
              <w:jc w:val="right"/>
            </w:pPr>
            <w:r>
              <w:rPr>
                <w:rFonts w:ascii="宋体" w:hAnsi="宋体" w:eastAsia="宋体" w:cs="宋体"/>
                <w:b w:val="0"/>
              </w:rPr>
              <w:t>887,810,268.22</w:t>
            </w:r>
          </w:p>
        </w:tc>
        <w:tc>
          <w:tcPr>
            <w:tcW w:w="0" w:type="dxa"/>
            <w:vAlign w:val="center"/>
          </w:tcPr>
          <w:p>
            <w:pPr>
              <w:spacing w:line="240" w:lineRule="auto"/>
              <w:jc w:val="right"/>
            </w:pPr>
            <w:r>
              <w:rPr>
                <w:rFonts w:ascii="宋体" w:hAnsi="宋体" w:eastAsia="宋体" w:cs="宋体"/>
                <w:b w:val="0"/>
              </w:rPr>
              <w:t>94.32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D</w:t>
            </w:r>
          </w:p>
        </w:tc>
        <w:tc>
          <w:tcPr>
            <w:tcW w:w="0" w:type="dxa"/>
            <w:vAlign w:val="center"/>
          </w:tcPr>
          <w:p>
            <w:pPr>
              <w:spacing w:line="240" w:lineRule="auto"/>
              <w:jc w:val="left"/>
            </w:pPr>
            <w:r>
              <w:rPr>
                <w:rFonts w:ascii="宋体" w:hAnsi="宋体" w:eastAsia="宋体" w:cs="宋体"/>
                <w:b w:val="0"/>
              </w:rPr>
              <w:t>电力、热力、燃气及水生产和供应业</w:t>
            </w:r>
          </w:p>
        </w:tc>
        <w:tc>
          <w:tcPr>
            <w:tcW w:w="0" w:type="dxa"/>
            <w:vAlign w:val="center"/>
          </w:tcPr>
          <w:p>
            <w:pPr>
              <w:spacing w:line="240" w:lineRule="auto"/>
              <w:jc w:val="right"/>
            </w:pPr>
            <w:r>
              <w:rPr>
                <w:rFonts w:ascii="宋体" w:hAnsi="宋体" w:eastAsia="宋体" w:cs="宋体"/>
                <w:b w:val="0"/>
              </w:rPr>
              <w:t>460,854.24</w:t>
            </w:r>
          </w:p>
        </w:tc>
        <w:tc>
          <w:tcPr>
            <w:tcW w:w="0" w:type="dxa"/>
            <w:vAlign w:val="center"/>
          </w:tcPr>
          <w:p>
            <w:pPr>
              <w:spacing w:line="240" w:lineRule="auto"/>
              <w:jc w:val="right"/>
            </w:pPr>
            <w:r>
              <w:rPr>
                <w:rFonts w:ascii="宋体" w:hAnsi="宋体" w:eastAsia="宋体" w:cs="宋体"/>
                <w:b w:val="0"/>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E</w:t>
            </w:r>
          </w:p>
        </w:tc>
        <w:tc>
          <w:tcPr>
            <w:tcW w:w="0" w:type="dxa"/>
            <w:vAlign w:val="center"/>
          </w:tcPr>
          <w:p>
            <w:pPr>
              <w:spacing w:line="240" w:lineRule="auto"/>
              <w:jc w:val="left"/>
            </w:pPr>
            <w:r>
              <w:rPr>
                <w:rFonts w:ascii="宋体" w:hAnsi="宋体" w:eastAsia="宋体" w:cs="宋体"/>
                <w:b w:val="0"/>
              </w:rPr>
              <w:t>建筑业</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F</w:t>
            </w:r>
          </w:p>
        </w:tc>
        <w:tc>
          <w:tcPr>
            <w:tcW w:w="0" w:type="dxa"/>
            <w:vAlign w:val="center"/>
          </w:tcPr>
          <w:p>
            <w:pPr>
              <w:spacing w:line="240" w:lineRule="auto"/>
              <w:jc w:val="left"/>
            </w:pPr>
            <w:r>
              <w:rPr>
                <w:rFonts w:ascii="宋体" w:hAnsi="宋体" w:eastAsia="宋体" w:cs="宋体"/>
                <w:b w:val="0"/>
              </w:rPr>
              <w:t>批发和零售业</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G</w:t>
            </w:r>
          </w:p>
        </w:tc>
        <w:tc>
          <w:tcPr>
            <w:tcW w:w="0" w:type="dxa"/>
            <w:vAlign w:val="center"/>
          </w:tcPr>
          <w:p>
            <w:pPr>
              <w:spacing w:line="240" w:lineRule="auto"/>
              <w:jc w:val="left"/>
            </w:pPr>
            <w:r>
              <w:rPr>
                <w:rFonts w:ascii="宋体" w:hAnsi="宋体" w:eastAsia="宋体" w:cs="宋体"/>
                <w:b w:val="0"/>
              </w:rPr>
              <w:t>交通运输、仓储和邮政业</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H</w:t>
            </w:r>
          </w:p>
        </w:tc>
        <w:tc>
          <w:tcPr>
            <w:tcW w:w="0" w:type="dxa"/>
            <w:vAlign w:val="center"/>
          </w:tcPr>
          <w:p>
            <w:pPr>
              <w:spacing w:line="240" w:lineRule="auto"/>
              <w:jc w:val="left"/>
            </w:pPr>
            <w:r>
              <w:rPr>
                <w:rFonts w:ascii="宋体" w:hAnsi="宋体" w:eastAsia="宋体" w:cs="宋体"/>
                <w:b w:val="0"/>
              </w:rPr>
              <w:t>住宿和餐饮业</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I</w:t>
            </w:r>
          </w:p>
        </w:tc>
        <w:tc>
          <w:tcPr>
            <w:tcW w:w="0" w:type="dxa"/>
            <w:vAlign w:val="center"/>
          </w:tcPr>
          <w:p>
            <w:pPr>
              <w:spacing w:line="240" w:lineRule="auto"/>
              <w:jc w:val="left"/>
            </w:pPr>
            <w:r>
              <w:rPr>
                <w:rFonts w:ascii="宋体" w:hAnsi="宋体" w:eastAsia="宋体" w:cs="宋体"/>
                <w:b w:val="0"/>
              </w:rPr>
              <w:t>信息传输、软件和信息技术服务业</w:t>
            </w:r>
          </w:p>
        </w:tc>
        <w:tc>
          <w:tcPr>
            <w:tcW w:w="0" w:type="dxa"/>
            <w:vAlign w:val="center"/>
          </w:tcPr>
          <w:p>
            <w:pPr>
              <w:spacing w:line="240" w:lineRule="auto"/>
              <w:jc w:val="right"/>
            </w:pPr>
            <w:r>
              <w:rPr>
                <w:rFonts w:ascii="宋体" w:hAnsi="宋体" w:eastAsia="宋体" w:cs="宋体"/>
                <w:b w:val="0"/>
              </w:rPr>
              <w:t>558,272.65</w:t>
            </w:r>
          </w:p>
        </w:tc>
        <w:tc>
          <w:tcPr>
            <w:tcW w:w="0" w:type="dxa"/>
            <w:vAlign w:val="center"/>
          </w:tcPr>
          <w:p>
            <w:pPr>
              <w:spacing w:line="240" w:lineRule="auto"/>
              <w:jc w:val="right"/>
            </w:pPr>
            <w:r>
              <w:rPr>
                <w:rFonts w:ascii="宋体" w:hAnsi="宋体" w:eastAsia="宋体" w:cs="宋体"/>
                <w:b w:val="0"/>
              </w:rPr>
              <w:t>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J</w:t>
            </w:r>
          </w:p>
        </w:tc>
        <w:tc>
          <w:tcPr>
            <w:tcW w:w="0" w:type="dxa"/>
            <w:vAlign w:val="center"/>
          </w:tcPr>
          <w:p>
            <w:pPr>
              <w:spacing w:line="240" w:lineRule="auto"/>
              <w:jc w:val="left"/>
            </w:pPr>
            <w:r>
              <w:rPr>
                <w:rFonts w:ascii="宋体" w:hAnsi="宋体" w:eastAsia="宋体" w:cs="宋体"/>
                <w:b w:val="0"/>
              </w:rPr>
              <w:t>金融业</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K</w:t>
            </w:r>
          </w:p>
        </w:tc>
        <w:tc>
          <w:tcPr>
            <w:tcW w:w="0" w:type="dxa"/>
            <w:vAlign w:val="center"/>
          </w:tcPr>
          <w:p>
            <w:pPr>
              <w:spacing w:line="240" w:lineRule="auto"/>
              <w:jc w:val="left"/>
            </w:pPr>
            <w:r>
              <w:rPr>
                <w:rFonts w:ascii="宋体" w:hAnsi="宋体" w:eastAsia="宋体" w:cs="宋体"/>
                <w:b w:val="0"/>
              </w:rPr>
              <w:t>房地产业</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L</w:t>
            </w:r>
          </w:p>
        </w:tc>
        <w:tc>
          <w:tcPr>
            <w:tcW w:w="0" w:type="dxa"/>
            <w:vAlign w:val="center"/>
          </w:tcPr>
          <w:p>
            <w:pPr>
              <w:spacing w:line="240" w:lineRule="auto"/>
              <w:jc w:val="left"/>
            </w:pPr>
            <w:r>
              <w:rPr>
                <w:rFonts w:ascii="宋体" w:hAnsi="宋体" w:eastAsia="宋体" w:cs="宋体"/>
                <w:b w:val="0"/>
              </w:rPr>
              <w:t>租赁和商务服务业</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M</w:t>
            </w:r>
          </w:p>
        </w:tc>
        <w:tc>
          <w:tcPr>
            <w:tcW w:w="0" w:type="dxa"/>
            <w:vAlign w:val="center"/>
          </w:tcPr>
          <w:p>
            <w:pPr>
              <w:spacing w:line="240" w:lineRule="auto"/>
              <w:jc w:val="left"/>
            </w:pPr>
            <w:r>
              <w:rPr>
                <w:rFonts w:ascii="宋体" w:hAnsi="宋体" w:eastAsia="宋体" w:cs="宋体"/>
                <w:b w:val="0"/>
              </w:rPr>
              <w:t>科学研究和技术服务业</w:t>
            </w:r>
          </w:p>
        </w:tc>
        <w:tc>
          <w:tcPr>
            <w:tcW w:w="0" w:type="dxa"/>
            <w:vAlign w:val="center"/>
          </w:tcPr>
          <w:p>
            <w:pPr>
              <w:spacing w:line="240" w:lineRule="auto"/>
              <w:jc w:val="right"/>
            </w:pPr>
            <w:r>
              <w:rPr>
                <w:rFonts w:ascii="宋体" w:hAnsi="宋体" w:eastAsia="宋体" w:cs="宋体"/>
                <w:b w:val="0"/>
              </w:rPr>
              <w:t>22,517.08</w:t>
            </w:r>
          </w:p>
        </w:tc>
        <w:tc>
          <w:tcPr>
            <w:tcW w:w="0" w:type="dxa"/>
            <w:vAlign w:val="center"/>
          </w:tcPr>
          <w:p>
            <w:pPr>
              <w:spacing w:line="240" w:lineRule="auto"/>
              <w:jc w:val="right"/>
            </w:pPr>
            <w:r>
              <w:rPr>
                <w:rFonts w:ascii="宋体" w:hAnsi="宋体" w:eastAsia="宋体" w:cs="宋体"/>
                <w:b w:val="0"/>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N</w:t>
            </w:r>
          </w:p>
        </w:tc>
        <w:tc>
          <w:tcPr>
            <w:tcW w:w="0" w:type="dxa"/>
            <w:vAlign w:val="center"/>
          </w:tcPr>
          <w:p>
            <w:pPr>
              <w:spacing w:line="240" w:lineRule="auto"/>
              <w:jc w:val="left"/>
            </w:pPr>
            <w:r>
              <w:rPr>
                <w:rFonts w:ascii="宋体" w:hAnsi="宋体" w:eastAsia="宋体" w:cs="宋体"/>
                <w:b w:val="0"/>
              </w:rPr>
              <w:t>水利、环境和公共设施管理业</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O</w:t>
            </w:r>
          </w:p>
        </w:tc>
        <w:tc>
          <w:tcPr>
            <w:tcW w:w="0" w:type="dxa"/>
            <w:vAlign w:val="center"/>
          </w:tcPr>
          <w:p>
            <w:pPr>
              <w:spacing w:line="240" w:lineRule="auto"/>
              <w:jc w:val="left"/>
            </w:pPr>
            <w:r>
              <w:rPr>
                <w:rFonts w:ascii="宋体" w:hAnsi="宋体" w:eastAsia="宋体" w:cs="宋体"/>
                <w:b w:val="0"/>
              </w:rPr>
              <w:t>居民服务、修理和其他服务业</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P</w:t>
            </w:r>
          </w:p>
        </w:tc>
        <w:tc>
          <w:tcPr>
            <w:tcW w:w="0" w:type="dxa"/>
            <w:vAlign w:val="center"/>
          </w:tcPr>
          <w:p>
            <w:pPr>
              <w:spacing w:line="240" w:lineRule="auto"/>
              <w:jc w:val="left"/>
            </w:pPr>
            <w:r>
              <w:rPr>
                <w:rFonts w:ascii="宋体" w:hAnsi="宋体" w:eastAsia="宋体" w:cs="宋体"/>
                <w:b w:val="0"/>
              </w:rPr>
              <w:t>教育</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Q</w:t>
            </w:r>
          </w:p>
        </w:tc>
        <w:tc>
          <w:tcPr>
            <w:tcW w:w="0" w:type="dxa"/>
            <w:vAlign w:val="center"/>
          </w:tcPr>
          <w:p>
            <w:pPr>
              <w:spacing w:line="240" w:lineRule="auto"/>
              <w:jc w:val="left"/>
            </w:pPr>
            <w:r>
              <w:rPr>
                <w:rFonts w:ascii="宋体" w:hAnsi="宋体" w:eastAsia="宋体" w:cs="宋体"/>
                <w:b w:val="0"/>
              </w:rPr>
              <w:t>卫生和社会工作</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R</w:t>
            </w:r>
          </w:p>
        </w:tc>
        <w:tc>
          <w:tcPr>
            <w:tcW w:w="0" w:type="dxa"/>
            <w:vAlign w:val="center"/>
          </w:tcPr>
          <w:p>
            <w:pPr>
              <w:spacing w:line="240" w:lineRule="auto"/>
              <w:jc w:val="left"/>
            </w:pPr>
            <w:r>
              <w:rPr>
                <w:rFonts w:ascii="宋体" w:hAnsi="宋体" w:eastAsia="宋体" w:cs="宋体"/>
                <w:b w:val="0"/>
              </w:rPr>
              <w:t>文化、体育和娱乐业</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S</w:t>
            </w:r>
          </w:p>
        </w:tc>
        <w:tc>
          <w:tcPr>
            <w:tcW w:w="0" w:type="dxa"/>
            <w:vAlign w:val="center"/>
          </w:tcPr>
          <w:p>
            <w:pPr>
              <w:spacing w:line="240" w:lineRule="auto"/>
              <w:jc w:val="left"/>
            </w:pPr>
            <w:r>
              <w:rPr>
                <w:rFonts w:ascii="宋体" w:hAnsi="宋体" w:eastAsia="宋体" w:cs="宋体"/>
                <w:b w:val="0"/>
              </w:rPr>
              <w:t>综合</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p>
        </w:tc>
        <w:tc>
          <w:tcPr>
            <w:tcW w:w="0" w:type="dxa"/>
            <w:vAlign w:val="center"/>
          </w:tcPr>
          <w:p>
            <w:pPr>
              <w:spacing w:line="240" w:lineRule="auto"/>
              <w:jc w:val="left"/>
            </w:pPr>
            <w:r>
              <w:rPr>
                <w:rFonts w:ascii="宋体" w:hAnsi="宋体" w:eastAsia="宋体" w:cs="宋体"/>
                <w:b w:val="0"/>
              </w:rPr>
              <w:t>合计</w:t>
            </w:r>
          </w:p>
        </w:tc>
        <w:tc>
          <w:tcPr>
            <w:tcW w:w="0" w:type="dxa"/>
            <w:vAlign w:val="center"/>
          </w:tcPr>
          <w:p>
            <w:pPr>
              <w:spacing w:line="240" w:lineRule="auto"/>
              <w:jc w:val="right"/>
            </w:pPr>
            <w:r>
              <w:rPr>
                <w:rFonts w:ascii="宋体" w:hAnsi="宋体" w:eastAsia="宋体" w:cs="宋体"/>
                <w:b w:val="0"/>
              </w:rPr>
              <w:t>889,507,079.53</w:t>
            </w:r>
          </w:p>
        </w:tc>
        <w:tc>
          <w:tcPr>
            <w:tcW w:w="0" w:type="dxa"/>
            <w:vAlign w:val="center"/>
          </w:tcPr>
          <w:p>
            <w:pPr>
              <w:spacing w:line="240" w:lineRule="auto"/>
              <w:jc w:val="right"/>
            </w:pPr>
            <w:r>
              <w:rPr>
                <w:rFonts w:ascii="宋体" w:hAnsi="宋体" w:eastAsia="宋体" w:cs="宋体"/>
                <w:b w:val="0"/>
              </w:rPr>
              <w:t>94.50</w:t>
            </w:r>
          </w:p>
        </w:tc>
      </w:tr>
    </w:tbl>
    <w:p/>
    <w:p>
      <w:pPr>
        <w:pStyle w:val="58"/>
      </w:pPr>
      <w:r>
        <w:rPr>
          <w:rFonts w:ascii="宋体" w:hAnsi="宋体" w:eastAsia="宋体" w:cs="宋体"/>
          <w:b/>
        </w:rPr>
        <w:t>5.2.2 报告期末按行业分类的港股通投资股票投资组合</w:t>
      </w:r>
    </w:p>
    <w:p>
      <w:r>
        <w:rPr>
          <w:rFonts w:ascii="宋体" w:hAnsi="宋体" w:eastAsia="宋体" w:cs="宋体"/>
          <w:b w:val="0"/>
        </w:rPr>
        <w:t xml:space="preserve">    本基金本报告期末未持有港股通投资股票投资组合。</w:t>
      </w:r>
    </w:p>
    <w:p/>
    <w:p>
      <w:pPr>
        <w:pStyle w:val="3"/>
        <w:jc w:val="left"/>
      </w:pPr>
      <w:r>
        <w:rPr>
          <w:rFonts w:ascii="宋体" w:hAnsi="宋体" w:eastAsia="宋体" w:cs="宋体"/>
        </w:rPr>
        <w:t>5.3 报告期末按公允价值占基金资产净值比例大小排序的前十名股票投资明细</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7"/>
        <w:gridCol w:w="1547"/>
        <w:gridCol w:w="1548"/>
        <w:gridCol w:w="1238"/>
        <w:gridCol w:w="1858"/>
        <w:gridCol w:w="1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pPr>
              <w:spacing w:line="240" w:lineRule="auto"/>
              <w:jc w:val="center"/>
            </w:pPr>
            <w:r>
              <w:rPr>
                <w:rFonts w:ascii="宋体" w:hAnsi="宋体" w:eastAsia="宋体" w:cs="宋体"/>
                <w:b w:val="0"/>
              </w:rPr>
              <w:t>序号</w:t>
            </w:r>
          </w:p>
        </w:tc>
        <w:tc>
          <w:tcPr>
            <w:tcW w:w="769" w:type="pct"/>
            <w:shd w:val="clear" w:color="auto" w:fill="D9D9D9"/>
            <w:vAlign w:val="center"/>
          </w:tcPr>
          <w:p>
            <w:pPr>
              <w:spacing w:line="240" w:lineRule="auto"/>
              <w:jc w:val="center"/>
            </w:pPr>
            <w:r>
              <w:rPr>
                <w:rFonts w:ascii="宋体" w:hAnsi="宋体" w:eastAsia="宋体" w:cs="宋体"/>
                <w:b w:val="0"/>
              </w:rPr>
              <w:t>股票代码</w:t>
            </w:r>
          </w:p>
        </w:tc>
        <w:tc>
          <w:tcPr>
            <w:tcW w:w="769" w:type="pct"/>
            <w:shd w:val="clear" w:color="auto" w:fill="D9D9D9"/>
            <w:vAlign w:val="center"/>
          </w:tcPr>
          <w:p>
            <w:pPr>
              <w:spacing w:line="240" w:lineRule="auto"/>
              <w:jc w:val="center"/>
            </w:pPr>
            <w:r>
              <w:rPr>
                <w:rFonts w:ascii="宋体" w:hAnsi="宋体" w:eastAsia="宋体" w:cs="宋体"/>
                <w:b w:val="0"/>
              </w:rPr>
              <w:t>股票名称</w:t>
            </w:r>
          </w:p>
        </w:tc>
        <w:tc>
          <w:tcPr>
            <w:tcW w:w="615" w:type="pct"/>
            <w:shd w:val="clear" w:color="auto" w:fill="D9D9D9"/>
            <w:vAlign w:val="center"/>
          </w:tcPr>
          <w:p>
            <w:pPr>
              <w:spacing w:line="240" w:lineRule="auto"/>
              <w:jc w:val="center"/>
            </w:pPr>
            <w:r>
              <w:rPr>
                <w:rFonts w:ascii="宋体" w:hAnsi="宋体" w:eastAsia="宋体" w:cs="宋体"/>
                <w:b w:val="0"/>
              </w:rPr>
              <w:t>数量(股)</w:t>
            </w:r>
          </w:p>
        </w:tc>
        <w:tc>
          <w:tcPr>
            <w:tcW w:w="923" w:type="pct"/>
            <w:shd w:val="clear" w:color="auto" w:fill="D9D9D9"/>
            <w:vAlign w:val="center"/>
          </w:tcPr>
          <w:p>
            <w:pPr>
              <w:spacing w:line="240" w:lineRule="auto"/>
              <w:jc w:val="center"/>
            </w:pPr>
            <w:r>
              <w:rPr>
                <w:rFonts w:ascii="宋体" w:hAnsi="宋体" w:eastAsia="宋体" w:cs="宋体"/>
                <w:b w:val="0"/>
              </w:rPr>
              <w:t>公允价值(元)</w:t>
            </w:r>
          </w:p>
        </w:tc>
        <w:tc>
          <w:tcPr>
            <w:tcW w:w="923" w:type="pct"/>
            <w:shd w:val="clear" w:color="auto" w:fill="D9D9D9"/>
            <w:vAlign w:val="center"/>
          </w:tcPr>
          <w:p>
            <w:pPr>
              <w:spacing w:line="240" w:lineRule="auto"/>
              <w:jc w:val="center"/>
            </w:pPr>
            <w:r>
              <w:rPr>
                <w:rFonts w:ascii="宋体" w:hAnsi="宋体" w:eastAsia="宋体" w:cs="宋体"/>
                <w:b w:val="0"/>
              </w:rPr>
              <w:t>占基金资产净值比例(%)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1</w:t>
            </w:r>
          </w:p>
        </w:tc>
        <w:tc>
          <w:tcPr>
            <w:tcW w:w="0" w:type="dxa"/>
            <w:vAlign w:val="center"/>
          </w:tcPr>
          <w:p>
            <w:pPr>
              <w:spacing w:line="240" w:lineRule="auto"/>
              <w:jc w:val="left"/>
            </w:pPr>
            <w:r>
              <w:rPr>
                <w:rFonts w:ascii="宋体" w:hAnsi="宋体" w:eastAsia="宋体" w:cs="宋体"/>
                <w:b w:val="0"/>
              </w:rPr>
              <w:t>002080</w:t>
            </w:r>
          </w:p>
        </w:tc>
        <w:tc>
          <w:tcPr>
            <w:tcW w:w="0" w:type="dxa"/>
            <w:vAlign w:val="center"/>
          </w:tcPr>
          <w:p>
            <w:pPr>
              <w:spacing w:line="240" w:lineRule="auto"/>
              <w:jc w:val="left"/>
            </w:pPr>
            <w:r>
              <w:rPr>
                <w:rFonts w:ascii="宋体" w:hAnsi="宋体" w:eastAsia="宋体" w:cs="宋体"/>
                <w:b w:val="0"/>
              </w:rPr>
              <w:t>中材科技</w:t>
            </w:r>
          </w:p>
        </w:tc>
        <w:tc>
          <w:tcPr>
            <w:tcW w:w="0" w:type="dxa"/>
            <w:vAlign w:val="center"/>
          </w:tcPr>
          <w:p>
            <w:pPr>
              <w:spacing w:line="240" w:lineRule="auto"/>
              <w:jc w:val="right"/>
            </w:pPr>
            <w:r>
              <w:rPr>
                <w:rFonts w:ascii="宋体" w:hAnsi="宋体" w:eastAsia="宋体" w:cs="宋体"/>
                <w:b w:val="0"/>
              </w:rPr>
              <w:t>987,400</w:t>
            </w:r>
          </w:p>
        </w:tc>
        <w:tc>
          <w:tcPr>
            <w:tcW w:w="0" w:type="dxa"/>
            <w:vAlign w:val="center"/>
          </w:tcPr>
          <w:p>
            <w:pPr>
              <w:spacing w:line="240" w:lineRule="auto"/>
              <w:jc w:val="right"/>
            </w:pPr>
            <w:r>
              <w:rPr>
                <w:rFonts w:ascii="宋体" w:hAnsi="宋体" w:eastAsia="宋体" w:cs="宋体"/>
                <w:b w:val="0"/>
              </w:rPr>
              <w:t>88,866,000.00</w:t>
            </w:r>
          </w:p>
        </w:tc>
        <w:tc>
          <w:tcPr>
            <w:tcW w:w="0" w:type="dxa"/>
            <w:vAlign w:val="center"/>
          </w:tcPr>
          <w:p>
            <w:pPr>
              <w:spacing w:line="240" w:lineRule="auto"/>
              <w:jc w:val="right"/>
            </w:pPr>
            <w:r>
              <w:rPr>
                <w:rFonts w:ascii="宋体" w:hAnsi="宋体" w:eastAsia="宋体" w:cs="宋体"/>
                <w:b w:val="0"/>
              </w:rPr>
              <w:t>9.44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2</w:t>
            </w:r>
          </w:p>
        </w:tc>
        <w:tc>
          <w:tcPr>
            <w:tcW w:w="0" w:type="dxa"/>
            <w:vAlign w:val="center"/>
          </w:tcPr>
          <w:p>
            <w:pPr>
              <w:spacing w:line="240" w:lineRule="auto"/>
              <w:jc w:val="left"/>
            </w:pPr>
            <w:r>
              <w:rPr>
                <w:rFonts w:ascii="宋体" w:hAnsi="宋体" w:eastAsia="宋体" w:cs="宋体"/>
                <w:b w:val="0"/>
              </w:rPr>
              <w:t>603663</w:t>
            </w:r>
          </w:p>
        </w:tc>
        <w:tc>
          <w:tcPr>
            <w:tcW w:w="0" w:type="dxa"/>
            <w:vAlign w:val="center"/>
          </w:tcPr>
          <w:p>
            <w:pPr>
              <w:spacing w:line="240" w:lineRule="auto"/>
              <w:jc w:val="left"/>
            </w:pPr>
            <w:r>
              <w:rPr>
                <w:rFonts w:ascii="宋体" w:hAnsi="宋体" w:eastAsia="宋体" w:cs="宋体"/>
                <w:b w:val="0"/>
              </w:rPr>
              <w:t>三祥新材</w:t>
            </w:r>
          </w:p>
        </w:tc>
        <w:tc>
          <w:tcPr>
            <w:tcW w:w="0" w:type="dxa"/>
            <w:vAlign w:val="center"/>
          </w:tcPr>
          <w:p>
            <w:pPr>
              <w:spacing w:line="240" w:lineRule="auto"/>
              <w:jc w:val="right"/>
            </w:pPr>
            <w:r>
              <w:rPr>
                <w:rFonts w:ascii="宋体" w:hAnsi="宋体" w:eastAsia="宋体" w:cs="宋体"/>
                <w:b w:val="0"/>
              </w:rPr>
              <w:t>839,400</w:t>
            </w:r>
          </w:p>
        </w:tc>
        <w:tc>
          <w:tcPr>
            <w:tcW w:w="0" w:type="dxa"/>
            <w:vAlign w:val="center"/>
          </w:tcPr>
          <w:p>
            <w:pPr>
              <w:spacing w:line="240" w:lineRule="auto"/>
              <w:jc w:val="right"/>
            </w:pPr>
            <w:r>
              <w:rPr>
                <w:rFonts w:ascii="宋体" w:hAnsi="宋体" w:eastAsia="宋体" w:cs="宋体"/>
                <w:b w:val="0"/>
              </w:rPr>
              <w:t>80,834,220.00</w:t>
            </w:r>
          </w:p>
        </w:tc>
        <w:tc>
          <w:tcPr>
            <w:tcW w:w="0" w:type="dxa"/>
            <w:vAlign w:val="center"/>
          </w:tcPr>
          <w:p>
            <w:pPr>
              <w:spacing w:line="240" w:lineRule="auto"/>
              <w:jc w:val="right"/>
            </w:pPr>
            <w:r>
              <w:rPr>
                <w:rFonts w:ascii="宋体" w:hAnsi="宋体" w:eastAsia="宋体" w:cs="宋体"/>
                <w:b w:val="0"/>
              </w:rPr>
              <w:t>8.59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3</w:t>
            </w:r>
          </w:p>
        </w:tc>
        <w:tc>
          <w:tcPr>
            <w:tcW w:w="0" w:type="dxa"/>
            <w:vAlign w:val="center"/>
          </w:tcPr>
          <w:p>
            <w:pPr>
              <w:spacing w:line="240" w:lineRule="auto"/>
              <w:jc w:val="left"/>
            </w:pPr>
            <w:r>
              <w:rPr>
                <w:rFonts w:ascii="宋体" w:hAnsi="宋体" w:eastAsia="宋体" w:cs="宋体"/>
                <w:b w:val="0"/>
              </w:rPr>
              <w:t>688813</w:t>
            </w:r>
          </w:p>
        </w:tc>
        <w:tc>
          <w:tcPr>
            <w:tcW w:w="0" w:type="dxa"/>
            <w:vAlign w:val="center"/>
          </w:tcPr>
          <w:p>
            <w:pPr>
              <w:spacing w:line="240" w:lineRule="auto"/>
              <w:jc w:val="left"/>
            </w:pPr>
            <w:r>
              <w:rPr>
                <w:rFonts w:ascii="宋体" w:hAnsi="宋体" w:eastAsia="宋体" w:cs="宋体"/>
                <w:b w:val="0"/>
              </w:rPr>
              <w:t>泰金新能</w:t>
            </w:r>
          </w:p>
        </w:tc>
        <w:tc>
          <w:tcPr>
            <w:tcW w:w="0" w:type="dxa"/>
            <w:vAlign w:val="center"/>
          </w:tcPr>
          <w:p>
            <w:pPr>
              <w:spacing w:line="240" w:lineRule="auto"/>
              <w:jc w:val="right"/>
            </w:pPr>
            <w:r>
              <w:rPr>
                <w:rFonts w:ascii="宋体" w:hAnsi="宋体" w:eastAsia="宋体" w:cs="宋体"/>
                <w:b w:val="0"/>
              </w:rPr>
              <w:t>293,933</w:t>
            </w:r>
          </w:p>
        </w:tc>
        <w:tc>
          <w:tcPr>
            <w:tcW w:w="0" w:type="dxa"/>
            <w:vAlign w:val="center"/>
          </w:tcPr>
          <w:p>
            <w:pPr>
              <w:spacing w:line="240" w:lineRule="auto"/>
              <w:jc w:val="right"/>
            </w:pPr>
            <w:r>
              <w:rPr>
                <w:rFonts w:ascii="宋体" w:hAnsi="宋体" w:eastAsia="宋体" w:cs="宋体"/>
                <w:b w:val="0"/>
              </w:rPr>
              <w:t>61,717,059.06</w:t>
            </w:r>
          </w:p>
        </w:tc>
        <w:tc>
          <w:tcPr>
            <w:tcW w:w="0" w:type="dxa"/>
            <w:vAlign w:val="center"/>
          </w:tcPr>
          <w:p>
            <w:pPr>
              <w:spacing w:line="240" w:lineRule="auto"/>
              <w:jc w:val="right"/>
            </w:pPr>
            <w:r>
              <w:rPr>
                <w:rFonts w:ascii="宋体" w:hAnsi="宋体" w:eastAsia="宋体" w:cs="宋体"/>
                <w:b w:val="0"/>
              </w:rPr>
              <w:t>6.56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4</w:t>
            </w:r>
          </w:p>
        </w:tc>
        <w:tc>
          <w:tcPr>
            <w:tcW w:w="0" w:type="dxa"/>
            <w:vAlign w:val="center"/>
          </w:tcPr>
          <w:p>
            <w:pPr>
              <w:spacing w:line="240" w:lineRule="auto"/>
              <w:jc w:val="left"/>
            </w:pPr>
            <w:r>
              <w:rPr>
                <w:rFonts w:ascii="宋体" w:hAnsi="宋体" w:eastAsia="宋体" w:cs="宋体"/>
                <w:b w:val="0"/>
              </w:rPr>
              <w:t>300401</w:t>
            </w:r>
          </w:p>
        </w:tc>
        <w:tc>
          <w:tcPr>
            <w:tcW w:w="0" w:type="dxa"/>
            <w:vAlign w:val="center"/>
          </w:tcPr>
          <w:p>
            <w:pPr>
              <w:spacing w:line="240" w:lineRule="auto"/>
              <w:jc w:val="left"/>
            </w:pPr>
            <w:r>
              <w:rPr>
                <w:rFonts w:ascii="宋体" w:hAnsi="宋体" w:eastAsia="宋体" w:cs="宋体"/>
                <w:b w:val="0"/>
              </w:rPr>
              <w:t>花园生物</w:t>
            </w:r>
          </w:p>
        </w:tc>
        <w:tc>
          <w:tcPr>
            <w:tcW w:w="0" w:type="dxa"/>
            <w:vAlign w:val="center"/>
          </w:tcPr>
          <w:p>
            <w:pPr>
              <w:spacing w:line="240" w:lineRule="auto"/>
              <w:jc w:val="right"/>
            </w:pPr>
            <w:r>
              <w:rPr>
                <w:rFonts w:ascii="宋体" w:hAnsi="宋体" w:eastAsia="宋体" w:cs="宋体"/>
                <w:b w:val="0"/>
              </w:rPr>
              <w:t>2,758,900</w:t>
            </w:r>
          </w:p>
        </w:tc>
        <w:tc>
          <w:tcPr>
            <w:tcW w:w="0" w:type="dxa"/>
            <w:vAlign w:val="center"/>
          </w:tcPr>
          <w:p>
            <w:pPr>
              <w:spacing w:line="240" w:lineRule="auto"/>
              <w:jc w:val="right"/>
            </w:pPr>
            <w:r>
              <w:rPr>
                <w:rFonts w:ascii="宋体" w:hAnsi="宋体" w:eastAsia="宋体" w:cs="宋体"/>
                <w:b w:val="0"/>
              </w:rPr>
              <w:t>60,392,321.00</w:t>
            </w:r>
          </w:p>
        </w:tc>
        <w:tc>
          <w:tcPr>
            <w:tcW w:w="0" w:type="dxa"/>
            <w:vAlign w:val="center"/>
          </w:tcPr>
          <w:p>
            <w:pPr>
              <w:spacing w:line="240" w:lineRule="auto"/>
              <w:jc w:val="right"/>
            </w:pPr>
            <w:r>
              <w:rPr>
                <w:rFonts w:ascii="宋体" w:hAnsi="宋体" w:eastAsia="宋体" w:cs="宋体"/>
                <w:b w:val="0"/>
              </w:rPr>
              <w:t>6.42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5</w:t>
            </w:r>
          </w:p>
        </w:tc>
        <w:tc>
          <w:tcPr>
            <w:tcW w:w="0" w:type="dxa"/>
            <w:vAlign w:val="center"/>
          </w:tcPr>
          <w:p>
            <w:pPr>
              <w:spacing w:line="240" w:lineRule="auto"/>
              <w:jc w:val="left"/>
            </w:pPr>
            <w:r>
              <w:rPr>
                <w:rFonts w:ascii="宋体" w:hAnsi="宋体" w:eastAsia="宋体" w:cs="宋体"/>
                <w:b w:val="0"/>
              </w:rPr>
              <w:t>300568</w:t>
            </w:r>
          </w:p>
        </w:tc>
        <w:tc>
          <w:tcPr>
            <w:tcW w:w="0" w:type="dxa"/>
            <w:vAlign w:val="center"/>
          </w:tcPr>
          <w:p>
            <w:pPr>
              <w:spacing w:line="240" w:lineRule="auto"/>
              <w:jc w:val="left"/>
            </w:pPr>
            <w:r>
              <w:rPr>
                <w:rFonts w:ascii="宋体" w:hAnsi="宋体" w:eastAsia="宋体" w:cs="宋体"/>
                <w:b w:val="0"/>
              </w:rPr>
              <w:t>星源材质</w:t>
            </w:r>
          </w:p>
        </w:tc>
        <w:tc>
          <w:tcPr>
            <w:tcW w:w="0" w:type="dxa"/>
            <w:vAlign w:val="center"/>
          </w:tcPr>
          <w:p>
            <w:pPr>
              <w:spacing w:line="240" w:lineRule="auto"/>
              <w:jc w:val="right"/>
            </w:pPr>
            <w:r>
              <w:rPr>
                <w:rFonts w:ascii="宋体" w:hAnsi="宋体" w:eastAsia="宋体" w:cs="宋体"/>
                <w:b w:val="0"/>
              </w:rPr>
              <w:t>2,989,400</w:t>
            </w:r>
          </w:p>
        </w:tc>
        <w:tc>
          <w:tcPr>
            <w:tcW w:w="0" w:type="dxa"/>
            <w:vAlign w:val="center"/>
          </w:tcPr>
          <w:p>
            <w:pPr>
              <w:spacing w:line="240" w:lineRule="auto"/>
              <w:jc w:val="right"/>
            </w:pPr>
            <w:r>
              <w:rPr>
                <w:rFonts w:ascii="宋体" w:hAnsi="宋体" w:eastAsia="宋体" w:cs="宋体"/>
                <w:b w:val="0"/>
              </w:rPr>
              <w:t>55,961,568.00</w:t>
            </w:r>
          </w:p>
        </w:tc>
        <w:tc>
          <w:tcPr>
            <w:tcW w:w="0" w:type="dxa"/>
            <w:vAlign w:val="center"/>
          </w:tcPr>
          <w:p>
            <w:pPr>
              <w:spacing w:line="240" w:lineRule="auto"/>
              <w:jc w:val="right"/>
            </w:pPr>
            <w:r>
              <w:rPr>
                <w:rFonts w:ascii="宋体" w:hAnsi="宋体" w:eastAsia="宋体" w:cs="宋体"/>
                <w:b w:val="0"/>
              </w:rPr>
              <w:t>5.95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6</w:t>
            </w:r>
          </w:p>
        </w:tc>
        <w:tc>
          <w:tcPr>
            <w:tcW w:w="0" w:type="dxa"/>
            <w:vAlign w:val="center"/>
          </w:tcPr>
          <w:p>
            <w:pPr>
              <w:spacing w:line="240" w:lineRule="auto"/>
              <w:jc w:val="left"/>
            </w:pPr>
            <w:r>
              <w:rPr>
                <w:rFonts w:ascii="宋体" w:hAnsi="宋体" w:eastAsia="宋体" w:cs="宋体"/>
                <w:b w:val="0"/>
              </w:rPr>
              <w:t>002741</w:t>
            </w:r>
          </w:p>
        </w:tc>
        <w:tc>
          <w:tcPr>
            <w:tcW w:w="0" w:type="dxa"/>
            <w:vAlign w:val="center"/>
          </w:tcPr>
          <w:p>
            <w:pPr>
              <w:spacing w:line="240" w:lineRule="auto"/>
              <w:jc w:val="left"/>
            </w:pPr>
            <w:r>
              <w:rPr>
                <w:rFonts w:ascii="宋体" w:hAnsi="宋体" w:eastAsia="宋体" w:cs="宋体"/>
                <w:b w:val="0"/>
              </w:rPr>
              <w:t>光华科技</w:t>
            </w:r>
          </w:p>
        </w:tc>
        <w:tc>
          <w:tcPr>
            <w:tcW w:w="0" w:type="dxa"/>
            <w:vAlign w:val="center"/>
          </w:tcPr>
          <w:p>
            <w:pPr>
              <w:spacing w:line="240" w:lineRule="auto"/>
              <w:jc w:val="right"/>
            </w:pPr>
            <w:r>
              <w:rPr>
                <w:rFonts w:ascii="宋体" w:hAnsi="宋体" w:eastAsia="宋体" w:cs="宋体"/>
                <w:b w:val="0"/>
              </w:rPr>
              <w:t>1,476,100</w:t>
            </w:r>
          </w:p>
        </w:tc>
        <w:tc>
          <w:tcPr>
            <w:tcW w:w="0" w:type="dxa"/>
            <w:vAlign w:val="center"/>
          </w:tcPr>
          <w:p>
            <w:pPr>
              <w:spacing w:line="240" w:lineRule="auto"/>
              <w:jc w:val="right"/>
            </w:pPr>
            <w:r>
              <w:rPr>
                <w:rFonts w:ascii="宋体" w:hAnsi="宋体" w:eastAsia="宋体" w:cs="宋体"/>
                <w:b w:val="0"/>
              </w:rPr>
              <w:t>52,755,814.00</w:t>
            </w:r>
          </w:p>
        </w:tc>
        <w:tc>
          <w:tcPr>
            <w:tcW w:w="0" w:type="dxa"/>
            <w:vAlign w:val="center"/>
          </w:tcPr>
          <w:p>
            <w:pPr>
              <w:spacing w:line="240" w:lineRule="auto"/>
              <w:jc w:val="right"/>
            </w:pPr>
            <w:r>
              <w:rPr>
                <w:rFonts w:ascii="宋体" w:hAnsi="宋体" w:eastAsia="宋体" w:cs="宋体"/>
                <w:b w:val="0"/>
              </w:rPr>
              <w:t>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7</w:t>
            </w:r>
          </w:p>
        </w:tc>
        <w:tc>
          <w:tcPr>
            <w:tcW w:w="0" w:type="dxa"/>
            <w:vAlign w:val="center"/>
          </w:tcPr>
          <w:p>
            <w:pPr>
              <w:spacing w:line="240" w:lineRule="auto"/>
              <w:jc w:val="left"/>
            </w:pPr>
            <w:r>
              <w:rPr>
                <w:rFonts w:ascii="宋体" w:hAnsi="宋体" w:eastAsia="宋体" w:cs="宋体"/>
                <w:b w:val="0"/>
              </w:rPr>
              <w:t>603110</w:t>
            </w:r>
          </w:p>
        </w:tc>
        <w:tc>
          <w:tcPr>
            <w:tcW w:w="0" w:type="dxa"/>
            <w:vAlign w:val="center"/>
          </w:tcPr>
          <w:p>
            <w:pPr>
              <w:spacing w:line="240" w:lineRule="auto"/>
              <w:jc w:val="left"/>
            </w:pPr>
            <w:r>
              <w:rPr>
                <w:rFonts w:ascii="宋体" w:hAnsi="宋体" w:eastAsia="宋体" w:cs="宋体"/>
                <w:b w:val="0"/>
              </w:rPr>
              <w:t>东方材料</w:t>
            </w:r>
          </w:p>
        </w:tc>
        <w:tc>
          <w:tcPr>
            <w:tcW w:w="0" w:type="dxa"/>
            <w:vAlign w:val="center"/>
          </w:tcPr>
          <w:p>
            <w:pPr>
              <w:spacing w:line="240" w:lineRule="auto"/>
              <w:jc w:val="right"/>
            </w:pPr>
            <w:r>
              <w:rPr>
                <w:rFonts w:ascii="宋体" w:hAnsi="宋体" w:eastAsia="宋体" w:cs="宋体"/>
                <w:b w:val="0"/>
              </w:rPr>
              <w:t>2,251,200</w:t>
            </w:r>
          </w:p>
        </w:tc>
        <w:tc>
          <w:tcPr>
            <w:tcW w:w="0" w:type="dxa"/>
            <w:vAlign w:val="center"/>
          </w:tcPr>
          <w:p>
            <w:pPr>
              <w:spacing w:line="240" w:lineRule="auto"/>
              <w:jc w:val="right"/>
            </w:pPr>
            <w:r>
              <w:rPr>
                <w:rFonts w:ascii="宋体" w:hAnsi="宋体" w:eastAsia="宋体" w:cs="宋体"/>
                <w:b w:val="0"/>
              </w:rPr>
              <w:t>52,160,304.00</w:t>
            </w:r>
          </w:p>
        </w:tc>
        <w:tc>
          <w:tcPr>
            <w:tcW w:w="0" w:type="dxa"/>
            <w:vAlign w:val="center"/>
          </w:tcPr>
          <w:p>
            <w:pPr>
              <w:spacing w:line="240" w:lineRule="auto"/>
              <w:jc w:val="right"/>
            </w:pPr>
            <w:r>
              <w:rPr>
                <w:rFonts w:ascii="宋体" w:hAnsi="宋体" w:eastAsia="宋体" w:cs="宋体"/>
                <w:b w:val="0"/>
              </w:rPr>
              <w:t>5.54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8</w:t>
            </w:r>
          </w:p>
        </w:tc>
        <w:tc>
          <w:tcPr>
            <w:tcW w:w="0" w:type="dxa"/>
            <w:vAlign w:val="center"/>
          </w:tcPr>
          <w:p>
            <w:pPr>
              <w:spacing w:line="240" w:lineRule="auto"/>
              <w:jc w:val="left"/>
            </w:pPr>
            <w:r>
              <w:rPr>
                <w:rFonts w:ascii="宋体" w:hAnsi="宋体" w:eastAsia="宋体" w:cs="宋体"/>
                <w:b w:val="0"/>
              </w:rPr>
              <w:t>301511</w:t>
            </w:r>
          </w:p>
        </w:tc>
        <w:tc>
          <w:tcPr>
            <w:tcW w:w="0" w:type="dxa"/>
            <w:vAlign w:val="center"/>
          </w:tcPr>
          <w:p>
            <w:pPr>
              <w:spacing w:line="240" w:lineRule="auto"/>
              <w:jc w:val="left"/>
            </w:pPr>
            <w:r>
              <w:rPr>
                <w:rFonts w:ascii="宋体" w:hAnsi="宋体" w:eastAsia="宋体" w:cs="宋体"/>
                <w:b w:val="0"/>
              </w:rPr>
              <w:t>德福科技</w:t>
            </w:r>
          </w:p>
        </w:tc>
        <w:tc>
          <w:tcPr>
            <w:tcW w:w="0" w:type="dxa"/>
            <w:vAlign w:val="center"/>
          </w:tcPr>
          <w:p>
            <w:pPr>
              <w:spacing w:line="240" w:lineRule="auto"/>
              <w:jc w:val="right"/>
            </w:pPr>
            <w:r>
              <w:rPr>
                <w:rFonts w:ascii="宋体" w:hAnsi="宋体" w:eastAsia="宋体" w:cs="宋体"/>
                <w:b w:val="0"/>
              </w:rPr>
              <w:t>354,400</w:t>
            </w:r>
          </w:p>
        </w:tc>
        <w:tc>
          <w:tcPr>
            <w:tcW w:w="0" w:type="dxa"/>
            <w:vAlign w:val="center"/>
          </w:tcPr>
          <w:p>
            <w:pPr>
              <w:spacing w:line="240" w:lineRule="auto"/>
              <w:jc w:val="right"/>
            </w:pPr>
            <w:r>
              <w:rPr>
                <w:rFonts w:ascii="宋体" w:hAnsi="宋体" w:eastAsia="宋体" w:cs="宋体"/>
                <w:b w:val="0"/>
              </w:rPr>
              <w:t>50,980,440.00</w:t>
            </w:r>
          </w:p>
        </w:tc>
        <w:tc>
          <w:tcPr>
            <w:tcW w:w="0" w:type="dxa"/>
            <w:vAlign w:val="center"/>
          </w:tcPr>
          <w:p>
            <w:pPr>
              <w:spacing w:line="240" w:lineRule="auto"/>
              <w:jc w:val="right"/>
            </w:pPr>
            <w:r>
              <w:rPr>
                <w:rFonts w:ascii="宋体" w:hAnsi="宋体" w:eastAsia="宋体" w:cs="宋体"/>
                <w:b w:val="0"/>
              </w:rPr>
              <w:t>5.42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9</w:t>
            </w:r>
          </w:p>
        </w:tc>
        <w:tc>
          <w:tcPr>
            <w:tcW w:w="0" w:type="dxa"/>
            <w:vAlign w:val="center"/>
          </w:tcPr>
          <w:p>
            <w:pPr>
              <w:spacing w:line="240" w:lineRule="auto"/>
              <w:jc w:val="left"/>
            </w:pPr>
            <w:r>
              <w:rPr>
                <w:rFonts w:ascii="宋体" w:hAnsi="宋体" w:eastAsia="宋体" w:cs="宋体"/>
                <w:b w:val="0"/>
              </w:rPr>
              <w:t>002850</w:t>
            </w:r>
          </w:p>
        </w:tc>
        <w:tc>
          <w:tcPr>
            <w:tcW w:w="0" w:type="dxa"/>
            <w:vAlign w:val="center"/>
          </w:tcPr>
          <w:p>
            <w:pPr>
              <w:spacing w:line="240" w:lineRule="auto"/>
              <w:jc w:val="left"/>
            </w:pPr>
            <w:r>
              <w:rPr>
                <w:rFonts w:ascii="宋体" w:hAnsi="宋体" w:eastAsia="宋体" w:cs="宋体"/>
                <w:b w:val="0"/>
              </w:rPr>
              <w:t>科达利</w:t>
            </w:r>
          </w:p>
        </w:tc>
        <w:tc>
          <w:tcPr>
            <w:tcW w:w="0" w:type="dxa"/>
            <w:vAlign w:val="center"/>
          </w:tcPr>
          <w:p>
            <w:pPr>
              <w:spacing w:line="240" w:lineRule="auto"/>
              <w:jc w:val="right"/>
            </w:pPr>
            <w:r>
              <w:rPr>
                <w:rFonts w:ascii="宋体" w:hAnsi="宋体" w:eastAsia="宋体" w:cs="宋体"/>
                <w:b w:val="0"/>
              </w:rPr>
              <w:t>260,800</w:t>
            </w:r>
          </w:p>
        </w:tc>
        <w:tc>
          <w:tcPr>
            <w:tcW w:w="0" w:type="dxa"/>
            <w:vAlign w:val="center"/>
          </w:tcPr>
          <w:p>
            <w:pPr>
              <w:spacing w:line="240" w:lineRule="auto"/>
              <w:jc w:val="right"/>
            </w:pPr>
            <w:r>
              <w:rPr>
                <w:rFonts w:ascii="宋体" w:hAnsi="宋体" w:eastAsia="宋体" w:cs="宋体"/>
                <w:b w:val="0"/>
              </w:rPr>
              <w:t>49,369,440.00</w:t>
            </w:r>
          </w:p>
        </w:tc>
        <w:tc>
          <w:tcPr>
            <w:tcW w:w="0" w:type="dxa"/>
            <w:vAlign w:val="center"/>
          </w:tcPr>
          <w:p>
            <w:pPr>
              <w:spacing w:line="240" w:lineRule="auto"/>
              <w:jc w:val="right"/>
            </w:pPr>
            <w:r>
              <w:rPr>
                <w:rFonts w:ascii="宋体" w:hAnsi="宋体" w:eastAsia="宋体" w:cs="宋体"/>
                <w:b w:val="0"/>
              </w:rPr>
              <w:t>5.24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10</w:t>
            </w:r>
          </w:p>
        </w:tc>
        <w:tc>
          <w:tcPr>
            <w:tcW w:w="0" w:type="dxa"/>
            <w:vAlign w:val="center"/>
          </w:tcPr>
          <w:p>
            <w:pPr>
              <w:spacing w:line="240" w:lineRule="auto"/>
              <w:jc w:val="left"/>
            </w:pPr>
            <w:r>
              <w:rPr>
                <w:rFonts w:ascii="宋体" w:hAnsi="宋体" w:eastAsia="宋体" w:cs="宋体"/>
                <w:b w:val="0"/>
              </w:rPr>
              <w:t>002203</w:t>
            </w:r>
          </w:p>
        </w:tc>
        <w:tc>
          <w:tcPr>
            <w:tcW w:w="0" w:type="dxa"/>
            <w:vAlign w:val="center"/>
          </w:tcPr>
          <w:p>
            <w:pPr>
              <w:spacing w:line="240" w:lineRule="auto"/>
              <w:jc w:val="left"/>
            </w:pPr>
            <w:r>
              <w:rPr>
                <w:rFonts w:ascii="宋体" w:hAnsi="宋体" w:eastAsia="宋体" w:cs="宋体"/>
                <w:b w:val="0"/>
              </w:rPr>
              <w:t>海亮股份</w:t>
            </w:r>
          </w:p>
        </w:tc>
        <w:tc>
          <w:tcPr>
            <w:tcW w:w="0" w:type="dxa"/>
            <w:vAlign w:val="center"/>
          </w:tcPr>
          <w:p>
            <w:pPr>
              <w:spacing w:line="240" w:lineRule="auto"/>
              <w:jc w:val="right"/>
            </w:pPr>
            <w:r>
              <w:rPr>
                <w:rFonts w:ascii="宋体" w:hAnsi="宋体" w:eastAsia="宋体" w:cs="宋体"/>
                <w:b w:val="0"/>
              </w:rPr>
              <w:t>2,030,800</w:t>
            </w:r>
          </w:p>
        </w:tc>
        <w:tc>
          <w:tcPr>
            <w:tcW w:w="0" w:type="dxa"/>
            <w:vAlign w:val="center"/>
          </w:tcPr>
          <w:p>
            <w:pPr>
              <w:spacing w:line="240" w:lineRule="auto"/>
              <w:jc w:val="right"/>
            </w:pPr>
            <w:r>
              <w:rPr>
                <w:rFonts w:ascii="宋体" w:hAnsi="宋体" w:eastAsia="宋体" w:cs="宋体"/>
                <w:b w:val="0"/>
              </w:rPr>
              <w:t>46,403,780.00</w:t>
            </w:r>
          </w:p>
        </w:tc>
        <w:tc>
          <w:tcPr>
            <w:tcW w:w="0" w:type="dxa"/>
            <w:vAlign w:val="center"/>
          </w:tcPr>
          <w:p>
            <w:pPr>
              <w:spacing w:line="240" w:lineRule="auto"/>
              <w:jc w:val="right"/>
            </w:pPr>
            <w:r>
              <w:rPr>
                <w:rFonts w:ascii="宋体" w:hAnsi="宋体" w:eastAsia="宋体" w:cs="宋体"/>
                <w:b w:val="0"/>
              </w:rPr>
              <w:t>4.93</w:t>
            </w:r>
          </w:p>
        </w:tc>
      </w:tr>
    </w:tbl>
    <w:p/>
    <w:p>
      <w:pPr>
        <w:pStyle w:val="3"/>
        <w:jc w:val="left"/>
      </w:pPr>
      <w:r>
        <w:rPr>
          <w:rFonts w:ascii="宋体" w:hAnsi="宋体" w:eastAsia="宋体" w:cs="宋体"/>
        </w:rPr>
        <w:t>5.4 报告期末按债券品种分类的债券投资组合</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8"/>
        <w:gridCol w:w="3571"/>
        <w:gridCol w:w="1786"/>
        <w:gridCol w:w="25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pPr>
              <w:spacing w:line="240" w:lineRule="auto"/>
              <w:jc w:val="center"/>
            </w:pPr>
            <w:r>
              <w:rPr>
                <w:rFonts w:ascii="宋体" w:hAnsi="宋体" w:eastAsia="宋体" w:cs="宋体"/>
                <w:b w:val="0"/>
              </w:rPr>
              <w:t>序号</w:t>
            </w:r>
          </w:p>
        </w:tc>
        <w:tc>
          <w:tcPr>
            <w:tcW w:w="1538" w:type="pct"/>
            <w:shd w:val="clear" w:color="auto" w:fill="D9D9D9"/>
            <w:vAlign w:val="center"/>
          </w:tcPr>
          <w:p>
            <w:pPr>
              <w:spacing w:line="240" w:lineRule="auto"/>
              <w:jc w:val="center"/>
            </w:pPr>
            <w:r>
              <w:rPr>
                <w:rFonts w:ascii="宋体" w:hAnsi="宋体" w:eastAsia="宋体" w:cs="宋体"/>
                <w:b w:val="0"/>
              </w:rPr>
              <w:t>债券品种</w:t>
            </w:r>
          </w:p>
        </w:tc>
        <w:tc>
          <w:tcPr>
            <w:tcW w:w="769" w:type="pct"/>
            <w:shd w:val="clear" w:color="auto" w:fill="D9D9D9"/>
            <w:vAlign w:val="center"/>
          </w:tcPr>
          <w:p>
            <w:pPr>
              <w:spacing w:line="240" w:lineRule="auto"/>
              <w:jc w:val="center"/>
            </w:pPr>
            <w:r>
              <w:rPr>
                <w:rFonts w:ascii="宋体" w:hAnsi="宋体" w:eastAsia="宋体" w:cs="宋体"/>
                <w:b w:val="0"/>
              </w:rPr>
              <w:t>公允价值(元)</w:t>
            </w:r>
          </w:p>
        </w:tc>
        <w:tc>
          <w:tcPr>
            <w:tcW w:w="1077" w:type="pct"/>
            <w:shd w:val="clear" w:color="auto" w:fill="D9D9D9"/>
            <w:vAlign w:val="center"/>
          </w:tcPr>
          <w:p>
            <w:pPr>
              <w:spacing w:line="240" w:lineRule="auto"/>
              <w:jc w:val="center"/>
            </w:pPr>
            <w:r>
              <w:rPr>
                <w:rFonts w:ascii="宋体" w:hAnsi="宋体" w:eastAsia="宋体" w:cs="宋体"/>
                <w:b w:val="0"/>
              </w:rPr>
              <w:t>占基金资产净值比例(％)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1</w:t>
            </w:r>
          </w:p>
        </w:tc>
        <w:tc>
          <w:tcPr>
            <w:tcW w:w="0" w:type="dxa"/>
            <w:vAlign w:val="center"/>
          </w:tcPr>
          <w:p>
            <w:pPr>
              <w:spacing w:line="240" w:lineRule="auto"/>
              <w:jc w:val="left"/>
            </w:pPr>
            <w:r>
              <w:rPr>
                <w:rFonts w:ascii="宋体" w:hAnsi="宋体" w:eastAsia="宋体" w:cs="宋体"/>
                <w:b w:val="0"/>
              </w:rPr>
              <w:t>国家债券</w:t>
            </w:r>
          </w:p>
        </w:tc>
        <w:tc>
          <w:tcPr>
            <w:tcW w:w="0" w:type="dxa"/>
            <w:vAlign w:val="center"/>
          </w:tcPr>
          <w:p>
            <w:pPr>
              <w:spacing w:line="240" w:lineRule="auto"/>
              <w:jc w:val="right"/>
            </w:pPr>
            <w:r>
              <w:rPr>
                <w:rFonts w:ascii="宋体" w:hAnsi="宋体" w:eastAsia="宋体" w:cs="宋体"/>
                <w:b w:val="0"/>
              </w:rPr>
              <w:t>54,192,169.81</w:t>
            </w:r>
          </w:p>
        </w:tc>
        <w:tc>
          <w:tcPr>
            <w:tcW w:w="0" w:type="dxa"/>
            <w:vAlign w:val="center"/>
          </w:tcPr>
          <w:p>
            <w:pPr>
              <w:spacing w:line="240" w:lineRule="auto"/>
              <w:jc w:val="right"/>
            </w:pPr>
            <w:r>
              <w:rPr>
                <w:rFonts w:ascii="宋体" w:hAnsi="宋体" w:eastAsia="宋体" w:cs="宋体"/>
                <w:b w:val="0"/>
              </w:rPr>
              <w:t>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2</w:t>
            </w:r>
          </w:p>
        </w:tc>
        <w:tc>
          <w:tcPr>
            <w:tcW w:w="0" w:type="dxa"/>
            <w:vAlign w:val="center"/>
          </w:tcPr>
          <w:p>
            <w:pPr>
              <w:spacing w:line="240" w:lineRule="auto"/>
              <w:jc w:val="left"/>
            </w:pPr>
            <w:r>
              <w:rPr>
                <w:rFonts w:ascii="宋体" w:hAnsi="宋体" w:eastAsia="宋体" w:cs="宋体"/>
                <w:b w:val="0"/>
              </w:rPr>
              <w:t>央行票据</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3</w:t>
            </w:r>
          </w:p>
        </w:tc>
        <w:tc>
          <w:tcPr>
            <w:tcW w:w="0" w:type="dxa"/>
            <w:vAlign w:val="center"/>
          </w:tcPr>
          <w:p>
            <w:pPr>
              <w:spacing w:line="240" w:lineRule="auto"/>
              <w:jc w:val="left"/>
            </w:pPr>
            <w:r>
              <w:rPr>
                <w:rFonts w:ascii="宋体" w:hAnsi="宋体" w:eastAsia="宋体" w:cs="宋体"/>
                <w:b w:val="0"/>
              </w:rPr>
              <w:t>金融债券</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p>
        </w:tc>
        <w:tc>
          <w:tcPr>
            <w:tcW w:w="0" w:type="dxa"/>
            <w:vAlign w:val="center"/>
          </w:tcPr>
          <w:p>
            <w:pPr>
              <w:spacing w:line="240" w:lineRule="auto"/>
              <w:jc w:val="left"/>
            </w:pPr>
            <w:r>
              <w:rPr>
                <w:rFonts w:ascii="宋体" w:hAnsi="宋体" w:eastAsia="宋体" w:cs="宋体"/>
                <w:b w:val="0"/>
              </w:rPr>
              <w:t>其中：政策性金融债</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4</w:t>
            </w:r>
          </w:p>
        </w:tc>
        <w:tc>
          <w:tcPr>
            <w:tcW w:w="0" w:type="dxa"/>
            <w:vAlign w:val="center"/>
          </w:tcPr>
          <w:p>
            <w:pPr>
              <w:spacing w:line="240" w:lineRule="auto"/>
              <w:jc w:val="left"/>
            </w:pPr>
            <w:r>
              <w:rPr>
                <w:rFonts w:ascii="宋体" w:hAnsi="宋体" w:eastAsia="宋体" w:cs="宋体"/>
                <w:b w:val="0"/>
              </w:rPr>
              <w:t>企业债券</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5</w:t>
            </w:r>
          </w:p>
        </w:tc>
        <w:tc>
          <w:tcPr>
            <w:tcW w:w="0" w:type="dxa"/>
            <w:vAlign w:val="center"/>
          </w:tcPr>
          <w:p>
            <w:pPr>
              <w:spacing w:line="240" w:lineRule="auto"/>
              <w:jc w:val="left"/>
            </w:pPr>
            <w:r>
              <w:rPr>
                <w:rFonts w:ascii="宋体" w:hAnsi="宋体" w:eastAsia="宋体" w:cs="宋体"/>
                <w:b w:val="0"/>
              </w:rPr>
              <w:t>企业短期融资券</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6</w:t>
            </w:r>
          </w:p>
        </w:tc>
        <w:tc>
          <w:tcPr>
            <w:tcW w:w="0" w:type="dxa"/>
            <w:vAlign w:val="center"/>
          </w:tcPr>
          <w:p>
            <w:pPr>
              <w:spacing w:line="240" w:lineRule="auto"/>
              <w:jc w:val="left"/>
            </w:pPr>
            <w:r>
              <w:rPr>
                <w:rFonts w:ascii="宋体" w:hAnsi="宋体" w:eastAsia="宋体" w:cs="宋体"/>
                <w:b w:val="0"/>
              </w:rPr>
              <w:t>中期票据</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7</w:t>
            </w:r>
          </w:p>
        </w:tc>
        <w:tc>
          <w:tcPr>
            <w:tcW w:w="0" w:type="dxa"/>
            <w:vAlign w:val="center"/>
          </w:tcPr>
          <w:p>
            <w:pPr>
              <w:spacing w:line="240" w:lineRule="auto"/>
              <w:jc w:val="left"/>
            </w:pPr>
            <w:r>
              <w:rPr>
                <w:rFonts w:ascii="宋体" w:hAnsi="宋体" w:eastAsia="宋体" w:cs="宋体"/>
                <w:b w:val="0"/>
              </w:rPr>
              <w:t>可转债（可交换债）</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8</w:t>
            </w:r>
          </w:p>
        </w:tc>
        <w:tc>
          <w:tcPr>
            <w:tcW w:w="0" w:type="dxa"/>
            <w:vAlign w:val="center"/>
          </w:tcPr>
          <w:p>
            <w:pPr>
              <w:spacing w:line="240" w:lineRule="auto"/>
              <w:jc w:val="left"/>
            </w:pPr>
            <w:r>
              <w:rPr>
                <w:rFonts w:ascii="宋体" w:hAnsi="宋体" w:eastAsia="宋体" w:cs="宋体"/>
                <w:b w:val="0"/>
              </w:rPr>
              <w:t>同业存单</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9</w:t>
            </w:r>
          </w:p>
        </w:tc>
        <w:tc>
          <w:tcPr>
            <w:tcW w:w="0" w:type="dxa"/>
            <w:vAlign w:val="center"/>
          </w:tcPr>
          <w:p>
            <w:pPr>
              <w:spacing w:line="240" w:lineRule="auto"/>
              <w:jc w:val="left"/>
            </w:pPr>
            <w:r>
              <w:rPr>
                <w:rFonts w:ascii="宋体" w:hAnsi="宋体" w:eastAsia="宋体" w:cs="宋体"/>
                <w:b w:val="0"/>
              </w:rPr>
              <w:t>其他</w:t>
            </w:r>
          </w:p>
        </w:tc>
        <w:tc>
          <w:tcPr>
            <w:tcW w:w="0" w:type="dxa"/>
            <w:vAlign w:val="center"/>
          </w:tcPr>
          <w:p>
            <w:pPr>
              <w:spacing w:line="240" w:lineRule="auto"/>
              <w:jc w:val="right"/>
            </w:pPr>
            <w:r>
              <w:rPr>
                <w:rFonts w:ascii="宋体" w:hAnsi="宋体" w:eastAsia="宋体" w:cs="宋体"/>
                <w:b w:val="0"/>
              </w:rPr>
              <w:t>-</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10</w:t>
            </w:r>
          </w:p>
        </w:tc>
        <w:tc>
          <w:tcPr>
            <w:tcW w:w="0" w:type="dxa"/>
            <w:vAlign w:val="center"/>
          </w:tcPr>
          <w:p>
            <w:pPr>
              <w:spacing w:line="240" w:lineRule="auto"/>
              <w:jc w:val="left"/>
            </w:pPr>
            <w:r>
              <w:rPr>
                <w:rFonts w:ascii="宋体" w:hAnsi="宋体" w:eastAsia="宋体" w:cs="宋体"/>
                <w:b w:val="0"/>
              </w:rPr>
              <w:t>合计</w:t>
            </w:r>
          </w:p>
        </w:tc>
        <w:tc>
          <w:tcPr>
            <w:tcW w:w="0" w:type="dxa"/>
            <w:vAlign w:val="center"/>
          </w:tcPr>
          <w:p>
            <w:pPr>
              <w:spacing w:line="240" w:lineRule="auto"/>
              <w:jc w:val="right"/>
            </w:pPr>
            <w:r>
              <w:rPr>
                <w:rFonts w:ascii="宋体" w:hAnsi="宋体" w:eastAsia="宋体" w:cs="宋体"/>
                <w:b w:val="0"/>
              </w:rPr>
              <w:t>54,192,169.81</w:t>
            </w:r>
          </w:p>
        </w:tc>
        <w:tc>
          <w:tcPr>
            <w:tcW w:w="0" w:type="dxa"/>
            <w:vAlign w:val="center"/>
          </w:tcPr>
          <w:p>
            <w:pPr>
              <w:spacing w:line="240" w:lineRule="auto"/>
              <w:jc w:val="right"/>
            </w:pPr>
            <w:r>
              <w:rPr>
                <w:rFonts w:ascii="宋体" w:hAnsi="宋体" w:eastAsia="宋体" w:cs="宋体"/>
                <w:b w:val="0"/>
              </w:rPr>
              <w:t>5.76</w:t>
            </w:r>
          </w:p>
        </w:tc>
      </w:tr>
    </w:tbl>
    <w:p/>
    <w:p>
      <w:pPr>
        <w:pStyle w:val="3"/>
        <w:jc w:val="left"/>
      </w:pPr>
      <w:r>
        <w:rPr>
          <w:rFonts w:ascii="宋体" w:hAnsi="宋体" w:eastAsia="宋体" w:cs="宋体"/>
        </w:rPr>
        <w:t>5.5 报告期末按公允价值占基金资产净值比例大小排序的前五名债券投资明细</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7"/>
        <w:gridCol w:w="1547"/>
        <w:gridCol w:w="1548"/>
        <w:gridCol w:w="1238"/>
        <w:gridCol w:w="1858"/>
        <w:gridCol w:w="1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pPr>
              <w:spacing w:line="240" w:lineRule="auto"/>
              <w:jc w:val="center"/>
            </w:pPr>
            <w:r>
              <w:rPr>
                <w:rFonts w:ascii="宋体" w:hAnsi="宋体" w:eastAsia="宋体" w:cs="宋体"/>
                <w:b w:val="0"/>
              </w:rPr>
              <w:t>序号</w:t>
            </w:r>
          </w:p>
        </w:tc>
        <w:tc>
          <w:tcPr>
            <w:tcW w:w="769" w:type="pct"/>
            <w:shd w:val="clear" w:color="auto" w:fill="D9D9D9"/>
            <w:vAlign w:val="center"/>
          </w:tcPr>
          <w:p>
            <w:pPr>
              <w:spacing w:line="240" w:lineRule="auto"/>
              <w:jc w:val="center"/>
            </w:pPr>
            <w:r>
              <w:rPr>
                <w:rFonts w:ascii="宋体" w:hAnsi="宋体" w:eastAsia="宋体" w:cs="宋体"/>
                <w:b w:val="0"/>
              </w:rPr>
              <w:t>债券代码</w:t>
            </w:r>
          </w:p>
        </w:tc>
        <w:tc>
          <w:tcPr>
            <w:tcW w:w="769" w:type="pct"/>
            <w:shd w:val="clear" w:color="auto" w:fill="D9D9D9"/>
            <w:vAlign w:val="center"/>
          </w:tcPr>
          <w:p>
            <w:pPr>
              <w:spacing w:line="240" w:lineRule="auto"/>
              <w:jc w:val="center"/>
            </w:pPr>
            <w:r>
              <w:rPr>
                <w:rFonts w:ascii="宋体" w:hAnsi="宋体" w:eastAsia="宋体" w:cs="宋体"/>
                <w:b w:val="0"/>
              </w:rPr>
              <w:t>债券名称</w:t>
            </w:r>
          </w:p>
        </w:tc>
        <w:tc>
          <w:tcPr>
            <w:tcW w:w="615" w:type="pct"/>
            <w:shd w:val="clear" w:color="auto" w:fill="D9D9D9"/>
            <w:vAlign w:val="center"/>
          </w:tcPr>
          <w:p>
            <w:pPr>
              <w:spacing w:line="240" w:lineRule="auto"/>
              <w:jc w:val="center"/>
            </w:pPr>
            <w:r>
              <w:rPr>
                <w:rFonts w:ascii="宋体" w:hAnsi="宋体" w:eastAsia="宋体" w:cs="宋体"/>
                <w:b w:val="0"/>
              </w:rPr>
              <w:t>数量(张)</w:t>
            </w:r>
          </w:p>
        </w:tc>
        <w:tc>
          <w:tcPr>
            <w:tcW w:w="923" w:type="pct"/>
            <w:shd w:val="clear" w:color="auto" w:fill="D9D9D9"/>
            <w:vAlign w:val="center"/>
          </w:tcPr>
          <w:p>
            <w:pPr>
              <w:spacing w:line="240" w:lineRule="auto"/>
              <w:jc w:val="center"/>
            </w:pPr>
            <w:r>
              <w:rPr>
                <w:rFonts w:ascii="宋体" w:hAnsi="宋体" w:eastAsia="宋体" w:cs="宋体"/>
                <w:b w:val="0"/>
              </w:rPr>
              <w:t>公允价值(元)</w:t>
            </w:r>
          </w:p>
        </w:tc>
        <w:tc>
          <w:tcPr>
            <w:tcW w:w="923" w:type="pct"/>
            <w:shd w:val="clear" w:color="auto" w:fill="D9D9D9"/>
            <w:vAlign w:val="center"/>
          </w:tcPr>
          <w:p>
            <w:pPr>
              <w:spacing w:line="240" w:lineRule="auto"/>
              <w:jc w:val="center"/>
            </w:pPr>
            <w:r>
              <w:rPr>
                <w:rFonts w:ascii="宋体" w:hAnsi="宋体" w:eastAsia="宋体" w:cs="宋体"/>
                <w:b w:val="0"/>
              </w:rPr>
              <w:t>占基金资产净值比例(%)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1</w:t>
            </w:r>
          </w:p>
        </w:tc>
        <w:tc>
          <w:tcPr>
            <w:tcW w:w="0" w:type="dxa"/>
            <w:vAlign w:val="center"/>
          </w:tcPr>
          <w:p>
            <w:pPr>
              <w:spacing w:line="240" w:lineRule="auto"/>
              <w:jc w:val="left"/>
            </w:pPr>
            <w:r>
              <w:rPr>
                <w:rFonts w:ascii="宋体" w:hAnsi="宋体" w:eastAsia="宋体" w:cs="宋体"/>
                <w:b w:val="0"/>
              </w:rPr>
              <w:t>019785</w:t>
            </w:r>
          </w:p>
        </w:tc>
        <w:tc>
          <w:tcPr>
            <w:tcW w:w="0" w:type="dxa"/>
            <w:vAlign w:val="center"/>
          </w:tcPr>
          <w:p>
            <w:pPr>
              <w:spacing w:line="240" w:lineRule="auto"/>
              <w:jc w:val="left"/>
            </w:pPr>
            <w:r>
              <w:rPr>
                <w:rFonts w:ascii="宋体" w:hAnsi="宋体" w:eastAsia="宋体" w:cs="宋体"/>
                <w:b w:val="0"/>
              </w:rPr>
              <w:t>25国债13</w:t>
            </w:r>
          </w:p>
        </w:tc>
        <w:tc>
          <w:tcPr>
            <w:tcW w:w="0" w:type="dxa"/>
            <w:vAlign w:val="center"/>
          </w:tcPr>
          <w:p>
            <w:pPr>
              <w:spacing w:line="240" w:lineRule="auto"/>
              <w:jc w:val="right"/>
            </w:pPr>
            <w:r>
              <w:rPr>
                <w:rFonts w:ascii="宋体" w:hAnsi="宋体" w:eastAsia="宋体" w:cs="宋体"/>
                <w:b w:val="0"/>
              </w:rPr>
              <w:t>376,000</w:t>
            </w:r>
          </w:p>
        </w:tc>
        <w:tc>
          <w:tcPr>
            <w:tcW w:w="0" w:type="dxa"/>
            <w:vAlign w:val="center"/>
          </w:tcPr>
          <w:p>
            <w:pPr>
              <w:spacing w:line="240" w:lineRule="auto"/>
              <w:jc w:val="right"/>
            </w:pPr>
            <w:r>
              <w:rPr>
                <w:rFonts w:ascii="宋体" w:hAnsi="宋体" w:eastAsia="宋体" w:cs="宋体"/>
                <w:b w:val="0"/>
              </w:rPr>
              <w:t>38,074,718.03</w:t>
            </w:r>
          </w:p>
        </w:tc>
        <w:tc>
          <w:tcPr>
            <w:tcW w:w="0" w:type="dxa"/>
            <w:vAlign w:val="center"/>
          </w:tcPr>
          <w:p>
            <w:pPr>
              <w:spacing w:line="240" w:lineRule="auto"/>
              <w:jc w:val="right"/>
            </w:pPr>
            <w:r>
              <w:rPr>
                <w:rFonts w:ascii="宋体" w:hAnsi="宋体" w:eastAsia="宋体" w:cs="宋体"/>
                <w:b w:val="0"/>
              </w:rPr>
              <w:t>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2</w:t>
            </w:r>
          </w:p>
        </w:tc>
        <w:tc>
          <w:tcPr>
            <w:tcW w:w="0" w:type="dxa"/>
            <w:vAlign w:val="center"/>
          </w:tcPr>
          <w:p>
            <w:pPr>
              <w:spacing w:line="240" w:lineRule="auto"/>
              <w:jc w:val="left"/>
            </w:pPr>
            <w:r>
              <w:rPr>
                <w:rFonts w:ascii="宋体" w:hAnsi="宋体" w:eastAsia="宋体" w:cs="宋体"/>
                <w:b w:val="0"/>
              </w:rPr>
              <w:t>019792</w:t>
            </w:r>
          </w:p>
        </w:tc>
        <w:tc>
          <w:tcPr>
            <w:tcW w:w="0" w:type="dxa"/>
            <w:vAlign w:val="center"/>
          </w:tcPr>
          <w:p>
            <w:pPr>
              <w:spacing w:line="240" w:lineRule="auto"/>
              <w:jc w:val="left"/>
            </w:pPr>
            <w:r>
              <w:rPr>
                <w:rFonts w:ascii="宋体" w:hAnsi="宋体" w:eastAsia="宋体" w:cs="宋体"/>
                <w:b w:val="0"/>
              </w:rPr>
              <w:t>25国债19</w:t>
            </w:r>
          </w:p>
        </w:tc>
        <w:tc>
          <w:tcPr>
            <w:tcW w:w="0" w:type="dxa"/>
            <w:vAlign w:val="center"/>
          </w:tcPr>
          <w:p>
            <w:pPr>
              <w:spacing w:line="240" w:lineRule="auto"/>
              <w:jc w:val="right"/>
            </w:pPr>
            <w:r>
              <w:rPr>
                <w:rFonts w:ascii="宋体" w:hAnsi="宋体" w:eastAsia="宋体" w:cs="宋体"/>
                <w:b w:val="0"/>
              </w:rPr>
              <w:t>103,000</w:t>
            </w:r>
          </w:p>
        </w:tc>
        <w:tc>
          <w:tcPr>
            <w:tcW w:w="0" w:type="dxa"/>
            <w:vAlign w:val="center"/>
          </w:tcPr>
          <w:p>
            <w:pPr>
              <w:spacing w:line="240" w:lineRule="auto"/>
              <w:jc w:val="right"/>
            </w:pPr>
            <w:r>
              <w:rPr>
                <w:rFonts w:ascii="宋体" w:hAnsi="宋体" w:eastAsia="宋体" w:cs="宋体"/>
                <w:b w:val="0"/>
              </w:rPr>
              <w:t>10,408,070.99</w:t>
            </w:r>
          </w:p>
        </w:tc>
        <w:tc>
          <w:tcPr>
            <w:tcW w:w="0" w:type="dxa"/>
            <w:vAlign w:val="center"/>
          </w:tcPr>
          <w:p>
            <w:pPr>
              <w:spacing w:line="240" w:lineRule="auto"/>
              <w:jc w:val="right"/>
            </w:pPr>
            <w:r>
              <w:rPr>
                <w:rFonts w:ascii="宋体" w:hAnsi="宋体" w:eastAsia="宋体" w:cs="宋体"/>
                <w:b w:val="0"/>
              </w:rPr>
              <w:t>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3</w:t>
            </w:r>
          </w:p>
        </w:tc>
        <w:tc>
          <w:tcPr>
            <w:tcW w:w="0" w:type="dxa"/>
            <w:vAlign w:val="center"/>
          </w:tcPr>
          <w:p>
            <w:pPr>
              <w:spacing w:line="240" w:lineRule="auto"/>
              <w:jc w:val="left"/>
            </w:pPr>
            <w:r>
              <w:rPr>
                <w:rFonts w:ascii="宋体" w:hAnsi="宋体" w:eastAsia="宋体" w:cs="宋体"/>
                <w:b w:val="0"/>
              </w:rPr>
              <w:t>019835</w:t>
            </w:r>
          </w:p>
        </w:tc>
        <w:tc>
          <w:tcPr>
            <w:tcW w:w="0" w:type="dxa"/>
            <w:vAlign w:val="center"/>
          </w:tcPr>
          <w:p>
            <w:pPr>
              <w:spacing w:line="240" w:lineRule="auto"/>
              <w:jc w:val="left"/>
            </w:pPr>
            <w:r>
              <w:rPr>
                <w:rFonts w:ascii="宋体" w:hAnsi="宋体" w:eastAsia="宋体" w:cs="宋体"/>
                <w:b w:val="0"/>
              </w:rPr>
              <w:t>26国债09</w:t>
            </w:r>
          </w:p>
        </w:tc>
        <w:tc>
          <w:tcPr>
            <w:tcW w:w="0" w:type="dxa"/>
            <w:vAlign w:val="center"/>
          </w:tcPr>
          <w:p>
            <w:pPr>
              <w:spacing w:line="240" w:lineRule="auto"/>
              <w:jc w:val="right"/>
            </w:pPr>
            <w:r>
              <w:rPr>
                <w:rFonts w:ascii="宋体" w:hAnsi="宋体" w:eastAsia="宋体" w:cs="宋体"/>
                <w:b w:val="0"/>
              </w:rPr>
              <w:t>57,000</w:t>
            </w:r>
          </w:p>
        </w:tc>
        <w:tc>
          <w:tcPr>
            <w:tcW w:w="0" w:type="dxa"/>
            <w:vAlign w:val="center"/>
          </w:tcPr>
          <w:p>
            <w:pPr>
              <w:spacing w:line="240" w:lineRule="auto"/>
              <w:jc w:val="right"/>
            </w:pPr>
            <w:r>
              <w:rPr>
                <w:rFonts w:ascii="宋体" w:hAnsi="宋体" w:eastAsia="宋体" w:cs="宋体"/>
                <w:b w:val="0"/>
              </w:rPr>
              <w:t>5,709,380.79</w:t>
            </w:r>
          </w:p>
        </w:tc>
        <w:tc>
          <w:tcPr>
            <w:tcW w:w="0" w:type="dxa"/>
            <w:vAlign w:val="center"/>
          </w:tcPr>
          <w:p>
            <w:pPr>
              <w:spacing w:line="240" w:lineRule="auto"/>
              <w:jc w:val="right"/>
            </w:pPr>
            <w:r>
              <w:rPr>
                <w:rFonts w:ascii="宋体" w:hAnsi="宋体" w:eastAsia="宋体" w:cs="宋体"/>
                <w:b w:val="0"/>
              </w:rPr>
              <w:t>0.61</w:t>
            </w:r>
          </w:p>
        </w:tc>
      </w:tr>
    </w:tbl>
    <w:p>
      <w:r>
        <w:rPr>
          <w:rFonts w:ascii="宋体" w:hAnsi="宋体" w:eastAsia="宋体" w:cs="宋体"/>
          <w:b w:val="0"/>
        </w:rPr>
        <w:t>注：本基金本报告期末仅持有上述债券。</w:t>
      </w:r>
    </w:p>
    <w:p/>
    <w:p>
      <w:pPr>
        <w:pStyle w:val="3"/>
        <w:jc w:val="left"/>
      </w:pPr>
      <w:r>
        <w:rPr>
          <w:rFonts w:ascii="宋体" w:hAnsi="宋体" w:eastAsia="宋体" w:cs="宋体"/>
        </w:rPr>
        <w:t>5.6 报告期末按公允价值占基金资产净值比例大小排序的前十名资产支持证券投资明细</w:t>
      </w:r>
    </w:p>
    <w:p>
      <w:r>
        <w:rPr>
          <w:rFonts w:ascii="宋体" w:hAnsi="宋体" w:eastAsia="宋体" w:cs="宋体"/>
          <w:b w:val="0"/>
        </w:rPr>
        <w:t xml:space="preserve">    本基金本报告期末未持有资产支持证券。</w:t>
      </w:r>
    </w:p>
    <w:p/>
    <w:p>
      <w:pPr>
        <w:pStyle w:val="3"/>
        <w:jc w:val="left"/>
      </w:pPr>
      <w:r>
        <w:rPr>
          <w:rFonts w:ascii="宋体" w:hAnsi="宋体" w:eastAsia="宋体" w:cs="宋体"/>
        </w:rPr>
        <w:t>5.7 报告期末按公允价值占基金资产净值比例大小排序的前五名贵金属投资明细</w:t>
      </w:r>
    </w:p>
    <w:p>
      <w:r>
        <w:rPr>
          <w:rFonts w:ascii="宋体" w:hAnsi="宋体" w:eastAsia="宋体" w:cs="宋体"/>
          <w:b w:val="0"/>
        </w:rPr>
        <w:t xml:space="preserve">    本基金本报告期末未持有贵金属。</w:t>
      </w:r>
    </w:p>
    <w:p/>
    <w:p>
      <w:pPr>
        <w:pStyle w:val="3"/>
        <w:jc w:val="left"/>
      </w:pPr>
      <w:r>
        <w:rPr>
          <w:rFonts w:ascii="宋体" w:hAnsi="宋体" w:eastAsia="宋体" w:cs="宋体"/>
        </w:rPr>
        <w:t>5.8 报告期末按公允价值占基金资产净值比例大小排序的前五名权证投资明细</w:t>
      </w:r>
    </w:p>
    <w:p>
      <w:r>
        <w:rPr>
          <w:rFonts w:ascii="宋体" w:hAnsi="宋体" w:eastAsia="宋体" w:cs="宋体"/>
          <w:b w:val="0"/>
        </w:rPr>
        <w:t xml:space="preserve">    本基金本报告期末未持有权证。</w:t>
      </w:r>
    </w:p>
    <w:p/>
    <w:p>
      <w:pPr>
        <w:pStyle w:val="3"/>
        <w:jc w:val="left"/>
      </w:pPr>
      <w:r>
        <w:rPr>
          <w:rFonts w:ascii="宋体" w:hAnsi="宋体" w:eastAsia="宋体" w:cs="宋体"/>
        </w:rPr>
        <w:t>5.9 报告期末本基金投资的股指期货交易情况说明</w:t>
      </w:r>
    </w:p>
    <w:p>
      <w:r>
        <w:rPr>
          <w:rFonts w:ascii="宋体" w:hAnsi="宋体" w:eastAsia="宋体" w:cs="宋体"/>
          <w:b w:val="0"/>
        </w:rPr>
        <w:t xml:space="preserve">    本基金本报告期末未持有股指期货。</w:t>
      </w:r>
    </w:p>
    <w:p/>
    <w:p>
      <w:pPr>
        <w:pStyle w:val="3"/>
        <w:jc w:val="left"/>
      </w:pPr>
      <w:r>
        <w:rPr>
          <w:rFonts w:ascii="宋体" w:hAnsi="宋体" w:eastAsia="宋体" w:cs="宋体"/>
        </w:rPr>
        <w:t>5.10 报告期末本基金投资的国债期货交易情况说明</w:t>
      </w:r>
    </w:p>
    <w:p>
      <w:r>
        <w:rPr>
          <w:rFonts w:ascii="宋体" w:hAnsi="宋体" w:eastAsia="宋体" w:cs="宋体"/>
          <w:b w:val="0"/>
        </w:rPr>
        <w:t xml:space="preserve">    本基金本报告期末未持有国债期货。</w:t>
      </w:r>
    </w:p>
    <w:p/>
    <w:p>
      <w:pPr>
        <w:pStyle w:val="3"/>
        <w:jc w:val="left"/>
      </w:pPr>
      <w:r>
        <w:rPr>
          <w:rFonts w:ascii="宋体" w:hAnsi="宋体" w:eastAsia="宋体" w:cs="宋体"/>
        </w:rPr>
        <w:t>5.11 投资组合报告附注</w:t>
      </w:r>
    </w:p>
    <w:p>
      <w:pPr>
        <w:pStyle w:val="58"/>
      </w:pPr>
      <w:r>
        <w:rPr>
          <w:rFonts w:ascii="宋体" w:hAnsi="宋体" w:eastAsia="宋体" w:cs="宋体"/>
          <w:b/>
        </w:rPr>
        <w:t>5.11.1 本基金投资的前十名证券的发行主体本期受到监管部门立案调查或报告编制日前一年内受到公开谴责、处罚的情形说明</w:t>
      </w:r>
    </w:p>
    <w:p>
      <w:r>
        <w:rPr>
          <w:rFonts w:ascii="宋体" w:hAnsi="宋体" w:eastAsia="宋体" w:cs="宋体"/>
          <w:b w:val="0"/>
        </w:rPr>
        <w:t xml:space="preserve">    本基金投资的前十名证券的发行主体本期未出现被监管部门立案调查，或在报告编制日前一年内受到公开谴责、处罚的情形。</w:t>
      </w:r>
    </w:p>
    <w:p/>
    <w:p>
      <w:pPr>
        <w:pStyle w:val="58"/>
      </w:pPr>
      <w:r>
        <w:rPr>
          <w:rFonts w:ascii="宋体" w:hAnsi="宋体" w:eastAsia="宋体" w:cs="宋体"/>
          <w:b/>
        </w:rPr>
        <w:t>5.11.2 基金投资的前十名股票超出基金合同规定的备选股票库情况的说明</w:t>
      </w:r>
    </w:p>
    <w:p>
      <w:r>
        <w:rPr>
          <w:rFonts w:ascii="宋体" w:hAnsi="宋体" w:eastAsia="宋体" w:cs="宋体"/>
          <w:b w:val="0"/>
        </w:rPr>
        <w:t xml:space="preserve">    基金投资的前十名股票，均为基金合同规定备选股票库之内的股票。</w:t>
      </w:r>
    </w:p>
    <w:p/>
    <w:p>
      <w:pPr>
        <w:pStyle w:val="58"/>
      </w:pPr>
      <w:r>
        <w:rPr>
          <w:rFonts w:ascii="宋体" w:hAnsi="宋体" w:eastAsia="宋体" w:cs="宋体"/>
          <w:b/>
        </w:rPr>
        <w:t>5.11.3 其他资产构成</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0"/>
        <w:gridCol w:w="4804"/>
        <w:gridCol w:w="32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pPr>
              <w:spacing w:line="240" w:lineRule="auto"/>
              <w:jc w:val="center"/>
            </w:pPr>
            <w:r>
              <w:rPr>
                <w:rFonts w:ascii="宋体" w:hAnsi="宋体" w:eastAsia="宋体" w:cs="宋体"/>
                <w:b w:val="0"/>
              </w:rPr>
              <w:t>序号</w:t>
            </w:r>
          </w:p>
        </w:tc>
        <w:tc>
          <w:tcPr>
            <w:tcW w:w="2308" w:type="pct"/>
            <w:shd w:val="clear" w:color="auto" w:fill="D9D9D9"/>
            <w:vAlign w:val="center"/>
          </w:tcPr>
          <w:p>
            <w:pPr>
              <w:spacing w:line="240" w:lineRule="auto"/>
              <w:jc w:val="center"/>
            </w:pPr>
            <w:r>
              <w:rPr>
                <w:rFonts w:ascii="宋体" w:hAnsi="宋体" w:eastAsia="宋体" w:cs="宋体"/>
                <w:b w:val="0"/>
              </w:rPr>
              <w:t>名称</w:t>
            </w:r>
          </w:p>
        </w:tc>
        <w:tc>
          <w:tcPr>
            <w:tcW w:w="1538" w:type="pct"/>
            <w:shd w:val="clear" w:color="auto" w:fill="D9D9D9"/>
            <w:vAlign w:val="center"/>
          </w:tcPr>
          <w:p>
            <w:pPr>
              <w:spacing w:line="240" w:lineRule="auto"/>
              <w:jc w:val="center"/>
            </w:pPr>
            <w:r>
              <w:rPr>
                <w:rFonts w:ascii="宋体" w:hAnsi="宋体" w:eastAsia="宋体" w:cs="宋体"/>
                <w:b w:val="0"/>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1</w:t>
            </w:r>
          </w:p>
        </w:tc>
        <w:tc>
          <w:tcPr>
            <w:tcW w:w="0" w:type="dxa"/>
            <w:vAlign w:val="center"/>
          </w:tcPr>
          <w:p>
            <w:pPr>
              <w:spacing w:line="240" w:lineRule="auto"/>
              <w:jc w:val="left"/>
            </w:pPr>
            <w:r>
              <w:rPr>
                <w:rFonts w:ascii="宋体" w:hAnsi="宋体" w:eastAsia="宋体" w:cs="宋体"/>
                <w:b w:val="0"/>
              </w:rPr>
              <w:t>存出保证金</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2</w:t>
            </w:r>
          </w:p>
        </w:tc>
        <w:tc>
          <w:tcPr>
            <w:tcW w:w="0" w:type="dxa"/>
            <w:vAlign w:val="center"/>
          </w:tcPr>
          <w:p>
            <w:pPr>
              <w:spacing w:line="240" w:lineRule="auto"/>
              <w:jc w:val="left"/>
            </w:pPr>
            <w:r>
              <w:rPr>
                <w:rFonts w:ascii="宋体" w:hAnsi="宋体" w:eastAsia="宋体" w:cs="宋体"/>
                <w:b w:val="0"/>
              </w:rPr>
              <w:t>应收证券清算款</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3</w:t>
            </w:r>
          </w:p>
        </w:tc>
        <w:tc>
          <w:tcPr>
            <w:tcW w:w="0" w:type="dxa"/>
            <w:vAlign w:val="center"/>
          </w:tcPr>
          <w:p>
            <w:pPr>
              <w:spacing w:line="240" w:lineRule="auto"/>
              <w:jc w:val="left"/>
            </w:pPr>
            <w:r>
              <w:rPr>
                <w:rFonts w:ascii="宋体" w:hAnsi="宋体" w:eastAsia="宋体" w:cs="宋体"/>
                <w:b w:val="0"/>
              </w:rPr>
              <w:t>应收股利</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4</w:t>
            </w:r>
          </w:p>
        </w:tc>
        <w:tc>
          <w:tcPr>
            <w:tcW w:w="0" w:type="dxa"/>
            <w:vAlign w:val="center"/>
          </w:tcPr>
          <w:p>
            <w:pPr>
              <w:spacing w:line="240" w:lineRule="auto"/>
              <w:jc w:val="left"/>
            </w:pPr>
            <w:r>
              <w:rPr>
                <w:rFonts w:ascii="宋体" w:hAnsi="宋体" w:eastAsia="宋体" w:cs="宋体"/>
                <w:b w:val="0"/>
              </w:rPr>
              <w:t>应收利息</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5</w:t>
            </w:r>
          </w:p>
        </w:tc>
        <w:tc>
          <w:tcPr>
            <w:tcW w:w="0" w:type="dxa"/>
            <w:vAlign w:val="center"/>
          </w:tcPr>
          <w:p>
            <w:pPr>
              <w:spacing w:line="240" w:lineRule="auto"/>
              <w:jc w:val="left"/>
            </w:pPr>
            <w:r>
              <w:rPr>
                <w:rFonts w:ascii="宋体" w:hAnsi="宋体" w:eastAsia="宋体" w:cs="宋体"/>
                <w:b w:val="0"/>
              </w:rPr>
              <w:t>应收申购款</w:t>
            </w:r>
          </w:p>
        </w:tc>
        <w:tc>
          <w:tcPr>
            <w:tcW w:w="0" w:type="dxa"/>
            <w:vAlign w:val="center"/>
          </w:tcPr>
          <w:p>
            <w:pPr>
              <w:spacing w:line="240" w:lineRule="auto"/>
              <w:jc w:val="right"/>
            </w:pPr>
            <w:r>
              <w:rPr>
                <w:rFonts w:ascii="宋体" w:hAnsi="宋体" w:eastAsia="宋体" w:cs="宋体"/>
                <w:b w:val="0"/>
              </w:rPr>
              <w:t>851,644.27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6</w:t>
            </w:r>
          </w:p>
        </w:tc>
        <w:tc>
          <w:tcPr>
            <w:tcW w:w="0" w:type="dxa"/>
            <w:vAlign w:val="center"/>
          </w:tcPr>
          <w:p>
            <w:pPr>
              <w:spacing w:line="240" w:lineRule="auto"/>
              <w:jc w:val="left"/>
            </w:pPr>
            <w:r>
              <w:rPr>
                <w:rFonts w:ascii="宋体" w:hAnsi="宋体" w:eastAsia="宋体" w:cs="宋体"/>
                <w:b w:val="0"/>
              </w:rPr>
              <w:t>其他应收款</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7</w:t>
            </w:r>
          </w:p>
        </w:tc>
        <w:tc>
          <w:tcPr>
            <w:tcW w:w="0" w:type="dxa"/>
            <w:vAlign w:val="center"/>
          </w:tcPr>
          <w:p>
            <w:pPr>
              <w:spacing w:line="240" w:lineRule="auto"/>
              <w:jc w:val="left"/>
            </w:pPr>
            <w:r>
              <w:rPr>
                <w:rFonts w:ascii="宋体" w:hAnsi="宋体" w:eastAsia="宋体" w:cs="宋体"/>
                <w:b w:val="0"/>
              </w:rPr>
              <w:t>其他</w:t>
            </w:r>
          </w:p>
        </w:tc>
        <w:tc>
          <w:tcPr>
            <w:tcW w:w="0" w:type="dxa"/>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8</w:t>
            </w:r>
          </w:p>
        </w:tc>
        <w:tc>
          <w:tcPr>
            <w:tcW w:w="0" w:type="dxa"/>
            <w:vAlign w:val="center"/>
          </w:tcPr>
          <w:p>
            <w:pPr>
              <w:spacing w:line="240" w:lineRule="auto"/>
              <w:jc w:val="left"/>
            </w:pPr>
            <w:r>
              <w:rPr>
                <w:rFonts w:ascii="宋体" w:hAnsi="宋体" w:eastAsia="宋体" w:cs="宋体"/>
                <w:b w:val="0"/>
              </w:rPr>
              <w:t>合计</w:t>
            </w:r>
          </w:p>
        </w:tc>
        <w:tc>
          <w:tcPr>
            <w:tcW w:w="0" w:type="dxa"/>
            <w:vAlign w:val="center"/>
          </w:tcPr>
          <w:p>
            <w:pPr>
              <w:spacing w:line="240" w:lineRule="auto"/>
              <w:jc w:val="right"/>
            </w:pPr>
            <w:r>
              <w:rPr>
                <w:rFonts w:ascii="宋体" w:hAnsi="宋体" w:eastAsia="宋体" w:cs="宋体"/>
                <w:b w:val="0"/>
              </w:rPr>
              <w:t>851,644.27</w:t>
            </w:r>
          </w:p>
        </w:tc>
      </w:tr>
    </w:tbl>
    <w:p/>
    <w:p>
      <w:pPr>
        <w:pStyle w:val="58"/>
      </w:pPr>
      <w:r>
        <w:rPr>
          <w:rFonts w:ascii="宋体" w:hAnsi="宋体" w:eastAsia="宋体" w:cs="宋体"/>
          <w:b/>
        </w:rPr>
        <w:t>5.11.4 报告期末持有的处于转股期的可转换债券明细</w:t>
      </w:r>
    </w:p>
    <w:p>
      <w:r>
        <w:rPr>
          <w:rFonts w:ascii="宋体" w:hAnsi="宋体" w:eastAsia="宋体" w:cs="宋体"/>
          <w:b w:val="0"/>
        </w:rPr>
        <w:t xml:space="preserve">    本基金本报告期末未持有处于转股期的可转换债券。</w:t>
      </w:r>
    </w:p>
    <w:p/>
    <w:p>
      <w:pPr>
        <w:pStyle w:val="58"/>
      </w:pPr>
      <w:r>
        <w:rPr>
          <w:rFonts w:ascii="宋体" w:hAnsi="宋体" w:eastAsia="宋体" w:cs="宋体"/>
          <w:b/>
        </w:rPr>
        <w:t>5.11.5 报告期末前十名股票中存在流通受限情况的说明</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9"/>
        <w:gridCol w:w="1238"/>
        <w:gridCol w:w="1238"/>
        <w:gridCol w:w="2167"/>
        <w:gridCol w:w="1857"/>
        <w:gridCol w:w="18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D9D9D9"/>
            <w:vAlign w:val="center"/>
          </w:tcPr>
          <w:p>
            <w:pPr>
              <w:spacing w:line="240" w:lineRule="auto"/>
              <w:jc w:val="center"/>
            </w:pPr>
            <w:r>
              <w:rPr>
                <w:rFonts w:ascii="宋体" w:hAnsi="宋体" w:eastAsia="宋体" w:cs="宋体"/>
                <w:b w:val="0"/>
              </w:rPr>
              <w:t>序号</w:t>
            </w:r>
          </w:p>
        </w:tc>
        <w:tc>
          <w:tcPr>
            <w:tcW w:w="615" w:type="pct"/>
            <w:shd w:val="clear" w:color="auto" w:fill="D9D9D9"/>
            <w:vAlign w:val="center"/>
          </w:tcPr>
          <w:p>
            <w:pPr>
              <w:spacing w:line="240" w:lineRule="auto"/>
              <w:jc w:val="center"/>
            </w:pPr>
            <w:r>
              <w:rPr>
                <w:rFonts w:ascii="宋体" w:hAnsi="宋体" w:eastAsia="宋体" w:cs="宋体"/>
                <w:b w:val="0"/>
              </w:rPr>
              <w:t>股票代码</w:t>
            </w:r>
          </w:p>
        </w:tc>
        <w:tc>
          <w:tcPr>
            <w:tcW w:w="615" w:type="pct"/>
            <w:shd w:val="clear" w:color="auto" w:fill="D9D9D9"/>
            <w:vAlign w:val="center"/>
          </w:tcPr>
          <w:p>
            <w:pPr>
              <w:spacing w:line="240" w:lineRule="auto"/>
              <w:jc w:val="center"/>
            </w:pPr>
            <w:r>
              <w:rPr>
                <w:rFonts w:ascii="宋体" w:hAnsi="宋体" w:eastAsia="宋体" w:cs="宋体"/>
                <w:b w:val="0"/>
              </w:rPr>
              <w:t>股票名称</w:t>
            </w:r>
          </w:p>
        </w:tc>
        <w:tc>
          <w:tcPr>
            <w:tcW w:w="1077" w:type="pct"/>
            <w:shd w:val="clear" w:color="auto" w:fill="D9D9D9"/>
            <w:vAlign w:val="center"/>
          </w:tcPr>
          <w:p>
            <w:pPr>
              <w:spacing w:line="240" w:lineRule="auto"/>
              <w:jc w:val="center"/>
            </w:pPr>
            <w:r>
              <w:rPr>
                <w:rFonts w:ascii="宋体" w:hAnsi="宋体" w:eastAsia="宋体" w:cs="宋体"/>
                <w:b w:val="0"/>
              </w:rPr>
              <w:t>流通受限部分的公允价值（元）</w:t>
            </w:r>
          </w:p>
        </w:tc>
        <w:tc>
          <w:tcPr>
            <w:tcW w:w="923" w:type="pct"/>
            <w:shd w:val="clear" w:color="auto" w:fill="D9D9D9"/>
            <w:vAlign w:val="center"/>
          </w:tcPr>
          <w:p>
            <w:pPr>
              <w:spacing w:line="240" w:lineRule="auto"/>
              <w:jc w:val="center"/>
            </w:pPr>
            <w:r>
              <w:rPr>
                <w:rFonts w:ascii="宋体" w:hAnsi="宋体" w:eastAsia="宋体" w:cs="宋体"/>
                <w:b w:val="0"/>
              </w:rPr>
              <w:t>占基金资产净值比例（%）</w:t>
            </w:r>
          </w:p>
        </w:tc>
        <w:tc>
          <w:tcPr>
            <w:tcW w:w="923" w:type="pct"/>
            <w:shd w:val="clear" w:color="auto" w:fill="D9D9D9"/>
            <w:vAlign w:val="center"/>
          </w:tcPr>
          <w:p>
            <w:pPr>
              <w:spacing w:line="240" w:lineRule="auto"/>
              <w:jc w:val="center"/>
            </w:pPr>
            <w:r>
              <w:rPr>
                <w:rFonts w:ascii="宋体" w:hAnsi="宋体" w:eastAsia="宋体" w:cs="宋体"/>
                <w:b w:val="0"/>
              </w:rPr>
              <w:t>流通受限情况说明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center"/>
            </w:pPr>
            <w:r>
              <w:rPr>
                <w:rFonts w:ascii="宋体" w:hAnsi="宋体" w:eastAsia="宋体" w:cs="宋体"/>
                <w:b w:val="0"/>
              </w:rPr>
              <w:t>1</w:t>
            </w:r>
          </w:p>
        </w:tc>
        <w:tc>
          <w:tcPr>
            <w:tcW w:w="0" w:type="dxa"/>
            <w:vAlign w:val="center"/>
          </w:tcPr>
          <w:p>
            <w:pPr>
              <w:spacing w:line="240" w:lineRule="auto"/>
              <w:jc w:val="left"/>
            </w:pPr>
            <w:r>
              <w:rPr>
                <w:rFonts w:ascii="宋体" w:hAnsi="宋体" w:eastAsia="宋体" w:cs="宋体"/>
                <w:b w:val="0"/>
              </w:rPr>
              <w:t>688813</w:t>
            </w:r>
          </w:p>
        </w:tc>
        <w:tc>
          <w:tcPr>
            <w:tcW w:w="0" w:type="dxa"/>
            <w:vAlign w:val="center"/>
          </w:tcPr>
          <w:p>
            <w:pPr>
              <w:spacing w:line="240" w:lineRule="auto"/>
              <w:jc w:val="left"/>
            </w:pPr>
            <w:r>
              <w:rPr>
                <w:rFonts w:ascii="宋体" w:hAnsi="宋体" w:eastAsia="宋体" w:cs="宋体"/>
                <w:b w:val="0"/>
              </w:rPr>
              <w:t>泰金新能</w:t>
            </w:r>
          </w:p>
        </w:tc>
        <w:tc>
          <w:tcPr>
            <w:tcW w:w="0" w:type="dxa"/>
            <w:vAlign w:val="center"/>
          </w:tcPr>
          <w:p>
            <w:pPr>
              <w:spacing w:line="240" w:lineRule="auto"/>
              <w:jc w:val="right"/>
            </w:pPr>
            <w:r>
              <w:rPr>
                <w:rFonts w:ascii="宋体" w:hAnsi="宋体" w:eastAsia="宋体" w:cs="宋体"/>
                <w:b w:val="0"/>
              </w:rPr>
              <w:t>40,269.06</w:t>
            </w:r>
          </w:p>
        </w:tc>
        <w:tc>
          <w:tcPr>
            <w:tcW w:w="0" w:type="dxa"/>
            <w:vAlign w:val="center"/>
          </w:tcPr>
          <w:p>
            <w:pPr>
              <w:spacing w:line="240" w:lineRule="auto"/>
              <w:jc w:val="right"/>
            </w:pPr>
            <w:r>
              <w:rPr>
                <w:rFonts w:ascii="宋体" w:hAnsi="宋体" w:eastAsia="宋体" w:cs="宋体"/>
                <w:b w:val="0"/>
              </w:rPr>
              <w:t>0.00</w:t>
            </w:r>
          </w:p>
        </w:tc>
        <w:tc>
          <w:tcPr>
            <w:tcW w:w="0" w:type="dxa"/>
            <w:vAlign w:val="center"/>
          </w:tcPr>
          <w:p>
            <w:pPr>
              <w:spacing w:line="240" w:lineRule="auto"/>
              <w:jc w:val="left"/>
            </w:pPr>
            <w:r>
              <w:rPr>
                <w:rFonts w:ascii="宋体" w:hAnsi="宋体" w:eastAsia="宋体" w:cs="宋体"/>
                <w:b w:val="0"/>
              </w:rPr>
              <w:t>流通受限股票</w:t>
            </w:r>
          </w:p>
        </w:tc>
      </w:tr>
    </w:tbl>
    <w:p/>
    <w:p>
      <w:pPr>
        <w:pStyle w:val="58"/>
      </w:pPr>
      <w:r>
        <w:rPr>
          <w:rFonts w:ascii="宋体" w:hAnsi="宋体" w:eastAsia="宋体" w:cs="宋体"/>
          <w:b/>
        </w:rPr>
        <w:t>5.11.6 投资组合报告附注的其他文字描述部分</w:t>
      </w:r>
    </w:p>
    <w:p>
      <w:r>
        <w:rPr>
          <w:rFonts w:ascii="宋体" w:hAnsi="宋体" w:eastAsia="宋体" w:cs="宋体"/>
          <w:b w:val="0"/>
        </w:rPr>
        <w:t xml:space="preserve">    由于四舍五入原因，分项之和与合计项之间可能存在尾差。</w:t>
      </w:r>
    </w:p>
    <w:p>
      <w:pPr>
        <w:pStyle w:val="2"/>
        <w:jc w:val="center"/>
      </w:pPr>
      <w:r>
        <w:rPr>
          <w:rFonts w:ascii="宋体" w:hAnsi="宋体" w:eastAsia="宋体" w:cs="宋体"/>
        </w:rPr>
        <w:t>§6 开放式基金份额变动</w:t>
      </w:r>
    </w:p>
    <w:p>
      <w:pPr>
        <w:jc w:val="right"/>
      </w:pPr>
      <w:r>
        <w:rPr>
          <w:rFonts w:ascii="宋体" w:hAnsi="宋体" w:eastAsia="宋体" w:cs="宋体"/>
          <w:b w:val="0"/>
        </w:rPr>
        <w:t>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5"/>
        <w:gridCol w:w="3095"/>
        <w:gridCol w:w="3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vAlign w:val="center"/>
          </w:tcPr>
          <w:p>
            <w:pPr>
              <w:spacing w:line="240" w:lineRule="auto"/>
              <w:jc w:val="center"/>
            </w:pPr>
          </w:p>
        </w:tc>
        <w:tc>
          <w:tcPr>
            <w:tcW w:w="1300" w:type="pct"/>
            <w:vAlign w:val="center"/>
          </w:tcPr>
          <w:p>
            <w:pPr>
              <w:spacing w:line="240" w:lineRule="auto"/>
              <w:jc w:val="center"/>
            </w:pPr>
            <w:r>
              <w:rPr>
                <w:rFonts w:ascii="宋体" w:hAnsi="宋体" w:eastAsia="宋体" w:cs="宋体"/>
                <w:b w:val="0"/>
              </w:rPr>
              <w:t>东方阿尔法产业先锋混合A</w:t>
            </w:r>
          </w:p>
        </w:tc>
        <w:tc>
          <w:tcPr>
            <w:tcW w:w="1300" w:type="pct"/>
            <w:vAlign w:val="center"/>
          </w:tcPr>
          <w:p>
            <w:pPr>
              <w:spacing w:line="240" w:lineRule="auto"/>
              <w:jc w:val="center"/>
            </w:pPr>
            <w:r>
              <w:rPr>
                <w:rFonts w:ascii="宋体" w:hAnsi="宋体" w:eastAsia="宋体" w:cs="宋体"/>
                <w:b w:val="0"/>
              </w:rPr>
              <w:t>东方阿尔法产业先锋混合C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报告期期初基金份额总额</w:t>
            </w:r>
          </w:p>
        </w:tc>
        <w:tc>
          <w:tcPr>
            <w:tcW w:w="1300" w:type="pct"/>
            <w:vAlign w:val="center"/>
          </w:tcPr>
          <w:p>
            <w:pPr>
              <w:spacing w:line="240" w:lineRule="auto"/>
              <w:jc w:val="right"/>
            </w:pPr>
            <w:r>
              <w:rPr>
                <w:rFonts w:ascii="宋体" w:hAnsi="宋体" w:eastAsia="宋体" w:cs="宋体"/>
                <w:b w:val="0"/>
              </w:rPr>
              <w:t>1,072,415,866.81</w:t>
            </w:r>
          </w:p>
        </w:tc>
        <w:tc>
          <w:tcPr>
            <w:tcW w:w="1300" w:type="pct"/>
            <w:vAlign w:val="center"/>
          </w:tcPr>
          <w:p>
            <w:pPr>
              <w:spacing w:line="240" w:lineRule="auto"/>
              <w:jc w:val="right"/>
            </w:pPr>
            <w:r>
              <w:rPr>
                <w:rFonts w:ascii="宋体" w:hAnsi="宋体" w:eastAsia="宋体" w:cs="宋体"/>
                <w:b w:val="0"/>
              </w:rPr>
              <w:t>413,701,989.18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报告期期间基金总申购份额</w:t>
            </w:r>
          </w:p>
        </w:tc>
        <w:tc>
          <w:tcPr>
            <w:tcW w:w="1300" w:type="pct"/>
            <w:vAlign w:val="center"/>
          </w:tcPr>
          <w:p>
            <w:pPr>
              <w:spacing w:line="240" w:lineRule="auto"/>
              <w:jc w:val="right"/>
            </w:pPr>
            <w:r>
              <w:rPr>
                <w:rFonts w:ascii="宋体" w:hAnsi="宋体" w:eastAsia="宋体" w:cs="宋体"/>
                <w:b w:val="0"/>
              </w:rPr>
              <w:t>20,688,918.86</w:t>
            </w:r>
          </w:p>
        </w:tc>
        <w:tc>
          <w:tcPr>
            <w:tcW w:w="1300" w:type="pct"/>
            <w:vAlign w:val="center"/>
          </w:tcPr>
          <w:p>
            <w:pPr>
              <w:spacing w:line="240" w:lineRule="auto"/>
              <w:jc w:val="right"/>
            </w:pPr>
            <w:r>
              <w:rPr>
                <w:rFonts w:ascii="宋体" w:hAnsi="宋体" w:eastAsia="宋体" w:cs="宋体"/>
                <w:b w:val="0"/>
              </w:rPr>
              <w:t>149,890,610.55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减：报告期期间基金总赎回份额</w:t>
            </w:r>
          </w:p>
        </w:tc>
        <w:tc>
          <w:tcPr>
            <w:tcW w:w="1300" w:type="pct"/>
            <w:vAlign w:val="center"/>
          </w:tcPr>
          <w:p>
            <w:pPr>
              <w:spacing w:line="240" w:lineRule="auto"/>
              <w:jc w:val="right"/>
            </w:pPr>
            <w:r>
              <w:rPr>
                <w:rFonts w:ascii="宋体" w:hAnsi="宋体" w:eastAsia="宋体" w:cs="宋体"/>
                <w:b w:val="0"/>
              </w:rPr>
              <w:t>150,446,152.77</w:t>
            </w:r>
          </w:p>
        </w:tc>
        <w:tc>
          <w:tcPr>
            <w:tcW w:w="1300" w:type="pct"/>
            <w:vAlign w:val="center"/>
          </w:tcPr>
          <w:p>
            <w:pPr>
              <w:spacing w:line="240" w:lineRule="auto"/>
              <w:jc w:val="right"/>
            </w:pPr>
            <w:r>
              <w:rPr>
                <w:rFonts w:ascii="宋体" w:hAnsi="宋体" w:eastAsia="宋体" w:cs="宋体"/>
                <w:b w:val="0"/>
              </w:rPr>
              <w:t>240,921,845.42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报告期期间基金拆分变动份额（份额减少以“-”填列）</w:t>
            </w:r>
          </w:p>
        </w:tc>
        <w:tc>
          <w:tcPr>
            <w:tcW w:w="1300" w:type="pct"/>
            <w:vAlign w:val="center"/>
          </w:tcPr>
          <w:p>
            <w:pPr>
              <w:spacing w:line="240" w:lineRule="auto"/>
              <w:jc w:val="right"/>
            </w:pPr>
            <w:r>
              <w:rPr>
                <w:rFonts w:ascii="宋体" w:hAnsi="宋体" w:eastAsia="宋体" w:cs="宋体"/>
                <w:b w:val="0"/>
              </w:rPr>
              <w:t>-</w:t>
            </w:r>
          </w:p>
        </w:tc>
        <w:tc>
          <w:tcPr>
            <w:tcW w:w="1300" w:type="pct"/>
            <w:vAlign w:val="center"/>
          </w:tcPr>
          <w:p>
            <w:pPr>
              <w:spacing w:line="240" w:lineRule="auto"/>
              <w:jc w:val="right"/>
            </w:pPr>
            <w:r>
              <w:rPr>
                <w:rFonts w:ascii="宋体" w:hAnsi="宋体" w:eastAsia="宋体" w:cs="宋体"/>
                <w:b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pPr>
              <w:spacing w:line="240" w:lineRule="auto"/>
              <w:jc w:val="left"/>
            </w:pPr>
            <w:r>
              <w:rPr>
                <w:rFonts w:ascii="宋体" w:hAnsi="宋体" w:eastAsia="宋体" w:cs="宋体"/>
                <w:b w:val="0"/>
              </w:rPr>
              <w:t>报告期期末基金份额总额</w:t>
            </w:r>
          </w:p>
        </w:tc>
        <w:tc>
          <w:tcPr>
            <w:tcW w:w="1300" w:type="pct"/>
            <w:vAlign w:val="center"/>
          </w:tcPr>
          <w:p>
            <w:pPr>
              <w:spacing w:line="240" w:lineRule="auto"/>
              <w:jc w:val="right"/>
            </w:pPr>
            <w:r>
              <w:rPr>
                <w:rFonts w:ascii="宋体" w:hAnsi="宋体" w:eastAsia="宋体" w:cs="宋体"/>
                <w:b w:val="0"/>
              </w:rPr>
              <w:t>942,658,632.90</w:t>
            </w:r>
          </w:p>
        </w:tc>
        <w:tc>
          <w:tcPr>
            <w:tcW w:w="1300" w:type="pct"/>
            <w:vAlign w:val="center"/>
          </w:tcPr>
          <w:p>
            <w:pPr>
              <w:spacing w:line="240" w:lineRule="auto"/>
              <w:jc w:val="right"/>
            </w:pPr>
            <w:r>
              <w:rPr>
                <w:rFonts w:ascii="宋体" w:hAnsi="宋体" w:eastAsia="宋体" w:cs="宋体"/>
                <w:b w:val="0"/>
              </w:rPr>
              <w:t>322,670,754.31</w:t>
            </w:r>
          </w:p>
        </w:tc>
      </w:tr>
    </w:tbl>
    <w:p>
      <w:pPr>
        <w:pStyle w:val="2"/>
        <w:jc w:val="center"/>
      </w:pPr>
      <w:r>
        <w:rPr>
          <w:rFonts w:ascii="宋体" w:hAnsi="宋体" w:eastAsia="宋体" w:cs="宋体"/>
        </w:rPr>
        <w:t>§7 基金管理人运用固有资金投资本基金情况</w:t>
      </w:r>
    </w:p>
    <w:p>
      <w:pPr>
        <w:pStyle w:val="3"/>
        <w:jc w:val="left"/>
      </w:pPr>
      <w:r>
        <w:rPr>
          <w:rFonts w:ascii="宋体" w:hAnsi="宋体" w:eastAsia="宋体" w:cs="宋体"/>
        </w:rPr>
        <w:t>7.1 基金管理人持有本基金份额变动情况</w:t>
      </w:r>
    </w:p>
    <w:p>
      <w:r>
        <w:rPr>
          <w:rFonts w:ascii="宋体" w:hAnsi="宋体" w:eastAsia="宋体" w:cs="宋体"/>
          <w:b w:val="0"/>
        </w:rPr>
        <w:t xml:space="preserve">    截至本报告期末，本基金管理人未持有本基金份额。</w:t>
      </w:r>
    </w:p>
    <w:p/>
    <w:p>
      <w:pPr>
        <w:pStyle w:val="3"/>
        <w:jc w:val="left"/>
      </w:pPr>
      <w:r>
        <w:rPr>
          <w:rFonts w:ascii="宋体" w:hAnsi="宋体" w:eastAsia="宋体" w:cs="宋体"/>
        </w:rPr>
        <w:t>7.2 基金管理人运用固有资金投资本基金交易明细</w:t>
      </w:r>
    </w:p>
    <w:p>
      <w:r>
        <w:rPr>
          <w:rFonts w:ascii="宋体" w:hAnsi="宋体" w:eastAsia="宋体" w:cs="宋体"/>
          <w:b w:val="0"/>
        </w:rPr>
        <w:t xml:space="preserve">    本报告期内，本基金管理人未运用固有资金投资本基金。</w:t>
      </w:r>
    </w:p>
    <w:p>
      <w:pPr>
        <w:pStyle w:val="2"/>
        <w:jc w:val="center"/>
      </w:pPr>
      <w:r>
        <w:rPr>
          <w:rFonts w:ascii="宋体" w:hAnsi="宋体" w:eastAsia="宋体" w:cs="宋体"/>
        </w:rPr>
        <w:t>§8 报告期末发起式基金发起资金持有份额情况</w:t>
      </w:r>
    </w:p>
    <w:p>
      <w:r>
        <w:rPr>
          <w:rFonts w:ascii="宋体" w:hAnsi="宋体" w:eastAsia="宋体" w:cs="宋体"/>
          <w:b w:val="0"/>
        </w:rPr>
        <w:t xml:space="preserve">    本基金基金合同于2021年07月21日生效。根据本基金基金合同的约定，发起资金认购本基金金额不少于1000万元，且发起资金认购的基金份额持有期限自基金合同生效日起不少于3年。自基金合同生效日起至本报告期末，发起资金认购的本基金基金份额持有期限已满3年。</w:t>
      </w:r>
    </w:p>
    <w:p>
      <w:pPr>
        <w:pStyle w:val="2"/>
        <w:jc w:val="center"/>
      </w:pPr>
      <w:r>
        <w:rPr>
          <w:rFonts w:ascii="宋体" w:hAnsi="宋体" w:eastAsia="宋体" w:cs="宋体"/>
        </w:rPr>
        <w:t>§9 影响投资者决策的其他重要信息</w:t>
      </w:r>
    </w:p>
    <w:p>
      <w:pPr>
        <w:pStyle w:val="3"/>
        <w:jc w:val="left"/>
      </w:pPr>
      <w:r>
        <w:rPr>
          <w:rFonts w:ascii="宋体" w:hAnsi="宋体" w:eastAsia="宋体" w:cs="宋体"/>
        </w:rPr>
        <w:t>9.1 报告期内单一投资者持有基金份额比例达到或超过20%的情况</w:t>
      </w:r>
    </w:p>
    <w:p>
      <w:r>
        <w:rPr>
          <w:rFonts w:ascii="宋体" w:hAnsi="宋体" w:eastAsia="宋体" w:cs="宋体"/>
          <w:b w:val="0"/>
        </w:rPr>
        <w:t xml:space="preserve">    本报告期内，本基金不存在单一投资者持有基金份额比例达到或超过20%的情况。</w:t>
      </w:r>
    </w:p>
    <w:p/>
    <w:p>
      <w:pPr>
        <w:pStyle w:val="3"/>
        <w:jc w:val="left"/>
      </w:pPr>
      <w:r>
        <w:rPr>
          <w:rFonts w:ascii="宋体" w:hAnsi="宋体" w:eastAsia="宋体" w:cs="宋体"/>
        </w:rPr>
        <w:t>9.2 影响投资者决策的其他重要信息</w:t>
      </w:r>
    </w:p>
    <w:p>
      <w:r>
        <w:rPr>
          <w:rFonts w:ascii="宋体" w:hAnsi="宋体" w:eastAsia="宋体" w:cs="宋体"/>
          <w:b w:val="0"/>
        </w:rPr>
        <w:t xml:space="preserve">    无。</w:t>
      </w:r>
    </w:p>
    <w:p>
      <w:pPr>
        <w:pStyle w:val="2"/>
        <w:jc w:val="center"/>
      </w:pPr>
      <w:r>
        <w:rPr>
          <w:rFonts w:ascii="宋体" w:hAnsi="宋体" w:eastAsia="宋体" w:cs="宋体"/>
        </w:rPr>
        <w:t>§10 备查文件目录</w:t>
      </w:r>
    </w:p>
    <w:p>
      <w:pPr>
        <w:pStyle w:val="3"/>
        <w:jc w:val="left"/>
      </w:pPr>
      <w:r>
        <w:rPr>
          <w:rFonts w:ascii="宋体" w:hAnsi="宋体" w:eastAsia="宋体" w:cs="宋体"/>
        </w:rPr>
        <w:t>10.1 备查文件目录</w:t>
      </w:r>
    </w:p>
    <w:p>
      <w:r>
        <w:rPr>
          <w:rFonts w:ascii="宋体" w:hAnsi="宋体" w:eastAsia="宋体" w:cs="宋体"/>
          <w:b w:val="0"/>
        </w:rPr>
        <w:t xml:space="preserve">    1、中国证券监督管理委员会批准的东方阿尔法产业先锋混合型发起式证券投资基金设立的文件；</w:t>
      </w:r>
      <w:r>
        <w:rPr>
          <w:rFonts w:ascii="宋体" w:hAnsi="宋体" w:eastAsia="宋体" w:cs="宋体"/>
          <w:b w:val="0"/>
        </w:rPr>
        <w:br w:type="textWrapping"/>
      </w:r>
      <w:r>
        <w:rPr>
          <w:rFonts w:ascii="宋体" w:hAnsi="宋体" w:eastAsia="宋体" w:cs="宋体"/>
          <w:b w:val="0"/>
        </w:rPr>
        <w:t xml:space="preserve">    2、《东方阿尔法产业先锋混合型发起式证券投资基金基金合同》；</w:t>
      </w:r>
      <w:r>
        <w:rPr>
          <w:rFonts w:ascii="宋体" w:hAnsi="宋体" w:eastAsia="宋体" w:cs="宋体"/>
          <w:b w:val="0"/>
        </w:rPr>
        <w:br w:type="textWrapping"/>
      </w:r>
      <w:r>
        <w:rPr>
          <w:rFonts w:ascii="宋体" w:hAnsi="宋体" w:eastAsia="宋体" w:cs="宋体"/>
          <w:b w:val="0"/>
        </w:rPr>
        <w:t xml:space="preserve">    3、《东方阿尔法产业先锋混合型发起式证券投资基金托管协议》；</w:t>
      </w:r>
      <w:r>
        <w:rPr>
          <w:rFonts w:ascii="宋体" w:hAnsi="宋体" w:eastAsia="宋体" w:cs="宋体"/>
          <w:b w:val="0"/>
        </w:rPr>
        <w:br w:type="textWrapping"/>
      </w:r>
      <w:r>
        <w:rPr>
          <w:rFonts w:ascii="宋体" w:hAnsi="宋体" w:eastAsia="宋体" w:cs="宋体"/>
          <w:b w:val="0"/>
        </w:rPr>
        <w:t xml:space="preserve">    4、《东方阿尔法产业先锋混合型发起式证券投资基金招募说明书》（含更新）；</w:t>
      </w:r>
      <w:r>
        <w:rPr>
          <w:rFonts w:ascii="宋体" w:hAnsi="宋体" w:eastAsia="宋体" w:cs="宋体"/>
          <w:b w:val="0"/>
        </w:rPr>
        <w:br w:type="textWrapping"/>
      </w:r>
      <w:r>
        <w:rPr>
          <w:rFonts w:ascii="宋体" w:hAnsi="宋体" w:eastAsia="宋体" w:cs="宋体"/>
          <w:b w:val="0"/>
        </w:rPr>
        <w:t xml:space="preserve">    5、基金管理人业务资格批件和营业执照。</w:t>
      </w:r>
    </w:p>
    <w:p/>
    <w:p>
      <w:pPr>
        <w:pStyle w:val="3"/>
        <w:jc w:val="left"/>
      </w:pPr>
      <w:r>
        <w:rPr>
          <w:rFonts w:ascii="宋体" w:hAnsi="宋体" w:eastAsia="宋体" w:cs="宋体"/>
        </w:rPr>
        <w:t>10.2 存放地点</w:t>
      </w:r>
    </w:p>
    <w:p>
      <w:r>
        <w:rPr>
          <w:rFonts w:ascii="宋体" w:hAnsi="宋体" w:eastAsia="宋体" w:cs="宋体"/>
          <w:b w:val="0"/>
        </w:rPr>
        <w:t xml:space="preserve">    基金管理人和基金托管人的住所。</w:t>
      </w:r>
    </w:p>
    <w:p/>
    <w:p>
      <w:pPr>
        <w:pStyle w:val="3"/>
        <w:jc w:val="left"/>
      </w:pPr>
      <w:r>
        <w:rPr>
          <w:rFonts w:ascii="宋体" w:hAnsi="宋体" w:eastAsia="宋体" w:cs="宋体"/>
        </w:rPr>
        <w:t>10.3 查阅方式</w:t>
      </w:r>
    </w:p>
    <w:p>
      <w:r>
        <w:rPr>
          <w:rFonts w:ascii="宋体" w:hAnsi="宋体" w:eastAsia="宋体" w:cs="宋体"/>
          <w:b w:val="0"/>
        </w:rPr>
        <w:t xml:space="preserve">    1、投资者可在营业时间免费查阅，也可按工本费购买复印件。</w:t>
      </w:r>
      <w:r>
        <w:rPr>
          <w:rFonts w:ascii="宋体" w:hAnsi="宋体" w:eastAsia="宋体" w:cs="宋体"/>
          <w:b w:val="0"/>
        </w:rPr>
        <w:br w:type="textWrapping"/>
      </w:r>
      <w:r>
        <w:rPr>
          <w:rFonts w:ascii="宋体" w:hAnsi="宋体" w:eastAsia="宋体" w:cs="宋体"/>
          <w:b w:val="0"/>
        </w:rPr>
        <w:t xml:space="preserve">    2、投资者对本报告书如有疑问，可咨询本基金管理人东方阿尔法基金管理有限公司，客户服务电话：400-930-6677（免长途话费）。</w:t>
      </w:r>
      <w:r>
        <w:rPr>
          <w:rFonts w:ascii="宋体" w:hAnsi="宋体" w:eastAsia="宋体" w:cs="宋体"/>
          <w:b w:val="0"/>
        </w:rPr>
        <w:br w:type="textWrapping"/>
      </w:r>
      <w:r>
        <w:rPr>
          <w:rFonts w:ascii="宋体" w:hAnsi="宋体" w:eastAsia="宋体" w:cs="宋体"/>
          <w:b w:val="0"/>
        </w:rPr>
        <w:t xml:space="preserve">    3、投资者可通过中国证监会基金电子披露网站（http://eid.csrc.gov.cn/fund/）和基金管理人网站（https://www.dfa66.com）查阅本报告书。</w:t>
      </w:r>
    </w:p>
    <w:p/>
    <w:p/>
    <w:p/>
    <w:p>
      <w:pPr>
        <w:jc w:val="right"/>
      </w:pPr>
      <w:r>
        <w:rPr>
          <w:rFonts w:ascii="宋体" w:hAnsi="宋体" w:eastAsia="宋体" w:cs="宋体"/>
          <w:b/>
        </w:rPr>
        <w:t>东方阿尔法基金管理有限公司</w:t>
      </w:r>
    </w:p>
    <w:p>
      <w:pPr>
        <w:jc w:val="right"/>
      </w:pPr>
      <w:r>
        <w:rPr>
          <w:rFonts w:ascii="宋体" w:hAnsi="宋体" w:eastAsia="宋体" w:cs="宋体"/>
          <w:b/>
        </w:rPr>
        <w:t>二〇二六年七月二十日</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418" w:bottom="1440" w:left="1418"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single" w:color="auto" w:sz="2" w:space="0"/>
      </w:pBdr>
      <w:tabs>
        <w:tab w:val="right" w:pos="8640"/>
      </w:tabs>
      <w:jc w:val="center"/>
      <w:textAlignment w:val="center"/>
      <w:rPr>
        <w:rFonts w:ascii="宋体" w:hAnsi="宋体" w:eastAsia="宋体"/>
        <w:sz w:val="20"/>
        <w:szCs w:val="20"/>
      </w:rPr>
    </w:pPr>
    <w:r>
      <w:rPr>
        <w:rFonts w:hint="eastAsia" w:ascii="宋体" w:hAnsi="宋体" w:eastAsia="宋体" w:cs="宋体"/>
        <w:sz w:val="20"/>
        <w:szCs w:val="20"/>
        <w:lang w:bidi="ar"/>
      </w:rPr>
      <w:t>第</w:t>
    </w:r>
    <w:r>
      <w:rPr>
        <w:rFonts w:hint="eastAsia" w:ascii="宋体" w:hAnsi="宋体" w:eastAsia="宋体" w:cs="Times New Roman"/>
        <w:sz w:val="20"/>
        <w:szCs w:val="20"/>
        <w:lang w:bidi="ar"/>
      </w:rPr>
      <w:fldChar w:fldCharType="begin"/>
    </w:r>
    <w:r>
      <w:rPr>
        <w:rFonts w:hint="eastAsia" w:ascii="宋体" w:hAnsi="宋体" w:eastAsia="宋体" w:cs="宋体"/>
        <w:sz w:val="20"/>
        <w:szCs w:val="20"/>
        <w:lang w:bidi="ar"/>
      </w:rPr>
      <w:instrText xml:space="preserve">PAGE  \* MERGEFORMAT</w:instrText>
    </w:r>
    <w:r>
      <w:rPr>
        <w:rFonts w:hint="eastAsia" w:ascii="宋体" w:hAnsi="宋体" w:eastAsia="宋体" w:cs="Times New Roman"/>
        <w:sz w:val="20"/>
        <w:szCs w:val="20"/>
        <w:lang w:bidi="ar"/>
      </w:rPr>
      <w:fldChar w:fldCharType="separate"/>
    </w:r>
    <w:r>
      <w:rPr>
        <w:rFonts w:ascii="宋体" w:hAnsi="宋体" w:eastAsia="宋体" w:cs="宋体"/>
        <w:sz w:val="20"/>
        <w:szCs w:val="20"/>
        <w:lang w:bidi="ar"/>
      </w:rPr>
      <w:t>2</w:t>
    </w:r>
    <w:r>
      <w:rPr>
        <w:rFonts w:hint="eastAsia" w:ascii="宋体" w:hAnsi="宋体" w:eastAsia="宋体" w:cs="宋体"/>
        <w:sz w:val="20"/>
        <w:szCs w:val="20"/>
        <w:lang w:bidi="ar"/>
      </w:rPr>
      <w:fldChar w:fldCharType="end"/>
    </w:r>
    <w:r>
      <w:rPr>
        <w:rFonts w:hint="eastAsia" w:ascii="宋体" w:hAnsi="宋体" w:eastAsia="宋体" w:cs="宋体"/>
        <w:sz w:val="20"/>
        <w:szCs w:val="20"/>
        <w:lang w:bidi="ar"/>
      </w:rPr>
      <w:t>页，共</w:t>
    </w:r>
    <w:r>
      <w:rPr>
        <w:rFonts w:hint="eastAsia" w:ascii="宋体" w:hAnsi="宋体" w:eastAsia="宋体" w:cs="Times New Roman"/>
        <w:sz w:val="20"/>
        <w:szCs w:val="20"/>
        <w:lang w:bidi="ar"/>
      </w:rPr>
      <w:fldChar w:fldCharType="begin"/>
    </w:r>
    <w:r>
      <w:rPr>
        <w:rFonts w:ascii="宋体" w:hAnsi="宋体" w:eastAsia="宋体" w:cs="Times New Roman"/>
        <w:sz w:val="20"/>
        <w:szCs w:val="20"/>
        <w:lang w:bidi="ar"/>
      </w:rPr>
      <w:instrText xml:space="preserve">=</w:instrText>
    </w:r>
    <w:r>
      <w:rPr>
        <w:rFonts w:ascii="宋体" w:hAnsi="宋体" w:eastAsia="宋体" w:cs="宋体"/>
        <w:sz w:val="20"/>
        <w:szCs w:val="20"/>
        <w:lang w:bidi="ar"/>
      </w:rPr>
      <w:fldChar w:fldCharType="begin"/>
    </w:r>
    <w:r>
      <w:rPr>
        <w:rFonts w:ascii="宋体" w:hAnsi="宋体" w:eastAsia="宋体" w:cs="宋体"/>
        <w:sz w:val="20"/>
        <w:szCs w:val="20"/>
        <w:lang w:bidi="ar"/>
      </w:rPr>
      <w:instrText xml:space="preserve"> </w:instrText>
    </w:r>
    <w:r>
      <w:rPr>
        <w:rFonts w:hint="eastAsia" w:ascii="宋体" w:hAnsi="宋体" w:eastAsia="宋体" w:cs="宋体"/>
        <w:sz w:val="20"/>
        <w:szCs w:val="20"/>
        <w:lang w:bidi="ar"/>
      </w:rPr>
      <w:instrText xml:space="preserve">NUMPAGES</w:instrText>
    </w:r>
    <w:r>
      <w:rPr>
        <w:rFonts w:ascii="宋体" w:hAnsi="宋体" w:eastAsia="宋体" w:cs="宋体"/>
        <w:sz w:val="20"/>
        <w:szCs w:val="20"/>
        <w:lang w:bidi="ar"/>
      </w:rPr>
      <w:instrText xml:space="preserve"> </w:instrText>
    </w:r>
    <w:r>
      <w:rPr>
        <w:rFonts w:ascii="宋体" w:hAnsi="宋体" w:eastAsia="宋体" w:cs="宋体"/>
        <w:sz w:val="20"/>
        <w:szCs w:val="20"/>
        <w:lang w:bidi="ar"/>
      </w:rPr>
      <w:fldChar w:fldCharType="separate"/>
    </w:r>
    <w:r>
      <w:rPr>
        <w:rFonts w:ascii="宋体" w:hAnsi="宋体" w:eastAsia="宋体" w:cs="宋体"/>
        <w:sz w:val="20"/>
        <w:szCs w:val="20"/>
        <w:lang w:bidi="ar"/>
      </w:rPr>
      <w:instrText xml:space="preserve">2</w:instrText>
    </w:r>
    <w:r>
      <w:rPr>
        <w:rFonts w:ascii="宋体" w:hAnsi="宋体" w:eastAsia="宋体" w:cs="宋体"/>
        <w:sz w:val="20"/>
        <w:szCs w:val="20"/>
        <w:lang w:bidi="ar"/>
      </w:rPr>
      <w:fldChar w:fldCharType="end"/>
    </w:r>
    <w:r>
      <w:rPr>
        <w:rFonts w:ascii="宋体" w:hAnsi="宋体" w:eastAsia="宋体" w:cs="宋体"/>
        <w:sz w:val="20"/>
        <w:szCs w:val="20"/>
        <w:lang w:bidi="ar"/>
      </w:rPr>
      <w:instrText xml:space="preserve">-1</w:instrText>
    </w:r>
    <w:r>
      <w:rPr>
        <w:rFonts w:hint="eastAsia" w:ascii="宋体" w:hAnsi="宋体" w:eastAsia="宋体" w:cs="Times New Roman"/>
        <w:sz w:val="20"/>
        <w:szCs w:val="20"/>
        <w:lang w:bidi="ar"/>
      </w:rPr>
      <w:fldChar w:fldCharType="separate"/>
    </w:r>
    <w:r>
      <w:rPr>
        <w:rFonts w:ascii="宋体" w:hAnsi="宋体" w:eastAsia="宋体" w:cs="Times New Roman"/>
        <w:sz w:val="20"/>
        <w:szCs w:val="20"/>
        <w:lang w:bidi="ar"/>
      </w:rPr>
      <w:t>1</w:t>
    </w:r>
    <w:r>
      <w:rPr>
        <w:rFonts w:hint="eastAsia" w:ascii="宋体" w:hAnsi="宋体" w:eastAsia="宋体" w:cs="宋体"/>
        <w:sz w:val="20"/>
        <w:szCs w:val="20"/>
        <w:lang w:bidi="ar"/>
      </w:rPr>
      <w:fldChar w:fldCharType="end"/>
    </w:r>
    <w:r>
      <w:rPr>
        <w:rFonts w:hint="eastAsia" w:ascii="宋体" w:hAnsi="宋体" w:eastAsia="宋体" w:cs="宋体"/>
        <w:sz w:val="20"/>
        <w:szCs w:val="20"/>
        <w:lang w:bidi="ar"/>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jc w:val="right"/>
      <w:rPr>
        <w:rFonts w:ascii="宋体" w:hAnsi="宋体" w:eastAsia="宋体"/>
      </w:rPr>
    </w:pPr>
    <w:r>
      <w:rPr>
        <w:rFonts w:hint="eastAsia" w:ascii="宋体" w:hAnsi="宋体" w:eastAsia="宋体"/>
        <w:sz w:val="18"/>
      </w:rPr>
      <w:t>东方阿尔法产业先锋混合型发起式证券投资基金2026年第2季度报告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4F1"/>
    <w:rsid w:val="00031D8B"/>
    <w:rsid w:val="00033BEA"/>
    <w:rsid w:val="00093312"/>
    <w:rsid w:val="000934BF"/>
    <w:rsid w:val="000B0ABB"/>
    <w:rsid w:val="000B14F1"/>
    <w:rsid w:val="000D44F1"/>
    <w:rsid w:val="000F65E0"/>
    <w:rsid w:val="001567AA"/>
    <w:rsid w:val="001663E4"/>
    <w:rsid w:val="001941F0"/>
    <w:rsid w:val="001A0694"/>
    <w:rsid w:val="001A6F82"/>
    <w:rsid w:val="001E49DE"/>
    <w:rsid w:val="001E604E"/>
    <w:rsid w:val="001E72DB"/>
    <w:rsid w:val="00210325"/>
    <w:rsid w:val="00217CEB"/>
    <w:rsid w:val="0026022A"/>
    <w:rsid w:val="00294812"/>
    <w:rsid w:val="002C6A0C"/>
    <w:rsid w:val="002D4665"/>
    <w:rsid w:val="00315609"/>
    <w:rsid w:val="00324653"/>
    <w:rsid w:val="0039693D"/>
    <w:rsid w:val="00396EB6"/>
    <w:rsid w:val="003B4810"/>
    <w:rsid w:val="00421707"/>
    <w:rsid w:val="004245F7"/>
    <w:rsid w:val="00435171"/>
    <w:rsid w:val="0048630B"/>
    <w:rsid w:val="004A5321"/>
    <w:rsid w:val="004F33D8"/>
    <w:rsid w:val="004F7772"/>
    <w:rsid w:val="005037A9"/>
    <w:rsid w:val="00514F66"/>
    <w:rsid w:val="00536F98"/>
    <w:rsid w:val="005370B1"/>
    <w:rsid w:val="0054091C"/>
    <w:rsid w:val="005826D5"/>
    <w:rsid w:val="005B565C"/>
    <w:rsid w:val="005D1F67"/>
    <w:rsid w:val="00657345"/>
    <w:rsid w:val="00686AE6"/>
    <w:rsid w:val="006935A0"/>
    <w:rsid w:val="00695511"/>
    <w:rsid w:val="006C560C"/>
    <w:rsid w:val="007A3B64"/>
    <w:rsid w:val="007B3AFF"/>
    <w:rsid w:val="007F3D78"/>
    <w:rsid w:val="00801225"/>
    <w:rsid w:val="00832DA1"/>
    <w:rsid w:val="008432E9"/>
    <w:rsid w:val="008F2779"/>
    <w:rsid w:val="00917A48"/>
    <w:rsid w:val="0092608A"/>
    <w:rsid w:val="00931CFE"/>
    <w:rsid w:val="009A04DF"/>
    <w:rsid w:val="009A27BD"/>
    <w:rsid w:val="009C2384"/>
    <w:rsid w:val="009C68F3"/>
    <w:rsid w:val="009F43BC"/>
    <w:rsid w:val="00A53CFE"/>
    <w:rsid w:val="00A76644"/>
    <w:rsid w:val="00AB695A"/>
    <w:rsid w:val="00B02205"/>
    <w:rsid w:val="00B659D3"/>
    <w:rsid w:val="00BA1D2B"/>
    <w:rsid w:val="00BB3931"/>
    <w:rsid w:val="00BB5499"/>
    <w:rsid w:val="00BD2190"/>
    <w:rsid w:val="00C05CA1"/>
    <w:rsid w:val="00C06BEF"/>
    <w:rsid w:val="00C1377F"/>
    <w:rsid w:val="00C370BD"/>
    <w:rsid w:val="00C86ED5"/>
    <w:rsid w:val="00CA50CC"/>
    <w:rsid w:val="00CF2DE6"/>
    <w:rsid w:val="00D155B6"/>
    <w:rsid w:val="00D91EBF"/>
    <w:rsid w:val="00DB110D"/>
    <w:rsid w:val="00DE3FE0"/>
    <w:rsid w:val="00E220FA"/>
    <w:rsid w:val="00E44EAD"/>
    <w:rsid w:val="00E6731E"/>
    <w:rsid w:val="00E67AEA"/>
    <w:rsid w:val="00E913D3"/>
    <w:rsid w:val="00EC2CEF"/>
    <w:rsid w:val="00EE18AB"/>
    <w:rsid w:val="00F07C93"/>
    <w:rsid w:val="00F1496B"/>
    <w:rsid w:val="00F32DCB"/>
    <w:rsid w:val="00FA0949"/>
    <w:rsid w:val="00FA22F7"/>
    <w:rsid w:val="00FA6399"/>
    <w:rsid w:val="00FE53D3"/>
    <w:rsid w:val="17FF4F08"/>
    <w:rsid w:val="312016A7"/>
    <w:rsid w:val="328572ED"/>
    <w:rsid w:val="3E9A1429"/>
    <w:rsid w:val="4AF67FE1"/>
    <w:rsid w:val="5EE34946"/>
    <w:rsid w:val="617B36EC"/>
    <w:rsid w:val="62671060"/>
    <w:rsid w:val="67517C74"/>
    <w:rsid w:val="791E22E2"/>
    <w:rsid w:val="7A382AC9"/>
    <w:rsid w:val="7F246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qFormat="1" w:uiPriority="39" w:semiHidden="0" w:name="toc 3"/>
    <w:lsdException w:uiPriority="39" w:semiHidden="0" w:name="toc 4"/>
    <w:lsdException w:qFormat="1" w:uiPriority="39" w:semiHidden="0" w:name="toc 5"/>
    <w:lsdException w:uiPriority="39" w:semiHidden="0" w:name="toc 6"/>
    <w:lsdException w:qFormat="1" w:uiPriority="39" w:semiHidden="0" w:name="toc 7"/>
    <w:lsdException w:qFormat="1" w:uiPriority="39" w:semiHidden="0" w:name="toc 8"/>
    <w:lsdException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qFormat="1" w:uiPriority="61"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88" w:lineRule="auto"/>
      <w:jc w:val="both"/>
    </w:pPr>
    <w:rPr>
      <w:rFonts w:eastAsia="宋体" w:asciiTheme="minorHAnsi" w:hAnsiTheme="minorHAnsi" w:cstheme="minorBidi"/>
      <w:kern w:val="2"/>
      <w:sz w:val="21"/>
      <w:szCs w:val="21"/>
      <w:lang w:val="en-US" w:eastAsia="zh-CN" w:bidi="ar-SA"/>
    </w:rPr>
  </w:style>
  <w:style w:type="paragraph" w:styleId="2">
    <w:name w:val="heading 1"/>
    <w:basedOn w:val="1"/>
    <w:next w:val="1"/>
    <w:link w:val="37"/>
    <w:qFormat/>
    <w:uiPriority w:val="9"/>
    <w:pPr>
      <w:spacing w:before="340" w:after="330" w:line="576" w:lineRule="auto"/>
      <w:jc w:val="center"/>
      <w:outlineLvl w:val="0"/>
    </w:pPr>
    <w:rPr>
      <w:b/>
      <w:bCs/>
      <w:kern w:val="44"/>
      <w:sz w:val="24"/>
      <w:szCs w:val="44"/>
    </w:rPr>
  </w:style>
  <w:style w:type="paragraph" w:styleId="3">
    <w:name w:val="heading 2"/>
    <w:basedOn w:val="1"/>
    <w:next w:val="1"/>
    <w:link w:val="38"/>
    <w:unhideWhenUsed/>
    <w:qFormat/>
    <w:uiPriority w:val="9"/>
    <w:pPr>
      <w:adjustRightInd w:val="0"/>
      <w:spacing w:line="360" w:lineRule="auto"/>
      <w:jc w:val="left"/>
      <w:outlineLvl w:val="1"/>
    </w:pPr>
    <w:rPr>
      <w:rFonts w:asciiTheme="majorHAnsi" w:hAnsiTheme="majorHAnsi" w:cstheme="majorBidi"/>
      <w:b/>
      <w:bCs/>
      <w:sz w:val="24"/>
      <w:szCs w:val="32"/>
    </w:rPr>
  </w:style>
  <w:style w:type="paragraph" w:styleId="4">
    <w:name w:val="heading 3"/>
    <w:basedOn w:val="1"/>
    <w:next w:val="1"/>
    <w:link w:val="39"/>
    <w:unhideWhenUsed/>
    <w:qFormat/>
    <w:uiPriority w:val="9"/>
    <w:pPr>
      <w:keepNext/>
      <w:keepLines/>
      <w:spacing w:line="360" w:lineRule="auto"/>
      <w:outlineLvl w:val="2"/>
    </w:pPr>
    <w:rPr>
      <w:b/>
      <w:bCs/>
      <w:sz w:val="24"/>
      <w:szCs w:val="32"/>
    </w:rPr>
  </w:style>
  <w:style w:type="paragraph" w:styleId="5">
    <w:name w:val="heading 4"/>
    <w:basedOn w:val="1"/>
    <w:next w:val="1"/>
    <w:link w:val="40"/>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30">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1260"/>
      <w:jc w:val="left"/>
    </w:pPr>
    <w:rPr>
      <w:sz w:val="18"/>
      <w:szCs w:val="18"/>
    </w:rPr>
  </w:style>
  <w:style w:type="paragraph" w:styleId="7">
    <w:name w:val="Normal Indent"/>
    <w:basedOn w:val="1"/>
    <w:link w:val="41"/>
    <w:semiHidden/>
    <w:unhideWhenUsed/>
    <w:uiPriority w:val="99"/>
    <w:pPr>
      <w:ind w:firstLine="420" w:firstLineChars="200"/>
    </w:pPr>
  </w:style>
  <w:style w:type="paragraph" w:styleId="8">
    <w:name w:val="Document Map"/>
    <w:basedOn w:val="1"/>
    <w:link w:val="57"/>
    <w:semiHidden/>
    <w:unhideWhenUsed/>
    <w:qFormat/>
    <w:uiPriority w:val="99"/>
    <w:rPr>
      <w:rFonts w:ascii="宋体"/>
      <w:sz w:val="18"/>
      <w:szCs w:val="18"/>
    </w:rPr>
  </w:style>
  <w:style w:type="paragraph" w:styleId="9">
    <w:name w:val="annotation text"/>
    <w:basedOn w:val="1"/>
    <w:link w:val="42"/>
    <w:semiHidden/>
    <w:unhideWhenUsed/>
    <w:qFormat/>
    <w:uiPriority w:val="99"/>
    <w:pPr>
      <w:jc w:val="left"/>
    </w:pPr>
  </w:style>
  <w:style w:type="paragraph" w:styleId="10">
    <w:name w:val="Body Text"/>
    <w:basedOn w:val="1"/>
    <w:link w:val="45"/>
    <w:semiHidden/>
    <w:unhideWhenUsed/>
    <w:qFormat/>
    <w:uiPriority w:val="99"/>
    <w:pPr>
      <w:spacing w:after="120"/>
    </w:pPr>
  </w:style>
  <w:style w:type="paragraph" w:styleId="11">
    <w:name w:val="toc 5"/>
    <w:basedOn w:val="1"/>
    <w:next w:val="1"/>
    <w:unhideWhenUsed/>
    <w:qFormat/>
    <w:uiPriority w:val="39"/>
    <w:pPr>
      <w:ind w:left="840"/>
      <w:jc w:val="left"/>
    </w:pPr>
    <w:rPr>
      <w:sz w:val="18"/>
      <w:szCs w:val="18"/>
    </w:rPr>
  </w:style>
  <w:style w:type="paragraph" w:styleId="12">
    <w:name w:val="toc 3"/>
    <w:basedOn w:val="1"/>
    <w:next w:val="1"/>
    <w:unhideWhenUsed/>
    <w:qFormat/>
    <w:uiPriority w:val="39"/>
    <w:pPr>
      <w:spacing w:line="240" w:lineRule="auto"/>
      <w:ind w:left="420"/>
      <w:jc w:val="left"/>
    </w:pPr>
    <w:rPr>
      <w:i/>
      <w:iCs/>
      <w:szCs w:val="20"/>
    </w:rPr>
  </w:style>
  <w:style w:type="paragraph" w:styleId="13">
    <w:name w:val="Plain Text"/>
    <w:basedOn w:val="1"/>
    <w:link w:val="47"/>
    <w:semiHidden/>
    <w:unhideWhenUsed/>
    <w:qFormat/>
    <w:uiPriority w:val="99"/>
    <w:rPr>
      <w:rFonts w:hAnsi="Courier New" w:cs="Courier New" w:asciiTheme="minorEastAsia"/>
    </w:rPr>
  </w:style>
  <w:style w:type="paragraph" w:styleId="14">
    <w:name w:val="toc 8"/>
    <w:basedOn w:val="1"/>
    <w:next w:val="1"/>
    <w:unhideWhenUsed/>
    <w:qFormat/>
    <w:uiPriority w:val="39"/>
    <w:pPr>
      <w:ind w:left="1470"/>
      <w:jc w:val="left"/>
    </w:pPr>
    <w:rPr>
      <w:rFonts w:eastAsiaTheme="minorHAnsi"/>
      <w:sz w:val="18"/>
      <w:szCs w:val="18"/>
    </w:rPr>
  </w:style>
  <w:style w:type="paragraph" w:styleId="15">
    <w:name w:val="Date"/>
    <w:basedOn w:val="1"/>
    <w:next w:val="1"/>
    <w:link w:val="46"/>
    <w:semiHidden/>
    <w:unhideWhenUsed/>
    <w:qFormat/>
    <w:uiPriority w:val="99"/>
    <w:pPr>
      <w:ind w:left="100" w:leftChars="2500"/>
    </w:pPr>
  </w:style>
  <w:style w:type="paragraph" w:styleId="16">
    <w:name w:val="Balloon Text"/>
    <w:basedOn w:val="1"/>
    <w:link w:val="49"/>
    <w:semiHidden/>
    <w:unhideWhenUsed/>
    <w:qFormat/>
    <w:uiPriority w:val="99"/>
    <w:rPr>
      <w:sz w:val="18"/>
      <w:szCs w:val="18"/>
    </w:rPr>
  </w:style>
  <w:style w:type="paragraph" w:styleId="17">
    <w:name w:val="footer"/>
    <w:basedOn w:val="1"/>
    <w:link w:val="44"/>
    <w:unhideWhenUsed/>
    <w:qFormat/>
    <w:uiPriority w:val="99"/>
    <w:pPr>
      <w:tabs>
        <w:tab w:val="center" w:pos="4153"/>
        <w:tab w:val="right" w:pos="8306"/>
      </w:tabs>
      <w:snapToGrid w:val="0"/>
      <w:jc w:val="left"/>
    </w:pPr>
    <w:rPr>
      <w:sz w:val="18"/>
      <w:szCs w:val="18"/>
    </w:rPr>
  </w:style>
  <w:style w:type="paragraph" w:styleId="18">
    <w:name w:val="header"/>
    <w:basedOn w:val="1"/>
    <w:link w:val="43"/>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uiPriority w:val="39"/>
    <w:pPr>
      <w:tabs>
        <w:tab w:val="right" w:leader="dot" w:pos="9060"/>
      </w:tabs>
      <w:spacing w:line="240" w:lineRule="auto"/>
      <w:jc w:val="left"/>
    </w:pPr>
    <w:rPr>
      <w:b/>
      <w:bCs/>
      <w:caps/>
      <w:szCs w:val="20"/>
    </w:rPr>
  </w:style>
  <w:style w:type="paragraph" w:styleId="20">
    <w:name w:val="toc 4"/>
    <w:basedOn w:val="1"/>
    <w:next w:val="1"/>
    <w:unhideWhenUsed/>
    <w:uiPriority w:val="39"/>
    <w:pPr>
      <w:ind w:left="630"/>
      <w:jc w:val="left"/>
    </w:pPr>
    <w:rPr>
      <w:sz w:val="18"/>
      <w:szCs w:val="18"/>
    </w:rPr>
  </w:style>
  <w:style w:type="paragraph" w:styleId="21">
    <w:name w:val="toc 6"/>
    <w:basedOn w:val="1"/>
    <w:next w:val="1"/>
    <w:unhideWhenUsed/>
    <w:uiPriority w:val="39"/>
    <w:pPr>
      <w:ind w:left="1050"/>
      <w:jc w:val="left"/>
    </w:pPr>
    <w:rPr>
      <w:sz w:val="18"/>
      <w:szCs w:val="18"/>
    </w:rPr>
  </w:style>
  <w:style w:type="paragraph" w:styleId="22">
    <w:name w:val="toc 2"/>
    <w:basedOn w:val="1"/>
    <w:next w:val="1"/>
    <w:unhideWhenUsed/>
    <w:uiPriority w:val="39"/>
    <w:pPr>
      <w:spacing w:line="240" w:lineRule="auto"/>
      <w:ind w:left="210"/>
      <w:jc w:val="left"/>
    </w:pPr>
    <w:rPr>
      <w:smallCaps/>
      <w:szCs w:val="20"/>
    </w:rPr>
  </w:style>
  <w:style w:type="paragraph" w:styleId="23">
    <w:name w:val="toc 9"/>
    <w:basedOn w:val="1"/>
    <w:next w:val="1"/>
    <w:unhideWhenUsed/>
    <w:uiPriority w:val="39"/>
    <w:pPr>
      <w:ind w:left="1680"/>
      <w:jc w:val="left"/>
    </w:pPr>
    <w:rPr>
      <w:rFonts w:eastAsiaTheme="minorHAnsi"/>
      <w:sz w:val="18"/>
      <w:szCs w:val="18"/>
    </w:rPr>
  </w:style>
  <w:style w:type="paragraph" w:styleId="24">
    <w:name w:val="Normal (Web)"/>
    <w:basedOn w:val="1"/>
    <w:semiHidden/>
    <w:unhideWhenUsed/>
    <w:uiPriority w:val="99"/>
    <w:rPr>
      <w:rFonts w:ascii="Times New Roman" w:hAnsi="Times New Roman" w:cs="宋体"/>
      <w:sz w:val="24"/>
      <w:szCs w:val="24"/>
    </w:rPr>
  </w:style>
  <w:style w:type="paragraph" w:styleId="25">
    <w:name w:val="Title"/>
    <w:basedOn w:val="1"/>
    <w:next w:val="1"/>
    <w:link w:val="51"/>
    <w:qFormat/>
    <w:uiPriority w:val="10"/>
    <w:pPr>
      <w:spacing w:before="240" w:after="60"/>
      <w:jc w:val="center"/>
      <w:outlineLvl w:val="0"/>
    </w:pPr>
    <w:rPr>
      <w:rFonts w:asciiTheme="majorHAnsi" w:hAnsiTheme="majorHAnsi" w:eastAsiaTheme="majorEastAsia" w:cstheme="majorBidi"/>
      <w:b/>
      <w:bCs/>
      <w:sz w:val="32"/>
      <w:szCs w:val="32"/>
    </w:rPr>
  </w:style>
  <w:style w:type="paragraph" w:styleId="26">
    <w:name w:val="annotation subject"/>
    <w:basedOn w:val="9"/>
    <w:next w:val="9"/>
    <w:link w:val="48"/>
    <w:semiHidden/>
    <w:unhideWhenUsed/>
    <w:qFormat/>
    <w:uiPriority w:val="99"/>
    <w:rPr>
      <w:b/>
      <w:bCs/>
    </w:rPr>
  </w:style>
  <w:style w:type="table" w:styleId="28">
    <w:name w:val="Table Grid"/>
    <w:basedOn w:val="27"/>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9">
    <w:name w:val="Light List Accent 1"/>
    <w:basedOn w:val="27"/>
    <w:semiHidden/>
    <w:unhideWhenUsed/>
    <w:qFormat/>
    <w:uiPriority w:val="61"/>
    <w:rPr>
      <w:rFonts w:ascii="Times New Roman" w:hAnsi="Times New Roman" w:eastAsia="宋体" w:cs="Times New Roman"/>
      <w:kern w:val="0"/>
      <w:sz w:val="20"/>
      <w:szCs w:val="20"/>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character" w:styleId="31">
    <w:name w:val="Strong"/>
    <w:basedOn w:val="30"/>
    <w:qFormat/>
    <w:uiPriority w:val="22"/>
    <w:rPr>
      <w:b/>
      <w:bCs/>
    </w:rPr>
  </w:style>
  <w:style w:type="character" w:styleId="32">
    <w:name w:val="Hyperlink"/>
    <w:basedOn w:val="30"/>
    <w:unhideWhenUsed/>
    <w:uiPriority w:val="99"/>
    <w:rPr>
      <w:color w:val="0000FF"/>
      <w:u w:val="single"/>
    </w:rPr>
  </w:style>
  <w:style w:type="character" w:styleId="33">
    <w:name w:val="HTML Code"/>
    <w:basedOn w:val="30"/>
    <w:semiHidden/>
    <w:unhideWhenUsed/>
    <w:uiPriority w:val="99"/>
    <w:rPr>
      <w:rFonts w:ascii="Courier New" w:hAnsi="Courier New" w:cs="Courier New"/>
      <w:sz w:val="20"/>
      <w:szCs w:val="20"/>
    </w:rPr>
  </w:style>
  <w:style w:type="character" w:styleId="34">
    <w:name w:val="annotation reference"/>
    <w:basedOn w:val="30"/>
    <w:semiHidden/>
    <w:unhideWhenUsed/>
    <w:uiPriority w:val="99"/>
    <w:rPr>
      <w:sz w:val="21"/>
      <w:szCs w:val="21"/>
    </w:rPr>
  </w:style>
  <w:style w:type="paragraph" w:customStyle="1" w:styleId="35">
    <w:name w:val="代码样式"/>
    <w:link w:val="36"/>
    <w:qFormat/>
    <w:uiPriority w:val="0"/>
    <w:pPr>
      <w:pBdr>
        <w:top w:val="single" w:color="auto" w:sz="4" w:space="1"/>
        <w:left w:val="single" w:color="auto" w:sz="4" w:space="4"/>
        <w:bottom w:val="single" w:color="auto" w:sz="4" w:space="1"/>
        <w:right w:val="single" w:color="auto" w:sz="4" w:space="4"/>
      </w:pBdr>
      <w:shd w:val="clear" w:color="auto" w:fill="A8D08D" w:themeFill="accent6" w:themeFillTint="99"/>
      <w:spacing w:beforeLines="50" w:afterLines="50"/>
      <w:ind w:left="50" w:leftChars="50" w:right="50" w:rightChars="50"/>
    </w:pPr>
    <w:rPr>
      <w:rFonts w:asciiTheme="minorHAnsi" w:hAnsiTheme="minorHAnsi" w:eastAsiaTheme="minorEastAsia" w:cstheme="minorBidi"/>
      <w:kern w:val="2"/>
      <w:sz w:val="21"/>
      <w:szCs w:val="21"/>
      <w:lang w:val="en-US" w:eastAsia="zh-CN" w:bidi="ar-SA"/>
    </w:rPr>
  </w:style>
  <w:style w:type="character" w:customStyle="1" w:styleId="36">
    <w:name w:val="代码样式 Char"/>
    <w:basedOn w:val="30"/>
    <w:link w:val="35"/>
    <w:qFormat/>
    <w:uiPriority w:val="0"/>
    <w:rPr>
      <w:shd w:val="clear" w:color="auto" w:fill="A8D08D" w:themeFill="accent6" w:themeFillTint="99"/>
    </w:rPr>
  </w:style>
  <w:style w:type="character" w:customStyle="1" w:styleId="37">
    <w:name w:val="标题 1 字符"/>
    <w:basedOn w:val="30"/>
    <w:link w:val="2"/>
    <w:qFormat/>
    <w:uiPriority w:val="9"/>
    <w:rPr>
      <w:rFonts w:eastAsia="宋体"/>
      <w:b/>
      <w:bCs/>
      <w:kern w:val="44"/>
      <w:sz w:val="24"/>
      <w:szCs w:val="44"/>
    </w:rPr>
  </w:style>
  <w:style w:type="character" w:customStyle="1" w:styleId="38">
    <w:name w:val="标题 2 字符"/>
    <w:basedOn w:val="30"/>
    <w:link w:val="3"/>
    <w:uiPriority w:val="9"/>
    <w:rPr>
      <w:rFonts w:eastAsia="宋体" w:asciiTheme="majorHAnsi" w:hAnsiTheme="majorHAnsi" w:cstheme="majorBidi"/>
      <w:b/>
      <w:bCs/>
      <w:sz w:val="24"/>
      <w:szCs w:val="32"/>
    </w:rPr>
  </w:style>
  <w:style w:type="character" w:customStyle="1" w:styleId="39">
    <w:name w:val="标题 3 字符"/>
    <w:basedOn w:val="30"/>
    <w:link w:val="4"/>
    <w:uiPriority w:val="9"/>
    <w:rPr>
      <w:rFonts w:eastAsia="宋体"/>
      <w:b/>
      <w:bCs/>
      <w:sz w:val="24"/>
      <w:szCs w:val="32"/>
    </w:rPr>
  </w:style>
  <w:style w:type="character" w:customStyle="1" w:styleId="40">
    <w:name w:val="标题 4 字符"/>
    <w:basedOn w:val="30"/>
    <w:link w:val="5"/>
    <w:semiHidden/>
    <w:uiPriority w:val="9"/>
    <w:rPr>
      <w:rFonts w:asciiTheme="majorHAnsi" w:hAnsiTheme="majorHAnsi" w:eastAsiaTheme="majorEastAsia" w:cstheme="majorBidi"/>
      <w:b/>
      <w:bCs/>
      <w:sz w:val="28"/>
      <w:szCs w:val="28"/>
    </w:rPr>
  </w:style>
  <w:style w:type="character" w:customStyle="1" w:styleId="41">
    <w:name w:val="正文缩进 字符"/>
    <w:link w:val="7"/>
    <w:semiHidden/>
    <w:qFormat/>
    <w:uiPriority w:val="99"/>
    <w:rPr>
      <w:rFonts w:asciiTheme="minorHAnsi" w:hAnsiTheme="minorHAnsi" w:eastAsiaTheme="minorEastAsia" w:cstheme="minorBidi"/>
      <w:sz w:val="21"/>
      <w:szCs w:val="22"/>
    </w:rPr>
  </w:style>
  <w:style w:type="character" w:customStyle="1" w:styleId="42">
    <w:name w:val="批注文字 字符"/>
    <w:basedOn w:val="30"/>
    <w:link w:val="9"/>
    <w:semiHidden/>
    <w:uiPriority w:val="99"/>
    <w:rPr>
      <w:rFonts w:asciiTheme="minorHAnsi" w:hAnsiTheme="minorHAnsi" w:eastAsiaTheme="minorEastAsia" w:cstheme="minorBidi"/>
      <w:sz w:val="21"/>
      <w:szCs w:val="22"/>
    </w:rPr>
  </w:style>
  <w:style w:type="character" w:customStyle="1" w:styleId="43">
    <w:name w:val="页眉 字符"/>
    <w:basedOn w:val="30"/>
    <w:link w:val="18"/>
    <w:uiPriority w:val="99"/>
    <w:rPr>
      <w:rFonts w:asciiTheme="minorHAnsi" w:hAnsiTheme="minorHAnsi" w:eastAsiaTheme="minorEastAsia" w:cstheme="minorBidi"/>
      <w:sz w:val="18"/>
      <w:szCs w:val="18"/>
    </w:rPr>
  </w:style>
  <w:style w:type="character" w:customStyle="1" w:styleId="44">
    <w:name w:val="页脚 字符"/>
    <w:basedOn w:val="30"/>
    <w:link w:val="17"/>
    <w:uiPriority w:val="99"/>
    <w:rPr>
      <w:rFonts w:asciiTheme="minorHAnsi" w:hAnsiTheme="minorHAnsi" w:eastAsiaTheme="minorEastAsia" w:cstheme="minorBidi"/>
      <w:sz w:val="18"/>
      <w:szCs w:val="18"/>
    </w:rPr>
  </w:style>
  <w:style w:type="character" w:customStyle="1" w:styleId="45">
    <w:name w:val="正文文本 字符"/>
    <w:basedOn w:val="30"/>
    <w:link w:val="10"/>
    <w:semiHidden/>
    <w:uiPriority w:val="99"/>
    <w:rPr>
      <w:rFonts w:asciiTheme="minorHAnsi" w:hAnsiTheme="minorHAnsi" w:eastAsiaTheme="minorEastAsia" w:cstheme="minorBidi"/>
      <w:sz w:val="21"/>
      <w:szCs w:val="22"/>
    </w:rPr>
  </w:style>
  <w:style w:type="character" w:customStyle="1" w:styleId="46">
    <w:name w:val="日期 字符"/>
    <w:basedOn w:val="30"/>
    <w:link w:val="15"/>
    <w:semiHidden/>
    <w:uiPriority w:val="99"/>
    <w:rPr>
      <w:rFonts w:asciiTheme="minorHAnsi" w:hAnsiTheme="minorHAnsi" w:eastAsiaTheme="minorEastAsia" w:cstheme="minorBidi"/>
      <w:sz w:val="21"/>
      <w:szCs w:val="22"/>
    </w:rPr>
  </w:style>
  <w:style w:type="character" w:customStyle="1" w:styleId="47">
    <w:name w:val="纯文本 字符"/>
    <w:basedOn w:val="30"/>
    <w:link w:val="13"/>
    <w:semiHidden/>
    <w:qFormat/>
    <w:uiPriority w:val="99"/>
    <w:rPr>
      <w:rFonts w:hAnsi="Courier New" w:cs="Courier New" w:asciiTheme="minorEastAsia" w:eastAsiaTheme="minorEastAsia"/>
      <w:sz w:val="21"/>
      <w:szCs w:val="22"/>
    </w:rPr>
  </w:style>
  <w:style w:type="character" w:customStyle="1" w:styleId="48">
    <w:name w:val="批注主题 字符"/>
    <w:basedOn w:val="42"/>
    <w:link w:val="26"/>
    <w:semiHidden/>
    <w:qFormat/>
    <w:uiPriority w:val="99"/>
    <w:rPr>
      <w:rFonts w:asciiTheme="minorHAnsi" w:hAnsiTheme="minorHAnsi" w:eastAsiaTheme="minorEastAsia" w:cstheme="minorBidi"/>
      <w:b/>
      <w:bCs/>
      <w:sz w:val="21"/>
      <w:szCs w:val="22"/>
    </w:rPr>
  </w:style>
  <w:style w:type="character" w:customStyle="1" w:styleId="49">
    <w:name w:val="批注框文本 字符"/>
    <w:basedOn w:val="30"/>
    <w:link w:val="16"/>
    <w:semiHidden/>
    <w:qFormat/>
    <w:uiPriority w:val="99"/>
    <w:rPr>
      <w:rFonts w:asciiTheme="minorHAnsi" w:hAnsiTheme="minorHAnsi" w:eastAsiaTheme="minorEastAsia" w:cstheme="minorBidi"/>
      <w:sz w:val="18"/>
      <w:szCs w:val="18"/>
    </w:rPr>
  </w:style>
  <w:style w:type="paragraph" w:styleId="50">
    <w:name w:val="List Paragraph"/>
    <w:basedOn w:val="1"/>
    <w:qFormat/>
    <w:uiPriority w:val="34"/>
    <w:pPr>
      <w:ind w:firstLine="420" w:firstLineChars="200"/>
    </w:pPr>
  </w:style>
  <w:style w:type="character" w:customStyle="1" w:styleId="51">
    <w:name w:val="标题 字符"/>
    <w:basedOn w:val="30"/>
    <w:link w:val="25"/>
    <w:qFormat/>
    <w:uiPriority w:val="10"/>
    <w:rPr>
      <w:rFonts w:asciiTheme="majorHAnsi" w:hAnsiTheme="majorHAnsi" w:eastAsiaTheme="majorEastAsia" w:cstheme="majorBidi"/>
      <w:b/>
      <w:bCs/>
      <w:sz w:val="32"/>
      <w:szCs w:val="32"/>
    </w:rPr>
  </w:style>
  <w:style w:type="paragraph" w:customStyle="1" w:styleId="52">
    <w:name w:val="biaoge_left"/>
    <w:basedOn w:val="1"/>
    <w:uiPriority w:val="0"/>
    <w:pPr>
      <w:widowControl/>
      <w:autoSpaceDE w:val="0"/>
      <w:autoSpaceDN w:val="0"/>
      <w:adjustRightInd w:val="0"/>
      <w:spacing w:before="29"/>
      <w:ind w:left="15"/>
      <w:jc w:val="left"/>
    </w:pPr>
    <w:rPr>
      <w:rFonts w:ascii="宋体" w:hAnsi="宋体" w:cs="宋体"/>
      <w:kern w:val="0"/>
      <w:szCs w:val="24"/>
    </w:rPr>
  </w:style>
  <w:style w:type="paragraph" w:customStyle="1" w:styleId="53">
    <w:name w:val="biaoge_center"/>
    <w:basedOn w:val="1"/>
    <w:qFormat/>
    <w:uiPriority w:val="0"/>
    <w:pPr>
      <w:widowControl/>
      <w:autoSpaceDE w:val="0"/>
      <w:autoSpaceDN w:val="0"/>
      <w:adjustRightInd w:val="0"/>
      <w:spacing w:before="29"/>
      <w:ind w:left="15"/>
      <w:jc w:val="center"/>
    </w:pPr>
    <w:rPr>
      <w:rFonts w:ascii="宋体" w:hAnsi="宋体" w:cs="宋体"/>
      <w:kern w:val="0"/>
      <w:szCs w:val="24"/>
    </w:rPr>
  </w:style>
  <w:style w:type="paragraph" w:customStyle="1" w:styleId="54">
    <w:name w:val="biaoge_right"/>
    <w:basedOn w:val="1"/>
    <w:qFormat/>
    <w:uiPriority w:val="0"/>
    <w:pPr>
      <w:widowControl/>
      <w:autoSpaceDE w:val="0"/>
      <w:autoSpaceDN w:val="0"/>
      <w:adjustRightInd w:val="0"/>
      <w:spacing w:before="29"/>
      <w:ind w:left="15"/>
      <w:jc w:val="right"/>
    </w:pPr>
    <w:rPr>
      <w:rFonts w:ascii="宋体" w:hAnsi="宋体" w:cs="宋体"/>
      <w:kern w:val="0"/>
      <w:szCs w:val="24"/>
    </w:rPr>
  </w:style>
  <w:style w:type="character" w:customStyle="1" w:styleId="55">
    <w:name w:val="zw"/>
    <w:basedOn w:val="30"/>
    <w:qFormat/>
    <w:uiPriority w:val="1"/>
    <w:rPr>
      <w:rFonts w:ascii="宋体" w:hAnsi="宋体" w:eastAsia="宋体"/>
      <w:color w:val="000000" w:themeColor="text1"/>
      <w:sz w:val="21"/>
      <w14:textFill>
        <w14:solidFill>
          <w14:schemeClr w14:val="tx1"/>
        </w14:solidFill>
      </w14:textFill>
    </w:rPr>
  </w:style>
  <w:style w:type="paragraph" w:customStyle="1" w:styleId="56">
    <w:name w:val="TOC Heading"/>
    <w:basedOn w:val="2"/>
    <w:next w:val="1"/>
    <w:unhideWhenUsed/>
    <w:qFormat/>
    <w:uiPriority w:val="39"/>
    <w:pPr>
      <w:keepNext/>
      <w:keepLines/>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57">
    <w:name w:val="文档结构图 字符"/>
    <w:basedOn w:val="30"/>
    <w:link w:val="8"/>
    <w:semiHidden/>
    <w:uiPriority w:val="99"/>
    <w:rPr>
      <w:rFonts w:ascii="宋体" w:eastAsia="宋体"/>
      <w:sz w:val="18"/>
      <w:szCs w:val="18"/>
    </w:rPr>
  </w:style>
  <w:style w:type="paragraph" w:customStyle="1" w:styleId="58">
    <w:name w:val="zhangjie_p2"/>
    <w:basedOn w:val="1"/>
    <w:next w:val="1"/>
    <w:qFormat/>
    <w:uiPriority w:val="0"/>
    <w:pPr>
      <w:spacing w:line="240" w:lineRule="auto"/>
      <w:jc w:val="left"/>
    </w:pPr>
    <w:rPr>
      <w:bCs/>
      <w:iCs/>
      <w:cap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90AC41-F1FC-4D08-9FC0-94272FA532B1}">
  <ds:schemaRefs/>
</ds:datastoreItem>
</file>

<file path=docProps/app.xml><?xml version="1.0" encoding="utf-8"?>
<Properties xmlns="http://schemas.openxmlformats.org/officeDocument/2006/extended-properties" xmlns:vt="http://schemas.openxmlformats.org/officeDocument/2006/docPropsVTypes">
  <Template>Normal.dotm</Template>
  <Pages>2</Pages>
  <Words>24</Words>
  <Characters>139</Characters>
  <Lines>1</Lines>
  <Paragraphs>1</Paragraphs>
  <TotalTime>51</TotalTime>
  <ScaleCrop>false</ScaleCrop>
  <LinksUpToDate>false</LinksUpToDate>
  <CharactersWithSpaces>162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2020-03-27T02:14:00Z</dcterms:created>
  <dc:creator>daicz</dc:creator>
  <cp:lastModifiedBy>聪子</cp:lastModifiedBy>
  <dcterms:modified xsi:type="dcterms:W3CDTF">2026-07-14T00:47:54Z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