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CD91" w14:textId="77777777" w:rsidR="00033BEA" w:rsidRDefault="00033BEA" w:rsidP="00A76644">
      <w:pPr>
        <w:pStyle w:val="TOC1"/>
        <w:tabs>
          <w:tab w:val="right" w:leader="dot" w:pos="9080"/>
        </w:tabs>
        <w:spacing w:before="72" w:after="120"/>
        <w:jc w:val="center"/>
        <w:rPr>
          <w:rFonts w:ascii="宋体" w:hAnsi="宋体"/>
          <w:b/>
          <w:bCs/>
          <w:sz w:val="24"/>
        </w:rPr>
      </w:pPr>
    </w:p>
    <w:p w14:paraId="52A90100" w14:textId="77777777" w:rsidR="00033BEA" w:rsidRDefault="00033BEA" w:rsidP="00A76644">
      <w:pPr>
        <w:pStyle w:val="TOC1"/>
        <w:tabs>
          <w:tab w:val="right" w:leader="dot" w:pos="9080"/>
        </w:tabs>
        <w:spacing w:before="72" w:after="120"/>
        <w:jc w:val="center"/>
        <w:rPr>
          <w:rFonts w:ascii="宋体" w:hAnsi="宋体"/>
          <w:b/>
          <w:bCs/>
          <w:sz w:val="24"/>
        </w:rPr>
      </w:pPr>
    </w:p>
    <w:p w14:paraId="38984839" w14:textId="77777777" w:rsidR="00396EB6" w:rsidRPr="00421707" w:rsidRDefault="00315609" w:rsidP="001663E4">
      <w:pPr>
        <w:pStyle w:val="TOC1"/>
        <w:tabs>
          <w:tab w:val="right" w:leader="dot" w:pos="9080"/>
        </w:tabs>
        <w:jc w:val="center"/>
        <w:rPr>
          <w:rFonts w:ascii="黑体" w:eastAsia="黑体" w:hAnsi="黑体"/>
          <w:b/>
          <w:bCs/>
          <w:sz w:val="36"/>
          <w:szCs w:val="36"/>
        </w:rPr>
      </w:pPr>
      <w:r w:rsidRPr="00421707">
        <w:rPr>
          <w:rFonts w:ascii="黑体" w:eastAsia="黑体" w:hAnsi="黑体" w:hint="eastAsia"/>
          <w:b/>
          <w:bCs/>
          <w:sz w:val="36"/>
          <w:szCs w:val="36"/>
        </w:rPr>
        <w:t>东方阿尔法健康产业混合型发起式证券投资基金</w:t>
      </w:r>
      <w:proofErr w:type="spellStart"/>
      <w:proofErr w:type="spellEnd"/>
    </w:p>
    <w:p w14:paraId="451789C6" w14:textId="77777777" w:rsidR="00396EB6" w:rsidRPr="00421707" w:rsidRDefault="00315609" w:rsidP="001663E4">
      <w:pPr>
        <w:pStyle w:val="TOC1"/>
        <w:tabs>
          <w:tab w:val="right" w:leader="dot" w:pos="9080"/>
        </w:tabs>
        <w:jc w:val="center"/>
        <w:rPr>
          <w:rFonts w:ascii="黑体" w:eastAsia="黑体" w:hAnsi="黑体"/>
          <w:b/>
          <w:bCs/>
          <w:sz w:val="36"/>
          <w:szCs w:val="36"/>
        </w:rPr>
      </w:pPr>
      <w:r w:rsidRPr="00421707">
        <w:rPr>
          <w:rFonts w:ascii="黑体" w:eastAsia="黑体" w:hAnsi="黑体" w:hint="eastAsia"/>
          <w:b/>
          <w:bCs/>
          <w:sz w:val="36"/>
          <w:szCs w:val="36"/>
        </w:rPr>
        <w:t>2026年第2季度报告</w:t>
      </w:r>
      <w:proofErr w:type="spellStart"/>
      <w:proofErr w:type="spellEnd"/>
    </w:p>
    <w:p w14:paraId="330D4D51" w14:textId="77777777" w:rsidR="00695511" w:rsidRPr="00A76644" w:rsidRDefault="00315609" w:rsidP="00421707">
      <w:pPr>
        <w:pStyle w:val="TOC1"/>
        <w:tabs>
          <w:tab w:val="right" w:leader="dot" w:pos="9080"/>
        </w:tabs>
        <w:spacing w:line="480" w:lineRule="auto"/>
        <w:jc w:val="center"/>
        <w:rPr>
          <w:rFonts w:ascii="宋体" w:eastAsia="宋体" w:hAnsi="宋体" w:cs="宋体"/>
          <w:b/>
          <w:bCs/>
          <w:sz w:val="24"/>
        </w:rPr>
      </w:pPr>
      <w:r>
        <w:rPr>
          <w:rFonts w:ascii="宋体" w:eastAsia="宋体" w:hAnsi="宋体" w:cs="宋体" w:hint="eastAsia"/>
          <w:b/>
          <w:bCs/>
          <w:sz w:val="24"/>
        </w:rPr>
        <w:t>2026年06月30日</w:t>
      </w:r>
      <w:proofErr w:type="spellStart"/>
      <w:proofErr w:type="spellEnd"/>
    </w:p>
    <w:p w14:paraId="205BF4D8"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02CCC2D6"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045B4059"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3BC03714"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580DD332"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256C0706"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3C562D33"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5110C3F6"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0B3A8452"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5EF2E9FF"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2807BBEC"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4BC10FDF"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488AAE42"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0B4C086D"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7EEBE708" w14:textId="77777777" w:rsidR="00514F66" w:rsidRPr="00514F66" w:rsidRDefault="00514F66" w:rsidP="00514F66">
      <w:pPr>
        <w:pStyle w:val="TOC1"/>
        <w:tabs>
          <w:tab w:val="right" w:leader="dot" w:pos="9080"/>
        </w:tabs>
        <w:spacing w:before="72" w:after="120"/>
        <w:jc w:val="center"/>
        <w:rPr>
          <w:rFonts w:ascii="宋体" w:hAnsi="宋体"/>
          <w:b/>
          <w:bCs/>
          <w:sz w:val="24"/>
        </w:rPr>
      </w:pPr>
    </w:p>
    <w:p w14:paraId="3B0B08E8" w14:textId="77777777" w:rsidR="00396EB6" w:rsidRDefault="00315609" w:rsidP="00421707">
      <w:pPr>
        <w:pStyle w:val="TOC1"/>
        <w:tabs>
          <w:tab w:val="right" w:leader="dot" w:pos="9080"/>
        </w:tabs>
        <w:spacing w:line="360" w:lineRule="auto"/>
        <w:jc w:val="center"/>
        <w:rPr>
          <w:rFonts w:ascii="宋体" w:eastAsia="宋体" w:hAnsi="宋体" w:cs="宋体"/>
          <w:b/>
          <w:bCs/>
          <w:sz w:val="24"/>
        </w:rPr>
      </w:pPr>
      <w:r>
        <w:rPr>
          <w:rFonts w:ascii="宋体" w:eastAsia="宋体" w:hAnsi="宋体" w:cs="宋体" w:hint="eastAsia"/>
          <w:b/>
          <w:bCs/>
          <w:sz w:val="24"/>
        </w:rPr>
        <w:t>基金管理人:</w:t>
      </w:r>
      <w:proofErr w:type="spellStart"/>
      <w:proofErr w:type="spellEnd"/>
      <w:r>
        <w:rPr>
          <w:rFonts w:ascii="宋体" w:hAnsi="宋体" w:cs="宋体" w:eastAsia="宋体"/>
          <w:b w:val="true"/>
          <w:color w:val=""/>
          <w:sz w:val="24"/>
          <w:u w:val="none"/>
        </w:rPr>
        <w:t>东方阿尔法基金管理有限公司</w:t>
      </w:r>
    </w:p>
    <w:p w14:paraId="31616E72" w14:textId="77777777" w:rsidR="00396EB6" w:rsidRDefault="00315609" w:rsidP="00421707">
      <w:pPr>
        <w:pStyle w:val="TOC1"/>
        <w:tabs>
          <w:tab w:val="right" w:leader="dot" w:pos="9080"/>
        </w:tabs>
        <w:spacing w:line="360" w:lineRule="auto"/>
        <w:jc w:val="center"/>
        <w:rPr>
          <w:rFonts w:ascii="宋体" w:eastAsia="宋体" w:hAnsi="宋体" w:cs="宋体"/>
          <w:b/>
          <w:bCs/>
          <w:sz w:val="24"/>
        </w:rPr>
      </w:pPr>
      <w:r>
        <w:rPr>
          <w:rFonts w:ascii="宋体" w:eastAsia="宋体" w:hAnsi="宋体" w:cs="宋体" w:hint="eastAsia"/>
          <w:b/>
          <w:bCs/>
          <w:sz w:val="24"/>
        </w:rPr>
        <w:t>基金托管人:</w:t>
      </w:r>
      <w:proofErr w:type="spellStart"/>
      <w:proofErr w:type="spellEnd"/>
      <w:r>
        <w:rPr>
          <w:rFonts w:ascii="宋体" w:hAnsi="宋体" w:cs="宋体" w:eastAsia="宋体"/>
          <w:b w:val="true"/>
          <w:color w:val=""/>
          <w:sz w:val="24"/>
          <w:u w:val="none"/>
        </w:rPr>
        <w:t>中信银行股份有限公司</w:t>
      </w:r>
    </w:p>
    <w:p w14:paraId="01D6CDCE" w14:textId="77777777" w:rsidR="00396EB6" w:rsidRDefault="00315609" w:rsidP="00421707">
      <w:pPr>
        <w:pStyle w:val="TOC1"/>
        <w:tabs>
          <w:tab w:val="right" w:leader="dot" w:pos="9080"/>
        </w:tabs>
        <w:spacing w:line="360" w:lineRule="auto"/>
        <w:jc w:val="center"/>
        <w:rPr>
          <w:rFonts w:ascii="宋体" w:eastAsia="宋体" w:hAnsi="宋体" w:cs="宋体"/>
          <w:b/>
          <w:bCs/>
          <w:sz w:val="24"/>
        </w:rPr>
      </w:pPr>
      <w:r>
        <w:rPr>
          <w:rFonts w:ascii="宋体" w:eastAsia="宋体" w:hAnsi="宋体" w:cs="宋体" w:hint="eastAsia"/>
          <w:b/>
          <w:bCs/>
          <w:sz w:val="24"/>
        </w:rPr>
        <w:t>报告送出日期:</w:t>
      </w:r>
      <w:proofErr w:type="spellStart"/>
      <w:proofErr w:type="spellEnd"/>
      <w:r>
        <w:rPr>
          <w:rFonts w:ascii="宋体" w:hAnsi="宋体" w:cs="宋体" w:eastAsia="宋体"/>
          <w:b w:val="true"/>
          <w:color w:val=""/>
          <w:sz w:val="24"/>
          <w:u w:val="none"/>
        </w:rPr>
        <w:t>2026年07月20日</w:t>
      </w:r>
    </w:p>
    <w:p w14:paraId="28A208C4" w14:textId="77777777" w:rsidR="00396EB6" w:rsidRDefault="00315609" w:rsidP="00A76644">
      <w:pPr>
        <w:jc w:val="center"/>
      </w:pPr>
      <w:r>
        <w:br w:type="page"/>
      </w:r>
    </w:p>
    <w:p w14:paraId="6B371222" w14:textId="77777777" w:rsidR="00C370BD" w:rsidRPr="00C370BD" w:rsidRDefault="00C370BD" w:rsidP="00801225">
      <w:pPr>
        <w:pStyle w:val="1"/>
        <w:spacing w:line="576" w:lineRule="auto"/>
        <w:jc w:val="center"/>
        <w:rPr>
          <w:rFonts w:ascii="宋体" w:eastAsia="宋体" w:hAnsi="宋体"/>
          <w:sz w:val="24"/>
          <w:szCs w:val="24"/>
        </w:rPr>
      </w:pPr>
      <w:bookmarkStart w:id="0" w:name="_Toc73379713"/>
      <w:r w:rsidRPr="00C370BD">
        <w:rPr>
          <w:rFonts w:ascii="宋体" w:eastAsia="宋体" w:hAnsi="宋体" w:hint="eastAsia"/>
          <w:bCs w:val="0"/>
          <w:sz w:val="24"/>
          <w:szCs w:val="24"/>
        </w:rPr>
        <w:lastRenderedPageBreak/>
        <w:t>§1 重要提示</w:t>
      </w:r>
      <w:bookmarkEnd w:id="0"/>
    </w:p>
    <w:p w14:paraId="7F352D6E" w14:textId="35951F40" w:rsidR="00F07C93" w:rsidRDefault="00F07C93" w:rsidP="00E67AEA">
      <w:pPr>
        <w:widowControl/>
        <w:rPr>
          <w:rFonts w:ascii="宋体" w:eastAsia="宋体" w:hAnsi="宋体"/>
        </w:rPr>
      </w:pPr>
      <w:r>
        <w:t xml:space="preserve">    基金管理人的董事会及董事保证本报告所载资料不存在虚假记载、误导性陈述或重大遗漏，并对其内容的真实性、准确性和完整性承担个别及连带责任。</w:t>
        <w:cr/>
        <w:t xml:space="preserve">    基金托管人中信银行股份有限公司根据本基金合同规定，于2026年07月14日复核了本报告中的财务指标、净值表现和投资组合报告等内容，保证复核内容不存在虚假记载、误导性陈述或者重大遗漏。</w:t>
        <w:cr/>
        <w:t xml:space="preserve">    基金管理人承诺以诚实信用、勤勉尽责的原则管理和运用基金资产，但不保证基金一定盈利。</w:t>
        <w:cr/>
        <w:t xml:space="preserve">    基金的过往业绩并不代表其未来表现。投资有风险，投资者在做出投资决策前应仔细阅读本基金的招募说明书。</w:t>
        <w:cr/>
        <w:t xml:space="preserve">    本报告中财务资料未经审计。</w:t>
        <w:cr/>
        <w:t xml:space="preserve">    本报告期自2026年04月01日起至2026年06月30日止。</w:t>
      </w:r>
      <w:proofErr w:type="spellStart"/>
      <w:proofErr w:type="spellEnd"/>
    </w:p>
    <w:p/>
    <w:p>
      <w:pPr>
        <w:pStyle w:val="1"/>
        <w:jc w:val="center"/>
      </w:pPr>
      <w:r>
        <w:rPr>
          <w:rFonts w:ascii="宋体" w:hAnsi="宋体" w:cs="宋体" w:eastAsia="宋体"/>
        </w:rPr>
        <w:t>§2 基金产品概况</w:t>
      </w:r>
    </w:p>
    <w:tbl>
      <w:tblPr>
        <w:tblW w:w="5000" w:type="pct"/>
        <w:tblBorders>
          <w:top w:val="single" w:sz="4"/>
          <w:left w:val="single" w:sz="4"/>
          <w:bottom w:val="single" w:sz="4"/>
          <w:right w:val="single" w:sz="4"/>
          <w:insideH w:val="single" w:sz="4"/>
          <w:insideV w:val="single" w:sz="4"/>
        </w:tblBorders>
      </w:tblPr>
      <w:tblGrid>
        <w:gridCol w:w="3021"/>
        <w:gridCol w:w="3021"/>
        <w:gridCol w:w="3021"/>
      </w:tblGrid>
      <w:tr>
        <w:tc>
          <w:tcPr>
            <w:tcW w:type="pct" w:w="1923"/>
            <w:vAlign w:val="center"/>
          </w:tcPr>
          <w:p>
            <w:pPr>
              <w:spacing w:line="240" w:lineRule="auto"/>
              <w:jc w:val="left"/>
            </w:pPr>
            <w:r>
              <w:rPr>
                <w:rFonts w:ascii="宋体" w:hAnsi="宋体" w:cs="宋体" w:eastAsia="宋体"/>
                <w:b w:val="false"/>
              </w:rPr>
              <w:t>基金简称</w:t>
            </w:r>
          </w:p>
        </w:tc>
        <w:tc>
          <w:tcPr>
            <w:tcW w:type="pct" w:w="3077"/>
            <w:hMerge w:val="restart"/>
            <w:vAlign w:val="center"/>
          </w:tcPr>
          <w:p>
            <w:pPr>
              <w:spacing w:line="240" w:lineRule="auto"/>
              <w:jc w:val="left"/>
            </w:pPr>
            <w:r>
              <w:rPr>
                <w:rFonts w:ascii="宋体" w:hAnsi="宋体" w:cs="宋体" w:eastAsia="宋体"/>
                <w:b w:val="false"/>
              </w:rPr>
              <w:t>东方阿尔法健康产业混合发起</w:t>
            </w:r>
          </w:p>
        </w:tc>
        <w:tc>
          <w:tcPr>
            <w:hMerge w:val="continue"/>
          </w:tcPr>
          <w:p/>
        </w:tc>
      </w:tr>
      <w:tr>
        <w:tc>
          <w:tcPr>
            <w:tcW w:type="pct" w:w="1923"/>
            <w:vAlign w:val="center"/>
          </w:tcPr>
          <w:p>
            <w:pPr>
              <w:spacing w:line="240" w:lineRule="auto"/>
              <w:jc w:val="left"/>
            </w:pPr>
            <w:r>
              <w:rPr>
                <w:rFonts w:ascii="宋体" w:hAnsi="宋体" w:cs="宋体" w:eastAsia="宋体"/>
                <w:b w:val="false"/>
              </w:rPr>
              <w:t>基金主代码</w:t>
            </w:r>
          </w:p>
        </w:tc>
        <w:tc>
          <w:tcPr>
            <w:tcW/>
            <w:hMerge w:val="restart"/>
            <w:vAlign w:val="center"/>
          </w:tcPr>
          <w:p>
            <w:pPr>
              <w:spacing w:line="240" w:lineRule="auto"/>
              <w:jc w:val="left"/>
            </w:pPr>
            <w:r>
              <w:rPr>
                <w:rFonts w:ascii="宋体" w:hAnsi="宋体" w:cs="宋体" w:eastAsia="宋体"/>
                <w:b w:val="false"/>
              </w:rPr>
              <w:t>024357</w:t>
            </w:r>
          </w:p>
        </w:tc>
        <w:tc>
          <w:tcPr>
            <w:hMerge w:val="continue"/>
          </w:tcPr>
          <w:p/>
        </w:tc>
      </w:tr>
      <w:tr>
        <w:tc>
          <w:tcPr>
            <w:tcW w:type="pct" w:w="1923"/>
            <w:vAlign w:val="center"/>
          </w:tcPr>
          <w:p>
            <w:pPr>
              <w:spacing w:line="240" w:lineRule="auto"/>
              <w:jc w:val="left"/>
            </w:pPr>
            <w:r>
              <w:rPr>
                <w:rFonts w:ascii="宋体" w:hAnsi="宋体" w:cs="宋体" w:eastAsia="宋体"/>
                <w:b w:val="false"/>
              </w:rPr>
              <w:t>基金运作方式</w:t>
            </w:r>
          </w:p>
        </w:tc>
        <w:tc>
          <w:tcPr>
            <w:tcW/>
            <w:hMerge w:val="restart"/>
            <w:vAlign w:val="center"/>
          </w:tcPr>
          <w:p>
            <w:pPr>
              <w:spacing w:line="240" w:lineRule="auto"/>
              <w:jc w:val="left"/>
            </w:pPr>
            <w:r>
              <w:rPr>
                <w:rFonts w:ascii="宋体" w:hAnsi="宋体" w:cs="宋体" w:eastAsia="宋体"/>
                <w:b w:val="false"/>
              </w:rPr>
              <w:t>契约型开放式</w:t>
            </w:r>
          </w:p>
        </w:tc>
        <w:tc>
          <w:tcPr>
            <w:hMerge w:val="continue"/>
          </w:tcPr>
          <w:p/>
        </w:tc>
      </w:tr>
      <w:tr>
        <w:tc>
          <w:tcPr>
            <w:tcW w:type="pct" w:w="1923"/>
            <w:vAlign w:val="center"/>
          </w:tcPr>
          <w:p>
            <w:pPr>
              <w:spacing w:line="240" w:lineRule="auto"/>
              <w:jc w:val="left"/>
            </w:pPr>
            <w:r>
              <w:rPr>
                <w:rFonts w:ascii="宋体" w:hAnsi="宋体" w:cs="宋体" w:eastAsia="宋体"/>
                <w:b w:val="false"/>
              </w:rPr>
              <w:t>基金合同生效日</w:t>
            </w:r>
          </w:p>
        </w:tc>
        <w:tc>
          <w:tcPr>
            <w:tcW/>
            <w:hMerge w:val="restart"/>
            <w:vAlign w:val="center"/>
          </w:tcPr>
          <w:p>
            <w:pPr>
              <w:spacing w:line="240" w:lineRule="auto"/>
              <w:jc w:val="left"/>
            </w:pPr>
            <w:r>
              <w:rPr>
                <w:rFonts w:ascii="宋体" w:hAnsi="宋体" w:cs="宋体" w:eastAsia="宋体"/>
                <w:b w:val="false"/>
              </w:rPr>
              <w:t>2025年06月12日</w:t>
            </w:r>
          </w:p>
        </w:tc>
        <w:tc>
          <w:tcPr>
            <w:hMerge w:val="continue"/>
          </w:tcPr>
          <w:p/>
        </w:tc>
      </w:tr>
      <w:tr>
        <w:tc>
          <w:tcPr>
            <w:tcW w:type="pct" w:w="1923"/>
            <w:vAlign w:val="center"/>
          </w:tcPr>
          <w:p>
            <w:pPr>
              <w:spacing w:line="240" w:lineRule="auto"/>
              <w:jc w:val="left"/>
            </w:pPr>
            <w:r>
              <w:rPr>
                <w:rFonts w:ascii="宋体" w:hAnsi="宋体" w:cs="宋体" w:eastAsia="宋体"/>
                <w:b w:val="false"/>
              </w:rPr>
              <w:t>报告期末基金份额总额</w:t>
            </w:r>
          </w:p>
        </w:tc>
        <w:tc>
          <w:tcPr>
            <w:tcW/>
            <w:hMerge w:val="restart"/>
            <w:vAlign w:val="center"/>
          </w:tcPr>
          <w:p>
            <w:pPr>
              <w:spacing w:line="240" w:lineRule="auto"/>
              <w:jc w:val="left"/>
            </w:pPr>
            <w:r>
              <w:rPr>
                <w:rFonts w:ascii="宋体" w:hAnsi="宋体" w:cs="宋体" w:eastAsia="宋体"/>
                <w:b w:val="false"/>
              </w:rPr>
              <w:t>106,004,912.96份</w:t>
            </w:r>
          </w:p>
        </w:tc>
        <w:tc>
          <w:tcPr>
            <w:hMerge w:val="continue"/>
          </w:tcPr>
          <w:p/>
        </w:tc>
      </w:tr>
      <w:tr>
        <w:tc>
          <w:tcPr>
            <w:tcW w:type="pct" w:w="1923"/>
            <w:vAlign w:val="center"/>
          </w:tcPr>
          <w:p>
            <w:pPr>
              <w:spacing w:line="240" w:lineRule="auto"/>
              <w:jc w:val="left"/>
            </w:pPr>
            <w:r>
              <w:rPr>
                <w:rFonts w:ascii="宋体" w:hAnsi="宋体" w:cs="宋体" w:eastAsia="宋体"/>
                <w:b w:val="false"/>
              </w:rPr>
              <w:t>投资目标</w:t>
            </w:r>
          </w:p>
        </w:tc>
        <w:tc>
          <w:tcPr>
            <w:tcW w:type="pct" w:w="2592"/>
            <w:hMerge w:val="restart"/>
            <w:vAlign w:val="center"/>
          </w:tcPr>
          <w:p>
            <w:pPr>
              <w:spacing w:line="240" w:lineRule="auto"/>
              <w:jc w:val="left"/>
            </w:pPr>
            <w:r>
              <w:rPr>
                <w:rFonts w:ascii="宋体" w:hAnsi="宋体" w:cs="宋体" w:eastAsia="宋体"/>
                <w:b w:val="false"/>
              </w:rPr>
              <w:t>本基金采用自上而下与自下而上相结合的投资方法，以基本面分析为立足点，精选健康产业相关行业证券，在科学严格管理风险的前提下，谋求基金资产的中长期稳健增值。</w:t>
            </w:r>
          </w:p>
        </w:tc>
        <w:tc>
          <w:tcPr>
            <w:hMerge w:val="continue"/>
          </w:tcPr>
          <w:p/>
        </w:tc>
      </w:tr>
      <w:tr>
        <w:tc>
          <w:tcPr>
            <w:tcW w:type="pct" w:w="1923"/>
            <w:vAlign w:val="center"/>
          </w:tcPr>
          <w:p>
            <w:pPr>
              <w:spacing w:line="240" w:lineRule="auto"/>
              <w:jc w:val="left"/>
            </w:pPr>
            <w:r>
              <w:rPr>
                <w:rFonts w:ascii="宋体" w:hAnsi="宋体" w:cs="宋体" w:eastAsia="宋体"/>
                <w:b w:val="false"/>
              </w:rPr>
              <w:t>投资策略</w:t>
            </w:r>
          </w:p>
        </w:tc>
        <w:tc>
          <w:tcPr>
            <w:tcW/>
            <w:hMerge w:val="restart"/>
            <w:vAlign w:val="center"/>
          </w:tcPr>
          <w:p>
            <w:pPr>
              <w:spacing w:line="240" w:lineRule="auto"/>
              <w:jc w:val="left"/>
            </w:pPr>
            <w:r>
              <w:rPr>
                <w:rFonts w:ascii="宋体" w:hAnsi="宋体" w:cs="宋体" w:eastAsia="宋体"/>
                <w:b w:val="false"/>
              </w:rPr>
              <w:t>本基金的投资策略主要有以下11个方面内容：</w:t>
              <w:br/>
            </w:r>
            <w:r>
              <w:rPr>
                <w:rFonts w:ascii="宋体" w:hAnsi="宋体" w:cs="宋体" w:eastAsia="宋体"/>
                <w:b w:val="false"/>
              </w:rPr>
              <w:t>1、资产配置策略</w:t>
              <w:br/>
            </w:r>
            <w:r>
              <w:rPr>
                <w:rFonts w:ascii="宋体" w:hAnsi="宋体" w:cs="宋体" w:eastAsia="宋体"/>
                <w:b w:val="false"/>
              </w:rPr>
              <w:t>本基金结合定性与定量分析经济和市场趋势，评估风险和收益，确定股票、债券、现金等资产的配置比例和调整原则，追求稳定增值，同时持续监控风险并适时调整。</w:t>
              <w:br/>
            </w:r>
            <w:r>
              <w:rPr>
                <w:rFonts w:ascii="宋体" w:hAnsi="宋体" w:cs="宋体" w:eastAsia="宋体"/>
                <w:b w:val="false"/>
              </w:rPr>
              <w:t>2、股票投资策略</w:t>
              <w:br/>
            </w:r>
            <w:r>
              <w:rPr>
                <w:rFonts w:ascii="宋体" w:hAnsi="宋体" w:cs="宋体" w:eastAsia="宋体"/>
                <w:b w:val="false"/>
              </w:rPr>
              <w:t>基金通过基本面研究，专注健康产业投资主题股票，跟踪行业发展，把握子行业轮动机会。在具体操作上，本基金将主要采用“自上而下”与“自下而上”相结合的方法，自上而下是分析每个阶段行业的主要增长驱动力和产业趋势，进而判断健康产业相关行业内各细分领域的景气度和预期风险收益，在其中配置优质个股。</w:t>
              <w:br/>
            </w:r>
            <w:r>
              <w:rPr>
                <w:rFonts w:ascii="宋体" w:hAnsi="宋体" w:cs="宋体" w:eastAsia="宋体"/>
                <w:b w:val="false"/>
              </w:rPr>
              <w:t>3、港股通标的股票投资策略</w:t>
              <w:br/>
            </w:r>
            <w:r>
              <w:rPr>
                <w:rFonts w:ascii="宋体" w:hAnsi="宋体" w:cs="宋体" w:eastAsia="宋体"/>
                <w:b w:val="false"/>
              </w:rPr>
              <w:t>本基金将通过内地与香港股票市场交易互联互通机制投资于香港股票市场，不使用合格境内机构投资者(QDII)境外投资额度进行境外投资。</w:t>
              <w:br/>
            </w:r>
            <w:r>
              <w:rPr>
                <w:rFonts w:ascii="宋体" w:hAnsi="宋体" w:cs="宋体" w:eastAsia="宋体"/>
                <w:b w:val="false"/>
              </w:rPr>
              <w:t>4、存托凭证投资策略</w:t>
              <w:br/>
            </w:r>
            <w:r>
              <w:rPr>
                <w:rFonts w:ascii="宋体" w:hAnsi="宋体" w:cs="宋体" w:eastAsia="宋体"/>
                <w:b w:val="false"/>
              </w:rPr>
              <w:t>本基金在深入研究的基础上，通过定性分析和定量分析相结合的方式，选择投资价值高的存托凭证进行投资。</w:t>
              <w:br/>
            </w:r>
            <w:r>
              <w:rPr>
                <w:rFonts w:ascii="宋体" w:hAnsi="宋体" w:cs="宋体" w:eastAsia="宋体"/>
                <w:b w:val="false"/>
              </w:rPr>
              <w:t>5、债券类资产投资策略</w:t>
              <w:br/>
            </w:r>
            <w:r>
              <w:rPr>
                <w:rFonts w:ascii="宋体" w:hAnsi="宋体" w:cs="宋体" w:eastAsia="宋体"/>
                <w:b w:val="false"/>
              </w:rPr>
              <w:t>本基金的债券投资将采取较为积极的策略，通过利率预测分析、收益率曲线变动分析、债券信用分析、收益率利差分析等，研判各类属固定收益类资产的风险趋势与收益预期，精选个券进行投资。</w:t>
              <w:br/>
            </w:r>
            <w:r>
              <w:rPr>
                <w:rFonts w:ascii="宋体" w:hAnsi="宋体" w:cs="宋体" w:eastAsia="宋体"/>
                <w:b w:val="false"/>
              </w:rPr>
              <w:t>6、可转债（含分离交易可转债）及可交换债券投资策略</w:t>
              <w:br/>
            </w:r>
            <w:r>
              <w:rPr>
                <w:rFonts w:ascii="宋体" w:hAnsi="宋体" w:cs="宋体" w:eastAsia="宋体"/>
                <w:b w:val="false"/>
              </w:rPr>
              <w:t>对于可转换债券的投资，本基金在评估其偿债能力的同时兼顾公司的成长性，以期通过转换条款分享因股价上升带来的高收益。</w:t>
              <w:br/>
            </w:r>
            <w:r>
              <w:rPr>
                <w:rFonts w:ascii="宋体" w:hAnsi="宋体" w:cs="宋体" w:eastAsia="宋体"/>
                <w:b w:val="false"/>
              </w:rPr>
              <w:t>7、股指期货投资策略</w:t>
              <w:br/>
            </w:r>
            <w:r>
              <w:rPr>
                <w:rFonts w:ascii="宋体" w:hAnsi="宋体" w:cs="宋体" w:eastAsia="宋体"/>
                <w:b w:val="false"/>
              </w:rPr>
              <w:t>本基金将按照风险管理的原则，以套期保值为主要目的，参与股指期货的投资。此外，本基金还将运用股指期货来管理特殊情况下的流动性风险，如预期大额申购赎回、大量分红等。</w:t>
              <w:br/>
            </w:r>
            <w:r>
              <w:rPr>
                <w:rFonts w:ascii="宋体" w:hAnsi="宋体" w:cs="宋体" w:eastAsia="宋体"/>
                <w:b w:val="false"/>
              </w:rPr>
              <w:t>8、融资业务投资策略</w:t>
              <w:br/>
            </w:r>
            <w:r>
              <w:rPr>
                <w:rFonts w:ascii="宋体" w:hAnsi="宋体" w:cs="宋体" w:eastAsia="宋体"/>
                <w:b w:val="false"/>
              </w:rPr>
              <w:t>本基金参与融资业务，将综合考虑融资成本、保证金比例、冲抵保证金证券折算率、信用资质等条件选择合适的交易对手方。同时，在保障基金投资组合充足流动性以及有效控制融资杠杆风险的前提下，确定融资比例。</w:t>
              <w:br/>
            </w:r>
            <w:r>
              <w:rPr>
                <w:rFonts w:ascii="宋体" w:hAnsi="宋体" w:cs="宋体" w:eastAsia="宋体"/>
                <w:b w:val="false"/>
              </w:rPr>
              <w:t>9、国债期货投资策略</w:t>
              <w:br/>
            </w:r>
            <w:r>
              <w:rPr>
                <w:rFonts w:ascii="宋体" w:hAnsi="宋体" w:cs="宋体" w:eastAsia="宋体"/>
                <w:b w:val="false"/>
              </w:rPr>
              <w:t>本基金以套期保值为主要目的，参与国债期货的投资，管理市场风险，故国债期货空头的合约价值主要与债券组合的多头价值相对应。</w:t>
              <w:br/>
            </w:r>
            <w:r>
              <w:rPr>
                <w:rFonts w:ascii="宋体" w:hAnsi="宋体" w:cs="宋体" w:eastAsia="宋体"/>
                <w:b w:val="false"/>
              </w:rPr>
              <w:t>10、股票期权投资策略</w:t>
              <w:br/>
            </w:r>
            <w:r>
              <w:rPr>
                <w:rFonts w:ascii="宋体" w:hAnsi="宋体" w:cs="宋体" w:eastAsia="宋体"/>
                <w:b w:val="false"/>
              </w:rPr>
              <w:t>本基金以套期保值为主要目的参与股票期权交易，结合投资目标、比例限制、风险收益特征以及法律法规的相关限定和要求，确定参与股票期权交易的投资时机和投资比例。</w:t>
              <w:br/>
            </w:r>
            <w:r>
              <w:rPr>
                <w:rFonts w:ascii="宋体" w:hAnsi="宋体" w:cs="宋体" w:eastAsia="宋体"/>
                <w:b w:val="false"/>
              </w:rPr>
              <w:t>11、资产支持证券投资策略</w:t>
              <w:br/>
            </w:r>
            <w:r>
              <w:rPr>
                <w:rFonts w:ascii="宋体" w:hAnsi="宋体" w:cs="宋体" w:eastAsia="宋体"/>
                <w:b w:val="false"/>
              </w:rPr>
              <w:t>本基金将综合运用久期管理、收益率曲线、个券选择以及把握市场交易机会等积极策略，在严格控制风险的情况下，结合信用研究和流动性管理，选择风险调整后收益高的品种进行投资，以期获得长期稳定收益。</w:t>
            </w:r>
          </w:p>
        </w:tc>
        <w:tc>
          <w:tcPr>
            <w:hMerge w:val="continue"/>
          </w:tcPr>
          <w:p/>
        </w:tc>
      </w:tr>
      <w:tr>
        <w:tc>
          <w:tcPr>
            <w:tcW w:type="pct" w:w="1923"/>
            <w:vAlign w:val="center"/>
          </w:tcPr>
          <w:p>
            <w:pPr>
              <w:spacing w:line="240" w:lineRule="auto"/>
              <w:jc w:val="left"/>
            </w:pPr>
            <w:r>
              <w:rPr>
                <w:rFonts w:ascii="宋体" w:hAnsi="宋体" w:cs="宋体" w:eastAsia="宋体"/>
                <w:b w:val="false"/>
              </w:rPr>
              <w:t>业绩比较基准</w:t>
            </w:r>
          </w:p>
        </w:tc>
        <w:tc>
          <w:tcPr>
            <w:tcW/>
            <w:hMerge w:val="restart"/>
            <w:vAlign w:val="center"/>
          </w:tcPr>
          <w:p>
            <w:pPr>
              <w:spacing w:line="240" w:lineRule="auto"/>
              <w:jc w:val="left"/>
            </w:pPr>
            <w:r>
              <w:rPr>
                <w:rFonts w:ascii="宋体" w:hAnsi="宋体" w:cs="宋体" w:eastAsia="宋体"/>
                <w:b w:val="false"/>
              </w:rPr>
              <w:t>中证医药卫生指数收益率× 40%+ 中证内地消费主题指数收益率× 20%+恒生指数收益率×20%+ 中证综合债券指数收益率×20%</w:t>
            </w:r>
          </w:p>
        </w:tc>
        <w:tc>
          <w:tcPr>
            <w:hMerge w:val="continue"/>
          </w:tcPr>
          <w:p/>
        </w:tc>
      </w:tr>
      <w:tr>
        <w:tc>
          <w:tcPr>
            <w:tcW w:type="pct" w:w="1923"/>
            <w:vAlign w:val="center"/>
          </w:tcPr>
          <w:p>
            <w:pPr>
              <w:spacing w:line="240" w:lineRule="auto"/>
              <w:jc w:val="left"/>
            </w:pPr>
            <w:r>
              <w:rPr>
                <w:rFonts w:ascii="宋体" w:hAnsi="宋体" w:cs="宋体" w:eastAsia="宋体"/>
                <w:b w:val="false"/>
              </w:rPr>
              <w:t>风险收益特征</w:t>
            </w:r>
          </w:p>
        </w:tc>
        <w:tc>
          <w:tcPr>
            <w:tcW w:type="pct" w:w="2592"/>
            <w:hMerge w:val="restart"/>
            <w:vAlign w:val="center"/>
          </w:tcPr>
          <w:p>
            <w:pPr>
              <w:spacing w:line="240" w:lineRule="auto"/>
              <w:jc w:val="left"/>
            </w:pPr>
            <w:r>
              <w:rPr>
                <w:rFonts w:ascii="宋体" w:hAnsi="宋体" w:cs="宋体" w:eastAsia="宋体"/>
                <w:b w:val="false"/>
              </w:rPr>
              <w:t>本基金为混合型基金，其预期收益和风险高于货币型基金、债券型基金。本基金如果投资港股通标的股票，需承担汇率风险以及境外市场的风险。</w:t>
            </w:r>
          </w:p>
        </w:tc>
        <w:tc>
          <w:tcPr>
            <w:hMerge w:val="continue"/>
          </w:tcPr>
          <w:p/>
        </w:tc>
      </w:tr>
      <w:tr>
        <w:tc>
          <w:tcPr>
            <w:tcW w:type="pct" w:w="1923"/>
            <w:vAlign w:val="center"/>
          </w:tcPr>
          <w:p>
            <w:pPr>
              <w:spacing w:line="240" w:lineRule="auto"/>
              <w:jc w:val="left"/>
            </w:pPr>
            <w:r>
              <w:rPr>
                <w:rFonts w:ascii="宋体" w:hAnsi="宋体" w:cs="宋体" w:eastAsia="宋体"/>
                <w:b w:val="false"/>
              </w:rPr>
              <w:t>基金管理人</w:t>
            </w:r>
          </w:p>
        </w:tc>
        <w:tc>
          <w:tcPr>
            <w:tcW/>
            <w:hMerge w:val="restart"/>
            <w:vAlign w:val="center"/>
          </w:tcPr>
          <w:p>
            <w:pPr>
              <w:spacing w:line="240" w:lineRule="auto"/>
              <w:jc w:val="left"/>
            </w:pPr>
            <w:r>
              <w:rPr>
                <w:rFonts w:ascii="宋体" w:hAnsi="宋体" w:cs="宋体" w:eastAsia="宋体"/>
                <w:b w:val="false"/>
              </w:rPr>
              <w:t>东方阿尔法基金管理有限公司</w:t>
            </w:r>
          </w:p>
        </w:tc>
        <w:tc>
          <w:tcPr>
            <w:hMerge w:val="continue"/>
          </w:tcPr>
          <w:p/>
        </w:tc>
      </w:tr>
      <w:tr>
        <w:tc>
          <w:tcPr>
            <w:tcW w:type="pct" w:w="1923"/>
            <w:vAlign w:val="center"/>
          </w:tcPr>
          <w:p>
            <w:pPr>
              <w:spacing w:line="240" w:lineRule="auto"/>
              <w:jc w:val="left"/>
            </w:pPr>
            <w:r>
              <w:rPr>
                <w:rFonts w:ascii="宋体" w:hAnsi="宋体" w:cs="宋体" w:eastAsia="宋体"/>
                <w:b w:val="false"/>
              </w:rPr>
              <w:t>基金托管人</w:t>
            </w:r>
          </w:p>
        </w:tc>
        <w:tc>
          <w:tcPr>
            <w:tcW/>
            <w:hMerge w:val="restart"/>
            <w:vAlign w:val="center"/>
          </w:tcPr>
          <w:p>
            <w:pPr>
              <w:spacing w:line="240" w:lineRule="auto"/>
              <w:jc w:val="left"/>
            </w:pPr>
            <w:r>
              <w:rPr>
                <w:rFonts w:ascii="宋体" w:hAnsi="宋体" w:cs="宋体" w:eastAsia="宋体"/>
                <w:b w:val="false"/>
              </w:rPr>
              <w:t>中信银行股份有限公司</w:t>
            </w:r>
          </w:p>
        </w:tc>
        <w:tc>
          <w:tcPr>
            <w:hMerge w:val="continue"/>
          </w:tcPr>
          <w:p/>
        </w:tc>
      </w:tr>
      <w:tr>
        <w:tc>
          <w:tcPr>
            <w:tcW/>
            <w:vAlign w:val="center"/>
          </w:tcPr>
          <w:p>
            <w:pPr>
              <w:spacing w:line="240" w:lineRule="auto"/>
              <w:jc w:val="left"/>
            </w:pPr>
            <w:r>
              <w:rPr>
                <w:rFonts w:ascii="宋体" w:hAnsi="宋体" w:cs="宋体" w:eastAsia="宋体"/>
                <w:b w:val="false"/>
              </w:rPr>
              <w:t>下属分级基金的基金简称</w:t>
            </w:r>
          </w:p>
        </w:tc>
        <w:tc>
          <w:tcPr>
            <w:tcW w:type="pct" w:w="1500"/>
            <w:vAlign w:val="center"/>
          </w:tcPr>
          <w:p>
            <w:pPr>
              <w:spacing w:line="240" w:lineRule="auto"/>
              <w:jc w:val="left"/>
            </w:pPr>
            <w:r>
              <w:rPr>
                <w:rFonts w:ascii="宋体" w:hAnsi="宋体" w:cs="宋体" w:eastAsia="宋体"/>
                <w:b w:val="false"/>
              </w:rPr>
              <w:t>东方阿尔法健康产业混合发起A</w:t>
            </w:r>
          </w:p>
        </w:tc>
        <w:tc>
          <w:tcPr>
            <w:tcW w:type="pct" w:w="1500"/>
            <w:vAlign w:val="center"/>
          </w:tcPr>
          <w:p>
            <w:pPr>
              <w:spacing w:line="240" w:lineRule="auto"/>
              <w:jc w:val="left"/>
            </w:pPr>
            <w:r>
              <w:rPr>
                <w:rFonts w:ascii="宋体" w:hAnsi="宋体" w:cs="宋体" w:eastAsia="宋体"/>
                <w:b w:val="false"/>
              </w:rPr>
              <w:t>东方阿尔法健康产业混合发起C</w:t>
            </w:r>
          </w:p>
        </w:tc>
      </w:tr>
      <w:tr>
        <w:tc>
          <w:tcPr>
            <w:tcW/>
            <w:vAlign w:val="center"/>
          </w:tcPr>
          <w:p>
            <w:pPr>
              <w:spacing w:line="240" w:lineRule="auto"/>
              <w:jc w:val="left"/>
            </w:pPr>
            <w:r>
              <w:rPr>
                <w:rFonts w:ascii="宋体" w:hAnsi="宋体" w:cs="宋体" w:eastAsia="宋体"/>
                <w:b w:val="false"/>
              </w:rPr>
              <w:t>下属分级基金的交易代码</w:t>
            </w:r>
          </w:p>
        </w:tc>
        <w:tc>
          <w:tcPr>
            <w:tcW w:type="pct" w:w="1500"/>
            <w:vAlign w:val="center"/>
          </w:tcPr>
          <w:p>
            <w:pPr>
              <w:spacing w:line="240" w:lineRule="auto"/>
              <w:jc w:val="left"/>
            </w:pPr>
            <w:r>
              <w:rPr>
                <w:rFonts w:ascii="宋体" w:hAnsi="宋体" w:cs="宋体" w:eastAsia="宋体"/>
                <w:b w:val="false"/>
              </w:rPr>
              <w:t>024357</w:t>
            </w:r>
          </w:p>
        </w:tc>
        <w:tc>
          <w:tcPr>
            <w:tcW w:type="pct" w:w="1500"/>
            <w:vAlign w:val="center"/>
          </w:tcPr>
          <w:p>
            <w:pPr>
              <w:spacing w:line="240" w:lineRule="auto"/>
              <w:jc w:val="left"/>
            </w:pPr>
            <w:r>
              <w:rPr>
                <w:rFonts w:ascii="宋体" w:hAnsi="宋体" w:cs="宋体" w:eastAsia="宋体"/>
                <w:b w:val="false"/>
              </w:rPr>
              <w:t>024358</w:t>
            </w:r>
          </w:p>
        </w:tc>
      </w:tr>
      <w:tr>
        <w:tc>
          <w:tcPr>
            <w:tcW/>
            <w:vAlign w:val="center"/>
          </w:tcPr>
          <w:p>
            <w:pPr>
              <w:spacing w:line="240" w:lineRule="auto"/>
              <w:jc w:val="left"/>
            </w:pPr>
            <w:r>
              <w:rPr>
                <w:rFonts w:ascii="宋体" w:hAnsi="宋体" w:cs="宋体" w:eastAsia="宋体"/>
                <w:b w:val="false"/>
              </w:rPr>
              <w:t>报告期末下属分级基金的份额总额</w:t>
            </w:r>
          </w:p>
        </w:tc>
        <w:tc>
          <w:tcPr>
            <w:tcW w:type="pct" w:w="1500"/>
            <w:vAlign w:val="center"/>
          </w:tcPr>
          <w:p>
            <w:pPr>
              <w:spacing w:line="240" w:lineRule="auto"/>
              <w:jc w:val="left"/>
            </w:pPr>
            <w:r>
              <w:rPr>
                <w:rFonts w:ascii="宋体" w:hAnsi="宋体" w:cs="宋体" w:eastAsia="宋体"/>
                <w:b w:val="false"/>
              </w:rPr>
              <w:t>12,260,694.11份</w:t>
            </w:r>
          </w:p>
        </w:tc>
        <w:tc>
          <w:tcPr>
            <w:tcW w:type="pct" w:w="1500"/>
            <w:vAlign w:val="center"/>
          </w:tcPr>
          <w:p>
            <w:pPr>
              <w:spacing w:line="240" w:lineRule="auto"/>
              <w:jc w:val="left"/>
            </w:pPr>
            <w:r>
              <w:rPr>
                <w:rFonts w:ascii="宋体" w:hAnsi="宋体" w:cs="宋体" w:eastAsia="宋体"/>
                <w:b w:val="false"/>
              </w:rPr>
              <w:t>93,744,218.85份</w:t>
            </w:r>
          </w:p>
        </w:tc>
      </w:tr>
    </w:tbl>
    <w:p>
      <w:pPr>
        <w:pStyle w:val="1"/>
        <w:jc w:val="center"/>
      </w:pPr>
      <w:r>
        <w:rPr>
          <w:rFonts w:ascii="宋体" w:hAnsi="宋体" w:cs="宋体" w:eastAsia="宋体"/>
        </w:rPr>
        <w:t>§3 主要财务指标和基金净值表现</w:t>
      </w:r>
    </w:p>
    <w:p>
      <w:pPr>
        <w:pStyle w:val="2"/>
        <w:jc w:val="left"/>
      </w:pPr>
      <w:r>
        <w:rPr>
          <w:rFonts w:ascii="宋体" w:hAnsi="宋体" w:cs="宋体" w:eastAsia="宋体"/>
        </w:rPr>
        <w:t>3.1 主要财务指标</w:t>
      </w:r>
    </w:p>
    <w:p>
      <w:pPr>
        <w:jc w:val="right"/>
      </w:pPr>
      <w:r>
        <w:rPr>
          <w:rFonts w:ascii="宋体" w:hAnsi="宋体" w:cs="宋体" w:eastAsia="宋体"/>
          <w:b w:val="false"/>
        </w:rPr>
        <w:t>单位：人民币元</w:t>
      </w:r>
    </w:p>
    <w:tbl>
      <w:tblPr>
        <w:tblW w:w="5000" w:type="pct"/>
        <w:tblBorders>
          <w:top w:val="single" w:sz="4"/>
          <w:left w:val="single" w:sz="4"/>
          <w:bottom w:val="single" w:sz="4"/>
          <w:right w:val="single" w:sz="4"/>
          <w:insideH w:val="single" w:sz="4"/>
          <w:insideV w:val="single" w:sz="4"/>
        </w:tblBorders>
      </w:tblPr>
      <w:tblGrid>
        <w:gridCol w:w="3021"/>
        <w:gridCol w:w="3021"/>
        <w:gridCol w:w="3021"/>
      </w:tblGrid>
      <w:tr>
        <w:tc>
          <w:tcPr>
            <w:tcW w:type="pct" w:w="1923"/>
            <w:vMerge w:val="restart"/>
            <w:vAlign w:val="center"/>
          </w:tcPr>
          <w:tcPr>
            <w:shd w:fill="d9d9d9"/>
          </w:tcPr>
          <w:p>
            <w:pPr>
              <w:spacing w:line="240" w:lineRule="auto"/>
              <w:jc w:val="center"/>
            </w:pPr>
            <w:r>
              <w:rPr>
                <w:rFonts w:ascii="宋体" w:hAnsi="宋体" w:cs="宋体" w:eastAsia="宋体"/>
                <w:b w:val="true"/>
              </w:rPr>
              <w:t>主要财务指标</w:t>
            </w:r>
          </w:p>
        </w:tc>
        <w:tc>
          <w:tcPr>
            <w:tcW w:type="pct" w:w="3077"/>
            <w:hMerge w:val="restart"/>
            <w:vAlign w:val="center"/>
          </w:tcPr>
          <w:tcPr>
            <w:shd w:fill="d9d9d9"/>
          </w:tcPr>
          <w:p>
            <w:pPr>
              <w:spacing w:line="240" w:lineRule="auto"/>
              <w:jc w:val="center"/>
            </w:pPr>
            <w:r>
              <w:rPr>
                <w:rFonts w:ascii="宋体" w:hAnsi="宋体" w:cs="宋体" w:eastAsia="宋体"/>
                <w:b w:val="false"/>
              </w:rPr>
              <w:t>报告期（2026年04月01日-2026年06月30日）</w:t>
            </w:r>
          </w:p>
        </w:tc>
        <w:tc>
          <w:tcPr>
            <w:hMerge w:val="continue"/>
          </w:tcPr>
          <w:p/>
        </w:tc>
      </w:tr>
      <w:tr>
        <w:tc>
          <w:tcPr>
            <w:vMerge w:val="continue"/>
          </w:tcPr>
          <w:p/>
        </w:tc>
        <w:tc>
          <w:tcPr>
            <w:tcW w:type="pct" w:w="1500"/>
            <w:vAlign w:val="center"/>
          </w:tcPr>
          <w:tcPr>
            <w:shd w:fill="d9d9d9"/>
          </w:tcPr>
          <w:p>
            <w:pPr>
              <w:spacing w:line="240" w:lineRule="auto"/>
              <w:jc w:val="center"/>
            </w:pPr>
            <w:r>
              <w:rPr>
                <w:rFonts w:ascii="宋体" w:hAnsi="宋体" w:cs="宋体" w:eastAsia="宋体"/>
                <w:b w:val="false"/>
              </w:rPr>
              <w:t>东方阿尔法健康产业混合发起A</w:t>
            </w:r>
          </w:p>
        </w:tc>
        <w:tc>
          <w:tcPr>
            <w:tcW w:type="pct" w:w="1500"/>
            <w:vAlign w:val="center"/>
          </w:tcPr>
          <w:tcPr>
            <w:shd w:fill="d9d9d9"/>
          </w:tcPr>
          <w:p>
            <w:pPr>
              <w:spacing w:line="240" w:lineRule="auto"/>
              <w:jc w:val="center"/>
            </w:pPr>
            <w:r>
              <w:rPr>
                <w:rFonts w:ascii="宋体" w:hAnsi="宋体" w:cs="宋体" w:eastAsia="宋体"/>
                <w:b w:val="false"/>
              </w:rPr>
              <w:t>东方阿尔法健康产业混合发起C</w:t>
            </w:r>
          </w:p>
        </w:tc>
      </w:tr>
      <w:tr>
        <w:tc>
          <w:tcPr>
            <w:tcW/>
            <w:vAlign w:val="center"/>
          </w:tcPr>
          <w:p>
            <w:pPr>
              <w:spacing w:line="240" w:lineRule="auto"/>
              <w:jc w:val="left"/>
            </w:pPr>
            <w:r>
              <w:rPr>
                <w:rFonts w:ascii="宋体" w:hAnsi="宋体" w:cs="宋体" w:eastAsia="宋体"/>
                <w:b w:val="false"/>
              </w:rPr>
              <w:t>1.本期已实现收益</w:t>
            </w:r>
          </w:p>
        </w:tc>
        <w:tc>
          <w:tcPr>
            <w:tcW w:type="pct" w:w="1500"/>
            <w:vAlign w:val="center"/>
          </w:tcPr>
          <w:p>
            <w:pPr>
              <w:spacing w:line="240" w:lineRule="auto"/>
              <w:jc w:val="right"/>
            </w:pPr>
            <w:r>
              <w:rPr>
                <w:rFonts w:ascii="宋体" w:hAnsi="宋体" w:cs="宋体" w:eastAsia="宋体"/>
                <w:b w:val="false"/>
              </w:rPr>
              <w:t>-1,904,816.07</w:t>
            </w:r>
          </w:p>
        </w:tc>
        <w:tc>
          <w:tcPr>
            <w:tcW w:type="pct" w:w="1500"/>
            <w:vAlign w:val="center"/>
          </w:tcPr>
          <w:p>
            <w:pPr>
              <w:spacing w:line="240" w:lineRule="auto"/>
              <w:jc w:val="right"/>
            </w:pPr>
            <w:r>
              <w:rPr>
                <w:rFonts w:ascii="宋体" w:hAnsi="宋体" w:cs="宋体" w:eastAsia="宋体"/>
                <w:b w:val="false"/>
              </w:rPr>
              <w:t>-18,070,271.43</w:t>
            </w:r>
          </w:p>
        </w:tc>
      </w:tr>
      <w:tr>
        <w:tc>
          <w:tcPr>
            <w:tcW/>
            <w:vAlign w:val="center"/>
          </w:tcPr>
          <w:p>
            <w:pPr>
              <w:spacing w:line="240" w:lineRule="auto"/>
              <w:jc w:val="left"/>
            </w:pPr>
            <w:r>
              <w:rPr>
                <w:rFonts w:ascii="宋体" w:hAnsi="宋体" w:cs="宋体" w:eastAsia="宋体"/>
                <w:b w:val="false"/>
              </w:rPr>
              <w:t>2.本期利润</w:t>
            </w:r>
          </w:p>
        </w:tc>
        <w:tc>
          <w:tcPr>
            <w:tcW w:type="pct" w:w="1500"/>
            <w:vAlign w:val="center"/>
          </w:tcPr>
          <w:p>
            <w:pPr>
              <w:spacing w:line="240" w:lineRule="auto"/>
              <w:jc w:val="right"/>
            </w:pPr>
            <w:r>
              <w:rPr>
                <w:rFonts w:ascii="宋体" w:hAnsi="宋体" w:cs="宋体" w:eastAsia="宋体"/>
                <w:b w:val="false"/>
              </w:rPr>
              <w:t>-1,224,427.87</w:t>
            </w:r>
          </w:p>
        </w:tc>
        <w:tc>
          <w:tcPr>
            <w:tcW w:type="pct" w:w="1500"/>
            <w:vAlign w:val="center"/>
          </w:tcPr>
          <w:p>
            <w:pPr>
              <w:spacing w:line="240" w:lineRule="auto"/>
              <w:jc w:val="right"/>
            </w:pPr>
            <w:r>
              <w:rPr>
                <w:rFonts w:ascii="宋体" w:hAnsi="宋体" w:cs="宋体" w:eastAsia="宋体"/>
                <w:b w:val="false"/>
              </w:rPr>
              <w:t>-13,003,533.50</w:t>
            </w:r>
          </w:p>
        </w:tc>
      </w:tr>
      <w:tr>
        <w:tc>
          <w:tcPr>
            <w:tcW/>
            <w:vAlign w:val="center"/>
          </w:tcPr>
          <w:p>
            <w:pPr>
              <w:spacing w:line="240" w:lineRule="auto"/>
              <w:jc w:val="left"/>
            </w:pPr>
            <w:r>
              <w:rPr>
                <w:rFonts w:ascii="宋体" w:hAnsi="宋体" w:cs="宋体" w:eastAsia="宋体"/>
                <w:b w:val="false"/>
              </w:rPr>
              <w:t>3.加权平均基金份额本期利润</w:t>
            </w:r>
          </w:p>
        </w:tc>
        <w:tc>
          <w:tcPr>
            <w:tcW w:type="pct" w:w="1500"/>
            <w:vAlign w:val="center"/>
          </w:tcPr>
          <w:p>
            <w:pPr>
              <w:spacing w:line="240" w:lineRule="auto"/>
              <w:jc w:val="right"/>
            </w:pPr>
            <w:r>
              <w:rPr>
                <w:rFonts w:ascii="宋体" w:hAnsi="宋体" w:cs="宋体" w:eastAsia="宋体"/>
                <w:b w:val="false"/>
              </w:rPr>
              <w:t>-0.0989</w:t>
            </w:r>
          </w:p>
        </w:tc>
        <w:tc>
          <w:tcPr>
            <w:tcW w:type="pct" w:w="1500"/>
            <w:vAlign w:val="center"/>
          </w:tcPr>
          <w:p>
            <w:pPr>
              <w:spacing w:line="240" w:lineRule="auto"/>
              <w:jc w:val="right"/>
            </w:pPr>
            <w:r>
              <w:rPr>
                <w:rFonts w:ascii="宋体" w:hAnsi="宋体" w:cs="宋体" w:eastAsia="宋体"/>
                <w:b w:val="false"/>
              </w:rPr>
              <w:t>-0.1045</w:t>
            </w:r>
          </w:p>
        </w:tc>
      </w:tr>
      <w:tr>
        <w:tc>
          <w:tcPr>
            <w:tcW/>
            <w:vAlign w:val="center"/>
          </w:tcPr>
          <w:p>
            <w:pPr>
              <w:spacing w:line="240" w:lineRule="auto"/>
              <w:jc w:val="left"/>
            </w:pPr>
            <w:r>
              <w:rPr>
                <w:rFonts w:ascii="宋体" w:hAnsi="宋体" w:cs="宋体" w:eastAsia="宋体"/>
                <w:b w:val="false"/>
              </w:rPr>
              <w:t>4.期末基金资产净值</w:t>
            </w:r>
          </w:p>
        </w:tc>
        <w:tc>
          <w:tcPr>
            <w:tcW w:type="pct" w:w="1500"/>
            <w:vAlign w:val="center"/>
          </w:tcPr>
          <w:p>
            <w:pPr>
              <w:spacing w:line="240" w:lineRule="auto"/>
              <w:jc w:val="right"/>
            </w:pPr>
            <w:r>
              <w:rPr>
                <w:rFonts w:ascii="宋体" w:hAnsi="宋体" w:cs="宋体" w:eastAsia="宋体"/>
                <w:b w:val="false"/>
              </w:rPr>
              <w:t>9,589,507.38</w:t>
            </w:r>
          </w:p>
        </w:tc>
        <w:tc>
          <w:tcPr>
            <w:tcW w:type="pct" w:w="1500"/>
            <w:vAlign w:val="center"/>
          </w:tcPr>
          <w:p>
            <w:pPr>
              <w:spacing w:line="240" w:lineRule="auto"/>
              <w:jc w:val="right"/>
            </w:pPr>
            <w:r>
              <w:rPr>
                <w:rFonts w:ascii="宋体" w:hAnsi="宋体" w:cs="宋体" w:eastAsia="宋体"/>
                <w:b w:val="false"/>
              </w:rPr>
              <w:t>72,955,894.03</w:t>
            </w:r>
          </w:p>
        </w:tc>
      </w:tr>
      <w:tr>
        <w:tc>
          <w:tcPr>
            <w:tcW/>
            <w:vAlign w:val="center"/>
          </w:tcPr>
          <w:p>
            <w:pPr>
              <w:spacing w:line="240" w:lineRule="auto"/>
              <w:jc w:val="left"/>
            </w:pPr>
            <w:r>
              <w:rPr>
                <w:rFonts w:ascii="宋体" w:hAnsi="宋体" w:cs="宋体" w:eastAsia="宋体"/>
                <w:b w:val="false"/>
              </w:rPr>
              <w:t>5.期末基金份额净值</w:t>
            </w:r>
          </w:p>
        </w:tc>
        <w:tc>
          <w:tcPr>
            <w:tcW w:type="pct" w:w="1500"/>
            <w:vAlign w:val="center"/>
          </w:tcPr>
          <w:p>
            <w:pPr>
              <w:spacing w:line="240" w:lineRule="auto"/>
              <w:jc w:val="right"/>
            </w:pPr>
            <w:r>
              <w:rPr>
                <w:rFonts w:ascii="宋体" w:hAnsi="宋体" w:cs="宋体" w:eastAsia="宋体"/>
                <w:b w:val="false"/>
              </w:rPr>
              <w:t>0.7821</w:t>
            </w:r>
          </w:p>
        </w:tc>
        <w:tc>
          <w:tcPr>
            <w:tcW w:type="pct" w:w="1500"/>
            <w:vAlign w:val="center"/>
          </w:tcPr>
          <w:p>
            <w:pPr>
              <w:spacing w:line="240" w:lineRule="auto"/>
              <w:jc w:val="right"/>
            </w:pPr>
            <w:r>
              <w:rPr>
                <w:rFonts w:ascii="宋体" w:hAnsi="宋体" w:cs="宋体" w:eastAsia="宋体"/>
                <w:b w:val="false"/>
              </w:rPr>
              <w:t>0.7782</w:t>
            </w:r>
          </w:p>
        </w:tc>
      </w:tr>
    </w:tbl>
    <w:p>
      <w:r>
        <w:rPr>
          <w:rFonts w:ascii="宋体" w:hAnsi="宋体" w:cs="宋体" w:eastAsia="宋体"/>
          <w:b w:val="false"/>
        </w:rPr>
        <w:t>注：1、本期已实现收益指基金本期利息收入、投资收益、其他收入(不含公允价值变动收益)扣除相关费用后的余额，本期利润为本期已实现收益加上本期公允价值变动收益。</w:t>
        <w:br/>
      </w:r>
      <w:r>
        <w:rPr>
          <w:rFonts w:ascii="宋体" w:hAnsi="宋体" w:cs="宋体" w:eastAsia="宋体"/>
          <w:b w:val="false"/>
        </w:rPr>
        <w:t>2、所述基金业绩指标不包括持有人认购或交易基金的各项费用，计入费用后实际收益水平要低于所列数字。</w:t>
      </w:r>
    </w:p>
    <w:p/>
    <w:p>
      <w:pPr>
        <w:pStyle w:val="2"/>
        <w:jc w:val="left"/>
      </w:pPr>
      <w:r>
        <w:rPr>
          <w:rFonts w:ascii="宋体" w:hAnsi="宋体" w:cs="宋体" w:eastAsia="宋体"/>
        </w:rPr>
        <w:t>3.2 基金净值表现</w:t>
      </w:r>
    </w:p>
    <w:p>
      <w:pPr>
        <w:pStyle w:val="zhangjiep2"/>
      </w:pPr>
      <w:r>
        <w:rPr>
          <w:rStyle w:val="正文"/>
          <w:rFonts w:ascii="宋体" w:hAnsi="宋体" w:cs="宋体" w:eastAsia="宋体"/>
          <w:b w:val="true"/>
        </w:rPr>
        <w:t>3.2.1 基金份额净值增长率及其与同期业绩比较基准收益率的比较</w:t>
      </w:r>
    </w:p>
    <w:p>
      <w:pPr>
        <w:jc w:val="left"/>
      </w:pPr>
      <w:r>
        <w:rPr>
          <w:rFonts w:ascii="宋体" w:hAnsi="宋体" w:cs="宋体" w:eastAsia="宋体"/>
          <w:b w:val="true"/>
        </w:rPr>
        <w:t>东方阿尔法健康产业混合发起A净值表现</w:t>
      </w:r>
    </w:p>
    <w:tbl>
      <w:tblPr>
        <w:tblW w:w="5000" w:type="pct"/>
        <w:tblBorders>
          <w:top w:val="single" w:sz="4"/>
          <w:left w:val="single" w:sz="4"/>
          <w:bottom w:val="single" w:sz="4"/>
          <w:right w:val="single" w:sz="4"/>
          <w:insideH w:val="single" w:sz="4"/>
          <w:insideV w:val="single" w:sz="4"/>
        </w:tblBorders>
      </w:tblPr>
      <w:tblGrid>
        <w:gridCol w:w="1295"/>
        <w:gridCol w:w="1295"/>
        <w:gridCol w:w="1295"/>
        <w:gridCol w:w="1295"/>
        <w:gridCol w:w="1295"/>
        <w:gridCol w:w="1295"/>
        <w:gridCol w:w="1295"/>
      </w:tblGrid>
      <w:tr>
        <w:tc>
          <w:tcPr>
            <w:tcW w:type="pct" w:w="846"/>
            <w:vAlign w:val="center"/>
          </w:tcPr>
          <w:tcPr>
            <w:shd w:fill="d9d9d9"/>
          </w:tcPr>
          <w:p>
            <w:pPr>
              <w:spacing w:line="240" w:lineRule="auto"/>
              <w:jc w:val="center"/>
            </w:pPr>
            <w:r>
              <w:rPr>
                <w:rFonts w:ascii="宋体" w:hAnsi="宋体" w:cs="宋体" w:eastAsia="宋体"/>
                <w:b w:val="false"/>
              </w:rPr>
              <w:t>阶段</w:t>
            </w:r>
          </w:p>
        </w:tc>
        <w:tc>
          <w:tcPr>
            <w:tcW w:type="pct" w:w="692"/>
            <w:vAlign w:val="center"/>
          </w:tcPr>
          <w:tcPr>
            <w:shd w:fill="d9d9d9"/>
          </w:tcPr>
          <w:p>
            <w:pPr>
              <w:spacing w:line="240" w:lineRule="auto"/>
              <w:jc w:val="center"/>
            </w:pPr>
            <w:r>
              <w:rPr>
                <w:rFonts w:ascii="宋体" w:hAnsi="宋体" w:cs="宋体" w:eastAsia="宋体"/>
                <w:b w:val="false"/>
              </w:rPr>
              <w:t>净值增长率①</w:t>
            </w:r>
          </w:p>
        </w:tc>
        <w:tc>
          <w:tcPr>
            <w:tcW w:type="pct" w:w="692"/>
            <w:vAlign w:val="center"/>
          </w:tcPr>
          <w:tcPr>
            <w:shd w:fill="d9d9d9"/>
          </w:tcPr>
          <w:p>
            <w:pPr>
              <w:spacing w:line="240" w:lineRule="auto"/>
              <w:jc w:val="center"/>
            </w:pPr>
            <w:r>
              <w:rPr>
                <w:rFonts w:ascii="宋体" w:hAnsi="宋体" w:cs="宋体" w:eastAsia="宋体"/>
                <w:b w:val="false"/>
              </w:rPr>
              <w:t>净值增长率标准差②</w:t>
            </w:r>
          </w:p>
        </w:tc>
        <w:tc>
          <w:tcPr>
            <w:tcW w:type="pct" w:w="692"/>
            <w:vAlign w:val="center"/>
          </w:tcPr>
          <w:tcPr>
            <w:shd w:fill="d9d9d9"/>
          </w:tcPr>
          <w:p>
            <w:pPr>
              <w:spacing w:line="240" w:lineRule="auto"/>
              <w:jc w:val="center"/>
            </w:pPr>
            <w:r>
              <w:rPr>
                <w:rFonts w:ascii="宋体" w:hAnsi="宋体" w:cs="宋体" w:eastAsia="宋体"/>
                <w:b w:val="false"/>
              </w:rPr>
              <w:t>业绩比较基准收益率③</w:t>
            </w:r>
          </w:p>
        </w:tc>
        <w:tc>
          <w:tcPr>
            <w:tcW w:type="pct" w:w="692"/>
            <w:vAlign w:val="center"/>
          </w:tcPr>
          <w:tcPr>
            <w:shd w:fill="d9d9d9"/>
          </w:tcPr>
          <w:p>
            <w:pPr>
              <w:spacing w:line="240" w:lineRule="auto"/>
              <w:jc w:val="center"/>
            </w:pPr>
            <w:r>
              <w:rPr>
                <w:rFonts w:ascii="宋体" w:hAnsi="宋体" w:cs="宋体" w:eastAsia="宋体"/>
                <w:b w:val="false"/>
              </w:rPr>
              <w:t>业绩比较基准收益率标准差④</w:t>
            </w:r>
          </w:p>
        </w:tc>
        <w:tc>
          <w:tcPr>
            <w:tcW w:type="pct" w:w="692"/>
            <w:vAlign w:val="center"/>
          </w:tcPr>
          <w:tcPr>
            <w:shd w:fill="d9d9d9"/>
          </w:tcPr>
          <w:p>
            <w:pPr>
              <w:spacing w:line="240" w:lineRule="auto"/>
              <w:jc w:val="center"/>
            </w:pPr>
            <w:r>
              <w:rPr>
                <w:rFonts w:ascii="宋体" w:hAnsi="宋体" w:cs="宋体" w:eastAsia="宋体"/>
                <w:b w:val="false"/>
              </w:rPr>
              <w:t>①-③</w:t>
            </w:r>
          </w:p>
        </w:tc>
        <w:tc>
          <w:tcPr>
            <w:tcW w:type="pct" w:w="692"/>
            <w:vAlign w:val="center"/>
          </w:tcPr>
          <w:tcPr>
            <w:shd w:fill="d9d9d9"/>
          </w:tcPr>
          <w:p>
            <w:pPr>
              <w:spacing w:line="240" w:lineRule="auto"/>
              <w:jc w:val="center"/>
            </w:pPr>
            <w:r>
              <w:rPr>
                <w:rFonts w:ascii="宋体" w:hAnsi="宋体" w:cs="宋体" w:eastAsia="宋体"/>
                <w:b w:val="false"/>
              </w:rPr>
              <w:t>②-④</w:t>
            </w:r>
          </w:p>
        </w:tc>
      </w:tr>
      <w:tr>
        <w:tc>
          <w:tcPr>
            <w:tcW/>
            <w:vAlign w:val="center"/>
          </w:tcPr>
          <w:p>
            <w:pPr>
              <w:spacing w:line="240" w:lineRule="auto"/>
              <w:jc w:val="left"/>
            </w:pPr>
            <w:r>
              <w:rPr>
                <w:rFonts w:ascii="宋体" w:hAnsi="宋体" w:cs="宋体" w:eastAsia="宋体"/>
                <w:b w:val="false"/>
              </w:rPr>
              <w:t>过去三个月</w:t>
            </w:r>
          </w:p>
        </w:tc>
        <w:tc>
          <w:tcPr>
            <w:tcW/>
            <w:vAlign w:val="center"/>
          </w:tcPr>
          <w:p>
            <w:pPr>
              <w:spacing w:line="240" w:lineRule="auto"/>
              <w:jc w:val="right"/>
            </w:pPr>
            <w:r>
              <w:rPr>
                <w:rFonts w:ascii="宋体" w:hAnsi="宋体" w:cs="宋体" w:eastAsia="宋体"/>
                <w:b w:val="false"/>
              </w:rPr>
              <w:t>-11.44%</w:t>
            </w:r>
          </w:p>
        </w:tc>
        <w:tc>
          <w:tcPr>
            <w:tcW/>
            <w:vAlign w:val="center"/>
          </w:tcPr>
          <w:p>
            <w:pPr>
              <w:spacing w:line="240" w:lineRule="auto"/>
              <w:jc w:val="right"/>
            </w:pPr>
            <w:r>
              <w:rPr>
                <w:rFonts w:ascii="宋体" w:hAnsi="宋体" w:cs="宋体" w:eastAsia="宋体"/>
                <w:b w:val="false"/>
              </w:rPr>
              <w:t>2.46%</w:t>
            </w:r>
          </w:p>
        </w:tc>
        <w:tc>
          <w:tcPr>
            <w:tcW/>
            <w:vAlign w:val="center"/>
          </w:tcPr>
          <w:p>
            <w:pPr>
              <w:spacing w:line="240" w:lineRule="auto"/>
              <w:jc w:val="right"/>
            </w:pPr>
            <w:r>
              <w:rPr>
                <w:rFonts w:ascii="宋体" w:hAnsi="宋体" w:cs="宋体" w:eastAsia="宋体"/>
                <w:b w:val="false"/>
              </w:rPr>
              <w:t>-7.69%</w:t>
            </w:r>
          </w:p>
        </w:tc>
        <w:tc>
          <w:tcPr>
            <w:tcW/>
            <w:vAlign w:val="center"/>
          </w:tcPr>
          <w:p>
            <w:pPr>
              <w:spacing w:line="240" w:lineRule="auto"/>
              <w:jc w:val="right"/>
            </w:pPr>
            <w:r>
              <w:rPr>
                <w:rFonts w:ascii="宋体" w:hAnsi="宋体" w:cs="宋体" w:eastAsia="宋体"/>
                <w:b w:val="false"/>
              </w:rPr>
              <w:t>0.84%</w:t>
            </w:r>
          </w:p>
        </w:tc>
        <w:tc>
          <w:tcPr>
            <w:tcW/>
            <w:vAlign w:val="center"/>
          </w:tcPr>
          <w:p>
            <w:pPr>
              <w:spacing w:line="240" w:lineRule="auto"/>
              <w:jc w:val="right"/>
            </w:pPr>
            <w:r>
              <w:rPr>
                <w:rFonts w:ascii="宋体" w:hAnsi="宋体" w:cs="宋体" w:eastAsia="宋体"/>
                <w:b w:val="false"/>
              </w:rPr>
              <w:t>-3.75%</w:t>
            </w:r>
          </w:p>
        </w:tc>
        <w:tc>
          <w:tcPr>
            <w:tcW/>
            <w:vAlign w:val="center"/>
          </w:tcPr>
          <w:p>
            <w:pPr>
              <w:spacing w:line="240" w:lineRule="auto"/>
              <w:jc w:val="right"/>
            </w:pPr>
            <w:r>
              <w:rPr>
                <w:rFonts w:ascii="宋体" w:hAnsi="宋体" w:cs="宋体" w:eastAsia="宋体"/>
                <w:b w:val="false"/>
              </w:rPr>
              <w:t>1.62%</w:t>
            </w:r>
          </w:p>
        </w:tc>
      </w:tr>
      <w:tr>
        <w:tc>
          <w:tcPr>
            <w:tcW/>
            <w:vAlign w:val="center"/>
          </w:tcPr>
          <w:p>
            <w:pPr>
              <w:spacing w:line="240" w:lineRule="auto"/>
              <w:jc w:val="left"/>
            </w:pPr>
            <w:r>
              <w:rPr>
                <w:rFonts w:ascii="宋体" w:hAnsi="宋体" w:cs="宋体" w:eastAsia="宋体"/>
                <w:b w:val="false"/>
              </w:rPr>
              <w:t>过去六个月</w:t>
            </w:r>
          </w:p>
        </w:tc>
        <w:tc>
          <w:tcPr>
            <w:tcW/>
            <w:vAlign w:val="center"/>
          </w:tcPr>
          <w:p>
            <w:pPr>
              <w:spacing w:line="240" w:lineRule="auto"/>
              <w:jc w:val="right"/>
            </w:pPr>
            <w:r>
              <w:rPr>
                <w:rFonts w:ascii="宋体" w:hAnsi="宋体" w:cs="宋体" w:eastAsia="宋体"/>
                <w:b w:val="false"/>
              </w:rPr>
              <w:t>-12.74%</w:t>
            </w:r>
          </w:p>
        </w:tc>
        <w:tc>
          <w:tcPr>
            <w:tcW/>
            <w:vAlign w:val="center"/>
          </w:tcPr>
          <w:p>
            <w:pPr>
              <w:spacing w:line="240" w:lineRule="auto"/>
              <w:jc w:val="right"/>
            </w:pPr>
            <w:r>
              <w:rPr>
                <w:rFonts w:ascii="宋体" w:hAnsi="宋体" w:cs="宋体" w:eastAsia="宋体"/>
                <w:b w:val="false"/>
              </w:rPr>
              <w:t>2.58%</w:t>
            </w:r>
          </w:p>
        </w:tc>
        <w:tc>
          <w:tcPr>
            <w:tcW/>
            <w:vAlign w:val="center"/>
          </w:tcPr>
          <w:p>
            <w:pPr>
              <w:spacing w:line="240" w:lineRule="auto"/>
              <w:jc w:val="right"/>
            </w:pPr>
            <w:r>
              <w:rPr>
                <w:rFonts w:ascii="宋体" w:hAnsi="宋体" w:cs="宋体" w:eastAsia="宋体"/>
                <w:b w:val="false"/>
              </w:rPr>
              <w:t>-10.33%</w:t>
            </w:r>
          </w:p>
        </w:tc>
        <w:tc>
          <w:tcPr>
            <w:tcW/>
            <w:vAlign w:val="center"/>
          </w:tcPr>
          <w:p>
            <w:pPr>
              <w:spacing w:line="240" w:lineRule="auto"/>
              <w:jc w:val="right"/>
            </w:pPr>
            <w:r>
              <w:rPr>
                <w:rFonts w:ascii="宋体" w:hAnsi="宋体" w:cs="宋体" w:eastAsia="宋体"/>
                <w:b w:val="false"/>
              </w:rPr>
              <w:t>0.86%</w:t>
            </w:r>
          </w:p>
        </w:tc>
        <w:tc>
          <w:tcPr>
            <w:tcW/>
            <w:vAlign w:val="center"/>
          </w:tcPr>
          <w:p>
            <w:pPr>
              <w:spacing w:line="240" w:lineRule="auto"/>
              <w:jc w:val="right"/>
            </w:pPr>
            <w:r>
              <w:rPr>
                <w:rFonts w:ascii="宋体" w:hAnsi="宋体" w:cs="宋体" w:eastAsia="宋体"/>
                <w:b w:val="false"/>
              </w:rPr>
              <w:t>-2.41%</w:t>
            </w:r>
          </w:p>
        </w:tc>
        <w:tc>
          <w:tcPr>
            <w:tcW/>
            <w:vAlign w:val="center"/>
          </w:tcPr>
          <w:p>
            <w:pPr>
              <w:spacing w:line="240" w:lineRule="auto"/>
              <w:jc w:val="right"/>
            </w:pPr>
            <w:r>
              <w:rPr>
                <w:rFonts w:ascii="宋体" w:hAnsi="宋体" w:cs="宋体" w:eastAsia="宋体"/>
                <w:b w:val="false"/>
              </w:rPr>
              <w:t>1.72%</w:t>
            </w:r>
          </w:p>
        </w:tc>
      </w:tr>
      <w:tr>
        <w:tc>
          <w:tcPr>
            <w:tcW/>
            <w:vAlign w:val="center"/>
          </w:tcPr>
          <w:p>
            <w:pPr>
              <w:spacing w:line="240" w:lineRule="auto"/>
              <w:jc w:val="left"/>
            </w:pPr>
            <w:r>
              <w:rPr>
                <w:rFonts w:ascii="宋体" w:hAnsi="宋体" w:cs="宋体" w:eastAsia="宋体"/>
                <w:b w:val="false"/>
              </w:rPr>
              <w:t>过去一年</w:t>
            </w:r>
          </w:p>
        </w:tc>
        <w:tc>
          <w:tcPr>
            <w:tcW/>
            <w:vAlign w:val="center"/>
          </w:tcPr>
          <w:p>
            <w:pPr>
              <w:spacing w:line="240" w:lineRule="auto"/>
              <w:jc w:val="right"/>
            </w:pPr>
            <w:r>
              <w:rPr>
                <w:rFonts w:ascii="宋体" w:hAnsi="宋体" w:cs="宋体" w:eastAsia="宋体"/>
                <w:b w:val="false"/>
              </w:rPr>
              <w:t>-17.67%</w:t>
            </w:r>
          </w:p>
        </w:tc>
        <w:tc>
          <w:tcPr>
            <w:tcW/>
            <w:vAlign w:val="center"/>
          </w:tcPr>
          <w:p>
            <w:pPr>
              <w:spacing w:line="240" w:lineRule="auto"/>
              <w:jc w:val="right"/>
            </w:pPr>
            <w:r>
              <w:rPr>
                <w:rFonts w:ascii="宋体" w:hAnsi="宋体" w:cs="宋体" w:eastAsia="宋体"/>
                <w:b w:val="false"/>
              </w:rPr>
              <w:t>2.39%</w:t>
            </w:r>
          </w:p>
        </w:tc>
        <w:tc>
          <w:tcPr>
            <w:tcW/>
            <w:vAlign w:val="center"/>
          </w:tcPr>
          <w:p>
            <w:pPr>
              <w:spacing w:line="240" w:lineRule="auto"/>
              <w:jc w:val="right"/>
            </w:pPr>
            <w:r>
              <w:rPr>
                <w:rFonts w:ascii="宋体" w:hAnsi="宋体" w:cs="宋体" w:eastAsia="宋体"/>
                <w:b w:val="false"/>
              </w:rPr>
              <w:t>-8.21%</w:t>
            </w:r>
          </w:p>
        </w:tc>
        <w:tc>
          <w:tcPr>
            <w:tcW/>
            <w:vAlign w:val="center"/>
          </w:tcPr>
          <w:p>
            <w:pPr>
              <w:spacing w:line="240" w:lineRule="auto"/>
              <w:jc w:val="right"/>
            </w:pPr>
            <w:r>
              <w:rPr>
                <w:rFonts w:ascii="宋体" w:hAnsi="宋体" w:cs="宋体" w:eastAsia="宋体"/>
                <w:b w:val="false"/>
              </w:rPr>
              <w:t>0.78%</w:t>
            </w:r>
          </w:p>
        </w:tc>
        <w:tc>
          <w:tcPr>
            <w:tcW/>
            <w:vAlign w:val="center"/>
          </w:tcPr>
          <w:p>
            <w:pPr>
              <w:spacing w:line="240" w:lineRule="auto"/>
              <w:jc w:val="right"/>
            </w:pPr>
            <w:r>
              <w:rPr>
                <w:rFonts w:ascii="宋体" w:hAnsi="宋体" w:cs="宋体" w:eastAsia="宋体"/>
                <w:b w:val="false"/>
              </w:rPr>
              <w:t>-9.46%</w:t>
            </w:r>
          </w:p>
        </w:tc>
        <w:tc>
          <w:tcPr>
            <w:tcW/>
            <w:vAlign w:val="center"/>
          </w:tcPr>
          <w:p>
            <w:pPr>
              <w:spacing w:line="240" w:lineRule="auto"/>
              <w:jc w:val="right"/>
            </w:pPr>
            <w:r>
              <w:rPr>
                <w:rFonts w:ascii="宋体" w:hAnsi="宋体" w:cs="宋体" w:eastAsia="宋体"/>
                <w:b w:val="false"/>
              </w:rPr>
              <w:t>1.61%</w:t>
            </w:r>
          </w:p>
        </w:tc>
      </w:tr>
      <w:tr>
        <w:tc>
          <w:tcPr>
            <w:tcW/>
            <w:vAlign w:val="center"/>
          </w:tcPr>
          <w:p>
            <w:pPr>
              <w:spacing w:line="240" w:lineRule="auto"/>
              <w:jc w:val="left"/>
            </w:pPr>
            <w:r>
              <w:rPr>
                <w:rFonts w:ascii="宋体" w:hAnsi="宋体" w:cs="宋体" w:eastAsia="宋体"/>
                <w:b w:val="false"/>
              </w:rPr>
              <w:t>自基金合同生效起至今</w:t>
            </w:r>
          </w:p>
        </w:tc>
        <w:tc>
          <w:tcPr>
            <w:tcW/>
            <w:vAlign w:val="center"/>
          </w:tcPr>
          <w:p>
            <w:pPr>
              <w:spacing w:line="240" w:lineRule="auto"/>
              <w:jc w:val="right"/>
            </w:pPr>
            <w:r>
              <w:rPr>
                <w:rFonts w:ascii="宋体" w:hAnsi="宋体" w:cs="宋体" w:eastAsia="宋体"/>
                <w:b w:val="false"/>
              </w:rPr>
              <w:t>-21.79%</w:t>
            </w:r>
          </w:p>
        </w:tc>
        <w:tc>
          <w:tcPr>
            <w:tcW/>
            <w:vAlign w:val="center"/>
          </w:tcPr>
          <w:p>
            <w:pPr>
              <w:spacing w:line="240" w:lineRule="auto"/>
              <w:jc w:val="right"/>
            </w:pPr>
            <w:r>
              <w:rPr>
                <w:rFonts w:ascii="宋体" w:hAnsi="宋体" w:cs="宋体" w:eastAsia="宋体"/>
                <w:b w:val="false"/>
              </w:rPr>
              <w:t>2.36%</w:t>
            </w:r>
          </w:p>
        </w:tc>
        <w:tc>
          <w:tcPr>
            <w:tcW/>
            <w:vAlign w:val="center"/>
          </w:tcPr>
          <w:p>
            <w:pPr>
              <w:spacing w:line="240" w:lineRule="auto"/>
              <w:jc w:val="right"/>
            </w:pPr>
            <w:r>
              <w:rPr>
                <w:rFonts w:ascii="宋体" w:hAnsi="宋体" w:cs="宋体" w:eastAsia="宋体"/>
                <w:b w:val="false"/>
              </w:rPr>
              <w:t>-10.11%</w:t>
            </w:r>
          </w:p>
        </w:tc>
        <w:tc>
          <w:tcPr>
            <w:tcW/>
            <w:vAlign w:val="center"/>
          </w:tcPr>
          <w:p>
            <w:pPr>
              <w:spacing w:line="240" w:lineRule="auto"/>
              <w:jc w:val="right"/>
            </w:pPr>
            <w:r>
              <w:rPr>
                <w:rFonts w:ascii="宋体" w:hAnsi="宋体" w:cs="宋体" w:eastAsia="宋体"/>
                <w:b w:val="false"/>
              </w:rPr>
              <w:t>0.77%</w:t>
            </w:r>
          </w:p>
        </w:tc>
        <w:tc>
          <w:tcPr>
            <w:tcW/>
            <w:vAlign w:val="center"/>
          </w:tcPr>
          <w:p>
            <w:pPr>
              <w:spacing w:line="240" w:lineRule="auto"/>
              <w:jc w:val="right"/>
            </w:pPr>
            <w:r>
              <w:rPr>
                <w:rFonts w:ascii="宋体" w:hAnsi="宋体" w:cs="宋体" w:eastAsia="宋体"/>
                <w:b w:val="false"/>
              </w:rPr>
              <w:t>-11.68%</w:t>
            </w:r>
          </w:p>
        </w:tc>
        <w:tc>
          <w:tcPr>
            <w:tcW/>
            <w:vAlign w:val="center"/>
          </w:tcPr>
          <w:p>
            <w:pPr>
              <w:spacing w:line="240" w:lineRule="auto"/>
              <w:jc w:val="right"/>
            </w:pPr>
            <w:r>
              <w:rPr>
                <w:rFonts w:ascii="宋体" w:hAnsi="宋体" w:cs="宋体" w:eastAsia="宋体"/>
                <w:b w:val="false"/>
              </w:rPr>
              <w:t>1.59%</w:t>
            </w:r>
          </w:p>
        </w:tc>
      </w:tr>
    </w:tbl>
    <w:p>
      <w:pPr>
        <w:jc w:val="left"/>
      </w:pPr>
      <w:r>
        <w:rPr>
          <w:rFonts w:ascii="宋体" w:hAnsi="宋体" w:cs="宋体" w:eastAsia="宋体"/>
          <w:b w:val="true"/>
        </w:rPr>
        <w:t>东方阿尔法健康产业混合发起C净值表现</w:t>
      </w:r>
    </w:p>
    <w:tbl>
      <w:tblPr>
        <w:tblW w:w="5000" w:type="pct"/>
        <w:tblBorders>
          <w:top w:val="single" w:sz="4"/>
          <w:left w:val="single" w:sz="4"/>
          <w:bottom w:val="single" w:sz="4"/>
          <w:right w:val="single" w:sz="4"/>
          <w:insideH w:val="single" w:sz="4"/>
          <w:insideV w:val="single" w:sz="4"/>
        </w:tblBorders>
      </w:tblPr>
      <w:tblGrid>
        <w:gridCol w:w="1295"/>
        <w:gridCol w:w="1295"/>
        <w:gridCol w:w="1295"/>
        <w:gridCol w:w="1295"/>
        <w:gridCol w:w="1295"/>
        <w:gridCol w:w="1295"/>
        <w:gridCol w:w="1295"/>
      </w:tblGrid>
      <w:tr>
        <w:tc>
          <w:tcPr>
            <w:tcW w:type="pct" w:w="846"/>
            <w:vAlign w:val="center"/>
          </w:tcPr>
          <w:tcPr>
            <w:shd w:fill="d9d9d9"/>
          </w:tcPr>
          <w:p>
            <w:pPr>
              <w:spacing w:line="240" w:lineRule="auto"/>
              <w:jc w:val="center"/>
            </w:pPr>
            <w:r>
              <w:rPr>
                <w:rFonts w:ascii="宋体" w:hAnsi="宋体" w:cs="宋体" w:eastAsia="宋体"/>
                <w:b w:val="false"/>
              </w:rPr>
              <w:t>阶段</w:t>
            </w:r>
          </w:p>
        </w:tc>
        <w:tc>
          <w:tcPr>
            <w:tcW w:type="pct" w:w="692"/>
            <w:vAlign w:val="center"/>
          </w:tcPr>
          <w:tcPr>
            <w:shd w:fill="d9d9d9"/>
          </w:tcPr>
          <w:p>
            <w:pPr>
              <w:spacing w:line="240" w:lineRule="auto"/>
              <w:jc w:val="center"/>
            </w:pPr>
            <w:r>
              <w:rPr>
                <w:rFonts w:ascii="宋体" w:hAnsi="宋体" w:cs="宋体" w:eastAsia="宋体"/>
                <w:b w:val="false"/>
              </w:rPr>
              <w:t>净值增长率①</w:t>
            </w:r>
          </w:p>
        </w:tc>
        <w:tc>
          <w:tcPr>
            <w:tcW w:type="pct" w:w="692"/>
            <w:vAlign w:val="center"/>
          </w:tcPr>
          <w:tcPr>
            <w:shd w:fill="d9d9d9"/>
          </w:tcPr>
          <w:p>
            <w:pPr>
              <w:spacing w:line="240" w:lineRule="auto"/>
              <w:jc w:val="center"/>
            </w:pPr>
            <w:r>
              <w:rPr>
                <w:rFonts w:ascii="宋体" w:hAnsi="宋体" w:cs="宋体" w:eastAsia="宋体"/>
                <w:b w:val="false"/>
              </w:rPr>
              <w:t>净值增长率标准差②</w:t>
            </w:r>
          </w:p>
        </w:tc>
        <w:tc>
          <w:tcPr>
            <w:tcW w:type="pct" w:w="692"/>
            <w:vAlign w:val="center"/>
          </w:tcPr>
          <w:tcPr>
            <w:shd w:fill="d9d9d9"/>
          </w:tcPr>
          <w:p>
            <w:pPr>
              <w:spacing w:line="240" w:lineRule="auto"/>
              <w:jc w:val="center"/>
            </w:pPr>
            <w:r>
              <w:rPr>
                <w:rFonts w:ascii="宋体" w:hAnsi="宋体" w:cs="宋体" w:eastAsia="宋体"/>
                <w:b w:val="false"/>
              </w:rPr>
              <w:t>业绩比较基准收益率③</w:t>
            </w:r>
          </w:p>
        </w:tc>
        <w:tc>
          <w:tcPr>
            <w:tcW w:type="pct" w:w="692"/>
            <w:vAlign w:val="center"/>
          </w:tcPr>
          <w:tcPr>
            <w:shd w:fill="d9d9d9"/>
          </w:tcPr>
          <w:p>
            <w:pPr>
              <w:spacing w:line="240" w:lineRule="auto"/>
              <w:jc w:val="center"/>
            </w:pPr>
            <w:r>
              <w:rPr>
                <w:rFonts w:ascii="宋体" w:hAnsi="宋体" w:cs="宋体" w:eastAsia="宋体"/>
                <w:b w:val="false"/>
              </w:rPr>
              <w:t>业绩比较基准收益率标准差④</w:t>
            </w:r>
          </w:p>
        </w:tc>
        <w:tc>
          <w:tcPr>
            <w:tcW w:type="pct" w:w="692"/>
            <w:vAlign w:val="center"/>
          </w:tcPr>
          <w:tcPr>
            <w:shd w:fill="d9d9d9"/>
          </w:tcPr>
          <w:p>
            <w:pPr>
              <w:spacing w:line="240" w:lineRule="auto"/>
              <w:jc w:val="center"/>
            </w:pPr>
            <w:r>
              <w:rPr>
                <w:rFonts w:ascii="宋体" w:hAnsi="宋体" w:cs="宋体" w:eastAsia="宋体"/>
                <w:b w:val="false"/>
              </w:rPr>
              <w:t>①-③</w:t>
            </w:r>
          </w:p>
        </w:tc>
        <w:tc>
          <w:tcPr>
            <w:tcW w:type="pct" w:w="692"/>
            <w:vAlign w:val="center"/>
          </w:tcPr>
          <w:tcPr>
            <w:shd w:fill="d9d9d9"/>
          </w:tcPr>
          <w:p>
            <w:pPr>
              <w:spacing w:line="240" w:lineRule="auto"/>
              <w:jc w:val="center"/>
            </w:pPr>
            <w:r>
              <w:rPr>
                <w:rFonts w:ascii="宋体" w:hAnsi="宋体" w:cs="宋体" w:eastAsia="宋体"/>
                <w:b w:val="false"/>
              </w:rPr>
              <w:t>②-④</w:t>
            </w:r>
          </w:p>
        </w:tc>
      </w:tr>
      <w:tr>
        <w:tc>
          <w:tcPr>
            <w:tcW/>
            <w:vAlign w:val="center"/>
          </w:tcPr>
          <w:p>
            <w:pPr>
              <w:spacing w:line="240" w:lineRule="auto"/>
              <w:jc w:val="left"/>
            </w:pPr>
            <w:r>
              <w:rPr>
                <w:rFonts w:ascii="宋体" w:hAnsi="宋体" w:cs="宋体" w:eastAsia="宋体"/>
                <w:b w:val="false"/>
              </w:rPr>
              <w:t>过去三个月</w:t>
            </w:r>
          </w:p>
        </w:tc>
        <w:tc>
          <w:tcPr>
            <w:tcW/>
            <w:vAlign w:val="center"/>
          </w:tcPr>
          <w:p>
            <w:pPr>
              <w:spacing w:line="240" w:lineRule="auto"/>
              <w:jc w:val="right"/>
            </w:pPr>
            <w:r>
              <w:rPr>
                <w:rFonts w:ascii="宋体" w:hAnsi="宋体" w:cs="宋体" w:eastAsia="宋体"/>
                <w:b w:val="false"/>
              </w:rPr>
              <w:t>-11.57%</w:t>
            </w:r>
          </w:p>
        </w:tc>
        <w:tc>
          <w:tcPr>
            <w:tcW/>
            <w:vAlign w:val="center"/>
          </w:tcPr>
          <w:p>
            <w:pPr>
              <w:spacing w:line="240" w:lineRule="auto"/>
              <w:jc w:val="right"/>
            </w:pPr>
            <w:r>
              <w:rPr>
                <w:rFonts w:ascii="宋体" w:hAnsi="宋体" w:cs="宋体" w:eastAsia="宋体"/>
                <w:b w:val="false"/>
              </w:rPr>
              <w:t>2.46%</w:t>
            </w:r>
          </w:p>
        </w:tc>
        <w:tc>
          <w:tcPr>
            <w:tcW/>
            <w:vAlign w:val="center"/>
          </w:tcPr>
          <w:p>
            <w:pPr>
              <w:spacing w:line="240" w:lineRule="auto"/>
              <w:jc w:val="right"/>
            </w:pPr>
            <w:r>
              <w:rPr>
                <w:rFonts w:ascii="宋体" w:hAnsi="宋体" w:cs="宋体" w:eastAsia="宋体"/>
                <w:b w:val="false"/>
              </w:rPr>
              <w:t>-7.69%</w:t>
            </w:r>
          </w:p>
        </w:tc>
        <w:tc>
          <w:tcPr>
            <w:tcW/>
            <w:vAlign w:val="center"/>
          </w:tcPr>
          <w:p>
            <w:pPr>
              <w:spacing w:line="240" w:lineRule="auto"/>
              <w:jc w:val="right"/>
            </w:pPr>
            <w:r>
              <w:rPr>
                <w:rFonts w:ascii="宋体" w:hAnsi="宋体" w:cs="宋体" w:eastAsia="宋体"/>
                <w:b w:val="false"/>
              </w:rPr>
              <w:t>0.84%</w:t>
            </w:r>
          </w:p>
        </w:tc>
        <w:tc>
          <w:tcPr>
            <w:tcW/>
            <w:vAlign w:val="center"/>
          </w:tcPr>
          <w:p>
            <w:pPr>
              <w:spacing w:line="240" w:lineRule="auto"/>
              <w:jc w:val="right"/>
            </w:pPr>
            <w:r>
              <w:rPr>
                <w:rFonts w:ascii="宋体" w:hAnsi="宋体" w:cs="宋体" w:eastAsia="宋体"/>
                <w:b w:val="false"/>
              </w:rPr>
              <w:t>-3.88%</w:t>
            </w:r>
          </w:p>
        </w:tc>
        <w:tc>
          <w:tcPr>
            <w:tcW/>
            <w:vAlign w:val="center"/>
          </w:tcPr>
          <w:p>
            <w:pPr>
              <w:spacing w:line="240" w:lineRule="auto"/>
              <w:jc w:val="right"/>
            </w:pPr>
            <w:r>
              <w:rPr>
                <w:rFonts w:ascii="宋体" w:hAnsi="宋体" w:cs="宋体" w:eastAsia="宋体"/>
                <w:b w:val="false"/>
              </w:rPr>
              <w:t>1.62%</w:t>
            </w:r>
          </w:p>
        </w:tc>
      </w:tr>
      <w:tr>
        <w:tc>
          <w:tcPr>
            <w:tcW/>
            <w:vAlign w:val="center"/>
          </w:tcPr>
          <w:p>
            <w:pPr>
              <w:spacing w:line="240" w:lineRule="auto"/>
              <w:jc w:val="left"/>
            </w:pPr>
            <w:r>
              <w:rPr>
                <w:rFonts w:ascii="宋体" w:hAnsi="宋体" w:cs="宋体" w:eastAsia="宋体"/>
                <w:b w:val="false"/>
              </w:rPr>
              <w:t>过去六个月</w:t>
            </w:r>
          </w:p>
        </w:tc>
        <w:tc>
          <w:tcPr>
            <w:tcW/>
            <w:vAlign w:val="center"/>
          </w:tcPr>
          <w:p>
            <w:pPr>
              <w:spacing w:line="240" w:lineRule="auto"/>
              <w:jc w:val="right"/>
            </w:pPr>
            <w:r>
              <w:rPr>
                <w:rFonts w:ascii="宋体" w:hAnsi="宋体" w:cs="宋体" w:eastAsia="宋体"/>
                <w:b w:val="false"/>
              </w:rPr>
              <w:t>-12.95%</w:t>
            </w:r>
          </w:p>
        </w:tc>
        <w:tc>
          <w:tcPr>
            <w:tcW/>
            <w:vAlign w:val="center"/>
          </w:tcPr>
          <w:p>
            <w:pPr>
              <w:spacing w:line="240" w:lineRule="auto"/>
              <w:jc w:val="right"/>
            </w:pPr>
            <w:r>
              <w:rPr>
                <w:rFonts w:ascii="宋体" w:hAnsi="宋体" w:cs="宋体" w:eastAsia="宋体"/>
                <w:b w:val="false"/>
              </w:rPr>
              <w:t>2.58%</w:t>
            </w:r>
          </w:p>
        </w:tc>
        <w:tc>
          <w:tcPr>
            <w:tcW/>
            <w:vAlign w:val="center"/>
          </w:tcPr>
          <w:p>
            <w:pPr>
              <w:spacing w:line="240" w:lineRule="auto"/>
              <w:jc w:val="right"/>
            </w:pPr>
            <w:r>
              <w:rPr>
                <w:rFonts w:ascii="宋体" w:hAnsi="宋体" w:cs="宋体" w:eastAsia="宋体"/>
                <w:b w:val="false"/>
              </w:rPr>
              <w:t>-10.33%</w:t>
            </w:r>
          </w:p>
        </w:tc>
        <w:tc>
          <w:tcPr>
            <w:tcW/>
            <w:vAlign w:val="center"/>
          </w:tcPr>
          <w:p>
            <w:pPr>
              <w:spacing w:line="240" w:lineRule="auto"/>
              <w:jc w:val="right"/>
            </w:pPr>
            <w:r>
              <w:rPr>
                <w:rFonts w:ascii="宋体" w:hAnsi="宋体" w:cs="宋体" w:eastAsia="宋体"/>
                <w:b w:val="false"/>
              </w:rPr>
              <w:t>0.86%</w:t>
            </w:r>
          </w:p>
        </w:tc>
        <w:tc>
          <w:tcPr>
            <w:tcW/>
            <w:vAlign w:val="center"/>
          </w:tcPr>
          <w:p>
            <w:pPr>
              <w:spacing w:line="240" w:lineRule="auto"/>
              <w:jc w:val="right"/>
            </w:pPr>
            <w:r>
              <w:rPr>
                <w:rFonts w:ascii="宋体" w:hAnsi="宋体" w:cs="宋体" w:eastAsia="宋体"/>
                <w:b w:val="false"/>
              </w:rPr>
              <w:t>-2.62%</w:t>
            </w:r>
          </w:p>
        </w:tc>
        <w:tc>
          <w:tcPr>
            <w:tcW/>
            <w:vAlign w:val="center"/>
          </w:tcPr>
          <w:p>
            <w:pPr>
              <w:spacing w:line="240" w:lineRule="auto"/>
              <w:jc w:val="right"/>
            </w:pPr>
            <w:r>
              <w:rPr>
                <w:rFonts w:ascii="宋体" w:hAnsi="宋体" w:cs="宋体" w:eastAsia="宋体"/>
                <w:b w:val="false"/>
              </w:rPr>
              <w:t>1.72%</w:t>
            </w:r>
          </w:p>
        </w:tc>
      </w:tr>
      <w:tr>
        <w:tc>
          <w:tcPr>
            <w:tcW/>
            <w:vAlign w:val="center"/>
          </w:tcPr>
          <w:p>
            <w:pPr>
              <w:spacing w:line="240" w:lineRule="auto"/>
              <w:jc w:val="left"/>
            </w:pPr>
            <w:r>
              <w:rPr>
                <w:rFonts w:ascii="宋体" w:hAnsi="宋体" w:cs="宋体" w:eastAsia="宋体"/>
                <w:b w:val="false"/>
              </w:rPr>
              <w:t>过去一年</w:t>
            </w:r>
          </w:p>
        </w:tc>
        <w:tc>
          <w:tcPr>
            <w:tcW/>
            <w:vAlign w:val="center"/>
          </w:tcPr>
          <w:p>
            <w:pPr>
              <w:spacing w:line="240" w:lineRule="auto"/>
              <w:jc w:val="right"/>
            </w:pPr>
            <w:r>
              <w:rPr>
                <w:rFonts w:ascii="宋体" w:hAnsi="宋体" w:cs="宋体" w:eastAsia="宋体"/>
                <w:b w:val="false"/>
              </w:rPr>
              <w:t>-18.05%</w:t>
            </w:r>
          </w:p>
        </w:tc>
        <w:tc>
          <w:tcPr>
            <w:tcW/>
            <w:vAlign w:val="center"/>
          </w:tcPr>
          <w:p>
            <w:pPr>
              <w:spacing w:line="240" w:lineRule="auto"/>
              <w:jc w:val="right"/>
            </w:pPr>
            <w:r>
              <w:rPr>
                <w:rFonts w:ascii="宋体" w:hAnsi="宋体" w:cs="宋体" w:eastAsia="宋体"/>
                <w:b w:val="false"/>
              </w:rPr>
              <w:t>2.39%</w:t>
            </w:r>
          </w:p>
        </w:tc>
        <w:tc>
          <w:tcPr>
            <w:tcW/>
            <w:vAlign w:val="center"/>
          </w:tcPr>
          <w:p>
            <w:pPr>
              <w:spacing w:line="240" w:lineRule="auto"/>
              <w:jc w:val="right"/>
            </w:pPr>
            <w:r>
              <w:rPr>
                <w:rFonts w:ascii="宋体" w:hAnsi="宋体" w:cs="宋体" w:eastAsia="宋体"/>
                <w:b w:val="false"/>
              </w:rPr>
              <w:t>-8.21%</w:t>
            </w:r>
          </w:p>
        </w:tc>
        <w:tc>
          <w:tcPr>
            <w:tcW/>
            <w:vAlign w:val="center"/>
          </w:tcPr>
          <w:p>
            <w:pPr>
              <w:spacing w:line="240" w:lineRule="auto"/>
              <w:jc w:val="right"/>
            </w:pPr>
            <w:r>
              <w:rPr>
                <w:rFonts w:ascii="宋体" w:hAnsi="宋体" w:cs="宋体" w:eastAsia="宋体"/>
                <w:b w:val="false"/>
              </w:rPr>
              <w:t>0.78%</w:t>
            </w:r>
          </w:p>
        </w:tc>
        <w:tc>
          <w:tcPr>
            <w:tcW/>
            <w:vAlign w:val="center"/>
          </w:tcPr>
          <w:p>
            <w:pPr>
              <w:spacing w:line="240" w:lineRule="auto"/>
              <w:jc w:val="right"/>
            </w:pPr>
            <w:r>
              <w:rPr>
                <w:rFonts w:ascii="宋体" w:hAnsi="宋体" w:cs="宋体" w:eastAsia="宋体"/>
                <w:b w:val="false"/>
              </w:rPr>
              <w:t>-9.84%</w:t>
            </w:r>
          </w:p>
        </w:tc>
        <w:tc>
          <w:tcPr>
            <w:tcW/>
            <w:vAlign w:val="center"/>
          </w:tcPr>
          <w:p>
            <w:pPr>
              <w:spacing w:line="240" w:lineRule="auto"/>
              <w:jc w:val="right"/>
            </w:pPr>
            <w:r>
              <w:rPr>
                <w:rFonts w:ascii="宋体" w:hAnsi="宋体" w:cs="宋体" w:eastAsia="宋体"/>
                <w:b w:val="false"/>
              </w:rPr>
              <w:t>1.61%</w:t>
            </w:r>
          </w:p>
        </w:tc>
      </w:tr>
      <w:tr>
        <w:tc>
          <w:tcPr>
            <w:tcW/>
            <w:vAlign w:val="center"/>
          </w:tcPr>
          <w:p>
            <w:pPr>
              <w:spacing w:line="240" w:lineRule="auto"/>
              <w:jc w:val="left"/>
            </w:pPr>
            <w:r>
              <w:rPr>
                <w:rFonts w:ascii="宋体" w:hAnsi="宋体" w:cs="宋体" w:eastAsia="宋体"/>
                <w:b w:val="false"/>
              </w:rPr>
              <w:t>自基金合同生效起至今</w:t>
            </w:r>
          </w:p>
        </w:tc>
        <w:tc>
          <w:tcPr>
            <w:tcW/>
            <w:vAlign w:val="center"/>
          </w:tcPr>
          <w:p>
            <w:pPr>
              <w:spacing w:line="240" w:lineRule="auto"/>
              <w:jc w:val="right"/>
            </w:pPr>
            <w:r>
              <w:rPr>
                <w:rFonts w:ascii="宋体" w:hAnsi="宋体" w:cs="宋体" w:eastAsia="宋体"/>
                <w:b w:val="false"/>
              </w:rPr>
              <w:t>-22.18%</w:t>
            </w:r>
          </w:p>
        </w:tc>
        <w:tc>
          <w:tcPr>
            <w:tcW/>
            <w:vAlign w:val="center"/>
          </w:tcPr>
          <w:p>
            <w:pPr>
              <w:spacing w:line="240" w:lineRule="auto"/>
              <w:jc w:val="right"/>
            </w:pPr>
            <w:r>
              <w:rPr>
                <w:rFonts w:ascii="宋体" w:hAnsi="宋体" w:cs="宋体" w:eastAsia="宋体"/>
                <w:b w:val="false"/>
              </w:rPr>
              <w:t>2.36%</w:t>
            </w:r>
          </w:p>
        </w:tc>
        <w:tc>
          <w:tcPr>
            <w:tcW/>
            <w:vAlign w:val="center"/>
          </w:tcPr>
          <w:p>
            <w:pPr>
              <w:spacing w:line="240" w:lineRule="auto"/>
              <w:jc w:val="right"/>
            </w:pPr>
            <w:r>
              <w:rPr>
                <w:rFonts w:ascii="宋体" w:hAnsi="宋体" w:cs="宋体" w:eastAsia="宋体"/>
                <w:b w:val="false"/>
              </w:rPr>
              <w:t>-10.11%</w:t>
            </w:r>
          </w:p>
        </w:tc>
        <w:tc>
          <w:tcPr>
            <w:tcW/>
            <w:vAlign w:val="center"/>
          </w:tcPr>
          <w:p>
            <w:pPr>
              <w:spacing w:line="240" w:lineRule="auto"/>
              <w:jc w:val="right"/>
            </w:pPr>
            <w:r>
              <w:rPr>
                <w:rFonts w:ascii="宋体" w:hAnsi="宋体" w:cs="宋体" w:eastAsia="宋体"/>
                <w:b w:val="false"/>
              </w:rPr>
              <w:t>0.77%</w:t>
            </w:r>
          </w:p>
        </w:tc>
        <w:tc>
          <w:tcPr>
            <w:tcW/>
            <w:vAlign w:val="center"/>
          </w:tcPr>
          <w:p>
            <w:pPr>
              <w:spacing w:line="240" w:lineRule="auto"/>
              <w:jc w:val="right"/>
            </w:pPr>
            <w:r>
              <w:rPr>
                <w:rFonts w:ascii="宋体" w:hAnsi="宋体" w:cs="宋体" w:eastAsia="宋体"/>
                <w:b w:val="false"/>
              </w:rPr>
              <w:t>-12.07%</w:t>
            </w:r>
          </w:p>
        </w:tc>
        <w:tc>
          <w:tcPr>
            <w:tcW/>
            <w:vAlign w:val="center"/>
          </w:tcPr>
          <w:p>
            <w:pPr>
              <w:spacing w:line="240" w:lineRule="auto"/>
              <w:jc w:val="right"/>
            </w:pPr>
            <w:r>
              <w:rPr>
                <w:rFonts w:ascii="宋体" w:hAnsi="宋体" w:cs="宋体" w:eastAsia="宋体"/>
                <w:b w:val="false"/>
              </w:rPr>
              <w:t>1.59%</w:t>
            </w:r>
          </w:p>
        </w:tc>
      </w:tr>
    </w:tbl>
    <w:p>
      <w:r>
        <w:rPr>
          <w:rFonts w:ascii="宋体" w:hAnsi="宋体" w:cs="宋体" w:eastAsia="宋体"/>
          <w:b w:val="false"/>
        </w:rPr>
        <w:t>注：本基金业绩比较基准为：中证医药卫生指数收益率× 40%+ 中证内地消费主题指数收益率× 20%+恒生指数收益率×20%+ 中证综合债券指数收益率×20%</w:t>
      </w:r>
    </w:p>
    <w:p/>
    <w:p>
      <w:pPr>
        <w:pStyle w:val="zhangjiep2"/>
      </w:pPr>
      <w:r>
        <w:rPr>
          <w:rStyle w:val="正文"/>
          <w:rFonts w:ascii="宋体" w:hAnsi="宋体" w:cs="宋体" w:eastAsia="宋体"/>
          <w:b w:val="true"/>
        </w:rPr>
        <w:t>3.2.2 自基金合同生效以来基金累计净值增长率变动及其与同期业绩比较基准收益率变动的比较</w:t>
      </w:r>
    </w:p>
    <w:p>
      <w:r>
        <w:drawing>
          <wp:inline distT="0" distR="0" distB="0" distL="0">
            <wp:extent cx="5715000" cy="3048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16"/>
                    <a:stretch>
                      <a:fillRect/>
                    </a:stretch>
                  </pic:blipFill>
                  <pic:spPr>
                    <a:xfrm>
                      <a:off x="0" y="0"/>
                      <a:ext cx="5715000" cy="3048000"/>
                    </a:xfrm>
                    <a:prstGeom prst="rect">
                      <a:avLst/>
                    </a:prstGeom>
                  </pic:spPr>
                </pic:pic>
              </a:graphicData>
            </a:graphic>
          </wp:inline>
        </w:drawing>
      </w:r>
    </w:p>
    <w:p>
      <w:r>
        <w:drawing>
          <wp:inline distT="0" distR="0" distB="0" distL="0">
            <wp:extent cx="5715000" cy="3048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17"/>
                    <a:stretch>
                      <a:fillRect/>
                    </a:stretch>
                  </pic:blipFill>
                  <pic:spPr>
                    <a:xfrm>
                      <a:off x="0" y="0"/>
                      <a:ext cx="5715000" cy="3048000"/>
                    </a:xfrm>
                    <a:prstGeom prst="rect">
                      <a:avLst/>
                    </a:prstGeom>
                  </pic:spPr>
                </pic:pic>
              </a:graphicData>
            </a:graphic>
          </wp:inline>
        </w:drawing>
      </w:r>
    </w:p>
    <w:p>
      <w:pPr>
        <w:pStyle w:val="1"/>
        <w:jc w:val="center"/>
      </w:pPr>
      <w:r>
        <w:rPr>
          <w:rFonts w:ascii="宋体" w:hAnsi="宋体" w:cs="宋体" w:eastAsia="宋体"/>
        </w:rPr>
        <w:t>§4 管理人报告</w:t>
      </w:r>
    </w:p>
    <w:p>
      <w:pPr>
        <w:pStyle w:val="2"/>
        <w:jc w:val="left"/>
      </w:pPr>
      <w:r>
        <w:rPr>
          <w:rFonts w:ascii="宋体" w:hAnsi="宋体" w:cs="宋体" w:eastAsia="宋体"/>
        </w:rPr>
        <w:t>4.1 基金经理（或基金经理小组）简介</w:t>
      </w:r>
    </w:p>
    <w:tbl>
      <w:tblPr>
        <w:tblW w:w="5000" w:type="pct"/>
        <w:tblBorders>
          <w:top w:val="single" w:sz="4"/>
          <w:left w:val="single" w:sz="4"/>
          <w:bottom w:val="single" w:sz="4"/>
          <w:right w:val="single" w:sz="4"/>
          <w:insideH w:val="single" w:sz="4"/>
          <w:insideV w:val="single" w:sz="4"/>
        </w:tblBorders>
      </w:tblPr>
      <w:tblGrid>
        <w:gridCol w:w="1510"/>
        <w:gridCol w:w="1510"/>
        <w:gridCol w:w="1510"/>
        <w:gridCol w:w="1510"/>
        <w:gridCol w:w="1510"/>
        <w:gridCol w:w="1510"/>
      </w:tblGrid>
      <w:tr>
        <w:tc>
          <w:tcPr>
            <w:tcW w:type="pct" w:w="538"/>
            <w:vMerge w:val="restart"/>
            <w:vAlign w:val="center"/>
          </w:tcPr>
          <w:tcPr>
            <w:shd w:fill="d9d9d9"/>
          </w:tcPr>
          <w:p>
            <w:pPr>
              <w:spacing w:line="240" w:lineRule="auto"/>
              <w:jc w:val="center"/>
            </w:pPr>
            <w:r>
              <w:rPr>
                <w:rFonts w:ascii="宋体" w:hAnsi="宋体" w:cs="宋体" w:eastAsia="宋体"/>
                <w:b w:val="false"/>
              </w:rPr>
              <w:t>姓名</w:t>
            </w:r>
          </w:p>
        </w:tc>
        <w:tc>
          <w:tcPr>
            <w:tcW w:type="pct" w:w="1231"/>
            <w:vMerge w:val="restart"/>
            <w:vAlign w:val="center"/>
          </w:tcPr>
          <w:tcPr>
            <w:shd w:fill="d9d9d9"/>
          </w:tcPr>
          <w:p>
            <w:pPr>
              <w:spacing w:line="240" w:lineRule="auto"/>
              <w:jc w:val="center"/>
            </w:pPr>
            <w:r>
              <w:rPr>
                <w:rFonts w:ascii="宋体" w:hAnsi="宋体" w:cs="宋体" w:eastAsia="宋体"/>
                <w:b w:val="false"/>
              </w:rPr>
              <w:t>职务</w:t>
            </w:r>
          </w:p>
        </w:tc>
        <w:tc>
          <w:tcPr>
            <w:tcW w:type="pct" w:w="808"/>
            <w:hMerge w:val="restart"/>
            <w:vAlign w:val="center"/>
          </w:tcPr>
          <w:tcPr>
            <w:shd w:fill="d9d9d9"/>
          </w:tcPr>
          <w:p>
            <w:pPr>
              <w:spacing w:line="240" w:lineRule="auto"/>
              <w:jc w:val="center"/>
            </w:pPr>
            <w:r>
              <w:rPr>
                <w:rFonts w:ascii="宋体" w:hAnsi="宋体" w:cs="宋体" w:eastAsia="宋体"/>
                <w:b w:val="false"/>
              </w:rPr>
              <w:t>任本基金的基金经理期限</w:t>
            </w:r>
          </w:p>
        </w:tc>
        <w:tc>
          <w:tcPr>
            <w:hMerge w:val="continue"/>
          </w:tcPr>
          <w:p/>
        </w:tc>
        <w:tc>
          <w:tcPr>
            <w:tcW w:type="pct" w:w="308"/>
            <w:vMerge w:val="restart"/>
            <w:vAlign w:val="center"/>
          </w:tcPr>
          <w:tcPr>
            <w:shd w:fill="d9d9d9"/>
          </w:tcPr>
          <w:p>
            <w:pPr>
              <w:spacing w:line="240" w:lineRule="auto"/>
              <w:jc w:val="center"/>
            </w:pPr>
            <w:r>
              <w:rPr>
                <w:rFonts w:ascii="宋体" w:hAnsi="宋体" w:cs="宋体" w:eastAsia="宋体"/>
                <w:b w:val="false"/>
              </w:rPr>
              <w:t>证券从业年限</w:t>
            </w:r>
          </w:p>
        </w:tc>
        <w:tc>
          <w:tcPr>
            <w:tcW w:type="pct" w:w="1462"/>
            <w:vMerge w:val="restart"/>
            <w:vAlign w:val="center"/>
          </w:tcPr>
          <w:tcPr>
            <w:shd w:fill="d9d9d9"/>
          </w:tcPr>
          <w:p>
            <w:pPr>
              <w:spacing w:line="240" w:lineRule="auto"/>
              <w:jc w:val="center"/>
            </w:pPr>
            <w:r>
              <w:rPr>
                <w:rFonts w:ascii="宋体" w:hAnsi="宋体" w:cs="宋体" w:eastAsia="宋体"/>
                <w:b w:val="false"/>
              </w:rPr>
              <w:t>说明</w:t>
            </w:r>
          </w:p>
        </w:tc>
      </w:tr>
      <w:tr>
        <w:tc>
          <w:tcPr>
            <w:vMerge w:val="continue"/>
          </w:tcPr>
          <w:p/>
        </w:tc>
        <w:tc>
          <w:tcPr>
            <w:vMerge w:val="continue"/>
          </w:tcPr>
          <w:p/>
        </w:tc>
        <w:tc>
          <w:tcPr>
            <w:tcW w:type="pct" w:w="400"/>
            <w:vAlign w:val="center"/>
          </w:tcPr>
          <w:tcPr>
            <w:shd w:fill="d9d9d9"/>
          </w:tcPr>
          <w:p>
            <w:pPr>
              <w:spacing w:line="240" w:lineRule="auto"/>
              <w:jc w:val="center"/>
            </w:pPr>
            <w:r>
              <w:rPr>
                <w:rFonts w:ascii="宋体" w:hAnsi="宋体" w:cs="宋体" w:eastAsia="宋体"/>
                <w:b w:val="false"/>
              </w:rPr>
              <w:t>任职日期</w:t>
            </w:r>
          </w:p>
        </w:tc>
        <w:tc>
          <w:tcPr>
            <w:tcW w:type="pct" w:w="392"/>
            <w:vAlign w:val="center"/>
          </w:tcPr>
          <w:tcPr>
            <w:shd w:fill="d9d9d9"/>
          </w:tcPr>
          <w:p>
            <w:pPr>
              <w:spacing w:line="240" w:lineRule="auto"/>
              <w:jc w:val="center"/>
            </w:pPr>
            <w:r>
              <w:rPr>
                <w:rFonts w:ascii="宋体" w:hAnsi="宋体" w:cs="宋体" w:eastAsia="宋体"/>
                <w:b w:val="false"/>
              </w:rPr>
              <w:t>离任日期</w:t>
            </w:r>
          </w:p>
        </w:tc>
        <w:tc>
          <w:tcPr>
            <w:vMerge w:val="continue"/>
          </w:tcPr>
          <w:p/>
        </w:tc>
        <w:tc>
          <w:tcPr>
            <w:vMerge w:val="continue"/>
          </w:tcPr>
          <w:p/>
        </w:tc>
      </w:tr>
      <w:tr>
        <w:tc>
          <w:tcPr>
            <w:tcW/>
            <w:vAlign w:val="center"/>
          </w:tcPr>
          <w:p>
            <w:pPr>
              <w:spacing w:line="240" w:lineRule="auto"/>
              <w:jc w:val="left"/>
            </w:pPr>
            <w:r>
              <w:rPr>
                <w:rFonts w:ascii="宋体" w:hAnsi="宋体" w:cs="宋体" w:eastAsia="宋体"/>
                <w:b w:val="false"/>
              </w:rPr>
              <w:t>孟昱</w:t>
            </w:r>
          </w:p>
        </w:tc>
        <w:tc>
          <w:tcPr>
            <w:tcW/>
            <w:vAlign w:val="center"/>
          </w:tcPr>
          <w:p>
            <w:pPr>
              <w:spacing w:line="240" w:lineRule="auto"/>
              <w:jc w:val="left"/>
            </w:pPr>
            <w:r>
              <w:rPr>
                <w:rFonts w:ascii="宋体" w:hAnsi="宋体" w:cs="宋体" w:eastAsia="宋体"/>
                <w:b w:val="false"/>
              </w:rPr>
              <w:t>基金经理</w:t>
            </w:r>
          </w:p>
        </w:tc>
        <w:tc>
          <w:tcPr>
            <w:tcW/>
            <w:vAlign w:val="center"/>
          </w:tcPr>
          <w:p>
            <w:pPr>
              <w:spacing w:line="240" w:lineRule="auto"/>
              <w:jc w:val="center"/>
            </w:pPr>
            <w:r>
              <w:rPr>
                <w:rFonts w:ascii="宋体" w:hAnsi="宋体" w:cs="宋体" w:eastAsia="宋体"/>
                <w:b w:val="false"/>
              </w:rPr>
              <w:t>2025-06-12</w:t>
            </w:r>
          </w:p>
        </w:tc>
        <w:tc>
          <w:tcPr>
            <w:tcW/>
            <w:vAlign w:val="center"/>
          </w:tcPr>
          <w:p>
            <w:pPr>
              <w:spacing w:line="240" w:lineRule="auto"/>
              <w:jc w:val="center"/>
            </w:pPr>
            <w:r>
              <w:rPr>
                <w:rFonts w:ascii="宋体" w:hAnsi="宋体" w:cs="宋体" w:eastAsia="宋体"/>
                <w:b w:val="false"/>
              </w:rPr>
              <w:t>-</w:t>
            </w:r>
          </w:p>
        </w:tc>
        <w:tc>
          <w:tcPr>
            <w:tcW/>
            <w:vAlign w:val="center"/>
          </w:tcPr>
          <w:p>
            <w:pPr>
              <w:spacing w:line="240" w:lineRule="auto"/>
              <w:jc w:val="center"/>
            </w:pPr>
            <w:r>
              <w:rPr>
                <w:rFonts w:ascii="宋体" w:hAnsi="宋体" w:cs="宋体" w:eastAsia="宋体"/>
                <w:b w:val="false"/>
              </w:rPr>
              <w:t>6年</w:t>
            </w:r>
          </w:p>
        </w:tc>
        <w:tc>
          <w:tcPr>
            <w:tcW/>
            <w:vAlign w:val="center"/>
          </w:tcPr>
          <w:p>
            <w:pPr>
              <w:spacing w:line="240" w:lineRule="auto"/>
              <w:jc w:val="left"/>
            </w:pPr>
            <w:r>
              <w:rPr>
                <w:rFonts w:ascii="宋体" w:hAnsi="宋体" w:cs="宋体" w:eastAsia="宋体"/>
                <w:b w:val="false"/>
              </w:rPr>
              <w:t>孟昱先生，中山大学理学硕士，2020年8月至2021年9月，在深圳市涌容资产管理有限公司工作，任研究部研究员；2021年10月至2023年10月，在深圳市中欧瑞博投资管理股份有限公司工作，历任医药投研部研究员、基金经理；2023年10月，入职东方阿尔法基金管理有限公司公募投资部，现任东方阿尔法基金管理有限公司基金经理</w:t>
            </w:r>
          </w:p>
        </w:tc>
      </w:tr>
    </w:tbl>
    <w:p>
      <w:r>
        <w:rPr>
          <w:rFonts w:ascii="宋体" w:hAnsi="宋体" w:cs="宋体" w:eastAsia="宋体"/>
          <w:b w:val="false"/>
        </w:rPr>
        <w:t>注：1.对基金的首任基金经理，其"任职日期"为基金合同生效日，"离任日期"为根据公告确定的解聘日期；对此后的非首任基金经理，"任职日期"和"离任日期"分别指公告确定的任职日期和离任日期。</w:t>
        <w:br/>
      </w:r>
      <w:r>
        <w:rPr>
          <w:rFonts w:ascii="宋体" w:hAnsi="宋体" w:cs="宋体" w:eastAsia="宋体"/>
          <w:b w:val="false"/>
        </w:rPr>
        <w:t>2.证券从业的含义遵从《证券基金经营机构董事、监事、高级管理人员及从业人员监督管理办法》的相关规定。</w:t>
      </w:r>
    </w:p>
    <w:p/>
    <w:p>
      <w:pPr>
        <w:pStyle w:val="zhangjiep2"/>
      </w:pPr>
      <w:r>
        <w:rPr>
          <w:rStyle w:val="正文"/>
          <w:rFonts w:ascii="宋体" w:hAnsi="宋体" w:cs="宋体" w:eastAsia="宋体"/>
          <w:b w:val="true"/>
        </w:rPr>
        <w:t>4.1.1 期末兼任私募资产管理计划投资经理的基金经理同时管理的产品情况</w:t>
      </w:r>
    </w:p>
    <w:p>
      <w:r>
        <w:rPr>
          <w:rFonts w:ascii="宋体" w:hAnsi="宋体" w:cs="宋体" w:eastAsia="宋体"/>
          <w:b w:val="false"/>
        </w:rPr>
        <w:t xml:space="preserve">    本基金基金经理不存在兼任私募资产管理计划的投资经理的情况。</w:t>
      </w:r>
    </w:p>
    <w:p/>
    <w:p>
      <w:pPr>
        <w:pStyle w:val="2"/>
        <w:jc w:val="left"/>
      </w:pPr>
      <w:r>
        <w:rPr>
          <w:rFonts w:ascii="宋体" w:hAnsi="宋体" w:cs="宋体" w:eastAsia="宋体"/>
        </w:rPr>
        <w:t>4.2 管理人对报告期内本基金运作遵规守信情况的说明</w:t>
      </w:r>
    </w:p>
    <w:p>
      <w:r>
        <w:rPr>
          <w:rFonts w:ascii="宋体" w:hAnsi="宋体" w:cs="宋体" w:eastAsia="宋体"/>
          <w:b w:val="false"/>
        </w:rPr>
        <w:t xml:space="preserve">    本报告期内，本基金管理人严格遵守《中华人民共和国证券投资基金法》及其各项实施细则等有关法律法规、本基金《基金合同》和其他有关法律法规的规定，本着诚实信用、勤勉尽责的原则管理和运用基金资产，在严格控制风险的基础上，为基金份额持有人谋求最大利益。本报告期内，基金运作整体合法合规，无损害基金份额持有人利益的行为。</w:t>
      </w:r>
    </w:p>
    <w:p/>
    <w:p>
      <w:pPr>
        <w:pStyle w:val="2"/>
        <w:jc w:val="left"/>
      </w:pPr>
      <w:r>
        <w:rPr>
          <w:rFonts w:ascii="宋体" w:hAnsi="宋体" w:cs="宋体" w:eastAsia="宋体"/>
        </w:rPr>
        <w:t>4.3 公平交易专项说明</w:t>
      </w:r>
    </w:p>
    <w:p>
      <w:pPr>
        <w:pStyle w:val="zhangjiep2"/>
      </w:pPr>
      <w:r>
        <w:rPr>
          <w:rStyle w:val="正文"/>
          <w:rFonts w:ascii="宋体" w:hAnsi="宋体" w:cs="宋体" w:eastAsia="宋体"/>
          <w:b w:val="true"/>
        </w:rPr>
        <w:t>4.3.1 公平交易制度的执行情况</w:t>
      </w:r>
    </w:p>
    <w:p>
      <w:r>
        <w:rPr>
          <w:rFonts w:ascii="宋体" w:hAnsi="宋体" w:cs="宋体" w:eastAsia="宋体"/>
          <w:b w:val="false"/>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br/>
      </w:r>
      <w:r>
        <w:rPr>
          <w:rFonts w:ascii="宋体" w:hAnsi="宋体" w:cs="宋体" w:eastAsia="宋体"/>
          <w:b w:val="false"/>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p>
      <w:pPr>
        <w:pStyle w:val="zhangjiep2"/>
      </w:pPr>
      <w:r>
        <w:rPr>
          <w:rStyle w:val="正文"/>
          <w:rFonts w:ascii="宋体" w:hAnsi="宋体" w:cs="宋体" w:eastAsia="宋体"/>
          <w:b w:val="true"/>
        </w:rPr>
        <w:t>4.3.2 异常交易行为的专项说明</w:t>
      </w:r>
    </w:p>
    <w:p>
      <w:r>
        <w:rPr>
          <w:rFonts w:ascii="宋体" w:hAnsi="宋体" w:cs="宋体" w:eastAsia="宋体"/>
          <w:b w:val="false"/>
        </w:rPr>
        <w:t xml:space="preserve">    报告期内，本基金不存在参与交易所公开竞价同日反向交易成交较少的单边交易量超过该证券当日成交量的5%的情况，且不存在其他可能导致非公平交易和利益输送的异常交易行为。</w:t>
      </w:r>
    </w:p>
    <w:p/>
    <w:p>
      <w:pPr>
        <w:pStyle w:val="2"/>
        <w:jc w:val="left"/>
      </w:pPr>
      <w:r>
        <w:rPr>
          <w:rFonts w:ascii="宋体" w:hAnsi="宋体" w:cs="宋体" w:eastAsia="宋体"/>
        </w:rPr>
        <w:t>4.4 报告期内基金的投资策略和运作分析</w:t>
      </w:r>
    </w:p>
    <w:p>
      <w:r>
        <w:rPr>
          <w:rFonts w:ascii="宋体" w:hAnsi="宋体" w:cs="宋体" w:eastAsia="宋体"/>
          <w:b w:val="false"/>
        </w:rPr>
        <w:t xml:space="preserve">    2026年二季度A股、港股医药及创新药指数走出先抑后扬的V型走势，板块整体显著跑输 AI、算力等硬科技主线。其中中证创新药产业指数、恒生生物科技指数季度前两月持续承压，直至6月下旬依托医保政策催化迎来大幅修复，A、H两地市场表现分化明显；港股创新药无涨跌幅限制，且南向交易型资金占比更高，资金轮动阶段涨跌弹性显著高于A股创新药。从行情驱动逻辑看，产业政策边际改善、创新药出海BD交易放量、板块历经长期深度调整后估值处于历史低位，是本轮行情修复的基本面支撑，但贯穿本季度板块波动的核心因素，是创新药作为硬科技流动性“血包”形成的跷跷板资金轮动机制。创新药与 AI、半导体同属研发驱动、高波动、长久期成长资产，共用同一风险偏好资金池；二季度4至5月科技主线持续上行，高位科技板块持续虹吸公募、两融、量化资金，创新药板块被动持续失血走弱。6月中旬高位科技板块迎来获利兑现压力，高低估值切换逻辑逐步显现，叠加医保初审落地带来情绪提振，从科技板块流出的流动性大规模回流至估值具备安全边际的创新药板块，完整演绎 “科技抽血 — 低位承接回血”的血包行情，国内宽松宏观流动性与海外降息预期进一步放大了板块内部资金再分配行情。从基金投资维度来看，本季度创新药行情本质为硬科技板块内部轮动行情；后续若AI、算力等科技主线维持高拥挤度，创新药仍将作为高低估值切换的核心承接板块，存在波段交易机会；若创新药板块持续兑现商业化业绩、落地多项海外授权，则有望逐步摆脱单纯的 “血包”交易属性，走出独立基本面驱动行情。</w:t>
        <w:br/>
      </w:r>
      <w:r>
        <w:rPr>
          <w:rFonts w:ascii="宋体" w:hAnsi="宋体" w:cs="宋体" w:eastAsia="宋体"/>
          <w:b w:val="false"/>
        </w:rPr>
        <w:t xml:space="preserve">    本基金当前核心配置创新药、CXO、出海医疗器械三大医药细分赛道，三者分别对应医药产业 IP 出海、产能出海、产品出海三条全球化核心路径，亦是医药板块突破国内增长瓶颈、分享全球产业红利、获取超额收益的核心主线。国内传统医药板块长期受医保控费、集采降价、院内市场竞争内卷等因素约束，盈利空间与估值弹性持续承压，增长确定性偏弱；而创新药、CXO、高端出海器械依托国内完整生物医药产业链、优质人才储备与成熟制造体系，深度嵌入全球医药产业分工，完成从国内同质化竞争到参与全球价值分配的转变，成长属性与盈利韧性具备显著优势。</w:t>
        <w:br/>
      </w:r>
      <w:r>
        <w:rPr>
          <w:rFonts w:ascii="宋体" w:hAnsi="宋体" w:cs="宋体" w:eastAsia="宋体"/>
          <w:b w:val="false"/>
        </w:rPr>
        <w:t xml:space="preserve">    细分来看，创新药板块核心兑现IP出海价值，2026年上半年国内创新药海外授权（License-out）累计达成86笔交易，披露潜在总交易规模976.25亿美元，同比增长40%，交易规模接近2024年全年两倍；行业增长由百亿级多管线打包合作支撑，石药、恒瑞、信达三笔重磅交易潜在对价合计超440亿美元，大额交易贡献行业九成以上交易额，项目首付款规模同步大幅提升。全球跨国药企持续批量引进国产肿瘤、多肽、双抗、ADC 等创新管线，印证本土源头创新资产的全球竞争力，IP出海已成为创新药板块摆脱国内政策约束、释放长期盈利弹性的核心路径。</w:t>
        <w:br/>
      </w:r>
      <w:r>
        <w:rPr>
          <w:rFonts w:ascii="宋体" w:hAnsi="宋体" w:cs="宋体" w:eastAsia="宋体"/>
          <w:b w:val="false"/>
        </w:rPr>
        <w:t xml:space="preserve">    CXO板块落地产能出海逻辑，2026年一季度国内头部 CDMO 企业营收同比增长18.3%，扣非净利润增速超50%，行业盈利持续修复；行业龙头海外收入占比普遍维持70%-85%，深度绑定跨国药企需求。当前全球GLP-1、ADC、寡核苷酸研发需求持续扩容，企业在手大额订单大多锁定未来2至3年营收，叠加国内完整产业链、高效交付能力与成本优势构筑高客户粘性，产能持续扩张匹配海外商业化生产需求，业绩增长可预见性较强，是医药全球化赛道中业绩稳定性最优的细分。</w:t>
        <w:br/>
      </w:r>
      <w:r>
        <w:rPr>
          <w:rFonts w:ascii="宋体" w:hAnsi="宋体" w:cs="宋体" w:eastAsia="宋体"/>
          <w:b w:val="false"/>
        </w:rPr>
        <w:t xml:space="preserve">    出海医疗器械完成产品出海闭环，国内企业依靠高性价比与成熟制造工艺，持续打通海外认证壁垒、搭建海外销售渠道，手术机器人、高端影像设备等产品持续扩大全球市场份额，兑现医药制造全球化带来的估值溢价。</w:t>
        <w:br/>
      </w:r>
      <w:r>
        <w:rPr>
          <w:rFonts w:ascii="宋体" w:hAnsi="宋体" w:cs="宋体" w:eastAsia="宋体"/>
          <w:b w:val="false"/>
        </w:rPr>
        <w:t xml:space="preserve">    综上，三大细分赛道均以全球化作为核心成长驱动，依靠差异化出海商业模式突破国内行业增长天花板，持续赚取全球产业分工下的超额收益，既是当前医药板块中长期超额收益的核心来源，也是本基金组合重点布局的核心方向。</w:t>
        <w:br/>
      </w:r>
      <w:r>
        <w:rPr>
          <w:rFonts w:ascii="宋体" w:hAnsi="宋体" w:cs="宋体" w:eastAsia="宋体"/>
          <w:b w:val="false"/>
        </w:rPr>
        <w:t xml:space="preserve">    2026年是检验“真功夫”的一年。随着BD交易常态化，投资逻辑需从“数合同”转向“看落地”。下半年首批原创路线创新药将进入海外市场获批的收获期，这是中国创新药正式进入“赚美元”阶段的关键。我们将优选具备“两条腿走路”能力的企业——国内商业化路径清晰，且海外临床关键节点明确。特别是ADC和双抗板块，若海外上市成功，将直接驱动板块从“交易估值”向“盈利估值”切换。</w:t>
        <w:br/>
      </w:r>
      <w:r>
        <w:rPr>
          <w:rFonts w:ascii="宋体" w:hAnsi="宋体" w:cs="宋体" w:eastAsia="宋体"/>
          <w:b w:val="false"/>
        </w:rPr>
        <w:t xml:space="preserve">    我们认为当前医药行情的走势，是行业内部存量筹码博弈与基本面增量的矛盾，也是外部硬科技当期业绩确定性和创新药远期业绩可能性之间的矛盾，这种错位不会长期存在，必然迎来修正。这种矛盾会导致市场出现震荡，但我们判断回调空间有限。原因在于，当前的调整是板块发展过程中的正常出清，而非行业趋势的逆转。随着资金从主题炒作转向业绩兑现，真正具备盈利能力与核心竞争力的优质企业将率先走出独立行情。因此，当前的回调并非行情终点，而是为中长期投资者提供了以更合理价格布局优质资产的窗口期。</w:t>
        <w:br/>
      </w:r>
      <w:r>
        <w:rPr>
          <w:rFonts w:ascii="宋体" w:hAnsi="宋体" w:cs="宋体" w:eastAsia="宋体"/>
          <w:b w:val="false"/>
        </w:rPr>
        <w:t xml:space="preserve">    报告期内，本基金基于个股临床数据验证结果、行业催化节奏及远期商业化确定性，持续优化组合持仓结构，整体操作围绕基本面择优逻辑展开。其一，主动出清弱势资产，对临床数据不及预期、核心研发逻辑证伪的创新药标的进行减仓。该类资产前期估值已充分透支研发预期，随着关键临床终点未达预期，管线商业化价值与成长空间显著受损，估值中枢面临下行压力，本次调仓有效规避基本面风险，提升组合整体收益确定性。其二，把握年度核心产业催化，重点加仓2026年ASCO大会披露优异临床数据的优质药企。相关企业本次披露的疗效、安全性数据实现关键突破，相较同业竞品具备明显差异化优势，基本面预期差快速修复，板块Alpha属性凸显，是当期性价比最优的配置方向之一。其三，前瞻布局跨年度成长主线，大幅抬升2027年有望落地美国商业化的出海标的持仓比例。该类资产依托产品出海逻辑，能够突破国内医保控费与集采约束，打开海外成长空间，具备中长期业绩与估值双击潜力，是组合中长期超额收益的核心底仓。</w:t>
        <w:br/>
      </w:r>
      <w:r>
        <w:rPr>
          <w:rFonts w:ascii="宋体" w:hAnsi="宋体" w:cs="宋体" w:eastAsia="宋体"/>
          <w:b w:val="false"/>
        </w:rPr>
        <w:t xml:space="preserve">    与此同时，本期市场硬科技板块阶段性走强，风格热点持续外溢，但本基金严格坚守主题定位，未进行跨板块操作。我们认为，医药主题基金的核心价值在于挖掘行业内生结构化Alpha，而非追逐市场热点。因此组合始终聚焦医药全球化主线，深耕创新药、CXO、出海器械等具备独立产业逻辑的细分赛道，以纯粹的行业配置、确定性的基本面兑现获取稳健超额收益，持续保持持仓风格稳定、业绩归因清晰。在此，也提示投资者需警惕地缘政治对出海进程的扰动、医保谈判政策的边际变化，以及部分早期研发管线的临床失败风险。但总体而言，当前创新药板块处于“好行业+合理估值”的错配期，2026年将是聚焦个股α、分享产业高质量发展红利的关键之年。</w:t>
      </w:r>
    </w:p>
    <w:p/>
    <w:p>
      <w:pPr>
        <w:pStyle w:val="2"/>
        <w:jc w:val="left"/>
      </w:pPr>
      <w:r>
        <w:rPr>
          <w:rFonts w:ascii="宋体" w:hAnsi="宋体" w:cs="宋体" w:eastAsia="宋体"/>
        </w:rPr>
        <w:t>4.5 报告期内基金的业绩表现</w:t>
      </w:r>
    </w:p>
    <w:p>
      <w:r>
        <w:rPr>
          <w:rFonts w:ascii="宋体" w:hAnsi="宋体" w:cs="宋体" w:eastAsia="宋体"/>
          <w:b w:val="false"/>
        </w:rPr>
        <w:t xml:space="preserve">    截至报告期末东方阿尔法健康产业混合发起A基金份额净值为0.7821元，本报告期内，该类基金份额净值增长率为-11.44%，同期业绩比较基准收益率为-7.69%；截至报告期末东方阿尔法健康产业混合发起C基金份额净值为0.7782元，本报告期内，该类基金份额净值增长率为-11.57%，同期业绩比较基准收益率为-7.69%。</w:t>
      </w:r>
    </w:p>
    <w:p/>
    <w:p>
      <w:pPr>
        <w:pStyle w:val="2"/>
        <w:jc w:val="left"/>
      </w:pPr>
      <w:r>
        <w:rPr>
          <w:rFonts w:ascii="宋体" w:hAnsi="宋体" w:cs="宋体" w:eastAsia="宋体"/>
        </w:rPr>
        <w:t>4.6 报告期内基金持有人数或基金资产净值预警说明</w:t>
      </w:r>
    </w:p>
    <w:p>
      <w:r>
        <w:rPr>
          <w:rFonts w:ascii="宋体" w:hAnsi="宋体" w:cs="宋体" w:eastAsia="宋体"/>
          <w:b w:val="false"/>
        </w:rPr>
        <w:t xml:space="preserve">    本基金为发起式基金，且截至本报告期末，本基金基金合同生效未满3年，暂不适用《公开募集证券投资基金运作管理办法》第四十一条第一款的规定。</w:t>
      </w:r>
    </w:p>
    <w:p>
      <w:pPr>
        <w:pStyle w:val="1"/>
        <w:jc w:val="center"/>
      </w:pPr>
      <w:r>
        <w:rPr>
          <w:rFonts w:ascii="宋体" w:hAnsi="宋体" w:cs="宋体" w:eastAsia="宋体"/>
        </w:rPr>
        <w:t>§5 投资组合报告</w:t>
      </w:r>
    </w:p>
    <w:p>
      <w:pPr>
        <w:pStyle w:val="2"/>
        <w:jc w:val="left"/>
      </w:pPr>
      <w:r>
        <w:rPr>
          <w:rFonts w:ascii="宋体" w:hAnsi="宋体" w:cs="宋体" w:eastAsia="宋体"/>
        </w:rPr>
        <w:t>5.1 报告期末基金资产组合情况</w:t>
      </w:r>
    </w:p>
    <w:tbl>
      <w:tblPr>
        <w:tblW w:w="5000" w:type="pct"/>
        <w:tblBorders>
          <w:top w:val="single" w:sz="4"/>
          <w:left w:val="single" w:sz="4"/>
          <w:bottom w:val="single" w:sz="4"/>
          <w:right w:val="single" w:sz="4"/>
          <w:insideH w:val="single" w:sz="4"/>
          <w:insideV w:val="single" w:sz="4"/>
        </w:tblBorders>
      </w:tblPr>
      <w:tblGrid>
        <w:gridCol w:w="2266"/>
        <w:gridCol w:w="2266"/>
        <w:gridCol w:w="2266"/>
        <w:gridCol w:w="2266"/>
      </w:tblGrid>
      <w:tr>
        <w:tc>
          <w:tcPr>
            <w:tcW w:type="pct" w:w="462"/>
            <w:vAlign w:val="center"/>
          </w:tcPr>
          <w:tcPr>
            <w:shd w:fill="d9d9d9"/>
          </w:tcPr>
          <w:p>
            <w:pPr>
              <w:spacing w:line="240" w:lineRule="auto"/>
              <w:jc w:val="center"/>
            </w:pPr>
            <w:r>
              <w:rPr>
                <w:rFonts w:ascii="宋体" w:hAnsi="宋体" w:cs="宋体" w:eastAsia="宋体"/>
                <w:b w:val="false"/>
              </w:rPr>
              <w:t>序号</w:t>
            </w:r>
          </w:p>
        </w:tc>
        <w:tc>
          <w:tcPr>
            <w:tcW w:type="pct" w:w="1538"/>
            <w:vAlign w:val="center"/>
          </w:tcPr>
          <w:tcPr>
            <w:shd w:fill="d9d9d9"/>
          </w:tcPr>
          <w:p>
            <w:pPr>
              <w:spacing w:line="240" w:lineRule="auto"/>
              <w:jc w:val="center"/>
            </w:pPr>
            <w:r>
              <w:rPr>
                <w:rFonts w:ascii="宋体" w:hAnsi="宋体" w:cs="宋体" w:eastAsia="宋体"/>
                <w:b w:val="false"/>
              </w:rPr>
              <w:t>项目</w:t>
            </w:r>
          </w:p>
        </w:tc>
        <w:tc>
          <w:tcPr>
            <w:tcW w:type="pct" w:w="1538"/>
            <w:vAlign w:val="center"/>
          </w:tcPr>
          <w:tcPr>
            <w:shd w:fill="d9d9d9"/>
          </w:tcPr>
          <w:p>
            <w:pPr>
              <w:spacing w:line="240" w:lineRule="auto"/>
              <w:jc w:val="center"/>
            </w:pPr>
            <w:r>
              <w:rPr>
                <w:rFonts w:ascii="宋体" w:hAnsi="宋体" w:cs="宋体" w:eastAsia="宋体"/>
                <w:b w:val="false"/>
              </w:rPr>
              <w:t>金额(元)</w:t>
            </w:r>
          </w:p>
        </w:tc>
        <w:tc>
          <w:tcPr>
            <w:tcW w:type="pct" w:w="1538"/>
            <w:vAlign w:val="center"/>
          </w:tcPr>
          <w:tcPr>
            <w:shd w:fill="d9d9d9"/>
          </w:tcPr>
          <w:p>
            <w:pPr>
              <w:spacing w:line="240" w:lineRule="auto"/>
              <w:jc w:val="center"/>
            </w:pPr>
            <w:r>
              <w:rPr>
                <w:rFonts w:ascii="宋体" w:hAnsi="宋体" w:cs="宋体" w:eastAsia="宋体"/>
                <w:b w:val="false"/>
              </w:rPr>
              <w:t>占基金总资产的比例（%）</w:t>
            </w:r>
          </w:p>
        </w:tc>
      </w:tr>
      <w:tr>
        <w:tc>
          <w:tcPr>
            <w:tcW/>
            <w:vAlign w:val="center"/>
          </w:tcPr>
          <w:p>
            <w:pPr>
              <w:spacing w:line="240" w:lineRule="auto"/>
              <w:jc w:val="center"/>
            </w:pPr>
            <w:r>
              <w:rPr>
                <w:rFonts w:ascii="宋体" w:hAnsi="宋体" w:cs="宋体" w:eastAsia="宋体"/>
                <w:b w:val="false"/>
              </w:rPr>
              <w:t>1</w:t>
            </w:r>
          </w:p>
        </w:tc>
        <w:tc>
          <w:tcPr>
            <w:tcW/>
            <w:vAlign w:val="center"/>
          </w:tcPr>
          <w:p>
            <w:pPr>
              <w:spacing w:line="240" w:lineRule="auto"/>
              <w:jc w:val="left"/>
            </w:pPr>
            <w:r>
              <w:rPr>
                <w:rFonts w:ascii="宋体" w:hAnsi="宋体" w:cs="宋体" w:eastAsia="宋体"/>
                <w:b w:val="false"/>
              </w:rPr>
              <w:t>权益投资</w:t>
            </w:r>
          </w:p>
        </w:tc>
        <w:tc>
          <w:tcPr>
            <w:tcW/>
            <w:vAlign w:val="center"/>
          </w:tcPr>
          <w:p>
            <w:pPr>
              <w:spacing w:line="240" w:lineRule="auto"/>
              <w:jc w:val="right"/>
            </w:pPr>
            <w:r>
              <w:rPr>
                <w:rFonts w:ascii="宋体" w:hAnsi="宋体" w:cs="宋体" w:eastAsia="宋体"/>
                <w:b w:val="false"/>
              </w:rPr>
              <w:t>75,202,510.53</w:t>
            </w:r>
          </w:p>
        </w:tc>
        <w:tc>
          <w:tcPr>
            <w:tcW/>
            <w:vAlign w:val="center"/>
          </w:tcPr>
          <w:p>
            <w:pPr>
              <w:spacing w:line="240" w:lineRule="auto"/>
              <w:jc w:val="right"/>
            </w:pPr>
            <w:r>
              <w:rPr>
                <w:rFonts w:ascii="宋体" w:hAnsi="宋体" w:cs="宋体" w:eastAsia="宋体"/>
                <w:b w:val="false"/>
              </w:rPr>
              <w:t>86.41</w:t>
            </w:r>
          </w:p>
        </w:tc>
      </w:tr>
      <w:tr>
        <w:tc>
          <w:tcPr>
            <w:tcW/>
            <w:vAlign w:val="center"/>
          </w:tcPr>
          <w:p>
            <w:pPr>
              <w:spacing w:line="240" w:lineRule="auto"/>
              <w:jc w:val="center"/>
            </w:pPr>
          </w:p>
        </w:tc>
        <w:tc>
          <w:tcPr>
            <w:tcW/>
            <w:vAlign w:val="center"/>
          </w:tcPr>
          <w:p>
            <w:pPr>
              <w:spacing w:line="240" w:lineRule="auto"/>
              <w:jc w:val="left"/>
            </w:pPr>
            <w:r>
              <w:rPr>
                <w:rFonts w:ascii="宋体" w:hAnsi="宋体" w:cs="宋体" w:eastAsia="宋体"/>
                <w:b w:val="false"/>
              </w:rPr>
              <w:t>其中：股票</w:t>
            </w:r>
          </w:p>
        </w:tc>
        <w:tc>
          <w:tcPr>
            <w:tcW/>
            <w:vAlign w:val="center"/>
          </w:tcPr>
          <w:p>
            <w:pPr>
              <w:spacing w:line="240" w:lineRule="auto"/>
              <w:jc w:val="right"/>
            </w:pPr>
            <w:r>
              <w:rPr>
                <w:rFonts w:ascii="宋体" w:hAnsi="宋体" w:cs="宋体" w:eastAsia="宋体"/>
                <w:b w:val="false"/>
              </w:rPr>
              <w:t>75,202,510.53</w:t>
            </w:r>
          </w:p>
        </w:tc>
        <w:tc>
          <w:tcPr>
            <w:tcW/>
            <w:vAlign w:val="center"/>
          </w:tcPr>
          <w:p>
            <w:pPr>
              <w:spacing w:line="240" w:lineRule="auto"/>
              <w:jc w:val="right"/>
            </w:pPr>
            <w:r>
              <w:rPr>
                <w:rFonts w:ascii="宋体" w:hAnsi="宋体" w:cs="宋体" w:eastAsia="宋体"/>
                <w:b w:val="false"/>
              </w:rPr>
              <w:t>86.41</w:t>
            </w:r>
          </w:p>
        </w:tc>
      </w:tr>
      <w:tr>
        <w:tc>
          <w:tcPr>
            <w:tcW/>
            <w:vAlign w:val="center"/>
          </w:tcPr>
          <w:p>
            <w:pPr>
              <w:spacing w:line="240" w:lineRule="auto"/>
              <w:jc w:val="center"/>
            </w:pPr>
            <w:r>
              <w:rPr>
                <w:rFonts w:ascii="宋体" w:hAnsi="宋体" w:cs="宋体" w:eastAsia="宋体"/>
                <w:b w:val="false"/>
              </w:rPr>
              <w:t>2</w:t>
            </w:r>
          </w:p>
        </w:tc>
        <w:tc>
          <w:tcPr>
            <w:tcW/>
            <w:vAlign w:val="center"/>
          </w:tcPr>
          <w:p>
            <w:pPr>
              <w:spacing w:line="240" w:lineRule="auto"/>
              <w:jc w:val="left"/>
            </w:pPr>
            <w:r>
              <w:rPr>
                <w:rFonts w:ascii="宋体" w:hAnsi="宋体" w:cs="宋体" w:eastAsia="宋体"/>
                <w:b w:val="false"/>
              </w:rPr>
              <w:t>基金投资</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3</w:t>
            </w:r>
          </w:p>
        </w:tc>
        <w:tc>
          <w:tcPr>
            <w:tcW/>
            <w:vAlign w:val="center"/>
          </w:tcPr>
          <w:p>
            <w:pPr>
              <w:spacing w:line="240" w:lineRule="auto"/>
              <w:jc w:val="left"/>
            </w:pPr>
            <w:r>
              <w:rPr>
                <w:rFonts w:ascii="宋体" w:hAnsi="宋体" w:cs="宋体" w:eastAsia="宋体"/>
                <w:b w:val="false"/>
              </w:rPr>
              <w:t>固定收益投资</w:t>
            </w:r>
          </w:p>
        </w:tc>
        <w:tc>
          <w:tcPr>
            <w:tcW/>
            <w:vAlign w:val="center"/>
          </w:tcPr>
          <w:p>
            <w:pPr>
              <w:spacing w:line="240" w:lineRule="auto"/>
              <w:jc w:val="right"/>
            </w:pPr>
            <w:r>
              <w:rPr>
                <w:rFonts w:ascii="宋体" w:hAnsi="宋体" w:cs="宋体" w:eastAsia="宋体"/>
                <w:b w:val="false"/>
              </w:rPr>
              <w:t>4,529,168.63</w:t>
            </w:r>
          </w:p>
        </w:tc>
        <w:tc>
          <w:tcPr>
            <w:tcW/>
            <w:vAlign w:val="center"/>
          </w:tcPr>
          <w:p>
            <w:pPr>
              <w:spacing w:line="240" w:lineRule="auto"/>
              <w:jc w:val="right"/>
            </w:pPr>
            <w:r>
              <w:rPr>
                <w:rFonts w:ascii="宋体" w:hAnsi="宋体" w:cs="宋体" w:eastAsia="宋体"/>
                <w:b w:val="false"/>
              </w:rPr>
              <w:t>5.20</w:t>
            </w:r>
          </w:p>
        </w:tc>
      </w:tr>
      <w:tr>
        <w:tc>
          <w:tcPr>
            <w:tcW/>
            <w:vAlign w:val="center"/>
          </w:tcPr>
          <w:p>
            <w:pPr>
              <w:spacing w:line="240" w:lineRule="auto"/>
              <w:jc w:val="center"/>
            </w:pPr>
          </w:p>
        </w:tc>
        <w:tc>
          <w:tcPr>
            <w:tcW/>
            <w:vAlign w:val="center"/>
          </w:tcPr>
          <w:p>
            <w:pPr>
              <w:spacing w:line="240" w:lineRule="auto"/>
              <w:jc w:val="left"/>
            </w:pPr>
            <w:r>
              <w:rPr>
                <w:rFonts w:ascii="宋体" w:hAnsi="宋体" w:cs="宋体" w:eastAsia="宋体"/>
                <w:b w:val="false"/>
              </w:rPr>
              <w:t>其中：债券</w:t>
            </w:r>
          </w:p>
        </w:tc>
        <w:tc>
          <w:tcPr>
            <w:tcW/>
            <w:vAlign w:val="center"/>
          </w:tcPr>
          <w:p>
            <w:pPr>
              <w:spacing w:line="240" w:lineRule="auto"/>
              <w:jc w:val="right"/>
            </w:pPr>
            <w:r>
              <w:rPr>
                <w:rFonts w:ascii="宋体" w:hAnsi="宋体" w:cs="宋体" w:eastAsia="宋体"/>
                <w:b w:val="false"/>
              </w:rPr>
              <w:t>4,529,168.63</w:t>
            </w:r>
          </w:p>
        </w:tc>
        <w:tc>
          <w:tcPr>
            <w:tcW/>
            <w:vAlign w:val="center"/>
          </w:tcPr>
          <w:p>
            <w:pPr>
              <w:spacing w:line="240" w:lineRule="auto"/>
              <w:jc w:val="right"/>
            </w:pPr>
            <w:r>
              <w:rPr>
                <w:rFonts w:ascii="宋体" w:hAnsi="宋体" w:cs="宋体" w:eastAsia="宋体"/>
                <w:b w:val="false"/>
              </w:rPr>
              <w:t>5.20</w:t>
            </w:r>
          </w:p>
        </w:tc>
      </w:tr>
      <w:tr>
        <w:tc>
          <w:tcPr>
            <w:tcW/>
            <w:vAlign w:val="center"/>
          </w:tcPr>
          <w:p>
            <w:pPr>
              <w:spacing w:line="240" w:lineRule="auto"/>
              <w:jc w:val="center"/>
            </w:pPr>
          </w:p>
        </w:tc>
        <w:tc>
          <w:tcPr>
            <w:tcW/>
            <w:vAlign w:val="center"/>
          </w:tcPr>
          <w:p>
            <w:pPr>
              <w:spacing w:line="240" w:lineRule="auto"/>
              <w:jc w:val="left"/>
            </w:pPr>
            <w:r>
              <w:rPr>
                <w:rFonts w:ascii="宋体" w:hAnsi="宋体" w:cs="宋体" w:eastAsia="宋体"/>
                <w:b w:val="false"/>
              </w:rPr>
              <w:t xml:space="preserve">      资产支持证券</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4</w:t>
            </w:r>
          </w:p>
        </w:tc>
        <w:tc>
          <w:tcPr>
            <w:tcW/>
            <w:vAlign w:val="center"/>
          </w:tcPr>
          <w:p>
            <w:pPr>
              <w:spacing w:line="240" w:lineRule="auto"/>
            </w:pPr>
            <w:r>
              <w:rPr>
                <w:rFonts w:ascii="宋体" w:hAnsi="宋体" w:cs="宋体" w:eastAsia="宋体"/>
                <w:b w:val="false"/>
              </w:rPr>
              <w:t>贵金属投资</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5</w:t>
            </w:r>
          </w:p>
        </w:tc>
        <w:tc>
          <w:tcPr>
            <w:tcW/>
            <w:vAlign w:val="center"/>
          </w:tcPr>
          <w:p>
            <w:pPr>
              <w:spacing w:line="240" w:lineRule="auto"/>
              <w:jc w:val="left"/>
            </w:pPr>
            <w:r>
              <w:rPr>
                <w:rFonts w:ascii="宋体" w:hAnsi="宋体" w:cs="宋体" w:eastAsia="宋体"/>
                <w:b w:val="false"/>
              </w:rPr>
              <w:t>金融衍生品投资</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6</w:t>
            </w:r>
          </w:p>
        </w:tc>
        <w:tc>
          <w:tcPr>
            <w:tcW/>
            <w:vAlign w:val="center"/>
          </w:tcPr>
          <w:p>
            <w:pPr>
              <w:spacing w:line="240" w:lineRule="auto"/>
              <w:jc w:val="left"/>
            </w:pPr>
            <w:r>
              <w:rPr>
                <w:rFonts w:ascii="宋体" w:hAnsi="宋体" w:cs="宋体" w:eastAsia="宋体"/>
                <w:b w:val="false"/>
              </w:rPr>
              <w:t>买入返售金融资产</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p>
        </w:tc>
        <w:tc>
          <w:tcPr>
            <w:tcW/>
            <w:vAlign w:val="center"/>
          </w:tcPr>
          <w:p>
            <w:pPr>
              <w:spacing w:line="240" w:lineRule="auto"/>
              <w:jc w:val="left"/>
            </w:pPr>
            <w:r>
              <w:rPr>
                <w:rFonts w:ascii="宋体" w:hAnsi="宋体" w:cs="宋体" w:eastAsia="宋体"/>
                <w:b w:val="false"/>
              </w:rPr>
              <w:t>其中：买断式回购的买入返售金融资产</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7</w:t>
            </w:r>
          </w:p>
        </w:tc>
        <w:tc>
          <w:tcPr>
            <w:tcW/>
            <w:vAlign w:val="center"/>
          </w:tcPr>
          <w:p>
            <w:pPr>
              <w:spacing w:line="240" w:lineRule="auto"/>
              <w:jc w:val="left"/>
            </w:pPr>
            <w:r>
              <w:rPr>
                <w:rFonts w:ascii="宋体" w:hAnsi="宋体" w:cs="宋体" w:eastAsia="宋体"/>
                <w:b w:val="false"/>
              </w:rPr>
              <w:t>银行存款和结算备付金合计</w:t>
            </w:r>
          </w:p>
        </w:tc>
        <w:tc>
          <w:tcPr>
            <w:tcW/>
            <w:vAlign w:val="center"/>
          </w:tcPr>
          <w:p>
            <w:pPr>
              <w:spacing w:line="240" w:lineRule="auto"/>
              <w:jc w:val="right"/>
            </w:pPr>
            <w:r>
              <w:rPr>
                <w:rFonts w:ascii="宋体" w:hAnsi="宋体" w:cs="宋体" w:eastAsia="宋体"/>
                <w:b w:val="false"/>
              </w:rPr>
              <w:t>2,573,393.63</w:t>
            </w:r>
          </w:p>
        </w:tc>
        <w:tc>
          <w:tcPr>
            <w:tcW/>
            <w:vAlign w:val="center"/>
          </w:tcPr>
          <w:p>
            <w:pPr>
              <w:spacing w:line="240" w:lineRule="auto"/>
              <w:jc w:val="right"/>
            </w:pPr>
            <w:r>
              <w:rPr>
                <w:rFonts w:ascii="宋体" w:hAnsi="宋体" w:cs="宋体" w:eastAsia="宋体"/>
                <w:b w:val="false"/>
              </w:rPr>
              <w:t>2.96</w:t>
            </w:r>
          </w:p>
        </w:tc>
      </w:tr>
      <w:tr>
        <w:tc>
          <w:tcPr>
            <w:tcW/>
            <w:vAlign w:val="center"/>
          </w:tcPr>
          <w:p>
            <w:pPr>
              <w:spacing w:line="240" w:lineRule="auto"/>
              <w:jc w:val="center"/>
            </w:pPr>
            <w:r>
              <w:rPr>
                <w:rFonts w:ascii="宋体" w:hAnsi="宋体" w:cs="宋体" w:eastAsia="宋体"/>
                <w:b w:val="false"/>
              </w:rPr>
              <w:t>8</w:t>
            </w:r>
          </w:p>
        </w:tc>
        <w:tc>
          <w:tcPr>
            <w:tcW/>
            <w:vAlign w:val="center"/>
          </w:tcPr>
          <w:p>
            <w:pPr>
              <w:spacing w:line="240" w:lineRule="auto"/>
              <w:jc w:val="left"/>
            </w:pPr>
            <w:r>
              <w:rPr>
                <w:rFonts w:ascii="宋体" w:hAnsi="宋体" w:cs="宋体" w:eastAsia="宋体"/>
                <w:b w:val="false"/>
              </w:rPr>
              <w:t>其他资产</w:t>
            </w:r>
          </w:p>
        </w:tc>
        <w:tc>
          <w:tcPr>
            <w:tcW/>
            <w:vAlign w:val="center"/>
          </w:tcPr>
          <w:p>
            <w:pPr>
              <w:spacing w:line="240" w:lineRule="auto"/>
              <w:jc w:val="right"/>
            </w:pPr>
            <w:r>
              <w:rPr>
                <w:rFonts w:ascii="宋体" w:hAnsi="宋体" w:cs="宋体" w:eastAsia="宋体"/>
                <w:b w:val="false"/>
              </w:rPr>
              <w:t>4,723,935.30</w:t>
            </w:r>
          </w:p>
        </w:tc>
        <w:tc>
          <w:tcPr>
            <w:tcW/>
            <w:vAlign w:val="center"/>
          </w:tcPr>
          <w:p>
            <w:pPr>
              <w:spacing w:line="240" w:lineRule="auto"/>
              <w:jc w:val="right"/>
            </w:pPr>
            <w:r>
              <w:rPr>
                <w:rFonts w:ascii="宋体" w:hAnsi="宋体" w:cs="宋体" w:eastAsia="宋体"/>
                <w:b w:val="false"/>
              </w:rPr>
              <w:t>5.43</w:t>
            </w:r>
          </w:p>
        </w:tc>
      </w:tr>
      <w:tr>
        <w:tc>
          <w:tcPr>
            <w:tcW/>
            <w:vAlign w:val="center"/>
          </w:tcPr>
          <w:p>
            <w:pPr>
              <w:spacing w:line="240" w:lineRule="auto"/>
              <w:jc w:val="center"/>
            </w:pPr>
            <w:r>
              <w:rPr>
                <w:rFonts w:ascii="宋体" w:hAnsi="宋体" w:cs="宋体" w:eastAsia="宋体"/>
                <w:b w:val="false"/>
              </w:rPr>
              <w:t>9</w:t>
            </w:r>
          </w:p>
        </w:tc>
        <w:tc>
          <w:tcPr>
            <w:tcW/>
            <w:vAlign w:val="center"/>
          </w:tcPr>
          <w:p>
            <w:pPr>
              <w:spacing w:line="240" w:lineRule="auto"/>
              <w:jc w:val="left"/>
            </w:pPr>
            <w:r>
              <w:rPr>
                <w:rFonts w:ascii="宋体" w:hAnsi="宋体" w:cs="宋体" w:eastAsia="宋体"/>
                <w:b w:val="false"/>
              </w:rPr>
              <w:t>合计</w:t>
            </w:r>
          </w:p>
        </w:tc>
        <w:tc>
          <w:tcPr>
            <w:tcW/>
            <w:vAlign w:val="center"/>
          </w:tcPr>
          <w:p>
            <w:pPr>
              <w:spacing w:line="240" w:lineRule="auto"/>
              <w:jc w:val="right"/>
            </w:pPr>
            <w:r>
              <w:rPr>
                <w:rFonts w:ascii="宋体" w:hAnsi="宋体" w:cs="宋体" w:eastAsia="宋体"/>
                <w:b w:val="false"/>
              </w:rPr>
              <w:t>87,029,008.09</w:t>
            </w:r>
          </w:p>
        </w:tc>
        <w:tc>
          <w:tcPr>
            <w:tcW/>
            <w:vAlign w:val="center"/>
          </w:tcPr>
          <w:p>
            <w:pPr>
              <w:spacing w:line="240" w:lineRule="auto"/>
              <w:jc w:val="right"/>
            </w:pPr>
            <w:r>
              <w:rPr>
                <w:rFonts w:ascii="宋体" w:hAnsi="宋体" w:cs="宋体" w:eastAsia="宋体"/>
                <w:b w:val="false"/>
              </w:rPr>
              <w:t>100.00</w:t>
            </w:r>
          </w:p>
        </w:tc>
      </w:tr>
    </w:tbl>
    <w:p>
      <w:r>
        <w:rPr>
          <w:rFonts w:ascii="宋体" w:hAnsi="宋体" w:cs="宋体" w:eastAsia="宋体"/>
          <w:b w:val="false"/>
        </w:rPr>
        <w:t>注：报告期末本基金通过港股通交易机制投资的港股公允价值合计33,575,359.30元，占基金资产净值的比例为40.68%。</w:t>
      </w:r>
    </w:p>
    <w:p/>
    <w:p>
      <w:pPr>
        <w:pStyle w:val="2"/>
        <w:jc w:val="left"/>
      </w:pPr>
      <w:r>
        <w:rPr>
          <w:rFonts w:ascii="宋体" w:hAnsi="宋体" w:cs="宋体" w:eastAsia="宋体"/>
        </w:rPr>
        <w:t>5.2 报告期末按行业分类的股票投资组合</w:t>
      </w:r>
    </w:p>
    <w:p>
      <w:pPr>
        <w:pStyle w:val="zhangjiep2"/>
      </w:pPr>
      <w:r>
        <w:rPr>
          <w:rStyle w:val="正文"/>
          <w:rFonts w:ascii="宋体" w:hAnsi="宋体" w:cs="宋体" w:eastAsia="宋体"/>
          <w:b w:val="true"/>
        </w:rPr>
        <w:t>5.2.1 报告期末按行业分类的境内股票投资组合</w:t>
      </w:r>
    </w:p>
    <w:tbl>
      <w:tblPr>
        <w:tblW w:w="5000" w:type="pct"/>
        <w:tblBorders>
          <w:top w:val="single" w:sz="4"/>
          <w:left w:val="single" w:sz="4"/>
          <w:bottom w:val="single" w:sz="4"/>
          <w:right w:val="single" w:sz="4"/>
          <w:insideH w:val="single" w:sz="4"/>
          <w:insideV w:val="single" w:sz="4"/>
        </w:tblBorders>
      </w:tblPr>
      <w:tblGrid>
        <w:gridCol w:w="2266"/>
        <w:gridCol w:w="2266"/>
        <w:gridCol w:w="2266"/>
        <w:gridCol w:w="2266"/>
      </w:tblGrid>
      <w:tr>
        <w:tc>
          <w:tcPr>
            <w:tcW w:type="pct" w:w="615"/>
            <w:vAlign w:val="center"/>
          </w:tcPr>
          <w:tcPr>
            <w:shd w:fill="d9d9d9"/>
          </w:tcPr>
          <w:p>
            <w:pPr>
              <w:spacing w:line="240" w:lineRule="auto"/>
              <w:jc w:val="center"/>
            </w:pPr>
            <w:r>
              <w:rPr>
                <w:rFonts w:ascii="宋体" w:hAnsi="宋体" w:cs="宋体" w:eastAsia="宋体"/>
                <w:b w:val="false"/>
              </w:rPr>
              <w:t>代码</w:t>
            </w:r>
          </w:p>
        </w:tc>
        <w:tc>
          <w:tcPr>
            <w:tcW w:type="pct" w:w="1538"/>
            <w:vAlign w:val="center"/>
          </w:tcPr>
          <w:tcPr>
            <w:shd w:fill="d9d9d9"/>
          </w:tcPr>
          <w:p>
            <w:pPr>
              <w:spacing w:line="240" w:lineRule="auto"/>
              <w:jc w:val="center"/>
            </w:pPr>
            <w:r>
              <w:rPr>
                <w:rFonts w:ascii="宋体" w:hAnsi="宋体" w:cs="宋体" w:eastAsia="宋体"/>
                <w:b w:val="false"/>
              </w:rPr>
              <w:t>行业类别</w:t>
            </w:r>
          </w:p>
        </w:tc>
        <w:tc>
          <w:tcPr>
            <w:tcW w:type="pct" w:w="923"/>
            <w:vAlign w:val="center"/>
          </w:tcPr>
          <w:tcPr>
            <w:shd w:fill="d9d9d9"/>
          </w:tcPr>
          <w:p>
            <w:pPr>
              <w:spacing w:line="240" w:lineRule="auto"/>
              <w:jc w:val="center"/>
            </w:pPr>
            <w:r>
              <w:rPr>
                <w:rFonts w:ascii="宋体" w:hAnsi="宋体" w:cs="宋体" w:eastAsia="宋体"/>
                <w:b w:val="false"/>
              </w:rPr>
              <w:t>公允价值(元)</w:t>
            </w:r>
          </w:p>
        </w:tc>
        <w:tc>
          <w:tcPr>
            <w:tcW w:type="pct" w:w="1538"/>
            <w:vAlign w:val="center"/>
          </w:tcPr>
          <w:tcPr>
            <w:shd w:fill="d9d9d9"/>
          </w:tcPr>
          <w:p>
            <w:pPr>
              <w:spacing w:line="240" w:lineRule="auto"/>
              <w:jc w:val="center"/>
            </w:pPr>
            <w:r>
              <w:rPr>
                <w:rFonts w:ascii="宋体" w:hAnsi="宋体" w:cs="宋体" w:eastAsia="宋体"/>
                <w:b w:val="false"/>
              </w:rPr>
              <w:t>占基金资产净值比例（%）</w:t>
            </w:r>
          </w:p>
        </w:tc>
      </w:tr>
      <w:tr>
        <w:tc>
          <w:tcPr>
            <w:tcW/>
            <w:vAlign w:val="center"/>
          </w:tcPr>
          <w:p>
            <w:pPr>
              <w:spacing w:line="240" w:lineRule="auto"/>
              <w:jc w:val="center"/>
            </w:pPr>
            <w:r>
              <w:rPr>
                <w:rFonts w:ascii="宋体" w:hAnsi="宋体" w:cs="宋体" w:eastAsia="宋体"/>
                <w:b w:val="false"/>
              </w:rPr>
              <w:t>A</w:t>
            </w:r>
          </w:p>
        </w:tc>
        <w:tc>
          <w:tcPr>
            <w:tcW/>
            <w:vAlign w:val="center"/>
          </w:tcPr>
          <w:p>
            <w:pPr>
              <w:spacing w:line="240" w:lineRule="auto"/>
              <w:jc w:val="left"/>
            </w:pPr>
            <w:r>
              <w:rPr>
                <w:rFonts w:ascii="宋体" w:hAnsi="宋体" w:cs="宋体" w:eastAsia="宋体"/>
                <w:b w:val="false"/>
              </w:rPr>
              <w:t>农、林、牧、渔业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B</w:t>
            </w:r>
          </w:p>
        </w:tc>
        <w:tc>
          <w:tcPr>
            <w:tcW/>
            <w:vAlign w:val="center"/>
          </w:tcPr>
          <w:p>
            <w:pPr>
              <w:spacing w:line="240" w:lineRule="auto"/>
              <w:jc w:val="left"/>
            </w:pPr>
            <w:r>
              <w:rPr>
                <w:rFonts w:ascii="宋体" w:hAnsi="宋体" w:cs="宋体" w:eastAsia="宋体"/>
                <w:b w:val="false"/>
              </w:rPr>
              <w:t>采矿业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C</w:t>
            </w:r>
          </w:p>
        </w:tc>
        <w:tc>
          <w:tcPr>
            <w:tcW/>
            <w:vAlign w:val="center"/>
          </w:tcPr>
          <w:p>
            <w:pPr>
              <w:spacing w:line="240" w:lineRule="auto"/>
              <w:jc w:val="left"/>
            </w:pPr>
            <w:r>
              <w:rPr>
                <w:rFonts w:ascii="宋体" w:hAnsi="宋体" w:cs="宋体" w:eastAsia="宋体"/>
                <w:b w:val="false"/>
              </w:rPr>
              <w:t>制造业</w:t>
            </w:r>
          </w:p>
        </w:tc>
        <w:tc>
          <w:tcPr>
            <w:tcW/>
            <w:vAlign w:val="center"/>
          </w:tcPr>
          <w:p>
            <w:pPr>
              <w:spacing w:line="240" w:lineRule="auto"/>
              <w:jc w:val="right"/>
            </w:pPr>
            <w:r>
              <w:rPr>
                <w:rFonts w:ascii="宋体" w:hAnsi="宋体" w:cs="宋体" w:eastAsia="宋体"/>
                <w:b w:val="false"/>
              </w:rPr>
              <w:t>41,627,151.23</w:t>
            </w:r>
          </w:p>
        </w:tc>
        <w:tc>
          <w:tcPr>
            <w:tcW/>
            <w:vAlign w:val="center"/>
          </w:tcPr>
          <w:p>
            <w:pPr>
              <w:spacing w:line="240" w:lineRule="auto"/>
              <w:jc w:val="right"/>
            </w:pPr>
            <w:r>
              <w:rPr>
                <w:rFonts w:ascii="宋体" w:hAnsi="宋体" w:cs="宋体" w:eastAsia="宋体"/>
                <w:b w:val="false"/>
              </w:rPr>
              <w:t>50.43</w:t>
            </w:r>
          </w:p>
        </w:tc>
      </w:tr>
      <w:tr>
        <w:tc>
          <w:tcPr>
            <w:tcW/>
            <w:vAlign w:val="center"/>
          </w:tcPr>
          <w:p>
            <w:pPr>
              <w:spacing w:line="240" w:lineRule="auto"/>
              <w:jc w:val="center"/>
            </w:pPr>
            <w:r>
              <w:rPr>
                <w:rFonts w:ascii="宋体" w:hAnsi="宋体" w:cs="宋体" w:eastAsia="宋体"/>
                <w:b w:val="false"/>
              </w:rPr>
              <w:t>D</w:t>
            </w:r>
          </w:p>
        </w:tc>
        <w:tc>
          <w:tcPr>
            <w:tcW/>
            <w:vAlign w:val="center"/>
          </w:tcPr>
          <w:p>
            <w:pPr>
              <w:spacing w:line="240" w:lineRule="auto"/>
              <w:jc w:val="left"/>
            </w:pPr>
            <w:r>
              <w:rPr>
                <w:rFonts w:ascii="宋体" w:hAnsi="宋体" w:cs="宋体" w:eastAsia="宋体"/>
                <w:b w:val="false"/>
              </w:rPr>
              <w:t>电力、热力、燃气及水生产和供应业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E</w:t>
            </w:r>
          </w:p>
        </w:tc>
        <w:tc>
          <w:tcPr>
            <w:tcW/>
            <w:vAlign w:val="center"/>
          </w:tcPr>
          <w:p>
            <w:pPr>
              <w:spacing w:line="240" w:lineRule="auto"/>
              <w:jc w:val="left"/>
            </w:pPr>
            <w:r>
              <w:rPr>
                <w:rFonts w:ascii="宋体" w:hAnsi="宋体" w:cs="宋体" w:eastAsia="宋体"/>
                <w:b w:val="false"/>
              </w:rPr>
              <w:t>建筑业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F</w:t>
            </w:r>
          </w:p>
        </w:tc>
        <w:tc>
          <w:tcPr>
            <w:tcW/>
            <w:vAlign w:val="center"/>
          </w:tcPr>
          <w:p>
            <w:pPr>
              <w:spacing w:line="240" w:lineRule="auto"/>
              <w:jc w:val="left"/>
            </w:pPr>
            <w:r>
              <w:rPr>
                <w:rFonts w:ascii="宋体" w:hAnsi="宋体" w:cs="宋体" w:eastAsia="宋体"/>
                <w:b w:val="false"/>
              </w:rPr>
              <w:t>批发和零售业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G</w:t>
            </w:r>
          </w:p>
        </w:tc>
        <w:tc>
          <w:tcPr>
            <w:tcW/>
            <w:vAlign w:val="center"/>
          </w:tcPr>
          <w:p>
            <w:pPr>
              <w:spacing w:line="240" w:lineRule="auto"/>
              <w:jc w:val="left"/>
            </w:pPr>
            <w:r>
              <w:rPr>
                <w:rFonts w:ascii="宋体" w:hAnsi="宋体" w:cs="宋体" w:eastAsia="宋体"/>
                <w:b w:val="false"/>
              </w:rPr>
              <w:t>交通运输、仓储和邮政业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H</w:t>
            </w:r>
          </w:p>
        </w:tc>
        <w:tc>
          <w:tcPr>
            <w:tcW/>
            <w:vAlign w:val="center"/>
          </w:tcPr>
          <w:p>
            <w:pPr>
              <w:spacing w:line="240" w:lineRule="auto"/>
              <w:jc w:val="left"/>
            </w:pPr>
            <w:r>
              <w:rPr>
                <w:rFonts w:ascii="宋体" w:hAnsi="宋体" w:cs="宋体" w:eastAsia="宋体"/>
                <w:b w:val="false"/>
              </w:rPr>
              <w:t>住宿和餐饮业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I</w:t>
            </w:r>
          </w:p>
        </w:tc>
        <w:tc>
          <w:tcPr>
            <w:tcW/>
            <w:vAlign w:val="center"/>
          </w:tcPr>
          <w:p>
            <w:pPr>
              <w:spacing w:line="240" w:lineRule="auto"/>
              <w:jc w:val="left"/>
            </w:pPr>
            <w:r>
              <w:rPr>
                <w:rFonts w:ascii="宋体" w:hAnsi="宋体" w:cs="宋体" w:eastAsia="宋体"/>
                <w:b w:val="false"/>
              </w:rPr>
              <w:t>信息传输、软件和信息技术服务业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J</w:t>
            </w:r>
          </w:p>
        </w:tc>
        <w:tc>
          <w:tcPr>
            <w:tcW/>
            <w:vAlign w:val="center"/>
          </w:tcPr>
          <w:p>
            <w:pPr>
              <w:spacing w:line="240" w:lineRule="auto"/>
              <w:jc w:val="left"/>
            </w:pPr>
            <w:r>
              <w:rPr>
                <w:rFonts w:ascii="宋体" w:hAnsi="宋体" w:cs="宋体" w:eastAsia="宋体"/>
                <w:b w:val="false"/>
              </w:rPr>
              <w:t>金融业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K</w:t>
            </w:r>
          </w:p>
        </w:tc>
        <w:tc>
          <w:tcPr>
            <w:tcW/>
            <w:vAlign w:val="center"/>
          </w:tcPr>
          <w:p>
            <w:pPr>
              <w:spacing w:line="240" w:lineRule="auto"/>
              <w:jc w:val="left"/>
            </w:pPr>
            <w:r>
              <w:rPr>
                <w:rFonts w:ascii="宋体" w:hAnsi="宋体" w:cs="宋体" w:eastAsia="宋体"/>
                <w:b w:val="false"/>
              </w:rPr>
              <w:t>房地产业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L</w:t>
            </w:r>
          </w:p>
        </w:tc>
        <w:tc>
          <w:tcPr>
            <w:tcW/>
            <w:vAlign w:val="center"/>
          </w:tcPr>
          <w:p>
            <w:pPr>
              <w:spacing w:line="240" w:lineRule="auto"/>
              <w:jc w:val="left"/>
            </w:pPr>
            <w:r>
              <w:rPr>
                <w:rFonts w:ascii="宋体" w:hAnsi="宋体" w:cs="宋体" w:eastAsia="宋体"/>
                <w:b w:val="false"/>
              </w:rPr>
              <w:t>租赁和商务服务业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M</w:t>
            </w:r>
          </w:p>
        </w:tc>
        <w:tc>
          <w:tcPr>
            <w:tcW/>
            <w:vAlign w:val="center"/>
          </w:tcPr>
          <w:p>
            <w:pPr>
              <w:spacing w:line="240" w:lineRule="auto"/>
              <w:jc w:val="left"/>
            </w:pPr>
            <w:r>
              <w:rPr>
                <w:rFonts w:ascii="宋体" w:hAnsi="宋体" w:cs="宋体" w:eastAsia="宋体"/>
                <w:b w:val="false"/>
              </w:rPr>
              <w:t>科学研究和技术服务业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N</w:t>
            </w:r>
          </w:p>
        </w:tc>
        <w:tc>
          <w:tcPr>
            <w:tcW/>
            <w:vAlign w:val="center"/>
          </w:tcPr>
          <w:p>
            <w:pPr>
              <w:spacing w:line="240" w:lineRule="auto"/>
              <w:jc w:val="left"/>
            </w:pPr>
            <w:r>
              <w:rPr>
                <w:rFonts w:ascii="宋体" w:hAnsi="宋体" w:cs="宋体" w:eastAsia="宋体"/>
                <w:b w:val="false"/>
              </w:rPr>
              <w:t>水利、环境和公共设施管理业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O</w:t>
            </w:r>
          </w:p>
        </w:tc>
        <w:tc>
          <w:tcPr>
            <w:tcW/>
            <w:vAlign w:val="center"/>
          </w:tcPr>
          <w:p>
            <w:pPr>
              <w:spacing w:line="240" w:lineRule="auto"/>
              <w:jc w:val="left"/>
            </w:pPr>
            <w:r>
              <w:rPr>
                <w:rFonts w:ascii="宋体" w:hAnsi="宋体" w:cs="宋体" w:eastAsia="宋体"/>
                <w:b w:val="false"/>
              </w:rPr>
              <w:t>居民服务、修理和其他服务业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P</w:t>
            </w:r>
          </w:p>
        </w:tc>
        <w:tc>
          <w:tcPr>
            <w:tcW/>
            <w:vAlign w:val="center"/>
          </w:tcPr>
          <w:p>
            <w:pPr>
              <w:spacing w:line="240" w:lineRule="auto"/>
              <w:jc w:val="left"/>
            </w:pPr>
            <w:r>
              <w:rPr>
                <w:rFonts w:ascii="宋体" w:hAnsi="宋体" w:cs="宋体" w:eastAsia="宋体"/>
                <w:b w:val="false"/>
              </w:rPr>
              <w:t>教育</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Q</w:t>
            </w:r>
          </w:p>
        </w:tc>
        <w:tc>
          <w:tcPr>
            <w:tcW/>
            <w:vAlign w:val="center"/>
          </w:tcPr>
          <w:p>
            <w:pPr>
              <w:spacing w:line="240" w:lineRule="auto"/>
              <w:jc w:val="left"/>
            </w:pPr>
            <w:r>
              <w:rPr>
                <w:rFonts w:ascii="宋体" w:hAnsi="宋体" w:cs="宋体" w:eastAsia="宋体"/>
                <w:b w:val="false"/>
              </w:rPr>
              <w:t>卫生和社会工作</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R</w:t>
            </w:r>
          </w:p>
        </w:tc>
        <w:tc>
          <w:tcPr>
            <w:tcW/>
            <w:vAlign w:val="center"/>
          </w:tcPr>
          <w:p>
            <w:pPr>
              <w:spacing w:line="240" w:lineRule="auto"/>
              <w:jc w:val="left"/>
            </w:pPr>
            <w:r>
              <w:rPr>
                <w:rFonts w:ascii="宋体" w:hAnsi="宋体" w:cs="宋体" w:eastAsia="宋体"/>
                <w:b w:val="false"/>
              </w:rPr>
              <w:t>文化、体育和娱乐业</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S</w:t>
            </w:r>
          </w:p>
        </w:tc>
        <w:tc>
          <w:tcPr>
            <w:tcW/>
            <w:vAlign w:val="center"/>
          </w:tcPr>
          <w:p>
            <w:pPr>
              <w:spacing w:line="240" w:lineRule="auto"/>
              <w:jc w:val="left"/>
            </w:pPr>
            <w:r>
              <w:rPr>
                <w:rFonts w:ascii="宋体" w:hAnsi="宋体" w:cs="宋体" w:eastAsia="宋体"/>
                <w:b w:val="false"/>
              </w:rPr>
              <w:t>综合</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p>
        </w:tc>
        <w:tc>
          <w:tcPr>
            <w:tcW/>
            <w:vAlign w:val="center"/>
          </w:tcPr>
          <w:p>
            <w:pPr>
              <w:spacing w:line="240" w:lineRule="auto"/>
              <w:jc w:val="left"/>
            </w:pPr>
            <w:r>
              <w:rPr>
                <w:rFonts w:ascii="宋体" w:hAnsi="宋体" w:cs="宋体" w:eastAsia="宋体"/>
                <w:b w:val="false"/>
              </w:rPr>
              <w:t>合计</w:t>
            </w:r>
          </w:p>
        </w:tc>
        <w:tc>
          <w:tcPr>
            <w:tcW/>
            <w:vAlign w:val="center"/>
          </w:tcPr>
          <w:p>
            <w:pPr>
              <w:spacing w:line="240" w:lineRule="auto"/>
              <w:jc w:val="right"/>
            </w:pPr>
            <w:r>
              <w:rPr>
                <w:rFonts w:ascii="宋体" w:hAnsi="宋体" w:cs="宋体" w:eastAsia="宋体"/>
                <w:b w:val="false"/>
              </w:rPr>
              <w:t>41,627,151.23</w:t>
            </w:r>
          </w:p>
        </w:tc>
        <w:tc>
          <w:tcPr>
            <w:tcW/>
            <w:vAlign w:val="center"/>
          </w:tcPr>
          <w:p>
            <w:pPr>
              <w:spacing w:line="240" w:lineRule="auto"/>
              <w:jc w:val="right"/>
            </w:pPr>
            <w:r>
              <w:rPr>
                <w:rFonts w:ascii="宋体" w:hAnsi="宋体" w:cs="宋体" w:eastAsia="宋体"/>
                <w:b w:val="false"/>
              </w:rPr>
              <w:t>50.43</w:t>
            </w:r>
          </w:p>
        </w:tc>
      </w:tr>
    </w:tbl>
    <w:p/>
    <w:p>
      <w:pPr>
        <w:pStyle w:val="zhangjiep2"/>
      </w:pPr>
      <w:r>
        <w:rPr>
          <w:rStyle w:val="正文"/>
          <w:rFonts w:ascii="宋体" w:hAnsi="宋体" w:cs="宋体" w:eastAsia="宋体"/>
          <w:b w:val="true"/>
        </w:rPr>
        <w:t>5.2.2 报告期末按行业分类的港股通投资股票投资组合</w:t>
      </w:r>
    </w:p>
    <w:tbl>
      <w:tblPr>
        <w:tblW w:w="5000" w:type="pct"/>
        <w:tblBorders>
          <w:top w:val="single" w:sz="4"/>
          <w:left w:val="single" w:sz="4"/>
          <w:bottom w:val="single" w:sz="4"/>
          <w:right w:val="single" w:sz="4"/>
          <w:insideH w:val="single" w:sz="4"/>
          <w:insideV w:val="single" w:sz="4"/>
        </w:tblBorders>
      </w:tblPr>
      <w:tblGrid>
        <w:gridCol w:w="3021"/>
        <w:gridCol w:w="3021"/>
        <w:gridCol w:w="3021"/>
      </w:tblGrid>
      <w:tr>
        <w:tc>
          <w:tcPr>
            <w:tcW w:type="pct" w:w="1538"/>
            <w:vAlign w:val="center"/>
          </w:tcPr>
          <w:tcPr>
            <w:shd w:fill="d9d9d9"/>
          </w:tcPr>
          <w:p>
            <w:pPr>
              <w:spacing w:line="240" w:lineRule="auto"/>
              <w:jc w:val="center"/>
            </w:pPr>
            <w:r>
              <w:rPr>
                <w:rFonts w:ascii="宋体" w:hAnsi="宋体" w:cs="宋体" w:eastAsia="宋体"/>
                <w:b w:val="false"/>
              </w:rPr>
              <w:t>行业类别</w:t>
            </w:r>
          </w:p>
        </w:tc>
        <w:tc>
          <w:tcPr>
            <w:tcW w:type="pct" w:w="1538"/>
            <w:vAlign w:val="center"/>
          </w:tcPr>
          <w:tcPr>
            <w:shd w:fill="d9d9d9"/>
          </w:tcPr>
          <w:p>
            <w:pPr>
              <w:spacing w:line="240" w:lineRule="auto"/>
              <w:jc w:val="center"/>
            </w:pPr>
            <w:r>
              <w:rPr>
                <w:rFonts w:ascii="宋体" w:hAnsi="宋体" w:cs="宋体" w:eastAsia="宋体"/>
                <w:b w:val="false"/>
              </w:rPr>
              <w:t>公允价值（人民币）</w:t>
            </w:r>
          </w:p>
        </w:tc>
        <w:tc>
          <w:tcPr>
            <w:tcW w:type="pct" w:w="1538"/>
            <w:vAlign w:val="center"/>
          </w:tcPr>
          <w:tcPr>
            <w:shd w:fill="d9d9d9"/>
          </w:tcPr>
          <w:p>
            <w:pPr>
              <w:spacing w:line="240" w:lineRule="auto"/>
              <w:jc w:val="center"/>
            </w:pPr>
            <w:r>
              <w:rPr>
                <w:rFonts w:ascii="宋体" w:hAnsi="宋体" w:cs="宋体" w:eastAsia="宋体"/>
                <w:b w:val="false"/>
              </w:rPr>
              <w:t>占基金资产净值比例（%）</w:t>
            </w:r>
          </w:p>
        </w:tc>
      </w:tr>
      <w:tr>
        <w:tc>
          <w:tcPr>
            <w:tcW/>
            <w:vAlign w:val="center"/>
          </w:tcPr>
          <w:p>
            <w:pPr>
              <w:spacing w:line="240" w:lineRule="auto"/>
              <w:jc w:val="left"/>
            </w:pPr>
            <w:r>
              <w:rPr>
                <w:rFonts w:ascii="宋体" w:hAnsi="宋体" w:cs="宋体" w:eastAsia="宋体"/>
                <w:b w:val="false"/>
              </w:rPr>
              <w:t>医疗保健</w:t>
            </w:r>
          </w:p>
        </w:tc>
        <w:tc>
          <w:tcPr>
            <w:tcW/>
            <w:vAlign w:val="center"/>
          </w:tcPr>
          <w:p>
            <w:pPr>
              <w:spacing w:line="240" w:lineRule="auto"/>
              <w:jc w:val="right"/>
            </w:pPr>
            <w:r>
              <w:rPr>
                <w:rFonts w:ascii="宋体" w:hAnsi="宋体" w:cs="宋体" w:eastAsia="宋体"/>
                <w:b w:val="false"/>
              </w:rPr>
              <w:t>33,575,359.30</w:t>
            </w:r>
          </w:p>
        </w:tc>
        <w:tc>
          <w:tcPr>
            <w:tcW/>
            <w:vAlign w:val="center"/>
          </w:tcPr>
          <w:p>
            <w:pPr>
              <w:spacing w:line="240" w:lineRule="auto"/>
              <w:jc w:val="right"/>
            </w:pPr>
            <w:r>
              <w:rPr>
                <w:rFonts w:ascii="宋体" w:hAnsi="宋体" w:cs="宋体" w:eastAsia="宋体"/>
                <w:b w:val="false"/>
              </w:rPr>
              <w:t>40.68</w:t>
            </w:r>
          </w:p>
        </w:tc>
      </w:tr>
      <w:tr>
        <w:tc>
          <w:tcPr>
            <w:tcW/>
            <w:vAlign w:val="center"/>
          </w:tcPr>
          <w:p>
            <w:pPr>
              <w:spacing w:line="240" w:lineRule="auto"/>
              <w:jc w:val="left"/>
            </w:pPr>
            <w:r>
              <w:rPr>
                <w:rFonts w:ascii="宋体" w:hAnsi="宋体" w:cs="宋体" w:eastAsia="宋体"/>
                <w:b w:val="false"/>
              </w:rPr>
              <w:t>合计</w:t>
            </w:r>
          </w:p>
        </w:tc>
        <w:tc>
          <w:tcPr>
            <w:tcW/>
            <w:vAlign w:val="center"/>
          </w:tcPr>
          <w:p>
            <w:pPr>
              <w:spacing w:line="240" w:lineRule="auto"/>
              <w:jc w:val="right"/>
            </w:pPr>
            <w:r>
              <w:rPr>
                <w:rFonts w:ascii="宋体" w:hAnsi="宋体" w:cs="宋体" w:eastAsia="宋体"/>
                <w:b w:val="false"/>
              </w:rPr>
              <w:t>33,575,359.30</w:t>
            </w:r>
          </w:p>
        </w:tc>
        <w:tc>
          <w:tcPr>
            <w:tcW/>
            <w:vAlign w:val="center"/>
          </w:tcPr>
          <w:p>
            <w:pPr>
              <w:spacing w:line="240" w:lineRule="auto"/>
              <w:jc w:val="right"/>
            </w:pPr>
            <w:r>
              <w:rPr>
                <w:rFonts w:ascii="宋体" w:hAnsi="宋体" w:cs="宋体" w:eastAsia="宋体"/>
                <w:b w:val="false"/>
              </w:rPr>
              <w:t>40.68</w:t>
            </w:r>
          </w:p>
        </w:tc>
      </w:tr>
    </w:tbl>
    <w:p/>
    <w:p>
      <w:pPr>
        <w:pStyle w:val="2"/>
        <w:jc w:val="left"/>
      </w:pPr>
      <w:r>
        <w:rPr>
          <w:rFonts w:ascii="宋体" w:hAnsi="宋体" w:cs="宋体" w:eastAsia="宋体"/>
        </w:rPr>
        <w:t>5.3 报告期末按公允价值占基金资产净值比例大小排序的前十名股票投资明细</w:t>
      </w:r>
    </w:p>
    <w:tbl>
      <w:tblPr>
        <w:tblW w:w="5000" w:type="pct"/>
        <w:tblBorders>
          <w:top w:val="single" w:sz="4"/>
          <w:left w:val="single" w:sz="4"/>
          <w:bottom w:val="single" w:sz="4"/>
          <w:right w:val="single" w:sz="4"/>
          <w:insideH w:val="single" w:sz="4"/>
          <w:insideV w:val="single" w:sz="4"/>
        </w:tblBorders>
      </w:tblPr>
      <w:tblGrid>
        <w:gridCol w:w="1510"/>
        <w:gridCol w:w="1510"/>
        <w:gridCol w:w="1510"/>
        <w:gridCol w:w="1510"/>
        <w:gridCol w:w="1510"/>
        <w:gridCol w:w="1510"/>
      </w:tblGrid>
      <w:tr>
        <w:tc>
          <w:tcPr>
            <w:tcW w:type="pct" w:w="615"/>
            <w:vAlign w:val="center"/>
          </w:tcPr>
          <w:tcPr>
            <w:shd w:fill="d9d9d9"/>
          </w:tcPr>
          <w:p>
            <w:pPr>
              <w:spacing w:line="240" w:lineRule="auto"/>
              <w:jc w:val="center"/>
            </w:pPr>
            <w:r>
              <w:rPr>
                <w:rFonts w:ascii="宋体" w:hAnsi="宋体" w:cs="宋体" w:eastAsia="宋体"/>
                <w:b w:val="false"/>
              </w:rPr>
              <w:t>序号</w:t>
            </w:r>
          </w:p>
        </w:tc>
        <w:tc>
          <w:tcPr>
            <w:tcW w:type="pct" w:w="769"/>
            <w:vAlign w:val="center"/>
          </w:tcPr>
          <w:tcPr>
            <w:shd w:fill="d9d9d9"/>
          </w:tcPr>
          <w:p>
            <w:pPr>
              <w:spacing w:line="240" w:lineRule="auto"/>
              <w:jc w:val="center"/>
            </w:pPr>
            <w:r>
              <w:rPr>
                <w:rFonts w:ascii="宋体" w:hAnsi="宋体" w:cs="宋体" w:eastAsia="宋体"/>
                <w:b w:val="false"/>
              </w:rPr>
              <w:t>股票代码</w:t>
            </w:r>
          </w:p>
        </w:tc>
        <w:tc>
          <w:tcPr>
            <w:tcW w:type="pct" w:w="769"/>
            <w:vAlign w:val="center"/>
          </w:tcPr>
          <w:tcPr>
            <w:shd w:fill="d9d9d9"/>
          </w:tcPr>
          <w:p>
            <w:pPr>
              <w:spacing w:line="240" w:lineRule="auto"/>
              <w:jc w:val="center"/>
            </w:pPr>
            <w:r>
              <w:rPr>
                <w:rFonts w:ascii="宋体" w:hAnsi="宋体" w:cs="宋体" w:eastAsia="宋体"/>
                <w:b w:val="false"/>
              </w:rPr>
              <w:t>股票名称</w:t>
            </w:r>
          </w:p>
        </w:tc>
        <w:tc>
          <w:tcPr>
            <w:tcW w:type="pct" w:w="615"/>
            <w:vAlign w:val="center"/>
          </w:tcPr>
          <w:tcPr>
            <w:shd w:fill="d9d9d9"/>
          </w:tcPr>
          <w:p>
            <w:pPr>
              <w:spacing w:line="240" w:lineRule="auto"/>
              <w:jc w:val="center"/>
            </w:pPr>
            <w:r>
              <w:rPr>
                <w:rFonts w:ascii="宋体" w:hAnsi="宋体" w:cs="宋体" w:eastAsia="宋体"/>
                <w:b w:val="false"/>
              </w:rPr>
              <w:t>数量(股)</w:t>
            </w:r>
          </w:p>
        </w:tc>
        <w:tc>
          <w:tcPr>
            <w:tcW w:type="pct" w:w="923"/>
            <w:vAlign w:val="center"/>
          </w:tcPr>
          <w:tcPr>
            <w:shd w:fill="d9d9d9"/>
          </w:tcPr>
          <w:p>
            <w:pPr>
              <w:spacing w:line="240" w:lineRule="auto"/>
              <w:jc w:val="center"/>
            </w:pPr>
            <w:r>
              <w:rPr>
                <w:rFonts w:ascii="宋体" w:hAnsi="宋体" w:cs="宋体" w:eastAsia="宋体"/>
                <w:b w:val="false"/>
              </w:rPr>
              <w:t>公允价值(元)</w:t>
            </w:r>
          </w:p>
        </w:tc>
        <w:tc>
          <w:tcPr>
            <w:tcW w:type="pct" w:w="923"/>
            <w:vAlign w:val="center"/>
          </w:tcPr>
          <w:tcPr>
            <w:shd w:fill="d9d9d9"/>
          </w:tcPr>
          <w:p>
            <w:pPr>
              <w:spacing w:line="240" w:lineRule="auto"/>
              <w:jc w:val="center"/>
            </w:pPr>
            <w:r>
              <w:rPr>
                <w:rFonts w:ascii="宋体" w:hAnsi="宋体" w:cs="宋体" w:eastAsia="宋体"/>
                <w:b w:val="false"/>
              </w:rPr>
              <w:t>占基金资产净值比例(%)</w:t>
            </w:r>
          </w:p>
        </w:tc>
      </w:tr>
      <w:tr>
        <w:tc>
          <w:tcPr>
            <w:tcW/>
            <w:vAlign w:val="center"/>
          </w:tcPr>
          <w:p>
            <w:pPr>
              <w:spacing w:line="240" w:lineRule="auto"/>
              <w:jc w:val="center"/>
            </w:pPr>
            <w:r>
              <w:rPr>
                <w:rFonts w:ascii="宋体" w:hAnsi="宋体" w:cs="宋体" w:eastAsia="宋体"/>
                <w:b w:val="false"/>
              </w:rPr>
              <w:t>1</w:t>
            </w:r>
          </w:p>
        </w:tc>
        <w:tc>
          <w:tcPr>
            <w:tcW/>
            <w:vAlign w:val="center"/>
          </w:tcPr>
          <w:p>
            <w:pPr>
              <w:spacing w:line="240" w:lineRule="auto"/>
              <w:jc w:val="left"/>
            </w:pPr>
            <w:r>
              <w:rPr>
                <w:rFonts w:ascii="宋体" w:hAnsi="宋体" w:cs="宋体" w:eastAsia="宋体"/>
                <w:b w:val="false"/>
              </w:rPr>
              <w:t>002653</w:t>
            </w:r>
          </w:p>
        </w:tc>
        <w:tc>
          <w:tcPr>
            <w:tcW/>
            <w:vAlign w:val="center"/>
          </w:tcPr>
          <w:p>
            <w:pPr>
              <w:spacing w:line="240" w:lineRule="auto"/>
              <w:jc w:val="left"/>
            </w:pPr>
            <w:r>
              <w:rPr>
                <w:rFonts w:ascii="宋体" w:hAnsi="宋体" w:cs="宋体" w:eastAsia="宋体"/>
                <w:b w:val="false"/>
              </w:rPr>
              <w:t>海思科</w:t>
            </w:r>
          </w:p>
        </w:tc>
        <w:tc>
          <w:tcPr>
            <w:tcW/>
            <w:vAlign w:val="center"/>
          </w:tcPr>
          <w:p>
            <w:pPr>
              <w:spacing w:line="240" w:lineRule="auto"/>
              <w:jc w:val="right"/>
            </w:pPr>
            <w:r>
              <w:rPr>
                <w:rFonts w:ascii="宋体" w:hAnsi="宋体" w:cs="宋体" w:eastAsia="宋体"/>
                <w:b w:val="false"/>
              </w:rPr>
              <w:t>122,400</w:t>
            </w:r>
          </w:p>
        </w:tc>
        <w:tc>
          <w:tcPr>
            <w:tcW/>
            <w:vAlign w:val="center"/>
          </w:tcPr>
          <w:p>
            <w:pPr>
              <w:spacing w:line="240" w:lineRule="auto"/>
              <w:jc w:val="right"/>
            </w:pPr>
            <w:r>
              <w:rPr>
                <w:rFonts w:ascii="宋体" w:hAnsi="宋体" w:cs="宋体" w:eastAsia="宋体"/>
                <w:b w:val="false"/>
              </w:rPr>
              <w:t>8,120,016.00</w:t>
            </w:r>
          </w:p>
        </w:tc>
        <w:tc>
          <w:tcPr>
            <w:tcW/>
            <w:vAlign w:val="center"/>
          </w:tcPr>
          <w:p>
            <w:pPr>
              <w:spacing w:line="240" w:lineRule="auto"/>
              <w:jc w:val="right"/>
            </w:pPr>
            <w:r>
              <w:rPr>
                <w:rFonts w:ascii="宋体" w:hAnsi="宋体" w:cs="宋体" w:eastAsia="宋体"/>
                <w:b w:val="false"/>
              </w:rPr>
              <w:t>9.84</w:t>
            </w:r>
          </w:p>
        </w:tc>
      </w:tr>
      <w:tr>
        <w:tc>
          <w:tcPr>
            <w:tcW/>
            <w:vAlign w:val="center"/>
          </w:tcPr>
          <w:p>
            <w:pPr>
              <w:spacing w:line="240" w:lineRule="auto"/>
              <w:jc w:val="center"/>
            </w:pPr>
            <w:r>
              <w:rPr>
                <w:rFonts w:ascii="宋体" w:hAnsi="宋体" w:cs="宋体" w:eastAsia="宋体"/>
                <w:b w:val="false"/>
              </w:rPr>
              <w:t>2</w:t>
            </w:r>
          </w:p>
        </w:tc>
        <w:tc>
          <w:tcPr>
            <w:tcW/>
            <w:vAlign w:val="center"/>
          </w:tcPr>
          <w:p>
            <w:pPr>
              <w:spacing w:line="240" w:lineRule="auto"/>
              <w:jc w:val="left"/>
            </w:pPr>
            <w:r>
              <w:rPr>
                <w:rFonts w:ascii="宋体" w:hAnsi="宋体" w:cs="宋体" w:eastAsia="宋体"/>
                <w:b w:val="false"/>
              </w:rPr>
              <w:t>06990</w:t>
            </w:r>
          </w:p>
        </w:tc>
        <w:tc>
          <w:tcPr>
            <w:tcW/>
            <w:vAlign w:val="center"/>
          </w:tcPr>
          <w:p>
            <w:pPr>
              <w:spacing w:line="240" w:lineRule="auto"/>
              <w:jc w:val="left"/>
            </w:pPr>
            <w:r>
              <w:rPr>
                <w:rFonts w:ascii="宋体" w:hAnsi="宋体" w:cs="宋体" w:eastAsia="宋体"/>
                <w:b w:val="false"/>
              </w:rPr>
              <w:t>科伦博泰生物</w:t>
            </w:r>
          </w:p>
        </w:tc>
        <w:tc>
          <w:tcPr>
            <w:tcW/>
            <w:vAlign w:val="center"/>
          </w:tcPr>
          <w:p>
            <w:pPr>
              <w:spacing w:line="240" w:lineRule="auto"/>
              <w:jc w:val="right"/>
            </w:pPr>
            <w:r>
              <w:rPr>
                <w:rFonts w:ascii="宋体" w:hAnsi="宋体" w:cs="宋体" w:eastAsia="宋体"/>
                <w:b w:val="false"/>
              </w:rPr>
              <w:t>20,600</w:t>
            </w:r>
          </w:p>
        </w:tc>
        <w:tc>
          <w:tcPr>
            <w:tcW/>
            <w:vAlign w:val="center"/>
          </w:tcPr>
          <w:p>
            <w:pPr>
              <w:spacing w:line="240" w:lineRule="auto"/>
              <w:jc w:val="right"/>
            </w:pPr>
            <w:r>
              <w:rPr>
                <w:rFonts w:ascii="宋体" w:hAnsi="宋体" w:cs="宋体" w:eastAsia="宋体"/>
                <w:b w:val="false"/>
              </w:rPr>
              <w:t>7,804,547.11</w:t>
            </w:r>
          </w:p>
        </w:tc>
        <w:tc>
          <w:tcPr>
            <w:tcW/>
            <w:vAlign w:val="center"/>
          </w:tcPr>
          <w:p>
            <w:pPr>
              <w:spacing w:line="240" w:lineRule="auto"/>
              <w:jc w:val="right"/>
            </w:pPr>
            <w:r>
              <w:rPr>
                <w:rFonts w:ascii="宋体" w:hAnsi="宋体" w:cs="宋体" w:eastAsia="宋体"/>
                <w:b w:val="false"/>
              </w:rPr>
              <w:t>9.45</w:t>
            </w:r>
          </w:p>
        </w:tc>
      </w:tr>
      <w:tr>
        <w:tc>
          <w:tcPr>
            <w:tcW/>
            <w:vAlign w:val="center"/>
          </w:tcPr>
          <w:p>
            <w:pPr>
              <w:spacing w:line="240" w:lineRule="auto"/>
              <w:jc w:val="center"/>
            </w:pPr>
            <w:r>
              <w:rPr>
                <w:rFonts w:ascii="宋体" w:hAnsi="宋体" w:cs="宋体" w:eastAsia="宋体"/>
                <w:b w:val="false"/>
              </w:rPr>
              <w:t>3</w:t>
            </w:r>
          </w:p>
        </w:tc>
        <w:tc>
          <w:tcPr>
            <w:tcW/>
            <w:vAlign w:val="center"/>
          </w:tcPr>
          <w:p>
            <w:pPr>
              <w:spacing w:line="240" w:lineRule="auto"/>
              <w:jc w:val="left"/>
            </w:pPr>
            <w:r>
              <w:rPr>
                <w:rFonts w:ascii="宋体" w:hAnsi="宋体" w:cs="宋体" w:eastAsia="宋体"/>
                <w:b w:val="false"/>
              </w:rPr>
              <w:t>01801</w:t>
            </w:r>
          </w:p>
        </w:tc>
        <w:tc>
          <w:tcPr>
            <w:tcW/>
            <w:vAlign w:val="center"/>
          </w:tcPr>
          <w:p>
            <w:pPr>
              <w:spacing w:line="240" w:lineRule="auto"/>
              <w:jc w:val="left"/>
            </w:pPr>
            <w:r>
              <w:rPr>
                <w:rFonts w:ascii="宋体" w:hAnsi="宋体" w:cs="宋体" w:eastAsia="宋体"/>
                <w:b w:val="false"/>
              </w:rPr>
              <w:t>信达生物</w:t>
            </w:r>
          </w:p>
        </w:tc>
        <w:tc>
          <w:tcPr>
            <w:tcW/>
            <w:vAlign w:val="center"/>
          </w:tcPr>
          <w:p>
            <w:pPr>
              <w:spacing w:line="240" w:lineRule="auto"/>
              <w:jc w:val="right"/>
            </w:pPr>
            <w:r>
              <w:rPr>
                <w:rFonts w:ascii="宋体" w:hAnsi="宋体" w:cs="宋体" w:eastAsia="宋体"/>
                <w:b w:val="false"/>
              </w:rPr>
              <w:t>112,000</w:t>
            </w:r>
          </w:p>
        </w:tc>
        <w:tc>
          <w:tcPr>
            <w:tcW/>
            <w:vAlign w:val="center"/>
          </w:tcPr>
          <w:p>
            <w:pPr>
              <w:spacing w:line="240" w:lineRule="auto"/>
              <w:jc w:val="right"/>
            </w:pPr>
            <w:r>
              <w:rPr>
                <w:rFonts w:ascii="宋体" w:hAnsi="宋体" w:cs="宋体" w:eastAsia="宋体"/>
                <w:b w:val="false"/>
              </w:rPr>
              <w:t>7,743,296.96</w:t>
            </w:r>
          </w:p>
        </w:tc>
        <w:tc>
          <w:tcPr>
            <w:tcW/>
            <w:vAlign w:val="center"/>
          </w:tcPr>
          <w:p>
            <w:pPr>
              <w:spacing w:line="240" w:lineRule="auto"/>
              <w:jc w:val="right"/>
            </w:pPr>
            <w:r>
              <w:rPr>
                <w:rFonts w:ascii="宋体" w:hAnsi="宋体" w:cs="宋体" w:eastAsia="宋体"/>
                <w:b w:val="false"/>
              </w:rPr>
              <w:t>9.38</w:t>
            </w:r>
          </w:p>
        </w:tc>
      </w:tr>
      <w:tr>
        <w:tc>
          <w:tcPr>
            <w:tcW/>
            <w:vAlign w:val="center"/>
          </w:tcPr>
          <w:p>
            <w:pPr>
              <w:spacing w:line="240" w:lineRule="auto"/>
              <w:jc w:val="center"/>
            </w:pPr>
            <w:r>
              <w:rPr>
                <w:rFonts w:ascii="宋体" w:hAnsi="宋体" w:cs="宋体" w:eastAsia="宋体"/>
                <w:b w:val="false"/>
              </w:rPr>
              <w:t>4</w:t>
            </w:r>
          </w:p>
        </w:tc>
        <w:tc>
          <w:tcPr>
            <w:tcW/>
            <w:vAlign w:val="center"/>
          </w:tcPr>
          <w:p>
            <w:pPr>
              <w:spacing w:line="240" w:lineRule="auto"/>
              <w:jc w:val="left"/>
            </w:pPr>
            <w:r>
              <w:rPr>
                <w:rFonts w:ascii="宋体" w:hAnsi="宋体" w:cs="宋体" w:eastAsia="宋体"/>
                <w:b w:val="false"/>
              </w:rPr>
              <w:t>688266</w:t>
            </w:r>
          </w:p>
        </w:tc>
        <w:tc>
          <w:tcPr>
            <w:tcW/>
            <w:vAlign w:val="center"/>
          </w:tcPr>
          <w:p>
            <w:pPr>
              <w:spacing w:line="240" w:lineRule="auto"/>
              <w:jc w:val="left"/>
            </w:pPr>
            <w:r>
              <w:rPr>
                <w:rFonts w:ascii="宋体" w:hAnsi="宋体" w:cs="宋体" w:eastAsia="宋体"/>
                <w:b w:val="false"/>
              </w:rPr>
              <w:t>泽璟制药</w:t>
            </w:r>
          </w:p>
        </w:tc>
        <w:tc>
          <w:tcPr>
            <w:tcW/>
            <w:vAlign w:val="center"/>
          </w:tcPr>
          <w:p>
            <w:pPr>
              <w:spacing w:line="240" w:lineRule="auto"/>
              <w:jc w:val="right"/>
            </w:pPr>
            <w:r>
              <w:rPr>
                <w:rFonts w:ascii="宋体" w:hAnsi="宋体" w:cs="宋体" w:eastAsia="宋体"/>
                <w:b w:val="false"/>
              </w:rPr>
              <w:t>66,215</w:t>
            </w:r>
          </w:p>
        </w:tc>
        <w:tc>
          <w:tcPr>
            <w:tcW/>
            <w:vAlign w:val="center"/>
          </w:tcPr>
          <w:p>
            <w:pPr>
              <w:spacing w:line="240" w:lineRule="auto"/>
              <w:jc w:val="right"/>
            </w:pPr>
            <w:r>
              <w:rPr>
                <w:rFonts w:ascii="宋体" w:hAnsi="宋体" w:cs="宋体" w:eastAsia="宋体"/>
                <w:b w:val="false"/>
              </w:rPr>
              <w:t>7,724,641.90</w:t>
            </w:r>
          </w:p>
        </w:tc>
        <w:tc>
          <w:tcPr>
            <w:tcW/>
            <w:vAlign w:val="center"/>
          </w:tcPr>
          <w:p>
            <w:pPr>
              <w:spacing w:line="240" w:lineRule="auto"/>
              <w:jc w:val="right"/>
            </w:pPr>
            <w:r>
              <w:rPr>
                <w:rFonts w:ascii="宋体" w:hAnsi="宋体" w:cs="宋体" w:eastAsia="宋体"/>
                <w:b w:val="false"/>
              </w:rPr>
              <w:t>9.36</w:t>
            </w:r>
          </w:p>
        </w:tc>
      </w:tr>
      <w:tr>
        <w:tc>
          <w:tcPr>
            <w:tcW/>
            <w:vAlign w:val="center"/>
          </w:tcPr>
          <w:p>
            <w:pPr>
              <w:spacing w:line="240" w:lineRule="auto"/>
              <w:jc w:val="center"/>
            </w:pPr>
            <w:r>
              <w:rPr>
                <w:rFonts w:ascii="宋体" w:hAnsi="宋体" w:cs="宋体" w:eastAsia="宋体"/>
                <w:b w:val="false"/>
              </w:rPr>
              <w:t>5</w:t>
            </w:r>
          </w:p>
        </w:tc>
        <w:tc>
          <w:tcPr>
            <w:tcW/>
            <w:vAlign w:val="center"/>
          </w:tcPr>
          <w:p>
            <w:pPr>
              <w:spacing w:line="240" w:lineRule="auto"/>
              <w:jc w:val="left"/>
            </w:pPr>
            <w:r>
              <w:rPr>
                <w:rFonts w:ascii="宋体" w:hAnsi="宋体" w:cs="宋体" w:eastAsia="宋体"/>
                <w:b w:val="false"/>
              </w:rPr>
              <w:t>09926</w:t>
            </w:r>
          </w:p>
        </w:tc>
        <w:tc>
          <w:tcPr>
            <w:tcW/>
            <w:vAlign w:val="center"/>
          </w:tcPr>
          <w:p>
            <w:pPr>
              <w:spacing w:line="240" w:lineRule="auto"/>
              <w:jc w:val="left"/>
            </w:pPr>
            <w:r>
              <w:rPr>
                <w:rFonts w:ascii="宋体" w:hAnsi="宋体" w:cs="宋体" w:eastAsia="宋体"/>
                <w:b w:val="false"/>
              </w:rPr>
              <w:t>康方生物</w:t>
            </w:r>
          </w:p>
        </w:tc>
        <w:tc>
          <w:tcPr>
            <w:tcW/>
            <w:vAlign w:val="center"/>
          </w:tcPr>
          <w:p>
            <w:pPr>
              <w:spacing w:line="240" w:lineRule="auto"/>
              <w:jc w:val="right"/>
            </w:pPr>
            <w:r>
              <w:rPr>
                <w:rFonts w:ascii="宋体" w:hAnsi="宋体" w:cs="宋体" w:eastAsia="宋体"/>
                <w:b w:val="false"/>
              </w:rPr>
              <w:t>77,000</w:t>
            </w:r>
          </w:p>
        </w:tc>
        <w:tc>
          <w:tcPr>
            <w:tcW/>
            <w:vAlign w:val="center"/>
          </w:tcPr>
          <w:p>
            <w:pPr>
              <w:spacing w:line="240" w:lineRule="auto"/>
              <w:jc w:val="right"/>
            </w:pPr>
            <w:r>
              <w:rPr>
                <w:rFonts w:ascii="宋体" w:hAnsi="宋体" w:cs="宋体" w:eastAsia="宋体"/>
                <w:b w:val="false"/>
              </w:rPr>
              <w:t>5,888,638.72</w:t>
            </w:r>
          </w:p>
        </w:tc>
        <w:tc>
          <w:tcPr>
            <w:tcW/>
            <w:vAlign w:val="center"/>
          </w:tcPr>
          <w:p>
            <w:pPr>
              <w:spacing w:line="240" w:lineRule="auto"/>
              <w:jc w:val="right"/>
            </w:pPr>
            <w:r>
              <w:rPr>
                <w:rFonts w:ascii="宋体" w:hAnsi="宋体" w:cs="宋体" w:eastAsia="宋体"/>
                <w:b w:val="false"/>
              </w:rPr>
              <w:t>7.13</w:t>
            </w:r>
          </w:p>
        </w:tc>
      </w:tr>
      <w:tr>
        <w:tc>
          <w:tcPr>
            <w:tcW/>
            <w:vAlign w:val="center"/>
          </w:tcPr>
          <w:p>
            <w:pPr>
              <w:spacing w:line="240" w:lineRule="auto"/>
              <w:jc w:val="center"/>
            </w:pPr>
            <w:r>
              <w:rPr>
                <w:rFonts w:ascii="宋体" w:hAnsi="宋体" w:cs="宋体" w:eastAsia="宋体"/>
                <w:b w:val="false"/>
              </w:rPr>
              <w:t>6</w:t>
            </w:r>
          </w:p>
        </w:tc>
        <w:tc>
          <w:tcPr>
            <w:tcW/>
            <w:vAlign w:val="center"/>
          </w:tcPr>
          <w:p>
            <w:pPr>
              <w:spacing w:line="240" w:lineRule="auto"/>
              <w:jc w:val="left"/>
            </w:pPr>
            <w:r>
              <w:rPr>
                <w:rFonts w:ascii="宋体" w:hAnsi="宋体" w:cs="宋体" w:eastAsia="宋体"/>
                <w:b w:val="false"/>
              </w:rPr>
              <w:t>688382</w:t>
            </w:r>
          </w:p>
        </w:tc>
        <w:tc>
          <w:tcPr>
            <w:tcW/>
            <w:vAlign w:val="center"/>
          </w:tcPr>
          <w:p>
            <w:pPr>
              <w:spacing w:line="240" w:lineRule="auto"/>
              <w:jc w:val="left"/>
            </w:pPr>
            <w:r>
              <w:rPr>
                <w:rFonts w:ascii="宋体" w:hAnsi="宋体" w:cs="宋体" w:eastAsia="宋体"/>
                <w:b w:val="false"/>
              </w:rPr>
              <w:t>益方生物</w:t>
            </w:r>
          </w:p>
        </w:tc>
        <w:tc>
          <w:tcPr>
            <w:tcW/>
            <w:vAlign w:val="center"/>
          </w:tcPr>
          <w:p>
            <w:pPr>
              <w:spacing w:line="240" w:lineRule="auto"/>
              <w:jc w:val="right"/>
            </w:pPr>
            <w:r>
              <w:rPr>
                <w:rFonts w:ascii="宋体" w:hAnsi="宋体" w:cs="宋体" w:eastAsia="宋体"/>
                <w:b w:val="false"/>
              </w:rPr>
              <w:t>322,681</w:t>
            </w:r>
          </w:p>
        </w:tc>
        <w:tc>
          <w:tcPr>
            <w:tcW/>
            <w:vAlign w:val="center"/>
          </w:tcPr>
          <w:p>
            <w:pPr>
              <w:spacing w:line="240" w:lineRule="auto"/>
              <w:jc w:val="right"/>
            </w:pPr>
            <w:r>
              <w:rPr>
                <w:rFonts w:ascii="宋体" w:hAnsi="宋体" w:cs="宋体" w:eastAsia="宋体"/>
                <w:b w:val="false"/>
              </w:rPr>
              <w:t>5,808,258.00</w:t>
            </w:r>
          </w:p>
        </w:tc>
        <w:tc>
          <w:tcPr>
            <w:tcW/>
            <w:vAlign w:val="center"/>
          </w:tcPr>
          <w:p>
            <w:pPr>
              <w:spacing w:line="240" w:lineRule="auto"/>
              <w:jc w:val="right"/>
            </w:pPr>
            <w:r>
              <w:rPr>
                <w:rFonts w:ascii="宋体" w:hAnsi="宋体" w:cs="宋体" w:eastAsia="宋体"/>
                <w:b w:val="false"/>
              </w:rPr>
              <w:t>7.04</w:t>
            </w:r>
          </w:p>
        </w:tc>
      </w:tr>
      <w:tr>
        <w:tc>
          <w:tcPr>
            <w:tcW/>
            <w:vAlign w:val="center"/>
          </w:tcPr>
          <w:p>
            <w:pPr>
              <w:spacing w:line="240" w:lineRule="auto"/>
              <w:jc w:val="center"/>
            </w:pPr>
            <w:r>
              <w:rPr>
                <w:rFonts w:ascii="宋体" w:hAnsi="宋体" w:cs="宋体" w:eastAsia="宋体"/>
                <w:b w:val="false"/>
              </w:rPr>
              <w:t>7</w:t>
            </w:r>
          </w:p>
        </w:tc>
        <w:tc>
          <w:tcPr>
            <w:tcW/>
            <w:vAlign w:val="center"/>
          </w:tcPr>
          <w:p>
            <w:pPr>
              <w:spacing w:line="240" w:lineRule="auto"/>
              <w:jc w:val="left"/>
            </w:pPr>
            <w:r>
              <w:rPr>
                <w:rFonts w:ascii="宋体" w:hAnsi="宋体" w:cs="宋体" w:eastAsia="宋体"/>
                <w:b w:val="false"/>
              </w:rPr>
              <w:t>600276</w:t>
            </w:r>
          </w:p>
        </w:tc>
        <w:tc>
          <w:tcPr>
            <w:tcW/>
            <w:vAlign w:val="center"/>
          </w:tcPr>
          <w:p>
            <w:pPr>
              <w:spacing w:line="240" w:lineRule="auto"/>
              <w:jc w:val="left"/>
            </w:pPr>
            <w:r>
              <w:rPr>
                <w:rFonts w:ascii="宋体" w:hAnsi="宋体" w:cs="宋体" w:eastAsia="宋体"/>
                <w:b w:val="false"/>
              </w:rPr>
              <w:t>恒瑞医药</w:t>
            </w:r>
          </w:p>
        </w:tc>
        <w:tc>
          <w:tcPr>
            <w:tcW/>
            <w:vAlign w:val="center"/>
          </w:tcPr>
          <w:p>
            <w:pPr>
              <w:spacing w:line="240" w:lineRule="auto"/>
              <w:jc w:val="right"/>
            </w:pPr>
            <w:r>
              <w:rPr>
                <w:rFonts w:ascii="宋体" w:hAnsi="宋体" w:cs="宋体" w:eastAsia="宋体"/>
                <w:b w:val="false"/>
              </w:rPr>
              <w:t>100,200</w:t>
            </w:r>
          </w:p>
        </w:tc>
        <w:tc>
          <w:tcPr>
            <w:tcW/>
            <w:vAlign w:val="center"/>
          </w:tcPr>
          <w:p>
            <w:pPr>
              <w:spacing w:line="240" w:lineRule="auto"/>
              <w:jc w:val="right"/>
            </w:pPr>
            <w:r>
              <w:rPr>
                <w:rFonts w:ascii="宋体" w:hAnsi="宋体" w:cs="宋体" w:eastAsia="宋体"/>
                <w:b w:val="false"/>
              </w:rPr>
              <w:t>5,214,408.00</w:t>
            </w:r>
          </w:p>
        </w:tc>
        <w:tc>
          <w:tcPr>
            <w:tcW/>
            <w:vAlign w:val="center"/>
          </w:tcPr>
          <w:p>
            <w:pPr>
              <w:spacing w:line="240" w:lineRule="auto"/>
              <w:jc w:val="right"/>
            </w:pPr>
            <w:r>
              <w:rPr>
                <w:rFonts w:ascii="宋体" w:hAnsi="宋体" w:cs="宋体" w:eastAsia="宋体"/>
                <w:b w:val="false"/>
              </w:rPr>
              <w:t>6.32</w:t>
            </w:r>
          </w:p>
        </w:tc>
      </w:tr>
      <w:tr>
        <w:tc>
          <w:tcPr>
            <w:tcW/>
            <w:vAlign w:val="center"/>
          </w:tcPr>
          <w:p>
            <w:pPr>
              <w:spacing w:line="240" w:lineRule="auto"/>
              <w:jc w:val="center"/>
            </w:pPr>
            <w:r>
              <w:rPr>
                <w:rFonts w:ascii="宋体" w:hAnsi="宋体" w:cs="宋体" w:eastAsia="宋体"/>
                <w:b w:val="false"/>
              </w:rPr>
              <w:t>8</w:t>
            </w:r>
          </w:p>
        </w:tc>
        <w:tc>
          <w:tcPr>
            <w:tcW/>
            <w:vAlign w:val="center"/>
          </w:tcPr>
          <w:p>
            <w:pPr>
              <w:spacing w:line="240" w:lineRule="auto"/>
              <w:jc w:val="left"/>
            </w:pPr>
            <w:r>
              <w:rPr>
                <w:rFonts w:ascii="宋体" w:hAnsi="宋体" w:cs="宋体" w:eastAsia="宋体"/>
                <w:b w:val="false"/>
              </w:rPr>
              <w:t>002422</w:t>
            </w:r>
          </w:p>
        </w:tc>
        <w:tc>
          <w:tcPr>
            <w:tcW/>
            <w:vAlign w:val="center"/>
          </w:tcPr>
          <w:p>
            <w:pPr>
              <w:spacing w:line="240" w:lineRule="auto"/>
              <w:jc w:val="left"/>
            </w:pPr>
            <w:r>
              <w:rPr>
                <w:rFonts w:ascii="宋体" w:hAnsi="宋体" w:cs="宋体" w:eastAsia="宋体"/>
                <w:b w:val="false"/>
              </w:rPr>
              <w:t>科伦药业</w:t>
            </w:r>
          </w:p>
        </w:tc>
        <w:tc>
          <w:tcPr>
            <w:tcW/>
            <w:vAlign w:val="center"/>
          </w:tcPr>
          <w:p>
            <w:pPr>
              <w:spacing w:line="240" w:lineRule="auto"/>
              <w:jc w:val="right"/>
            </w:pPr>
            <w:r>
              <w:rPr>
                <w:rFonts w:ascii="宋体" w:hAnsi="宋体" w:cs="宋体" w:eastAsia="宋体"/>
                <w:b w:val="false"/>
              </w:rPr>
              <w:t>127,800</w:t>
            </w:r>
          </w:p>
        </w:tc>
        <w:tc>
          <w:tcPr>
            <w:tcW/>
            <w:vAlign w:val="center"/>
          </w:tcPr>
          <w:p>
            <w:pPr>
              <w:spacing w:line="240" w:lineRule="auto"/>
              <w:jc w:val="right"/>
            </w:pPr>
            <w:r>
              <w:rPr>
                <w:rFonts w:ascii="宋体" w:hAnsi="宋体" w:cs="宋体" w:eastAsia="宋体"/>
                <w:b w:val="false"/>
              </w:rPr>
              <w:t>4,922,856.00</w:t>
            </w:r>
          </w:p>
        </w:tc>
        <w:tc>
          <w:tcPr>
            <w:tcW/>
            <w:vAlign w:val="center"/>
          </w:tcPr>
          <w:p>
            <w:pPr>
              <w:spacing w:line="240" w:lineRule="auto"/>
              <w:jc w:val="right"/>
            </w:pPr>
            <w:r>
              <w:rPr>
                <w:rFonts w:ascii="宋体" w:hAnsi="宋体" w:cs="宋体" w:eastAsia="宋体"/>
                <w:b w:val="false"/>
              </w:rPr>
              <w:t>5.96</w:t>
            </w:r>
          </w:p>
        </w:tc>
      </w:tr>
      <w:tr>
        <w:tc>
          <w:tcPr>
            <w:tcW/>
            <w:vAlign w:val="center"/>
          </w:tcPr>
          <w:p>
            <w:pPr>
              <w:spacing w:line="240" w:lineRule="auto"/>
              <w:jc w:val="center"/>
            </w:pPr>
            <w:r>
              <w:rPr>
                <w:rFonts w:ascii="宋体" w:hAnsi="宋体" w:cs="宋体" w:eastAsia="宋体"/>
                <w:b w:val="false"/>
              </w:rPr>
              <w:t>9</w:t>
            </w:r>
          </w:p>
        </w:tc>
        <w:tc>
          <w:tcPr>
            <w:tcW/>
            <w:vAlign w:val="center"/>
          </w:tcPr>
          <w:p>
            <w:pPr>
              <w:spacing w:line="240" w:lineRule="auto"/>
              <w:jc w:val="left"/>
            </w:pPr>
            <w:r>
              <w:rPr>
                <w:rFonts w:ascii="宋体" w:hAnsi="宋体" w:cs="宋体" w:eastAsia="宋体"/>
                <w:b w:val="false"/>
              </w:rPr>
              <w:t>02162</w:t>
            </w:r>
          </w:p>
        </w:tc>
        <w:tc>
          <w:tcPr>
            <w:tcW/>
            <w:vAlign w:val="center"/>
          </w:tcPr>
          <w:p>
            <w:pPr>
              <w:spacing w:line="240" w:lineRule="auto"/>
              <w:jc w:val="left"/>
            </w:pPr>
            <w:r>
              <w:rPr>
                <w:rFonts w:ascii="宋体" w:hAnsi="宋体" w:cs="宋体" w:eastAsia="宋体"/>
                <w:b w:val="false"/>
              </w:rPr>
              <w:t>康诺亚－Ｂ</w:t>
            </w:r>
          </w:p>
        </w:tc>
        <w:tc>
          <w:tcPr>
            <w:tcW/>
            <w:vAlign w:val="center"/>
          </w:tcPr>
          <w:p>
            <w:pPr>
              <w:spacing w:line="240" w:lineRule="auto"/>
              <w:jc w:val="right"/>
            </w:pPr>
            <w:r>
              <w:rPr>
                <w:rFonts w:ascii="宋体" w:hAnsi="宋体" w:cs="宋体" w:eastAsia="宋体"/>
                <w:b w:val="false"/>
              </w:rPr>
              <w:t>72,000</w:t>
            </w:r>
          </w:p>
        </w:tc>
        <w:tc>
          <w:tcPr>
            <w:tcW/>
            <w:vAlign w:val="center"/>
          </w:tcPr>
          <w:p>
            <w:pPr>
              <w:spacing w:line="240" w:lineRule="auto"/>
              <w:jc w:val="right"/>
            </w:pPr>
            <w:r>
              <w:rPr>
                <w:rFonts w:ascii="宋体" w:hAnsi="宋体" w:cs="宋体" w:eastAsia="宋体"/>
                <w:b w:val="false"/>
              </w:rPr>
              <w:t>4,424,393.70</w:t>
            </w:r>
          </w:p>
        </w:tc>
        <w:tc>
          <w:tcPr>
            <w:tcW/>
            <w:vAlign w:val="center"/>
          </w:tcPr>
          <w:p>
            <w:pPr>
              <w:spacing w:line="240" w:lineRule="auto"/>
              <w:jc w:val="right"/>
            </w:pPr>
            <w:r>
              <w:rPr>
                <w:rFonts w:ascii="宋体" w:hAnsi="宋体" w:cs="宋体" w:eastAsia="宋体"/>
                <w:b w:val="false"/>
              </w:rPr>
              <w:t>5.36</w:t>
            </w:r>
          </w:p>
        </w:tc>
      </w:tr>
      <w:tr>
        <w:tc>
          <w:tcPr>
            <w:tcW/>
            <w:vAlign w:val="center"/>
          </w:tcPr>
          <w:p>
            <w:pPr>
              <w:spacing w:line="240" w:lineRule="auto"/>
              <w:jc w:val="center"/>
            </w:pPr>
            <w:r>
              <w:rPr>
                <w:rFonts w:ascii="宋体" w:hAnsi="宋体" w:cs="宋体" w:eastAsia="宋体"/>
                <w:b w:val="false"/>
              </w:rPr>
              <w:t>10</w:t>
            </w:r>
          </w:p>
        </w:tc>
        <w:tc>
          <w:tcPr>
            <w:tcW/>
            <w:vAlign w:val="center"/>
          </w:tcPr>
          <w:p>
            <w:pPr>
              <w:spacing w:line="240" w:lineRule="auto"/>
              <w:jc w:val="left"/>
            </w:pPr>
            <w:r>
              <w:rPr>
                <w:rFonts w:ascii="宋体" w:hAnsi="宋体" w:cs="宋体" w:eastAsia="宋体"/>
                <w:b w:val="false"/>
              </w:rPr>
              <w:t>01530</w:t>
            </w:r>
          </w:p>
        </w:tc>
        <w:tc>
          <w:tcPr>
            <w:tcW/>
            <w:vAlign w:val="center"/>
          </w:tcPr>
          <w:p>
            <w:pPr>
              <w:spacing w:line="240" w:lineRule="auto"/>
              <w:jc w:val="left"/>
            </w:pPr>
            <w:r>
              <w:rPr>
                <w:rFonts w:ascii="宋体" w:hAnsi="宋体" w:cs="宋体" w:eastAsia="宋体"/>
                <w:b w:val="false"/>
              </w:rPr>
              <w:t>三生制药</w:t>
            </w:r>
          </w:p>
        </w:tc>
        <w:tc>
          <w:tcPr>
            <w:tcW/>
            <w:vAlign w:val="center"/>
          </w:tcPr>
          <w:p>
            <w:pPr>
              <w:spacing w:line="240" w:lineRule="auto"/>
              <w:jc w:val="right"/>
            </w:pPr>
            <w:r>
              <w:rPr>
                <w:rFonts w:ascii="宋体" w:hAnsi="宋体" w:cs="宋体" w:eastAsia="宋体"/>
                <w:b w:val="false"/>
              </w:rPr>
              <w:t>248,500</w:t>
            </w:r>
          </w:p>
        </w:tc>
        <w:tc>
          <w:tcPr>
            <w:tcW/>
            <w:vAlign w:val="center"/>
          </w:tcPr>
          <w:p>
            <w:pPr>
              <w:spacing w:line="240" w:lineRule="auto"/>
              <w:jc w:val="right"/>
            </w:pPr>
            <w:r>
              <w:rPr>
                <w:rFonts w:ascii="宋体" w:hAnsi="宋体" w:cs="宋体" w:eastAsia="宋体"/>
                <w:b w:val="false"/>
              </w:rPr>
              <w:t>3,645,447.66</w:t>
            </w:r>
          </w:p>
        </w:tc>
        <w:tc>
          <w:tcPr>
            <w:tcW/>
            <w:vAlign w:val="center"/>
          </w:tcPr>
          <w:p>
            <w:pPr>
              <w:spacing w:line="240" w:lineRule="auto"/>
              <w:jc w:val="right"/>
            </w:pPr>
            <w:r>
              <w:rPr>
                <w:rFonts w:ascii="宋体" w:hAnsi="宋体" w:cs="宋体" w:eastAsia="宋体"/>
                <w:b w:val="false"/>
              </w:rPr>
              <w:t>4.42</w:t>
            </w:r>
          </w:p>
        </w:tc>
      </w:tr>
    </w:tbl>
    <w:p/>
    <w:p>
      <w:pPr>
        <w:pStyle w:val="2"/>
        <w:jc w:val="left"/>
      </w:pPr>
      <w:r>
        <w:rPr>
          <w:rFonts w:ascii="宋体" w:hAnsi="宋体" w:cs="宋体" w:eastAsia="宋体"/>
        </w:rPr>
        <w:t>5.4 报告期末按债券品种分类的债券投资组合</w:t>
      </w:r>
    </w:p>
    <w:tbl>
      <w:tblPr>
        <w:tblW w:w="5000" w:type="pct"/>
        <w:tblBorders>
          <w:top w:val="single" w:sz="4"/>
          <w:left w:val="single" w:sz="4"/>
          <w:bottom w:val="single" w:sz="4"/>
          <w:right w:val="single" w:sz="4"/>
          <w:insideH w:val="single" w:sz="4"/>
          <w:insideV w:val="single" w:sz="4"/>
        </w:tblBorders>
      </w:tblPr>
      <w:tblGrid>
        <w:gridCol w:w="2266"/>
        <w:gridCol w:w="2266"/>
        <w:gridCol w:w="2266"/>
        <w:gridCol w:w="2266"/>
      </w:tblGrid>
      <w:tr>
        <w:tc>
          <w:tcPr>
            <w:tcW w:type="pct" w:w="615"/>
            <w:vAlign w:val="center"/>
          </w:tcPr>
          <w:tcPr>
            <w:shd w:fill="d9d9d9"/>
          </w:tcPr>
          <w:p>
            <w:pPr>
              <w:spacing w:line="240" w:lineRule="auto"/>
              <w:jc w:val="center"/>
            </w:pPr>
            <w:r>
              <w:rPr>
                <w:rFonts w:ascii="宋体" w:hAnsi="宋体" w:cs="宋体" w:eastAsia="宋体"/>
                <w:b w:val="false"/>
              </w:rPr>
              <w:t>序号</w:t>
            </w:r>
          </w:p>
        </w:tc>
        <w:tc>
          <w:tcPr>
            <w:tcW w:type="pct" w:w="1538"/>
            <w:vAlign w:val="center"/>
          </w:tcPr>
          <w:tcPr>
            <w:shd w:fill="d9d9d9"/>
          </w:tcPr>
          <w:p>
            <w:pPr>
              <w:spacing w:line="240" w:lineRule="auto"/>
              <w:jc w:val="center"/>
            </w:pPr>
            <w:r>
              <w:rPr>
                <w:rFonts w:ascii="宋体" w:hAnsi="宋体" w:cs="宋体" w:eastAsia="宋体"/>
                <w:b w:val="false"/>
              </w:rPr>
              <w:t>债券品种</w:t>
            </w:r>
          </w:p>
        </w:tc>
        <w:tc>
          <w:tcPr>
            <w:tcW w:type="pct" w:w="769"/>
            <w:vAlign w:val="center"/>
          </w:tcPr>
          <w:tcPr>
            <w:shd w:fill="d9d9d9"/>
          </w:tcPr>
          <w:p>
            <w:pPr>
              <w:spacing w:line="240" w:lineRule="auto"/>
              <w:jc w:val="center"/>
            </w:pPr>
            <w:r>
              <w:rPr>
                <w:rFonts w:ascii="宋体" w:hAnsi="宋体" w:cs="宋体" w:eastAsia="宋体"/>
                <w:b w:val="false"/>
              </w:rPr>
              <w:t>公允价值(元)</w:t>
            </w:r>
          </w:p>
        </w:tc>
        <w:tc>
          <w:tcPr>
            <w:tcW w:type="pct" w:w="1077"/>
            <w:vAlign w:val="center"/>
          </w:tcPr>
          <w:tcPr>
            <w:shd w:fill="d9d9d9"/>
          </w:tcPr>
          <w:p>
            <w:pPr>
              <w:spacing w:line="240" w:lineRule="auto"/>
              <w:jc w:val="center"/>
            </w:pPr>
            <w:r>
              <w:rPr>
                <w:rFonts w:ascii="宋体" w:hAnsi="宋体" w:cs="宋体" w:eastAsia="宋体"/>
                <w:b w:val="false"/>
              </w:rPr>
              <w:t>占基金资产净值比例(％)</w:t>
            </w:r>
          </w:p>
        </w:tc>
      </w:tr>
      <w:tr>
        <w:tc>
          <w:tcPr>
            <w:tcW/>
            <w:vAlign w:val="center"/>
          </w:tcPr>
          <w:p>
            <w:pPr>
              <w:spacing w:line="240" w:lineRule="auto"/>
              <w:jc w:val="center"/>
            </w:pPr>
            <w:r>
              <w:rPr>
                <w:rFonts w:ascii="宋体" w:hAnsi="宋体" w:cs="宋体" w:eastAsia="宋体"/>
                <w:b w:val="false"/>
              </w:rPr>
              <w:t>1</w:t>
            </w:r>
          </w:p>
        </w:tc>
        <w:tc>
          <w:tcPr>
            <w:tcW/>
            <w:vAlign w:val="center"/>
          </w:tcPr>
          <w:p>
            <w:pPr>
              <w:spacing w:line="240" w:lineRule="auto"/>
              <w:jc w:val="left"/>
            </w:pPr>
            <w:r>
              <w:rPr>
                <w:rFonts w:ascii="宋体" w:hAnsi="宋体" w:cs="宋体" w:eastAsia="宋体"/>
                <w:b w:val="false"/>
              </w:rPr>
              <w:t>国家债券</w:t>
            </w:r>
          </w:p>
        </w:tc>
        <w:tc>
          <w:tcPr>
            <w:tcW/>
            <w:vAlign w:val="center"/>
          </w:tcPr>
          <w:p>
            <w:pPr>
              <w:spacing w:line="240" w:lineRule="auto"/>
              <w:jc w:val="right"/>
            </w:pPr>
            <w:r>
              <w:rPr>
                <w:rFonts w:ascii="宋体" w:hAnsi="宋体" w:cs="宋体" w:eastAsia="宋体"/>
                <w:b w:val="false"/>
              </w:rPr>
              <w:t>4,529,168.63</w:t>
            </w:r>
          </w:p>
        </w:tc>
        <w:tc>
          <w:tcPr>
            <w:tcW/>
            <w:vAlign w:val="center"/>
          </w:tcPr>
          <w:p>
            <w:pPr>
              <w:spacing w:line="240" w:lineRule="auto"/>
              <w:jc w:val="right"/>
            </w:pPr>
            <w:r>
              <w:rPr>
                <w:rFonts w:ascii="宋体" w:hAnsi="宋体" w:cs="宋体" w:eastAsia="宋体"/>
                <w:b w:val="false"/>
              </w:rPr>
              <w:t>5.49</w:t>
            </w:r>
          </w:p>
        </w:tc>
      </w:tr>
      <w:tr>
        <w:tc>
          <w:tcPr>
            <w:tcW/>
            <w:vAlign w:val="center"/>
          </w:tcPr>
          <w:p>
            <w:pPr>
              <w:spacing w:line="240" w:lineRule="auto"/>
              <w:jc w:val="center"/>
            </w:pPr>
            <w:r>
              <w:rPr>
                <w:rFonts w:ascii="宋体" w:hAnsi="宋体" w:cs="宋体" w:eastAsia="宋体"/>
                <w:b w:val="false"/>
              </w:rPr>
              <w:t>2</w:t>
            </w:r>
          </w:p>
        </w:tc>
        <w:tc>
          <w:tcPr>
            <w:tcW/>
            <w:vAlign w:val="center"/>
          </w:tcPr>
          <w:p>
            <w:pPr>
              <w:spacing w:line="240" w:lineRule="auto"/>
              <w:jc w:val="left"/>
            </w:pPr>
            <w:r>
              <w:rPr>
                <w:rFonts w:ascii="宋体" w:hAnsi="宋体" w:cs="宋体" w:eastAsia="宋体"/>
                <w:b w:val="false"/>
              </w:rPr>
              <w:t>央行票据</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3</w:t>
            </w:r>
          </w:p>
        </w:tc>
        <w:tc>
          <w:tcPr>
            <w:tcW/>
            <w:vAlign w:val="center"/>
          </w:tcPr>
          <w:p>
            <w:pPr>
              <w:spacing w:line="240" w:lineRule="auto"/>
              <w:jc w:val="left"/>
            </w:pPr>
            <w:r>
              <w:rPr>
                <w:rFonts w:ascii="宋体" w:hAnsi="宋体" w:cs="宋体" w:eastAsia="宋体"/>
                <w:b w:val="false"/>
              </w:rPr>
              <w:t>金融债券</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p>
        </w:tc>
        <w:tc>
          <w:tcPr>
            <w:tcW/>
            <w:vAlign w:val="center"/>
          </w:tcPr>
          <w:p>
            <w:pPr>
              <w:spacing w:line="240" w:lineRule="auto"/>
              <w:jc w:val="left"/>
            </w:pPr>
            <w:r>
              <w:rPr>
                <w:rFonts w:ascii="宋体" w:hAnsi="宋体" w:cs="宋体" w:eastAsia="宋体"/>
                <w:b w:val="false"/>
              </w:rPr>
              <w:t>其中：政策性金融债</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4</w:t>
            </w:r>
          </w:p>
        </w:tc>
        <w:tc>
          <w:tcPr>
            <w:tcW/>
            <w:vAlign w:val="center"/>
          </w:tcPr>
          <w:p>
            <w:pPr>
              <w:spacing w:line="240" w:lineRule="auto"/>
              <w:jc w:val="left"/>
            </w:pPr>
            <w:r>
              <w:rPr>
                <w:rFonts w:ascii="宋体" w:hAnsi="宋体" w:cs="宋体" w:eastAsia="宋体"/>
                <w:b w:val="false"/>
              </w:rPr>
              <w:t>企业债券</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5</w:t>
            </w:r>
          </w:p>
        </w:tc>
        <w:tc>
          <w:tcPr>
            <w:tcW/>
            <w:vAlign w:val="center"/>
          </w:tcPr>
          <w:p>
            <w:pPr>
              <w:spacing w:line="240" w:lineRule="auto"/>
              <w:jc w:val="left"/>
            </w:pPr>
            <w:r>
              <w:rPr>
                <w:rFonts w:ascii="宋体" w:hAnsi="宋体" w:cs="宋体" w:eastAsia="宋体"/>
                <w:b w:val="false"/>
              </w:rPr>
              <w:t>企业短期融资券</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6</w:t>
            </w:r>
          </w:p>
        </w:tc>
        <w:tc>
          <w:tcPr>
            <w:tcW/>
            <w:vAlign w:val="center"/>
          </w:tcPr>
          <w:p>
            <w:pPr>
              <w:spacing w:line="240" w:lineRule="auto"/>
              <w:jc w:val="left"/>
            </w:pPr>
            <w:r>
              <w:rPr>
                <w:rFonts w:ascii="宋体" w:hAnsi="宋体" w:cs="宋体" w:eastAsia="宋体"/>
                <w:b w:val="false"/>
              </w:rPr>
              <w:t>中期票据</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7</w:t>
            </w:r>
          </w:p>
        </w:tc>
        <w:tc>
          <w:tcPr>
            <w:tcW/>
            <w:vAlign w:val="center"/>
          </w:tcPr>
          <w:p>
            <w:pPr>
              <w:spacing w:line="240" w:lineRule="auto"/>
              <w:jc w:val="left"/>
            </w:pPr>
            <w:r>
              <w:rPr>
                <w:rFonts w:ascii="宋体" w:hAnsi="宋体" w:cs="宋体" w:eastAsia="宋体"/>
                <w:b w:val="false"/>
              </w:rPr>
              <w:t>可转债（可交换债）</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8</w:t>
            </w:r>
          </w:p>
        </w:tc>
        <w:tc>
          <w:tcPr>
            <w:tcW/>
            <w:vAlign w:val="center"/>
          </w:tcPr>
          <w:p>
            <w:pPr>
              <w:spacing w:line="240" w:lineRule="auto"/>
              <w:jc w:val="left"/>
            </w:pPr>
            <w:r>
              <w:rPr>
                <w:rFonts w:ascii="宋体" w:hAnsi="宋体" w:cs="宋体" w:eastAsia="宋体"/>
                <w:b w:val="false"/>
              </w:rPr>
              <w:t>同业存单</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9</w:t>
            </w:r>
          </w:p>
        </w:tc>
        <w:tc>
          <w:tcPr>
            <w:tcW/>
            <w:vAlign w:val="center"/>
          </w:tcPr>
          <w:p>
            <w:pPr>
              <w:spacing w:line="240" w:lineRule="auto"/>
              <w:jc w:val="left"/>
            </w:pPr>
            <w:r>
              <w:rPr>
                <w:rFonts w:ascii="宋体" w:hAnsi="宋体" w:cs="宋体" w:eastAsia="宋体"/>
                <w:b w:val="false"/>
              </w:rPr>
              <w:t>其他</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10</w:t>
            </w:r>
          </w:p>
        </w:tc>
        <w:tc>
          <w:tcPr>
            <w:tcW/>
            <w:vAlign w:val="center"/>
          </w:tcPr>
          <w:p>
            <w:pPr>
              <w:spacing w:line="240" w:lineRule="auto"/>
              <w:jc w:val="left"/>
            </w:pPr>
            <w:r>
              <w:rPr>
                <w:rFonts w:ascii="宋体" w:hAnsi="宋体" w:cs="宋体" w:eastAsia="宋体"/>
                <w:b w:val="false"/>
              </w:rPr>
              <w:t>合计</w:t>
            </w:r>
          </w:p>
        </w:tc>
        <w:tc>
          <w:tcPr>
            <w:tcW/>
            <w:vAlign w:val="center"/>
          </w:tcPr>
          <w:p>
            <w:pPr>
              <w:spacing w:line="240" w:lineRule="auto"/>
              <w:jc w:val="right"/>
            </w:pPr>
            <w:r>
              <w:rPr>
                <w:rFonts w:ascii="宋体" w:hAnsi="宋体" w:cs="宋体" w:eastAsia="宋体"/>
                <w:b w:val="false"/>
              </w:rPr>
              <w:t>4,529,168.63</w:t>
            </w:r>
          </w:p>
        </w:tc>
        <w:tc>
          <w:tcPr>
            <w:tcW/>
            <w:vAlign w:val="center"/>
          </w:tcPr>
          <w:p>
            <w:pPr>
              <w:spacing w:line="240" w:lineRule="auto"/>
              <w:jc w:val="right"/>
            </w:pPr>
            <w:r>
              <w:rPr>
                <w:rFonts w:ascii="宋体" w:hAnsi="宋体" w:cs="宋体" w:eastAsia="宋体"/>
                <w:b w:val="false"/>
              </w:rPr>
              <w:t>5.49</w:t>
            </w:r>
          </w:p>
        </w:tc>
      </w:tr>
    </w:tbl>
    <w:p/>
    <w:p>
      <w:pPr>
        <w:pStyle w:val="2"/>
        <w:jc w:val="left"/>
      </w:pPr>
      <w:r>
        <w:rPr>
          <w:rFonts w:ascii="宋体" w:hAnsi="宋体" w:cs="宋体" w:eastAsia="宋体"/>
        </w:rPr>
        <w:t>5.5 报告期末按公允价值占基金资产净值比例大小排序的前五名债券投资明细</w:t>
      </w:r>
    </w:p>
    <w:tbl>
      <w:tblPr>
        <w:tblW w:w="5000" w:type="pct"/>
        <w:tblBorders>
          <w:top w:val="single" w:sz="4"/>
          <w:left w:val="single" w:sz="4"/>
          <w:bottom w:val="single" w:sz="4"/>
          <w:right w:val="single" w:sz="4"/>
          <w:insideH w:val="single" w:sz="4"/>
          <w:insideV w:val="single" w:sz="4"/>
        </w:tblBorders>
      </w:tblPr>
      <w:tblGrid>
        <w:gridCol w:w="1510"/>
        <w:gridCol w:w="1510"/>
        <w:gridCol w:w="1510"/>
        <w:gridCol w:w="1510"/>
        <w:gridCol w:w="1510"/>
        <w:gridCol w:w="1510"/>
      </w:tblGrid>
      <w:tr>
        <w:tc>
          <w:tcPr>
            <w:tcW w:type="pct" w:w="615"/>
            <w:vAlign w:val="center"/>
          </w:tcPr>
          <w:tcPr>
            <w:shd w:fill="d9d9d9"/>
          </w:tcPr>
          <w:p>
            <w:pPr>
              <w:spacing w:line="240" w:lineRule="auto"/>
              <w:jc w:val="center"/>
            </w:pPr>
            <w:r>
              <w:rPr>
                <w:rFonts w:ascii="宋体" w:hAnsi="宋体" w:cs="宋体" w:eastAsia="宋体"/>
                <w:b w:val="false"/>
              </w:rPr>
              <w:t>序号</w:t>
            </w:r>
          </w:p>
        </w:tc>
        <w:tc>
          <w:tcPr>
            <w:tcW w:type="pct" w:w="769"/>
            <w:vAlign w:val="center"/>
          </w:tcPr>
          <w:tcPr>
            <w:shd w:fill="d9d9d9"/>
          </w:tcPr>
          <w:p>
            <w:pPr>
              <w:spacing w:line="240" w:lineRule="auto"/>
              <w:jc w:val="center"/>
            </w:pPr>
            <w:r>
              <w:rPr>
                <w:rFonts w:ascii="宋体" w:hAnsi="宋体" w:cs="宋体" w:eastAsia="宋体"/>
                <w:b w:val="false"/>
              </w:rPr>
              <w:t>债券代码</w:t>
            </w:r>
          </w:p>
        </w:tc>
        <w:tc>
          <w:tcPr>
            <w:tcW w:type="pct" w:w="769"/>
            <w:vAlign w:val="center"/>
          </w:tcPr>
          <w:tcPr>
            <w:shd w:fill="d9d9d9"/>
          </w:tcPr>
          <w:p>
            <w:pPr>
              <w:spacing w:line="240" w:lineRule="auto"/>
              <w:jc w:val="center"/>
            </w:pPr>
            <w:r>
              <w:rPr>
                <w:rFonts w:ascii="宋体" w:hAnsi="宋体" w:cs="宋体" w:eastAsia="宋体"/>
                <w:b w:val="false"/>
              </w:rPr>
              <w:t>债券名称</w:t>
            </w:r>
          </w:p>
        </w:tc>
        <w:tc>
          <w:tcPr>
            <w:tcW w:type="pct" w:w="615"/>
            <w:vAlign w:val="center"/>
          </w:tcPr>
          <w:tcPr>
            <w:shd w:fill="d9d9d9"/>
          </w:tcPr>
          <w:p>
            <w:pPr>
              <w:spacing w:line="240" w:lineRule="auto"/>
              <w:jc w:val="center"/>
            </w:pPr>
            <w:r>
              <w:rPr>
                <w:rFonts w:ascii="宋体" w:hAnsi="宋体" w:cs="宋体" w:eastAsia="宋体"/>
                <w:b w:val="false"/>
              </w:rPr>
              <w:t>数量(张)</w:t>
            </w:r>
          </w:p>
        </w:tc>
        <w:tc>
          <w:tcPr>
            <w:tcW w:type="pct" w:w="923"/>
            <w:vAlign w:val="center"/>
          </w:tcPr>
          <w:tcPr>
            <w:shd w:fill="d9d9d9"/>
          </w:tcPr>
          <w:p>
            <w:pPr>
              <w:spacing w:line="240" w:lineRule="auto"/>
              <w:jc w:val="center"/>
            </w:pPr>
            <w:r>
              <w:rPr>
                <w:rFonts w:ascii="宋体" w:hAnsi="宋体" w:cs="宋体" w:eastAsia="宋体"/>
                <w:b w:val="false"/>
              </w:rPr>
              <w:t>公允价值(元)</w:t>
            </w:r>
          </w:p>
        </w:tc>
        <w:tc>
          <w:tcPr>
            <w:tcW w:type="pct" w:w="923"/>
            <w:vAlign w:val="center"/>
          </w:tcPr>
          <w:tcPr>
            <w:shd w:fill="d9d9d9"/>
          </w:tcPr>
          <w:p>
            <w:pPr>
              <w:spacing w:line="240" w:lineRule="auto"/>
              <w:jc w:val="center"/>
            </w:pPr>
            <w:r>
              <w:rPr>
                <w:rFonts w:ascii="宋体" w:hAnsi="宋体" w:cs="宋体" w:eastAsia="宋体"/>
                <w:b w:val="false"/>
              </w:rPr>
              <w:t>占基金资产净值比例(%)</w:t>
            </w:r>
          </w:p>
        </w:tc>
      </w:tr>
      <w:tr>
        <w:tc>
          <w:tcPr>
            <w:tcW/>
            <w:vAlign w:val="center"/>
          </w:tcPr>
          <w:p>
            <w:pPr>
              <w:spacing w:line="240" w:lineRule="auto"/>
              <w:jc w:val="center"/>
            </w:pPr>
            <w:r>
              <w:rPr>
                <w:rFonts w:ascii="宋体" w:hAnsi="宋体" w:cs="宋体" w:eastAsia="宋体"/>
                <w:b w:val="false"/>
              </w:rPr>
              <w:t>1</w:t>
            </w:r>
          </w:p>
        </w:tc>
        <w:tc>
          <w:tcPr>
            <w:tcW/>
            <w:vAlign w:val="center"/>
          </w:tcPr>
          <w:p>
            <w:pPr>
              <w:spacing w:line="240" w:lineRule="auto"/>
              <w:jc w:val="left"/>
            </w:pPr>
            <w:r>
              <w:rPr>
                <w:rFonts w:ascii="宋体" w:hAnsi="宋体" w:cs="宋体" w:eastAsia="宋体"/>
                <w:b w:val="false"/>
              </w:rPr>
              <w:t>019827</w:t>
            </w:r>
          </w:p>
        </w:tc>
        <w:tc>
          <w:tcPr>
            <w:tcW/>
            <w:vAlign w:val="center"/>
          </w:tcPr>
          <w:p>
            <w:pPr>
              <w:spacing w:line="240" w:lineRule="auto"/>
              <w:jc w:val="left"/>
            </w:pPr>
            <w:r>
              <w:rPr>
                <w:rFonts w:ascii="宋体" w:hAnsi="宋体" w:cs="宋体" w:eastAsia="宋体"/>
                <w:b w:val="false"/>
              </w:rPr>
              <w:t>26国债01</w:t>
            </w:r>
          </w:p>
        </w:tc>
        <w:tc>
          <w:tcPr>
            <w:tcW/>
            <w:vAlign w:val="center"/>
          </w:tcPr>
          <w:p>
            <w:pPr>
              <w:spacing w:line="240" w:lineRule="auto"/>
              <w:jc w:val="right"/>
            </w:pPr>
            <w:r>
              <w:rPr>
                <w:rFonts w:ascii="宋体" w:hAnsi="宋体" w:cs="宋体" w:eastAsia="宋体"/>
                <w:b w:val="false"/>
              </w:rPr>
              <w:t>45,000</w:t>
            </w:r>
          </w:p>
        </w:tc>
        <w:tc>
          <w:tcPr>
            <w:tcW/>
            <w:vAlign w:val="center"/>
          </w:tcPr>
          <w:p>
            <w:pPr>
              <w:spacing w:line="240" w:lineRule="auto"/>
              <w:jc w:val="right"/>
            </w:pPr>
            <w:r>
              <w:rPr>
                <w:rFonts w:ascii="宋体" w:hAnsi="宋体" w:cs="宋体" w:eastAsia="宋体"/>
                <w:b w:val="false"/>
              </w:rPr>
              <w:t>4,529,168.63</w:t>
            </w:r>
          </w:p>
        </w:tc>
        <w:tc>
          <w:tcPr>
            <w:tcW/>
            <w:vAlign w:val="center"/>
          </w:tcPr>
          <w:p>
            <w:pPr>
              <w:spacing w:line="240" w:lineRule="auto"/>
              <w:jc w:val="right"/>
            </w:pPr>
            <w:r>
              <w:rPr>
                <w:rFonts w:ascii="宋体" w:hAnsi="宋体" w:cs="宋体" w:eastAsia="宋体"/>
                <w:b w:val="false"/>
              </w:rPr>
              <w:t>5.49</w:t>
            </w:r>
          </w:p>
        </w:tc>
      </w:tr>
    </w:tbl>
    <w:p>
      <w:r>
        <w:rPr>
          <w:rFonts w:ascii="宋体" w:hAnsi="宋体" w:cs="宋体" w:eastAsia="宋体"/>
          <w:b w:val="false"/>
        </w:rPr>
        <w:t>注：本基金本报告期末仅持有上述债券。</w:t>
      </w:r>
    </w:p>
    <w:p/>
    <w:p>
      <w:pPr>
        <w:pStyle w:val="2"/>
        <w:jc w:val="left"/>
      </w:pPr>
      <w:r>
        <w:rPr>
          <w:rFonts w:ascii="宋体" w:hAnsi="宋体" w:cs="宋体" w:eastAsia="宋体"/>
        </w:rPr>
        <w:t>5.6 报告期末按公允价值占基金资产净值比例大小排序的前十名资产支持证券投资明细</w:t>
      </w:r>
    </w:p>
    <w:p>
      <w:r>
        <w:rPr>
          <w:rFonts w:ascii="宋体" w:hAnsi="宋体" w:cs="宋体" w:eastAsia="宋体"/>
          <w:b w:val="false"/>
        </w:rPr>
        <w:t xml:space="preserve">    本基金本报告期末未持有资产支持证券。</w:t>
      </w:r>
    </w:p>
    <w:p/>
    <w:p>
      <w:pPr>
        <w:pStyle w:val="2"/>
        <w:jc w:val="left"/>
      </w:pPr>
      <w:r>
        <w:rPr>
          <w:rFonts w:ascii="宋体" w:hAnsi="宋体" w:cs="宋体" w:eastAsia="宋体"/>
        </w:rPr>
        <w:t>5.7 报告期末按公允价值占基金资产净值比例大小排序的前五名贵金属投资明细</w:t>
      </w:r>
    </w:p>
    <w:p>
      <w:r>
        <w:rPr>
          <w:rFonts w:ascii="宋体" w:hAnsi="宋体" w:cs="宋体" w:eastAsia="宋体"/>
          <w:b w:val="false"/>
        </w:rPr>
        <w:t xml:space="preserve">    本基金本报告期末未持有贵金属。</w:t>
      </w:r>
    </w:p>
    <w:p/>
    <w:p>
      <w:pPr>
        <w:pStyle w:val="2"/>
        <w:jc w:val="left"/>
      </w:pPr>
      <w:r>
        <w:rPr>
          <w:rFonts w:ascii="宋体" w:hAnsi="宋体" w:cs="宋体" w:eastAsia="宋体"/>
        </w:rPr>
        <w:t>5.8 报告期末按公允价值占基金资产净值比例大小排序的前五名权证投资明细</w:t>
      </w:r>
    </w:p>
    <w:p>
      <w:r>
        <w:rPr>
          <w:rFonts w:ascii="宋体" w:hAnsi="宋体" w:cs="宋体" w:eastAsia="宋体"/>
          <w:b w:val="false"/>
        </w:rPr>
        <w:t xml:space="preserve">    本基金本报告期末未持有权证。</w:t>
      </w:r>
    </w:p>
    <w:p/>
    <w:p>
      <w:pPr>
        <w:pStyle w:val="2"/>
        <w:jc w:val="left"/>
      </w:pPr>
      <w:r>
        <w:rPr>
          <w:rFonts w:ascii="宋体" w:hAnsi="宋体" w:cs="宋体" w:eastAsia="宋体"/>
        </w:rPr>
        <w:t>5.9 报告期末本基金投资的股指期货交易情况说明</w:t>
      </w:r>
    </w:p>
    <w:p>
      <w:r>
        <w:rPr>
          <w:rFonts w:ascii="宋体" w:hAnsi="宋体" w:cs="宋体" w:eastAsia="宋体"/>
          <w:b w:val="false"/>
        </w:rPr>
        <w:t xml:space="preserve">    本基金本报告期末未持有股指期货。</w:t>
      </w:r>
    </w:p>
    <w:p/>
    <w:p>
      <w:pPr>
        <w:pStyle w:val="2"/>
        <w:jc w:val="left"/>
      </w:pPr>
      <w:r>
        <w:rPr>
          <w:rFonts w:ascii="宋体" w:hAnsi="宋体" w:cs="宋体" w:eastAsia="宋体"/>
        </w:rPr>
        <w:t>5.10 报告期末本基金投资的国债期货交易情况说明</w:t>
      </w:r>
    </w:p>
    <w:p>
      <w:r>
        <w:rPr>
          <w:rFonts w:ascii="宋体" w:hAnsi="宋体" w:cs="宋体" w:eastAsia="宋体"/>
          <w:b w:val="false"/>
        </w:rPr>
        <w:t xml:space="preserve">    本基金本报告期末未持有国债期货。</w:t>
      </w:r>
    </w:p>
    <w:p/>
    <w:p>
      <w:pPr>
        <w:pStyle w:val="2"/>
        <w:jc w:val="left"/>
      </w:pPr>
      <w:r>
        <w:rPr>
          <w:rFonts w:ascii="宋体" w:hAnsi="宋体" w:cs="宋体" w:eastAsia="宋体"/>
        </w:rPr>
        <w:t>5.11 投资组合报告附注</w:t>
      </w:r>
    </w:p>
    <w:p>
      <w:pPr>
        <w:pStyle w:val="zhangjiep2"/>
      </w:pPr>
      <w:r>
        <w:rPr>
          <w:rStyle w:val="正文"/>
          <w:rFonts w:ascii="宋体" w:hAnsi="宋体" w:cs="宋体" w:eastAsia="宋体"/>
          <w:b w:val="true"/>
        </w:rPr>
        <w:t>5.11.1 本基金投资的前十名证券的发行主体本期受到监管部门立案调查或报告编制日前一年内受到公开谴责、处罚的情形说明</w:t>
      </w:r>
    </w:p>
    <w:p>
      <w:r>
        <w:rPr>
          <w:rFonts w:ascii="宋体" w:hAnsi="宋体" w:cs="宋体" w:eastAsia="宋体"/>
          <w:b w:val="false"/>
        </w:rPr>
        <w:t xml:space="preserve">    本基金投资的前十名证券的发行主体本期未出现被监管部门立案调查，或在报告编制日前一年内受到公开谴责、处罚的情形。</w:t>
      </w:r>
    </w:p>
    <w:p/>
    <w:p>
      <w:pPr>
        <w:pStyle w:val="zhangjiep2"/>
      </w:pPr>
      <w:r>
        <w:rPr>
          <w:rStyle w:val="正文"/>
          <w:rFonts w:ascii="宋体" w:hAnsi="宋体" w:cs="宋体" w:eastAsia="宋体"/>
          <w:b w:val="true"/>
        </w:rPr>
        <w:t>5.11.2 基金投资的前十名股票超出基金合同规定的备选股票库情况的说明</w:t>
      </w:r>
    </w:p>
    <w:p>
      <w:r>
        <w:rPr>
          <w:rFonts w:ascii="宋体" w:hAnsi="宋体" w:cs="宋体" w:eastAsia="宋体"/>
          <w:b w:val="false"/>
        </w:rPr>
        <w:t xml:space="preserve">    基金投资的前十名股票，均为基金合同规定备选股票库之内的股票。</w:t>
      </w:r>
    </w:p>
    <w:p/>
    <w:p>
      <w:pPr>
        <w:pStyle w:val="zhangjiep2"/>
      </w:pPr>
      <w:r>
        <w:rPr>
          <w:rStyle w:val="正文"/>
          <w:rFonts w:ascii="宋体" w:hAnsi="宋体" w:cs="宋体" w:eastAsia="宋体"/>
          <w:b w:val="true"/>
        </w:rPr>
        <w:t>5.11.3 其他资产构成</w:t>
      </w:r>
    </w:p>
    <w:tbl>
      <w:tblPr>
        <w:tblW w:w="5000" w:type="pct"/>
        <w:tblBorders>
          <w:top w:val="single" w:sz="4"/>
          <w:left w:val="single" w:sz="4"/>
          <w:bottom w:val="single" w:sz="4"/>
          <w:right w:val="single" w:sz="4"/>
          <w:insideH w:val="single" w:sz="4"/>
          <w:insideV w:val="single" w:sz="4"/>
        </w:tblBorders>
      </w:tblPr>
      <w:tblGrid>
        <w:gridCol w:w="3021"/>
        <w:gridCol w:w="3021"/>
        <w:gridCol w:w="3021"/>
      </w:tblGrid>
      <w:tr>
        <w:tc>
          <w:tcPr>
            <w:tcW w:type="pct" w:w="615"/>
            <w:vAlign w:val="center"/>
          </w:tcPr>
          <w:tcPr>
            <w:shd w:fill="d9d9d9"/>
          </w:tcPr>
          <w:p>
            <w:pPr>
              <w:spacing w:line="240" w:lineRule="auto"/>
              <w:jc w:val="center"/>
            </w:pPr>
            <w:r>
              <w:rPr>
                <w:rFonts w:ascii="宋体" w:hAnsi="宋体" w:cs="宋体" w:eastAsia="宋体"/>
                <w:b w:val="false"/>
              </w:rPr>
              <w:t>序号</w:t>
            </w:r>
          </w:p>
        </w:tc>
        <w:tc>
          <w:tcPr>
            <w:tcW w:type="pct" w:w="2308"/>
            <w:vAlign w:val="center"/>
          </w:tcPr>
          <w:tcPr>
            <w:shd w:fill="d9d9d9"/>
          </w:tcPr>
          <w:p>
            <w:pPr>
              <w:spacing w:line="240" w:lineRule="auto"/>
              <w:jc w:val="center"/>
            </w:pPr>
            <w:r>
              <w:rPr>
                <w:rFonts w:ascii="宋体" w:hAnsi="宋体" w:cs="宋体" w:eastAsia="宋体"/>
                <w:b w:val="false"/>
              </w:rPr>
              <w:t>名称</w:t>
            </w:r>
          </w:p>
        </w:tc>
        <w:tc>
          <w:tcPr>
            <w:tcW w:type="pct" w:w="1538"/>
            <w:vAlign w:val="center"/>
          </w:tcPr>
          <w:tcPr>
            <w:shd w:fill="d9d9d9"/>
          </w:tcPr>
          <w:p>
            <w:pPr>
              <w:spacing w:line="240" w:lineRule="auto"/>
              <w:jc w:val="center"/>
            </w:pPr>
            <w:r>
              <w:rPr>
                <w:rFonts w:ascii="宋体" w:hAnsi="宋体" w:cs="宋体" w:eastAsia="宋体"/>
                <w:b w:val="false"/>
              </w:rPr>
              <w:t>金额(元)</w:t>
            </w:r>
          </w:p>
        </w:tc>
      </w:tr>
      <w:tr>
        <w:tc>
          <w:tcPr>
            <w:tcW/>
            <w:vAlign w:val="center"/>
          </w:tcPr>
          <w:p>
            <w:pPr>
              <w:spacing w:line="240" w:lineRule="auto"/>
              <w:jc w:val="center"/>
            </w:pPr>
            <w:r>
              <w:rPr>
                <w:rFonts w:ascii="宋体" w:hAnsi="宋体" w:cs="宋体" w:eastAsia="宋体"/>
                <w:b w:val="false"/>
              </w:rPr>
              <w:t>1</w:t>
            </w:r>
          </w:p>
        </w:tc>
        <w:tc>
          <w:tcPr>
            <w:tcW/>
            <w:vAlign w:val="center"/>
          </w:tcPr>
          <w:p>
            <w:pPr>
              <w:spacing w:line="240" w:lineRule="auto"/>
              <w:jc w:val="left"/>
            </w:pPr>
            <w:r>
              <w:rPr>
                <w:rFonts w:ascii="宋体" w:hAnsi="宋体" w:cs="宋体" w:eastAsia="宋体"/>
                <w:b w:val="false"/>
              </w:rPr>
              <w:t>存出保证金</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2</w:t>
            </w:r>
          </w:p>
        </w:tc>
        <w:tc>
          <w:tcPr>
            <w:tcW/>
            <w:vAlign w:val="center"/>
          </w:tcPr>
          <w:p>
            <w:pPr>
              <w:spacing w:line="240" w:lineRule="auto"/>
              <w:jc w:val="left"/>
            </w:pPr>
            <w:r>
              <w:rPr>
                <w:rFonts w:ascii="宋体" w:hAnsi="宋体" w:cs="宋体" w:eastAsia="宋体"/>
                <w:b w:val="false"/>
              </w:rPr>
              <w:t>应收证券清算款</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3</w:t>
            </w:r>
          </w:p>
        </w:tc>
        <w:tc>
          <w:tcPr>
            <w:tcW/>
            <w:vAlign w:val="center"/>
          </w:tcPr>
          <w:p>
            <w:pPr>
              <w:spacing w:line="240" w:lineRule="auto"/>
              <w:jc w:val="left"/>
            </w:pPr>
            <w:r>
              <w:rPr>
                <w:rFonts w:ascii="宋体" w:hAnsi="宋体" w:cs="宋体" w:eastAsia="宋体"/>
                <w:b w:val="false"/>
              </w:rPr>
              <w:t>应收股利</w:t>
            </w:r>
          </w:p>
        </w:tc>
        <w:tc>
          <w:tcPr>
            <w:tcW/>
            <w:vAlign w:val="center"/>
          </w:tcPr>
          <w:p>
            <w:pPr>
              <w:spacing w:line="240" w:lineRule="auto"/>
              <w:jc w:val="right"/>
            </w:pPr>
            <w:r>
              <w:rPr>
                <w:rFonts w:ascii="宋体" w:hAnsi="宋体" w:cs="宋体" w:eastAsia="宋体"/>
                <w:b w:val="false"/>
              </w:rPr>
              <w:t>19,412.82</w:t>
            </w:r>
          </w:p>
        </w:tc>
      </w:tr>
      <w:tr>
        <w:tc>
          <w:tcPr>
            <w:tcW/>
            <w:vAlign w:val="center"/>
          </w:tcPr>
          <w:p>
            <w:pPr>
              <w:spacing w:line="240" w:lineRule="auto"/>
              <w:jc w:val="center"/>
            </w:pPr>
            <w:r>
              <w:rPr>
                <w:rFonts w:ascii="宋体" w:hAnsi="宋体" w:cs="宋体" w:eastAsia="宋体"/>
                <w:b w:val="false"/>
              </w:rPr>
              <w:t>4</w:t>
            </w:r>
          </w:p>
        </w:tc>
        <w:tc>
          <w:tcPr>
            <w:tcW/>
            <w:vAlign w:val="center"/>
          </w:tcPr>
          <w:p>
            <w:pPr>
              <w:spacing w:line="240" w:lineRule="auto"/>
              <w:jc w:val="left"/>
            </w:pPr>
            <w:r>
              <w:rPr>
                <w:rFonts w:ascii="宋体" w:hAnsi="宋体" w:cs="宋体" w:eastAsia="宋体"/>
                <w:b w:val="false"/>
              </w:rPr>
              <w:t>应收利息</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5</w:t>
            </w:r>
          </w:p>
        </w:tc>
        <w:tc>
          <w:tcPr>
            <w:tcW/>
            <w:vAlign w:val="center"/>
          </w:tcPr>
          <w:p>
            <w:pPr>
              <w:spacing w:line="240" w:lineRule="auto"/>
              <w:jc w:val="left"/>
            </w:pPr>
            <w:r>
              <w:rPr>
                <w:rFonts w:ascii="宋体" w:hAnsi="宋体" w:cs="宋体" w:eastAsia="宋体"/>
                <w:b w:val="false"/>
              </w:rPr>
              <w:t>应收申购款</w:t>
            </w:r>
          </w:p>
        </w:tc>
        <w:tc>
          <w:tcPr>
            <w:tcW/>
            <w:vAlign w:val="center"/>
          </w:tcPr>
          <w:p>
            <w:pPr>
              <w:spacing w:line="240" w:lineRule="auto"/>
              <w:jc w:val="right"/>
            </w:pPr>
            <w:r>
              <w:rPr>
                <w:rFonts w:ascii="宋体" w:hAnsi="宋体" w:cs="宋体" w:eastAsia="宋体"/>
                <w:b w:val="false"/>
              </w:rPr>
              <w:t>4,704,522.48</w:t>
            </w:r>
          </w:p>
        </w:tc>
      </w:tr>
      <w:tr>
        <w:tc>
          <w:tcPr>
            <w:tcW/>
            <w:vAlign w:val="center"/>
          </w:tcPr>
          <w:p>
            <w:pPr>
              <w:spacing w:line="240" w:lineRule="auto"/>
              <w:jc w:val="center"/>
            </w:pPr>
            <w:r>
              <w:rPr>
                <w:rFonts w:ascii="宋体" w:hAnsi="宋体" w:cs="宋体" w:eastAsia="宋体"/>
                <w:b w:val="false"/>
              </w:rPr>
              <w:t>6</w:t>
            </w:r>
          </w:p>
        </w:tc>
        <w:tc>
          <w:tcPr>
            <w:tcW/>
            <w:vAlign w:val="center"/>
          </w:tcPr>
          <w:p>
            <w:pPr>
              <w:spacing w:line="240" w:lineRule="auto"/>
              <w:jc w:val="left"/>
            </w:pPr>
            <w:r>
              <w:rPr>
                <w:rFonts w:ascii="宋体" w:hAnsi="宋体" w:cs="宋体" w:eastAsia="宋体"/>
                <w:b w:val="false"/>
              </w:rPr>
              <w:t>其他应收款</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7</w:t>
            </w:r>
          </w:p>
        </w:tc>
        <w:tc>
          <w:tcPr>
            <w:tcW/>
            <w:vAlign w:val="center"/>
          </w:tcPr>
          <w:p>
            <w:pPr>
              <w:spacing w:line="240" w:lineRule="auto"/>
              <w:jc w:val="left"/>
            </w:pPr>
            <w:r>
              <w:rPr>
                <w:rFonts w:ascii="宋体" w:hAnsi="宋体" w:cs="宋体" w:eastAsia="宋体"/>
                <w:b w:val="false"/>
              </w:rPr>
              <w:t>其他</w:t>
            </w:r>
          </w:p>
        </w:tc>
        <w:tc>
          <w:tcPr>
            <w:tcW/>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8</w:t>
            </w:r>
          </w:p>
        </w:tc>
        <w:tc>
          <w:tcPr>
            <w:tcW/>
            <w:vAlign w:val="center"/>
          </w:tcPr>
          <w:p>
            <w:pPr>
              <w:spacing w:line="240" w:lineRule="auto"/>
              <w:jc w:val="left"/>
            </w:pPr>
            <w:r>
              <w:rPr>
                <w:rFonts w:ascii="宋体" w:hAnsi="宋体" w:cs="宋体" w:eastAsia="宋体"/>
                <w:b w:val="false"/>
              </w:rPr>
              <w:t>合计</w:t>
            </w:r>
          </w:p>
        </w:tc>
        <w:tc>
          <w:tcPr>
            <w:tcW/>
            <w:vAlign w:val="center"/>
          </w:tcPr>
          <w:p>
            <w:pPr>
              <w:spacing w:line="240" w:lineRule="auto"/>
              <w:jc w:val="right"/>
            </w:pPr>
            <w:r>
              <w:rPr>
                <w:rFonts w:ascii="宋体" w:hAnsi="宋体" w:cs="宋体" w:eastAsia="宋体"/>
                <w:b w:val="false"/>
              </w:rPr>
              <w:t>4,723,935.30</w:t>
            </w:r>
          </w:p>
        </w:tc>
      </w:tr>
    </w:tbl>
    <w:p/>
    <w:p>
      <w:pPr>
        <w:pStyle w:val="zhangjiep2"/>
      </w:pPr>
      <w:r>
        <w:rPr>
          <w:rStyle w:val="正文"/>
          <w:rFonts w:ascii="宋体" w:hAnsi="宋体" w:cs="宋体" w:eastAsia="宋体"/>
          <w:b w:val="true"/>
        </w:rPr>
        <w:t>5.11.4 报告期末持有的处于转股期的可转换债券明细</w:t>
      </w:r>
    </w:p>
    <w:p>
      <w:r>
        <w:rPr>
          <w:rFonts w:ascii="宋体" w:hAnsi="宋体" w:cs="宋体" w:eastAsia="宋体"/>
          <w:b w:val="false"/>
        </w:rPr>
        <w:t xml:space="preserve">    本基金本报告期末未持有处于转股期的可转换债券。</w:t>
      </w:r>
    </w:p>
    <w:p/>
    <w:p>
      <w:pPr>
        <w:pStyle w:val="zhangjiep2"/>
      </w:pPr>
      <w:r>
        <w:rPr>
          <w:rStyle w:val="正文"/>
          <w:rFonts w:ascii="宋体" w:hAnsi="宋体" w:cs="宋体" w:eastAsia="宋体"/>
          <w:b w:val="true"/>
        </w:rPr>
        <w:t>5.11.5 报告期末前十名股票中存在流通受限情况的说明</w:t>
      </w:r>
    </w:p>
    <w:p>
      <w:r>
        <w:rPr>
          <w:rFonts w:ascii="宋体" w:hAnsi="宋体" w:cs="宋体" w:eastAsia="宋体"/>
          <w:b w:val="false"/>
        </w:rPr>
        <w:t xml:space="preserve">    本基金本报告期末前十名股票中不存在流通受限的情况。</w:t>
      </w:r>
    </w:p>
    <w:p/>
    <w:p>
      <w:pPr>
        <w:pStyle w:val="zhangjiep2"/>
      </w:pPr>
      <w:r>
        <w:rPr>
          <w:rStyle w:val="正文"/>
          <w:rFonts w:ascii="宋体" w:hAnsi="宋体" w:cs="宋体" w:eastAsia="宋体"/>
          <w:b w:val="true"/>
        </w:rPr>
        <w:t>5.11.6 投资组合报告附注的其他文字描述部分</w:t>
      </w:r>
    </w:p>
    <w:p>
      <w:r>
        <w:rPr>
          <w:rFonts w:ascii="宋体" w:hAnsi="宋体" w:cs="宋体" w:eastAsia="宋体"/>
          <w:b w:val="false"/>
        </w:rPr>
        <w:t xml:space="preserve">    由于四舍五入原因，分项之和与合计项之间可能存在尾差。</w:t>
      </w:r>
    </w:p>
    <w:p>
      <w:pPr>
        <w:pStyle w:val="1"/>
        <w:jc w:val="center"/>
      </w:pPr>
      <w:r>
        <w:rPr>
          <w:rFonts w:ascii="宋体" w:hAnsi="宋体" w:cs="宋体" w:eastAsia="宋体"/>
        </w:rPr>
        <w:t>§6 开放式基金份额变动</w:t>
      </w:r>
    </w:p>
    <w:p>
      <w:pPr>
        <w:jc w:val="right"/>
      </w:pPr>
      <w:r>
        <w:rPr>
          <w:rFonts w:ascii="宋体" w:hAnsi="宋体" w:cs="宋体" w:eastAsia="宋体"/>
          <w:b w:val="false"/>
        </w:rPr>
        <w:t>单位：份</w:t>
      </w:r>
    </w:p>
    <w:tbl>
      <w:tblPr>
        <w:tblW w:w="5000" w:type="pct"/>
        <w:tblBorders>
          <w:top w:val="single" w:sz="4"/>
          <w:left w:val="single" w:sz="4"/>
          <w:bottom w:val="single" w:sz="4"/>
          <w:right w:val="single" w:sz="4"/>
          <w:insideH w:val="single" w:sz="4"/>
          <w:insideV w:val="single" w:sz="4"/>
        </w:tblBorders>
        <w:tblLayout w:type="fixed"/>
      </w:tblPr>
      <w:tblGrid>
        <w:gridCol w:w="3021"/>
        <w:gridCol w:w="3021"/>
        <w:gridCol w:w="3021"/>
      </w:tblGrid>
      <w:tr>
        <w:tc>
          <w:tcPr>
            <w:tcW w:type="pct" w:w="2308"/>
            <w:vAlign w:val="center"/>
          </w:tcPr>
          <w:p>
            <w:pPr>
              <w:spacing w:line="240" w:lineRule="auto"/>
              <w:jc w:val="center"/>
            </w:pPr>
          </w:p>
        </w:tc>
        <w:tc>
          <w:tcPr>
            <w:tcW w:type="pct" w:w="1300"/>
            <w:vAlign w:val="center"/>
          </w:tcPr>
          <w:p>
            <w:pPr>
              <w:spacing w:line="240" w:lineRule="auto"/>
              <w:jc w:val="center"/>
            </w:pPr>
            <w:r>
              <w:rPr>
                <w:rFonts w:ascii="宋体" w:hAnsi="宋体" w:cs="宋体" w:eastAsia="宋体"/>
                <w:b w:val="false"/>
              </w:rPr>
              <w:t>东方阿尔法健康产业混合发起A</w:t>
            </w:r>
          </w:p>
        </w:tc>
        <w:tc>
          <w:tcPr>
            <w:tcW w:type="pct" w:w="1300"/>
            <w:vAlign w:val="center"/>
          </w:tcPr>
          <w:p>
            <w:pPr>
              <w:spacing w:line="240" w:lineRule="auto"/>
              <w:jc w:val="center"/>
            </w:pPr>
            <w:r>
              <w:rPr>
                <w:rFonts w:ascii="宋体" w:hAnsi="宋体" w:cs="宋体" w:eastAsia="宋体"/>
                <w:b w:val="false"/>
              </w:rPr>
              <w:t>东方阿尔法健康产业混合发起C</w:t>
            </w:r>
          </w:p>
        </w:tc>
      </w:tr>
      <w:tr>
        <w:tc>
          <w:tcPr>
            <w:tcW/>
            <w:vAlign w:val="center"/>
          </w:tcPr>
          <w:p>
            <w:pPr>
              <w:spacing w:line="240" w:lineRule="auto"/>
              <w:jc w:val="left"/>
            </w:pPr>
            <w:r>
              <w:rPr>
                <w:rFonts w:ascii="宋体" w:hAnsi="宋体" w:cs="宋体" w:eastAsia="宋体"/>
                <w:b w:val="false"/>
              </w:rPr>
              <w:t>报告期期初基金份额总额</w:t>
            </w:r>
          </w:p>
        </w:tc>
        <w:tc>
          <w:tcPr>
            <w:tcW w:type="pct" w:w="1300"/>
            <w:vAlign w:val="center"/>
          </w:tcPr>
          <w:p>
            <w:pPr>
              <w:spacing w:line="240" w:lineRule="auto"/>
              <w:jc w:val="right"/>
            </w:pPr>
            <w:r>
              <w:rPr>
                <w:rFonts w:ascii="宋体" w:hAnsi="宋体" w:cs="宋体" w:eastAsia="宋体"/>
                <w:b w:val="false"/>
              </w:rPr>
              <w:t>12,595,756.50</w:t>
            </w:r>
          </w:p>
        </w:tc>
        <w:tc>
          <w:tcPr>
            <w:tcW w:type="pct" w:w="1300"/>
            <w:vAlign w:val="center"/>
          </w:tcPr>
          <w:p>
            <w:pPr>
              <w:spacing w:line="240" w:lineRule="auto"/>
              <w:jc w:val="right"/>
            </w:pPr>
            <w:r>
              <w:rPr>
                <w:rFonts w:ascii="宋体" w:hAnsi="宋体" w:cs="宋体" w:eastAsia="宋体"/>
                <w:b w:val="false"/>
              </w:rPr>
              <w:t>159,541,221.17</w:t>
            </w:r>
          </w:p>
        </w:tc>
      </w:tr>
      <w:tr>
        <w:tc>
          <w:tcPr>
            <w:tcW/>
            <w:vAlign w:val="center"/>
          </w:tcPr>
          <w:p>
            <w:pPr>
              <w:spacing w:line="240" w:lineRule="auto"/>
              <w:jc w:val="left"/>
            </w:pPr>
            <w:r>
              <w:rPr>
                <w:rFonts w:ascii="宋体" w:hAnsi="宋体" w:cs="宋体" w:eastAsia="宋体"/>
                <w:b w:val="false"/>
              </w:rPr>
              <w:t>报告期期间基金总申购份额</w:t>
            </w:r>
          </w:p>
        </w:tc>
        <w:tc>
          <w:tcPr>
            <w:tcW w:type="pct" w:w="1300"/>
            <w:vAlign w:val="center"/>
          </w:tcPr>
          <w:p>
            <w:pPr>
              <w:spacing w:line="240" w:lineRule="auto"/>
              <w:jc w:val="right"/>
            </w:pPr>
            <w:r>
              <w:rPr>
                <w:rFonts w:ascii="宋体" w:hAnsi="宋体" w:cs="宋体" w:eastAsia="宋体"/>
                <w:b w:val="false"/>
              </w:rPr>
              <w:t>3,115,285.92</w:t>
            </w:r>
          </w:p>
        </w:tc>
        <w:tc>
          <w:tcPr>
            <w:tcW w:type="pct" w:w="1300"/>
            <w:vAlign w:val="center"/>
          </w:tcPr>
          <w:p>
            <w:pPr>
              <w:spacing w:line="240" w:lineRule="auto"/>
              <w:jc w:val="right"/>
            </w:pPr>
            <w:r>
              <w:rPr>
                <w:rFonts w:ascii="宋体" w:hAnsi="宋体" w:cs="宋体" w:eastAsia="宋体"/>
                <w:b w:val="false"/>
              </w:rPr>
              <w:t>197,890,570.32</w:t>
            </w:r>
          </w:p>
        </w:tc>
      </w:tr>
      <w:tr>
        <w:tc>
          <w:tcPr>
            <w:tcW/>
            <w:vAlign w:val="center"/>
          </w:tcPr>
          <w:p>
            <w:pPr>
              <w:spacing w:line="240" w:lineRule="auto"/>
              <w:jc w:val="left"/>
            </w:pPr>
            <w:r>
              <w:rPr>
                <w:rFonts w:ascii="宋体" w:hAnsi="宋体" w:cs="宋体" w:eastAsia="宋体"/>
                <w:b w:val="false"/>
              </w:rPr>
              <w:t>减：报告期期间基金总赎回份额</w:t>
            </w:r>
          </w:p>
        </w:tc>
        <w:tc>
          <w:tcPr>
            <w:tcW w:type="pct" w:w="1300"/>
            <w:vAlign w:val="center"/>
          </w:tcPr>
          <w:p>
            <w:pPr>
              <w:spacing w:line="240" w:lineRule="auto"/>
              <w:jc w:val="right"/>
            </w:pPr>
            <w:r>
              <w:rPr>
                <w:rFonts w:ascii="宋体" w:hAnsi="宋体" w:cs="宋体" w:eastAsia="宋体"/>
                <w:b w:val="false"/>
              </w:rPr>
              <w:t>3,450,348.31</w:t>
            </w:r>
          </w:p>
        </w:tc>
        <w:tc>
          <w:tcPr>
            <w:tcW w:type="pct" w:w="1300"/>
            <w:vAlign w:val="center"/>
          </w:tcPr>
          <w:p>
            <w:pPr>
              <w:spacing w:line="240" w:lineRule="auto"/>
              <w:jc w:val="right"/>
            </w:pPr>
            <w:r>
              <w:rPr>
                <w:rFonts w:ascii="宋体" w:hAnsi="宋体" w:cs="宋体" w:eastAsia="宋体"/>
                <w:b w:val="false"/>
              </w:rPr>
              <w:t>263,687,572.64</w:t>
            </w:r>
          </w:p>
        </w:tc>
      </w:tr>
      <w:tr>
        <w:tc>
          <w:tcPr>
            <w:tcW/>
            <w:vAlign w:val="center"/>
          </w:tcPr>
          <w:p>
            <w:pPr>
              <w:spacing w:line="240" w:lineRule="auto"/>
              <w:jc w:val="left"/>
            </w:pPr>
            <w:r>
              <w:rPr>
                <w:rFonts w:ascii="宋体" w:hAnsi="宋体" w:cs="宋体" w:eastAsia="宋体"/>
                <w:b w:val="false"/>
              </w:rPr>
              <w:t>报告期期间基金拆分变动份额（份额减少以“-”填列）</w:t>
            </w:r>
          </w:p>
        </w:tc>
        <w:tc>
          <w:tcPr>
            <w:tcW w:type="pct" w:w="1300"/>
            <w:vAlign w:val="center"/>
          </w:tcPr>
          <w:p>
            <w:pPr>
              <w:spacing w:line="240" w:lineRule="auto"/>
              <w:jc w:val="right"/>
            </w:pPr>
            <w:r>
              <w:rPr>
                <w:rFonts w:ascii="宋体" w:hAnsi="宋体" w:cs="宋体" w:eastAsia="宋体"/>
                <w:b w:val="false"/>
              </w:rPr>
              <w:t>-</w:t>
            </w:r>
          </w:p>
        </w:tc>
        <w:tc>
          <w:tcPr>
            <w:tcW w:type="pct" w:w="1300"/>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left"/>
            </w:pPr>
            <w:r>
              <w:rPr>
                <w:rFonts w:ascii="宋体" w:hAnsi="宋体" w:cs="宋体" w:eastAsia="宋体"/>
                <w:b w:val="false"/>
              </w:rPr>
              <w:t>报告期期末基金份额总额</w:t>
            </w:r>
          </w:p>
        </w:tc>
        <w:tc>
          <w:tcPr>
            <w:tcW w:type="pct" w:w="1300"/>
            <w:vAlign w:val="center"/>
          </w:tcPr>
          <w:p>
            <w:pPr>
              <w:spacing w:line="240" w:lineRule="auto"/>
              <w:jc w:val="right"/>
            </w:pPr>
            <w:r>
              <w:rPr>
                <w:rFonts w:ascii="宋体" w:hAnsi="宋体" w:cs="宋体" w:eastAsia="宋体"/>
                <w:b w:val="false"/>
              </w:rPr>
              <w:t>12,260,694.11</w:t>
            </w:r>
          </w:p>
        </w:tc>
        <w:tc>
          <w:tcPr>
            <w:tcW w:type="pct" w:w="1300"/>
            <w:vAlign w:val="center"/>
          </w:tcPr>
          <w:p>
            <w:pPr>
              <w:spacing w:line="240" w:lineRule="auto"/>
              <w:jc w:val="right"/>
            </w:pPr>
            <w:r>
              <w:rPr>
                <w:rFonts w:ascii="宋体" w:hAnsi="宋体" w:cs="宋体" w:eastAsia="宋体"/>
                <w:b w:val="false"/>
              </w:rPr>
              <w:t>93,744,218.85</w:t>
            </w:r>
          </w:p>
        </w:tc>
      </w:tr>
    </w:tbl>
    <w:p>
      <w:pPr>
        <w:pStyle w:val="1"/>
        <w:jc w:val="center"/>
      </w:pPr>
      <w:r>
        <w:rPr>
          <w:rFonts w:ascii="宋体" w:hAnsi="宋体" w:cs="宋体" w:eastAsia="宋体"/>
        </w:rPr>
        <w:t>§7 基金管理人运用固有资金投资本基金情况</w:t>
      </w:r>
    </w:p>
    <w:p>
      <w:pPr>
        <w:pStyle w:val="2"/>
        <w:jc w:val="left"/>
      </w:pPr>
      <w:r>
        <w:rPr>
          <w:rFonts w:ascii="宋体" w:hAnsi="宋体" w:cs="宋体" w:eastAsia="宋体"/>
        </w:rPr>
        <w:t>7.1 基金管理人持有本基金份额变动情况</w:t>
      </w:r>
    </w:p>
    <w:p>
      <w:pPr>
        <w:jc w:val="right"/>
      </w:pPr>
      <w:r>
        <w:rPr>
          <w:rFonts w:ascii="宋体" w:hAnsi="宋体" w:cs="宋体" w:eastAsia="宋体"/>
          <w:b w:val="false"/>
        </w:rPr>
        <w:t>单位：份</w:t>
      </w:r>
    </w:p>
    <w:tbl>
      <w:tblPr>
        <w:tblW w:w="5000" w:type="pct"/>
        <w:tblBorders>
          <w:top w:val="single" w:sz="4"/>
          <w:left w:val="single" w:sz="4"/>
          <w:bottom w:val="single" w:sz="4"/>
          <w:right w:val="single" w:sz="4"/>
          <w:insideH w:val="single" w:sz="4"/>
          <w:insideV w:val="single" w:sz="4"/>
        </w:tblBorders>
        <w:tblLayout w:type="fixed"/>
      </w:tblPr>
      <w:tblGrid>
        <w:gridCol w:w="3021"/>
        <w:gridCol w:w="3021"/>
        <w:gridCol w:w="3021"/>
      </w:tblGrid>
      <w:tr>
        <w:tc>
          <w:tcPr>
            <w:tcW w:type="pct" w:w="3077"/>
            <w:vAlign w:val="center"/>
          </w:tcPr>
          <w:p>
            <w:pPr>
              <w:spacing w:line="240" w:lineRule="auto"/>
              <w:jc w:val="center"/>
            </w:pPr>
          </w:p>
        </w:tc>
        <w:tc>
          <w:tcPr>
            <w:tcW w:type="pct" w:w="950"/>
            <w:vAlign w:val="center"/>
          </w:tcPr>
          <w:p>
            <w:pPr>
              <w:spacing w:line="240" w:lineRule="auto"/>
              <w:jc w:val="center"/>
            </w:pPr>
            <w:r>
              <w:rPr>
                <w:rFonts w:ascii="宋体" w:hAnsi="宋体" w:cs="宋体" w:eastAsia="宋体"/>
                <w:b w:val="false"/>
              </w:rPr>
              <w:t>东方阿尔法健康产业混合发起A</w:t>
            </w:r>
          </w:p>
        </w:tc>
        <w:tc>
          <w:tcPr>
            <w:tcW w:type="pct" w:w="950"/>
            <w:vAlign w:val="center"/>
          </w:tcPr>
          <w:p>
            <w:pPr>
              <w:spacing w:line="240" w:lineRule="auto"/>
              <w:jc w:val="center"/>
            </w:pPr>
            <w:r>
              <w:rPr>
                <w:rFonts w:ascii="宋体" w:hAnsi="宋体" w:cs="宋体" w:eastAsia="宋体"/>
                <w:b w:val="false"/>
              </w:rPr>
              <w:t>东方阿尔法健康产业混合发起C</w:t>
            </w:r>
          </w:p>
        </w:tc>
      </w:tr>
      <w:tr>
        <w:tc>
          <w:tcPr>
            <w:tcW w:type="pct" w:w="3077"/>
            <w:vAlign w:val="center"/>
          </w:tcPr>
          <w:p>
            <w:pPr>
              <w:spacing w:line="240" w:lineRule="auto"/>
              <w:jc w:val="left"/>
            </w:pPr>
            <w:r>
              <w:rPr>
                <w:rFonts w:ascii="宋体" w:hAnsi="宋体" w:cs="宋体" w:eastAsia="宋体"/>
                <w:b w:val="false"/>
              </w:rPr>
              <w:t>报告期期初管理人持有的本基金份额</w:t>
            </w:r>
          </w:p>
        </w:tc>
        <w:tc>
          <w:tcPr>
            <w:tcW w:type="pct" w:w="950"/>
            <w:vAlign w:val="center"/>
          </w:tcPr>
          <w:p>
            <w:pPr>
              <w:spacing w:line="240" w:lineRule="auto"/>
              <w:jc w:val="right"/>
            </w:pPr>
            <w:r>
              <w:rPr>
                <w:rFonts w:ascii="宋体" w:hAnsi="宋体" w:cs="宋体" w:eastAsia="宋体"/>
                <w:b w:val="false"/>
              </w:rPr>
              <w:t>5,000,388.96</w:t>
            </w:r>
          </w:p>
        </w:tc>
        <w:tc>
          <w:tcPr>
            <w:tcW w:type="pct" w:w="950"/>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left"/>
            </w:pPr>
            <w:r>
              <w:rPr>
                <w:rFonts w:ascii="宋体" w:hAnsi="宋体" w:cs="宋体" w:eastAsia="宋体"/>
                <w:b w:val="false"/>
              </w:rPr>
              <w:t>报告期期间买入/申购总份额</w:t>
            </w:r>
          </w:p>
        </w:tc>
        <w:tc>
          <w:tcPr>
            <w:tcW w:type="pct" w:w="950"/>
            <w:vAlign w:val="center"/>
          </w:tcPr>
          <w:p>
            <w:pPr>
              <w:spacing w:line="240" w:lineRule="auto"/>
              <w:jc w:val="right"/>
            </w:pPr>
            <w:r>
              <w:rPr>
                <w:rFonts w:ascii="宋体" w:hAnsi="宋体" w:cs="宋体" w:eastAsia="宋体"/>
                <w:b w:val="false"/>
              </w:rPr>
              <w:t>-</w:t>
            </w:r>
          </w:p>
        </w:tc>
        <w:tc>
          <w:tcPr>
            <w:tcW w:type="pct" w:w="950"/>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left"/>
            </w:pPr>
            <w:r>
              <w:rPr>
                <w:rFonts w:ascii="宋体" w:hAnsi="宋体" w:cs="宋体" w:eastAsia="宋体"/>
                <w:b w:val="false"/>
              </w:rPr>
              <w:t>报告期期间卖出/赎回总份额</w:t>
            </w:r>
          </w:p>
        </w:tc>
        <w:tc>
          <w:tcPr>
            <w:tcW w:type="pct" w:w="950"/>
            <w:vAlign w:val="center"/>
          </w:tcPr>
          <w:p>
            <w:pPr>
              <w:spacing w:line="240" w:lineRule="auto"/>
              <w:jc w:val="right"/>
            </w:pPr>
            <w:r>
              <w:rPr>
                <w:rFonts w:ascii="宋体" w:hAnsi="宋体" w:cs="宋体" w:eastAsia="宋体"/>
                <w:b w:val="false"/>
              </w:rPr>
              <w:t>-</w:t>
            </w:r>
          </w:p>
        </w:tc>
        <w:tc>
          <w:tcPr>
            <w:tcW w:type="pct" w:w="950"/>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left"/>
            </w:pPr>
            <w:r>
              <w:rPr>
                <w:rFonts w:ascii="宋体" w:hAnsi="宋体" w:cs="宋体" w:eastAsia="宋体"/>
                <w:b w:val="false"/>
              </w:rPr>
              <w:t>报告期期末管理人持有的本基金份额</w:t>
            </w:r>
          </w:p>
        </w:tc>
        <w:tc>
          <w:tcPr>
            <w:tcW w:type="pct" w:w="950"/>
            <w:vAlign w:val="center"/>
          </w:tcPr>
          <w:p>
            <w:pPr>
              <w:spacing w:line="240" w:lineRule="auto"/>
              <w:jc w:val="right"/>
            </w:pPr>
            <w:r>
              <w:rPr>
                <w:rFonts w:ascii="宋体" w:hAnsi="宋体" w:cs="宋体" w:eastAsia="宋体"/>
                <w:b w:val="false"/>
              </w:rPr>
              <w:t>5,000,388.96</w:t>
            </w:r>
          </w:p>
        </w:tc>
        <w:tc>
          <w:tcPr>
            <w:tcW w:type="pct" w:w="950"/>
            <w:vAlign w:val="center"/>
          </w:tcPr>
          <w:p>
            <w:pPr>
              <w:spacing w:line="240" w:lineRule="auto"/>
              <w:jc w:val="right"/>
            </w:pPr>
            <w:r>
              <w:rPr>
                <w:rFonts w:ascii="宋体" w:hAnsi="宋体" w:cs="宋体" w:eastAsia="宋体"/>
                <w:b w:val="false"/>
              </w:rPr>
              <w:t>-</w:t>
            </w:r>
          </w:p>
        </w:tc>
      </w:tr>
      <w:tr>
        <w:tc>
          <w:tcPr>
            <w:tcW/>
            <w:vAlign w:val="center"/>
          </w:tcPr>
          <w:p>
            <w:pPr>
              <w:spacing w:line="240" w:lineRule="auto"/>
              <w:jc w:val="left"/>
            </w:pPr>
            <w:r>
              <w:rPr>
                <w:rFonts w:ascii="宋体" w:hAnsi="宋体" w:cs="宋体" w:eastAsia="宋体"/>
                <w:b w:val="false"/>
              </w:rPr>
              <w:t>报告期期末持有的本基金份额占基金总份额比例（%）</w:t>
            </w:r>
          </w:p>
        </w:tc>
        <w:tc>
          <w:tcPr>
            <w:tcW w:type="pct" w:w="950"/>
            <w:vAlign w:val="center"/>
          </w:tcPr>
          <w:p>
            <w:pPr>
              <w:spacing w:line="240" w:lineRule="auto"/>
              <w:jc w:val="right"/>
            </w:pPr>
            <w:r>
              <w:rPr>
                <w:rFonts w:ascii="宋体" w:hAnsi="宋体" w:cs="宋体" w:eastAsia="宋体"/>
                <w:b w:val="false"/>
              </w:rPr>
              <w:t>4.72</w:t>
            </w:r>
          </w:p>
        </w:tc>
        <w:tc>
          <w:tcPr>
            <w:tcW w:type="pct" w:w="950"/>
            <w:vAlign w:val="center"/>
          </w:tcPr>
          <w:p>
            <w:pPr>
              <w:spacing w:line="240" w:lineRule="auto"/>
              <w:jc w:val="right"/>
            </w:pPr>
            <w:r>
              <w:rPr>
                <w:rFonts w:ascii="宋体" w:hAnsi="宋体" w:cs="宋体" w:eastAsia="宋体"/>
                <w:b w:val="false"/>
              </w:rPr>
              <w:t>-</w:t>
            </w:r>
          </w:p>
        </w:tc>
      </w:tr>
    </w:tbl>
    <w:p>
      <w:r>
        <w:rPr>
          <w:rFonts w:ascii="宋体" w:hAnsi="宋体" w:cs="宋体" w:eastAsia="宋体"/>
          <w:b w:val="false"/>
        </w:rPr>
        <w:t>注：报告期期末持有的本基金份额占基金总份额比例的分母采用期末基金份额总额，不区分下属不同类别基金。</w:t>
      </w:r>
    </w:p>
    <w:p/>
    <w:p>
      <w:pPr>
        <w:pStyle w:val="2"/>
        <w:jc w:val="left"/>
      </w:pPr>
      <w:r>
        <w:rPr>
          <w:rFonts w:ascii="宋体" w:hAnsi="宋体" w:cs="宋体" w:eastAsia="宋体"/>
        </w:rPr>
        <w:t>7.2 基金管理人运用固有资金投资本基金交易明细</w:t>
      </w:r>
    </w:p>
    <w:p>
      <w:r>
        <w:rPr>
          <w:rFonts w:ascii="宋体" w:hAnsi="宋体" w:cs="宋体" w:eastAsia="宋体"/>
          <w:b w:val="false"/>
        </w:rPr>
        <w:t xml:space="preserve">    本报告期内，本基金管理人未运用固有资金投资本基金。</w:t>
      </w:r>
    </w:p>
    <w:p>
      <w:pPr>
        <w:pStyle w:val="1"/>
        <w:jc w:val="center"/>
      </w:pPr>
      <w:r>
        <w:rPr>
          <w:rFonts w:ascii="宋体" w:hAnsi="宋体" w:cs="宋体" w:eastAsia="宋体"/>
        </w:rPr>
        <w:t>§8 报告期末发起式基金发起资金持有份额情况</w:t>
      </w:r>
    </w:p>
    <w:tbl>
      <w:tblPr>
        <w:tblW w:w="5000" w:type="pct"/>
        <w:tblBorders>
          <w:top w:val="single" w:sz="4"/>
          <w:left w:val="single" w:sz="4"/>
          <w:bottom w:val="single" w:sz="4"/>
          <w:right w:val="single" w:sz="4"/>
          <w:insideH w:val="single" w:sz="4"/>
          <w:insideV w:val="single" w:sz="4"/>
        </w:tblBorders>
      </w:tblPr>
      <w:tblGrid>
        <w:gridCol w:w="1510"/>
        <w:gridCol w:w="1510"/>
        <w:gridCol w:w="1510"/>
        <w:gridCol w:w="1510"/>
        <w:gridCol w:w="1510"/>
        <w:gridCol w:w="1510"/>
      </w:tblGrid>
      <w:tr>
        <w:tc>
          <w:tcPr>
            <w:tcW w:type="pct" w:w="1538"/>
            <w:vAlign w:val="center"/>
          </w:tcPr>
          <w:tcPr>
            <w:shd w:fill="d9d9d9"/>
          </w:tcPr>
          <w:p>
            <w:pPr>
              <w:spacing w:line="240" w:lineRule="auto"/>
              <w:jc w:val="center"/>
            </w:pPr>
            <w:r>
              <w:rPr>
                <w:rFonts w:ascii="宋体" w:hAnsi="宋体" w:cs="宋体" w:eastAsia="宋体"/>
                <w:b w:val="false"/>
              </w:rPr>
              <w:t>项目</w:t>
            </w:r>
          </w:p>
        </w:tc>
        <w:tc>
          <w:tcPr>
            <w:tcW w:type="pct" w:w="692"/>
            <w:vAlign w:val="center"/>
          </w:tcPr>
          <w:tcPr>
            <w:shd w:fill="d9d9d9"/>
          </w:tcPr>
          <w:p>
            <w:pPr>
              <w:spacing w:line="240" w:lineRule="auto"/>
              <w:jc w:val="center"/>
            </w:pPr>
            <w:r>
              <w:rPr>
                <w:rFonts w:ascii="宋体" w:hAnsi="宋体" w:cs="宋体" w:eastAsia="宋体"/>
                <w:b w:val="false"/>
              </w:rPr>
              <w:t>持有份额总数</w:t>
            </w:r>
          </w:p>
        </w:tc>
        <w:tc>
          <w:tcPr>
            <w:tcW w:type="pct" w:w="692"/>
            <w:vAlign w:val="center"/>
          </w:tcPr>
          <w:tcPr>
            <w:shd w:fill="d9d9d9"/>
          </w:tcPr>
          <w:p>
            <w:pPr>
              <w:spacing w:line="240" w:lineRule="auto"/>
              <w:jc w:val="center"/>
            </w:pPr>
            <w:r>
              <w:rPr>
                <w:rFonts w:ascii="宋体" w:hAnsi="宋体" w:cs="宋体" w:eastAsia="宋体"/>
                <w:b w:val="false"/>
              </w:rPr>
              <w:t>持有份额占基金总份额比例</w:t>
            </w:r>
          </w:p>
        </w:tc>
        <w:tc>
          <w:tcPr>
            <w:tcW w:type="pct" w:w="692"/>
            <w:vAlign w:val="center"/>
          </w:tcPr>
          <w:tcPr>
            <w:shd w:fill="d9d9d9"/>
          </w:tcPr>
          <w:p>
            <w:pPr>
              <w:spacing w:line="240" w:lineRule="auto"/>
              <w:jc w:val="center"/>
            </w:pPr>
            <w:r>
              <w:rPr>
                <w:rFonts w:ascii="宋体" w:hAnsi="宋体" w:cs="宋体" w:eastAsia="宋体"/>
                <w:b w:val="false"/>
              </w:rPr>
              <w:t>发起份额总数</w:t>
            </w:r>
          </w:p>
        </w:tc>
        <w:tc>
          <w:tcPr>
            <w:tcW w:type="pct" w:w="692"/>
            <w:vAlign w:val="center"/>
          </w:tcPr>
          <w:tcPr>
            <w:shd w:fill="d9d9d9"/>
          </w:tcPr>
          <w:p>
            <w:pPr>
              <w:spacing w:line="240" w:lineRule="auto"/>
              <w:jc w:val="center"/>
            </w:pPr>
            <w:r>
              <w:rPr>
                <w:rFonts w:ascii="宋体" w:hAnsi="宋体" w:cs="宋体" w:eastAsia="宋体"/>
                <w:b w:val="false"/>
              </w:rPr>
              <w:t>发起份额占基金总份额比例</w:t>
            </w:r>
          </w:p>
        </w:tc>
        <w:tc>
          <w:tcPr>
            <w:tcW w:type="pct" w:w="692"/>
            <w:vAlign w:val="center"/>
          </w:tcPr>
          <w:tcPr>
            <w:shd w:fill="d9d9d9"/>
          </w:tcPr>
          <w:p>
            <w:pPr>
              <w:spacing w:line="240" w:lineRule="auto"/>
              <w:jc w:val="center"/>
            </w:pPr>
            <w:r>
              <w:rPr>
                <w:rFonts w:ascii="宋体" w:hAnsi="宋体" w:cs="宋体" w:eastAsia="宋体"/>
                <w:b w:val="false"/>
              </w:rPr>
              <w:t>发起份额承诺持有期限</w:t>
            </w:r>
          </w:p>
        </w:tc>
      </w:tr>
      <w:tr>
        <w:tc>
          <w:tcPr>
            <w:tcW/>
            <w:vAlign w:val="center"/>
          </w:tcPr>
          <w:p>
            <w:pPr>
              <w:spacing w:line="240" w:lineRule="auto"/>
              <w:jc w:val="left"/>
            </w:pPr>
            <w:r>
              <w:rPr>
                <w:rFonts w:ascii="宋体" w:hAnsi="宋体" w:cs="宋体" w:eastAsia="宋体"/>
                <w:b w:val="false"/>
              </w:rPr>
              <w:t>基金管理人固有资金</w:t>
            </w:r>
          </w:p>
        </w:tc>
        <w:tc>
          <w:tcPr>
            <w:tcW/>
            <w:vAlign w:val="center"/>
          </w:tcPr>
          <w:p>
            <w:pPr>
              <w:spacing w:line="240" w:lineRule="auto"/>
              <w:jc w:val="right"/>
            </w:pPr>
            <w:r>
              <w:rPr>
                <w:rFonts w:ascii="宋体" w:hAnsi="宋体" w:cs="宋体" w:eastAsia="宋体"/>
                <w:b w:val="false"/>
              </w:rPr>
              <w:t>5,000,388.96</w:t>
            </w:r>
          </w:p>
        </w:tc>
        <w:tc>
          <w:tcPr>
            <w:tcW/>
            <w:vAlign w:val="center"/>
          </w:tcPr>
          <w:p>
            <w:pPr>
              <w:spacing w:line="240" w:lineRule="auto"/>
              <w:jc w:val="right"/>
            </w:pPr>
            <w:r>
              <w:rPr>
                <w:rFonts w:ascii="宋体" w:hAnsi="宋体" w:cs="宋体" w:eastAsia="宋体"/>
                <w:b w:val="false"/>
              </w:rPr>
              <w:t>4.72%</w:t>
            </w:r>
          </w:p>
        </w:tc>
        <w:tc>
          <w:tcPr>
            <w:tcW/>
            <w:vAlign w:val="center"/>
          </w:tcPr>
          <w:p>
            <w:pPr>
              <w:spacing w:line="240" w:lineRule="auto"/>
              <w:jc w:val="right"/>
            </w:pPr>
            <w:r>
              <w:rPr>
                <w:rFonts w:ascii="宋体" w:hAnsi="宋体" w:cs="宋体" w:eastAsia="宋体"/>
                <w:b w:val="false"/>
              </w:rPr>
              <w:t>5,000,388.96</w:t>
            </w:r>
          </w:p>
        </w:tc>
        <w:tc>
          <w:tcPr>
            <w:tcW/>
            <w:vAlign w:val="center"/>
          </w:tcPr>
          <w:p>
            <w:pPr>
              <w:spacing w:line="240" w:lineRule="auto"/>
              <w:jc w:val="right"/>
            </w:pPr>
            <w:r>
              <w:rPr>
                <w:rFonts w:ascii="宋体" w:hAnsi="宋体" w:cs="宋体" w:eastAsia="宋体"/>
                <w:b w:val="false"/>
              </w:rPr>
              <w:t>4.72%</w:t>
            </w:r>
          </w:p>
        </w:tc>
        <w:tc>
          <w:tcPr>
            <w:tcW/>
            <w:vAlign w:val="center"/>
          </w:tcPr>
          <w:p>
            <w:pPr>
              <w:spacing w:line="240" w:lineRule="auto"/>
              <w:jc w:val="left"/>
            </w:pPr>
            <w:r>
              <w:rPr>
                <w:rFonts w:ascii="宋体" w:hAnsi="宋体" w:cs="宋体" w:eastAsia="宋体"/>
                <w:b w:val="false"/>
              </w:rPr>
              <w:t>自合同生效之日起不少于3年</w:t>
            </w:r>
          </w:p>
        </w:tc>
      </w:tr>
      <w:tr>
        <w:tc>
          <w:tcPr>
            <w:tcW/>
            <w:vAlign w:val="center"/>
          </w:tcPr>
          <w:p>
            <w:pPr>
              <w:spacing w:line="240" w:lineRule="auto"/>
              <w:jc w:val="left"/>
            </w:pPr>
            <w:r>
              <w:rPr>
                <w:rFonts w:ascii="宋体" w:hAnsi="宋体" w:cs="宋体" w:eastAsia="宋体"/>
                <w:b w:val="false"/>
              </w:rPr>
              <w:t>基金管理人高级管理人员</w:t>
            </w:r>
          </w:p>
        </w:tc>
        <w:tc>
          <w:tcPr>
            <w:tcW/>
            <w:vAlign w:val="center"/>
          </w:tcPr>
          <w:p>
            <w:pPr>
              <w:spacing w:line="240" w:lineRule="auto"/>
              <w:jc w:val="right"/>
            </w:pPr>
            <w:r>
              <w:rPr>
                <w:rFonts w:ascii="宋体" w:hAnsi="宋体" w:cs="宋体" w:eastAsia="宋体"/>
                <w:b w:val="false"/>
              </w:rPr>
              <w:t>4,500,711.07</w:t>
            </w:r>
          </w:p>
        </w:tc>
        <w:tc>
          <w:tcPr>
            <w:tcW/>
            <w:vAlign w:val="center"/>
          </w:tcPr>
          <w:p>
            <w:pPr>
              <w:spacing w:line="240" w:lineRule="auto"/>
              <w:jc w:val="right"/>
            </w:pPr>
            <w:r>
              <w:rPr>
                <w:rFonts w:ascii="宋体" w:hAnsi="宋体" w:cs="宋体" w:eastAsia="宋体"/>
                <w:b w:val="false"/>
              </w:rPr>
              <w:t>4.25%</w:t>
            </w:r>
          </w:p>
        </w:tc>
        <w:tc>
          <w:tcPr>
            <w:tcW/>
            <w:vAlign w:val="center"/>
          </w:tcPr>
          <w:p>
            <w:pPr>
              <w:spacing w:line="240" w:lineRule="auto"/>
              <w:jc w:val="right"/>
            </w:pPr>
            <w:r>
              <w:rPr>
                <w:rFonts w:ascii="宋体" w:hAnsi="宋体" w:cs="宋体" w:eastAsia="宋体"/>
                <w:b w:val="false"/>
              </w:rPr>
              <w:t>4,500,711.07</w:t>
            </w:r>
          </w:p>
        </w:tc>
        <w:tc>
          <w:tcPr>
            <w:tcW/>
            <w:vAlign w:val="center"/>
          </w:tcPr>
          <w:p>
            <w:pPr>
              <w:spacing w:line="240" w:lineRule="auto"/>
              <w:jc w:val="right"/>
            </w:pPr>
            <w:r>
              <w:rPr>
                <w:rFonts w:ascii="宋体" w:hAnsi="宋体" w:cs="宋体" w:eastAsia="宋体"/>
                <w:b w:val="false"/>
              </w:rPr>
              <w:t>4.25%</w:t>
            </w:r>
          </w:p>
        </w:tc>
        <w:tc>
          <w:tcPr>
            <w:tcW/>
            <w:vAlign w:val="center"/>
          </w:tcPr>
          <w:p>
            <w:pPr>
              <w:spacing w:line="240" w:lineRule="auto"/>
              <w:jc w:val="left"/>
            </w:pPr>
            <w:r>
              <w:rPr>
                <w:rFonts w:ascii="宋体" w:hAnsi="宋体" w:cs="宋体" w:eastAsia="宋体"/>
                <w:b w:val="false"/>
              </w:rPr>
              <w:t>自合同生效之日起不少于3年</w:t>
            </w:r>
          </w:p>
        </w:tc>
      </w:tr>
      <w:tr>
        <w:tc>
          <w:tcPr>
            <w:tcW/>
            <w:vAlign w:val="center"/>
          </w:tcPr>
          <w:p>
            <w:pPr>
              <w:spacing w:line="240" w:lineRule="auto"/>
              <w:jc w:val="left"/>
            </w:pPr>
            <w:r>
              <w:rPr>
                <w:rFonts w:ascii="宋体" w:hAnsi="宋体" w:cs="宋体" w:eastAsia="宋体"/>
                <w:b w:val="false"/>
              </w:rPr>
              <w:t>基金经理等人员</w:t>
            </w:r>
          </w:p>
        </w:tc>
        <w:tc>
          <w:tcPr>
            <w:tcW/>
            <w:vAlign w:val="center"/>
          </w:tcPr>
          <w:p>
            <w:pPr>
              <w:spacing w:line="240" w:lineRule="auto"/>
              <w:jc w:val="right"/>
            </w:pPr>
            <w:r>
              <w:rPr>
                <w:rFonts w:ascii="宋体" w:hAnsi="宋体" w:cs="宋体" w:eastAsia="宋体"/>
                <w:b w:val="false"/>
              </w:rPr>
              <w:t>500,419.00</w:t>
            </w:r>
          </w:p>
        </w:tc>
        <w:tc>
          <w:tcPr>
            <w:tcW/>
            <w:vAlign w:val="center"/>
          </w:tcPr>
          <w:p>
            <w:pPr>
              <w:spacing w:line="240" w:lineRule="auto"/>
              <w:jc w:val="right"/>
            </w:pPr>
            <w:r>
              <w:rPr>
                <w:rFonts w:ascii="宋体" w:hAnsi="宋体" w:cs="宋体" w:eastAsia="宋体"/>
                <w:b w:val="false"/>
              </w:rPr>
              <w:t>0.47%</w:t>
            </w:r>
          </w:p>
        </w:tc>
        <w:tc>
          <w:tcPr>
            <w:tcW/>
            <w:vAlign w:val="center"/>
          </w:tcPr>
          <w:p>
            <w:pPr>
              <w:spacing w:line="240" w:lineRule="auto"/>
              <w:jc w:val="right"/>
            </w:pPr>
            <w:r>
              <w:rPr>
                <w:rFonts w:ascii="宋体" w:hAnsi="宋体" w:cs="宋体" w:eastAsia="宋体"/>
                <w:b w:val="false"/>
              </w:rPr>
              <w:t>500,419.00</w:t>
            </w:r>
          </w:p>
        </w:tc>
        <w:tc>
          <w:tcPr>
            <w:tcW/>
            <w:vAlign w:val="center"/>
          </w:tcPr>
          <w:p>
            <w:pPr>
              <w:spacing w:line="240" w:lineRule="auto"/>
              <w:jc w:val="right"/>
            </w:pPr>
            <w:r>
              <w:rPr>
                <w:rFonts w:ascii="宋体" w:hAnsi="宋体" w:cs="宋体" w:eastAsia="宋体"/>
                <w:b w:val="false"/>
              </w:rPr>
              <w:t>0.47%</w:t>
            </w:r>
          </w:p>
        </w:tc>
        <w:tc>
          <w:tcPr>
            <w:tcW/>
            <w:vAlign w:val="center"/>
          </w:tcPr>
          <w:p>
            <w:pPr>
              <w:spacing w:line="240" w:lineRule="auto"/>
              <w:jc w:val="left"/>
            </w:pPr>
            <w:r>
              <w:rPr>
                <w:rFonts w:ascii="宋体" w:hAnsi="宋体" w:cs="宋体" w:eastAsia="宋体"/>
                <w:b w:val="false"/>
              </w:rPr>
              <w:t>自合同生效之日起不少于3年</w:t>
            </w:r>
          </w:p>
        </w:tc>
      </w:tr>
      <w:tr>
        <w:tc>
          <w:tcPr>
            <w:tcW/>
            <w:vAlign w:val="center"/>
          </w:tcPr>
          <w:p>
            <w:pPr>
              <w:spacing w:line="240" w:lineRule="auto"/>
              <w:jc w:val="left"/>
            </w:pPr>
            <w:r>
              <w:rPr>
                <w:rFonts w:ascii="宋体" w:hAnsi="宋体" w:cs="宋体" w:eastAsia="宋体"/>
                <w:b w:val="false"/>
              </w:rPr>
              <w:t>基金管理人股东</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left"/>
            </w:pPr>
            <w:r>
              <w:rPr>
                <w:rFonts w:ascii="宋体" w:hAnsi="宋体" w:cs="宋体" w:eastAsia="宋体"/>
                <w:b w:val="false"/>
              </w:rPr>
              <w:t>-</w:t>
            </w:r>
          </w:p>
        </w:tc>
      </w:tr>
      <w:tr>
        <w:tc>
          <w:tcPr>
            <w:tcW/>
            <w:vAlign w:val="center"/>
          </w:tcPr>
          <w:p>
            <w:pPr>
              <w:spacing w:line="240" w:lineRule="auto"/>
              <w:jc w:val="left"/>
            </w:pPr>
            <w:r>
              <w:rPr>
                <w:rFonts w:ascii="宋体" w:hAnsi="宋体" w:cs="宋体" w:eastAsia="宋体"/>
                <w:b w:val="false"/>
              </w:rPr>
              <w:t>其他</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right"/>
            </w:pPr>
            <w:r>
              <w:rPr>
                <w:rFonts w:ascii="宋体" w:hAnsi="宋体" w:cs="宋体" w:eastAsia="宋体"/>
                <w:b w:val="false"/>
              </w:rPr>
              <w:t>-</w:t>
            </w:r>
          </w:p>
        </w:tc>
        <w:tc>
          <w:tcPr>
            <w:tcW/>
            <w:vAlign w:val="center"/>
          </w:tcPr>
          <w:p>
            <w:pPr>
              <w:spacing w:line="240" w:lineRule="auto"/>
              <w:jc w:val="left"/>
            </w:pPr>
            <w:r>
              <w:rPr>
                <w:rFonts w:ascii="宋体" w:hAnsi="宋体" w:cs="宋体" w:eastAsia="宋体"/>
                <w:b w:val="false"/>
              </w:rPr>
              <w:t>-</w:t>
            </w:r>
          </w:p>
        </w:tc>
      </w:tr>
      <w:tr>
        <w:tc>
          <w:tcPr>
            <w:tcW/>
            <w:vAlign w:val="center"/>
          </w:tcPr>
          <w:p>
            <w:pPr>
              <w:spacing w:line="240" w:lineRule="auto"/>
              <w:jc w:val="center"/>
            </w:pPr>
            <w:r>
              <w:rPr>
                <w:rFonts w:ascii="宋体" w:hAnsi="宋体" w:cs="宋体" w:eastAsia="宋体"/>
                <w:b w:val="false"/>
              </w:rPr>
              <w:t>合计</w:t>
            </w:r>
          </w:p>
        </w:tc>
        <w:tc>
          <w:tcPr>
            <w:tcW/>
            <w:vAlign w:val="center"/>
          </w:tcPr>
          <w:p>
            <w:pPr>
              <w:spacing w:line="240" w:lineRule="auto"/>
              <w:jc w:val="right"/>
            </w:pPr>
            <w:r>
              <w:rPr>
                <w:rFonts w:ascii="宋体" w:hAnsi="宋体" w:cs="宋体" w:eastAsia="宋体"/>
                <w:b w:val="false"/>
              </w:rPr>
              <w:t>10,001,519.03</w:t>
            </w:r>
          </w:p>
        </w:tc>
        <w:tc>
          <w:tcPr>
            <w:tcW/>
            <w:vAlign w:val="center"/>
          </w:tcPr>
          <w:p>
            <w:pPr>
              <w:spacing w:line="240" w:lineRule="auto"/>
              <w:jc w:val="right"/>
            </w:pPr>
            <w:r>
              <w:rPr>
                <w:rFonts w:ascii="宋体" w:hAnsi="宋体" w:cs="宋体" w:eastAsia="宋体"/>
                <w:b w:val="false"/>
              </w:rPr>
              <w:t>9.43%</w:t>
            </w:r>
          </w:p>
        </w:tc>
        <w:tc>
          <w:tcPr>
            <w:tcW/>
            <w:vAlign w:val="center"/>
          </w:tcPr>
          <w:p>
            <w:pPr>
              <w:spacing w:line="240" w:lineRule="auto"/>
              <w:jc w:val="right"/>
            </w:pPr>
            <w:r>
              <w:rPr>
                <w:rFonts w:ascii="宋体" w:hAnsi="宋体" w:cs="宋体" w:eastAsia="宋体"/>
                <w:b w:val="false"/>
              </w:rPr>
              <w:t>10,001,519.03</w:t>
            </w:r>
          </w:p>
        </w:tc>
        <w:tc>
          <w:tcPr>
            <w:tcW/>
            <w:vAlign w:val="center"/>
          </w:tcPr>
          <w:p>
            <w:pPr>
              <w:spacing w:line="240" w:lineRule="auto"/>
              <w:jc w:val="right"/>
            </w:pPr>
            <w:r>
              <w:rPr>
                <w:rFonts w:ascii="宋体" w:hAnsi="宋体" w:cs="宋体" w:eastAsia="宋体"/>
                <w:b w:val="false"/>
              </w:rPr>
              <w:t>9.43%</w:t>
            </w:r>
          </w:p>
        </w:tc>
        <w:tc>
          <w:tcPr>
            <w:tcW/>
            <w:vAlign w:val="center"/>
          </w:tcPr>
          <w:p>
            <w:pPr>
              <w:spacing w:line="240" w:lineRule="auto"/>
              <w:jc w:val="left"/>
            </w:pPr>
            <w:r>
              <w:rPr>
                <w:rFonts w:ascii="宋体" w:hAnsi="宋体" w:cs="宋体" w:eastAsia="宋体"/>
                <w:b w:val="false"/>
              </w:rPr>
              <w:t>-</w:t>
            </w:r>
          </w:p>
        </w:tc>
      </w:tr>
    </w:tbl>
    <w:p>
      <w:pPr>
        <w:pStyle w:val="1"/>
        <w:jc w:val="center"/>
      </w:pPr>
      <w:r>
        <w:rPr>
          <w:rFonts w:ascii="宋体" w:hAnsi="宋体" w:cs="宋体" w:eastAsia="宋体"/>
        </w:rPr>
        <w:t>§9 影响投资者决策的其他重要信息</w:t>
      </w:r>
    </w:p>
    <w:p>
      <w:pPr>
        <w:pStyle w:val="2"/>
        <w:jc w:val="left"/>
      </w:pPr>
      <w:r>
        <w:rPr>
          <w:rFonts w:ascii="宋体" w:hAnsi="宋体" w:cs="宋体" w:eastAsia="宋体"/>
        </w:rPr>
        <w:t>9.1 报告期内单一投资者持有基金份额比例达到或超过20%的情况</w:t>
      </w:r>
    </w:p>
    <w:p>
      <w:r>
        <w:rPr>
          <w:rFonts w:ascii="宋体" w:hAnsi="宋体" w:cs="宋体" w:eastAsia="宋体"/>
          <w:b w:val="false"/>
        </w:rPr>
        <w:t xml:space="preserve">    本报告期内，本基金不存在单一投资者持有基金份额比例达到或超过20%的情况。</w:t>
      </w:r>
    </w:p>
    <w:p/>
    <w:p>
      <w:pPr>
        <w:pStyle w:val="2"/>
        <w:jc w:val="left"/>
      </w:pPr>
      <w:r>
        <w:rPr>
          <w:rFonts w:ascii="宋体" w:hAnsi="宋体" w:cs="宋体" w:eastAsia="宋体"/>
        </w:rPr>
        <w:t>9.2 影响投资者决策的其他重要信息</w:t>
      </w:r>
    </w:p>
    <w:p>
      <w:r>
        <w:rPr>
          <w:rFonts w:ascii="宋体" w:hAnsi="宋体" w:cs="宋体" w:eastAsia="宋体"/>
          <w:b w:val="false"/>
        </w:rPr>
        <w:t xml:space="preserve">    2026年6月，基金托管人中信银行股份有限公司聘任王坚为资产托管部总经理，待获得基金从业资格并履行备案程序后正式履职。</w:t>
      </w:r>
    </w:p>
    <w:p>
      <w:pPr>
        <w:pStyle w:val="1"/>
        <w:jc w:val="center"/>
      </w:pPr>
      <w:r>
        <w:rPr>
          <w:rFonts w:ascii="宋体" w:hAnsi="宋体" w:cs="宋体" w:eastAsia="宋体"/>
        </w:rPr>
        <w:t>§10 备查文件目录</w:t>
      </w:r>
    </w:p>
    <w:p>
      <w:pPr>
        <w:pStyle w:val="2"/>
        <w:jc w:val="left"/>
      </w:pPr>
      <w:r>
        <w:rPr>
          <w:rFonts w:ascii="宋体" w:hAnsi="宋体" w:cs="宋体" w:eastAsia="宋体"/>
        </w:rPr>
        <w:t>10.1 备查文件目录</w:t>
      </w:r>
    </w:p>
    <w:p>
      <w:r>
        <w:rPr>
          <w:rFonts w:ascii="宋体" w:hAnsi="宋体" w:cs="宋体" w:eastAsia="宋体"/>
          <w:b w:val="false"/>
        </w:rPr>
        <w:t xml:space="preserve">    1、中国证券监督管理委员会批准的东方阿尔法健康产业混合型发起式证券投资基金设立的文件；</w:t>
        <w:br/>
      </w:r>
      <w:r>
        <w:rPr>
          <w:rFonts w:ascii="宋体" w:hAnsi="宋体" w:cs="宋体" w:eastAsia="宋体"/>
          <w:b w:val="false"/>
        </w:rPr>
        <w:t xml:space="preserve">    2、《东方阿尔法健康产业混合型发起式证券投资基金基金合同》；</w:t>
        <w:br/>
      </w:r>
      <w:r>
        <w:rPr>
          <w:rFonts w:ascii="宋体" w:hAnsi="宋体" w:cs="宋体" w:eastAsia="宋体"/>
          <w:b w:val="false"/>
        </w:rPr>
        <w:t xml:space="preserve">    3、《东方阿尔法健康产业混合型发起式证券投资基金托管协议》；</w:t>
        <w:br/>
      </w:r>
      <w:r>
        <w:rPr>
          <w:rFonts w:ascii="宋体" w:hAnsi="宋体" w:cs="宋体" w:eastAsia="宋体"/>
          <w:b w:val="false"/>
        </w:rPr>
        <w:t xml:space="preserve">    4、《东方阿尔法健康产业混合型发起式证券投资基金招募说明书》（含更新）；</w:t>
        <w:br/>
      </w:r>
      <w:r>
        <w:rPr>
          <w:rFonts w:ascii="宋体" w:hAnsi="宋体" w:cs="宋体" w:eastAsia="宋体"/>
          <w:b w:val="false"/>
        </w:rPr>
        <w:t xml:space="preserve">    5、基金管理人业务资格批件和营业执照。</w:t>
      </w:r>
    </w:p>
    <w:p/>
    <w:p>
      <w:pPr>
        <w:pStyle w:val="2"/>
        <w:jc w:val="left"/>
      </w:pPr>
      <w:r>
        <w:rPr>
          <w:rFonts w:ascii="宋体" w:hAnsi="宋体" w:cs="宋体" w:eastAsia="宋体"/>
        </w:rPr>
        <w:t>10.2 存放地点</w:t>
      </w:r>
    </w:p>
    <w:p>
      <w:r>
        <w:rPr>
          <w:rFonts w:ascii="宋体" w:hAnsi="宋体" w:cs="宋体" w:eastAsia="宋体"/>
          <w:b w:val="false"/>
        </w:rPr>
        <w:t xml:space="preserve">    基金管理人和基金托管人的住所。</w:t>
      </w:r>
    </w:p>
    <w:p/>
    <w:p>
      <w:pPr>
        <w:pStyle w:val="2"/>
        <w:jc w:val="left"/>
      </w:pPr>
      <w:r>
        <w:rPr>
          <w:rFonts w:ascii="宋体" w:hAnsi="宋体" w:cs="宋体" w:eastAsia="宋体"/>
        </w:rPr>
        <w:t>10.3 查阅方式</w:t>
      </w:r>
    </w:p>
    <w:p>
      <w:r>
        <w:rPr>
          <w:rFonts w:ascii="宋体" w:hAnsi="宋体" w:cs="宋体" w:eastAsia="宋体"/>
          <w:b w:val="false"/>
        </w:rPr>
        <w:t xml:space="preserve">    1、投资者可在营业时间免费查阅，也可按工本费购买复印件。</w:t>
        <w:br/>
      </w:r>
      <w:r>
        <w:rPr>
          <w:rFonts w:ascii="宋体" w:hAnsi="宋体" w:cs="宋体" w:eastAsia="宋体"/>
          <w:b w:val="false"/>
        </w:rPr>
        <w:t xml:space="preserve">    2、投资者对本报告书如有疑问，可咨询本基金管理人东方阿尔法基金管理有限公司，客户服务电话：400-930-6677（免长途话费）。</w:t>
        <w:br/>
      </w:r>
      <w:r>
        <w:rPr>
          <w:rFonts w:ascii="宋体" w:hAnsi="宋体" w:cs="宋体" w:eastAsia="宋体"/>
          <w:b w:val="false"/>
        </w:rPr>
        <w:t xml:space="preserve">    3、投资者可通过中国证监会基金电子披露网站（http://eid.csrc.gov.cn/fund/）和基金管理人网站（https://www.dfa66.com）查阅本报告书。</w:t>
      </w:r>
    </w:p>
    <w:p/>
    <w:p/>
    <w:p/>
    <w:p>
      <w:pPr>
        <w:jc w:val="right"/>
      </w:pPr>
      <w:r>
        <w:rPr>
          <w:rFonts w:ascii="宋体" w:hAnsi="宋体" w:cs="宋体" w:eastAsia="宋体"/>
          <w:b w:val="true"/>
        </w:rPr>
        <w:t>东方阿尔法基金管理有限公司</w:t>
      </w:r>
    </w:p>
    <w:p>
      <w:pPr>
        <w:jc w:val="right"/>
      </w:pPr>
      <w:r>
        <w:rPr>
          <w:rFonts w:ascii="宋体" w:hAnsi="宋体" w:cs="宋体" w:eastAsia="宋体"/>
          <w:b w:val="true"/>
        </w:rPr>
        <w:t>二〇二六年七月二十日</w:t>
      </w:r>
    </w:p>
    <w:sectPr w:rsidR="00396EB6" w:rsidSect="000B0ABB">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C5DF" w14:textId="77777777" w:rsidR="00CF2DE6" w:rsidRDefault="00CF2DE6">
      <w:r>
        <w:separator/>
      </w:r>
    </w:p>
  </w:endnote>
  <w:endnote w:type="continuationSeparator" w:id="0">
    <w:p w14:paraId="7F07E51B" w14:textId="77777777" w:rsidR="00CF2DE6" w:rsidRDefault="00CF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36F2E" w14:textId="77777777" w:rsidR="00210325" w:rsidRDefault="0021032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0235" w14:textId="1E8BACBC" w:rsidR="00396EB6" w:rsidRPr="00BB3931" w:rsidRDefault="00315609">
    <w:pPr>
      <w:pBdr>
        <w:top w:val="single" w:sz="2" w:space="0" w:color="auto"/>
      </w:pBdr>
      <w:tabs>
        <w:tab w:val="right" w:pos="8640"/>
      </w:tabs>
      <w:jc w:val="center"/>
      <w:textAlignment w:val="center"/>
      <w:rPr>
        <w:rFonts w:ascii="宋体" w:eastAsia="宋体" w:hAnsi="宋体"/>
        <w:sz w:val="20"/>
        <w:szCs w:val="20"/>
      </w:rPr>
    </w:pPr>
    <w:r w:rsidRPr="00BB3931">
      <w:rPr>
        <w:rFonts w:ascii="宋体" w:eastAsia="宋体" w:hAnsi="宋体" w:cs="宋体" w:hint="eastAsia"/>
        <w:sz w:val="20"/>
        <w:szCs w:val="20"/>
        <w:lang w:bidi="ar"/>
      </w:rPr>
      <w:t>第</w:t>
    </w:r>
    <w:r w:rsidRPr="00BB3931">
      <w:rPr>
        <w:rFonts w:ascii="宋体" w:eastAsia="宋体" w:hAnsi="宋体" w:cs="Times New Roman" w:hint="eastAsia"/>
        <w:sz w:val="20"/>
        <w:szCs w:val="20"/>
        <w:lang w:bidi="ar"/>
      </w:rPr>
      <w:fldChar w:fldCharType="begin"/>
    </w:r>
    <w:r w:rsidRPr="00BB3931">
      <w:rPr>
        <w:rFonts w:ascii="宋体" w:eastAsia="宋体" w:hAnsi="宋体" w:cs="宋体" w:hint="eastAsia"/>
        <w:sz w:val="20"/>
        <w:szCs w:val="20"/>
        <w:lang w:bidi="ar"/>
      </w:rPr>
      <w:instrText>PAGE  \* MERGEFORMAT</w:instrText>
    </w:r>
    <w:r w:rsidRPr="00BB3931">
      <w:rPr>
        <w:rFonts w:ascii="宋体" w:eastAsia="宋体" w:hAnsi="宋体" w:cs="Times New Roman" w:hint="eastAsia"/>
        <w:sz w:val="20"/>
        <w:szCs w:val="20"/>
        <w:lang w:bidi="ar"/>
      </w:rPr>
      <w:fldChar w:fldCharType="separate"/>
    </w:r>
    <w:r w:rsidR="00421707" w:rsidRPr="00BB3931">
      <w:rPr>
        <w:rFonts w:ascii="宋体" w:eastAsia="宋体" w:hAnsi="宋体" w:cs="宋体"/>
        <w:noProof/>
        <w:sz w:val="20"/>
        <w:szCs w:val="20"/>
        <w:lang w:bidi="ar"/>
      </w:rPr>
      <w:t>2</w:t>
    </w:r>
    <w:r w:rsidRPr="00BB3931">
      <w:rPr>
        <w:rFonts w:ascii="宋体" w:eastAsia="宋体" w:hAnsi="宋体" w:cs="宋体" w:hint="eastAsia"/>
        <w:sz w:val="20"/>
        <w:szCs w:val="20"/>
        <w:lang w:bidi="ar"/>
      </w:rPr>
      <w:fldChar w:fldCharType="end"/>
    </w:r>
    <w:r w:rsidRPr="00BB3931">
      <w:rPr>
        <w:rFonts w:ascii="宋体" w:eastAsia="宋体" w:hAnsi="宋体" w:cs="宋体" w:hint="eastAsia"/>
        <w:sz w:val="20"/>
        <w:szCs w:val="20"/>
        <w:lang w:bidi="ar"/>
      </w:rPr>
      <w:t>页</w:t>
    </w:r>
    <w:r w:rsidR="00FA6399" w:rsidRPr="00BB3931">
      <w:rPr>
        <w:rFonts w:ascii="宋体" w:eastAsia="宋体" w:hAnsi="宋体" w:cs="宋体" w:hint="eastAsia"/>
        <w:sz w:val="20"/>
        <w:szCs w:val="20"/>
        <w:lang w:bidi="ar"/>
      </w:rPr>
      <w:t>，</w:t>
    </w:r>
    <w:r w:rsidRPr="00BB3931">
      <w:rPr>
        <w:rFonts w:ascii="宋体" w:eastAsia="宋体" w:hAnsi="宋体" w:cs="宋体" w:hint="eastAsia"/>
        <w:sz w:val="20"/>
        <w:szCs w:val="20"/>
        <w:lang w:bidi="ar"/>
      </w:rPr>
      <w:t>共</w:t>
    </w:r>
    <w:r w:rsidRPr="00BB3931">
      <w:rPr>
        <w:rFonts w:ascii="宋体" w:eastAsia="宋体" w:hAnsi="宋体" w:cs="Times New Roman" w:hint="eastAsia"/>
        <w:sz w:val="20"/>
        <w:szCs w:val="20"/>
        <w:lang w:bidi="ar"/>
      </w:rPr>
      <w:fldChar w:fldCharType="begin"/>
    </w:r>
    <w:r w:rsidR="00210325" w:rsidRPr="00BB3931">
      <w:rPr>
        <w:rFonts w:ascii="宋体" w:eastAsia="宋体" w:hAnsi="宋体" w:cs="Times New Roman"/>
        <w:sz w:val="20"/>
        <w:szCs w:val="20"/>
        <w:lang w:bidi="ar"/>
      </w:rPr>
      <w:instrText>=</w:instrText>
    </w:r>
    <w:r w:rsidR="00210325" w:rsidRPr="00BB3931">
      <w:rPr>
        <w:rFonts w:ascii="宋体" w:eastAsia="宋体" w:hAnsi="宋体" w:cs="宋体"/>
        <w:sz w:val="20"/>
        <w:szCs w:val="20"/>
        <w:lang w:bidi="ar"/>
      </w:rPr>
      <w:fldChar w:fldCharType="begin"/>
    </w:r>
    <w:r w:rsidR="00210325" w:rsidRPr="00BB3931">
      <w:rPr>
        <w:rFonts w:ascii="宋体" w:eastAsia="宋体" w:hAnsi="宋体" w:cs="宋体"/>
        <w:sz w:val="20"/>
        <w:szCs w:val="20"/>
        <w:lang w:bidi="ar"/>
      </w:rPr>
      <w:instrText xml:space="preserve"> </w:instrText>
    </w:r>
    <w:r w:rsidRPr="00BB3931">
      <w:rPr>
        <w:rFonts w:ascii="宋体" w:eastAsia="宋体" w:hAnsi="宋体" w:cs="宋体" w:hint="eastAsia"/>
        <w:sz w:val="20"/>
        <w:szCs w:val="20"/>
        <w:lang w:bidi="ar"/>
      </w:rPr>
      <w:instrText>NUMPAGES</w:instrText>
    </w:r>
    <w:r w:rsidR="00210325" w:rsidRPr="00BB3931">
      <w:rPr>
        <w:rFonts w:ascii="宋体" w:eastAsia="宋体" w:hAnsi="宋体" w:cs="宋体"/>
        <w:sz w:val="20"/>
        <w:szCs w:val="20"/>
        <w:lang w:bidi="ar"/>
      </w:rPr>
      <w:instrText xml:space="preserve"> </w:instrText>
    </w:r>
    <w:r w:rsidR="00210325" w:rsidRPr="00BB3931">
      <w:rPr>
        <w:rFonts w:ascii="宋体" w:eastAsia="宋体" w:hAnsi="宋体" w:cs="宋体"/>
        <w:sz w:val="20"/>
        <w:szCs w:val="20"/>
        <w:lang w:bidi="ar"/>
      </w:rPr>
      <w:fldChar w:fldCharType="separate"/>
    </w:r>
    <w:r w:rsidR="00F07C93">
      <w:rPr>
        <w:rFonts w:ascii="宋体" w:eastAsia="宋体" w:hAnsi="宋体" w:cs="宋体"/>
        <w:noProof/>
        <w:sz w:val="20"/>
        <w:szCs w:val="20"/>
        <w:lang w:bidi="ar"/>
      </w:rPr>
      <w:instrText>2</w:instrText>
    </w:r>
    <w:r w:rsidR="00210325" w:rsidRPr="00BB3931">
      <w:rPr>
        <w:rFonts w:ascii="宋体" w:eastAsia="宋体" w:hAnsi="宋体" w:cs="宋体"/>
        <w:sz w:val="20"/>
        <w:szCs w:val="20"/>
        <w:lang w:bidi="ar"/>
      </w:rPr>
      <w:fldChar w:fldCharType="end"/>
    </w:r>
    <w:r w:rsidR="00210325" w:rsidRPr="00BB3931">
      <w:rPr>
        <w:rFonts w:ascii="宋体" w:eastAsia="宋体" w:hAnsi="宋体" w:cs="宋体"/>
        <w:sz w:val="20"/>
        <w:szCs w:val="20"/>
        <w:lang w:bidi="ar"/>
      </w:rPr>
      <w:instrText>-1</w:instrText>
    </w:r>
    <w:r w:rsidRPr="00BB3931">
      <w:rPr>
        <w:rFonts w:ascii="宋体" w:eastAsia="宋体" w:hAnsi="宋体" w:cs="Times New Roman" w:hint="eastAsia"/>
        <w:sz w:val="20"/>
        <w:szCs w:val="20"/>
        <w:lang w:bidi="ar"/>
      </w:rPr>
      <w:fldChar w:fldCharType="separate"/>
    </w:r>
    <w:r w:rsidR="00F07C93">
      <w:rPr>
        <w:rFonts w:ascii="宋体" w:eastAsia="宋体" w:hAnsi="宋体" w:cs="Times New Roman"/>
        <w:noProof/>
        <w:sz w:val="20"/>
        <w:szCs w:val="20"/>
        <w:lang w:bidi="ar"/>
      </w:rPr>
      <w:t>1</w:t>
    </w:r>
    <w:r w:rsidRPr="00BB3931">
      <w:rPr>
        <w:rFonts w:ascii="宋体" w:eastAsia="宋体" w:hAnsi="宋体" w:cs="宋体" w:hint="eastAsia"/>
        <w:sz w:val="20"/>
        <w:szCs w:val="20"/>
        <w:lang w:bidi="ar"/>
      </w:rPr>
      <w:fldChar w:fldCharType="end"/>
    </w:r>
    <w:r w:rsidRPr="00BB3931">
      <w:rPr>
        <w:rFonts w:ascii="宋体" w:eastAsia="宋体" w:hAnsi="宋体" w:cs="宋体" w:hint="eastAsia"/>
        <w:sz w:val="20"/>
        <w:szCs w:val="20"/>
        <w:lang w:bidi="ar"/>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4EC9" w14:textId="77777777" w:rsidR="00210325" w:rsidRDefault="0021032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A83EB" w14:textId="77777777" w:rsidR="00CF2DE6" w:rsidRDefault="00CF2DE6">
      <w:r>
        <w:separator/>
      </w:r>
    </w:p>
  </w:footnote>
  <w:footnote w:type="continuationSeparator" w:id="0">
    <w:p w14:paraId="6110B940" w14:textId="77777777" w:rsidR="00CF2DE6" w:rsidRDefault="00CF2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B55B" w14:textId="77777777" w:rsidR="00210325" w:rsidRDefault="00210325">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8A64" w14:textId="77777777" w:rsidR="00396EB6" w:rsidRPr="00A53CFE" w:rsidRDefault="00315609">
    <w:pPr>
      <w:pStyle w:val="af1"/>
      <w:pBdr>
        <w:bottom w:val="single" w:sz="4" w:space="1" w:color="auto"/>
      </w:pBdr>
      <w:jc w:val="right"/>
      <w:rPr>
        <w:rFonts w:ascii="宋体" w:eastAsia="宋体" w:hAnsi="宋体"/>
      </w:rPr>
    </w:pPr>
    <w:r w:rsidRPr="00A53CFE">
      <w:rPr>
        <w:rFonts w:ascii="宋体" w:eastAsia="宋体" w:hAnsi="宋体" w:hint="eastAsia"/>
        <w:sz w:val="18"/>
      </w:rPr>
      <w:t>东方阿尔法健康产业混合型发起式证券投资基金2026年第2季度报告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E7EB" w14:textId="77777777" w:rsidR="00210325" w:rsidRDefault="00210325">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F1"/>
    <w:rsid w:val="00031D8B"/>
    <w:rsid w:val="00033BEA"/>
    <w:rsid w:val="00093312"/>
    <w:rsid w:val="000934BF"/>
    <w:rsid w:val="000B0ABB"/>
    <w:rsid w:val="000B14F1"/>
    <w:rsid w:val="000D44F1"/>
    <w:rsid w:val="000F65E0"/>
    <w:rsid w:val="001567AA"/>
    <w:rsid w:val="001663E4"/>
    <w:rsid w:val="001941F0"/>
    <w:rsid w:val="001A0694"/>
    <w:rsid w:val="001A6F82"/>
    <w:rsid w:val="001E49DE"/>
    <w:rsid w:val="001E604E"/>
    <w:rsid w:val="001E72DB"/>
    <w:rsid w:val="00210325"/>
    <w:rsid w:val="00217CEB"/>
    <w:rsid w:val="0026022A"/>
    <w:rsid w:val="00294812"/>
    <w:rsid w:val="002C6A0C"/>
    <w:rsid w:val="002D4665"/>
    <w:rsid w:val="00315609"/>
    <w:rsid w:val="00324653"/>
    <w:rsid w:val="0039693D"/>
    <w:rsid w:val="00396EB6"/>
    <w:rsid w:val="003B4810"/>
    <w:rsid w:val="00421707"/>
    <w:rsid w:val="004245F7"/>
    <w:rsid w:val="00435171"/>
    <w:rsid w:val="0048630B"/>
    <w:rsid w:val="004A5321"/>
    <w:rsid w:val="004F33D8"/>
    <w:rsid w:val="004F7772"/>
    <w:rsid w:val="005037A9"/>
    <w:rsid w:val="00514F66"/>
    <w:rsid w:val="00536F98"/>
    <w:rsid w:val="005370B1"/>
    <w:rsid w:val="0054091C"/>
    <w:rsid w:val="005826D5"/>
    <w:rsid w:val="005B565C"/>
    <w:rsid w:val="005D1F67"/>
    <w:rsid w:val="00657345"/>
    <w:rsid w:val="00686AE6"/>
    <w:rsid w:val="006935A0"/>
    <w:rsid w:val="00695511"/>
    <w:rsid w:val="006C560C"/>
    <w:rsid w:val="007A3B64"/>
    <w:rsid w:val="007B3AFF"/>
    <w:rsid w:val="007F3D78"/>
    <w:rsid w:val="00801225"/>
    <w:rsid w:val="00832DA1"/>
    <w:rsid w:val="008432E9"/>
    <w:rsid w:val="008F2779"/>
    <w:rsid w:val="00917A48"/>
    <w:rsid w:val="0092608A"/>
    <w:rsid w:val="00931CFE"/>
    <w:rsid w:val="009A04DF"/>
    <w:rsid w:val="009A27BD"/>
    <w:rsid w:val="009C2384"/>
    <w:rsid w:val="009C68F3"/>
    <w:rsid w:val="009F43BC"/>
    <w:rsid w:val="00A53CFE"/>
    <w:rsid w:val="00A76644"/>
    <w:rsid w:val="00AB695A"/>
    <w:rsid w:val="00B02205"/>
    <w:rsid w:val="00B659D3"/>
    <w:rsid w:val="00BA1D2B"/>
    <w:rsid w:val="00BB3931"/>
    <w:rsid w:val="00BB5499"/>
    <w:rsid w:val="00BD2190"/>
    <w:rsid w:val="00C05CA1"/>
    <w:rsid w:val="00C06BEF"/>
    <w:rsid w:val="00C1377F"/>
    <w:rsid w:val="00C370BD"/>
    <w:rsid w:val="00C86ED5"/>
    <w:rsid w:val="00CA50CC"/>
    <w:rsid w:val="00CF2DE6"/>
    <w:rsid w:val="00D155B6"/>
    <w:rsid w:val="00D91EBF"/>
    <w:rsid w:val="00DB110D"/>
    <w:rsid w:val="00DE3FE0"/>
    <w:rsid w:val="00E220FA"/>
    <w:rsid w:val="00E44EAD"/>
    <w:rsid w:val="00E6731E"/>
    <w:rsid w:val="00E67AEA"/>
    <w:rsid w:val="00E913D3"/>
    <w:rsid w:val="00EC2CEF"/>
    <w:rsid w:val="00EE18AB"/>
    <w:rsid w:val="00F07C93"/>
    <w:rsid w:val="00F1496B"/>
    <w:rsid w:val="00F32DCB"/>
    <w:rsid w:val="00FA0949"/>
    <w:rsid w:val="00FA22F7"/>
    <w:rsid w:val="00FA6399"/>
    <w:rsid w:val="00FE53D3"/>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FFCBC"/>
  <w15:docId w15:val="{D89B03D2-9D7D-433E-9AEE-2EA6D7CF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649"/>
    <w:pPr>
      <w:widowControl w:val="0"/>
      <w:spacing w:line="288" w:lineRule="auto"/>
      <w:jc w:val="both"/>
    </w:pPr>
    <w:rPr>
      <w:rFonts w:eastAsia="宋体"/>
    </w:rPr>
  </w:style>
  <w:style w:type="paragraph" w:styleId="1">
    <w:name w:val="heading 1"/>
    <w:aliases w:val="1"/>
    <w:basedOn w:val="a"/>
    <w:next w:val="a"/>
    <w:link w:val="10"/>
    <w:uiPriority w:val="9"/>
    <w:qFormat/>
    <w:rsid w:val="001B05B3"/>
    <w:pPr>
      <w:spacing w:before="340" w:after="330" w:line="576" w:lineRule="auto"/>
      <w:jc w:val="center"/>
      <w:outlineLvl w:val="0"/>
    </w:pPr>
    <w:rPr>
      <w:b/>
      <w:bCs/>
      <w:kern w:val="44"/>
      <w:sz w:val="24"/>
      <w:szCs w:val="44"/>
    </w:rPr>
  </w:style>
  <w:style w:type="paragraph" w:styleId="2">
    <w:name w:val="heading 2"/>
    <w:aliases w:val="2"/>
    <w:basedOn w:val="a"/>
    <w:next w:val="a"/>
    <w:link w:val="20"/>
    <w:uiPriority w:val="9"/>
    <w:unhideWhenUsed/>
    <w:qFormat/>
    <w:rsid w:val="00A5263B"/>
    <w:pPr>
      <w:adjustRightInd w:val="0"/>
      <w:spacing w:line="360" w:lineRule="auto"/>
      <w:jc w:val="left"/>
      <w:outlineLvl w:val="1"/>
    </w:pPr>
    <w:rPr>
      <w:rFonts w:asciiTheme="majorHAnsi" w:hAnsiTheme="majorHAnsi" w:cstheme="majorBidi"/>
      <w:b/>
      <w:bCs/>
      <w:sz w:val="24"/>
      <w:szCs w:val="32"/>
    </w:rPr>
  </w:style>
  <w:style w:type="paragraph" w:styleId="3">
    <w:name w:val="heading 3"/>
    <w:aliases w:val="3"/>
    <w:basedOn w:val="a"/>
    <w:next w:val="a"/>
    <w:link w:val="30"/>
    <w:uiPriority w:val="9"/>
    <w:unhideWhenUsed/>
    <w:qFormat/>
    <w:rsid w:val="00A5263B"/>
    <w:pPr>
      <w:keepNext/>
      <w:keepLines/>
      <w:spacing w:line="360" w:lineRule="auto"/>
      <w:outlineLvl w:val="2"/>
    </w:pPr>
    <w:rPr>
      <w:b/>
      <w:bCs/>
      <w:sz w:val="24"/>
      <w:szCs w:val="32"/>
    </w:rPr>
  </w:style>
  <w:style w:type="paragraph" w:styleId="4">
    <w:name w:val="heading 4"/>
    <w:basedOn w:val="a"/>
    <w:next w:val="a"/>
    <w:link w:val="40"/>
    <w:uiPriority w:val="9"/>
    <w:semiHidden/>
    <w:unhideWhenUsed/>
    <w:qFormat/>
    <w:rsid w:val="004A53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代码样式"/>
    <w:link w:val="Char"/>
    <w:qFormat/>
    <w:rsid w:val="004A5321"/>
    <w:pPr>
      <w:pBdr>
        <w:top w:val="single" w:sz="4" w:space="1" w:color="auto"/>
        <w:left w:val="single" w:sz="4" w:space="4" w:color="auto"/>
        <w:bottom w:val="single" w:sz="4" w:space="1" w:color="auto"/>
        <w:right w:val="single" w:sz="4" w:space="4" w:color="auto"/>
      </w:pBdr>
      <w:shd w:val="clear" w:color="auto" w:fill="A8D08D" w:themeFill="accent6" w:themeFillTint="99"/>
      <w:spacing w:beforeLines="50" w:afterLines="50"/>
      <w:ind w:leftChars="50" w:left="50" w:rightChars="50" w:right="50"/>
    </w:pPr>
  </w:style>
  <w:style w:type="character" w:customStyle="1" w:styleId="Char">
    <w:name w:val="代码样式 Char"/>
    <w:basedOn w:val="a0"/>
    <w:link w:val="a3"/>
    <w:qFormat/>
    <w:rsid w:val="004A5321"/>
    <w:rPr>
      <w:shd w:val="clear" w:color="auto" w:fill="A8D08D" w:themeFill="accent6" w:themeFillTint="99"/>
    </w:rPr>
  </w:style>
  <w:style w:type="character" w:customStyle="1" w:styleId="10">
    <w:name w:val="标题 1 字符"/>
    <w:aliases w:val="1 字符"/>
    <w:basedOn w:val="a0"/>
    <w:link w:val="1"/>
    <w:uiPriority w:val="9"/>
    <w:qFormat/>
    <w:rsid w:val="001B05B3"/>
    <w:rPr>
      <w:rFonts w:eastAsia="宋体"/>
      <w:b/>
      <w:bCs/>
      <w:kern w:val="44"/>
      <w:sz w:val="24"/>
      <w:szCs w:val="44"/>
    </w:rPr>
  </w:style>
  <w:style w:type="character" w:customStyle="1" w:styleId="20">
    <w:name w:val="标题 2 字符"/>
    <w:aliases w:val="2 字符"/>
    <w:basedOn w:val="a0"/>
    <w:link w:val="2"/>
    <w:uiPriority w:val="9"/>
    <w:rsid w:val="00A5263B"/>
    <w:rPr>
      <w:rFonts w:asciiTheme="majorHAnsi" w:eastAsia="宋体" w:hAnsiTheme="majorHAnsi" w:cstheme="majorBidi"/>
      <w:b/>
      <w:bCs/>
      <w:sz w:val="24"/>
      <w:szCs w:val="32"/>
    </w:rPr>
  </w:style>
  <w:style w:type="character" w:customStyle="1" w:styleId="30">
    <w:name w:val="标题 3 字符"/>
    <w:aliases w:val="3 字符"/>
    <w:basedOn w:val="a0"/>
    <w:link w:val="3"/>
    <w:uiPriority w:val="9"/>
    <w:rsid w:val="00A5263B"/>
    <w:rPr>
      <w:rFonts w:eastAsia="宋体"/>
      <w:b/>
      <w:bCs/>
      <w:sz w:val="24"/>
      <w:szCs w:val="32"/>
    </w:rPr>
  </w:style>
  <w:style w:type="character" w:customStyle="1" w:styleId="40">
    <w:name w:val="标题 4 字符"/>
    <w:basedOn w:val="a0"/>
    <w:link w:val="4"/>
    <w:uiPriority w:val="9"/>
    <w:semiHidden/>
    <w:rsid w:val="004A5321"/>
    <w:rPr>
      <w:rFonts w:asciiTheme="majorHAnsi" w:eastAsiaTheme="majorEastAsia" w:hAnsiTheme="majorHAnsi" w:cstheme="majorBidi"/>
      <w:b/>
      <w:bCs/>
      <w:sz w:val="28"/>
      <w:szCs w:val="28"/>
    </w:rPr>
  </w:style>
  <w:style w:type="paragraph" w:styleId="TOC1">
    <w:name w:val="toc 1"/>
    <w:basedOn w:val="a"/>
    <w:next w:val="a"/>
    <w:autoRedefine/>
    <w:uiPriority w:val="39"/>
    <w:unhideWhenUsed/>
    <w:rsid w:val="00D309ED"/>
    <w:pPr>
      <w:tabs>
        <w:tab w:val="right" w:leader="dot" w:pos="9060"/>
      </w:tabs>
      <w:spacing w:line="240" w:lineRule="auto"/>
      <w:jc w:val="left"/>
    </w:pPr>
    <w:rPr>
      <w:b/>
      <w:bCs/>
      <w:caps/>
      <w:szCs w:val="20"/>
    </w:rPr>
  </w:style>
  <w:style w:type="paragraph" w:styleId="TOC2">
    <w:name w:val="toc 2"/>
    <w:basedOn w:val="a"/>
    <w:next w:val="a"/>
    <w:autoRedefine/>
    <w:uiPriority w:val="39"/>
    <w:unhideWhenUsed/>
    <w:rsid w:val="002E045B"/>
    <w:pPr>
      <w:spacing w:line="240" w:lineRule="auto"/>
      <w:ind w:left="210"/>
      <w:jc w:val="left"/>
    </w:pPr>
    <w:rPr>
      <w:smallCaps/>
      <w:szCs w:val="20"/>
    </w:rPr>
  </w:style>
  <w:style w:type="paragraph" w:styleId="TOC3">
    <w:name w:val="toc 3"/>
    <w:basedOn w:val="a"/>
    <w:next w:val="a"/>
    <w:autoRedefine/>
    <w:uiPriority w:val="39"/>
    <w:unhideWhenUsed/>
    <w:rsid w:val="002E045B"/>
    <w:pPr>
      <w:spacing w:line="240" w:lineRule="auto"/>
      <w:ind w:left="420"/>
      <w:jc w:val="left"/>
    </w:pPr>
    <w:rPr>
      <w:i/>
      <w:iCs/>
      <w:szCs w:val="20"/>
    </w:rPr>
  </w:style>
  <w:style w:type="paragraph" w:styleId="a4">
    <w:name w:val="Normal Indent"/>
    <w:basedOn w:val="a"/>
    <w:link w:val="a5"/>
    <w:uiPriority w:val="99"/>
    <w:semiHidden/>
    <w:unhideWhenUsed/>
    <w:rsid w:val="004A5321"/>
    <w:pPr>
      <w:ind w:firstLineChars="200" w:firstLine="420"/>
    </w:pPr>
  </w:style>
  <w:style w:type="character" w:customStyle="1" w:styleId="a5">
    <w:name w:val="正文缩进 字符"/>
    <w:link w:val="a4"/>
    <w:uiPriority w:val="99"/>
    <w:semiHidden/>
    <w:qFormat/>
    <w:rsid w:val="004A5321"/>
    <w:rPr>
      <w:rFonts w:asciiTheme="minorHAnsi" w:eastAsiaTheme="minorEastAsia" w:hAnsiTheme="minorHAnsi" w:cstheme="minorBidi"/>
      <w:sz w:val="21"/>
      <w:szCs w:val="22"/>
    </w:rPr>
  </w:style>
  <w:style w:type="paragraph" w:styleId="a6">
    <w:name w:val="annotation text"/>
    <w:basedOn w:val="a"/>
    <w:link w:val="a7"/>
    <w:uiPriority w:val="99"/>
    <w:semiHidden/>
    <w:unhideWhenUsed/>
    <w:rsid w:val="004A5321"/>
    <w:pPr>
      <w:jc w:val="left"/>
    </w:pPr>
  </w:style>
  <w:style w:type="character" w:customStyle="1" w:styleId="a7">
    <w:name w:val="批注文字 字符"/>
    <w:basedOn w:val="a0"/>
    <w:link w:val="a6"/>
    <w:uiPriority w:val="99"/>
    <w:semiHidden/>
    <w:rsid w:val="004A5321"/>
    <w:rPr>
      <w:rFonts w:asciiTheme="minorHAnsi" w:eastAsiaTheme="minorEastAsia" w:hAnsiTheme="minorHAnsi" w:cstheme="minorBidi"/>
      <w:sz w:val="21"/>
      <w:szCs w:val="22"/>
    </w:rPr>
  </w:style>
  <w:style w:type="paragraph" w:styleId="a8">
    <w:name w:val="header"/>
    <w:basedOn w:val="a"/>
    <w:link w:val="a9"/>
    <w:uiPriority w:val="99"/>
    <w:unhideWhenUsed/>
    <w:rsid w:val="004A532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A5321"/>
    <w:rPr>
      <w:rFonts w:asciiTheme="minorHAnsi" w:eastAsiaTheme="minorEastAsia" w:hAnsiTheme="minorHAnsi" w:cstheme="minorBidi"/>
      <w:sz w:val="18"/>
      <w:szCs w:val="18"/>
    </w:rPr>
  </w:style>
  <w:style w:type="paragraph" w:styleId="aa">
    <w:name w:val="footer"/>
    <w:basedOn w:val="a"/>
    <w:link w:val="ab"/>
    <w:uiPriority w:val="99"/>
    <w:unhideWhenUsed/>
    <w:rsid w:val="004A5321"/>
    <w:pPr>
      <w:tabs>
        <w:tab w:val="center" w:pos="4153"/>
        <w:tab w:val="right" w:pos="8306"/>
      </w:tabs>
      <w:snapToGrid w:val="0"/>
      <w:jc w:val="left"/>
    </w:pPr>
    <w:rPr>
      <w:sz w:val="18"/>
      <w:szCs w:val="18"/>
    </w:rPr>
  </w:style>
  <w:style w:type="character" w:customStyle="1" w:styleId="ab">
    <w:name w:val="页脚 字符"/>
    <w:basedOn w:val="a0"/>
    <w:link w:val="aa"/>
    <w:uiPriority w:val="99"/>
    <w:rsid w:val="004A5321"/>
    <w:rPr>
      <w:rFonts w:asciiTheme="minorHAnsi" w:eastAsiaTheme="minorEastAsia" w:hAnsiTheme="minorHAnsi" w:cstheme="minorBidi"/>
      <w:sz w:val="18"/>
      <w:szCs w:val="18"/>
    </w:rPr>
  </w:style>
  <w:style w:type="character" w:styleId="ac">
    <w:name w:val="annotation reference"/>
    <w:basedOn w:val="a0"/>
    <w:uiPriority w:val="99"/>
    <w:semiHidden/>
    <w:unhideWhenUsed/>
    <w:rsid w:val="004A5321"/>
    <w:rPr>
      <w:sz w:val="21"/>
      <w:szCs w:val="21"/>
    </w:rPr>
  </w:style>
  <w:style w:type="paragraph" w:styleId="ad">
    <w:name w:val="Body Text"/>
    <w:basedOn w:val="a"/>
    <w:link w:val="ae"/>
    <w:uiPriority w:val="99"/>
    <w:semiHidden/>
    <w:unhideWhenUsed/>
    <w:rsid w:val="004A5321"/>
    <w:pPr>
      <w:spacing w:after="120"/>
    </w:pPr>
  </w:style>
  <w:style w:type="character" w:customStyle="1" w:styleId="ae">
    <w:name w:val="正文文本 字符"/>
    <w:basedOn w:val="a0"/>
    <w:link w:val="ad"/>
    <w:uiPriority w:val="99"/>
    <w:semiHidden/>
    <w:rsid w:val="004A5321"/>
    <w:rPr>
      <w:rFonts w:asciiTheme="minorHAnsi" w:eastAsiaTheme="minorEastAsia" w:hAnsiTheme="minorHAnsi" w:cstheme="minorBidi"/>
      <w:sz w:val="21"/>
      <w:szCs w:val="22"/>
    </w:rPr>
  </w:style>
  <w:style w:type="paragraph" w:styleId="af">
    <w:name w:val="Date"/>
    <w:basedOn w:val="a"/>
    <w:next w:val="a"/>
    <w:link w:val="af0"/>
    <w:uiPriority w:val="99"/>
    <w:semiHidden/>
    <w:unhideWhenUsed/>
    <w:rsid w:val="004A5321"/>
    <w:pPr>
      <w:ind w:leftChars="2500" w:left="100"/>
    </w:pPr>
  </w:style>
  <w:style w:type="character" w:customStyle="1" w:styleId="af0">
    <w:name w:val="日期 字符"/>
    <w:basedOn w:val="a0"/>
    <w:link w:val="af"/>
    <w:uiPriority w:val="99"/>
    <w:semiHidden/>
    <w:rsid w:val="004A5321"/>
    <w:rPr>
      <w:rFonts w:asciiTheme="minorHAnsi" w:eastAsiaTheme="minorEastAsia" w:hAnsiTheme="minorHAnsi" w:cstheme="minorBidi"/>
      <w:sz w:val="21"/>
      <w:szCs w:val="22"/>
    </w:rPr>
  </w:style>
  <w:style w:type="character" w:styleId="af1">
    <w:name w:val="Hyperlink"/>
    <w:basedOn w:val="a0"/>
    <w:uiPriority w:val="99"/>
    <w:unhideWhenUsed/>
    <w:rsid w:val="004A5321"/>
    <w:rPr>
      <w:color w:val="0000FF"/>
      <w:u w:val="single"/>
    </w:rPr>
  </w:style>
  <w:style w:type="character" w:styleId="af2">
    <w:name w:val="Strong"/>
    <w:basedOn w:val="a0"/>
    <w:uiPriority w:val="22"/>
    <w:qFormat/>
    <w:rsid w:val="004A5321"/>
    <w:rPr>
      <w:b/>
      <w:bCs/>
    </w:rPr>
  </w:style>
  <w:style w:type="paragraph" w:styleId="af3">
    <w:name w:val="Plain Text"/>
    <w:basedOn w:val="a"/>
    <w:link w:val="af4"/>
    <w:uiPriority w:val="99"/>
    <w:semiHidden/>
    <w:unhideWhenUsed/>
    <w:rsid w:val="004A5321"/>
    <w:rPr>
      <w:rFonts w:asciiTheme="minorEastAsia" w:hAnsi="Courier New" w:cs="Courier New"/>
    </w:rPr>
  </w:style>
  <w:style w:type="character" w:customStyle="1" w:styleId="af4">
    <w:name w:val="纯文本 字符"/>
    <w:basedOn w:val="a0"/>
    <w:link w:val="af3"/>
    <w:uiPriority w:val="99"/>
    <w:semiHidden/>
    <w:rsid w:val="004A5321"/>
    <w:rPr>
      <w:rFonts w:asciiTheme="minorEastAsia" w:eastAsiaTheme="minorEastAsia" w:hAnsi="Courier New" w:cs="Courier New"/>
      <w:sz w:val="21"/>
      <w:szCs w:val="22"/>
    </w:rPr>
  </w:style>
  <w:style w:type="paragraph" w:styleId="af5">
    <w:name w:val="Normal (Web)"/>
    <w:basedOn w:val="a"/>
    <w:uiPriority w:val="99"/>
    <w:semiHidden/>
    <w:unhideWhenUsed/>
    <w:rsid w:val="004A5321"/>
    <w:rPr>
      <w:rFonts w:ascii="Times New Roman" w:hAnsi="Times New Roman" w:cs="宋体"/>
      <w:sz w:val="24"/>
      <w:szCs w:val="24"/>
    </w:rPr>
  </w:style>
  <w:style w:type="character" w:styleId="HTML">
    <w:name w:val="HTML Code"/>
    <w:basedOn w:val="a0"/>
    <w:uiPriority w:val="99"/>
    <w:semiHidden/>
    <w:unhideWhenUsed/>
    <w:rsid w:val="004A5321"/>
    <w:rPr>
      <w:rFonts w:ascii="Courier New" w:hAnsi="Courier New" w:cs="Courier New"/>
      <w:sz w:val="20"/>
      <w:szCs w:val="20"/>
    </w:rPr>
  </w:style>
  <w:style w:type="paragraph" w:styleId="af6">
    <w:name w:val="annotation subject"/>
    <w:basedOn w:val="a6"/>
    <w:next w:val="a6"/>
    <w:link w:val="af7"/>
    <w:uiPriority w:val="99"/>
    <w:semiHidden/>
    <w:unhideWhenUsed/>
    <w:rsid w:val="004A5321"/>
    <w:rPr>
      <w:b/>
      <w:bCs/>
    </w:rPr>
  </w:style>
  <w:style w:type="character" w:customStyle="1" w:styleId="af7">
    <w:name w:val="批注主题 字符"/>
    <w:basedOn w:val="a7"/>
    <w:link w:val="af6"/>
    <w:uiPriority w:val="99"/>
    <w:semiHidden/>
    <w:rsid w:val="004A5321"/>
    <w:rPr>
      <w:rFonts w:asciiTheme="minorHAnsi" w:eastAsiaTheme="minorEastAsia" w:hAnsiTheme="minorHAnsi" w:cstheme="minorBidi"/>
      <w:b/>
      <w:bCs/>
      <w:sz w:val="21"/>
      <w:szCs w:val="22"/>
    </w:rPr>
  </w:style>
  <w:style w:type="paragraph" w:styleId="af8">
    <w:name w:val="Balloon Text"/>
    <w:basedOn w:val="a"/>
    <w:link w:val="af9"/>
    <w:uiPriority w:val="99"/>
    <w:semiHidden/>
    <w:unhideWhenUsed/>
    <w:rsid w:val="004A5321"/>
    <w:rPr>
      <w:sz w:val="18"/>
      <w:szCs w:val="18"/>
    </w:rPr>
  </w:style>
  <w:style w:type="character" w:customStyle="1" w:styleId="af9">
    <w:name w:val="批注框文本 字符"/>
    <w:basedOn w:val="a0"/>
    <w:link w:val="af8"/>
    <w:uiPriority w:val="99"/>
    <w:semiHidden/>
    <w:rsid w:val="004A5321"/>
    <w:rPr>
      <w:rFonts w:asciiTheme="minorHAnsi" w:eastAsiaTheme="minorEastAsia" w:hAnsiTheme="minorHAnsi" w:cstheme="minorBidi"/>
      <w:sz w:val="18"/>
      <w:szCs w:val="18"/>
    </w:rPr>
  </w:style>
  <w:style w:type="table" w:styleId="afa">
    <w:name w:val="Table Grid"/>
    <w:basedOn w:val="a1"/>
    <w:uiPriority w:val="39"/>
    <w:rsid w:val="004A532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semiHidden/>
    <w:unhideWhenUsed/>
    <w:rsid w:val="004A5321"/>
    <w:rPr>
      <w:rFonts w:ascii="Times New Roman" w:eastAsia="宋体" w:hAnsi="Times New Roman" w:cs="Times New Roman"/>
      <w:kern w:val="0"/>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b">
    <w:name w:val="List Paragraph"/>
    <w:basedOn w:val="a"/>
    <w:uiPriority w:val="34"/>
    <w:qFormat/>
    <w:rsid w:val="004A5321"/>
    <w:pPr>
      <w:ind w:firstLineChars="200" w:firstLine="420"/>
    </w:pPr>
  </w:style>
  <w:style w:type="paragraph" w:styleId="afc">
    <w:name w:val="Title"/>
    <w:basedOn w:val="a"/>
    <w:next w:val="a"/>
    <w:link w:val="afd"/>
    <w:uiPriority w:val="10"/>
    <w:qFormat/>
    <w:rsid w:val="004A5321"/>
    <w:pPr>
      <w:spacing w:before="240" w:after="60"/>
      <w:jc w:val="center"/>
      <w:outlineLvl w:val="0"/>
    </w:pPr>
    <w:rPr>
      <w:rFonts w:asciiTheme="majorHAnsi" w:eastAsiaTheme="majorEastAsia" w:hAnsiTheme="majorHAnsi" w:cstheme="majorBidi"/>
      <w:b/>
      <w:bCs/>
      <w:sz w:val="32"/>
      <w:szCs w:val="32"/>
    </w:rPr>
  </w:style>
  <w:style w:type="character" w:customStyle="1" w:styleId="afd">
    <w:name w:val="标题 字符"/>
    <w:basedOn w:val="a0"/>
    <w:link w:val="afc"/>
    <w:uiPriority w:val="10"/>
    <w:rsid w:val="004A5321"/>
    <w:rPr>
      <w:rFonts w:asciiTheme="majorHAnsi" w:eastAsiaTheme="majorEastAsia" w:hAnsiTheme="majorHAnsi" w:cstheme="majorBidi"/>
      <w:b/>
      <w:bCs/>
      <w:sz w:val="32"/>
      <w:szCs w:val="32"/>
    </w:rPr>
  </w:style>
  <w:style w:type="paragraph" w:customStyle="1" w:styleId="biaogeleft">
    <w:name w:val="biaoge_left"/>
    <w:basedOn w:val="a"/>
    <w:rsid w:val="005C5A2D"/>
    <w:pPr>
      <w:widowControl/>
      <w:autoSpaceDE w:val="0"/>
      <w:autoSpaceDN w:val="0"/>
      <w:adjustRightInd w:val="0"/>
      <w:spacing w:before="29"/>
      <w:ind w:left="15"/>
      <w:jc w:val="left"/>
    </w:pPr>
    <w:rPr>
      <w:rFonts w:ascii="宋体" w:hAnsi="宋体" w:cs="宋体"/>
      <w:kern w:val="0"/>
      <w:szCs w:val="24"/>
    </w:rPr>
  </w:style>
  <w:style w:type="paragraph" w:customStyle="1" w:styleId="biaogecenter">
    <w:name w:val="biaoge_center"/>
    <w:basedOn w:val="a"/>
    <w:rsid w:val="005C5A2D"/>
    <w:pPr>
      <w:widowControl/>
      <w:autoSpaceDE w:val="0"/>
      <w:autoSpaceDN w:val="0"/>
      <w:adjustRightInd w:val="0"/>
      <w:spacing w:before="29"/>
      <w:ind w:left="15"/>
      <w:jc w:val="center"/>
    </w:pPr>
    <w:rPr>
      <w:rFonts w:ascii="宋体" w:hAnsi="宋体" w:cs="宋体"/>
      <w:kern w:val="0"/>
      <w:szCs w:val="24"/>
    </w:rPr>
  </w:style>
  <w:style w:type="paragraph" w:customStyle="1" w:styleId="biaogeright">
    <w:name w:val="biaoge_right"/>
    <w:basedOn w:val="a"/>
    <w:rsid w:val="005C5A2D"/>
    <w:pPr>
      <w:widowControl/>
      <w:autoSpaceDE w:val="0"/>
      <w:autoSpaceDN w:val="0"/>
      <w:adjustRightInd w:val="0"/>
      <w:spacing w:before="29"/>
      <w:ind w:left="15"/>
      <w:jc w:val="right"/>
    </w:pPr>
    <w:rPr>
      <w:rFonts w:ascii="宋体" w:hAnsi="宋体" w:cs="宋体"/>
      <w:kern w:val="0"/>
      <w:szCs w:val="24"/>
    </w:rPr>
  </w:style>
  <w:style w:type="character" w:customStyle="1" w:styleId="zw">
    <w:name w:val="zw"/>
    <w:basedOn w:val="a0"/>
    <w:uiPriority w:val="1"/>
    <w:qFormat/>
    <w:rsid w:val="00EA2BBA"/>
    <w:rPr>
      <w:rFonts w:ascii="宋体" w:eastAsia="宋体" w:hAnsi="宋体"/>
      <w:color w:val="000000" w:themeColor="text1"/>
      <w:sz w:val="21"/>
    </w:rPr>
  </w:style>
  <w:style w:type="paragraph" w:styleId="TOC">
    <w:name w:val="TOC Heading"/>
    <w:basedOn w:val="1"/>
    <w:next w:val="a"/>
    <w:uiPriority w:val="39"/>
    <w:unhideWhenUsed/>
    <w:qFormat/>
    <w:rsid w:val="006907AF"/>
    <w:pPr>
      <w:keepNext/>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4">
    <w:name w:val="toc 4"/>
    <w:basedOn w:val="a"/>
    <w:next w:val="a"/>
    <w:autoRedefine/>
    <w:uiPriority w:val="39"/>
    <w:unhideWhenUsed/>
    <w:rsid w:val="001A4FE5"/>
    <w:pPr>
      <w:ind w:left="630"/>
      <w:jc w:val="left"/>
    </w:pPr>
    <w:rPr>
      <w:sz w:val="18"/>
      <w:szCs w:val="18"/>
    </w:rPr>
  </w:style>
  <w:style w:type="paragraph" w:styleId="TOC5">
    <w:name w:val="toc 5"/>
    <w:basedOn w:val="a"/>
    <w:next w:val="a"/>
    <w:autoRedefine/>
    <w:uiPriority w:val="39"/>
    <w:unhideWhenUsed/>
    <w:rsid w:val="001A4FE5"/>
    <w:pPr>
      <w:ind w:left="840"/>
      <w:jc w:val="left"/>
    </w:pPr>
    <w:rPr>
      <w:sz w:val="18"/>
      <w:szCs w:val="18"/>
    </w:rPr>
  </w:style>
  <w:style w:type="paragraph" w:styleId="TOC6">
    <w:name w:val="toc 6"/>
    <w:basedOn w:val="a"/>
    <w:next w:val="a"/>
    <w:autoRedefine/>
    <w:uiPriority w:val="39"/>
    <w:unhideWhenUsed/>
    <w:rsid w:val="001A4FE5"/>
    <w:pPr>
      <w:ind w:left="1050"/>
      <w:jc w:val="left"/>
    </w:pPr>
    <w:rPr>
      <w:sz w:val="18"/>
      <w:szCs w:val="18"/>
    </w:rPr>
  </w:style>
  <w:style w:type="paragraph" w:styleId="TOC7">
    <w:name w:val="toc 7"/>
    <w:basedOn w:val="a"/>
    <w:next w:val="a"/>
    <w:autoRedefine/>
    <w:uiPriority w:val="39"/>
    <w:unhideWhenUsed/>
    <w:rsid w:val="001A4FE5"/>
    <w:pPr>
      <w:ind w:left="1260"/>
      <w:jc w:val="left"/>
    </w:pPr>
    <w:rPr>
      <w:sz w:val="18"/>
      <w:szCs w:val="18"/>
    </w:rPr>
  </w:style>
  <w:style w:type="paragraph" w:styleId="TOC8">
    <w:name w:val="toc 8"/>
    <w:basedOn w:val="a"/>
    <w:next w:val="a"/>
    <w:autoRedefine/>
    <w:uiPriority w:val="39"/>
    <w:unhideWhenUsed/>
    <w:rsid w:val="000160C2"/>
    <w:pPr>
      <w:ind w:left="1470"/>
      <w:jc w:val="left"/>
    </w:pPr>
    <w:rPr>
      <w:rFonts w:eastAsiaTheme="minorHAnsi"/>
      <w:sz w:val="18"/>
      <w:szCs w:val="18"/>
    </w:rPr>
  </w:style>
  <w:style w:type="paragraph" w:styleId="TOC9">
    <w:name w:val="toc 9"/>
    <w:basedOn w:val="a"/>
    <w:next w:val="a"/>
    <w:autoRedefine/>
    <w:uiPriority w:val="39"/>
    <w:unhideWhenUsed/>
    <w:rsid w:val="000160C2"/>
    <w:pPr>
      <w:ind w:left="1680"/>
      <w:jc w:val="left"/>
    </w:pPr>
    <w:rPr>
      <w:rFonts w:eastAsiaTheme="minorHAnsi"/>
      <w:sz w:val="18"/>
      <w:szCs w:val="18"/>
    </w:rPr>
  </w:style>
  <w:style w:type="paragraph" w:styleId="afe">
    <w:name w:val="Document Map"/>
    <w:basedOn w:val="a"/>
    <w:link w:val="aff"/>
    <w:uiPriority w:val="99"/>
    <w:semiHidden/>
    <w:unhideWhenUsed/>
    <w:rsid w:val="001A4FE5"/>
    <w:rPr>
      <w:rFonts w:ascii="宋体"/>
      <w:sz w:val="18"/>
      <w:szCs w:val="18"/>
    </w:rPr>
  </w:style>
  <w:style w:type="character" w:customStyle="1" w:styleId="aff">
    <w:name w:val="文档结构图 字符"/>
    <w:basedOn w:val="a0"/>
    <w:link w:val="afe"/>
    <w:uiPriority w:val="99"/>
    <w:semiHidden/>
    <w:rsid w:val="001A4FE5"/>
    <w:rPr>
      <w:rFonts w:ascii="宋体" w:eastAsia="宋体"/>
      <w:sz w:val="18"/>
      <w:szCs w:val="18"/>
    </w:rPr>
  </w:style>
  <w:style w:type="paragraph" w:customStyle="1" w:styleId="zhangjiep2">
    <w:name w:val="zhangjie_p2"/>
    <w:basedOn w:val="a"/>
    <w:next w:val="a"/>
    <w:autoRedefine/>
    <w:qFormat/>
    <w:rsid w:val="00BB5D3E"/>
    <w:pPr>
      <w:spacing w:line="240" w:lineRule="auto"/>
      <w:jc w:val="left"/>
    </w:pPr>
    <w:rPr>
      <w:bCs/>
      <w:i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16" Target="media/image1.png" Type="http://schemas.openxmlformats.org/officeDocument/2006/relationships/image"/><Relationship Id="rId17" Target="media/image2.png" Type="http://schemas.openxmlformats.org/officeDocument/2006/relationships/image"/><Relationship Id="rId2" Target="../customXml/item2.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90AC41-F1FC-4D08-9FC0-94272FA5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24</Words>
  <Characters>139</Characters>
  <Application>Microsoft Office Word</Application>
  <DocSecurity>0</DocSecurity>
  <Lines>1</Lines>
  <Paragraphs>1</Paragraphs>
  <ScaleCrop>false</ScaleCrop>
  <Company/>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2020-03-27T02:14:00Z</dcterms:created>
  <cp:lastModifiedBy>李煜</cp:lastModifiedBy>
  <dcterms:modified xsi:type="dcterms:W3CDTF">2024-12-03T03:02:00Z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