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东方阿尔法精选灵活配置混合型发起式证券投资基金</w:t>
      </w:r>
    </w:p>
    <w:p>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2026年第2季度报告</w:t>
      </w:r>
    </w:p>
    <w:p>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2026年07月20日</w:t>
      </w:r>
    </w:p>
    <w:p>
      <w:pPr>
        <w:jc w:val="center"/>
      </w:pPr>
      <w:r>
        <w:br w:type="page"/>
      </w:r>
    </w:p>
    <w:p>
      <w:pPr>
        <w:pStyle w:val="2"/>
        <w:spacing w:line="576" w:lineRule="auto"/>
        <w:jc w:val="center"/>
        <w:rPr>
          <w:rFonts w:ascii="宋体" w:hAnsi="宋体" w:eastAsia="宋体"/>
          <w:sz w:val="24"/>
          <w:szCs w:val="24"/>
        </w:rPr>
      </w:pPr>
      <w:bookmarkStart w:id="0" w:name="_Toc73379713"/>
      <w:r>
        <w:rPr>
          <w:rFonts w:hint="eastAsia" w:ascii="宋体" w:hAnsi="宋体" w:eastAsia="宋体"/>
          <w:bCs w:val="0"/>
          <w:sz w:val="24"/>
          <w:szCs w:val="24"/>
        </w:rPr>
        <w:t>§1 重要提示</w:t>
      </w:r>
      <w:bookmarkEnd w:id="0"/>
    </w:p>
    <w:p>
      <w:pPr>
        <w:widowControl/>
        <w:rPr>
          <w:rFonts w:ascii="宋体" w:hAnsi="宋体" w:eastAsia="宋体"/>
        </w:rPr>
      </w:pPr>
      <w:r>
        <w:t xml:space="preserve">    基金管理人的董事会及董事保证本报告所载资料不存在虚假记载、误导性陈述或重大遗漏，并对其内容的真实性、准确性和完整性承担个别及连带责任。</w:t>
      </w:r>
      <w:r>
        <w:cr/>
      </w:r>
      <w:r>
        <w:t xml:space="preserve">    基金托管人招商银行股份有限公司根据本基金合同规定，于2026年07月14日复核了本报告中的财务指标、净值表现和投资组合报告等内容，保证复核内容不存在虚假记载、误导性陈述或者重大遗漏。</w:t>
      </w:r>
      <w:r>
        <w:cr/>
      </w:r>
      <w:r>
        <w:t xml:space="preserve">    基金管理人承诺以诚实信用、勤勉尽责的原则管理和运用基金资产，但不保证基金一定盈利。</w:t>
      </w:r>
      <w:r>
        <w:cr/>
      </w:r>
      <w:r>
        <w:t xml:space="preserve">    基金的过往业绩并不代表其未来表现。投资有风险，投资者在做出投资决策前应仔细阅读本基金的招募说明书。</w:t>
      </w:r>
      <w:r>
        <w:cr/>
      </w:r>
      <w:r>
        <w:t xml:space="preserve">    本报告中财务资料未经审计。</w:t>
      </w:r>
      <w:r>
        <w:cr/>
      </w:r>
      <w:r>
        <w:t xml:space="preserve">    本报告期自2026年04月01日起至2026年06月30日止。</w:t>
      </w:r>
    </w:p>
    <w:p/>
    <w:p>
      <w:pPr>
        <w:pStyle w:val="2"/>
        <w:jc w:val="center"/>
      </w:pPr>
      <w:r>
        <w:rPr>
          <w:rFonts w:ascii="宋体" w:hAnsi="宋体" w:eastAsia="宋体" w:cs="宋体"/>
        </w:rPr>
        <w:t>§2 基金产品概况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基金简称</w:t>
            </w:r>
          </w:p>
        </w:tc>
        <w:tc>
          <w:tcPr>
            <w:tcW w:w="3077" w:type="pct"/>
            <w:gridSpan w:val="2"/>
            <w:vAlign w:val="center"/>
          </w:tcPr>
          <w:p>
            <w:pPr>
              <w:spacing w:line="240" w:lineRule="auto"/>
              <w:jc w:val="left"/>
            </w:pPr>
            <w:r>
              <w:rPr>
                <w:rFonts w:ascii="宋体" w:hAnsi="宋体" w:eastAsia="宋体" w:cs="宋体"/>
                <w:b w:val="0"/>
              </w:rPr>
              <w:t>东方阿尔法精选混合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基金主代码</w:t>
            </w:r>
          </w:p>
        </w:tc>
        <w:tc>
          <w:tcPr>
            <w:tcW w:w="0" w:type="dxa"/>
            <w:gridSpan w:val="2"/>
            <w:vAlign w:val="center"/>
          </w:tcPr>
          <w:p>
            <w:pPr>
              <w:spacing w:line="240" w:lineRule="auto"/>
              <w:jc w:val="left"/>
            </w:pPr>
            <w:r>
              <w:rPr>
                <w:rFonts w:ascii="宋体" w:hAnsi="宋体" w:eastAsia="宋体" w:cs="宋体"/>
                <w:b w:val="0"/>
              </w:rPr>
              <w:t>005358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基金运作方式</w:t>
            </w:r>
          </w:p>
        </w:tc>
        <w:tc>
          <w:tcPr>
            <w:tcW w:w="0" w:type="dxa"/>
            <w:gridSpan w:val="2"/>
            <w:vAlign w:val="center"/>
          </w:tcPr>
          <w:p>
            <w:pPr>
              <w:spacing w:line="240" w:lineRule="auto"/>
              <w:jc w:val="left"/>
            </w:pPr>
            <w:r>
              <w:rPr>
                <w:rFonts w:ascii="宋体" w:hAnsi="宋体" w:eastAsia="宋体" w:cs="宋体"/>
                <w:b w:val="0"/>
              </w:rPr>
              <w:t>契约型开放式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基金合同生效日</w:t>
            </w:r>
          </w:p>
        </w:tc>
        <w:tc>
          <w:tcPr>
            <w:tcW w:w="0" w:type="dxa"/>
            <w:gridSpan w:val="2"/>
            <w:vAlign w:val="center"/>
          </w:tcPr>
          <w:p>
            <w:pPr>
              <w:spacing w:line="240" w:lineRule="auto"/>
              <w:jc w:val="left"/>
            </w:pPr>
            <w:r>
              <w:rPr>
                <w:rFonts w:ascii="宋体" w:hAnsi="宋体" w:eastAsia="宋体" w:cs="宋体"/>
                <w:b w:val="0"/>
              </w:rPr>
              <w:t>2018年02月08日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报告期末基金份额总额</w:t>
            </w:r>
          </w:p>
        </w:tc>
        <w:tc>
          <w:tcPr>
            <w:tcW w:w="0" w:type="dxa"/>
            <w:gridSpan w:val="2"/>
            <w:vAlign w:val="center"/>
          </w:tcPr>
          <w:p>
            <w:pPr>
              <w:spacing w:line="240" w:lineRule="auto"/>
              <w:jc w:val="left"/>
            </w:pPr>
            <w:r>
              <w:rPr>
                <w:rFonts w:ascii="宋体" w:hAnsi="宋体" w:eastAsia="宋体" w:cs="宋体"/>
                <w:b w:val="0"/>
              </w:rPr>
              <w:t>451,106,264.35份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投资目标</w:t>
            </w:r>
          </w:p>
        </w:tc>
        <w:tc>
          <w:tcPr>
            <w:tcW w:w="2592" w:type="pct"/>
            <w:gridSpan w:val="2"/>
            <w:vAlign w:val="center"/>
          </w:tcPr>
          <w:p>
            <w:pPr>
              <w:spacing w:line="240" w:lineRule="auto"/>
              <w:jc w:val="left"/>
            </w:pPr>
            <w:r>
              <w:rPr>
                <w:rFonts w:ascii="宋体" w:hAnsi="宋体" w:eastAsia="宋体" w:cs="宋体"/>
                <w:b w:val="0"/>
              </w:rPr>
              <w:t>在严格控制风险的基础之上，通过灵活、主动的投资管理方式力求实现组合资产的稳健增值。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投资策略</w:t>
            </w:r>
          </w:p>
        </w:tc>
        <w:tc>
          <w:tcPr>
            <w:tcW w:w="0" w:type="dxa"/>
            <w:gridSpan w:val="2"/>
            <w:vAlign w:val="center"/>
          </w:tcPr>
          <w:p>
            <w:pPr>
              <w:spacing w:line="240" w:lineRule="auto"/>
              <w:jc w:val="left"/>
            </w:pPr>
            <w:r>
              <w:rPr>
                <w:rFonts w:ascii="宋体" w:hAnsi="宋体" w:eastAsia="宋体" w:cs="宋体"/>
                <w:b w:val="0"/>
              </w:rPr>
              <w:t>本基金的投资策略主要有以下10个方面内容：</w:t>
            </w:r>
            <w:r>
              <w:rPr>
                <w:rFonts w:ascii="宋体" w:hAnsi="宋体" w:eastAsia="宋体" w:cs="宋体"/>
                <w:b w:val="0"/>
              </w:rPr>
              <w:br w:type="textWrapping"/>
            </w:r>
            <w:r>
              <w:rPr>
                <w:rFonts w:ascii="宋体" w:hAnsi="宋体" w:eastAsia="宋体" w:cs="宋体"/>
                <w:b w:val="0"/>
              </w:rPr>
              <w:t>1、大类资产配置策略</w:t>
            </w:r>
            <w:r>
              <w:rPr>
                <w:rFonts w:ascii="宋体" w:hAnsi="宋体" w:eastAsia="宋体" w:cs="宋体"/>
                <w:b w:val="0"/>
              </w:rPr>
              <w:br w:type="textWrapping"/>
            </w:r>
            <w:r>
              <w:rPr>
                <w:rFonts w:ascii="宋体" w:hAnsi="宋体" w:eastAsia="宋体" w:cs="宋体"/>
                <w:b w:val="0"/>
              </w:rPr>
              <w:t>基金管理人将根据国内外宏观经济情况、国内外证券市场估值水平阶段性不断调整权益类资产和其他资产之间的大类资产配置比例。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2、个股优选策略</w:t>
            </w:r>
            <w:r>
              <w:rPr>
                <w:rFonts w:ascii="宋体" w:hAnsi="宋体" w:eastAsia="宋体" w:cs="宋体"/>
                <w:b w:val="0"/>
              </w:rPr>
              <w:br w:type="textWrapping"/>
            </w:r>
            <w:r>
              <w:rPr>
                <w:rFonts w:ascii="宋体" w:hAnsi="宋体" w:eastAsia="宋体" w:cs="宋体"/>
                <w:b w:val="0"/>
              </w:rPr>
              <w:t>基金管理人将采用定量分析与定性分析相结合的方式对上市公司进行分析，建立备选股票池，并以备选股票池成份股未来两年的PE衡量动态性价比作为选择其进入投资组合的重要依据。</w:t>
            </w:r>
            <w:r>
              <w:rPr>
                <w:rFonts w:ascii="宋体" w:hAnsi="宋体" w:eastAsia="宋体" w:cs="宋体"/>
                <w:b w:val="0"/>
              </w:rPr>
              <w:br w:type="textWrapping"/>
            </w:r>
            <w:r>
              <w:rPr>
                <w:rFonts w:ascii="宋体" w:hAnsi="宋体" w:eastAsia="宋体" w:cs="宋体"/>
                <w:b w:val="0"/>
              </w:rPr>
              <w:t>3、港股投资策略</w:t>
            </w:r>
            <w:r>
              <w:rPr>
                <w:rFonts w:ascii="宋体" w:hAnsi="宋体" w:eastAsia="宋体" w:cs="宋体"/>
                <w:b w:val="0"/>
              </w:rPr>
              <w:br w:type="textWrapping"/>
            </w:r>
            <w:r>
              <w:rPr>
                <w:rFonts w:ascii="宋体" w:hAnsi="宋体" w:eastAsia="宋体" w:cs="宋体"/>
                <w:b w:val="0"/>
              </w:rPr>
              <w:t>本基金港股投资将重点关注A股稀缺性行业个股、A股缺乏投资标的行业、具有持续领先优势或核心竞争力的企业、符合内地政策和投资逻辑的主题性行业个股以及与A股同类公司相比具有估值优势的公司。</w:t>
            </w:r>
            <w:r>
              <w:rPr>
                <w:rFonts w:ascii="宋体" w:hAnsi="宋体" w:eastAsia="宋体" w:cs="宋体"/>
                <w:b w:val="0"/>
              </w:rPr>
              <w:br w:type="textWrapping"/>
            </w:r>
            <w:r>
              <w:rPr>
                <w:rFonts w:ascii="宋体" w:hAnsi="宋体" w:eastAsia="宋体" w:cs="宋体"/>
                <w:b w:val="0"/>
              </w:rPr>
              <w:t>4、存托凭证投资策略</w:t>
            </w:r>
            <w:r>
              <w:rPr>
                <w:rFonts w:ascii="宋体" w:hAnsi="宋体" w:eastAsia="宋体" w:cs="宋体"/>
                <w:b w:val="0"/>
              </w:rPr>
              <w:br w:type="textWrapping"/>
            </w:r>
            <w:r>
              <w:rPr>
                <w:rFonts w:ascii="宋体" w:hAnsi="宋体" w:eastAsia="宋体" w:cs="宋体"/>
                <w:b w:val="0"/>
              </w:rPr>
              <w:t>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5、债券类资产投资策略</w:t>
            </w:r>
            <w:r>
              <w:rPr>
                <w:rFonts w:ascii="宋体" w:hAnsi="宋体" w:eastAsia="宋体" w:cs="宋体"/>
                <w:b w:val="0"/>
              </w:rPr>
              <w:br w:type="textWrapping"/>
            </w:r>
            <w:r>
              <w:rPr>
                <w:rFonts w:ascii="宋体" w:hAnsi="宋体" w:eastAsia="宋体" w:cs="宋体"/>
                <w:b w:val="0"/>
              </w:rPr>
              <w:t>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6、权证投资策略</w:t>
            </w:r>
            <w:r>
              <w:rPr>
                <w:rFonts w:ascii="宋体" w:hAnsi="宋体" w:eastAsia="宋体" w:cs="宋体"/>
                <w:b w:val="0"/>
              </w:rPr>
              <w:br w:type="textWrapping"/>
            </w:r>
            <w:r>
              <w:rPr>
                <w:rFonts w:ascii="宋体" w:hAnsi="宋体" w:eastAsia="宋体" w:cs="宋体"/>
                <w:b w:val="0"/>
              </w:rPr>
              <w:t>采用市场公认的多种期权定价模型对权证进行定价，作为权证投资的价值基准，并根据权证标的股票基本面的研究估值，结合权证理论价值进行权证趋势投资。</w:t>
            </w:r>
            <w:r>
              <w:rPr>
                <w:rFonts w:ascii="宋体" w:hAnsi="宋体" w:eastAsia="宋体" w:cs="宋体"/>
                <w:b w:val="0"/>
              </w:rPr>
              <w:br w:type="textWrapping"/>
            </w:r>
            <w:r>
              <w:rPr>
                <w:rFonts w:ascii="宋体" w:hAnsi="宋体" w:eastAsia="宋体" w:cs="宋体"/>
                <w:b w:val="0"/>
              </w:rPr>
              <w:t>7、股指期货投资策略</w:t>
            </w:r>
            <w:r>
              <w:rPr>
                <w:rFonts w:ascii="宋体" w:hAnsi="宋体" w:eastAsia="宋体" w:cs="宋体"/>
                <w:b w:val="0"/>
              </w:rPr>
              <w:br w:type="textWrapping"/>
            </w:r>
            <w:r>
              <w:rPr>
                <w:rFonts w:ascii="宋体" w:hAnsi="宋体" w:eastAsia="宋体" w:cs="宋体"/>
                <w:b w:val="0"/>
              </w:rPr>
              <w:t>本基金投资股指期货将以投资组合避险和有效管理为目的，通过套期保值策略，对冲系统性风险，应对组合构建与调整中的流动性风险，力求风险收益的优化。</w:t>
            </w:r>
            <w:r>
              <w:rPr>
                <w:rFonts w:ascii="宋体" w:hAnsi="宋体" w:eastAsia="宋体" w:cs="宋体"/>
                <w:b w:val="0"/>
              </w:rPr>
              <w:br w:type="textWrapping"/>
            </w:r>
            <w:r>
              <w:rPr>
                <w:rFonts w:ascii="宋体" w:hAnsi="宋体" w:eastAsia="宋体" w:cs="宋体"/>
                <w:b w:val="0"/>
              </w:rPr>
              <w:t>8、融资买入股票策略</w:t>
            </w:r>
            <w:r>
              <w:rPr>
                <w:rFonts w:ascii="宋体" w:hAnsi="宋体" w:eastAsia="宋体" w:cs="宋体"/>
                <w:b w:val="0"/>
              </w:rPr>
              <w:br w:type="textWrapping"/>
            </w:r>
            <w:r>
              <w:rPr>
                <w:rFonts w:ascii="宋体" w:hAnsi="宋体" w:eastAsia="宋体" w:cs="宋体"/>
                <w:b w:val="0"/>
              </w:rPr>
              <w:t>本基金将根据融资买入股票成本以及其他投资工具收益率综合评估是否采用融资方式买入股票。</w:t>
            </w:r>
            <w:r>
              <w:rPr>
                <w:rFonts w:ascii="宋体" w:hAnsi="宋体" w:eastAsia="宋体" w:cs="宋体"/>
                <w:b w:val="0"/>
              </w:rPr>
              <w:br w:type="textWrapping"/>
            </w:r>
            <w:r>
              <w:rPr>
                <w:rFonts w:ascii="宋体" w:hAnsi="宋体" w:eastAsia="宋体" w:cs="宋体"/>
                <w:b w:val="0"/>
              </w:rPr>
              <w:t>9、国债期货的投资策略</w:t>
            </w:r>
            <w:r>
              <w:rPr>
                <w:rFonts w:ascii="宋体" w:hAnsi="宋体" w:eastAsia="宋体" w:cs="宋体"/>
                <w:b w:val="0"/>
              </w:rPr>
              <w:br w:type="textWrapping"/>
            </w:r>
            <w:r>
              <w:rPr>
                <w:rFonts w:ascii="宋体" w:hAnsi="宋体" w:eastAsia="宋体" w:cs="宋体"/>
                <w:b w:val="0"/>
              </w:rPr>
              <w:t>基金管理人将结合对宏观经济形势和政策趋势的判断、对债券市场进行定性和定量分析，构建量化分析体系，对国债期货和现货的基差、国债期货的流动性、波动水平、套期保值的有效性等指标进行跟踪监控。</w:t>
            </w:r>
            <w:r>
              <w:rPr>
                <w:rFonts w:ascii="宋体" w:hAnsi="宋体" w:eastAsia="宋体" w:cs="宋体"/>
                <w:b w:val="0"/>
              </w:rPr>
              <w:br w:type="textWrapping"/>
            </w:r>
            <w:r>
              <w:rPr>
                <w:rFonts w:ascii="宋体" w:hAnsi="宋体" w:eastAsia="宋体" w:cs="宋体"/>
                <w:b w:val="0"/>
              </w:rPr>
              <w:t>10、中小企业私募债券投资策略</w:t>
            </w:r>
            <w:r>
              <w:rPr>
                <w:rFonts w:ascii="宋体" w:hAnsi="宋体" w:eastAsia="宋体" w:cs="宋体"/>
                <w:b w:val="0"/>
              </w:rPr>
              <w:br w:type="textWrapping"/>
            </w:r>
            <w:r>
              <w:rPr>
                <w:rFonts w:ascii="宋体" w:hAnsi="宋体" w:eastAsia="宋体" w:cs="宋体"/>
                <w:b w:val="0"/>
              </w:rPr>
              <w:t>本基金根据内部的信用分析方法对可选的中小企业私募债券品种进行筛选过滤，重点分析发行主体的公司背景、竞争地位、治理结构、盈利能力、偿债能力、现金流水平等诸多因素，采用数量化方法对主体所发行债券进行打分和投资价值评估，选择发行主体资质优良，估值合理且流通相对充分的品种进行适度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业绩比较基准</w:t>
            </w:r>
          </w:p>
        </w:tc>
        <w:tc>
          <w:tcPr>
            <w:tcW w:w="0" w:type="dxa"/>
            <w:gridSpan w:val="2"/>
            <w:vAlign w:val="center"/>
          </w:tcPr>
          <w:p>
            <w:pPr>
              <w:spacing w:line="240" w:lineRule="auto"/>
              <w:jc w:val="left"/>
            </w:pPr>
            <w:r>
              <w:rPr>
                <w:rFonts w:ascii="宋体" w:hAnsi="宋体" w:eastAsia="宋体" w:cs="宋体"/>
                <w:b w:val="0"/>
              </w:rPr>
              <w:t>沪深300指数收益率×40%+中证综合债券指数收益率×40%+恒生指数收益率×20%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风险收益特征</w:t>
            </w:r>
          </w:p>
        </w:tc>
        <w:tc>
          <w:tcPr>
            <w:tcW w:w="2592" w:type="pct"/>
            <w:gridSpan w:val="2"/>
            <w:vAlign w:val="center"/>
          </w:tcPr>
          <w:p>
            <w:pPr>
              <w:spacing w:line="240" w:lineRule="auto"/>
              <w:jc w:val="left"/>
            </w:pPr>
            <w:r>
              <w:rPr>
                <w:rFonts w:ascii="宋体" w:hAnsi="宋体" w:eastAsia="宋体" w:cs="宋体"/>
                <w:b w:val="0"/>
              </w:rPr>
              <w:t>本基金为混合型基金，其预期收益和风险高于货币型基金、债券型基金。本基金如果投资港股通标的股票，需承担汇率风险以及境外市场的风险。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基金管理人</w:t>
            </w:r>
          </w:p>
        </w:tc>
        <w:tc>
          <w:tcPr>
            <w:tcW w:w="0" w:type="dxa"/>
            <w:gridSpan w:val="2"/>
            <w:vAlign w:val="center"/>
          </w:tcPr>
          <w:p>
            <w:pPr>
              <w:spacing w:line="240" w:lineRule="auto"/>
              <w:jc w:val="left"/>
            </w:pPr>
            <w:r>
              <w:rPr>
                <w:rFonts w:ascii="宋体" w:hAnsi="宋体" w:eastAsia="宋体" w:cs="宋体"/>
                <w:b w:val="0"/>
              </w:rPr>
              <w:t>东方阿尔法基金管理有限公司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基金托管人</w:t>
            </w:r>
          </w:p>
        </w:tc>
        <w:tc>
          <w:tcPr>
            <w:tcW w:w="0" w:type="dxa"/>
            <w:gridSpan w:val="2"/>
            <w:vAlign w:val="center"/>
          </w:tcPr>
          <w:p>
            <w:pPr>
              <w:spacing w:line="240" w:lineRule="auto"/>
              <w:jc w:val="left"/>
            </w:pPr>
            <w:r>
              <w:rPr>
                <w:rFonts w:ascii="宋体" w:hAnsi="宋体" w:eastAsia="宋体" w:cs="宋体"/>
                <w:b w:val="0"/>
              </w:rPr>
              <w:t>招商银行股份有限公司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下属分级基金的基金简称</w:t>
            </w:r>
          </w:p>
        </w:tc>
        <w:tc>
          <w:tcPr>
            <w:tcW w:w="1500" w:type="pct"/>
            <w:vAlign w:val="center"/>
          </w:tcPr>
          <w:p>
            <w:pPr>
              <w:spacing w:line="240" w:lineRule="auto"/>
              <w:jc w:val="left"/>
            </w:pPr>
            <w:r>
              <w:rPr>
                <w:rFonts w:ascii="宋体" w:hAnsi="宋体" w:eastAsia="宋体" w:cs="宋体"/>
                <w:b w:val="0"/>
              </w:rPr>
              <w:t>东方阿尔法精选混合A</w:t>
            </w:r>
          </w:p>
        </w:tc>
        <w:tc>
          <w:tcPr>
            <w:tcW w:w="1500" w:type="pct"/>
            <w:vAlign w:val="center"/>
          </w:tcPr>
          <w:p>
            <w:pPr>
              <w:spacing w:line="240" w:lineRule="auto"/>
              <w:jc w:val="left"/>
            </w:pPr>
            <w:r>
              <w:rPr>
                <w:rFonts w:ascii="宋体" w:hAnsi="宋体" w:eastAsia="宋体" w:cs="宋体"/>
                <w:b w:val="0"/>
              </w:rPr>
              <w:t>东方阿尔法精选混合C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下属分级基金的交易代码</w:t>
            </w:r>
          </w:p>
        </w:tc>
        <w:tc>
          <w:tcPr>
            <w:tcW w:w="1500" w:type="pct"/>
            <w:vAlign w:val="center"/>
          </w:tcPr>
          <w:p>
            <w:pPr>
              <w:spacing w:line="240" w:lineRule="auto"/>
              <w:jc w:val="left"/>
            </w:pPr>
            <w:r>
              <w:rPr>
                <w:rFonts w:ascii="宋体" w:hAnsi="宋体" w:eastAsia="宋体" w:cs="宋体"/>
                <w:b w:val="0"/>
              </w:rPr>
              <w:t>005358</w:t>
            </w:r>
          </w:p>
        </w:tc>
        <w:tc>
          <w:tcPr>
            <w:tcW w:w="1500" w:type="pct"/>
            <w:vAlign w:val="center"/>
          </w:tcPr>
          <w:p>
            <w:pPr>
              <w:spacing w:line="240" w:lineRule="auto"/>
              <w:jc w:val="left"/>
            </w:pPr>
            <w:r>
              <w:rPr>
                <w:rFonts w:ascii="宋体" w:hAnsi="宋体" w:eastAsia="宋体" w:cs="宋体"/>
                <w:b w:val="0"/>
              </w:rPr>
              <w:t>005359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报告期末下属分级基金的份额总额</w:t>
            </w:r>
          </w:p>
        </w:tc>
        <w:tc>
          <w:tcPr>
            <w:tcW w:w="1500" w:type="pct"/>
            <w:vAlign w:val="center"/>
          </w:tcPr>
          <w:p>
            <w:pPr>
              <w:spacing w:line="240" w:lineRule="auto"/>
              <w:jc w:val="left"/>
            </w:pPr>
            <w:r>
              <w:rPr>
                <w:rFonts w:ascii="宋体" w:hAnsi="宋体" w:eastAsia="宋体" w:cs="宋体"/>
                <w:b w:val="0"/>
              </w:rPr>
              <w:t>135,962,096.29份</w:t>
            </w:r>
          </w:p>
        </w:tc>
        <w:tc>
          <w:tcPr>
            <w:tcW w:w="1500" w:type="pct"/>
            <w:vAlign w:val="center"/>
          </w:tcPr>
          <w:p>
            <w:pPr>
              <w:spacing w:line="240" w:lineRule="auto"/>
              <w:jc w:val="left"/>
            </w:pPr>
            <w:r>
              <w:rPr>
                <w:rFonts w:ascii="宋体" w:hAnsi="宋体" w:eastAsia="宋体" w:cs="宋体"/>
                <w:b w:val="0"/>
              </w:rPr>
              <w:t>315,144,168.06份</w:t>
            </w:r>
          </w:p>
        </w:tc>
      </w:tr>
    </w:tbl>
    <w:p>
      <w:pPr>
        <w:pStyle w:val="2"/>
        <w:jc w:val="center"/>
      </w:pPr>
      <w:r>
        <w:rPr>
          <w:rFonts w:ascii="宋体" w:hAnsi="宋体" w:eastAsia="宋体" w:cs="宋体"/>
        </w:rPr>
        <w:t>§3 主要财务指标和基金净值表现</w:t>
      </w:r>
    </w:p>
    <w:p>
      <w:pPr>
        <w:pStyle w:val="3"/>
        <w:jc w:val="left"/>
      </w:pPr>
      <w:r>
        <w:rPr>
          <w:rFonts w:ascii="宋体" w:hAnsi="宋体" w:eastAsia="宋体" w:cs="宋体"/>
        </w:rPr>
        <w:t>3.1 主要财务指标</w:t>
      </w:r>
    </w:p>
    <w:p>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3" w:type="pct"/>
            <w:vMerge w:val="restart"/>
            <w:shd w:val="clear" w:color="auto" w:fill="D9D9D9"/>
            <w:vAlign w:val="center"/>
          </w:tcPr>
          <w:p>
            <w:pPr>
              <w:spacing w:line="240" w:lineRule="auto"/>
              <w:jc w:val="center"/>
            </w:pPr>
            <w:r>
              <w:rPr>
                <w:rFonts w:ascii="宋体" w:hAnsi="宋体" w:eastAsia="宋体" w:cs="宋体"/>
                <w:b/>
              </w:rPr>
              <w:t>主要财务指标</w:t>
            </w:r>
          </w:p>
        </w:tc>
        <w:tc>
          <w:tcPr>
            <w:tcW w:w="3077" w:type="pct"/>
            <w:gridSpan w:val="2"/>
            <w:shd w:val="clear" w:color="auto" w:fill="D9D9D9"/>
            <w:vAlign w:val="center"/>
          </w:tcPr>
          <w:p>
            <w:pPr>
              <w:spacing w:line="240" w:lineRule="auto"/>
              <w:jc w:val="center"/>
            </w:pPr>
            <w:r>
              <w:rPr>
                <w:rFonts w:ascii="宋体" w:hAnsi="宋体" w:eastAsia="宋体" w:cs="宋体"/>
                <w:b w:val="0"/>
              </w:rPr>
              <w:t>报告期（2026年04月01日-2026年06月30日）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tc>
        <w:tc>
          <w:tcPr>
            <w:tcW w:w="1500" w:type="pct"/>
            <w:shd w:val="clear" w:color="auto" w:fill="D9D9D9"/>
            <w:vAlign w:val="center"/>
          </w:tcPr>
          <w:p>
            <w:pPr>
              <w:spacing w:line="240" w:lineRule="auto"/>
              <w:jc w:val="center"/>
            </w:pPr>
            <w:r>
              <w:rPr>
                <w:rFonts w:ascii="宋体" w:hAnsi="宋体" w:eastAsia="宋体" w:cs="宋体"/>
                <w:b w:val="0"/>
              </w:rPr>
              <w:t>东方阿尔法精选混合A</w:t>
            </w:r>
          </w:p>
        </w:tc>
        <w:tc>
          <w:tcPr>
            <w:tcW w:w="1500" w:type="pct"/>
            <w:shd w:val="clear" w:color="auto" w:fill="D9D9D9"/>
            <w:vAlign w:val="center"/>
          </w:tcPr>
          <w:p>
            <w:pPr>
              <w:spacing w:line="240" w:lineRule="auto"/>
              <w:jc w:val="center"/>
            </w:pPr>
            <w:r>
              <w:rPr>
                <w:rFonts w:ascii="宋体" w:hAnsi="宋体" w:eastAsia="宋体" w:cs="宋体"/>
                <w:b w:val="0"/>
              </w:rPr>
              <w:t>东方阿尔法精选混合C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1.本期已实现收益</w:t>
            </w:r>
          </w:p>
        </w:tc>
        <w:tc>
          <w:tcPr>
            <w:tcW w:w="1500" w:type="pct"/>
            <w:vAlign w:val="center"/>
          </w:tcPr>
          <w:p>
            <w:pPr>
              <w:spacing w:line="240" w:lineRule="auto"/>
              <w:jc w:val="right"/>
            </w:pPr>
            <w:r>
              <w:rPr>
                <w:rFonts w:ascii="宋体" w:hAnsi="宋体" w:eastAsia="宋体" w:cs="宋体"/>
                <w:b w:val="0"/>
              </w:rPr>
              <w:t>-348,374.26</w:t>
            </w:r>
          </w:p>
        </w:tc>
        <w:tc>
          <w:tcPr>
            <w:tcW w:w="1500" w:type="pct"/>
            <w:vAlign w:val="center"/>
          </w:tcPr>
          <w:p>
            <w:pPr>
              <w:spacing w:line="240" w:lineRule="auto"/>
              <w:jc w:val="right"/>
            </w:pPr>
            <w:r>
              <w:rPr>
                <w:rFonts w:ascii="宋体" w:hAnsi="宋体" w:eastAsia="宋体" w:cs="宋体"/>
                <w:b w:val="0"/>
              </w:rPr>
              <w:t>-15,076,999.90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2.本期利润</w:t>
            </w:r>
          </w:p>
        </w:tc>
        <w:tc>
          <w:tcPr>
            <w:tcW w:w="1500" w:type="pct"/>
            <w:vAlign w:val="center"/>
          </w:tcPr>
          <w:p>
            <w:pPr>
              <w:spacing w:line="240" w:lineRule="auto"/>
              <w:jc w:val="right"/>
            </w:pPr>
            <w:r>
              <w:rPr>
                <w:rFonts w:ascii="宋体" w:hAnsi="宋体" w:eastAsia="宋体" w:cs="宋体"/>
                <w:b w:val="0"/>
              </w:rPr>
              <w:t>56,262,468.57</w:t>
            </w:r>
          </w:p>
        </w:tc>
        <w:tc>
          <w:tcPr>
            <w:tcW w:w="1500" w:type="pct"/>
            <w:vAlign w:val="center"/>
          </w:tcPr>
          <w:p>
            <w:pPr>
              <w:spacing w:line="240" w:lineRule="auto"/>
              <w:jc w:val="right"/>
            </w:pPr>
            <w:r>
              <w:rPr>
                <w:rFonts w:ascii="宋体" w:hAnsi="宋体" w:eastAsia="宋体" w:cs="宋体"/>
                <w:b w:val="0"/>
              </w:rPr>
              <w:t>-25,429,851.32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3.加权平均基金份额本期利润</w:t>
            </w:r>
          </w:p>
        </w:tc>
        <w:tc>
          <w:tcPr>
            <w:tcW w:w="1500" w:type="pct"/>
            <w:vAlign w:val="center"/>
          </w:tcPr>
          <w:p>
            <w:pPr>
              <w:spacing w:line="240" w:lineRule="auto"/>
              <w:jc w:val="right"/>
            </w:pPr>
            <w:r>
              <w:rPr>
                <w:rFonts w:ascii="宋体" w:hAnsi="宋体" w:eastAsia="宋体" w:cs="宋体"/>
                <w:b w:val="0"/>
              </w:rPr>
              <w:t>0.4015</w:t>
            </w:r>
          </w:p>
        </w:tc>
        <w:tc>
          <w:tcPr>
            <w:tcW w:w="1500" w:type="pct"/>
            <w:vAlign w:val="center"/>
          </w:tcPr>
          <w:p>
            <w:pPr>
              <w:spacing w:line="240" w:lineRule="auto"/>
              <w:jc w:val="right"/>
            </w:pPr>
            <w:r>
              <w:rPr>
                <w:rFonts w:ascii="宋体" w:hAnsi="宋体" w:eastAsia="宋体" w:cs="宋体"/>
                <w:b w:val="0"/>
              </w:rPr>
              <w:t>-0.0720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4.期末基金资产净值</w:t>
            </w:r>
          </w:p>
        </w:tc>
        <w:tc>
          <w:tcPr>
            <w:tcW w:w="1500" w:type="pct"/>
            <w:vAlign w:val="center"/>
          </w:tcPr>
          <w:p>
            <w:pPr>
              <w:spacing w:line="240" w:lineRule="auto"/>
              <w:jc w:val="right"/>
            </w:pPr>
            <w:r>
              <w:rPr>
                <w:rFonts w:ascii="宋体" w:hAnsi="宋体" w:eastAsia="宋体" w:cs="宋体"/>
                <w:b w:val="0"/>
              </w:rPr>
              <w:t>160,421,995.76</w:t>
            </w:r>
          </w:p>
        </w:tc>
        <w:tc>
          <w:tcPr>
            <w:tcW w:w="1500" w:type="pct"/>
            <w:vAlign w:val="center"/>
          </w:tcPr>
          <w:p>
            <w:pPr>
              <w:spacing w:line="240" w:lineRule="auto"/>
              <w:jc w:val="right"/>
            </w:pPr>
            <w:r>
              <w:rPr>
                <w:rFonts w:ascii="宋体" w:hAnsi="宋体" w:eastAsia="宋体" w:cs="宋体"/>
                <w:b w:val="0"/>
              </w:rPr>
              <w:t>356,830,165.24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5.期末基金份额净值</w:t>
            </w:r>
          </w:p>
        </w:tc>
        <w:tc>
          <w:tcPr>
            <w:tcW w:w="1500" w:type="pct"/>
            <w:vAlign w:val="center"/>
          </w:tcPr>
          <w:p>
            <w:pPr>
              <w:spacing w:line="240" w:lineRule="auto"/>
              <w:jc w:val="right"/>
            </w:pPr>
            <w:r>
              <w:rPr>
                <w:rFonts w:ascii="宋体" w:hAnsi="宋体" w:eastAsia="宋体" w:cs="宋体"/>
                <w:b w:val="0"/>
              </w:rPr>
              <w:t>1.1799</w:t>
            </w:r>
          </w:p>
        </w:tc>
        <w:tc>
          <w:tcPr>
            <w:tcW w:w="1500" w:type="pct"/>
            <w:vAlign w:val="center"/>
          </w:tcPr>
          <w:p>
            <w:pPr>
              <w:spacing w:line="240" w:lineRule="auto"/>
              <w:jc w:val="right"/>
            </w:pPr>
            <w:r>
              <w:rPr>
                <w:rFonts w:ascii="宋体" w:hAnsi="宋体" w:eastAsia="宋体" w:cs="宋体"/>
                <w:b w:val="0"/>
              </w:rPr>
              <w:t>1.1323</w:t>
            </w:r>
          </w:p>
        </w:tc>
      </w:tr>
    </w:tbl>
    <w:p>
      <w:r>
        <w:rPr>
          <w:rFonts w:ascii="宋体" w:hAnsi="宋体" w:eastAsia="宋体" w:cs="宋体"/>
          <w:b w:val="0"/>
        </w:rPr>
        <w:t>注：1、本期已实现收益指基金本期利息收入、投资收益、其他收入(不含公允价值变动收益)扣除相关费用后的余额，本期利润为本期已实现收益加上本期公允价值变动收益。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2、所述基金业绩指标不包括持有人认购或交易基金的各项费用，计入费用后实际收益水平要低于所列数字。</w:t>
      </w:r>
    </w:p>
    <w:p/>
    <w:p>
      <w:pPr>
        <w:pStyle w:val="3"/>
        <w:jc w:val="left"/>
      </w:pPr>
      <w:r>
        <w:rPr>
          <w:rFonts w:ascii="宋体" w:hAnsi="宋体" w:eastAsia="宋体" w:cs="宋体"/>
        </w:rPr>
        <w:t>3.2 基金净值表现</w:t>
      </w:r>
    </w:p>
    <w:p>
      <w:pPr>
        <w:pStyle w:val="58"/>
      </w:pPr>
      <w:r>
        <w:rPr>
          <w:rFonts w:ascii="宋体" w:hAnsi="宋体" w:eastAsia="宋体" w:cs="宋体"/>
          <w:b/>
        </w:rPr>
        <w:t>3.2.1 基金份额净值增长率及其与同期业绩比较基准收益率的比较</w:t>
      </w:r>
    </w:p>
    <w:p>
      <w:pPr>
        <w:jc w:val="left"/>
      </w:pPr>
      <w:r>
        <w:rPr>
          <w:rFonts w:ascii="宋体" w:hAnsi="宋体" w:eastAsia="宋体" w:cs="宋体"/>
          <w:b/>
        </w:rPr>
        <w:t>东方阿尔法精选混合A净值表现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pct"/>
            <w:shd w:val="clear" w:color="auto" w:fill="D9D9D9"/>
            <w:vAlign w:val="center"/>
          </w:tcPr>
          <w:p>
            <w:pPr>
              <w:spacing w:line="240" w:lineRule="auto"/>
              <w:jc w:val="center"/>
            </w:pPr>
            <w:r>
              <w:rPr>
                <w:rFonts w:ascii="宋体" w:hAnsi="宋体" w:eastAsia="宋体" w:cs="宋体"/>
                <w:b w:val="0"/>
              </w:rPr>
              <w:t>阶段</w:t>
            </w:r>
          </w:p>
        </w:tc>
        <w:tc>
          <w:tcPr>
            <w:tcW w:w="692" w:type="pct"/>
            <w:shd w:val="clear" w:color="auto" w:fill="D9D9D9"/>
            <w:vAlign w:val="center"/>
          </w:tcPr>
          <w:p>
            <w:pPr>
              <w:spacing w:line="240" w:lineRule="auto"/>
              <w:jc w:val="center"/>
            </w:pPr>
            <w:r>
              <w:rPr>
                <w:rFonts w:ascii="宋体" w:hAnsi="宋体" w:eastAsia="宋体" w:cs="宋体"/>
                <w:b w:val="0"/>
              </w:rPr>
              <w:t>净值增长率①</w:t>
            </w:r>
          </w:p>
        </w:tc>
        <w:tc>
          <w:tcPr>
            <w:tcW w:w="692" w:type="pct"/>
            <w:shd w:val="clear" w:color="auto" w:fill="D9D9D9"/>
            <w:vAlign w:val="center"/>
          </w:tcPr>
          <w:p>
            <w:pPr>
              <w:spacing w:line="240" w:lineRule="auto"/>
              <w:jc w:val="center"/>
            </w:pPr>
            <w:r>
              <w:rPr>
                <w:rFonts w:ascii="宋体" w:hAnsi="宋体" w:eastAsia="宋体" w:cs="宋体"/>
                <w:b w:val="0"/>
              </w:rPr>
              <w:t>净值增长率标准差②</w:t>
            </w:r>
          </w:p>
        </w:tc>
        <w:tc>
          <w:tcPr>
            <w:tcW w:w="692" w:type="pct"/>
            <w:shd w:val="clear" w:color="auto" w:fill="D9D9D9"/>
            <w:vAlign w:val="center"/>
          </w:tcPr>
          <w:p>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pPr>
              <w:spacing w:line="240" w:lineRule="auto"/>
              <w:jc w:val="center"/>
            </w:pPr>
            <w:r>
              <w:rPr>
                <w:rFonts w:ascii="宋体" w:hAnsi="宋体" w:eastAsia="宋体" w:cs="宋体"/>
                <w:b w:val="0"/>
              </w:rPr>
              <w:t>①-③</w:t>
            </w:r>
          </w:p>
        </w:tc>
        <w:tc>
          <w:tcPr>
            <w:tcW w:w="692" w:type="pct"/>
            <w:shd w:val="clear" w:color="auto" w:fill="D9D9D9"/>
            <w:vAlign w:val="center"/>
          </w:tcPr>
          <w:p>
            <w:pPr>
              <w:spacing w:line="240" w:lineRule="auto"/>
              <w:jc w:val="center"/>
            </w:pPr>
            <w:r>
              <w:rPr>
                <w:rFonts w:ascii="宋体" w:hAnsi="宋体" w:eastAsia="宋体" w:cs="宋体"/>
                <w:b w:val="0"/>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过去三个月</w:t>
            </w:r>
          </w:p>
        </w:tc>
        <w:tc>
          <w:tcPr>
            <w:tcW w:w="0" w:type="dxa"/>
            <w:vAlign w:val="center"/>
          </w:tcPr>
          <w:p>
            <w:pPr>
              <w:spacing w:line="240" w:lineRule="auto"/>
              <w:jc w:val="right"/>
            </w:pPr>
            <w:r>
              <w:rPr>
                <w:rFonts w:ascii="宋体" w:hAnsi="宋体" w:eastAsia="宋体" w:cs="宋体"/>
                <w:b w:val="0"/>
              </w:rPr>
              <w:t>56.65%</w:t>
            </w:r>
          </w:p>
        </w:tc>
        <w:tc>
          <w:tcPr>
            <w:tcW w:w="0" w:type="dxa"/>
            <w:vAlign w:val="center"/>
          </w:tcPr>
          <w:p>
            <w:pPr>
              <w:spacing w:line="240" w:lineRule="auto"/>
              <w:jc w:val="right"/>
            </w:pPr>
            <w:r>
              <w:rPr>
                <w:rFonts w:ascii="宋体" w:hAnsi="宋体" w:eastAsia="宋体" w:cs="宋体"/>
                <w:b w:val="0"/>
              </w:rPr>
              <w:t>3.44%</w:t>
            </w:r>
          </w:p>
        </w:tc>
        <w:tc>
          <w:tcPr>
            <w:tcW w:w="0" w:type="dxa"/>
            <w:vAlign w:val="center"/>
          </w:tcPr>
          <w:p>
            <w:pPr>
              <w:spacing w:line="240" w:lineRule="auto"/>
              <w:jc w:val="right"/>
            </w:pPr>
            <w:r>
              <w:rPr>
                <w:rFonts w:ascii="宋体" w:hAnsi="宋体" w:eastAsia="宋体" w:cs="宋体"/>
                <w:b w:val="0"/>
              </w:rPr>
              <w:t>3.57%</w:t>
            </w:r>
          </w:p>
        </w:tc>
        <w:tc>
          <w:tcPr>
            <w:tcW w:w="0" w:type="dxa"/>
            <w:vAlign w:val="center"/>
          </w:tcPr>
          <w:p>
            <w:pPr>
              <w:spacing w:line="240" w:lineRule="auto"/>
              <w:jc w:val="right"/>
            </w:pPr>
            <w:r>
              <w:rPr>
                <w:rFonts w:ascii="宋体" w:hAnsi="宋体" w:eastAsia="宋体" w:cs="宋体"/>
                <w:b w:val="0"/>
              </w:rPr>
              <w:t>0.67%</w:t>
            </w:r>
          </w:p>
        </w:tc>
        <w:tc>
          <w:tcPr>
            <w:tcW w:w="0" w:type="dxa"/>
            <w:vAlign w:val="center"/>
          </w:tcPr>
          <w:p>
            <w:pPr>
              <w:spacing w:line="240" w:lineRule="auto"/>
              <w:jc w:val="right"/>
            </w:pPr>
            <w:r>
              <w:rPr>
                <w:rFonts w:ascii="宋体" w:hAnsi="宋体" w:eastAsia="宋体" w:cs="宋体"/>
                <w:b w:val="0"/>
              </w:rPr>
              <w:t>53.08%</w:t>
            </w:r>
          </w:p>
        </w:tc>
        <w:tc>
          <w:tcPr>
            <w:tcW w:w="0" w:type="dxa"/>
            <w:vAlign w:val="center"/>
          </w:tcPr>
          <w:p>
            <w:pPr>
              <w:spacing w:line="240" w:lineRule="auto"/>
              <w:jc w:val="right"/>
            </w:pPr>
            <w:r>
              <w:rPr>
                <w:rFonts w:ascii="宋体" w:hAnsi="宋体" w:eastAsia="宋体" w:cs="宋体"/>
                <w:b w:val="0"/>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过去六个月</w:t>
            </w:r>
          </w:p>
        </w:tc>
        <w:tc>
          <w:tcPr>
            <w:tcW w:w="0" w:type="dxa"/>
            <w:vAlign w:val="center"/>
          </w:tcPr>
          <w:p>
            <w:pPr>
              <w:spacing w:line="240" w:lineRule="auto"/>
              <w:jc w:val="right"/>
            </w:pPr>
            <w:r>
              <w:rPr>
                <w:rFonts w:ascii="宋体" w:hAnsi="宋体" w:eastAsia="宋体" w:cs="宋体"/>
                <w:b w:val="0"/>
              </w:rPr>
              <w:t>19.88%</w:t>
            </w:r>
          </w:p>
        </w:tc>
        <w:tc>
          <w:tcPr>
            <w:tcW w:w="0" w:type="dxa"/>
            <w:vAlign w:val="center"/>
          </w:tcPr>
          <w:p>
            <w:pPr>
              <w:spacing w:line="240" w:lineRule="auto"/>
              <w:jc w:val="right"/>
            </w:pPr>
            <w:r>
              <w:rPr>
                <w:rFonts w:ascii="宋体" w:hAnsi="宋体" w:eastAsia="宋体" w:cs="宋体"/>
                <w:b w:val="0"/>
              </w:rPr>
              <w:t>3.27%</w:t>
            </w:r>
          </w:p>
        </w:tc>
        <w:tc>
          <w:tcPr>
            <w:tcW w:w="0" w:type="dxa"/>
            <w:vAlign w:val="center"/>
          </w:tcPr>
          <w:p>
            <w:pPr>
              <w:spacing w:line="240" w:lineRule="auto"/>
              <w:jc w:val="right"/>
            </w:pPr>
            <w:r>
              <w:rPr>
                <w:rFonts w:ascii="宋体" w:hAnsi="宋体" w:eastAsia="宋体" w:cs="宋体"/>
                <w:b w:val="0"/>
              </w:rPr>
              <w:t>1.70%</w:t>
            </w:r>
          </w:p>
        </w:tc>
        <w:tc>
          <w:tcPr>
            <w:tcW w:w="0" w:type="dxa"/>
            <w:vAlign w:val="center"/>
          </w:tcPr>
          <w:p>
            <w:pPr>
              <w:spacing w:line="240" w:lineRule="auto"/>
              <w:jc w:val="right"/>
            </w:pPr>
            <w:r>
              <w:rPr>
                <w:rFonts w:ascii="宋体" w:hAnsi="宋体" w:eastAsia="宋体" w:cs="宋体"/>
                <w:b w:val="0"/>
              </w:rPr>
              <w:t>0.64%</w:t>
            </w:r>
          </w:p>
        </w:tc>
        <w:tc>
          <w:tcPr>
            <w:tcW w:w="0" w:type="dxa"/>
            <w:vAlign w:val="center"/>
          </w:tcPr>
          <w:p>
            <w:pPr>
              <w:spacing w:line="240" w:lineRule="auto"/>
              <w:jc w:val="right"/>
            </w:pPr>
            <w:r>
              <w:rPr>
                <w:rFonts w:ascii="宋体" w:hAnsi="宋体" w:eastAsia="宋体" w:cs="宋体"/>
                <w:b w:val="0"/>
              </w:rPr>
              <w:t>18.18%</w:t>
            </w:r>
          </w:p>
        </w:tc>
        <w:tc>
          <w:tcPr>
            <w:tcW w:w="0" w:type="dxa"/>
            <w:vAlign w:val="center"/>
          </w:tcPr>
          <w:p>
            <w:pPr>
              <w:spacing w:line="240" w:lineRule="auto"/>
              <w:jc w:val="right"/>
            </w:pPr>
            <w:r>
              <w:rPr>
                <w:rFonts w:ascii="宋体" w:hAnsi="宋体" w:eastAsia="宋体" w:cs="宋体"/>
                <w:b w:val="0"/>
              </w:rPr>
              <w:t>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过去一年</w:t>
            </w:r>
          </w:p>
        </w:tc>
        <w:tc>
          <w:tcPr>
            <w:tcW w:w="0" w:type="dxa"/>
            <w:vAlign w:val="center"/>
          </w:tcPr>
          <w:p>
            <w:pPr>
              <w:spacing w:line="240" w:lineRule="auto"/>
              <w:jc w:val="right"/>
            </w:pPr>
            <w:r>
              <w:rPr>
                <w:rFonts w:ascii="宋体" w:hAnsi="宋体" w:eastAsia="宋体" w:cs="宋体"/>
                <w:b w:val="0"/>
              </w:rPr>
              <w:t>34.16%</w:t>
            </w:r>
          </w:p>
        </w:tc>
        <w:tc>
          <w:tcPr>
            <w:tcW w:w="0" w:type="dxa"/>
            <w:vAlign w:val="center"/>
          </w:tcPr>
          <w:p>
            <w:pPr>
              <w:spacing w:line="240" w:lineRule="auto"/>
              <w:jc w:val="right"/>
            </w:pPr>
            <w:r>
              <w:rPr>
                <w:rFonts w:ascii="宋体" w:hAnsi="宋体" w:eastAsia="宋体" w:cs="宋体"/>
                <w:b w:val="0"/>
              </w:rPr>
              <w:t>2.36%</w:t>
            </w:r>
          </w:p>
        </w:tc>
        <w:tc>
          <w:tcPr>
            <w:tcW w:w="0" w:type="dxa"/>
            <w:vAlign w:val="center"/>
          </w:tcPr>
          <w:p>
            <w:pPr>
              <w:spacing w:line="240" w:lineRule="auto"/>
              <w:jc w:val="right"/>
            </w:pPr>
            <w:r>
              <w:rPr>
                <w:rFonts w:ascii="宋体" w:hAnsi="宋体" w:eastAsia="宋体" w:cs="宋体"/>
                <w:b w:val="0"/>
              </w:rPr>
              <w:t>9.92%</w:t>
            </w:r>
          </w:p>
        </w:tc>
        <w:tc>
          <w:tcPr>
            <w:tcW w:w="0" w:type="dxa"/>
            <w:vAlign w:val="center"/>
          </w:tcPr>
          <w:p>
            <w:pPr>
              <w:spacing w:line="240" w:lineRule="auto"/>
              <w:jc w:val="right"/>
            </w:pPr>
            <w:r>
              <w:rPr>
                <w:rFonts w:ascii="宋体" w:hAnsi="宋体" w:eastAsia="宋体" w:cs="宋体"/>
                <w:b w:val="0"/>
              </w:rPr>
              <w:t>0.58%</w:t>
            </w:r>
          </w:p>
        </w:tc>
        <w:tc>
          <w:tcPr>
            <w:tcW w:w="0" w:type="dxa"/>
            <w:vAlign w:val="center"/>
          </w:tcPr>
          <w:p>
            <w:pPr>
              <w:spacing w:line="240" w:lineRule="auto"/>
              <w:jc w:val="right"/>
            </w:pPr>
            <w:r>
              <w:rPr>
                <w:rFonts w:ascii="宋体" w:hAnsi="宋体" w:eastAsia="宋体" w:cs="宋体"/>
                <w:b w:val="0"/>
              </w:rPr>
              <w:t>24.24%</w:t>
            </w:r>
          </w:p>
        </w:tc>
        <w:tc>
          <w:tcPr>
            <w:tcW w:w="0" w:type="dxa"/>
            <w:vAlign w:val="center"/>
          </w:tcPr>
          <w:p>
            <w:pPr>
              <w:spacing w:line="240" w:lineRule="auto"/>
              <w:jc w:val="right"/>
            </w:pPr>
            <w:r>
              <w:rPr>
                <w:rFonts w:ascii="宋体" w:hAnsi="宋体" w:eastAsia="宋体" w:cs="宋体"/>
                <w:b w:val="0"/>
              </w:rPr>
              <w:t>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过去三年</w:t>
            </w:r>
          </w:p>
        </w:tc>
        <w:tc>
          <w:tcPr>
            <w:tcW w:w="0" w:type="dxa"/>
            <w:vAlign w:val="center"/>
          </w:tcPr>
          <w:p>
            <w:pPr>
              <w:spacing w:line="240" w:lineRule="auto"/>
              <w:jc w:val="right"/>
            </w:pPr>
            <w:r>
              <w:rPr>
                <w:rFonts w:ascii="宋体" w:hAnsi="宋体" w:eastAsia="宋体" w:cs="宋体"/>
                <w:b w:val="0"/>
              </w:rPr>
              <w:t>1.34%</w:t>
            </w:r>
          </w:p>
        </w:tc>
        <w:tc>
          <w:tcPr>
            <w:tcW w:w="0" w:type="dxa"/>
            <w:vAlign w:val="center"/>
          </w:tcPr>
          <w:p>
            <w:pPr>
              <w:spacing w:line="240" w:lineRule="auto"/>
              <w:jc w:val="right"/>
            </w:pPr>
            <w:r>
              <w:rPr>
                <w:rFonts w:ascii="宋体" w:hAnsi="宋体" w:eastAsia="宋体" w:cs="宋体"/>
                <w:b w:val="0"/>
              </w:rPr>
              <w:t>2.11%</w:t>
            </w:r>
          </w:p>
        </w:tc>
        <w:tc>
          <w:tcPr>
            <w:tcW w:w="0" w:type="dxa"/>
            <w:vAlign w:val="center"/>
          </w:tcPr>
          <w:p>
            <w:pPr>
              <w:spacing w:line="240" w:lineRule="auto"/>
              <w:jc w:val="right"/>
            </w:pPr>
            <w:r>
              <w:rPr>
                <w:rFonts w:ascii="宋体" w:hAnsi="宋体" w:eastAsia="宋体" w:cs="宋体"/>
                <w:b w:val="0"/>
              </w:rPr>
              <w:t>23.18%</w:t>
            </w:r>
          </w:p>
        </w:tc>
        <w:tc>
          <w:tcPr>
            <w:tcW w:w="0" w:type="dxa"/>
            <w:vAlign w:val="center"/>
          </w:tcPr>
          <w:p>
            <w:pPr>
              <w:spacing w:line="240" w:lineRule="auto"/>
              <w:jc w:val="right"/>
            </w:pPr>
            <w:r>
              <w:rPr>
                <w:rFonts w:ascii="宋体" w:hAnsi="宋体" w:eastAsia="宋体" w:cs="宋体"/>
                <w:b w:val="0"/>
              </w:rPr>
              <w:t>0.65%</w:t>
            </w:r>
          </w:p>
        </w:tc>
        <w:tc>
          <w:tcPr>
            <w:tcW w:w="0" w:type="dxa"/>
            <w:vAlign w:val="center"/>
          </w:tcPr>
          <w:p>
            <w:pPr>
              <w:spacing w:line="240" w:lineRule="auto"/>
              <w:jc w:val="right"/>
            </w:pPr>
            <w:r>
              <w:rPr>
                <w:rFonts w:ascii="宋体" w:hAnsi="宋体" w:eastAsia="宋体" w:cs="宋体"/>
                <w:b w:val="0"/>
              </w:rPr>
              <w:t>-21.84%</w:t>
            </w:r>
          </w:p>
        </w:tc>
        <w:tc>
          <w:tcPr>
            <w:tcW w:w="0" w:type="dxa"/>
            <w:vAlign w:val="center"/>
          </w:tcPr>
          <w:p>
            <w:pPr>
              <w:spacing w:line="240" w:lineRule="auto"/>
              <w:jc w:val="right"/>
            </w:pPr>
            <w:r>
              <w:rPr>
                <w:rFonts w:ascii="宋体" w:hAnsi="宋体" w:eastAsia="宋体" w:cs="宋体"/>
                <w:b w:val="0"/>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过去五年</w:t>
            </w:r>
          </w:p>
        </w:tc>
        <w:tc>
          <w:tcPr>
            <w:tcW w:w="0" w:type="dxa"/>
            <w:vAlign w:val="center"/>
          </w:tcPr>
          <w:p>
            <w:pPr>
              <w:spacing w:line="240" w:lineRule="auto"/>
              <w:jc w:val="right"/>
            </w:pPr>
            <w:r>
              <w:rPr>
                <w:rFonts w:ascii="宋体" w:hAnsi="宋体" w:eastAsia="宋体" w:cs="宋体"/>
                <w:b w:val="0"/>
              </w:rPr>
              <w:t>-16.49%</w:t>
            </w:r>
          </w:p>
        </w:tc>
        <w:tc>
          <w:tcPr>
            <w:tcW w:w="0" w:type="dxa"/>
            <w:vAlign w:val="center"/>
          </w:tcPr>
          <w:p>
            <w:pPr>
              <w:spacing w:line="240" w:lineRule="auto"/>
              <w:jc w:val="right"/>
            </w:pPr>
            <w:r>
              <w:rPr>
                <w:rFonts w:ascii="宋体" w:hAnsi="宋体" w:eastAsia="宋体" w:cs="宋体"/>
                <w:b w:val="0"/>
              </w:rPr>
              <w:t>1.96%</w:t>
            </w:r>
          </w:p>
        </w:tc>
        <w:tc>
          <w:tcPr>
            <w:tcW w:w="0" w:type="dxa"/>
            <w:vAlign w:val="center"/>
          </w:tcPr>
          <w:p>
            <w:pPr>
              <w:spacing w:line="240" w:lineRule="auto"/>
              <w:jc w:val="right"/>
            </w:pPr>
            <w:r>
              <w:rPr>
                <w:rFonts w:ascii="宋体" w:hAnsi="宋体" w:eastAsia="宋体" w:cs="宋体"/>
                <w:b w:val="0"/>
              </w:rPr>
              <w:t>5.15%</w:t>
            </w:r>
          </w:p>
        </w:tc>
        <w:tc>
          <w:tcPr>
            <w:tcW w:w="0" w:type="dxa"/>
            <w:vAlign w:val="center"/>
          </w:tcPr>
          <w:p>
            <w:pPr>
              <w:spacing w:line="240" w:lineRule="auto"/>
              <w:jc w:val="right"/>
            </w:pPr>
            <w:r>
              <w:rPr>
                <w:rFonts w:ascii="宋体" w:hAnsi="宋体" w:eastAsia="宋体" w:cs="宋体"/>
                <w:b w:val="0"/>
              </w:rPr>
              <w:t>0.69%</w:t>
            </w:r>
          </w:p>
        </w:tc>
        <w:tc>
          <w:tcPr>
            <w:tcW w:w="0" w:type="dxa"/>
            <w:vAlign w:val="center"/>
          </w:tcPr>
          <w:p>
            <w:pPr>
              <w:spacing w:line="240" w:lineRule="auto"/>
              <w:jc w:val="right"/>
            </w:pPr>
            <w:r>
              <w:rPr>
                <w:rFonts w:ascii="宋体" w:hAnsi="宋体" w:eastAsia="宋体" w:cs="宋体"/>
                <w:b w:val="0"/>
              </w:rPr>
              <w:t>-21.64%</w:t>
            </w:r>
          </w:p>
        </w:tc>
        <w:tc>
          <w:tcPr>
            <w:tcW w:w="0" w:type="dxa"/>
            <w:vAlign w:val="center"/>
          </w:tcPr>
          <w:p>
            <w:pPr>
              <w:spacing w:line="240" w:lineRule="auto"/>
              <w:jc w:val="right"/>
            </w:pPr>
            <w:r>
              <w:rPr>
                <w:rFonts w:ascii="宋体" w:hAnsi="宋体" w:eastAsia="宋体" w:cs="宋体"/>
                <w:b w:val="0"/>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过去七年</w:t>
            </w:r>
          </w:p>
        </w:tc>
        <w:tc>
          <w:tcPr>
            <w:tcW w:w="0" w:type="dxa"/>
            <w:vAlign w:val="center"/>
          </w:tcPr>
          <w:p>
            <w:pPr>
              <w:spacing w:line="240" w:lineRule="auto"/>
              <w:jc w:val="right"/>
            </w:pPr>
            <w:r>
              <w:rPr>
                <w:rFonts w:ascii="宋体" w:hAnsi="宋体" w:eastAsia="宋体" w:cs="宋体"/>
                <w:b w:val="0"/>
              </w:rPr>
              <w:t>15.12%</w:t>
            </w:r>
          </w:p>
        </w:tc>
        <w:tc>
          <w:tcPr>
            <w:tcW w:w="0" w:type="dxa"/>
            <w:vAlign w:val="center"/>
          </w:tcPr>
          <w:p>
            <w:pPr>
              <w:spacing w:line="240" w:lineRule="auto"/>
              <w:jc w:val="right"/>
            </w:pPr>
            <w:r>
              <w:rPr>
                <w:rFonts w:ascii="宋体" w:hAnsi="宋体" w:eastAsia="宋体" w:cs="宋体"/>
                <w:b w:val="0"/>
              </w:rPr>
              <w:t>1.85%</w:t>
            </w:r>
          </w:p>
        </w:tc>
        <w:tc>
          <w:tcPr>
            <w:tcW w:w="0" w:type="dxa"/>
            <w:vAlign w:val="center"/>
          </w:tcPr>
          <w:p>
            <w:pPr>
              <w:spacing w:line="240" w:lineRule="auto"/>
              <w:jc w:val="right"/>
            </w:pPr>
            <w:r>
              <w:rPr>
                <w:rFonts w:ascii="宋体" w:hAnsi="宋体" w:eastAsia="宋体" w:cs="宋体"/>
                <w:b w:val="0"/>
              </w:rPr>
              <w:t>24.59%</w:t>
            </w:r>
          </w:p>
        </w:tc>
        <w:tc>
          <w:tcPr>
            <w:tcW w:w="0" w:type="dxa"/>
            <w:vAlign w:val="center"/>
          </w:tcPr>
          <w:p>
            <w:pPr>
              <w:spacing w:line="240" w:lineRule="auto"/>
              <w:jc w:val="right"/>
            </w:pPr>
            <w:r>
              <w:rPr>
                <w:rFonts w:ascii="宋体" w:hAnsi="宋体" w:eastAsia="宋体" w:cs="宋体"/>
                <w:b w:val="0"/>
              </w:rPr>
              <w:t>0.69%</w:t>
            </w:r>
          </w:p>
        </w:tc>
        <w:tc>
          <w:tcPr>
            <w:tcW w:w="0" w:type="dxa"/>
            <w:vAlign w:val="center"/>
          </w:tcPr>
          <w:p>
            <w:pPr>
              <w:spacing w:line="240" w:lineRule="auto"/>
              <w:jc w:val="right"/>
            </w:pPr>
            <w:r>
              <w:rPr>
                <w:rFonts w:ascii="宋体" w:hAnsi="宋体" w:eastAsia="宋体" w:cs="宋体"/>
                <w:b w:val="0"/>
              </w:rPr>
              <w:t>-9.47%</w:t>
            </w:r>
          </w:p>
        </w:tc>
        <w:tc>
          <w:tcPr>
            <w:tcW w:w="0" w:type="dxa"/>
            <w:vAlign w:val="center"/>
          </w:tcPr>
          <w:p>
            <w:pPr>
              <w:spacing w:line="240" w:lineRule="auto"/>
              <w:jc w:val="right"/>
            </w:pPr>
            <w:r>
              <w:rPr>
                <w:rFonts w:ascii="宋体" w:hAnsi="宋体" w:eastAsia="宋体" w:cs="宋体"/>
                <w:b w:val="0"/>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自基金合同生效起至今</w:t>
            </w:r>
          </w:p>
        </w:tc>
        <w:tc>
          <w:tcPr>
            <w:tcW w:w="0" w:type="dxa"/>
            <w:vAlign w:val="center"/>
          </w:tcPr>
          <w:p>
            <w:pPr>
              <w:spacing w:line="240" w:lineRule="auto"/>
              <w:jc w:val="right"/>
            </w:pPr>
            <w:r>
              <w:rPr>
                <w:rFonts w:ascii="宋体" w:hAnsi="宋体" w:eastAsia="宋体" w:cs="宋体"/>
                <w:b w:val="0"/>
              </w:rPr>
              <w:t>17.99%</w:t>
            </w:r>
          </w:p>
        </w:tc>
        <w:tc>
          <w:tcPr>
            <w:tcW w:w="0" w:type="dxa"/>
            <w:vAlign w:val="center"/>
          </w:tcPr>
          <w:p>
            <w:pPr>
              <w:spacing w:line="240" w:lineRule="auto"/>
              <w:jc w:val="right"/>
            </w:pPr>
            <w:r>
              <w:rPr>
                <w:rFonts w:ascii="宋体" w:hAnsi="宋体" w:eastAsia="宋体" w:cs="宋体"/>
                <w:b w:val="0"/>
              </w:rPr>
              <w:t>1.77%</w:t>
            </w:r>
          </w:p>
        </w:tc>
        <w:tc>
          <w:tcPr>
            <w:tcW w:w="0" w:type="dxa"/>
            <w:vAlign w:val="center"/>
          </w:tcPr>
          <w:p>
            <w:pPr>
              <w:spacing w:line="240" w:lineRule="auto"/>
              <w:jc w:val="right"/>
            </w:pPr>
            <w:r>
              <w:rPr>
                <w:rFonts w:ascii="宋体" w:hAnsi="宋体" w:eastAsia="宋体" w:cs="宋体"/>
                <w:b w:val="0"/>
              </w:rPr>
              <w:t>25.98%</w:t>
            </w:r>
          </w:p>
        </w:tc>
        <w:tc>
          <w:tcPr>
            <w:tcW w:w="0" w:type="dxa"/>
            <w:vAlign w:val="center"/>
          </w:tcPr>
          <w:p>
            <w:pPr>
              <w:spacing w:line="240" w:lineRule="auto"/>
              <w:jc w:val="right"/>
            </w:pPr>
            <w:r>
              <w:rPr>
                <w:rFonts w:ascii="宋体" w:hAnsi="宋体" w:eastAsia="宋体" w:cs="宋体"/>
                <w:b w:val="0"/>
              </w:rPr>
              <w:t>0.70%</w:t>
            </w:r>
          </w:p>
        </w:tc>
        <w:tc>
          <w:tcPr>
            <w:tcW w:w="0" w:type="dxa"/>
            <w:vAlign w:val="center"/>
          </w:tcPr>
          <w:p>
            <w:pPr>
              <w:spacing w:line="240" w:lineRule="auto"/>
              <w:jc w:val="right"/>
            </w:pPr>
            <w:r>
              <w:rPr>
                <w:rFonts w:ascii="宋体" w:hAnsi="宋体" w:eastAsia="宋体" w:cs="宋体"/>
                <w:b w:val="0"/>
              </w:rPr>
              <w:t>-7.99%</w:t>
            </w:r>
          </w:p>
        </w:tc>
        <w:tc>
          <w:tcPr>
            <w:tcW w:w="0" w:type="dxa"/>
            <w:vAlign w:val="center"/>
          </w:tcPr>
          <w:p>
            <w:pPr>
              <w:spacing w:line="240" w:lineRule="auto"/>
              <w:jc w:val="right"/>
            </w:pPr>
            <w:r>
              <w:rPr>
                <w:rFonts w:ascii="宋体" w:hAnsi="宋体" w:eastAsia="宋体" w:cs="宋体"/>
                <w:b w:val="0"/>
              </w:rPr>
              <w:t>1.07%</w:t>
            </w:r>
          </w:p>
        </w:tc>
      </w:tr>
    </w:tbl>
    <w:p>
      <w:pPr>
        <w:jc w:val="left"/>
      </w:pPr>
      <w:r>
        <w:rPr>
          <w:rFonts w:ascii="宋体" w:hAnsi="宋体" w:eastAsia="宋体" w:cs="宋体"/>
          <w:b/>
        </w:rPr>
        <w:t>东方阿尔法精选混合C净值表现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pPr>
              <w:spacing w:line="240" w:lineRule="auto"/>
              <w:jc w:val="center"/>
            </w:pPr>
            <w:r>
              <w:rPr>
                <w:rFonts w:ascii="宋体" w:hAnsi="宋体" w:eastAsia="宋体" w:cs="宋体"/>
                <w:b w:val="0"/>
              </w:rPr>
              <w:t>阶段</w:t>
            </w:r>
          </w:p>
        </w:tc>
        <w:tc>
          <w:tcPr>
            <w:tcW w:w="692" w:type="pct"/>
            <w:shd w:val="clear" w:color="auto" w:fill="D9D9D9"/>
            <w:vAlign w:val="center"/>
          </w:tcPr>
          <w:p>
            <w:pPr>
              <w:spacing w:line="240" w:lineRule="auto"/>
              <w:jc w:val="center"/>
            </w:pPr>
            <w:r>
              <w:rPr>
                <w:rFonts w:ascii="宋体" w:hAnsi="宋体" w:eastAsia="宋体" w:cs="宋体"/>
                <w:b w:val="0"/>
              </w:rPr>
              <w:t>净值增长率①</w:t>
            </w:r>
          </w:p>
        </w:tc>
        <w:tc>
          <w:tcPr>
            <w:tcW w:w="692" w:type="pct"/>
            <w:shd w:val="clear" w:color="auto" w:fill="D9D9D9"/>
            <w:vAlign w:val="center"/>
          </w:tcPr>
          <w:p>
            <w:pPr>
              <w:spacing w:line="240" w:lineRule="auto"/>
              <w:jc w:val="center"/>
            </w:pPr>
            <w:r>
              <w:rPr>
                <w:rFonts w:ascii="宋体" w:hAnsi="宋体" w:eastAsia="宋体" w:cs="宋体"/>
                <w:b w:val="0"/>
              </w:rPr>
              <w:t>净值增长率标准差②</w:t>
            </w:r>
          </w:p>
        </w:tc>
        <w:tc>
          <w:tcPr>
            <w:tcW w:w="692" w:type="pct"/>
            <w:shd w:val="clear" w:color="auto" w:fill="D9D9D9"/>
            <w:vAlign w:val="center"/>
          </w:tcPr>
          <w:p>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pPr>
              <w:spacing w:line="240" w:lineRule="auto"/>
              <w:jc w:val="center"/>
            </w:pPr>
            <w:r>
              <w:rPr>
                <w:rFonts w:ascii="宋体" w:hAnsi="宋体" w:eastAsia="宋体" w:cs="宋体"/>
                <w:b w:val="0"/>
              </w:rPr>
              <w:t>①-③</w:t>
            </w:r>
          </w:p>
        </w:tc>
        <w:tc>
          <w:tcPr>
            <w:tcW w:w="692" w:type="pct"/>
            <w:shd w:val="clear" w:color="auto" w:fill="D9D9D9"/>
            <w:vAlign w:val="center"/>
          </w:tcPr>
          <w:p>
            <w:pPr>
              <w:spacing w:line="240" w:lineRule="auto"/>
              <w:jc w:val="center"/>
            </w:pPr>
            <w:r>
              <w:rPr>
                <w:rFonts w:ascii="宋体" w:hAnsi="宋体" w:eastAsia="宋体" w:cs="宋体"/>
                <w:b w:val="0"/>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过去三个月</w:t>
            </w:r>
          </w:p>
        </w:tc>
        <w:tc>
          <w:tcPr>
            <w:tcW w:w="0" w:type="dxa"/>
            <w:vAlign w:val="center"/>
          </w:tcPr>
          <w:p>
            <w:pPr>
              <w:spacing w:line="240" w:lineRule="auto"/>
              <w:jc w:val="right"/>
            </w:pPr>
            <w:r>
              <w:rPr>
                <w:rFonts w:ascii="宋体" w:hAnsi="宋体" w:eastAsia="宋体" w:cs="宋体"/>
                <w:b w:val="0"/>
              </w:rPr>
              <w:t>56.48%</w:t>
            </w:r>
          </w:p>
        </w:tc>
        <w:tc>
          <w:tcPr>
            <w:tcW w:w="0" w:type="dxa"/>
            <w:vAlign w:val="center"/>
          </w:tcPr>
          <w:p>
            <w:pPr>
              <w:spacing w:line="240" w:lineRule="auto"/>
              <w:jc w:val="right"/>
            </w:pPr>
            <w:r>
              <w:rPr>
                <w:rFonts w:ascii="宋体" w:hAnsi="宋体" w:eastAsia="宋体" w:cs="宋体"/>
                <w:b w:val="0"/>
              </w:rPr>
              <w:t>3.44%</w:t>
            </w:r>
          </w:p>
        </w:tc>
        <w:tc>
          <w:tcPr>
            <w:tcW w:w="0" w:type="dxa"/>
            <w:vAlign w:val="center"/>
          </w:tcPr>
          <w:p>
            <w:pPr>
              <w:spacing w:line="240" w:lineRule="auto"/>
              <w:jc w:val="right"/>
            </w:pPr>
            <w:r>
              <w:rPr>
                <w:rFonts w:ascii="宋体" w:hAnsi="宋体" w:eastAsia="宋体" w:cs="宋体"/>
                <w:b w:val="0"/>
              </w:rPr>
              <w:t>3.57%</w:t>
            </w:r>
          </w:p>
        </w:tc>
        <w:tc>
          <w:tcPr>
            <w:tcW w:w="0" w:type="dxa"/>
            <w:vAlign w:val="center"/>
          </w:tcPr>
          <w:p>
            <w:pPr>
              <w:spacing w:line="240" w:lineRule="auto"/>
              <w:jc w:val="right"/>
            </w:pPr>
            <w:r>
              <w:rPr>
                <w:rFonts w:ascii="宋体" w:hAnsi="宋体" w:eastAsia="宋体" w:cs="宋体"/>
                <w:b w:val="0"/>
              </w:rPr>
              <w:t>0.67%</w:t>
            </w:r>
          </w:p>
        </w:tc>
        <w:tc>
          <w:tcPr>
            <w:tcW w:w="0" w:type="dxa"/>
            <w:vAlign w:val="center"/>
          </w:tcPr>
          <w:p>
            <w:pPr>
              <w:spacing w:line="240" w:lineRule="auto"/>
              <w:jc w:val="right"/>
            </w:pPr>
            <w:r>
              <w:rPr>
                <w:rFonts w:ascii="宋体" w:hAnsi="宋体" w:eastAsia="宋体" w:cs="宋体"/>
                <w:b w:val="0"/>
              </w:rPr>
              <w:t>52.91%</w:t>
            </w:r>
          </w:p>
        </w:tc>
        <w:tc>
          <w:tcPr>
            <w:tcW w:w="0" w:type="dxa"/>
            <w:vAlign w:val="center"/>
          </w:tcPr>
          <w:p>
            <w:pPr>
              <w:spacing w:line="240" w:lineRule="auto"/>
              <w:jc w:val="right"/>
            </w:pPr>
            <w:r>
              <w:rPr>
                <w:rFonts w:ascii="宋体" w:hAnsi="宋体" w:eastAsia="宋体" w:cs="宋体"/>
                <w:b w:val="0"/>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过去六个月</w:t>
            </w:r>
          </w:p>
        </w:tc>
        <w:tc>
          <w:tcPr>
            <w:tcW w:w="0" w:type="dxa"/>
            <w:vAlign w:val="center"/>
          </w:tcPr>
          <w:p>
            <w:pPr>
              <w:spacing w:line="240" w:lineRule="auto"/>
              <w:jc w:val="right"/>
            </w:pPr>
            <w:r>
              <w:rPr>
                <w:rFonts w:ascii="宋体" w:hAnsi="宋体" w:eastAsia="宋体" w:cs="宋体"/>
                <w:b w:val="0"/>
              </w:rPr>
              <w:t>19.59%</w:t>
            </w:r>
          </w:p>
        </w:tc>
        <w:tc>
          <w:tcPr>
            <w:tcW w:w="0" w:type="dxa"/>
            <w:vAlign w:val="center"/>
          </w:tcPr>
          <w:p>
            <w:pPr>
              <w:spacing w:line="240" w:lineRule="auto"/>
              <w:jc w:val="right"/>
            </w:pPr>
            <w:r>
              <w:rPr>
                <w:rFonts w:ascii="宋体" w:hAnsi="宋体" w:eastAsia="宋体" w:cs="宋体"/>
                <w:b w:val="0"/>
              </w:rPr>
              <w:t>3.27%</w:t>
            </w:r>
          </w:p>
        </w:tc>
        <w:tc>
          <w:tcPr>
            <w:tcW w:w="0" w:type="dxa"/>
            <w:vAlign w:val="center"/>
          </w:tcPr>
          <w:p>
            <w:pPr>
              <w:spacing w:line="240" w:lineRule="auto"/>
              <w:jc w:val="right"/>
            </w:pPr>
            <w:r>
              <w:rPr>
                <w:rFonts w:ascii="宋体" w:hAnsi="宋体" w:eastAsia="宋体" w:cs="宋体"/>
                <w:b w:val="0"/>
              </w:rPr>
              <w:t>1.70%</w:t>
            </w:r>
          </w:p>
        </w:tc>
        <w:tc>
          <w:tcPr>
            <w:tcW w:w="0" w:type="dxa"/>
            <w:vAlign w:val="center"/>
          </w:tcPr>
          <w:p>
            <w:pPr>
              <w:spacing w:line="240" w:lineRule="auto"/>
              <w:jc w:val="right"/>
            </w:pPr>
            <w:r>
              <w:rPr>
                <w:rFonts w:ascii="宋体" w:hAnsi="宋体" w:eastAsia="宋体" w:cs="宋体"/>
                <w:b w:val="0"/>
              </w:rPr>
              <w:t>0.64%</w:t>
            </w:r>
          </w:p>
        </w:tc>
        <w:tc>
          <w:tcPr>
            <w:tcW w:w="0" w:type="dxa"/>
            <w:vAlign w:val="center"/>
          </w:tcPr>
          <w:p>
            <w:pPr>
              <w:spacing w:line="240" w:lineRule="auto"/>
              <w:jc w:val="right"/>
            </w:pPr>
            <w:r>
              <w:rPr>
                <w:rFonts w:ascii="宋体" w:hAnsi="宋体" w:eastAsia="宋体" w:cs="宋体"/>
                <w:b w:val="0"/>
              </w:rPr>
              <w:t>17.89%</w:t>
            </w:r>
          </w:p>
        </w:tc>
        <w:tc>
          <w:tcPr>
            <w:tcW w:w="0" w:type="dxa"/>
            <w:vAlign w:val="center"/>
          </w:tcPr>
          <w:p>
            <w:pPr>
              <w:spacing w:line="240" w:lineRule="auto"/>
              <w:jc w:val="right"/>
            </w:pPr>
            <w:r>
              <w:rPr>
                <w:rFonts w:ascii="宋体" w:hAnsi="宋体" w:eastAsia="宋体" w:cs="宋体"/>
                <w:b w:val="0"/>
              </w:rPr>
              <w:t>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过去一年</w:t>
            </w:r>
          </w:p>
        </w:tc>
        <w:tc>
          <w:tcPr>
            <w:tcW w:w="0" w:type="dxa"/>
            <w:vAlign w:val="center"/>
          </w:tcPr>
          <w:p>
            <w:pPr>
              <w:spacing w:line="240" w:lineRule="auto"/>
              <w:jc w:val="right"/>
            </w:pPr>
            <w:r>
              <w:rPr>
                <w:rFonts w:ascii="宋体" w:hAnsi="宋体" w:eastAsia="宋体" w:cs="宋体"/>
                <w:b w:val="0"/>
              </w:rPr>
              <w:t>33.49%</w:t>
            </w:r>
          </w:p>
        </w:tc>
        <w:tc>
          <w:tcPr>
            <w:tcW w:w="0" w:type="dxa"/>
            <w:vAlign w:val="center"/>
          </w:tcPr>
          <w:p>
            <w:pPr>
              <w:spacing w:line="240" w:lineRule="auto"/>
              <w:jc w:val="right"/>
            </w:pPr>
            <w:r>
              <w:rPr>
                <w:rFonts w:ascii="宋体" w:hAnsi="宋体" w:eastAsia="宋体" w:cs="宋体"/>
                <w:b w:val="0"/>
              </w:rPr>
              <w:t>2.36%</w:t>
            </w:r>
          </w:p>
        </w:tc>
        <w:tc>
          <w:tcPr>
            <w:tcW w:w="0" w:type="dxa"/>
            <w:vAlign w:val="center"/>
          </w:tcPr>
          <w:p>
            <w:pPr>
              <w:spacing w:line="240" w:lineRule="auto"/>
              <w:jc w:val="right"/>
            </w:pPr>
            <w:r>
              <w:rPr>
                <w:rFonts w:ascii="宋体" w:hAnsi="宋体" w:eastAsia="宋体" w:cs="宋体"/>
                <w:b w:val="0"/>
              </w:rPr>
              <w:t>9.92%</w:t>
            </w:r>
          </w:p>
        </w:tc>
        <w:tc>
          <w:tcPr>
            <w:tcW w:w="0" w:type="dxa"/>
            <w:vAlign w:val="center"/>
          </w:tcPr>
          <w:p>
            <w:pPr>
              <w:spacing w:line="240" w:lineRule="auto"/>
              <w:jc w:val="right"/>
            </w:pPr>
            <w:r>
              <w:rPr>
                <w:rFonts w:ascii="宋体" w:hAnsi="宋体" w:eastAsia="宋体" w:cs="宋体"/>
                <w:b w:val="0"/>
              </w:rPr>
              <w:t>0.58%</w:t>
            </w:r>
          </w:p>
        </w:tc>
        <w:tc>
          <w:tcPr>
            <w:tcW w:w="0" w:type="dxa"/>
            <w:vAlign w:val="center"/>
          </w:tcPr>
          <w:p>
            <w:pPr>
              <w:spacing w:line="240" w:lineRule="auto"/>
              <w:jc w:val="right"/>
            </w:pPr>
            <w:r>
              <w:rPr>
                <w:rFonts w:ascii="宋体" w:hAnsi="宋体" w:eastAsia="宋体" w:cs="宋体"/>
                <w:b w:val="0"/>
              </w:rPr>
              <w:t>23.57%</w:t>
            </w:r>
          </w:p>
        </w:tc>
        <w:tc>
          <w:tcPr>
            <w:tcW w:w="0" w:type="dxa"/>
            <w:vAlign w:val="center"/>
          </w:tcPr>
          <w:p>
            <w:pPr>
              <w:spacing w:line="240" w:lineRule="auto"/>
              <w:jc w:val="right"/>
            </w:pPr>
            <w:r>
              <w:rPr>
                <w:rFonts w:ascii="宋体" w:hAnsi="宋体" w:eastAsia="宋体" w:cs="宋体"/>
                <w:b w:val="0"/>
              </w:rPr>
              <w:t>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过去三年</w:t>
            </w:r>
          </w:p>
        </w:tc>
        <w:tc>
          <w:tcPr>
            <w:tcW w:w="0" w:type="dxa"/>
            <w:vAlign w:val="center"/>
          </w:tcPr>
          <w:p>
            <w:pPr>
              <w:spacing w:line="240" w:lineRule="auto"/>
              <w:jc w:val="right"/>
            </w:pPr>
            <w:r>
              <w:rPr>
                <w:rFonts w:ascii="宋体" w:hAnsi="宋体" w:eastAsia="宋体" w:cs="宋体"/>
                <w:b w:val="0"/>
              </w:rPr>
              <w:t>-0.09%</w:t>
            </w:r>
          </w:p>
        </w:tc>
        <w:tc>
          <w:tcPr>
            <w:tcW w:w="0" w:type="dxa"/>
            <w:vAlign w:val="center"/>
          </w:tcPr>
          <w:p>
            <w:pPr>
              <w:spacing w:line="240" w:lineRule="auto"/>
              <w:jc w:val="right"/>
            </w:pPr>
            <w:r>
              <w:rPr>
                <w:rFonts w:ascii="宋体" w:hAnsi="宋体" w:eastAsia="宋体" w:cs="宋体"/>
                <w:b w:val="0"/>
              </w:rPr>
              <w:t>2.11%</w:t>
            </w:r>
          </w:p>
        </w:tc>
        <w:tc>
          <w:tcPr>
            <w:tcW w:w="0" w:type="dxa"/>
            <w:vAlign w:val="center"/>
          </w:tcPr>
          <w:p>
            <w:pPr>
              <w:spacing w:line="240" w:lineRule="auto"/>
              <w:jc w:val="right"/>
            </w:pPr>
            <w:r>
              <w:rPr>
                <w:rFonts w:ascii="宋体" w:hAnsi="宋体" w:eastAsia="宋体" w:cs="宋体"/>
                <w:b w:val="0"/>
              </w:rPr>
              <w:t>23.18%</w:t>
            </w:r>
          </w:p>
        </w:tc>
        <w:tc>
          <w:tcPr>
            <w:tcW w:w="0" w:type="dxa"/>
            <w:vAlign w:val="center"/>
          </w:tcPr>
          <w:p>
            <w:pPr>
              <w:spacing w:line="240" w:lineRule="auto"/>
              <w:jc w:val="right"/>
            </w:pPr>
            <w:r>
              <w:rPr>
                <w:rFonts w:ascii="宋体" w:hAnsi="宋体" w:eastAsia="宋体" w:cs="宋体"/>
                <w:b w:val="0"/>
              </w:rPr>
              <w:t>0.65%</w:t>
            </w:r>
          </w:p>
        </w:tc>
        <w:tc>
          <w:tcPr>
            <w:tcW w:w="0" w:type="dxa"/>
            <w:vAlign w:val="center"/>
          </w:tcPr>
          <w:p>
            <w:pPr>
              <w:spacing w:line="240" w:lineRule="auto"/>
              <w:jc w:val="right"/>
            </w:pPr>
            <w:r>
              <w:rPr>
                <w:rFonts w:ascii="宋体" w:hAnsi="宋体" w:eastAsia="宋体" w:cs="宋体"/>
                <w:b w:val="0"/>
              </w:rPr>
              <w:t>-23.27%</w:t>
            </w:r>
          </w:p>
        </w:tc>
        <w:tc>
          <w:tcPr>
            <w:tcW w:w="0" w:type="dxa"/>
            <w:vAlign w:val="center"/>
          </w:tcPr>
          <w:p>
            <w:pPr>
              <w:spacing w:line="240" w:lineRule="auto"/>
              <w:jc w:val="right"/>
            </w:pPr>
            <w:r>
              <w:rPr>
                <w:rFonts w:ascii="宋体" w:hAnsi="宋体" w:eastAsia="宋体" w:cs="宋体"/>
                <w:b w:val="0"/>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过去五年</w:t>
            </w:r>
          </w:p>
        </w:tc>
        <w:tc>
          <w:tcPr>
            <w:tcW w:w="0" w:type="dxa"/>
            <w:vAlign w:val="center"/>
          </w:tcPr>
          <w:p>
            <w:pPr>
              <w:spacing w:line="240" w:lineRule="auto"/>
              <w:jc w:val="right"/>
            </w:pPr>
            <w:r>
              <w:rPr>
                <w:rFonts w:ascii="宋体" w:hAnsi="宋体" w:eastAsia="宋体" w:cs="宋体"/>
                <w:b w:val="0"/>
              </w:rPr>
              <w:t>-18.49%</w:t>
            </w:r>
          </w:p>
        </w:tc>
        <w:tc>
          <w:tcPr>
            <w:tcW w:w="0" w:type="dxa"/>
            <w:vAlign w:val="center"/>
          </w:tcPr>
          <w:p>
            <w:pPr>
              <w:spacing w:line="240" w:lineRule="auto"/>
              <w:jc w:val="right"/>
            </w:pPr>
            <w:r>
              <w:rPr>
                <w:rFonts w:ascii="宋体" w:hAnsi="宋体" w:eastAsia="宋体" w:cs="宋体"/>
                <w:b w:val="0"/>
              </w:rPr>
              <w:t>1.96%</w:t>
            </w:r>
          </w:p>
        </w:tc>
        <w:tc>
          <w:tcPr>
            <w:tcW w:w="0" w:type="dxa"/>
            <w:vAlign w:val="center"/>
          </w:tcPr>
          <w:p>
            <w:pPr>
              <w:spacing w:line="240" w:lineRule="auto"/>
              <w:jc w:val="right"/>
            </w:pPr>
            <w:r>
              <w:rPr>
                <w:rFonts w:ascii="宋体" w:hAnsi="宋体" w:eastAsia="宋体" w:cs="宋体"/>
                <w:b w:val="0"/>
              </w:rPr>
              <w:t>5.15%</w:t>
            </w:r>
          </w:p>
        </w:tc>
        <w:tc>
          <w:tcPr>
            <w:tcW w:w="0" w:type="dxa"/>
            <w:vAlign w:val="center"/>
          </w:tcPr>
          <w:p>
            <w:pPr>
              <w:spacing w:line="240" w:lineRule="auto"/>
              <w:jc w:val="right"/>
            </w:pPr>
            <w:r>
              <w:rPr>
                <w:rFonts w:ascii="宋体" w:hAnsi="宋体" w:eastAsia="宋体" w:cs="宋体"/>
                <w:b w:val="0"/>
              </w:rPr>
              <w:t>0.69%</w:t>
            </w:r>
          </w:p>
        </w:tc>
        <w:tc>
          <w:tcPr>
            <w:tcW w:w="0" w:type="dxa"/>
            <w:vAlign w:val="center"/>
          </w:tcPr>
          <w:p>
            <w:pPr>
              <w:spacing w:line="240" w:lineRule="auto"/>
              <w:jc w:val="right"/>
            </w:pPr>
            <w:r>
              <w:rPr>
                <w:rFonts w:ascii="宋体" w:hAnsi="宋体" w:eastAsia="宋体" w:cs="宋体"/>
                <w:b w:val="0"/>
              </w:rPr>
              <w:t>-23.64%</w:t>
            </w:r>
          </w:p>
        </w:tc>
        <w:tc>
          <w:tcPr>
            <w:tcW w:w="0" w:type="dxa"/>
            <w:vAlign w:val="center"/>
          </w:tcPr>
          <w:p>
            <w:pPr>
              <w:spacing w:line="240" w:lineRule="auto"/>
              <w:jc w:val="right"/>
            </w:pPr>
            <w:r>
              <w:rPr>
                <w:rFonts w:ascii="宋体" w:hAnsi="宋体" w:eastAsia="宋体" w:cs="宋体"/>
                <w:b w:val="0"/>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过去七年</w:t>
            </w:r>
          </w:p>
        </w:tc>
        <w:tc>
          <w:tcPr>
            <w:tcW w:w="0" w:type="dxa"/>
            <w:vAlign w:val="center"/>
          </w:tcPr>
          <w:p>
            <w:pPr>
              <w:spacing w:line="240" w:lineRule="auto"/>
              <w:jc w:val="right"/>
            </w:pPr>
            <w:r>
              <w:rPr>
                <w:rFonts w:ascii="宋体" w:hAnsi="宋体" w:eastAsia="宋体" w:cs="宋体"/>
                <w:b w:val="0"/>
              </w:rPr>
              <w:t>11.25%</w:t>
            </w:r>
          </w:p>
        </w:tc>
        <w:tc>
          <w:tcPr>
            <w:tcW w:w="0" w:type="dxa"/>
            <w:vAlign w:val="center"/>
          </w:tcPr>
          <w:p>
            <w:pPr>
              <w:spacing w:line="240" w:lineRule="auto"/>
              <w:jc w:val="right"/>
            </w:pPr>
            <w:r>
              <w:rPr>
                <w:rFonts w:ascii="宋体" w:hAnsi="宋体" w:eastAsia="宋体" w:cs="宋体"/>
                <w:b w:val="0"/>
              </w:rPr>
              <w:t>1.85%</w:t>
            </w:r>
          </w:p>
        </w:tc>
        <w:tc>
          <w:tcPr>
            <w:tcW w:w="0" w:type="dxa"/>
            <w:vAlign w:val="center"/>
          </w:tcPr>
          <w:p>
            <w:pPr>
              <w:spacing w:line="240" w:lineRule="auto"/>
              <w:jc w:val="right"/>
            </w:pPr>
            <w:r>
              <w:rPr>
                <w:rFonts w:ascii="宋体" w:hAnsi="宋体" w:eastAsia="宋体" w:cs="宋体"/>
                <w:b w:val="0"/>
              </w:rPr>
              <w:t>24.59%</w:t>
            </w:r>
          </w:p>
        </w:tc>
        <w:tc>
          <w:tcPr>
            <w:tcW w:w="0" w:type="dxa"/>
            <w:vAlign w:val="center"/>
          </w:tcPr>
          <w:p>
            <w:pPr>
              <w:spacing w:line="240" w:lineRule="auto"/>
              <w:jc w:val="right"/>
            </w:pPr>
            <w:r>
              <w:rPr>
                <w:rFonts w:ascii="宋体" w:hAnsi="宋体" w:eastAsia="宋体" w:cs="宋体"/>
                <w:b w:val="0"/>
              </w:rPr>
              <w:t>0.69%</w:t>
            </w:r>
          </w:p>
        </w:tc>
        <w:tc>
          <w:tcPr>
            <w:tcW w:w="0" w:type="dxa"/>
            <w:vAlign w:val="center"/>
          </w:tcPr>
          <w:p>
            <w:pPr>
              <w:spacing w:line="240" w:lineRule="auto"/>
              <w:jc w:val="right"/>
            </w:pPr>
            <w:r>
              <w:rPr>
                <w:rFonts w:ascii="宋体" w:hAnsi="宋体" w:eastAsia="宋体" w:cs="宋体"/>
                <w:b w:val="0"/>
              </w:rPr>
              <w:t>-13.34%</w:t>
            </w:r>
          </w:p>
        </w:tc>
        <w:tc>
          <w:tcPr>
            <w:tcW w:w="0" w:type="dxa"/>
            <w:vAlign w:val="center"/>
          </w:tcPr>
          <w:p>
            <w:pPr>
              <w:spacing w:line="240" w:lineRule="auto"/>
              <w:jc w:val="right"/>
            </w:pPr>
            <w:r>
              <w:rPr>
                <w:rFonts w:ascii="宋体" w:hAnsi="宋体" w:eastAsia="宋体" w:cs="宋体"/>
                <w:b w:val="0"/>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自基金合同生效起至今</w:t>
            </w:r>
          </w:p>
        </w:tc>
        <w:tc>
          <w:tcPr>
            <w:tcW w:w="0" w:type="dxa"/>
            <w:vAlign w:val="center"/>
          </w:tcPr>
          <w:p>
            <w:pPr>
              <w:spacing w:line="240" w:lineRule="auto"/>
              <w:jc w:val="right"/>
            </w:pPr>
            <w:r>
              <w:rPr>
                <w:rFonts w:ascii="宋体" w:hAnsi="宋体" w:eastAsia="宋体" w:cs="宋体"/>
                <w:b w:val="0"/>
              </w:rPr>
              <w:t>13.23%</w:t>
            </w:r>
          </w:p>
        </w:tc>
        <w:tc>
          <w:tcPr>
            <w:tcW w:w="0" w:type="dxa"/>
            <w:vAlign w:val="center"/>
          </w:tcPr>
          <w:p>
            <w:pPr>
              <w:spacing w:line="240" w:lineRule="auto"/>
              <w:jc w:val="right"/>
            </w:pPr>
            <w:r>
              <w:rPr>
                <w:rFonts w:ascii="宋体" w:hAnsi="宋体" w:eastAsia="宋体" w:cs="宋体"/>
                <w:b w:val="0"/>
              </w:rPr>
              <w:t>1.77%</w:t>
            </w:r>
          </w:p>
        </w:tc>
        <w:tc>
          <w:tcPr>
            <w:tcW w:w="0" w:type="dxa"/>
            <w:vAlign w:val="center"/>
          </w:tcPr>
          <w:p>
            <w:pPr>
              <w:spacing w:line="240" w:lineRule="auto"/>
              <w:jc w:val="right"/>
            </w:pPr>
            <w:r>
              <w:rPr>
                <w:rFonts w:ascii="宋体" w:hAnsi="宋体" w:eastAsia="宋体" w:cs="宋体"/>
                <w:b w:val="0"/>
              </w:rPr>
              <w:t>25.98%</w:t>
            </w:r>
          </w:p>
        </w:tc>
        <w:tc>
          <w:tcPr>
            <w:tcW w:w="0" w:type="dxa"/>
            <w:vAlign w:val="center"/>
          </w:tcPr>
          <w:p>
            <w:pPr>
              <w:spacing w:line="240" w:lineRule="auto"/>
              <w:jc w:val="right"/>
            </w:pPr>
            <w:r>
              <w:rPr>
                <w:rFonts w:ascii="宋体" w:hAnsi="宋体" w:eastAsia="宋体" w:cs="宋体"/>
                <w:b w:val="0"/>
              </w:rPr>
              <w:t>0.70%</w:t>
            </w:r>
          </w:p>
        </w:tc>
        <w:tc>
          <w:tcPr>
            <w:tcW w:w="0" w:type="dxa"/>
            <w:vAlign w:val="center"/>
          </w:tcPr>
          <w:p>
            <w:pPr>
              <w:spacing w:line="240" w:lineRule="auto"/>
              <w:jc w:val="right"/>
            </w:pPr>
            <w:r>
              <w:rPr>
                <w:rFonts w:ascii="宋体" w:hAnsi="宋体" w:eastAsia="宋体" w:cs="宋体"/>
                <w:b w:val="0"/>
              </w:rPr>
              <w:t>-12.75%</w:t>
            </w:r>
          </w:p>
        </w:tc>
        <w:tc>
          <w:tcPr>
            <w:tcW w:w="0" w:type="dxa"/>
            <w:vAlign w:val="center"/>
          </w:tcPr>
          <w:p>
            <w:pPr>
              <w:spacing w:line="240" w:lineRule="auto"/>
              <w:jc w:val="right"/>
            </w:pPr>
            <w:r>
              <w:rPr>
                <w:rFonts w:ascii="宋体" w:hAnsi="宋体" w:eastAsia="宋体" w:cs="宋体"/>
                <w:b w:val="0"/>
              </w:rPr>
              <w:t>1.07%</w:t>
            </w:r>
          </w:p>
        </w:tc>
      </w:tr>
    </w:tbl>
    <w:p>
      <w:r>
        <w:rPr>
          <w:rFonts w:ascii="宋体" w:hAnsi="宋体" w:eastAsia="宋体" w:cs="宋体"/>
          <w:b w:val="0"/>
        </w:rPr>
        <w:t>注：本基金业绩比较基准为：沪深300指数收益率×40%+中证综合债券指数收益率×40%+恒生指数收益率×20%</w:t>
      </w:r>
    </w:p>
    <w:p/>
    <w:p>
      <w:pPr>
        <w:pStyle w:val="58"/>
      </w:pPr>
      <w:r>
        <w:rPr>
          <w:rFonts w:ascii="宋体" w:hAnsi="宋体" w:eastAsia="宋体" w:cs="宋体"/>
          <w:b/>
        </w:rPr>
        <w:t>3.2.2 自基金合同生效以来基金累计净值增长率变动及其与同期业绩比较基准收益率变动的比较</w:t>
      </w:r>
    </w:p>
    <w:p>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0"/>
                    <a:stretch>
                      <a:fillRect/>
                    </a:stretch>
                  </pic:blipFill>
                  <pic:spPr>
                    <a:xfrm>
                      <a:off x="0" y="0"/>
                      <a:ext cx="5715000" cy="3048000"/>
                    </a:xfrm>
                    <a:prstGeom prst="rect">
                      <a:avLst/>
                    </a:prstGeom>
                  </pic:spPr>
                </pic:pic>
              </a:graphicData>
            </a:graphic>
          </wp:inline>
        </w:drawing>
      </w:r>
    </w:p>
    <w:p>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1"/>
                    <a:stretch>
                      <a:fillRect/>
                    </a:stretch>
                  </pic:blipFill>
                  <pic:spPr>
                    <a:xfrm>
                      <a:off x="0" y="0"/>
                      <a:ext cx="5715000" cy="3048000"/>
                    </a:xfrm>
                    <a:prstGeom prst="rect">
                      <a:avLst/>
                    </a:prstGeom>
                  </pic:spPr>
                </pic:pic>
              </a:graphicData>
            </a:graphic>
          </wp:inline>
        </w:drawing>
      </w:r>
    </w:p>
    <w:p>
      <w:pPr>
        <w:pStyle w:val="2"/>
        <w:jc w:val="center"/>
      </w:pPr>
      <w:r>
        <w:rPr>
          <w:rFonts w:ascii="宋体" w:hAnsi="宋体" w:eastAsia="宋体" w:cs="宋体"/>
        </w:rPr>
        <w:t>§4 管理人报告</w:t>
      </w:r>
    </w:p>
    <w:p>
      <w:pPr>
        <w:pStyle w:val="3"/>
        <w:jc w:val="left"/>
      </w:pPr>
      <w:r>
        <w:rPr>
          <w:rFonts w:ascii="宋体" w:hAnsi="宋体" w:eastAsia="宋体" w:cs="宋体"/>
        </w:rPr>
        <w:t>4.1 基金经理（或基金经理小组）简介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428"/>
        <w:gridCol w:w="1266"/>
        <w:gridCol w:w="1266"/>
        <w:gridCol w:w="457"/>
        <w:gridCol w:w="2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pPr>
              <w:spacing w:line="240" w:lineRule="auto"/>
              <w:jc w:val="center"/>
            </w:pPr>
            <w:r>
              <w:rPr>
                <w:rFonts w:ascii="宋体" w:hAnsi="宋体" w:eastAsia="宋体" w:cs="宋体"/>
                <w:b w:val="0"/>
              </w:rPr>
              <w:t>姓名</w:t>
            </w:r>
          </w:p>
        </w:tc>
        <w:tc>
          <w:tcPr>
            <w:tcW w:w="1231" w:type="pct"/>
            <w:vMerge w:val="restart"/>
            <w:shd w:val="clear" w:color="auto" w:fill="D9D9D9"/>
            <w:vAlign w:val="center"/>
          </w:tcPr>
          <w:p>
            <w:pPr>
              <w:spacing w:line="240" w:lineRule="auto"/>
              <w:jc w:val="center"/>
            </w:pPr>
            <w:r>
              <w:rPr>
                <w:rFonts w:ascii="宋体" w:hAnsi="宋体" w:eastAsia="宋体" w:cs="宋体"/>
                <w:b w:val="0"/>
              </w:rPr>
              <w:t>职务</w:t>
            </w:r>
          </w:p>
        </w:tc>
        <w:tc>
          <w:tcPr>
            <w:tcW w:w="808" w:type="pct"/>
            <w:gridSpan w:val="2"/>
            <w:shd w:val="clear" w:color="auto" w:fill="D9D9D9"/>
            <w:vAlign w:val="center"/>
          </w:tcPr>
          <w:p>
            <w:pPr>
              <w:spacing w:line="240" w:lineRule="auto"/>
              <w:jc w:val="center"/>
            </w:pPr>
            <w:r>
              <w:rPr>
                <w:rFonts w:ascii="宋体" w:hAnsi="宋体" w:eastAsia="宋体" w:cs="宋体"/>
                <w:b w:val="0"/>
              </w:rPr>
              <w:t>任本基金的基金经理期限</w:t>
            </w:r>
          </w:p>
        </w:tc>
        <w:tc>
          <w:tcPr>
            <w:tcW w:w="308" w:type="pct"/>
            <w:vMerge w:val="restart"/>
            <w:shd w:val="clear" w:color="auto" w:fill="D9D9D9"/>
            <w:vAlign w:val="center"/>
          </w:tcPr>
          <w:p>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pPr>
              <w:spacing w:line="240" w:lineRule="auto"/>
              <w:jc w:val="center"/>
            </w:pPr>
            <w:r>
              <w:rPr>
                <w:rFonts w:ascii="宋体" w:hAnsi="宋体" w:eastAsia="宋体" w:cs="宋体"/>
                <w:b w:val="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tc>
        <w:tc>
          <w:tcPr>
            <w:vMerge w:val="continue"/>
          </w:tcPr>
          <w:p/>
        </w:tc>
        <w:tc>
          <w:tcPr>
            <w:tcW w:w="400" w:type="pct"/>
            <w:shd w:val="clear" w:color="auto" w:fill="D9D9D9"/>
            <w:vAlign w:val="center"/>
          </w:tcPr>
          <w:p>
            <w:pPr>
              <w:spacing w:line="240" w:lineRule="auto"/>
              <w:jc w:val="center"/>
            </w:pPr>
            <w:r>
              <w:rPr>
                <w:rFonts w:ascii="宋体" w:hAnsi="宋体" w:eastAsia="宋体" w:cs="宋体"/>
                <w:b w:val="0"/>
              </w:rPr>
              <w:t>任职日期</w:t>
            </w:r>
          </w:p>
        </w:tc>
        <w:tc>
          <w:tcPr>
            <w:tcW w:w="392" w:type="pct"/>
            <w:shd w:val="clear" w:color="auto" w:fill="D9D9D9"/>
            <w:vAlign w:val="center"/>
          </w:tcPr>
          <w:p>
            <w:pPr>
              <w:spacing w:line="240" w:lineRule="auto"/>
              <w:jc w:val="center"/>
            </w:pPr>
            <w:r>
              <w:rPr>
                <w:rFonts w:ascii="宋体" w:hAnsi="宋体" w:eastAsia="宋体" w:cs="宋体"/>
                <w:b w:val="0"/>
              </w:rPr>
              <w:t>离任日期</w:t>
            </w:r>
          </w:p>
        </w:tc>
        <w:tc>
          <w:tcPr>
            <w:vMerge w:val="continue"/>
          </w:tcPr>
          <w:p/>
        </w:tc>
        <w:tc>
          <w:tcPr>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周谧</w:t>
            </w:r>
          </w:p>
        </w:tc>
        <w:tc>
          <w:tcPr>
            <w:tcW w:w="0" w:type="dxa"/>
            <w:vAlign w:val="center"/>
          </w:tcPr>
          <w:p>
            <w:pPr>
              <w:spacing w:line="240" w:lineRule="auto"/>
              <w:jc w:val="left"/>
            </w:pPr>
            <w:r>
              <w:rPr>
                <w:rFonts w:ascii="宋体" w:hAnsi="宋体" w:eastAsia="宋体" w:cs="宋体"/>
                <w:b w:val="0"/>
              </w:rPr>
              <w:t>基金经理</w:t>
            </w:r>
          </w:p>
        </w:tc>
        <w:tc>
          <w:tcPr>
            <w:tcW w:w="0" w:type="dxa"/>
            <w:vAlign w:val="center"/>
          </w:tcPr>
          <w:p>
            <w:pPr>
              <w:spacing w:line="240" w:lineRule="auto"/>
              <w:jc w:val="center"/>
            </w:pPr>
            <w:r>
              <w:rPr>
                <w:rFonts w:ascii="宋体" w:hAnsi="宋体" w:eastAsia="宋体" w:cs="宋体"/>
                <w:b w:val="0"/>
              </w:rPr>
              <w:t>2026-03-05</w:t>
            </w:r>
          </w:p>
        </w:tc>
        <w:tc>
          <w:tcPr>
            <w:tcW w:w="0" w:type="dxa"/>
            <w:vAlign w:val="center"/>
          </w:tcPr>
          <w:p>
            <w:pPr>
              <w:spacing w:line="240" w:lineRule="auto"/>
              <w:jc w:val="center"/>
            </w:pPr>
            <w:r>
              <w:rPr>
                <w:rFonts w:ascii="宋体" w:hAnsi="宋体" w:eastAsia="宋体" w:cs="宋体"/>
                <w:b w:val="0"/>
              </w:rPr>
              <w:t>-</w:t>
            </w:r>
          </w:p>
        </w:tc>
        <w:tc>
          <w:tcPr>
            <w:tcW w:w="0" w:type="dxa"/>
            <w:vAlign w:val="center"/>
          </w:tcPr>
          <w:p>
            <w:pPr>
              <w:spacing w:line="240" w:lineRule="auto"/>
              <w:jc w:val="center"/>
            </w:pPr>
            <w:r>
              <w:rPr>
                <w:rFonts w:ascii="宋体" w:hAnsi="宋体" w:eastAsia="宋体" w:cs="宋体"/>
                <w:b w:val="0"/>
              </w:rPr>
              <w:t>16年</w:t>
            </w:r>
          </w:p>
        </w:tc>
        <w:tc>
          <w:tcPr>
            <w:tcW w:w="0" w:type="dxa"/>
            <w:vAlign w:val="center"/>
          </w:tcPr>
          <w:p>
            <w:pPr>
              <w:spacing w:line="240" w:lineRule="auto"/>
              <w:jc w:val="left"/>
            </w:pPr>
            <w:r>
              <w:rPr>
                <w:rFonts w:ascii="宋体" w:hAnsi="宋体" w:eastAsia="宋体" w:cs="宋体"/>
                <w:b w:val="0"/>
              </w:rPr>
              <w:t>周谧先生，中国人民大学应用数学硕士。2008年9月起历任中再资产管理股份有限公司金融工程分析师、平安证券有限责任公司高级量化分析师、国金创新投资有限公司投资经理、深圳铸成投资有限公司投资部副总监、财信证券有限责任公司投资经理、金信基金管理有限公司基金经理。2022年10月加入东方阿尔法基金管理有限公司，现任东方阿尔法基金管理有限公司基金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吴秋松</w:t>
            </w:r>
          </w:p>
        </w:tc>
        <w:tc>
          <w:tcPr>
            <w:tcW w:w="0" w:type="dxa"/>
            <w:vAlign w:val="center"/>
          </w:tcPr>
          <w:p>
            <w:pPr>
              <w:spacing w:line="240" w:lineRule="auto"/>
              <w:jc w:val="left"/>
              <w:rPr>
                <w:rFonts w:hint="default" w:eastAsia="宋体"/>
                <w:lang w:val="en-US" w:eastAsia="zh-CN"/>
              </w:rPr>
            </w:pPr>
            <w:r>
              <w:rPr>
                <w:rFonts w:ascii="宋体" w:hAnsi="宋体" w:eastAsia="宋体" w:cs="宋体"/>
                <w:b w:val="0"/>
              </w:rPr>
              <w:t>基金经理</w:t>
            </w:r>
            <w:r>
              <w:rPr>
                <w:rFonts w:hint="eastAsia" w:ascii="宋体" w:hAnsi="宋体" w:cs="宋体"/>
                <w:b w:val="0"/>
                <w:lang w:eastAsia="zh-CN"/>
              </w:rPr>
              <w:t>（</w:t>
            </w:r>
            <w:r>
              <w:rPr>
                <w:rFonts w:hint="eastAsia" w:ascii="宋体" w:hAnsi="宋体" w:cs="宋体"/>
                <w:b w:val="0"/>
                <w:lang w:val="en-US" w:eastAsia="zh-CN"/>
              </w:rPr>
              <w:t>已离任）</w:t>
            </w:r>
            <w:bookmarkStart w:id="1" w:name="_GoBack"/>
            <w:bookmarkEnd w:id="1"/>
          </w:p>
        </w:tc>
        <w:tc>
          <w:tcPr>
            <w:tcW w:w="0" w:type="dxa"/>
            <w:vAlign w:val="center"/>
          </w:tcPr>
          <w:p>
            <w:pPr>
              <w:spacing w:line="240" w:lineRule="auto"/>
              <w:jc w:val="center"/>
            </w:pPr>
            <w:r>
              <w:rPr>
                <w:rFonts w:ascii="宋体" w:hAnsi="宋体" w:eastAsia="宋体" w:cs="宋体"/>
                <w:b w:val="0"/>
              </w:rPr>
              <w:t>2025-04-07</w:t>
            </w:r>
          </w:p>
        </w:tc>
        <w:tc>
          <w:tcPr>
            <w:tcW w:w="0" w:type="dxa"/>
            <w:vAlign w:val="center"/>
          </w:tcPr>
          <w:p>
            <w:pPr>
              <w:spacing w:line="240" w:lineRule="auto"/>
              <w:jc w:val="center"/>
            </w:pPr>
            <w:r>
              <w:rPr>
                <w:rFonts w:ascii="宋体" w:hAnsi="宋体" w:eastAsia="宋体" w:cs="宋体"/>
                <w:b w:val="0"/>
              </w:rPr>
              <w:t>2026-05-07</w:t>
            </w:r>
          </w:p>
        </w:tc>
        <w:tc>
          <w:tcPr>
            <w:tcW w:w="0" w:type="dxa"/>
            <w:vAlign w:val="center"/>
          </w:tcPr>
          <w:p>
            <w:pPr>
              <w:spacing w:line="240" w:lineRule="auto"/>
              <w:jc w:val="center"/>
            </w:pPr>
            <w:r>
              <w:rPr>
                <w:rFonts w:ascii="宋体" w:hAnsi="宋体" w:eastAsia="宋体" w:cs="宋体"/>
                <w:b w:val="0"/>
              </w:rPr>
              <w:t>10年</w:t>
            </w:r>
          </w:p>
        </w:tc>
        <w:tc>
          <w:tcPr>
            <w:tcW w:w="0" w:type="dxa"/>
            <w:vAlign w:val="center"/>
          </w:tcPr>
          <w:p>
            <w:pPr>
              <w:spacing w:line="240" w:lineRule="auto"/>
              <w:jc w:val="left"/>
            </w:pPr>
            <w:r>
              <w:rPr>
                <w:rFonts w:ascii="宋体" w:hAnsi="宋体" w:eastAsia="宋体" w:cs="宋体"/>
                <w:b w:val="0"/>
              </w:rPr>
              <w:t>吴秋松先生，哈尔滨工业大学工学学士， 复旦大学管理学硕士。多年证券行业投研经验，曾任职于君证资本管理有限公司、银泰证券有限责任公司。2017年10月至2024年9月，在红塔红土基金管理有限公司工作，历任研究部研究员 、投资部基金经理助理、基金经理。现担任东方阿尔法基金管理有限公司基金经理。</w:t>
            </w:r>
          </w:p>
        </w:tc>
      </w:tr>
    </w:tbl>
    <w:p>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p>
      <w:pPr>
        <w:pStyle w:val="58"/>
      </w:pPr>
      <w:r>
        <w:rPr>
          <w:rFonts w:ascii="宋体" w:hAnsi="宋体" w:eastAsia="宋体" w:cs="宋体"/>
          <w:b/>
        </w:rPr>
        <w:t>4.1.1 期末兼任私募资产管理计划投资经理的基金经理同时管理的产品情况</w:t>
      </w:r>
    </w:p>
    <w:p>
      <w:r>
        <w:rPr>
          <w:rFonts w:ascii="宋体" w:hAnsi="宋体" w:eastAsia="宋体" w:cs="宋体"/>
          <w:b w:val="0"/>
        </w:rPr>
        <w:t xml:space="preserve">    本基金基金经理不存在兼任私募资产管理计划的投资经理的情况。</w:t>
      </w:r>
    </w:p>
    <w:p/>
    <w:p>
      <w:pPr>
        <w:pStyle w:val="3"/>
        <w:jc w:val="left"/>
      </w:pPr>
      <w:r>
        <w:rPr>
          <w:rFonts w:ascii="宋体" w:hAnsi="宋体" w:eastAsia="宋体" w:cs="宋体"/>
        </w:rPr>
        <w:t>4.2 管理人对报告期内本基金运作遵规守信情况的说明</w:t>
      </w:r>
    </w:p>
    <w:p>
      <w:r>
        <w:rPr>
          <w:rFonts w:ascii="宋体" w:hAnsi="宋体" w:eastAsia="宋体" w:cs="宋体"/>
          <w:b w:val="0"/>
        </w:rPr>
        <w:t xml:space="preserve">    本报告期内，本基金管理人严格遵守《中华人民共和国证券投资基金法》及其各项实施细则等有关法律法规、本基金《基金合同》和其他有关法律法规的规定，本着诚实信用、勤勉尽责的原则管理和运用基金资产，在严格控制风险的基础上，为基金份额持有人谋求最大利益。本报告期内，基金运作整体合法合规，无损害基金份额持有人利益的行为。</w:t>
      </w:r>
    </w:p>
    <w:p/>
    <w:p>
      <w:pPr>
        <w:pStyle w:val="3"/>
        <w:jc w:val="left"/>
      </w:pPr>
      <w:r>
        <w:rPr>
          <w:rFonts w:ascii="宋体" w:hAnsi="宋体" w:eastAsia="宋体" w:cs="宋体"/>
        </w:rPr>
        <w:t>4.3 公平交易专项说明</w:t>
      </w:r>
    </w:p>
    <w:p>
      <w:pPr>
        <w:pStyle w:val="58"/>
      </w:pPr>
      <w:r>
        <w:rPr>
          <w:rFonts w:ascii="宋体" w:hAnsi="宋体" w:eastAsia="宋体" w:cs="宋体"/>
          <w:b/>
        </w:rPr>
        <w:t>4.3.1 公平交易制度的执行情况</w:t>
      </w:r>
    </w:p>
    <w:p>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p>
      <w:pPr>
        <w:pStyle w:val="58"/>
      </w:pPr>
      <w:r>
        <w:rPr>
          <w:rFonts w:ascii="宋体" w:hAnsi="宋体" w:eastAsia="宋体" w:cs="宋体"/>
          <w:b/>
        </w:rPr>
        <w:t>4.3.2 异常交易行为的专项说明</w:t>
      </w:r>
    </w:p>
    <w:p>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p>
      <w:pPr>
        <w:pStyle w:val="3"/>
        <w:jc w:val="left"/>
      </w:pPr>
      <w:r>
        <w:rPr>
          <w:rFonts w:ascii="宋体" w:hAnsi="宋体" w:eastAsia="宋体" w:cs="宋体"/>
        </w:rPr>
        <w:t>4.4 报告期内基金的投资策略和运作分析</w:t>
      </w:r>
    </w:p>
    <w:p>
      <w:r>
        <w:rPr>
          <w:rFonts w:ascii="宋体" w:hAnsi="宋体" w:eastAsia="宋体" w:cs="宋体"/>
          <w:b w:val="0"/>
        </w:rPr>
        <w:t xml:space="preserve">    二季度国内经济延续“外热内冷”的分化格局，GDP增速约4.6%，出口与AI产业链景气高企，内需消费与传统投资持续承压。货币政策稳健宽松，财政靠前发力但边际效力递减。6月30日国务院常务会议明确要求“加力推进AI创新突破，加快关键技术攻关和超大规模智算集群建设”，为算力产业链注入顶层政策信号。海外方面，美联储降息预期升温但节奏仍有不确定性，中东地缘扰动推升油价波动。英伟达3月GTC大会和6月股东大会相继为“Token工厂”和“物理AI”定调，全球AI基建投资周期从训练向推理加速切换，算力需求的结构性扩张趋势不可逆。</w:t>
      </w:r>
      <w:r>
        <w:rPr>
          <w:rFonts w:ascii="宋体" w:hAnsi="宋体" w:eastAsia="宋体" w:cs="宋体"/>
          <w:b w:val="0"/>
        </w:rPr>
        <w:br w:type="textWrapping"/>
      </w:r>
      <w:r>
        <w:rPr>
          <w:rFonts w:ascii="宋体" w:hAnsi="宋体" w:eastAsia="宋体" w:cs="宋体"/>
          <w:b w:val="0"/>
        </w:rPr>
        <w:t xml:space="preserve">    “Token工厂”概念源于3月16日英伟达GTC大会，黄仁勋强调未来数据中心不再是存储仓库，而是生产Token的工厂——每瓦性能决定商业命脉，Token将成为新的大宗商品，按速度和智能程度分层定价。这一叙事迅速成为A股最强主线，而其主要表现形式算力租赁板块是市场最炙手可热的方向。</w:t>
      </w:r>
      <w:r>
        <w:rPr>
          <w:rFonts w:ascii="宋体" w:hAnsi="宋体" w:eastAsia="宋体" w:cs="宋体"/>
          <w:b w:val="0"/>
        </w:rPr>
        <w:tab/>
      </w:r>
      <w:r>
        <w:rPr>
          <w:rFonts w:ascii="宋体" w:hAnsi="宋体" w:eastAsia="宋体" w:cs="宋体"/>
          <w:b w:val="0"/>
        </w:rPr>
        <w:br w:type="textWrapping"/>
      </w:r>
      <w:r>
        <w:rPr>
          <w:rFonts w:ascii="宋体" w:hAnsi="宋体" w:eastAsia="宋体" w:cs="宋体"/>
          <w:b w:val="0"/>
        </w:rPr>
        <w:t xml:space="preserve">    2026年3月中国日均Token调用量达140万亿，较2024年初增长超千倍；6月豆包大模型日均Token调用量突破180万亿，两年增长1500倍。IDC预测2026年中国MaaS市场Token消耗量将达4万万亿。算力不再是堆叠硬件资产，而是被重新定义为一种“生产能力“，Token工厂的商业逻辑从概念走向数据验证。</w:t>
      </w:r>
      <w:r>
        <w:rPr>
          <w:rFonts w:ascii="宋体" w:hAnsi="宋体" w:eastAsia="宋体" w:cs="宋体"/>
          <w:b w:val="0"/>
        </w:rPr>
        <w:br w:type="textWrapping"/>
      </w:r>
      <w:r>
        <w:rPr>
          <w:rFonts w:ascii="宋体" w:hAnsi="宋体" w:eastAsia="宋体" w:cs="宋体"/>
          <w:b w:val="0"/>
        </w:rPr>
        <w:t xml:space="preserve">    1-7月算力租赁企业订单持续高增，高端算力卡库存恐慌性消化、被抢购一空，6月高端GPU现货价格较5月上涨20%-30%，算租行业仍处卖方市场。算电协同上升为国家战略，华为加速携手合作伙伴全国布局智算集群。</w:t>
      </w:r>
      <w:r>
        <w:rPr>
          <w:rFonts w:ascii="宋体" w:hAnsi="宋体" w:eastAsia="宋体" w:cs="宋体"/>
          <w:b w:val="0"/>
        </w:rPr>
        <w:br w:type="textWrapping"/>
      </w:r>
      <w:r>
        <w:rPr>
          <w:rFonts w:ascii="宋体" w:hAnsi="宋体" w:eastAsia="宋体" w:cs="宋体"/>
          <w:b w:val="0"/>
        </w:rPr>
        <w:t xml:space="preserve">    6月下旬算力租赁板块在前期暴涨122%后迎来全线回调，核心诱因主要分为三方面：一是Token行业掀起价格战持续压缩企业利润，5 月下旬 DeepSeek率先将V4-Pro API永久降价75%，输入缓存命中单价低至每百万Token 0.025元，Anthropic旗下Claude Fable 5、Mythos 5两款新旗舰模型同步大幅调价，行业Token调用价格普遍下跌80%-99%，摩根大通还预判未来12个月相关价格仍将下行超40%；二是市场出现需求分流与供给过剩的双重担忧，不少客户转向性价比更高的开源模型，叠加Meta释放闲置算力，市场对推理算力供需格局由紧转松的顾虑持续升温；三是板块估值存在泡沫消化需求，此前个股涨幅巨大，市场对前期高毛利率的真实性与可持续性产生质疑，极端上涨行情下板块同时承受估值回归与资金获利回吐的双重调整压力。</w:t>
      </w:r>
      <w:r>
        <w:rPr>
          <w:rFonts w:ascii="宋体" w:hAnsi="宋体" w:eastAsia="宋体" w:cs="宋体"/>
          <w:b w:val="0"/>
        </w:rPr>
        <w:br w:type="textWrapping"/>
      </w:r>
      <w:r>
        <w:rPr>
          <w:rFonts w:ascii="宋体" w:hAnsi="宋体" w:eastAsia="宋体" w:cs="宋体"/>
          <w:b w:val="0"/>
        </w:rPr>
        <w:t xml:space="preserve">    展望三季度，Token工厂正迎来从“售卖算力资源”到“按智能效用计价” 的价值升级转型，短期阵痛过后行业将迎来质的提升。一方面，算力租赁厂商持续携手大模型厂商落地Token工厂合作模式，业务由底层算力租赁延伸至MaaS 服务与Token收益分成，共同把握Token规模扩张带来的行业红利；算力租赁业务核心属性偏向租赁与金融服务，流通环节配套成本更高，而Token工厂以算力基础设施服务为核心，盈利稳定性具备天然优势。另一方面，当前Token降价仅集中于推理端 API，训练算力需求受价格下行冲击较小，叠加国务院常务会议明确要求推进超大规模智算集群建设，训练侧高端GPU依旧维持卖方市场，6月高端显卡20%-30%的涨价传导逻辑并未改变，国产算力企业老款算力卡一机难求的市场现状，也直观印证头部企业旺盛的算力采购需求。叠加三季度进入中报业绩验证窗口，市场行情驱动逻辑将从题材预期切换至实际业绩兑现，具备真实盈利落地能力的企业更具投资价值。</w:t>
      </w:r>
      <w:r>
        <w:rPr>
          <w:rFonts w:ascii="宋体" w:hAnsi="宋体" w:eastAsia="宋体" w:cs="宋体"/>
          <w:b w:val="0"/>
        </w:rPr>
        <w:br w:type="textWrapping"/>
      </w:r>
      <w:r>
        <w:rPr>
          <w:rFonts w:ascii="宋体" w:hAnsi="宋体" w:eastAsia="宋体" w:cs="宋体"/>
          <w:b w:val="0"/>
        </w:rPr>
        <w:t xml:space="preserve">    本基金将从“拿卡能力”、“资金实力”、“组网能力”、“交付经验“、“转型进度”等几个维度精选标的为大家抓住这一领域转型升级的机会。</w:t>
      </w:r>
    </w:p>
    <w:p/>
    <w:p>
      <w:pPr>
        <w:pStyle w:val="3"/>
        <w:jc w:val="left"/>
      </w:pPr>
      <w:r>
        <w:rPr>
          <w:rFonts w:ascii="宋体" w:hAnsi="宋体" w:eastAsia="宋体" w:cs="宋体"/>
        </w:rPr>
        <w:t>4.5 报告期内基金的业绩表现</w:t>
      </w:r>
    </w:p>
    <w:p>
      <w:r>
        <w:rPr>
          <w:rFonts w:ascii="宋体" w:hAnsi="宋体" w:eastAsia="宋体" w:cs="宋体"/>
          <w:b w:val="0"/>
        </w:rPr>
        <w:t xml:space="preserve">    截至报告期末东方阿尔法精选混合A基金份额净值为1.1799元，本报告期内，该类基金份额净值增长率为56.65%，同期业绩比较基准收益率为3.57%；截至报告期末东方阿尔法精选混合C基金份额净值为1.1323元，本报告期内，该类基金份额净值增长率为56.48%，同期业绩比较基准收益率为3.57%。</w:t>
      </w:r>
    </w:p>
    <w:p/>
    <w:p>
      <w:pPr>
        <w:pStyle w:val="3"/>
        <w:jc w:val="left"/>
      </w:pPr>
      <w:r>
        <w:rPr>
          <w:rFonts w:ascii="宋体" w:hAnsi="宋体" w:eastAsia="宋体" w:cs="宋体"/>
        </w:rPr>
        <w:t>4.6 报告期内基金持有人数或基金资产净值预警说明</w:t>
      </w:r>
    </w:p>
    <w:p>
      <w:r>
        <w:rPr>
          <w:rFonts w:ascii="宋体" w:hAnsi="宋体" w:eastAsia="宋体" w:cs="宋体"/>
          <w:b w:val="0"/>
        </w:rPr>
        <w:t xml:space="preserve">    本报告期内，本基金未出现连续20个工作日基金份额持有人数量不满200人或者基金资产净值低于5000万的情形。</w:t>
      </w:r>
    </w:p>
    <w:p>
      <w:pPr>
        <w:pStyle w:val="2"/>
        <w:jc w:val="center"/>
      </w:pPr>
      <w:r>
        <w:rPr>
          <w:rFonts w:ascii="宋体" w:hAnsi="宋体" w:eastAsia="宋体" w:cs="宋体"/>
        </w:rPr>
        <w:t>§5 投资组合报告</w:t>
      </w:r>
    </w:p>
    <w:p>
      <w:pPr>
        <w:pStyle w:val="3"/>
        <w:jc w:val="left"/>
      </w:pPr>
      <w:r>
        <w:rPr>
          <w:rFonts w:ascii="宋体" w:hAnsi="宋体" w:eastAsia="宋体" w:cs="宋体"/>
        </w:rPr>
        <w:t>5.1 报告期末基金资产组合情况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2856"/>
        <w:gridCol w:w="2856"/>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pPr>
              <w:spacing w:line="240" w:lineRule="auto"/>
              <w:jc w:val="center"/>
            </w:pPr>
            <w:r>
              <w:rPr>
                <w:rFonts w:ascii="宋体" w:hAnsi="宋体" w:eastAsia="宋体" w:cs="宋体"/>
                <w:b w:val="0"/>
              </w:rPr>
              <w:t>序号</w:t>
            </w:r>
          </w:p>
        </w:tc>
        <w:tc>
          <w:tcPr>
            <w:tcW w:w="1538" w:type="pct"/>
            <w:shd w:val="clear" w:color="auto" w:fill="D9D9D9"/>
            <w:vAlign w:val="center"/>
          </w:tcPr>
          <w:p>
            <w:pPr>
              <w:spacing w:line="240" w:lineRule="auto"/>
              <w:jc w:val="center"/>
            </w:pPr>
            <w:r>
              <w:rPr>
                <w:rFonts w:ascii="宋体" w:hAnsi="宋体" w:eastAsia="宋体" w:cs="宋体"/>
                <w:b w:val="0"/>
              </w:rPr>
              <w:t>项目</w:t>
            </w:r>
          </w:p>
        </w:tc>
        <w:tc>
          <w:tcPr>
            <w:tcW w:w="1538" w:type="pct"/>
            <w:shd w:val="clear" w:color="auto" w:fill="D9D9D9"/>
            <w:vAlign w:val="center"/>
          </w:tcPr>
          <w:p>
            <w:pPr>
              <w:spacing w:line="240" w:lineRule="auto"/>
              <w:jc w:val="center"/>
            </w:pPr>
            <w:r>
              <w:rPr>
                <w:rFonts w:ascii="宋体" w:hAnsi="宋体" w:eastAsia="宋体" w:cs="宋体"/>
                <w:b w:val="0"/>
              </w:rPr>
              <w:t>金额(元)</w:t>
            </w:r>
          </w:p>
        </w:tc>
        <w:tc>
          <w:tcPr>
            <w:tcW w:w="1538" w:type="pct"/>
            <w:shd w:val="clear" w:color="auto" w:fill="D9D9D9"/>
            <w:vAlign w:val="center"/>
          </w:tcPr>
          <w:p>
            <w:pPr>
              <w:spacing w:line="240" w:lineRule="auto"/>
              <w:jc w:val="center"/>
            </w:pPr>
            <w:r>
              <w:rPr>
                <w:rFonts w:ascii="宋体" w:hAnsi="宋体" w:eastAsia="宋体" w:cs="宋体"/>
                <w:b w:val="0"/>
              </w:rPr>
              <w:t>占基金总资产的比例（%）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权益投资</w:t>
            </w:r>
          </w:p>
        </w:tc>
        <w:tc>
          <w:tcPr>
            <w:tcW w:w="0" w:type="dxa"/>
            <w:vAlign w:val="center"/>
          </w:tcPr>
          <w:p>
            <w:pPr>
              <w:spacing w:line="240" w:lineRule="auto"/>
              <w:jc w:val="right"/>
            </w:pPr>
            <w:r>
              <w:rPr>
                <w:rFonts w:ascii="宋体" w:hAnsi="宋体" w:eastAsia="宋体" w:cs="宋体"/>
                <w:b w:val="0"/>
              </w:rPr>
              <w:t>488,327,014.42</w:t>
            </w:r>
          </w:p>
        </w:tc>
        <w:tc>
          <w:tcPr>
            <w:tcW w:w="0" w:type="dxa"/>
            <w:vAlign w:val="center"/>
          </w:tcPr>
          <w:p>
            <w:pPr>
              <w:spacing w:line="240" w:lineRule="auto"/>
              <w:jc w:val="right"/>
            </w:pPr>
            <w:r>
              <w:rPr>
                <w:rFonts w:ascii="宋体" w:hAnsi="宋体" w:eastAsia="宋体" w:cs="宋体"/>
                <w:b w:val="0"/>
              </w:rPr>
              <w:t>83.40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其中：股票</w:t>
            </w:r>
          </w:p>
        </w:tc>
        <w:tc>
          <w:tcPr>
            <w:tcW w:w="0" w:type="dxa"/>
            <w:vAlign w:val="center"/>
          </w:tcPr>
          <w:p>
            <w:pPr>
              <w:spacing w:line="240" w:lineRule="auto"/>
              <w:jc w:val="right"/>
            </w:pPr>
            <w:r>
              <w:rPr>
                <w:rFonts w:ascii="宋体" w:hAnsi="宋体" w:eastAsia="宋体" w:cs="宋体"/>
                <w:b w:val="0"/>
              </w:rPr>
              <w:t>488,327,014.42</w:t>
            </w:r>
          </w:p>
        </w:tc>
        <w:tc>
          <w:tcPr>
            <w:tcW w:w="0" w:type="dxa"/>
            <w:vAlign w:val="center"/>
          </w:tcPr>
          <w:p>
            <w:pPr>
              <w:spacing w:line="240" w:lineRule="auto"/>
              <w:jc w:val="right"/>
            </w:pPr>
            <w:r>
              <w:rPr>
                <w:rFonts w:ascii="宋体" w:hAnsi="宋体" w:eastAsia="宋体" w:cs="宋体"/>
                <w:b w:val="0"/>
              </w:rPr>
              <w:t>83.40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基金投资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固定收益投资</w:t>
            </w:r>
          </w:p>
        </w:tc>
        <w:tc>
          <w:tcPr>
            <w:tcW w:w="0" w:type="dxa"/>
            <w:vAlign w:val="center"/>
          </w:tcPr>
          <w:p>
            <w:pPr>
              <w:spacing w:line="240" w:lineRule="auto"/>
              <w:jc w:val="right"/>
            </w:pPr>
            <w:r>
              <w:rPr>
                <w:rFonts w:ascii="宋体" w:hAnsi="宋体" w:eastAsia="宋体" w:cs="宋体"/>
                <w:b w:val="0"/>
              </w:rPr>
              <w:t>28,787,401.18</w:t>
            </w:r>
          </w:p>
        </w:tc>
        <w:tc>
          <w:tcPr>
            <w:tcW w:w="0" w:type="dxa"/>
            <w:vAlign w:val="center"/>
          </w:tcPr>
          <w:p>
            <w:pPr>
              <w:spacing w:line="240" w:lineRule="auto"/>
              <w:jc w:val="right"/>
            </w:pPr>
            <w:r>
              <w:rPr>
                <w:rFonts w:ascii="宋体" w:hAnsi="宋体" w:eastAsia="宋体" w:cs="宋体"/>
                <w:b w:val="0"/>
              </w:rPr>
              <w:t>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其中：债券</w:t>
            </w:r>
          </w:p>
        </w:tc>
        <w:tc>
          <w:tcPr>
            <w:tcW w:w="0" w:type="dxa"/>
            <w:vAlign w:val="center"/>
          </w:tcPr>
          <w:p>
            <w:pPr>
              <w:spacing w:line="240" w:lineRule="auto"/>
              <w:jc w:val="right"/>
            </w:pPr>
            <w:r>
              <w:rPr>
                <w:rFonts w:ascii="宋体" w:hAnsi="宋体" w:eastAsia="宋体" w:cs="宋体"/>
                <w:b w:val="0"/>
              </w:rPr>
              <w:t>28,787,401.18</w:t>
            </w:r>
          </w:p>
        </w:tc>
        <w:tc>
          <w:tcPr>
            <w:tcW w:w="0" w:type="dxa"/>
            <w:vAlign w:val="center"/>
          </w:tcPr>
          <w:p>
            <w:pPr>
              <w:spacing w:line="240" w:lineRule="auto"/>
              <w:jc w:val="right"/>
            </w:pPr>
            <w:r>
              <w:rPr>
                <w:rFonts w:ascii="宋体" w:hAnsi="宋体" w:eastAsia="宋体" w:cs="宋体"/>
                <w:b w:val="0"/>
              </w:rPr>
              <w:t>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 xml:space="preserve">      资产支持证券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pPr>
            <w:r>
              <w:rPr>
                <w:rFonts w:ascii="宋体" w:hAnsi="宋体" w:eastAsia="宋体" w:cs="宋体"/>
                <w:b w:val="0"/>
              </w:rPr>
              <w:t>贵金属投资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金融衍生品投资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买入返售金融资产</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其中：买断式回购的买入返售金融资产</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银行存款和结算备付金合计</w:t>
            </w:r>
          </w:p>
        </w:tc>
        <w:tc>
          <w:tcPr>
            <w:tcW w:w="0" w:type="dxa"/>
            <w:vAlign w:val="center"/>
          </w:tcPr>
          <w:p>
            <w:pPr>
              <w:spacing w:line="240" w:lineRule="auto"/>
              <w:jc w:val="right"/>
            </w:pPr>
            <w:r>
              <w:rPr>
                <w:rFonts w:ascii="宋体" w:hAnsi="宋体" w:eastAsia="宋体" w:cs="宋体"/>
                <w:b w:val="0"/>
              </w:rPr>
              <w:t>62,278,194.99</w:t>
            </w:r>
          </w:p>
        </w:tc>
        <w:tc>
          <w:tcPr>
            <w:tcW w:w="0" w:type="dxa"/>
            <w:vAlign w:val="center"/>
          </w:tcPr>
          <w:p>
            <w:pPr>
              <w:spacing w:line="240" w:lineRule="auto"/>
              <w:jc w:val="right"/>
            </w:pPr>
            <w:r>
              <w:rPr>
                <w:rFonts w:ascii="宋体" w:hAnsi="宋体" w:eastAsia="宋体" w:cs="宋体"/>
                <w:b w:val="0"/>
              </w:rPr>
              <w:t>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其他资产</w:t>
            </w:r>
          </w:p>
        </w:tc>
        <w:tc>
          <w:tcPr>
            <w:tcW w:w="0" w:type="dxa"/>
            <w:vAlign w:val="center"/>
          </w:tcPr>
          <w:p>
            <w:pPr>
              <w:spacing w:line="240" w:lineRule="auto"/>
              <w:jc w:val="right"/>
            </w:pPr>
            <w:r>
              <w:rPr>
                <w:rFonts w:ascii="宋体" w:hAnsi="宋体" w:eastAsia="宋体" w:cs="宋体"/>
                <w:b w:val="0"/>
              </w:rPr>
              <w:t>6,102,150.78</w:t>
            </w:r>
          </w:p>
        </w:tc>
        <w:tc>
          <w:tcPr>
            <w:tcW w:w="0" w:type="dxa"/>
            <w:vAlign w:val="center"/>
          </w:tcPr>
          <w:p>
            <w:pPr>
              <w:spacing w:line="240" w:lineRule="auto"/>
              <w:jc w:val="right"/>
            </w:pPr>
            <w:r>
              <w:rPr>
                <w:rFonts w:ascii="宋体" w:hAnsi="宋体" w:eastAsia="宋体" w:cs="宋体"/>
                <w:b w:val="0"/>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585,494,761.37</w:t>
            </w:r>
          </w:p>
        </w:tc>
        <w:tc>
          <w:tcPr>
            <w:tcW w:w="0" w:type="dxa"/>
            <w:vAlign w:val="center"/>
          </w:tcPr>
          <w:p>
            <w:pPr>
              <w:spacing w:line="240" w:lineRule="auto"/>
              <w:jc w:val="right"/>
            </w:pPr>
            <w:r>
              <w:rPr>
                <w:rFonts w:ascii="宋体" w:hAnsi="宋体" w:eastAsia="宋体" w:cs="宋体"/>
                <w:b w:val="0"/>
              </w:rPr>
              <w:t>100.00</w:t>
            </w:r>
          </w:p>
        </w:tc>
      </w:tr>
    </w:tbl>
    <w:p>
      <w:r>
        <w:rPr>
          <w:rFonts w:ascii="宋体" w:hAnsi="宋体" w:eastAsia="宋体" w:cs="宋体"/>
          <w:b w:val="0"/>
        </w:rPr>
        <w:t>注：报告期末本基金通过港股通交易机制投资的港股公允价值合计30,335,324.72元，占基金资产净值的比例为5.86%。</w:t>
      </w:r>
    </w:p>
    <w:p/>
    <w:p>
      <w:pPr>
        <w:pStyle w:val="3"/>
        <w:jc w:val="left"/>
      </w:pPr>
      <w:r>
        <w:rPr>
          <w:rFonts w:ascii="宋体" w:hAnsi="宋体" w:eastAsia="宋体" w:cs="宋体"/>
        </w:rPr>
        <w:t>5.2 报告期末按行业分类的股票投资组合</w:t>
      </w:r>
    </w:p>
    <w:p>
      <w:pPr>
        <w:pStyle w:val="58"/>
      </w:pPr>
      <w:r>
        <w:rPr>
          <w:rFonts w:ascii="宋体" w:hAnsi="宋体" w:eastAsia="宋体" w:cs="宋体"/>
          <w:b/>
        </w:rPr>
        <w:t>5.2.1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3095"/>
        <w:gridCol w:w="1858"/>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代码</w:t>
            </w:r>
          </w:p>
        </w:tc>
        <w:tc>
          <w:tcPr>
            <w:tcW w:w="1538" w:type="pct"/>
            <w:shd w:val="clear" w:color="auto" w:fill="D9D9D9"/>
            <w:vAlign w:val="center"/>
          </w:tcPr>
          <w:p>
            <w:pPr>
              <w:spacing w:line="240" w:lineRule="auto"/>
              <w:jc w:val="center"/>
            </w:pPr>
            <w:r>
              <w:rPr>
                <w:rFonts w:ascii="宋体" w:hAnsi="宋体" w:eastAsia="宋体" w:cs="宋体"/>
                <w:b w:val="0"/>
              </w:rPr>
              <w:t>行业类别</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1538"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A</w:t>
            </w:r>
          </w:p>
        </w:tc>
        <w:tc>
          <w:tcPr>
            <w:tcW w:w="0" w:type="dxa"/>
            <w:vAlign w:val="center"/>
          </w:tcPr>
          <w:p>
            <w:pPr>
              <w:spacing w:line="240" w:lineRule="auto"/>
              <w:jc w:val="left"/>
            </w:pPr>
            <w:r>
              <w:rPr>
                <w:rFonts w:ascii="宋体" w:hAnsi="宋体" w:eastAsia="宋体" w:cs="宋体"/>
                <w:b w:val="0"/>
              </w:rPr>
              <w:t>农、林、牧、渔业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B</w:t>
            </w:r>
          </w:p>
        </w:tc>
        <w:tc>
          <w:tcPr>
            <w:tcW w:w="0" w:type="dxa"/>
            <w:vAlign w:val="center"/>
          </w:tcPr>
          <w:p>
            <w:pPr>
              <w:spacing w:line="240" w:lineRule="auto"/>
              <w:jc w:val="left"/>
            </w:pPr>
            <w:r>
              <w:rPr>
                <w:rFonts w:ascii="宋体" w:hAnsi="宋体" w:eastAsia="宋体" w:cs="宋体"/>
                <w:b w:val="0"/>
              </w:rPr>
              <w:t>采矿业</w:t>
            </w:r>
          </w:p>
        </w:tc>
        <w:tc>
          <w:tcPr>
            <w:tcW w:w="0" w:type="dxa"/>
            <w:vAlign w:val="center"/>
          </w:tcPr>
          <w:p>
            <w:pPr>
              <w:spacing w:line="240" w:lineRule="auto"/>
              <w:jc w:val="right"/>
            </w:pPr>
            <w:r>
              <w:rPr>
                <w:rFonts w:ascii="宋体" w:hAnsi="宋体" w:eastAsia="宋体" w:cs="宋体"/>
                <w:b w:val="0"/>
              </w:rPr>
              <w:t>13,003.98</w:t>
            </w:r>
          </w:p>
        </w:tc>
        <w:tc>
          <w:tcPr>
            <w:tcW w:w="0" w:type="dxa"/>
            <w:vAlign w:val="center"/>
          </w:tcPr>
          <w:p>
            <w:pPr>
              <w:spacing w:line="240" w:lineRule="auto"/>
              <w:jc w:val="right"/>
            </w:pPr>
            <w:r>
              <w:rPr>
                <w:rFonts w:ascii="宋体" w:hAnsi="宋体" w:eastAsia="宋体" w:cs="宋体"/>
                <w:b w:val="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C</w:t>
            </w:r>
          </w:p>
        </w:tc>
        <w:tc>
          <w:tcPr>
            <w:tcW w:w="0" w:type="dxa"/>
            <w:vAlign w:val="center"/>
          </w:tcPr>
          <w:p>
            <w:pPr>
              <w:spacing w:line="240" w:lineRule="auto"/>
              <w:jc w:val="left"/>
            </w:pPr>
            <w:r>
              <w:rPr>
                <w:rFonts w:ascii="宋体" w:hAnsi="宋体" w:eastAsia="宋体" w:cs="宋体"/>
                <w:b w:val="0"/>
              </w:rPr>
              <w:t>制造业</w:t>
            </w:r>
          </w:p>
        </w:tc>
        <w:tc>
          <w:tcPr>
            <w:tcW w:w="0" w:type="dxa"/>
            <w:vAlign w:val="center"/>
          </w:tcPr>
          <w:p>
            <w:pPr>
              <w:spacing w:line="240" w:lineRule="auto"/>
              <w:jc w:val="right"/>
            </w:pPr>
            <w:r>
              <w:rPr>
                <w:rFonts w:ascii="宋体" w:hAnsi="宋体" w:eastAsia="宋体" w:cs="宋体"/>
                <w:b w:val="0"/>
              </w:rPr>
              <w:t>159,696,181.34</w:t>
            </w:r>
          </w:p>
        </w:tc>
        <w:tc>
          <w:tcPr>
            <w:tcW w:w="0" w:type="dxa"/>
            <w:vAlign w:val="center"/>
          </w:tcPr>
          <w:p>
            <w:pPr>
              <w:spacing w:line="240" w:lineRule="auto"/>
              <w:jc w:val="right"/>
            </w:pPr>
            <w:r>
              <w:rPr>
                <w:rFonts w:ascii="宋体" w:hAnsi="宋体" w:eastAsia="宋体" w:cs="宋体"/>
                <w:b w:val="0"/>
              </w:rPr>
              <w:t>30.87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D</w:t>
            </w:r>
          </w:p>
        </w:tc>
        <w:tc>
          <w:tcPr>
            <w:tcW w:w="0" w:type="dxa"/>
            <w:vAlign w:val="center"/>
          </w:tcPr>
          <w:p>
            <w:pPr>
              <w:spacing w:line="240" w:lineRule="auto"/>
              <w:jc w:val="left"/>
            </w:pPr>
            <w:r>
              <w:rPr>
                <w:rFonts w:ascii="宋体" w:hAnsi="宋体" w:eastAsia="宋体" w:cs="宋体"/>
                <w:b w:val="0"/>
              </w:rPr>
              <w:t>电力、热力、燃气及水生产和供应业</w:t>
            </w:r>
          </w:p>
        </w:tc>
        <w:tc>
          <w:tcPr>
            <w:tcW w:w="0" w:type="dxa"/>
            <w:vAlign w:val="center"/>
          </w:tcPr>
          <w:p>
            <w:pPr>
              <w:spacing w:line="240" w:lineRule="auto"/>
              <w:jc w:val="right"/>
            </w:pPr>
            <w:r>
              <w:rPr>
                <w:rFonts w:ascii="宋体" w:hAnsi="宋体" w:eastAsia="宋体" w:cs="宋体"/>
                <w:b w:val="0"/>
              </w:rPr>
              <w:t>229,011.72</w:t>
            </w:r>
          </w:p>
        </w:tc>
        <w:tc>
          <w:tcPr>
            <w:tcW w:w="0" w:type="dxa"/>
            <w:vAlign w:val="center"/>
          </w:tcPr>
          <w:p>
            <w:pPr>
              <w:spacing w:line="240" w:lineRule="auto"/>
              <w:jc w:val="right"/>
            </w:pPr>
            <w:r>
              <w:rPr>
                <w:rFonts w:ascii="宋体" w:hAnsi="宋体" w:eastAsia="宋体" w:cs="宋体"/>
                <w:b w:val="0"/>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E</w:t>
            </w:r>
          </w:p>
        </w:tc>
        <w:tc>
          <w:tcPr>
            <w:tcW w:w="0" w:type="dxa"/>
            <w:vAlign w:val="center"/>
          </w:tcPr>
          <w:p>
            <w:pPr>
              <w:spacing w:line="240" w:lineRule="auto"/>
              <w:jc w:val="left"/>
            </w:pPr>
            <w:r>
              <w:rPr>
                <w:rFonts w:ascii="宋体" w:hAnsi="宋体" w:eastAsia="宋体" w:cs="宋体"/>
                <w:b w:val="0"/>
              </w:rPr>
              <w:t>建筑业</w:t>
            </w:r>
          </w:p>
        </w:tc>
        <w:tc>
          <w:tcPr>
            <w:tcW w:w="0" w:type="dxa"/>
            <w:vAlign w:val="center"/>
          </w:tcPr>
          <w:p>
            <w:pPr>
              <w:spacing w:line="240" w:lineRule="auto"/>
              <w:jc w:val="right"/>
            </w:pPr>
            <w:r>
              <w:rPr>
                <w:rFonts w:ascii="宋体" w:hAnsi="宋体" w:eastAsia="宋体" w:cs="宋体"/>
                <w:b w:val="0"/>
              </w:rPr>
              <w:t>16,893,645.00</w:t>
            </w:r>
          </w:p>
        </w:tc>
        <w:tc>
          <w:tcPr>
            <w:tcW w:w="0" w:type="dxa"/>
            <w:vAlign w:val="center"/>
          </w:tcPr>
          <w:p>
            <w:pPr>
              <w:spacing w:line="240" w:lineRule="auto"/>
              <w:jc w:val="right"/>
            </w:pPr>
            <w:r>
              <w:rPr>
                <w:rFonts w:ascii="宋体" w:hAnsi="宋体" w:eastAsia="宋体" w:cs="宋体"/>
                <w:b w:val="0"/>
              </w:rPr>
              <w:t>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F</w:t>
            </w:r>
          </w:p>
        </w:tc>
        <w:tc>
          <w:tcPr>
            <w:tcW w:w="0" w:type="dxa"/>
            <w:vAlign w:val="center"/>
          </w:tcPr>
          <w:p>
            <w:pPr>
              <w:spacing w:line="240" w:lineRule="auto"/>
              <w:jc w:val="left"/>
            </w:pPr>
            <w:r>
              <w:rPr>
                <w:rFonts w:ascii="宋体" w:hAnsi="宋体" w:eastAsia="宋体" w:cs="宋体"/>
                <w:b w:val="0"/>
              </w:rPr>
              <w:t>批发和零售业</w:t>
            </w:r>
          </w:p>
        </w:tc>
        <w:tc>
          <w:tcPr>
            <w:tcW w:w="0" w:type="dxa"/>
            <w:vAlign w:val="center"/>
          </w:tcPr>
          <w:p>
            <w:pPr>
              <w:spacing w:line="240" w:lineRule="auto"/>
              <w:jc w:val="right"/>
            </w:pPr>
            <w:r>
              <w:rPr>
                <w:rFonts w:ascii="宋体" w:hAnsi="宋体" w:eastAsia="宋体" w:cs="宋体"/>
                <w:b w:val="0"/>
              </w:rPr>
              <w:t>38,326,905.00</w:t>
            </w:r>
          </w:p>
        </w:tc>
        <w:tc>
          <w:tcPr>
            <w:tcW w:w="0" w:type="dxa"/>
            <w:vAlign w:val="center"/>
          </w:tcPr>
          <w:p>
            <w:pPr>
              <w:spacing w:line="240" w:lineRule="auto"/>
              <w:jc w:val="right"/>
            </w:pPr>
            <w:r>
              <w:rPr>
                <w:rFonts w:ascii="宋体" w:hAnsi="宋体" w:eastAsia="宋体" w:cs="宋体"/>
                <w:b w:val="0"/>
              </w:rPr>
              <w:t>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G</w:t>
            </w:r>
          </w:p>
        </w:tc>
        <w:tc>
          <w:tcPr>
            <w:tcW w:w="0" w:type="dxa"/>
            <w:vAlign w:val="center"/>
          </w:tcPr>
          <w:p>
            <w:pPr>
              <w:spacing w:line="240" w:lineRule="auto"/>
              <w:jc w:val="left"/>
            </w:pPr>
            <w:r>
              <w:rPr>
                <w:rFonts w:ascii="宋体" w:hAnsi="宋体" w:eastAsia="宋体" w:cs="宋体"/>
                <w:b w:val="0"/>
              </w:rPr>
              <w:t>交通运输、仓储和邮政业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H</w:t>
            </w:r>
          </w:p>
        </w:tc>
        <w:tc>
          <w:tcPr>
            <w:tcW w:w="0" w:type="dxa"/>
            <w:vAlign w:val="center"/>
          </w:tcPr>
          <w:p>
            <w:pPr>
              <w:spacing w:line="240" w:lineRule="auto"/>
              <w:jc w:val="left"/>
            </w:pPr>
            <w:r>
              <w:rPr>
                <w:rFonts w:ascii="宋体" w:hAnsi="宋体" w:eastAsia="宋体" w:cs="宋体"/>
                <w:b w:val="0"/>
              </w:rPr>
              <w:t>住宿和餐饮业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I</w:t>
            </w:r>
          </w:p>
        </w:tc>
        <w:tc>
          <w:tcPr>
            <w:tcW w:w="0" w:type="dxa"/>
            <w:vAlign w:val="center"/>
          </w:tcPr>
          <w:p>
            <w:pPr>
              <w:spacing w:line="240" w:lineRule="auto"/>
              <w:jc w:val="left"/>
            </w:pPr>
            <w:r>
              <w:rPr>
                <w:rFonts w:ascii="宋体" w:hAnsi="宋体" w:eastAsia="宋体" w:cs="宋体"/>
                <w:b w:val="0"/>
              </w:rPr>
              <w:t>信息传输、软件和信息技术服务业</w:t>
            </w:r>
          </w:p>
        </w:tc>
        <w:tc>
          <w:tcPr>
            <w:tcW w:w="0" w:type="dxa"/>
            <w:vAlign w:val="center"/>
          </w:tcPr>
          <w:p>
            <w:pPr>
              <w:spacing w:line="240" w:lineRule="auto"/>
              <w:jc w:val="right"/>
            </w:pPr>
            <w:r>
              <w:rPr>
                <w:rFonts w:ascii="宋体" w:hAnsi="宋体" w:eastAsia="宋体" w:cs="宋体"/>
                <w:b w:val="0"/>
              </w:rPr>
              <w:t>203,234,235.06</w:t>
            </w:r>
          </w:p>
        </w:tc>
        <w:tc>
          <w:tcPr>
            <w:tcW w:w="0" w:type="dxa"/>
            <w:vAlign w:val="center"/>
          </w:tcPr>
          <w:p>
            <w:pPr>
              <w:spacing w:line="240" w:lineRule="auto"/>
              <w:jc w:val="right"/>
            </w:pPr>
            <w:r>
              <w:rPr>
                <w:rFonts w:ascii="宋体" w:hAnsi="宋体" w:eastAsia="宋体" w:cs="宋体"/>
                <w:b w:val="0"/>
              </w:rPr>
              <w:t>39.29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J</w:t>
            </w:r>
          </w:p>
        </w:tc>
        <w:tc>
          <w:tcPr>
            <w:tcW w:w="0" w:type="dxa"/>
            <w:vAlign w:val="center"/>
          </w:tcPr>
          <w:p>
            <w:pPr>
              <w:spacing w:line="240" w:lineRule="auto"/>
              <w:jc w:val="left"/>
            </w:pPr>
            <w:r>
              <w:rPr>
                <w:rFonts w:ascii="宋体" w:hAnsi="宋体" w:eastAsia="宋体" w:cs="宋体"/>
                <w:b w:val="0"/>
              </w:rPr>
              <w:t>金融业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K</w:t>
            </w:r>
          </w:p>
        </w:tc>
        <w:tc>
          <w:tcPr>
            <w:tcW w:w="0" w:type="dxa"/>
            <w:vAlign w:val="center"/>
          </w:tcPr>
          <w:p>
            <w:pPr>
              <w:spacing w:line="240" w:lineRule="auto"/>
              <w:jc w:val="left"/>
            </w:pPr>
            <w:r>
              <w:rPr>
                <w:rFonts w:ascii="宋体" w:hAnsi="宋体" w:eastAsia="宋体" w:cs="宋体"/>
                <w:b w:val="0"/>
              </w:rPr>
              <w:t>房地产业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L</w:t>
            </w:r>
          </w:p>
        </w:tc>
        <w:tc>
          <w:tcPr>
            <w:tcW w:w="0" w:type="dxa"/>
            <w:vAlign w:val="center"/>
          </w:tcPr>
          <w:p>
            <w:pPr>
              <w:spacing w:line="240" w:lineRule="auto"/>
              <w:jc w:val="left"/>
            </w:pPr>
            <w:r>
              <w:rPr>
                <w:rFonts w:ascii="宋体" w:hAnsi="宋体" w:eastAsia="宋体" w:cs="宋体"/>
                <w:b w:val="0"/>
              </w:rPr>
              <w:t>租赁和商务服务业</w:t>
            </w:r>
          </w:p>
        </w:tc>
        <w:tc>
          <w:tcPr>
            <w:tcW w:w="0" w:type="dxa"/>
            <w:vAlign w:val="center"/>
          </w:tcPr>
          <w:p>
            <w:pPr>
              <w:spacing w:line="240" w:lineRule="auto"/>
              <w:jc w:val="right"/>
            </w:pPr>
            <w:r>
              <w:rPr>
                <w:rFonts w:ascii="宋体" w:hAnsi="宋体" w:eastAsia="宋体" w:cs="宋体"/>
                <w:b w:val="0"/>
              </w:rPr>
              <w:t>39,598,707.60</w:t>
            </w:r>
          </w:p>
        </w:tc>
        <w:tc>
          <w:tcPr>
            <w:tcW w:w="0" w:type="dxa"/>
            <w:vAlign w:val="center"/>
          </w:tcPr>
          <w:p>
            <w:pPr>
              <w:spacing w:line="240" w:lineRule="auto"/>
              <w:jc w:val="right"/>
            </w:pPr>
            <w:r>
              <w:rPr>
                <w:rFonts w:ascii="宋体" w:hAnsi="宋体" w:eastAsia="宋体" w:cs="宋体"/>
                <w:b w:val="0"/>
              </w:rPr>
              <w:t>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M</w:t>
            </w:r>
          </w:p>
        </w:tc>
        <w:tc>
          <w:tcPr>
            <w:tcW w:w="0" w:type="dxa"/>
            <w:vAlign w:val="center"/>
          </w:tcPr>
          <w:p>
            <w:pPr>
              <w:spacing w:line="240" w:lineRule="auto"/>
              <w:jc w:val="left"/>
            </w:pPr>
            <w:r>
              <w:rPr>
                <w:rFonts w:ascii="宋体" w:hAnsi="宋体" w:eastAsia="宋体" w:cs="宋体"/>
                <w:b w:val="0"/>
              </w:rPr>
              <w:t>科学研究和技术服务业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N</w:t>
            </w:r>
          </w:p>
        </w:tc>
        <w:tc>
          <w:tcPr>
            <w:tcW w:w="0" w:type="dxa"/>
            <w:vAlign w:val="center"/>
          </w:tcPr>
          <w:p>
            <w:pPr>
              <w:spacing w:line="240" w:lineRule="auto"/>
              <w:jc w:val="left"/>
            </w:pPr>
            <w:r>
              <w:rPr>
                <w:rFonts w:ascii="宋体" w:hAnsi="宋体" w:eastAsia="宋体" w:cs="宋体"/>
                <w:b w:val="0"/>
              </w:rPr>
              <w:t>水利、环境和公共设施管理业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O</w:t>
            </w:r>
          </w:p>
        </w:tc>
        <w:tc>
          <w:tcPr>
            <w:tcW w:w="0" w:type="dxa"/>
            <w:vAlign w:val="center"/>
          </w:tcPr>
          <w:p>
            <w:pPr>
              <w:spacing w:line="240" w:lineRule="auto"/>
              <w:jc w:val="left"/>
            </w:pPr>
            <w:r>
              <w:rPr>
                <w:rFonts w:ascii="宋体" w:hAnsi="宋体" w:eastAsia="宋体" w:cs="宋体"/>
                <w:b w:val="0"/>
              </w:rPr>
              <w:t>居民服务、修理和其他服务业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P</w:t>
            </w:r>
          </w:p>
        </w:tc>
        <w:tc>
          <w:tcPr>
            <w:tcW w:w="0" w:type="dxa"/>
            <w:vAlign w:val="center"/>
          </w:tcPr>
          <w:p>
            <w:pPr>
              <w:spacing w:line="240" w:lineRule="auto"/>
              <w:jc w:val="left"/>
            </w:pPr>
            <w:r>
              <w:rPr>
                <w:rFonts w:ascii="宋体" w:hAnsi="宋体" w:eastAsia="宋体" w:cs="宋体"/>
                <w:b w:val="0"/>
              </w:rPr>
              <w:t>教育</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Q</w:t>
            </w:r>
          </w:p>
        </w:tc>
        <w:tc>
          <w:tcPr>
            <w:tcW w:w="0" w:type="dxa"/>
            <w:vAlign w:val="center"/>
          </w:tcPr>
          <w:p>
            <w:pPr>
              <w:spacing w:line="240" w:lineRule="auto"/>
              <w:jc w:val="left"/>
            </w:pPr>
            <w:r>
              <w:rPr>
                <w:rFonts w:ascii="宋体" w:hAnsi="宋体" w:eastAsia="宋体" w:cs="宋体"/>
                <w:b w:val="0"/>
              </w:rPr>
              <w:t>卫生和社会工作</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R</w:t>
            </w:r>
          </w:p>
        </w:tc>
        <w:tc>
          <w:tcPr>
            <w:tcW w:w="0" w:type="dxa"/>
            <w:vAlign w:val="center"/>
          </w:tcPr>
          <w:p>
            <w:pPr>
              <w:spacing w:line="240" w:lineRule="auto"/>
              <w:jc w:val="left"/>
            </w:pPr>
            <w:r>
              <w:rPr>
                <w:rFonts w:ascii="宋体" w:hAnsi="宋体" w:eastAsia="宋体" w:cs="宋体"/>
                <w:b w:val="0"/>
              </w:rPr>
              <w:t>文化、体育和娱乐业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S</w:t>
            </w:r>
          </w:p>
        </w:tc>
        <w:tc>
          <w:tcPr>
            <w:tcW w:w="0" w:type="dxa"/>
            <w:vAlign w:val="center"/>
          </w:tcPr>
          <w:p>
            <w:pPr>
              <w:spacing w:line="240" w:lineRule="auto"/>
              <w:jc w:val="left"/>
            </w:pPr>
            <w:r>
              <w:rPr>
                <w:rFonts w:ascii="宋体" w:hAnsi="宋体" w:eastAsia="宋体" w:cs="宋体"/>
                <w:b w:val="0"/>
              </w:rPr>
              <w:t>综合</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457,991,689.70</w:t>
            </w:r>
          </w:p>
        </w:tc>
        <w:tc>
          <w:tcPr>
            <w:tcW w:w="0" w:type="dxa"/>
            <w:vAlign w:val="center"/>
          </w:tcPr>
          <w:p>
            <w:pPr>
              <w:spacing w:line="240" w:lineRule="auto"/>
              <w:jc w:val="right"/>
            </w:pPr>
            <w:r>
              <w:rPr>
                <w:rFonts w:ascii="宋体" w:hAnsi="宋体" w:eastAsia="宋体" w:cs="宋体"/>
                <w:b w:val="0"/>
              </w:rPr>
              <w:t>88.54</w:t>
            </w:r>
          </w:p>
        </w:tc>
      </w:tr>
    </w:tbl>
    <w:p/>
    <w:p>
      <w:pPr>
        <w:pStyle w:val="58"/>
      </w:pPr>
      <w:r>
        <w:rPr>
          <w:rFonts w:ascii="宋体" w:hAnsi="宋体" w:eastAsia="宋体" w:cs="宋体"/>
          <w:b/>
        </w:rPr>
        <w:t>5.2.2 报告期末按行业分类的港股通投资股票投资组合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pPr>
              <w:spacing w:line="240" w:lineRule="auto"/>
              <w:jc w:val="center"/>
            </w:pPr>
            <w:r>
              <w:rPr>
                <w:rFonts w:ascii="宋体" w:hAnsi="宋体" w:eastAsia="宋体" w:cs="宋体"/>
                <w:b w:val="0"/>
              </w:rPr>
              <w:t>行业类别</w:t>
            </w:r>
          </w:p>
        </w:tc>
        <w:tc>
          <w:tcPr>
            <w:tcW w:w="1538" w:type="pct"/>
            <w:shd w:val="clear" w:color="auto" w:fill="D9D9D9"/>
            <w:vAlign w:val="center"/>
          </w:tcPr>
          <w:p>
            <w:pPr>
              <w:spacing w:line="240" w:lineRule="auto"/>
              <w:jc w:val="center"/>
            </w:pPr>
            <w:r>
              <w:rPr>
                <w:rFonts w:ascii="宋体" w:hAnsi="宋体" w:eastAsia="宋体" w:cs="宋体"/>
                <w:b w:val="0"/>
              </w:rPr>
              <w:t>公允价值（人民币）</w:t>
            </w:r>
          </w:p>
        </w:tc>
        <w:tc>
          <w:tcPr>
            <w:tcW w:w="1538"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信息技术</w:t>
            </w:r>
          </w:p>
        </w:tc>
        <w:tc>
          <w:tcPr>
            <w:tcW w:w="0" w:type="dxa"/>
            <w:vAlign w:val="center"/>
          </w:tcPr>
          <w:p>
            <w:pPr>
              <w:spacing w:line="240" w:lineRule="auto"/>
              <w:jc w:val="right"/>
            </w:pPr>
            <w:r>
              <w:rPr>
                <w:rFonts w:ascii="宋体" w:hAnsi="宋体" w:eastAsia="宋体" w:cs="宋体"/>
                <w:b w:val="0"/>
              </w:rPr>
              <w:t>30,335,324.72</w:t>
            </w:r>
          </w:p>
        </w:tc>
        <w:tc>
          <w:tcPr>
            <w:tcW w:w="0" w:type="dxa"/>
            <w:vAlign w:val="center"/>
          </w:tcPr>
          <w:p>
            <w:pPr>
              <w:spacing w:line="240" w:lineRule="auto"/>
              <w:jc w:val="right"/>
            </w:pPr>
            <w:r>
              <w:rPr>
                <w:rFonts w:ascii="宋体" w:hAnsi="宋体" w:eastAsia="宋体" w:cs="宋体"/>
                <w:b w:val="0"/>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30,335,324.72</w:t>
            </w:r>
          </w:p>
        </w:tc>
        <w:tc>
          <w:tcPr>
            <w:tcW w:w="0" w:type="dxa"/>
            <w:vAlign w:val="center"/>
          </w:tcPr>
          <w:p>
            <w:pPr>
              <w:spacing w:line="240" w:lineRule="auto"/>
              <w:jc w:val="right"/>
            </w:pPr>
            <w:r>
              <w:rPr>
                <w:rFonts w:ascii="宋体" w:hAnsi="宋体" w:eastAsia="宋体" w:cs="宋体"/>
                <w:b w:val="0"/>
              </w:rPr>
              <w:t>5.86</w:t>
            </w:r>
          </w:p>
        </w:tc>
      </w:tr>
    </w:tbl>
    <w:p/>
    <w:p>
      <w:pPr>
        <w:pStyle w:val="3"/>
        <w:jc w:val="left"/>
      </w:pPr>
      <w:r>
        <w:rPr>
          <w:rFonts w:ascii="宋体" w:hAnsi="宋体" w:eastAsia="宋体" w:cs="宋体"/>
        </w:rPr>
        <w:t>5.3 报告期末按公允价值占基金资产净值比例大小排序的前十名股票投资明细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769" w:type="pct"/>
            <w:shd w:val="clear" w:color="auto" w:fill="D9D9D9"/>
            <w:vAlign w:val="center"/>
          </w:tcPr>
          <w:p>
            <w:pPr>
              <w:spacing w:line="240" w:lineRule="auto"/>
              <w:jc w:val="center"/>
            </w:pPr>
            <w:r>
              <w:rPr>
                <w:rFonts w:ascii="宋体" w:hAnsi="宋体" w:eastAsia="宋体" w:cs="宋体"/>
                <w:b w:val="0"/>
              </w:rPr>
              <w:t>股票代码</w:t>
            </w:r>
          </w:p>
        </w:tc>
        <w:tc>
          <w:tcPr>
            <w:tcW w:w="769" w:type="pct"/>
            <w:shd w:val="clear" w:color="auto" w:fill="D9D9D9"/>
            <w:vAlign w:val="center"/>
          </w:tcPr>
          <w:p>
            <w:pPr>
              <w:spacing w:line="240" w:lineRule="auto"/>
              <w:jc w:val="center"/>
            </w:pPr>
            <w:r>
              <w:rPr>
                <w:rFonts w:ascii="宋体" w:hAnsi="宋体" w:eastAsia="宋体" w:cs="宋体"/>
                <w:b w:val="0"/>
              </w:rPr>
              <w:t>股票名称</w:t>
            </w:r>
          </w:p>
        </w:tc>
        <w:tc>
          <w:tcPr>
            <w:tcW w:w="615" w:type="pct"/>
            <w:shd w:val="clear" w:color="auto" w:fill="D9D9D9"/>
            <w:vAlign w:val="center"/>
          </w:tcPr>
          <w:p>
            <w:pPr>
              <w:spacing w:line="240" w:lineRule="auto"/>
              <w:jc w:val="center"/>
            </w:pPr>
            <w:r>
              <w:rPr>
                <w:rFonts w:ascii="宋体" w:hAnsi="宋体" w:eastAsia="宋体" w:cs="宋体"/>
                <w:b w:val="0"/>
              </w:rPr>
              <w:t>数量(股)</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923"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301396</w:t>
            </w:r>
          </w:p>
        </w:tc>
        <w:tc>
          <w:tcPr>
            <w:tcW w:w="0" w:type="dxa"/>
            <w:vAlign w:val="center"/>
          </w:tcPr>
          <w:p>
            <w:pPr>
              <w:spacing w:line="240" w:lineRule="auto"/>
              <w:jc w:val="left"/>
            </w:pPr>
            <w:r>
              <w:rPr>
                <w:rFonts w:ascii="宋体" w:hAnsi="宋体" w:eastAsia="宋体" w:cs="宋体"/>
                <w:b w:val="0"/>
              </w:rPr>
              <w:t>宏景科技</w:t>
            </w:r>
          </w:p>
        </w:tc>
        <w:tc>
          <w:tcPr>
            <w:tcW w:w="0" w:type="dxa"/>
            <w:vAlign w:val="center"/>
          </w:tcPr>
          <w:p>
            <w:pPr>
              <w:spacing w:line="240" w:lineRule="auto"/>
              <w:jc w:val="right"/>
            </w:pPr>
            <w:r>
              <w:rPr>
                <w:rFonts w:ascii="宋体" w:hAnsi="宋体" w:eastAsia="宋体" w:cs="宋体"/>
                <w:b w:val="0"/>
              </w:rPr>
              <w:t>147,480</w:t>
            </w:r>
          </w:p>
        </w:tc>
        <w:tc>
          <w:tcPr>
            <w:tcW w:w="0" w:type="dxa"/>
            <w:vAlign w:val="center"/>
          </w:tcPr>
          <w:p>
            <w:pPr>
              <w:spacing w:line="240" w:lineRule="auto"/>
              <w:jc w:val="right"/>
            </w:pPr>
            <w:r>
              <w:rPr>
                <w:rFonts w:ascii="宋体" w:hAnsi="宋体" w:eastAsia="宋体" w:cs="宋体"/>
                <w:b w:val="0"/>
              </w:rPr>
              <w:t>48,904,368.00</w:t>
            </w:r>
          </w:p>
        </w:tc>
        <w:tc>
          <w:tcPr>
            <w:tcW w:w="0" w:type="dxa"/>
            <w:vAlign w:val="center"/>
          </w:tcPr>
          <w:p>
            <w:pPr>
              <w:spacing w:line="240" w:lineRule="auto"/>
              <w:jc w:val="right"/>
            </w:pPr>
            <w:r>
              <w:rPr>
                <w:rFonts w:ascii="宋体" w:hAnsi="宋体" w:eastAsia="宋体" w:cs="宋体"/>
                <w:b w:val="0"/>
              </w:rPr>
              <w:t>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300857</w:t>
            </w:r>
          </w:p>
        </w:tc>
        <w:tc>
          <w:tcPr>
            <w:tcW w:w="0" w:type="dxa"/>
            <w:vAlign w:val="center"/>
          </w:tcPr>
          <w:p>
            <w:pPr>
              <w:spacing w:line="240" w:lineRule="auto"/>
              <w:jc w:val="left"/>
            </w:pPr>
            <w:r>
              <w:rPr>
                <w:rFonts w:ascii="宋体" w:hAnsi="宋体" w:eastAsia="宋体" w:cs="宋体"/>
                <w:b w:val="0"/>
              </w:rPr>
              <w:t>协创数据</w:t>
            </w:r>
          </w:p>
        </w:tc>
        <w:tc>
          <w:tcPr>
            <w:tcW w:w="0" w:type="dxa"/>
            <w:vAlign w:val="center"/>
          </w:tcPr>
          <w:p>
            <w:pPr>
              <w:spacing w:line="240" w:lineRule="auto"/>
              <w:jc w:val="right"/>
            </w:pPr>
            <w:r>
              <w:rPr>
                <w:rFonts w:ascii="宋体" w:hAnsi="宋体" w:eastAsia="宋体" w:cs="宋体"/>
                <w:b w:val="0"/>
              </w:rPr>
              <w:t>124,880</w:t>
            </w:r>
          </w:p>
        </w:tc>
        <w:tc>
          <w:tcPr>
            <w:tcW w:w="0" w:type="dxa"/>
            <w:vAlign w:val="center"/>
          </w:tcPr>
          <w:p>
            <w:pPr>
              <w:spacing w:line="240" w:lineRule="auto"/>
              <w:jc w:val="right"/>
            </w:pPr>
            <w:r>
              <w:rPr>
                <w:rFonts w:ascii="宋体" w:hAnsi="宋体" w:eastAsia="宋体" w:cs="宋体"/>
                <w:b w:val="0"/>
              </w:rPr>
              <w:t>42,446,712.00</w:t>
            </w:r>
          </w:p>
        </w:tc>
        <w:tc>
          <w:tcPr>
            <w:tcW w:w="0" w:type="dxa"/>
            <w:vAlign w:val="center"/>
          </w:tcPr>
          <w:p>
            <w:pPr>
              <w:spacing w:line="240" w:lineRule="auto"/>
              <w:jc w:val="right"/>
            </w:pPr>
            <w:r>
              <w:rPr>
                <w:rFonts w:ascii="宋体" w:hAnsi="宋体" w:eastAsia="宋体" w:cs="宋体"/>
                <w:b w:val="0"/>
              </w:rPr>
              <w:t>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688777</w:t>
            </w:r>
          </w:p>
        </w:tc>
        <w:tc>
          <w:tcPr>
            <w:tcW w:w="0" w:type="dxa"/>
            <w:vAlign w:val="center"/>
          </w:tcPr>
          <w:p>
            <w:pPr>
              <w:spacing w:line="240" w:lineRule="auto"/>
              <w:jc w:val="left"/>
            </w:pPr>
            <w:r>
              <w:rPr>
                <w:rFonts w:ascii="宋体" w:hAnsi="宋体" w:eastAsia="宋体" w:cs="宋体"/>
                <w:b w:val="0"/>
              </w:rPr>
              <w:t>中控技术</w:t>
            </w:r>
          </w:p>
        </w:tc>
        <w:tc>
          <w:tcPr>
            <w:tcW w:w="0" w:type="dxa"/>
            <w:vAlign w:val="center"/>
          </w:tcPr>
          <w:p>
            <w:pPr>
              <w:spacing w:line="240" w:lineRule="auto"/>
              <w:jc w:val="right"/>
            </w:pPr>
            <w:r>
              <w:rPr>
                <w:rFonts w:ascii="宋体" w:hAnsi="宋体" w:eastAsia="宋体" w:cs="宋体"/>
                <w:b w:val="0"/>
              </w:rPr>
              <w:t>342,123</w:t>
            </w:r>
          </w:p>
        </w:tc>
        <w:tc>
          <w:tcPr>
            <w:tcW w:w="0" w:type="dxa"/>
            <w:vAlign w:val="center"/>
          </w:tcPr>
          <w:p>
            <w:pPr>
              <w:spacing w:line="240" w:lineRule="auto"/>
              <w:jc w:val="right"/>
            </w:pPr>
            <w:r>
              <w:rPr>
                <w:rFonts w:ascii="宋体" w:hAnsi="宋体" w:eastAsia="宋体" w:cs="宋体"/>
                <w:b w:val="0"/>
              </w:rPr>
              <w:t>40,199,452.50</w:t>
            </w:r>
          </w:p>
        </w:tc>
        <w:tc>
          <w:tcPr>
            <w:tcW w:w="0" w:type="dxa"/>
            <w:vAlign w:val="center"/>
          </w:tcPr>
          <w:p>
            <w:pPr>
              <w:spacing w:line="240" w:lineRule="auto"/>
              <w:jc w:val="right"/>
            </w:pPr>
            <w:r>
              <w:rPr>
                <w:rFonts w:ascii="宋体" w:hAnsi="宋体" w:eastAsia="宋体" w:cs="宋体"/>
                <w:b w:val="0"/>
              </w:rPr>
              <w:t>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605168</w:t>
            </w:r>
          </w:p>
        </w:tc>
        <w:tc>
          <w:tcPr>
            <w:tcW w:w="0" w:type="dxa"/>
            <w:vAlign w:val="center"/>
          </w:tcPr>
          <w:p>
            <w:pPr>
              <w:spacing w:line="240" w:lineRule="auto"/>
              <w:jc w:val="left"/>
            </w:pPr>
            <w:r>
              <w:rPr>
                <w:rFonts w:ascii="宋体" w:hAnsi="宋体" w:eastAsia="宋体" w:cs="宋体"/>
                <w:b w:val="0"/>
              </w:rPr>
              <w:t>三人行</w:t>
            </w:r>
          </w:p>
        </w:tc>
        <w:tc>
          <w:tcPr>
            <w:tcW w:w="0" w:type="dxa"/>
            <w:vAlign w:val="center"/>
          </w:tcPr>
          <w:p>
            <w:pPr>
              <w:spacing w:line="240" w:lineRule="auto"/>
              <w:jc w:val="right"/>
            </w:pPr>
            <w:r>
              <w:rPr>
                <w:rFonts w:ascii="宋体" w:hAnsi="宋体" w:eastAsia="宋体" w:cs="宋体"/>
                <w:b w:val="0"/>
              </w:rPr>
              <w:t>781,965</w:t>
            </w:r>
          </w:p>
        </w:tc>
        <w:tc>
          <w:tcPr>
            <w:tcW w:w="0" w:type="dxa"/>
            <w:vAlign w:val="center"/>
          </w:tcPr>
          <w:p>
            <w:pPr>
              <w:spacing w:line="240" w:lineRule="auto"/>
              <w:jc w:val="right"/>
            </w:pPr>
            <w:r>
              <w:rPr>
                <w:rFonts w:ascii="宋体" w:hAnsi="宋体" w:eastAsia="宋体" w:cs="宋体"/>
                <w:b w:val="0"/>
              </w:rPr>
              <w:t>39,598,707.60</w:t>
            </w:r>
          </w:p>
        </w:tc>
        <w:tc>
          <w:tcPr>
            <w:tcW w:w="0" w:type="dxa"/>
            <w:vAlign w:val="center"/>
          </w:tcPr>
          <w:p>
            <w:pPr>
              <w:spacing w:line="240" w:lineRule="auto"/>
              <w:jc w:val="right"/>
            </w:pPr>
            <w:r>
              <w:rPr>
                <w:rFonts w:ascii="宋体" w:hAnsi="宋体" w:eastAsia="宋体" w:cs="宋体"/>
                <w:b w:val="0"/>
              </w:rPr>
              <w:t>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300209</w:t>
            </w:r>
          </w:p>
        </w:tc>
        <w:tc>
          <w:tcPr>
            <w:tcW w:w="0" w:type="dxa"/>
            <w:vAlign w:val="center"/>
          </w:tcPr>
          <w:p>
            <w:pPr>
              <w:spacing w:line="240" w:lineRule="auto"/>
              <w:jc w:val="left"/>
            </w:pPr>
            <w:r>
              <w:rPr>
                <w:rFonts w:ascii="宋体" w:hAnsi="宋体" w:eastAsia="宋体" w:cs="宋体"/>
                <w:b w:val="0"/>
              </w:rPr>
              <w:t>行云科技</w:t>
            </w:r>
          </w:p>
        </w:tc>
        <w:tc>
          <w:tcPr>
            <w:tcW w:w="0" w:type="dxa"/>
            <w:vAlign w:val="center"/>
          </w:tcPr>
          <w:p>
            <w:pPr>
              <w:spacing w:line="240" w:lineRule="auto"/>
              <w:jc w:val="right"/>
            </w:pPr>
            <w:r>
              <w:rPr>
                <w:rFonts w:ascii="宋体" w:hAnsi="宋体" w:eastAsia="宋体" w:cs="宋体"/>
                <w:b w:val="0"/>
              </w:rPr>
              <w:t>1,323,900</w:t>
            </w:r>
          </w:p>
        </w:tc>
        <w:tc>
          <w:tcPr>
            <w:tcW w:w="0" w:type="dxa"/>
            <w:vAlign w:val="center"/>
          </w:tcPr>
          <w:p>
            <w:pPr>
              <w:spacing w:line="240" w:lineRule="auto"/>
              <w:jc w:val="right"/>
            </w:pPr>
            <w:r>
              <w:rPr>
                <w:rFonts w:ascii="宋体" w:hAnsi="宋体" w:eastAsia="宋体" w:cs="宋体"/>
                <w:b w:val="0"/>
              </w:rPr>
              <w:t>38,326,905.00</w:t>
            </w:r>
          </w:p>
        </w:tc>
        <w:tc>
          <w:tcPr>
            <w:tcW w:w="0" w:type="dxa"/>
            <w:vAlign w:val="center"/>
          </w:tcPr>
          <w:p>
            <w:pPr>
              <w:spacing w:line="240" w:lineRule="auto"/>
              <w:jc w:val="right"/>
            </w:pPr>
            <w:r>
              <w:rPr>
                <w:rFonts w:ascii="宋体" w:hAnsi="宋体" w:eastAsia="宋体" w:cs="宋体"/>
                <w:b w:val="0"/>
              </w:rPr>
              <w:t>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002929</w:t>
            </w:r>
          </w:p>
        </w:tc>
        <w:tc>
          <w:tcPr>
            <w:tcW w:w="0" w:type="dxa"/>
            <w:vAlign w:val="center"/>
          </w:tcPr>
          <w:p>
            <w:pPr>
              <w:spacing w:line="240" w:lineRule="auto"/>
              <w:jc w:val="left"/>
            </w:pPr>
            <w:r>
              <w:rPr>
                <w:rFonts w:ascii="宋体" w:hAnsi="宋体" w:eastAsia="宋体" w:cs="宋体"/>
                <w:b w:val="0"/>
              </w:rPr>
              <w:t>润建股份</w:t>
            </w:r>
          </w:p>
        </w:tc>
        <w:tc>
          <w:tcPr>
            <w:tcW w:w="0" w:type="dxa"/>
            <w:vAlign w:val="center"/>
          </w:tcPr>
          <w:p>
            <w:pPr>
              <w:spacing w:line="240" w:lineRule="auto"/>
              <w:jc w:val="right"/>
            </w:pPr>
            <w:r>
              <w:rPr>
                <w:rFonts w:ascii="宋体" w:hAnsi="宋体" w:eastAsia="宋体" w:cs="宋体"/>
                <w:b w:val="0"/>
              </w:rPr>
              <w:t>523,537</w:t>
            </w:r>
          </w:p>
        </w:tc>
        <w:tc>
          <w:tcPr>
            <w:tcW w:w="0" w:type="dxa"/>
            <w:vAlign w:val="center"/>
          </w:tcPr>
          <w:p>
            <w:pPr>
              <w:spacing w:line="240" w:lineRule="auto"/>
              <w:jc w:val="right"/>
            </w:pPr>
            <w:r>
              <w:rPr>
                <w:rFonts w:ascii="宋体" w:hAnsi="宋体" w:eastAsia="宋体" w:cs="宋体"/>
                <w:b w:val="0"/>
              </w:rPr>
              <w:t>35,014,154.56</w:t>
            </w:r>
          </w:p>
        </w:tc>
        <w:tc>
          <w:tcPr>
            <w:tcW w:w="0" w:type="dxa"/>
            <w:vAlign w:val="center"/>
          </w:tcPr>
          <w:p>
            <w:pPr>
              <w:spacing w:line="240" w:lineRule="auto"/>
              <w:jc w:val="right"/>
            </w:pPr>
            <w:r>
              <w:rPr>
                <w:rFonts w:ascii="宋体" w:hAnsi="宋体" w:eastAsia="宋体" w:cs="宋体"/>
                <w:b w:val="0"/>
              </w:rPr>
              <w:t>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300687</w:t>
            </w:r>
          </w:p>
        </w:tc>
        <w:tc>
          <w:tcPr>
            <w:tcW w:w="0" w:type="dxa"/>
            <w:vAlign w:val="center"/>
          </w:tcPr>
          <w:p>
            <w:pPr>
              <w:spacing w:line="240" w:lineRule="auto"/>
              <w:jc w:val="left"/>
            </w:pPr>
            <w:r>
              <w:rPr>
                <w:rFonts w:ascii="宋体" w:hAnsi="宋体" w:eastAsia="宋体" w:cs="宋体"/>
                <w:b w:val="0"/>
              </w:rPr>
              <w:t>赛意信息</w:t>
            </w:r>
          </w:p>
        </w:tc>
        <w:tc>
          <w:tcPr>
            <w:tcW w:w="0" w:type="dxa"/>
            <w:vAlign w:val="center"/>
          </w:tcPr>
          <w:p>
            <w:pPr>
              <w:spacing w:line="240" w:lineRule="auto"/>
              <w:jc w:val="right"/>
            </w:pPr>
            <w:r>
              <w:rPr>
                <w:rFonts w:ascii="宋体" w:hAnsi="宋体" w:eastAsia="宋体" w:cs="宋体"/>
                <w:b w:val="0"/>
              </w:rPr>
              <w:t>1,031,500</w:t>
            </w:r>
          </w:p>
        </w:tc>
        <w:tc>
          <w:tcPr>
            <w:tcW w:w="0" w:type="dxa"/>
            <w:vAlign w:val="center"/>
          </w:tcPr>
          <w:p>
            <w:pPr>
              <w:spacing w:line="240" w:lineRule="auto"/>
              <w:jc w:val="right"/>
            </w:pPr>
            <w:r>
              <w:rPr>
                <w:rFonts w:ascii="宋体" w:hAnsi="宋体" w:eastAsia="宋体" w:cs="宋体"/>
                <w:b w:val="0"/>
              </w:rPr>
              <w:t>31,976,500.00</w:t>
            </w:r>
          </w:p>
        </w:tc>
        <w:tc>
          <w:tcPr>
            <w:tcW w:w="0" w:type="dxa"/>
            <w:vAlign w:val="center"/>
          </w:tcPr>
          <w:p>
            <w:pPr>
              <w:spacing w:line="240" w:lineRule="auto"/>
              <w:jc w:val="right"/>
            </w:pPr>
            <w:r>
              <w:rPr>
                <w:rFonts w:ascii="宋体" w:hAnsi="宋体" w:eastAsia="宋体" w:cs="宋体"/>
                <w:b w:val="0"/>
              </w:rPr>
              <w:t>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02513</w:t>
            </w:r>
          </w:p>
        </w:tc>
        <w:tc>
          <w:tcPr>
            <w:tcW w:w="0" w:type="dxa"/>
            <w:vAlign w:val="center"/>
          </w:tcPr>
          <w:p>
            <w:pPr>
              <w:spacing w:line="240" w:lineRule="auto"/>
              <w:jc w:val="left"/>
            </w:pPr>
            <w:r>
              <w:rPr>
                <w:rFonts w:ascii="宋体" w:hAnsi="宋体" w:eastAsia="宋体" w:cs="宋体"/>
                <w:b w:val="0"/>
              </w:rPr>
              <w:t>智谱</w:t>
            </w:r>
          </w:p>
        </w:tc>
        <w:tc>
          <w:tcPr>
            <w:tcW w:w="0" w:type="dxa"/>
            <w:vAlign w:val="center"/>
          </w:tcPr>
          <w:p>
            <w:pPr>
              <w:spacing w:line="240" w:lineRule="auto"/>
              <w:jc w:val="right"/>
            </w:pPr>
            <w:r>
              <w:rPr>
                <w:rFonts w:ascii="宋体" w:hAnsi="宋体" w:eastAsia="宋体" w:cs="宋体"/>
                <w:b w:val="0"/>
              </w:rPr>
              <w:t>16,600</w:t>
            </w:r>
          </w:p>
        </w:tc>
        <w:tc>
          <w:tcPr>
            <w:tcW w:w="0" w:type="dxa"/>
            <w:vAlign w:val="center"/>
          </w:tcPr>
          <w:p>
            <w:pPr>
              <w:spacing w:line="240" w:lineRule="auto"/>
              <w:jc w:val="right"/>
            </w:pPr>
            <w:r>
              <w:rPr>
                <w:rFonts w:ascii="宋体" w:hAnsi="宋体" w:eastAsia="宋体" w:cs="宋体"/>
                <w:b w:val="0"/>
              </w:rPr>
              <w:t>30,335,324.72</w:t>
            </w:r>
          </w:p>
        </w:tc>
        <w:tc>
          <w:tcPr>
            <w:tcW w:w="0" w:type="dxa"/>
            <w:vAlign w:val="center"/>
          </w:tcPr>
          <w:p>
            <w:pPr>
              <w:spacing w:line="240" w:lineRule="auto"/>
              <w:jc w:val="right"/>
            </w:pPr>
            <w:r>
              <w:rPr>
                <w:rFonts w:ascii="宋体" w:hAnsi="宋体" w:eastAsia="宋体" w:cs="宋体"/>
                <w:b w:val="0"/>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002290</w:t>
            </w:r>
          </w:p>
        </w:tc>
        <w:tc>
          <w:tcPr>
            <w:tcW w:w="0" w:type="dxa"/>
            <w:vAlign w:val="center"/>
          </w:tcPr>
          <w:p>
            <w:pPr>
              <w:spacing w:line="240" w:lineRule="auto"/>
              <w:jc w:val="left"/>
            </w:pPr>
            <w:r>
              <w:rPr>
                <w:rFonts w:ascii="宋体" w:hAnsi="宋体" w:eastAsia="宋体" w:cs="宋体"/>
                <w:b w:val="0"/>
              </w:rPr>
              <w:t>禾盛新材</w:t>
            </w:r>
          </w:p>
        </w:tc>
        <w:tc>
          <w:tcPr>
            <w:tcW w:w="0" w:type="dxa"/>
            <w:vAlign w:val="center"/>
          </w:tcPr>
          <w:p>
            <w:pPr>
              <w:spacing w:line="240" w:lineRule="auto"/>
              <w:jc w:val="right"/>
            </w:pPr>
            <w:r>
              <w:rPr>
                <w:rFonts w:ascii="宋体" w:hAnsi="宋体" w:eastAsia="宋体" w:cs="宋体"/>
                <w:b w:val="0"/>
              </w:rPr>
              <w:t>326,600</w:t>
            </w:r>
          </w:p>
        </w:tc>
        <w:tc>
          <w:tcPr>
            <w:tcW w:w="0" w:type="dxa"/>
            <w:vAlign w:val="center"/>
          </w:tcPr>
          <w:p>
            <w:pPr>
              <w:spacing w:line="240" w:lineRule="auto"/>
              <w:jc w:val="right"/>
            </w:pPr>
            <w:r>
              <w:rPr>
                <w:rFonts w:ascii="宋体" w:hAnsi="宋体" w:eastAsia="宋体" w:cs="宋体"/>
                <w:b w:val="0"/>
              </w:rPr>
              <w:t>30,004,742.00</w:t>
            </w:r>
          </w:p>
        </w:tc>
        <w:tc>
          <w:tcPr>
            <w:tcW w:w="0" w:type="dxa"/>
            <w:vAlign w:val="center"/>
          </w:tcPr>
          <w:p>
            <w:pPr>
              <w:spacing w:line="240" w:lineRule="auto"/>
              <w:jc w:val="right"/>
            </w:pPr>
            <w:r>
              <w:rPr>
                <w:rFonts w:ascii="宋体" w:hAnsi="宋体" w:eastAsia="宋体" w:cs="宋体"/>
                <w:b w:val="0"/>
              </w:rPr>
              <w:t>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10</w:t>
            </w:r>
          </w:p>
        </w:tc>
        <w:tc>
          <w:tcPr>
            <w:tcW w:w="0" w:type="dxa"/>
            <w:vAlign w:val="center"/>
          </w:tcPr>
          <w:p>
            <w:pPr>
              <w:spacing w:line="240" w:lineRule="auto"/>
              <w:jc w:val="left"/>
            </w:pPr>
            <w:r>
              <w:rPr>
                <w:rFonts w:ascii="宋体" w:hAnsi="宋体" w:eastAsia="宋体" w:cs="宋体"/>
                <w:b w:val="0"/>
              </w:rPr>
              <w:t>002335</w:t>
            </w:r>
          </w:p>
        </w:tc>
        <w:tc>
          <w:tcPr>
            <w:tcW w:w="0" w:type="dxa"/>
            <w:vAlign w:val="center"/>
          </w:tcPr>
          <w:p>
            <w:pPr>
              <w:spacing w:line="240" w:lineRule="auto"/>
              <w:jc w:val="left"/>
            </w:pPr>
            <w:r>
              <w:rPr>
                <w:rFonts w:ascii="宋体" w:hAnsi="宋体" w:eastAsia="宋体" w:cs="宋体"/>
                <w:b w:val="0"/>
              </w:rPr>
              <w:t>科华数据</w:t>
            </w:r>
          </w:p>
        </w:tc>
        <w:tc>
          <w:tcPr>
            <w:tcW w:w="0" w:type="dxa"/>
            <w:vAlign w:val="center"/>
          </w:tcPr>
          <w:p>
            <w:pPr>
              <w:spacing w:line="240" w:lineRule="auto"/>
              <w:jc w:val="right"/>
            </w:pPr>
            <w:r>
              <w:rPr>
                <w:rFonts w:ascii="宋体" w:hAnsi="宋体" w:eastAsia="宋体" w:cs="宋体"/>
                <w:b w:val="0"/>
              </w:rPr>
              <w:t>641,800</w:t>
            </w:r>
          </w:p>
        </w:tc>
        <w:tc>
          <w:tcPr>
            <w:tcW w:w="0" w:type="dxa"/>
            <w:vAlign w:val="center"/>
          </w:tcPr>
          <w:p>
            <w:pPr>
              <w:spacing w:line="240" w:lineRule="auto"/>
              <w:jc w:val="right"/>
            </w:pPr>
            <w:r>
              <w:rPr>
                <w:rFonts w:ascii="宋体" w:hAnsi="宋体" w:eastAsia="宋体" w:cs="宋体"/>
                <w:b w:val="0"/>
              </w:rPr>
              <w:t>27,244,410.00</w:t>
            </w:r>
          </w:p>
        </w:tc>
        <w:tc>
          <w:tcPr>
            <w:tcW w:w="0" w:type="dxa"/>
            <w:vAlign w:val="center"/>
          </w:tcPr>
          <w:p>
            <w:pPr>
              <w:spacing w:line="240" w:lineRule="auto"/>
              <w:jc w:val="right"/>
            </w:pPr>
            <w:r>
              <w:rPr>
                <w:rFonts w:ascii="宋体" w:hAnsi="宋体" w:eastAsia="宋体" w:cs="宋体"/>
                <w:b w:val="0"/>
              </w:rPr>
              <w:t>5.27</w:t>
            </w:r>
          </w:p>
        </w:tc>
      </w:tr>
    </w:tbl>
    <w:p/>
    <w:p>
      <w:pPr>
        <w:pStyle w:val="3"/>
        <w:jc w:val="left"/>
      </w:pPr>
      <w:r>
        <w:rPr>
          <w:rFonts w:ascii="宋体" w:hAnsi="宋体" w:eastAsia="宋体" w:cs="宋体"/>
        </w:rPr>
        <w:t>5.4 报告期末按债券品种分类的债券投资组合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3571"/>
        <w:gridCol w:w="1786"/>
        <w:gridCol w:w="2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1538" w:type="pct"/>
            <w:shd w:val="clear" w:color="auto" w:fill="D9D9D9"/>
            <w:vAlign w:val="center"/>
          </w:tcPr>
          <w:p>
            <w:pPr>
              <w:spacing w:line="240" w:lineRule="auto"/>
              <w:jc w:val="center"/>
            </w:pPr>
            <w:r>
              <w:rPr>
                <w:rFonts w:ascii="宋体" w:hAnsi="宋体" w:eastAsia="宋体" w:cs="宋体"/>
                <w:b w:val="0"/>
              </w:rPr>
              <w:t>债券品种</w:t>
            </w:r>
          </w:p>
        </w:tc>
        <w:tc>
          <w:tcPr>
            <w:tcW w:w="769" w:type="pct"/>
            <w:shd w:val="clear" w:color="auto" w:fill="D9D9D9"/>
            <w:vAlign w:val="center"/>
          </w:tcPr>
          <w:p>
            <w:pPr>
              <w:spacing w:line="240" w:lineRule="auto"/>
              <w:jc w:val="center"/>
            </w:pPr>
            <w:r>
              <w:rPr>
                <w:rFonts w:ascii="宋体" w:hAnsi="宋体" w:eastAsia="宋体" w:cs="宋体"/>
                <w:b w:val="0"/>
              </w:rPr>
              <w:t>公允价值(元)</w:t>
            </w:r>
          </w:p>
        </w:tc>
        <w:tc>
          <w:tcPr>
            <w:tcW w:w="1077"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国家债券</w:t>
            </w:r>
          </w:p>
        </w:tc>
        <w:tc>
          <w:tcPr>
            <w:tcW w:w="0" w:type="dxa"/>
            <w:vAlign w:val="center"/>
          </w:tcPr>
          <w:p>
            <w:pPr>
              <w:spacing w:line="240" w:lineRule="auto"/>
              <w:jc w:val="right"/>
            </w:pPr>
            <w:r>
              <w:rPr>
                <w:rFonts w:ascii="宋体" w:hAnsi="宋体" w:eastAsia="宋体" w:cs="宋体"/>
                <w:b w:val="0"/>
              </w:rPr>
              <w:t>28,787,401.18</w:t>
            </w:r>
          </w:p>
        </w:tc>
        <w:tc>
          <w:tcPr>
            <w:tcW w:w="0" w:type="dxa"/>
            <w:vAlign w:val="center"/>
          </w:tcPr>
          <w:p>
            <w:pPr>
              <w:spacing w:line="240" w:lineRule="auto"/>
              <w:jc w:val="right"/>
            </w:pPr>
            <w:r>
              <w:rPr>
                <w:rFonts w:ascii="宋体" w:hAnsi="宋体" w:eastAsia="宋体" w:cs="宋体"/>
                <w:b w:val="0"/>
              </w:rPr>
              <w:t>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央行票据</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金融债券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其中：政策性金融债</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企业债券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企业短期融资券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中期票据</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可转债（可交换债）</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同业存单</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其他</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10</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28,787,401.18</w:t>
            </w:r>
          </w:p>
        </w:tc>
        <w:tc>
          <w:tcPr>
            <w:tcW w:w="0" w:type="dxa"/>
            <w:vAlign w:val="center"/>
          </w:tcPr>
          <w:p>
            <w:pPr>
              <w:spacing w:line="240" w:lineRule="auto"/>
              <w:jc w:val="right"/>
            </w:pPr>
            <w:r>
              <w:rPr>
                <w:rFonts w:ascii="宋体" w:hAnsi="宋体" w:eastAsia="宋体" w:cs="宋体"/>
                <w:b w:val="0"/>
              </w:rPr>
              <w:t>5.57</w:t>
            </w:r>
          </w:p>
        </w:tc>
      </w:tr>
    </w:tbl>
    <w:p/>
    <w:p>
      <w:pPr>
        <w:pStyle w:val="3"/>
        <w:jc w:val="left"/>
      </w:pPr>
      <w:r>
        <w:rPr>
          <w:rFonts w:ascii="宋体" w:hAnsi="宋体" w:eastAsia="宋体" w:cs="宋体"/>
        </w:rPr>
        <w:t>5.5 报告期末按公允价值占基金资产净值比例大小排序的前五名债券投资明细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769" w:type="pct"/>
            <w:shd w:val="clear" w:color="auto" w:fill="D9D9D9"/>
            <w:vAlign w:val="center"/>
          </w:tcPr>
          <w:p>
            <w:pPr>
              <w:spacing w:line="240" w:lineRule="auto"/>
              <w:jc w:val="center"/>
            </w:pPr>
            <w:r>
              <w:rPr>
                <w:rFonts w:ascii="宋体" w:hAnsi="宋体" w:eastAsia="宋体" w:cs="宋体"/>
                <w:b w:val="0"/>
              </w:rPr>
              <w:t>债券代码</w:t>
            </w:r>
          </w:p>
        </w:tc>
        <w:tc>
          <w:tcPr>
            <w:tcW w:w="769" w:type="pct"/>
            <w:shd w:val="clear" w:color="auto" w:fill="D9D9D9"/>
            <w:vAlign w:val="center"/>
          </w:tcPr>
          <w:p>
            <w:pPr>
              <w:spacing w:line="240" w:lineRule="auto"/>
              <w:jc w:val="center"/>
            </w:pPr>
            <w:r>
              <w:rPr>
                <w:rFonts w:ascii="宋体" w:hAnsi="宋体" w:eastAsia="宋体" w:cs="宋体"/>
                <w:b w:val="0"/>
              </w:rPr>
              <w:t>债券名称</w:t>
            </w:r>
          </w:p>
        </w:tc>
        <w:tc>
          <w:tcPr>
            <w:tcW w:w="615" w:type="pct"/>
            <w:shd w:val="clear" w:color="auto" w:fill="D9D9D9"/>
            <w:vAlign w:val="center"/>
          </w:tcPr>
          <w:p>
            <w:pPr>
              <w:spacing w:line="240" w:lineRule="auto"/>
              <w:jc w:val="center"/>
            </w:pPr>
            <w:r>
              <w:rPr>
                <w:rFonts w:ascii="宋体" w:hAnsi="宋体" w:eastAsia="宋体" w:cs="宋体"/>
                <w:b w:val="0"/>
              </w:rPr>
              <w:t>数量(张)</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923"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019792</w:t>
            </w:r>
          </w:p>
        </w:tc>
        <w:tc>
          <w:tcPr>
            <w:tcW w:w="0" w:type="dxa"/>
            <w:vAlign w:val="center"/>
          </w:tcPr>
          <w:p>
            <w:pPr>
              <w:spacing w:line="240" w:lineRule="auto"/>
              <w:jc w:val="left"/>
            </w:pPr>
            <w:r>
              <w:rPr>
                <w:rFonts w:ascii="宋体" w:hAnsi="宋体" w:eastAsia="宋体" w:cs="宋体"/>
                <w:b w:val="0"/>
              </w:rPr>
              <w:t>25国债19</w:t>
            </w:r>
          </w:p>
        </w:tc>
        <w:tc>
          <w:tcPr>
            <w:tcW w:w="0" w:type="dxa"/>
            <w:vAlign w:val="center"/>
          </w:tcPr>
          <w:p>
            <w:pPr>
              <w:spacing w:line="240" w:lineRule="auto"/>
              <w:jc w:val="right"/>
            </w:pPr>
            <w:r>
              <w:rPr>
                <w:rFonts w:ascii="宋体" w:hAnsi="宋体" w:eastAsia="宋体" w:cs="宋体"/>
                <w:b w:val="0"/>
              </w:rPr>
              <w:t>256,000</w:t>
            </w:r>
          </w:p>
        </w:tc>
        <w:tc>
          <w:tcPr>
            <w:tcW w:w="0" w:type="dxa"/>
            <w:vAlign w:val="center"/>
          </w:tcPr>
          <w:p>
            <w:pPr>
              <w:spacing w:line="240" w:lineRule="auto"/>
              <w:jc w:val="right"/>
            </w:pPr>
            <w:r>
              <w:rPr>
                <w:rFonts w:ascii="宋体" w:hAnsi="宋体" w:eastAsia="宋体" w:cs="宋体"/>
                <w:b w:val="0"/>
              </w:rPr>
              <w:t>25,868,603.62</w:t>
            </w:r>
          </w:p>
        </w:tc>
        <w:tc>
          <w:tcPr>
            <w:tcW w:w="0" w:type="dxa"/>
            <w:vAlign w:val="center"/>
          </w:tcPr>
          <w:p>
            <w:pPr>
              <w:spacing w:line="240" w:lineRule="auto"/>
              <w:jc w:val="right"/>
            </w:pPr>
            <w:r>
              <w:rPr>
                <w:rFonts w:ascii="宋体" w:hAnsi="宋体" w:eastAsia="宋体" w:cs="宋体"/>
                <w:b w:val="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019827</w:t>
            </w:r>
          </w:p>
        </w:tc>
        <w:tc>
          <w:tcPr>
            <w:tcW w:w="0" w:type="dxa"/>
            <w:vAlign w:val="center"/>
          </w:tcPr>
          <w:p>
            <w:pPr>
              <w:spacing w:line="240" w:lineRule="auto"/>
              <w:jc w:val="left"/>
            </w:pPr>
            <w:r>
              <w:rPr>
                <w:rFonts w:ascii="宋体" w:hAnsi="宋体" w:eastAsia="宋体" w:cs="宋体"/>
                <w:b w:val="0"/>
              </w:rPr>
              <w:t>26国债01</w:t>
            </w:r>
          </w:p>
        </w:tc>
        <w:tc>
          <w:tcPr>
            <w:tcW w:w="0" w:type="dxa"/>
            <w:vAlign w:val="center"/>
          </w:tcPr>
          <w:p>
            <w:pPr>
              <w:spacing w:line="240" w:lineRule="auto"/>
              <w:jc w:val="right"/>
            </w:pPr>
            <w:r>
              <w:rPr>
                <w:rFonts w:ascii="宋体" w:hAnsi="宋体" w:eastAsia="宋体" w:cs="宋体"/>
                <w:b w:val="0"/>
              </w:rPr>
              <w:t>29,000</w:t>
            </w:r>
          </w:p>
        </w:tc>
        <w:tc>
          <w:tcPr>
            <w:tcW w:w="0" w:type="dxa"/>
            <w:vAlign w:val="center"/>
          </w:tcPr>
          <w:p>
            <w:pPr>
              <w:spacing w:line="240" w:lineRule="auto"/>
              <w:jc w:val="right"/>
            </w:pPr>
            <w:r>
              <w:rPr>
                <w:rFonts w:ascii="宋体" w:hAnsi="宋体" w:eastAsia="宋体" w:cs="宋体"/>
                <w:b w:val="0"/>
              </w:rPr>
              <w:t>2,918,797.56</w:t>
            </w:r>
          </w:p>
        </w:tc>
        <w:tc>
          <w:tcPr>
            <w:tcW w:w="0" w:type="dxa"/>
            <w:vAlign w:val="center"/>
          </w:tcPr>
          <w:p>
            <w:pPr>
              <w:spacing w:line="240" w:lineRule="auto"/>
              <w:jc w:val="right"/>
            </w:pPr>
            <w:r>
              <w:rPr>
                <w:rFonts w:ascii="宋体" w:hAnsi="宋体" w:eastAsia="宋体" w:cs="宋体"/>
                <w:b w:val="0"/>
              </w:rPr>
              <w:t>0.56</w:t>
            </w:r>
          </w:p>
        </w:tc>
      </w:tr>
    </w:tbl>
    <w:p>
      <w:r>
        <w:rPr>
          <w:rFonts w:ascii="宋体" w:hAnsi="宋体" w:eastAsia="宋体" w:cs="宋体"/>
          <w:b w:val="0"/>
        </w:rPr>
        <w:t>注：本基金本报告期末仅持有上述债券。</w:t>
      </w:r>
    </w:p>
    <w:p/>
    <w:p>
      <w:pPr>
        <w:pStyle w:val="3"/>
        <w:jc w:val="left"/>
      </w:pPr>
      <w:r>
        <w:rPr>
          <w:rFonts w:ascii="宋体" w:hAnsi="宋体" w:eastAsia="宋体" w:cs="宋体"/>
        </w:rPr>
        <w:t>5.6 报告期末按公允价值占基金资产净值比例大小排序的前十名资产支持证券投资明细</w:t>
      </w:r>
    </w:p>
    <w:p>
      <w:r>
        <w:rPr>
          <w:rFonts w:ascii="宋体" w:hAnsi="宋体" w:eastAsia="宋体" w:cs="宋体"/>
          <w:b w:val="0"/>
        </w:rPr>
        <w:t xml:space="preserve">    本基金本报告期末未持有资产支持证券。</w:t>
      </w:r>
    </w:p>
    <w:p/>
    <w:p>
      <w:pPr>
        <w:pStyle w:val="3"/>
        <w:jc w:val="left"/>
      </w:pPr>
      <w:r>
        <w:rPr>
          <w:rFonts w:ascii="宋体" w:hAnsi="宋体" w:eastAsia="宋体" w:cs="宋体"/>
        </w:rPr>
        <w:t>5.7 报告期末按公允价值占基金资产净值比例大小排序的前五名贵金属投资明细</w:t>
      </w:r>
    </w:p>
    <w:p>
      <w:r>
        <w:rPr>
          <w:rFonts w:ascii="宋体" w:hAnsi="宋体" w:eastAsia="宋体" w:cs="宋体"/>
          <w:b w:val="0"/>
        </w:rPr>
        <w:t xml:space="preserve">    本基金本报告期末未持有贵金属。</w:t>
      </w:r>
    </w:p>
    <w:p/>
    <w:p>
      <w:pPr>
        <w:pStyle w:val="3"/>
        <w:jc w:val="left"/>
      </w:pPr>
      <w:r>
        <w:rPr>
          <w:rFonts w:ascii="宋体" w:hAnsi="宋体" w:eastAsia="宋体" w:cs="宋体"/>
        </w:rPr>
        <w:t>5.8 报告期末按公允价值占基金资产净值比例大小排序的前五名权证投资明细</w:t>
      </w:r>
    </w:p>
    <w:p>
      <w:r>
        <w:rPr>
          <w:rFonts w:ascii="宋体" w:hAnsi="宋体" w:eastAsia="宋体" w:cs="宋体"/>
          <w:b w:val="0"/>
        </w:rPr>
        <w:t xml:space="preserve">    本基金本报告期末未持有权证。</w:t>
      </w:r>
    </w:p>
    <w:p/>
    <w:p>
      <w:pPr>
        <w:pStyle w:val="3"/>
        <w:jc w:val="left"/>
      </w:pPr>
      <w:r>
        <w:rPr>
          <w:rFonts w:ascii="宋体" w:hAnsi="宋体" w:eastAsia="宋体" w:cs="宋体"/>
        </w:rPr>
        <w:t>5.9 报告期末本基金投资的股指期货交易情况说明</w:t>
      </w:r>
    </w:p>
    <w:p>
      <w:r>
        <w:rPr>
          <w:rFonts w:ascii="宋体" w:hAnsi="宋体" w:eastAsia="宋体" w:cs="宋体"/>
          <w:b w:val="0"/>
        </w:rPr>
        <w:t xml:space="preserve">    本基金本报告期末未持有股指期货。</w:t>
      </w:r>
    </w:p>
    <w:p/>
    <w:p>
      <w:pPr>
        <w:pStyle w:val="3"/>
        <w:jc w:val="left"/>
      </w:pPr>
      <w:r>
        <w:rPr>
          <w:rFonts w:ascii="宋体" w:hAnsi="宋体" w:eastAsia="宋体" w:cs="宋体"/>
        </w:rPr>
        <w:t>5.10 报告期末本基金投资的国债期货交易情况说明</w:t>
      </w:r>
    </w:p>
    <w:p>
      <w:r>
        <w:rPr>
          <w:rFonts w:ascii="宋体" w:hAnsi="宋体" w:eastAsia="宋体" w:cs="宋体"/>
          <w:b w:val="0"/>
        </w:rPr>
        <w:t xml:space="preserve">    本基金本报告期末未持有国债期货。</w:t>
      </w:r>
    </w:p>
    <w:p/>
    <w:p>
      <w:pPr>
        <w:pStyle w:val="3"/>
        <w:jc w:val="left"/>
      </w:pPr>
      <w:r>
        <w:rPr>
          <w:rFonts w:ascii="宋体" w:hAnsi="宋体" w:eastAsia="宋体" w:cs="宋体"/>
        </w:rPr>
        <w:t>5.11 投资组合报告附注</w:t>
      </w:r>
    </w:p>
    <w:p>
      <w:pPr>
        <w:pStyle w:val="58"/>
      </w:pPr>
      <w:r>
        <w:rPr>
          <w:rFonts w:ascii="宋体" w:hAnsi="宋体" w:eastAsia="宋体" w:cs="宋体"/>
          <w:b/>
        </w:rPr>
        <w:t>5.11.1 本基金投资的前十名证券的发行主体本期受到监管部门立案调查或报告编制日前一年内受到公开谴责、处罚的情形说明</w:t>
      </w:r>
    </w:p>
    <w:p>
      <w:r>
        <w:rPr>
          <w:rFonts w:ascii="宋体" w:hAnsi="宋体" w:eastAsia="宋体" w:cs="宋体"/>
          <w:b w:val="0"/>
        </w:rPr>
        <w:t xml:space="preserve">    本基金投资的前十名证券的发行主体本期未出现被监管部门立案调查，或在报告编制日前一年内受到公开谴责、处罚的情形。</w:t>
      </w:r>
    </w:p>
    <w:p/>
    <w:p>
      <w:pPr>
        <w:pStyle w:val="58"/>
      </w:pPr>
      <w:r>
        <w:rPr>
          <w:rFonts w:ascii="宋体" w:hAnsi="宋体" w:eastAsia="宋体" w:cs="宋体"/>
          <w:b/>
        </w:rPr>
        <w:t>5.11.2 基金投资的前十名股票超出基金合同规定的备选股票库情况的说明</w:t>
      </w:r>
    </w:p>
    <w:p>
      <w:r>
        <w:rPr>
          <w:rFonts w:ascii="宋体" w:hAnsi="宋体" w:eastAsia="宋体" w:cs="宋体"/>
          <w:b w:val="0"/>
        </w:rPr>
        <w:t xml:space="preserve">    基金投资的前十名股票，均为基金合同规定备选股票库之内的股票。</w:t>
      </w:r>
    </w:p>
    <w:p/>
    <w:p>
      <w:pPr>
        <w:pStyle w:val="58"/>
      </w:pPr>
      <w:r>
        <w:rPr>
          <w:rFonts w:ascii="宋体" w:hAnsi="宋体" w:eastAsia="宋体" w:cs="宋体"/>
          <w:b/>
        </w:rPr>
        <w:t>5.11.3 其他资产构成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4804"/>
        <w:gridCol w:w="3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2308" w:type="pct"/>
            <w:shd w:val="clear" w:color="auto" w:fill="D9D9D9"/>
            <w:vAlign w:val="center"/>
          </w:tcPr>
          <w:p>
            <w:pPr>
              <w:spacing w:line="240" w:lineRule="auto"/>
              <w:jc w:val="center"/>
            </w:pPr>
            <w:r>
              <w:rPr>
                <w:rFonts w:ascii="宋体" w:hAnsi="宋体" w:eastAsia="宋体" w:cs="宋体"/>
                <w:b w:val="0"/>
              </w:rPr>
              <w:t>名称</w:t>
            </w:r>
          </w:p>
        </w:tc>
        <w:tc>
          <w:tcPr>
            <w:tcW w:w="1538" w:type="pct"/>
            <w:shd w:val="clear" w:color="auto" w:fill="D9D9D9"/>
            <w:vAlign w:val="center"/>
          </w:tcPr>
          <w:p>
            <w:pPr>
              <w:spacing w:line="240" w:lineRule="auto"/>
              <w:jc w:val="center"/>
            </w:pPr>
            <w:r>
              <w:rPr>
                <w:rFonts w:ascii="宋体" w:hAnsi="宋体" w:eastAsia="宋体" w:cs="宋体"/>
                <w:b w:val="0"/>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存出保证金</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应收证券清算款</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应收股利</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应收利息</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应收申购款</w:t>
            </w:r>
          </w:p>
        </w:tc>
        <w:tc>
          <w:tcPr>
            <w:tcW w:w="0" w:type="dxa"/>
            <w:vAlign w:val="center"/>
          </w:tcPr>
          <w:p>
            <w:pPr>
              <w:spacing w:line="240" w:lineRule="auto"/>
              <w:jc w:val="right"/>
            </w:pPr>
            <w:r>
              <w:rPr>
                <w:rFonts w:ascii="宋体" w:hAnsi="宋体" w:eastAsia="宋体" w:cs="宋体"/>
                <w:b w:val="0"/>
              </w:rPr>
              <w:t>6,102,150.78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其他应收款</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其他</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6,102,150.78</w:t>
            </w:r>
          </w:p>
        </w:tc>
      </w:tr>
    </w:tbl>
    <w:p/>
    <w:p>
      <w:pPr>
        <w:pStyle w:val="58"/>
      </w:pPr>
      <w:r>
        <w:rPr>
          <w:rFonts w:ascii="宋体" w:hAnsi="宋体" w:eastAsia="宋体" w:cs="宋体"/>
          <w:b/>
        </w:rPr>
        <w:t>5.11.4 报告期末持有的处于转股期的可转换债券明细</w:t>
      </w:r>
    </w:p>
    <w:p>
      <w:r>
        <w:rPr>
          <w:rFonts w:ascii="宋体" w:hAnsi="宋体" w:eastAsia="宋体" w:cs="宋体"/>
          <w:b w:val="0"/>
        </w:rPr>
        <w:t xml:space="preserve">    本基金本报告期末未持有处于转股期的可转换债券。</w:t>
      </w:r>
    </w:p>
    <w:p/>
    <w:p>
      <w:pPr>
        <w:pStyle w:val="58"/>
      </w:pPr>
      <w:r>
        <w:rPr>
          <w:rFonts w:ascii="宋体" w:hAnsi="宋体" w:eastAsia="宋体" w:cs="宋体"/>
          <w:b/>
        </w:rPr>
        <w:t>5.11.5 报告期末前十名股票中存在流通受限情况的说明</w:t>
      </w:r>
    </w:p>
    <w:p>
      <w:r>
        <w:rPr>
          <w:rFonts w:ascii="宋体" w:hAnsi="宋体" w:eastAsia="宋体" w:cs="宋体"/>
          <w:b w:val="0"/>
        </w:rPr>
        <w:t xml:space="preserve">    本基金本报告期末前十名股票中不存在流通受限的情况。</w:t>
      </w:r>
    </w:p>
    <w:p/>
    <w:p>
      <w:pPr>
        <w:pStyle w:val="58"/>
      </w:pPr>
      <w:r>
        <w:rPr>
          <w:rFonts w:ascii="宋体" w:hAnsi="宋体" w:eastAsia="宋体" w:cs="宋体"/>
          <w:b/>
        </w:rPr>
        <w:t>5.11.6 投资组合报告附注的其他文字描述部分</w:t>
      </w:r>
    </w:p>
    <w:p>
      <w:r>
        <w:rPr>
          <w:rFonts w:ascii="宋体" w:hAnsi="宋体" w:eastAsia="宋体" w:cs="宋体"/>
          <w:b w:val="0"/>
        </w:rPr>
        <w:t xml:space="preserve">    由于四舍五入原因，分项之和与合计项之间可能存在尾差。</w:t>
      </w:r>
    </w:p>
    <w:p>
      <w:pPr>
        <w:pStyle w:val="2"/>
        <w:jc w:val="center"/>
      </w:pPr>
      <w:r>
        <w:rPr>
          <w:rFonts w:ascii="宋体" w:hAnsi="宋体" w:eastAsia="宋体" w:cs="宋体"/>
        </w:rPr>
        <w:t>§6 开放式基金份额变动</w:t>
      </w:r>
    </w:p>
    <w:p>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pPr>
              <w:spacing w:line="240" w:lineRule="auto"/>
              <w:jc w:val="center"/>
            </w:pPr>
          </w:p>
        </w:tc>
        <w:tc>
          <w:tcPr>
            <w:tcW w:w="1300" w:type="pct"/>
            <w:vAlign w:val="center"/>
          </w:tcPr>
          <w:p>
            <w:pPr>
              <w:spacing w:line="240" w:lineRule="auto"/>
              <w:jc w:val="center"/>
            </w:pPr>
            <w:r>
              <w:rPr>
                <w:rFonts w:ascii="宋体" w:hAnsi="宋体" w:eastAsia="宋体" w:cs="宋体"/>
                <w:b w:val="0"/>
              </w:rPr>
              <w:t>东方阿尔法精选混合A</w:t>
            </w:r>
          </w:p>
        </w:tc>
        <w:tc>
          <w:tcPr>
            <w:tcW w:w="1300" w:type="pct"/>
            <w:vAlign w:val="center"/>
          </w:tcPr>
          <w:p>
            <w:pPr>
              <w:spacing w:line="240" w:lineRule="auto"/>
              <w:jc w:val="center"/>
            </w:pPr>
            <w:r>
              <w:rPr>
                <w:rFonts w:ascii="宋体" w:hAnsi="宋体" w:eastAsia="宋体" w:cs="宋体"/>
                <w:b w:val="0"/>
              </w:rPr>
              <w:t>东方阿尔法精选混合C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报告期期初基金份额总额</w:t>
            </w:r>
          </w:p>
        </w:tc>
        <w:tc>
          <w:tcPr>
            <w:tcW w:w="1300" w:type="pct"/>
            <w:vAlign w:val="center"/>
          </w:tcPr>
          <w:p>
            <w:pPr>
              <w:spacing w:line="240" w:lineRule="auto"/>
              <w:jc w:val="right"/>
            </w:pPr>
            <w:r>
              <w:rPr>
                <w:rFonts w:ascii="宋体" w:hAnsi="宋体" w:eastAsia="宋体" w:cs="宋体"/>
                <w:b w:val="0"/>
              </w:rPr>
              <w:t>133,347,596.04</w:t>
            </w:r>
          </w:p>
        </w:tc>
        <w:tc>
          <w:tcPr>
            <w:tcW w:w="1300" w:type="pct"/>
            <w:vAlign w:val="center"/>
          </w:tcPr>
          <w:p>
            <w:pPr>
              <w:spacing w:line="240" w:lineRule="auto"/>
              <w:jc w:val="right"/>
            </w:pPr>
            <w:r>
              <w:rPr>
                <w:rFonts w:ascii="宋体" w:hAnsi="宋体" w:eastAsia="宋体" w:cs="宋体"/>
                <w:b w:val="0"/>
              </w:rPr>
              <w:t>46,682,474.49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报告期期间基金总申购份额</w:t>
            </w:r>
          </w:p>
        </w:tc>
        <w:tc>
          <w:tcPr>
            <w:tcW w:w="1300" w:type="pct"/>
            <w:vAlign w:val="center"/>
          </w:tcPr>
          <w:p>
            <w:pPr>
              <w:spacing w:line="240" w:lineRule="auto"/>
              <w:jc w:val="right"/>
            </w:pPr>
            <w:r>
              <w:rPr>
                <w:rFonts w:ascii="宋体" w:hAnsi="宋体" w:eastAsia="宋体" w:cs="宋体"/>
                <w:b w:val="0"/>
              </w:rPr>
              <w:t>49,522,109.44</w:t>
            </w:r>
          </w:p>
        </w:tc>
        <w:tc>
          <w:tcPr>
            <w:tcW w:w="1300" w:type="pct"/>
            <w:vAlign w:val="center"/>
          </w:tcPr>
          <w:p>
            <w:pPr>
              <w:spacing w:line="240" w:lineRule="auto"/>
              <w:jc w:val="right"/>
            </w:pPr>
            <w:r>
              <w:rPr>
                <w:rFonts w:ascii="宋体" w:hAnsi="宋体" w:eastAsia="宋体" w:cs="宋体"/>
                <w:b w:val="0"/>
              </w:rPr>
              <w:t>1,730,256,051.09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减：报告期期间基金总赎回份额</w:t>
            </w:r>
          </w:p>
        </w:tc>
        <w:tc>
          <w:tcPr>
            <w:tcW w:w="1300" w:type="pct"/>
            <w:vAlign w:val="center"/>
          </w:tcPr>
          <w:p>
            <w:pPr>
              <w:spacing w:line="240" w:lineRule="auto"/>
              <w:jc w:val="right"/>
            </w:pPr>
            <w:r>
              <w:rPr>
                <w:rFonts w:ascii="宋体" w:hAnsi="宋体" w:eastAsia="宋体" w:cs="宋体"/>
                <w:b w:val="0"/>
              </w:rPr>
              <w:t>46,907,609.19</w:t>
            </w:r>
          </w:p>
        </w:tc>
        <w:tc>
          <w:tcPr>
            <w:tcW w:w="1300" w:type="pct"/>
            <w:vAlign w:val="center"/>
          </w:tcPr>
          <w:p>
            <w:pPr>
              <w:spacing w:line="240" w:lineRule="auto"/>
              <w:jc w:val="right"/>
            </w:pPr>
            <w:r>
              <w:rPr>
                <w:rFonts w:ascii="宋体" w:hAnsi="宋体" w:eastAsia="宋体" w:cs="宋体"/>
                <w:b w:val="0"/>
              </w:rPr>
              <w:t>1,461,794,357.52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报告期期间基金拆分变动份额（份额减少以“-”填列）</w:t>
            </w:r>
          </w:p>
        </w:tc>
        <w:tc>
          <w:tcPr>
            <w:tcW w:w="1300" w:type="pct"/>
            <w:vAlign w:val="center"/>
          </w:tcPr>
          <w:p>
            <w:pPr>
              <w:spacing w:line="240" w:lineRule="auto"/>
              <w:jc w:val="right"/>
            </w:pPr>
            <w:r>
              <w:rPr>
                <w:rFonts w:ascii="宋体" w:hAnsi="宋体" w:eastAsia="宋体" w:cs="宋体"/>
                <w:b w:val="0"/>
              </w:rPr>
              <w:t>-</w:t>
            </w:r>
          </w:p>
        </w:tc>
        <w:tc>
          <w:tcPr>
            <w:tcW w:w="1300" w:type="pct"/>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报告期期末基金份额总额</w:t>
            </w:r>
          </w:p>
        </w:tc>
        <w:tc>
          <w:tcPr>
            <w:tcW w:w="1300" w:type="pct"/>
            <w:vAlign w:val="center"/>
          </w:tcPr>
          <w:p>
            <w:pPr>
              <w:spacing w:line="240" w:lineRule="auto"/>
              <w:jc w:val="right"/>
            </w:pPr>
            <w:r>
              <w:rPr>
                <w:rFonts w:ascii="宋体" w:hAnsi="宋体" w:eastAsia="宋体" w:cs="宋体"/>
                <w:b w:val="0"/>
              </w:rPr>
              <w:t>135,962,096.29</w:t>
            </w:r>
          </w:p>
        </w:tc>
        <w:tc>
          <w:tcPr>
            <w:tcW w:w="1300" w:type="pct"/>
            <w:vAlign w:val="center"/>
          </w:tcPr>
          <w:p>
            <w:pPr>
              <w:spacing w:line="240" w:lineRule="auto"/>
              <w:jc w:val="right"/>
            </w:pPr>
            <w:r>
              <w:rPr>
                <w:rFonts w:ascii="宋体" w:hAnsi="宋体" w:eastAsia="宋体" w:cs="宋体"/>
                <w:b w:val="0"/>
              </w:rPr>
              <w:t>315,144,168.06</w:t>
            </w:r>
          </w:p>
        </w:tc>
      </w:tr>
    </w:tbl>
    <w:p>
      <w:pPr>
        <w:pStyle w:val="2"/>
        <w:jc w:val="center"/>
      </w:pPr>
      <w:r>
        <w:rPr>
          <w:rFonts w:ascii="宋体" w:hAnsi="宋体" w:eastAsia="宋体" w:cs="宋体"/>
        </w:rPr>
        <w:t>§7 基金管理人运用固有资金投资本基金情况</w:t>
      </w:r>
    </w:p>
    <w:p>
      <w:pPr>
        <w:pStyle w:val="3"/>
        <w:jc w:val="left"/>
      </w:pPr>
      <w:r>
        <w:rPr>
          <w:rFonts w:ascii="宋体" w:hAnsi="宋体" w:eastAsia="宋体" w:cs="宋体"/>
        </w:rPr>
        <w:t>7.1 基金管理人持有本基金份额变动情况</w:t>
      </w:r>
    </w:p>
    <w:p>
      <w:r>
        <w:rPr>
          <w:rFonts w:ascii="宋体" w:hAnsi="宋体" w:eastAsia="宋体" w:cs="宋体"/>
          <w:b w:val="0"/>
        </w:rPr>
        <w:t xml:space="preserve">    截至本报告期末，本基金管理人未持有本基金份额。</w:t>
      </w:r>
    </w:p>
    <w:p/>
    <w:p>
      <w:pPr>
        <w:pStyle w:val="3"/>
        <w:jc w:val="left"/>
      </w:pPr>
      <w:r>
        <w:rPr>
          <w:rFonts w:ascii="宋体" w:hAnsi="宋体" w:eastAsia="宋体" w:cs="宋体"/>
        </w:rPr>
        <w:t>7.2 基金管理人运用固有资金投资本基金交易明细</w:t>
      </w:r>
    </w:p>
    <w:p>
      <w:r>
        <w:rPr>
          <w:rFonts w:ascii="宋体" w:hAnsi="宋体" w:eastAsia="宋体" w:cs="宋体"/>
          <w:b w:val="0"/>
        </w:rPr>
        <w:t xml:space="preserve">    本报告期内，本基金管理人未运用固有资金投资本基金。</w:t>
      </w:r>
    </w:p>
    <w:p>
      <w:pPr>
        <w:pStyle w:val="2"/>
        <w:jc w:val="center"/>
      </w:pPr>
      <w:r>
        <w:rPr>
          <w:rFonts w:ascii="宋体" w:hAnsi="宋体" w:eastAsia="宋体" w:cs="宋体"/>
        </w:rPr>
        <w:t>§8 报告期末发起式基金发起资金持有份额情况</w:t>
      </w:r>
    </w:p>
    <w:p>
      <w:r>
        <w:rPr>
          <w:rFonts w:ascii="宋体" w:hAnsi="宋体" w:eastAsia="宋体" w:cs="宋体"/>
          <w:b w:val="0"/>
        </w:rPr>
        <w:t xml:space="preserve">    本基金基金合同于2018年02月08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pPr>
        <w:pStyle w:val="2"/>
        <w:jc w:val="center"/>
      </w:pPr>
      <w:r>
        <w:rPr>
          <w:rFonts w:ascii="宋体" w:hAnsi="宋体" w:eastAsia="宋体" w:cs="宋体"/>
        </w:rPr>
        <w:t>§9 影响投资者决策的其他重要信息</w:t>
      </w:r>
    </w:p>
    <w:p>
      <w:pPr>
        <w:pStyle w:val="3"/>
        <w:jc w:val="left"/>
      </w:pPr>
      <w:r>
        <w:rPr>
          <w:rFonts w:ascii="宋体" w:hAnsi="宋体" w:eastAsia="宋体" w:cs="宋体"/>
        </w:rPr>
        <w:t>9.1 报告期内单一投资者持有基金份额比例达到或超过20%的情况</w:t>
      </w:r>
    </w:p>
    <w:p>
      <w:r>
        <w:rPr>
          <w:rFonts w:ascii="宋体" w:hAnsi="宋体" w:eastAsia="宋体" w:cs="宋体"/>
          <w:b w:val="0"/>
        </w:rPr>
        <w:t xml:space="preserve">    本报告期内，本基金不存在单一投资者持有基金份额比例达到或超过20%的情况。</w:t>
      </w:r>
    </w:p>
    <w:p/>
    <w:p>
      <w:pPr>
        <w:pStyle w:val="3"/>
        <w:jc w:val="left"/>
      </w:pPr>
      <w:r>
        <w:rPr>
          <w:rFonts w:ascii="宋体" w:hAnsi="宋体" w:eastAsia="宋体" w:cs="宋体"/>
        </w:rPr>
        <w:t>9.2 影响投资者决策的其他重要信息</w:t>
      </w:r>
    </w:p>
    <w:p>
      <w:r>
        <w:rPr>
          <w:rFonts w:ascii="宋体" w:hAnsi="宋体" w:eastAsia="宋体" w:cs="宋体"/>
          <w:b w:val="0"/>
        </w:rPr>
        <w:t xml:space="preserve">    无。</w:t>
      </w:r>
    </w:p>
    <w:p>
      <w:pPr>
        <w:pStyle w:val="2"/>
        <w:jc w:val="center"/>
      </w:pPr>
      <w:r>
        <w:rPr>
          <w:rFonts w:ascii="宋体" w:hAnsi="宋体" w:eastAsia="宋体" w:cs="宋体"/>
        </w:rPr>
        <w:t>§10 备查文件目录</w:t>
      </w:r>
    </w:p>
    <w:p>
      <w:pPr>
        <w:pStyle w:val="3"/>
        <w:jc w:val="left"/>
      </w:pPr>
      <w:r>
        <w:rPr>
          <w:rFonts w:ascii="宋体" w:hAnsi="宋体" w:eastAsia="宋体" w:cs="宋体"/>
        </w:rPr>
        <w:t>10.1 备查文件目录</w:t>
      </w:r>
    </w:p>
    <w:p>
      <w:r>
        <w:rPr>
          <w:rFonts w:ascii="宋体" w:hAnsi="宋体" w:eastAsia="宋体" w:cs="宋体"/>
          <w:b w:val="0"/>
        </w:rPr>
        <w:t xml:space="preserve">    1、中国证券监督管理委员会批准的东方阿尔法精选灵活配置混合型发起式证券投资基金设立的文件；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2、《东方阿尔法精选灵活配置混合型发起式证券投资基金基金合同》；</w:t>
      </w:r>
      <w:r>
        <w:rPr>
          <w:rFonts w:ascii="宋体" w:hAnsi="宋体" w:eastAsia="宋体" w:cs="宋体"/>
          <w:b w:val="0"/>
        </w:rPr>
        <w:br w:type="textWrapping"/>
      </w:r>
      <w:r>
        <w:rPr>
          <w:rFonts w:ascii="宋体" w:hAnsi="宋体" w:eastAsia="宋体" w:cs="宋体"/>
          <w:b w:val="0"/>
        </w:rPr>
        <w:t xml:space="preserve">    3、《东方阿尔法精选灵活配置混合型发起式证券投资基金托管协议》；</w:t>
      </w:r>
      <w:r>
        <w:rPr>
          <w:rFonts w:ascii="宋体" w:hAnsi="宋体" w:eastAsia="宋体" w:cs="宋体"/>
          <w:b w:val="0"/>
        </w:rPr>
        <w:br w:type="textWrapping"/>
      </w:r>
      <w:r>
        <w:rPr>
          <w:rFonts w:ascii="宋体" w:hAnsi="宋体" w:eastAsia="宋体" w:cs="宋体"/>
          <w:b w:val="0"/>
        </w:rPr>
        <w:t xml:space="preserve">    4、《东方阿尔法精选灵活配置混合型发起式证券投资基金招募说明书》（含更新）；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p>
      <w:pPr>
        <w:pStyle w:val="3"/>
        <w:jc w:val="left"/>
      </w:pPr>
      <w:r>
        <w:rPr>
          <w:rFonts w:ascii="宋体" w:hAnsi="宋体" w:eastAsia="宋体" w:cs="宋体"/>
        </w:rPr>
        <w:t>10.2 存放地点</w:t>
      </w:r>
    </w:p>
    <w:p>
      <w:r>
        <w:rPr>
          <w:rFonts w:ascii="宋体" w:hAnsi="宋体" w:eastAsia="宋体" w:cs="宋体"/>
          <w:b w:val="0"/>
        </w:rPr>
        <w:t xml:space="preserve">    基金管理人和基金托管人的住所。</w:t>
      </w:r>
    </w:p>
    <w:p/>
    <w:p>
      <w:pPr>
        <w:pStyle w:val="3"/>
        <w:jc w:val="left"/>
      </w:pPr>
      <w:r>
        <w:rPr>
          <w:rFonts w:ascii="宋体" w:hAnsi="宋体" w:eastAsia="宋体" w:cs="宋体"/>
        </w:rPr>
        <w:t>10.3 查阅方式</w:t>
      </w:r>
    </w:p>
    <w:p>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p/>
    <w:p/>
    <w:p>
      <w:pPr>
        <w:jc w:val="right"/>
      </w:pPr>
      <w:r>
        <w:rPr>
          <w:rFonts w:ascii="宋体" w:hAnsi="宋体" w:eastAsia="宋体" w:cs="宋体"/>
          <w:b/>
        </w:rPr>
        <w:t>东方阿尔法基金管理有限公司</w:t>
      </w:r>
    </w:p>
    <w:p>
      <w:pPr>
        <w:jc w:val="right"/>
      </w:pPr>
      <w:r>
        <w:rPr>
          <w:rFonts w:ascii="宋体" w:hAnsi="宋体" w:eastAsia="宋体" w:cs="宋体"/>
          <w:b/>
        </w:rPr>
        <w:t>二〇二六年七月二十日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2</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2</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1</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right"/>
      <w:rPr>
        <w:rFonts w:ascii="宋体" w:hAnsi="宋体" w:eastAsia="宋体"/>
      </w:rPr>
    </w:pPr>
    <w:r>
      <w:rPr>
        <w:rFonts w:hint="eastAsia" w:ascii="宋体" w:hAnsi="宋体" w:eastAsia="宋体"/>
        <w:sz w:val="18"/>
      </w:rPr>
      <w:t>东方阿尔法精选灵活配置混合型发起式证券投资基金2026年第2季度报告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31D8B"/>
    <w:rsid w:val="00033BEA"/>
    <w:rsid w:val="00093312"/>
    <w:rsid w:val="000934BF"/>
    <w:rsid w:val="000B0ABB"/>
    <w:rsid w:val="000B14F1"/>
    <w:rsid w:val="000D44F1"/>
    <w:rsid w:val="000F65E0"/>
    <w:rsid w:val="001567AA"/>
    <w:rsid w:val="001663E4"/>
    <w:rsid w:val="001941F0"/>
    <w:rsid w:val="001A0694"/>
    <w:rsid w:val="001A6F82"/>
    <w:rsid w:val="001E49DE"/>
    <w:rsid w:val="001E604E"/>
    <w:rsid w:val="001E72DB"/>
    <w:rsid w:val="00210325"/>
    <w:rsid w:val="00217CEB"/>
    <w:rsid w:val="0026022A"/>
    <w:rsid w:val="00294812"/>
    <w:rsid w:val="002C6A0C"/>
    <w:rsid w:val="002D4665"/>
    <w:rsid w:val="00315609"/>
    <w:rsid w:val="00324653"/>
    <w:rsid w:val="0039693D"/>
    <w:rsid w:val="00396EB6"/>
    <w:rsid w:val="003B4810"/>
    <w:rsid w:val="00421707"/>
    <w:rsid w:val="004245F7"/>
    <w:rsid w:val="00435171"/>
    <w:rsid w:val="0048630B"/>
    <w:rsid w:val="004A5321"/>
    <w:rsid w:val="004F33D8"/>
    <w:rsid w:val="004F7772"/>
    <w:rsid w:val="005037A9"/>
    <w:rsid w:val="00514F66"/>
    <w:rsid w:val="00536F98"/>
    <w:rsid w:val="005370B1"/>
    <w:rsid w:val="0054091C"/>
    <w:rsid w:val="005826D5"/>
    <w:rsid w:val="005B565C"/>
    <w:rsid w:val="005D1F67"/>
    <w:rsid w:val="00657345"/>
    <w:rsid w:val="00686AE6"/>
    <w:rsid w:val="006935A0"/>
    <w:rsid w:val="00695511"/>
    <w:rsid w:val="006C560C"/>
    <w:rsid w:val="007A3B64"/>
    <w:rsid w:val="007B3AFF"/>
    <w:rsid w:val="007F3D78"/>
    <w:rsid w:val="00801225"/>
    <w:rsid w:val="00832DA1"/>
    <w:rsid w:val="008432E9"/>
    <w:rsid w:val="008F2779"/>
    <w:rsid w:val="00917A48"/>
    <w:rsid w:val="0092608A"/>
    <w:rsid w:val="00931CFE"/>
    <w:rsid w:val="009A04DF"/>
    <w:rsid w:val="009A27BD"/>
    <w:rsid w:val="009C2384"/>
    <w:rsid w:val="009C68F3"/>
    <w:rsid w:val="009F43BC"/>
    <w:rsid w:val="00A53CFE"/>
    <w:rsid w:val="00A76644"/>
    <w:rsid w:val="00AB695A"/>
    <w:rsid w:val="00B02205"/>
    <w:rsid w:val="00B659D3"/>
    <w:rsid w:val="00BA1D2B"/>
    <w:rsid w:val="00BB3931"/>
    <w:rsid w:val="00BB5499"/>
    <w:rsid w:val="00BD2190"/>
    <w:rsid w:val="00C05CA1"/>
    <w:rsid w:val="00C06BEF"/>
    <w:rsid w:val="00C1377F"/>
    <w:rsid w:val="00C370BD"/>
    <w:rsid w:val="00C86ED5"/>
    <w:rsid w:val="00CA50CC"/>
    <w:rsid w:val="00CF2DE6"/>
    <w:rsid w:val="00D155B6"/>
    <w:rsid w:val="00D91EBF"/>
    <w:rsid w:val="00DB110D"/>
    <w:rsid w:val="00DE3FE0"/>
    <w:rsid w:val="00E220FA"/>
    <w:rsid w:val="00E44EAD"/>
    <w:rsid w:val="00E6731E"/>
    <w:rsid w:val="00E67AEA"/>
    <w:rsid w:val="00E913D3"/>
    <w:rsid w:val="00EC2CEF"/>
    <w:rsid w:val="00EE18AB"/>
    <w:rsid w:val="00F07C93"/>
    <w:rsid w:val="00F1496B"/>
    <w:rsid w:val="00F32DCB"/>
    <w:rsid w:val="00FA0949"/>
    <w:rsid w:val="00FA22F7"/>
    <w:rsid w:val="00FA6399"/>
    <w:rsid w:val="00FE53D3"/>
    <w:rsid w:val="0C335162"/>
    <w:rsid w:val="17FF4F08"/>
    <w:rsid w:val="312016A7"/>
    <w:rsid w:val="328572ED"/>
    <w:rsid w:val="3E9A1429"/>
    <w:rsid w:val="445765A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unhideWhenUsed/>
    <w:uiPriority w:val="39"/>
    <w:pPr>
      <w:ind w:left="840"/>
      <w:jc w:val="left"/>
    </w:pPr>
    <w:rPr>
      <w:sz w:val="18"/>
      <w:szCs w:val="18"/>
    </w:rPr>
  </w:style>
  <w:style w:type="paragraph" w:styleId="12">
    <w:name w:val="toc 3"/>
    <w:basedOn w:val="1"/>
    <w:next w:val="1"/>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tabs>
        <w:tab w:val="right" w:leader="dot" w:pos="9060"/>
      </w:tabs>
      <w:spacing w:line="240" w:lineRule="auto"/>
      <w:jc w:val="left"/>
    </w:pPr>
    <w:rPr>
      <w:b/>
      <w:bCs/>
      <w:caps/>
      <w:szCs w:val="20"/>
    </w:rPr>
  </w:style>
  <w:style w:type="paragraph" w:styleId="20">
    <w:name w:val="toc 4"/>
    <w:basedOn w:val="1"/>
    <w:next w:val="1"/>
    <w:unhideWhenUsed/>
    <w:uiPriority w:val="39"/>
    <w:pPr>
      <w:ind w:left="630"/>
      <w:jc w:val="left"/>
    </w:pPr>
    <w:rPr>
      <w:sz w:val="18"/>
      <w:szCs w:val="18"/>
    </w:rPr>
  </w:style>
  <w:style w:type="paragraph" w:styleId="21">
    <w:name w:val="toc 6"/>
    <w:basedOn w:val="1"/>
    <w:next w:val="1"/>
    <w:unhideWhenUsed/>
    <w:uiPriority w:val="39"/>
    <w:pPr>
      <w:ind w:left="1050"/>
      <w:jc w:val="left"/>
    </w:pPr>
    <w:rPr>
      <w:sz w:val="18"/>
      <w:szCs w:val="18"/>
    </w:rPr>
  </w:style>
  <w:style w:type="paragraph" w:styleId="22">
    <w:name w:val="toc 2"/>
    <w:basedOn w:val="1"/>
    <w:next w:val="1"/>
    <w:unhideWhenUsed/>
    <w:uiPriority w:val="39"/>
    <w:pPr>
      <w:spacing w:line="240" w:lineRule="auto"/>
      <w:ind w:left="210"/>
      <w:jc w:val="left"/>
    </w:pPr>
    <w:rPr>
      <w:smallCaps/>
      <w:szCs w:val="20"/>
    </w:rPr>
  </w:style>
  <w:style w:type="paragraph" w:styleId="23">
    <w:name w:val="toc 9"/>
    <w:basedOn w:val="1"/>
    <w:next w:val="1"/>
    <w:unhideWhenUsed/>
    <w:uiPriority w:val="39"/>
    <w:pPr>
      <w:ind w:left="1680"/>
      <w:jc w:val="left"/>
    </w:pPr>
    <w:rPr>
      <w:rFonts w:eastAsiaTheme="minorHAnsi"/>
      <w:sz w:val="18"/>
      <w:szCs w:val="18"/>
    </w:rPr>
  </w:style>
  <w:style w:type="paragraph" w:styleId="24">
    <w:name w:val="Normal (Web)"/>
    <w:basedOn w:val="1"/>
    <w:semiHidden/>
    <w:unhideWhenUsed/>
    <w:qFormat/>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qFormat/>
    <w:uiPriority w:val="9"/>
    <w:rPr>
      <w:rFonts w:eastAsia="宋体" w:asciiTheme="majorHAnsi" w:hAnsiTheme="majorHAnsi" w:cstheme="majorBidi"/>
      <w:b/>
      <w:bCs/>
      <w:sz w:val="24"/>
      <w:szCs w:val="32"/>
    </w:rPr>
  </w:style>
  <w:style w:type="character" w:customStyle="1" w:styleId="39">
    <w:name w:val="标题 3 字符"/>
    <w:basedOn w:val="30"/>
    <w:link w:val="4"/>
    <w:qFormat/>
    <w:uiPriority w:val="9"/>
    <w:rPr>
      <w:rFonts w:eastAsia="宋体"/>
      <w:b/>
      <w:bCs/>
      <w:sz w:val="24"/>
      <w:szCs w:val="32"/>
    </w:rPr>
  </w:style>
  <w:style w:type="character" w:customStyle="1" w:styleId="40">
    <w:name w:val="标题 4 字符"/>
    <w:basedOn w:val="30"/>
    <w:link w:val="5"/>
    <w:semiHidden/>
    <w:qFormat/>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qFormat/>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1"/>
    <w:next w:val="1"/>
    <w:qFormat/>
    <w:uiPriority w:val="0"/>
    <w:pPr>
      <w:spacing w:line="240" w:lineRule="auto"/>
      <w:jc w:val="left"/>
    </w:pPr>
    <w:rPr>
      <w:bCs/>
      <w:iCs/>
      <w:cap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90AC41-F1FC-4D08-9FC0-94272FA532B1}">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Words>
  <Characters>139</Characters>
  <Lines>1</Lines>
  <Paragraphs>1</Paragraphs>
  <TotalTime>54</TotalTime>
  <ScaleCrop>false</ScaleCrop>
  <LinksUpToDate>false</LinksUpToDate>
  <CharactersWithSpaces>162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creator>daicz</dc:creator>
  <cp:lastModifiedBy>聪子</cp:lastModifiedBy>
  <dcterms:modified xsi:type="dcterms:W3CDTF">2026-07-14T00:56:12Z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