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东方阿尔法科技优选混合型发起式证券投资基金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中信银行股份有限公司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基金托管人中信银行股份有限公司根据本基金合同规定，于2026年07月14日复核了本报告中的财务指标、净值表现和投资组合报告等内容，保证复核内容不存在虚假记载、误导性陈述或者重大遗漏。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东方阿尔法科技优选混合发起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024423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381,358,247.77份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1、资产配置策略</w:t>
            </w:r>
            <w:r>
              <w:rPr>
                <w:rFonts w:ascii="宋体" w:hAnsi="宋体" w:eastAsia="宋体" w:cs="宋体"/>
                <w:b w:val="0"/>
              </w:rPr>
              <w:br w:type="textWrapping"/>
            </w:r>
            <w:r>
              <w:rPr>
                <w:rFonts w:ascii="宋体" w:hAnsi="宋体" w:eastAsia="宋体" w:cs="宋体"/>
                <w:b w:val="0"/>
              </w:rPr>
              <w:t>本基金结合定性与定量分析经济和市场趋势，评估风险和收益，确定股票、债券、现金等资产的配置比例和调整原则，追求稳定增值，同时持续监控风险并适时调整。</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本基金通过定性与定量结合的积极策略，自下而上精选科技主题股票，构建多元资产组合以实现长期稳健增值。</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9、国债期货投资策略</w:t>
            </w:r>
            <w:r>
              <w:rPr>
                <w:rFonts w:ascii="宋体" w:hAnsi="宋体" w:eastAsia="宋体" w:cs="宋体"/>
                <w:b w:val="0"/>
              </w:rPr>
              <w:br w:type="textWrapping"/>
            </w:r>
            <w:r>
              <w:rPr>
                <w:rFonts w:ascii="宋体" w:hAnsi="宋体" w:eastAsia="宋体" w:cs="宋体"/>
                <w:b w:val="0"/>
              </w:rPr>
              <w:t>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10、股票期权投资策略</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东方阿尔法科技优选混合发起A</w:t>
            </w:r>
          </w:p>
        </w:tc>
        <w:tc>
          <w:tcPr>
            <w:tcW w:w="1500" w:type="pct"/>
            <w:vAlign w:val="center"/>
          </w:tcPr>
          <w:p>
            <w:pPr>
              <w:spacing w:line="240" w:lineRule="auto"/>
              <w:jc w:val="left"/>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024423</w:t>
            </w:r>
          </w:p>
        </w:tc>
        <w:tc>
          <w:tcPr>
            <w:tcW w:w="1500" w:type="pct"/>
            <w:vAlign w:val="center"/>
          </w:tcPr>
          <w:p>
            <w:pPr>
              <w:spacing w:line="240" w:lineRule="auto"/>
              <w:jc w:val="left"/>
            </w:pPr>
            <w:r>
              <w:rPr>
                <w:rFonts w:ascii="宋体" w:hAnsi="宋体" w:eastAsia="宋体" w:cs="宋体"/>
                <w:b w:val="0"/>
              </w:rPr>
              <w:t>024424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35,990,901.20份</w:t>
            </w:r>
          </w:p>
        </w:tc>
        <w:tc>
          <w:tcPr>
            <w:tcW w:w="1500" w:type="pct"/>
            <w:vAlign w:val="center"/>
          </w:tcPr>
          <w:p>
            <w:pPr>
              <w:spacing w:line="240" w:lineRule="auto"/>
              <w:jc w:val="left"/>
            </w:pPr>
            <w:r>
              <w:rPr>
                <w:rFonts w:ascii="宋体" w:hAnsi="宋体" w:eastAsia="宋体" w:cs="宋体"/>
                <w:b w:val="0"/>
              </w:rPr>
              <w:t>345,367,346.57份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东方阿尔法科技优选混合发起A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4,652,220.46</w:t>
            </w:r>
          </w:p>
        </w:tc>
        <w:tc>
          <w:tcPr>
            <w:tcW w:w="1500" w:type="pct"/>
            <w:vAlign w:val="center"/>
          </w:tcPr>
          <w:p>
            <w:pPr>
              <w:spacing w:line="240" w:lineRule="auto"/>
              <w:jc w:val="right"/>
            </w:pPr>
            <w:r>
              <w:rPr>
                <w:rFonts w:ascii="宋体" w:hAnsi="宋体" w:eastAsia="宋体" w:cs="宋体"/>
                <w:b w:val="0"/>
              </w:rPr>
              <w:t>22,219,374.87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36,858,901.31</w:t>
            </w:r>
          </w:p>
        </w:tc>
        <w:tc>
          <w:tcPr>
            <w:tcW w:w="1500" w:type="pct"/>
            <w:vAlign w:val="center"/>
          </w:tcPr>
          <w:p>
            <w:pPr>
              <w:spacing w:line="240" w:lineRule="auto"/>
              <w:jc w:val="right"/>
            </w:pPr>
            <w:r>
              <w:rPr>
                <w:rFonts w:ascii="宋体" w:hAnsi="宋体" w:eastAsia="宋体" w:cs="宋体"/>
                <w:b w:val="0"/>
              </w:rPr>
              <w:t>200,130,831.41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1.4553</w:t>
            </w:r>
          </w:p>
        </w:tc>
        <w:tc>
          <w:tcPr>
            <w:tcW w:w="1500" w:type="pct"/>
            <w:vAlign w:val="center"/>
          </w:tcPr>
          <w:p>
            <w:pPr>
              <w:spacing w:line="240" w:lineRule="auto"/>
              <w:jc w:val="right"/>
            </w:pPr>
            <w:r>
              <w:rPr>
                <w:rFonts w:ascii="宋体" w:hAnsi="宋体" w:eastAsia="宋体" w:cs="宋体"/>
                <w:b w:val="0"/>
              </w:rPr>
              <w:t>1.6270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88,467,411.98</w:t>
            </w:r>
          </w:p>
        </w:tc>
        <w:tc>
          <w:tcPr>
            <w:tcW w:w="1500" w:type="pct"/>
            <w:vAlign w:val="center"/>
          </w:tcPr>
          <w:p>
            <w:pPr>
              <w:spacing w:line="240" w:lineRule="auto"/>
              <w:jc w:val="right"/>
            </w:pPr>
            <w:r>
              <w:rPr>
                <w:rFonts w:ascii="宋体" w:hAnsi="宋体" w:eastAsia="宋体" w:cs="宋体"/>
                <w:b w:val="0"/>
              </w:rPr>
              <w:t>845,378,613.82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2.4580</w:t>
            </w:r>
          </w:p>
        </w:tc>
        <w:tc>
          <w:tcPr>
            <w:tcW w:w="1500" w:type="pct"/>
            <w:vAlign w:val="center"/>
          </w:tcPr>
          <w:p>
            <w:pPr>
              <w:spacing w:line="240" w:lineRule="auto"/>
              <w:jc w:val="right"/>
            </w:pPr>
            <w:r>
              <w:rPr>
                <w:rFonts w:ascii="宋体" w:hAnsi="宋体" w:eastAsia="宋体" w:cs="宋体"/>
                <w:b w:val="0"/>
              </w:rPr>
              <w:t>2.4478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东方阿尔法科技优选混合发起A净值表现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135.58%</w:t>
            </w:r>
          </w:p>
        </w:tc>
        <w:tc>
          <w:tcPr>
            <w:tcW w:w="0" w:type="dxa"/>
            <w:vAlign w:val="center"/>
          </w:tcPr>
          <w:p>
            <w:pPr>
              <w:spacing w:line="240" w:lineRule="auto"/>
              <w:jc w:val="right"/>
            </w:pPr>
            <w:r>
              <w:rPr>
                <w:rFonts w:ascii="宋体" w:hAnsi="宋体" w:eastAsia="宋体" w:cs="宋体"/>
                <w:b w:val="0"/>
              </w:rPr>
              <w:t>3.52%</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95.18%</w:t>
            </w:r>
          </w:p>
        </w:tc>
        <w:tc>
          <w:tcPr>
            <w:tcW w:w="0" w:type="dxa"/>
            <w:vAlign w:val="center"/>
          </w:tcPr>
          <w:p>
            <w:pPr>
              <w:spacing w:line="240" w:lineRule="auto"/>
              <w:jc w:val="right"/>
            </w:pPr>
            <w:r>
              <w:rPr>
                <w:rFonts w:ascii="宋体" w:hAnsi="宋体" w:eastAsia="宋体" w:cs="宋体"/>
                <w:b w:val="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138.55%</w:t>
            </w:r>
          </w:p>
        </w:tc>
        <w:tc>
          <w:tcPr>
            <w:tcW w:w="0" w:type="dxa"/>
            <w:vAlign w:val="center"/>
          </w:tcPr>
          <w:p>
            <w:pPr>
              <w:spacing w:line="240" w:lineRule="auto"/>
              <w:jc w:val="right"/>
            </w:pPr>
            <w:r>
              <w:rPr>
                <w:rFonts w:ascii="宋体" w:hAnsi="宋体" w:eastAsia="宋体" w:cs="宋体"/>
                <w:b w:val="0"/>
              </w:rPr>
              <w:t>3.32%</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104.49%</w:t>
            </w:r>
          </w:p>
        </w:tc>
        <w:tc>
          <w:tcPr>
            <w:tcW w:w="0" w:type="dxa"/>
            <w:vAlign w:val="center"/>
          </w:tcPr>
          <w:p>
            <w:pPr>
              <w:spacing w:line="240" w:lineRule="auto"/>
              <w:jc w:val="right"/>
            </w:pPr>
            <w:r>
              <w:rPr>
                <w:rFonts w:ascii="宋体" w:hAnsi="宋体" w:eastAsia="宋体" w:cs="宋体"/>
                <w:b w:val="0"/>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147.53%</w:t>
            </w:r>
          </w:p>
        </w:tc>
        <w:tc>
          <w:tcPr>
            <w:tcW w:w="0" w:type="dxa"/>
            <w:vAlign w:val="center"/>
          </w:tcPr>
          <w:p>
            <w:pPr>
              <w:spacing w:line="240" w:lineRule="auto"/>
              <w:jc w:val="right"/>
            </w:pPr>
            <w:r>
              <w:rPr>
                <w:rFonts w:ascii="宋体" w:hAnsi="宋体" w:eastAsia="宋体" w:cs="宋体"/>
                <w:b w:val="0"/>
              </w:rPr>
              <w:t>2.70%</w:t>
            </w:r>
          </w:p>
        </w:tc>
        <w:tc>
          <w:tcPr>
            <w:tcW w:w="0" w:type="dxa"/>
            <w:vAlign w:val="center"/>
          </w:tcPr>
          <w:p>
            <w:pPr>
              <w:spacing w:line="240" w:lineRule="auto"/>
              <w:jc w:val="right"/>
            </w:pPr>
            <w:r>
              <w:rPr>
                <w:rFonts w:ascii="宋体" w:hAnsi="宋体" w:eastAsia="宋体" w:cs="宋体"/>
                <w:b w:val="0"/>
              </w:rPr>
              <w:t>78.25%</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69.28%</w:t>
            </w:r>
          </w:p>
        </w:tc>
        <w:tc>
          <w:tcPr>
            <w:tcW w:w="0" w:type="dxa"/>
            <w:vAlign w:val="center"/>
          </w:tcPr>
          <w:p>
            <w:pPr>
              <w:spacing w:line="240" w:lineRule="auto"/>
              <w:jc w:val="right"/>
            </w:pPr>
            <w:r>
              <w:rPr>
                <w:rFonts w:ascii="宋体" w:hAnsi="宋体" w:eastAsia="宋体" w:cs="宋体"/>
                <w:b w:val="0"/>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145.80%</w:t>
            </w:r>
          </w:p>
        </w:tc>
        <w:tc>
          <w:tcPr>
            <w:tcW w:w="0" w:type="dxa"/>
            <w:vAlign w:val="center"/>
          </w:tcPr>
          <w:p>
            <w:pPr>
              <w:spacing w:line="240" w:lineRule="auto"/>
              <w:jc w:val="right"/>
            </w:pPr>
            <w:r>
              <w:rPr>
                <w:rFonts w:ascii="宋体" w:hAnsi="宋体" w:eastAsia="宋体" w:cs="宋体"/>
                <w:b w:val="0"/>
              </w:rPr>
              <w:t>2.63%</w:t>
            </w:r>
          </w:p>
        </w:tc>
        <w:tc>
          <w:tcPr>
            <w:tcW w:w="0" w:type="dxa"/>
            <w:vAlign w:val="center"/>
          </w:tcPr>
          <w:p>
            <w:pPr>
              <w:spacing w:line="240" w:lineRule="auto"/>
              <w:jc w:val="right"/>
            </w:pPr>
            <w:r>
              <w:rPr>
                <w:rFonts w:ascii="宋体" w:hAnsi="宋体" w:eastAsia="宋体" w:cs="宋体"/>
                <w:b w:val="0"/>
              </w:rPr>
              <w:t>85.28%</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60.52%</w:t>
            </w:r>
          </w:p>
        </w:tc>
        <w:tc>
          <w:tcPr>
            <w:tcW w:w="0" w:type="dxa"/>
            <w:vAlign w:val="center"/>
          </w:tcPr>
          <w:p>
            <w:pPr>
              <w:spacing w:line="240" w:lineRule="auto"/>
              <w:jc w:val="right"/>
            </w:pPr>
            <w:r>
              <w:rPr>
                <w:rFonts w:ascii="宋体" w:hAnsi="宋体" w:eastAsia="宋体" w:cs="宋体"/>
                <w:b w:val="0"/>
              </w:rPr>
              <w:t>1.13%</w:t>
            </w:r>
          </w:p>
        </w:tc>
      </w:tr>
    </w:tbl>
    <w:p>
      <w:pPr>
        <w:jc w:val="left"/>
      </w:pPr>
      <w:r>
        <w:rPr>
          <w:rFonts w:ascii="宋体" w:hAnsi="宋体" w:eastAsia="宋体" w:cs="宋体"/>
          <w:b/>
        </w:rPr>
        <w:t>东方阿尔法科技优选混合发起C净值表现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135.37%</w:t>
            </w:r>
          </w:p>
        </w:tc>
        <w:tc>
          <w:tcPr>
            <w:tcW w:w="0" w:type="dxa"/>
            <w:vAlign w:val="center"/>
          </w:tcPr>
          <w:p>
            <w:pPr>
              <w:spacing w:line="240" w:lineRule="auto"/>
              <w:jc w:val="right"/>
            </w:pPr>
            <w:r>
              <w:rPr>
                <w:rFonts w:ascii="宋体" w:hAnsi="宋体" w:eastAsia="宋体" w:cs="宋体"/>
                <w:b w:val="0"/>
              </w:rPr>
              <w:t>3.52%</w:t>
            </w:r>
          </w:p>
        </w:tc>
        <w:tc>
          <w:tcPr>
            <w:tcW w:w="0" w:type="dxa"/>
            <w:vAlign w:val="center"/>
          </w:tcPr>
          <w:p>
            <w:pPr>
              <w:spacing w:line="240" w:lineRule="auto"/>
              <w:jc w:val="right"/>
            </w:pPr>
            <w:r>
              <w:rPr>
                <w:rFonts w:ascii="宋体" w:hAnsi="宋体" w:eastAsia="宋体" w:cs="宋体"/>
                <w:b w:val="0"/>
              </w:rPr>
              <w:t>40.40%</w:t>
            </w:r>
          </w:p>
        </w:tc>
        <w:tc>
          <w:tcPr>
            <w:tcW w:w="0" w:type="dxa"/>
            <w:vAlign w:val="center"/>
          </w:tcPr>
          <w:p>
            <w:pPr>
              <w:spacing w:line="240" w:lineRule="auto"/>
              <w:jc w:val="right"/>
            </w:pPr>
            <w:r>
              <w:rPr>
                <w:rFonts w:ascii="宋体" w:hAnsi="宋体" w:eastAsia="宋体" w:cs="宋体"/>
                <w:b w:val="0"/>
              </w:rPr>
              <w:t>1.80%</w:t>
            </w:r>
          </w:p>
        </w:tc>
        <w:tc>
          <w:tcPr>
            <w:tcW w:w="0" w:type="dxa"/>
            <w:vAlign w:val="center"/>
          </w:tcPr>
          <w:p>
            <w:pPr>
              <w:spacing w:line="240" w:lineRule="auto"/>
              <w:jc w:val="right"/>
            </w:pPr>
            <w:r>
              <w:rPr>
                <w:rFonts w:ascii="宋体" w:hAnsi="宋体" w:eastAsia="宋体" w:cs="宋体"/>
                <w:b w:val="0"/>
              </w:rPr>
              <w:t>94.97%</w:t>
            </w:r>
          </w:p>
        </w:tc>
        <w:tc>
          <w:tcPr>
            <w:tcW w:w="0" w:type="dxa"/>
            <w:vAlign w:val="center"/>
          </w:tcPr>
          <w:p>
            <w:pPr>
              <w:spacing w:line="240" w:lineRule="auto"/>
              <w:jc w:val="right"/>
            </w:pPr>
            <w:r>
              <w:rPr>
                <w:rFonts w:ascii="宋体" w:hAnsi="宋体" w:eastAsia="宋体" w:cs="宋体"/>
                <w:b w:val="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138.07%</w:t>
            </w:r>
          </w:p>
        </w:tc>
        <w:tc>
          <w:tcPr>
            <w:tcW w:w="0" w:type="dxa"/>
            <w:vAlign w:val="center"/>
          </w:tcPr>
          <w:p>
            <w:pPr>
              <w:spacing w:line="240" w:lineRule="auto"/>
              <w:jc w:val="right"/>
            </w:pPr>
            <w:r>
              <w:rPr>
                <w:rFonts w:ascii="宋体" w:hAnsi="宋体" w:eastAsia="宋体" w:cs="宋体"/>
                <w:b w:val="0"/>
              </w:rPr>
              <w:t>3.33%</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1.57%</w:t>
            </w:r>
          </w:p>
        </w:tc>
        <w:tc>
          <w:tcPr>
            <w:tcW w:w="0" w:type="dxa"/>
            <w:vAlign w:val="center"/>
          </w:tcPr>
          <w:p>
            <w:pPr>
              <w:spacing w:line="240" w:lineRule="auto"/>
              <w:jc w:val="right"/>
            </w:pPr>
            <w:r>
              <w:rPr>
                <w:rFonts w:ascii="宋体" w:hAnsi="宋体" w:eastAsia="宋体" w:cs="宋体"/>
                <w:b w:val="0"/>
              </w:rPr>
              <w:t>104.01%</w:t>
            </w:r>
          </w:p>
        </w:tc>
        <w:tc>
          <w:tcPr>
            <w:tcW w:w="0" w:type="dxa"/>
            <w:vAlign w:val="center"/>
          </w:tcPr>
          <w:p>
            <w:pPr>
              <w:spacing w:line="240" w:lineRule="auto"/>
              <w:jc w:val="right"/>
            </w:pPr>
            <w:r>
              <w:rPr>
                <w:rFonts w:ascii="宋体" w:hAnsi="宋体" w:eastAsia="宋体" w:cs="宋体"/>
                <w:b w:val="0"/>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146.58%</w:t>
            </w:r>
          </w:p>
        </w:tc>
        <w:tc>
          <w:tcPr>
            <w:tcW w:w="0" w:type="dxa"/>
            <w:vAlign w:val="center"/>
          </w:tcPr>
          <w:p>
            <w:pPr>
              <w:spacing w:line="240" w:lineRule="auto"/>
              <w:jc w:val="right"/>
            </w:pPr>
            <w:r>
              <w:rPr>
                <w:rFonts w:ascii="宋体" w:hAnsi="宋体" w:eastAsia="宋体" w:cs="宋体"/>
                <w:b w:val="0"/>
              </w:rPr>
              <w:t>2.70%</w:t>
            </w:r>
          </w:p>
        </w:tc>
        <w:tc>
          <w:tcPr>
            <w:tcW w:w="0" w:type="dxa"/>
            <w:vAlign w:val="center"/>
          </w:tcPr>
          <w:p>
            <w:pPr>
              <w:spacing w:line="240" w:lineRule="auto"/>
              <w:jc w:val="right"/>
            </w:pPr>
            <w:r>
              <w:rPr>
                <w:rFonts w:ascii="宋体" w:hAnsi="宋体" w:eastAsia="宋体" w:cs="宋体"/>
                <w:b w:val="0"/>
              </w:rPr>
              <w:t>78.25%</w:t>
            </w:r>
          </w:p>
        </w:tc>
        <w:tc>
          <w:tcPr>
            <w:tcW w:w="0" w:type="dxa"/>
            <w:vAlign w:val="center"/>
          </w:tcPr>
          <w:p>
            <w:pPr>
              <w:spacing w:line="240" w:lineRule="auto"/>
              <w:jc w:val="right"/>
            </w:pPr>
            <w:r>
              <w:rPr>
                <w:rFonts w:ascii="宋体" w:hAnsi="宋体" w:eastAsia="宋体" w:cs="宋体"/>
                <w:b w:val="0"/>
              </w:rPr>
              <w:t>1.53%</w:t>
            </w:r>
          </w:p>
        </w:tc>
        <w:tc>
          <w:tcPr>
            <w:tcW w:w="0" w:type="dxa"/>
            <w:vAlign w:val="center"/>
          </w:tcPr>
          <w:p>
            <w:pPr>
              <w:spacing w:line="240" w:lineRule="auto"/>
              <w:jc w:val="right"/>
            </w:pPr>
            <w:r>
              <w:rPr>
                <w:rFonts w:ascii="宋体" w:hAnsi="宋体" w:eastAsia="宋体" w:cs="宋体"/>
                <w:b w:val="0"/>
              </w:rPr>
              <w:t>68.33%</w:t>
            </w:r>
          </w:p>
        </w:tc>
        <w:tc>
          <w:tcPr>
            <w:tcW w:w="0" w:type="dxa"/>
            <w:vAlign w:val="center"/>
          </w:tcPr>
          <w:p>
            <w:pPr>
              <w:spacing w:line="240" w:lineRule="auto"/>
              <w:jc w:val="right"/>
            </w:pPr>
            <w:r>
              <w:rPr>
                <w:rFonts w:ascii="宋体" w:hAnsi="宋体" w:eastAsia="宋体" w:cs="宋体"/>
                <w:b w:val="0"/>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144.78%</w:t>
            </w:r>
          </w:p>
        </w:tc>
        <w:tc>
          <w:tcPr>
            <w:tcW w:w="0" w:type="dxa"/>
            <w:vAlign w:val="center"/>
          </w:tcPr>
          <w:p>
            <w:pPr>
              <w:spacing w:line="240" w:lineRule="auto"/>
              <w:jc w:val="right"/>
            </w:pPr>
            <w:r>
              <w:rPr>
                <w:rFonts w:ascii="宋体" w:hAnsi="宋体" w:eastAsia="宋体" w:cs="宋体"/>
                <w:b w:val="0"/>
              </w:rPr>
              <w:t>2.63%</w:t>
            </w:r>
          </w:p>
        </w:tc>
        <w:tc>
          <w:tcPr>
            <w:tcW w:w="0" w:type="dxa"/>
            <w:vAlign w:val="center"/>
          </w:tcPr>
          <w:p>
            <w:pPr>
              <w:spacing w:line="240" w:lineRule="auto"/>
              <w:jc w:val="right"/>
            </w:pPr>
            <w:r>
              <w:rPr>
                <w:rFonts w:ascii="宋体" w:hAnsi="宋体" w:eastAsia="宋体" w:cs="宋体"/>
                <w:b w:val="0"/>
              </w:rPr>
              <w:t>85.28%</w:t>
            </w:r>
          </w:p>
        </w:tc>
        <w:tc>
          <w:tcPr>
            <w:tcW w:w="0" w:type="dxa"/>
            <w:vAlign w:val="center"/>
          </w:tcPr>
          <w:p>
            <w:pPr>
              <w:spacing w:line="240" w:lineRule="auto"/>
              <w:jc w:val="right"/>
            </w:pPr>
            <w:r>
              <w:rPr>
                <w:rFonts w:ascii="宋体" w:hAnsi="宋体" w:eastAsia="宋体" w:cs="宋体"/>
                <w:b w:val="0"/>
              </w:rPr>
              <w:t>1.50%</w:t>
            </w:r>
          </w:p>
        </w:tc>
        <w:tc>
          <w:tcPr>
            <w:tcW w:w="0" w:type="dxa"/>
            <w:vAlign w:val="center"/>
          </w:tcPr>
          <w:p>
            <w:pPr>
              <w:spacing w:line="240" w:lineRule="auto"/>
              <w:jc w:val="right"/>
            </w:pPr>
            <w:r>
              <w:rPr>
                <w:rFonts w:ascii="宋体" w:hAnsi="宋体" w:eastAsia="宋体" w:cs="宋体"/>
                <w:b w:val="0"/>
              </w:rPr>
              <w:t>59.50%</w:t>
            </w:r>
          </w:p>
        </w:tc>
        <w:tc>
          <w:tcPr>
            <w:tcW w:w="0" w:type="dxa"/>
            <w:vAlign w:val="center"/>
          </w:tcPr>
          <w:p>
            <w:pPr>
              <w:spacing w:line="240" w:lineRule="auto"/>
              <w:jc w:val="right"/>
            </w:pPr>
            <w:r>
              <w:rPr>
                <w:rFonts w:ascii="宋体" w:hAnsi="宋体" w:eastAsia="宋体" w:cs="宋体"/>
                <w:b w:val="0"/>
              </w:rPr>
              <w:t>1.13%</w:t>
            </w:r>
          </w:p>
        </w:tc>
      </w:tr>
    </w:tbl>
    <w:p>
      <w:r>
        <w:rPr>
          <w:rFonts w:ascii="宋体" w:hAnsi="宋体" w:eastAsia="宋体" w:cs="宋体"/>
          <w:b w:val="0"/>
        </w:rPr>
        <w:t>注：本基金业绩比较基准为：中国战略新兴产业成份指数收益率*70%+中债-综合指数(全价)收益率*20%+恒生科技指数收益率(按估值汇率折算)*10%</w:t>
      </w:r>
    </w:p>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2025-06-12</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16年</w:t>
            </w:r>
          </w:p>
        </w:tc>
        <w:tc>
          <w:tcPr>
            <w:tcW w:w="0" w:type="dxa"/>
            <w:vAlign w:val="center"/>
          </w:tcPr>
          <w:p>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2025-12-01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5年</w:t>
            </w:r>
          </w:p>
        </w:tc>
        <w:tc>
          <w:tcPr>
            <w:tcW w:w="0" w:type="dxa"/>
            <w:vAlign w:val="center"/>
          </w:tcPr>
          <w:p>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潘令梓</w:t>
            </w:r>
            <w:bookmarkStart w:id="1" w:name="_GoBack"/>
            <w:bookmarkEnd w:id="1"/>
          </w:p>
        </w:tc>
        <w:tc>
          <w:tcPr>
            <w:tcW w:w="0" w:type="dxa"/>
            <w:vAlign w:val="center"/>
          </w:tcPr>
          <w:p>
            <w:pPr>
              <w:spacing w:line="240" w:lineRule="auto"/>
              <w:jc w:val="left"/>
            </w:pPr>
            <w:r>
              <w:rPr>
                <w:rFonts w:ascii="宋体" w:hAnsi="宋体" w:eastAsia="宋体" w:cs="宋体"/>
                <w:b w:val="0"/>
              </w:rPr>
              <w:t>基金经理（已离任）</w:t>
            </w:r>
          </w:p>
        </w:tc>
        <w:tc>
          <w:tcPr>
            <w:tcW w:w="0" w:type="dxa"/>
            <w:vAlign w:val="center"/>
          </w:tcPr>
          <w:p>
            <w:pPr>
              <w:spacing w:line="240" w:lineRule="auto"/>
              <w:jc w:val="center"/>
            </w:pPr>
            <w:r>
              <w:rPr>
                <w:rFonts w:ascii="宋体" w:hAnsi="宋体" w:eastAsia="宋体" w:cs="宋体"/>
                <w:b w:val="0"/>
              </w:rPr>
              <w:t>2025-06-06</w:t>
            </w:r>
          </w:p>
        </w:tc>
        <w:tc>
          <w:tcPr>
            <w:tcW w:w="0" w:type="dxa"/>
            <w:vAlign w:val="center"/>
          </w:tcPr>
          <w:p>
            <w:pPr>
              <w:spacing w:line="240" w:lineRule="auto"/>
              <w:jc w:val="center"/>
            </w:pPr>
            <w:r>
              <w:rPr>
                <w:rFonts w:ascii="宋体" w:hAnsi="宋体" w:eastAsia="宋体" w:cs="宋体"/>
                <w:b w:val="0"/>
              </w:rPr>
              <w:t>2026-06-12</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潘令梓先生，南开大学保险学学士，香港大学会计学硕士，于2019年11月入职东方阿尔法基金管理有限公司，历任研究部研究员、基金经理助理、基金经理。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2026年二季度，中东地缘冲突缓解，油价逐渐回落到冲突前的水平，宏观风险阶段性解除后，全球主要国家资本市场趋势向上，AI产业链相关的资产进入上行趋势。</w:t>
      </w:r>
      <w:r>
        <w:rPr>
          <w:rFonts w:ascii="宋体" w:hAnsi="宋体" w:eastAsia="宋体" w:cs="宋体"/>
          <w:b w:val="0"/>
        </w:rPr>
        <w:br w:type="textWrapping"/>
      </w:r>
      <w:r>
        <w:rPr>
          <w:rFonts w:ascii="宋体" w:hAnsi="宋体" w:eastAsia="宋体" w:cs="宋体"/>
          <w:b w:val="0"/>
        </w:rPr>
        <w:t xml:space="preserve">    半导体行业作为我国大力扶持发展的行业，其中半导体设备和材料更是摆脱美国卡脖子的关键领域，同时伴随着AI数据中心建设对存储芯片和逻辑芯片的拉动，带动国内晶圆厂进入扩产的大周期，行业景气度进入加速阶段，因此具备良好的投资机会。</w:t>
      </w:r>
      <w:r>
        <w:rPr>
          <w:rFonts w:ascii="宋体" w:hAnsi="宋体" w:eastAsia="宋体" w:cs="宋体"/>
          <w:b w:val="0"/>
        </w:rPr>
        <w:br w:type="textWrapping"/>
      </w:r>
      <w:r>
        <w:rPr>
          <w:rFonts w:ascii="宋体" w:hAnsi="宋体" w:eastAsia="宋体" w:cs="宋体"/>
          <w:b w:val="0"/>
        </w:rPr>
        <w:t xml:space="preserve">    展望2026年三季度，我们认为半导体设备材料行业仍有良好的投资机会。一方面，晶圆厂和封装厂景气度高，资本投入进入加速区间，对产业链公司的订单带来正向拉动，相关公司的订单和业绩开始加速兑现；另一方面，头部公司资本化临近，市场对半导体设备材料板块的关注度也在逐渐提升。</w:t>
      </w:r>
      <w:r>
        <w:rPr>
          <w:rFonts w:ascii="宋体" w:hAnsi="宋体" w:eastAsia="宋体" w:cs="宋体"/>
          <w:b w:val="0"/>
        </w:rPr>
        <w:br w:type="textWrapping"/>
      </w:r>
      <w:r>
        <w:rPr>
          <w:rFonts w:ascii="宋体" w:hAnsi="宋体" w:eastAsia="宋体" w:cs="宋体"/>
          <w:b w:val="0"/>
        </w:rPr>
        <w:t xml:space="preserve">    基于以上分析，本基金持续关注半导体设备材料产业链，重点聚焦国产化率提升、先进制程扩产等相关的领域，致力于把握半导体设备材料相关的投资机会。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科技优选混合发起A基金份额净值为2.4580元，本报告期内，该类基金份额净值增长率为135.58%，同期业绩比较基准收益率为40.40%；截至报告期末东方阿尔法科技优选混合发起C基金份额净值为2.4478元，本报告期内，该类基金份额净值增长率为135.37%，同期业绩比较基准收益率为40.40%。</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726,911,909.88</w:t>
            </w:r>
          </w:p>
        </w:tc>
        <w:tc>
          <w:tcPr>
            <w:tcW w:w="0" w:type="dxa"/>
            <w:vAlign w:val="center"/>
          </w:tcPr>
          <w:p>
            <w:pPr>
              <w:spacing w:line="240" w:lineRule="auto"/>
              <w:jc w:val="right"/>
            </w:pPr>
            <w:r>
              <w:rPr>
                <w:rFonts w:ascii="宋体" w:hAnsi="宋体" w:eastAsia="宋体" w:cs="宋体"/>
                <w:b w:val="0"/>
              </w:rPr>
              <w:t>77.22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726,911,909.88</w:t>
            </w:r>
          </w:p>
        </w:tc>
        <w:tc>
          <w:tcPr>
            <w:tcW w:w="0" w:type="dxa"/>
            <w:vAlign w:val="center"/>
          </w:tcPr>
          <w:p>
            <w:pPr>
              <w:spacing w:line="240" w:lineRule="auto"/>
              <w:jc w:val="right"/>
            </w:pPr>
            <w:r>
              <w:rPr>
                <w:rFonts w:ascii="宋体" w:hAnsi="宋体" w:eastAsia="宋体" w:cs="宋体"/>
                <w:b w:val="0"/>
              </w:rPr>
              <w:t>77.22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19,547,131.37</w:t>
            </w:r>
          </w:p>
        </w:tc>
        <w:tc>
          <w:tcPr>
            <w:tcW w:w="0" w:type="dxa"/>
            <w:vAlign w:val="center"/>
          </w:tcPr>
          <w:p>
            <w:pPr>
              <w:spacing w:line="240" w:lineRule="auto"/>
              <w:jc w:val="right"/>
            </w:pPr>
            <w:r>
              <w:rPr>
                <w:rFonts w:ascii="宋体" w:hAnsi="宋体" w:eastAsia="宋体" w:cs="宋体"/>
                <w:b w:val="0"/>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19,547,131.37</w:t>
            </w:r>
          </w:p>
        </w:tc>
        <w:tc>
          <w:tcPr>
            <w:tcW w:w="0" w:type="dxa"/>
            <w:vAlign w:val="center"/>
          </w:tcPr>
          <w:p>
            <w:pPr>
              <w:spacing w:line="240" w:lineRule="auto"/>
              <w:jc w:val="right"/>
            </w:pPr>
            <w:r>
              <w:rPr>
                <w:rFonts w:ascii="宋体" w:hAnsi="宋体" w:eastAsia="宋体" w:cs="宋体"/>
                <w:b w:val="0"/>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49,764,334.44</w:t>
            </w:r>
          </w:p>
        </w:tc>
        <w:tc>
          <w:tcPr>
            <w:tcW w:w="0" w:type="dxa"/>
            <w:vAlign w:val="center"/>
          </w:tcPr>
          <w:p>
            <w:pPr>
              <w:spacing w:line="240" w:lineRule="auto"/>
              <w:jc w:val="right"/>
            </w:pPr>
            <w:r>
              <w:rPr>
                <w:rFonts w:ascii="宋体" w:hAnsi="宋体" w:eastAsia="宋体" w:cs="宋体"/>
                <w:b w:val="0"/>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145,148,778.30</w:t>
            </w:r>
          </w:p>
        </w:tc>
        <w:tc>
          <w:tcPr>
            <w:tcW w:w="0" w:type="dxa"/>
            <w:vAlign w:val="center"/>
          </w:tcPr>
          <w:p>
            <w:pPr>
              <w:spacing w:line="240" w:lineRule="auto"/>
              <w:jc w:val="right"/>
            </w:pPr>
            <w:r>
              <w:rPr>
                <w:rFonts w:ascii="宋体" w:hAnsi="宋体" w:eastAsia="宋体" w:cs="宋体"/>
                <w:b w:val="0"/>
              </w:rPr>
              <w:t>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941,372,153.99</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726,911,909.88</w:t>
            </w:r>
          </w:p>
        </w:tc>
        <w:tc>
          <w:tcPr>
            <w:tcW w:w="0" w:type="dxa"/>
            <w:vAlign w:val="center"/>
          </w:tcPr>
          <w:p>
            <w:pPr>
              <w:spacing w:line="240" w:lineRule="auto"/>
              <w:jc w:val="right"/>
            </w:pPr>
            <w:r>
              <w:rPr>
                <w:rFonts w:ascii="宋体" w:hAnsi="宋体" w:eastAsia="宋体" w:cs="宋体"/>
                <w:b w:val="0"/>
              </w:rPr>
              <w:t>77.84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726,911,909.88</w:t>
            </w:r>
          </w:p>
        </w:tc>
        <w:tc>
          <w:tcPr>
            <w:tcW w:w="0" w:type="dxa"/>
            <w:vAlign w:val="center"/>
          </w:tcPr>
          <w:p>
            <w:pPr>
              <w:spacing w:line="240" w:lineRule="auto"/>
              <w:jc w:val="right"/>
            </w:pPr>
            <w:r>
              <w:rPr>
                <w:rFonts w:ascii="宋体" w:hAnsi="宋体" w:eastAsia="宋体" w:cs="宋体"/>
                <w:b w:val="0"/>
              </w:rPr>
              <w:t>77.84</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688361</w:t>
            </w:r>
          </w:p>
        </w:tc>
        <w:tc>
          <w:tcPr>
            <w:tcW w:w="0" w:type="dxa"/>
            <w:vAlign w:val="center"/>
          </w:tcPr>
          <w:p>
            <w:pPr>
              <w:spacing w:line="240" w:lineRule="auto"/>
              <w:jc w:val="left"/>
            </w:pPr>
            <w:r>
              <w:rPr>
                <w:rFonts w:ascii="宋体" w:hAnsi="宋体" w:eastAsia="宋体" w:cs="宋体"/>
                <w:b w:val="0"/>
              </w:rPr>
              <w:t>中科飞测</w:t>
            </w:r>
          </w:p>
        </w:tc>
        <w:tc>
          <w:tcPr>
            <w:tcW w:w="0" w:type="dxa"/>
            <w:vAlign w:val="center"/>
          </w:tcPr>
          <w:p>
            <w:pPr>
              <w:spacing w:line="240" w:lineRule="auto"/>
              <w:jc w:val="right"/>
            </w:pPr>
            <w:r>
              <w:rPr>
                <w:rFonts w:ascii="宋体" w:hAnsi="宋体" w:eastAsia="宋体" w:cs="宋体"/>
                <w:b w:val="0"/>
              </w:rPr>
              <w:t>171,101</w:t>
            </w:r>
          </w:p>
        </w:tc>
        <w:tc>
          <w:tcPr>
            <w:tcW w:w="0" w:type="dxa"/>
            <w:vAlign w:val="center"/>
          </w:tcPr>
          <w:p>
            <w:pPr>
              <w:spacing w:line="240" w:lineRule="auto"/>
              <w:jc w:val="right"/>
            </w:pPr>
            <w:r>
              <w:rPr>
                <w:rFonts w:ascii="宋体" w:hAnsi="宋体" w:eastAsia="宋体" w:cs="宋体"/>
                <w:b w:val="0"/>
              </w:rPr>
              <w:t>73,573,430.00</w:t>
            </w:r>
          </w:p>
        </w:tc>
        <w:tc>
          <w:tcPr>
            <w:tcW w:w="0" w:type="dxa"/>
            <w:vAlign w:val="center"/>
          </w:tcPr>
          <w:p>
            <w:pPr>
              <w:spacing w:line="240" w:lineRule="auto"/>
              <w:jc w:val="right"/>
            </w:pPr>
            <w:r>
              <w:rPr>
                <w:rFonts w:ascii="宋体" w:hAnsi="宋体" w:eastAsia="宋体" w:cs="宋体"/>
                <w:b w:val="0"/>
              </w:rPr>
              <w:t>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688012</w:t>
            </w:r>
          </w:p>
        </w:tc>
        <w:tc>
          <w:tcPr>
            <w:tcW w:w="0" w:type="dxa"/>
            <w:vAlign w:val="center"/>
          </w:tcPr>
          <w:p>
            <w:pPr>
              <w:spacing w:line="240" w:lineRule="auto"/>
              <w:jc w:val="left"/>
            </w:pPr>
            <w:r>
              <w:rPr>
                <w:rFonts w:ascii="宋体" w:hAnsi="宋体" w:eastAsia="宋体" w:cs="宋体"/>
                <w:b w:val="0"/>
              </w:rPr>
              <w:t>中微公司</w:t>
            </w:r>
          </w:p>
        </w:tc>
        <w:tc>
          <w:tcPr>
            <w:tcW w:w="0" w:type="dxa"/>
            <w:vAlign w:val="center"/>
          </w:tcPr>
          <w:p>
            <w:pPr>
              <w:spacing w:line="240" w:lineRule="auto"/>
              <w:jc w:val="right"/>
            </w:pPr>
            <w:r>
              <w:rPr>
                <w:rFonts w:ascii="宋体" w:hAnsi="宋体" w:eastAsia="宋体" w:cs="宋体"/>
                <w:b w:val="0"/>
              </w:rPr>
              <w:t>147,631</w:t>
            </w:r>
          </w:p>
        </w:tc>
        <w:tc>
          <w:tcPr>
            <w:tcW w:w="0" w:type="dxa"/>
            <w:vAlign w:val="center"/>
          </w:tcPr>
          <w:p>
            <w:pPr>
              <w:spacing w:line="240" w:lineRule="auto"/>
              <w:jc w:val="right"/>
            </w:pPr>
            <w:r>
              <w:rPr>
                <w:rFonts w:ascii="宋体" w:hAnsi="宋体" w:eastAsia="宋体" w:cs="宋体"/>
                <w:b w:val="0"/>
              </w:rPr>
              <w:t>69,165,123.50</w:t>
            </w:r>
          </w:p>
        </w:tc>
        <w:tc>
          <w:tcPr>
            <w:tcW w:w="0" w:type="dxa"/>
            <w:vAlign w:val="center"/>
          </w:tcPr>
          <w:p>
            <w:pPr>
              <w:spacing w:line="240" w:lineRule="auto"/>
              <w:jc w:val="right"/>
            </w:pPr>
            <w:r>
              <w:rPr>
                <w:rFonts w:ascii="宋体" w:hAnsi="宋体" w:eastAsia="宋体" w:cs="宋体"/>
                <w:b w:val="0"/>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688037</w:t>
            </w:r>
          </w:p>
        </w:tc>
        <w:tc>
          <w:tcPr>
            <w:tcW w:w="0" w:type="dxa"/>
            <w:vAlign w:val="center"/>
          </w:tcPr>
          <w:p>
            <w:pPr>
              <w:spacing w:line="240" w:lineRule="auto"/>
              <w:jc w:val="left"/>
            </w:pPr>
            <w:r>
              <w:rPr>
                <w:rFonts w:ascii="宋体" w:hAnsi="宋体" w:eastAsia="宋体" w:cs="宋体"/>
                <w:b w:val="0"/>
              </w:rPr>
              <w:t>芯源微</w:t>
            </w:r>
          </w:p>
        </w:tc>
        <w:tc>
          <w:tcPr>
            <w:tcW w:w="0" w:type="dxa"/>
            <w:vAlign w:val="center"/>
          </w:tcPr>
          <w:p>
            <w:pPr>
              <w:spacing w:line="240" w:lineRule="auto"/>
              <w:jc w:val="right"/>
            </w:pPr>
            <w:r>
              <w:rPr>
                <w:rFonts w:ascii="宋体" w:hAnsi="宋体" w:eastAsia="宋体" w:cs="宋体"/>
                <w:b w:val="0"/>
              </w:rPr>
              <w:t>155,063</w:t>
            </w:r>
          </w:p>
        </w:tc>
        <w:tc>
          <w:tcPr>
            <w:tcW w:w="0" w:type="dxa"/>
            <w:vAlign w:val="center"/>
          </w:tcPr>
          <w:p>
            <w:pPr>
              <w:spacing w:line="240" w:lineRule="auto"/>
              <w:jc w:val="right"/>
            </w:pPr>
            <w:r>
              <w:rPr>
                <w:rFonts w:ascii="宋体" w:hAnsi="宋体" w:eastAsia="宋体" w:cs="宋体"/>
                <w:b w:val="0"/>
              </w:rPr>
              <w:t>68,080,410.15</w:t>
            </w:r>
          </w:p>
        </w:tc>
        <w:tc>
          <w:tcPr>
            <w:tcW w:w="0" w:type="dxa"/>
            <w:vAlign w:val="center"/>
          </w:tcPr>
          <w:p>
            <w:pPr>
              <w:spacing w:line="240" w:lineRule="auto"/>
              <w:jc w:val="right"/>
            </w:pPr>
            <w:r>
              <w:rPr>
                <w:rFonts w:ascii="宋体" w:hAnsi="宋体" w:eastAsia="宋体" w:cs="宋体"/>
                <w:b w:val="0"/>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300567</w:t>
            </w:r>
          </w:p>
        </w:tc>
        <w:tc>
          <w:tcPr>
            <w:tcW w:w="0" w:type="dxa"/>
            <w:vAlign w:val="center"/>
          </w:tcPr>
          <w:p>
            <w:pPr>
              <w:spacing w:line="240" w:lineRule="auto"/>
              <w:jc w:val="left"/>
            </w:pPr>
            <w:r>
              <w:rPr>
                <w:rFonts w:ascii="宋体" w:hAnsi="宋体" w:eastAsia="宋体" w:cs="宋体"/>
                <w:b w:val="0"/>
              </w:rPr>
              <w:t>精测电子</w:t>
            </w:r>
          </w:p>
        </w:tc>
        <w:tc>
          <w:tcPr>
            <w:tcW w:w="0" w:type="dxa"/>
            <w:vAlign w:val="center"/>
          </w:tcPr>
          <w:p>
            <w:pPr>
              <w:spacing w:line="240" w:lineRule="auto"/>
              <w:jc w:val="right"/>
            </w:pPr>
            <w:r>
              <w:rPr>
                <w:rFonts w:ascii="宋体" w:hAnsi="宋体" w:eastAsia="宋体" w:cs="宋体"/>
                <w:b w:val="0"/>
              </w:rPr>
              <w:t>200,700</w:t>
            </w:r>
          </w:p>
        </w:tc>
        <w:tc>
          <w:tcPr>
            <w:tcW w:w="0" w:type="dxa"/>
            <w:vAlign w:val="center"/>
          </w:tcPr>
          <w:p>
            <w:pPr>
              <w:spacing w:line="240" w:lineRule="auto"/>
              <w:jc w:val="right"/>
            </w:pPr>
            <w:r>
              <w:rPr>
                <w:rFonts w:ascii="宋体" w:hAnsi="宋体" w:eastAsia="宋体" w:cs="宋体"/>
                <w:b w:val="0"/>
              </w:rPr>
              <w:t>63,742,320.00</w:t>
            </w:r>
          </w:p>
        </w:tc>
        <w:tc>
          <w:tcPr>
            <w:tcW w:w="0" w:type="dxa"/>
            <w:vAlign w:val="center"/>
          </w:tcPr>
          <w:p>
            <w:pPr>
              <w:spacing w:line="240" w:lineRule="auto"/>
              <w:jc w:val="right"/>
            </w:pPr>
            <w:r>
              <w:rPr>
                <w:rFonts w:ascii="宋体" w:hAnsi="宋体" w:eastAsia="宋体" w:cs="宋体"/>
                <w:b w:val="0"/>
              </w:rPr>
              <w:t>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688147</w:t>
            </w:r>
          </w:p>
        </w:tc>
        <w:tc>
          <w:tcPr>
            <w:tcW w:w="0" w:type="dxa"/>
            <w:vAlign w:val="center"/>
          </w:tcPr>
          <w:p>
            <w:pPr>
              <w:spacing w:line="240" w:lineRule="auto"/>
              <w:jc w:val="left"/>
            </w:pPr>
            <w:r>
              <w:rPr>
                <w:rFonts w:ascii="宋体" w:hAnsi="宋体" w:eastAsia="宋体" w:cs="宋体"/>
                <w:b w:val="0"/>
              </w:rPr>
              <w:t>微导纳米</w:t>
            </w:r>
          </w:p>
        </w:tc>
        <w:tc>
          <w:tcPr>
            <w:tcW w:w="0" w:type="dxa"/>
            <w:vAlign w:val="center"/>
          </w:tcPr>
          <w:p>
            <w:pPr>
              <w:spacing w:line="240" w:lineRule="auto"/>
              <w:jc w:val="right"/>
            </w:pPr>
            <w:r>
              <w:rPr>
                <w:rFonts w:ascii="宋体" w:hAnsi="宋体" w:eastAsia="宋体" w:cs="宋体"/>
                <w:b w:val="0"/>
              </w:rPr>
              <w:t>328,291</w:t>
            </w:r>
          </w:p>
        </w:tc>
        <w:tc>
          <w:tcPr>
            <w:tcW w:w="0" w:type="dxa"/>
            <w:vAlign w:val="center"/>
          </w:tcPr>
          <w:p>
            <w:pPr>
              <w:spacing w:line="240" w:lineRule="auto"/>
              <w:jc w:val="right"/>
            </w:pPr>
            <w:r>
              <w:rPr>
                <w:rFonts w:ascii="宋体" w:hAnsi="宋体" w:eastAsia="宋体" w:cs="宋体"/>
                <w:b w:val="0"/>
              </w:rPr>
              <w:t>53,143,747.08</w:t>
            </w:r>
          </w:p>
        </w:tc>
        <w:tc>
          <w:tcPr>
            <w:tcW w:w="0" w:type="dxa"/>
            <w:vAlign w:val="center"/>
          </w:tcPr>
          <w:p>
            <w:pPr>
              <w:spacing w:line="240" w:lineRule="auto"/>
              <w:jc w:val="right"/>
            </w:pPr>
            <w:r>
              <w:rPr>
                <w:rFonts w:ascii="宋体" w:hAnsi="宋体" w:eastAsia="宋体" w:cs="宋体"/>
                <w:b w:val="0"/>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688120</w:t>
            </w:r>
          </w:p>
        </w:tc>
        <w:tc>
          <w:tcPr>
            <w:tcW w:w="0" w:type="dxa"/>
            <w:vAlign w:val="center"/>
          </w:tcPr>
          <w:p>
            <w:pPr>
              <w:spacing w:line="240" w:lineRule="auto"/>
              <w:jc w:val="left"/>
            </w:pPr>
            <w:r>
              <w:rPr>
                <w:rFonts w:ascii="宋体" w:hAnsi="宋体" w:eastAsia="宋体" w:cs="宋体"/>
                <w:b w:val="0"/>
              </w:rPr>
              <w:t>华海清科</w:t>
            </w:r>
          </w:p>
        </w:tc>
        <w:tc>
          <w:tcPr>
            <w:tcW w:w="0" w:type="dxa"/>
            <w:vAlign w:val="center"/>
          </w:tcPr>
          <w:p>
            <w:pPr>
              <w:spacing w:line="240" w:lineRule="auto"/>
              <w:jc w:val="right"/>
            </w:pPr>
            <w:r>
              <w:rPr>
                <w:rFonts w:ascii="宋体" w:hAnsi="宋体" w:eastAsia="宋体" w:cs="宋体"/>
                <w:b w:val="0"/>
              </w:rPr>
              <w:t>163,298</w:t>
            </w:r>
          </w:p>
        </w:tc>
        <w:tc>
          <w:tcPr>
            <w:tcW w:w="0" w:type="dxa"/>
            <w:vAlign w:val="center"/>
          </w:tcPr>
          <w:p>
            <w:pPr>
              <w:spacing w:line="240" w:lineRule="auto"/>
              <w:jc w:val="right"/>
            </w:pPr>
            <w:r>
              <w:rPr>
                <w:rFonts w:ascii="宋体" w:hAnsi="宋体" w:eastAsia="宋体" w:cs="宋体"/>
                <w:b w:val="0"/>
              </w:rPr>
              <w:t>52,611,349.64</w:t>
            </w:r>
          </w:p>
        </w:tc>
        <w:tc>
          <w:tcPr>
            <w:tcW w:w="0" w:type="dxa"/>
            <w:vAlign w:val="center"/>
          </w:tcPr>
          <w:p>
            <w:pPr>
              <w:spacing w:line="240" w:lineRule="auto"/>
              <w:jc w:val="right"/>
            </w:pPr>
            <w:r>
              <w:rPr>
                <w:rFonts w:ascii="宋体" w:hAnsi="宋体" w:eastAsia="宋体" w:cs="宋体"/>
                <w:b w:val="0"/>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58,227</w:t>
            </w:r>
          </w:p>
        </w:tc>
        <w:tc>
          <w:tcPr>
            <w:tcW w:w="0" w:type="dxa"/>
            <w:vAlign w:val="center"/>
          </w:tcPr>
          <w:p>
            <w:pPr>
              <w:spacing w:line="240" w:lineRule="auto"/>
              <w:jc w:val="right"/>
            </w:pPr>
            <w:r>
              <w:rPr>
                <w:rFonts w:ascii="宋体" w:hAnsi="宋体" w:eastAsia="宋体" w:cs="宋体"/>
                <w:b w:val="0"/>
              </w:rPr>
              <w:t>51,212,393.31</w:t>
            </w:r>
          </w:p>
        </w:tc>
        <w:tc>
          <w:tcPr>
            <w:tcW w:w="0" w:type="dxa"/>
            <w:vAlign w:val="center"/>
          </w:tcPr>
          <w:p>
            <w:pPr>
              <w:spacing w:line="240" w:lineRule="auto"/>
              <w:jc w:val="right"/>
            </w:pPr>
            <w:r>
              <w:rPr>
                <w:rFonts w:ascii="宋体" w:hAnsi="宋体" w:eastAsia="宋体" w:cs="宋体"/>
                <w:b w:val="0"/>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688409</w:t>
            </w:r>
          </w:p>
        </w:tc>
        <w:tc>
          <w:tcPr>
            <w:tcW w:w="0" w:type="dxa"/>
            <w:vAlign w:val="center"/>
          </w:tcPr>
          <w:p>
            <w:pPr>
              <w:spacing w:line="240" w:lineRule="auto"/>
              <w:jc w:val="left"/>
            </w:pPr>
            <w:r>
              <w:rPr>
                <w:rFonts w:ascii="宋体" w:hAnsi="宋体" w:eastAsia="宋体" w:cs="宋体"/>
                <w:b w:val="0"/>
              </w:rPr>
              <w:t>富创精密</w:t>
            </w:r>
          </w:p>
        </w:tc>
        <w:tc>
          <w:tcPr>
            <w:tcW w:w="0" w:type="dxa"/>
            <w:vAlign w:val="center"/>
          </w:tcPr>
          <w:p>
            <w:pPr>
              <w:spacing w:line="240" w:lineRule="auto"/>
              <w:jc w:val="right"/>
            </w:pPr>
            <w:r>
              <w:rPr>
                <w:rFonts w:ascii="宋体" w:hAnsi="宋体" w:eastAsia="宋体" w:cs="宋体"/>
                <w:b w:val="0"/>
              </w:rPr>
              <w:t>132,065</w:t>
            </w:r>
          </w:p>
        </w:tc>
        <w:tc>
          <w:tcPr>
            <w:tcW w:w="0" w:type="dxa"/>
            <w:vAlign w:val="center"/>
          </w:tcPr>
          <w:p>
            <w:pPr>
              <w:spacing w:line="240" w:lineRule="auto"/>
              <w:jc w:val="right"/>
            </w:pPr>
            <w:r>
              <w:rPr>
                <w:rFonts w:ascii="宋体" w:hAnsi="宋体" w:eastAsia="宋体" w:cs="宋体"/>
                <w:b w:val="0"/>
              </w:rPr>
              <w:t>40,444,906.25</w:t>
            </w:r>
          </w:p>
        </w:tc>
        <w:tc>
          <w:tcPr>
            <w:tcW w:w="0" w:type="dxa"/>
            <w:vAlign w:val="center"/>
          </w:tcPr>
          <w:p>
            <w:pPr>
              <w:spacing w:line="240" w:lineRule="auto"/>
              <w:jc w:val="right"/>
            </w:pPr>
            <w:r>
              <w:rPr>
                <w:rFonts w:ascii="宋体" w:hAnsi="宋体" w:eastAsia="宋体" w:cs="宋体"/>
                <w:b w:val="0"/>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688200</w:t>
            </w:r>
          </w:p>
        </w:tc>
        <w:tc>
          <w:tcPr>
            <w:tcW w:w="0" w:type="dxa"/>
            <w:vAlign w:val="center"/>
          </w:tcPr>
          <w:p>
            <w:pPr>
              <w:spacing w:line="240" w:lineRule="auto"/>
              <w:jc w:val="left"/>
            </w:pPr>
            <w:r>
              <w:rPr>
                <w:rFonts w:ascii="宋体" w:hAnsi="宋体" w:eastAsia="宋体" w:cs="宋体"/>
                <w:b w:val="0"/>
              </w:rPr>
              <w:t>华峰测控</w:t>
            </w:r>
          </w:p>
        </w:tc>
        <w:tc>
          <w:tcPr>
            <w:tcW w:w="0" w:type="dxa"/>
            <w:vAlign w:val="center"/>
          </w:tcPr>
          <w:p>
            <w:pPr>
              <w:spacing w:line="240" w:lineRule="auto"/>
              <w:jc w:val="right"/>
            </w:pPr>
            <w:r>
              <w:rPr>
                <w:rFonts w:ascii="宋体" w:hAnsi="宋体" w:eastAsia="宋体" w:cs="宋体"/>
                <w:b w:val="0"/>
              </w:rPr>
              <w:t>75,463</w:t>
            </w:r>
          </w:p>
        </w:tc>
        <w:tc>
          <w:tcPr>
            <w:tcW w:w="0" w:type="dxa"/>
            <w:vAlign w:val="center"/>
          </w:tcPr>
          <w:p>
            <w:pPr>
              <w:spacing w:line="240" w:lineRule="auto"/>
              <w:jc w:val="right"/>
            </w:pPr>
            <w:r>
              <w:rPr>
                <w:rFonts w:ascii="宋体" w:hAnsi="宋体" w:eastAsia="宋体" w:cs="宋体"/>
                <w:b w:val="0"/>
              </w:rPr>
              <w:t>39,625,621.30</w:t>
            </w:r>
          </w:p>
        </w:tc>
        <w:tc>
          <w:tcPr>
            <w:tcW w:w="0" w:type="dxa"/>
            <w:vAlign w:val="center"/>
          </w:tcPr>
          <w:p>
            <w:pPr>
              <w:spacing w:line="240" w:lineRule="auto"/>
              <w:jc w:val="right"/>
            </w:pPr>
            <w:r>
              <w:rPr>
                <w:rFonts w:ascii="宋体" w:hAnsi="宋体" w:eastAsia="宋体" w:cs="宋体"/>
                <w:b w:val="0"/>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688082</w:t>
            </w:r>
          </w:p>
        </w:tc>
        <w:tc>
          <w:tcPr>
            <w:tcW w:w="0" w:type="dxa"/>
            <w:vAlign w:val="center"/>
          </w:tcPr>
          <w:p>
            <w:pPr>
              <w:spacing w:line="240" w:lineRule="auto"/>
              <w:jc w:val="left"/>
            </w:pPr>
            <w:r>
              <w:rPr>
                <w:rFonts w:ascii="宋体" w:hAnsi="宋体" w:eastAsia="宋体" w:cs="宋体"/>
                <w:b w:val="0"/>
              </w:rPr>
              <w:t>盛美上海</w:t>
            </w:r>
          </w:p>
        </w:tc>
        <w:tc>
          <w:tcPr>
            <w:tcW w:w="0" w:type="dxa"/>
            <w:vAlign w:val="center"/>
          </w:tcPr>
          <w:p>
            <w:pPr>
              <w:spacing w:line="240" w:lineRule="auto"/>
              <w:jc w:val="right"/>
            </w:pPr>
            <w:r>
              <w:rPr>
                <w:rFonts w:ascii="宋体" w:hAnsi="宋体" w:eastAsia="宋体" w:cs="宋体"/>
                <w:b w:val="0"/>
              </w:rPr>
              <w:t>86,838</w:t>
            </w:r>
          </w:p>
        </w:tc>
        <w:tc>
          <w:tcPr>
            <w:tcW w:w="0" w:type="dxa"/>
            <w:vAlign w:val="center"/>
          </w:tcPr>
          <w:p>
            <w:pPr>
              <w:spacing w:line="240" w:lineRule="auto"/>
              <w:jc w:val="right"/>
            </w:pPr>
            <w:r>
              <w:rPr>
                <w:rFonts w:ascii="宋体" w:hAnsi="宋体" w:eastAsia="宋体" w:cs="宋体"/>
                <w:b w:val="0"/>
              </w:rPr>
              <w:t>37,514,016.00</w:t>
            </w:r>
          </w:p>
        </w:tc>
        <w:tc>
          <w:tcPr>
            <w:tcW w:w="0" w:type="dxa"/>
            <w:vAlign w:val="center"/>
          </w:tcPr>
          <w:p>
            <w:pPr>
              <w:spacing w:line="240" w:lineRule="auto"/>
              <w:jc w:val="right"/>
            </w:pPr>
            <w:r>
              <w:rPr>
                <w:rFonts w:ascii="宋体" w:hAnsi="宋体" w:eastAsia="宋体" w:cs="宋体"/>
                <w:b w:val="0"/>
              </w:rPr>
              <w:t>4.02</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19,547,131.37</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19,547,131.37</w:t>
            </w:r>
          </w:p>
        </w:tc>
        <w:tc>
          <w:tcPr>
            <w:tcW w:w="0" w:type="dxa"/>
            <w:vAlign w:val="center"/>
          </w:tcPr>
          <w:p>
            <w:pPr>
              <w:spacing w:line="240" w:lineRule="auto"/>
              <w:jc w:val="right"/>
            </w:pPr>
            <w:r>
              <w:rPr>
                <w:rFonts w:ascii="宋体" w:hAnsi="宋体" w:eastAsia="宋体" w:cs="宋体"/>
                <w:b w:val="0"/>
              </w:rPr>
              <w:t>2.09</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178,000</w:t>
            </w:r>
          </w:p>
        </w:tc>
        <w:tc>
          <w:tcPr>
            <w:tcW w:w="0" w:type="dxa"/>
            <w:vAlign w:val="center"/>
          </w:tcPr>
          <w:p>
            <w:pPr>
              <w:spacing w:line="240" w:lineRule="auto"/>
              <w:jc w:val="right"/>
            </w:pPr>
            <w:r>
              <w:rPr>
                <w:rFonts w:ascii="宋体" w:hAnsi="宋体" w:eastAsia="宋体" w:cs="宋体"/>
                <w:b w:val="0"/>
              </w:rPr>
              <w:t>17,829,294.41</w:t>
            </w:r>
          </w:p>
        </w:tc>
        <w:tc>
          <w:tcPr>
            <w:tcW w:w="0" w:type="dxa"/>
            <w:vAlign w:val="center"/>
          </w:tcPr>
          <w:p>
            <w:pPr>
              <w:spacing w:line="240" w:lineRule="auto"/>
              <w:jc w:val="right"/>
            </w:pPr>
            <w:r>
              <w:rPr>
                <w:rFonts w:ascii="宋体" w:hAnsi="宋体" w:eastAsia="宋体" w:cs="宋体"/>
                <w:b w:val="0"/>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019792</w:t>
            </w:r>
          </w:p>
        </w:tc>
        <w:tc>
          <w:tcPr>
            <w:tcW w:w="0" w:type="dxa"/>
            <w:vAlign w:val="center"/>
          </w:tcPr>
          <w:p>
            <w:pPr>
              <w:spacing w:line="240" w:lineRule="auto"/>
              <w:jc w:val="left"/>
            </w:pPr>
            <w:r>
              <w:rPr>
                <w:rFonts w:ascii="宋体" w:hAnsi="宋体" w:eastAsia="宋体" w:cs="宋体"/>
                <w:b w:val="0"/>
              </w:rPr>
              <w:t>25国债19</w:t>
            </w:r>
          </w:p>
        </w:tc>
        <w:tc>
          <w:tcPr>
            <w:tcW w:w="0" w:type="dxa"/>
            <w:vAlign w:val="center"/>
          </w:tcPr>
          <w:p>
            <w:pPr>
              <w:spacing w:line="240" w:lineRule="auto"/>
              <w:jc w:val="right"/>
            </w:pPr>
            <w:r>
              <w:rPr>
                <w:rFonts w:ascii="宋体" w:hAnsi="宋体" w:eastAsia="宋体" w:cs="宋体"/>
                <w:b w:val="0"/>
              </w:rPr>
              <w:t>17,000</w:t>
            </w:r>
          </w:p>
        </w:tc>
        <w:tc>
          <w:tcPr>
            <w:tcW w:w="0" w:type="dxa"/>
            <w:vAlign w:val="center"/>
          </w:tcPr>
          <w:p>
            <w:pPr>
              <w:spacing w:line="240" w:lineRule="auto"/>
              <w:jc w:val="right"/>
            </w:pPr>
            <w:r>
              <w:rPr>
                <w:rFonts w:ascii="宋体" w:hAnsi="宋体" w:eastAsia="宋体" w:cs="宋体"/>
                <w:b w:val="0"/>
              </w:rPr>
              <w:t>1,717,836.96</w:t>
            </w:r>
          </w:p>
        </w:tc>
        <w:tc>
          <w:tcPr>
            <w:tcW w:w="0" w:type="dxa"/>
            <w:vAlign w:val="center"/>
          </w:tcPr>
          <w:p>
            <w:pPr>
              <w:spacing w:line="240" w:lineRule="auto"/>
              <w:jc w:val="right"/>
            </w:pPr>
            <w:r>
              <w:rPr>
                <w:rFonts w:ascii="宋体" w:hAnsi="宋体" w:eastAsia="宋体" w:cs="宋体"/>
                <w:b w:val="0"/>
              </w:rPr>
              <w:t>0.18</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145,148,778.30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145,148,778.30</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238"/>
        <w:gridCol w:w="1238"/>
        <w:gridCol w:w="2167"/>
        <w:gridCol w:w="185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615" w:type="pct"/>
            <w:shd w:val="clear" w:color="auto" w:fill="D9D9D9"/>
            <w:vAlign w:val="center"/>
          </w:tcPr>
          <w:p>
            <w:pPr>
              <w:spacing w:line="240" w:lineRule="auto"/>
              <w:jc w:val="center"/>
            </w:pPr>
            <w:r>
              <w:rPr>
                <w:rFonts w:ascii="宋体" w:hAnsi="宋体" w:eastAsia="宋体" w:cs="宋体"/>
                <w:b w:val="0"/>
              </w:rPr>
              <w:t>股票代码</w:t>
            </w:r>
          </w:p>
        </w:tc>
        <w:tc>
          <w:tcPr>
            <w:tcW w:w="615" w:type="pct"/>
            <w:shd w:val="clear" w:color="auto" w:fill="D9D9D9"/>
            <w:vAlign w:val="center"/>
          </w:tcPr>
          <w:p>
            <w:pPr>
              <w:spacing w:line="240" w:lineRule="auto"/>
              <w:jc w:val="center"/>
            </w:pPr>
            <w:r>
              <w:rPr>
                <w:rFonts w:ascii="宋体" w:hAnsi="宋体" w:eastAsia="宋体" w:cs="宋体"/>
                <w:b w:val="0"/>
              </w:rPr>
              <w:t>股票名称</w:t>
            </w:r>
          </w:p>
        </w:tc>
        <w:tc>
          <w:tcPr>
            <w:tcW w:w="1077" w:type="pct"/>
            <w:shd w:val="clear" w:color="auto" w:fill="D9D9D9"/>
            <w:vAlign w:val="center"/>
          </w:tcPr>
          <w:p>
            <w:pPr>
              <w:spacing w:line="240" w:lineRule="auto"/>
              <w:jc w:val="center"/>
            </w:pPr>
            <w:r>
              <w:rPr>
                <w:rFonts w:ascii="宋体" w:hAnsi="宋体" w:eastAsia="宋体" w:cs="宋体"/>
                <w:b w:val="0"/>
              </w:rPr>
              <w:t>流通受限部分的公允价值（元）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c>
          <w:tcPr>
            <w:tcW w:w="923" w:type="pct"/>
            <w:shd w:val="clear" w:color="auto" w:fill="D9D9D9"/>
            <w:vAlign w:val="center"/>
          </w:tcPr>
          <w:p>
            <w:pPr>
              <w:spacing w:line="240" w:lineRule="auto"/>
              <w:jc w:val="center"/>
            </w:pPr>
            <w:r>
              <w:rPr>
                <w:rFonts w:ascii="宋体" w:hAnsi="宋体" w:eastAsia="宋体" w:cs="宋体"/>
                <w:b w:val="0"/>
              </w:rPr>
              <w:t>流通受限情况说明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688072</w:t>
            </w:r>
          </w:p>
        </w:tc>
        <w:tc>
          <w:tcPr>
            <w:tcW w:w="0" w:type="dxa"/>
            <w:vAlign w:val="center"/>
          </w:tcPr>
          <w:p>
            <w:pPr>
              <w:spacing w:line="240" w:lineRule="auto"/>
              <w:jc w:val="left"/>
            </w:pPr>
            <w:r>
              <w:rPr>
                <w:rFonts w:ascii="宋体" w:hAnsi="宋体" w:eastAsia="宋体" w:cs="宋体"/>
                <w:b w:val="0"/>
              </w:rPr>
              <w:t>拓荆科技</w:t>
            </w:r>
          </w:p>
        </w:tc>
        <w:tc>
          <w:tcPr>
            <w:tcW w:w="0" w:type="dxa"/>
            <w:vAlign w:val="center"/>
          </w:tcPr>
          <w:p>
            <w:pPr>
              <w:spacing w:line="240" w:lineRule="auto"/>
              <w:jc w:val="right"/>
            </w:pPr>
            <w:r>
              <w:rPr>
                <w:rFonts w:ascii="宋体" w:hAnsi="宋体" w:eastAsia="宋体" w:cs="宋体"/>
                <w:b w:val="0"/>
              </w:rPr>
              <w:t>51,212,393.31</w:t>
            </w:r>
          </w:p>
        </w:tc>
        <w:tc>
          <w:tcPr>
            <w:tcW w:w="0" w:type="dxa"/>
            <w:vAlign w:val="center"/>
          </w:tcPr>
          <w:p>
            <w:pPr>
              <w:spacing w:line="240" w:lineRule="auto"/>
              <w:jc w:val="right"/>
            </w:pPr>
            <w:r>
              <w:rPr>
                <w:rFonts w:ascii="宋体" w:hAnsi="宋体" w:eastAsia="宋体" w:cs="宋体"/>
                <w:b w:val="0"/>
              </w:rPr>
              <w:t>5.48</w:t>
            </w:r>
          </w:p>
        </w:tc>
        <w:tc>
          <w:tcPr>
            <w:tcW w:w="0" w:type="dxa"/>
            <w:vAlign w:val="center"/>
          </w:tcPr>
          <w:p>
            <w:pPr>
              <w:spacing w:line="240" w:lineRule="auto"/>
              <w:jc w:val="left"/>
            </w:pPr>
            <w:r>
              <w:rPr>
                <w:rFonts w:ascii="宋体" w:hAnsi="宋体" w:eastAsia="宋体" w:cs="宋体"/>
                <w:b w:val="0"/>
              </w:rPr>
              <w:t>股票停牌</w:t>
            </w:r>
          </w:p>
        </w:tc>
      </w:tr>
    </w:tbl>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东方阿尔法科技优选混合发起A</w:t>
            </w:r>
          </w:p>
        </w:tc>
        <w:tc>
          <w:tcPr>
            <w:tcW w:w="1300" w:type="pct"/>
            <w:vAlign w:val="center"/>
          </w:tcPr>
          <w:p>
            <w:pPr>
              <w:spacing w:line="240" w:lineRule="auto"/>
              <w:jc w:val="center"/>
            </w:pPr>
            <w:r>
              <w:rPr>
                <w:rFonts w:ascii="宋体" w:hAnsi="宋体" w:eastAsia="宋体" w:cs="宋体"/>
                <w:b w:val="0"/>
              </w:rPr>
              <w:t>东方阿尔法科技优选混合发起C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23,616,227.40</w:t>
            </w:r>
          </w:p>
        </w:tc>
        <w:tc>
          <w:tcPr>
            <w:tcW w:w="1300" w:type="pct"/>
            <w:vAlign w:val="center"/>
          </w:tcPr>
          <w:p>
            <w:pPr>
              <w:spacing w:line="240" w:lineRule="auto"/>
              <w:jc w:val="right"/>
            </w:pPr>
            <w:r>
              <w:rPr>
                <w:rFonts w:ascii="宋体" w:hAnsi="宋体" w:eastAsia="宋体" w:cs="宋体"/>
                <w:b w:val="0"/>
              </w:rPr>
              <w:t>90,974,564.45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34,320,312.24</w:t>
            </w:r>
          </w:p>
        </w:tc>
        <w:tc>
          <w:tcPr>
            <w:tcW w:w="1300" w:type="pct"/>
            <w:vAlign w:val="center"/>
          </w:tcPr>
          <w:p>
            <w:pPr>
              <w:spacing w:line="240" w:lineRule="auto"/>
              <w:jc w:val="right"/>
            </w:pPr>
            <w:r>
              <w:rPr>
                <w:rFonts w:ascii="宋体" w:hAnsi="宋体" w:eastAsia="宋体" w:cs="宋体"/>
                <w:b w:val="0"/>
              </w:rPr>
              <w:t>590,211,533.23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21,945,638.44</w:t>
            </w:r>
          </w:p>
        </w:tc>
        <w:tc>
          <w:tcPr>
            <w:tcW w:w="1300" w:type="pct"/>
            <w:vAlign w:val="center"/>
          </w:tcPr>
          <w:p>
            <w:pPr>
              <w:spacing w:line="240" w:lineRule="auto"/>
              <w:jc w:val="right"/>
            </w:pPr>
            <w:r>
              <w:rPr>
                <w:rFonts w:ascii="宋体" w:hAnsi="宋体" w:eastAsia="宋体" w:cs="宋体"/>
                <w:b w:val="0"/>
              </w:rPr>
              <w:t>335,818,751.11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35,990,901.20</w:t>
            </w:r>
          </w:p>
        </w:tc>
        <w:tc>
          <w:tcPr>
            <w:tcW w:w="1300" w:type="pct"/>
            <w:vAlign w:val="center"/>
          </w:tcPr>
          <w:p>
            <w:pPr>
              <w:spacing w:line="240" w:lineRule="auto"/>
              <w:jc w:val="right"/>
            </w:pPr>
            <w:r>
              <w:rPr>
                <w:rFonts w:ascii="宋体" w:hAnsi="宋体" w:eastAsia="宋体" w:cs="宋体"/>
                <w:b w:val="0"/>
              </w:rPr>
              <w:t>345,367,346.57</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right"/>
            </w:pPr>
            <w:r>
              <w:rPr>
                <w:rFonts w:ascii="宋体" w:hAnsi="宋体" w:eastAsia="宋体" w:cs="宋体"/>
                <w:b w:val="0"/>
              </w:rPr>
              <w:t>10,000,388.92</w:t>
            </w:r>
          </w:p>
        </w:tc>
        <w:tc>
          <w:tcPr>
            <w:tcW w:w="0" w:type="dxa"/>
            <w:vAlign w:val="center"/>
          </w:tcPr>
          <w:p>
            <w:pPr>
              <w:spacing w:line="240" w:lineRule="auto"/>
              <w:jc w:val="right"/>
            </w:pPr>
            <w:r>
              <w:rPr>
                <w:rFonts w:ascii="宋体" w:hAnsi="宋体" w:eastAsia="宋体" w:cs="宋体"/>
                <w:b w:val="0"/>
              </w:rPr>
              <w:t>2.62%</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2026年6月，基金托管人中信银行股份有限公司聘任王坚为资产托管部总经理，待获得基金从业资格并履行备案程序后正式履职。</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1、中国证券监督管理委员会批准的东方阿尔法科技优选混合型发起式证券投资基金设立的文件；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2、《东方阿尔法科技优选混合型发起式证券投资基金基金合同》；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3、《东方阿尔法科技优选混合型发起式证券投资基金托管协议》；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4、《东方阿尔法科技优选混合型发起式证券投资基金招募说明书》（含更新）；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东方阿尔法科技优选混合型发起式证券投资基金2026年第2季度报告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5036F50"/>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0</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2026-07-14T03:18:45Z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