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bookmarkStart w:id="1" w:name="_GoBack"/>
      <w:bookmarkEnd w:id="1"/>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东方阿尔法瑞丰混合型发起式证券投资基金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2026年第2季度报告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2026年06月30日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中国农业银行股份有限公司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2026年07月20日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基金托管人中国农业银行股份有限公司根据本基金合同规定，于2026年07月14日复核了本报告中的财务指标、净值表现和投资组合报告等内容，保证复核内容不存在虚假记载、误导性陈述或者重大遗漏。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本报告期自2026年04月01日起至2026年06月30日止。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东方阿尔法瑞丰混合发起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018362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2023年05月12日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258,523,847.78份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本基金在严格控制风险的基础之上，通过深入研究、优选个股、主动的投资管理方式力求实现组合资产的稳健增值。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本基金将根据国内外宏观经济情况、国内外证券市场估值水平阶段性不断调整权益类资产和其他资产之间的大类资产配置比例。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2、个股优选策略</w:t>
            </w:r>
            <w:r>
              <w:rPr>
                <w:rFonts w:ascii="宋体" w:hAnsi="宋体" w:eastAsia="宋体" w:cs="宋体"/>
                <w:b w:val="0"/>
              </w:rPr>
              <w:br w:type="textWrapping"/>
            </w:r>
            <w:r>
              <w:rPr>
                <w:rFonts w:ascii="宋体" w:hAnsi="宋体" w:eastAsia="宋体" w:cs="宋体"/>
                <w:b w:val="0"/>
              </w:rPr>
              <w:t>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 xml:space="preserve">3、港股投资策略 </w:t>
            </w:r>
            <w:r>
              <w:rPr>
                <w:rFonts w:ascii="宋体" w:hAnsi="宋体" w:eastAsia="宋体" w:cs="宋体"/>
                <w:b w:val="0"/>
              </w:rPr>
              <w:br w:type="textWrapping"/>
            </w:r>
            <w:r>
              <w:rPr>
                <w:rFonts w:ascii="宋体" w:hAnsi="宋体" w:eastAsia="宋体" w:cs="宋体"/>
                <w:b w:val="0"/>
              </w:rPr>
              <w:t>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4、债券类资产投资策略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5、可转债（含分离交易可转债）及可交换债券投资策略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6、股指期货投资策略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7、融资业务投资策略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8、国债期货投资策略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9、资产支持证券投资策略</w:t>
            </w:r>
            <w:r>
              <w:rPr>
                <w:rFonts w:ascii="宋体" w:hAnsi="宋体" w:eastAsia="宋体" w:cs="宋体"/>
                <w:b w:val="0"/>
              </w:rPr>
              <w:br w:type="textWrapping"/>
            </w:r>
            <w:r>
              <w:rPr>
                <w:rFonts w:ascii="宋体" w:hAnsi="宋体" w:eastAsia="宋体" w:cs="宋体"/>
                <w:b w:val="0"/>
              </w:rPr>
              <w:t>本基金将综合运用久期管理、收益率曲线、个券选择以及把握市场交易机会等积极策略，在严格控制风险的情况下，结合信用研究和流动性管理，选择风险调整后收益高的品种进行投资，以期获得长期稳定收益。</w:t>
            </w:r>
            <w:r>
              <w:rPr>
                <w:rFonts w:ascii="宋体" w:hAnsi="宋体" w:eastAsia="宋体" w:cs="宋体"/>
                <w:b w:val="0"/>
              </w:rPr>
              <w:br w:type="textWrapping"/>
            </w:r>
            <w:r>
              <w:rPr>
                <w:rFonts w:ascii="宋体" w:hAnsi="宋体" w:eastAsia="宋体" w:cs="宋体"/>
                <w:b w:val="0"/>
              </w:rPr>
              <w:t xml:space="preserve">10、股票期权投资策略 </w:t>
            </w:r>
            <w:r>
              <w:rPr>
                <w:rFonts w:ascii="宋体" w:hAnsi="宋体" w:eastAsia="宋体" w:cs="宋体"/>
                <w:b w:val="0"/>
              </w:rPr>
              <w:br w:type="textWrapping"/>
            </w:r>
            <w:r>
              <w:rPr>
                <w:rFonts w:ascii="宋体" w:hAnsi="宋体" w:eastAsia="宋体" w:cs="宋体"/>
                <w:b w:val="0"/>
              </w:rPr>
              <w:t>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11、存托凭证投资策略</w:t>
            </w:r>
            <w:r>
              <w:rPr>
                <w:rFonts w:ascii="宋体" w:hAnsi="宋体" w:eastAsia="宋体" w:cs="宋体"/>
                <w:b w:val="0"/>
              </w:rPr>
              <w:br w:type="textWrapping"/>
            </w:r>
            <w:r>
              <w:rPr>
                <w:rFonts w:ascii="宋体" w:hAnsi="宋体" w:eastAsia="宋体" w:cs="宋体"/>
                <w:b w:val="0"/>
              </w:rPr>
              <w:t>本基金在深入研究的基础上，通过定性分析和定量分析相结合的方式，选择投资价值高的存托凭证进行投资。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中证800指数收益率×60%+中证综合债券指数收益率×20%+恒生指数收益率×20%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中国农业银行股份有限公司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东方阿尔法瑞丰混合发起A</w:t>
            </w:r>
          </w:p>
        </w:tc>
        <w:tc>
          <w:tcPr>
            <w:tcW w:w="1500" w:type="pct"/>
            <w:vAlign w:val="center"/>
          </w:tcPr>
          <w:p>
            <w:pPr>
              <w:spacing w:line="240" w:lineRule="auto"/>
              <w:jc w:val="left"/>
            </w:pPr>
            <w:r>
              <w:rPr>
                <w:rFonts w:ascii="宋体" w:hAnsi="宋体" w:eastAsia="宋体" w:cs="宋体"/>
                <w:b w:val="0"/>
              </w:rPr>
              <w:t>东方阿尔法瑞丰混合发起C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018362</w:t>
            </w:r>
          </w:p>
        </w:tc>
        <w:tc>
          <w:tcPr>
            <w:tcW w:w="1500" w:type="pct"/>
            <w:vAlign w:val="center"/>
          </w:tcPr>
          <w:p>
            <w:pPr>
              <w:spacing w:line="240" w:lineRule="auto"/>
              <w:jc w:val="left"/>
            </w:pPr>
            <w:r>
              <w:rPr>
                <w:rFonts w:ascii="宋体" w:hAnsi="宋体" w:eastAsia="宋体" w:cs="宋体"/>
                <w:b w:val="0"/>
              </w:rPr>
              <w:t>018363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31,965,195.80份</w:t>
            </w:r>
          </w:p>
        </w:tc>
        <w:tc>
          <w:tcPr>
            <w:tcW w:w="1500" w:type="pct"/>
            <w:vAlign w:val="center"/>
          </w:tcPr>
          <w:p>
            <w:pPr>
              <w:spacing w:line="240" w:lineRule="auto"/>
              <w:jc w:val="left"/>
            </w:pPr>
            <w:r>
              <w:rPr>
                <w:rFonts w:ascii="宋体" w:hAnsi="宋体" w:eastAsia="宋体" w:cs="宋体"/>
                <w:b w:val="0"/>
              </w:rPr>
              <w:t>226,558,651.98份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报告期（2026年04月01日-2026年06月30日）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东方阿尔法瑞丰混合发起A</w:t>
            </w:r>
          </w:p>
        </w:tc>
        <w:tc>
          <w:tcPr>
            <w:tcW w:w="1500" w:type="pct"/>
            <w:shd w:val="clear" w:color="auto" w:fill="D9D9D9"/>
            <w:vAlign w:val="center"/>
          </w:tcPr>
          <w:p>
            <w:pPr>
              <w:spacing w:line="240" w:lineRule="auto"/>
              <w:jc w:val="center"/>
            </w:pPr>
            <w:r>
              <w:rPr>
                <w:rFonts w:ascii="宋体" w:hAnsi="宋体" w:eastAsia="宋体" w:cs="宋体"/>
                <w:b w:val="0"/>
              </w:rPr>
              <w:t>东方阿尔法瑞丰混合发起C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-1,707,178.30</w:t>
            </w:r>
          </w:p>
        </w:tc>
        <w:tc>
          <w:tcPr>
            <w:tcW w:w="1500" w:type="pct"/>
            <w:vAlign w:val="center"/>
          </w:tcPr>
          <w:p>
            <w:pPr>
              <w:spacing w:line="240" w:lineRule="auto"/>
              <w:jc w:val="right"/>
            </w:pPr>
            <w:r>
              <w:rPr>
                <w:rFonts w:ascii="宋体" w:hAnsi="宋体" w:eastAsia="宋体" w:cs="宋体"/>
                <w:b w:val="0"/>
              </w:rPr>
              <w:t>-15,104,887.38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5,532,553.19</w:t>
            </w:r>
          </w:p>
        </w:tc>
        <w:tc>
          <w:tcPr>
            <w:tcW w:w="1500" w:type="pct"/>
            <w:vAlign w:val="center"/>
          </w:tcPr>
          <w:p>
            <w:pPr>
              <w:spacing w:line="240" w:lineRule="auto"/>
              <w:jc w:val="right"/>
            </w:pPr>
            <w:r>
              <w:rPr>
                <w:rFonts w:ascii="宋体" w:hAnsi="宋体" w:eastAsia="宋体" w:cs="宋体"/>
                <w:b w:val="0"/>
              </w:rPr>
              <w:t>36,900,527.45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0.1485</w:t>
            </w:r>
          </w:p>
        </w:tc>
        <w:tc>
          <w:tcPr>
            <w:tcW w:w="1500" w:type="pct"/>
            <w:vAlign w:val="center"/>
          </w:tcPr>
          <w:p>
            <w:pPr>
              <w:spacing w:line="240" w:lineRule="auto"/>
              <w:jc w:val="right"/>
            </w:pPr>
            <w:r>
              <w:rPr>
                <w:rFonts w:ascii="宋体" w:hAnsi="宋体" w:eastAsia="宋体" w:cs="宋体"/>
                <w:b w:val="0"/>
              </w:rPr>
              <w:t>0.1092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38,119,214.28</w:t>
            </w:r>
          </w:p>
        </w:tc>
        <w:tc>
          <w:tcPr>
            <w:tcW w:w="1500" w:type="pct"/>
            <w:vAlign w:val="center"/>
          </w:tcPr>
          <w:p>
            <w:pPr>
              <w:spacing w:line="240" w:lineRule="auto"/>
              <w:jc w:val="right"/>
            </w:pPr>
            <w:r>
              <w:rPr>
                <w:rFonts w:ascii="宋体" w:hAnsi="宋体" w:eastAsia="宋体" w:cs="宋体"/>
                <w:b w:val="0"/>
              </w:rPr>
              <w:t>266,768,329.76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1.1925</w:t>
            </w:r>
          </w:p>
        </w:tc>
        <w:tc>
          <w:tcPr>
            <w:tcW w:w="1500" w:type="pct"/>
            <w:vAlign w:val="center"/>
          </w:tcPr>
          <w:p>
            <w:pPr>
              <w:spacing w:line="240" w:lineRule="auto"/>
              <w:jc w:val="right"/>
            </w:pPr>
            <w:r>
              <w:rPr>
                <w:rFonts w:ascii="宋体" w:hAnsi="宋体" w:eastAsia="宋体" w:cs="宋体"/>
                <w:b w:val="0"/>
              </w:rPr>
              <w:t>1.1775</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br w:type="textWrapping"/>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东方阿尔法瑞丰混合发起A净值表现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11.32%</w:t>
            </w:r>
          </w:p>
        </w:tc>
        <w:tc>
          <w:tcPr>
            <w:tcW w:w="0" w:type="dxa"/>
            <w:vAlign w:val="center"/>
          </w:tcPr>
          <w:p>
            <w:pPr>
              <w:spacing w:line="240" w:lineRule="auto"/>
              <w:jc w:val="right"/>
            </w:pPr>
            <w:r>
              <w:rPr>
                <w:rFonts w:ascii="宋体" w:hAnsi="宋体" w:eastAsia="宋体" w:cs="宋体"/>
                <w:b w:val="0"/>
              </w:rPr>
              <w:t>2.79%</w:t>
            </w:r>
          </w:p>
        </w:tc>
        <w:tc>
          <w:tcPr>
            <w:tcW w:w="0" w:type="dxa"/>
            <w:vAlign w:val="center"/>
          </w:tcPr>
          <w:p>
            <w:pPr>
              <w:spacing w:line="240" w:lineRule="auto"/>
              <w:jc w:val="right"/>
            </w:pPr>
            <w:r>
              <w:rPr>
                <w:rFonts w:ascii="宋体" w:hAnsi="宋体" w:eastAsia="宋体" w:cs="宋体"/>
                <w:b w:val="0"/>
              </w:rPr>
              <w:t>6.34%</w:t>
            </w:r>
          </w:p>
        </w:tc>
        <w:tc>
          <w:tcPr>
            <w:tcW w:w="0" w:type="dxa"/>
            <w:vAlign w:val="center"/>
          </w:tcPr>
          <w:p>
            <w:pPr>
              <w:spacing w:line="240" w:lineRule="auto"/>
              <w:jc w:val="right"/>
            </w:pPr>
            <w:r>
              <w:rPr>
                <w:rFonts w:ascii="宋体" w:hAnsi="宋体" w:eastAsia="宋体" w:cs="宋体"/>
                <w:b w:val="0"/>
              </w:rPr>
              <w:t>0.95%</w:t>
            </w:r>
          </w:p>
        </w:tc>
        <w:tc>
          <w:tcPr>
            <w:tcW w:w="0" w:type="dxa"/>
            <w:vAlign w:val="center"/>
          </w:tcPr>
          <w:p>
            <w:pPr>
              <w:spacing w:line="240" w:lineRule="auto"/>
              <w:jc w:val="right"/>
            </w:pPr>
            <w:r>
              <w:rPr>
                <w:rFonts w:ascii="宋体" w:hAnsi="宋体" w:eastAsia="宋体" w:cs="宋体"/>
                <w:b w:val="0"/>
              </w:rPr>
              <w:t>4.98%</w:t>
            </w:r>
          </w:p>
        </w:tc>
        <w:tc>
          <w:tcPr>
            <w:tcW w:w="0" w:type="dxa"/>
            <w:vAlign w:val="center"/>
          </w:tcPr>
          <w:p>
            <w:pPr>
              <w:spacing w:line="240" w:lineRule="auto"/>
              <w:jc w:val="right"/>
            </w:pPr>
            <w:r>
              <w:rPr>
                <w:rFonts w:ascii="宋体" w:hAnsi="宋体" w:eastAsia="宋体" w:cs="宋体"/>
                <w:b w:val="0"/>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19.38%</w:t>
            </w:r>
          </w:p>
        </w:tc>
        <w:tc>
          <w:tcPr>
            <w:tcW w:w="0" w:type="dxa"/>
            <w:vAlign w:val="center"/>
          </w:tcPr>
          <w:p>
            <w:pPr>
              <w:spacing w:line="240" w:lineRule="auto"/>
              <w:jc w:val="right"/>
            </w:pPr>
            <w:r>
              <w:rPr>
                <w:rFonts w:ascii="宋体" w:hAnsi="宋体" w:eastAsia="宋体" w:cs="宋体"/>
                <w:b w:val="0"/>
              </w:rPr>
              <w:t>3.30%</w:t>
            </w:r>
          </w:p>
        </w:tc>
        <w:tc>
          <w:tcPr>
            <w:tcW w:w="0" w:type="dxa"/>
            <w:vAlign w:val="center"/>
          </w:tcPr>
          <w:p>
            <w:pPr>
              <w:spacing w:line="240" w:lineRule="auto"/>
              <w:jc w:val="right"/>
            </w:pPr>
            <w:r>
              <w:rPr>
                <w:rFonts w:ascii="宋体" w:hAnsi="宋体" w:eastAsia="宋体" w:cs="宋体"/>
                <w:b w:val="0"/>
              </w:rPr>
              <w:t>3.97%</w:t>
            </w:r>
          </w:p>
        </w:tc>
        <w:tc>
          <w:tcPr>
            <w:tcW w:w="0" w:type="dxa"/>
            <w:vAlign w:val="center"/>
          </w:tcPr>
          <w:p>
            <w:pPr>
              <w:spacing w:line="240" w:lineRule="auto"/>
              <w:jc w:val="right"/>
            </w:pPr>
            <w:r>
              <w:rPr>
                <w:rFonts w:ascii="宋体" w:hAnsi="宋体" w:eastAsia="宋体" w:cs="宋体"/>
                <w:b w:val="0"/>
              </w:rPr>
              <w:t>0.92%</w:t>
            </w:r>
          </w:p>
        </w:tc>
        <w:tc>
          <w:tcPr>
            <w:tcW w:w="0" w:type="dxa"/>
            <w:vAlign w:val="center"/>
          </w:tcPr>
          <w:p>
            <w:pPr>
              <w:spacing w:line="240" w:lineRule="auto"/>
              <w:jc w:val="right"/>
            </w:pPr>
            <w:r>
              <w:rPr>
                <w:rFonts w:ascii="宋体" w:hAnsi="宋体" w:eastAsia="宋体" w:cs="宋体"/>
                <w:b w:val="0"/>
              </w:rPr>
              <w:t>15.41%</w:t>
            </w:r>
          </w:p>
        </w:tc>
        <w:tc>
          <w:tcPr>
            <w:tcW w:w="0" w:type="dxa"/>
            <w:vAlign w:val="center"/>
          </w:tcPr>
          <w:p>
            <w:pPr>
              <w:spacing w:line="240" w:lineRule="auto"/>
              <w:jc w:val="right"/>
            </w:pPr>
            <w:r>
              <w:rPr>
                <w:rFonts w:ascii="宋体" w:hAnsi="宋体" w:eastAsia="宋体" w:cs="宋体"/>
                <w:b w:val="0"/>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24.30%</w:t>
            </w:r>
          </w:p>
        </w:tc>
        <w:tc>
          <w:tcPr>
            <w:tcW w:w="0" w:type="dxa"/>
            <w:vAlign w:val="center"/>
          </w:tcPr>
          <w:p>
            <w:pPr>
              <w:spacing w:line="240" w:lineRule="auto"/>
              <w:jc w:val="right"/>
            </w:pPr>
            <w:r>
              <w:rPr>
                <w:rFonts w:ascii="宋体" w:hAnsi="宋体" w:eastAsia="宋体" w:cs="宋体"/>
                <w:b w:val="0"/>
              </w:rPr>
              <w:t>2.65%</w:t>
            </w:r>
          </w:p>
        </w:tc>
        <w:tc>
          <w:tcPr>
            <w:tcW w:w="0" w:type="dxa"/>
            <w:vAlign w:val="center"/>
          </w:tcPr>
          <w:p>
            <w:pPr>
              <w:spacing w:line="240" w:lineRule="auto"/>
              <w:jc w:val="right"/>
            </w:pPr>
            <w:r>
              <w:rPr>
                <w:rFonts w:ascii="宋体" w:hAnsi="宋体" w:eastAsia="宋体" w:cs="宋体"/>
                <w:b w:val="0"/>
              </w:rPr>
              <w:t>17.24%</w:t>
            </w:r>
          </w:p>
        </w:tc>
        <w:tc>
          <w:tcPr>
            <w:tcW w:w="0" w:type="dxa"/>
            <w:vAlign w:val="center"/>
          </w:tcPr>
          <w:p>
            <w:pPr>
              <w:spacing w:line="240" w:lineRule="auto"/>
              <w:jc w:val="right"/>
            </w:pPr>
            <w:r>
              <w:rPr>
                <w:rFonts w:ascii="宋体" w:hAnsi="宋体" w:eastAsia="宋体" w:cs="宋体"/>
                <w:b w:val="0"/>
              </w:rPr>
              <w:t>0.82%</w:t>
            </w:r>
          </w:p>
        </w:tc>
        <w:tc>
          <w:tcPr>
            <w:tcW w:w="0" w:type="dxa"/>
            <w:vAlign w:val="center"/>
          </w:tcPr>
          <w:p>
            <w:pPr>
              <w:spacing w:line="240" w:lineRule="auto"/>
              <w:jc w:val="right"/>
            </w:pPr>
            <w:r>
              <w:rPr>
                <w:rFonts w:ascii="宋体" w:hAnsi="宋体" w:eastAsia="宋体" w:cs="宋体"/>
                <w:b w:val="0"/>
              </w:rPr>
              <w:t>7.06%</w:t>
            </w:r>
          </w:p>
        </w:tc>
        <w:tc>
          <w:tcPr>
            <w:tcW w:w="0" w:type="dxa"/>
            <w:vAlign w:val="center"/>
          </w:tcPr>
          <w:p>
            <w:pPr>
              <w:spacing w:line="240" w:lineRule="auto"/>
              <w:jc w:val="right"/>
            </w:pPr>
            <w:r>
              <w:rPr>
                <w:rFonts w:ascii="宋体" w:hAnsi="宋体" w:eastAsia="宋体" w:cs="宋体"/>
                <w:b w:val="0"/>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21.93%</w:t>
            </w:r>
          </w:p>
        </w:tc>
        <w:tc>
          <w:tcPr>
            <w:tcW w:w="0" w:type="dxa"/>
            <w:vAlign w:val="center"/>
          </w:tcPr>
          <w:p>
            <w:pPr>
              <w:spacing w:line="240" w:lineRule="auto"/>
              <w:jc w:val="right"/>
            </w:pPr>
            <w:r>
              <w:rPr>
                <w:rFonts w:ascii="宋体" w:hAnsi="宋体" w:eastAsia="宋体" w:cs="宋体"/>
                <w:b w:val="0"/>
              </w:rPr>
              <w:t>2.03%</w:t>
            </w:r>
          </w:p>
        </w:tc>
        <w:tc>
          <w:tcPr>
            <w:tcW w:w="0" w:type="dxa"/>
            <w:vAlign w:val="center"/>
          </w:tcPr>
          <w:p>
            <w:pPr>
              <w:spacing w:line="240" w:lineRule="auto"/>
              <w:jc w:val="right"/>
            </w:pPr>
            <w:r>
              <w:rPr>
                <w:rFonts w:ascii="宋体" w:hAnsi="宋体" w:eastAsia="宋体" w:cs="宋体"/>
                <w:b w:val="0"/>
              </w:rPr>
              <w:t>27.92%</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-5.99%</w:t>
            </w:r>
          </w:p>
        </w:tc>
        <w:tc>
          <w:tcPr>
            <w:tcW w:w="0" w:type="dxa"/>
            <w:vAlign w:val="center"/>
          </w:tcPr>
          <w:p>
            <w:pPr>
              <w:spacing w:line="240" w:lineRule="auto"/>
              <w:jc w:val="right"/>
            </w:pPr>
            <w:r>
              <w:rPr>
                <w:rFonts w:ascii="宋体" w:hAnsi="宋体" w:eastAsia="宋体" w:cs="宋体"/>
                <w:b w:val="0"/>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19.25%</w:t>
            </w:r>
          </w:p>
        </w:tc>
        <w:tc>
          <w:tcPr>
            <w:tcW w:w="0" w:type="dxa"/>
            <w:vAlign w:val="center"/>
          </w:tcPr>
          <w:p>
            <w:pPr>
              <w:spacing w:line="240" w:lineRule="auto"/>
              <w:jc w:val="right"/>
            </w:pPr>
            <w:r>
              <w:rPr>
                <w:rFonts w:ascii="宋体" w:hAnsi="宋体" w:eastAsia="宋体" w:cs="宋体"/>
                <w:b w:val="0"/>
              </w:rPr>
              <w:t>1.99%</w:t>
            </w:r>
          </w:p>
        </w:tc>
        <w:tc>
          <w:tcPr>
            <w:tcW w:w="0" w:type="dxa"/>
            <w:vAlign w:val="center"/>
          </w:tcPr>
          <w:p>
            <w:pPr>
              <w:spacing w:line="240" w:lineRule="auto"/>
              <w:jc w:val="right"/>
            </w:pPr>
            <w:r>
              <w:rPr>
                <w:rFonts w:ascii="宋体" w:hAnsi="宋体" w:eastAsia="宋体" w:cs="宋体"/>
                <w:b w:val="0"/>
              </w:rPr>
              <w:t>25.54%</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-6.29%</w:t>
            </w:r>
          </w:p>
        </w:tc>
        <w:tc>
          <w:tcPr>
            <w:tcW w:w="0" w:type="dxa"/>
            <w:vAlign w:val="center"/>
          </w:tcPr>
          <w:p>
            <w:pPr>
              <w:spacing w:line="240" w:lineRule="auto"/>
              <w:jc w:val="right"/>
            </w:pPr>
            <w:r>
              <w:rPr>
                <w:rFonts w:ascii="宋体" w:hAnsi="宋体" w:eastAsia="宋体" w:cs="宋体"/>
                <w:b w:val="0"/>
              </w:rPr>
              <w:t>1.09%</w:t>
            </w:r>
          </w:p>
        </w:tc>
      </w:tr>
    </w:tbl>
    <w:p>
      <w:pPr>
        <w:jc w:val="left"/>
      </w:pPr>
      <w:r>
        <w:rPr>
          <w:rFonts w:ascii="宋体" w:hAnsi="宋体" w:eastAsia="宋体" w:cs="宋体"/>
          <w:b/>
        </w:rPr>
        <w:t>东方阿尔法瑞丰混合发起C净值表现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11.18%</w:t>
            </w:r>
          </w:p>
        </w:tc>
        <w:tc>
          <w:tcPr>
            <w:tcW w:w="0" w:type="dxa"/>
            <w:vAlign w:val="center"/>
          </w:tcPr>
          <w:p>
            <w:pPr>
              <w:spacing w:line="240" w:lineRule="auto"/>
              <w:jc w:val="right"/>
            </w:pPr>
            <w:r>
              <w:rPr>
                <w:rFonts w:ascii="宋体" w:hAnsi="宋体" w:eastAsia="宋体" w:cs="宋体"/>
                <w:b w:val="0"/>
              </w:rPr>
              <w:t>2.79%</w:t>
            </w:r>
          </w:p>
        </w:tc>
        <w:tc>
          <w:tcPr>
            <w:tcW w:w="0" w:type="dxa"/>
            <w:vAlign w:val="center"/>
          </w:tcPr>
          <w:p>
            <w:pPr>
              <w:spacing w:line="240" w:lineRule="auto"/>
              <w:jc w:val="right"/>
            </w:pPr>
            <w:r>
              <w:rPr>
                <w:rFonts w:ascii="宋体" w:hAnsi="宋体" w:eastAsia="宋体" w:cs="宋体"/>
                <w:b w:val="0"/>
              </w:rPr>
              <w:t>6.34%</w:t>
            </w:r>
          </w:p>
        </w:tc>
        <w:tc>
          <w:tcPr>
            <w:tcW w:w="0" w:type="dxa"/>
            <w:vAlign w:val="center"/>
          </w:tcPr>
          <w:p>
            <w:pPr>
              <w:spacing w:line="240" w:lineRule="auto"/>
              <w:jc w:val="right"/>
            </w:pPr>
            <w:r>
              <w:rPr>
                <w:rFonts w:ascii="宋体" w:hAnsi="宋体" w:eastAsia="宋体" w:cs="宋体"/>
                <w:b w:val="0"/>
              </w:rPr>
              <w:t>0.95%</w:t>
            </w:r>
          </w:p>
        </w:tc>
        <w:tc>
          <w:tcPr>
            <w:tcW w:w="0" w:type="dxa"/>
            <w:vAlign w:val="center"/>
          </w:tcPr>
          <w:p>
            <w:pPr>
              <w:spacing w:line="240" w:lineRule="auto"/>
              <w:jc w:val="right"/>
            </w:pPr>
            <w:r>
              <w:rPr>
                <w:rFonts w:ascii="宋体" w:hAnsi="宋体" w:eastAsia="宋体" w:cs="宋体"/>
                <w:b w:val="0"/>
              </w:rPr>
              <w:t>4.84%</w:t>
            </w:r>
          </w:p>
        </w:tc>
        <w:tc>
          <w:tcPr>
            <w:tcW w:w="0" w:type="dxa"/>
            <w:vAlign w:val="center"/>
          </w:tcPr>
          <w:p>
            <w:pPr>
              <w:spacing w:line="240" w:lineRule="auto"/>
              <w:jc w:val="right"/>
            </w:pPr>
            <w:r>
              <w:rPr>
                <w:rFonts w:ascii="宋体" w:hAnsi="宋体" w:eastAsia="宋体" w:cs="宋体"/>
                <w:b w:val="0"/>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19.10%</w:t>
            </w:r>
          </w:p>
        </w:tc>
        <w:tc>
          <w:tcPr>
            <w:tcW w:w="0" w:type="dxa"/>
            <w:vAlign w:val="center"/>
          </w:tcPr>
          <w:p>
            <w:pPr>
              <w:spacing w:line="240" w:lineRule="auto"/>
              <w:jc w:val="right"/>
            </w:pPr>
            <w:r>
              <w:rPr>
                <w:rFonts w:ascii="宋体" w:hAnsi="宋体" w:eastAsia="宋体" w:cs="宋体"/>
                <w:b w:val="0"/>
              </w:rPr>
              <w:t>3.29%</w:t>
            </w:r>
          </w:p>
        </w:tc>
        <w:tc>
          <w:tcPr>
            <w:tcW w:w="0" w:type="dxa"/>
            <w:vAlign w:val="center"/>
          </w:tcPr>
          <w:p>
            <w:pPr>
              <w:spacing w:line="240" w:lineRule="auto"/>
              <w:jc w:val="right"/>
            </w:pPr>
            <w:r>
              <w:rPr>
                <w:rFonts w:ascii="宋体" w:hAnsi="宋体" w:eastAsia="宋体" w:cs="宋体"/>
                <w:b w:val="0"/>
              </w:rPr>
              <w:t>3.97%</w:t>
            </w:r>
          </w:p>
        </w:tc>
        <w:tc>
          <w:tcPr>
            <w:tcW w:w="0" w:type="dxa"/>
            <w:vAlign w:val="center"/>
          </w:tcPr>
          <w:p>
            <w:pPr>
              <w:spacing w:line="240" w:lineRule="auto"/>
              <w:jc w:val="right"/>
            </w:pPr>
            <w:r>
              <w:rPr>
                <w:rFonts w:ascii="宋体" w:hAnsi="宋体" w:eastAsia="宋体" w:cs="宋体"/>
                <w:b w:val="0"/>
              </w:rPr>
              <w:t>0.92%</w:t>
            </w:r>
          </w:p>
        </w:tc>
        <w:tc>
          <w:tcPr>
            <w:tcW w:w="0" w:type="dxa"/>
            <w:vAlign w:val="center"/>
          </w:tcPr>
          <w:p>
            <w:pPr>
              <w:spacing w:line="240" w:lineRule="auto"/>
              <w:jc w:val="right"/>
            </w:pPr>
            <w:r>
              <w:rPr>
                <w:rFonts w:ascii="宋体" w:hAnsi="宋体" w:eastAsia="宋体" w:cs="宋体"/>
                <w:b w:val="0"/>
              </w:rPr>
              <w:t>15.13%</w:t>
            </w:r>
          </w:p>
        </w:tc>
        <w:tc>
          <w:tcPr>
            <w:tcW w:w="0" w:type="dxa"/>
            <w:vAlign w:val="center"/>
          </w:tcPr>
          <w:p>
            <w:pPr>
              <w:spacing w:line="240" w:lineRule="auto"/>
              <w:jc w:val="right"/>
            </w:pPr>
            <w:r>
              <w:rPr>
                <w:rFonts w:ascii="宋体" w:hAnsi="宋体" w:eastAsia="宋体" w:cs="宋体"/>
                <w:b w:val="0"/>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23.65%</w:t>
            </w:r>
          </w:p>
        </w:tc>
        <w:tc>
          <w:tcPr>
            <w:tcW w:w="0" w:type="dxa"/>
            <w:vAlign w:val="center"/>
          </w:tcPr>
          <w:p>
            <w:pPr>
              <w:spacing w:line="240" w:lineRule="auto"/>
              <w:jc w:val="right"/>
            </w:pPr>
            <w:r>
              <w:rPr>
                <w:rFonts w:ascii="宋体" w:hAnsi="宋体" w:eastAsia="宋体" w:cs="宋体"/>
                <w:b w:val="0"/>
              </w:rPr>
              <w:t>2.65%</w:t>
            </w:r>
          </w:p>
        </w:tc>
        <w:tc>
          <w:tcPr>
            <w:tcW w:w="0" w:type="dxa"/>
            <w:vAlign w:val="center"/>
          </w:tcPr>
          <w:p>
            <w:pPr>
              <w:spacing w:line="240" w:lineRule="auto"/>
              <w:jc w:val="right"/>
            </w:pPr>
            <w:r>
              <w:rPr>
                <w:rFonts w:ascii="宋体" w:hAnsi="宋体" w:eastAsia="宋体" w:cs="宋体"/>
                <w:b w:val="0"/>
              </w:rPr>
              <w:t>17.24%</w:t>
            </w:r>
          </w:p>
        </w:tc>
        <w:tc>
          <w:tcPr>
            <w:tcW w:w="0" w:type="dxa"/>
            <w:vAlign w:val="center"/>
          </w:tcPr>
          <w:p>
            <w:pPr>
              <w:spacing w:line="240" w:lineRule="auto"/>
              <w:jc w:val="right"/>
            </w:pPr>
            <w:r>
              <w:rPr>
                <w:rFonts w:ascii="宋体" w:hAnsi="宋体" w:eastAsia="宋体" w:cs="宋体"/>
                <w:b w:val="0"/>
              </w:rPr>
              <w:t>0.82%</w:t>
            </w:r>
          </w:p>
        </w:tc>
        <w:tc>
          <w:tcPr>
            <w:tcW w:w="0" w:type="dxa"/>
            <w:vAlign w:val="center"/>
          </w:tcPr>
          <w:p>
            <w:pPr>
              <w:spacing w:line="240" w:lineRule="auto"/>
              <w:jc w:val="right"/>
            </w:pPr>
            <w:r>
              <w:rPr>
                <w:rFonts w:ascii="宋体" w:hAnsi="宋体" w:eastAsia="宋体" w:cs="宋体"/>
                <w:b w:val="0"/>
              </w:rPr>
              <w:t>6.41%</w:t>
            </w:r>
          </w:p>
        </w:tc>
        <w:tc>
          <w:tcPr>
            <w:tcW w:w="0" w:type="dxa"/>
            <w:vAlign w:val="center"/>
          </w:tcPr>
          <w:p>
            <w:pPr>
              <w:spacing w:line="240" w:lineRule="auto"/>
              <w:jc w:val="right"/>
            </w:pPr>
            <w:r>
              <w:rPr>
                <w:rFonts w:ascii="宋体" w:hAnsi="宋体" w:eastAsia="宋体" w:cs="宋体"/>
                <w:b w:val="0"/>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20.49%</w:t>
            </w:r>
          </w:p>
        </w:tc>
        <w:tc>
          <w:tcPr>
            <w:tcW w:w="0" w:type="dxa"/>
            <w:vAlign w:val="center"/>
          </w:tcPr>
          <w:p>
            <w:pPr>
              <w:spacing w:line="240" w:lineRule="auto"/>
              <w:jc w:val="right"/>
            </w:pPr>
            <w:r>
              <w:rPr>
                <w:rFonts w:ascii="宋体" w:hAnsi="宋体" w:eastAsia="宋体" w:cs="宋体"/>
                <w:b w:val="0"/>
              </w:rPr>
              <w:t>2.03%</w:t>
            </w:r>
          </w:p>
        </w:tc>
        <w:tc>
          <w:tcPr>
            <w:tcW w:w="0" w:type="dxa"/>
            <w:vAlign w:val="center"/>
          </w:tcPr>
          <w:p>
            <w:pPr>
              <w:spacing w:line="240" w:lineRule="auto"/>
              <w:jc w:val="right"/>
            </w:pPr>
            <w:r>
              <w:rPr>
                <w:rFonts w:ascii="宋体" w:hAnsi="宋体" w:eastAsia="宋体" w:cs="宋体"/>
                <w:b w:val="0"/>
              </w:rPr>
              <w:t>27.92%</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-7.43%</w:t>
            </w:r>
          </w:p>
        </w:tc>
        <w:tc>
          <w:tcPr>
            <w:tcW w:w="0" w:type="dxa"/>
            <w:vAlign w:val="center"/>
          </w:tcPr>
          <w:p>
            <w:pPr>
              <w:spacing w:line="240" w:lineRule="auto"/>
              <w:jc w:val="right"/>
            </w:pPr>
            <w:r>
              <w:rPr>
                <w:rFonts w:ascii="宋体" w:hAnsi="宋体" w:eastAsia="宋体" w:cs="宋体"/>
                <w:b w:val="0"/>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17.75%</w:t>
            </w:r>
          </w:p>
        </w:tc>
        <w:tc>
          <w:tcPr>
            <w:tcW w:w="0" w:type="dxa"/>
            <w:vAlign w:val="center"/>
          </w:tcPr>
          <w:p>
            <w:pPr>
              <w:spacing w:line="240" w:lineRule="auto"/>
              <w:jc w:val="right"/>
            </w:pPr>
            <w:r>
              <w:rPr>
                <w:rFonts w:ascii="宋体" w:hAnsi="宋体" w:eastAsia="宋体" w:cs="宋体"/>
                <w:b w:val="0"/>
              </w:rPr>
              <w:t>1.99%</w:t>
            </w:r>
          </w:p>
        </w:tc>
        <w:tc>
          <w:tcPr>
            <w:tcW w:w="0" w:type="dxa"/>
            <w:vAlign w:val="center"/>
          </w:tcPr>
          <w:p>
            <w:pPr>
              <w:spacing w:line="240" w:lineRule="auto"/>
              <w:jc w:val="right"/>
            </w:pPr>
            <w:r>
              <w:rPr>
                <w:rFonts w:ascii="宋体" w:hAnsi="宋体" w:eastAsia="宋体" w:cs="宋体"/>
                <w:b w:val="0"/>
              </w:rPr>
              <w:t>25.54%</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-7.79%</w:t>
            </w:r>
          </w:p>
        </w:tc>
        <w:tc>
          <w:tcPr>
            <w:tcW w:w="0" w:type="dxa"/>
            <w:vAlign w:val="center"/>
          </w:tcPr>
          <w:p>
            <w:pPr>
              <w:spacing w:line="240" w:lineRule="auto"/>
              <w:jc w:val="right"/>
            </w:pPr>
            <w:r>
              <w:rPr>
                <w:rFonts w:ascii="宋体" w:hAnsi="宋体" w:eastAsia="宋体" w:cs="宋体"/>
                <w:b w:val="0"/>
              </w:rPr>
              <w:t>1.09%</w:t>
            </w:r>
          </w:p>
        </w:tc>
      </w:tr>
    </w:tbl>
    <w:p>
      <w:r>
        <w:rPr>
          <w:rFonts w:ascii="宋体" w:hAnsi="宋体" w:eastAsia="宋体" w:cs="宋体"/>
          <w:b w:val="0"/>
        </w:rPr>
        <w:t>注：本基金业绩比较基准为：中证800指数收益率×60%+中证综合债券指数收益率×20%+恒生指数收益率×20%。</w:t>
      </w:r>
    </w:p>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孙振波</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2023-05-12</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7年</w:t>
            </w:r>
          </w:p>
        </w:tc>
        <w:tc>
          <w:tcPr>
            <w:tcW w:w="0" w:type="dxa"/>
            <w:vAlign w:val="center"/>
          </w:tcPr>
          <w:p>
            <w:pPr>
              <w:spacing w:line="240" w:lineRule="auto"/>
              <w:jc w:val="left"/>
            </w:pPr>
            <w:r>
              <w:rPr>
                <w:rFonts w:ascii="宋体" w:hAnsi="宋体" w:eastAsia="宋体" w:cs="宋体"/>
                <w:b w:val="0"/>
              </w:rPr>
              <w:t>孙振波先生，中国科学技术大学理学学士，复旦大学理学硕士。在食品饮料、有色、化工、钢铁煤炭等领域有着深入研究。2019年入职东方阿尔法基金管理有限公司。现任东方阿尔法基金公司基金经理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br w:type="textWrapping"/>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本基金基金经理不存在兼任私募资产管理计划的投资经理的情况。</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br w:type="textWrapping"/>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2026年二季度，全球低轨卫星互联网、商业航天产业延续一季度加速落地态势，行业从政策、技术、发射、订单四大维度迎来密集催化，正式完成从“题材炒作”向“规模化真成长”的跃迁，产业景气度持续上行。</w:t>
      </w:r>
      <w:r>
        <w:rPr>
          <w:rFonts w:ascii="宋体" w:hAnsi="宋体" w:eastAsia="宋体" w:cs="宋体"/>
          <w:b w:val="0"/>
        </w:rPr>
        <w:br w:type="textWrapping"/>
      </w:r>
      <w:r>
        <w:rPr>
          <w:rFonts w:ascii="宋体" w:hAnsi="宋体" w:eastAsia="宋体" w:cs="宋体"/>
          <w:b w:val="0"/>
        </w:rPr>
        <w:t xml:space="preserve">    政策端，国家航天局联合多部门发布《商业航天标准体系（1.0 版）》，完整构建“箭、星、场、用、治”全产业链规范体系，配套《推进商业航天高质量安全发展行动计划（2025—2027年）》硬性指标落地，明确2026年商业发射占比超60%、可复用火箭成本同比下降30%，从顶层设计保障巨型星座组网、民营航天商业化落地节奏新华网客户端。工信部同步推进卫星互联网与算力融合，空天地一体化新型数字基建定位持续强化，商业航天战略价值持续重估。</w:t>
      </w:r>
      <w:r>
        <w:rPr>
          <w:rFonts w:ascii="宋体" w:hAnsi="宋体" w:eastAsia="宋体" w:cs="宋体"/>
          <w:b w:val="0"/>
        </w:rPr>
        <w:br w:type="textWrapping"/>
      </w:r>
      <w:r>
        <w:rPr>
          <w:rFonts w:ascii="宋体" w:hAnsi="宋体" w:eastAsia="宋体" w:cs="宋体"/>
          <w:b w:val="0"/>
        </w:rPr>
        <w:t xml:space="preserve">    产业链需求端，国家级巨型星座加速批量部署，千帆星座、通信遥感卫星集群持续分批入轨，卫星批量化生产带动相控阵天线、星载计算机、航天特种芯片、耐高温复合材料上游需求持续放量。上游核心元器件企业持续交付，在手订单饱满，业绩环比大幅改善；下游手机直连卫星、遥感数据、太空算力商业化落地，验证C端与政企端双向市场需求，行业盈利路径清晰化。</w:t>
      </w:r>
      <w:r>
        <w:rPr>
          <w:rFonts w:ascii="宋体" w:hAnsi="宋体" w:eastAsia="宋体" w:cs="宋体"/>
          <w:b w:val="0"/>
        </w:rPr>
        <w:br w:type="textWrapping"/>
      </w:r>
      <w:r>
        <w:rPr>
          <w:rFonts w:ascii="宋体" w:hAnsi="宋体" w:eastAsia="宋体" w:cs="宋体"/>
          <w:b w:val="0"/>
        </w:rPr>
        <w:t xml:space="preserve">    本基金长期坚定看好商业航天作为航天强国核心战略的长期成长空间，延续一季度“上游元器件+火箭发射服务为主、卫星制造为辅”的核心配置框架，结合二季度产业催化、订单兑现节奏与板块估值分化，完成结构性调仓，进一步优化持仓结构，放大高景气细分板块持仓权重，操作逻辑如下：</w:t>
      </w:r>
      <w:r>
        <w:rPr>
          <w:rFonts w:ascii="宋体" w:hAnsi="宋体" w:eastAsia="宋体" w:cs="宋体"/>
          <w:b w:val="0"/>
        </w:rPr>
        <w:br w:type="textWrapping"/>
      </w:r>
      <w:r>
        <w:rPr>
          <w:rFonts w:ascii="宋体" w:hAnsi="宋体" w:eastAsia="宋体" w:cs="宋体"/>
          <w:b w:val="0"/>
        </w:rPr>
        <w:t xml:space="preserve">    （一）持续减配卫星整星及平台龙头，兑现阶段性收益</w:t>
      </w:r>
      <w:r>
        <w:rPr>
          <w:rFonts w:ascii="宋体" w:hAnsi="宋体" w:eastAsia="宋体" w:cs="宋体"/>
          <w:b w:val="0"/>
        </w:rPr>
        <w:br w:type="textWrapping"/>
      </w:r>
      <w:r>
        <w:rPr>
          <w:rFonts w:ascii="宋体" w:hAnsi="宋体" w:eastAsia="宋体" w:cs="宋体"/>
          <w:b w:val="0"/>
        </w:rPr>
        <w:t xml:space="preserve">    一季度已判断卫星总装、平台类企业前期估值充分消化行业长期预期，二季度延续减配操作。</w:t>
      </w:r>
      <w:r>
        <w:rPr>
          <w:rFonts w:ascii="宋体" w:hAnsi="宋体" w:eastAsia="宋体" w:cs="宋体"/>
          <w:b w:val="0"/>
        </w:rPr>
        <w:br w:type="textWrapping"/>
      </w:r>
      <w:r>
        <w:rPr>
          <w:rFonts w:ascii="宋体" w:hAnsi="宋体" w:eastAsia="宋体" w:cs="宋体"/>
          <w:b w:val="0"/>
        </w:rPr>
        <w:t xml:space="preserve">    此类企业承担国家重大航天工程，技术积淀深厚，但当前卫星模块化、批量化制造浪潮下，整星制造环节毛利率持续承压，且批量卫星订单向上游元器件分流，业绩弹性弱于产业链上游。同时，板块资金逐步从下游总装环节向上游转移，标的估值上行空间有限。本季度持续降低该板块持仓占比，锁定前期超额收益，回笼资金投向景气度更高、业绩兑现更快的细分行业。</w:t>
      </w:r>
      <w:r>
        <w:rPr>
          <w:rFonts w:ascii="宋体" w:hAnsi="宋体" w:eastAsia="宋体" w:cs="宋体"/>
          <w:b w:val="0"/>
        </w:rPr>
        <w:br w:type="textWrapping"/>
      </w:r>
      <w:r>
        <w:rPr>
          <w:rFonts w:ascii="宋体" w:hAnsi="宋体" w:eastAsia="宋体" w:cs="宋体"/>
          <w:b w:val="0"/>
        </w:rPr>
        <w:t xml:space="preserve">    （二）进一步加仓火箭发射及配套服务产业链，作为核心重仓方向</w:t>
      </w:r>
      <w:r>
        <w:rPr>
          <w:rFonts w:ascii="宋体" w:hAnsi="宋体" w:eastAsia="宋体" w:cs="宋体"/>
          <w:b w:val="0"/>
        </w:rPr>
        <w:br w:type="textWrapping"/>
      </w:r>
      <w:r>
        <w:rPr>
          <w:rFonts w:ascii="宋体" w:hAnsi="宋体" w:eastAsia="宋体" w:cs="宋体"/>
          <w:b w:val="0"/>
        </w:rPr>
        <w:t xml:space="preserve">    可重复使用火箭是发射成本大幅下降的核心抓手，二季度长征、蓝箭、星河动力多型号回收试验取得阶段性成功，国产液氧甲烷/煤油火箭成本优势凸显，商业发射订单持续放量；海南、文昌商业发射工位扩容，发射产能约束逐步解除，全年商业发射占比稳步走高，火箭企业收入、毛利率同步改善。</w:t>
      </w:r>
      <w:r>
        <w:rPr>
          <w:rFonts w:ascii="宋体" w:hAnsi="宋体" w:eastAsia="宋体" w:cs="宋体"/>
          <w:b w:val="0"/>
        </w:rPr>
        <w:br w:type="textWrapping"/>
      </w:r>
      <w:r>
        <w:rPr>
          <w:rFonts w:ascii="宋体" w:hAnsi="宋体" w:eastAsia="宋体" w:cs="宋体"/>
          <w:b w:val="0"/>
        </w:rPr>
        <w:t xml:space="preserve">    本基金优先布局具备可回收火箭自研能力、在手长期发射合同充足的民营火箭龙头，以及火箭发动机、高温复合材料、航天3D打印等高壁垒配套厂商，该环节订单确定性强、业绩增速具备持续向上空间。</w:t>
      </w:r>
      <w:r>
        <w:rPr>
          <w:rFonts w:ascii="宋体" w:hAnsi="宋体" w:eastAsia="宋体" w:cs="宋体"/>
          <w:b w:val="0"/>
        </w:rPr>
        <w:br w:type="textWrapping"/>
      </w:r>
      <w:r>
        <w:rPr>
          <w:rFonts w:ascii="宋体" w:hAnsi="宋体" w:eastAsia="宋体" w:cs="宋体"/>
          <w:b w:val="0"/>
        </w:rPr>
        <w:t xml:space="preserve">    （三）增持上游核心元器件、特种航天材料标的</w:t>
      </w:r>
      <w:r>
        <w:rPr>
          <w:rFonts w:ascii="宋体" w:hAnsi="宋体" w:eastAsia="宋体" w:cs="宋体"/>
          <w:b w:val="0"/>
        </w:rPr>
        <w:br w:type="textWrapping"/>
      </w:r>
      <w:r>
        <w:rPr>
          <w:rFonts w:ascii="宋体" w:hAnsi="宋体" w:eastAsia="宋体" w:cs="宋体"/>
          <w:b w:val="0"/>
        </w:rPr>
        <w:t xml:space="preserve">    二季度卫星批量组网带来上游零部件需求集中释放，产业链景气度排序上游元器件＞火箭配套＞卫星制造，本季度重点加仓星载芯片、相控阵天线、惯性导航器件、航天碳基复合材料等上游龙头。</w:t>
      </w:r>
      <w:r>
        <w:rPr>
          <w:rFonts w:ascii="宋体" w:hAnsi="宋体" w:eastAsia="宋体" w:cs="宋体"/>
          <w:b w:val="0"/>
        </w:rPr>
        <w:br w:type="textWrapping"/>
      </w:r>
      <w:r>
        <w:rPr>
          <w:rFonts w:ascii="宋体" w:hAnsi="宋体" w:eastAsia="宋体" w:cs="宋体"/>
          <w:b w:val="0"/>
        </w:rPr>
        <w:t xml:space="preserve">    国家级星座批量投产，卫星单星元器件用量稳定增长，叠加国产化替代硬性要求，航天特种芯片、微波器件长期海外依赖局面加速打破；上游企业航天资质认证周期长达3-5年，客户粘性极强，头部企业订单持续锁定2027年产能，实现量利齐升。</w:t>
      </w:r>
      <w:r>
        <w:rPr>
          <w:rFonts w:ascii="宋体" w:hAnsi="宋体" w:eastAsia="宋体" w:cs="宋体"/>
          <w:b w:val="0"/>
        </w:rPr>
        <w:br w:type="textWrapping"/>
      </w:r>
      <w:r>
        <w:rPr>
          <w:rFonts w:ascii="宋体" w:hAnsi="宋体" w:eastAsia="宋体" w:cs="宋体"/>
          <w:b w:val="0"/>
        </w:rPr>
        <w:t xml:space="preserve">    （四）适度布局卫星应用与地面终端，均衡持仓长期成长空间</w:t>
      </w:r>
      <w:r>
        <w:rPr>
          <w:rFonts w:ascii="宋体" w:hAnsi="宋体" w:eastAsia="宋体" w:cs="宋体"/>
          <w:b w:val="0"/>
        </w:rPr>
        <w:br w:type="textWrapping"/>
      </w:r>
      <w:r>
        <w:rPr>
          <w:rFonts w:ascii="宋体" w:hAnsi="宋体" w:eastAsia="宋体" w:cs="宋体"/>
          <w:b w:val="0"/>
        </w:rPr>
        <w:t xml:space="preserve">    作为远期布局，基于手机直连卫星、太空算力、遥感大数据商业化长期前景，小幅增配地面信关站、卫星通信终端、空间数据运营企业。当前应用端尚处商业化初期，短期业绩弹性有限，仅做底仓配置，持续跟踪民用卫星服务落地进度，待商业模式成熟后再提升仓位。</w:t>
      </w:r>
      <w:r>
        <w:rPr>
          <w:rFonts w:ascii="宋体" w:hAnsi="宋体" w:eastAsia="宋体" w:cs="宋体"/>
          <w:b w:val="0"/>
        </w:rPr>
        <w:br w:type="textWrapping"/>
      </w:r>
      <w:r>
        <w:rPr>
          <w:rFonts w:ascii="宋体" w:hAnsi="宋体" w:eastAsia="宋体" w:cs="宋体"/>
          <w:b w:val="0"/>
        </w:rPr>
        <w:t xml:space="preserve">    总结来看，商业航天作为国家战略核心板块，正处于政策护航、技术破局、订单兑现的黄金拐点，迎来从“题材”到“真成长”的关键跃迁。本产品将深度绑定国家航天强国战略，精选产业链核心资产，把握空天产业爆发红利。国家级星座组网驱动爆发式订单，2026年全年发射次数将破百次，商业发射占比超60%，入轨航天器突破1000颗，产业规模同比增长超35%，进入高速增长期。管理人看好商业航天在通信、遥感、导航等领域的长期应用潜力，将持续跟踪技术进展与商业化节奏，努力为投资人布局未来。</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瑞丰混合发起A基金份额净值为1.1925元，本报告期内，该类基金份额净值增长率为11.32%，同期业绩比较基准收益率为6.34%；截至报告期末东方阿尔法瑞丰混合发起C基金份额净值为1.1775元，本报告期内，该类基金份额净值增长率为11.18%，同期业绩比较基准收益率为6.34%。</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本报告期内，本基金未出现连续20个工作日基金份额持有人数量不满200人或者基金资产净值低于5000万的情形。</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286,266,880.98</w:t>
            </w:r>
          </w:p>
        </w:tc>
        <w:tc>
          <w:tcPr>
            <w:tcW w:w="0" w:type="dxa"/>
            <w:vAlign w:val="center"/>
          </w:tcPr>
          <w:p>
            <w:pPr>
              <w:spacing w:line="240" w:lineRule="auto"/>
              <w:jc w:val="right"/>
            </w:pPr>
            <w:r>
              <w:rPr>
                <w:rFonts w:ascii="宋体" w:hAnsi="宋体" w:eastAsia="宋体" w:cs="宋体"/>
                <w:b w:val="0"/>
              </w:rPr>
              <w:t>88.90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286,266,880.98</w:t>
            </w:r>
          </w:p>
        </w:tc>
        <w:tc>
          <w:tcPr>
            <w:tcW w:w="0" w:type="dxa"/>
            <w:vAlign w:val="center"/>
          </w:tcPr>
          <w:p>
            <w:pPr>
              <w:spacing w:line="240" w:lineRule="auto"/>
              <w:jc w:val="right"/>
            </w:pPr>
            <w:r>
              <w:rPr>
                <w:rFonts w:ascii="宋体" w:hAnsi="宋体" w:eastAsia="宋体" w:cs="宋体"/>
                <w:b w:val="0"/>
              </w:rPr>
              <w:t>88.90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17,476,997.76</w:t>
            </w:r>
          </w:p>
        </w:tc>
        <w:tc>
          <w:tcPr>
            <w:tcW w:w="0" w:type="dxa"/>
            <w:vAlign w:val="center"/>
          </w:tcPr>
          <w:p>
            <w:pPr>
              <w:spacing w:line="240" w:lineRule="auto"/>
              <w:jc w:val="right"/>
            </w:pPr>
            <w:r>
              <w:rPr>
                <w:rFonts w:ascii="宋体" w:hAnsi="宋体" w:eastAsia="宋体" w:cs="宋体"/>
                <w:b w:val="0"/>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17,476,997.76</w:t>
            </w:r>
          </w:p>
        </w:tc>
        <w:tc>
          <w:tcPr>
            <w:tcW w:w="0" w:type="dxa"/>
            <w:vAlign w:val="center"/>
          </w:tcPr>
          <w:p>
            <w:pPr>
              <w:spacing w:line="240" w:lineRule="auto"/>
              <w:jc w:val="right"/>
            </w:pPr>
            <w:r>
              <w:rPr>
                <w:rFonts w:ascii="宋体" w:hAnsi="宋体" w:eastAsia="宋体" w:cs="宋体"/>
                <w:b w:val="0"/>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11,487,257.67</w:t>
            </w:r>
          </w:p>
        </w:tc>
        <w:tc>
          <w:tcPr>
            <w:tcW w:w="0" w:type="dxa"/>
            <w:vAlign w:val="center"/>
          </w:tcPr>
          <w:p>
            <w:pPr>
              <w:spacing w:line="240" w:lineRule="auto"/>
              <w:jc w:val="right"/>
            </w:pPr>
            <w:r>
              <w:rPr>
                <w:rFonts w:ascii="宋体" w:hAnsi="宋体" w:eastAsia="宋体" w:cs="宋体"/>
                <w:b w:val="0"/>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6,778,441.57</w:t>
            </w:r>
          </w:p>
        </w:tc>
        <w:tc>
          <w:tcPr>
            <w:tcW w:w="0" w:type="dxa"/>
            <w:vAlign w:val="center"/>
          </w:tcPr>
          <w:p>
            <w:pPr>
              <w:spacing w:line="240" w:lineRule="auto"/>
              <w:jc w:val="right"/>
            </w:pPr>
            <w:r>
              <w:rPr>
                <w:rFonts w:ascii="宋体" w:hAnsi="宋体" w:eastAsia="宋体" w:cs="宋体"/>
                <w:b w:val="0"/>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322,009,577.98</w:t>
            </w:r>
          </w:p>
        </w:tc>
        <w:tc>
          <w:tcPr>
            <w:tcW w:w="0" w:type="dxa"/>
            <w:vAlign w:val="center"/>
          </w:tcPr>
          <w:p>
            <w:pPr>
              <w:spacing w:line="240" w:lineRule="auto"/>
              <w:jc w:val="right"/>
            </w:pPr>
            <w:r>
              <w:rPr>
                <w:rFonts w:ascii="宋体" w:hAnsi="宋体" w:eastAsia="宋体" w:cs="宋体"/>
                <w:b w:val="0"/>
              </w:rPr>
              <w:t>100.00</w:t>
            </w:r>
          </w:p>
        </w:tc>
      </w:tr>
    </w:tbl>
    <w:p>
      <w:r>
        <w:rPr>
          <w:rFonts w:ascii="宋体" w:hAnsi="宋体" w:eastAsia="宋体" w:cs="宋体"/>
          <w:b w:val="0"/>
        </w:rPr>
        <w:t>注：报告期末本基金通过港股通交易机制投资的港股公允价值合计10,543,080.04元，占基金资产净值的比例为3.46%。</w:t>
      </w:r>
    </w:p>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149,047.74</w:t>
            </w:r>
          </w:p>
        </w:tc>
        <w:tc>
          <w:tcPr>
            <w:tcW w:w="0" w:type="dxa"/>
            <w:vAlign w:val="center"/>
          </w:tcPr>
          <w:p>
            <w:pPr>
              <w:spacing w:line="240" w:lineRule="auto"/>
              <w:jc w:val="right"/>
            </w:pPr>
            <w:r>
              <w:rPr>
                <w:rFonts w:ascii="宋体" w:hAnsi="宋体" w:eastAsia="宋体" w:cs="宋体"/>
                <w:b w:val="0"/>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275,394,491.90</w:t>
            </w:r>
          </w:p>
        </w:tc>
        <w:tc>
          <w:tcPr>
            <w:tcW w:w="0" w:type="dxa"/>
            <w:vAlign w:val="center"/>
          </w:tcPr>
          <w:p>
            <w:pPr>
              <w:spacing w:line="240" w:lineRule="auto"/>
              <w:jc w:val="right"/>
            </w:pPr>
            <w:r>
              <w:rPr>
                <w:rFonts w:ascii="宋体" w:hAnsi="宋体" w:eastAsia="宋体" w:cs="宋体"/>
                <w:b w:val="0"/>
              </w:rPr>
              <w:t>90.33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180,261.30</w:t>
            </w:r>
          </w:p>
        </w:tc>
        <w:tc>
          <w:tcPr>
            <w:tcW w:w="0" w:type="dxa"/>
            <w:vAlign w:val="center"/>
          </w:tcPr>
          <w:p>
            <w:pPr>
              <w:spacing w:line="240" w:lineRule="auto"/>
              <w:jc w:val="right"/>
            </w:pPr>
            <w:r>
              <w:rPr>
                <w:rFonts w:ascii="宋体" w:hAnsi="宋体" w:eastAsia="宋体" w:cs="宋体"/>
                <w:b w:val="0"/>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275,723,800.94</w:t>
            </w:r>
          </w:p>
        </w:tc>
        <w:tc>
          <w:tcPr>
            <w:tcW w:w="0" w:type="dxa"/>
            <w:vAlign w:val="center"/>
          </w:tcPr>
          <w:p>
            <w:pPr>
              <w:spacing w:line="240" w:lineRule="auto"/>
              <w:jc w:val="right"/>
            </w:pPr>
            <w:r>
              <w:rPr>
                <w:rFonts w:ascii="宋体" w:hAnsi="宋体" w:eastAsia="宋体" w:cs="宋体"/>
                <w:b w:val="0"/>
              </w:rPr>
              <w:t>90.43</w:t>
            </w:r>
          </w:p>
        </w:tc>
      </w:tr>
    </w:tbl>
    <w:p/>
    <w:p>
      <w:pPr>
        <w:pStyle w:val="58"/>
      </w:pPr>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1538" w:type="pct"/>
            <w:shd w:val="clear" w:color="auto" w:fill="D9D9D9"/>
            <w:vAlign w:val="center"/>
          </w:tcPr>
          <w:p>
            <w:pPr>
              <w:spacing w:line="240" w:lineRule="auto"/>
              <w:jc w:val="center"/>
            </w:pPr>
            <w:r>
              <w:rPr>
                <w:rFonts w:ascii="宋体" w:hAnsi="宋体" w:eastAsia="宋体" w:cs="宋体"/>
                <w:b w:val="0"/>
              </w:rPr>
              <w:t>公允价值（人民币）</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信息技术</w:t>
            </w:r>
          </w:p>
        </w:tc>
        <w:tc>
          <w:tcPr>
            <w:tcW w:w="0" w:type="dxa"/>
            <w:vAlign w:val="center"/>
          </w:tcPr>
          <w:p>
            <w:pPr>
              <w:spacing w:line="240" w:lineRule="auto"/>
              <w:jc w:val="right"/>
            </w:pPr>
            <w:r>
              <w:rPr>
                <w:rFonts w:ascii="宋体" w:hAnsi="宋体" w:eastAsia="宋体" w:cs="宋体"/>
                <w:b w:val="0"/>
              </w:rPr>
              <w:t>10,543,080.04</w:t>
            </w:r>
          </w:p>
        </w:tc>
        <w:tc>
          <w:tcPr>
            <w:tcW w:w="0" w:type="dxa"/>
            <w:vAlign w:val="center"/>
          </w:tcPr>
          <w:p>
            <w:pPr>
              <w:spacing w:line="240" w:lineRule="auto"/>
              <w:jc w:val="right"/>
            </w:pPr>
            <w:r>
              <w:rPr>
                <w:rFonts w:ascii="宋体" w:hAnsi="宋体" w:eastAsia="宋体" w:cs="宋体"/>
                <w:b w:val="0"/>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10,543,080.04</w:t>
            </w:r>
          </w:p>
        </w:tc>
        <w:tc>
          <w:tcPr>
            <w:tcW w:w="0" w:type="dxa"/>
            <w:vAlign w:val="center"/>
          </w:tcPr>
          <w:p>
            <w:pPr>
              <w:spacing w:line="240" w:lineRule="auto"/>
              <w:jc w:val="right"/>
            </w:pPr>
            <w:r>
              <w:rPr>
                <w:rFonts w:ascii="宋体" w:hAnsi="宋体" w:eastAsia="宋体" w:cs="宋体"/>
                <w:b w:val="0"/>
              </w:rPr>
              <w:t>3.46</w:t>
            </w:r>
          </w:p>
        </w:tc>
      </w:tr>
    </w:tbl>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300751</w:t>
            </w:r>
          </w:p>
        </w:tc>
        <w:tc>
          <w:tcPr>
            <w:tcW w:w="0" w:type="dxa"/>
            <w:vAlign w:val="center"/>
          </w:tcPr>
          <w:p>
            <w:pPr>
              <w:spacing w:line="240" w:lineRule="auto"/>
              <w:jc w:val="left"/>
            </w:pPr>
            <w:r>
              <w:rPr>
                <w:rFonts w:ascii="宋体" w:hAnsi="宋体" w:eastAsia="宋体" w:cs="宋体"/>
                <w:b w:val="0"/>
              </w:rPr>
              <w:t>迈为股份</w:t>
            </w:r>
          </w:p>
        </w:tc>
        <w:tc>
          <w:tcPr>
            <w:tcW w:w="0" w:type="dxa"/>
            <w:vAlign w:val="center"/>
          </w:tcPr>
          <w:p>
            <w:pPr>
              <w:spacing w:line="240" w:lineRule="auto"/>
              <w:jc w:val="right"/>
            </w:pPr>
            <w:r>
              <w:rPr>
                <w:rFonts w:ascii="宋体" w:hAnsi="宋体" w:eastAsia="宋体" w:cs="宋体"/>
                <w:b w:val="0"/>
              </w:rPr>
              <w:t>102,000</w:t>
            </w:r>
          </w:p>
        </w:tc>
        <w:tc>
          <w:tcPr>
            <w:tcW w:w="0" w:type="dxa"/>
            <w:vAlign w:val="center"/>
          </w:tcPr>
          <w:p>
            <w:pPr>
              <w:spacing w:line="240" w:lineRule="auto"/>
              <w:jc w:val="right"/>
            </w:pPr>
            <w:r>
              <w:rPr>
                <w:rFonts w:ascii="宋体" w:hAnsi="宋体" w:eastAsia="宋体" w:cs="宋体"/>
                <w:b w:val="0"/>
              </w:rPr>
              <w:t>28,810,920.00</w:t>
            </w:r>
          </w:p>
        </w:tc>
        <w:tc>
          <w:tcPr>
            <w:tcW w:w="0" w:type="dxa"/>
            <w:vAlign w:val="center"/>
          </w:tcPr>
          <w:p>
            <w:pPr>
              <w:spacing w:line="240" w:lineRule="auto"/>
              <w:jc w:val="right"/>
            </w:pPr>
            <w:r>
              <w:rPr>
                <w:rFonts w:ascii="宋体" w:hAnsi="宋体" w:eastAsia="宋体" w:cs="宋体"/>
                <w:b w:val="0"/>
              </w:rPr>
              <w:t>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300316</w:t>
            </w:r>
          </w:p>
        </w:tc>
        <w:tc>
          <w:tcPr>
            <w:tcW w:w="0" w:type="dxa"/>
            <w:vAlign w:val="center"/>
          </w:tcPr>
          <w:p>
            <w:pPr>
              <w:spacing w:line="240" w:lineRule="auto"/>
              <w:jc w:val="left"/>
            </w:pPr>
            <w:r>
              <w:rPr>
                <w:rFonts w:ascii="宋体" w:hAnsi="宋体" w:eastAsia="宋体" w:cs="宋体"/>
                <w:b w:val="0"/>
              </w:rPr>
              <w:t>晶盛机电</w:t>
            </w:r>
          </w:p>
        </w:tc>
        <w:tc>
          <w:tcPr>
            <w:tcW w:w="0" w:type="dxa"/>
            <w:vAlign w:val="center"/>
          </w:tcPr>
          <w:p>
            <w:pPr>
              <w:spacing w:line="240" w:lineRule="auto"/>
              <w:jc w:val="right"/>
            </w:pPr>
            <w:r>
              <w:rPr>
                <w:rFonts w:ascii="宋体" w:hAnsi="宋体" w:eastAsia="宋体" w:cs="宋体"/>
                <w:b w:val="0"/>
              </w:rPr>
              <w:t>460,100</w:t>
            </w:r>
          </w:p>
        </w:tc>
        <w:tc>
          <w:tcPr>
            <w:tcW w:w="0" w:type="dxa"/>
            <w:vAlign w:val="center"/>
          </w:tcPr>
          <w:p>
            <w:pPr>
              <w:spacing w:line="240" w:lineRule="auto"/>
              <w:jc w:val="right"/>
            </w:pPr>
            <w:r>
              <w:rPr>
                <w:rFonts w:ascii="宋体" w:hAnsi="宋体" w:eastAsia="宋体" w:cs="宋体"/>
                <w:b w:val="0"/>
              </w:rPr>
              <w:t>27,790,040.00</w:t>
            </w:r>
          </w:p>
        </w:tc>
        <w:tc>
          <w:tcPr>
            <w:tcW w:w="0" w:type="dxa"/>
            <w:vAlign w:val="center"/>
          </w:tcPr>
          <w:p>
            <w:pPr>
              <w:spacing w:line="240" w:lineRule="auto"/>
              <w:jc w:val="right"/>
            </w:pPr>
            <w:r>
              <w:rPr>
                <w:rFonts w:ascii="宋体" w:hAnsi="宋体" w:eastAsia="宋体" w:cs="宋体"/>
                <w:b w:val="0"/>
              </w:rPr>
              <w:t>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300136</w:t>
            </w:r>
          </w:p>
        </w:tc>
        <w:tc>
          <w:tcPr>
            <w:tcW w:w="0" w:type="dxa"/>
            <w:vAlign w:val="center"/>
          </w:tcPr>
          <w:p>
            <w:pPr>
              <w:spacing w:line="240" w:lineRule="auto"/>
              <w:jc w:val="left"/>
            </w:pPr>
            <w:r>
              <w:rPr>
                <w:rFonts w:ascii="宋体" w:hAnsi="宋体" w:eastAsia="宋体" w:cs="宋体"/>
                <w:b w:val="0"/>
              </w:rPr>
              <w:t>信维通信</w:t>
            </w:r>
          </w:p>
        </w:tc>
        <w:tc>
          <w:tcPr>
            <w:tcW w:w="0" w:type="dxa"/>
            <w:vAlign w:val="center"/>
          </w:tcPr>
          <w:p>
            <w:pPr>
              <w:spacing w:line="240" w:lineRule="auto"/>
              <w:jc w:val="right"/>
            </w:pPr>
            <w:r>
              <w:rPr>
                <w:rFonts w:ascii="宋体" w:hAnsi="宋体" w:eastAsia="宋体" w:cs="宋体"/>
                <w:b w:val="0"/>
              </w:rPr>
              <w:t>223,800</w:t>
            </w:r>
          </w:p>
        </w:tc>
        <w:tc>
          <w:tcPr>
            <w:tcW w:w="0" w:type="dxa"/>
            <w:vAlign w:val="center"/>
          </w:tcPr>
          <w:p>
            <w:pPr>
              <w:spacing w:line="240" w:lineRule="auto"/>
              <w:jc w:val="right"/>
            </w:pPr>
            <w:r>
              <w:rPr>
                <w:rFonts w:ascii="宋体" w:hAnsi="宋体" w:eastAsia="宋体" w:cs="宋体"/>
                <w:b w:val="0"/>
              </w:rPr>
              <w:t>26,688,150.00</w:t>
            </w:r>
          </w:p>
        </w:tc>
        <w:tc>
          <w:tcPr>
            <w:tcW w:w="0" w:type="dxa"/>
            <w:vAlign w:val="center"/>
          </w:tcPr>
          <w:p>
            <w:pPr>
              <w:spacing w:line="240" w:lineRule="auto"/>
              <w:jc w:val="right"/>
            </w:pPr>
            <w:r>
              <w:rPr>
                <w:rFonts w:ascii="宋体" w:hAnsi="宋体" w:eastAsia="宋体" w:cs="宋体"/>
                <w:b w:val="0"/>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600498</w:t>
            </w:r>
          </w:p>
        </w:tc>
        <w:tc>
          <w:tcPr>
            <w:tcW w:w="0" w:type="dxa"/>
            <w:vAlign w:val="center"/>
          </w:tcPr>
          <w:p>
            <w:pPr>
              <w:spacing w:line="240" w:lineRule="auto"/>
              <w:jc w:val="left"/>
            </w:pPr>
            <w:r>
              <w:rPr>
                <w:rFonts w:ascii="宋体" w:hAnsi="宋体" w:eastAsia="宋体" w:cs="宋体"/>
                <w:b w:val="0"/>
              </w:rPr>
              <w:t>烽火通信</w:t>
            </w:r>
          </w:p>
        </w:tc>
        <w:tc>
          <w:tcPr>
            <w:tcW w:w="0" w:type="dxa"/>
            <w:vAlign w:val="center"/>
          </w:tcPr>
          <w:p>
            <w:pPr>
              <w:spacing w:line="240" w:lineRule="auto"/>
              <w:jc w:val="right"/>
            </w:pPr>
            <w:r>
              <w:rPr>
                <w:rFonts w:ascii="宋体" w:hAnsi="宋体" w:eastAsia="宋体" w:cs="宋体"/>
                <w:b w:val="0"/>
              </w:rPr>
              <w:t>350,400</w:t>
            </w:r>
          </w:p>
        </w:tc>
        <w:tc>
          <w:tcPr>
            <w:tcW w:w="0" w:type="dxa"/>
            <w:vAlign w:val="center"/>
          </w:tcPr>
          <w:p>
            <w:pPr>
              <w:spacing w:line="240" w:lineRule="auto"/>
              <w:jc w:val="right"/>
            </w:pPr>
            <w:r>
              <w:rPr>
                <w:rFonts w:ascii="宋体" w:hAnsi="宋体" w:eastAsia="宋体" w:cs="宋体"/>
                <w:b w:val="0"/>
              </w:rPr>
              <w:t>25,789,440.00</w:t>
            </w:r>
          </w:p>
        </w:tc>
        <w:tc>
          <w:tcPr>
            <w:tcW w:w="0" w:type="dxa"/>
            <w:vAlign w:val="center"/>
          </w:tcPr>
          <w:p>
            <w:pPr>
              <w:spacing w:line="240" w:lineRule="auto"/>
              <w:jc w:val="right"/>
            </w:pPr>
            <w:r>
              <w:rPr>
                <w:rFonts w:ascii="宋体" w:hAnsi="宋体" w:eastAsia="宋体" w:cs="宋体"/>
                <w:b w:val="0"/>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001400</w:t>
            </w:r>
          </w:p>
        </w:tc>
        <w:tc>
          <w:tcPr>
            <w:tcW w:w="0" w:type="dxa"/>
            <w:vAlign w:val="center"/>
          </w:tcPr>
          <w:p>
            <w:pPr>
              <w:spacing w:line="240" w:lineRule="auto"/>
              <w:jc w:val="left"/>
            </w:pPr>
            <w:r>
              <w:rPr>
                <w:rFonts w:ascii="宋体" w:hAnsi="宋体" w:eastAsia="宋体" w:cs="宋体"/>
                <w:b w:val="0"/>
              </w:rPr>
              <w:t>江顺科技</w:t>
            </w:r>
          </w:p>
        </w:tc>
        <w:tc>
          <w:tcPr>
            <w:tcW w:w="0" w:type="dxa"/>
            <w:vAlign w:val="center"/>
          </w:tcPr>
          <w:p>
            <w:pPr>
              <w:spacing w:line="240" w:lineRule="auto"/>
              <w:jc w:val="right"/>
            </w:pPr>
            <w:r>
              <w:rPr>
                <w:rFonts w:ascii="宋体" w:hAnsi="宋体" w:eastAsia="宋体" w:cs="宋体"/>
                <w:b w:val="0"/>
              </w:rPr>
              <w:t>218,360</w:t>
            </w:r>
          </w:p>
        </w:tc>
        <w:tc>
          <w:tcPr>
            <w:tcW w:w="0" w:type="dxa"/>
            <w:vAlign w:val="center"/>
          </w:tcPr>
          <w:p>
            <w:pPr>
              <w:spacing w:line="240" w:lineRule="auto"/>
              <w:jc w:val="right"/>
            </w:pPr>
            <w:r>
              <w:rPr>
                <w:rFonts w:ascii="宋体" w:hAnsi="宋体" w:eastAsia="宋体" w:cs="宋体"/>
                <w:b w:val="0"/>
              </w:rPr>
              <w:t>25,393,084.40</w:t>
            </w:r>
          </w:p>
        </w:tc>
        <w:tc>
          <w:tcPr>
            <w:tcW w:w="0" w:type="dxa"/>
            <w:vAlign w:val="center"/>
          </w:tcPr>
          <w:p>
            <w:pPr>
              <w:spacing w:line="240" w:lineRule="auto"/>
              <w:jc w:val="right"/>
            </w:pPr>
            <w:r>
              <w:rPr>
                <w:rFonts w:ascii="宋体" w:hAnsi="宋体" w:eastAsia="宋体" w:cs="宋体"/>
                <w:b w:val="0"/>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002865</w:t>
            </w:r>
          </w:p>
        </w:tc>
        <w:tc>
          <w:tcPr>
            <w:tcW w:w="0" w:type="dxa"/>
            <w:vAlign w:val="center"/>
          </w:tcPr>
          <w:p>
            <w:pPr>
              <w:spacing w:line="240" w:lineRule="auto"/>
              <w:jc w:val="left"/>
            </w:pPr>
            <w:r>
              <w:rPr>
                <w:rFonts w:ascii="宋体" w:hAnsi="宋体" w:eastAsia="宋体" w:cs="宋体"/>
                <w:b w:val="0"/>
              </w:rPr>
              <w:t>钧达股份</w:t>
            </w:r>
          </w:p>
        </w:tc>
        <w:tc>
          <w:tcPr>
            <w:tcW w:w="0" w:type="dxa"/>
            <w:vAlign w:val="center"/>
          </w:tcPr>
          <w:p>
            <w:pPr>
              <w:spacing w:line="240" w:lineRule="auto"/>
              <w:jc w:val="right"/>
            </w:pPr>
            <w:r>
              <w:rPr>
                <w:rFonts w:ascii="宋体" w:hAnsi="宋体" w:eastAsia="宋体" w:cs="宋体"/>
                <w:b w:val="0"/>
              </w:rPr>
              <w:t>238,300</w:t>
            </w:r>
          </w:p>
        </w:tc>
        <w:tc>
          <w:tcPr>
            <w:tcW w:w="0" w:type="dxa"/>
            <w:vAlign w:val="center"/>
          </w:tcPr>
          <w:p>
            <w:pPr>
              <w:spacing w:line="240" w:lineRule="auto"/>
              <w:jc w:val="right"/>
            </w:pPr>
            <w:r>
              <w:rPr>
                <w:rFonts w:ascii="宋体" w:hAnsi="宋体" w:eastAsia="宋体" w:cs="宋体"/>
                <w:b w:val="0"/>
              </w:rPr>
              <w:t>14,221,744.00</w:t>
            </w:r>
          </w:p>
        </w:tc>
        <w:tc>
          <w:tcPr>
            <w:tcW w:w="0" w:type="dxa"/>
            <w:vAlign w:val="center"/>
          </w:tcPr>
          <w:p>
            <w:pPr>
              <w:spacing w:line="240" w:lineRule="auto"/>
              <w:jc w:val="right"/>
            </w:pPr>
            <w:r>
              <w:rPr>
                <w:rFonts w:ascii="宋体" w:hAnsi="宋体" w:eastAsia="宋体" w:cs="宋体"/>
                <w:b w:val="0"/>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02865</w:t>
            </w:r>
          </w:p>
        </w:tc>
        <w:tc>
          <w:tcPr>
            <w:tcW w:w="0" w:type="dxa"/>
            <w:vAlign w:val="center"/>
          </w:tcPr>
          <w:p>
            <w:pPr>
              <w:spacing w:line="240" w:lineRule="auto"/>
              <w:jc w:val="left"/>
            </w:pPr>
            <w:r>
              <w:rPr>
                <w:rFonts w:ascii="宋体" w:hAnsi="宋体" w:eastAsia="宋体" w:cs="宋体"/>
                <w:b w:val="0"/>
              </w:rPr>
              <w:t>钧达股份</w:t>
            </w:r>
          </w:p>
        </w:tc>
        <w:tc>
          <w:tcPr>
            <w:tcW w:w="0" w:type="dxa"/>
            <w:vAlign w:val="center"/>
          </w:tcPr>
          <w:p>
            <w:pPr>
              <w:spacing w:line="240" w:lineRule="auto"/>
              <w:jc w:val="right"/>
            </w:pPr>
            <w:r>
              <w:rPr>
                <w:rFonts w:ascii="宋体" w:hAnsi="宋体" w:eastAsia="宋体" w:cs="宋体"/>
                <w:b w:val="0"/>
              </w:rPr>
              <w:t>566,700</w:t>
            </w:r>
          </w:p>
        </w:tc>
        <w:tc>
          <w:tcPr>
            <w:tcW w:w="0" w:type="dxa"/>
            <w:vAlign w:val="center"/>
          </w:tcPr>
          <w:p>
            <w:pPr>
              <w:spacing w:line="240" w:lineRule="auto"/>
              <w:jc w:val="right"/>
            </w:pPr>
            <w:r>
              <w:rPr>
                <w:rFonts w:ascii="宋体" w:hAnsi="宋体" w:eastAsia="宋体" w:cs="宋体"/>
                <w:b w:val="0"/>
              </w:rPr>
              <w:t>10,543,080.04</w:t>
            </w:r>
          </w:p>
        </w:tc>
        <w:tc>
          <w:tcPr>
            <w:tcW w:w="0" w:type="dxa"/>
            <w:vAlign w:val="center"/>
          </w:tcPr>
          <w:p>
            <w:pPr>
              <w:spacing w:line="240" w:lineRule="auto"/>
              <w:jc w:val="right"/>
            </w:pPr>
            <w:r>
              <w:rPr>
                <w:rFonts w:ascii="宋体" w:hAnsi="宋体" w:eastAsia="宋体" w:cs="宋体"/>
                <w:b w:val="0"/>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301232</w:t>
            </w:r>
          </w:p>
        </w:tc>
        <w:tc>
          <w:tcPr>
            <w:tcW w:w="0" w:type="dxa"/>
            <w:vAlign w:val="center"/>
          </w:tcPr>
          <w:p>
            <w:pPr>
              <w:spacing w:line="240" w:lineRule="auto"/>
              <w:jc w:val="left"/>
            </w:pPr>
            <w:r>
              <w:rPr>
                <w:rFonts w:ascii="宋体" w:hAnsi="宋体" w:eastAsia="宋体" w:cs="宋体"/>
                <w:b w:val="0"/>
              </w:rPr>
              <w:t>飞沃科技</w:t>
            </w:r>
          </w:p>
        </w:tc>
        <w:tc>
          <w:tcPr>
            <w:tcW w:w="0" w:type="dxa"/>
            <w:vAlign w:val="center"/>
          </w:tcPr>
          <w:p>
            <w:pPr>
              <w:spacing w:line="240" w:lineRule="auto"/>
              <w:jc w:val="right"/>
            </w:pPr>
            <w:r>
              <w:rPr>
                <w:rFonts w:ascii="宋体" w:hAnsi="宋体" w:eastAsia="宋体" w:cs="宋体"/>
                <w:b w:val="0"/>
              </w:rPr>
              <w:t>110,400</w:t>
            </w:r>
          </w:p>
        </w:tc>
        <w:tc>
          <w:tcPr>
            <w:tcW w:w="0" w:type="dxa"/>
            <w:vAlign w:val="center"/>
          </w:tcPr>
          <w:p>
            <w:pPr>
              <w:spacing w:line="240" w:lineRule="auto"/>
              <w:jc w:val="right"/>
            </w:pPr>
            <w:r>
              <w:rPr>
                <w:rFonts w:ascii="宋体" w:hAnsi="宋体" w:eastAsia="宋体" w:cs="宋体"/>
                <w:b w:val="0"/>
              </w:rPr>
              <w:t>16,996,080.00</w:t>
            </w:r>
          </w:p>
        </w:tc>
        <w:tc>
          <w:tcPr>
            <w:tcW w:w="0" w:type="dxa"/>
            <w:vAlign w:val="center"/>
          </w:tcPr>
          <w:p>
            <w:pPr>
              <w:spacing w:line="240" w:lineRule="auto"/>
              <w:jc w:val="right"/>
            </w:pPr>
            <w:r>
              <w:rPr>
                <w:rFonts w:ascii="宋体" w:hAnsi="宋体" w:eastAsia="宋体" w:cs="宋体"/>
                <w:b w:val="0"/>
              </w:rP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300900</w:t>
            </w:r>
          </w:p>
        </w:tc>
        <w:tc>
          <w:tcPr>
            <w:tcW w:w="0" w:type="dxa"/>
            <w:vAlign w:val="center"/>
          </w:tcPr>
          <w:p>
            <w:pPr>
              <w:spacing w:line="240" w:lineRule="auto"/>
              <w:jc w:val="left"/>
            </w:pPr>
            <w:r>
              <w:rPr>
                <w:rFonts w:ascii="宋体" w:hAnsi="宋体" w:eastAsia="宋体" w:cs="宋体"/>
                <w:b w:val="0"/>
              </w:rPr>
              <w:t>广联航空</w:t>
            </w:r>
          </w:p>
        </w:tc>
        <w:tc>
          <w:tcPr>
            <w:tcW w:w="0" w:type="dxa"/>
            <w:vAlign w:val="center"/>
          </w:tcPr>
          <w:p>
            <w:pPr>
              <w:spacing w:line="240" w:lineRule="auto"/>
              <w:jc w:val="right"/>
            </w:pPr>
            <w:r>
              <w:rPr>
                <w:rFonts w:ascii="宋体" w:hAnsi="宋体" w:eastAsia="宋体" w:cs="宋体"/>
                <w:b w:val="0"/>
              </w:rPr>
              <w:t>434,000</w:t>
            </w:r>
          </w:p>
        </w:tc>
        <w:tc>
          <w:tcPr>
            <w:tcW w:w="0" w:type="dxa"/>
            <w:vAlign w:val="center"/>
          </w:tcPr>
          <w:p>
            <w:pPr>
              <w:spacing w:line="240" w:lineRule="auto"/>
              <w:jc w:val="right"/>
            </w:pPr>
            <w:r>
              <w:rPr>
                <w:rFonts w:ascii="宋体" w:hAnsi="宋体" w:eastAsia="宋体" w:cs="宋体"/>
                <w:b w:val="0"/>
              </w:rPr>
              <w:t>16,739,380.00</w:t>
            </w:r>
          </w:p>
        </w:tc>
        <w:tc>
          <w:tcPr>
            <w:tcW w:w="0" w:type="dxa"/>
            <w:vAlign w:val="center"/>
          </w:tcPr>
          <w:p>
            <w:pPr>
              <w:spacing w:line="240" w:lineRule="auto"/>
              <w:jc w:val="right"/>
            </w:pPr>
            <w:r>
              <w:rPr>
                <w:rFonts w:ascii="宋体" w:hAnsi="宋体" w:eastAsia="宋体" w:cs="宋体"/>
                <w:b w:val="0"/>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688726</w:t>
            </w:r>
          </w:p>
        </w:tc>
        <w:tc>
          <w:tcPr>
            <w:tcW w:w="0" w:type="dxa"/>
            <w:vAlign w:val="center"/>
          </w:tcPr>
          <w:p>
            <w:pPr>
              <w:spacing w:line="240" w:lineRule="auto"/>
              <w:jc w:val="left"/>
            </w:pPr>
            <w:r>
              <w:rPr>
                <w:rFonts w:ascii="宋体" w:hAnsi="宋体" w:eastAsia="宋体" w:cs="宋体"/>
                <w:b w:val="0"/>
              </w:rPr>
              <w:t>拉普拉斯</w:t>
            </w:r>
          </w:p>
        </w:tc>
        <w:tc>
          <w:tcPr>
            <w:tcW w:w="0" w:type="dxa"/>
            <w:vAlign w:val="center"/>
          </w:tcPr>
          <w:p>
            <w:pPr>
              <w:spacing w:line="240" w:lineRule="auto"/>
              <w:jc w:val="right"/>
            </w:pPr>
            <w:r>
              <w:rPr>
                <w:rFonts w:ascii="宋体" w:hAnsi="宋体" w:eastAsia="宋体" w:cs="宋体"/>
                <w:b w:val="0"/>
              </w:rPr>
              <w:t>306,846</w:t>
            </w:r>
          </w:p>
        </w:tc>
        <w:tc>
          <w:tcPr>
            <w:tcW w:w="0" w:type="dxa"/>
            <w:vAlign w:val="center"/>
          </w:tcPr>
          <w:p>
            <w:pPr>
              <w:spacing w:line="240" w:lineRule="auto"/>
              <w:jc w:val="right"/>
            </w:pPr>
            <w:r>
              <w:rPr>
                <w:rFonts w:ascii="宋体" w:hAnsi="宋体" w:eastAsia="宋体" w:cs="宋体"/>
                <w:b w:val="0"/>
              </w:rPr>
              <w:t>16,216,811.10</w:t>
            </w:r>
          </w:p>
        </w:tc>
        <w:tc>
          <w:tcPr>
            <w:tcW w:w="0" w:type="dxa"/>
            <w:vAlign w:val="center"/>
          </w:tcPr>
          <w:p>
            <w:pPr>
              <w:spacing w:line="240" w:lineRule="auto"/>
              <w:jc w:val="right"/>
            </w:pPr>
            <w:r>
              <w:rPr>
                <w:rFonts w:ascii="宋体" w:hAnsi="宋体" w:eastAsia="宋体" w:cs="宋体"/>
                <w:b w:val="0"/>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688818</w:t>
            </w:r>
          </w:p>
        </w:tc>
        <w:tc>
          <w:tcPr>
            <w:tcW w:w="0" w:type="dxa"/>
            <w:vAlign w:val="center"/>
          </w:tcPr>
          <w:p>
            <w:pPr>
              <w:spacing w:line="240" w:lineRule="auto"/>
              <w:jc w:val="left"/>
            </w:pPr>
            <w:r>
              <w:rPr>
                <w:rFonts w:ascii="宋体" w:hAnsi="宋体" w:eastAsia="宋体" w:cs="宋体"/>
                <w:b w:val="0"/>
              </w:rPr>
              <w:t>电科蓝天</w:t>
            </w:r>
          </w:p>
        </w:tc>
        <w:tc>
          <w:tcPr>
            <w:tcW w:w="0" w:type="dxa"/>
            <w:vAlign w:val="center"/>
          </w:tcPr>
          <w:p>
            <w:pPr>
              <w:spacing w:line="240" w:lineRule="auto"/>
              <w:jc w:val="right"/>
            </w:pPr>
            <w:r>
              <w:rPr>
                <w:rFonts w:ascii="宋体" w:hAnsi="宋体" w:eastAsia="宋体" w:cs="宋体"/>
                <w:b w:val="0"/>
              </w:rPr>
              <w:t>214,941</w:t>
            </w:r>
          </w:p>
        </w:tc>
        <w:tc>
          <w:tcPr>
            <w:tcW w:w="0" w:type="dxa"/>
            <w:vAlign w:val="center"/>
          </w:tcPr>
          <w:p>
            <w:pPr>
              <w:spacing w:line="240" w:lineRule="auto"/>
              <w:jc w:val="right"/>
            </w:pPr>
            <w:r>
              <w:rPr>
                <w:rFonts w:ascii="宋体" w:hAnsi="宋体" w:eastAsia="宋体" w:cs="宋体"/>
                <w:b w:val="0"/>
              </w:rPr>
              <w:t>15,937,875.15</w:t>
            </w:r>
          </w:p>
        </w:tc>
        <w:tc>
          <w:tcPr>
            <w:tcW w:w="0" w:type="dxa"/>
            <w:vAlign w:val="center"/>
          </w:tcPr>
          <w:p>
            <w:pPr>
              <w:spacing w:line="240" w:lineRule="auto"/>
              <w:jc w:val="right"/>
            </w:pPr>
            <w:r>
              <w:rPr>
                <w:rFonts w:ascii="宋体" w:hAnsi="宋体" w:eastAsia="宋体" w:cs="宋体"/>
                <w:b w:val="0"/>
              </w:rPr>
              <w:t>5.23</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17,476,997.76</w:t>
            </w:r>
          </w:p>
        </w:tc>
        <w:tc>
          <w:tcPr>
            <w:tcW w:w="0" w:type="dxa"/>
            <w:vAlign w:val="center"/>
          </w:tcPr>
          <w:p>
            <w:pPr>
              <w:spacing w:line="240" w:lineRule="auto"/>
              <w:jc w:val="right"/>
            </w:pPr>
            <w:r>
              <w:rPr>
                <w:rFonts w:ascii="宋体" w:hAnsi="宋体" w:eastAsia="宋体" w:cs="宋体"/>
                <w:b w:val="0"/>
              </w:rP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17,476,997.76</w:t>
            </w:r>
          </w:p>
        </w:tc>
        <w:tc>
          <w:tcPr>
            <w:tcW w:w="0" w:type="dxa"/>
            <w:vAlign w:val="center"/>
          </w:tcPr>
          <w:p>
            <w:pPr>
              <w:spacing w:line="240" w:lineRule="auto"/>
              <w:jc w:val="right"/>
            </w:pPr>
            <w:r>
              <w:rPr>
                <w:rFonts w:ascii="宋体" w:hAnsi="宋体" w:eastAsia="宋体" w:cs="宋体"/>
                <w:b w:val="0"/>
              </w:rPr>
              <w:t>5.73</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019827</w:t>
            </w:r>
          </w:p>
        </w:tc>
        <w:tc>
          <w:tcPr>
            <w:tcW w:w="0" w:type="dxa"/>
            <w:vAlign w:val="center"/>
          </w:tcPr>
          <w:p>
            <w:pPr>
              <w:spacing w:line="240" w:lineRule="auto"/>
              <w:jc w:val="left"/>
            </w:pPr>
            <w:r>
              <w:rPr>
                <w:rFonts w:ascii="宋体" w:hAnsi="宋体" w:eastAsia="宋体" w:cs="宋体"/>
                <w:b w:val="0"/>
              </w:rPr>
              <w:t>26国债01</w:t>
            </w:r>
          </w:p>
        </w:tc>
        <w:tc>
          <w:tcPr>
            <w:tcW w:w="0" w:type="dxa"/>
            <w:vAlign w:val="center"/>
          </w:tcPr>
          <w:p>
            <w:pPr>
              <w:spacing w:line="240" w:lineRule="auto"/>
              <w:jc w:val="right"/>
            </w:pPr>
            <w:r>
              <w:rPr>
                <w:rFonts w:ascii="宋体" w:hAnsi="宋体" w:eastAsia="宋体" w:cs="宋体"/>
                <w:b w:val="0"/>
              </w:rPr>
              <w:t>100,000</w:t>
            </w:r>
          </w:p>
        </w:tc>
        <w:tc>
          <w:tcPr>
            <w:tcW w:w="0" w:type="dxa"/>
            <w:vAlign w:val="center"/>
          </w:tcPr>
          <w:p>
            <w:pPr>
              <w:spacing w:line="240" w:lineRule="auto"/>
              <w:jc w:val="right"/>
            </w:pPr>
            <w:r>
              <w:rPr>
                <w:rFonts w:ascii="宋体" w:hAnsi="宋体" w:eastAsia="宋体" w:cs="宋体"/>
                <w:b w:val="0"/>
              </w:rPr>
              <w:t>10,064,819.18</w:t>
            </w:r>
          </w:p>
        </w:tc>
        <w:tc>
          <w:tcPr>
            <w:tcW w:w="0" w:type="dxa"/>
            <w:vAlign w:val="center"/>
          </w:tcPr>
          <w:p>
            <w:pPr>
              <w:spacing w:line="240" w:lineRule="auto"/>
              <w:jc w:val="right"/>
            </w:pPr>
            <w:r>
              <w:rPr>
                <w:rFonts w:ascii="宋体" w:hAnsi="宋体" w:eastAsia="宋体" w:cs="宋体"/>
                <w:b w:val="0"/>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019835</w:t>
            </w:r>
          </w:p>
        </w:tc>
        <w:tc>
          <w:tcPr>
            <w:tcW w:w="0" w:type="dxa"/>
            <w:vAlign w:val="center"/>
          </w:tcPr>
          <w:p>
            <w:pPr>
              <w:spacing w:line="240" w:lineRule="auto"/>
              <w:jc w:val="left"/>
            </w:pPr>
            <w:r>
              <w:rPr>
                <w:rFonts w:ascii="宋体" w:hAnsi="宋体" w:eastAsia="宋体" w:cs="宋体"/>
                <w:b w:val="0"/>
              </w:rPr>
              <w:t>26国债09</w:t>
            </w:r>
          </w:p>
        </w:tc>
        <w:tc>
          <w:tcPr>
            <w:tcW w:w="0" w:type="dxa"/>
            <w:vAlign w:val="center"/>
          </w:tcPr>
          <w:p>
            <w:pPr>
              <w:spacing w:line="240" w:lineRule="auto"/>
              <w:jc w:val="right"/>
            </w:pPr>
            <w:r>
              <w:rPr>
                <w:rFonts w:ascii="宋体" w:hAnsi="宋体" w:eastAsia="宋体" w:cs="宋体"/>
                <w:b w:val="0"/>
              </w:rPr>
              <w:t>74,000</w:t>
            </w:r>
          </w:p>
        </w:tc>
        <w:tc>
          <w:tcPr>
            <w:tcW w:w="0" w:type="dxa"/>
            <w:vAlign w:val="center"/>
          </w:tcPr>
          <w:p>
            <w:pPr>
              <w:spacing w:line="240" w:lineRule="auto"/>
              <w:jc w:val="right"/>
            </w:pPr>
            <w:r>
              <w:rPr>
                <w:rFonts w:ascii="宋体" w:hAnsi="宋体" w:eastAsia="宋体" w:cs="宋体"/>
                <w:b w:val="0"/>
              </w:rPr>
              <w:t>7,412,178.58</w:t>
            </w:r>
          </w:p>
        </w:tc>
        <w:tc>
          <w:tcPr>
            <w:tcW w:w="0" w:type="dxa"/>
            <w:vAlign w:val="center"/>
          </w:tcPr>
          <w:p>
            <w:pPr>
              <w:spacing w:line="240" w:lineRule="auto"/>
              <w:jc w:val="right"/>
            </w:pPr>
            <w:r>
              <w:rPr>
                <w:rFonts w:ascii="宋体" w:hAnsi="宋体" w:eastAsia="宋体" w:cs="宋体"/>
                <w:b w:val="0"/>
              </w:rPr>
              <w:t>2.43</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6,778,441.57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6,778,441.57</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本基金本报告期末前十名股票中不存在流通受限的情况。</w:t>
      </w:r>
    </w:p>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东方阿尔法瑞丰混合发起A</w:t>
            </w:r>
          </w:p>
        </w:tc>
        <w:tc>
          <w:tcPr>
            <w:tcW w:w="1300" w:type="pct"/>
            <w:vAlign w:val="center"/>
          </w:tcPr>
          <w:p>
            <w:pPr>
              <w:spacing w:line="240" w:lineRule="auto"/>
              <w:jc w:val="center"/>
            </w:pPr>
            <w:r>
              <w:rPr>
                <w:rFonts w:ascii="宋体" w:hAnsi="宋体" w:eastAsia="宋体" w:cs="宋体"/>
                <w:b w:val="0"/>
              </w:rPr>
              <w:t>东方阿尔法瑞丰混合发起C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43,170,115.98</w:t>
            </w:r>
          </w:p>
        </w:tc>
        <w:tc>
          <w:tcPr>
            <w:tcW w:w="1300" w:type="pct"/>
            <w:vAlign w:val="center"/>
          </w:tcPr>
          <w:p>
            <w:pPr>
              <w:spacing w:line="240" w:lineRule="auto"/>
              <w:jc w:val="right"/>
            </w:pPr>
            <w:r>
              <w:rPr>
                <w:rFonts w:ascii="宋体" w:hAnsi="宋体" w:eastAsia="宋体" w:cs="宋体"/>
                <w:b w:val="0"/>
              </w:rPr>
              <w:t>420,131,484.12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12,390,235.06</w:t>
            </w:r>
          </w:p>
        </w:tc>
        <w:tc>
          <w:tcPr>
            <w:tcW w:w="1300" w:type="pct"/>
            <w:vAlign w:val="center"/>
          </w:tcPr>
          <w:p>
            <w:pPr>
              <w:spacing w:line="240" w:lineRule="auto"/>
              <w:jc w:val="right"/>
            </w:pPr>
            <w:r>
              <w:rPr>
                <w:rFonts w:ascii="宋体" w:hAnsi="宋体" w:eastAsia="宋体" w:cs="宋体"/>
                <w:b w:val="0"/>
              </w:rPr>
              <w:t>543,185,491.96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23,595,155.24</w:t>
            </w:r>
          </w:p>
        </w:tc>
        <w:tc>
          <w:tcPr>
            <w:tcW w:w="1300" w:type="pct"/>
            <w:vAlign w:val="center"/>
          </w:tcPr>
          <w:p>
            <w:pPr>
              <w:spacing w:line="240" w:lineRule="auto"/>
              <w:jc w:val="right"/>
            </w:pPr>
            <w:r>
              <w:rPr>
                <w:rFonts w:ascii="宋体" w:hAnsi="宋体" w:eastAsia="宋体" w:cs="宋体"/>
                <w:b w:val="0"/>
              </w:rPr>
              <w:t>736,758,324.10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31,965,195.80</w:t>
            </w:r>
          </w:p>
        </w:tc>
        <w:tc>
          <w:tcPr>
            <w:tcW w:w="1300" w:type="pct"/>
            <w:vAlign w:val="center"/>
          </w:tcPr>
          <w:p>
            <w:pPr>
              <w:spacing w:line="240" w:lineRule="auto"/>
              <w:jc w:val="right"/>
            </w:pPr>
            <w:r>
              <w:rPr>
                <w:rFonts w:ascii="宋体" w:hAnsi="宋体" w:eastAsia="宋体" w:cs="宋体"/>
                <w:b w:val="0"/>
              </w:rPr>
              <w:t>226,558,651.98</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center"/>
            </w:pPr>
          </w:p>
        </w:tc>
        <w:tc>
          <w:tcPr>
            <w:tcW w:w="950" w:type="pct"/>
            <w:vAlign w:val="center"/>
          </w:tcPr>
          <w:p>
            <w:pPr>
              <w:spacing w:line="240" w:lineRule="auto"/>
              <w:jc w:val="center"/>
            </w:pPr>
            <w:r>
              <w:rPr>
                <w:rFonts w:ascii="宋体" w:hAnsi="宋体" w:eastAsia="宋体" w:cs="宋体"/>
                <w:b w:val="0"/>
              </w:rPr>
              <w:t>东方阿尔法瑞丰混合发起A</w:t>
            </w:r>
          </w:p>
        </w:tc>
        <w:tc>
          <w:tcPr>
            <w:tcW w:w="950" w:type="pct"/>
            <w:vAlign w:val="center"/>
          </w:tcPr>
          <w:p>
            <w:pPr>
              <w:spacing w:line="240" w:lineRule="auto"/>
              <w:jc w:val="center"/>
            </w:pPr>
            <w:r>
              <w:rPr>
                <w:rFonts w:ascii="宋体" w:hAnsi="宋体" w:eastAsia="宋体" w:cs="宋体"/>
                <w:b w:val="0"/>
              </w:rPr>
              <w:t>东方阿尔法瑞丰混合发起C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left"/>
            </w:pPr>
            <w:r>
              <w:rPr>
                <w:rFonts w:ascii="宋体" w:hAnsi="宋体" w:eastAsia="宋体" w:cs="宋体"/>
                <w:b w:val="0"/>
              </w:rPr>
              <w:t>报告期期初管理人持有的本基金份额</w:t>
            </w:r>
          </w:p>
        </w:tc>
        <w:tc>
          <w:tcPr>
            <w:tcW w:w="950" w:type="pct"/>
            <w:vAlign w:val="center"/>
          </w:tcPr>
          <w:p>
            <w:pPr>
              <w:spacing w:line="240" w:lineRule="auto"/>
              <w:jc w:val="right"/>
            </w:pPr>
            <w:r>
              <w:rPr>
                <w:rFonts w:ascii="宋体" w:hAnsi="宋体" w:eastAsia="宋体" w:cs="宋体"/>
                <w:b w:val="0"/>
              </w:rPr>
              <w:t>10,000,450.04</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报告期期间买入/申购总份额</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报告期期间卖出/赎回总份额</w:t>
            </w:r>
          </w:p>
        </w:tc>
        <w:tc>
          <w:tcPr>
            <w:tcW w:w="950" w:type="pct"/>
            <w:vAlign w:val="center"/>
          </w:tcPr>
          <w:p>
            <w:pPr>
              <w:spacing w:line="240" w:lineRule="auto"/>
              <w:jc w:val="right"/>
            </w:pPr>
            <w:r>
              <w:rPr>
                <w:rFonts w:ascii="宋体" w:hAnsi="宋体" w:eastAsia="宋体" w:cs="宋体"/>
                <w:b w:val="0"/>
              </w:rPr>
              <w:t>5,000,225.02</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报告期期末管理人持有的本基金份额</w:t>
            </w:r>
          </w:p>
        </w:tc>
        <w:tc>
          <w:tcPr>
            <w:tcW w:w="950" w:type="pct"/>
            <w:vAlign w:val="center"/>
          </w:tcPr>
          <w:p>
            <w:pPr>
              <w:spacing w:line="240" w:lineRule="auto"/>
              <w:jc w:val="right"/>
            </w:pPr>
            <w:r>
              <w:rPr>
                <w:rFonts w:ascii="宋体" w:hAnsi="宋体" w:eastAsia="宋体" w:cs="宋体"/>
                <w:b w:val="0"/>
              </w:rPr>
              <w:t>5,000,225.02</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left"/>
            </w:pPr>
            <w:r>
              <w:rPr>
                <w:rFonts w:ascii="宋体" w:hAnsi="宋体" w:eastAsia="宋体" w:cs="宋体"/>
                <w:b w:val="0"/>
              </w:rPr>
              <w:t>报告期期末持有的本基金份额占基金总份额比例（%）</w:t>
            </w:r>
          </w:p>
        </w:tc>
        <w:tc>
          <w:tcPr>
            <w:tcW w:w="950" w:type="pct"/>
            <w:vAlign w:val="center"/>
          </w:tcPr>
          <w:p>
            <w:pPr>
              <w:spacing w:line="240" w:lineRule="auto"/>
              <w:jc w:val="right"/>
            </w:pPr>
            <w:r>
              <w:rPr>
                <w:rFonts w:ascii="宋体" w:hAnsi="宋体" w:eastAsia="宋体" w:cs="宋体"/>
                <w:b w:val="0"/>
              </w:rPr>
              <w:t>1.93</w:t>
            </w:r>
          </w:p>
        </w:tc>
        <w:tc>
          <w:tcPr>
            <w:tcW w:w="950" w:type="pct"/>
            <w:vAlign w:val="center"/>
          </w:tcPr>
          <w:p>
            <w:pPr>
              <w:spacing w:line="240" w:lineRule="auto"/>
              <w:jc w:val="right"/>
            </w:pPr>
            <w:r>
              <w:rPr>
                <w:rFonts w:ascii="宋体" w:hAnsi="宋体" w:eastAsia="宋体" w:cs="宋体"/>
                <w:b w:val="0"/>
              </w:rPr>
              <w:t>-</w:t>
            </w:r>
          </w:p>
        </w:tc>
      </w:tr>
    </w:tbl>
    <w:p>
      <w:r>
        <w:rPr>
          <w:rFonts w:ascii="宋体" w:hAnsi="宋体" w:eastAsia="宋体" w:cs="宋体"/>
          <w:b w:val="0"/>
        </w:rPr>
        <w:t>注：报告期期末持有的本基金份额占基金总份额比例的分母采用期末基金份额总额，不区分下属不同类别基金。</w:t>
      </w:r>
    </w:p>
    <w:p/>
    <w:p>
      <w:pPr>
        <w:pStyle w:val="3"/>
        <w:jc w:val="left"/>
      </w:pPr>
      <w:r>
        <w:rPr>
          <w:rFonts w:ascii="宋体" w:hAnsi="宋体" w:eastAsia="宋体" w:cs="宋体"/>
        </w:rPr>
        <w:t>7.2 基金管理人运用固有资金投资本基金交易明细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497"/>
        <w:gridCol w:w="1498"/>
        <w:gridCol w:w="1798"/>
        <w:gridCol w:w="1798"/>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交易方式</w:t>
            </w:r>
          </w:p>
        </w:tc>
        <w:tc>
          <w:tcPr>
            <w:tcW w:w="769" w:type="pct"/>
            <w:shd w:val="clear" w:color="auto" w:fill="D9D9D9"/>
            <w:vAlign w:val="center"/>
          </w:tcPr>
          <w:p>
            <w:pPr>
              <w:spacing w:line="240" w:lineRule="auto"/>
              <w:jc w:val="center"/>
            </w:pPr>
            <w:r>
              <w:rPr>
                <w:rFonts w:ascii="宋体" w:hAnsi="宋体" w:eastAsia="宋体" w:cs="宋体"/>
                <w:b w:val="0"/>
              </w:rPr>
              <w:t>交易日期</w:t>
            </w:r>
          </w:p>
        </w:tc>
        <w:tc>
          <w:tcPr>
            <w:tcW w:w="923" w:type="pct"/>
            <w:shd w:val="clear" w:color="auto" w:fill="D9D9D9"/>
            <w:vAlign w:val="center"/>
          </w:tcPr>
          <w:p>
            <w:pPr>
              <w:spacing w:line="240" w:lineRule="auto"/>
              <w:jc w:val="center"/>
            </w:pPr>
            <w:r>
              <w:rPr>
                <w:rFonts w:ascii="宋体" w:hAnsi="宋体" w:eastAsia="宋体" w:cs="宋体"/>
                <w:b w:val="0"/>
              </w:rPr>
              <w:t>交易份额（份）</w:t>
            </w:r>
          </w:p>
        </w:tc>
        <w:tc>
          <w:tcPr>
            <w:tcW w:w="923" w:type="pct"/>
            <w:shd w:val="clear" w:color="auto" w:fill="D9D9D9"/>
            <w:vAlign w:val="center"/>
          </w:tcPr>
          <w:p>
            <w:pPr>
              <w:spacing w:line="240" w:lineRule="auto"/>
              <w:jc w:val="center"/>
            </w:pPr>
            <w:r>
              <w:rPr>
                <w:rFonts w:ascii="宋体" w:hAnsi="宋体" w:eastAsia="宋体" w:cs="宋体"/>
                <w:b w:val="0"/>
              </w:rPr>
              <w:t>交易金额 （元）</w:t>
            </w:r>
          </w:p>
        </w:tc>
        <w:tc>
          <w:tcPr>
            <w:tcW w:w="769" w:type="pct"/>
            <w:shd w:val="clear" w:color="auto" w:fill="D9D9D9"/>
            <w:vAlign w:val="center"/>
          </w:tcPr>
          <w:p>
            <w:pPr>
              <w:spacing w:line="240" w:lineRule="auto"/>
              <w:jc w:val="center"/>
            </w:pPr>
            <w:r>
              <w:rPr>
                <w:rFonts w:ascii="宋体" w:hAnsi="宋体" w:eastAsia="宋体" w:cs="宋体"/>
                <w:b w:val="0"/>
              </w:rPr>
              <w:t>适用费率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赎回</w:t>
            </w:r>
          </w:p>
        </w:tc>
        <w:tc>
          <w:tcPr>
            <w:tcW w:w="0" w:type="dxa"/>
            <w:vAlign w:val="center"/>
          </w:tcPr>
          <w:p>
            <w:pPr>
              <w:spacing w:line="240" w:lineRule="auto"/>
              <w:jc w:val="center"/>
            </w:pPr>
            <w:r>
              <w:rPr>
                <w:rFonts w:ascii="宋体" w:hAnsi="宋体" w:eastAsia="宋体" w:cs="宋体"/>
                <w:b w:val="0"/>
              </w:rPr>
              <w:t>2026-05-26</w:t>
            </w:r>
          </w:p>
        </w:tc>
        <w:tc>
          <w:tcPr>
            <w:tcW w:w="0" w:type="dxa"/>
            <w:vAlign w:val="center"/>
          </w:tcPr>
          <w:p>
            <w:pPr>
              <w:spacing w:line="240" w:lineRule="auto"/>
              <w:jc w:val="right"/>
            </w:pPr>
            <w:r>
              <w:rPr>
                <w:rFonts w:ascii="宋体" w:hAnsi="宋体" w:eastAsia="宋体" w:cs="宋体"/>
                <w:b w:val="0"/>
              </w:rPr>
              <w:t>-5,000,225.02</w:t>
            </w:r>
          </w:p>
        </w:tc>
        <w:tc>
          <w:tcPr>
            <w:tcW w:w="0" w:type="dxa"/>
            <w:vAlign w:val="center"/>
          </w:tcPr>
          <w:p>
            <w:pPr>
              <w:spacing w:line="240" w:lineRule="auto"/>
              <w:jc w:val="right"/>
            </w:pPr>
            <w:r>
              <w:rPr>
                <w:rFonts w:ascii="宋体" w:hAnsi="宋体" w:eastAsia="宋体" w:cs="宋体"/>
                <w:b w:val="0"/>
              </w:rPr>
              <w:t>-6,351,785.84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left"/>
            </w:pP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-5,000,225.02</w:t>
            </w:r>
          </w:p>
        </w:tc>
        <w:tc>
          <w:tcPr>
            <w:tcW w:w="0" w:type="dxa"/>
            <w:vAlign w:val="center"/>
          </w:tcPr>
          <w:p>
            <w:pPr>
              <w:spacing w:line="240" w:lineRule="auto"/>
              <w:jc w:val="right"/>
            </w:pPr>
            <w:r>
              <w:rPr>
                <w:rFonts w:ascii="宋体" w:hAnsi="宋体" w:eastAsia="宋体" w:cs="宋体"/>
                <w:b w:val="0"/>
              </w:rPr>
              <w:t>-6,351,785.84</w:t>
            </w:r>
          </w:p>
        </w:tc>
        <w:tc>
          <w:tcPr>
            <w:tcW w:w="0" w:type="dxa"/>
            <w:vAlign w:val="center"/>
          </w:tcPr>
          <w:p>
            <w:pPr>
              <w:spacing w:line="240" w:lineRule="auto"/>
              <w:jc w:val="left"/>
            </w:pPr>
          </w:p>
        </w:tc>
      </w:tr>
    </w:tbl>
    <w:p>
      <w:r>
        <w:rPr>
          <w:rFonts w:ascii="宋体" w:hAnsi="宋体" w:eastAsia="宋体" w:cs="宋体"/>
          <w:b w:val="0"/>
        </w:rPr>
        <w:t>注：本基金管理人运用固有资金申赎（包含转换）本基金所适用费率符合基金招募说明书和相关公告的规定。</w:t>
      </w:r>
    </w:p>
    <w:p>
      <w:pPr>
        <w:pStyle w:val="2"/>
        <w:jc w:val="center"/>
      </w:pPr>
      <w:r>
        <w:rPr>
          <w:rFonts w:ascii="宋体" w:hAnsi="宋体" w:eastAsia="宋体" w:cs="宋体"/>
        </w:rPr>
        <w:t>§8 报告期末发起式基金发起资金持有份额情况</w:t>
      </w:r>
    </w:p>
    <w:p>
      <w:r>
        <w:rPr>
          <w:rFonts w:ascii="宋体" w:hAnsi="宋体" w:eastAsia="宋体" w:cs="宋体"/>
          <w:b w:val="0"/>
        </w:rPr>
        <w:t xml:space="preserve">    本基金基金合同于2023年05月12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p>
      <w:r>
        <w:rPr>
          <w:rFonts w:ascii="宋体" w:hAnsi="宋体" w:eastAsia="宋体" w:cs="宋体"/>
          <w:b w:val="0"/>
        </w:rPr>
        <w:t xml:space="preserve">    本报告期内，本基金不存在单一投资者持有基金份额比例达到或超过20%的情况。</w:t>
      </w:r>
    </w:p>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jc w:val="center"/>
      </w:pPr>
      <w:r>
        <w:rPr>
          <w:rFonts w:ascii="宋体" w:hAnsi="宋体" w:eastAsia="宋体" w:cs="宋体"/>
        </w:rPr>
        <w:t>§10 备查文件目录</w:t>
      </w:r>
    </w:p>
    <w:p>
      <w:pPr>
        <w:pStyle w:val="3"/>
        <w:jc w:val="left"/>
      </w:pPr>
      <w:r>
        <w:rPr>
          <w:rFonts w:ascii="宋体" w:hAnsi="宋体" w:eastAsia="宋体" w:cs="宋体"/>
        </w:rPr>
        <w:t>10.1 备查文件目录</w:t>
      </w:r>
    </w:p>
    <w:p>
      <w:r>
        <w:rPr>
          <w:rFonts w:ascii="宋体" w:hAnsi="宋体" w:eastAsia="宋体" w:cs="宋体"/>
          <w:b w:val="0"/>
        </w:rPr>
        <w:t xml:space="preserve">    1、中国证券监督管理委员会批准的东方阿尔法瑞丰混合型发起式证券投资基金设立的文件；</w:t>
      </w:r>
      <w:r>
        <w:rPr>
          <w:rFonts w:ascii="宋体" w:hAnsi="宋体" w:eastAsia="宋体" w:cs="宋体"/>
          <w:b w:val="0"/>
        </w:rPr>
        <w:br w:type="textWrapping"/>
      </w:r>
      <w:r>
        <w:rPr>
          <w:rFonts w:ascii="宋体" w:hAnsi="宋体" w:eastAsia="宋体" w:cs="宋体"/>
          <w:b w:val="0"/>
        </w:rPr>
        <w:t xml:space="preserve">    2、《东方阿尔法瑞丰混合型发起式证券投资基金基金合同》；</w:t>
      </w:r>
      <w:r>
        <w:rPr>
          <w:rFonts w:ascii="宋体" w:hAnsi="宋体" w:eastAsia="宋体" w:cs="宋体"/>
          <w:b w:val="0"/>
        </w:rPr>
        <w:br w:type="textWrapping"/>
      </w:r>
      <w:r>
        <w:rPr>
          <w:rFonts w:ascii="宋体" w:hAnsi="宋体" w:eastAsia="宋体" w:cs="宋体"/>
          <w:b w:val="0"/>
        </w:rPr>
        <w:t xml:space="preserve">    3、《东方阿尔法瑞丰混合型发起式证券投资基金托管协议》；</w:t>
      </w:r>
      <w:r>
        <w:rPr>
          <w:rFonts w:ascii="宋体" w:hAnsi="宋体" w:eastAsia="宋体" w:cs="宋体"/>
          <w:b w:val="0"/>
        </w:rPr>
        <w:br w:type="textWrapping"/>
      </w:r>
      <w:r>
        <w:rPr>
          <w:rFonts w:ascii="宋体" w:hAnsi="宋体" w:eastAsia="宋体" w:cs="宋体"/>
          <w:b w:val="0"/>
        </w:rPr>
        <w:t xml:space="preserve">    4、《东方阿尔法瑞丰混合型发起式证券投资基金招募说明书》（含更新）；</w:t>
      </w:r>
      <w:r>
        <w:rPr>
          <w:rFonts w:ascii="宋体" w:hAnsi="宋体" w:eastAsia="宋体" w:cs="宋体"/>
          <w:b w:val="0"/>
        </w:rPr>
        <w:br w:type="textWrapping"/>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br w:type="textWrapping"/>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br w:type="textWrapping"/>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二〇二六年七月二十日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东方阿尔法瑞丰混合型发起式证券投资基金2026年第2季度报告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04C1AB8"/>
    <w:rsid w:val="312016A7"/>
    <w:rsid w:val="328572ED"/>
    <w:rsid w:val="3E9A1429"/>
    <w:rsid w:val="443A2614"/>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51</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2026-07-14T00:50:14Z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