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bookmarkStart w:id="1" w:name="_GoBack"/>
      <w:bookmarkEnd w:id="1"/>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东方阿尔法瑞享混合型发起式证券投资基金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2026年第2季度报告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2026年06月30日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2026年07月20日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基金托管人招商银行股份有限公司根据本基金合同规定，于2026年07月14日复核了本报告中的财务指标、净值表现和投资组合报告等内容，保证复核内容不存在虚假记载、误导性陈述或者重大遗漏。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本报告期自2026年04月01日起至2026年06月30日止。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东方阿尔法瑞享混合发起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025777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2025年10月21日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863,251,323.31份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在有效控制组合风险并保持良好流动性的前提下，通过深入研究、优选个股、主动的投资管理方式力求实现组合资产的稳健增值。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2、个股优选策略</w:t>
            </w:r>
            <w:r>
              <w:rPr>
                <w:rFonts w:ascii="宋体" w:hAnsi="宋体" w:eastAsia="宋体" w:cs="宋体"/>
                <w:b w:val="0"/>
              </w:rPr>
              <w:br w:type="textWrapping"/>
            </w:r>
            <w:r>
              <w:rPr>
                <w:rFonts w:ascii="宋体" w:hAnsi="宋体" w:eastAsia="宋体" w:cs="宋体"/>
                <w:b w:val="0"/>
              </w:rPr>
              <w:t>基金管理人将采用定量分析与定性分析相结合的方式对上市公司进行分析，建立备选股票池，并以备选股票池成份股未来两年的PE衡量动态性价比作为选择其进入投资组合的重要依据。</w:t>
            </w:r>
            <w:r>
              <w:rPr>
                <w:rFonts w:ascii="宋体" w:hAnsi="宋体" w:eastAsia="宋体" w:cs="宋体"/>
                <w:b w:val="0"/>
              </w:rPr>
              <w:br w:type="textWrapping"/>
            </w:r>
            <w:r>
              <w:rPr>
                <w:rFonts w:ascii="宋体" w:hAnsi="宋体" w:eastAsia="宋体" w:cs="宋体"/>
                <w:b w:val="0"/>
              </w:rPr>
              <w:t xml:space="preserve">3、港股投资策略 </w:t>
            </w:r>
            <w:r>
              <w:rPr>
                <w:rFonts w:ascii="宋体" w:hAnsi="宋体" w:eastAsia="宋体" w:cs="宋体"/>
                <w:b w:val="0"/>
              </w:rPr>
              <w:br w:type="textWrapping"/>
            </w:r>
            <w:r>
              <w:rPr>
                <w:rFonts w:ascii="宋体" w:hAnsi="宋体" w:eastAsia="宋体" w:cs="宋体"/>
                <w:b w:val="0"/>
              </w:rPr>
              <w:t>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5、可转债（含分离交易可转债）及可交换债券投资策略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6、股指期货投资策略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7、融资业务投资策略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8、国债期货投资策略</w:t>
            </w:r>
            <w:r>
              <w:rPr>
                <w:rFonts w:ascii="宋体" w:hAnsi="宋体" w:eastAsia="宋体" w:cs="宋体"/>
                <w:b w:val="0"/>
              </w:rPr>
              <w:br w:type="textWrapping"/>
            </w:r>
            <w:r>
              <w:rPr>
                <w:rFonts w:ascii="宋体" w:hAnsi="宋体" w:eastAsia="宋体" w:cs="宋体"/>
                <w:b w:val="0"/>
              </w:rPr>
              <w:t>本基金将按照风险管理的原则，以套期保值为主要目的，参与国债期货的投资，管理市场风险，故国债期货空头的合约价值主要与债券组合的多头价值相对应。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9、资产支持证券投资策略</w:t>
            </w:r>
            <w:r>
              <w:rPr>
                <w:rFonts w:ascii="宋体" w:hAnsi="宋体" w:eastAsia="宋体" w:cs="宋体"/>
                <w:b w:val="0"/>
              </w:rPr>
              <w:br w:type="textWrapping"/>
            </w:r>
            <w:r>
              <w:rPr>
                <w:rFonts w:ascii="宋体" w:hAnsi="宋体" w:eastAsia="宋体" w:cs="宋体"/>
                <w:b w:val="0"/>
              </w:rPr>
              <w:t>本基金将综合运用久期管理、收益率曲线、个券选择以及把握市场交易机会等积极策略，在严格控制风险的情况下，结合信用研究和流动性管理，选择风险调整后收益高的品种进行投资，以期获得长期稳定收益。</w:t>
            </w:r>
            <w:r>
              <w:rPr>
                <w:rFonts w:ascii="宋体" w:hAnsi="宋体" w:eastAsia="宋体" w:cs="宋体"/>
                <w:b w:val="0"/>
              </w:rPr>
              <w:br w:type="textWrapping"/>
            </w:r>
            <w:r>
              <w:rPr>
                <w:rFonts w:ascii="宋体" w:hAnsi="宋体" w:eastAsia="宋体" w:cs="宋体"/>
                <w:b w:val="0"/>
              </w:rPr>
              <w:t xml:space="preserve">10、股票期权投资策略 </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本基金在深入研究的基础上，通过定性分析和定量分析相结合的方式，选择投资价值高的存托凭证进行投资。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中证800指数收益率×60%+中证综合债券指数收益率×20%+恒生指数收益率（按估值汇率折算）×20%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东方阿尔法瑞享混合发起A</w:t>
            </w:r>
          </w:p>
        </w:tc>
        <w:tc>
          <w:tcPr>
            <w:tcW w:w="1500" w:type="pct"/>
            <w:vAlign w:val="center"/>
          </w:tcPr>
          <w:p>
            <w:pPr>
              <w:spacing w:line="240" w:lineRule="auto"/>
              <w:jc w:val="left"/>
            </w:pPr>
            <w:r>
              <w:rPr>
                <w:rFonts w:ascii="宋体" w:hAnsi="宋体" w:eastAsia="宋体" w:cs="宋体"/>
                <w:b w:val="0"/>
              </w:rPr>
              <w:t>东方阿尔法瑞享混合发起C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025777</w:t>
            </w:r>
          </w:p>
        </w:tc>
        <w:tc>
          <w:tcPr>
            <w:tcW w:w="1500" w:type="pct"/>
            <w:vAlign w:val="center"/>
          </w:tcPr>
          <w:p>
            <w:pPr>
              <w:spacing w:line="240" w:lineRule="auto"/>
              <w:jc w:val="left"/>
            </w:pPr>
            <w:r>
              <w:rPr>
                <w:rFonts w:ascii="宋体" w:hAnsi="宋体" w:eastAsia="宋体" w:cs="宋体"/>
                <w:b w:val="0"/>
              </w:rPr>
              <w:t>025778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22,741,024.90份</w:t>
            </w:r>
          </w:p>
        </w:tc>
        <w:tc>
          <w:tcPr>
            <w:tcW w:w="1500" w:type="pct"/>
            <w:vAlign w:val="center"/>
          </w:tcPr>
          <w:p>
            <w:pPr>
              <w:spacing w:line="240" w:lineRule="auto"/>
              <w:jc w:val="left"/>
            </w:pPr>
            <w:r>
              <w:rPr>
                <w:rFonts w:ascii="宋体" w:hAnsi="宋体" w:eastAsia="宋体" w:cs="宋体"/>
                <w:b w:val="0"/>
              </w:rPr>
              <w:t>840,510,298.41份</w:t>
            </w:r>
          </w:p>
        </w:tc>
      </w:tr>
    </w:tbl>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报告期（2026年04月01日-2026年06月30日）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东方阿尔法瑞享混合发起A</w:t>
            </w:r>
          </w:p>
        </w:tc>
        <w:tc>
          <w:tcPr>
            <w:tcW w:w="1500" w:type="pct"/>
            <w:shd w:val="clear" w:color="auto" w:fill="D9D9D9"/>
            <w:vAlign w:val="center"/>
          </w:tcPr>
          <w:p>
            <w:pPr>
              <w:spacing w:line="240" w:lineRule="auto"/>
              <w:jc w:val="center"/>
            </w:pPr>
            <w:r>
              <w:rPr>
                <w:rFonts w:ascii="宋体" w:hAnsi="宋体" w:eastAsia="宋体" w:cs="宋体"/>
                <w:b w:val="0"/>
              </w:rPr>
              <w:t>东方阿尔法瑞享混合发起C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-601,938.79</w:t>
            </w:r>
          </w:p>
        </w:tc>
        <w:tc>
          <w:tcPr>
            <w:tcW w:w="1500" w:type="pct"/>
            <w:vAlign w:val="center"/>
          </w:tcPr>
          <w:p>
            <w:pPr>
              <w:spacing w:line="240" w:lineRule="auto"/>
              <w:jc w:val="right"/>
            </w:pPr>
            <w:r>
              <w:rPr>
                <w:rFonts w:ascii="宋体" w:hAnsi="宋体" w:eastAsia="宋体" w:cs="宋体"/>
                <w:b w:val="0"/>
              </w:rPr>
              <w:t>-40,201,509.06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-680,901.13</w:t>
            </w:r>
          </w:p>
        </w:tc>
        <w:tc>
          <w:tcPr>
            <w:tcW w:w="1500" w:type="pct"/>
            <w:vAlign w:val="center"/>
          </w:tcPr>
          <w:p>
            <w:pPr>
              <w:spacing w:line="240" w:lineRule="auto"/>
              <w:jc w:val="right"/>
            </w:pPr>
            <w:r>
              <w:rPr>
                <w:rFonts w:ascii="宋体" w:hAnsi="宋体" w:eastAsia="宋体" w:cs="宋体"/>
                <w:b w:val="0"/>
              </w:rPr>
              <w:t>-204,506,757.56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-0.0254</w:t>
            </w:r>
          </w:p>
        </w:tc>
        <w:tc>
          <w:tcPr>
            <w:tcW w:w="1500" w:type="pct"/>
            <w:vAlign w:val="center"/>
          </w:tcPr>
          <w:p>
            <w:pPr>
              <w:spacing w:line="240" w:lineRule="auto"/>
              <w:jc w:val="right"/>
            </w:pPr>
            <w:r>
              <w:rPr>
                <w:rFonts w:ascii="宋体" w:hAnsi="宋体" w:eastAsia="宋体" w:cs="宋体"/>
                <w:b w:val="0"/>
              </w:rPr>
              <w:t>-0.3052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31,753,027.51</w:t>
            </w:r>
          </w:p>
        </w:tc>
        <w:tc>
          <w:tcPr>
            <w:tcW w:w="1500" w:type="pct"/>
            <w:vAlign w:val="center"/>
          </w:tcPr>
          <w:p>
            <w:pPr>
              <w:spacing w:line="240" w:lineRule="auto"/>
              <w:jc w:val="right"/>
            </w:pPr>
            <w:r>
              <w:rPr>
                <w:rFonts w:ascii="宋体" w:hAnsi="宋体" w:eastAsia="宋体" w:cs="宋体"/>
                <w:b w:val="0"/>
              </w:rPr>
              <w:t>1,171,492,814.85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1.3963</w:t>
            </w:r>
          </w:p>
        </w:tc>
        <w:tc>
          <w:tcPr>
            <w:tcW w:w="1500" w:type="pct"/>
            <w:vAlign w:val="center"/>
          </w:tcPr>
          <w:p>
            <w:pPr>
              <w:spacing w:line="240" w:lineRule="auto"/>
              <w:jc w:val="right"/>
            </w:pPr>
            <w:r>
              <w:rPr>
                <w:rFonts w:ascii="宋体" w:hAnsi="宋体" w:eastAsia="宋体" w:cs="宋体"/>
                <w:b w:val="0"/>
              </w:rPr>
              <w:t>1.3938</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br w:type="textWrapping"/>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东方阿尔法瑞享混合发起A净值表现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2.99%</w:t>
            </w:r>
          </w:p>
        </w:tc>
        <w:tc>
          <w:tcPr>
            <w:tcW w:w="0" w:type="dxa"/>
            <w:vAlign w:val="center"/>
          </w:tcPr>
          <w:p>
            <w:pPr>
              <w:spacing w:line="240" w:lineRule="auto"/>
              <w:jc w:val="right"/>
            </w:pPr>
            <w:r>
              <w:rPr>
                <w:rFonts w:ascii="宋体" w:hAnsi="宋体" w:eastAsia="宋体" w:cs="宋体"/>
                <w:b w:val="0"/>
              </w:rPr>
              <w:t>3.04%</w:t>
            </w:r>
          </w:p>
        </w:tc>
        <w:tc>
          <w:tcPr>
            <w:tcW w:w="0" w:type="dxa"/>
            <w:vAlign w:val="center"/>
          </w:tcPr>
          <w:p>
            <w:pPr>
              <w:spacing w:line="240" w:lineRule="auto"/>
              <w:jc w:val="right"/>
            </w:pPr>
            <w:r>
              <w:rPr>
                <w:rFonts w:ascii="宋体" w:hAnsi="宋体" w:eastAsia="宋体" w:cs="宋体"/>
                <w:b w:val="0"/>
              </w:rPr>
              <w:t>6.34%</w:t>
            </w:r>
          </w:p>
        </w:tc>
        <w:tc>
          <w:tcPr>
            <w:tcW w:w="0" w:type="dxa"/>
            <w:vAlign w:val="center"/>
          </w:tcPr>
          <w:p>
            <w:pPr>
              <w:spacing w:line="240" w:lineRule="auto"/>
              <w:jc w:val="right"/>
            </w:pPr>
            <w:r>
              <w:rPr>
                <w:rFonts w:ascii="宋体" w:hAnsi="宋体" w:eastAsia="宋体" w:cs="宋体"/>
                <w:b w:val="0"/>
              </w:rPr>
              <w:t>0.95%</w:t>
            </w:r>
          </w:p>
        </w:tc>
        <w:tc>
          <w:tcPr>
            <w:tcW w:w="0" w:type="dxa"/>
            <w:vAlign w:val="center"/>
          </w:tcPr>
          <w:p>
            <w:pPr>
              <w:spacing w:line="240" w:lineRule="auto"/>
              <w:jc w:val="right"/>
            </w:pPr>
            <w:r>
              <w:rPr>
                <w:rFonts w:ascii="宋体" w:hAnsi="宋体" w:eastAsia="宋体" w:cs="宋体"/>
                <w:b w:val="0"/>
              </w:rPr>
              <w:t>-3.35%</w:t>
            </w:r>
          </w:p>
        </w:tc>
        <w:tc>
          <w:tcPr>
            <w:tcW w:w="0" w:type="dxa"/>
            <w:vAlign w:val="center"/>
          </w:tcPr>
          <w:p>
            <w:pPr>
              <w:spacing w:line="240" w:lineRule="auto"/>
              <w:jc w:val="right"/>
            </w:pPr>
            <w:r>
              <w:rPr>
                <w:rFonts w:ascii="宋体" w:hAnsi="宋体" w:eastAsia="宋体" w:cs="宋体"/>
                <w:b w:val="0"/>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15.41%</w:t>
            </w:r>
          </w:p>
        </w:tc>
        <w:tc>
          <w:tcPr>
            <w:tcW w:w="0" w:type="dxa"/>
            <w:vAlign w:val="center"/>
          </w:tcPr>
          <w:p>
            <w:pPr>
              <w:spacing w:line="240" w:lineRule="auto"/>
              <w:jc w:val="right"/>
            </w:pPr>
            <w:r>
              <w:rPr>
                <w:rFonts w:ascii="宋体" w:hAnsi="宋体" w:eastAsia="宋体" w:cs="宋体"/>
                <w:b w:val="0"/>
              </w:rPr>
              <w:t>2.99%</w:t>
            </w:r>
          </w:p>
        </w:tc>
        <w:tc>
          <w:tcPr>
            <w:tcW w:w="0" w:type="dxa"/>
            <w:vAlign w:val="center"/>
          </w:tcPr>
          <w:p>
            <w:pPr>
              <w:spacing w:line="240" w:lineRule="auto"/>
              <w:jc w:val="right"/>
            </w:pPr>
            <w:r>
              <w:rPr>
                <w:rFonts w:ascii="宋体" w:hAnsi="宋体" w:eastAsia="宋体" w:cs="宋体"/>
                <w:b w:val="0"/>
              </w:rPr>
              <w:t>3.97%</w:t>
            </w:r>
          </w:p>
        </w:tc>
        <w:tc>
          <w:tcPr>
            <w:tcW w:w="0" w:type="dxa"/>
            <w:vAlign w:val="center"/>
          </w:tcPr>
          <w:p>
            <w:pPr>
              <w:spacing w:line="240" w:lineRule="auto"/>
              <w:jc w:val="right"/>
            </w:pPr>
            <w:r>
              <w:rPr>
                <w:rFonts w:ascii="宋体" w:hAnsi="宋体" w:eastAsia="宋体" w:cs="宋体"/>
                <w:b w:val="0"/>
              </w:rPr>
              <w:t>0.92%</w:t>
            </w:r>
          </w:p>
        </w:tc>
        <w:tc>
          <w:tcPr>
            <w:tcW w:w="0" w:type="dxa"/>
            <w:vAlign w:val="center"/>
          </w:tcPr>
          <w:p>
            <w:pPr>
              <w:spacing w:line="240" w:lineRule="auto"/>
              <w:jc w:val="right"/>
            </w:pPr>
            <w:r>
              <w:rPr>
                <w:rFonts w:ascii="宋体" w:hAnsi="宋体" w:eastAsia="宋体" w:cs="宋体"/>
                <w:b w:val="0"/>
              </w:rPr>
              <w:t>11.44%</w:t>
            </w:r>
          </w:p>
        </w:tc>
        <w:tc>
          <w:tcPr>
            <w:tcW w:w="0" w:type="dxa"/>
            <w:vAlign w:val="center"/>
          </w:tcPr>
          <w:p>
            <w:pPr>
              <w:spacing w:line="240" w:lineRule="auto"/>
              <w:jc w:val="right"/>
            </w:pPr>
            <w:r>
              <w:rPr>
                <w:rFonts w:ascii="宋体" w:hAnsi="宋体" w:eastAsia="宋体" w:cs="宋体"/>
                <w:b w:val="0"/>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39.63%</w:t>
            </w:r>
          </w:p>
        </w:tc>
        <w:tc>
          <w:tcPr>
            <w:tcW w:w="0" w:type="dxa"/>
            <w:vAlign w:val="center"/>
          </w:tcPr>
          <w:p>
            <w:pPr>
              <w:spacing w:line="240" w:lineRule="auto"/>
              <w:jc w:val="right"/>
            </w:pPr>
            <w:r>
              <w:rPr>
                <w:rFonts w:ascii="宋体" w:hAnsi="宋体" w:eastAsia="宋体" w:cs="宋体"/>
                <w:b w:val="0"/>
              </w:rPr>
              <w:t>2.90%</w:t>
            </w:r>
          </w:p>
        </w:tc>
        <w:tc>
          <w:tcPr>
            <w:tcW w:w="0" w:type="dxa"/>
            <w:vAlign w:val="center"/>
          </w:tcPr>
          <w:p>
            <w:pPr>
              <w:spacing w:line="240" w:lineRule="auto"/>
              <w:jc w:val="right"/>
            </w:pPr>
            <w:r>
              <w:rPr>
                <w:rFonts w:ascii="宋体" w:hAnsi="宋体" w:eastAsia="宋体" w:cs="宋体"/>
                <w:b w:val="0"/>
              </w:rPr>
              <w:t>5.48%</w:t>
            </w:r>
          </w:p>
        </w:tc>
        <w:tc>
          <w:tcPr>
            <w:tcW w:w="0" w:type="dxa"/>
            <w:vAlign w:val="center"/>
          </w:tcPr>
          <w:p>
            <w:pPr>
              <w:spacing w:line="240" w:lineRule="auto"/>
              <w:jc w:val="right"/>
            </w:pPr>
            <w:r>
              <w:rPr>
                <w:rFonts w:ascii="宋体" w:hAnsi="宋体" w:eastAsia="宋体" w:cs="宋体"/>
                <w:b w:val="0"/>
              </w:rPr>
              <w:t>0.85%</w:t>
            </w:r>
          </w:p>
        </w:tc>
        <w:tc>
          <w:tcPr>
            <w:tcW w:w="0" w:type="dxa"/>
            <w:vAlign w:val="center"/>
          </w:tcPr>
          <w:p>
            <w:pPr>
              <w:spacing w:line="240" w:lineRule="auto"/>
              <w:jc w:val="right"/>
            </w:pPr>
            <w:r>
              <w:rPr>
                <w:rFonts w:ascii="宋体" w:hAnsi="宋体" w:eastAsia="宋体" w:cs="宋体"/>
                <w:b w:val="0"/>
              </w:rPr>
              <w:t>34.15%</w:t>
            </w:r>
          </w:p>
        </w:tc>
        <w:tc>
          <w:tcPr>
            <w:tcW w:w="0" w:type="dxa"/>
            <w:vAlign w:val="center"/>
          </w:tcPr>
          <w:p>
            <w:pPr>
              <w:spacing w:line="240" w:lineRule="auto"/>
              <w:jc w:val="right"/>
            </w:pPr>
            <w:r>
              <w:rPr>
                <w:rFonts w:ascii="宋体" w:hAnsi="宋体" w:eastAsia="宋体" w:cs="宋体"/>
                <w:b w:val="0"/>
              </w:rPr>
              <w:t>2.05%</w:t>
            </w:r>
          </w:p>
        </w:tc>
      </w:tr>
    </w:tbl>
    <w:p>
      <w:pPr>
        <w:jc w:val="left"/>
      </w:pPr>
      <w:r>
        <w:rPr>
          <w:rFonts w:ascii="宋体" w:hAnsi="宋体" w:eastAsia="宋体" w:cs="宋体"/>
          <w:b/>
        </w:rPr>
        <w:t>东方阿尔法瑞享混合发起C净值表现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2.92%</w:t>
            </w:r>
          </w:p>
        </w:tc>
        <w:tc>
          <w:tcPr>
            <w:tcW w:w="0" w:type="dxa"/>
            <w:vAlign w:val="center"/>
          </w:tcPr>
          <w:p>
            <w:pPr>
              <w:spacing w:line="240" w:lineRule="auto"/>
              <w:jc w:val="right"/>
            </w:pPr>
            <w:r>
              <w:rPr>
                <w:rFonts w:ascii="宋体" w:hAnsi="宋体" w:eastAsia="宋体" w:cs="宋体"/>
                <w:b w:val="0"/>
              </w:rPr>
              <w:t>3.04%</w:t>
            </w:r>
          </w:p>
        </w:tc>
        <w:tc>
          <w:tcPr>
            <w:tcW w:w="0" w:type="dxa"/>
            <w:vAlign w:val="center"/>
          </w:tcPr>
          <w:p>
            <w:pPr>
              <w:spacing w:line="240" w:lineRule="auto"/>
              <w:jc w:val="right"/>
            </w:pPr>
            <w:r>
              <w:rPr>
                <w:rFonts w:ascii="宋体" w:hAnsi="宋体" w:eastAsia="宋体" w:cs="宋体"/>
                <w:b w:val="0"/>
              </w:rPr>
              <w:t>6.34%</w:t>
            </w:r>
          </w:p>
        </w:tc>
        <w:tc>
          <w:tcPr>
            <w:tcW w:w="0" w:type="dxa"/>
            <w:vAlign w:val="center"/>
          </w:tcPr>
          <w:p>
            <w:pPr>
              <w:spacing w:line="240" w:lineRule="auto"/>
              <w:jc w:val="right"/>
            </w:pPr>
            <w:r>
              <w:rPr>
                <w:rFonts w:ascii="宋体" w:hAnsi="宋体" w:eastAsia="宋体" w:cs="宋体"/>
                <w:b w:val="0"/>
              </w:rPr>
              <w:t>0.95%</w:t>
            </w:r>
          </w:p>
        </w:tc>
        <w:tc>
          <w:tcPr>
            <w:tcW w:w="0" w:type="dxa"/>
            <w:vAlign w:val="center"/>
          </w:tcPr>
          <w:p>
            <w:pPr>
              <w:spacing w:line="240" w:lineRule="auto"/>
              <w:jc w:val="right"/>
            </w:pPr>
            <w:r>
              <w:rPr>
                <w:rFonts w:ascii="宋体" w:hAnsi="宋体" w:eastAsia="宋体" w:cs="宋体"/>
                <w:b w:val="0"/>
              </w:rPr>
              <w:t>-3.42%</w:t>
            </w:r>
          </w:p>
        </w:tc>
        <w:tc>
          <w:tcPr>
            <w:tcW w:w="0" w:type="dxa"/>
            <w:vAlign w:val="center"/>
          </w:tcPr>
          <w:p>
            <w:pPr>
              <w:spacing w:line="240" w:lineRule="auto"/>
              <w:jc w:val="right"/>
            </w:pPr>
            <w:r>
              <w:rPr>
                <w:rFonts w:ascii="宋体" w:hAnsi="宋体" w:eastAsia="宋体" w:cs="宋体"/>
                <w:b w:val="0"/>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15.24%</w:t>
            </w:r>
          </w:p>
        </w:tc>
        <w:tc>
          <w:tcPr>
            <w:tcW w:w="0" w:type="dxa"/>
            <w:vAlign w:val="center"/>
          </w:tcPr>
          <w:p>
            <w:pPr>
              <w:spacing w:line="240" w:lineRule="auto"/>
              <w:jc w:val="right"/>
            </w:pPr>
            <w:r>
              <w:rPr>
                <w:rFonts w:ascii="宋体" w:hAnsi="宋体" w:eastAsia="宋体" w:cs="宋体"/>
                <w:b w:val="0"/>
              </w:rPr>
              <w:t>2.99%</w:t>
            </w:r>
          </w:p>
        </w:tc>
        <w:tc>
          <w:tcPr>
            <w:tcW w:w="0" w:type="dxa"/>
            <w:vAlign w:val="center"/>
          </w:tcPr>
          <w:p>
            <w:pPr>
              <w:spacing w:line="240" w:lineRule="auto"/>
              <w:jc w:val="right"/>
            </w:pPr>
            <w:r>
              <w:rPr>
                <w:rFonts w:ascii="宋体" w:hAnsi="宋体" w:eastAsia="宋体" w:cs="宋体"/>
                <w:b w:val="0"/>
              </w:rPr>
              <w:t>3.97%</w:t>
            </w:r>
          </w:p>
        </w:tc>
        <w:tc>
          <w:tcPr>
            <w:tcW w:w="0" w:type="dxa"/>
            <w:vAlign w:val="center"/>
          </w:tcPr>
          <w:p>
            <w:pPr>
              <w:spacing w:line="240" w:lineRule="auto"/>
              <w:jc w:val="right"/>
            </w:pPr>
            <w:r>
              <w:rPr>
                <w:rFonts w:ascii="宋体" w:hAnsi="宋体" w:eastAsia="宋体" w:cs="宋体"/>
                <w:b w:val="0"/>
              </w:rPr>
              <w:t>0.92%</w:t>
            </w:r>
          </w:p>
        </w:tc>
        <w:tc>
          <w:tcPr>
            <w:tcW w:w="0" w:type="dxa"/>
            <w:vAlign w:val="center"/>
          </w:tcPr>
          <w:p>
            <w:pPr>
              <w:spacing w:line="240" w:lineRule="auto"/>
              <w:jc w:val="right"/>
            </w:pPr>
            <w:r>
              <w:rPr>
                <w:rFonts w:ascii="宋体" w:hAnsi="宋体" w:eastAsia="宋体" w:cs="宋体"/>
                <w:b w:val="0"/>
              </w:rPr>
              <w:t>11.27%</w:t>
            </w:r>
          </w:p>
        </w:tc>
        <w:tc>
          <w:tcPr>
            <w:tcW w:w="0" w:type="dxa"/>
            <w:vAlign w:val="center"/>
          </w:tcPr>
          <w:p>
            <w:pPr>
              <w:spacing w:line="240" w:lineRule="auto"/>
              <w:jc w:val="right"/>
            </w:pPr>
            <w:r>
              <w:rPr>
                <w:rFonts w:ascii="宋体" w:hAnsi="宋体" w:eastAsia="宋体" w:cs="宋体"/>
                <w:b w:val="0"/>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39.38%</w:t>
            </w:r>
          </w:p>
        </w:tc>
        <w:tc>
          <w:tcPr>
            <w:tcW w:w="0" w:type="dxa"/>
            <w:vAlign w:val="center"/>
          </w:tcPr>
          <w:p>
            <w:pPr>
              <w:spacing w:line="240" w:lineRule="auto"/>
              <w:jc w:val="right"/>
            </w:pPr>
            <w:r>
              <w:rPr>
                <w:rFonts w:ascii="宋体" w:hAnsi="宋体" w:eastAsia="宋体" w:cs="宋体"/>
                <w:b w:val="0"/>
              </w:rPr>
              <w:t>2.90%</w:t>
            </w:r>
          </w:p>
        </w:tc>
        <w:tc>
          <w:tcPr>
            <w:tcW w:w="0" w:type="dxa"/>
            <w:vAlign w:val="center"/>
          </w:tcPr>
          <w:p>
            <w:pPr>
              <w:spacing w:line="240" w:lineRule="auto"/>
              <w:jc w:val="right"/>
            </w:pPr>
            <w:r>
              <w:rPr>
                <w:rFonts w:ascii="宋体" w:hAnsi="宋体" w:eastAsia="宋体" w:cs="宋体"/>
                <w:b w:val="0"/>
              </w:rPr>
              <w:t>5.48%</w:t>
            </w:r>
          </w:p>
        </w:tc>
        <w:tc>
          <w:tcPr>
            <w:tcW w:w="0" w:type="dxa"/>
            <w:vAlign w:val="center"/>
          </w:tcPr>
          <w:p>
            <w:pPr>
              <w:spacing w:line="240" w:lineRule="auto"/>
              <w:jc w:val="right"/>
            </w:pPr>
            <w:r>
              <w:rPr>
                <w:rFonts w:ascii="宋体" w:hAnsi="宋体" w:eastAsia="宋体" w:cs="宋体"/>
                <w:b w:val="0"/>
              </w:rPr>
              <w:t>0.85%</w:t>
            </w:r>
          </w:p>
        </w:tc>
        <w:tc>
          <w:tcPr>
            <w:tcW w:w="0" w:type="dxa"/>
            <w:vAlign w:val="center"/>
          </w:tcPr>
          <w:p>
            <w:pPr>
              <w:spacing w:line="240" w:lineRule="auto"/>
              <w:jc w:val="right"/>
            </w:pPr>
            <w:r>
              <w:rPr>
                <w:rFonts w:ascii="宋体" w:hAnsi="宋体" w:eastAsia="宋体" w:cs="宋体"/>
                <w:b w:val="0"/>
              </w:rPr>
              <w:t>33.90%</w:t>
            </w:r>
          </w:p>
        </w:tc>
        <w:tc>
          <w:tcPr>
            <w:tcW w:w="0" w:type="dxa"/>
            <w:vAlign w:val="center"/>
          </w:tcPr>
          <w:p>
            <w:pPr>
              <w:spacing w:line="240" w:lineRule="auto"/>
              <w:jc w:val="right"/>
            </w:pPr>
            <w:r>
              <w:rPr>
                <w:rFonts w:ascii="宋体" w:hAnsi="宋体" w:eastAsia="宋体" w:cs="宋体"/>
                <w:b w:val="0"/>
              </w:rPr>
              <w:t>2.05%</w:t>
            </w:r>
          </w:p>
        </w:tc>
      </w:tr>
    </w:tbl>
    <w:p>
      <w:r>
        <w:rPr>
          <w:rFonts w:ascii="宋体" w:hAnsi="宋体" w:eastAsia="宋体" w:cs="宋体"/>
          <w:b w:val="0"/>
        </w:rPr>
        <w:t>注：本基金业绩比较基准为：中证800指数收益率×60%+中证综合债券指数收益率×20%+恒生指数收益率（按估值汇率折算）×20%。</w:t>
      </w:r>
      <w:r>
        <w:rPr>
          <w:rFonts w:ascii="宋体" w:hAnsi="宋体" w:eastAsia="宋体" w:cs="宋体"/>
          <w:b w:val="0"/>
        </w:rPr>
        <w:br w:type="textWrapping"/>
      </w:r>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孙振波</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2025-10-21</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7年</w:t>
            </w:r>
          </w:p>
        </w:tc>
        <w:tc>
          <w:tcPr>
            <w:tcW w:w="0" w:type="dxa"/>
            <w:vAlign w:val="center"/>
          </w:tcPr>
          <w:p>
            <w:pPr>
              <w:spacing w:line="240" w:lineRule="auto"/>
              <w:jc w:val="left"/>
            </w:pPr>
            <w:r>
              <w:rPr>
                <w:rFonts w:ascii="宋体" w:hAnsi="宋体" w:eastAsia="宋体" w:cs="宋体"/>
                <w:b w:val="0"/>
              </w:rPr>
              <w:t>孙振波先生，中国科学技术大学理学学士，复旦大学理学硕士。在食品饮料、有色、化工、钢铁煤炭等领域有着深入研究。2019年入职东方阿尔法基金管理有限公司。现任东方阿尔法基金公司基金经理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br w:type="textWrapping"/>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本基金基金经理不存在兼任私募资产管理计划的投资经理的情况。</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br w:type="textWrapping"/>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延续一季度全球能源转型主线，美伊地缘冲突持续扰动原油供给，国际油价中枢维持高位震荡，高油价持续放大新能源车、储能相对燃油体系的经济性，全球电动化需求逻辑进一步强化。叠加二季度国内《矿产资源法实施条例》落地，锂正式划入国家级战略性矿产，行业开采、审批、监管全面收紧，重塑上游资源长期供给格局。</w:t>
      </w:r>
      <w:r>
        <w:rPr>
          <w:rFonts w:ascii="宋体" w:hAnsi="宋体" w:eastAsia="宋体" w:cs="宋体"/>
          <w:b w:val="0"/>
        </w:rPr>
        <w:br w:type="textWrapping"/>
      </w:r>
      <w:r>
        <w:rPr>
          <w:rFonts w:ascii="宋体" w:hAnsi="宋体" w:eastAsia="宋体" w:cs="宋体"/>
          <w:b w:val="0"/>
        </w:rPr>
        <w:t xml:space="preserve">    （一）供给端：多重扰动持续收紧，二季度为全年供需最紧张窗口</w:t>
      </w:r>
      <w:r>
        <w:rPr>
          <w:rFonts w:ascii="宋体" w:hAnsi="宋体" w:eastAsia="宋体" w:cs="宋体"/>
          <w:b w:val="0"/>
        </w:rPr>
        <w:br w:type="textWrapping"/>
      </w:r>
      <w:r>
        <w:rPr>
          <w:rFonts w:ascii="宋体" w:hAnsi="宋体" w:eastAsia="宋体" w:cs="宋体"/>
          <w:b w:val="0"/>
        </w:rPr>
        <w:t xml:space="preserve">    国内供给刚性收缩。江西锂云母主产区矿山集中进入换证停产周期，二季度国内云母锂有效供给大幅缩水；盐湖企业同步迎来设备检修、电力改造阶段性减产，本土锂原料增量不及预期。国内锂矿开采实施总量管控，新增矿权审批门槛大幅抬升，低端无序产能出清加速，行业长期供给弹性收窄。</w:t>
      </w:r>
      <w:r>
        <w:rPr>
          <w:rFonts w:ascii="宋体" w:hAnsi="宋体" w:eastAsia="宋体" w:cs="宋体"/>
          <w:b w:val="0"/>
        </w:rPr>
        <w:br w:type="textWrapping"/>
      </w:r>
      <w:r>
        <w:rPr>
          <w:rFonts w:ascii="宋体" w:hAnsi="宋体" w:eastAsia="宋体" w:cs="宋体"/>
          <w:b w:val="0"/>
        </w:rPr>
        <w:t xml:space="preserve">    海外供给释放滞后。全球资源保护主义持续升温，津巴布韦锂矿出口配额严格限制，货物运输周期拉长，二季度到港量大幅低于预期；澳洲锂矿受柴油储备不足、矿山火灾、复产爬坡缓慢制约，新增精矿供给集中延后至三季度；南美盐湖扩产进度平稳但增量有限，无法对冲国内原料缺口。</w:t>
      </w:r>
      <w:r>
        <w:rPr>
          <w:rFonts w:ascii="宋体" w:hAnsi="宋体" w:eastAsia="宋体" w:cs="宋体"/>
          <w:b w:val="0"/>
        </w:rPr>
        <w:br w:type="textWrapping"/>
      </w:r>
      <w:r>
        <w:rPr>
          <w:rFonts w:ascii="宋体" w:hAnsi="宋体" w:eastAsia="宋体" w:cs="宋体"/>
          <w:b w:val="0"/>
        </w:rPr>
        <w:t xml:space="preserve">    库存低位运行。经过连续一年去库，全产业链上下游总库存降至历史低位，库存天数低于一个月，一旦下游集中补库，现货流通极易出现阶段性紧缺，锂价底部支撑牢固。</w:t>
      </w:r>
      <w:r>
        <w:rPr>
          <w:rFonts w:ascii="宋体" w:hAnsi="宋体" w:eastAsia="宋体" w:cs="宋体"/>
          <w:b w:val="0"/>
        </w:rPr>
        <w:br w:type="textWrapping"/>
      </w:r>
      <w:r>
        <w:rPr>
          <w:rFonts w:ascii="宋体" w:hAnsi="宋体" w:eastAsia="宋体" w:cs="宋体"/>
          <w:b w:val="0"/>
        </w:rPr>
        <w:t xml:space="preserve">    （二）需求端：储能 + 新能源车双轮驱动，需求增速持续跑赢供给</w:t>
      </w:r>
      <w:r>
        <w:rPr>
          <w:rFonts w:ascii="宋体" w:hAnsi="宋体" w:eastAsia="宋体" w:cs="宋体"/>
          <w:b w:val="0"/>
        </w:rPr>
        <w:br w:type="textWrapping"/>
      </w:r>
      <w:r>
        <w:rPr>
          <w:rFonts w:ascii="宋体" w:hAnsi="宋体" w:eastAsia="宋体" w:cs="宋体"/>
          <w:b w:val="0"/>
        </w:rPr>
        <w:t xml:space="preserve">    新能源车海外需求爆发。高油价大幅提升电动车用车成本优势，欧洲新能源车渗透率持续上行，国内车企出口延续高增；海外新能源车渗透率仍处低位，类比70年代石油危机下日系小车替代逻辑，本轮高油价将加速海外燃油车向新能源车切换，二季度海外整车、电池订单持续放量。国内乘用车淡季效应被出口对冲，头部电池厂排产环比持续提升。</w:t>
      </w:r>
      <w:r>
        <w:rPr>
          <w:rFonts w:ascii="宋体" w:hAnsi="宋体" w:eastAsia="宋体" w:cs="宋体"/>
          <w:b w:val="0"/>
        </w:rPr>
        <w:br w:type="textWrapping"/>
      </w:r>
      <w:r>
        <w:rPr>
          <w:rFonts w:ascii="宋体" w:hAnsi="宋体" w:eastAsia="宋体" w:cs="宋体"/>
          <w:b w:val="0"/>
        </w:rPr>
        <w:t xml:space="preserve">    储能跃升为锂需求第一增长引擎。国内独立储能容量电价政策全面落地，风光强制配储、AI算力配套储能、工商业零碳园区多重需求共振，1-5月国内新型储能新增装机同比翻倍；欧洲能源安全诉求推动户储需求持续高增，海外大型光储项目抢装落地，储能订单已锁定至 2027 年，彻底熨平锂电行业传统淡旺季波动，二季度储能电池排产增速显著高于动力电池。</w:t>
      </w:r>
      <w:r>
        <w:rPr>
          <w:rFonts w:ascii="宋体" w:hAnsi="宋体" w:eastAsia="宋体" w:cs="宋体"/>
          <w:b w:val="0"/>
        </w:rPr>
        <w:br w:type="textWrapping"/>
      </w:r>
      <w:r>
        <w:rPr>
          <w:rFonts w:ascii="宋体" w:hAnsi="宋体" w:eastAsia="宋体" w:cs="宋体"/>
          <w:b w:val="0"/>
        </w:rPr>
        <w:t xml:space="preserve">    需求增速显著高于供给增量。二季度全球锂需求同比增速超60%，供给增速仅40%+，供需紧平衡格局确立，碳酸锂价格中枢抬升，区间维持17-22万元/吨，阶段性高点有望冲击25万元/吨，锂企盈利修复持续兑现。</w:t>
      </w:r>
      <w:r>
        <w:rPr>
          <w:rFonts w:ascii="宋体" w:hAnsi="宋体" w:eastAsia="宋体" w:cs="宋体"/>
          <w:b w:val="0"/>
        </w:rPr>
        <w:br w:type="textWrapping"/>
      </w:r>
      <w:r>
        <w:rPr>
          <w:rFonts w:ascii="宋体" w:hAnsi="宋体" w:eastAsia="宋体" w:cs="宋体"/>
          <w:b w:val="0"/>
        </w:rPr>
        <w:t xml:space="preserve">    （三）政策长期托底行业周期</w:t>
      </w:r>
      <w:r>
        <w:rPr>
          <w:rFonts w:ascii="宋体" w:hAnsi="宋体" w:eastAsia="宋体" w:cs="宋体"/>
          <w:b w:val="0"/>
        </w:rPr>
        <w:br w:type="textWrapping"/>
      </w:r>
      <w:r>
        <w:rPr>
          <w:rFonts w:ascii="宋体" w:hAnsi="宋体" w:eastAsia="宋体" w:cs="宋体"/>
          <w:b w:val="0"/>
        </w:rPr>
        <w:t xml:space="preserve">    锂纳入国家战略矿产，从源头限制无序扩产，行业告别过去 “暴涨暴跌” 的极端周期，进入资本开支理性、盈利波动收窄的新阶段；国内储能配套政策持续加码，海外能源安全相关补贴落地，电动化长期确定性进一步夯实。</w:t>
      </w:r>
      <w:r>
        <w:rPr>
          <w:rFonts w:ascii="宋体" w:hAnsi="宋体" w:eastAsia="宋体" w:cs="宋体"/>
          <w:b w:val="0"/>
        </w:rPr>
        <w:br w:type="textWrapping"/>
      </w:r>
      <w:r>
        <w:rPr>
          <w:rFonts w:ascii="宋体" w:hAnsi="宋体" w:eastAsia="宋体" w:cs="宋体"/>
          <w:b w:val="0"/>
        </w:rPr>
        <w:t xml:space="preserve">    本基金当前阶段整体维持锂矿产业链核心重仓，适度增配储能高景气细分，分四大方向分层布局，动态调整仓位结构：</w:t>
      </w:r>
      <w:r>
        <w:rPr>
          <w:rFonts w:ascii="宋体" w:hAnsi="宋体" w:eastAsia="宋体" w:cs="宋体"/>
          <w:b w:val="0"/>
        </w:rPr>
        <w:br w:type="textWrapping"/>
      </w:r>
      <w:r>
        <w:rPr>
          <w:rFonts w:ascii="宋体" w:hAnsi="宋体" w:eastAsia="宋体" w:cs="宋体"/>
          <w:b w:val="0"/>
        </w:rPr>
        <w:t xml:space="preserve">    （一）核心底仓：全球低成本锂资源龙头（维持高配置比例）</w:t>
      </w:r>
      <w:r>
        <w:rPr>
          <w:rFonts w:ascii="宋体" w:hAnsi="宋体" w:eastAsia="宋体" w:cs="宋体"/>
          <w:b w:val="0"/>
        </w:rPr>
        <w:br w:type="textWrapping"/>
      </w:r>
      <w:r>
        <w:rPr>
          <w:rFonts w:ascii="宋体" w:hAnsi="宋体" w:eastAsia="宋体" w:cs="宋体"/>
          <w:b w:val="0"/>
        </w:rPr>
        <w:t xml:space="preserve">    持续坚守行业低谷期现金流、资源禀赋双优的头部矿企，优先选择全球成本曲线左端、高品位自有矿山、产能持续扩张且满足海外优质盐湖/硬岩锂矿自给率高、无大额有息负债、年度产能扩张路径清晰、海外地缘风险可控筛选标准的标的，二季度供给持续收缩、锂价中枢上行阶段该类企业业绩弹性最强，叠加矿产新政下资源稀缺性溢价持续提升，可作为组合稳定压舱石。</w:t>
      </w:r>
      <w:r>
        <w:rPr>
          <w:rFonts w:ascii="宋体" w:hAnsi="宋体" w:eastAsia="宋体" w:cs="宋体"/>
          <w:b w:val="0"/>
        </w:rPr>
        <w:br w:type="textWrapping"/>
      </w:r>
      <w:r>
        <w:rPr>
          <w:rFonts w:ascii="宋体" w:hAnsi="宋体" w:eastAsia="宋体" w:cs="宋体"/>
          <w:b w:val="0"/>
        </w:rPr>
        <w:t xml:space="preserve">    （二）重点增配：垂直一体化锂盐加工龙头（仓位环比提升）</w:t>
      </w:r>
      <w:r>
        <w:rPr>
          <w:rFonts w:ascii="宋体" w:hAnsi="宋体" w:eastAsia="宋体" w:cs="宋体"/>
          <w:b w:val="0"/>
        </w:rPr>
        <w:br w:type="textWrapping"/>
      </w:r>
      <w:r>
        <w:rPr>
          <w:rFonts w:ascii="宋体" w:hAnsi="宋体" w:eastAsia="宋体" w:cs="宋体"/>
          <w:b w:val="0"/>
        </w:rPr>
        <w:t xml:space="preserve">    二季度锂原料价格波动加剧，具备“矿山 - 锂盐”全产业链一体化企业可平滑原料成本波动，稳定获取加工技术溢价；同时长协锁料能力保障下游电池厂稳定供货，客户粘性持续增强。</w:t>
      </w:r>
      <w:r>
        <w:rPr>
          <w:rFonts w:ascii="宋体" w:hAnsi="宋体" w:eastAsia="宋体" w:cs="宋体"/>
          <w:b w:val="0"/>
        </w:rPr>
        <w:br w:type="textWrapping"/>
      </w:r>
      <w:r>
        <w:rPr>
          <w:rFonts w:ascii="宋体" w:hAnsi="宋体" w:eastAsia="宋体" w:cs="宋体"/>
          <w:b w:val="0"/>
        </w:rPr>
        <w:t xml:space="preserve">    受益于下游电池企业二季度集中补库，锂盐加工费同步上行，一体化企业量价齐升，业绩环比改善确定性强；行业集中度持续提升，龙头份额进一步扩张，长期估值修复空间充足。</w:t>
      </w:r>
      <w:r>
        <w:rPr>
          <w:rFonts w:ascii="宋体" w:hAnsi="宋体" w:eastAsia="宋体" w:cs="宋体"/>
          <w:b w:val="0"/>
        </w:rPr>
        <w:br w:type="textWrapping"/>
      </w:r>
      <w:r>
        <w:rPr>
          <w:rFonts w:ascii="宋体" w:hAnsi="宋体" w:eastAsia="宋体" w:cs="宋体"/>
          <w:b w:val="0"/>
        </w:rPr>
        <w:t xml:space="preserve">    （三）中长期布局：优质锂资源勘探开发企业（小幅加仓）</w:t>
      </w:r>
      <w:r>
        <w:rPr>
          <w:rFonts w:ascii="宋体" w:hAnsi="宋体" w:eastAsia="宋体" w:cs="宋体"/>
          <w:b w:val="0"/>
        </w:rPr>
        <w:br w:type="textWrapping"/>
      </w:r>
      <w:r>
        <w:rPr>
          <w:rFonts w:ascii="宋体" w:hAnsi="宋体" w:eastAsia="宋体" w:cs="宋体"/>
          <w:b w:val="0"/>
        </w:rPr>
        <w:t xml:space="preserve">    全球锂资源长期供需缺口明确，现有成熟矿山增量有限，具备矿业友好地区区位、已验证高品位资源、清晰投产开发时间表的勘探企业拥有长期期权价值。二季度全球各国加速锂资源勘探布局，资源并购、资产注入预期升温，长期成长价值逐步被市场定价。</w:t>
      </w:r>
      <w:r>
        <w:rPr>
          <w:rFonts w:ascii="宋体" w:hAnsi="宋体" w:eastAsia="宋体" w:cs="宋体"/>
          <w:b w:val="0"/>
        </w:rPr>
        <w:br w:type="textWrapping"/>
      </w:r>
      <w:r>
        <w:rPr>
          <w:rFonts w:ascii="宋体" w:hAnsi="宋体" w:eastAsia="宋体" w:cs="宋体"/>
          <w:b w:val="0"/>
        </w:rPr>
        <w:t xml:space="preserve">    规避地缘风险高、环评审批停滞、资金链紧张的小型勘探标的，聚焦头部企业旗下优质锂资源项目平台。</w:t>
      </w:r>
      <w:r>
        <w:rPr>
          <w:rFonts w:ascii="宋体" w:hAnsi="宋体" w:eastAsia="宋体" w:cs="宋体"/>
          <w:b w:val="0"/>
        </w:rPr>
        <w:br w:type="textWrapping"/>
      </w:r>
      <w:r>
        <w:rPr>
          <w:rFonts w:ascii="宋体" w:hAnsi="宋体" w:eastAsia="宋体" w:cs="宋体"/>
          <w:b w:val="0"/>
        </w:rPr>
        <w:t xml:space="preserve">    总结来看， 我们的投资逻辑并非基于对锂价短期涨跌的博弈，而是基于两点长期判断：第一，电气化（汽车+储能）是能源革命的确定性方向，锂作为核心电池材料的中长期需求增长曲线依然陡峭；第二，本轮供给出清后，行业将进入由需求主导、资本开支更为理性的新阶段，盈利波动性有望降低。这与我们投资科技成长股时关注“供需两旺”和“基本面驱动”的理念内核一致。管理人将密切关注储能装机数据、行业库存周期及龙头企业资本开支动向，动态评估持仓，努力为投资人创造回报。</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瑞享混合发起A基金份额净值为1.3963元，本报告期内，该类基金份额净值增长率为2.99%，同期业绩比较基准收益率为6.34%；截至报告期末东方阿尔法瑞享混合发起C基金份额净值为1.3938元，本报告期内，该类基金份额净值增长率为2.92%，同期业绩比较基准收益率为6.34%。</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1,099,336,765.28</w:t>
            </w:r>
          </w:p>
        </w:tc>
        <w:tc>
          <w:tcPr>
            <w:tcW w:w="0" w:type="dxa"/>
            <w:vAlign w:val="center"/>
          </w:tcPr>
          <w:p>
            <w:pPr>
              <w:spacing w:line="240" w:lineRule="auto"/>
              <w:jc w:val="right"/>
            </w:pPr>
            <w:r>
              <w:rPr>
                <w:rFonts w:ascii="宋体" w:hAnsi="宋体" w:eastAsia="宋体" w:cs="宋体"/>
                <w:b w:val="0"/>
              </w:rPr>
              <w:t>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1,099,336,765.28</w:t>
            </w:r>
          </w:p>
        </w:tc>
        <w:tc>
          <w:tcPr>
            <w:tcW w:w="0" w:type="dxa"/>
            <w:vAlign w:val="center"/>
          </w:tcPr>
          <w:p>
            <w:pPr>
              <w:spacing w:line="240" w:lineRule="auto"/>
              <w:jc w:val="right"/>
            </w:pPr>
            <w:r>
              <w:rPr>
                <w:rFonts w:ascii="宋体" w:hAnsi="宋体" w:eastAsia="宋体" w:cs="宋体"/>
                <w:b w:val="0"/>
              </w:rPr>
              <w:t>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73,089,132.57</w:t>
            </w:r>
          </w:p>
        </w:tc>
        <w:tc>
          <w:tcPr>
            <w:tcW w:w="0" w:type="dxa"/>
            <w:vAlign w:val="center"/>
          </w:tcPr>
          <w:p>
            <w:pPr>
              <w:spacing w:line="240" w:lineRule="auto"/>
              <w:jc w:val="right"/>
            </w:pPr>
            <w:r>
              <w:rPr>
                <w:rFonts w:ascii="宋体" w:hAnsi="宋体" w:eastAsia="宋体" w:cs="宋体"/>
                <w:b w:val="0"/>
              </w:rPr>
              <w:t>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73,089,132.57</w:t>
            </w:r>
          </w:p>
        </w:tc>
        <w:tc>
          <w:tcPr>
            <w:tcW w:w="0" w:type="dxa"/>
            <w:vAlign w:val="center"/>
          </w:tcPr>
          <w:p>
            <w:pPr>
              <w:spacing w:line="240" w:lineRule="auto"/>
              <w:jc w:val="right"/>
            </w:pPr>
            <w:r>
              <w:rPr>
                <w:rFonts w:ascii="宋体" w:hAnsi="宋体" w:eastAsia="宋体" w:cs="宋体"/>
                <w:b w:val="0"/>
              </w:rPr>
              <w:t>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52,023,736.80</w:t>
            </w:r>
          </w:p>
        </w:tc>
        <w:tc>
          <w:tcPr>
            <w:tcW w:w="0" w:type="dxa"/>
            <w:vAlign w:val="center"/>
          </w:tcPr>
          <w:p>
            <w:pPr>
              <w:spacing w:line="240" w:lineRule="auto"/>
              <w:jc w:val="right"/>
            </w:pPr>
            <w:r>
              <w:rPr>
                <w:rFonts w:ascii="宋体" w:hAnsi="宋体" w:eastAsia="宋体" w:cs="宋体"/>
                <w:b w:val="0"/>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13,020,988.42</w:t>
            </w:r>
          </w:p>
        </w:tc>
        <w:tc>
          <w:tcPr>
            <w:tcW w:w="0" w:type="dxa"/>
            <w:vAlign w:val="center"/>
          </w:tcPr>
          <w:p>
            <w:pPr>
              <w:spacing w:line="240" w:lineRule="auto"/>
              <w:jc w:val="right"/>
            </w:pPr>
            <w:r>
              <w:rPr>
                <w:rFonts w:ascii="宋体" w:hAnsi="宋体" w:eastAsia="宋体" w:cs="宋体"/>
                <w:b w:val="0"/>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1,237,470,623.07</w:t>
            </w:r>
          </w:p>
        </w:tc>
        <w:tc>
          <w:tcPr>
            <w:tcW w:w="0" w:type="dxa"/>
            <w:vAlign w:val="center"/>
          </w:tcPr>
          <w:p>
            <w:pPr>
              <w:spacing w:line="240" w:lineRule="auto"/>
              <w:jc w:val="right"/>
            </w:pPr>
            <w:r>
              <w:rPr>
                <w:rFonts w:ascii="宋体" w:hAnsi="宋体" w:eastAsia="宋体" w:cs="宋体"/>
                <w:b w:val="0"/>
              </w:rPr>
              <w:t>100.00</w:t>
            </w:r>
          </w:p>
        </w:tc>
      </w:tr>
    </w:tbl>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082"/>
        <w:gridCol w:w="1896"/>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391,616,857.50</w:t>
            </w:r>
          </w:p>
        </w:tc>
        <w:tc>
          <w:tcPr>
            <w:tcW w:w="0" w:type="dxa"/>
            <w:vAlign w:val="center"/>
          </w:tcPr>
          <w:p>
            <w:pPr>
              <w:spacing w:line="240" w:lineRule="auto"/>
              <w:jc w:val="right"/>
            </w:pPr>
            <w:r>
              <w:rPr>
                <w:rFonts w:ascii="宋体" w:hAnsi="宋体" w:eastAsia="宋体" w:cs="宋体"/>
                <w:b w:val="0"/>
              </w:rPr>
              <w:t>32.55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670,637,445.46</w:t>
            </w:r>
          </w:p>
        </w:tc>
        <w:tc>
          <w:tcPr>
            <w:tcW w:w="0" w:type="dxa"/>
            <w:vAlign w:val="center"/>
          </w:tcPr>
          <w:p>
            <w:pPr>
              <w:spacing w:line="240" w:lineRule="auto"/>
              <w:jc w:val="right"/>
            </w:pPr>
            <w:r>
              <w:rPr>
                <w:rFonts w:ascii="宋体" w:hAnsi="宋体" w:eastAsia="宋体" w:cs="宋体"/>
                <w:b w:val="0"/>
              </w:rPr>
              <w:t>55.74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687,601.32</w:t>
            </w:r>
          </w:p>
        </w:tc>
        <w:tc>
          <w:tcPr>
            <w:tcW w:w="0" w:type="dxa"/>
            <w:vAlign w:val="center"/>
          </w:tcPr>
          <w:p>
            <w:pPr>
              <w:spacing w:line="240" w:lineRule="auto"/>
              <w:jc w:val="right"/>
            </w:pPr>
            <w:r>
              <w:rPr>
                <w:rFonts w:ascii="宋体" w:hAnsi="宋体" w:eastAsia="宋体" w:cs="宋体"/>
                <w:b w:val="0"/>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36,394,861.00</w:t>
            </w:r>
          </w:p>
        </w:tc>
        <w:tc>
          <w:tcPr>
            <w:tcW w:w="0" w:type="dxa"/>
            <w:vAlign w:val="center"/>
          </w:tcPr>
          <w:p>
            <w:pPr>
              <w:spacing w:line="240" w:lineRule="auto"/>
              <w:jc w:val="right"/>
            </w:pPr>
            <w:r>
              <w:rPr>
                <w:rFonts w:ascii="宋体" w:hAnsi="宋体" w:eastAsia="宋体" w:cs="宋体"/>
                <w:b w:val="0"/>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1,099,336,765.28</w:t>
            </w:r>
          </w:p>
        </w:tc>
        <w:tc>
          <w:tcPr>
            <w:tcW w:w="0" w:type="dxa"/>
            <w:vAlign w:val="center"/>
          </w:tcPr>
          <w:p>
            <w:pPr>
              <w:spacing w:line="240" w:lineRule="auto"/>
              <w:jc w:val="right"/>
            </w:pPr>
            <w:r>
              <w:rPr>
                <w:rFonts w:ascii="宋体" w:hAnsi="宋体" w:eastAsia="宋体" w:cs="宋体"/>
                <w:b w:val="0"/>
              </w:rPr>
              <w:t>91.36</w:t>
            </w:r>
          </w:p>
        </w:tc>
      </w:tr>
    </w:tbl>
    <w:p/>
    <w:p>
      <w:pPr>
        <w:pStyle w:val="58"/>
      </w:pPr>
      <w:r>
        <w:rPr>
          <w:rFonts w:ascii="宋体" w:hAnsi="宋体" w:eastAsia="宋体" w:cs="宋体"/>
          <w:b/>
        </w:rPr>
        <w:t>5.2.2 报告期末按行业分类的港股通投资股票投资组合</w:t>
      </w:r>
    </w:p>
    <w:p>
      <w:r>
        <w:rPr>
          <w:rFonts w:ascii="宋体" w:hAnsi="宋体" w:eastAsia="宋体" w:cs="宋体"/>
          <w:b w:val="0"/>
        </w:rPr>
        <w:t xml:space="preserve">    本基金本报告期末未持有港股通投资股票投资组合。</w:t>
      </w:r>
    </w:p>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002240</w:t>
            </w:r>
          </w:p>
        </w:tc>
        <w:tc>
          <w:tcPr>
            <w:tcW w:w="0" w:type="dxa"/>
            <w:vAlign w:val="center"/>
          </w:tcPr>
          <w:p>
            <w:pPr>
              <w:spacing w:line="240" w:lineRule="auto"/>
              <w:jc w:val="left"/>
            </w:pPr>
            <w:r>
              <w:rPr>
                <w:rFonts w:ascii="宋体" w:hAnsi="宋体" w:eastAsia="宋体" w:cs="宋体"/>
                <w:b w:val="0"/>
              </w:rPr>
              <w:t>盛新锂能</w:t>
            </w:r>
          </w:p>
        </w:tc>
        <w:tc>
          <w:tcPr>
            <w:tcW w:w="0" w:type="dxa"/>
            <w:vAlign w:val="center"/>
          </w:tcPr>
          <w:p>
            <w:pPr>
              <w:spacing w:line="240" w:lineRule="auto"/>
              <w:jc w:val="right"/>
            </w:pPr>
            <w:r>
              <w:rPr>
                <w:rFonts w:ascii="宋体" w:hAnsi="宋体" w:eastAsia="宋体" w:cs="宋体"/>
                <w:b w:val="0"/>
              </w:rPr>
              <w:t>2,616,600</w:t>
            </w:r>
          </w:p>
        </w:tc>
        <w:tc>
          <w:tcPr>
            <w:tcW w:w="0" w:type="dxa"/>
            <w:vAlign w:val="center"/>
          </w:tcPr>
          <w:p>
            <w:pPr>
              <w:spacing w:line="240" w:lineRule="auto"/>
              <w:jc w:val="right"/>
            </w:pPr>
            <w:r>
              <w:rPr>
                <w:rFonts w:ascii="宋体" w:hAnsi="宋体" w:eastAsia="宋体" w:cs="宋体"/>
                <w:b w:val="0"/>
              </w:rPr>
              <w:t>117,302,178.00</w:t>
            </w:r>
          </w:p>
        </w:tc>
        <w:tc>
          <w:tcPr>
            <w:tcW w:w="0" w:type="dxa"/>
            <w:vAlign w:val="center"/>
          </w:tcPr>
          <w:p>
            <w:pPr>
              <w:spacing w:line="240" w:lineRule="auto"/>
              <w:jc w:val="right"/>
            </w:pPr>
            <w:r>
              <w:rPr>
                <w:rFonts w:ascii="宋体" w:hAnsi="宋体" w:eastAsia="宋体" w:cs="宋体"/>
                <w:b w:val="0"/>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002192</w:t>
            </w:r>
          </w:p>
        </w:tc>
        <w:tc>
          <w:tcPr>
            <w:tcW w:w="0" w:type="dxa"/>
            <w:vAlign w:val="center"/>
          </w:tcPr>
          <w:p>
            <w:pPr>
              <w:spacing w:line="240" w:lineRule="auto"/>
              <w:jc w:val="left"/>
            </w:pPr>
            <w:r>
              <w:rPr>
                <w:rFonts w:ascii="宋体" w:hAnsi="宋体" w:eastAsia="宋体" w:cs="宋体"/>
                <w:b w:val="0"/>
              </w:rPr>
              <w:t>融捷股份</w:t>
            </w:r>
          </w:p>
        </w:tc>
        <w:tc>
          <w:tcPr>
            <w:tcW w:w="0" w:type="dxa"/>
            <w:vAlign w:val="center"/>
          </w:tcPr>
          <w:p>
            <w:pPr>
              <w:spacing w:line="240" w:lineRule="auto"/>
              <w:jc w:val="right"/>
            </w:pPr>
            <w:r>
              <w:rPr>
                <w:rFonts w:ascii="宋体" w:hAnsi="宋体" w:eastAsia="宋体" w:cs="宋体"/>
                <w:b w:val="0"/>
              </w:rPr>
              <w:t>1,246,216</w:t>
            </w:r>
          </w:p>
        </w:tc>
        <w:tc>
          <w:tcPr>
            <w:tcW w:w="0" w:type="dxa"/>
            <w:vAlign w:val="center"/>
          </w:tcPr>
          <w:p>
            <w:pPr>
              <w:spacing w:line="240" w:lineRule="auto"/>
              <w:jc w:val="right"/>
            </w:pPr>
            <w:r>
              <w:rPr>
                <w:rFonts w:ascii="宋体" w:hAnsi="宋体" w:eastAsia="宋体" w:cs="宋体"/>
                <w:b w:val="0"/>
              </w:rPr>
              <w:t>111,411,710.40</w:t>
            </w:r>
          </w:p>
        </w:tc>
        <w:tc>
          <w:tcPr>
            <w:tcW w:w="0" w:type="dxa"/>
            <w:vAlign w:val="center"/>
          </w:tcPr>
          <w:p>
            <w:pPr>
              <w:spacing w:line="240" w:lineRule="auto"/>
              <w:jc w:val="right"/>
            </w:pPr>
            <w:r>
              <w:rPr>
                <w:rFonts w:ascii="宋体" w:hAnsi="宋体" w:eastAsia="宋体" w:cs="宋体"/>
                <w:b w:val="0"/>
              </w:rPr>
              <w:t>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000688</w:t>
            </w:r>
          </w:p>
        </w:tc>
        <w:tc>
          <w:tcPr>
            <w:tcW w:w="0" w:type="dxa"/>
            <w:vAlign w:val="center"/>
          </w:tcPr>
          <w:p>
            <w:pPr>
              <w:spacing w:line="240" w:lineRule="auto"/>
              <w:jc w:val="left"/>
            </w:pPr>
            <w:r>
              <w:rPr>
                <w:rFonts w:ascii="宋体" w:hAnsi="宋体" w:eastAsia="宋体" w:cs="宋体"/>
                <w:b w:val="0"/>
              </w:rPr>
              <w:t>国城矿业</w:t>
            </w:r>
          </w:p>
        </w:tc>
        <w:tc>
          <w:tcPr>
            <w:tcW w:w="0" w:type="dxa"/>
            <w:vAlign w:val="center"/>
          </w:tcPr>
          <w:p>
            <w:pPr>
              <w:spacing w:line="240" w:lineRule="auto"/>
              <w:jc w:val="right"/>
            </w:pPr>
            <w:r>
              <w:rPr>
                <w:rFonts w:ascii="宋体" w:hAnsi="宋体" w:eastAsia="宋体" w:cs="宋体"/>
                <w:b w:val="0"/>
              </w:rPr>
              <w:t>3,237,322</w:t>
            </w:r>
          </w:p>
        </w:tc>
        <w:tc>
          <w:tcPr>
            <w:tcW w:w="0" w:type="dxa"/>
            <w:vAlign w:val="center"/>
          </w:tcPr>
          <w:p>
            <w:pPr>
              <w:spacing w:line="240" w:lineRule="auto"/>
              <w:jc w:val="right"/>
            </w:pPr>
            <w:r>
              <w:rPr>
                <w:rFonts w:ascii="宋体" w:hAnsi="宋体" w:eastAsia="宋体" w:cs="宋体"/>
                <w:b w:val="0"/>
              </w:rPr>
              <w:t>110,813,532.06</w:t>
            </w:r>
          </w:p>
        </w:tc>
        <w:tc>
          <w:tcPr>
            <w:tcW w:w="0" w:type="dxa"/>
            <w:vAlign w:val="center"/>
          </w:tcPr>
          <w:p>
            <w:pPr>
              <w:spacing w:line="240" w:lineRule="auto"/>
              <w:jc w:val="right"/>
            </w:pPr>
            <w:r>
              <w:rPr>
                <w:rFonts w:ascii="宋体" w:hAnsi="宋体" w:eastAsia="宋体" w:cs="宋体"/>
                <w:b w:val="0"/>
              </w:rPr>
              <w:t>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300390</w:t>
            </w:r>
          </w:p>
        </w:tc>
        <w:tc>
          <w:tcPr>
            <w:tcW w:w="0" w:type="dxa"/>
            <w:vAlign w:val="center"/>
          </w:tcPr>
          <w:p>
            <w:pPr>
              <w:spacing w:line="240" w:lineRule="auto"/>
              <w:jc w:val="left"/>
            </w:pPr>
            <w:r>
              <w:rPr>
                <w:rFonts w:ascii="宋体" w:hAnsi="宋体" w:eastAsia="宋体" w:cs="宋体"/>
                <w:b w:val="0"/>
              </w:rPr>
              <w:t>天华新能</w:t>
            </w:r>
          </w:p>
        </w:tc>
        <w:tc>
          <w:tcPr>
            <w:tcW w:w="0" w:type="dxa"/>
            <w:vAlign w:val="center"/>
          </w:tcPr>
          <w:p>
            <w:pPr>
              <w:spacing w:line="240" w:lineRule="auto"/>
              <w:jc w:val="right"/>
            </w:pPr>
            <w:r>
              <w:rPr>
                <w:rFonts w:ascii="宋体" w:hAnsi="宋体" w:eastAsia="宋体" w:cs="宋体"/>
                <w:b w:val="0"/>
              </w:rPr>
              <w:t>1,172,410</w:t>
            </w:r>
          </w:p>
        </w:tc>
        <w:tc>
          <w:tcPr>
            <w:tcW w:w="0" w:type="dxa"/>
            <w:vAlign w:val="center"/>
          </w:tcPr>
          <w:p>
            <w:pPr>
              <w:spacing w:line="240" w:lineRule="auto"/>
              <w:jc w:val="right"/>
            </w:pPr>
            <w:r>
              <w:rPr>
                <w:rFonts w:ascii="宋体" w:hAnsi="宋体" w:eastAsia="宋体" w:cs="宋体"/>
                <w:b w:val="0"/>
              </w:rPr>
              <w:t>109,632,059.10</w:t>
            </w:r>
          </w:p>
        </w:tc>
        <w:tc>
          <w:tcPr>
            <w:tcW w:w="0" w:type="dxa"/>
            <w:vAlign w:val="center"/>
          </w:tcPr>
          <w:p>
            <w:pPr>
              <w:spacing w:line="240" w:lineRule="auto"/>
              <w:jc w:val="right"/>
            </w:pPr>
            <w:r>
              <w:rPr>
                <w:rFonts w:ascii="宋体" w:hAnsi="宋体" w:eastAsia="宋体" w:cs="宋体"/>
                <w:b w:val="0"/>
              </w:rPr>
              <w:t>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002756</w:t>
            </w:r>
          </w:p>
        </w:tc>
        <w:tc>
          <w:tcPr>
            <w:tcW w:w="0" w:type="dxa"/>
            <w:vAlign w:val="center"/>
          </w:tcPr>
          <w:p>
            <w:pPr>
              <w:spacing w:line="240" w:lineRule="auto"/>
              <w:jc w:val="left"/>
            </w:pPr>
            <w:r>
              <w:rPr>
                <w:rFonts w:ascii="宋体" w:hAnsi="宋体" w:eastAsia="宋体" w:cs="宋体"/>
                <w:b w:val="0"/>
              </w:rPr>
              <w:t>永兴材料</w:t>
            </w:r>
          </w:p>
        </w:tc>
        <w:tc>
          <w:tcPr>
            <w:tcW w:w="0" w:type="dxa"/>
            <w:vAlign w:val="center"/>
          </w:tcPr>
          <w:p>
            <w:pPr>
              <w:spacing w:line="240" w:lineRule="auto"/>
              <w:jc w:val="right"/>
            </w:pPr>
            <w:r>
              <w:rPr>
                <w:rFonts w:ascii="宋体" w:hAnsi="宋体" w:eastAsia="宋体" w:cs="宋体"/>
                <w:b w:val="0"/>
              </w:rPr>
              <w:t>1,824,071</w:t>
            </w:r>
          </w:p>
        </w:tc>
        <w:tc>
          <w:tcPr>
            <w:tcW w:w="0" w:type="dxa"/>
            <w:vAlign w:val="center"/>
          </w:tcPr>
          <w:p>
            <w:pPr>
              <w:spacing w:line="240" w:lineRule="auto"/>
              <w:jc w:val="right"/>
            </w:pPr>
            <w:r>
              <w:rPr>
                <w:rFonts w:ascii="宋体" w:hAnsi="宋体" w:eastAsia="宋体" w:cs="宋体"/>
                <w:b w:val="0"/>
              </w:rPr>
              <w:t>103,315,381.44</w:t>
            </w:r>
          </w:p>
        </w:tc>
        <w:tc>
          <w:tcPr>
            <w:tcW w:w="0" w:type="dxa"/>
            <w:vAlign w:val="center"/>
          </w:tcPr>
          <w:p>
            <w:pPr>
              <w:spacing w:line="240" w:lineRule="auto"/>
              <w:jc w:val="right"/>
            </w:pPr>
            <w:r>
              <w:rPr>
                <w:rFonts w:ascii="宋体" w:hAnsi="宋体" w:eastAsia="宋体" w:cs="宋体"/>
                <w:b w:val="0"/>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001203</w:t>
            </w:r>
          </w:p>
        </w:tc>
        <w:tc>
          <w:tcPr>
            <w:tcW w:w="0" w:type="dxa"/>
            <w:vAlign w:val="center"/>
          </w:tcPr>
          <w:p>
            <w:pPr>
              <w:spacing w:line="240" w:lineRule="auto"/>
              <w:jc w:val="left"/>
            </w:pPr>
            <w:r>
              <w:rPr>
                <w:rFonts w:ascii="宋体" w:hAnsi="宋体" w:eastAsia="宋体" w:cs="宋体"/>
                <w:b w:val="0"/>
              </w:rPr>
              <w:t>大中矿业</w:t>
            </w:r>
          </w:p>
        </w:tc>
        <w:tc>
          <w:tcPr>
            <w:tcW w:w="0" w:type="dxa"/>
            <w:vAlign w:val="center"/>
          </w:tcPr>
          <w:p>
            <w:pPr>
              <w:spacing w:line="240" w:lineRule="auto"/>
              <w:jc w:val="right"/>
            </w:pPr>
            <w:r>
              <w:rPr>
                <w:rFonts w:ascii="宋体" w:hAnsi="宋体" w:eastAsia="宋体" w:cs="宋体"/>
                <w:b w:val="0"/>
              </w:rPr>
              <w:t>3,440,334</w:t>
            </w:r>
          </w:p>
        </w:tc>
        <w:tc>
          <w:tcPr>
            <w:tcW w:w="0" w:type="dxa"/>
            <w:vAlign w:val="center"/>
          </w:tcPr>
          <w:p>
            <w:pPr>
              <w:spacing w:line="240" w:lineRule="auto"/>
              <w:jc w:val="right"/>
            </w:pPr>
            <w:r>
              <w:rPr>
                <w:rFonts w:ascii="宋体" w:hAnsi="宋体" w:eastAsia="宋体" w:cs="宋体"/>
                <w:b w:val="0"/>
              </w:rPr>
              <w:t>103,038,003.30</w:t>
            </w:r>
          </w:p>
        </w:tc>
        <w:tc>
          <w:tcPr>
            <w:tcW w:w="0" w:type="dxa"/>
            <w:vAlign w:val="center"/>
          </w:tcPr>
          <w:p>
            <w:pPr>
              <w:spacing w:line="240" w:lineRule="auto"/>
              <w:jc w:val="right"/>
            </w:pPr>
            <w:r>
              <w:rPr>
                <w:rFonts w:ascii="宋体" w:hAnsi="宋体" w:eastAsia="宋体" w:cs="宋体"/>
                <w:b w:val="0"/>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002497</w:t>
            </w:r>
          </w:p>
        </w:tc>
        <w:tc>
          <w:tcPr>
            <w:tcW w:w="0" w:type="dxa"/>
            <w:vAlign w:val="center"/>
          </w:tcPr>
          <w:p>
            <w:pPr>
              <w:spacing w:line="240" w:lineRule="auto"/>
              <w:jc w:val="left"/>
            </w:pPr>
            <w:r>
              <w:rPr>
                <w:rFonts w:ascii="宋体" w:hAnsi="宋体" w:eastAsia="宋体" w:cs="宋体"/>
                <w:b w:val="0"/>
              </w:rPr>
              <w:t>雅化集团</w:t>
            </w:r>
          </w:p>
        </w:tc>
        <w:tc>
          <w:tcPr>
            <w:tcW w:w="0" w:type="dxa"/>
            <w:vAlign w:val="center"/>
          </w:tcPr>
          <w:p>
            <w:pPr>
              <w:spacing w:line="240" w:lineRule="auto"/>
              <w:jc w:val="right"/>
            </w:pPr>
            <w:r>
              <w:rPr>
                <w:rFonts w:ascii="宋体" w:hAnsi="宋体" w:eastAsia="宋体" w:cs="宋体"/>
                <w:b w:val="0"/>
              </w:rPr>
              <w:t>4,979,070</w:t>
            </w:r>
          </w:p>
        </w:tc>
        <w:tc>
          <w:tcPr>
            <w:tcW w:w="0" w:type="dxa"/>
            <w:vAlign w:val="center"/>
          </w:tcPr>
          <w:p>
            <w:pPr>
              <w:spacing w:line="240" w:lineRule="auto"/>
              <w:jc w:val="right"/>
            </w:pPr>
            <w:r>
              <w:rPr>
                <w:rFonts w:ascii="宋体" w:hAnsi="宋体" w:eastAsia="宋体" w:cs="宋体"/>
                <w:b w:val="0"/>
              </w:rPr>
              <w:t>101,423,655.90</w:t>
            </w:r>
          </w:p>
        </w:tc>
        <w:tc>
          <w:tcPr>
            <w:tcW w:w="0" w:type="dxa"/>
            <w:vAlign w:val="center"/>
          </w:tcPr>
          <w:p>
            <w:pPr>
              <w:spacing w:line="240" w:lineRule="auto"/>
              <w:jc w:val="right"/>
            </w:pPr>
            <w:r>
              <w:rPr>
                <w:rFonts w:ascii="宋体" w:hAnsi="宋体" w:eastAsia="宋体" w:cs="宋体"/>
                <w:b w:val="0"/>
              </w:rPr>
              <w:t>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000408</w:t>
            </w:r>
          </w:p>
        </w:tc>
        <w:tc>
          <w:tcPr>
            <w:tcW w:w="0" w:type="dxa"/>
            <w:vAlign w:val="center"/>
          </w:tcPr>
          <w:p>
            <w:pPr>
              <w:spacing w:line="240" w:lineRule="auto"/>
              <w:jc w:val="left"/>
            </w:pPr>
            <w:r>
              <w:rPr>
                <w:rFonts w:ascii="宋体" w:hAnsi="宋体" w:eastAsia="宋体" w:cs="宋体"/>
                <w:b w:val="0"/>
              </w:rPr>
              <w:t>藏格矿业</w:t>
            </w:r>
          </w:p>
        </w:tc>
        <w:tc>
          <w:tcPr>
            <w:tcW w:w="0" w:type="dxa"/>
            <w:vAlign w:val="center"/>
          </w:tcPr>
          <w:p>
            <w:pPr>
              <w:spacing w:line="240" w:lineRule="auto"/>
              <w:jc w:val="right"/>
            </w:pPr>
            <w:r>
              <w:rPr>
                <w:rFonts w:ascii="宋体" w:hAnsi="宋体" w:eastAsia="宋体" w:cs="宋体"/>
                <w:b w:val="0"/>
              </w:rPr>
              <w:t>846,681</w:t>
            </w:r>
          </w:p>
        </w:tc>
        <w:tc>
          <w:tcPr>
            <w:tcW w:w="0" w:type="dxa"/>
            <w:vAlign w:val="center"/>
          </w:tcPr>
          <w:p>
            <w:pPr>
              <w:spacing w:line="240" w:lineRule="auto"/>
              <w:jc w:val="right"/>
            </w:pPr>
            <w:r>
              <w:rPr>
                <w:rFonts w:ascii="宋体" w:hAnsi="宋体" w:eastAsia="宋体" w:cs="宋体"/>
                <w:b w:val="0"/>
              </w:rPr>
              <w:t>58,691,926.92</w:t>
            </w:r>
          </w:p>
        </w:tc>
        <w:tc>
          <w:tcPr>
            <w:tcW w:w="0" w:type="dxa"/>
            <w:vAlign w:val="center"/>
          </w:tcPr>
          <w:p>
            <w:pPr>
              <w:spacing w:line="240" w:lineRule="auto"/>
              <w:jc w:val="right"/>
            </w:pPr>
            <w:r>
              <w:rPr>
                <w:rFonts w:ascii="宋体" w:hAnsi="宋体" w:eastAsia="宋体" w:cs="宋体"/>
                <w:b w:val="0"/>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000762</w:t>
            </w:r>
          </w:p>
        </w:tc>
        <w:tc>
          <w:tcPr>
            <w:tcW w:w="0" w:type="dxa"/>
            <w:vAlign w:val="center"/>
          </w:tcPr>
          <w:p>
            <w:pPr>
              <w:spacing w:line="240" w:lineRule="auto"/>
              <w:jc w:val="left"/>
            </w:pPr>
            <w:r>
              <w:rPr>
                <w:rFonts w:ascii="宋体" w:hAnsi="宋体" w:eastAsia="宋体" w:cs="宋体"/>
                <w:b w:val="0"/>
              </w:rPr>
              <w:t>西藏矿业</w:t>
            </w:r>
          </w:p>
        </w:tc>
        <w:tc>
          <w:tcPr>
            <w:tcW w:w="0" w:type="dxa"/>
            <w:vAlign w:val="center"/>
          </w:tcPr>
          <w:p>
            <w:pPr>
              <w:spacing w:line="240" w:lineRule="auto"/>
              <w:jc w:val="right"/>
            </w:pPr>
            <w:r>
              <w:rPr>
                <w:rFonts w:ascii="宋体" w:hAnsi="宋体" w:eastAsia="宋体" w:cs="宋体"/>
                <w:b w:val="0"/>
              </w:rPr>
              <w:t>1,286,000</w:t>
            </w:r>
          </w:p>
        </w:tc>
        <w:tc>
          <w:tcPr>
            <w:tcW w:w="0" w:type="dxa"/>
            <w:vAlign w:val="center"/>
          </w:tcPr>
          <w:p>
            <w:pPr>
              <w:spacing w:line="240" w:lineRule="auto"/>
              <w:jc w:val="right"/>
            </w:pPr>
            <w:r>
              <w:rPr>
                <w:rFonts w:ascii="宋体" w:hAnsi="宋体" w:eastAsia="宋体" w:cs="宋体"/>
                <w:b w:val="0"/>
              </w:rPr>
              <w:t>34,336,200.00</w:t>
            </w:r>
          </w:p>
        </w:tc>
        <w:tc>
          <w:tcPr>
            <w:tcW w:w="0" w:type="dxa"/>
            <w:vAlign w:val="center"/>
          </w:tcPr>
          <w:p>
            <w:pPr>
              <w:spacing w:line="240" w:lineRule="auto"/>
              <w:jc w:val="right"/>
            </w:pPr>
            <w:r>
              <w:rPr>
                <w:rFonts w:ascii="宋体" w:hAnsi="宋体" w:eastAsia="宋体" w:cs="宋体"/>
                <w:b w:val="0"/>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603399</w:t>
            </w:r>
          </w:p>
        </w:tc>
        <w:tc>
          <w:tcPr>
            <w:tcW w:w="0" w:type="dxa"/>
            <w:vAlign w:val="center"/>
          </w:tcPr>
          <w:p>
            <w:pPr>
              <w:spacing w:line="240" w:lineRule="auto"/>
              <w:jc w:val="left"/>
            </w:pPr>
            <w:r>
              <w:rPr>
                <w:rFonts w:ascii="宋体" w:hAnsi="宋体" w:eastAsia="宋体" w:cs="宋体"/>
                <w:b w:val="0"/>
              </w:rPr>
              <w:t>永杉锂业</w:t>
            </w:r>
          </w:p>
        </w:tc>
        <w:tc>
          <w:tcPr>
            <w:tcW w:w="0" w:type="dxa"/>
            <w:vAlign w:val="center"/>
          </w:tcPr>
          <w:p>
            <w:pPr>
              <w:spacing w:line="240" w:lineRule="auto"/>
              <w:jc w:val="right"/>
            </w:pPr>
            <w:r>
              <w:rPr>
                <w:rFonts w:ascii="宋体" w:hAnsi="宋体" w:eastAsia="宋体" w:cs="宋体"/>
                <w:b w:val="0"/>
              </w:rPr>
              <w:t>1,470,900</w:t>
            </w:r>
          </w:p>
        </w:tc>
        <w:tc>
          <w:tcPr>
            <w:tcW w:w="0" w:type="dxa"/>
            <w:vAlign w:val="center"/>
          </w:tcPr>
          <w:p>
            <w:pPr>
              <w:spacing w:line="240" w:lineRule="auto"/>
              <w:jc w:val="right"/>
            </w:pPr>
            <w:r>
              <w:rPr>
                <w:rFonts w:ascii="宋体" w:hAnsi="宋体" w:eastAsia="宋体" w:cs="宋体"/>
                <w:b w:val="0"/>
              </w:rPr>
              <w:t>33,065,832.00</w:t>
            </w:r>
          </w:p>
        </w:tc>
        <w:tc>
          <w:tcPr>
            <w:tcW w:w="0" w:type="dxa"/>
            <w:vAlign w:val="center"/>
          </w:tcPr>
          <w:p>
            <w:pPr>
              <w:spacing w:line="240" w:lineRule="auto"/>
              <w:jc w:val="right"/>
            </w:pPr>
            <w:r>
              <w:rPr>
                <w:rFonts w:ascii="宋体" w:hAnsi="宋体" w:eastAsia="宋体" w:cs="宋体"/>
                <w:b w:val="0"/>
              </w:rPr>
              <w:t>2.75</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73,089,132.57</w:t>
            </w:r>
          </w:p>
        </w:tc>
        <w:tc>
          <w:tcPr>
            <w:tcW w:w="0" w:type="dxa"/>
            <w:vAlign w:val="center"/>
          </w:tcPr>
          <w:p>
            <w:pPr>
              <w:spacing w:line="240" w:lineRule="auto"/>
              <w:jc w:val="right"/>
            </w:pPr>
            <w:r>
              <w:rPr>
                <w:rFonts w:ascii="宋体" w:hAnsi="宋体" w:eastAsia="宋体" w:cs="宋体"/>
                <w:b w:val="0"/>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73,089,132.57</w:t>
            </w:r>
          </w:p>
        </w:tc>
        <w:tc>
          <w:tcPr>
            <w:tcW w:w="0" w:type="dxa"/>
            <w:vAlign w:val="center"/>
          </w:tcPr>
          <w:p>
            <w:pPr>
              <w:spacing w:line="240" w:lineRule="auto"/>
              <w:jc w:val="right"/>
            </w:pPr>
            <w:r>
              <w:rPr>
                <w:rFonts w:ascii="宋体" w:hAnsi="宋体" w:eastAsia="宋体" w:cs="宋体"/>
                <w:b w:val="0"/>
              </w:rPr>
              <w:t>6.07</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019835</w:t>
            </w:r>
          </w:p>
        </w:tc>
        <w:tc>
          <w:tcPr>
            <w:tcW w:w="0" w:type="dxa"/>
            <w:vAlign w:val="center"/>
          </w:tcPr>
          <w:p>
            <w:pPr>
              <w:spacing w:line="240" w:lineRule="auto"/>
              <w:jc w:val="left"/>
            </w:pPr>
            <w:r>
              <w:rPr>
                <w:rFonts w:ascii="宋体" w:hAnsi="宋体" w:eastAsia="宋体" w:cs="宋体"/>
                <w:b w:val="0"/>
              </w:rPr>
              <w:t>26国债09</w:t>
            </w:r>
          </w:p>
        </w:tc>
        <w:tc>
          <w:tcPr>
            <w:tcW w:w="0" w:type="dxa"/>
            <w:vAlign w:val="center"/>
          </w:tcPr>
          <w:p>
            <w:pPr>
              <w:spacing w:line="240" w:lineRule="auto"/>
              <w:jc w:val="right"/>
            </w:pPr>
            <w:r>
              <w:rPr>
                <w:rFonts w:ascii="宋体" w:hAnsi="宋体" w:eastAsia="宋体" w:cs="宋体"/>
                <w:b w:val="0"/>
              </w:rPr>
              <w:t>586,000</w:t>
            </w:r>
          </w:p>
        </w:tc>
        <w:tc>
          <w:tcPr>
            <w:tcW w:w="0" w:type="dxa"/>
            <w:vAlign w:val="center"/>
          </w:tcPr>
          <w:p>
            <w:pPr>
              <w:spacing w:line="240" w:lineRule="auto"/>
              <w:jc w:val="right"/>
            </w:pPr>
            <w:r>
              <w:rPr>
                <w:rFonts w:ascii="宋体" w:hAnsi="宋体" w:eastAsia="宋体" w:cs="宋体"/>
                <w:b w:val="0"/>
              </w:rPr>
              <w:t>58,696,441.15</w:t>
            </w:r>
          </w:p>
        </w:tc>
        <w:tc>
          <w:tcPr>
            <w:tcW w:w="0" w:type="dxa"/>
            <w:vAlign w:val="center"/>
          </w:tcPr>
          <w:p>
            <w:pPr>
              <w:spacing w:line="240" w:lineRule="auto"/>
              <w:jc w:val="right"/>
            </w:pPr>
            <w:r>
              <w:rPr>
                <w:rFonts w:ascii="宋体" w:hAnsi="宋体" w:eastAsia="宋体" w:cs="宋体"/>
                <w:b w:val="0"/>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019827</w:t>
            </w:r>
          </w:p>
        </w:tc>
        <w:tc>
          <w:tcPr>
            <w:tcW w:w="0" w:type="dxa"/>
            <w:vAlign w:val="center"/>
          </w:tcPr>
          <w:p>
            <w:pPr>
              <w:spacing w:line="240" w:lineRule="auto"/>
              <w:jc w:val="left"/>
            </w:pPr>
            <w:r>
              <w:rPr>
                <w:rFonts w:ascii="宋体" w:hAnsi="宋体" w:eastAsia="宋体" w:cs="宋体"/>
                <w:b w:val="0"/>
              </w:rPr>
              <w:t>26国债01</w:t>
            </w:r>
          </w:p>
        </w:tc>
        <w:tc>
          <w:tcPr>
            <w:tcW w:w="0" w:type="dxa"/>
            <w:vAlign w:val="center"/>
          </w:tcPr>
          <w:p>
            <w:pPr>
              <w:spacing w:line="240" w:lineRule="auto"/>
              <w:jc w:val="right"/>
            </w:pPr>
            <w:r>
              <w:rPr>
                <w:rFonts w:ascii="宋体" w:hAnsi="宋体" w:eastAsia="宋体" w:cs="宋体"/>
                <w:b w:val="0"/>
              </w:rPr>
              <w:t>143,000</w:t>
            </w:r>
          </w:p>
        </w:tc>
        <w:tc>
          <w:tcPr>
            <w:tcW w:w="0" w:type="dxa"/>
            <w:vAlign w:val="center"/>
          </w:tcPr>
          <w:p>
            <w:pPr>
              <w:spacing w:line="240" w:lineRule="auto"/>
              <w:jc w:val="right"/>
            </w:pPr>
            <w:r>
              <w:rPr>
                <w:rFonts w:ascii="宋体" w:hAnsi="宋体" w:eastAsia="宋体" w:cs="宋体"/>
                <w:b w:val="0"/>
              </w:rPr>
              <w:t>14,392,691.42</w:t>
            </w:r>
          </w:p>
        </w:tc>
        <w:tc>
          <w:tcPr>
            <w:tcW w:w="0" w:type="dxa"/>
            <w:vAlign w:val="center"/>
          </w:tcPr>
          <w:p>
            <w:pPr>
              <w:spacing w:line="240" w:lineRule="auto"/>
              <w:jc w:val="right"/>
            </w:pPr>
            <w:r>
              <w:rPr>
                <w:rFonts w:ascii="宋体" w:hAnsi="宋体" w:eastAsia="宋体" w:cs="宋体"/>
                <w:b w:val="0"/>
              </w:rPr>
              <w:t>1.20</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13,020,988.42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13,020,988.42</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本基金本报告期末前十名股票中不存在流通受限的情况。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东方阿尔法瑞享混合发起A</w:t>
            </w:r>
          </w:p>
        </w:tc>
        <w:tc>
          <w:tcPr>
            <w:tcW w:w="1300" w:type="pct"/>
            <w:vAlign w:val="center"/>
          </w:tcPr>
          <w:p>
            <w:pPr>
              <w:spacing w:line="240" w:lineRule="auto"/>
              <w:jc w:val="center"/>
            </w:pPr>
            <w:r>
              <w:rPr>
                <w:rFonts w:ascii="宋体" w:hAnsi="宋体" w:eastAsia="宋体" w:cs="宋体"/>
                <w:b w:val="0"/>
              </w:rPr>
              <w:t>东方阿尔法瑞享混合发起C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23,841,752.96</w:t>
            </w:r>
          </w:p>
        </w:tc>
        <w:tc>
          <w:tcPr>
            <w:tcW w:w="1300" w:type="pct"/>
            <w:vAlign w:val="center"/>
          </w:tcPr>
          <w:p>
            <w:pPr>
              <w:spacing w:line="240" w:lineRule="auto"/>
              <w:jc w:val="right"/>
            </w:pPr>
            <w:r>
              <w:rPr>
                <w:rFonts w:ascii="宋体" w:hAnsi="宋体" w:eastAsia="宋体" w:cs="宋体"/>
                <w:b w:val="0"/>
              </w:rPr>
              <w:t>277,912,114.52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29,930,243.74</w:t>
            </w:r>
          </w:p>
        </w:tc>
        <w:tc>
          <w:tcPr>
            <w:tcW w:w="1300" w:type="pct"/>
            <w:vAlign w:val="center"/>
          </w:tcPr>
          <w:p>
            <w:pPr>
              <w:spacing w:line="240" w:lineRule="auto"/>
              <w:jc w:val="right"/>
            </w:pPr>
            <w:r>
              <w:rPr>
                <w:rFonts w:ascii="宋体" w:hAnsi="宋体" w:eastAsia="宋体" w:cs="宋体"/>
                <w:b w:val="0"/>
              </w:rPr>
              <w:t>2,670,737,058.00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31,030,971.80</w:t>
            </w:r>
          </w:p>
        </w:tc>
        <w:tc>
          <w:tcPr>
            <w:tcW w:w="1300" w:type="pct"/>
            <w:vAlign w:val="center"/>
          </w:tcPr>
          <w:p>
            <w:pPr>
              <w:spacing w:line="240" w:lineRule="auto"/>
              <w:jc w:val="right"/>
            </w:pPr>
            <w:r>
              <w:rPr>
                <w:rFonts w:ascii="宋体" w:hAnsi="宋体" w:eastAsia="宋体" w:cs="宋体"/>
                <w:b w:val="0"/>
              </w:rPr>
              <w:t>2,108,138,874.11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22,741,024.90</w:t>
            </w:r>
          </w:p>
        </w:tc>
        <w:tc>
          <w:tcPr>
            <w:tcW w:w="1300" w:type="pct"/>
            <w:vAlign w:val="center"/>
          </w:tcPr>
          <w:p>
            <w:pPr>
              <w:spacing w:line="240" w:lineRule="auto"/>
              <w:jc w:val="right"/>
            </w:pPr>
            <w:r>
              <w:rPr>
                <w:rFonts w:ascii="宋体" w:hAnsi="宋体" w:eastAsia="宋体" w:cs="宋体"/>
                <w:b w:val="0"/>
              </w:rPr>
              <w:t>840,510,298.41</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center"/>
            </w:pPr>
          </w:p>
        </w:tc>
        <w:tc>
          <w:tcPr>
            <w:tcW w:w="950" w:type="pct"/>
            <w:vAlign w:val="center"/>
          </w:tcPr>
          <w:p>
            <w:pPr>
              <w:spacing w:line="240" w:lineRule="auto"/>
              <w:jc w:val="center"/>
            </w:pPr>
            <w:r>
              <w:rPr>
                <w:rFonts w:ascii="宋体" w:hAnsi="宋体" w:eastAsia="宋体" w:cs="宋体"/>
                <w:b w:val="0"/>
              </w:rPr>
              <w:t>东方阿尔法瑞享混合发起A</w:t>
            </w:r>
          </w:p>
        </w:tc>
        <w:tc>
          <w:tcPr>
            <w:tcW w:w="950" w:type="pct"/>
            <w:vAlign w:val="center"/>
          </w:tcPr>
          <w:p>
            <w:pPr>
              <w:spacing w:line="240" w:lineRule="auto"/>
              <w:jc w:val="center"/>
            </w:pPr>
            <w:r>
              <w:rPr>
                <w:rFonts w:ascii="宋体" w:hAnsi="宋体" w:eastAsia="宋体" w:cs="宋体"/>
                <w:b w:val="0"/>
              </w:rPr>
              <w:t>东方阿尔法瑞享混合发起C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pPr>
              <w:spacing w:line="240" w:lineRule="auto"/>
              <w:jc w:val="left"/>
            </w:pPr>
            <w:r>
              <w:rPr>
                <w:rFonts w:ascii="宋体" w:hAnsi="宋体" w:eastAsia="宋体" w:cs="宋体"/>
                <w:b w:val="0"/>
              </w:rPr>
              <w:t>报告期期初管理人持有的本基金份额</w:t>
            </w:r>
          </w:p>
        </w:tc>
        <w:tc>
          <w:tcPr>
            <w:tcW w:w="950" w:type="pct"/>
            <w:vAlign w:val="center"/>
          </w:tcPr>
          <w:p>
            <w:pPr>
              <w:spacing w:line="240" w:lineRule="auto"/>
              <w:jc w:val="right"/>
            </w:pPr>
            <w:r>
              <w:rPr>
                <w:rFonts w:ascii="宋体" w:hAnsi="宋体" w:eastAsia="宋体" w:cs="宋体"/>
                <w:b w:val="0"/>
              </w:rPr>
              <w:t>5,000,583.45</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报告期期间买入/申购总份额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报告期期间卖出/赎回总份额</w:t>
            </w:r>
          </w:p>
        </w:tc>
        <w:tc>
          <w:tcPr>
            <w:tcW w:w="950" w:type="pct"/>
            <w:vAlign w:val="center"/>
          </w:tcPr>
          <w:p>
            <w:pPr>
              <w:spacing w:line="240" w:lineRule="auto"/>
              <w:jc w:val="right"/>
            </w:pPr>
            <w:r>
              <w:rPr>
                <w:rFonts w:ascii="宋体" w:hAnsi="宋体" w:eastAsia="宋体" w:cs="宋体"/>
                <w:b w:val="0"/>
              </w:rPr>
              <w:t>-</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报告期期末管理人持有的本基金份额</w:t>
            </w:r>
          </w:p>
        </w:tc>
        <w:tc>
          <w:tcPr>
            <w:tcW w:w="950" w:type="pct"/>
            <w:vAlign w:val="center"/>
          </w:tcPr>
          <w:p>
            <w:pPr>
              <w:spacing w:line="240" w:lineRule="auto"/>
              <w:jc w:val="right"/>
            </w:pPr>
            <w:r>
              <w:rPr>
                <w:rFonts w:ascii="宋体" w:hAnsi="宋体" w:eastAsia="宋体" w:cs="宋体"/>
                <w:b w:val="0"/>
              </w:rPr>
              <w:t>5,000,583.45</w:t>
            </w:r>
          </w:p>
        </w:tc>
        <w:tc>
          <w:tcPr>
            <w:tcW w:w="95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报告期期末持有的本基金份额占基金总份额比例（%）</w:t>
            </w:r>
          </w:p>
        </w:tc>
        <w:tc>
          <w:tcPr>
            <w:tcW w:w="950" w:type="pct"/>
            <w:vAlign w:val="center"/>
          </w:tcPr>
          <w:p>
            <w:pPr>
              <w:spacing w:line="240" w:lineRule="auto"/>
              <w:jc w:val="right"/>
            </w:pPr>
            <w:r>
              <w:rPr>
                <w:rFonts w:ascii="宋体" w:hAnsi="宋体" w:eastAsia="宋体" w:cs="宋体"/>
                <w:b w:val="0"/>
              </w:rPr>
              <w:t>0.58</w:t>
            </w:r>
          </w:p>
        </w:tc>
        <w:tc>
          <w:tcPr>
            <w:tcW w:w="950" w:type="pct"/>
            <w:vAlign w:val="center"/>
          </w:tcPr>
          <w:p>
            <w:pPr>
              <w:spacing w:line="240" w:lineRule="auto"/>
              <w:jc w:val="right"/>
            </w:pPr>
            <w:r>
              <w:rPr>
                <w:rFonts w:ascii="宋体" w:hAnsi="宋体" w:eastAsia="宋体" w:cs="宋体"/>
                <w:b w:val="0"/>
              </w:rPr>
              <w:t>-</w:t>
            </w:r>
          </w:p>
        </w:tc>
      </w:tr>
    </w:tbl>
    <w:p>
      <w:r>
        <w:rPr>
          <w:rFonts w:ascii="宋体" w:hAnsi="宋体" w:eastAsia="宋体" w:cs="宋体"/>
          <w:b w:val="0"/>
        </w:rPr>
        <w:t>注：报告期期末持有的本基金份额占基金总份额比例的分母采用期末基金份额总额，不区分下属不同类别基金。</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报告期末发起式基金发起资金持有份额情况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0"/>
        <w:gridCol w:w="1581"/>
        <w:gridCol w:w="1138"/>
        <w:gridCol w:w="1581"/>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项目</w:t>
            </w:r>
          </w:p>
        </w:tc>
        <w:tc>
          <w:tcPr>
            <w:tcW w:w="692" w:type="pct"/>
            <w:shd w:val="clear" w:color="auto" w:fill="D9D9D9"/>
            <w:vAlign w:val="center"/>
          </w:tcPr>
          <w:p>
            <w:pPr>
              <w:spacing w:line="240" w:lineRule="auto"/>
              <w:jc w:val="center"/>
            </w:pPr>
            <w:r>
              <w:rPr>
                <w:rFonts w:ascii="宋体" w:hAnsi="宋体" w:eastAsia="宋体" w:cs="宋体"/>
                <w:b w:val="0"/>
              </w:rPr>
              <w:t>持有份额总数</w:t>
            </w:r>
          </w:p>
        </w:tc>
        <w:tc>
          <w:tcPr>
            <w:tcW w:w="692" w:type="pct"/>
            <w:shd w:val="clear" w:color="auto" w:fill="D9D9D9"/>
            <w:vAlign w:val="center"/>
          </w:tcPr>
          <w:p>
            <w:pPr>
              <w:spacing w:line="240" w:lineRule="auto"/>
              <w:jc w:val="center"/>
            </w:pPr>
            <w:r>
              <w:rPr>
                <w:rFonts w:ascii="宋体" w:hAnsi="宋体" w:eastAsia="宋体" w:cs="宋体"/>
                <w:b w:val="0"/>
              </w:rPr>
              <w:t>持有份额占基金总份额比例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发起份额总数</w:t>
            </w:r>
          </w:p>
        </w:tc>
        <w:tc>
          <w:tcPr>
            <w:tcW w:w="692" w:type="pct"/>
            <w:shd w:val="clear" w:color="auto" w:fill="D9D9D9"/>
            <w:vAlign w:val="center"/>
          </w:tcPr>
          <w:p>
            <w:pPr>
              <w:spacing w:line="240" w:lineRule="auto"/>
              <w:jc w:val="center"/>
            </w:pPr>
            <w:r>
              <w:rPr>
                <w:rFonts w:ascii="宋体" w:hAnsi="宋体" w:eastAsia="宋体" w:cs="宋体"/>
                <w:b w:val="0"/>
              </w:rPr>
              <w:t>发起份额占基金总份额比例</w:t>
            </w:r>
          </w:p>
        </w:tc>
        <w:tc>
          <w:tcPr>
            <w:tcW w:w="692" w:type="pct"/>
            <w:shd w:val="clear" w:color="auto" w:fill="D9D9D9"/>
            <w:vAlign w:val="center"/>
          </w:tcPr>
          <w:p>
            <w:pPr>
              <w:spacing w:line="240" w:lineRule="auto"/>
              <w:jc w:val="center"/>
            </w:pPr>
            <w:r>
              <w:rPr>
                <w:rFonts w:ascii="宋体" w:hAnsi="宋体" w:eastAsia="宋体" w:cs="宋体"/>
                <w:b w:val="0"/>
              </w:rPr>
              <w:t>发起份额承诺持有期限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基金管理人固有资金</w:t>
            </w:r>
          </w:p>
        </w:tc>
        <w:tc>
          <w:tcPr>
            <w:tcW w:w="0" w:type="dxa"/>
            <w:vAlign w:val="center"/>
          </w:tcPr>
          <w:p>
            <w:pPr>
              <w:spacing w:line="240" w:lineRule="auto"/>
              <w:jc w:val="right"/>
            </w:pPr>
            <w:r>
              <w:rPr>
                <w:rFonts w:ascii="宋体" w:hAnsi="宋体" w:eastAsia="宋体" w:cs="宋体"/>
                <w:b w:val="0"/>
              </w:rPr>
              <w:t>5,000,583.45</w:t>
            </w:r>
          </w:p>
        </w:tc>
        <w:tc>
          <w:tcPr>
            <w:tcW w:w="0" w:type="dxa"/>
            <w:vAlign w:val="center"/>
          </w:tcPr>
          <w:p>
            <w:pPr>
              <w:spacing w:line="240" w:lineRule="auto"/>
              <w:jc w:val="right"/>
            </w:pPr>
            <w:r>
              <w:rPr>
                <w:rFonts w:ascii="宋体" w:hAnsi="宋体" w:eastAsia="宋体" w:cs="宋体"/>
                <w:b w:val="0"/>
              </w:rPr>
              <w:t>0.58%</w:t>
            </w:r>
          </w:p>
        </w:tc>
        <w:tc>
          <w:tcPr>
            <w:tcW w:w="0" w:type="dxa"/>
            <w:vAlign w:val="center"/>
          </w:tcPr>
          <w:p>
            <w:pPr>
              <w:spacing w:line="240" w:lineRule="auto"/>
              <w:jc w:val="right"/>
            </w:pPr>
            <w:r>
              <w:rPr>
                <w:rFonts w:ascii="宋体" w:hAnsi="宋体" w:eastAsia="宋体" w:cs="宋体"/>
                <w:b w:val="0"/>
              </w:rPr>
              <w:t>5,000,583.45</w:t>
            </w:r>
          </w:p>
        </w:tc>
        <w:tc>
          <w:tcPr>
            <w:tcW w:w="0" w:type="dxa"/>
            <w:vAlign w:val="center"/>
          </w:tcPr>
          <w:p>
            <w:pPr>
              <w:spacing w:line="240" w:lineRule="auto"/>
              <w:jc w:val="right"/>
            </w:pPr>
            <w:r>
              <w:rPr>
                <w:rFonts w:ascii="宋体" w:hAnsi="宋体" w:eastAsia="宋体" w:cs="宋体"/>
                <w:b w:val="0"/>
              </w:rPr>
              <w:t>0.58%</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基金管理人高级管理人员</w:t>
            </w:r>
          </w:p>
        </w:tc>
        <w:tc>
          <w:tcPr>
            <w:tcW w:w="0" w:type="dxa"/>
            <w:vAlign w:val="center"/>
          </w:tcPr>
          <w:p>
            <w:pPr>
              <w:spacing w:line="240" w:lineRule="auto"/>
              <w:jc w:val="right"/>
            </w:pPr>
            <w:r>
              <w:rPr>
                <w:rFonts w:ascii="宋体" w:hAnsi="宋体" w:eastAsia="宋体" w:cs="宋体"/>
                <w:b w:val="0"/>
              </w:rPr>
              <w:t>4,502,163.68</w:t>
            </w:r>
          </w:p>
        </w:tc>
        <w:tc>
          <w:tcPr>
            <w:tcW w:w="0" w:type="dxa"/>
            <w:vAlign w:val="center"/>
          </w:tcPr>
          <w:p>
            <w:pPr>
              <w:spacing w:line="240" w:lineRule="auto"/>
              <w:jc w:val="right"/>
            </w:pPr>
            <w:r>
              <w:rPr>
                <w:rFonts w:ascii="宋体" w:hAnsi="宋体" w:eastAsia="宋体" w:cs="宋体"/>
                <w:b w:val="0"/>
              </w:rPr>
              <w:t>0.52%</w:t>
            </w:r>
          </w:p>
        </w:tc>
        <w:tc>
          <w:tcPr>
            <w:tcW w:w="0" w:type="dxa"/>
            <w:vAlign w:val="center"/>
          </w:tcPr>
          <w:p>
            <w:pPr>
              <w:spacing w:line="240" w:lineRule="auto"/>
              <w:jc w:val="right"/>
            </w:pPr>
            <w:r>
              <w:rPr>
                <w:rFonts w:ascii="宋体" w:hAnsi="宋体" w:eastAsia="宋体" w:cs="宋体"/>
                <w:b w:val="0"/>
              </w:rPr>
              <w:t>4,502,163.68</w:t>
            </w:r>
          </w:p>
        </w:tc>
        <w:tc>
          <w:tcPr>
            <w:tcW w:w="0" w:type="dxa"/>
            <w:vAlign w:val="center"/>
          </w:tcPr>
          <w:p>
            <w:pPr>
              <w:spacing w:line="240" w:lineRule="auto"/>
              <w:jc w:val="right"/>
            </w:pPr>
            <w:r>
              <w:rPr>
                <w:rFonts w:ascii="宋体" w:hAnsi="宋体" w:eastAsia="宋体" w:cs="宋体"/>
                <w:b w:val="0"/>
              </w:rPr>
              <w:t>0.52%</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基金经理等人员</w:t>
            </w:r>
          </w:p>
        </w:tc>
        <w:tc>
          <w:tcPr>
            <w:tcW w:w="0" w:type="dxa"/>
            <w:vAlign w:val="center"/>
          </w:tcPr>
          <w:p>
            <w:pPr>
              <w:spacing w:line="240" w:lineRule="auto"/>
              <w:jc w:val="right"/>
            </w:pPr>
            <w:r>
              <w:rPr>
                <w:rFonts w:ascii="宋体" w:hAnsi="宋体" w:eastAsia="宋体" w:cs="宋体"/>
                <w:b w:val="0"/>
              </w:rPr>
              <w:t>509,448.23</w:t>
            </w:r>
          </w:p>
        </w:tc>
        <w:tc>
          <w:tcPr>
            <w:tcW w:w="0" w:type="dxa"/>
            <w:vAlign w:val="center"/>
          </w:tcPr>
          <w:p>
            <w:pPr>
              <w:spacing w:line="240" w:lineRule="auto"/>
              <w:jc w:val="right"/>
            </w:pPr>
            <w:r>
              <w:rPr>
                <w:rFonts w:ascii="宋体" w:hAnsi="宋体" w:eastAsia="宋体" w:cs="宋体"/>
                <w:b w:val="0"/>
              </w:rPr>
              <w:t>0.06%</w:t>
            </w:r>
          </w:p>
        </w:tc>
        <w:tc>
          <w:tcPr>
            <w:tcW w:w="0" w:type="dxa"/>
            <w:vAlign w:val="center"/>
          </w:tcPr>
          <w:p>
            <w:pPr>
              <w:spacing w:line="240" w:lineRule="auto"/>
              <w:jc w:val="right"/>
            </w:pPr>
            <w:r>
              <w:rPr>
                <w:rFonts w:ascii="宋体" w:hAnsi="宋体" w:eastAsia="宋体" w:cs="宋体"/>
                <w:b w:val="0"/>
              </w:rPr>
              <w:t>509,448.23</w:t>
            </w:r>
          </w:p>
        </w:tc>
        <w:tc>
          <w:tcPr>
            <w:tcW w:w="0" w:type="dxa"/>
            <w:vAlign w:val="center"/>
          </w:tcPr>
          <w:p>
            <w:pPr>
              <w:spacing w:line="240" w:lineRule="auto"/>
              <w:jc w:val="right"/>
            </w:pPr>
            <w:r>
              <w:rPr>
                <w:rFonts w:ascii="宋体" w:hAnsi="宋体" w:eastAsia="宋体" w:cs="宋体"/>
                <w:b w:val="0"/>
              </w:rPr>
              <w:t>0.06%</w:t>
            </w:r>
          </w:p>
        </w:tc>
        <w:tc>
          <w:tcPr>
            <w:tcW w:w="0" w:type="dxa"/>
            <w:vAlign w:val="center"/>
          </w:tcPr>
          <w:p>
            <w:pPr>
              <w:spacing w:line="240" w:lineRule="auto"/>
              <w:jc w:val="left"/>
            </w:pPr>
            <w:r>
              <w:rPr>
                <w:rFonts w:ascii="宋体" w:hAnsi="宋体" w:eastAsia="宋体" w:cs="宋体"/>
                <w:b w:val="0"/>
              </w:rPr>
              <w:t>自合同生效之日起不少于3年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基金管理人股东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lef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10,012,195.36</w:t>
            </w:r>
          </w:p>
        </w:tc>
        <w:tc>
          <w:tcPr>
            <w:tcW w:w="0" w:type="dxa"/>
            <w:vAlign w:val="center"/>
          </w:tcPr>
          <w:p>
            <w:pPr>
              <w:spacing w:line="240" w:lineRule="auto"/>
              <w:jc w:val="right"/>
            </w:pPr>
            <w:r>
              <w:rPr>
                <w:rFonts w:ascii="宋体" w:hAnsi="宋体" w:eastAsia="宋体" w:cs="宋体"/>
                <w:b w:val="0"/>
              </w:rPr>
              <w:t>1.16%</w:t>
            </w:r>
          </w:p>
        </w:tc>
        <w:tc>
          <w:tcPr>
            <w:tcW w:w="0" w:type="dxa"/>
            <w:vAlign w:val="center"/>
          </w:tcPr>
          <w:p>
            <w:pPr>
              <w:spacing w:line="240" w:lineRule="auto"/>
              <w:jc w:val="right"/>
            </w:pPr>
            <w:r>
              <w:rPr>
                <w:rFonts w:ascii="宋体" w:hAnsi="宋体" w:eastAsia="宋体" w:cs="宋体"/>
                <w:b w:val="0"/>
              </w:rPr>
              <w:t>10,012,195.36</w:t>
            </w:r>
          </w:p>
        </w:tc>
        <w:tc>
          <w:tcPr>
            <w:tcW w:w="0" w:type="dxa"/>
            <w:vAlign w:val="center"/>
          </w:tcPr>
          <w:p>
            <w:pPr>
              <w:spacing w:line="240" w:lineRule="auto"/>
              <w:jc w:val="right"/>
            </w:pPr>
            <w:r>
              <w:rPr>
                <w:rFonts w:ascii="宋体" w:hAnsi="宋体" w:eastAsia="宋体" w:cs="宋体"/>
                <w:b w:val="0"/>
              </w:rPr>
              <w:t>1.16%</w:t>
            </w:r>
          </w:p>
        </w:tc>
        <w:tc>
          <w:tcPr>
            <w:tcW w:w="0" w:type="dxa"/>
            <w:vAlign w:val="center"/>
          </w:tcPr>
          <w:p>
            <w:pPr>
              <w:spacing w:line="240" w:lineRule="auto"/>
              <w:jc w:val="left"/>
            </w:pPr>
            <w:r>
              <w:rPr>
                <w:rFonts w:ascii="宋体" w:hAnsi="宋体" w:eastAsia="宋体" w:cs="宋体"/>
                <w:b w:val="0"/>
              </w:rPr>
              <w:t>-</w:t>
            </w:r>
          </w:p>
        </w:tc>
      </w:tr>
    </w:tbl>
    <w:p>
      <w:pPr>
        <w:pStyle w:val="2"/>
        <w:jc w:val="center"/>
      </w:pPr>
      <w:r>
        <w:rPr>
          <w:rFonts w:ascii="宋体" w:hAnsi="宋体" w:eastAsia="宋体" w:cs="宋体"/>
        </w:rPr>
        <w:t>§9 影响投资者决策的其他重要信息</w:t>
      </w:r>
    </w:p>
    <w:p>
      <w:pPr>
        <w:pStyle w:val="3"/>
        <w:jc w:val="left"/>
      </w:pPr>
      <w:r>
        <w:rPr>
          <w:rFonts w:ascii="宋体" w:hAnsi="宋体" w:eastAsia="宋体" w:cs="宋体"/>
        </w:rPr>
        <w:t>9.1 报告期内单一投资者持有基金份额比例达到或超过20%的情况</w:t>
      </w:r>
    </w:p>
    <w:p>
      <w:r>
        <w:rPr>
          <w:rFonts w:ascii="宋体" w:hAnsi="宋体" w:eastAsia="宋体" w:cs="宋体"/>
          <w:b w:val="0"/>
        </w:rPr>
        <w:t xml:space="preserve">    本报告期内，本基金不存在单一投资者持有基金份额比例达到或超过20%的情况。</w:t>
      </w:r>
    </w:p>
    <w:p/>
    <w:p>
      <w:pPr>
        <w:pStyle w:val="3"/>
        <w:jc w:val="left"/>
      </w:pPr>
      <w:r>
        <w:rPr>
          <w:rFonts w:ascii="宋体" w:hAnsi="宋体" w:eastAsia="宋体" w:cs="宋体"/>
        </w:rPr>
        <w:t>9.2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§10 备查文件目录</w:t>
      </w:r>
    </w:p>
    <w:p>
      <w:pPr>
        <w:pStyle w:val="3"/>
        <w:jc w:val="left"/>
      </w:pPr>
      <w:r>
        <w:rPr>
          <w:rFonts w:ascii="宋体" w:hAnsi="宋体" w:eastAsia="宋体" w:cs="宋体"/>
        </w:rPr>
        <w:t>10.1 备查文件目录</w:t>
      </w:r>
    </w:p>
    <w:p>
      <w:r>
        <w:rPr>
          <w:rFonts w:ascii="宋体" w:hAnsi="宋体" w:eastAsia="宋体" w:cs="宋体"/>
          <w:b w:val="0"/>
        </w:rPr>
        <w:t xml:space="preserve">    1、中国证券监督管理委员会批准的东方阿尔法瑞享混合型发起式证券投资基金设立的文件；</w:t>
      </w:r>
      <w:r>
        <w:rPr>
          <w:rFonts w:ascii="宋体" w:hAnsi="宋体" w:eastAsia="宋体" w:cs="宋体"/>
          <w:b w:val="0"/>
        </w:rPr>
        <w:br w:type="textWrapping"/>
      </w:r>
      <w:r>
        <w:rPr>
          <w:rFonts w:ascii="宋体" w:hAnsi="宋体" w:eastAsia="宋体" w:cs="宋体"/>
          <w:b w:val="0"/>
        </w:rPr>
        <w:t xml:space="preserve">    2、《东方阿尔法瑞享混合型发起式证券投资基金基金合同》；</w:t>
      </w:r>
      <w:r>
        <w:rPr>
          <w:rFonts w:ascii="宋体" w:hAnsi="宋体" w:eastAsia="宋体" w:cs="宋体"/>
          <w:b w:val="0"/>
        </w:rPr>
        <w:br w:type="textWrapping"/>
      </w:r>
      <w:r>
        <w:rPr>
          <w:rFonts w:ascii="宋体" w:hAnsi="宋体" w:eastAsia="宋体" w:cs="宋体"/>
          <w:b w:val="0"/>
        </w:rPr>
        <w:t xml:space="preserve">    3、《东方阿尔法瑞享混合型发起式证券投资基金托管协议》；</w:t>
      </w:r>
      <w:r>
        <w:rPr>
          <w:rFonts w:ascii="宋体" w:hAnsi="宋体" w:eastAsia="宋体" w:cs="宋体"/>
          <w:b w:val="0"/>
        </w:rPr>
        <w:br w:type="textWrapping"/>
      </w:r>
      <w:r>
        <w:rPr>
          <w:rFonts w:ascii="宋体" w:hAnsi="宋体" w:eastAsia="宋体" w:cs="宋体"/>
          <w:b w:val="0"/>
        </w:rPr>
        <w:t xml:space="preserve">    4、《东方阿尔法瑞享混合型发起式证券投资基金招募说明书》（含更新）；</w:t>
      </w:r>
      <w:r>
        <w:rPr>
          <w:rFonts w:ascii="宋体" w:hAnsi="宋体" w:eastAsia="宋体" w:cs="宋体"/>
          <w:b w:val="0"/>
        </w:rPr>
        <w:br w:type="textWrapping"/>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10.2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10.3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br w:type="textWrapping"/>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br w:type="textWrapping"/>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二〇二六年七月二十日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东方阿尔法瑞享混合型发起式证券投资基金2026年第2季度报告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0A2339F"/>
    <w:rsid w:val="17FF4F08"/>
    <w:rsid w:val="2E717271"/>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2026-07-14T00:57:37Z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