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东方阿尔法医疗健康混合型发起式证券投资基金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2026年07月20日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本报告期自2026年04月01日起至2026年06月30日止。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东方阿尔法医疗健康混合发起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014841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2022年03月30日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134,456,179.81份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本基金采用自上而下与自下而上相结合的投资方法，以基本面分析为立足点，精选医疗健康相关行业证券，在科学严格管理风险的前提下，谋求基金资产的中长期稳健增值。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1、资产配置策略</w:t>
            </w:r>
            <w:r>
              <w:rPr>
                <w:rFonts w:ascii="宋体" w:hAnsi="宋体" w:eastAsia="宋体" w:cs="宋体"/>
                <w:b w:val="0"/>
              </w:rPr>
              <w:br w:type="textWrapping"/>
            </w:r>
            <w:r>
              <w:rPr>
                <w:rFonts w:ascii="宋体" w:hAnsi="宋体" w:eastAsia="宋体" w:cs="宋体"/>
                <w:b w:val="0"/>
              </w:rPr>
              <w:t>本基金通过定性与定量相结合的分析方法，对系统性风险以及可预见的未来时期内各大类资产的预期风险和预期收益率进行分析评估，制定本基金在各类资产之间的配置比例、调整原则和调整范围。</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本基金将通过系统和深入的基本面研究，专注于医疗健康产业投资，对行业发展进行密切跟踪，根据市场不同阶段充分把握各个子行业轮动带来的投资机会。</w:t>
            </w:r>
            <w:r>
              <w:rPr>
                <w:rFonts w:ascii="宋体" w:hAnsi="宋体" w:eastAsia="宋体" w:cs="宋体"/>
                <w:b w:val="0"/>
              </w:rPr>
              <w:br w:type="textWrapping"/>
            </w:r>
            <w:r>
              <w:rPr>
                <w:rFonts w:ascii="宋体" w:hAnsi="宋体" w:eastAsia="宋体" w:cs="宋体"/>
                <w:b w:val="0"/>
              </w:rPr>
              <w:t>3、港股通标的股票投资策略</w:t>
            </w:r>
            <w:r>
              <w:rPr>
                <w:rFonts w:ascii="宋体" w:hAnsi="宋体" w:eastAsia="宋体" w:cs="宋体"/>
                <w:b w:val="0"/>
              </w:rPr>
              <w:br w:type="textWrapping"/>
            </w:r>
            <w:r>
              <w:rPr>
                <w:rFonts w:ascii="宋体" w:hAnsi="宋体" w:eastAsia="宋体" w:cs="宋体"/>
                <w:b w:val="0"/>
              </w:rPr>
              <w:t>本基金从治理结构与管理层：良好的公司治理结构，优秀、诚信的公司管理层；行业集中度及行业地位：具备独特的核心竞争优势和定价能力；公司业绩表现：具备中长期持续增长的能力；与A股同类公司相比具有估值优势的公司等方面筛选港股通标的股票。</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本基金将采取较为积极的债券投资策略，通过利率预测分析、收益率曲线变动分析、债券信用分析、收益率利差分析等，研判各类属固定收益类资产的风险趋势与收益预期，精选个券进行投资。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本基金将重点关注可转债的转换价值、市场价值与其转换价值的比较、转换期限、公司经营业绩、公司当前股票价格、相关的赎回条件、回售条件等方面，以及通过对目标公司股票的投资价值分析和可交换债券的纯债部分价值分析综合开展投资决策。</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本基金以套期保值为目的，在风险可控的前提下，参与股指期货的投资。本基金还将运用股指期货来管理特殊情况下的流动性风险。</w:t>
            </w:r>
            <w:r>
              <w:rPr>
                <w:rFonts w:ascii="宋体" w:hAnsi="宋体" w:eastAsia="宋体" w:cs="宋体"/>
                <w:b w:val="0"/>
              </w:rPr>
              <w:br w:type="textWrapping"/>
            </w:r>
            <w:r>
              <w:rPr>
                <w:rFonts w:ascii="宋体" w:hAnsi="宋体" w:eastAsia="宋体" w:cs="宋体"/>
                <w:b w:val="0"/>
              </w:rPr>
              <w:t>8、融资业务的投资策略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9、国债期货的投资策略</w:t>
            </w:r>
            <w:r>
              <w:rPr>
                <w:rFonts w:ascii="宋体" w:hAnsi="宋体" w:eastAsia="宋体" w:cs="宋体"/>
                <w:b w:val="0"/>
              </w:rPr>
              <w:br w:type="textWrapping"/>
            </w:r>
            <w:r>
              <w:rPr>
                <w:rFonts w:ascii="宋体" w:hAnsi="宋体" w:eastAsia="宋体" w:cs="宋体"/>
                <w:b w:val="0"/>
              </w:rPr>
              <w:t>本基金以套期保值为目的，以回避市场风险，通过动态管理国债期货合约数量，以萃取相应债券组合的超额收益。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基金将投资包括资产抵押贷款支持证券(ABS)、住房抵押贷款支持证券(MBS)等在内的资产支持证券。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中证医药卫生指数收益率×60%+恒生医疗保健指数收益率×20%+中证综合债券指数收益率×20%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东方阿尔法医疗健康混合发起A</w:t>
            </w:r>
          </w:p>
        </w:tc>
        <w:tc>
          <w:tcPr>
            <w:tcW w:w="1500" w:type="pct"/>
            <w:vAlign w:val="center"/>
          </w:tcPr>
          <w:p>
            <w:pPr>
              <w:spacing w:line="240" w:lineRule="auto"/>
              <w:jc w:val="left"/>
            </w:pPr>
            <w:r>
              <w:rPr>
                <w:rFonts w:ascii="宋体" w:hAnsi="宋体" w:eastAsia="宋体" w:cs="宋体"/>
                <w:b w:val="0"/>
              </w:rPr>
              <w:t>东方阿尔法医疗健康混合发起C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014841</w:t>
            </w:r>
          </w:p>
        </w:tc>
        <w:tc>
          <w:tcPr>
            <w:tcW w:w="1500" w:type="pct"/>
            <w:vAlign w:val="center"/>
          </w:tcPr>
          <w:p>
            <w:pPr>
              <w:spacing w:line="240" w:lineRule="auto"/>
              <w:jc w:val="left"/>
            </w:pPr>
            <w:r>
              <w:rPr>
                <w:rFonts w:ascii="宋体" w:hAnsi="宋体" w:eastAsia="宋体" w:cs="宋体"/>
                <w:b w:val="0"/>
              </w:rPr>
              <w:t>014842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31,651,961.77份</w:t>
            </w:r>
          </w:p>
        </w:tc>
        <w:tc>
          <w:tcPr>
            <w:tcW w:w="1500" w:type="pct"/>
            <w:vAlign w:val="center"/>
          </w:tcPr>
          <w:p>
            <w:pPr>
              <w:spacing w:line="240" w:lineRule="auto"/>
              <w:jc w:val="left"/>
            </w:pPr>
            <w:r>
              <w:rPr>
                <w:rFonts w:ascii="宋体" w:hAnsi="宋体" w:eastAsia="宋体" w:cs="宋体"/>
                <w:b w:val="0"/>
              </w:rPr>
              <w:t>102,804,218.04份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报告期（2026年04月01日-2026年06月30日）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东方阿尔法医疗健康混合发起A</w:t>
            </w:r>
          </w:p>
        </w:tc>
        <w:tc>
          <w:tcPr>
            <w:tcW w:w="1500" w:type="pct"/>
            <w:shd w:val="clear" w:color="auto" w:fill="D9D9D9"/>
            <w:vAlign w:val="center"/>
          </w:tcPr>
          <w:p>
            <w:pPr>
              <w:spacing w:line="240" w:lineRule="auto"/>
              <w:jc w:val="center"/>
            </w:pPr>
            <w:r>
              <w:rPr>
                <w:rFonts w:ascii="宋体" w:hAnsi="宋体" w:eastAsia="宋体" w:cs="宋体"/>
                <w:b w:val="0"/>
              </w:rPr>
              <w:t>东方阿尔法医疗健康混合发起C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-2,042,728.14</w:t>
            </w:r>
          </w:p>
        </w:tc>
        <w:tc>
          <w:tcPr>
            <w:tcW w:w="1500" w:type="pct"/>
            <w:vAlign w:val="center"/>
          </w:tcPr>
          <w:p>
            <w:pPr>
              <w:spacing w:line="240" w:lineRule="auto"/>
              <w:jc w:val="right"/>
            </w:pPr>
            <w:r>
              <w:rPr>
                <w:rFonts w:ascii="宋体" w:hAnsi="宋体" w:eastAsia="宋体" w:cs="宋体"/>
                <w:b w:val="0"/>
              </w:rPr>
              <w:t>-6,213,456.06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-2,864,213.38</w:t>
            </w:r>
          </w:p>
        </w:tc>
        <w:tc>
          <w:tcPr>
            <w:tcW w:w="1500" w:type="pct"/>
            <w:vAlign w:val="center"/>
          </w:tcPr>
          <w:p>
            <w:pPr>
              <w:spacing w:line="240" w:lineRule="auto"/>
              <w:jc w:val="right"/>
            </w:pPr>
            <w:r>
              <w:rPr>
                <w:rFonts w:ascii="宋体" w:hAnsi="宋体" w:eastAsia="宋体" w:cs="宋体"/>
                <w:b w:val="0"/>
              </w:rPr>
              <w:t>-14,650,078.31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-0.0864</w:t>
            </w:r>
          </w:p>
        </w:tc>
        <w:tc>
          <w:tcPr>
            <w:tcW w:w="1500" w:type="pct"/>
            <w:vAlign w:val="center"/>
          </w:tcPr>
          <w:p>
            <w:pPr>
              <w:spacing w:line="240" w:lineRule="auto"/>
              <w:jc w:val="right"/>
            </w:pPr>
            <w:r>
              <w:rPr>
                <w:rFonts w:ascii="宋体" w:hAnsi="宋体" w:eastAsia="宋体" w:cs="宋体"/>
                <w:b w:val="0"/>
              </w:rPr>
              <w:t>-0.1312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31,877,887.11</w:t>
            </w:r>
          </w:p>
        </w:tc>
        <w:tc>
          <w:tcPr>
            <w:tcW w:w="1500" w:type="pct"/>
            <w:vAlign w:val="center"/>
          </w:tcPr>
          <w:p>
            <w:pPr>
              <w:spacing w:line="240" w:lineRule="auto"/>
              <w:jc w:val="right"/>
            </w:pPr>
            <w:r>
              <w:rPr>
                <w:rFonts w:ascii="宋体" w:hAnsi="宋体" w:eastAsia="宋体" w:cs="宋体"/>
                <w:b w:val="0"/>
              </w:rPr>
              <w:t>101,344,709.08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1.0071</w:t>
            </w:r>
          </w:p>
        </w:tc>
        <w:tc>
          <w:tcPr>
            <w:tcW w:w="1500" w:type="pct"/>
            <w:vAlign w:val="center"/>
          </w:tcPr>
          <w:p>
            <w:pPr>
              <w:spacing w:line="240" w:lineRule="auto"/>
              <w:jc w:val="right"/>
            </w:pPr>
            <w:r>
              <w:rPr>
                <w:rFonts w:ascii="宋体" w:hAnsi="宋体" w:eastAsia="宋体" w:cs="宋体"/>
                <w:b w:val="0"/>
              </w:rPr>
              <w:t>0.9858</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东方阿尔法医疗健康混合发起A净值表现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-9.40%</w:t>
            </w:r>
          </w:p>
        </w:tc>
        <w:tc>
          <w:tcPr>
            <w:tcW w:w="0" w:type="dxa"/>
            <w:vAlign w:val="center"/>
          </w:tcPr>
          <w:p>
            <w:pPr>
              <w:spacing w:line="240" w:lineRule="auto"/>
              <w:jc w:val="right"/>
            </w:pPr>
            <w:r>
              <w:rPr>
                <w:rFonts w:ascii="宋体" w:hAnsi="宋体" w:eastAsia="宋体" w:cs="宋体"/>
                <w:b w:val="0"/>
              </w:rPr>
              <w:t>2.48%</w:t>
            </w:r>
          </w:p>
        </w:tc>
        <w:tc>
          <w:tcPr>
            <w:tcW w:w="0" w:type="dxa"/>
            <w:vAlign w:val="center"/>
          </w:tcPr>
          <w:p>
            <w:pPr>
              <w:spacing w:line="240" w:lineRule="auto"/>
              <w:jc w:val="right"/>
            </w:pPr>
            <w:r>
              <w:rPr>
                <w:rFonts w:ascii="宋体" w:hAnsi="宋体" w:eastAsia="宋体" w:cs="宋体"/>
                <w:b w:val="0"/>
              </w:rPr>
              <w:t>-7.48%</w:t>
            </w:r>
          </w:p>
        </w:tc>
        <w:tc>
          <w:tcPr>
            <w:tcW w:w="0" w:type="dxa"/>
            <w:vAlign w:val="center"/>
          </w:tcPr>
          <w:p>
            <w:pPr>
              <w:spacing w:line="240" w:lineRule="auto"/>
              <w:jc w:val="right"/>
            </w:pPr>
            <w:r>
              <w:rPr>
                <w:rFonts w:ascii="宋体" w:hAnsi="宋体" w:eastAsia="宋体" w:cs="宋体"/>
                <w:b w:val="0"/>
              </w:rPr>
              <w:t>1.20%</w:t>
            </w:r>
          </w:p>
        </w:tc>
        <w:tc>
          <w:tcPr>
            <w:tcW w:w="0" w:type="dxa"/>
            <w:vAlign w:val="center"/>
          </w:tcPr>
          <w:p>
            <w:pPr>
              <w:spacing w:line="240" w:lineRule="auto"/>
              <w:jc w:val="right"/>
            </w:pPr>
            <w:r>
              <w:rPr>
                <w:rFonts w:ascii="宋体" w:hAnsi="宋体" w:eastAsia="宋体" w:cs="宋体"/>
                <w:b w:val="0"/>
              </w:rPr>
              <w:t>-1.92%</w:t>
            </w:r>
          </w:p>
        </w:tc>
        <w:tc>
          <w:tcPr>
            <w:tcW w:w="0" w:type="dxa"/>
            <w:vAlign w:val="center"/>
          </w:tcPr>
          <w:p>
            <w:pPr>
              <w:spacing w:line="240" w:lineRule="auto"/>
              <w:jc w:val="right"/>
            </w:pPr>
            <w:r>
              <w:rPr>
                <w:rFonts w:ascii="宋体" w:hAnsi="宋体" w:eastAsia="宋体" w:cs="宋体"/>
                <w:b w:val="0"/>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-8.00%</w:t>
            </w:r>
          </w:p>
        </w:tc>
        <w:tc>
          <w:tcPr>
            <w:tcW w:w="0" w:type="dxa"/>
            <w:vAlign w:val="center"/>
          </w:tcPr>
          <w:p>
            <w:pPr>
              <w:spacing w:line="240" w:lineRule="auto"/>
              <w:jc w:val="right"/>
            </w:pPr>
            <w:r>
              <w:rPr>
                <w:rFonts w:ascii="宋体" w:hAnsi="宋体" w:eastAsia="宋体" w:cs="宋体"/>
                <w:b w:val="0"/>
              </w:rPr>
              <w:t>2.53%</w:t>
            </w:r>
          </w:p>
        </w:tc>
        <w:tc>
          <w:tcPr>
            <w:tcW w:w="0" w:type="dxa"/>
            <w:vAlign w:val="center"/>
          </w:tcPr>
          <w:p>
            <w:pPr>
              <w:spacing w:line="240" w:lineRule="auto"/>
              <w:jc w:val="right"/>
            </w:pPr>
            <w:r>
              <w:rPr>
                <w:rFonts w:ascii="宋体" w:hAnsi="宋体" w:eastAsia="宋体" w:cs="宋体"/>
                <w:b w:val="0"/>
              </w:rPr>
              <w:t>-8.39%</w:t>
            </w:r>
          </w:p>
        </w:tc>
        <w:tc>
          <w:tcPr>
            <w:tcW w:w="0" w:type="dxa"/>
            <w:vAlign w:val="center"/>
          </w:tcPr>
          <w:p>
            <w:pPr>
              <w:spacing w:line="240" w:lineRule="auto"/>
              <w:jc w:val="right"/>
            </w:pPr>
            <w:r>
              <w:rPr>
                <w:rFonts w:ascii="宋体" w:hAnsi="宋体" w:eastAsia="宋体" w:cs="宋体"/>
                <w:b w:val="0"/>
              </w:rPr>
              <w:t>1.20%</w:t>
            </w:r>
          </w:p>
        </w:tc>
        <w:tc>
          <w:tcPr>
            <w:tcW w:w="0" w:type="dxa"/>
            <w:vAlign w:val="center"/>
          </w:tcPr>
          <w:p>
            <w:pPr>
              <w:spacing w:line="240" w:lineRule="auto"/>
              <w:jc w:val="right"/>
            </w:pPr>
            <w:r>
              <w:rPr>
                <w:rFonts w:ascii="宋体" w:hAnsi="宋体" w:eastAsia="宋体" w:cs="宋体"/>
                <w:b w:val="0"/>
              </w:rPr>
              <w:t>0.39%</w:t>
            </w:r>
          </w:p>
        </w:tc>
        <w:tc>
          <w:tcPr>
            <w:tcW w:w="0" w:type="dxa"/>
            <w:vAlign w:val="center"/>
          </w:tcPr>
          <w:p>
            <w:pPr>
              <w:spacing w:line="240" w:lineRule="auto"/>
              <w:jc w:val="right"/>
            </w:pPr>
            <w:r>
              <w:rPr>
                <w:rFonts w:ascii="宋体" w:hAnsi="宋体" w:eastAsia="宋体" w:cs="宋体"/>
                <w:b w:val="0"/>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-6.73%</w:t>
            </w:r>
          </w:p>
        </w:tc>
        <w:tc>
          <w:tcPr>
            <w:tcW w:w="0" w:type="dxa"/>
            <w:vAlign w:val="center"/>
          </w:tcPr>
          <w:p>
            <w:pPr>
              <w:spacing w:line="240" w:lineRule="auto"/>
              <w:jc w:val="right"/>
            </w:pPr>
            <w:r>
              <w:rPr>
                <w:rFonts w:ascii="宋体" w:hAnsi="宋体" w:eastAsia="宋体" w:cs="宋体"/>
                <w:b w:val="0"/>
              </w:rPr>
              <w:t>2.33%</w:t>
            </w:r>
          </w:p>
        </w:tc>
        <w:tc>
          <w:tcPr>
            <w:tcW w:w="0" w:type="dxa"/>
            <w:vAlign w:val="center"/>
          </w:tcPr>
          <w:p>
            <w:pPr>
              <w:spacing w:line="240" w:lineRule="auto"/>
              <w:jc w:val="right"/>
            </w:pPr>
            <w:r>
              <w:rPr>
                <w:rFonts w:ascii="宋体" w:hAnsi="宋体" w:eastAsia="宋体" w:cs="宋体"/>
                <w:b w:val="0"/>
              </w:rPr>
              <w:t>-6.11%</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-0.62%</w:t>
            </w:r>
          </w:p>
        </w:tc>
        <w:tc>
          <w:tcPr>
            <w:tcW w:w="0" w:type="dxa"/>
            <w:vAlign w:val="center"/>
          </w:tcPr>
          <w:p>
            <w:pPr>
              <w:spacing w:line="240" w:lineRule="auto"/>
              <w:jc w:val="right"/>
            </w:pPr>
            <w:r>
              <w:rPr>
                <w:rFonts w:ascii="宋体" w:hAnsi="宋体" w:eastAsia="宋体" w:cs="宋体"/>
                <w:b w:val="0"/>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-4.32%</w:t>
            </w:r>
          </w:p>
        </w:tc>
        <w:tc>
          <w:tcPr>
            <w:tcW w:w="0" w:type="dxa"/>
            <w:vAlign w:val="center"/>
          </w:tcPr>
          <w:p>
            <w:pPr>
              <w:spacing w:line="240" w:lineRule="auto"/>
              <w:jc w:val="right"/>
            </w:pPr>
            <w:r>
              <w:rPr>
                <w:rFonts w:ascii="宋体" w:hAnsi="宋体" w:eastAsia="宋体" w:cs="宋体"/>
                <w:b w:val="0"/>
              </w:rPr>
              <w:t>1.93%</w:t>
            </w:r>
          </w:p>
        </w:tc>
        <w:tc>
          <w:tcPr>
            <w:tcW w:w="0" w:type="dxa"/>
            <w:vAlign w:val="center"/>
          </w:tcPr>
          <w:p>
            <w:pPr>
              <w:spacing w:line="240" w:lineRule="auto"/>
              <w:jc w:val="right"/>
            </w:pPr>
            <w:r>
              <w:rPr>
                <w:rFonts w:ascii="宋体" w:hAnsi="宋体" w:eastAsia="宋体" w:cs="宋体"/>
                <w:b w:val="0"/>
              </w:rPr>
              <w:t>-9.25%</w:t>
            </w:r>
          </w:p>
        </w:tc>
        <w:tc>
          <w:tcPr>
            <w:tcW w:w="0" w:type="dxa"/>
            <w:vAlign w:val="center"/>
          </w:tcPr>
          <w:p>
            <w:pPr>
              <w:spacing w:line="240" w:lineRule="auto"/>
              <w:jc w:val="right"/>
            </w:pPr>
            <w:r>
              <w:rPr>
                <w:rFonts w:ascii="宋体" w:hAnsi="宋体" w:eastAsia="宋体" w:cs="宋体"/>
                <w:b w:val="0"/>
              </w:rPr>
              <w:t>1.21%</w:t>
            </w:r>
          </w:p>
        </w:tc>
        <w:tc>
          <w:tcPr>
            <w:tcW w:w="0" w:type="dxa"/>
            <w:vAlign w:val="center"/>
          </w:tcPr>
          <w:p>
            <w:pPr>
              <w:spacing w:line="240" w:lineRule="auto"/>
              <w:jc w:val="right"/>
            </w:pPr>
            <w:r>
              <w:rPr>
                <w:rFonts w:ascii="宋体" w:hAnsi="宋体" w:eastAsia="宋体" w:cs="宋体"/>
                <w:b w:val="0"/>
              </w:rPr>
              <w:t>4.93%</w:t>
            </w:r>
          </w:p>
        </w:tc>
        <w:tc>
          <w:tcPr>
            <w:tcW w:w="0" w:type="dxa"/>
            <w:vAlign w:val="center"/>
          </w:tcPr>
          <w:p>
            <w:pPr>
              <w:spacing w:line="240" w:lineRule="auto"/>
              <w:jc w:val="right"/>
            </w:pPr>
            <w:r>
              <w:rPr>
                <w:rFonts w:ascii="宋体" w:hAnsi="宋体" w:eastAsia="宋体" w:cs="宋体"/>
                <w:b w:val="0"/>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0.71%</w:t>
            </w:r>
          </w:p>
        </w:tc>
        <w:tc>
          <w:tcPr>
            <w:tcW w:w="0" w:type="dxa"/>
            <w:vAlign w:val="center"/>
          </w:tcPr>
          <w:p>
            <w:pPr>
              <w:spacing w:line="240" w:lineRule="auto"/>
              <w:jc w:val="right"/>
            </w:pPr>
            <w:r>
              <w:rPr>
                <w:rFonts w:ascii="宋体" w:hAnsi="宋体" w:eastAsia="宋体" w:cs="宋体"/>
                <w:b w:val="0"/>
              </w:rPr>
              <w:t>1.78%</w:t>
            </w:r>
          </w:p>
        </w:tc>
        <w:tc>
          <w:tcPr>
            <w:tcW w:w="0" w:type="dxa"/>
            <w:vAlign w:val="center"/>
          </w:tcPr>
          <w:p>
            <w:pPr>
              <w:spacing w:line="240" w:lineRule="auto"/>
              <w:jc w:val="right"/>
            </w:pPr>
            <w:r>
              <w:rPr>
                <w:rFonts w:ascii="宋体" w:hAnsi="宋体" w:eastAsia="宋体" w:cs="宋体"/>
                <w:b w:val="0"/>
              </w:rPr>
              <w:t>-18.31%</w:t>
            </w:r>
          </w:p>
        </w:tc>
        <w:tc>
          <w:tcPr>
            <w:tcW w:w="0" w:type="dxa"/>
            <w:vAlign w:val="center"/>
          </w:tcPr>
          <w:p>
            <w:pPr>
              <w:spacing w:line="240" w:lineRule="auto"/>
              <w:jc w:val="right"/>
            </w:pPr>
            <w:r>
              <w:rPr>
                <w:rFonts w:ascii="宋体" w:hAnsi="宋体" w:eastAsia="宋体" w:cs="宋体"/>
                <w:b w:val="0"/>
              </w:rPr>
              <w:t>1.23%</w:t>
            </w:r>
          </w:p>
        </w:tc>
        <w:tc>
          <w:tcPr>
            <w:tcW w:w="0" w:type="dxa"/>
            <w:vAlign w:val="center"/>
          </w:tcPr>
          <w:p>
            <w:pPr>
              <w:spacing w:line="240" w:lineRule="auto"/>
              <w:jc w:val="right"/>
            </w:pPr>
            <w:r>
              <w:rPr>
                <w:rFonts w:ascii="宋体" w:hAnsi="宋体" w:eastAsia="宋体" w:cs="宋体"/>
                <w:b w:val="0"/>
              </w:rPr>
              <w:t>19.02%</w:t>
            </w:r>
          </w:p>
        </w:tc>
        <w:tc>
          <w:tcPr>
            <w:tcW w:w="0" w:type="dxa"/>
            <w:vAlign w:val="center"/>
          </w:tcPr>
          <w:p>
            <w:pPr>
              <w:spacing w:line="240" w:lineRule="auto"/>
              <w:jc w:val="right"/>
            </w:pPr>
            <w:r>
              <w:rPr>
                <w:rFonts w:ascii="宋体" w:hAnsi="宋体" w:eastAsia="宋体" w:cs="宋体"/>
                <w:b w:val="0"/>
              </w:rPr>
              <w:t>0.55%</w:t>
            </w:r>
          </w:p>
        </w:tc>
      </w:tr>
    </w:tbl>
    <w:p>
      <w:pPr>
        <w:jc w:val="left"/>
      </w:pPr>
      <w:r>
        <w:rPr>
          <w:rFonts w:ascii="宋体" w:hAnsi="宋体" w:eastAsia="宋体" w:cs="宋体"/>
          <w:b/>
        </w:rPr>
        <w:t>东方阿尔法医疗健康混合发起C净值表现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-9.54%</w:t>
            </w:r>
          </w:p>
        </w:tc>
        <w:tc>
          <w:tcPr>
            <w:tcW w:w="0" w:type="dxa"/>
            <w:vAlign w:val="center"/>
          </w:tcPr>
          <w:p>
            <w:pPr>
              <w:spacing w:line="240" w:lineRule="auto"/>
              <w:jc w:val="right"/>
            </w:pPr>
            <w:r>
              <w:rPr>
                <w:rFonts w:ascii="宋体" w:hAnsi="宋体" w:eastAsia="宋体" w:cs="宋体"/>
                <w:b w:val="0"/>
              </w:rPr>
              <w:t>2.48%</w:t>
            </w:r>
          </w:p>
        </w:tc>
        <w:tc>
          <w:tcPr>
            <w:tcW w:w="0" w:type="dxa"/>
            <w:vAlign w:val="center"/>
          </w:tcPr>
          <w:p>
            <w:pPr>
              <w:spacing w:line="240" w:lineRule="auto"/>
              <w:jc w:val="right"/>
            </w:pPr>
            <w:r>
              <w:rPr>
                <w:rFonts w:ascii="宋体" w:hAnsi="宋体" w:eastAsia="宋体" w:cs="宋体"/>
                <w:b w:val="0"/>
              </w:rPr>
              <w:t>-7.48%</w:t>
            </w:r>
          </w:p>
        </w:tc>
        <w:tc>
          <w:tcPr>
            <w:tcW w:w="0" w:type="dxa"/>
            <w:vAlign w:val="center"/>
          </w:tcPr>
          <w:p>
            <w:pPr>
              <w:spacing w:line="240" w:lineRule="auto"/>
              <w:jc w:val="right"/>
            </w:pPr>
            <w:r>
              <w:rPr>
                <w:rFonts w:ascii="宋体" w:hAnsi="宋体" w:eastAsia="宋体" w:cs="宋体"/>
                <w:b w:val="0"/>
              </w:rPr>
              <w:t>1.20%</w:t>
            </w:r>
          </w:p>
        </w:tc>
        <w:tc>
          <w:tcPr>
            <w:tcW w:w="0" w:type="dxa"/>
            <w:vAlign w:val="center"/>
          </w:tcPr>
          <w:p>
            <w:pPr>
              <w:spacing w:line="240" w:lineRule="auto"/>
              <w:jc w:val="right"/>
            </w:pPr>
            <w:r>
              <w:rPr>
                <w:rFonts w:ascii="宋体" w:hAnsi="宋体" w:eastAsia="宋体" w:cs="宋体"/>
                <w:b w:val="0"/>
              </w:rPr>
              <w:t>-2.06%</w:t>
            </w:r>
          </w:p>
        </w:tc>
        <w:tc>
          <w:tcPr>
            <w:tcW w:w="0" w:type="dxa"/>
            <w:vAlign w:val="center"/>
          </w:tcPr>
          <w:p>
            <w:pPr>
              <w:spacing w:line="240" w:lineRule="auto"/>
              <w:jc w:val="right"/>
            </w:pPr>
            <w:r>
              <w:rPr>
                <w:rFonts w:ascii="宋体" w:hAnsi="宋体" w:eastAsia="宋体" w:cs="宋体"/>
                <w:b w:val="0"/>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-8.26%</w:t>
            </w:r>
          </w:p>
        </w:tc>
        <w:tc>
          <w:tcPr>
            <w:tcW w:w="0" w:type="dxa"/>
            <w:vAlign w:val="center"/>
          </w:tcPr>
          <w:p>
            <w:pPr>
              <w:spacing w:line="240" w:lineRule="auto"/>
              <w:jc w:val="right"/>
            </w:pPr>
            <w:r>
              <w:rPr>
                <w:rFonts w:ascii="宋体" w:hAnsi="宋体" w:eastAsia="宋体" w:cs="宋体"/>
                <w:b w:val="0"/>
              </w:rPr>
              <w:t>2.53%</w:t>
            </w:r>
          </w:p>
        </w:tc>
        <w:tc>
          <w:tcPr>
            <w:tcW w:w="0" w:type="dxa"/>
            <w:vAlign w:val="center"/>
          </w:tcPr>
          <w:p>
            <w:pPr>
              <w:spacing w:line="240" w:lineRule="auto"/>
              <w:jc w:val="right"/>
            </w:pPr>
            <w:r>
              <w:rPr>
                <w:rFonts w:ascii="宋体" w:hAnsi="宋体" w:eastAsia="宋体" w:cs="宋体"/>
                <w:b w:val="0"/>
              </w:rPr>
              <w:t>-8.39%</w:t>
            </w:r>
          </w:p>
        </w:tc>
        <w:tc>
          <w:tcPr>
            <w:tcW w:w="0" w:type="dxa"/>
            <w:vAlign w:val="center"/>
          </w:tcPr>
          <w:p>
            <w:pPr>
              <w:spacing w:line="240" w:lineRule="auto"/>
              <w:jc w:val="right"/>
            </w:pPr>
            <w:r>
              <w:rPr>
                <w:rFonts w:ascii="宋体" w:hAnsi="宋体" w:eastAsia="宋体" w:cs="宋体"/>
                <w:b w:val="0"/>
              </w:rPr>
              <w:t>1.20%</w:t>
            </w:r>
          </w:p>
        </w:tc>
        <w:tc>
          <w:tcPr>
            <w:tcW w:w="0" w:type="dxa"/>
            <w:vAlign w:val="center"/>
          </w:tcPr>
          <w:p>
            <w:pPr>
              <w:spacing w:line="240" w:lineRule="auto"/>
              <w:jc w:val="right"/>
            </w:pPr>
            <w:r>
              <w:rPr>
                <w:rFonts w:ascii="宋体" w:hAnsi="宋体" w:eastAsia="宋体" w:cs="宋体"/>
                <w:b w:val="0"/>
              </w:rPr>
              <w:t>0.13%</w:t>
            </w:r>
          </w:p>
        </w:tc>
        <w:tc>
          <w:tcPr>
            <w:tcW w:w="0" w:type="dxa"/>
            <w:vAlign w:val="center"/>
          </w:tcPr>
          <w:p>
            <w:pPr>
              <w:spacing w:line="240" w:lineRule="auto"/>
              <w:jc w:val="right"/>
            </w:pPr>
            <w:r>
              <w:rPr>
                <w:rFonts w:ascii="宋体" w:hAnsi="宋体" w:eastAsia="宋体" w:cs="宋体"/>
                <w:b w:val="0"/>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-7.21%</w:t>
            </w:r>
          </w:p>
        </w:tc>
        <w:tc>
          <w:tcPr>
            <w:tcW w:w="0" w:type="dxa"/>
            <w:vAlign w:val="center"/>
          </w:tcPr>
          <w:p>
            <w:pPr>
              <w:spacing w:line="240" w:lineRule="auto"/>
              <w:jc w:val="right"/>
            </w:pPr>
            <w:r>
              <w:rPr>
                <w:rFonts w:ascii="宋体" w:hAnsi="宋体" w:eastAsia="宋体" w:cs="宋体"/>
                <w:b w:val="0"/>
              </w:rPr>
              <w:t>2.33%</w:t>
            </w:r>
          </w:p>
        </w:tc>
        <w:tc>
          <w:tcPr>
            <w:tcW w:w="0" w:type="dxa"/>
            <w:vAlign w:val="center"/>
          </w:tcPr>
          <w:p>
            <w:pPr>
              <w:spacing w:line="240" w:lineRule="auto"/>
              <w:jc w:val="right"/>
            </w:pPr>
            <w:r>
              <w:rPr>
                <w:rFonts w:ascii="宋体" w:hAnsi="宋体" w:eastAsia="宋体" w:cs="宋体"/>
                <w:b w:val="0"/>
              </w:rPr>
              <w:t>-6.11%</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-1.10%</w:t>
            </w:r>
          </w:p>
        </w:tc>
        <w:tc>
          <w:tcPr>
            <w:tcW w:w="0" w:type="dxa"/>
            <w:vAlign w:val="center"/>
          </w:tcPr>
          <w:p>
            <w:pPr>
              <w:spacing w:line="240" w:lineRule="auto"/>
              <w:jc w:val="right"/>
            </w:pPr>
            <w:r>
              <w:rPr>
                <w:rFonts w:ascii="宋体" w:hAnsi="宋体" w:eastAsia="宋体" w:cs="宋体"/>
                <w:b w:val="0"/>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-5.76%</w:t>
            </w:r>
          </w:p>
        </w:tc>
        <w:tc>
          <w:tcPr>
            <w:tcW w:w="0" w:type="dxa"/>
            <w:vAlign w:val="center"/>
          </w:tcPr>
          <w:p>
            <w:pPr>
              <w:spacing w:line="240" w:lineRule="auto"/>
              <w:jc w:val="right"/>
            </w:pPr>
            <w:r>
              <w:rPr>
                <w:rFonts w:ascii="宋体" w:hAnsi="宋体" w:eastAsia="宋体" w:cs="宋体"/>
                <w:b w:val="0"/>
              </w:rPr>
              <w:t>1.93%</w:t>
            </w:r>
          </w:p>
        </w:tc>
        <w:tc>
          <w:tcPr>
            <w:tcW w:w="0" w:type="dxa"/>
            <w:vAlign w:val="center"/>
          </w:tcPr>
          <w:p>
            <w:pPr>
              <w:spacing w:line="240" w:lineRule="auto"/>
              <w:jc w:val="right"/>
            </w:pPr>
            <w:r>
              <w:rPr>
                <w:rFonts w:ascii="宋体" w:hAnsi="宋体" w:eastAsia="宋体" w:cs="宋体"/>
                <w:b w:val="0"/>
              </w:rPr>
              <w:t>-9.25%</w:t>
            </w:r>
          </w:p>
        </w:tc>
        <w:tc>
          <w:tcPr>
            <w:tcW w:w="0" w:type="dxa"/>
            <w:vAlign w:val="center"/>
          </w:tcPr>
          <w:p>
            <w:pPr>
              <w:spacing w:line="240" w:lineRule="auto"/>
              <w:jc w:val="right"/>
            </w:pPr>
            <w:r>
              <w:rPr>
                <w:rFonts w:ascii="宋体" w:hAnsi="宋体" w:eastAsia="宋体" w:cs="宋体"/>
                <w:b w:val="0"/>
              </w:rPr>
              <w:t>1.21%</w:t>
            </w:r>
          </w:p>
        </w:tc>
        <w:tc>
          <w:tcPr>
            <w:tcW w:w="0" w:type="dxa"/>
            <w:vAlign w:val="center"/>
          </w:tcPr>
          <w:p>
            <w:pPr>
              <w:spacing w:line="240" w:lineRule="auto"/>
              <w:jc w:val="right"/>
            </w:pPr>
            <w:r>
              <w:rPr>
                <w:rFonts w:ascii="宋体" w:hAnsi="宋体" w:eastAsia="宋体" w:cs="宋体"/>
                <w:b w:val="0"/>
              </w:rPr>
              <w:t>3.49%</w:t>
            </w:r>
          </w:p>
        </w:tc>
        <w:tc>
          <w:tcPr>
            <w:tcW w:w="0" w:type="dxa"/>
            <w:vAlign w:val="center"/>
          </w:tcPr>
          <w:p>
            <w:pPr>
              <w:spacing w:line="240" w:lineRule="auto"/>
              <w:jc w:val="right"/>
            </w:pPr>
            <w:r>
              <w:rPr>
                <w:rFonts w:ascii="宋体" w:hAnsi="宋体" w:eastAsia="宋体" w:cs="宋体"/>
                <w:b w:val="0"/>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-1.42%</w:t>
            </w:r>
          </w:p>
        </w:tc>
        <w:tc>
          <w:tcPr>
            <w:tcW w:w="0" w:type="dxa"/>
            <w:vAlign w:val="center"/>
          </w:tcPr>
          <w:p>
            <w:pPr>
              <w:spacing w:line="240" w:lineRule="auto"/>
              <w:jc w:val="right"/>
            </w:pPr>
            <w:r>
              <w:rPr>
                <w:rFonts w:ascii="宋体" w:hAnsi="宋体" w:eastAsia="宋体" w:cs="宋体"/>
                <w:b w:val="0"/>
              </w:rPr>
              <w:t>1.78%</w:t>
            </w:r>
          </w:p>
        </w:tc>
        <w:tc>
          <w:tcPr>
            <w:tcW w:w="0" w:type="dxa"/>
            <w:vAlign w:val="center"/>
          </w:tcPr>
          <w:p>
            <w:pPr>
              <w:spacing w:line="240" w:lineRule="auto"/>
              <w:jc w:val="right"/>
            </w:pPr>
            <w:r>
              <w:rPr>
                <w:rFonts w:ascii="宋体" w:hAnsi="宋体" w:eastAsia="宋体" w:cs="宋体"/>
                <w:b w:val="0"/>
              </w:rPr>
              <w:t>-18.31%</w:t>
            </w:r>
          </w:p>
        </w:tc>
        <w:tc>
          <w:tcPr>
            <w:tcW w:w="0" w:type="dxa"/>
            <w:vAlign w:val="center"/>
          </w:tcPr>
          <w:p>
            <w:pPr>
              <w:spacing w:line="240" w:lineRule="auto"/>
              <w:jc w:val="right"/>
            </w:pPr>
            <w:r>
              <w:rPr>
                <w:rFonts w:ascii="宋体" w:hAnsi="宋体" w:eastAsia="宋体" w:cs="宋体"/>
                <w:b w:val="0"/>
              </w:rPr>
              <w:t>1.23%</w:t>
            </w:r>
          </w:p>
        </w:tc>
        <w:tc>
          <w:tcPr>
            <w:tcW w:w="0" w:type="dxa"/>
            <w:vAlign w:val="center"/>
          </w:tcPr>
          <w:p>
            <w:pPr>
              <w:spacing w:line="240" w:lineRule="auto"/>
              <w:jc w:val="right"/>
            </w:pPr>
            <w:r>
              <w:rPr>
                <w:rFonts w:ascii="宋体" w:hAnsi="宋体" w:eastAsia="宋体" w:cs="宋体"/>
                <w:b w:val="0"/>
              </w:rPr>
              <w:t>16.89%</w:t>
            </w:r>
          </w:p>
        </w:tc>
        <w:tc>
          <w:tcPr>
            <w:tcW w:w="0" w:type="dxa"/>
            <w:vAlign w:val="center"/>
          </w:tcPr>
          <w:p>
            <w:pPr>
              <w:spacing w:line="240" w:lineRule="auto"/>
              <w:jc w:val="right"/>
            </w:pPr>
            <w:r>
              <w:rPr>
                <w:rFonts w:ascii="宋体" w:hAnsi="宋体" w:eastAsia="宋体" w:cs="宋体"/>
                <w:b w:val="0"/>
              </w:rPr>
              <w:t>0.55%</w:t>
            </w:r>
          </w:p>
        </w:tc>
      </w:tr>
    </w:tbl>
    <w:p>
      <w:r>
        <w:rPr>
          <w:rFonts w:ascii="宋体" w:hAnsi="宋体" w:eastAsia="宋体" w:cs="宋体"/>
          <w:b w:val="0"/>
        </w:rPr>
        <w:t>注：本基金业绩比较基准为：中证医药卫生指数收益率×60%+恒生医疗保健指数收益率×20%+中证综合债券指数收益率×20%。</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孟昱</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2023-11-29</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6年</w:t>
            </w:r>
          </w:p>
        </w:tc>
        <w:tc>
          <w:tcPr>
            <w:tcW w:w="0" w:type="dxa"/>
            <w:vAlign w:val="center"/>
          </w:tcPr>
          <w:p>
            <w:pPr>
              <w:spacing w:line="240" w:lineRule="auto"/>
              <w:jc w:val="left"/>
            </w:pPr>
            <w:r>
              <w:rPr>
                <w:rFonts w:ascii="宋体" w:hAnsi="宋体" w:eastAsia="宋体" w:cs="宋体"/>
                <w:b w:val="0"/>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2026年二季度A股、港股医药及创新药指数走出先抑后扬的V型走势，板块整体显著跑输 AI、算力等硬科技主线。其中中证创新药产业指数、恒生生物科技指数季度前两月持续承压，直至6月下旬依托医保政策催化迎来大幅修复，A、H两地市场表现分化明显；港股创新药无涨跌幅限制，且南向交易型资金占比更高，资金轮动阶段涨跌弹性显著高于A股创新药。从行情驱动逻辑看，产业政策边际改善、创新药出海BD交易放量、板块历经长期深度调整后估值处于历史低位，是本轮行情修复的基本面支撑，但贯穿本季度板块波动的核心因素，是创新药作为硬科技流动性“血包”形成的跷跷板资金轮动机制。创新药与 AI、半导体同属研发驱动、高波动、长久期成长资产，共用同一风险偏好资金池；二季度4至5月科技主线持续上行，高位科技板块持续虹吸公募、两融、量化资金，创新药板块被动持续失血走弱。6月中旬高位科技板块迎来获利兑现压力，高低估值切换逻辑逐步显现，叠加医保初审落地带来情绪提振，从科技板块流出的流动性大规模回流至估值具备安全边际的创新药板块，完整演绎 “科技抽血 — 低位承接回血”的血包行情，国内宽松宏观流动性与海外降息预期进一步放大了板块内部资金再分配行情。从基金投资维度来看，本季度创新药行情本质为硬科技板块内部轮动行情；后续若AI、算力等科技主线维持高拥挤度，创新药仍将作为高低估值切换的核心承接板块，存在波段交易机会；若创新药板块持续兑现商业化业绩、落地多项海外授权，则有望逐步摆脱单纯的 “血包”交易属性，走出独立基本面驱动行情。</w:t>
      </w:r>
      <w:r>
        <w:rPr>
          <w:rFonts w:ascii="宋体" w:hAnsi="宋体" w:eastAsia="宋体" w:cs="宋体"/>
          <w:b w:val="0"/>
        </w:rPr>
        <w:br w:type="textWrapping"/>
      </w:r>
      <w:r>
        <w:rPr>
          <w:rFonts w:ascii="宋体" w:hAnsi="宋体" w:eastAsia="宋体" w:cs="宋体"/>
          <w:b w:val="0"/>
        </w:rPr>
        <w:t xml:space="preserve">    本基金当前核心配置创新药、CXO、出海医疗器械三大医药细分赛道，三者分别对应医药产业 IP 出海、产能出海、产品出海三条全球化核心路径，亦是医药板块突破国内增长瓶颈、分享全球产业红利、获取超额收益的核心主线。国内传统医药板块长期受医保控费、集采降价、院内市场竞争内卷等因素约束，盈利空间与估值弹性持续承压，增长确定性偏弱；而创新药、CXO、高端出海器械依托国内完整生物医药产业链、优质人才储备与成熟制造体系，深度嵌入全球医药产业分工，完成从国内同质化竞争到参与全球价值分配的转变，成长属性与盈利韧性具备显著优势。</w:t>
      </w:r>
      <w:r>
        <w:rPr>
          <w:rFonts w:ascii="宋体" w:hAnsi="宋体" w:eastAsia="宋体" w:cs="宋体"/>
          <w:b w:val="0"/>
        </w:rPr>
        <w:br w:type="textWrapping"/>
      </w:r>
      <w:r>
        <w:rPr>
          <w:rFonts w:ascii="宋体" w:hAnsi="宋体" w:eastAsia="宋体" w:cs="宋体"/>
          <w:b w:val="0"/>
        </w:rPr>
        <w:t xml:space="preserve">    细分来看，创新药板块核心兑现IP出海价值，2026年上半年国内创新药海外授权（License-out）累计达成86笔交易，披露潜在总交易规模976.25亿美元，同比增长40%，交易规模接近2024年全年两倍；行业增长由百亿级多管线打包合作支撑，石药、恒瑞、信达三笔重磅交易潜在对价合计超440亿美元，大额交易贡献行业九成以上交易额，项目首付款规模同步大幅提升。全球跨国药企持续批量引进国产肿瘤、多肽、双抗、ADC 等创新管线，印证本土源头创新资产的全球竞争力，IP出海已成为创新药板块摆脱国内政策约束、释放长期盈利弹性的核心路径。</w:t>
      </w:r>
      <w:r>
        <w:rPr>
          <w:rFonts w:ascii="宋体" w:hAnsi="宋体" w:eastAsia="宋体" w:cs="宋体"/>
          <w:b w:val="0"/>
        </w:rPr>
        <w:br w:type="textWrapping"/>
      </w:r>
      <w:r>
        <w:rPr>
          <w:rFonts w:ascii="宋体" w:hAnsi="宋体" w:eastAsia="宋体" w:cs="宋体"/>
          <w:b w:val="0"/>
        </w:rPr>
        <w:t xml:space="preserve">    CXO板块落地产能出海逻辑，2026年一季度国内头部 CDMO 企业营收同比增长18.3%，扣非净利润增速超50%，行业盈利持续修复；行业龙头海外收入占比普遍维持70%-85%，深度绑定跨国药企需求。当前全球GLP-1、ADC、寡核苷酸研发需求持续扩容，企业在手大额订单大多锁定未来2至3年营收，叠加国内完整产业链、高效交付能力与成本优势构筑高客户粘性，产能持续扩张匹配海外商业化生产需求，业绩增长可预见性较强，是医药全球化赛道中业绩稳定性最优的细分。</w:t>
      </w:r>
      <w:r>
        <w:rPr>
          <w:rFonts w:ascii="宋体" w:hAnsi="宋体" w:eastAsia="宋体" w:cs="宋体"/>
          <w:b w:val="0"/>
        </w:rPr>
        <w:br w:type="textWrapping"/>
      </w:r>
      <w:r>
        <w:rPr>
          <w:rFonts w:ascii="宋体" w:hAnsi="宋体" w:eastAsia="宋体" w:cs="宋体"/>
          <w:b w:val="0"/>
        </w:rPr>
        <w:t xml:space="preserve">    出海医疗器械完成产品出海闭环，国内企业依靠高性价比与成熟制造工艺，持续打通海外认证壁垒、搭建海外销售渠道，手术机器人、高端影像设备等产品持续扩大全球市场份额，兑现医药制造全球化带来的估值溢价。</w:t>
      </w:r>
      <w:r>
        <w:rPr>
          <w:rFonts w:ascii="宋体" w:hAnsi="宋体" w:eastAsia="宋体" w:cs="宋体"/>
          <w:b w:val="0"/>
        </w:rPr>
        <w:br w:type="textWrapping"/>
      </w:r>
      <w:r>
        <w:rPr>
          <w:rFonts w:ascii="宋体" w:hAnsi="宋体" w:eastAsia="宋体" w:cs="宋体"/>
          <w:b w:val="0"/>
        </w:rPr>
        <w:t xml:space="preserve">    综上，三大细分赛道均以全球化作为核心成长驱动，依靠差异化出海商业模式突破国内行业增长天花板，持续赚取全球产业分工下的超额收益，既是当前医药板块中长期超额收益的核心来源，也是本基金组合重点布局的核心方向。</w:t>
      </w:r>
      <w:r>
        <w:rPr>
          <w:rFonts w:ascii="宋体" w:hAnsi="宋体" w:eastAsia="宋体" w:cs="宋体"/>
          <w:b w:val="0"/>
        </w:rPr>
        <w:br w:type="textWrapping"/>
      </w:r>
      <w:r>
        <w:rPr>
          <w:rFonts w:ascii="宋体" w:hAnsi="宋体" w:eastAsia="宋体" w:cs="宋体"/>
          <w:b w:val="0"/>
        </w:rPr>
        <w:t xml:space="preserve">    2026年是检验“真功夫”的一年。随着BD交易常态化，投资逻辑需从“数合同”转向“看落地”。下半年首批原创路线创新药将进入海外市场获批的收获期，这是中国创新药正式进入“赚美元”阶段的关键。我们将优选具备“两条腿走路”能力的企业——国内商业化路径清晰，且海外临床关键节点明确。特别是ADC和双抗板块，若海外上市成功，将直接驱动板块从“交易估值”向“盈利估值”切换。</w:t>
      </w:r>
      <w:r>
        <w:rPr>
          <w:rFonts w:ascii="宋体" w:hAnsi="宋体" w:eastAsia="宋体" w:cs="宋体"/>
          <w:b w:val="0"/>
        </w:rPr>
        <w:br w:type="textWrapping"/>
      </w:r>
      <w:r>
        <w:rPr>
          <w:rFonts w:ascii="宋体" w:hAnsi="宋体" w:eastAsia="宋体" w:cs="宋体"/>
          <w:b w:val="0"/>
        </w:rPr>
        <w:t xml:space="preserve">    我们认为当前医药行情的走势，是行业内部存量筹码博弈与基本面增量的矛盾，也是外部硬科技当期业绩确定性和创新药远期业绩可能性之间的矛盾，这种错位不会长期存在，必然迎来修正。这种矛盾会导致市场出现震荡，但我们判断回调空间有限。原因在于，当前的调整是板块发展过程中的正常出清，而非行业趋势的逆转。随着资金从主题炒作转向业绩兑现，真正具备盈利能力与核心竞争力的优质企业将率先走出独立行情。因此，当前的回调并非行情终点，而是为中长期投资者提供了以更合理价格布局优质资产的窗口期。</w:t>
      </w:r>
      <w:r>
        <w:rPr>
          <w:rFonts w:ascii="宋体" w:hAnsi="宋体" w:eastAsia="宋体" w:cs="宋体"/>
          <w:b w:val="0"/>
        </w:rPr>
        <w:br w:type="textWrapping"/>
      </w:r>
      <w:r>
        <w:rPr>
          <w:rFonts w:ascii="宋体" w:hAnsi="宋体" w:eastAsia="宋体" w:cs="宋体"/>
          <w:b w:val="0"/>
        </w:rPr>
        <w:t xml:space="preserve">    报告期内，本基金基于个股临床数据验证结果、行业催化节奏及远期商业化确定性，持续优化组合持仓结构，整体操作围绕基本面择优逻辑展开。其一，主动出清弱势资产，对临床数据不及预期、核心研发逻辑证伪的创新药标的进行减仓。该类资产前期估值已充分透支研发预期，随着关键临床终点未达预期，管线商业化价值与成长空间显著受损，估值中枢面临下行压力，本次调仓有效规避基本面风险，提升组合整体收益确定性。其二，把握年度核心产业催化，重点加仓2026年ASCO大会披露优异临床数据的优质药企。相关企业本次披露的疗效、安全性数据实现关键突破，相较同业竞品具备明显差异化优势，基本面预期差快速修复，板块Alpha属性凸显，是当期性价比最优的配置方向之一。其三，前瞻布局跨年度成长主线，大幅抬升2027年有望落地美国商业化的出海标的持仓比例。该类资产依托产品出海逻辑，能够突破国内医保控费与集采约束，打开海外成长空间，具备中长期业绩与估值双击潜力，是组合中长期超额收益的核心底仓。</w:t>
      </w:r>
      <w:r>
        <w:rPr>
          <w:rFonts w:ascii="宋体" w:hAnsi="宋体" w:eastAsia="宋体" w:cs="宋体"/>
          <w:b w:val="0"/>
        </w:rPr>
        <w:br w:type="textWrapping"/>
      </w:r>
      <w:r>
        <w:rPr>
          <w:rFonts w:ascii="宋体" w:hAnsi="宋体" w:eastAsia="宋体" w:cs="宋体"/>
          <w:b w:val="0"/>
        </w:rPr>
        <w:t xml:space="preserve">    与此同时，本期市场硬科技板块阶段性走强，风格热点持续外溢，但本基金严格坚守主题定位，未进行跨板块操作。我们认为，医药主题基金的核心价值在于挖掘行业内生结构化Alpha，而非追逐市场热点。因此组合始终聚焦医药全球化主线，深耕创新药、CXO、出海器械等具备独立产业逻辑的细分赛道，以纯粹的行业配置、确定性的基本面兑现获取稳健超额收益，持续保持持仓风格稳定、业绩归因清晰。在此，也提示投资者需警惕地缘政治对出海进程的扰动、医保谈判政策的边际变化，以及部分早期研发管线的临床失败风险。但总体而言，当前创新药板块处于“好行业+合理估值”的错配期，2026年将是聚焦个股α、分享产业高质量发展红利的关键之年。</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医疗健康混合发起A基金份额净值为1.0071元，本报告期内，该类基金份额净值增长率为-9.40%，同期业绩比较基准收益率为-7.48%；截至报告期末东方阿尔法医疗健康混合发起C基金份额净值为0.9858元，本报告期内，该类基金份额净值增长率为-9.54%，同期业绩比较基准收益率为-7.48%。</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121,826,401.56</w:t>
            </w:r>
          </w:p>
        </w:tc>
        <w:tc>
          <w:tcPr>
            <w:tcW w:w="0" w:type="dxa"/>
            <w:vAlign w:val="center"/>
          </w:tcPr>
          <w:p>
            <w:pPr>
              <w:spacing w:line="240" w:lineRule="auto"/>
              <w:jc w:val="right"/>
            </w:pPr>
            <w:r>
              <w:rPr>
                <w:rFonts w:ascii="宋体" w:hAnsi="宋体" w:eastAsia="宋体" w:cs="宋体"/>
                <w:b w:val="0"/>
              </w:rPr>
              <w:t>89.42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121,826,401.56</w:t>
            </w:r>
          </w:p>
        </w:tc>
        <w:tc>
          <w:tcPr>
            <w:tcW w:w="0" w:type="dxa"/>
            <w:vAlign w:val="center"/>
          </w:tcPr>
          <w:p>
            <w:pPr>
              <w:spacing w:line="240" w:lineRule="auto"/>
              <w:jc w:val="right"/>
            </w:pPr>
            <w:r>
              <w:rPr>
                <w:rFonts w:ascii="宋体" w:hAnsi="宋体" w:eastAsia="宋体" w:cs="宋体"/>
                <w:b w:val="0"/>
              </w:rPr>
              <w:t>89.42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6,054,864.77</w:t>
            </w:r>
          </w:p>
        </w:tc>
        <w:tc>
          <w:tcPr>
            <w:tcW w:w="0" w:type="dxa"/>
            <w:vAlign w:val="center"/>
          </w:tcPr>
          <w:p>
            <w:pPr>
              <w:spacing w:line="240" w:lineRule="auto"/>
              <w:jc w:val="right"/>
            </w:pPr>
            <w:r>
              <w:rPr>
                <w:rFonts w:ascii="宋体" w:hAnsi="宋体" w:eastAsia="宋体" w:cs="宋体"/>
                <w:b w:val="0"/>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6,054,864.77</w:t>
            </w:r>
          </w:p>
        </w:tc>
        <w:tc>
          <w:tcPr>
            <w:tcW w:w="0" w:type="dxa"/>
            <w:vAlign w:val="center"/>
          </w:tcPr>
          <w:p>
            <w:pPr>
              <w:spacing w:line="240" w:lineRule="auto"/>
              <w:jc w:val="right"/>
            </w:pPr>
            <w:r>
              <w:rPr>
                <w:rFonts w:ascii="宋体" w:hAnsi="宋体" w:eastAsia="宋体" w:cs="宋体"/>
                <w:b w:val="0"/>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5,677,846.61</w:t>
            </w:r>
          </w:p>
        </w:tc>
        <w:tc>
          <w:tcPr>
            <w:tcW w:w="0" w:type="dxa"/>
            <w:vAlign w:val="center"/>
          </w:tcPr>
          <w:p>
            <w:pPr>
              <w:spacing w:line="240" w:lineRule="auto"/>
              <w:jc w:val="right"/>
            </w:pPr>
            <w:r>
              <w:rPr>
                <w:rFonts w:ascii="宋体" w:hAnsi="宋体" w:eastAsia="宋体" w:cs="宋体"/>
                <w:b w:val="0"/>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2,680,171.65</w:t>
            </w:r>
          </w:p>
        </w:tc>
        <w:tc>
          <w:tcPr>
            <w:tcW w:w="0" w:type="dxa"/>
            <w:vAlign w:val="center"/>
          </w:tcPr>
          <w:p>
            <w:pPr>
              <w:spacing w:line="240" w:lineRule="auto"/>
              <w:jc w:val="right"/>
            </w:pPr>
            <w:r>
              <w:rPr>
                <w:rFonts w:ascii="宋体" w:hAnsi="宋体" w:eastAsia="宋体" w:cs="宋体"/>
                <w:b w:val="0"/>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136,239,284.59</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注：报告期末本基金通过港股通交易机制投资的港股公允价值合计48,668,639.03元，占基金资产净值的比例为36.53%。</w:t>
      </w:r>
    </w:p>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73,157,762.53</w:t>
            </w:r>
          </w:p>
        </w:tc>
        <w:tc>
          <w:tcPr>
            <w:tcW w:w="0" w:type="dxa"/>
            <w:vAlign w:val="center"/>
          </w:tcPr>
          <w:p>
            <w:pPr>
              <w:spacing w:line="240" w:lineRule="auto"/>
              <w:jc w:val="right"/>
            </w:pPr>
            <w:r>
              <w:rPr>
                <w:rFonts w:ascii="宋体" w:hAnsi="宋体" w:eastAsia="宋体" w:cs="宋体"/>
                <w:b w:val="0"/>
              </w:rPr>
              <w:t>54.91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73,157,762.53</w:t>
            </w:r>
          </w:p>
        </w:tc>
        <w:tc>
          <w:tcPr>
            <w:tcW w:w="0" w:type="dxa"/>
            <w:vAlign w:val="center"/>
          </w:tcPr>
          <w:p>
            <w:pPr>
              <w:spacing w:line="240" w:lineRule="auto"/>
              <w:jc w:val="right"/>
            </w:pPr>
            <w:r>
              <w:rPr>
                <w:rFonts w:ascii="宋体" w:hAnsi="宋体" w:eastAsia="宋体" w:cs="宋体"/>
                <w:b w:val="0"/>
              </w:rPr>
              <w:t>54.91</w:t>
            </w:r>
          </w:p>
        </w:tc>
      </w:tr>
    </w:tbl>
    <w:p/>
    <w:p>
      <w:pPr>
        <w:pStyle w:val="58"/>
      </w:pPr>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医疗保健</w:t>
            </w:r>
          </w:p>
        </w:tc>
        <w:tc>
          <w:tcPr>
            <w:tcW w:w="0" w:type="dxa"/>
            <w:vAlign w:val="center"/>
          </w:tcPr>
          <w:p>
            <w:pPr>
              <w:spacing w:line="240" w:lineRule="auto"/>
              <w:jc w:val="right"/>
            </w:pPr>
            <w:r>
              <w:rPr>
                <w:rFonts w:ascii="宋体" w:hAnsi="宋体" w:eastAsia="宋体" w:cs="宋体"/>
                <w:b w:val="0"/>
              </w:rPr>
              <w:t>48,668,639.03</w:t>
            </w:r>
          </w:p>
        </w:tc>
        <w:tc>
          <w:tcPr>
            <w:tcW w:w="0" w:type="dxa"/>
            <w:vAlign w:val="center"/>
          </w:tcPr>
          <w:p>
            <w:pPr>
              <w:spacing w:line="240" w:lineRule="auto"/>
              <w:jc w:val="right"/>
            </w:pPr>
            <w:r>
              <w:rPr>
                <w:rFonts w:ascii="宋体" w:hAnsi="宋体" w:eastAsia="宋体" w:cs="宋体"/>
                <w:b w:val="0"/>
              </w:rPr>
              <w:t>36.53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48,668,639.03</w:t>
            </w:r>
          </w:p>
        </w:tc>
        <w:tc>
          <w:tcPr>
            <w:tcW w:w="0" w:type="dxa"/>
            <w:vAlign w:val="center"/>
          </w:tcPr>
          <w:p>
            <w:pPr>
              <w:spacing w:line="240" w:lineRule="auto"/>
              <w:jc w:val="right"/>
            </w:pPr>
            <w:r>
              <w:rPr>
                <w:rFonts w:ascii="宋体" w:hAnsi="宋体" w:eastAsia="宋体" w:cs="宋体"/>
                <w:b w:val="0"/>
              </w:rPr>
              <w:t>36.53</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01801</w:t>
            </w:r>
          </w:p>
        </w:tc>
        <w:tc>
          <w:tcPr>
            <w:tcW w:w="0" w:type="dxa"/>
            <w:vAlign w:val="center"/>
          </w:tcPr>
          <w:p>
            <w:pPr>
              <w:spacing w:line="240" w:lineRule="auto"/>
              <w:jc w:val="left"/>
            </w:pPr>
            <w:r>
              <w:rPr>
                <w:rFonts w:ascii="宋体" w:hAnsi="宋体" w:eastAsia="宋体" w:cs="宋体"/>
                <w:b w:val="0"/>
              </w:rPr>
              <w:t>信达生物</w:t>
            </w:r>
          </w:p>
        </w:tc>
        <w:tc>
          <w:tcPr>
            <w:tcW w:w="0" w:type="dxa"/>
            <w:vAlign w:val="center"/>
          </w:tcPr>
          <w:p>
            <w:pPr>
              <w:spacing w:line="240" w:lineRule="auto"/>
              <w:jc w:val="right"/>
            </w:pPr>
            <w:r>
              <w:rPr>
                <w:rFonts w:ascii="宋体" w:hAnsi="宋体" w:eastAsia="宋体" w:cs="宋体"/>
                <w:b w:val="0"/>
              </w:rPr>
              <w:t>174,000</w:t>
            </w:r>
          </w:p>
        </w:tc>
        <w:tc>
          <w:tcPr>
            <w:tcW w:w="0" w:type="dxa"/>
            <w:vAlign w:val="center"/>
          </w:tcPr>
          <w:p>
            <w:pPr>
              <w:spacing w:line="240" w:lineRule="auto"/>
              <w:jc w:val="right"/>
            </w:pPr>
            <w:r>
              <w:rPr>
                <w:rFonts w:ascii="宋体" w:hAnsi="宋体" w:eastAsia="宋体" w:cs="宋体"/>
                <w:b w:val="0"/>
              </w:rPr>
              <w:t>12,029,764.92</w:t>
            </w:r>
          </w:p>
        </w:tc>
        <w:tc>
          <w:tcPr>
            <w:tcW w:w="0" w:type="dxa"/>
            <w:vAlign w:val="center"/>
          </w:tcPr>
          <w:p>
            <w:pPr>
              <w:spacing w:line="240" w:lineRule="auto"/>
              <w:jc w:val="right"/>
            </w:pPr>
            <w:r>
              <w:rPr>
                <w:rFonts w:ascii="宋体" w:hAnsi="宋体" w:eastAsia="宋体" w:cs="宋体"/>
                <w:b w:val="0"/>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06990</w:t>
            </w:r>
          </w:p>
        </w:tc>
        <w:tc>
          <w:tcPr>
            <w:tcW w:w="0" w:type="dxa"/>
            <w:vAlign w:val="center"/>
          </w:tcPr>
          <w:p>
            <w:pPr>
              <w:spacing w:line="240" w:lineRule="auto"/>
              <w:jc w:val="left"/>
            </w:pPr>
            <w:r>
              <w:rPr>
                <w:rFonts w:ascii="宋体" w:hAnsi="宋体" w:eastAsia="宋体" w:cs="宋体"/>
                <w:b w:val="0"/>
              </w:rPr>
              <w:t>科伦博泰生物</w:t>
            </w:r>
          </w:p>
        </w:tc>
        <w:tc>
          <w:tcPr>
            <w:tcW w:w="0" w:type="dxa"/>
            <w:vAlign w:val="center"/>
          </w:tcPr>
          <w:p>
            <w:pPr>
              <w:spacing w:line="240" w:lineRule="auto"/>
              <w:jc w:val="right"/>
            </w:pPr>
            <w:r>
              <w:rPr>
                <w:rFonts w:ascii="宋体" w:hAnsi="宋体" w:eastAsia="宋体" w:cs="宋体"/>
                <w:b w:val="0"/>
              </w:rPr>
              <w:t>31,400</w:t>
            </w:r>
          </w:p>
        </w:tc>
        <w:tc>
          <w:tcPr>
            <w:tcW w:w="0" w:type="dxa"/>
            <w:vAlign w:val="center"/>
          </w:tcPr>
          <w:p>
            <w:pPr>
              <w:spacing w:line="240" w:lineRule="auto"/>
              <w:jc w:val="right"/>
            </w:pPr>
            <w:r>
              <w:rPr>
                <w:rFonts w:ascii="宋体" w:hAnsi="宋体" w:eastAsia="宋体" w:cs="宋体"/>
                <w:b w:val="0"/>
              </w:rPr>
              <w:t>11,896,251.41</w:t>
            </w:r>
          </w:p>
        </w:tc>
        <w:tc>
          <w:tcPr>
            <w:tcW w:w="0" w:type="dxa"/>
            <w:vAlign w:val="center"/>
          </w:tcPr>
          <w:p>
            <w:pPr>
              <w:spacing w:line="240" w:lineRule="auto"/>
              <w:jc w:val="right"/>
            </w:pPr>
            <w:r>
              <w:rPr>
                <w:rFonts w:ascii="宋体" w:hAnsi="宋体" w:eastAsia="宋体" w:cs="宋体"/>
                <w:b w:val="0"/>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002653</w:t>
            </w:r>
          </w:p>
        </w:tc>
        <w:tc>
          <w:tcPr>
            <w:tcW w:w="0" w:type="dxa"/>
            <w:vAlign w:val="center"/>
          </w:tcPr>
          <w:p>
            <w:pPr>
              <w:spacing w:line="240" w:lineRule="auto"/>
              <w:jc w:val="left"/>
            </w:pPr>
            <w:r>
              <w:rPr>
                <w:rFonts w:ascii="宋体" w:hAnsi="宋体" w:eastAsia="宋体" w:cs="宋体"/>
                <w:b w:val="0"/>
              </w:rPr>
              <w:t>海思科</w:t>
            </w:r>
          </w:p>
        </w:tc>
        <w:tc>
          <w:tcPr>
            <w:tcW w:w="0" w:type="dxa"/>
            <w:vAlign w:val="center"/>
          </w:tcPr>
          <w:p>
            <w:pPr>
              <w:spacing w:line="240" w:lineRule="auto"/>
              <w:jc w:val="right"/>
            </w:pPr>
            <w:r>
              <w:rPr>
                <w:rFonts w:ascii="宋体" w:hAnsi="宋体" w:eastAsia="宋体" w:cs="宋体"/>
                <w:b w:val="0"/>
              </w:rPr>
              <w:t>171,500</w:t>
            </w:r>
          </w:p>
        </w:tc>
        <w:tc>
          <w:tcPr>
            <w:tcW w:w="0" w:type="dxa"/>
            <w:vAlign w:val="center"/>
          </w:tcPr>
          <w:p>
            <w:pPr>
              <w:spacing w:line="240" w:lineRule="auto"/>
              <w:jc w:val="right"/>
            </w:pPr>
            <w:r>
              <w:rPr>
                <w:rFonts w:ascii="宋体" w:hAnsi="宋体" w:eastAsia="宋体" w:cs="宋体"/>
                <w:b w:val="0"/>
              </w:rPr>
              <w:t>11,377,310.00</w:t>
            </w:r>
          </w:p>
        </w:tc>
        <w:tc>
          <w:tcPr>
            <w:tcW w:w="0" w:type="dxa"/>
            <w:vAlign w:val="center"/>
          </w:tcPr>
          <w:p>
            <w:pPr>
              <w:spacing w:line="240" w:lineRule="auto"/>
              <w:jc w:val="right"/>
            </w:pPr>
            <w:r>
              <w:rPr>
                <w:rFonts w:ascii="宋体" w:hAnsi="宋体" w:eastAsia="宋体" w:cs="宋体"/>
                <w:b w:val="0"/>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688266</w:t>
            </w:r>
          </w:p>
        </w:tc>
        <w:tc>
          <w:tcPr>
            <w:tcW w:w="0" w:type="dxa"/>
            <w:vAlign w:val="center"/>
          </w:tcPr>
          <w:p>
            <w:pPr>
              <w:spacing w:line="240" w:lineRule="auto"/>
              <w:jc w:val="left"/>
            </w:pPr>
            <w:r>
              <w:rPr>
                <w:rFonts w:ascii="宋体" w:hAnsi="宋体" w:eastAsia="宋体" w:cs="宋体"/>
                <w:b w:val="0"/>
              </w:rPr>
              <w:t>泽璟制药</w:t>
            </w:r>
          </w:p>
        </w:tc>
        <w:tc>
          <w:tcPr>
            <w:tcW w:w="0" w:type="dxa"/>
            <w:vAlign w:val="center"/>
          </w:tcPr>
          <w:p>
            <w:pPr>
              <w:spacing w:line="240" w:lineRule="auto"/>
              <w:jc w:val="right"/>
            </w:pPr>
            <w:r>
              <w:rPr>
                <w:rFonts w:ascii="宋体" w:hAnsi="宋体" w:eastAsia="宋体" w:cs="宋体"/>
                <w:b w:val="0"/>
              </w:rPr>
              <w:t>92,009</w:t>
            </w:r>
          </w:p>
        </w:tc>
        <w:tc>
          <w:tcPr>
            <w:tcW w:w="0" w:type="dxa"/>
            <w:vAlign w:val="center"/>
          </w:tcPr>
          <w:p>
            <w:pPr>
              <w:spacing w:line="240" w:lineRule="auto"/>
              <w:jc w:val="right"/>
            </w:pPr>
            <w:r>
              <w:rPr>
                <w:rFonts w:ascii="宋体" w:hAnsi="宋体" w:eastAsia="宋体" w:cs="宋体"/>
                <w:b w:val="0"/>
              </w:rPr>
              <w:t>10,733,769.94</w:t>
            </w:r>
          </w:p>
        </w:tc>
        <w:tc>
          <w:tcPr>
            <w:tcW w:w="0" w:type="dxa"/>
            <w:vAlign w:val="center"/>
          </w:tcPr>
          <w:p>
            <w:pPr>
              <w:spacing w:line="240" w:lineRule="auto"/>
              <w:jc w:val="right"/>
            </w:pPr>
            <w:r>
              <w:rPr>
                <w:rFonts w:ascii="宋体" w:hAnsi="宋体" w:eastAsia="宋体" w:cs="宋体"/>
                <w:b w:val="0"/>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09926</w:t>
            </w:r>
          </w:p>
        </w:tc>
        <w:tc>
          <w:tcPr>
            <w:tcW w:w="0" w:type="dxa"/>
            <w:vAlign w:val="center"/>
          </w:tcPr>
          <w:p>
            <w:pPr>
              <w:spacing w:line="240" w:lineRule="auto"/>
              <w:jc w:val="left"/>
            </w:pPr>
            <w:r>
              <w:rPr>
                <w:rFonts w:ascii="宋体" w:hAnsi="宋体" w:eastAsia="宋体" w:cs="宋体"/>
                <w:b w:val="0"/>
              </w:rPr>
              <w:t>康方生物</w:t>
            </w:r>
          </w:p>
        </w:tc>
        <w:tc>
          <w:tcPr>
            <w:tcW w:w="0" w:type="dxa"/>
            <w:vAlign w:val="center"/>
          </w:tcPr>
          <w:p>
            <w:pPr>
              <w:spacing w:line="240" w:lineRule="auto"/>
              <w:jc w:val="right"/>
            </w:pPr>
            <w:r>
              <w:rPr>
                <w:rFonts w:ascii="宋体" w:hAnsi="宋体" w:eastAsia="宋体" w:cs="宋体"/>
                <w:b w:val="0"/>
              </w:rPr>
              <w:t>113,000</w:t>
            </w:r>
          </w:p>
        </w:tc>
        <w:tc>
          <w:tcPr>
            <w:tcW w:w="0" w:type="dxa"/>
            <w:vAlign w:val="center"/>
          </w:tcPr>
          <w:p>
            <w:pPr>
              <w:spacing w:line="240" w:lineRule="auto"/>
              <w:jc w:val="right"/>
            </w:pPr>
            <w:r>
              <w:rPr>
                <w:rFonts w:ascii="宋体" w:hAnsi="宋体" w:eastAsia="宋体" w:cs="宋体"/>
                <w:b w:val="0"/>
              </w:rPr>
              <w:t>8,641,768.51</w:t>
            </w:r>
          </w:p>
        </w:tc>
        <w:tc>
          <w:tcPr>
            <w:tcW w:w="0" w:type="dxa"/>
            <w:vAlign w:val="center"/>
          </w:tcPr>
          <w:p>
            <w:pPr>
              <w:spacing w:line="240" w:lineRule="auto"/>
              <w:jc w:val="right"/>
            </w:pPr>
            <w:r>
              <w:rPr>
                <w:rFonts w:ascii="宋体" w:hAnsi="宋体" w:eastAsia="宋体" w:cs="宋体"/>
                <w:b w:val="0"/>
              </w:rP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688506</w:t>
            </w:r>
          </w:p>
        </w:tc>
        <w:tc>
          <w:tcPr>
            <w:tcW w:w="0" w:type="dxa"/>
            <w:vAlign w:val="center"/>
          </w:tcPr>
          <w:p>
            <w:pPr>
              <w:spacing w:line="240" w:lineRule="auto"/>
              <w:jc w:val="left"/>
            </w:pPr>
            <w:r>
              <w:rPr>
                <w:rFonts w:ascii="宋体" w:hAnsi="宋体" w:eastAsia="宋体" w:cs="宋体"/>
                <w:b w:val="0"/>
              </w:rPr>
              <w:t>百利天恒</w:t>
            </w:r>
          </w:p>
        </w:tc>
        <w:tc>
          <w:tcPr>
            <w:tcW w:w="0" w:type="dxa"/>
            <w:vAlign w:val="center"/>
          </w:tcPr>
          <w:p>
            <w:pPr>
              <w:spacing w:line="240" w:lineRule="auto"/>
              <w:jc w:val="right"/>
            </w:pPr>
            <w:r>
              <w:rPr>
                <w:rFonts w:ascii="宋体" w:hAnsi="宋体" w:eastAsia="宋体" w:cs="宋体"/>
                <w:b w:val="0"/>
              </w:rPr>
              <w:t>26,331</w:t>
            </w:r>
          </w:p>
        </w:tc>
        <w:tc>
          <w:tcPr>
            <w:tcW w:w="0" w:type="dxa"/>
            <w:vAlign w:val="center"/>
          </w:tcPr>
          <w:p>
            <w:pPr>
              <w:spacing w:line="240" w:lineRule="auto"/>
              <w:jc w:val="right"/>
            </w:pPr>
            <w:r>
              <w:rPr>
                <w:rFonts w:ascii="宋体" w:hAnsi="宋体" w:eastAsia="宋体" w:cs="宋体"/>
                <w:b w:val="0"/>
              </w:rPr>
              <w:t>7,742,103.93</w:t>
            </w:r>
          </w:p>
        </w:tc>
        <w:tc>
          <w:tcPr>
            <w:tcW w:w="0" w:type="dxa"/>
            <w:vAlign w:val="center"/>
          </w:tcPr>
          <w:p>
            <w:pPr>
              <w:spacing w:line="240" w:lineRule="auto"/>
              <w:jc w:val="right"/>
            </w:pPr>
            <w:r>
              <w:rPr>
                <w:rFonts w:ascii="宋体" w:hAnsi="宋体" w:eastAsia="宋体" w:cs="宋体"/>
                <w:b w:val="0"/>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02162</w:t>
            </w:r>
          </w:p>
        </w:tc>
        <w:tc>
          <w:tcPr>
            <w:tcW w:w="0" w:type="dxa"/>
            <w:vAlign w:val="center"/>
          </w:tcPr>
          <w:p>
            <w:pPr>
              <w:spacing w:line="240" w:lineRule="auto"/>
              <w:jc w:val="left"/>
            </w:pPr>
            <w:r>
              <w:rPr>
                <w:rFonts w:ascii="宋体" w:hAnsi="宋体" w:eastAsia="宋体" w:cs="宋体"/>
                <w:b w:val="0"/>
              </w:rPr>
              <w:t>康诺亚－Ｂ</w:t>
            </w:r>
          </w:p>
        </w:tc>
        <w:tc>
          <w:tcPr>
            <w:tcW w:w="0" w:type="dxa"/>
            <w:vAlign w:val="center"/>
          </w:tcPr>
          <w:p>
            <w:pPr>
              <w:spacing w:line="240" w:lineRule="auto"/>
              <w:jc w:val="right"/>
            </w:pPr>
            <w:r>
              <w:rPr>
                <w:rFonts w:ascii="宋体" w:hAnsi="宋体" w:eastAsia="宋体" w:cs="宋体"/>
                <w:b w:val="0"/>
              </w:rPr>
              <w:t>111,500</w:t>
            </w:r>
          </w:p>
        </w:tc>
        <w:tc>
          <w:tcPr>
            <w:tcW w:w="0" w:type="dxa"/>
            <w:vAlign w:val="center"/>
          </w:tcPr>
          <w:p>
            <w:pPr>
              <w:spacing w:line="240" w:lineRule="auto"/>
              <w:jc w:val="right"/>
            </w:pPr>
            <w:r>
              <w:rPr>
                <w:rFonts w:ascii="宋体" w:hAnsi="宋体" w:eastAsia="宋体" w:cs="宋体"/>
                <w:b w:val="0"/>
              </w:rPr>
              <w:t>6,851,665.24</w:t>
            </w:r>
          </w:p>
        </w:tc>
        <w:tc>
          <w:tcPr>
            <w:tcW w:w="0" w:type="dxa"/>
            <w:vAlign w:val="center"/>
          </w:tcPr>
          <w:p>
            <w:pPr>
              <w:spacing w:line="240" w:lineRule="auto"/>
              <w:jc w:val="right"/>
            </w:pPr>
            <w:r>
              <w:rPr>
                <w:rFonts w:ascii="宋体" w:hAnsi="宋体" w:eastAsia="宋体" w:cs="宋体"/>
                <w:b w:val="0"/>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002422</w:t>
            </w:r>
          </w:p>
        </w:tc>
        <w:tc>
          <w:tcPr>
            <w:tcW w:w="0" w:type="dxa"/>
            <w:vAlign w:val="center"/>
          </w:tcPr>
          <w:p>
            <w:pPr>
              <w:spacing w:line="240" w:lineRule="auto"/>
              <w:jc w:val="left"/>
            </w:pPr>
            <w:r>
              <w:rPr>
                <w:rFonts w:ascii="宋体" w:hAnsi="宋体" w:eastAsia="宋体" w:cs="宋体"/>
                <w:b w:val="0"/>
              </w:rPr>
              <w:t>科伦药业</w:t>
            </w:r>
          </w:p>
        </w:tc>
        <w:tc>
          <w:tcPr>
            <w:tcW w:w="0" w:type="dxa"/>
            <w:vAlign w:val="center"/>
          </w:tcPr>
          <w:p>
            <w:pPr>
              <w:spacing w:line="240" w:lineRule="auto"/>
              <w:jc w:val="right"/>
            </w:pPr>
            <w:r>
              <w:rPr>
                <w:rFonts w:ascii="宋体" w:hAnsi="宋体" w:eastAsia="宋体" w:cs="宋体"/>
                <w:b w:val="0"/>
              </w:rPr>
              <w:t>173,500</w:t>
            </w:r>
          </w:p>
        </w:tc>
        <w:tc>
          <w:tcPr>
            <w:tcW w:w="0" w:type="dxa"/>
            <w:vAlign w:val="center"/>
          </w:tcPr>
          <w:p>
            <w:pPr>
              <w:spacing w:line="240" w:lineRule="auto"/>
              <w:jc w:val="right"/>
            </w:pPr>
            <w:r>
              <w:rPr>
                <w:rFonts w:ascii="宋体" w:hAnsi="宋体" w:eastAsia="宋体" w:cs="宋体"/>
                <w:b w:val="0"/>
              </w:rPr>
              <w:t>6,683,220.00</w:t>
            </w:r>
          </w:p>
        </w:tc>
        <w:tc>
          <w:tcPr>
            <w:tcW w:w="0" w:type="dxa"/>
            <w:vAlign w:val="center"/>
          </w:tcPr>
          <w:p>
            <w:pPr>
              <w:spacing w:line="240" w:lineRule="auto"/>
              <w:jc w:val="right"/>
            </w:pPr>
            <w:r>
              <w:rPr>
                <w:rFonts w:ascii="宋体" w:hAnsi="宋体" w:eastAsia="宋体" w:cs="宋体"/>
                <w:b w:val="0"/>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600276</w:t>
            </w:r>
          </w:p>
        </w:tc>
        <w:tc>
          <w:tcPr>
            <w:tcW w:w="0" w:type="dxa"/>
            <w:vAlign w:val="center"/>
          </w:tcPr>
          <w:p>
            <w:pPr>
              <w:spacing w:line="240" w:lineRule="auto"/>
              <w:jc w:val="left"/>
            </w:pPr>
            <w:r>
              <w:rPr>
                <w:rFonts w:ascii="宋体" w:hAnsi="宋体" w:eastAsia="宋体" w:cs="宋体"/>
                <w:b w:val="0"/>
              </w:rPr>
              <w:t>恒瑞医药</w:t>
            </w:r>
          </w:p>
        </w:tc>
        <w:tc>
          <w:tcPr>
            <w:tcW w:w="0" w:type="dxa"/>
            <w:vAlign w:val="center"/>
          </w:tcPr>
          <w:p>
            <w:pPr>
              <w:spacing w:line="240" w:lineRule="auto"/>
              <w:jc w:val="right"/>
            </w:pPr>
            <w:r>
              <w:rPr>
                <w:rFonts w:ascii="宋体" w:hAnsi="宋体" w:eastAsia="宋体" w:cs="宋体"/>
                <w:b w:val="0"/>
              </w:rPr>
              <w:t>117,900</w:t>
            </w:r>
          </w:p>
        </w:tc>
        <w:tc>
          <w:tcPr>
            <w:tcW w:w="0" w:type="dxa"/>
            <w:vAlign w:val="center"/>
          </w:tcPr>
          <w:p>
            <w:pPr>
              <w:spacing w:line="240" w:lineRule="auto"/>
              <w:jc w:val="right"/>
            </w:pPr>
            <w:r>
              <w:rPr>
                <w:rFonts w:ascii="宋体" w:hAnsi="宋体" w:eastAsia="宋体" w:cs="宋体"/>
                <w:b w:val="0"/>
              </w:rPr>
              <w:t>6,135,516.00</w:t>
            </w:r>
          </w:p>
        </w:tc>
        <w:tc>
          <w:tcPr>
            <w:tcW w:w="0" w:type="dxa"/>
            <w:vAlign w:val="center"/>
          </w:tcPr>
          <w:p>
            <w:pPr>
              <w:spacing w:line="240" w:lineRule="auto"/>
              <w:jc w:val="right"/>
            </w:pPr>
            <w:r>
              <w:rPr>
                <w:rFonts w:ascii="宋体" w:hAnsi="宋体" w:eastAsia="宋体" w:cs="宋体"/>
                <w:b w:val="0"/>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688235</w:t>
            </w:r>
          </w:p>
        </w:tc>
        <w:tc>
          <w:tcPr>
            <w:tcW w:w="0" w:type="dxa"/>
            <w:vAlign w:val="center"/>
          </w:tcPr>
          <w:p>
            <w:pPr>
              <w:spacing w:line="240" w:lineRule="auto"/>
              <w:jc w:val="left"/>
            </w:pPr>
            <w:r>
              <w:rPr>
                <w:rFonts w:ascii="宋体" w:hAnsi="宋体" w:eastAsia="宋体" w:cs="宋体"/>
                <w:b w:val="0"/>
              </w:rPr>
              <w:t>百济神州</w:t>
            </w:r>
          </w:p>
        </w:tc>
        <w:tc>
          <w:tcPr>
            <w:tcW w:w="0" w:type="dxa"/>
            <w:vAlign w:val="center"/>
          </w:tcPr>
          <w:p>
            <w:pPr>
              <w:spacing w:line="240" w:lineRule="auto"/>
              <w:jc w:val="right"/>
            </w:pPr>
            <w:r>
              <w:rPr>
                <w:rFonts w:ascii="宋体" w:hAnsi="宋体" w:eastAsia="宋体" w:cs="宋体"/>
                <w:b w:val="0"/>
              </w:rPr>
              <w:t>23,120</w:t>
            </w:r>
          </w:p>
        </w:tc>
        <w:tc>
          <w:tcPr>
            <w:tcW w:w="0" w:type="dxa"/>
            <w:vAlign w:val="center"/>
          </w:tcPr>
          <w:p>
            <w:pPr>
              <w:spacing w:line="240" w:lineRule="auto"/>
              <w:jc w:val="right"/>
            </w:pPr>
            <w:r>
              <w:rPr>
                <w:rFonts w:ascii="宋体" w:hAnsi="宋体" w:eastAsia="宋体" w:cs="宋体"/>
                <w:b w:val="0"/>
              </w:rPr>
              <w:t>5,886,583.20</w:t>
            </w:r>
          </w:p>
        </w:tc>
        <w:tc>
          <w:tcPr>
            <w:tcW w:w="0" w:type="dxa"/>
            <w:vAlign w:val="center"/>
          </w:tcPr>
          <w:p>
            <w:pPr>
              <w:spacing w:line="240" w:lineRule="auto"/>
              <w:jc w:val="right"/>
            </w:pPr>
            <w:r>
              <w:rPr>
                <w:rFonts w:ascii="宋体" w:hAnsi="宋体" w:eastAsia="宋体" w:cs="宋体"/>
                <w:b w:val="0"/>
              </w:rPr>
              <w:t>4.42</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6,054,864.77</w:t>
            </w:r>
          </w:p>
        </w:tc>
        <w:tc>
          <w:tcPr>
            <w:tcW w:w="0" w:type="dxa"/>
            <w:vAlign w:val="center"/>
          </w:tcPr>
          <w:p>
            <w:pPr>
              <w:spacing w:line="240" w:lineRule="auto"/>
              <w:jc w:val="right"/>
            </w:pPr>
            <w:r>
              <w:rPr>
                <w:rFonts w:ascii="宋体" w:hAnsi="宋体" w:eastAsia="宋体" w:cs="宋体"/>
                <w:b w:val="0"/>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6,054,864.77</w:t>
            </w:r>
          </w:p>
        </w:tc>
        <w:tc>
          <w:tcPr>
            <w:tcW w:w="0" w:type="dxa"/>
            <w:vAlign w:val="center"/>
          </w:tcPr>
          <w:p>
            <w:pPr>
              <w:spacing w:line="240" w:lineRule="auto"/>
              <w:jc w:val="right"/>
            </w:pPr>
            <w:r>
              <w:rPr>
                <w:rFonts w:ascii="宋体" w:hAnsi="宋体" w:eastAsia="宋体" w:cs="宋体"/>
                <w:b w:val="0"/>
              </w:rPr>
              <w:t>4.54</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019827</w:t>
            </w:r>
          </w:p>
        </w:tc>
        <w:tc>
          <w:tcPr>
            <w:tcW w:w="0" w:type="dxa"/>
            <w:vAlign w:val="center"/>
          </w:tcPr>
          <w:p>
            <w:pPr>
              <w:spacing w:line="240" w:lineRule="auto"/>
              <w:jc w:val="left"/>
            </w:pPr>
            <w:r>
              <w:rPr>
                <w:rFonts w:ascii="宋体" w:hAnsi="宋体" w:eastAsia="宋体" w:cs="宋体"/>
                <w:b w:val="0"/>
              </w:rPr>
              <w:t>26国债01</w:t>
            </w:r>
          </w:p>
        </w:tc>
        <w:tc>
          <w:tcPr>
            <w:tcW w:w="0" w:type="dxa"/>
            <w:vAlign w:val="center"/>
          </w:tcPr>
          <w:p>
            <w:pPr>
              <w:spacing w:line="240" w:lineRule="auto"/>
              <w:jc w:val="right"/>
            </w:pPr>
            <w:r>
              <w:rPr>
                <w:rFonts w:ascii="宋体" w:hAnsi="宋体" w:eastAsia="宋体" w:cs="宋体"/>
                <w:b w:val="0"/>
              </w:rPr>
              <w:t>34,000</w:t>
            </w:r>
          </w:p>
        </w:tc>
        <w:tc>
          <w:tcPr>
            <w:tcW w:w="0" w:type="dxa"/>
            <w:vAlign w:val="center"/>
          </w:tcPr>
          <w:p>
            <w:pPr>
              <w:spacing w:line="240" w:lineRule="auto"/>
              <w:jc w:val="right"/>
            </w:pPr>
            <w:r>
              <w:rPr>
                <w:rFonts w:ascii="宋体" w:hAnsi="宋体" w:eastAsia="宋体" w:cs="宋体"/>
                <w:b w:val="0"/>
              </w:rPr>
              <w:t>3,422,038.52</w:t>
            </w:r>
          </w:p>
        </w:tc>
        <w:tc>
          <w:tcPr>
            <w:tcW w:w="0" w:type="dxa"/>
            <w:vAlign w:val="center"/>
          </w:tcPr>
          <w:p>
            <w:pPr>
              <w:spacing w:line="240" w:lineRule="auto"/>
              <w:jc w:val="right"/>
            </w:pPr>
            <w:r>
              <w:rPr>
                <w:rFonts w:ascii="宋体" w:hAnsi="宋体" w:eastAsia="宋体" w:cs="宋体"/>
                <w:b w:val="0"/>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26,000</w:t>
            </w:r>
          </w:p>
        </w:tc>
        <w:tc>
          <w:tcPr>
            <w:tcW w:w="0" w:type="dxa"/>
            <w:vAlign w:val="center"/>
          </w:tcPr>
          <w:p>
            <w:pPr>
              <w:spacing w:line="240" w:lineRule="auto"/>
              <w:jc w:val="right"/>
            </w:pPr>
            <w:r>
              <w:rPr>
                <w:rFonts w:ascii="宋体" w:hAnsi="宋体" w:eastAsia="宋体" w:cs="宋体"/>
                <w:b w:val="0"/>
              </w:rPr>
              <w:t>2,632,826.25</w:t>
            </w:r>
          </w:p>
        </w:tc>
        <w:tc>
          <w:tcPr>
            <w:tcW w:w="0" w:type="dxa"/>
            <w:vAlign w:val="center"/>
          </w:tcPr>
          <w:p>
            <w:pPr>
              <w:spacing w:line="240" w:lineRule="auto"/>
              <w:jc w:val="right"/>
            </w:pPr>
            <w:r>
              <w:rPr>
                <w:rFonts w:ascii="宋体" w:hAnsi="宋体" w:eastAsia="宋体" w:cs="宋体"/>
                <w:b w:val="0"/>
              </w:rPr>
              <w:t>1.98</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2,680,171.65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2,680,171.65</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本基金本报告期末前十名股票中不存在流通受限的情况。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东方阿尔法医疗健康混合发起A</w:t>
            </w:r>
          </w:p>
        </w:tc>
        <w:tc>
          <w:tcPr>
            <w:tcW w:w="1300" w:type="pct"/>
            <w:vAlign w:val="center"/>
          </w:tcPr>
          <w:p>
            <w:pPr>
              <w:spacing w:line="240" w:lineRule="auto"/>
              <w:jc w:val="center"/>
            </w:pPr>
            <w:r>
              <w:rPr>
                <w:rFonts w:ascii="宋体" w:hAnsi="宋体" w:eastAsia="宋体" w:cs="宋体"/>
                <w:b w:val="0"/>
              </w:rPr>
              <w:t>东方阿尔法医疗健康混合发起C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42,469,699.03</w:t>
            </w:r>
          </w:p>
        </w:tc>
        <w:tc>
          <w:tcPr>
            <w:tcW w:w="1300" w:type="pct"/>
            <w:vAlign w:val="center"/>
          </w:tcPr>
          <w:p>
            <w:pPr>
              <w:spacing w:line="240" w:lineRule="auto"/>
              <w:jc w:val="right"/>
            </w:pPr>
            <w:r>
              <w:rPr>
                <w:rFonts w:ascii="宋体" w:hAnsi="宋体" w:eastAsia="宋体" w:cs="宋体"/>
                <w:b w:val="0"/>
              </w:rPr>
              <w:t>98,784,899.57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7,623,047.53</w:t>
            </w:r>
          </w:p>
        </w:tc>
        <w:tc>
          <w:tcPr>
            <w:tcW w:w="1300" w:type="pct"/>
            <w:vAlign w:val="center"/>
          </w:tcPr>
          <w:p>
            <w:pPr>
              <w:spacing w:line="240" w:lineRule="auto"/>
              <w:jc w:val="right"/>
            </w:pPr>
            <w:r>
              <w:rPr>
                <w:rFonts w:ascii="宋体" w:hAnsi="宋体" w:eastAsia="宋体" w:cs="宋体"/>
                <w:b w:val="0"/>
              </w:rPr>
              <w:t>208,562,652.04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18,440,784.79</w:t>
            </w:r>
          </w:p>
        </w:tc>
        <w:tc>
          <w:tcPr>
            <w:tcW w:w="1300" w:type="pct"/>
            <w:vAlign w:val="center"/>
          </w:tcPr>
          <w:p>
            <w:pPr>
              <w:spacing w:line="240" w:lineRule="auto"/>
              <w:jc w:val="right"/>
            </w:pPr>
            <w:r>
              <w:rPr>
                <w:rFonts w:ascii="宋体" w:hAnsi="宋体" w:eastAsia="宋体" w:cs="宋体"/>
                <w:b w:val="0"/>
              </w:rPr>
              <w:t>204,543,333.57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31,651,961.77</w:t>
            </w:r>
          </w:p>
        </w:tc>
        <w:tc>
          <w:tcPr>
            <w:tcW w:w="1300" w:type="pct"/>
            <w:vAlign w:val="center"/>
          </w:tcPr>
          <w:p>
            <w:pPr>
              <w:spacing w:line="240" w:lineRule="auto"/>
              <w:jc w:val="right"/>
            </w:pPr>
            <w:r>
              <w:rPr>
                <w:rFonts w:ascii="宋体" w:hAnsi="宋体" w:eastAsia="宋体" w:cs="宋体"/>
                <w:b w:val="0"/>
              </w:rPr>
              <w:t>102,804,218.04</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东方阿尔法医疗健康混合发起A</w:t>
            </w:r>
          </w:p>
        </w:tc>
        <w:tc>
          <w:tcPr>
            <w:tcW w:w="950" w:type="pct"/>
            <w:vAlign w:val="center"/>
          </w:tcPr>
          <w:p>
            <w:pPr>
              <w:spacing w:line="240" w:lineRule="auto"/>
              <w:jc w:val="center"/>
            </w:pPr>
            <w:r>
              <w:rPr>
                <w:rFonts w:ascii="宋体" w:hAnsi="宋体" w:eastAsia="宋体" w:cs="宋体"/>
                <w:b w:val="0"/>
              </w:rPr>
              <w:t>东方阿尔法医疗健康混合发起C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rPr>
                <w:sz w:val="20"/>
                <w:szCs w:val="20"/>
              </w:rPr>
            </w:pPr>
            <w:r>
              <w:rPr>
                <w:rFonts w:ascii="宋体" w:hAnsi="宋体" w:eastAsia="宋体" w:cs="宋体"/>
                <w:b w:val="0"/>
                <w:sz w:val="20"/>
                <w:szCs w:val="20"/>
              </w:rPr>
              <w:t>报告期期初管理人持有的本基金份额</w:t>
            </w:r>
          </w:p>
        </w:tc>
        <w:tc>
          <w:tcPr>
            <w:tcW w:w="950" w:type="pct"/>
            <w:vAlign w:val="center"/>
          </w:tcPr>
          <w:p>
            <w:pPr>
              <w:spacing w:line="240" w:lineRule="auto"/>
              <w:jc w:val="right"/>
              <w:rPr>
                <w:sz w:val="20"/>
                <w:szCs w:val="20"/>
              </w:rPr>
            </w:pPr>
            <w:r>
              <w:rPr>
                <w:rFonts w:ascii="宋体" w:hAnsi="宋体" w:eastAsia="宋体" w:cs="宋体"/>
                <w:b w:val="0"/>
                <w:sz w:val="20"/>
                <w:szCs w:val="20"/>
              </w:rPr>
              <w:t>387,295.34</w:t>
            </w:r>
          </w:p>
        </w:tc>
        <w:tc>
          <w:tcPr>
            <w:tcW w:w="950" w:type="pct"/>
            <w:vAlign w:val="center"/>
          </w:tcPr>
          <w:p>
            <w:pPr>
              <w:spacing w:line="240" w:lineRule="auto"/>
              <w:jc w:val="right"/>
              <w:rPr>
                <w:sz w:val="20"/>
                <w:szCs w:val="20"/>
              </w:rPr>
            </w:pPr>
            <w:r>
              <w:rPr>
                <w:rFonts w:ascii="宋体" w:hAnsi="宋体" w:eastAsia="宋体" w:cs="宋体"/>
                <w:b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报告期期间买入/申购总份额</w:t>
            </w:r>
          </w:p>
        </w:tc>
        <w:tc>
          <w:tcPr>
            <w:tcW w:w="950" w:type="pct"/>
            <w:vAlign w:val="center"/>
          </w:tcPr>
          <w:p>
            <w:pPr>
              <w:spacing w:line="240" w:lineRule="auto"/>
              <w:jc w:val="right"/>
              <w:rPr>
                <w:sz w:val="20"/>
                <w:szCs w:val="20"/>
              </w:rPr>
            </w:pPr>
            <w:r>
              <w:rPr>
                <w:rFonts w:ascii="宋体" w:hAnsi="宋体" w:eastAsia="宋体" w:cs="宋体"/>
                <w:b w:val="0"/>
                <w:sz w:val="20"/>
                <w:szCs w:val="20"/>
              </w:rPr>
              <w:t>-</w:t>
            </w:r>
          </w:p>
        </w:tc>
        <w:tc>
          <w:tcPr>
            <w:tcW w:w="950" w:type="pct"/>
            <w:vAlign w:val="center"/>
          </w:tcPr>
          <w:p>
            <w:pPr>
              <w:spacing w:line="240" w:lineRule="auto"/>
              <w:jc w:val="right"/>
              <w:rPr>
                <w:sz w:val="20"/>
                <w:szCs w:val="20"/>
              </w:rPr>
            </w:pPr>
            <w:r>
              <w:rPr>
                <w:rFonts w:ascii="宋体" w:hAnsi="宋体" w:eastAsia="宋体" w:cs="宋体"/>
                <w:b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报告期期间卖出/赎回总份额</w:t>
            </w:r>
          </w:p>
        </w:tc>
        <w:tc>
          <w:tcPr>
            <w:tcW w:w="950" w:type="pct"/>
            <w:vAlign w:val="center"/>
          </w:tcPr>
          <w:p>
            <w:pPr>
              <w:spacing w:line="240" w:lineRule="auto"/>
              <w:jc w:val="right"/>
              <w:rPr>
                <w:sz w:val="20"/>
                <w:szCs w:val="20"/>
              </w:rPr>
            </w:pPr>
            <w:r>
              <w:rPr>
                <w:rFonts w:ascii="宋体" w:hAnsi="宋体" w:eastAsia="宋体" w:cs="宋体"/>
                <w:b w:val="0"/>
                <w:sz w:val="20"/>
                <w:szCs w:val="20"/>
              </w:rPr>
              <w:t>-</w:t>
            </w:r>
          </w:p>
        </w:tc>
        <w:tc>
          <w:tcPr>
            <w:tcW w:w="950" w:type="pct"/>
            <w:vAlign w:val="center"/>
          </w:tcPr>
          <w:p>
            <w:pPr>
              <w:spacing w:line="240" w:lineRule="auto"/>
              <w:jc w:val="right"/>
              <w:rPr>
                <w:sz w:val="20"/>
                <w:szCs w:val="20"/>
              </w:rPr>
            </w:pPr>
            <w:r>
              <w:rPr>
                <w:rFonts w:ascii="宋体" w:hAnsi="宋体" w:eastAsia="宋体" w:cs="宋体"/>
                <w:b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报告期期末管理人持有的本基金份额</w:t>
            </w:r>
          </w:p>
        </w:tc>
        <w:tc>
          <w:tcPr>
            <w:tcW w:w="950" w:type="pct"/>
            <w:vAlign w:val="center"/>
          </w:tcPr>
          <w:p>
            <w:pPr>
              <w:spacing w:line="240" w:lineRule="auto"/>
              <w:jc w:val="right"/>
              <w:rPr>
                <w:sz w:val="20"/>
                <w:szCs w:val="20"/>
              </w:rPr>
            </w:pPr>
            <w:r>
              <w:rPr>
                <w:rFonts w:ascii="宋体" w:hAnsi="宋体" w:eastAsia="宋体" w:cs="宋体"/>
                <w:b w:val="0"/>
                <w:sz w:val="20"/>
                <w:szCs w:val="20"/>
              </w:rPr>
              <w:t>387,295.34</w:t>
            </w:r>
          </w:p>
        </w:tc>
        <w:tc>
          <w:tcPr>
            <w:tcW w:w="950" w:type="pct"/>
            <w:vAlign w:val="center"/>
          </w:tcPr>
          <w:p>
            <w:pPr>
              <w:spacing w:line="240" w:lineRule="auto"/>
              <w:jc w:val="right"/>
              <w:rPr>
                <w:sz w:val="20"/>
                <w:szCs w:val="20"/>
              </w:rPr>
            </w:pPr>
            <w:r>
              <w:rPr>
                <w:rFonts w:ascii="宋体" w:hAnsi="宋体" w:eastAsia="宋体" w:cs="宋体"/>
                <w:b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rPr>
                <w:sz w:val="20"/>
                <w:szCs w:val="20"/>
              </w:rPr>
            </w:pPr>
            <w:r>
              <w:rPr>
                <w:rFonts w:ascii="宋体" w:hAnsi="宋体" w:eastAsia="宋体" w:cs="宋体"/>
                <w:b w:val="0"/>
                <w:sz w:val="20"/>
                <w:szCs w:val="20"/>
              </w:rPr>
              <w:t>报告期期末持有的本基金份额占基金总份额比例（%）</w:t>
            </w:r>
          </w:p>
        </w:tc>
        <w:tc>
          <w:tcPr>
            <w:tcW w:w="950" w:type="pct"/>
            <w:vAlign w:val="center"/>
          </w:tcPr>
          <w:p>
            <w:pPr>
              <w:spacing w:line="240" w:lineRule="auto"/>
              <w:jc w:val="right"/>
              <w:rPr>
                <w:sz w:val="20"/>
                <w:szCs w:val="20"/>
              </w:rPr>
            </w:pPr>
            <w:r>
              <w:rPr>
                <w:rFonts w:ascii="宋体" w:hAnsi="宋体" w:eastAsia="宋体" w:cs="宋体"/>
                <w:b w:val="0"/>
                <w:sz w:val="20"/>
                <w:szCs w:val="20"/>
              </w:rPr>
              <w:t>0.29</w:t>
            </w:r>
          </w:p>
        </w:tc>
        <w:tc>
          <w:tcPr>
            <w:tcW w:w="950" w:type="pct"/>
            <w:vAlign w:val="center"/>
          </w:tcPr>
          <w:p>
            <w:pPr>
              <w:spacing w:line="240" w:lineRule="auto"/>
              <w:jc w:val="right"/>
              <w:rPr>
                <w:sz w:val="20"/>
                <w:szCs w:val="20"/>
              </w:rPr>
            </w:pPr>
            <w:r>
              <w:rPr>
                <w:rFonts w:ascii="宋体" w:hAnsi="宋体" w:eastAsia="宋体" w:cs="宋体"/>
                <w:b w:val="0"/>
                <w:sz w:val="20"/>
                <w:szCs w:val="2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p>
      <w:r>
        <w:rPr>
          <w:rFonts w:ascii="宋体" w:hAnsi="宋体" w:eastAsia="宋体" w:cs="宋体"/>
          <w:b w:val="0"/>
        </w:rPr>
        <w:t xml:space="preserve">    本基金基金合同于2022年03月30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753"/>
        <w:gridCol w:w="1516"/>
        <w:gridCol w:w="1416"/>
        <w:gridCol w:w="1416"/>
        <w:gridCol w:w="1516"/>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rPr>
                <w:sz w:val="20"/>
                <w:szCs w:val="20"/>
              </w:rPr>
            </w:pPr>
            <w:r>
              <w:rPr>
                <w:rFonts w:ascii="宋体" w:hAnsi="宋体" w:eastAsia="宋体" w:cs="宋体"/>
                <w:b w:val="0"/>
                <w:sz w:val="20"/>
                <w:szCs w:val="20"/>
              </w:rPr>
              <w:t>机构</w:t>
            </w:r>
          </w:p>
        </w:tc>
        <w:tc>
          <w:tcPr>
            <w:tcW w:w="0" w:type="dxa"/>
            <w:vAlign w:val="center"/>
          </w:tcPr>
          <w:p>
            <w:pPr>
              <w:spacing w:line="240" w:lineRule="auto"/>
              <w:jc w:val="center"/>
              <w:rPr>
                <w:sz w:val="20"/>
                <w:szCs w:val="20"/>
              </w:rPr>
            </w:pPr>
            <w:r>
              <w:rPr>
                <w:rFonts w:ascii="宋体" w:hAnsi="宋体" w:eastAsia="宋体" w:cs="宋体"/>
                <w:b w:val="0"/>
                <w:sz w:val="20"/>
                <w:szCs w:val="20"/>
              </w:rPr>
              <w:t>1</w:t>
            </w:r>
          </w:p>
        </w:tc>
        <w:tc>
          <w:tcPr>
            <w:tcW w:w="0" w:type="dxa"/>
            <w:vAlign w:val="center"/>
          </w:tcPr>
          <w:p>
            <w:pPr>
              <w:spacing w:line="240" w:lineRule="auto"/>
              <w:jc w:val="center"/>
              <w:rPr>
                <w:sz w:val="20"/>
                <w:szCs w:val="20"/>
              </w:rPr>
            </w:pPr>
            <w:r>
              <w:rPr>
                <w:rFonts w:ascii="宋体" w:hAnsi="宋体" w:eastAsia="宋体" w:cs="宋体"/>
                <w:b w:val="0"/>
                <w:sz w:val="20"/>
                <w:szCs w:val="20"/>
              </w:rPr>
              <w:t>2026年05月08日-2026年06月30日</w:t>
            </w:r>
          </w:p>
        </w:tc>
        <w:tc>
          <w:tcPr>
            <w:tcW w:w="0" w:type="dxa"/>
            <w:vAlign w:val="center"/>
          </w:tcPr>
          <w:p>
            <w:pPr>
              <w:spacing w:line="240" w:lineRule="auto"/>
              <w:jc w:val="right"/>
              <w:rPr>
                <w:sz w:val="20"/>
                <w:szCs w:val="20"/>
              </w:rPr>
            </w:pPr>
            <w:r>
              <w:rPr>
                <w:rFonts w:ascii="宋体" w:hAnsi="宋体" w:eastAsia="宋体" w:cs="宋体"/>
                <w:b w:val="0"/>
                <w:sz w:val="20"/>
                <w:szCs w:val="20"/>
              </w:rPr>
              <w:t>21,970,711.17</w:t>
            </w:r>
          </w:p>
        </w:tc>
        <w:tc>
          <w:tcPr>
            <w:tcW w:w="0" w:type="dxa"/>
            <w:vAlign w:val="center"/>
          </w:tcPr>
          <w:p>
            <w:pPr>
              <w:spacing w:line="240" w:lineRule="auto"/>
              <w:jc w:val="right"/>
              <w:rPr>
                <w:sz w:val="20"/>
                <w:szCs w:val="20"/>
              </w:rPr>
            </w:pPr>
            <w:r>
              <w:rPr>
                <w:rFonts w:ascii="宋体" w:hAnsi="宋体" w:eastAsia="宋体" w:cs="宋体"/>
                <w:b w:val="0"/>
                <w:sz w:val="20"/>
                <w:szCs w:val="20"/>
              </w:rPr>
              <w:t>9,361,061.23</w:t>
            </w:r>
          </w:p>
        </w:tc>
        <w:tc>
          <w:tcPr>
            <w:tcW w:w="0" w:type="dxa"/>
            <w:vAlign w:val="center"/>
          </w:tcPr>
          <w:p>
            <w:pPr>
              <w:spacing w:line="240" w:lineRule="auto"/>
              <w:jc w:val="right"/>
              <w:rPr>
                <w:sz w:val="20"/>
                <w:szCs w:val="20"/>
              </w:rPr>
            </w:pPr>
            <w:r>
              <w:rPr>
                <w:rFonts w:ascii="宋体" w:hAnsi="宋体" w:eastAsia="宋体" w:cs="宋体"/>
                <w:b w:val="0"/>
                <w:sz w:val="20"/>
                <w:szCs w:val="20"/>
              </w:rPr>
              <w:t>1,204,668.45</w:t>
            </w:r>
          </w:p>
        </w:tc>
        <w:tc>
          <w:tcPr>
            <w:tcW w:w="0" w:type="dxa"/>
            <w:vAlign w:val="center"/>
          </w:tcPr>
          <w:p>
            <w:pPr>
              <w:spacing w:line="240" w:lineRule="auto"/>
              <w:jc w:val="right"/>
              <w:rPr>
                <w:sz w:val="20"/>
                <w:szCs w:val="20"/>
              </w:rPr>
            </w:pPr>
            <w:r>
              <w:rPr>
                <w:rFonts w:ascii="宋体" w:hAnsi="宋体" w:eastAsia="宋体" w:cs="宋体"/>
                <w:b w:val="0"/>
                <w:sz w:val="20"/>
                <w:szCs w:val="20"/>
              </w:rPr>
              <w:t>30,127,103.95</w:t>
            </w:r>
          </w:p>
        </w:tc>
        <w:tc>
          <w:tcPr>
            <w:tcW w:w="0" w:type="dxa"/>
            <w:vAlign w:val="center"/>
          </w:tcPr>
          <w:p>
            <w:pPr>
              <w:spacing w:line="240" w:lineRule="auto"/>
              <w:jc w:val="right"/>
              <w:rPr>
                <w:sz w:val="20"/>
                <w:szCs w:val="20"/>
              </w:rPr>
            </w:pPr>
            <w:r>
              <w:rPr>
                <w:rFonts w:ascii="宋体" w:hAnsi="宋体" w:eastAsia="宋体" w:cs="宋体"/>
                <w:b w:val="0"/>
                <w:sz w:val="20"/>
                <w:szCs w:val="20"/>
              </w:rPr>
              <w:t>22.41%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w:t>
            </w:r>
            <w:r>
              <w:rPr>
                <w:rFonts w:ascii="宋体" w:hAnsi="宋体" w:eastAsia="宋体" w:cs="宋体"/>
                <w:b w:val="0"/>
                <w:sz w:val="20"/>
                <w:szCs w:val="20"/>
              </w:rPr>
              <w:t>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sz w:val="20"/>
                <w:szCs w:val="20"/>
              </w:rPr>
              <w:br w:type="textWrapping"/>
            </w:r>
            <w:r>
              <w:rPr>
                <w:rFonts w:ascii="宋体" w:hAnsi="宋体" w:eastAsia="宋体" w:cs="宋体"/>
                <w:b w:val="0"/>
                <w:sz w:val="20"/>
                <w:szCs w:val="2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sz w:val="20"/>
                <w:szCs w:val="20"/>
              </w:rPr>
              <w:br w:type="textWrapping"/>
            </w:r>
            <w:r>
              <w:rPr>
                <w:rFonts w:ascii="宋体" w:hAnsi="宋体" w:eastAsia="宋体" w:cs="宋体"/>
                <w:b w:val="0"/>
                <w:sz w:val="20"/>
                <w:szCs w:val="2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sz w:val="20"/>
                <w:szCs w:val="20"/>
              </w:rPr>
              <w:br w:type="textWrapping"/>
            </w:r>
            <w:r>
              <w:rPr>
                <w:rFonts w:ascii="宋体" w:hAnsi="宋体" w:eastAsia="宋体" w:cs="宋体"/>
                <w:b w:val="0"/>
                <w:sz w:val="20"/>
                <w:szCs w:val="20"/>
              </w:rPr>
              <w:t xml:space="preserve">    3、单一投资者巨额赎回可能导致本基金在短时间内无法变现足够的资产予以应对，可能会导致基金仓位调整困难，发生流动性风险。</w:t>
            </w:r>
            <w:r>
              <w:rPr>
                <w:rFonts w:ascii="宋体" w:hAnsi="宋体" w:eastAsia="宋体" w:cs="宋体"/>
                <w:b w:val="0"/>
                <w:sz w:val="20"/>
                <w:szCs w:val="20"/>
              </w:rPr>
              <w:br w:type="textWrapping"/>
            </w:r>
            <w:r>
              <w:rPr>
                <w:rFonts w:ascii="宋体" w:hAnsi="宋体" w:eastAsia="宋体" w:cs="宋体"/>
                <w:b w:val="0"/>
                <w:sz w:val="20"/>
                <w:szCs w:val="20"/>
              </w:rPr>
              <w:t xml:space="preserve">    4、持有基金份额占比较高的投资者在召开基金份额持有人大会并对重大事项进行投票表决时，可能拥有较大话语权。</w:t>
            </w:r>
            <w:r>
              <w:rPr>
                <w:rFonts w:ascii="宋体" w:hAnsi="宋体" w:eastAsia="宋体" w:cs="宋体"/>
                <w:b w:val="0"/>
                <w:sz w:val="20"/>
                <w:szCs w:val="20"/>
              </w:rPr>
              <w:br w:type="textWrapping"/>
            </w:r>
            <w:r>
              <w:rPr>
                <w:rFonts w:ascii="宋体" w:hAnsi="宋体" w:eastAsia="宋体" w:cs="宋体"/>
                <w:b w:val="0"/>
                <w:sz w:val="20"/>
                <w:szCs w:val="20"/>
              </w:rPr>
              <w:t xml:space="preserve">    5、超出基金管理人允许的单一投资者持有基金份额比例的申购申请不被确认的风险。</w:t>
            </w:r>
          </w:p>
        </w:tc>
      </w:tr>
    </w:tbl>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1、中国证券监督管理委员会批准的东方阿尔法医疗健康混合型发起式证券投资基金设立的文件；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2、《东方阿尔法医疗健康混合型发起式证券投资基金基金合同》；</w:t>
      </w:r>
      <w:r>
        <w:rPr>
          <w:rFonts w:ascii="宋体" w:hAnsi="宋体" w:eastAsia="宋体" w:cs="宋体"/>
          <w:b w:val="0"/>
        </w:rPr>
        <w:br w:type="textWrapping"/>
      </w:r>
      <w:r>
        <w:rPr>
          <w:rFonts w:ascii="宋体" w:hAnsi="宋体" w:eastAsia="宋体" w:cs="宋体"/>
          <w:b w:val="0"/>
        </w:rPr>
        <w:t xml:space="preserve">    3、《东方阿尔法医疗健康混合型发起式证券投资基金托管协议》；</w:t>
      </w:r>
      <w:r>
        <w:rPr>
          <w:rFonts w:ascii="宋体" w:hAnsi="宋体" w:eastAsia="宋体" w:cs="宋体"/>
          <w:b w:val="0"/>
        </w:rPr>
        <w:br w:type="textWrapping"/>
      </w:r>
      <w:r>
        <w:rPr>
          <w:rFonts w:ascii="宋体" w:hAnsi="宋体" w:eastAsia="宋体" w:cs="宋体"/>
          <w:b w:val="0"/>
        </w:rPr>
        <w:t xml:space="preserve">    4、《东方阿尔法医疗健康混合型发起式证券投资基金招募说明书》（含更新）；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bookmarkStart w:id="1" w:name="_GoBack"/>
      <w:bookmarkEnd w:id="1"/>
    </w:p>
    <w:p>
      <w:pPr>
        <w:spacing w:line="240" w:lineRule="auto"/>
      </w:pPr>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二〇二六年七月二十日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东方阿尔法医疗健康混合型发起式证券投资基金2026年第2季度报告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3715234"/>
    <w:rsid w:val="17FF4F08"/>
    <w:rsid w:val="312016A7"/>
    <w:rsid w:val="328572ED"/>
    <w:rsid w:val="3E9A1429"/>
    <w:rsid w:val="5D44477A"/>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52</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2026-07-14T00:49:17Z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