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东方阿尔法增利债券型发起式证券投资基金</w:t>
      </w:r>
    </w:p>
    <w:p>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2026年第2季度报告</w:t>
      </w:r>
    </w:p>
    <w:p>
      <w:pPr>
        <w:pStyle w:val="19"/>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2026年06月30日</w:t>
      </w: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招商银行股份有限公司</w:t>
      </w: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2026年07月20日</w:t>
      </w:r>
    </w:p>
    <w:p>
      <w:pPr>
        <w:jc w:val="center"/>
      </w:pPr>
      <w:r>
        <w:br w:type="page"/>
      </w:r>
    </w:p>
    <w:p>
      <w:pPr>
        <w:pStyle w:val="2"/>
        <w:spacing w:line="576" w:lineRule="auto"/>
        <w:jc w:val="center"/>
        <w:rPr>
          <w:rFonts w:ascii="宋体" w:hAnsi="宋体" w:eastAsia="宋体"/>
          <w:sz w:val="24"/>
          <w:szCs w:val="24"/>
        </w:rPr>
      </w:pPr>
      <w:bookmarkStart w:id="0" w:name="_Toc73379713"/>
      <w:r>
        <w:rPr>
          <w:rFonts w:hint="eastAsia" w:ascii="宋体" w:hAnsi="宋体" w:eastAsia="宋体"/>
          <w:bCs w:val="0"/>
          <w:sz w:val="24"/>
          <w:szCs w:val="24"/>
        </w:rPr>
        <w:t>§1 重要提示</w:t>
      </w:r>
      <w:bookmarkEnd w:id="0"/>
    </w:p>
    <w:p>
      <w:pPr>
        <w:widowControl/>
        <w:rPr>
          <w:rFonts w:ascii="宋体" w:hAnsi="宋体" w:eastAsia="宋体"/>
        </w:rPr>
      </w:pPr>
      <w:r>
        <w:t xml:space="preserve">    基金管理人的董事会及董事保证本报告所载资料不存在虚假记载、误导性陈述或重大遗漏，并对其内容的真实性、准确性和完整性承担个别及连带责任。</w:t>
      </w:r>
      <w:r>
        <w:cr/>
      </w:r>
      <w:r>
        <w:t xml:space="preserve">    基金托管人招商银行股份有限公司根据本基金合同规定，于2026年07月14日复核了本报告中的财务指标、净值表现和投资组合报告等内容，保证复核内容不存在虚假记载、误导性陈述或者重大遗漏。</w:t>
      </w:r>
      <w:r>
        <w:cr/>
      </w:r>
      <w:r>
        <w:t xml:space="preserve">    基金管理人承诺以诚实信用、勤勉尽责的原则管理和运用基金资产，但不保证基金一定盈利。</w:t>
      </w:r>
      <w:r>
        <w:cr/>
      </w:r>
      <w:r>
        <w:t xml:space="preserve">    基金的过往业绩并不代表其未来表现。投资有风险，投资者在做出投资决策前应仔细阅读本基金的招募说明书。</w:t>
      </w:r>
      <w:r>
        <w:cr/>
      </w:r>
      <w:r>
        <w:t xml:space="preserve">    本报告中财务资料未经审计。</w:t>
      </w:r>
      <w:r>
        <w:cr/>
      </w:r>
      <w:r>
        <w:t xml:space="preserve">    本报告期自2026年06月02日（基金合同生效日）起至2026年06月30日止。</w:t>
      </w:r>
    </w:p>
    <w:p/>
    <w:p>
      <w:pPr>
        <w:pStyle w:val="2"/>
        <w:jc w:val="center"/>
      </w:pPr>
      <w:r>
        <w:rPr>
          <w:rFonts w:ascii="宋体" w:hAnsi="宋体" w:eastAsia="宋体" w:cs="宋体"/>
        </w:rPr>
        <w:t>§2 基金产品概况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23" w:type="pct"/>
            <w:vAlign w:val="center"/>
          </w:tcPr>
          <w:p>
            <w:pPr>
              <w:spacing w:line="240" w:lineRule="auto"/>
              <w:jc w:val="left"/>
            </w:pPr>
            <w:r>
              <w:rPr>
                <w:rFonts w:ascii="宋体" w:hAnsi="宋体" w:eastAsia="宋体" w:cs="宋体"/>
                <w:b w:val="0"/>
              </w:rPr>
              <w:t>基金简称</w:t>
            </w:r>
          </w:p>
        </w:tc>
        <w:tc>
          <w:tcPr>
            <w:tcW w:w="3077" w:type="pct"/>
            <w:gridSpan w:val="2"/>
            <w:vAlign w:val="center"/>
          </w:tcPr>
          <w:p>
            <w:pPr>
              <w:spacing w:line="240" w:lineRule="auto"/>
              <w:jc w:val="left"/>
            </w:pPr>
            <w:r>
              <w:rPr>
                <w:rFonts w:ascii="宋体" w:hAnsi="宋体" w:eastAsia="宋体" w:cs="宋体"/>
                <w:b w:val="0"/>
              </w:rPr>
              <w:t>东方阿尔法增利债券发起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基金主代码</w:t>
            </w:r>
          </w:p>
        </w:tc>
        <w:tc>
          <w:tcPr>
            <w:tcW w:w="0" w:type="dxa"/>
            <w:gridSpan w:val="2"/>
            <w:vAlign w:val="center"/>
          </w:tcPr>
          <w:p>
            <w:pPr>
              <w:spacing w:line="240" w:lineRule="auto"/>
              <w:jc w:val="left"/>
            </w:pPr>
            <w:r>
              <w:rPr>
                <w:rFonts w:ascii="宋体" w:hAnsi="宋体" w:eastAsia="宋体" w:cs="宋体"/>
                <w:b w:val="0"/>
              </w:rPr>
              <w:t>027654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基金运作方式</w:t>
            </w:r>
          </w:p>
        </w:tc>
        <w:tc>
          <w:tcPr>
            <w:tcW w:w="0" w:type="dxa"/>
            <w:gridSpan w:val="2"/>
            <w:vAlign w:val="center"/>
          </w:tcPr>
          <w:p>
            <w:pPr>
              <w:spacing w:line="240" w:lineRule="auto"/>
              <w:jc w:val="left"/>
            </w:pPr>
            <w:r>
              <w:rPr>
                <w:rFonts w:ascii="宋体" w:hAnsi="宋体" w:eastAsia="宋体" w:cs="宋体"/>
                <w:b w:val="0"/>
              </w:rPr>
              <w:t>契约型开放式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基金合同生效日</w:t>
            </w:r>
          </w:p>
        </w:tc>
        <w:tc>
          <w:tcPr>
            <w:tcW w:w="0" w:type="dxa"/>
            <w:gridSpan w:val="2"/>
            <w:vAlign w:val="center"/>
          </w:tcPr>
          <w:p>
            <w:pPr>
              <w:spacing w:line="240" w:lineRule="auto"/>
              <w:jc w:val="left"/>
            </w:pPr>
            <w:r>
              <w:rPr>
                <w:rFonts w:ascii="宋体" w:hAnsi="宋体" w:eastAsia="宋体" w:cs="宋体"/>
                <w:b w:val="0"/>
              </w:rPr>
              <w:t>2026年06月02日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报告期末基金份额总额</w:t>
            </w:r>
          </w:p>
        </w:tc>
        <w:tc>
          <w:tcPr>
            <w:tcW w:w="0" w:type="dxa"/>
            <w:gridSpan w:val="2"/>
            <w:vAlign w:val="center"/>
          </w:tcPr>
          <w:p>
            <w:pPr>
              <w:spacing w:line="240" w:lineRule="auto"/>
              <w:jc w:val="left"/>
            </w:pPr>
            <w:r>
              <w:rPr>
                <w:rFonts w:ascii="宋体" w:hAnsi="宋体" w:eastAsia="宋体" w:cs="宋体"/>
                <w:b w:val="0"/>
              </w:rPr>
              <w:t>10,911,725.73份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投资目标</w:t>
            </w:r>
          </w:p>
        </w:tc>
        <w:tc>
          <w:tcPr>
            <w:tcW w:w="2592" w:type="pct"/>
            <w:gridSpan w:val="2"/>
            <w:vAlign w:val="center"/>
          </w:tcPr>
          <w:p>
            <w:pPr>
              <w:spacing w:line="240" w:lineRule="auto"/>
              <w:jc w:val="left"/>
            </w:pPr>
            <w:r>
              <w:rPr>
                <w:rFonts w:ascii="宋体" w:hAnsi="宋体" w:eastAsia="宋体" w:cs="宋体"/>
                <w:b w:val="0"/>
              </w:rPr>
              <w:t>本基金在严格的风险控制的基础上,力争实现基金资产的稳健增值。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投资策略</w:t>
            </w:r>
          </w:p>
        </w:tc>
        <w:tc>
          <w:tcPr>
            <w:tcW w:w="0" w:type="dxa"/>
            <w:gridSpan w:val="2"/>
            <w:vAlign w:val="center"/>
          </w:tcPr>
          <w:p>
            <w:pPr>
              <w:spacing w:line="240" w:lineRule="auto"/>
              <w:jc w:val="left"/>
            </w:pPr>
            <w:r>
              <w:rPr>
                <w:rFonts w:ascii="宋体" w:hAnsi="宋体" w:eastAsia="宋体" w:cs="宋体"/>
                <w:b w:val="0"/>
              </w:rPr>
              <w:t>本基金的投资策略主要有以7个方面内容：</w:t>
            </w:r>
            <w:r>
              <w:rPr>
                <w:rFonts w:ascii="宋体" w:hAnsi="宋体" w:eastAsia="宋体" w:cs="宋体"/>
                <w:b w:val="0"/>
              </w:rPr>
              <w:br w:type="textWrapping"/>
            </w:r>
            <w:r>
              <w:rPr>
                <w:rFonts w:ascii="宋体" w:hAnsi="宋体" w:eastAsia="宋体" w:cs="宋体"/>
                <w:b w:val="0"/>
              </w:rPr>
              <w:t>1、资产配置策略</w:t>
            </w:r>
            <w:r>
              <w:rPr>
                <w:rFonts w:ascii="宋体" w:hAnsi="宋体" w:eastAsia="宋体" w:cs="宋体"/>
                <w:b w:val="0"/>
              </w:rPr>
              <w:br w:type="textWrapping"/>
            </w:r>
            <w:r>
              <w:rPr>
                <w:rFonts w:ascii="宋体" w:hAnsi="宋体" w:eastAsia="宋体" w:cs="宋体"/>
                <w:b w:val="0"/>
              </w:rPr>
              <w:t>本基金将根据国内外宏观经济、政策环境、利率走势、市场技术指标、市场资金构成及流动性情况不断调整权益类资产和其他资产之间的大类资产配置比例。</w:t>
            </w:r>
            <w:r>
              <w:rPr>
                <w:rFonts w:ascii="宋体" w:hAnsi="宋体" w:eastAsia="宋体" w:cs="宋体"/>
                <w:b w:val="0"/>
              </w:rPr>
              <w:br w:type="textWrapping"/>
            </w:r>
            <w:r>
              <w:rPr>
                <w:rFonts w:ascii="宋体" w:hAnsi="宋体" w:eastAsia="宋体" w:cs="宋体"/>
                <w:b w:val="0"/>
              </w:rPr>
              <w:t>2、债券投资策略</w:t>
            </w:r>
            <w:r>
              <w:rPr>
                <w:rFonts w:ascii="宋体" w:hAnsi="宋体" w:eastAsia="宋体" w:cs="宋体"/>
                <w:b w:val="0"/>
              </w:rPr>
              <w:br w:type="textWrapping"/>
            </w:r>
            <w:r>
              <w:rPr>
                <w:rFonts w:ascii="宋体" w:hAnsi="宋体" w:eastAsia="宋体" w:cs="宋体"/>
                <w:b w:val="0"/>
              </w:rPr>
              <w:t>本基金主要采用债券类属配置策略、久期管理策略、收益率曲线策略、信用策略（含资产支持证券）、可转换债券和可交换债券投资策略以及回购策略，对债券投资进行管理。</w:t>
            </w:r>
            <w:r>
              <w:rPr>
                <w:rFonts w:ascii="宋体" w:hAnsi="宋体" w:eastAsia="宋体" w:cs="宋体"/>
                <w:b w:val="0"/>
              </w:rPr>
              <w:br w:type="textWrapping"/>
            </w:r>
            <w:r>
              <w:rPr>
                <w:rFonts w:ascii="宋体" w:hAnsi="宋体" w:eastAsia="宋体" w:cs="宋体"/>
                <w:b w:val="0"/>
              </w:rPr>
              <w:t>3、股票投资策略</w:t>
            </w:r>
            <w:r>
              <w:rPr>
                <w:rFonts w:ascii="宋体" w:hAnsi="宋体" w:eastAsia="宋体" w:cs="宋体"/>
                <w:b w:val="0"/>
              </w:rPr>
              <w:br w:type="textWrapping"/>
            </w:r>
            <w:r>
              <w:rPr>
                <w:rFonts w:ascii="宋体" w:hAnsi="宋体" w:eastAsia="宋体" w:cs="宋体"/>
                <w:b w:val="0"/>
              </w:rPr>
              <w:t>采用“自下而上”的个股精选策略，基于公司内部研究团队对于个股的基本面的深入研究和细致的实地调研，有效挖掘价值低估及具有增长潜力的个股。</w:t>
            </w:r>
            <w:r>
              <w:rPr>
                <w:rFonts w:ascii="宋体" w:hAnsi="宋体" w:eastAsia="宋体" w:cs="宋体"/>
                <w:b w:val="0"/>
              </w:rPr>
              <w:br w:type="textWrapping"/>
            </w:r>
            <w:r>
              <w:rPr>
                <w:rFonts w:ascii="宋体" w:hAnsi="宋体" w:eastAsia="宋体" w:cs="宋体"/>
                <w:b w:val="0"/>
              </w:rPr>
              <w:t>4、存托凭证投资策略</w:t>
            </w:r>
            <w:r>
              <w:rPr>
                <w:rFonts w:ascii="宋体" w:hAnsi="宋体" w:eastAsia="宋体" w:cs="宋体"/>
                <w:b w:val="0"/>
              </w:rPr>
              <w:br w:type="textWrapping"/>
            </w:r>
            <w:r>
              <w:rPr>
                <w:rFonts w:ascii="宋体" w:hAnsi="宋体" w:eastAsia="宋体" w:cs="宋体"/>
                <w:b w:val="0"/>
              </w:rPr>
              <w:t>本基金将根据本基金的投资目标和股票投资策略，基于对基础证券投资价值的深入研究判断，进行存托凭证的投资。</w:t>
            </w:r>
            <w:r>
              <w:rPr>
                <w:rFonts w:ascii="宋体" w:hAnsi="宋体" w:eastAsia="宋体" w:cs="宋体"/>
                <w:b w:val="0"/>
              </w:rPr>
              <w:br w:type="textWrapping"/>
            </w:r>
            <w:r>
              <w:rPr>
                <w:rFonts w:ascii="宋体" w:hAnsi="宋体" w:eastAsia="宋体" w:cs="宋体"/>
                <w:b w:val="0"/>
              </w:rPr>
              <w:t>5、港股投资策略</w:t>
            </w:r>
            <w:r>
              <w:rPr>
                <w:rFonts w:ascii="宋体" w:hAnsi="宋体" w:eastAsia="宋体" w:cs="宋体"/>
                <w:b w:val="0"/>
              </w:rPr>
              <w:br w:type="textWrapping"/>
            </w:r>
            <w:r>
              <w:rPr>
                <w:rFonts w:ascii="宋体" w:hAnsi="宋体" w:eastAsia="宋体" w:cs="宋体"/>
                <w:b w:val="0"/>
              </w:rPr>
              <w:t>本基金通过港股通投资港股，结合宏观基本面与资金流向，依托产业趋势，从企业商业模式、竞争力、营收情况等多维度自下而上精选优质港股标的。</w:t>
            </w:r>
            <w:r>
              <w:rPr>
                <w:rFonts w:ascii="宋体" w:hAnsi="宋体" w:eastAsia="宋体" w:cs="宋体"/>
                <w:b w:val="0"/>
              </w:rPr>
              <w:br w:type="textWrapping"/>
            </w:r>
            <w:r>
              <w:rPr>
                <w:rFonts w:ascii="宋体" w:hAnsi="宋体" w:eastAsia="宋体" w:cs="宋体"/>
                <w:b w:val="0"/>
              </w:rPr>
              <w:t>6、基金投资策略</w:t>
            </w:r>
            <w:r>
              <w:rPr>
                <w:rFonts w:ascii="宋体" w:hAnsi="宋体" w:eastAsia="宋体" w:cs="宋体"/>
                <w:b w:val="0"/>
              </w:rPr>
              <w:br w:type="textWrapping"/>
            </w:r>
            <w:r>
              <w:rPr>
                <w:rFonts w:ascii="宋体" w:hAnsi="宋体" w:eastAsia="宋体" w:cs="宋体"/>
                <w:b w:val="0"/>
              </w:rPr>
              <w:t>本基金投资权益类基金采取分类施策策略，对主动管理型基金以定量与定性结合的自下而上方式精选业绩稳、风格明确的优质标的，对被动指数型基金结合宏观与政策研判，布局长期景气指数并捕捉各类指数阶段性机会增厚收益。</w:t>
            </w:r>
            <w:r>
              <w:rPr>
                <w:rFonts w:ascii="宋体" w:hAnsi="宋体" w:eastAsia="宋体" w:cs="宋体"/>
                <w:b w:val="0"/>
              </w:rPr>
              <w:br w:type="textWrapping"/>
            </w:r>
            <w:r>
              <w:rPr>
                <w:rFonts w:ascii="宋体" w:hAnsi="宋体" w:eastAsia="宋体" w:cs="宋体"/>
                <w:b w:val="0"/>
              </w:rPr>
              <w:t>7、国债期货投资策略</w:t>
            </w:r>
            <w:r>
              <w:rPr>
                <w:rFonts w:ascii="宋体" w:hAnsi="宋体" w:eastAsia="宋体" w:cs="宋体"/>
                <w:b w:val="0"/>
              </w:rPr>
              <w:br w:type="textWrapping"/>
            </w:r>
            <w:r>
              <w:rPr>
                <w:rFonts w:ascii="宋体" w:hAnsi="宋体" w:eastAsia="宋体" w:cs="宋体"/>
                <w:b w:val="0"/>
              </w:rPr>
              <w:t>本基金以套期保值为主要目的，参与国债期货的投资，以管理投资组合的系统性风险，改善组合的风险收益特性。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业绩比较基准</w:t>
            </w:r>
          </w:p>
        </w:tc>
        <w:tc>
          <w:tcPr>
            <w:tcW w:w="0" w:type="dxa"/>
            <w:gridSpan w:val="2"/>
            <w:vAlign w:val="center"/>
          </w:tcPr>
          <w:p>
            <w:pPr>
              <w:spacing w:line="240" w:lineRule="auto"/>
              <w:jc w:val="left"/>
            </w:pPr>
            <w:r>
              <w:rPr>
                <w:rFonts w:ascii="宋体" w:hAnsi="宋体" w:eastAsia="宋体" w:cs="宋体"/>
                <w:b w:val="0"/>
              </w:rPr>
              <w:t>中债-综合全价（总值）指数收益率×85%+沪深300指数收益率×10%+中证港股通综合指数（人民币）收益率*5%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风险收益特征</w:t>
            </w:r>
          </w:p>
        </w:tc>
        <w:tc>
          <w:tcPr>
            <w:tcW w:w="2592" w:type="pct"/>
            <w:gridSpan w:val="2"/>
            <w:vAlign w:val="center"/>
          </w:tcPr>
          <w:p>
            <w:pPr>
              <w:spacing w:line="240" w:lineRule="auto"/>
              <w:jc w:val="left"/>
            </w:pPr>
            <w:r>
              <w:rPr>
                <w:rFonts w:ascii="宋体" w:hAnsi="宋体" w:eastAsia="宋体" w:cs="宋体"/>
                <w:b w:val="0"/>
              </w:rPr>
              <w:t>本基金为债券型基金，其预期风险与预期收益高于货币市场基金，低于混合型基金和股票型基金。本基金如果投资港股通标的股票，需承担汇率风险以及境外市场的风险。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基金管理人</w:t>
            </w:r>
          </w:p>
        </w:tc>
        <w:tc>
          <w:tcPr>
            <w:tcW w:w="0" w:type="dxa"/>
            <w:gridSpan w:val="2"/>
            <w:vAlign w:val="center"/>
          </w:tcPr>
          <w:p>
            <w:pPr>
              <w:spacing w:line="240" w:lineRule="auto"/>
              <w:jc w:val="left"/>
            </w:pPr>
            <w:r>
              <w:rPr>
                <w:rFonts w:ascii="宋体" w:hAnsi="宋体" w:eastAsia="宋体" w:cs="宋体"/>
                <w:b w:val="0"/>
              </w:rPr>
              <w:t>东方阿尔法基金管理有限公司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基金托管人</w:t>
            </w:r>
          </w:p>
        </w:tc>
        <w:tc>
          <w:tcPr>
            <w:tcW w:w="0" w:type="dxa"/>
            <w:gridSpan w:val="2"/>
            <w:vAlign w:val="center"/>
          </w:tcPr>
          <w:p>
            <w:pPr>
              <w:spacing w:line="240" w:lineRule="auto"/>
              <w:jc w:val="left"/>
            </w:pPr>
            <w:r>
              <w:rPr>
                <w:rFonts w:ascii="宋体" w:hAnsi="宋体" w:eastAsia="宋体" w:cs="宋体"/>
                <w:b w:val="0"/>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下属分级基金的基金简称</w:t>
            </w:r>
          </w:p>
        </w:tc>
        <w:tc>
          <w:tcPr>
            <w:tcW w:w="1500" w:type="pct"/>
            <w:vAlign w:val="center"/>
          </w:tcPr>
          <w:p>
            <w:pPr>
              <w:spacing w:line="240" w:lineRule="auto"/>
              <w:jc w:val="left"/>
            </w:pPr>
            <w:r>
              <w:rPr>
                <w:rFonts w:ascii="宋体" w:hAnsi="宋体" w:eastAsia="宋体" w:cs="宋体"/>
                <w:b w:val="0"/>
              </w:rPr>
              <w:t>东方阿尔法增利债券发起A</w:t>
            </w:r>
          </w:p>
        </w:tc>
        <w:tc>
          <w:tcPr>
            <w:tcW w:w="1500" w:type="pct"/>
            <w:vAlign w:val="center"/>
          </w:tcPr>
          <w:p>
            <w:pPr>
              <w:spacing w:line="240" w:lineRule="auto"/>
              <w:jc w:val="left"/>
            </w:pPr>
            <w:r>
              <w:rPr>
                <w:rFonts w:ascii="宋体" w:hAnsi="宋体" w:eastAsia="宋体" w:cs="宋体"/>
                <w:b w:val="0"/>
              </w:rPr>
              <w:t>东方阿尔法增利债券发起C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下属分级基金的交易代码</w:t>
            </w:r>
          </w:p>
        </w:tc>
        <w:tc>
          <w:tcPr>
            <w:tcW w:w="1500" w:type="pct"/>
            <w:vAlign w:val="center"/>
          </w:tcPr>
          <w:p>
            <w:pPr>
              <w:spacing w:line="240" w:lineRule="auto"/>
              <w:jc w:val="left"/>
            </w:pPr>
            <w:r>
              <w:rPr>
                <w:rFonts w:ascii="宋体" w:hAnsi="宋体" w:eastAsia="宋体" w:cs="宋体"/>
                <w:b w:val="0"/>
              </w:rPr>
              <w:t>027654</w:t>
            </w:r>
          </w:p>
        </w:tc>
        <w:tc>
          <w:tcPr>
            <w:tcW w:w="1500" w:type="pct"/>
            <w:vAlign w:val="center"/>
          </w:tcPr>
          <w:p>
            <w:pPr>
              <w:spacing w:line="240" w:lineRule="auto"/>
              <w:jc w:val="left"/>
            </w:pPr>
            <w:r>
              <w:rPr>
                <w:rFonts w:ascii="宋体" w:hAnsi="宋体" w:eastAsia="宋体" w:cs="宋体"/>
                <w:b w:val="0"/>
              </w:rPr>
              <w:t>027655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报告期末下属分级基金的份额总额</w:t>
            </w:r>
          </w:p>
        </w:tc>
        <w:tc>
          <w:tcPr>
            <w:tcW w:w="1500" w:type="pct"/>
            <w:vAlign w:val="center"/>
          </w:tcPr>
          <w:p>
            <w:pPr>
              <w:spacing w:line="240" w:lineRule="auto"/>
              <w:jc w:val="left"/>
            </w:pPr>
            <w:r>
              <w:rPr>
                <w:rFonts w:ascii="宋体" w:hAnsi="宋体" w:eastAsia="宋体" w:cs="宋体"/>
                <w:b w:val="0"/>
              </w:rPr>
              <w:t>10,410,237.96份</w:t>
            </w:r>
          </w:p>
        </w:tc>
        <w:tc>
          <w:tcPr>
            <w:tcW w:w="1500" w:type="pct"/>
            <w:vAlign w:val="center"/>
          </w:tcPr>
          <w:p>
            <w:pPr>
              <w:spacing w:line="240" w:lineRule="auto"/>
              <w:jc w:val="left"/>
            </w:pPr>
            <w:r>
              <w:rPr>
                <w:rFonts w:ascii="宋体" w:hAnsi="宋体" w:eastAsia="宋体" w:cs="宋体"/>
                <w:b w:val="0"/>
              </w:rPr>
              <w:t>501,487.77份</w:t>
            </w:r>
          </w:p>
        </w:tc>
      </w:tr>
    </w:tbl>
    <w:p>
      <w:pPr>
        <w:pStyle w:val="2"/>
        <w:jc w:val="center"/>
      </w:pPr>
      <w:r>
        <w:rPr>
          <w:rFonts w:ascii="宋体" w:hAnsi="宋体" w:eastAsia="宋体" w:cs="宋体"/>
        </w:rPr>
        <w:t>§3 主要财务指标和基金净值表现</w:t>
      </w:r>
    </w:p>
    <w:p>
      <w:pPr>
        <w:pStyle w:val="3"/>
        <w:jc w:val="left"/>
      </w:pPr>
      <w:r>
        <w:rPr>
          <w:rFonts w:ascii="宋体" w:hAnsi="宋体" w:eastAsia="宋体" w:cs="宋体"/>
        </w:rPr>
        <w:t>3.1 主要财务指标</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Merge w:val="restart"/>
            <w:shd w:val="clear" w:color="auto" w:fill="D9D9D9"/>
            <w:vAlign w:val="center"/>
          </w:tcPr>
          <w:p>
            <w:pPr>
              <w:spacing w:line="240" w:lineRule="auto"/>
              <w:jc w:val="center"/>
            </w:pPr>
            <w:r>
              <w:rPr>
                <w:rFonts w:ascii="宋体" w:hAnsi="宋体" w:eastAsia="宋体" w:cs="宋体"/>
                <w:b/>
              </w:rPr>
              <w:t>主要财务指标</w:t>
            </w:r>
          </w:p>
        </w:tc>
        <w:tc>
          <w:tcPr>
            <w:tcW w:w="3077" w:type="pct"/>
            <w:gridSpan w:val="2"/>
            <w:shd w:val="clear" w:color="auto" w:fill="D9D9D9"/>
            <w:vAlign w:val="center"/>
          </w:tcPr>
          <w:p>
            <w:pPr>
              <w:spacing w:line="240" w:lineRule="auto"/>
              <w:jc w:val="center"/>
            </w:pPr>
            <w:r>
              <w:rPr>
                <w:rFonts w:ascii="宋体" w:hAnsi="宋体" w:eastAsia="宋体" w:cs="宋体"/>
                <w:b w:val="0"/>
              </w:rPr>
              <w:t>报告期（2026年06月02日（基金合同生效日）-2026年06月30日）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1500" w:type="pct"/>
            <w:shd w:val="clear" w:color="auto" w:fill="D9D9D9"/>
            <w:vAlign w:val="center"/>
          </w:tcPr>
          <w:p>
            <w:pPr>
              <w:spacing w:line="240" w:lineRule="auto"/>
              <w:jc w:val="center"/>
            </w:pPr>
            <w:r>
              <w:rPr>
                <w:rFonts w:ascii="宋体" w:hAnsi="宋体" w:eastAsia="宋体" w:cs="宋体"/>
                <w:b w:val="0"/>
              </w:rPr>
              <w:t>东方阿尔法增利债券发起A</w:t>
            </w:r>
          </w:p>
        </w:tc>
        <w:tc>
          <w:tcPr>
            <w:tcW w:w="1500" w:type="pct"/>
            <w:shd w:val="clear" w:color="auto" w:fill="D9D9D9"/>
            <w:vAlign w:val="center"/>
          </w:tcPr>
          <w:p>
            <w:pPr>
              <w:spacing w:line="240" w:lineRule="auto"/>
              <w:jc w:val="center"/>
            </w:pPr>
            <w:r>
              <w:rPr>
                <w:rFonts w:ascii="宋体" w:hAnsi="宋体" w:eastAsia="宋体" w:cs="宋体"/>
                <w:b w:val="0"/>
              </w:rPr>
              <w:t>东方阿尔法增利债券发起C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1.本期已实现收益</w:t>
            </w:r>
          </w:p>
        </w:tc>
        <w:tc>
          <w:tcPr>
            <w:tcW w:w="1500" w:type="pct"/>
            <w:vAlign w:val="center"/>
          </w:tcPr>
          <w:p>
            <w:pPr>
              <w:spacing w:line="240" w:lineRule="auto"/>
              <w:jc w:val="right"/>
            </w:pPr>
            <w:r>
              <w:rPr>
                <w:rFonts w:ascii="宋体" w:hAnsi="宋体" w:eastAsia="宋体" w:cs="宋体"/>
                <w:b w:val="0"/>
              </w:rPr>
              <w:t>-8,804.18</w:t>
            </w:r>
          </w:p>
        </w:tc>
        <w:tc>
          <w:tcPr>
            <w:tcW w:w="1500" w:type="pct"/>
            <w:vAlign w:val="center"/>
          </w:tcPr>
          <w:p>
            <w:pPr>
              <w:spacing w:line="240" w:lineRule="auto"/>
              <w:jc w:val="right"/>
            </w:pPr>
            <w:r>
              <w:rPr>
                <w:rFonts w:ascii="宋体" w:hAnsi="宋体" w:eastAsia="宋体" w:cs="宋体"/>
                <w:b w:val="0"/>
              </w:rPr>
              <w:t>-945.47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2.本期利润</w:t>
            </w:r>
          </w:p>
        </w:tc>
        <w:tc>
          <w:tcPr>
            <w:tcW w:w="1500" w:type="pct"/>
            <w:vAlign w:val="center"/>
          </w:tcPr>
          <w:p>
            <w:pPr>
              <w:spacing w:line="240" w:lineRule="auto"/>
              <w:jc w:val="right"/>
            </w:pPr>
            <w:r>
              <w:rPr>
                <w:rFonts w:ascii="宋体" w:hAnsi="宋体" w:eastAsia="宋体" w:cs="宋体"/>
                <w:b w:val="0"/>
              </w:rPr>
              <w:t>138,971.56</w:t>
            </w:r>
          </w:p>
        </w:tc>
        <w:tc>
          <w:tcPr>
            <w:tcW w:w="1500" w:type="pct"/>
            <w:vAlign w:val="center"/>
          </w:tcPr>
          <w:p>
            <w:pPr>
              <w:spacing w:line="240" w:lineRule="auto"/>
              <w:jc w:val="right"/>
            </w:pPr>
            <w:r>
              <w:rPr>
                <w:rFonts w:ascii="宋体" w:hAnsi="宋体" w:eastAsia="宋体" w:cs="宋体"/>
                <w:b w:val="0"/>
              </w:rPr>
              <w:t>3,055.34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3.加权平均基金份额本期利润</w:t>
            </w:r>
          </w:p>
        </w:tc>
        <w:tc>
          <w:tcPr>
            <w:tcW w:w="1500" w:type="pct"/>
            <w:vAlign w:val="center"/>
          </w:tcPr>
          <w:p>
            <w:pPr>
              <w:spacing w:line="240" w:lineRule="auto"/>
              <w:jc w:val="right"/>
            </w:pPr>
            <w:r>
              <w:rPr>
                <w:rFonts w:ascii="宋体" w:hAnsi="宋体" w:eastAsia="宋体" w:cs="宋体"/>
                <w:b w:val="0"/>
              </w:rPr>
              <w:t>0.0135</w:t>
            </w:r>
          </w:p>
        </w:tc>
        <w:tc>
          <w:tcPr>
            <w:tcW w:w="1500" w:type="pct"/>
            <w:vAlign w:val="center"/>
          </w:tcPr>
          <w:p>
            <w:pPr>
              <w:spacing w:line="240" w:lineRule="auto"/>
              <w:jc w:val="right"/>
            </w:pPr>
            <w:r>
              <w:rPr>
                <w:rFonts w:ascii="宋体" w:hAnsi="宋体" w:eastAsia="宋体" w:cs="宋体"/>
                <w:b w:val="0"/>
              </w:rPr>
              <w:t>0.0183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4.期末基金资产净值</w:t>
            </w:r>
          </w:p>
        </w:tc>
        <w:tc>
          <w:tcPr>
            <w:tcW w:w="1500" w:type="pct"/>
            <w:vAlign w:val="center"/>
          </w:tcPr>
          <w:p>
            <w:pPr>
              <w:spacing w:line="240" w:lineRule="auto"/>
              <w:jc w:val="right"/>
            </w:pPr>
            <w:r>
              <w:rPr>
                <w:rFonts w:ascii="宋体" w:hAnsi="宋体" w:eastAsia="宋体" w:cs="宋体"/>
                <w:b w:val="0"/>
              </w:rPr>
              <w:t>10,550,817.70</w:t>
            </w:r>
          </w:p>
        </w:tc>
        <w:tc>
          <w:tcPr>
            <w:tcW w:w="1500" w:type="pct"/>
            <w:vAlign w:val="center"/>
          </w:tcPr>
          <w:p>
            <w:pPr>
              <w:spacing w:line="240" w:lineRule="auto"/>
              <w:jc w:val="right"/>
            </w:pPr>
            <w:r>
              <w:rPr>
                <w:rFonts w:ascii="宋体" w:hAnsi="宋体" w:eastAsia="宋体" w:cs="宋体"/>
                <w:b w:val="0"/>
              </w:rPr>
              <w:t>508,188.63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5.期末基金份额净值</w:t>
            </w:r>
          </w:p>
        </w:tc>
        <w:tc>
          <w:tcPr>
            <w:tcW w:w="1500" w:type="pct"/>
            <w:vAlign w:val="center"/>
          </w:tcPr>
          <w:p>
            <w:pPr>
              <w:spacing w:line="240" w:lineRule="auto"/>
              <w:jc w:val="right"/>
            </w:pPr>
            <w:r>
              <w:rPr>
                <w:rFonts w:ascii="宋体" w:hAnsi="宋体" w:eastAsia="宋体" w:cs="宋体"/>
                <w:b w:val="0"/>
              </w:rPr>
              <w:t>1.0135</w:t>
            </w:r>
          </w:p>
        </w:tc>
        <w:tc>
          <w:tcPr>
            <w:tcW w:w="1500" w:type="pct"/>
            <w:vAlign w:val="center"/>
          </w:tcPr>
          <w:p>
            <w:pPr>
              <w:spacing w:line="240" w:lineRule="auto"/>
              <w:jc w:val="right"/>
            </w:pPr>
            <w:r>
              <w:rPr>
                <w:rFonts w:ascii="宋体" w:hAnsi="宋体" w:eastAsia="宋体" w:cs="宋体"/>
                <w:b w:val="0"/>
              </w:rPr>
              <w:t>1.0134</w:t>
            </w:r>
          </w:p>
        </w:tc>
      </w:tr>
    </w:tbl>
    <w:p>
      <w:r>
        <w:rPr>
          <w:rFonts w:ascii="宋体" w:hAnsi="宋体" w:eastAsia="宋体" w:cs="宋体"/>
          <w:b w:val="0"/>
        </w:rPr>
        <w:t>注：1、本期已实现收益指基金本期利息收入、投资收益、其他收入(不含公允价值变动收益)扣除相关费用后的余额，本期利润为本期已实现收益加上本期公允价值变动收益。</w:t>
      </w:r>
      <w:r>
        <w:rPr>
          <w:rFonts w:ascii="宋体" w:hAnsi="宋体" w:eastAsia="宋体" w:cs="宋体"/>
          <w:b w:val="0"/>
        </w:rPr>
        <w:br w:type="textWrapping"/>
      </w:r>
      <w:r>
        <w:rPr>
          <w:rFonts w:ascii="宋体" w:hAnsi="宋体" w:eastAsia="宋体" w:cs="宋体"/>
          <w:b w:val="0"/>
        </w:rPr>
        <w:t>2、所述基金业绩指标不包括持有人认购或交易基金的各项费用，计入费用后实际收益水平要低于所列数字。</w:t>
      </w:r>
    </w:p>
    <w:p/>
    <w:p>
      <w:pPr>
        <w:pStyle w:val="3"/>
        <w:jc w:val="left"/>
      </w:pPr>
      <w:r>
        <w:rPr>
          <w:rFonts w:ascii="宋体" w:hAnsi="宋体" w:eastAsia="宋体" w:cs="宋体"/>
        </w:rPr>
        <w:t>3.2 基金净值表现</w:t>
      </w:r>
    </w:p>
    <w:p>
      <w:pPr>
        <w:pStyle w:val="58"/>
      </w:pPr>
      <w:r>
        <w:rPr>
          <w:rFonts w:ascii="宋体" w:hAnsi="宋体" w:eastAsia="宋体" w:cs="宋体"/>
          <w:b/>
        </w:rPr>
        <w:t>3.2.1 基金份额净值增长率及其与同期业绩比较基准收益率的比较</w:t>
      </w:r>
    </w:p>
    <w:p>
      <w:pPr>
        <w:jc w:val="left"/>
      </w:pPr>
      <w:r>
        <w:rPr>
          <w:rFonts w:ascii="宋体" w:hAnsi="宋体" w:eastAsia="宋体" w:cs="宋体"/>
          <w:b/>
        </w:rPr>
        <w:t>东方阿尔法增利债券发起A净值表现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净值增长率①</w:t>
            </w:r>
          </w:p>
        </w:tc>
        <w:tc>
          <w:tcPr>
            <w:tcW w:w="692" w:type="pct"/>
            <w:shd w:val="clear" w:color="auto" w:fill="D9D9D9"/>
            <w:vAlign w:val="center"/>
          </w:tcPr>
          <w:p>
            <w:pPr>
              <w:spacing w:line="240" w:lineRule="auto"/>
              <w:jc w:val="center"/>
            </w:pPr>
            <w:r>
              <w:rPr>
                <w:rFonts w:ascii="宋体" w:hAnsi="宋体" w:eastAsia="宋体" w:cs="宋体"/>
                <w:b w:val="0"/>
              </w:rPr>
              <w:t>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1.35%</w:t>
            </w:r>
          </w:p>
        </w:tc>
        <w:tc>
          <w:tcPr>
            <w:tcW w:w="0" w:type="dxa"/>
            <w:vAlign w:val="center"/>
          </w:tcPr>
          <w:p>
            <w:pPr>
              <w:spacing w:line="240" w:lineRule="auto"/>
              <w:jc w:val="right"/>
            </w:pPr>
            <w:r>
              <w:rPr>
                <w:rFonts w:ascii="宋体" w:hAnsi="宋体" w:eastAsia="宋体" w:cs="宋体"/>
                <w:b w:val="0"/>
              </w:rPr>
              <w:t>0.52%</w:t>
            </w:r>
          </w:p>
        </w:tc>
        <w:tc>
          <w:tcPr>
            <w:tcW w:w="0" w:type="dxa"/>
            <w:vAlign w:val="center"/>
          </w:tcPr>
          <w:p>
            <w:pPr>
              <w:spacing w:line="240" w:lineRule="auto"/>
              <w:jc w:val="right"/>
            </w:pPr>
            <w:r>
              <w:rPr>
                <w:rFonts w:ascii="宋体" w:hAnsi="宋体" w:eastAsia="宋体" w:cs="宋体"/>
                <w:b w:val="0"/>
              </w:rPr>
              <w:t>-0.26%</w:t>
            </w:r>
          </w:p>
        </w:tc>
        <w:tc>
          <w:tcPr>
            <w:tcW w:w="0" w:type="dxa"/>
            <w:vAlign w:val="center"/>
          </w:tcPr>
          <w:p>
            <w:pPr>
              <w:spacing w:line="240" w:lineRule="auto"/>
              <w:jc w:val="right"/>
            </w:pPr>
            <w:r>
              <w:rPr>
                <w:rFonts w:ascii="宋体" w:hAnsi="宋体" w:eastAsia="宋体" w:cs="宋体"/>
                <w:b w:val="0"/>
              </w:rPr>
              <w:t>0.22%</w:t>
            </w:r>
          </w:p>
        </w:tc>
        <w:tc>
          <w:tcPr>
            <w:tcW w:w="0" w:type="dxa"/>
            <w:vAlign w:val="center"/>
          </w:tcPr>
          <w:p>
            <w:pPr>
              <w:spacing w:line="240" w:lineRule="auto"/>
              <w:jc w:val="right"/>
            </w:pPr>
            <w:r>
              <w:rPr>
                <w:rFonts w:ascii="宋体" w:hAnsi="宋体" w:eastAsia="宋体" w:cs="宋体"/>
                <w:b w:val="0"/>
              </w:rPr>
              <w:t>1.61%</w:t>
            </w:r>
          </w:p>
        </w:tc>
        <w:tc>
          <w:tcPr>
            <w:tcW w:w="0" w:type="dxa"/>
            <w:vAlign w:val="center"/>
          </w:tcPr>
          <w:p>
            <w:pPr>
              <w:spacing w:line="240" w:lineRule="auto"/>
              <w:jc w:val="right"/>
            </w:pPr>
            <w:r>
              <w:rPr>
                <w:rFonts w:ascii="宋体" w:hAnsi="宋体" w:eastAsia="宋体" w:cs="宋体"/>
                <w:b w:val="0"/>
              </w:rPr>
              <w:t>0.30%</w:t>
            </w:r>
          </w:p>
        </w:tc>
      </w:tr>
    </w:tbl>
    <w:p>
      <w:pPr>
        <w:jc w:val="left"/>
      </w:pPr>
      <w:r>
        <w:rPr>
          <w:rFonts w:ascii="宋体" w:hAnsi="宋体" w:eastAsia="宋体" w:cs="宋体"/>
          <w:b/>
        </w:rPr>
        <w:t>东方阿尔法增利债券发起C净值表现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净值增长率①</w:t>
            </w:r>
          </w:p>
        </w:tc>
        <w:tc>
          <w:tcPr>
            <w:tcW w:w="692" w:type="pct"/>
            <w:shd w:val="clear" w:color="auto" w:fill="D9D9D9"/>
            <w:vAlign w:val="center"/>
          </w:tcPr>
          <w:p>
            <w:pPr>
              <w:spacing w:line="240" w:lineRule="auto"/>
              <w:jc w:val="center"/>
            </w:pPr>
            <w:r>
              <w:rPr>
                <w:rFonts w:ascii="宋体" w:hAnsi="宋体" w:eastAsia="宋体" w:cs="宋体"/>
                <w:b w:val="0"/>
              </w:rPr>
              <w:t>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1.34%</w:t>
            </w:r>
          </w:p>
        </w:tc>
        <w:tc>
          <w:tcPr>
            <w:tcW w:w="0" w:type="dxa"/>
            <w:vAlign w:val="center"/>
          </w:tcPr>
          <w:p>
            <w:pPr>
              <w:spacing w:line="240" w:lineRule="auto"/>
              <w:jc w:val="right"/>
            </w:pPr>
            <w:r>
              <w:rPr>
                <w:rFonts w:ascii="宋体" w:hAnsi="宋体" w:eastAsia="宋体" w:cs="宋体"/>
                <w:b w:val="0"/>
              </w:rPr>
              <w:t>0.52%</w:t>
            </w:r>
          </w:p>
        </w:tc>
        <w:tc>
          <w:tcPr>
            <w:tcW w:w="0" w:type="dxa"/>
            <w:vAlign w:val="center"/>
          </w:tcPr>
          <w:p>
            <w:pPr>
              <w:spacing w:line="240" w:lineRule="auto"/>
              <w:jc w:val="right"/>
            </w:pPr>
            <w:r>
              <w:rPr>
                <w:rFonts w:ascii="宋体" w:hAnsi="宋体" w:eastAsia="宋体" w:cs="宋体"/>
                <w:b w:val="0"/>
              </w:rPr>
              <w:t>-0.26%</w:t>
            </w:r>
          </w:p>
        </w:tc>
        <w:tc>
          <w:tcPr>
            <w:tcW w:w="0" w:type="dxa"/>
            <w:vAlign w:val="center"/>
          </w:tcPr>
          <w:p>
            <w:pPr>
              <w:spacing w:line="240" w:lineRule="auto"/>
              <w:jc w:val="right"/>
            </w:pPr>
            <w:r>
              <w:rPr>
                <w:rFonts w:ascii="宋体" w:hAnsi="宋体" w:eastAsia="宋体" w:cs="宋体"/>
                <w:b w:val="0"/>
              </w:rPr>
              <w:t>0.22%</w:t>
            </w:r>
          </w:p>
        </w:tc>
        <w:tc>
          <w:tcPr>
            <w:tcW w:w="0" w:type="dxa"/>
            <w:vAlign w:val="center"/>
          </w:tcPr>
          <w:p>
            <w:pPr>
              <w:spacing w:line="240" w:lineRule="auto"/>
              <w:jc w:val="right"/>
            </w:pPr>
            <w:r>
              <w:rPr>
                <w:rFonts w:ascii="宋体" w:hAnsi="宋体" w:eastAsia="宋体" w:cs="宋体"/>
                <w:b w:val="0"/>
              </w:rPr>
              <w:t>1.60%</w:t>
            </w:r>
          </w:p>
        </w:tc>
        <w:tc>
          <w:tcPr>
            <w:tcW w:w="0" w:type="dxa"/>
            <w:vAlign w:val="center"/>
          </w:tcPr>
          <w:p>
            <w:pPr>
              <w:spacing w:line="240" w:lineRule="auto"/>
              <w:jc w:val="right"/>
            </w:pPr>
            <w:r>
              <w:rPr>
                <w:rFonts w:ascii="宋体" w:hAnsi="宋体" w:eastAsia="宋体" w:cs="宋体"/>
                <w:b w:val="0"/>
              </w:rPr>
              <w:t>0.30%</w:t>
            </w:r>
          </w:p>
        </w:tc>
      </w:tr>
    </w:tbl>
    <w:p>
      <w:r>
        <w:rPr>
          <w:rFonts w:ascii="宋体" w:hAnsi="宋体" w:eastAsia="宋体" w:cs="宋体"/>
          <w:b w:val="0"/>
        </w:rPr>
        <w:t>注：本基金业绩比较基准为：中债-综合全价（总值）指数收益率×85%+沪深300指数收益率×10%+中证港股通综合指数（人民币）收益率*5%。</w:t>
      </w:r>
      <w:r>
        <w:rPr>
          <w:rFonts w:ascii="宋体" w:hAnsi="宋体" w:eastAsia="宋体" w:cs="宋体"/>
          <w:b w:val="0"/>
        </w:rPr>
        <w:br w:type="textWrapping"/>
      </w:r>
      <w:bookmarkStart w:id="1" w:name="_GoBack"/>
      <w:bookmarkEnd w:id="1"/>
    </w:p>
    <w:p>
      <w:pPr>
        <w:pStyle w:val="58"/>
      </w:pPr>
      <w:r>
        <w:rPr>
          <w:rFonts w:ascii="宋体" w:hAnsi="宋体" w:eastAsia="宋体" w:cs="宋体"/>
          <w:b/>
        </w:rPr>
        <w:t>3.2.2 自基金合同生效以来基金累计净值增长率变动及其与同期业绩比较基准收益率变动的比较</w:t>
      </w:r>
    </w:p>
    <w:p>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0"/>
                    <a:stretch>
                      <a:fillRect/>
                    </a:stretch>
                  </pic:blipFill>
                  <pic:spPr>
                    <a:xfrm>
                      <a:off x="0" y="0"/>
                      <a:ext cx="5715000" cy="3048000"/>
                    </a:xfrm>
                    <a:prstGeom prst="rect">
                      <a:avLst/>
                    </a:prstGeom>
                  </pic:spPr>
                </pic:pic>
              </a:graphicData>
            </a:graphic>
          </wp:inline>
        </w:drawing>
      </w:r>
    </w:p>
    <w:p>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1"/>
                    <a:stretch>
                      <a:fillRect/>
                    </a:stretch>
                  </pic:blipFill>
                  <pic:spPr>
                    <a:xfrm>
                      <a:off x="0" y="0"/>
                      <a:ext cx="5715000" cy="3048000"/>
                    </a:xfrm>
                    <a:prstGeom prst="rect">
                      <a:avLst/>
                    </a:prstGeom>
                  </pic:spPr>
                </pic:pic>
              </a:graphicData>
            </a:graphic>
          </wp:inline>
        </w:drawing>
      </w:r>
    </w:p>
    <w:p>
      <w:pPr>
        <w:pStyle w:val="2"/>
        <w:jc w:val="center"/>
      </w:pPr>
      <w:r>
        <w:rPr>
          <w:rFonts w:ascii="宋体" w:hAnsi="宋体" w:eastAsia="宋体" w:cs="宋体"/>
        </w:rPr>
        <w:t>§4 管理人报告</w:t>
      </w:r>
    </w:p>
    <w:p>
      <w:pPr>
        <w:pStyle w:val="3"/>
        <w:jc w:val="left"/>
      </w:pPr>
      <w:r>
        <w:rPr>
          <w:rFonts w:ascii="宋体" w:hAnsi="宋体" w:eastAsia="宋体" w:cs="宋体"/>
        </w:rPr>
        <w:t>4.1 基金经理（或基金经理小组）简介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2547"/>
        <w:gridCol w:w="1266"/>
        <w:gridCol w:w="790"/>
        <w:gridCol w:w="576"/>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vMerge w:val="restart"/>
            <w:shd w:val="clear" w:color="auto" w:fill="D9D9D9"/>
            <w:vAlign w:val="center"/>
          </w:tcPr>
          <w:p>
            <w:pPr>
              <w:spacing w:line="240" w:lineRule="auto"/>
              <w:jc w:val="center"/>
            </w:pPr>
            <w:r>
              <w:rPr>
                <w:rFonts w:ascii="宋体" w:hAnsi="宋体" w:eastAsia="宋体" w:cs="宋体"/>
                <w:b w:val="0"/>
              </w:rPr>
              <w:t>姓名</w:t>
            </w:r>
          </w:p>
        </w:tc>
        <w:tc>
          <w:tcPr>
            <w:tcW w:w="1231" w:type="pct"/>
            <w:vMerge w:val="restart"/>
            <w:shd w:val="clear" w:color="auto" w:fill="D9D9D9"/>
            <w:vAlign w:val="center"/>
          </w:tcPr>
          <w:p>
            <w:pPr>
              <w:spacing w:line="240" w:lineRule="auto"/>
              <w:jc w:val="center"/>
            </w:pPr>
            <w:r>
              <w:rPr>
                <w:rFonts w:ascii="宋体" w:hAnsi="宋体" w:eastAsia="宋体" w:cs="宋体"/>
                <w:b w:val="0"/>
              </w:rPr>
              <w:t>职务</w:t>
            </w:r>
          </w:p>
        </w:tc>
        <w:tc>
          <w:tcPr>
            <w:tcW w:w="808" w:type="pct"/>
            <w:gridSpan w:val="2"/>
            <w:shd w:val="clear" w:color="auto" w:fill="D9D9D9"/>
            <w:vAlign w:val="center"/>
          </w:tcPr>
          <w:p>
            <w:pPr>
              <w:spacing w:line="240" w:lineRule="auto"/>
              <w:jc w:val="center"/>
            </w:pPr>
            <w:r>
              <w:rPr>
                <w:rFonts w:ascii="宋体" w:hAnsi="宋体" w:eastAsia="宋体" w:cs="宋体"/>
                <w:b w:val="0"/>
              </w:rPr>
              <w:t>任本基金的基金经理期限</w:t>
            </w:r>
          </w:p>
        </w:tc>
        <w:tc>
          <w:tcPr>
            <w:tcW w:w="308" w:type="pct"/>
            <w:vMerge w:val="restart"/>
            <w:shd w:val="clear" w:color="auto" w:fill="D9D9D9"/>
            <w:vAlign w:val="center"/>
          </w:tcPr>
          <w:p>
            <w:pPr>
              <w:spacing w:line="240" w:lineRule="auto"/>
              <w:jc w:val="center"/>
            </w:pPr>
            <w:r>
              <w:rPr>
                <w:rFonts w:ascii="宋体" w:hAnsi="宋体" w:eastAsia="宋体" w:cs="宋体"/>
                <w:b w:val="0"/>
              </w:rPr>
              <w:t>证券从业年限</w:t>
            </w:r>
          </w:p>
        </w:tc>
        <w:tc>
          <w:tcPr>
            <w:tcW w:w="1462" w:type="pct"/>
            <w:vMerge w:val="restart"/>
            <w:shd w:val="clear" w:color="auto" w:fill="D9D9D9"/>
            <w:vAlign w:val="center"/>
          </w:tcPr>
          <w:p>
            <w:pPr>
              <w:spacing w:line="240" w:lineRule="auto"/>
              <w:jc w:val="center"/>
            </w:pPr>
            <w:r>
              <w:rPr>
                <w:rFonts w:ascii="宋体" w:hAnsi="宋体" w:eastAsia="宋体" w:cs="宋体"/>
                <w:b w:val="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vMerge w:val="continue"/>
          </w:tcPr>
          <w:p/>
        </w:tc>
        <w:tc>
          <w:tcPr>
            <w:tcW w:w="400" w:type="pct"/>
            <w:shd w:val="clear" w:color="auto" w:fill="D9D9D9"/>
            <w:vAlign w:val="center"/>
          </w:tcPr>
          <w:p>
            <w:pPr>
              <w:spacing w:line="240" w:lineRule="auto"/>
              <w:jc w:val="center"/>
            </w:pPr>
            <w:r>
              <w:rPr>
                <w:rFonts w:ascii="宋体" w:hAnsi="宋体" w:eastAsia="宋体" w:cs="宋体"/>
                <w:b w:val="0"/>
              </w:rPr>
              <w:t>任职日期</w:t>
            </w:r>
          </w:p>
        </w:tc>
        <w:tc>
          <w:tcPr>
            <w:tcW w:w="392" w:type="pct"/>
            <w:shd w:val="clear" w:color="auto" w:fill="D9D9D9"/>
            <w:vAlign w:val="center"/>
          </w:tcPr>
          <w:p>
            <w:pPr>
              <w:spacing w:line="240" w:lineRule="auto"/>
              <w:jc w:val="center"/>
            </w:pPr>
            <w:r>
              <w:rPr>
                <w:rFonts w:ascii="宋体" w:hAnsi="宋体" w:eastAsia="宋体" w:cs="宋体"/>
                <w:b w:val="0"/>
              </w:rPr>
              <w:t>离任日期</w:t>
            </w: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吴秋松</w:t>
            </w:r>
          </w:p>
        </w:tc>
        <w:tc>
          <w:tcPr>
            <w:tcW w:w="0" w:type="dxa"/>
            <w:vAlign w:val="center"/>
          </w:tcPr>
          <w:p>
            <w:pPr>
              <w:spacing w:line="240" w:lineRule="auto"/>
              <w:jc w:val="left"/>
            </w:pPr>
            <w:r>
              <w:rPr>
                <w:rFonts w:ascii="宋体" w:hAnsi="宋体" w:eastAsia="宋体" w:cs="宋体"/>
                <w:b w:val="0"/>
              </w:rPr>
              <w:t>基金经理</w:t>
            </w:r>
          </w:p>
        </w:tc>
        <w:tc>
          <w:tcPr>
            <w:tcW w:w="0" w:type="dxa"/>
            <w:vAlign w:val="center"/>
          </w:tcPr>
          <w:p>
            <w:pPr>
              <w:spacing w:line="240" w:lineRule="auto"/>
              <w:jc w:val="center"/>
            </w:pPr>
            <w:r>
              <w:rPr>
                <w:rFonts w:ascii="宋体" w:hAnsi="宋体" w:eastAsia="宋体" w:cs="宋体"/>
                <w:b w:val="0"/>
              </w:rPr>
              <w:t>2026-06-02</w:t>
            </w:r>
          </w:p>
        </w:tc>
        <w:tc>
          <w:tcPr>
            <w:tcW w:w="0" w:type="dxa"/>
            <w:vAlign w:val="center"/>
          </w:tcPr>
          <w:p>
            <w:pPr>
              <w:spacing w:line="240" w:lineRule="auto"/>
              <w:jc w:val="center"/>
            </w:pPr>
            <w:r>
              <w:rPr>
                <w:rFonts w:ascii="宋体" w:hAnsi="宋体" w:eastAsia="宋体" w:cs="宋体"/>
                <w:b w:val="0"/>
              </w:rPr>
              <w:t>-</w:t>
            </w:r>
          </w:p>
        </w:tc>
        <w:tc>
          <w:tcPr>
            <w:tcW w:w="0" w:type="dxa"/>
            <w:vAlign w:val="center"/>
          </w:tcPr>
          <w:p>
            <w:pPr>
              <w:spacing w:line="240" w:lineRule="auto"/>
              <w:jc w:val="center"/>
            </w:pPr>
            <w:r>
              <w:rPr>
                <w:rFonts w:ascii="宋体" w:hAnsi="宋体" w:eastAsia="宋体" w:cs="宋体"/>
                <w:b w:val="0"/>
              </w:rPr>
              <w:t>10年</w:t>
            </w:r>
          </w:p>
        </w:tc>
        <w:tc>
          <w:tcPr>
            <w:tcW w:w="0" w:type="dxa"/>
            <w:vAlign w:val="center"/>
          </w:tcPr>
          <w:p>
            <w:pPr>
              <w:spacing w:line="240" w:lineRule="auto"/>
              <w:jc w:val="left"/>
            </w:pPr>
            <w:r>
              <w:rPr>
                <w:rFonts w:ascii="宋体" w:hAnsi="宋体" w:eastAsia="宋体" w:cs="宋体"/>
                <w:b w:val="0"/>
              </w:rPr>
              <w:t>吴秋松先生，哈尔滨工业大学工学学士， 复旦大学管理学硕士。多年证券行业投研经验，曾任职于君证资本管理有限公司、银泰证券有限责任公司。2017年10月至2024年9月，在红塔红土基金管理有限公司工作，历任研究部研究员 、投资部基金经理助理、基金经理。现担任东方阿尔法基金管理有限公司基金经理。</w:t>
            </w:r>
          </w:p>
        </w:tc>
      </w:tr>
    </w:tbl>
    <w:p>
      <w:r>
        <w:rPr>
          <w:rFonts w:ascii="宋体" w:hAnsi="宋体" w:eastAsia="宋体" w:cs="宋体"/>
          <w:b w:val="0"/>
        </w:rPr>
        <w:t>注：1.对基金的首任基金经理，其"任职日期"为基金合同生效日，"离任日期"为根据公告确定的解聘日期；对此后的非首任基金经理，"任职日期"和"离任日期"分别指公告确定的任职日期和离任日期。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br w:type="textWrapping"/>
      </w:r>
      <w:r>
        <w:rPr>
          <w:rFonts w:ascii="宋体" w:hAnsi="宋体" w:eastAsia="宋体" w:cs="宋体"/>
          <w:b w:val="0"/>
        </w:rPr>
        <w:t>2.证券从业的含义遵从《证券基金经营机构董事、监事、高级管理人员及从业人员监督管理办法》的相关规定。</w:t>
      </w:r>
    </w:p>
    <w:p/>
    <w:p>
      <w:pPr>
        <w:pStyle w:val="58"/>
      </w:pPr>
      <w:r>
        <w:rPr>
          <w:rFonts w:ascii="宋体" w:hAnsi="宋体" w:eastAsia="宋体" w:cs="宋体"/>
          <w:b/>
        </w:rPr>
        <w:t>4.1.1 期末兼任私募资产管理计划投资经理的基金经理同时管理的产品情况</w:t>
      </w:r>
    </w:p>
    <w:p>
      <w:r>
        <w:rPr>
          <w:rFonts w:ascii="宋体" w:hAnsi="宋体" w:eastAsia="宋体" w:cs="宋体"/>
          <w:b w:val="0"/>
        </w:rPr>
        <w:t xml:space="preserve">    本基金基金经理不存在兼任私募资产管理计划的投资经理的情况。</w:t>
      </w:r>
    </w:p>
    <w:p/>
    <w:p>
      <w:pPr>
        <w:pStyle w:val="3"/>
        <w:jc w:val="left"/>
      </w:pPr>
      <w:r>
        <w:rPr>
          <w:rFonts w:ascii="宋体" w:hAnsi="宋体" w:eastAsia="宋体" w:cs="宋体"/>
        </w:rPr>
        <w:t>4.2 管理人对报告期内本基金运作遵规守信情况的说明</w:t>
      </w:r>
    </w:p>
    <w:p>
      <w:r>
        <w:rPr>
          <w:rFonts w:ascii="宋体" w:hAnsi="宋体" w:eastAsia="宋体" w:cs="宋体"/>
          <w:b w:val="0"/>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3"/>
        <w:jc w:val="left"/>
      </w:pPr>
      <w:r>
        <w:rPr>
          <w:rFonts w:ascii="宋体" w:hAnsi="宋体" w:eastAsia="宋体" w:cs="宋体"/>
        </w:rPr>
        <w:t>4.3 公平交易专项说明</w:t>
      </w:r>
    </w:p>
    <w:p>
      <w:pPr>
        <w:pStyle w:val="58"/>
      </w:pPr>
      <w:r>
        <w:rPr>
          <w:rFonts w:ascii="宋体" w:hAnsi="宋体" w:eastAsia="宋体" w:cs="宋体"/>
          <w:b/>
        </w:rPr>
        <w:t>4.3.1 公平交易制度的执行情况</w:t>
      </w:r>
    </w:p>
    <w:p>
      <w:r>
        <w:rPr>
          <w:rFonts w:ascii="宋体" w:hAnsi="宋体" w:eastAsia="宋体" w:cs="宋体"/>
          <w:b w:val="0"/>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eastAsia="宋体" w:cs="宋体"/>
          <w:b w:val="0"/>
        </w:rPr>
        <w:br w:type="textWrapping"/>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pPr>
        <w:pStyle w:val="58"/>
      </w:pPr>
      <w:r>
        <w:rPr>
          <w:rFonts w:ascii="宋体" w:hAnsi="宋体" w:eastAsia="宋体" w:cs="宋体"/>
          <w:b/>
        </w:rPr>
        <w:t>4.3.2 异常交易行为的专项说明</w:t>
      </w:r>
    </w:p>
    <w:p>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3"/>
        <w:jc w:val="left"/>
      </w:pPr>
      <w:r>
        <w:rPr>
          <w:rFonts w:ascii="宋体" w:hAnsi="宋体" w:eastAsia="宋体" w:cs="宋体"/>
        </w:rPr>
        <w:t>4.4 报告期内基金的投资策略和运作分析</w:t>
      </w:r>
    </w:p>
    <w:p>
      <w:r>
        <w:rPr>
          <w:rFonts w:ascii="宋体" w:hAnsi="宋体" w:eastAsia="宋体" w:cs="宋体"/>
          <w:b w:val="0"/>
        </w:rPr>
        <w:t xml:space="preserve">    2026年第二季度，国内4-6月制造业PMI分别为50.3%、50.0%、50.3%，整体基本维持在扩张区间。2026年4、5月国内规模以上工业增加值分别同比增长4.1%、4.5%，同比增速较2026年第一季度有所回落。2026年4月、5月固定资产投资合计分别同比下滑8.0%、10.7%，社会消费品零售总额分别同比增长0.2%、0.6%，而出口（以美元计价）分别同比增长14.1%、19.4%，是拉动国内制造业增长的主要贡献项。</w:t>
      </w:r>
      <w:r>
        <w:rPr>
          <w:rFonts w:ascii="宋体" w:hAnsi="宋体" w:eastAsia="宋体" w:cs="宋体"/>
          <w:b w:val="0"/>
        </w:rPr>
        <w:br w:type="textWrapping"/>
      </w:r>
      <w:r>
        <w:rPr>
          <w:rFonts w:ascii="宋体" w:hAnsi="宋体" w:eastAsia="宋体" w:cs="宋体"/>
          <w:b w:val="0"/>
        </w:rPr>
        <w:t xml:space="preserve">    债券市场在2026年第二季度整体表现较强。4月至5月，10年期国债收益率由1.80%以上稳步下行至1.70%附近，1年、3年及5年期国债收益率亦同步下行。进入6月，债券市场在多空因素交织下呈现先抑后扬的震荡格局，全季度国债收益率曲线整体下移约10个基点，同时信用利差进一步收窄。转债市场延续震荡态势，价格中位数及百元溢价率仍处于历史较高水平。面对信用利差持续压缩、转债估值高企的市场环境，本基金的债券投资采取了更为审慎的纯利率债策略。报告期内，本基金逐步建仓中短久期利率债，以部分仓位博弈长端的波段机会。后续本基金的债券投资将继续在控制久期的前提下，以相对确定的票息收益为基础，同时力争通过交易增厚收益。</w:t>
      </w:r>
      <w:r>
        <w:rPr>
          <w:rFonts w:ascii="宋体" w:hAnsi="宋体" w:eastAsia="宋体" w:cs="宋体"/>
          <w:b w:val="0"/>
        </w:rPr>
        <w:br w:type="textWrapping"/>
      </w:r>
      <w:r>
        <w:rPr>
          <w:rFonts w:ascii="宋体" w:hAnsi="宋体" w:eastAsia="宋体" w:cs="宋体"/>
          <w:b w:val="0"/>
        </w:rPr>
        <w:t xml:space="preserve">    经济基本面呈K型分化，新旧动能转换，结构性特征较为明显，A股市场主要宽基指数也因此在2026年第二季度整体呈现震荡的结构性行情，其中上证指数上涨5.20%、沪深300上涨11.90%、、中证500上涨18.56%，而创业板指上涨36.35%、科创50上涨75.74%，呈现结构性上涨的行情。具体申万一级行业方面，行业指数表现差异明显，电子、通信行业指数涨幅大幅领先，涨幅都超过了60%，而石油石化、农林牧渔、钢铁行业指数跌幅靠前，跌幅均超过了18%。报告期内，我们根据对宏观经济、货币流动性与市场风险偏好等因素的判断，来配置权益资产的投资比例；行业配置方面，我们相对看好AI产业链与半导体两大方向，也是本报告期内主要配置方向。</w:t>
      </w:r>
    </w:p>
    <w:p/>
    <w:p>
      <w:pPr>
        <w:pStyle w:val="3"/>
        <w:jc w:val="left"/>
      </w:pPr>
      <w:r>
        <w:rPr>
          <w:rFonts w:ascii="宋体" w:hAnsi="宋体" w:eastAsia="宋体" w:cs="宋体"/>
        </w:rPr>
        <w:t>4.5 报告期内基金的业绩表现</w:t>
      </w:r>
    </w:p>
    <w:p>
      <w:r>
        <w:rPr>
          <w:rFonts w:ascii="宋体" w:hAnsi="宋体" w:eastAsia="宋体" w:cs="宋体"/>
          <w:b w:val="0"/>
        </w:rPr>
        <w:t xml:space="preserve">    截至报告期末东方阿尔法增利债券发起A基金份额净值为1.0135元，本报告期内，该类基金份额净值增长率为1.35%，同期业绩比较基准收益率为-0.26%；截至报告期末东方阿尔法增利债券发起C基金份额净值为1.0134元，本报告期内，该类基金份额净值增长率为1.34%，同期业绩比较基准收益率为-0.26%。</w:t>
      </w:r>
    </w:p>
    <w:p/>
    <w:p>
      <w:pPr>
        <w:pStyle w:val="3"/>
        <w:jc w:val="left"/>
      </w:pPr>
      <w:r>
        <w:rPr>
          <w:rFonts w:ascii="宋体" w:hAnsi="宋体" w:eastAsia="宋体" w:cs="宋体"/>
        </w:rPr>
        <w:t>4.6 报告期内基金持有人数或基金资产净值预警说明</w:t>
      </w:r>
    </w:p>
    <w:p>
      <w:r>
        <w:rPr>
          <w:rFonts w:ascii="宋体" w:hAnsi="宋体" w:eastAsia="宋体" w:cs="宋体"/>
          <w:b w:val="0"/>
        </w:rPr>
        <w:t xml:space="preserve">    本基金为发起式基金，且截至本报告期末，本基金基金合同生效未满3年，暂不适用《公开募集证券投资基金运作管理办法》第四十一条第一款的规定。</w:t>
      </w:r>
    </w:p>
    <w:p>
      <w:pPr>
        <w:pStyle w:val="2"/>
        <w:jc w:val="center"/>
      </w:pPr>
      <w:r>
        <w:rPr>
          <w:rFonts w:ascii="宋体" w:hAnsi="宋体" w:eastAsia="宋体" w:cs="宋体"/>
        </w:rPr>
        <w:t>§5 投资组合报告</w:t>
      </w:r>
    </w:p>
    <w:p>
      <w:pPr>
        <w:pStyle w:val="3"/>
        <w:jc w:val="left"/>
      </w:pPr>
      <w:r>
        <w:rPr>
          <w:rFonts w:ascii="宋体" w:hAnsi="宋体" w:eastAsia="宋体" w:cs="宋体"/>
        </w:rPr>
        <w:t>5.1 报告期末基金资产组合情况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856"/>
        <w:gridCol w:w="2856"/>
        <w:gridCol w:w="2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金额(元)</w:t>
            </w:r>
          </w:p>
        </w:tc>
        <w:tc>
          <w:tcPr>
            <w:tcW w:w="1538" w:type="pct"/>
            <w:shd w:val="clear" w:color="auto" w:fill="D9D9D9"/>
            <w:vAlign w:val="center"/>
          </w:tcPr>
          <w:p>
            <w:pPr>
              <w:spacing w:line="240" w:lineRule="auto"/>
              <w:jc w:val="center"/>
            </w:pPr>
            <w:r>
              <w:rPr>
                <w:rFonts w:ascii="宋体" w:hAnsi="宋体" w:eastAsia="宋体" w:cs="宋体"/>
                <w:b w:val="0"/>
              </w:rPr>
              <w:t>占基金总资产的比例（%）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权益投资</w:t>
            </w:r>
          </w:p>
        </w:tc>
        <w:tc>
          <w:tcPr>
            <w:tcW w:w="0" w:type="dxa"/>
            <w:vAlign w:val="center"/>
          </w:tcPr>
          <w:p>
            <w:pPr>
              <w:spacing w:line="240" w:lineRule="auto"/>
              <w:jc w:val="right"/>
            </w:pPr>
            <w:r>
              <w:rPr>
                <w:rFonts w:ascii="宋体" w:hAnsi="宋体" w:eastAsia="宋体" w:cs="宋体"/>
                <w:b w:val="0"/>
              </w:rPr>
              <w:t>1,853,513.00</w:t>
            </w:r>
          </w:p>
        </w:tc>
        <w:tc>
          <w:tcPr>
            <w:tcW w:w="0" w:type="dxa"/>
            <w:vAlign w:val="center"/>
          </w:tcPr>
          <w:p>
            <w:pPr>
              <w:spacing w:line="240" w:lineRule="auto"/>
              <w:jc w:val="right"/>
            </w:pPr>
            <w:r>
              <w:rPr>
                <w:rFonts w:ascii="宋体" w:hAnsi="宋体" w:eastAsia="宋体" w:cs="宋体"/>
                <w:b w:val="0"/>
              </w:rPr>
              <w:t>16.74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其中：股票</w:t>
            </w:r>
          </w:p>
        </w:tc>
        <w:tc>
          <w:tcPr>
            <w:tcW w:w="0" w:type="dxa"/>
            <w:vAlign w:val="center"/>
          </w:tcPr>
          <w:p>
            <w:pPr>
              <w:spacing w:line="240" w:lineRule="auto"/>
              <w:jc w:val="right"/>
            </w:pPr>
            <w:r>
              <w:rPr>
                <w:rFonts w:ascii="宋体" w:hAnsi="宋体" w:eastAsia="宋体" w:cs="宋体"/>
                <w:b w:val="0"/>
              </w:rPr>
              <w:t>1,853,513.00</w:t>
            </w:r>
          </w:p>
        </w:tc>
        <w:tc>
          <w:tcPr>
            <w:tcW w:w="0" w:type="dxa"/>
            <w:vAlign w:val="center"/>
          </w:tcPr>
          <w:p>
            <w:pPr>
              <w:spacing w:line="240" w:lineRule="auto"/>
              <w:jc w:val="right"/>
            </w:pPr>
            <w:r>
              <w:rPr>
                <w:rFonts w:ascii="宋体" w:hAnsi="宋体" w:eastAsia="宋体" w:cs="宋体"/>
                <w:b w:val="0"/>
              </w:rPr>
              <w:t>16.74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基金投资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固定收益投资</w:t>
            </w:r>
          </w:p>
        </w:tc>
        <w:tc>
          <w:tcPr>
            <w:tcW w:w="0" w:type="dxa"/>
            <w:vAlign w:val="center"/>
          </w:tcPr>
          <w:p>
            <w:pPr>
              <w:spacing w:line="240" w:lineRule="auto"/>
              <w:jc w:val="right"/>
            </w:pPr>
            <w:r>
              <w:rPr>
                <w:rFonts w:ascii="宋体" w:hAnsi="宋体" w:eastAsia="宋体" w:cs="宋体"/>
                <w:b w:val="0"/>
              </w:rPr>
              <w:t>6,017,400.88</w:t>
            </w:r>
          </w:p>
        </w:tc>
        <w:tc>
          <w:tcPr>
            <w:tcW w:w="0" w:type="dxa"/>
            <w:vAlign w:val="center"/>
          </w:tcPr>
          <w:p>
            <w:pPr>
              <w:spacing w:line="240" w:lineRule="auto"/>
              <w:jc w:val="right"/>
            </w:pPr>
            <w:r>
              <w:rPr>
                <w:rFonts w:ascii="宋体" w:hAnsi="宋体" w:eastAsia="宋体" w:cs="宋体"/>
                <w:b w:val="0"/>
              </w:rPr>
              <w:t>54.35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其中：债券</w:t>
            </w:r>
          </w:p>
        </w:tc>
        <w:tc>
          <w:tcPr>
            <w:tcW w:w="0" w:type="dxa"/>
            <w:vAlign w:val="center"/>
          </w:tcPr>
          <w:p>
            <w:pPr>
              <w:spacing w:line="240" w:lineRule="auto"/>
              <w:jc w:val="right"/>
            </w:pPr>
            <w:r>
              <w:rPr>
                <w:rFonts w:ascii="宋体" w:hAnsi="宋体" w:eastAsia="宋体" w:cs="宋体"/>
                <w:b w:val="0"/>
              </w:rPr>
              <w:t>6,017,400.88</w:t>
            </w:r>
          </w:p>
        </w:tc>
        <w:tc>
          <w:tcPr>
            <w:tcW w:w="0" w:type="dxa"/>
            <w:vAlign w:val="center"/>
          </w:tcPr>
          <w:p>
            <w:pPr>
              <w:spacing w:line="240" w:lineRule="auto"/>
              <w:jc w:val="right"/>
            </w:pPr>
            <w:r>
              <w:rPr>
                <w:rFonts w:ascii="宋体" w:hAnsi="宋体" w:eastAsia="宋体" w:cs="宋体"/>
                <w:b w:val="0"/>
              </w:rPr>
              <w:t>54.35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 xml:space="preserve">      资产支持证券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pPr>
            <w:r>
              <w:rPr>
                <w:rFonts w:ascii="宋体" w:hAnsi="宋体" w:eastAsia="宋体" w:cs="宋体"/>
                <w:b w:val="0"/>
              </w:rPr>
              <w:t>贵金属投资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金融衍生品投资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买入返售金融资产</w:t>
            </w:r>
          </w:p>
        </w:tc>
        <w:tc>
          <w:tcPr>
            <w:tcW w:w="0" w:type="dxa"/>
            <w:vAlign w:val="center"/>
          </w:tcPr>
          <w:p>
            <w:pPr>
              <w:spacing w:line="240" w:lineRule="auto"/>
              <w:jc w:val="right"/>
            </w:pPr>
            <w:r>
              <w:rPr>
                <w:rFonts w:ascii="宋体" w:hAnsi="宋体" w:eastAsia="宋体" w:cs="宋体"/>
                <w:b w:val="0"/>
              </w:rPr>
              <w:t>3,000,000.00</w:t>
            </w:r>
          </w:p>
        </w:tc>
        <w:tc>
          <w:tcPr>
            <w:tcW w:w="0" w:type="dxa"/>
            <w:vAlign w:val="center"/>
          </w:tcPr>
          <w:p>
            <w:pPr>
              <w:spacing w:line="240" w:lineRule="auto"/>
              <w:jc w:val="right"/>
            </w:pPr>
            <w:r>
              <w:rPr>
                <w:rFonts w:ascii="宋体" w:hAnsi="宋体" w:eastAsia="宋体" w:cs="宋体"/>
                <w:b w:val="0"/>
              </w:rPr>
              <w:t>27.09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其中：买断式回购的买入返售金融资产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银行存款和结算备付金合计</w:t>
            </w:r>
          </w:p>
        </w:tc>
        <w:tc>
          <w:tcPr>
            <w:tcW w:w="0" w:type="dxa"/>
            <w:vAlign w:val="center"/>
          </w:tcPr>
          <w:p>
            <w:pPr>
              <w:spacing w:line="240" w:lineRule="auto"/>
              <w:jc w:val="right"/>
            </w:pPr>
            <w:r>
              <w:rPr>
                <w:rFonts w:ascii="宋体" w:hAnsi="宋体" w:eastAsia="宋体" w:cs="宋体"/>
                <w:b w:val="0"/>
              </w:rPr>
              <w:t>79,406.67</w:t>
            </w:r>
          </w:p>
        </w:tc>
        <w:tc>
          <w:tcPr>
            <w:tcW w:w="0" w:type="dxa"/>
            <w:vAlign w:val="center"/>
          </w:tcPr>
          <w:p>
            <w:pPr>
              <w:spacing w:line="240" w:lineRule="auto"/>
              <w:jc w:val="right"/>
            </w:pPr>
            <w:r>
              <w:rPr>
                <w:rFonts w:ascii="宋体" w:hAnsi="宋体" w:eastAsia="宋体" w:cs="宋体"/>
                <w:b w:val="0"/>
              </w:rPr>
              <w:t>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其他资产</w:t>
            </w:r>
          </w:p>
        </w:tc>
        <w:tc>
          <w:tcPr>
            <w:tcW w:w="0" w:type="dxa"/>
            <w:vAlign w:val="center"/>
          </w:tcPr>
          <w:p>
            <w:pPr>
              <w:spacing w:line="240" w:lineRule="auto"/>
              <w:jc w:val="right"/>
            </w:pPr>
            <w:r>
              <w:rPr>
                <w:rFonts w:ascii="宋体" w:hAnsi="宋体" w:eastAsia="宋体" w:cs="宋体"/>
                <w:b w:val="0"/>
              </w:rPr>
              <w:t>122,236.98</w:t>
            </w:r>
          </w:p>
        </w:tc>
        <w:tc>
          <w:tcPr>
            <w:tcW w:w="0" w:type="dxa"/>
            <w:vAlign w:val="center"/>
          </w:tcPr>
          <w:p>
            <w:pPr>
              <w:spacing w:line="240" w:lineRule="auto"/>
              <w:jc w:val="right"/>
            </w:pPr>
            <w:r>
              <w:rPr>
                <w:rFonts w:ascii="宋体" w:hAnsi="宋体" w:eastAsia="宋体" w:cs="宋体"/>
                <w:b w:val="0"/>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11,072,557.53</w:t>
            </w:r>
          </w:p>
        </w:tc>
        <w:tc>
          <w:tcPr>
            <w:tcW w:w="0" w:type="dxa"/>
            <w:vAlign w:val="center"/>
          </w:tcPr>
          <w:p>
            <w:pPr>
              <w:spacing w:line="240" w:lineRule="auto"/>
              <w:jc w:val="right"/>
            </w:pPr>
            <w:r>
              <w:rPr>
                <w:rFonts w:ascii="宋体" w:hAnsi="宋体" w:eastAsia="宋体" w:cs="宋体"/>
                <w:b w:val="0"/>
              </w:rPr>
              <w:t>100.00</w:t>
            </w:r>
          </w:p>
        </w:tc>
      </w:tr>
    </w:tbl>
    <w:p/>
    <w:p>
      <w:pPr>
        <w:pStyle w:val="3"/>
        <w:jc w:val="left"/>
      </w:pPr>
      <w:r>
        <w:rPr>
          <w:rFonts w:ascii="宋体" w:hAnsi="宋体" w:eastAsia="宋体" w:cs="宋体"/>
        </w:rPr>
        <w:t>5.2 报告期末按行业分类的股票投资组合</w:t>
      </w:r>
    </w:p>
    <w:p>
      <w:pPr>
        <w:pStyle w:val="58"/>
      </w:pPr>
      <w:r>
        <w:rPr>
          <w:rFonts w:ascii="宋体" w:hAnsi="宋体" w:eastAsia="宋体" w:cs="宋体"/>
          <w:b/>
        </w:rPr>
        <w:t>5.2.1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3095"/>
        <w:gridCol w:w="1858"/>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代码</w:t>
            </w:r>
          </w:p>
        </w:tc>
        <w:tc>
          <w:tcPr>
            <w:tcW w:w="1538" w:type="pct"/>
            <w:shd w:val="clear" w:color="auto" w:fill="D9D9D9"/>
            <w:vAlign w:val="center"/>
          </w:tcPr>
          <w:p>
            <w:pPr>
              <w:spacing w:line="240" w:lineRule="auto"/>
              <w:jc w:val="center"/>
            </w:pPr>
            <w:r>
              <w:rPr>
                <w:rFonts w:ascii="宋体" w:hAnsi="宋体" w:eastAsia="宋体" w:cs="宋体"/>
                <w:b w:val="0"/>
              </w:rPr>
              <w:t>行业类别</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1538"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A</w:t>
            </w:r>
          </w:p>
        </w:tc>
        <w:tc>
          <w:tcPr>
            <w:tcW w:w="0" w:type="dxa"/>
            <w:vAlign w:val="center"/>
          </w:tcPr>
          <w:p>
            <w:pPr>
              <w:spacing w:line="240" w:lineRule="auto"/>
              <w:jc w:val="left"/>
            </w:pPr>
            <w:r>
              <w:rPr>
                <w:rFonts w:ascii="宋体" w:hAnsi="宋体" w:eastAsia="宋体" w:cs="宋体"/>
                <w:b w:val="0"/>
              </w:rPr>
              <w:t>农、林、牧、渔业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B</w:t>
            </w:r>
          </w:p>
        </w:tc>
        <w:tc>
          <w:tcPr>
            <w:tcW w:w="0" w:type="dxa"/>
            <w:vAlign w:val="center"/>
          </w:tcPr>
          <w:p>
            <w:pPr>
              <w:spacing w:line="240" w:lineRule="auto"/>
              <w:jc w:val="left"/>
            </w:pPr>
            <w:r>
              <w:rPr>
                <w:rFonts w:ascii="宋体" w:hAnsi="宋体" w:eastAsia="宋体" w:cs="宋体"/>
                <w:b w:val="0"/>
              </w:rPr>
              <w:t>采矿业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C</w:t>
            </w:r>
          </w:p>
        </w:tc>
        <w:tc>
          <w:tcPr>
            <w:tcW w:w="0" w:type="dxa"/>
            <w:vAlign w:val="center"/>
          </w:tcPr>
          <w:p>
            <w:pPr>
              <w:spacing w:line="240" w:lineRule="auto"/>
              <w:jc w:val="left"/>
            </w:pPr>
            <w:r>
              <w:rPr>
                <w:rFonts w:ascii="宋体" w:hAnsi="宋体" w:eastAsia="宋体" w:cs="宋体"/>
                <w:b w:val="0"/>
              </w:rPr>
              <w:t>制造业</w:t>
            </w:r>
          </w:p>
        </w:tc>
        <w:tc>
          <w:tcPr>
            <w:tcW w:w="0" w:type="dxa"/>
            <w:vAlign w:val="center"/>
          </w:tcPr>
          <w:p>
            <w:pPr>
              <w:spacing w:line="240" w:lineRule="auto"/>
              <w:jc w:val="right"/>
            </w:pPr>
            <w:r>
              <w:rPr>
                <w:rFonts w:ascii="宋体" w:hAnsi="宋体" w:eastAsia="宋体" w:cs="宋体"/>
                <w:b w:val="0"/>
              </w:rPr>
              <w:t>1,853,513.00</w:t>
            </w:r>
          </w:p>
        </w:tc>
        <w:tc>
          <w:tcPr>
            <w:tcW w:w="0" w:type="dxa"/>
            <w:vAlign w:val="center"/>
          </w:tcPr>
          <w:p>
            <w:pPr>
              <w:spacing w:line="240" w:lineRule="auto"/>
              <w:jc w:val="right"/>
            </w:pPr>
            <w:r>
              <w:rPr>
                <w:rFonts w:ascii="宋体" w:hAnsi="宋体" w:eastAsia="宋体" w:cs="宋体"/>
                <w:b w:val="0"/>
              </w:rPr>
              <w:t>16.76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D</w:t>
            </w:r>
          </w:p>
        </w:tc>
        <w:tc>
          <w:tcPr>
            <w:tcW w:w="0" w:type="dxa"/>
            <w:vAlign w:val="center"/>
          </w:tcPr>
          <w:p>
            <w:pPr>
              <w:spacing w:line="240" w:lineRule="auto"/>
              <w:jc w:val="left"/>
            </w:pPr>
            <w:r>
              <w:rPr>
                <w:rFonts w:ascii="宋体" w:hAnsi="宋体" w:eastAsia="宋体" w:cs="宋体"/>
                <w:b w:val="0"/>
              </w:rPr>
              <w:t>电力、热力、燃气及水生产和供应业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E</w:t>
            </w:r>
          </w:p>
        </w:tc>
        <w:tc>
          <w:tcPr>
            <w:tcW w:w="0" w:type="dxa"/>
            <w:vAlign w:val="center"/>
          </w:tcPr>
          <w:p>
            <w:pPr>
              <w:spacing w:line="240" w:lineRule="auto"/>
              <w:jc w:val="left"/>
            </w:pPr>
            <w:r>
              <w:rPr>
                <w:rFonts w:ascii="宋体" w:hAnsi="宋体" w:eastAsia="宋体" w:cs="宋体"/>
                <w:b w:val="0"/>
              </w:rPr>
              <w:t>建筑业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F</w:t>
            </w:r>
          </w:p>
        </w:tc>
        <w:tc>
          <w:tcPr>
            <w:tcW w:w="0" w:type="dxa"/>
            <w:vAlign w:val="center"/>
          </w:tcPr>
          <w:p>
            <w:pPr>
              <w:spacing w:line="240" w:lineRule="auto"/>
              <w:jc w:val="left"/>
            </w:pPr>
            <w:r>
              <w:rPr>
                <w:rFonts w:ascii="宋体" w:hAnsi="宋体" w:eastAsia="宋体" w:cs="宋体"/>
                <w:b w:val="0"/>
              </w:rPr>
              <w:t>批发和零售业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G</w:t>
            </w:r>
          </w:p>
        </w:tc>
        <w:tc>
          <w:tcPr>
            <w:tcW w:w="0" w:type="dxa"/>
            <w:vAlign w:val="center"/>
          </w:tcPr>
          <w:p>
            <w:pPr>
              <w:spacing w:line="240" w:lineRule="auto"/>
              <w:jc w:val="left"/>
            </w:pPr>
            <w:r>
              <w:rPr>
                <w:rFonts w:ascii="宋体" w:hAnsi="宋体" w:eastAsia="宋体" w:cs="宋体"/>
                <w:b w:val="0"/>
              </w:rPr>
              <w:t>交通运输、仓储和邮政业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H</w:t>
            </w:r>
          </w:p>
        </w:tc>
        <w:tc>
          <w:tcPr>
            <w:tcW w:w="0" w:type="dxa"/>
            <w:vAlign w:val="center"/>
          </w:tcPr>
          <w:p>
            <w:pPr>
              <w:spacing w:line="240" w:lineRule="auto"/>
              <w:jc w:val="left"/>
            </w:pPr>
            <w:r>
              <w:rPr>
                <w:rFonts w:ascii="宋体" w:hAnsi="宋体" w:eastAsia="宋体" w:cs="宋体"/>
                <w:b w:val="0"/>
              </w:rPr>
              <w:t>住宿和餐饮业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I</w:t>
            </w:r>
          </w:p>
        </w:tc>
        <w:tc>
          <w:tcPr>
            <w:tcW w:w="0" w:type="dxa"/>
            <w:vAlign w:val="center"/>
          </w:tcPr>
          <w:p>
            <w:pPr>
              <w:spacing w:line="240" w:lineRule="auto"/>
              <w:jc w:val="left"/>
            </w:pPr>
            <w:r>
              <w:rPr>
                <w:rFonts w:ascii="宋体" w:hAnsi="宋体" w:eastAsia="宋体" w:cs="宋体"/>
                <w:b w:val="0"/>
              </w:rPr>
              <w:t>信息传输、软件和信息技术服务业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J</w:t>
            </w:r>
          </w:p>
        </w:tc>
        <w:tc>
          <w:tcPr>
            <w:tcW w:w="0" w:type="dxa"/>
            <w:vAlign w:val="center"/>
          </w:tcPr>
          <w:p>
            <w:pPr>
              <w:spacing w:line="240" w:lineRule="auto"/>
              <w:jc w:val="left"/>
            </w:pPr>
            <w:r>
              <w:rPr>
                <w:rFonts w:ascii="宋体" w:hAnsi="宋体" w:eastAsia="宋体" w:cs="宋体"/>
                <w:b w:val="0"/>
              </w:rPr>
              <w:t>金融业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K</w:t>
            </w:r>
          </w:p>
        </w:tc>
        <w:tc>
          <w:tcPr>
            <w:tcW w:w="0" w:type="dxa"/>
            <w:vAlign w:val="center"/>
          </w:tcPr>
          <w:p>
            <w:pPr>
              <w:spacing w:line="240" w:lineRule="auto"/>
              <w:jc w:val="left"/>
            </w:pPr>
            <w:r>
              <w:rPr>
                <w:rFonts w:ascii="宋体" w:hAnsi="宋体" w:eastAsia="宋体" w:cs="宋体"/>
                <w:b w:val="0"/>
              </w:rPr>
              <w:t>房地产业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L</w:t>
            </w:r>
          </w:p>
        </w:tc>
        <w:tc>
          <w:tcPr>
            <w:tcW w:w="0" w:type="dxa"/>
            <w:vAlign w:val="center"/>
          </w:tcPr>
          <w:p>
            <w:pPr>
              <w:spacing w:line="240" w:lineRule="auto"/>
              <w:jc w:val="left"/>
            </w:pPr>
            <w:r>
              <w:rPr>
                <w:rFonts w:ascii="宋体" w:hAnsi="宋体" w:eastAsia="宋体" w:cs="宋体"/>
                <w:b w:val="0"/>
              </w:rPr>
              <w:t>租赁和商务服务业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M</w:t>
            </w:r>
          </w:p>
        </w:tc>
        <w:tc>
          <w:tcPr>
            <w:tcW w:w="0" w:type="dxa"/>
            <w:vAlign w:val="center"/>
          </w:tcPr>
          <w:p>
            <w:pPr>
              <w:spacing w:line="240" w:lineRule="auto"/>
              <w:jc w:val="left"/>
            </w:pPr>
            <w:r>
              <w:rPr>
                <w:rFonts w:ascii="宋体" w:hAnsi="宋体" w:eastAsia="宋体" w:cs="宋体"/>
                <w:b w:val="0"/>
              </w:rPr>
              <w:t>科学研究和技术服务业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N</w:t>
            </w:r>
          </w:p>
        </w:tc>
        <w:tc>
          <w:tcPr>
            <w:tcW w:w="0" w:type="dxa"/>
            <w:vAlign w:val="center"/>
          </w:tcPr>
          <w:p>
            <w:pPr>
              <w:spacing w:line="240" w:lineRule="auto"/>
              <w:jc w:val="left"/>
            </w:pPr>
            <w:r>
              <w:rPr>
                <w:rFonts w:ascii="宋体" w:hAnsi="宋体" w:eastAsia="宋体" w:cs="宋体"/>
                <w:b w:val="0"/>
              </w:rPr>
              <w:t>水利、环境和公共设施管理业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O</w:t>
            </w:r>
          </w:p>
        </w:tc>
        <w:tc>
          <w:tcPr>
            <w:tcW w:w="0" w:type="dxa"/>
            <w:vAlign w:val="center"/>
          </w:tcPr>
          <w:p>
            <w:pPr>
              <w:spacing w:line="240" w:lineRule="auto"/>
              <w:jc w:val="left"/>
            </w:pPr>
            <w:r>
              <w:rPr>
                <w:rFonts w:ascii="宋体" w:hAnsi="宋体" w:eastAsia="宋体" w:cs="宋体"/>
                <w:b w:val="0"/>
              </w:rPr>
              <w:t>居民服务、修理和其他服务业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P</w:t>
            </w:r>
          </w:p>
        </w:tc>
        <w:tc>
          <w:tcPr>
            <w:tcW w:w="0" w:type="dxa"/>
            <w:vAlign w:val="center"/>
          </w:tcPr>
          <w:p>
            <w:pPr>
              <w:spacing w:line="240" w:lineRule="auto"/>
              <w:jc w:val="left"/>
            </w:pPr>
            <w:r>
              <w:rPr>
                <w:rFonts w:ascii="宋体" w:hAnsi="宋体" w:eastAsia="宋体" w:cs="宋体"/>
                <w:b w:val="0"/>
              </w:rPr>
              <w:t>教育</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Q</w:t>
            </w:r>
          </w:p>
        </w:tc>
        <w:tc>
          <w:tcPr>
            <w:tcW w:w="0" w:type="dxa"/>
            <w:vAlign w:val="center"/>
          </w:tcPr>
          <w:p>
            <w:pPr>
              <w:spacing w:line="240" w:lineRule="auto"/>
              <w:jc w:val="left"/>
            </w:pPr>
            <w:r>
              <w:rPr>
                <w:rFonts w:ascii="宋体" w:hAnsi="宋体" w:eastAsia="宋体" w:cs="宋体"/>
                <w:b w:val="0"/>
              </w:rPr>
              <w:t>卫生和社会工作</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R</w:t>
            </w:r>
          </w:p>
        </w:tc>
        <w:tc>
          <w:tcPr>
            <w:tcW w:w="0" w:type="dxa"/>
            <w:vAlign w:val="center"/>
          </w:tcPr>
          <w:p>
            <w:pPr>
              <w:spacing w:line="240" w:lineRule="auto"/>
              <w:jc w:val="left"/>
            </w:pPr>
            <w:r>
              <w:rPr>
                <w:rFonts w:ascii="宋体" w:hAnsi="宋体" w:eastAsia="宋体" w:cs="宋体"/>
                <w:b w:val="0"/>
              </w:rPr>
              <w:t>文化、体育和娱乐业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S</w:t>
            </w:r>
          </w:p>
        </w:tc>
        <w:tc>
          <w:tcPr>
            <w:tcW w:w="0" w:type="dxa"/>
            <w:vAlign w:val="center"/>
          </w:tcPr>
          <w:p>
            <w:pPr>
              <w:spacing w:line="240" w:lineRule="auto"/>
              <w:jc w:val="left"/>
            </w:pPr>
            <w:r>
              <w:rPr>
                <w:rFonts w:ascii="宋体" w:hAnsi="宋体" w:eastAsia="宋体" w:cs="宋体"/>
                <w:b w:val="0"/>
              </w:rPr>
              <w:t>综合</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1,853,513.00</w:t>
            </w:r>
          </w:p>
        </w:tc>
        <w:tc>
          <w:tcPr>
            <w:tcW w:w="0" w:type="dxa"/>
            <w:vAlign w:val="center"/>
          </w:tcPr>
          <w:p>
            <w:pPr>
              <w:spacing w:line="240" w:lineRule="auto"/>
              <w:jc w:val="right"/>
            </w:pPr>
            <w:r>
              <w:rPr>
                <w:rFonts w:ascii="宋体" w:hAnsi="宋体" w:eastAsia="宋体" w:cs="宋体"/>
                <w:b w:val="0"/>
              </w:rPr>
              <w:t>16.76</w:t>
            </w:r>
          </w:p>
        </w:tc>
      </w:tr>
    </w:tbl>
    <w:p/>
    <w:p>
      <w:pPr>
        <w:pStyle w:val="58"/>
      </w:pPr>
      <w:r>
        <w:rPr>
          <w:rFonts w:ascii="宋体" w:hAnsi="宋体" w:eastAsia="宋体" w:cs="宋体"/>
          <w:b/>
        </w:rPr>
        <w:t>5.2.2 报告期末按行业分类的港股通投资股票投资组合</w:t>
      </w:r>
    </w:p>
    <w:p>
      <w:r>
        <w:rPr>
          <w:rFonts w:ascii="宋体" w:hAnsi="宋体" w:eastAsia="宋体" w:cs="宋体"/>
          <w:b w:val="0"/>
        </w:rPr>
        <w:t xml:space="preserve">    本基金本报告期末未持有港股通投资股票投资组合。</w:t>
      </w:r>
    </w:p>
    <w:p/>
    <w:p>
      <w:pPr>
        <w:pStyle w:val="3"/>
        <w:jc w:val="left"/>
      </w:pPr>
      <w:r>
        <w:rPr>
          <w:rFonts w:ascii="宋体" w:hAnsi="宋体" w:eastAsia="宋体" w:cs="宋体"/>
        </w:rPr>
        <w:t>5.3 报告期末按公允价值占基金资产净值比例大小排序的前十名股票投资明细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股票代码</w:t>
            </w:r>
          </w:p>
        </w:tc>
        <w:tc>
          <w:tcPr>
            <w:tcW w:w="769" w:type="pct"/>
            <w:shd w:val="clear" w:color="auto" w:fill="D9D9D9"/>
            <w:vAlign w:val="center"/>
          </w:tcPr>
          <w:p>
            <w:pPr>
              <w:spacing w:line="240" w:lineRule="auto"/>
              <w:jc w:val="center"/>
            </w:pPr>
            <w:r>
              <w:rPr>
                <w:rFonts w:ascii="宋体" w:hAnsi="宋体" w:eastAsia="宋体" w:cs="宋体"/>
                <w:b w:val="0"/>
              </w:rPr>
              <w:t>股票名称</w:t>
            </w:r>
          </w:p>
        </w:tc>
        <w:tc>
          <w:tcPr>
            <w:tcW w:w="615" w:type="pct"/>
            <w:shd w:val="clear" w:color="auto" w:fill="D9D9D9"/>
            <w:vAlign w:val="center"/>
          </w:tcPr>
          <w:p>
            <w:pPr>
              <w:spacing w:line="240" w:lineRule="auto"/>
              <w:jc w:val="center"/>
            </w:pPr>
            <w:r>
              <w:rPr>
                <w:rFonts w:ascii="宋体" w:hAnsi="宋体" w:eastAsia="宋体" w:cs="宋体"/>
                <w:b w:val="0"/>
              </w:rPr>
              <w:t>数量(股)</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688025</w:t>
            </w:r>
          </w:p>
        </w:tc>
        <w:tc>
          <w:tcPr>
            <w:tcW w:w="0" w:type="dxa"/>
            <w:vAlign w:val="center"/>
          </w:tcPr>
          <w:p>
            <w:pPr>
              <w:spacing w:line="240" w:lineRule="auto"/>
              <w:jc w:val="left"/>
            </w:pPr>
            <w:r>
              <w:rPr>
                <w:rFonts w:ascii="宋体" w:hAnsi="宋体" w:eastAsia="宋体" w:cs="宋体"/>
                <w:b w:val="0"/>
              </w:rPr>
              <w:t>杰普特</w:t>
            </w:r>
          </w:p>
        </w:tc>
        <w:tc>
          <w:tcPr>
            <w:tcW w:w="0" w:type="dxa"/>
            <w:vAlign w:val="center"/>
          </w:tcPr>
          <w:p>
            <w:pPr>
              <w:spacing w:line="240" w:lineRule="auto"/>
              <w:jc w:val="right"/>
            </w:pPr>
            <w:r>
              <w:rPr>
                <w:rFonts w:ascii="宋体" w:hAnsi="宋体" w:eastAsia="宋体" w:cs="宋体"/>
                <w:b w:val="0"/>
              </w:rPr>
              <w:t>675</w:t>
            </w:r>
          </w:p>
        </w:tc>
        <w:tc>
          <w:tcPr>
            <w:tcW w:w="0" w:type="dxa"/>
            <w:vAlign w:val="center"/>
          </w:tcPr>
          <w:p>
            <w:pPr>
              <w:spacing w:line="240" w:lineRule="auto"/>
              <w:jc w:val="right"/>
            </w:pPr>
            <w:r>
              <w:rPr>
                <w:rFonts w:ascii="宋体" w:hAnsi="宋体" w:eastAsia="宋体" w:cs="宋体"/>
                <w:b w:val="0"/>
              </w:rPr>
              <w:t>317,250.00</w:t>
            </w:r>
          </w:p>
        </w:tc>
        <w:tc>
          <w:tcPr>
            <w:tcW w:w="0" w:type="dxa"/>
            <w:vAlign w:val="center"/>
          </w:tcPr>
          <w:p>
            <w:pPr>
              <w:spacing w:line="240" w:lineRule="auto"/>
              <w:jc w:val="right"/>
            </w:pPr>
            <w:r>
              <w:rPr>
                <w:rFonts w:ascii="宋体" w:hAnsi="宋体" w:eastAsia="宋体" w:cs="宋体"/>
                <w:b w:val="0"/>
              </w:rPr>
              <w:t>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300548</w:t>
            </w:r>
          </w:p>
        </w:tc>
        <w:tc>
          <w:tcPr>
            <w:tcW w:w="0" w:type="dxa"/>
            <w:vAlign w:val="center"/>
          </w:tcPr>
          <w:p>
            <w:pPr>
              <w:spacing w:line="240" w:lineRule="auto"/>
              <w:jc w:val="left"/>
            </w:pPr>
            <w:r>
              <w:rPr>
                <w:rFonts w:ascii="宋体" w:hAnsi="宋体" w:eastAsia="宋体" w:cs="宋体"/>
                <w:b w:val="0"/>
              </w:rPr>
              <w:t>长芯博创</w:t>
            </w:r>
          </w:p>
        </w:tc>
        <w:tc>
          <w:tcPr>
            <w:tcW w:w="0" w:type="dxa"/>
            <w:vAlign w:val="center"/>
          </w:tcPr>
          <w:p>
            <w:pPr>
              <w:spacing w:line="240" w:lineRule="auto"/>
              <w:jc w:val="right"/>
            </w:pPr>
            <w:r>
              <w:rPr>
                <w:rFonts w:ascii="宋体" w:hAnsi="宋体" w:eastAsia="宋体" w:cs="宋体"/>
                <w:b w:val="0"/>
              </w:rPr>
              <w:t>900</w:t>
            </w:r>
          </w:p>
        </w:tc>
        <w:tc>
          <w:tcPr>
            <w:tcW w:w="0" w:type="dxa"/>
            <w:vAlign w:val="center"/>
          </w:tcPr>
          <w:p>
            <w:pPr>
              <w:spacing w:line="240" w:lineRule="auto"/>
              <w:jc w:val="right"/>
            </w:pPr>
            <w:r>
              <w:rPr>
                <w:rFonts w:ascii="宋体" w:hAnsi="宋体" w:eastAsia="宋体" w:cs="宋体"/>
                <w:b w:val="0"/>
              </w:rPr>
              <w:t>250,200.00</w:t>
            </w:r>
          </w:p>
        </w:tc>
        <w:tc>
          <w:tcPr>
            <w:tcW w:w="0" w:type="dxa"/>
            <w:vAlign w:val="center"/>
          </w:tcPr>
          <w:p>
            <w:pPr>
              <w:spacing w:line="240" w:lineRule="auto"/>
              <w:jc w:val="right"/>
            </w:pPr>
            <w:r>
              <w:rPr>
                <w:rFonts w:ascii="宋体" w:hAnsi="宋体" w:eastAsia="宋体" w:cs="宋体"/>
                <w:b w:val="0"/>
              </w:rPr>
              <w:t>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002281</w:t>
            </w:r>
          </w:p>
        </w:tc>
        <w:tc>
          <w:tcPr>
            <w:tcW w:w="0" w:type="dxa"/>
            <w:vAlign w:val="center"/>
          </w:tcPr>
          <w:p>
            <w:pPr>
              <w:spacing w:line="240" w:lineRule="auto"/>
              <w:jc w:val="left"/>
            </w:pPr>
            <w:r>
              <w:rPr>
                <w:rFonts w:ascii="宋体" w:hAnsi="宋体" w:eastAsia="宋体" w:cs="宋体"/>
                <w:b w:val="0"/>
              </w:rPr>
              <w:t>光迅科技</w:t>
            </w:r>
          </w:p>
        </w:tc>
        <w:tc>
          <w:tcPr>
            <w:tcW w:w="0" w:type="dxa"/>
            <w:vAlign w:val="center"/>
          </w:tcPr>
          <w:p>
            <w:pPr>
              <w:spacing w:line="240" w:lineRule="auto"/>
              <w:jc w:val="right"/>
            </w:pPr>
            <w:r>
              <w:rPr>
                <w:rFonts w:ascii="宋体" w:hAnsi="宋体" w:eastAsia="宋体" w:cs="宋体"/>
                <w:b w:val="0"/>
              </w:rPr>
              <w:t>900</w:t>
            </w:r>
          </w:p>
        </w:tc>
        <w:tc>
          <w:tcPr>
            <w:tcW w:w="0" w:type="dxa"/>
            <w:vAlign w:val="center"/>
          </w:tcPr>
          <w:p>
            <w:pPr>
              <w:spacing w:line="240" w:lineRule="auto"/>
              <w:jc w:val="right"/>
            </w:pPr>
            <w:r>
              <w:rPr>
                <w:rFonts w:ascii="宋体" w:hAnsi="宋体" w:eastAsia="宋体" w:cs="宋体"/>
                <w:b w:val="0"/>
              </w:rPr>
              <w:t>231,246.00</w:t>
            </w:r>
          </w:p>
        </w:tc>
        <w:tc>
          <w:tcPr>
            <w:tcW w:w="0" w:type="dxa"/>
            <w:vAlign w:val="center"/>
          </w:tcPr>
          <w:p>
            <w:pPr>
              <w:spacing w:line="240" w:lineRule="auto"/>
              <w:jc w:val="right"/>
            </w:pPr>
            <w:r>
              <w:rPr>
                <w:rFonts w:ascii="宋体" w:hAnsi="宋体" w:eastAsia="宋体" w:cs="宋体"/>
                <w:b w:val="0"/>
              </w:rPr>
              <w:t>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002138</w:t>
            </w:r>
          </w:p>
        </w:tc>
        <w:tc>
          <w:tcPr>
            <w:tcW w:w="0" w:type="dxa"/>
            <w:vAlign w:val="center"/>
          </w:tcPr>
          <w:p>
            <w:pPr>
              <w:spacing w:line="240" w:lineRule="auto"/>
              <w:jc w:val="left"/>
            </w:pPr>
            <w:r>
              <w:rPr>
                <w:rFonts w:ascii="宋体" w:hAnsi="宋体" w:eastAsia="宋体" w:cs="宋体"/>
                <w:b w:val="0"/>
              </w:rPr>
              <w:t>顺络电子</w:t>
            </w:r>
          </w:p>
        </w:tc>
        <w:tc>
          <w:tcPr>
            <w:tcW w:w="0" w:type="dxa"/>
            <w:vAlign w:val="center"/>
          </w:tcPr>
          <w:p>
            <w:pPr>
              <w:spacing w:line="240" w:lineRule="auto"/>
              <w:jc w:val="right"/>
            </w:pPr>
            <w:r>
              <w:rPr>
                <w:rFonts w:ascii="宋体" w:hAnsi="宋体" w:eastAsia="宋体" w:cs="宋体"/>
                <w:b w:val="0"/>
              </w:rPr>
              <w:t>3,100</w:t>
            </w:r>
          </w:p>
        </w:tc>
        <w:tc>
          <w:tcPr>
            <w:tcW w:w="0" w:type="dxa"/>
            <w:vAlign w:val="center"/>
          </w:tcPr>
          <w:p>
            <w:pPr>
              <w:spacing w:line="240" w:lineRule="auto"/>
              <w:jc w:val="right"/>
            </w:pPr>
            <w:r>
              <w:rPr>
                <w:rFonts w:ascii="宋体" w:hAnsi="宋体" w:eastAsia="宋体" w:cs="宋体"/>
                <w:b w:val="0"/>
              </w:rPr>
              <w:t>226,610.00</w:t>
            </w:r>
          </w:p>
        </w:tc>
        <w:tc>
          <w:tcPr>
            <w:tcW w:w="0" w:type="dxa"/>
            <w:vAlign w:val="center"/>
          </w:tcPr>
          <w:p>
            <w:pPr>
              <w:spacing w:line="240" w:lineRule="auto"/>
              <w:jc w:val="right"/>
            </w:pPr>
            <w:r>
              <w:rPr>
                <w:rFonts w:ascii="宋体" w:hAnsi="宋体" w:eastAsia="宋体" w:cs="宋体"/>
                <w:b w:val="0"/>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002008</w:t>
            </w:r>
          </w:p>
        </w:tc>
        <w:tc>
          <w:tcPr>
            <w:tcW w:w="0" w:type="dxa"/>
            <w:vAlign w:val="center"/>
          </w:tcPr>
          <w:p>
            <w:pPr>
              <w:spacing w:line="240" w:lineRule="auto"/>
              <w:jc w:val="left"/>
            </w:pPr>
            <w:r>
              <w:rPr>
                <w:rFonts w:ascii="宋体" w:hAnsi="宋体" w:eastAsia="宋体" w:cs="宋体"/>
                <w:b w:val="0"/>
              </w:rPr>
              <w:t>大族激光</w:t>
            </w:r>
          </w:p>
        </w:tc>
        <w:tc>
          <w:tcPr>
            <w:tcW w:w="0" w:type="dxa"/>
            <w:vAlign w:val="center"/>
          </w:tcPr>
          <w:p>
            <w:pPr>
              <w:spacing w:line="240" w:lineRule="auto"/>
              <w:jc w:val="right"/>
            </w:pPr>
            <w:r>
              <w:rPr>
                <w:rFonts w:ascii="宋体" w:hAnsi="宋体" w:eastAsia="宋体" w:cs="宋体"/>
                <w:b w:val="0"/>
              </w:rPr>
              <w:t>1,500</w:t>
            </w:r>
          </w:p>
        </w:tc>
        <w:tc>
          <w:tcPr>
            <w:tcW w:w="0" w:type="dxa"/>
            <w:vAlign w:val="center"/>
          </w:tcPr>
          <w:p>
            <w:pPr>
              <w:spacing w:line="240" w:lineRule="auto"/>
              <w:jc w:val="right"/>
            </w:pPr>
            <w:r>
              <w:rPr>
                <w:rFonts w:ascii="宋体" w:hAnsi="宋体" w:eastAsia="宋体" w:cs="宋体"/>
                <w:b w:val="0"/>
              </w:rPr>
              <w:t>225,165.00</w:t>
            </w:r>
          </w:p>
        </w:tc>
        <w:tc>
          <w:tcPr>
            <w:tcW w:w="0" w:type="dxa"/>
            <w:vAlign w:val="center"/>
          </w:tcPr>
          <w:p>
            <w:pPr>
              <w:spacing w:line="240" w:lineRule="auto"/>
              <w:jc w:val="right"/>
            </w:pPr>
            <w:r>
              <w:rPr>
                <w:rFonts w:ascii="宋体" w:hAnsi="宋体" w:eastAsia="宋体" w:cs="宋体"/>
                <w:b w:val="0"/>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688630</w:t>
            </w:r>
          </w:p>
        </w:tc>
        <w:tc>
          <w:tcPr>
            <w:tcW w:w="0" w:type="dxa"/>
            <w:vAlign w:val="center"/>
          </w:tcPr>
          <w:p>
            <w:pPr>
              <w:spacing w:line="240" w:lineRule="auto"/>
              <w:jc w:val="left"/>
            </w:pPr>
            <w:r>
              <w:rPr>
                <w:rFonts w:ascii="宋体" w:hAnsi="宋体" w:eastAsia="宋体" w:cs="宋体"/>
                <w:b w:val="0"/>
              </w:rPr>
              <w:t>芯碁微装</w:t>
            </w:r>
          </w:p>
        </w:tc>
        <w:tc>
          <w:tcPr>
            <w:tcW w:w="0" w:type="dxa"/>
            <w:vAlign w:val="center"/>
          </w:tcPr>
          <w:p>
            <w:pPr>
              <w:spacing w:line="240" w:lineRule="auto"/>
              <w:jc w:val="right"/>
            </w:pPr>
            <w:r>
              <w:rPr>
                <w:rFonts w:ascii="宋体" w:hAnsi="宋体" w:eastAsia="宋体" w:cs="宋体"/>
                <w:b w:val="0"/>
              </w:rPr>
              <w:t>400</w:t>
            </w:r>
          </w:p>
        </w:tc>
        <w:tc>
          <w:tcPr>
            <w:tcW w:w="0" w:type="dxa"/>
            <w:vAlign w:val="center"/>
          </w:tcPr>
          <w:p>
            <w:pPr>
              <w:spacing w:line="240" w:lineRule="auto"/>
              <w:jc w:val="right"/>
            </w:pPr>
            <w:r>
              <w:rPr>
                <w:rFonts w:ascii="宋体" w:hAnsi="宋体" w:eastAsia="宋体" w:cs="宋体"/>
                <w:b w:val="0"/>
              </w:rPr>
              <w:t>219,756.00</w:t>
            </w:r>
          </w:p>
        </w:tc>
        <w:tc>
          <w:tcPr>
            <w:tcW w:w="0" w:type="dxa"/>
            <w:vAlign w:val="center"/>
          </w:tcPr>
          <w:p>
            <w:pPr>
              <w:spacing w:line="240" w:lineRule="auto"/>
              <w:jc w:val="right"/>
            </w:pPr>
            <w:r>
              <w:rPr>
                <w:rFonts w:ascii="宋体" w:hAnsi="宋体" w:eastAsia="宋体" w:cs="宋体"/>
                <w:b w:val="0"/>
              </w:rPr>
              <w:t>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603306</w:t>
            </w:r>
          </w:p>
        </w:tc>
        <w:tc>
          <w:tcPr>
            <w:tcW w:w="0" w:type="dxa"/>
            <w:vAlign w:val="center"/>
          </w:tcPr>
          <w:p>
            <w:pPr>
              <w:spacing w:line="240" w:lineRule="auto"/>
              <w:jc w:val="left"/>
            </w:pPr>
            <w:r>
              <w:rPr>
                <w:rFonts w:ascii="宋体" w:hAnsi="宋体" w:eastAsia="宋体" w:cs="宋体"/>
                <w:b w:val="0"/>
              </w:rPr>
              <w:t>华懋科技</w:t>
            </w:r>
          </w:p>
        </w:tc>
        <w:tc>
          <w:tcPr>
            <w:tcW w:w="0" w:type="dxa"/>
            <w:vAlign w:val="center"/>
          </w:tcPr>
          <w:p>
            <w:pPr>
              <w:spacing w:line="240" w:lineRule="auto"/>
              <w:jc w:val="right"/>
            </w:pPr>
            <w:r>
              <w:rPr>
                <w:rFonts w:ascii="宋体" w:hAnsi="宋体" w:eastAsia="宋体" w:cs="宋体"/>
                <w:b w:val="0"/>
              </w:rPr>
              <w:t>2,000</w:t>
            </w:r>
          </w:p>
        </w:tc>
        <w:tc>
          <w:tcPr>
            <w:tcW w:w="0" w:type="dxa"/>
            <w:vAlign w:val="center"/>
          </w:tcPr>
          <w:p>
            <w:pPr>
              <w:spacing w:line="240" w:lineRule="auto"/>
              <w:jc w:val="right"/>
            </w:pPr>
            <w:r>
              <w:rPr>
                <w:rFonts w:ascii="宋体" w:hAnsi="宋体" w:eastAsia="宋体" w:cs="宋体"/>
                <w:b w:val="0"/>
              </w:rPr>
              <w:t>207,380.00</w:t>
            </w:r>
          </w:p>
        </w:tc>
        <w:tc>
          <w:tcPr>
            <w:tcW w:w="0" w:type="dxa"/>
            <w:vAlign w:val="center"/>
          </w:tcPr>
          <w:p>
            <w:pPr>
              <w:spacing w:line="240" w:lineRule="auto"/>
              <w:jc w:val="right"/>
            </w:pPr>
            <w:r>
              <w:rPr>
                <w:rFonts w:ascii="宋体" w:hAnsi="宋体" w:eastAsia="宋体" w:cs="宋体"/>
                <w:b w:val="0"/>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688072</w:t>
            </w:r>
          </w:p>
        </w:tc>
        <w:tc>
          <w:tcPr>
            <w:tcW w:w="0" w:type="dxa"/>
            <w:vAlign w:val="center"/>
          </w:tcPr>
          <w:p>
            <w:pPr>
              <w:spacing w:line="240" w:lineRule="auto"/>
              <w:jc w:val="left"/>
            </w:pPr>
            <w:r>
              <w:rPr>
                <w:rFonts w:ascii="宋体" w:hAnsi="宋体" w:eastAsia="宋体" w:cs="宋体"/>
                <w:b w:val="0"/>
              </w:rPr>
              <w:t>拓荆科技</w:t>
            </w:r>
          </w:p>
        </w:tc>
        <w:tc>
          <w:tcPr>
            <w:tcW w:w="0" w:type="dxa"/>
            <w:vAlign w:val="center"/>
          </w:tcPr>
          <w:p>
            <w:pPr>
              <w:spacing w:line="240" w:lineRule="auto"/>
              <w:jc w:val="right"/>
            </w:pPr>
            <w:r>
              <w:rPr>
                <w:rFonts w:ascii="宋体" w:hAnsi="宋体" w:eastAsia="宋体" w:cs="宋体"/>
                <w:b w:val="0"/>
              </w:rPr>
              <w:t>200</w:t>
            </w:r>
          </w:p>
        </w:tc>
        <w:tc>
          <w:tcPr>
            <w:tcW w:w="0" w:type="dxa"/>
            <w:vAlign w:val="center"/>
          </w:tcPr>
          <w:p>
            <w:pPr>
              <w:spacing w:line="240" w:lineRule="auto"/>
              <w:jc w:val="right"/>
            </w:pPr>
            <w:r>
              <w:rPr>
                <w:rFonts w:ascii="宋体" w:hAnsi="宋体" w:eastAsia="宋体" w:cs="宋体"/>
                <w:b w:val="0"/>
              </w:rPr>
              <w:t>175,906.00</w:t>
            </w:r>
          </w:p>
        </w:tc>
        <w:tc>
          <w:tcPr>
            <w:tcW w:w="0" w:type="dxa"/>
            <w:vAlign w:val="center"/>
          </w:tcPr>
          <w:p>
            <w:pPr>
              <w:spacing w:line="240" w:lineRule="auto"/>
              <w:jc w:val="right"/>
            </w:pPr>
            <w:r>
              <w:rPr>
                <w:rFonts w:ascii="宋体" w:hAnsi="宋体" w:eastAsia="宋体" w:cs="宋体"/>
                <w:b w:val="0"/>
              </w:rPr>
              <w:t>1.59</w:t>
            </w:r>
          </w:p>
        </w:tc>
      </w:tr>
    </w:tbl>
    <w:p>
      <w:r>
        <w:rPr>
          <w:rFonts w:ascii="宋体" w:hAnsi="宋体" w:eastAsia="宋体" w:cs="宋体"/>
          <w:b w:val="0"/>
        </w:rPr>
        <w:t>注：本基金本报告期末仅持有上述股票。</w:t>
      </w:r>
    </w:p>
    <w:p/>
    <w:p>
      <w:pPr>
        <w:pStyle w:val="3"/>
        <w:jc w:val="left"/>
      </w:pPr>
      <w:r>
        <w:rPr>
          <w:rFonts w:ascii="宋体" w:hAnsi="宋体" w:eastAsia="宋体" w:cs="宋体"/>
        </w:rPr>
        <w:t>5.4 报告期末按债券品种分类的债券投资组合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3571"/>
        <w:gridCol w:w="1786"/>
        <w:gridCol w:w="2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债券品种</w:t>
            </w:r>
          </w:p>
        </w:tc>
        <w:tc>
          <w:tcPr>
            <w:tcW w:w="769" w:type="pct"/>
            <w:shd w:val="clear" w:color="auto" w:fill="D9D9D9"/>
            <w:vAlign w:val="center"/>
          </w:tcPr>
          <w:p>
            <w:pPr>
              <w:spacing w:line="240" w:lineRule="auto"/>
              <w:jc w:val="center"/>
            </w:pPr>
            <w:r>
              <w:rPr>
                <w:rFonts w:ascii="宋体" w:hAnsi="宋体" w:eastAsia="宋体" w:cs="宋体"/>
                <w:b w:val="0"/>
              </w:rPr>
              <w:t>公允价值(元)</w:t>
            </w:r>
          </w:p>
        </w:tc>
        <w:tc>
          <w:tcPr>
            <w:tcW w:w="1077"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国家债券</w:t>
            </w:r>
          </w:p>
        </w:tc>
        <w:tc>
          <w:tcPr>
            <w:tcW w:w="0" w:type="dxa"/>
            <w:vAlign w:val="center"/>
          </w:tcPr>
          <w:p>
            <w:pPr>
              <w:spacing w:line="240" w:lineRule="auto"/>
              <w:jc w:val="right"/>
            </w:pPr>
            <w:r>
              <w:rPr>
                <w:rFonts w:ascii="宋体" w:hAnsi="宋体" w:eastAsia="宋体" w:cs="宋体"/>
                <w:b w:val="0"/>
              </w:rPr>
              <w:t>2,622,177.59</w:t>
            </w:r>
          </w:p>
        </w:tc>
        <w:tc>
          <w:tcPr>
            <w:tcW w:w="0" w:type="dxa"/>
            <w:vAlign w:val="center"/>
          </w:tcPr>
          <w:p>
            <w:pPr>
              <w:spacing w:line="240" w:lineRule="auto"/>
              <w:jc w:val="right"/>
            </w:pPr>
            <w:r>
              <w:rPr>
                <w:rFonts w:ascii="宋体" w:hAnsi="宋体" w:eastAsia="宋体" w:cs="宋体"/>
                <w:b w:val="0"/>
              </w:rPr>
              <w:t>23.71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央行票据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金融债券</w:t>
            </w:r>
          </w:p>
        </w:tc>
        <w:tc>
          <w:tcPr>
            <w:tcW w:w="0" w:type="dxa"/>
            <w:vAlign w:val="center"/>
          </w:tcPr>
          <w:p>
            <w:pPr>
              <w:spacing w:line="240" w:lineRule="auto"/>
              <w:jc w:val="right"/>
            </w:pPr>
            <w:r>
              <w:rPr>
                <w:rFonts w:ascii="宋体" w:hAnsi="宋体" w:eastAsia="宋体" w:cs="宋体"/>
                <w:b w:val="0"/>
              </w:rPr>
              <w:t>3,395,223.29</w:t>
            </w:r>
          </w:p>
        </w:tc>
        <w:tc>
          <w:tcPr>
            <w:tcW w:w="0" w:type="dxa"/>
            <w:vAlign w:val="center"/>
          </w:tcPr>
          <w:p>
            <w:pPr>
              <w:spacing w:line="240" w:lineRule="auto"/>
              <w:jc w:val="right"/>
            </w:pPr>
            <w:r>
              <w:rPr>
                <w:rFonts w:ascii="宋体" w:hAnsi="宋体" w:eastAsia="宋体" w:cs="宋体"/>
                <w:b w:val="0"/>
              </w:rPr>
              <w:t>30.70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其中：政策性金融债</w:t>
            </w:r>
          </w:p>
        </w:tc>
        <w:tc>
          <w:tcPr>
            <w:tcW w:w="0" w:type="dxa"/>
            <w:vAlign w:val="center"/>
          </w:tcPr>
          <w:p>
            <w:pPr>
              <w:spacing w:line="240" w:lineRule="auto"/>
              <w:jc w:val="right"/>
            </w:pPr>
            <w:r>
              <w:rPr>
                <w:rFonts w:ascii="宋体" w:hAnsi="宋体" w:eastAsia="宋体" w:cs="宋体"/>
                <w:b w:val="0"/>
              </w:rPr>
              <w:t>3,395,223.29</w:t>
            </w:r>
          </w:p>
        </w:tc>
        <w:tc>
          <w:tcPr>
            <w:tcW w:w="0" w:type="dxa"/>
            <w:vAlign w:val="center"/>
          </w:tcPr>
          <w:p>
            <w:pPr>
              <w:spacing w:line="240" w:lineRule="auto"/>
              <w:jc w:val="right"/>
            </w:pPr>
            <w:r>
              <w:rPr>
                <w:rFonts w:ascii="宋体" w:hAnsi="宋体" w:eastAsia="宋体" w:cs="宋体"/>
                <w:b w:val="0"/>
              </w:rPr>
              <w:t>30.70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企业债券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企业短期融资券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中期票据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可转债（可交换债）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同业存单</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6,017,400.88</w:t>
            </w:r>
          </w:p>
        </w:tc>
        <w:tc>
          <w:tcPr>
            <w:tcW w:w="0" w:type="dxa"/>
            <w:vAlign w:val="center"/>
          </w:tcPr>
          <w:p>
            <w:pPr>
              <w:spacing w:line="240" w:lineRule="auto"/>
              <w:jc w:val="right"/>
            </w:pPr>
            <w:r>
              <w:rPr>
                <w:rFonts w:ascii="宋体" w:hAnsi="宋体" w:eastAsia="宋体" w:cs="宋体"/>
                <w:b w:val="0"/>
              </w:rPr>
              <w:t>54.41</w:t>
            </w:r>
          </w:p>
        </w:tc>
      </w:tr>
    </w:tbl>
    <w:p/>
    <w:p>
      <w:pPr>
        <w:pStyle w:val="3"/>
        <w:jc w:val="left"/>
      </w:pPr>
      <w:r>
        <w:rPr>
          <w:rFonts w:ascii="宋体" w:hAnsi="宋体" w:eastAsia="宋体" w:cs="宋体"/>
        </w:rPr>
        <w:t>5.5 报告期末按公允价值占基金资产净值比例大小排序的前五名债券投资明细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债券代码</w:t>
            </w:r>
          </w:p>
        </w:tc>
        <w:tc>
          <w:tcPr>
            <w:tcW w:w="769" w:type="pct"/>
            <w:shd w:val="clear" w:color="auto" w:fill="D9D9D9"/>
            <w:vAlign w:val="center"/>
          </w:tcPr>
          <w:p>
            <w:pPr>
              <w:spacing w:line="240" w:lineRule="auto"/>
              <w:jc w:val="center"/>
            </w:pPr>
            <w:r>
              <w:rPr>
                <w:rFonts w:ascii="宋体" w:hAnsi="宋体" w:eastAsia="宋体" w:cs="宋体"/>
                <w:b w:val="0"/>
              </w:rPr>
              <w:t>债券名称</w:t>
            </w:r>
          </w:p>
        </w:tc>
        <w:tc>
          <w:tcPr>
            <w:tcW w:w="615" w:type="pct"/>
            <w:shd w:val="clear" w:color="auto" w:fill="D9D9D9"/>
            <w:vAlign w:val="center"/>
          </w:tcPr>
          <w:p>
            <w:pPr>
              <w:spacing w:line="240" w:lineRule="auto"/>
              <w:jc w:val="center"/>
            </w:pPr>
            <w:r>
              <w:rPr>
                <w:rFonts w:ascii="宋体" w:hAnsi="宋体" w:eastAsia="宋体" w:cs="宋体"/>
                <w:b w:val="0"/>
              </w:rPr>
              <w:t>数量(张)</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018003</w:t>
            </w:r>
          </w:p>
        </w:tc>
        <w:tc>
          <w:tcPr>
            <w:tcW w:w="0" w:type="dxa"/>
            <w:vAlign w:val="center"/>
          </w:tcPr>
          <w:p>
            <w:pPr>
              <w:spacing w:line="240" w:lineRule="auto"/>
              <w:jc w:val="left"/>
            </w:pPr>
            <w:r>
              <w:rPr>
                <w:rFonts w:ascii="宋体" w:hAnsi="宋体" w:eastAsia="宋体" w:cs="宋体"/>
                <w:b w:val="0"/>
              </w:rPr>
              <w:t>国开1401</w:t>
            </w:r>
          </w:p>
        </w:tc>
        <w:tc>
          <w:tcPr>
            <w:tcW w:w="0" w:type="dxa"/>
            <w:vAlign w:val="center"/>
          </w:tcPr>
          <w:p>
            <w:pPr>
              <w:spacing w:line="240" w:lineRule="auto"/>
              <w:jc w:val="right"/>
            </w:pPr>
            <w:r>
              <w:rPr>
                <w:rFonts w:ascii="宋体" w:hAnsi="宋体" w:eastAsia="宋体" w:cs="宋体"/>
                <w:b w:val="0"/>
              </w:rPr>
              <w:t>30,000</w:t>
            </w:r>
          </w:p>
        </w:tc>
        <w:tc>
          <w:tcPr>
            <w:tcW w:w="0" w:type="dxa"/>
            <w:vAlign w:val="center"/>
          </w:tcPr>
          <w:p>
            <w:pPr>
              <w:spacing w:line="240" w:lineRule="auto"/>
              <w:jc w:val="right"/>
            </w:pPr>
            <w:r>
              <w:rPr>
                <w:rFonts w:ascii="宋体" w:hAnsi="宋体" w:eastAsia="宋体" w:cs="宋体"/>
                <w:b w:val="0"/>
              </w:rPr>
              <w:t>3,395,223.29</w:t>
            </w:r>
          </w:p>
        </w:tc>
        <w:tc>
          <w:tcPr>
            <w:tcW w:w="0" w:type="dxa"/>
            <w:vAlign w:val="center"/>
          </w:tcPr>
          <w:p>
            <w:pPr>
              <w:spacing w:line="240" w:lineRule="auto"/>
              <w:jc w:val="right"/>
            </w:pPr>
            <w:r>
              <w:rPr>
                <w:rFonts w:ascii="宋体" w:hAnsi="宋体" w:eastAsia="宋体" w:cs="宋体"/>
                <w:b w:val="0"/>
              </w:rPr>
              <w:t>30.70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019831</w:t>
            </w:r>
          </w:p>
        </w:tc>
        <w:tc>
          <w:tcPr>
            <w:tcW w:w="0" w:type="dxa"/>
            <w:vAlign w:val="center"/>
          </w:tcPr>
          <w:p>
            <w:pPr>
              <w:spacing w:line="240" w:lineRule="auto"/>
              <w:jc w:val="left"/>
            </w:pPr>
            <w:r>
              <w:rPr>
                <w:rFonts w:ascii="宋体" w:hAnsi="宋体" w:eastAsia="宋体" w:cs="宋体"/>
                <w:b w:val="0"/>
              </w:rPr>
              <w:t>26国债05</w:t>
            </w:r>
          </w:p>
        </w:tc>
        <w:tc>
          <w:tcPr>
            <w:tcW w:w="0" w:type="dxa"/>
            <w:vAlign w:val="center"/>
          </w:tcPr>
          <w:p>
            <w:pPr>
              <w:spacing w:line="240" w:lineRule="auto"/>
              <w:jc w:val="right"/>
            </w:pPr>
            <w:r>
              <w:rPr>
                <w:rFonts w:ascii="宋体" w:hAnsi="宋体" w:eastAsia="宋体" w:cs="宋体"/>
                <w:b w:val="0"/>
              </w:rPr>
              <w:t>20,000</w:t>
            </w:r>
          </w:p>
        </w:tc>
        <w:tc>
          <w:tcPr>
            <w:tcW w:w="0" w:type="dxa"/>
            <w:vAlign w:val="center"/>
          </w:tcPr>
          <w:p>
            <w:pPr>
              <w:spacing w:line="240" w:lineRule="auto"/>
              <w:jc w:val="right"/>
            </w:pPr>
            <w:r>
              <w:rPr>
                <w:rFonts w:ascii="宋体" w:hAnsi="宋体" w:eastAsia="宋体" w:cs="宋体"/>
                <w:b w:val="0"/>
              </w:rPr>
              <w:t>2,015,882.19</w:t>
            </w:r>
          </w:p>
        </w:tc>
        <w:tc>
          <w:tcPr>
            <w:tcW w:w="0" w:type="dxa"/>
            <w:vAlign w:val="center"/>
          </w:tcPr>
          <w:p>
            <w:pPr>
              <w:spacing w:line="240" w:lineRule="auto"/>
              <w:jc w:val="right"/>
            </w:pPr>
            <w:r>
              <w:rPr>
                <w:rFonts w:ascii="宋体" w:hAnsi="宋体" w:eastAsia="宋体" w:cs="宋体"/>
                <w:b w:val="0"/>
              </w:rPr>
              <w:t>18.23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102317</w:t>
            </w:r>
          </w:p>
        </w:tc>
        <w:tc>
          <w:tcPr>
            <w:tcW w:w="0" w:type="dxa"/>
            <w:vAlign w:val="center"/>
          </w:tcPr>
          <w:p>
            <w:pPr>
              <w:spacing w:line="240" w:lineRule="auto"/>
              <w:jc w:val="left"/>
            </w:pPr>
            <w:r>
              <w:rPr>
                <w:rFonts w:ascii="宋体" w:hAnsi="宋体" w:eastAsia="宋体" w:cs="宋体"/>
                <w:b w:val="0"/>
              </w:rPr>
              <w:t>国债2519</w:t>
            </w:r>
          </w:p>
        </w:tc>
        <w:tc>
          <w:tcPr>
            <w:tcW w:w="0" w:type="dxa"/>
            <w:vAlign w:val="center"/>
          </w:tcPr>
          <w:p>
            <w:pPr>
              <w:spacing w:line="240" w:lineRule="auto"/>
              <w:jc w:val="right"/>
            </w:pPr>
            <w:r>
              <w:rPr>
                <w:rFonts w:ascii="宋体" w:hAnsi="宋体" w:eastAsia="宋体" w:cs="宋体"/>
                <w:b w:val="0"/>
              </w:rPr>
              <w:t>6,000</w:t>
            </w:r>
          </w:p>
        </w:tc>
        <w:tc>
          <w:tcPr>
            <w:tcW w:w="0" w:type="dxa"/>
            <w:vAlign w:val="center"/>
          </w:tcPr>
          <w:p>
            <w:pPr>
              <w:spacing w:line="240" w:lineRule="auto"/>
              <w:jc w:val="right"/>
            </w:pPr>
            <w:r>
              <w:rPr>
                <w:rFonts w:ascii="宋体" w:hAnsi="宋体" w:eastAsia="宋体" w:cs="宋体"/>
                <w:b w:val="0"/>
              </w:rPr>
              <w:t>606,295.40</w:t>
            </w:r>
          </w:p>
        </w:tc>
        <w:tc>
          <w:tcPr>
            <w:tcW w:w="0" w:type="dxa"/>
            <w:vAlign w:val="center"/>
          </w:tcPr>
          <w:p>
            <w:pPr>
              <w:spacing w:line="240" w:lineRule="auto"/>
              <w:jc w:val="right"/>
            </w:pPr>
            <w:r>
              <w:rPr>
                <w:rFonts w:ascii="宋体" w:hAnsi="宋体" w:eastAsia="宋体" w:cs="宋体"/>
                <w:b w:val="0"/>
              </w:rPr>
              <w:t>5.48</w:t>
            </w:r>
          </w:p>
        </w:tc>
      </w:tr>
    </w:tbl>
    <w:p>
      <w:r>
        <w:rPr>
          <w:rFonts w:ascii="宋体" w:hAnsi="宋体" w:eastAsia="宋体" w:cs="宋体"/>
          <w:b w:val="0"/>
        </w:rPr>
        <w:t>注：本基金本报告期末仅持有上述债券。</w:t>
      </w:r>
    </w:p>
    <w:p/>
    <w:p>
      <w:pPr>
        <w:pStyle w:val="3"/>
        <w:jc w:val="left"/>
      </w:pPr>
      <w:r>
        <w:rPr>
          <w:rFonts w:ascii="宋体" w:hAnsi="宋体" w:eastAsia="宋体" w:cs="宋体"/>
        </w:rPr>
        <w:t>5.6 报告期末按公允价值占基金资产净值比例大小排序的前十名资产支持证券投资明细</w:t>
      </w:r>
    </w:p>
    <w:p>
      <w:r>
        <w:rPr>
          <w:rFonts w:ascii="宋体" w:hAnsi="宋体" w:eastAsia="宋体" w:cs="宋体"/>
          <w:b w:val="0"/>
        </w:rPr>
        <w:t xml:space="preserve">    本基金本报告期末未持有资产支持证券。</w:t>
      </w:r>
    </w:p>
    <w:p/>
    <w:p>
      <w:pPr>
        <w:pStyle w:val="3"/>
        <w:jc w:val="left"/>
      </w:pPr>
      <w:r>
        <w:rPr>
          <w:rFonts w:ascii="宋体" w:hAnsi="宋体" w:eastAsia="宋体" w:cs="宋体"/>
        </w:rPr>
        <w:t>5.7 报告期末按公允价值占基金资产净值比例大小排序的前五名贵金属投资明细</w:t>
      </w:r>
    </w:p>
    <w:p>
      <w:r>
        <w:rPr>
          <w:rFonts w:ascii="宋体" w:hAnsi="宋体" w:eastAsia="宋体" w:cs="宋体"/>
          <w:b w:val="0"/>
        </w:rPr>
        <w:t xml:space="preserve">    本基金本报告期末未持有贵金属。</w:t>
      </w:r>
    </w:p>
    <w:p/>
    <w:p>
      <w:pPr>
        <w:pStyle w:val="3"/>
        <w:jc w:val="left"/>
      </w:pPr>
      <w:r>
        <w:rPr>
          <w:rFonts w:ascii="宋体" w:hAnsi="宋体" w:eastAsia="宋体" w:cs="宋体"/>
        </w:rPr>
        <w:t>5.8 报告期末按公允价值占基金资产净值比例大小排序的前五名权证投资明细</w:t>
      </w:r>
    </w:p>
    <w:p>
      <w:r>
        <w:rPr>
          <w:rFonts w:ascii="宋体" w:hAnsi="宋体" w:eastAsia="宋体" w:cs="宋体"/>
          <w:b w:val="0"/>
        </w:rPr>
        <w:t xml:space="preserve">    本基金本报告期末未持有权证。</w:t>
      </w:r>
    </w:p>
    <w:p/>
    <w:p>
      <w:pPr>
        <w:pStyle w:val="3"/>
        <w:jc w:val="left"/>
      </w:pPr>
      <w:r>
        <w:rPr>
          <w:rFonts w:ascii="宋体" w:hAnsi="宋体" w:eastAsia="宋体" w:cs="宋体"/>
        </w:rPr>
        <w:t>5.9 报告期末本基金投资的股指期货交易情况说明</w:t>
      </w:r>
    </w:p>
    <w:p>
      <w:r>
        <w:rPr>
          <w:rFonts w:ascii="宋体" w:hAnsi="宋体" w:eastAsia="宋体" w:cs="宋体"/>
          <w:b w:val="0"/>
        </w:rPr>
        <w:t xml:space="preserve">    本基金本报告期末未持有股指期货。</w:t>
      </w:r>
    </w:p>
    <w:p/>
    <w:p>
      <w:pPr>
        <w:pStyle w:val="3"/>
        <w:jc w:val="left"/>
      </w:pPr>
      <w:r>
        <w:rPr>
          <w:rFonts w:ascii="宋体" w:hAnsi="宋体" w:eastAsia="宋体" w:cs="宋体"/>
        </w:rPr>
        <w:t>5.10 报告期末本基金投资的国债期货交易情况说明</w:t>
      </w:r>
    </w:p>
    <w:p>
      <w:r>
        <w:rPr>
          <w:rFonts w:ascii="宋体" w:hAnsi="宋体" w:eastAsia="宋体" w:cs="宋体"/>
          <w:b w:val="0"/>
        </w:rPr>
        <w:t xml:space="preserve">    本基金本报告期末未持有国债期货。</w:t>
      </w:r>
    </w:p>
    <w:p/>
    <w:p>
      <w:pPr>
        <w:pStyle w:val="3"/>
        <w:jc w:val="left"/>
      </w:pPr>
      <w:r>
        <w:rPr>
          <w:rFonts w:ascii="宋体" w:hAnsi="宋体" w:eastAsia="宋体" w:cs="宋体"/>
        </w:rPr>
        <w:t>5.11 投资组合报告附注</w:t>
      </w:r>
    </w:p>
    <w:p>
      <w:pPr>
        <w:pStyle w:val="58"/>
      </w:pPr>
      <w:r>
        <w:rPr>
          <w:rFonts w:ascii="宋体" w:hAnsi="宋体" w:eastAsia="宋体" w:cs="宋体"/>
          <w:b/>
        </w:rPr>
        <w:t>5.11.1 本基金投资的前十名证券的发行主体本期受到监管部门立案调查或报告编制日前一年内受到公开谴责、处罚的情形说明</w:t>
      </w:r>
    </w:p>
    <w:p>
      <w:r>
        <w:rPr>
          <w:rFonts w:ascii="宋体" w:hAnsi="宋体" w:eastAsia="宋体" w:cs="宋体"/>
          <w:b w:val="0"/>
        </w:rPr>
        <w:t xml:space="preserve">    本基金投资的前十名证券的发行主体中，国家开发银行在报告编制日前一年内因违反金融统计相关规定受到中国人民银行的警告及罚款。本基金对上述证券的投资决策程序符合相关法规及公司制度要求。</w:t>
      </w:r>
      <w:r>
        <w:rPr>
          <w:rFonts w:ascii="宋体" w:hAnsi="宋体" w:eastAsia="宋体" w:cs="宋体"/>
          <w:b w:val="0"/>
        </w:rPr>
        <w:br w:type="textWrapping"/>
      </w:r>
      <w:r>
        <w:rPr>
          <w:rFonts w:ascii="宋体" w:hAnsi="宋体" w:eastAsia="宋体" w:cs="宋体"/>
          <w:b w:val="0"/>
        </w:rPr>
        <w:t xml:space="preserve">    本基金投资前十名的其余证券的发行主体本期未出现被监管部门立案调查，或在报告编制日前一年内受到公开谴责、处罚的情形。</w:t>
      </w:r>
    </w:p>
    <w:p/>
    <w:p>
      <w:pPr>
        <w:pStyle w:val="58"/>
      </w:pPr>
      <w:r>
        <w:rPr>
          <w:rFonts w:ascii="宋体" w:hAnsi="宋体" w:eastAsia="宋体" w:cs="宋体"/>
          <w:b/>
        </w:rPr>
        <w:t>5.11.2 基金投资的前十名股票超出基金合同规定的备选股票库情况的说明</w:t>
      </w:r>
    </w:p>
    <w:p>
      <w:r>
        <w:rPr>
          <w:rFonts w:ascii="宋体" w:hAnsi="宋体" w:eastAsia="宋体" w:cs="宋体"/>
          <w:b w:val="0"/>
        </w:rPr>
        <w:t xml:space="preserve">    基金投资的前十名股票，均为基金合同规定备选股票库之内的股票。</w:t>
      </w:r>
    </w:p>
    <w:p/>
    <w:p>
      <w:pPr>
        <w:pStyle w:val="58"/>
      </w:pPr>
      <w:r>
        <w:rPr>
          <w:rFonts w:ascii="宋体" w:hAnsi="宋体" w:eastAsia="宋体" w:cs="宋体"/>
          <w:b/>
        </w:rPr>
        <w:t>5.11.3 其他资产构成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4804"/>
        <w:gridCol w:w="3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2308" w:type="pct"/>
            <w:shd w:val="clear" w:color="auto" w:fill="D9D9D9"/>
            <w:vAlign w:val="center"/>
          </w:tcPr>
          <w:p>
            <w:pPr>
              <w:spacing w:line="240" w:lineRule="auto"/>
              <w:jc w:val="center"/>
            </w:pPr>
            <w:r>
              <w:rPr>
                <w:rFonts w:ascii="宋体" w:hAnsi="宋体" w:eastAsia="宋体" w:cs="宋体"/>
                <w:b w:val="0"/>
              </w:rPr>
              <w:t>名称</w:t>
            </w:r>
          </w:p>
        </w:tc>
        <w:tc>
          <w:tcPr>
            <w:tcW w:w="1538" w:type="pct"/>
            <w:shd w:val="clear" w:color="auto" w:fill="D9D9D9"/>
            <w:vAlign w:val="center"/>
          </w:tcPr>
          <w:p>
            <w:pPr>
              <w:spacing w:line="240" w:lineRule="auto"/>
              <w:jc w:val="center"/>
            </w:pPr>
            <w:r>
              <w:rPr>
                <w:rFonts w:ascii="宋体" w:hAnsi="宋体" w:eastAsia="宋体" w:cs="宋体"/>
                <w:b w:val="0"/>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存出保证金</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应收证券清算款</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应收股利</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应收利息</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应收申购款</w:t>
            </w:r>
          </w:p>
        </w:tc>
        <w:tc>
          <w:tcPr>
            <w:tcW w:w="0" w:type="dxa"/>
            <w:vAlign w:val="center"/>
          </w:tcPr>
          <w:p>
            <w:pPr>
              <w:spacing w:line="240" w:lineRule="auto"/>
              <w:jc w:val="right"/>
            </w:pPr>
            <w:r>
              <w:rPr>
                <w:rFonts w:ascii="宋体" w:hAnsi="宋体" w:eastAsia="宋体" w:cs="宋体"/>
                <w:b w:val="0"/>
              </w:rPr>
              <w:t>122,236.98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其他应收款</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122,236.98</w:t>
            </w:r>
          </w:p>
        </w:tc>
      </w:tr>
    </w:tbl>
    <w:p/>
    <w:p>
      <w:pPr>
        <w:pStyle w:val="58"/>
      </w:pPr>
      <w:r>
        <w:rPr>
          <w:rFonts w:ascii="宋体" w:hAnsi="宋体" w:eastAsia="宋体" w:cs="宋体"/>
          <w:b/>
        </w:rPr>
        <w:t>5.11.4 报告期末持有的处于转股期的可转换债券明细</w:t>
      </w:r>
    </w:p>
    <w:p>
      <w:r>
        <w:rPr>
          <w:rFonts w:ascii="宋体" w:hAnsi="宋体" w:eastAsia="宋体" w:cs="宋体"/>
          <w:b w:val="0"/>
        </w:rPr>
        <w:t xml:space="preserve">    本基金本报告期末未持有处于转股期的可转换债券。</w:t>
      </w:r>
    </w:p>
    <w:p/>
    <w:p>
      <w:pPr>
        <w:pStyle w:val="58"/>
      </w:pPr>
      <w:r>
        <w:rPr>
          <w:rFonts w:ascii="宋体" w:hAnsi="宋体" w:eastAsia="宋体" w:cs="宋体"/>
          <w:b/>
        </w:rPr>
        <w:t>5.11.5 报告期末前十名股票中存在流通受限情况的说明</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1238"/>
        <w:gridCol w:w="1238"/>
        <w:gridCol w:w="2167"/>
        <w:gridCol w:w="1857"/>
        <w:gridCol w:w="1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pPr>
              <w:spacing w:line="240" w:lineRule="auto"/>
              <w:jc w:val="center"/>
            </w:pPr>
            <w:r>
              <w:rPr>
                <w:rFonts w:ascii="宋体" w:hAnsi="宋体" w:eastAsia="宋体" w:cs="宋体"/>
                <w:b w:val="0"/>
              </w:rPr>
              <w:t>序号</w:t>
            </w:r>
          </w:p>
        </w:tc>
        <w:tc>
          <w:tcPr>
            <w:tcW w:w="615" w:type="pct"/>
            <w:shd w:val="clear" w:color="auto" w:fill="D9D9D9"/>
            <w:vAlign w:val="center"/>
          </w:tcPr>
          <w:p>
            <w:pPr>
              <w:spacing w:line="240" w:lineRule="auto"/>
              <w:jc w:val="center"/>
            </w:pPr>
            <w:r>
              <w:rPr>
                <w:rFonts w:ascii="宋体" w:hAnsi="宋体" w:eastAsia="宋体" w:cs="宋体"/>
                <w:b w:val="0"/>
              </w:rPr>
              <w:t>股票代码</w:t>
            </w:r>
          </w:p>
        </w:tc>
        <w:tc>
          <w:tcPr>
            <w:tcW w:w="615" w:type="pct"/>
            <w:shd w:val="clear" w:color="auto" w:fill="D9D9D9"/>
            <w:vAlign w:val="center"/>
          </w:tcPr>
          <w:p>
            <w:pPr>
              <w:spacing w:line="240" w:lineRule="auto"/>
              <w:jc w:val="center"/>
            </w:pPr>
            <w:r>
              <w:rPr>
                <w:rFonts w:ascii="宋体" w:hAnsi="宋体" w:eastAsia="宋体" w:cs="宋体"/>
                <w:b w:val="0"/>
              </w:rPr>
              <w:t>股票名称</w:t>
            </w:r>
          </w:p>
        </w:tc>
        <w:tc>
          <w:tcPr>
            <w:tcW w:w="1077" w:type="pct"/>
            <w:shd w:val="clear" w:color="auto" w:fill="D9D9D9"/>
            <w:vAlign w:val="center"/>
          </w:tcPr>
          <w:p>
            <w:pPr>
              <w:spacing w:line="240" w:lineRule="auto"/>
              <w:jc w:val="center"/>
            </w:pPr>
            <w:r>
              <w:rPr>
                <w:rFonts w:ascii="宋体" w:hAnsi="宋体" w:eastAsia="宋体" w:cs="宋体"/>
                <w:b w:val="0"/>
              </w:rPr>
              <w:t>流通受限部分的公允价值（元）</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c>
          <w:tcPr>
            <w:tcW w:w="923" w:type="pct"/>
            <w:shd w:val="clear" w:color="auto" w:fill="D9D9D9"/>
            <w:vAlign w:val="center"/>
          </w:tcPr>
          <w:p>
            <w:pPr>
              <w:spacing w:line="240" w:lineRule="auto"/>
              <w:jc w:val="center"/>
            </w:pPr>
            <w:r>
              <w:rPr>
                <w:rFonts w:ascii="宋体" w:hAnsi="宋体" w:eastAsia="宋体" w:cs="宋体"/>
                <w:b w:val="0"/>
              </w:rPr>
              <w:t>流通受限情况说明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688072</w:t>
            </w:r>
          </w:p>
        </w:tc>
        <w:tc>
          <w:tcPr>
            <w:tcW w:w="0" w:type="dxa"/>
            <w:vAlign w:val="center"/>
          </w:tcPr>
          <w:p>
            <w:pPr>
              <w:spacing w:line="240" w:lineRule="auto"/>
              <w:jc w:val="left"/>
            </w:pPr>
            <w:r>
              <w:rPr>
                <w:rFonts w:ascii="宋体" w:hAnsi="宋体" w:eastAsia="宋体" w:cs="宋体"/>
                <w:b w:val="0"/>
              </w:rPr>
              <w:t>拓荆科技</w:t>
            </w:r>
          </w:p>
        </w:tc>
        <w:tc>
          <w:tcPr>
            <w:tcW w:w="0" w:type="dxa"/>
            <w:vAlign w:val="center"/>
          </w:tcPr>
          <w:p>
            <w:pPr>
              <w:spacing w:line="240" w:lineRule="auto"/>
              <w:jc w:val="right"/>
            </w:pPr>
            <w:r>
              <w:rPr>
                <w:rFonts w:ascii="宋体" w:hAnsi="宋体" w:eastAsia="宋体" w:cs="宋体"/>
                <w:b w:val="0"/>
              </w:rPr>
              <w:t>175,906.00</w:t>
            </w:r>
          </w:p>
        </w:tc>
        <w:tc>
          <w:tcPr>
            <w:tcW w:w="0" w:type="dxa"/>
            <w:vAlign w:val="center"/>
          </w:tcPr>
          <w:p>
            <w:pPr>
              <w:spacing w:line="240" w:lineRule="auto"/>
              <w:jc w:val="right"/>
            </w:pPr>
            <w:r>
              <w:rPr>
                <w:rFonts w:ascii="宋体" w:hAnsi="宋体" w:eastAsia="宋体" w:cs="宋体"/>
                <w:b w:val="0"/>
              </w:rPr>
              <w:t>1.59</w:t>
            </w:r>
          </w:p>
        </w:tc>
        <w:tc>
          <w:tcPr>
            <w:tcW w:w="0" w:type="dxa"/>
            <w:vAlign w:val="center"/>
          </w:tcPr>
          <w:p>
            <w:pPr>
              <w:spacing w:line="240" w:lineRule="auto"/>
              <w:jc w:val="left"/>
            </w:pPr>
            <w:r>
              <w:rPr>
                <w:rFonts w:ascii="宋体" w:hAnsi="宋体" w:eastAsia="宋体" w:cs="宋体"/>
                <w:b w:val="0"/>
              </w:rPr>
              <w:t>股票停牌</w:t>
            </w:r>
          </w:p>
        </w:tc>
      </w:tr>
    </w:tbl>
    <w:p/>
    <w:p>
      <w:pPr>
        <w:pStyle w:val="58"/>
      </w:pPr>
      <w:r>
        <w:rPr>
          <w:rFonts w:ascii="宋体" w:hAnsi="宋体" w:eastAsia="宋体" w:cs="宋体"/>
          <w:b/>
        </w:rPr>
        <w:t>5.11.6 投资组合报告附注的其他文字描述部分</w:t>
      </w:r>
    </w:p>
    <w:p>
      <w:r>
        <w:rPr>
          <w:rFonts w:ascii="宋体" w:hAnsi="宋体" w:eastAsia="宋体" w:cs="宋体"/>
          <w:b w:val="0"/>
        </w:rPr>
        <w:t xml:space="preserve">    由于四舍五入原因，分项之和与合计项之间可能存在尾差。</w:t>
      </w:r>
    </w:p>
    <w:p>
      <w:pPr>
        <w:pStyle w:val="2"/>
        <w:jc w:val="center"/>
      </w:pPr>
      <w:r>
        <w:rPr>
          <w:rFonts w:ascii="宋体" w:hAnsi="宋体" w:eastAsia="宋体" w:cs="宋体"/>
        </w:rPr>
        <w:t>§6 开放式基金份额变动</w:t>
      </w:r>
    </w:p>
    <w:p>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5"/>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pPr>
              <w:spacing w:line="240" w:lineRule="auto"/>
              <w:jc w:val="center"/>
            </w:pPr>
          </w:p>
        </w:tc>
        <w:tc>
          <w:tcPr>
            <w:tcW w:w="1300" w:type="pct"/>
            <w:vAlign w:val="center"/>
          </w:tcPr>
          <w:p>
            <w:pPr>
              <w:spacing w:line="240" w:lineRule="auto"/>
              <w:jc w:val="center"/>
            </w:pPr>
            <w:r>
              <w:rPr>
                <w:rFonts w:ascii="宋体" w:hAnsi="宋体" w:eastAsia="宋体" w:cs="宋体"/>
                <w:b w:val="0"/>
              </w:rPr>
              <w:t>东方阿尔法增利债券发起A</w:t>
            </w:r>
          </w:p>
        </w:tc>
        <w:tc>
          <w:tcPr>
            <w:tcW w:w="1300" w:type="pct"/>
            <w:vAlign w:val="center"/>
          </w:tcPr>
          <w:p>
            <w:pPr>
              <w:spacing w:line="240" w:lineRule="auto"/>
              <w:jc w:val="center"/>
            </w:pPr>
            <w:r>
              <w:rPr>
                <w:rFonts w:ascii="宋体" w:hAnsi="宋体" w:eastAsia="宋体" w:cs="宋体"/>
                <w:b w:val="0"/>
              </w:rPr>
              <w:t>东方阿尔法增利债券发起C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基金合同生效日（2026年06月02日）基金份额总额</w:t>
            </w:r>
          </w:p>
        </w:tc>
        <w:tc>
          <w:tcPr>
            <w:tcW w:w="1300" w:type="pct"/>
            <w:vAlign w:val="center"/>
          </w:tcPr>
          <w:p>
            <w:pPr>
              <w:spacing w:line="240" w:lineRule="auto"/>
              <w:jc w:val="right"/>
            </w:pPr>
            <w:r>
              <w:rPr>
                <w:rFonts w:ascii="宋体" w:hAnsi="宋体" w:eastAsia="宋体" w:cs="宋体"/>
                <w:b w:val="0"/>
              </w:rPr>
              <w:t>10,279,827.45</w:t>
            </w:r>
          </w:p>
        </w:tc>
        <w:tc>
          <w:tcPr>
            <w:tcW w:w="1300" w:type="pct"/>
            <w:vAlign w:val="center"/>
          </w:tcPr>
          <w:p>
            <w:pPr>
              <w:spacing w:line="240" w:lineRule="auto"/>
              <w:jc w:val="right"/>
            </w:pPr>
            <w:r>
              <w:rPr>
                <w:rFonts w:ascii="宋体" w:hAnsi="宋体" w:eastAsia="宋体" w:cs="宋体"/>
                <w:b w:val="0"/>
              </w:rPr>
              <w:t>49,119.00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基金合同生效日起至报告期期末基金总申购份额</w:t>
            </w:r>
          </w:p>
        </w:tc>
        <w:tc>
          <w:tcPr>
            <w:tcW w:w="1300" w:type="pct"/>
            <w:vAlign w:val="center"/>
          </w:tcPr>
          <w:p>
            <w:pPr>
              <w:spacing w:line="240" w:lineRule="auto"/>
              <w:jc w:val="right"/>
            </w:pPr>
            <w:r>
              <w:rPr>
                <w:rFonts w:ascii="宋体" w:hAnsi="宋体" w:eastAsia="宋体" w:cs="宋体"/>
                <w:b w:val="0"/>
              </w:rPr>
              <w:t>194,975.28</w:t>
            </w:r>
          </w:p>
        </w:tc>
        <w:tc>
          <w:tcPr>
            <w:tcW w:w="1300" w:type="pct"/>
            <w:vAlign w:val="center"/>
          </w:tcPr>
          <w:p>
            <w:pPr>
              <w:spacing w:line="240" w:lineRule="auto"/>
              <w:jc w:val="right"/>
            </w:pPr>
            <w:r>
              <w:rPr>
                <w:rFonts w:ascii="宋体" w:hAnsi="宋体" w:eastAsia="宋体" w:cs="宋体"/>
                <w:b w:val="0"/>
              </w:rPr>
              <w:t>502,660.43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dxa"/>
            <w:vAlign w:val="center"/>
          </w:tcPr>
          <w:p>
            <w:pPr>
              <w:spacing w:line="240" w:lineRule="auto"/>
              <w:jc w:val="left"/>
            </w:pPr>
            <w:r>
              <w:rPr>
                <w:rFonts w:ascii="宋体" w:hAnsi="宋体" w:eastAsia="宋体" w:cs="宋体"/>
                <w:b w:val="0"/>
              </w:rPr>
              <w:t>减：基金合同生效日起至报告期期末基金总赎回份额</w:t>
            </w:r>
          </w:p>
        </w:tc>
        <w:tc>
          <w:tcPr>
            <w:tcW w:w="1300" w:type="pct"/>
            <w:vAlign w:val="center"/>
          </w:tcPr>
          <w:p>
            <w:pPr>
              <w:spacing w:line="240" w:lineRule="auto"/>
              <w:jc w:val="right"/>
            </w:pPr>
            <w:r>
              <w:rPr>
                <w:rFonts w:ascii="宋体" w:hAnsi="宋体" w:eastAsia="宋体" w:cs="宋体"/>
                <w:b w:val="0"/>
              </w:rPr>
              <w:t>64,564.77</w:t>
            </w:r>
          </w:p>
        </w:tc>
        <w:tc>
          <w:tcPr>
            <w:tcW w:w="1300" w:type="pct"/>
            <w:vAlign w:val="center"/>
          </w:tcPr>
          <w:p>
            <w:pPr>
              <w:spacing w:line="240" w:lineRule="auto"/>
              <w:jc w:val="right"/>
            </w:pPr>
            <w:r>
              <w:rPr>
                <w:rFonts w:ascii="宋体" w:hAnsi="宋体" w:eastAsia="宋体" w:cs="宋体"/>
                <w:b w:val="0"/>
              </w:rPr>
              <w:t>50,291.66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基金合同生效日起至报告期期末基金拆分变动份额（份额减少以“-”填列）</w:t>
            </w:r>
          </w:p>
        </w:tc>
        <w:tc>
          <w:tcPr>
            <w:tcW w:w="1300" w:type="pct"/>
            <w:vAlign w:val="center"/>
          </w:tcPr>
          <w:p>
            <w:pPr>
              <w:spacing w:line="240" w:lineRule="auto"/>
              <w:jc w:val="right"/>
            </w:pPr>
            <w:r>
              <w:rPr>
                <w:rFonts w:ascii="宋体" w:hAnsi="宋体" w:eastAsia="宋体" w:cs="宋体"/>
                <w:b w:val="0"/>
              </w:rPr>
              <w:t>-</w:t>
            </w:r>
          </w:p>
        </w:tc>
        <w:tc>
          <w:tcPr>
            <w:tcW w:w="130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报告期期末基金份额总额</w:t>
            </w:r>
          </w:p>
        </w:tc>
        <w:tc>
          <w:tcPr>
            <w:tcW w:w="1300" w:type="pct"/>
            <w:vAlign w:val="center"/>
          </w:tcPr>
          <w:p>
            <w:pPr>
              <w:spacing w:line="240" w:lineRule="auto"/>
              <w:jc w:val="right"/>
            </w:pPr>
            <w:r>
              <w:rPr>
                <w:rFonts w:ascii="宋体" w:hAnsi="宋体" w:eastAsia="宋体" w:cs="宋体"/>
                <w:b w:val="0"/>
              </w:rPr>
              <w:t>10,410,237.96</w:t>
            </w:r>
          </w:p>
        </w:tc>
        <w:tc>
          <w:tcPr>
            <w:tcW w:w="1300" w:type="pct"/>
            <w:vAlign w:val="center"/>
          </w:tcPr>
          <w:p>
            <w:pPr>
              <w:spacing w:line="240" w:lineRule="auto"/>
              <w:jc w:val="right"/>
            </w:pPr>
            <w:r>
              <w:rPr>
                <w:rFonts w:ascii="宋体" w:hAnsi="宋体" w:eastAsia="宋体" w:cs="宋体"/>
                <w:b w:val="0"/>
              </w:rPr>
              <w:t>501,487.77</w:t>
            </w:r>
          </w:p>
        </w:tc>
      </w:tr>
    </w:tbl>
    <w:p>
      <w:pPr>
        <w:pStyle w:val="2"/>
        <w:jc w:val="center"/>
      </w:pPr>
      <w:r>
        <w:rPr>
          <w:rFonts w:ascii="宋体" w:hAnsi="宋体" w:eastAsia="宋体" w:cs="宋体"/>
        </w:rPr>
        <w:t>§7 基金管理人运用固有资金投资本基金情况</w:t>
      </w:r>
    </w:p>
    <w:p>
      <w:pPr>
        <w:pStyle w:val="3"/>
        <w:jc w:val="left"/>
      </w:pPr>
      <w:r>
        <w:rPr>
          <w:rFonts w:ascii="宋体" w:hAnsi="宋体" w:eastAsia="宋体" w:cs="宋体"/>
        </w:rPr>
        <w:t>7.1 基金管理人持有本基金份额变动情况</w:t>
      </w:r>
    </w:p>
    <w:p>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5"/>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pct"/>
            <w:vAlign w:val="center"/>
          </w:tcPr>
          <w:p>
            <w:pPr>
              <w:spacing w:line="240" w:lineRule="auto"/>
              <w:jc w:val="center"/>
            </w:pPr>
          </w:p>
        </w:tc>
        <w:tc>
          <w:tcPr>
            <w:tcW w:w="950" w:type="pct"/>
            <w:vAlign w:val="center"/>
          </w:tcPr>
          <w:p>
            <w:pPr>
              <w:spacing w:line="240" w:lineRule="auto"/>
              <w:jc w:val="center"/>
            </w:pPr>
            <w:r>
              <w:rPr>
                <w:rFonts w:ascii="宋体" w:hAnsi="宋体" w:eastAsia="宋体" w:cs="宋体"/>
                <w:b w:val="0"/>
              </w:rPr>
              <w:t>东方阿尔法增利债券发起A</w:t>
            </w:r>
          </w:p>
        </w:tc>
        <w:tc>
          <w:tcPr>
            <w:tcW w:w="950" w:type="pct"/>
            <w:vAlign w:val="center"/>
          </w:tcPr>
          <w:p>
            <w:pPr>
              <w:spacing w:line="240" w:lineRule="auto"/>
              <w:jc w:val="center"/>
            </w:pPr>
            <w:r>
              <w:rPr>
                <w:rFonts w:ascii="宋体" w:hAnsi="宋体" w:eastAsia="宋体" w:cs="宋体"/>
                <w:b w:val="0"/>
              </w:rPr>
              <w:t>东方阿尔法增利债券发起C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pct"/>
            <w:vAlign w:val="center"/>
          </w:tcPr>
          <w:p>
            <w:pPr>
              <w:spacing w:line="240" w:lineRule="auto"/>
              <w:jc w:val="left"/>
            </w:pPr>
            <w:r>
              <w:rPr>
                <w:rFonts w:ascii="宋体" w:hAnsi="宋体" w:eastAsia="宋体" w:cs="宋体"/>
                <w:b w:val="0"/>
              </w:rPr>
              <w:t>基金合同生效日（2026年06月02日）管理人持有的本基金份额</w:t>
            </w:r>
          </w:p>
        </w:tc>
        <w:tc>
          <w:tcPr>
            <w:tcW w:w="950" w:type="pct"/>
            <w:vAlign w:val="center"/>
          </w:tcPr>
          <w:p>
            <w:pPr>
              <w:spacing w:line="240" w:lineRule="auto"/>
              <w:jc w:val="right"/>
            </w:pPr>
            <w:r>
              <w:rPr>
                <w:rFonts w:ascii="宋体" w:hAnsi="宋体" w:eastAsia="宋体" w:cs="宋体"/>
                <w:b w:val="0"/>
              </w:rPr>
              <w:t>5,000,194.44</w:t>
            </w:r>
          </w:p>
        </w:tc>
        <w:tc>
          <w:tcPr>
            <w:tcW w:w="95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基金合同生效日起至报告期期末买入/申购总份额</w:t>
            </w:r>
          </w:p>
        </w:tc>
        <w:tc>
          <w:tcPr>
            <w:tcW w:w="950" w:type="pct"/>
            <w:vAlign w:val="center"/>
          </w:tcPr>
          <w:p>
            <w:pPr>
              <w:spacing w:line="240" w:lineRule="auto"/>
              <w:jc w:val="right"/>
            </w:pPr>
            <w:r>
              <w:rPr>
                <w:rFonts w:ascii="宋体" w:hAnsi="宋体" w:eastAsia="宋体" w:cs="宋体"/>
                <w:b w:val="0"/>
              </w:rPr>
              <w:t>-</w:t>
            </w:r>
          </w:p>
        </w:tc>
        <w:tc>
          <w:tcPr>
            <w:tcW w:w="95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基金合同生效日起至报告期期末卖出/赎回总份额</w:t>
            </w:r>
          </w:p>
        </w:tc>
        <w:tc>
          <w:tcPr>
            <w:tcW w:w="950" w:type="pct"/>
            <w:vAlign w:val="center"/>
          </w:tcPr>
          <w:p>
            <w:pPr>
              <w:spacing w:line="240" w:lineRule="auto"/>
              <w:jc w:val="right"/>
            </w:pPr>
            <w:r>
              <w:rPr>
                <w:rFonts w:ascii="宋体" w:hAnsi="宋体" w:eastAsia="宋体" w:cs="宋体"/>
                <w:b w:val="0"/>
              </w:rPr>
              <w:t>-</w:t>
            </w:r>
          </w:p>
        </w:tc>
        <w:tc>
          <w:tcPr>
            <w:tcW w:w="95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报告期期末管理人持有的本基金份额</w:t>
            </w:r>
          </w:p>
        </w:tc>
        <w:tc>
          <w:tcPr>
            <w:tcW w:w="950" w:type="pct"/>
            <w:vAlign w:val="center"/>
          </w:tcPr>
          <w:p>
            <w:pPr>
              <w:spacing w:line="240" w:lineRule="auto"/>
              <w:jc w:val="right"/>
            </w:pPr>
            <w:r>
              <w:rPr>
                <w:rFonts w:ascii="宋体" w:hAnsi="宋体" w:eastAsia="宋体" w:cs="宋体"/>
                <w:b w:val="0"/>
              </w:rPr>
              <w:t>5,000,194.44</w:t>
            </w:r>
          </w:p>
        </w:tc>
        <w:tc>
          <w:tcPr>
            <w:tcW w:w="95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报告期期末持有的本基金份额占基金总份额比例（%）</w:t>
            </w:r>
          </w:p>
        </w:tc>
        <w:tc>
          <w:tcPr>
            <w:tcW w:w="950" w:type="pct"/>
            <w:vAlign w:val="center"/>
          </w:tcPr>
          <w:p>
            <w:pPr>
              <w:spacing w:line="240" w:lineRule="auto"/>
              <w:jc w:val="right"/>
            </w:pPr>
            <w:r>
              <w:rPr>
                <w:rFonts w:ascii="宋体" w:hAnsi="宋体" w:eastAsia="宋体" w:cs="宋体"/>
                <w:b w:val="0"/>
              </w:rPr>
              <w:t>45.82</w:t>
            </w:r>
          </w:p>
        </w:tc>
        <w:tc>
          <w:tcPr>
            <w:tcW w:w="950" w:type="pct"/>
            <w:vAlign w:val="center"/>
          </w:tcPr>
          <w:p>
            <w:pPr>
              <w:spacing w:line="240" w:lineRule="auto"/>
              <w:jc w:val="right"/>
            </w:pPr>
            <w:r>
              <w:rPr>
                <w:rFonts w:ascii="宋体" w:hAnsi="宋体" w:eastAsia="宋体" w:cs="宋体"/>
                <w:b w:val="0"/>
              </w:rPr>
              <w:t>-</w:t>
            </w:r>
          </w:p>
        </w:tc>
      </w:tr>
    </w:tbl>
    <w:p>
      <w:r>
        <w:rPr>
          <w:rFonts w:ascii="宋体" w:hAnsi="宋体" w:eastAsia="宋体" w:cs="宋体"/>
          <w:b w:val="0"/>
        </w:rPr>
        <w:t>注：报告期期末持有的本基金份额占基金总份额比例的分母采用期末基金份额总额，不区分下属不同类别基金。</w:t>
      </w:r>
    </w:p>
    <w:p/>
    <w:p>
      <w:pPr>
        <w:pStyle w:val="3"/>
        <w:jc w:val="left"/>
      </w:pPr>
      <w:r>
        <w:rPr>
          <w:rFonts w:ascii="宋体" w:hAnsi="宋体" w:eastAsia="宋体" w:cs="宋体"/>
        </w:rPr>
        <w:t>7.2 基金管理人运用固有资金投资本基金交易明细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1497"/>
        <w:gridCol w:w="1498"/>
        <w:gridCol w:w="1798"/>
        <w:gridCol w:w="1798"/>
        <w:gridCol w:w="1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交易方式</w:t>
            </w:r>
          </w:p>
        </w:tc>
        <w:tc>
          <w:tcPr>
            <w:tcW w:w="769" w:type="pct"/>
            <w:shd w:val="clear" w:color="auto" w:fill="D9D9D9"/>
            <w:vAlign w:val="center"/>
          </w:tcPr>
          <w:p>
            <w:pPr>
              <w:spacing w:line="240" w:lineRule="auto"/>
              <w:jc w:val="center"/>
            </w:pPr>
            <w:r>
              <w:rPr>
                <w:rFonts w:ascii="宋体" w:hAnsi="宋体" w:eastAsia="宋体" w:cs="宋体"/>
                <w:b w:val="0"/>
              </w:rPr>
              <w:t>交易日期</w:t>
            </w:r>
          </w:p>
        </w:tc>
        <w:tc>
          <w:tcPr>
            <w:tcW w:w="923" w:type="pct"/>
            <w:shd w:val="clear" w:color="auto" w:fill="D9D9D9"/>
            <w:vAlign w:val="center"/>
          </w:tcPr>
          <w:p>
            <w:pPr>
              <w:spacing w:line="240" w:lineRule="auto"/>
              <w:jc w:val="center"/>
            </w:pPr>
            <w:r>
              <w:rPr>
                <w:rFonts w:ascii="宋体" w:hAnsi="宋体" w:eastAsia="宋体" w:cs="宋体"/>
                <w:b w:val="0"/>
              </w:rPr>
              <w:t>交易份额（份）</w:t>
            </w:r>
          </w:p>
        </w:tc>
        <w:tc>
          <w:tcPr>
            <w:tcW w:w="923" w:type="pct"/>
            <w:shd w:val="clear" w:color="auto" w:fill="D9D9D9"/>
            <w:vAlign w:val="center"/>
          </w:tcPr>
          <w:p>
            <w:pPr>
              <w:spacing w:line="240" w:lineRule="auto"/>
              <w:jc w:val="center"/>
            </w:pPr>
            <w:r>
              <w:rPr>
                <w:rFonts w:ascii="宋体" w:hAnsi="宋体" w:eastAsia="宋体" w:cs="宋体"/>
                <w:b w:val="0"/>
              </w:rPr>
              <w:t>交易金额 （元）</w:t>
            </w:r>
          </w:p>
        </w:tc>
        <w:tc>
          <w:tcPr>
            <w:tcW w:w="769" w:type="pct"/>
            <w:shd w:val="clear" w:color="auto" w:fill="D9D9D9"/>
            <w:vAlign w:val="center"/>
          </w:tcPr>
          <w:p>
            <w:pPr>
              <w:spacing w:line="240" w:lineRule="auto"/>
              <w:jc w:val="center"/>
            </w:pPr>
            <w:r>
              <w:rPr>
                <w:rFonts w:ascii="宋体" w:hAnsi="宋体" w:eastAsia="宋体" w:cs="宋体"/>
                <w:b w:val="0"/>
              </w:rPr>
              <w:t>适用费率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认购</w:t>
            </w:r>
          </w:p>
        </w:tc>
        <w:tc>
          <w:tcPr>
            <w:tcW w:w="0" w:type="dxa"/>
            <w:vAlign w:val="center"/>
          </w:tcPr>
          <w:p>
            <w:pPr>
              <w:spacing w:line="240" w:lineRule="auto"/>
              <w:jc w:val="center"/>
            </w:pPr>
            <w:r>
              <w:rPr>
                <w:rFonts w:ascii="宋体" w:hAnsi="宋体" w:eastAsia="宋体" w:cs="宋体"/>
                <w:b w:val="0"/>
              </w:rPr>
              <w:t>2026-06-01</w:t>
            </w:r>
          </w:p>
        </w:tc>
        <w:tc>
          <w:tcPr>
            <w:tcW w:w="0" w:type="dxa"/>
            <w:vAlign w:val="center"/>
          </w:tcPr>
          <w:p>
            <w:pPr>
              <w:spacing w:line="240" w:lineRule="auto"/>
              <w:jc w:val="right"/>
            </w:pPr>
            <w:r>
              <w:rPr>
                <w:rFonts w:ascii="宋体" w:hAnsi="宋体" w:eastAsia="宋体" w:cs="宋体"/>
                <w:b w:val="0"/>
              </w:rPr>
              <w:t>5,000,194.44</w:t>
            </w:r>
          </w:p>
        </w:tc>
        <w:tc>
          <w:tcPr>
            <w:tcW w:w="0" w:type="dxa"/>
            <w:vAlign w:val="center"/>
          </w:tcPr>
          <w:p>
            <w:pPr>
              <w:spacing w:line="240" w:lineRule="auto"/>
              <w:jc w:val="right"/>
            </w:pPr>
            <w:r>
              <w:rPr>
                <w:rFonts w:ascii="宋体" w:hAnsi="宋体" w:eastAsia="宋体" w:cs="宋体"/>
                <w:b w:val="0"/>
              </w:rPr>
              <w:t>5,000,000.00</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left"/>
            </w:pP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5,000,194.44</w:t>
            </w:r>
          </w:p>
        </w:tc>
        <w:tc>
          <w:tcPr>
            <w:tcW w:w="0" w:type="dxa"/>
            <w:vAlign w:val="center"/>
          </w:tcPr>
          <w:p>
            <w:pPr>
              <w:spacing w:line="240" w:lineRule="auto"/>
              <w:jc w:val="right"/>
            </w:pPr>
            <w:r>
              <w:rPr>
                <w:rFonts w:ascii="宋体" w:hAnsi="宋体" w:eastAsia="宋体" w:cs="宋体"/>
                <w:b w:val="0"/>
              </w:rPr>
              <w:t>5,000,000.00</w:t>
            </w:r>
          </w:p>
        </w:tc>
        <w:tc>
          <w:tcPr>
            <w:tcW w:w="0" w:type="dxa"/>
            <w:vAlign w:val="center"/>
          </w:tcPr>
          <w:p>
            <w:pPr>
              <w:spacing w:line="240" w:lineRule="auto"/>
              <w:jc w:val="left"/>
            </w:pPr>
          </w:p>
        </w:tc>
      </w:tr>
    </w:tbl>
    <w:p>
      <w:r>
        <w:rPr>
          <w:rFonts w:ascii="宋体" w:hAnsi="宋体" w:eastAsia="宋体" w:cs="宋体"/>
          <w:b w:val="0"/>
        </w:rPr>
        <w:t>注：本基金管理人运用固有资金申赎（包含转换）本基金所适用费率符合基金招募说明书和相关公告的规定。</w:t>
      </w:r>
    </w:p>
    <w:p>
      <w:pPr>
        <w:pStyle w:val="2"/>
        <w:jc w:val="center"/>
      </w:pPr>
      <w:r>
        <w:rPr>
          <w:rFonts w:ascii="宋体" w:hAnsi="宋体" w:eastAsia="宋体" w:cs="宋体"/>
        </w:rPr>
        <w:t>§8 报告期末发起式基金发起资金持有份额情况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0"/>
        <w:gridCol w:w="1581"/>
        <w:gridCol w:w="1138"/>
        <w:gridCol w:w="1581"/>
        <w:gridCol w:w="1138"/>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项目</w:t>
            </w:r>
          </w:p>
        </w:tc>
        <w:tc>
          <w:tcPr>
            <w:tcW w:w="692" w:type="pct"/>
            <w:shd w:val="clear" w:color="auto" w:fill="D9D9D9"/>
            <w:vAlign w:val="center"/>
          </w:tcPr>
          <w:p>
            <w:pPr>
              <w:spacing w:line="240" w:lineRule="auto"/>
              <w:jc w:val="center"/>
            </w:pPr>
            <w:r>
              <w:rPr>
                <w:rFonts w:ascii="宋体" w:hAnsi="宋体" w:eastAsia="宋体" w:cs="宋体"/>
                <w:b w:val="0"/>
              </w:rPr>
              <w:t>持有份额总数</w:t>
            </w:r>
          </w:p>
        </w:tc>
        <w:tc>
          <w:tcPr>
            <w:tcW w:w="692" w:type="pct"/>
            <w:shd w:val="clear" w:color="auto" w:fill="D9D9D9"/>
            <w:vAlign w:val="center"/>
          </w:tcPr>
          <w:p>
            <w:pPr>
              <w:spacing w:line="240" w:lineRule="auto"/>
              <w:jc w:val="center"/>
            </w:pPr>
            <w:r>
              <w:rPr>
                <w:rFonts w:ascii="宋体" w:hAnsi="宋体" w:eastAsia="宋体" w:cs="宋体"/>
                <w:b w:val="0"/>
              </w:rPr>
              <w:t>持有份额占基金总份额比例</w:t>
            </w:r>
          </w:p>
        </w:tc>
        <w:tc>
          <w:tcPr>
            <w:tcW w:w="692" w:type="pct"/>
            <w:shd w:val="clear" w:color="auto" w:fill="D9D9D9"/>
            <w:vAlign w:val="center"/>
          </w:tcPr>
          <w:p>
            <w:pPr>
              <w:spacing w:line="240" w:lineRule="auto"/>
              <w:jc w:val="center"/>
            </w:pPr>
            <w:r>
              <w:rPr>
                <w:rFonts w:ascii="宋体" w:hAnsi="宋体" w:eastAsia="宋体" w:cs="宋体"/>
                <w:b w:val="0"/>
              </w:rPr>
              <w:t>发起份额总数</w:t>
            </w:r>
          </w:p>
        </w:tc>
        <w:tc>
          <w:tcPr>
            <w:tcW w:w="692" w:type="pct"/>
            <w:shd w:val="clear" w:color="auto" w:fill="D9D9D9"/>
            <w:vAlign w:val="center"/>
          </w:tcPr>
          <w:p>
            <w:pPr>
              <w:spacing w:line="240" w:lineRule="auto"/>
              <w:jc w:val="center"/>
            </w:pPr>
            <w:r>
              <w:rPr>
                <w:rFonts w:ascii="宋体" w:hAnsi="宋体" w:eastAsia="宋体" w:cs="宋体"/>
                <w:b w:val="0"/>
              </w:rPr>
              <w:t>发起份额占基金总份额比例</w:t>
            </w:r>
          </w:p>
        </w:tc>
        <w:tc>
          <w:tcPr>
            <w:tcW w:w="692" w:type="pct"/>
            <w:shd w:val="clear" w:color="auto" w:fill="D9D9D9"/>
            <w:vAlign w:val="center"/>
          </w:tcPr>
          <w:p>
            <w:pPr>
              <w:spacing w:line="240" w:lineRule="auto"/>
              <w:jc w:val="center"/>
            </w:pPr>
            <w:r>
              <w:rPr>
                <w:rFonts w:ascii="宋体" w:hAnsi="宋体" w:eastAsia="宋体" w:cs="宋体"/>
                <w:b w:val="0"/>
              </w:rPr>
              <w:t>发起份额承诺持有期限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基金管理人固有资金</w:t>
            </w:r>
          </w:p>
        </w:tc>
        <w:tc>
          <w:tcPr>
            <w:tcW w:w="0" w:type="dxa"/>
            <w:vAlign w:val="center"/>
          </w:tcPr>
          <w:p>
            <w:pPr>
              <w:spacing w:line="240" w:lineRule="auto"/>
              <w:jc w:val="right"/>
            </w:pPr>
            <w:r>
              <w:rPr>
                <w:rFonts w:ascii="宋体" w:hAnsi="宋体" w:eastAsia="宋体" w:cs="宋体"/>
                <w:b w:val="0"/>
              </w:rPr>
              <w:t>5,000,194.44</w:t>
            </w:r>
          </w:p>
        </w:tc>
        <w:tc>
          <w:tcPr>
            <w:tcW w:w="0" w:type="dxa"/>
            <w:vAlign w:val="center"/>
          </w:tcPr>
          <w:p>
            <w:pPr>
              <w:spacing w:line="240" w:lineRule="auto"/>
              <w:jc w:val="right"/>
            </w:pPr>
            <w:r>
              <w:rPr>
                <w:rFonts w:ascii="宋体" w:hAnsi="宋体" w:eastAsia="宋体" w:cs="宋体"/>
                <w:b w:val="0"/>
              </w:rPr>
              <w:t>45.82%</w:t>
            </w:r>
          </w:p>
        </w:tc>
        <w:tc>
          <w:tcPr>
            <w:tcW w:w="0" w:type="dxa"/>
            <w:vAlign w:val="center"/>
          </w:tcPr>
          <w:p>
            <w:pPr>
              <w:spacing w:line="240" w:lineRule="auto"/>
              <w:jc w:val="right"/>
            </w:pPr>
            <w:r>
              <w:rPr>
                <w:rFonts w:ascii="宋体" w:hAnsi="宋体" w:eastAsia="宋体" w:cs="宋体"/>
                <w:b w:val="0"/>
              </w:rPr>
              <w:t>5,000,194.44</w:t>
            </w:r>
          </w:p>
        </w:tc>
        <w:tc>
          <w:tcPr>
            <w:tcW w:w="0" w:type="dxa"/>
            <w:vAlign w:val="center"/>
          </w:tcPr>
          <w:p>
            <w:pPr>
              <w:spacing w:line="240" w:lineRule="auto"/>
              <w:jc w:val="right"/>
            </w:pPr>
            <w:r>
              <w:rPr>
                <w:rFonts w:ascii="宋体" w:hAnsi="宋体" w:eastAsia="宋体" w:cs="宋体"/>
                <w:b w:val="0"/>
              </w:rPr>
              <w:t>45.82%</w:t>
            </w:r>
          </w:p>
        </w:tc>
        <w:tc>
          <w:tcPr>
            <w:tcW w:w="0" w:type="dxa"/>
            <w:vAlign w:val="center"/>
          </w:tcPr>
          <w:p>
            <w:pPr>
              <w:spacing w:line="240" w:lineRule="auto"/>
              <w:jc w:val="left"/>
            </w:pPr>
            <w:r>
              <w:rPr>
                <w:rFonts w:ascii="宋体" w:hAnsi="宋体" w:eastAsia="宋体" w:cs="宋体"/>
                <w:b w:val="0"/>
              </w:rPr>
              <w:t>自合同生效之日起不少于3年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基金管理人高级管理人员</w:t>
            </w:r>
          </w:p>
        </w:tc>
        <w:tc>
          <w:tcPr>
            <w:tcW w:w="0" w:type="dxa"/>
            <w:vAlign w:val="center"/>
          </w:tcPr>
          <w:p>
            <w:pPr>
              <w:spacing w:line="240" w:lineRule="auto"/>
              <w:jc w:val="right"/>
            </w:pPr>
            <w:r>
              <w:rPr>
                <w:rFonts w:ascii="宋体" w:hAnsi="宋体" w:eastAsia="宋体" w:cs="宋体"/>
                <w:b w:val="0"/>
              </w:rPr>
              <w:t>5,010,194.80</w:t>
            </w:r>
          </w:p>
        </w:tc>
        <w:tc>
          <w:tcPr>
            <w:tcW w:w="0" w:type="dxa"/>
            <w:vAlign w:val="center"/>
          </w:tcPr>
          <w:p>
            <w:pPr>
              <w:spacing w:line="240" w:lineRule="auto"/>
              <w:jc w:val="right"/>
            </w:pPr>
            <w:r>
              <w:rPr>
                <w:rFonts w:ascii="宋体" w:hAnsi="宋体" w:eastAsia="宋体" w:cs="宋体"/>
                <w:b w:val="0"/>
              </w:rPr>
              <w:t>45.92%</w:t>
            </w:r>
          </w:p>
        </w:tc>
        <w:tc>
          <w:tcPr>
            <w:tcW w:w="0" w:type="dxa"/>
            <w:vAlign w:val="center"/>
          </w:tcPr>
          <w:p>
            <w:pPr>
              <w:spacing w:line="240" w:lineRule="auto"/>
              <w:jc w:val="right"/>
            </w:pPr>
            <w:r>
              <w:rPr>
                <w:rFonts w:ascii="宋体" w:hAnsi="宋体" w:eastAsia="宋体" w:cs="宋体"/>
                <w:b w:val="0"/>
              </w:rPr>
              <w:t>5,010,194.80</w:t>
            </w:r>
          </w:p>
        </w:tc>
        <w:tc>
          <w:tcPr>
            <w:tcW w:w="0" w:type="dxa"/>
            <w:vAlign w:val="center"/>
          </w:tcPr>
          <w:p>
            <w:pPr>
              <w:spacing w:line="240" w:lineRule="auto"/>
              <w:jc w:val="right"/>
            </w:pPr>
            <w:r>
              <w:rPr>
                <w:rFonts w:ascii="宋体" w:hAnsi="宋体" w:eastAsia="宋体" w:cs="宋体"/>
                <w:b w:val="0"/>
              </w:rPr>
              <w:t>45.92%</w:t>
            </w:r>
          </w:p>
        </w:tc>
        <w:tc>
          <w:tcPr>
            <w:tcW w:w="0" w:type="dxa"/>
            <w:vAlign w:val="center"/>
          </w:tcPr>
          <w:p>
            <w:pPr>
              <w:spacing w:line="240" w:lineRule="auto"/>
              <w:jc w:val="left"/>
            </w:pPr>
            <w:r>
              <w:rPr>
                <w:rFonts w:ascii="宋体" w:hAnsi="宋体" w:eastAsia="宋体" w:cs="宋体"/>
                <w:b w:val="0"/>
              </w:rPr>
              <w:t>自合同生效之日起不少于3年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基金经理等人员</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基金管理人股东</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10,010,389.24</w:t>
            </w:r>
          </w:p>
        </w:tc>
        <w:tc>
          <w:tcPr>
            <w:tcW w:w="0" w:type="dxa"/>
            <w:vAlign w:val="center"/>
          </w:tcPr>
          <w:p>
            <w:pPr>
              <w:spacing w:line="240" w:lineRule="auto"/>
              <w:jc w:val="right"/>
            </w:pPr>
            <w:r>
              <w:rPr>
                <w:rFonts w:ascii="宋体" w:hAnsi="宋体" w:eastAsia="宋体" w:cs="宋体"/>
                <w:b w:val="0"/>
              </w:rPr>
              <w:t>91.74%</w:t>
            </w:r>
          </w:p>
        </w:tc>
        <w:tc>
          <w:tcPr>
            <w:tcW w:w="0" w:type="dxa"/>
            <w:vAlign w:val="center"/>
          </w:tcPr>
          <w:p>
            <w:pPr>
              <w:spacing w:line="240" w:lineRule="auto"/>
              <w:jc w:val="right"/>
            </w:pPr>
            <w:r>
              <w:rPr>
                <w:rFonts w:ascii="宋体" w:hAnsi="宋体" w:eastAsia="宋体" w:cs="宋体"/>
                <w:b w:val="0"/>
              </w:rPr>
              <w:t>10,010,389.24</w:t>
            </w:r>
          </w:p>
        </w:tc>
        <w:tc>
          <w:tcPr>
            <w:tcW w:w="0" w:type="dxa"/>
            <w:vAlign w:val="center"/>
          </w:tcPr>
          <w:p>
            <w:pPr>
              <w:spacing w:line="240" w:lineRule="auto"/>
              <w:jc w:val="right"/>
            </w:pPr>
            <w:r>
              <w:rPr>
                <w:rFonts w:ascii="宋体" w:hAnsi="宋体" w:eastAsia="宋体" w:cs="宋体"/>
                <w:b w:val="0"/>
              </w:rPr>
              <w:t>91.74%</w:t>
            </w:r>
          </w:p>
        </w:tc>
        <w:tc>
          <w:tcPr>
            <w:tcW w:w="0" w:type="dxa"/>
            <w:vAlign w:val="center"/>
          </w:tcPr>
          <w:p>
            <w:pPr>
              <w:spacing w:line="240" w:lineRule="auto"/>
              <w:jc w:val="left"/>
            </w:pPr>
            <w:r>
              <w:rPr>
                <w:rFonts w:ascii="宋体" w:hAnsi="宋体" w:eastAsia="宋体" w:cs="宋体"/>
                <w:b w:val="0"/>
              </w:rPr>
              <w:t>-</w:t>
            </w:r>
          </w:p>
        </w:tc>
      </w:tr>
    </w:tbl>
    <w:p>
      <w:pPr>
        <w:pStyle w:val="2"/>
        <w:jc w:val="center"/>
      </w:pPr>
      <w:r>
        <w:rPr>
          <w:rFonts w:ascii="宋体" w:hAnsi="宋体" w:eastAsia="宋体" w:cs="宋体"/>
        </w:rPr>
        <w:t>§9 影响投资者决策的其他重要信息</w:t>
      </w:r>
    </w:p>
    <w:p>
      <w:pPr>
        <w:pStyle w:val="3"/>
        <w:jc w:val="left"/>
      </w:pPr>
      <w:r>
        <w:rPr>
          <w:rFonts w:ascii="宋体" w:hAnsi="宋体" w:eastAsia="宋体" w:cs="宋体"/>
        </w:rPr>
        <w:t>9.1 报告期内单一投资者持有基金份额比例达到或超过20%的情况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2425"/>
        <w:gridCol w:w="1476"/>
        <w:gridCol w:w="1067"/>
        <w:gridCol w:w="1067"/>
        <w:gridCol w:w="1476"/>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Merge w:val="restart"/>
            <w:shd w:val="clear" w:color="auto" w:fill="D9D9D9"/>
            <w:vAlign w:val="center"/>
          </w:tcPr>
          <w:p>
            <w:pPr>
              <w:spacing w:line="240" w:lineRule="auto"/>
              <w:jc w:val="center"/>
            </w:pPr>
            <w:r>
              <w:rPr>
                <w:rFonts w:ascii="宋体" w:hAnsi="宋体" w:eastAsia="宋体" w:cs="宋体"/>
                <w:b w:val="0"/>
              </w:rPr>
              <w:t>投资者类别</w:t>
            </w:r>
          </w:p>
        </w:tc>
        <w:tc>
          <w:tcPr>
            <w:tcW w:w="3192" w:type="pct"/>
            <w:gridSpan w:val="5"/>
            <w:shd w:val="clear" w:color="auto" w:fill="D9D9D9"/>
            <w:vAlign w:val="center"/>
          </w:tcPr>
          <w:p>
            <w:pPr>
              <w:spacing w:line="240" w:lineRule="auto"/>
              <w:jc w:val="center"/>
            </w:pPr>
            <w:r>
              <w:rPr>
                <w:rFonts w:ascii="宋体" w:hAnsi="宋体" w:eastAsia="宋体" w:cs="宋体"/>
                <w:b w:val="0"/>
              </w:rPr>
              <w:t>报告期内持有基金份额变化情况</w:t>
            </w:r>
          </w:p>
        </w:tc>
        <w:tc>
          <w:tcPr>
            <w:tcW w:w="1154" w:type="pct"/>
            <w:gridSpan w:val="2"/>
            <w:shd w:val="clear" w:color="auto" w:fill="D9D9D9"/>
            <w:vAlign w:val="center"/>
          </w:tcPr>
          <w:p>
            <w:pPr>
              <w:spacing w:line="240" w:lineRule="auto"/>
              <w:jc w:val="center"/>
            </w:pPr>
            <w:r>
              <w:rPr>
                <w:rFonts w:ascii="宋体" w:hAnsi="宋体" w:eastAsia="宋体" w:cs="宋体"/>
                <w:b w:val="0"/>
              </w:rPr>
              <w:t>报告期末持有基金情况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vMerge w:val="continue"/>
          </w:tcPr>
          <w:p/>
        </w:tc>
        <w:tc>
          <w:tcPr>
            <w:tcW w:w="269" w:type="pct"/>
            <w:shd w:val="clear" w:color="auto" w:fill="D9D9D9"/>
            <w:vAlign w:val="center"/>
          </w:tcPr>
          <w:p>
            <w:pPr>
              <w:spacing w:line="240" w:lineRule="auto"/>
              <w:jc w:val="center"/>
            </w:pPr>
            <w:r>
              <w:rPr>
                <w:rFonts w:ascii="宋体" w:hAnsi="宋体" w:eastAsia="宋体" w:cs="宋体"/>
                <w:b w:val="0"/>
              </w:rPr>
              <w:t>序号</w:t>
            </w:r>
          </w:p>
        </w:tc>
        <w:tc>
          <w:tcPr>
            <w:tcW w:w="1346" w:type="pct"/>
            <w:shd w:val="clear" w:color="auto" w:fill="D9D9D9"/>
            <w:vAlign w:val="center"/>
          </w:tcPr>
          <w:p>
            <w:pPr>
              <w:spacing w:line="240" w:lineRule="auto"/>
              <w:jc w:val="center"/>
            </w:pPr>
            <w:r>
              <w:rPr>
                <w:rFonts w:ascii="宋体" w:hAnsi="宋体" w:eastAsia="宋体" w:cs="宋体"/>
                <w:b w:val="0"/>
              </w:rPr>
              <w:t>持有基金份额比例达到或者超过20%的时间区间</w:t>
            </w:r>
          </w:p>
        </w:tc>
        <w:tc>
          <w:tcPr>
            <w:tcW w:w="615" w:type="pct"/>
            <w:shd w:val="clear" w:color="auto" w:fill="D9D9D9"/>
            <w:vAlign w:val="center"/>
          </w:tcPr>
          <w:p>
            <w:pPr>
              <w:spacing w:line="240" w:lineRule="auto"/>
              <w:jc w:val="center"/>
            </w:pPr>
            <w:r>
              <w:rPr>
                <w:rFonts w:ascii="宋体" w:hAnsi="宋体" w:eastAsia="宋体" w:cs="宋体"/>
                <w:b w:val="0"/>
              </w:rPr>
              <w:t>期初份额</w:t>
            </w:r>
          </w:p>
        </w:tc>
        <w:tc>
          <w:tcPr>
            <w:tcW w:w="615" w:type="pct"/>
            <w:shd w:val="clear" w:color="auto" w:fill="D9D9D9"/>
            <w:vAlign w:val="center"/>
          </w:tcPr>
          <w:p>
            <w:pPr>
              <w:spacing w:line="240" w:lineRule="auto"/>
              <w:jc w:val="center"/>
            </w:pPr>
            <w:r>
              <w:rPr>
                <w:rFonts w:ascii="宋体" w:hAnsi="宋体" w:eastAsia="宋体" w:cs="宋体"/>
                <w:b w:val="0"/>
              </w:rPr>
              <w:t>申购份额</w:t>
            </w:r>
          </w:p>
        </w:tc>
        <w:tc>
          <w:tcPr>
            <w:tcW w:w="615" w:type="pct"/>
            <w:shd w:val="clear" w:color="auto" w:fill="D9D9D9"/>
            <w:vAlign w:val="center"/>
          </w:tcPr>
          <w:p>
            <w:pPr>
              <w:spacing w:line="240" w:lineRule="auto"/>
              <w:jc w:val="center"/>
            </w:pPr>
            <w:r>
              <w:rPr>
                <w:rFonts w:ascii="宋体" w:hAnsi="宋体" w:eastAsia="宋体" w:cs="宋体"/>
                <w:b w:val="0"/>
              </w:rPr>
              <w:t>赎回份额</w:t>
            </w:r>
          </w:p>
        </w:tc>
        <w:tc>
          <w:tcPr>
            <w:tcW w:w="615" w:type="pct"/>
            <w:shd w:val="clear" w:color="auto" w:fill="D9D9D9"/>
            <w:vAlign w:val="center"/>
          </w:tcPr>
          <w:p>
            <w:pPr>
              <w:spacing w:line="240" w:lineRule="auto"/>
              <w:jc w:val="center"/>
            </w:pPr>
            <w:r>
              <w:rPr>
                <w:rFonts w:ascii="宋体" w:hAnsi="宋体" w:eastAsia="宋体" w:cs="宋体"/>
                <w:b w:val="0"/>
              </w:rPr>
              <w:t>持有份额</w:t>
            </w:r>
          </w:p>
        </w:tc>
        <w:tc>
          <w:tcPr>
            <w:tcW w:w="538" w:type="pct"/>
            <w:shd w:val="clear" w:color="auto" w:fill="D9D9D9"/>
            <w:vAlign w:val="center"/>
          </w:tcPr>
          <w:p>
            <w:pPr>
              <w:spacing w:line="240" w:lineRule="auto"/>
              <w:jc w:val="center"/>
            </w:pPr>
            <w:r>
              <w:rPr>
                <w:rFonts w:ascii="宋体" w:hAnsi="宋体" w:eastAsia="宋体" w:cs="宋体"/>
                <w:b w:val="0"/>
              </w:rPr>
              <w:t>份额占比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机构</w:t>
            </w:r>
          </w:p>
        </w:tc>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center"/>
            </w:pPr>
            <w:r>
              <w:rPr>
                <w:rFonts w:ascii="宋体" w:hAnsi="宋体" w:eastAsia="宋体" w:cs="宋体"/>
                <w:b w:val="0"/>
              </w:rPr>
              <w:t>2026年06月02日-2026年06月30日</w:t>
            </w:r>
          </w:p>
        </w:tc>
        <w:tc>
          <w:tcPr>
            <w:tcW w:w="0" w:type="dxa"/>
            <w:vAlign w:val="center"/>
          </w:tcPr>
          <w:p>
            <w:pPr>
              <w:spacing w:line="240" w:lineRule="auto"/>
              <w:jc w:val="right"/>
            </w:pPr>
            <w:r>
              <w:rPr>
                <w:rFonts w:ascii="宋体" w:hAnsi="宋体" w:eastAsia="宋体" w:cs="宋体"/>
                <w:b w:val="0"/>
              </w:rPr>
              <w:t>5,000,194.44</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5,000,194.44</w:t>
            </w:r>
          </w:p>
        </w:tc>
        <w:tc>
          <w:tcPr>
            <w:tcW w:w="0" w:type="dxa"/>
            <w:vAlign w:val="center"/>
          </w:tcPr>
          <w:p>
            <w:pPr>
              <w:spacing w:line="240" w:lineRule="auto"/>
              <w:jc w:val="right"/>
            </w:pPr>
            <w:r>
              <w:rPr>
                <w:rFonts w:ascii="宋体" w:hAnsi="宋体" w:eastAsia="宋体" w:cs="宋体"/>
                <w:b w:val="0"/>
              </w:rPr>
              <w:t>45.82%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vAlign w:val="center"/>
          </w:tcPr>
          <w:p>
            <w:pPr>
              <w:spacing w:line="240" w:lineRule="auto"/>
              <w:jc w:val="center"/>
            </w:pPr>
            <w:r>
              <w:rPr>
                <w:rFonts w:ascii="宋体" w:hAnsi="宋体" w:eastAsia="宋体" w:cs="宋体"/>
                <w:b w:val="0"/>
              </w:rPr>
              <w:t>产品特有风险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dxa"/>
            <w:gridSpan w:val="8"/>
            <w:vAlign w:val="center"/>
          </w:tcPr>
          <w:p>
            <w:pPr>
              <w:spacing w:line="240" w:lineRule="auto"/>
              <w:jc w:val="left"/>
            </w:pPr>
            <w:r>
              <w:rPr>
                <w:rFonts w:ascii="宋体" w:hAnsi="宋体" w:eastAsia="宋体" w:cs="宋体"/>
                <w:b w:val="0"/>
              </w:rPr>
              <w:t xml:space="preserve">    基金管理人秉承谨慎勤勉、独立决策、规范运作、充分披露原则，公平对待投资者，保障投资者合法权益。当单一投资者持有基金份额比例达到或超过20%时，由此可能导致的特有风险主要包括：</w:t>
            </w:r>
            <w:r>
              <w:rPr>
                <w:rFonts w:ascii="宋体" w:hAnsi="宋体" w:eastAsia="宋体" w:cs="宋体"/>
                <w:b w:val="0"/>
              </w:rPr>
              <w:br w:type="textWrapping"/>
            </w:r>
            <w:r>
              <w:rPr>
                <w:rFonts w:ascii="宋体" w:hAnsi="宋体" w:eastAsia="宋体" w:cs="宋体"/>
                <w:b w:val="0"/>
              </w:rPr>
              <w:t xml:space="preserve">    1、本基金单一投资者所持有的基金份额占比较大，单一投资者的巨额赎回，可能导致基金管理人被迫抛售证券以应付基金赎回的现金需要，对本基金的投资运作及净值表现产生较大影响。</w:t>
            </w:r>
            <w:r>
              <w:rPr>
                <w:rFonts w:ascii="宋体" w:hAnsi="宋体" w:eastAsia="宋体" w:cs="宋体"/>
                <w:b w:val="0"/>
              </w:rPr>
              <w:br w:type="textWrapping"/>
            </w:r>
            <w:r>
              <w:rPr>
                <w:rFonts w:ascii="宋体" w:hAnsi="宋体" w:eastAsia="宋体" w:cs="宋体"/>
                <w:b w:val="0"/>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r>
            <w:r>
              <w:rPr>
                <w:rFonts w:ascii="宋体" w:hAnsi="宋体" w:eastAsia="宋体" w:cs="宋体"/>
                <w:b w:val="0"/>
              </w:rPr>
              <w:br w:type="textWrapping"/>
            </w:r>
            <w:r>
              <w:rPr>
                <w:rFonts w:ascii="宋体" w:hAnsi="宋体" w:eastAsia="宋体" w:cs="宋体"/>
                <w:b w:val="0"/>
              </w:rPr>
              <w:t xml:space="preserve">    3、单一投资者巨额赎回可能导致本基金在短时间内无法变现足够的资产予以应对，可能会导致基金仓位调整困难，发生流动性风险。</w:t>
            </w:r>
            <w:r>
              <w:rPr>
                <w:rFonts w:ascii="宋体" w:hAnsi="宋体" w:eastAsia="宋体" w:cs="宋体"/>
                <w:b w:val="0"/>
              </w:rPr>
              <w:br w:type="textWrapping"/>
            </w:r>
            <w:r>
              <w:rPr>
                <w:rFonts w:ascii="宋体" w:hAnsi="宋体" w:eastAsia="宋体" w:cs="宋体"/>
                <w:b w:val="0"/>
              </w:rPr>
              <w:t xml:space="preserve">    4、持有基金份额占比较高的投资者在召开基金份额持有人大会并对重大事项进行投票表决时，可能拥有较大话语权。</w:t>
            </w:r>
            <w:r>
              <w:rPr>
                <w:rFonts w:ascii="宋体" w:hAnsi="宋体" w:eastAsia="宋体" w:cs="宋体"/>
                <w:b w:val="0"/>
              </w:rPr>
              <w:br w:type="textWrapping"/>
            </w:r>
            <w:r>
              <w:rPr>
                <w:rFonts w:ascii="宋体" w:hAnsi="宋体" w:eastAsia="宋体" w:cs="宋体"/>
                <w:b w:val="0"/>
              </w:rPr>
              <w:t xml:space="preserve">    5、超出基金管理人允许的单一投资者持有基金份额比例的申购申请不被确认的风险。</w:t>
            </w:r>
          </w:p>
        </w:tc>
      </w:tr>
    </w:tbl>
    <w:p/>
    <w:p>
      <w:pPr>
        <w:pStyle w:val="3"/>
        <w:jc w:val="left"/>
      </w:pPr>
      <w:r>
        <w:rPr>
          <w:rFonts w:ascii="宋体" w:hAnsi="宋体" w:eastAsia="宋体" w:cs="宋体"/>
        </w:rPr>
        <w:t>9.2 影响投资者决策的其他重要信息</w:t>
      </w:r>
    </w:p>
    <w:p>
      <w:r>
        <w:rPr>
          <w:rFonts w:ascii="宋体" w:hAnsi="宋体" w:eastAsia="宋体" w:cs="宋体"/>
          <w:b w:val="0"/>
        </w:rPr>
        <w:t xml:space="preserve">    无。</w:t>
      </w:r>
    </w:p>
    <w:p>
      <w:pPr>
        <w:pStyle w:val="2"/>
        <w:jc w:val="center"/>
      </w:pPr>
      <w:r>
        <w:rPr>
          <w:rFonts w:ascii="宋体" w:hAnsi="宋体" w:eastAsia="宋体" w:cs="宋体"/>
        </w:rPr>
        <w:t>§10 备查文件目录</w:t>
      </w:r>
    </w:p>
    <w:p>
      <w:pPr>
        <w:pStyle w:val="3"/>
        <w:jc w:val="left"/>
      </w:pPr>
      <w:r>
        <w:rPr>
          <w:rFonts w:ascii="宋体" w:hAnsi="宋体" w:eastAsia="宋体" w:cs="宋体"/>
        </w:rPr>
        <w:t>10.1 备查文件目录</w:t>
      </w:r>
    </w:p>
    <w:p>
      <w:r>
        <w:rPr>
          <w:rFonts w:ascii="宋体" w:hAnsi="宋体" w:eastAsia="宋体" w:cs="宋体"/>
          <w:b w:val="0"/>
        </w:rPr>
        <w:t xml:space="preserve">    1、中国证券监督管理委员会批准的东方阿尔法增利债券型发起式证券投资基金设立的文件；</w:t>
      </w:r>
      <w:r>
        <w:rPr>
          <w:rFonts w:ascii="宋体" w:hAnsi="宋体" w:eastAsia="宋体" w:cs="宋体"/>
          <w:b w:val="0"/>
        </w:rPr>
        <w:br w:type="textWrapping"/>
      </w:r>
      <w:r>
        <w:rPr>
          <w:rFonts w:ascii="宋体" w:hAnsi="宋体" w:eastAsia="宋体" w:cs="宋体"/>
          <w:b w:val="0"/>
        </w:rPr>
        <w:t xml:space="preserve">    2、《东方阿尔法增利债券型发起式证券投资基金基金合同》；</w:t>
      </w:r>
      <w:r>
        <w:rPr>
          <w:rFonts w:ascii="宋体" w:hAnsi="宋体" w:eastAsia="宋体" w:cs="宋体"/>
          <w:b w:val="0"/>
        </w:rPr>
        <w:br w:type="textWrapping"/>
      </w:r>
      <w:r>
        <w:rPr>
          <w:rFonts w:ascii="宋体" w:hAnsi="宋体" w:eastAsia="宋体" w:cs="宋体"/>
          <w:b w:val="0"/>
        </w:rPr>
        <w:t xml:space="preserve">    3、《东方阿尔法增利债券型发起式证券投资基金托管协议》；</w:t>
      </w:r>
      <w:r>
        <w:rPr>
          <w:rFonts w:ascii="宋体" w:hAnsi="宋体" w:eastAsia="宋体" w:cs="宋体"/>
          <w:b w:val="0"/>
        </w:rPr>
        <w:br w:type="textWrapping"/>
      </w:r>
      <w:r>
        <w:rPr>
          <w:rFonts w:ascii="宋体" w:hAnsi="宋体" w:eastAsia="宋体" w:cs="宋体"/>
          <w:b w:val="0"/>
        </w:rPr>
        <w:t xml:space="preserve">    4、《东方阿尔法增利债券型发起式证券投资基金招募说明书》（含更新）；</w:t>
      </w:r>
      <w:r>
        <w:rPr>
          <w:rFonts w:ascii="宋体" w:hAnsi="宋体" w:eastAsia="宋体" w:cs="宋体"/>
          <w:b w:val="0"/>
        </w:rPr>
        <w:br w:type="textWrapping"/>
      </w:r>
      <w:r>
        <w:rPr>
          <w:rFonts w:ascii="宋体" w:hAnsi="宋体" w:eastAsia="宋体" w:cs="宋体"/>
          <w:b w:val="0"/>
        </w:rPr>
        <w:t xml:space="preserve">    5、基金管理人业务资格批件和营业执照。</w:t>
      </w:r>
    </w:p>
    <w:p/>
    <w:p>
      <w:pPr>
        <w:pStyle w:val="3"/>
        <w:jc w:val="left"/>
      </w:pPr>
      <w:r>
        <w:rPr>
          <w:rFonts w:ascii="宋体" w:hAnsi="宋体" w:eastAsia="宋体" w:cs="宋体"/>
        </w:rPr>
        <w:t>10.2 存放地点</w:t>
      </w:r>
    </w:p>
    <w:p>
      <w:r>
        <w:rPr>
          <w:rFonts w:ascii="宋体" w:hAnsi="宋体" w:eastAsia="宋体" w:cs="宋体"/>
          <w:b w:val="0"/>
        </w:rPr>
        <w:t xml:space="preserve">    基金管理人和基金托管人的住所。</w:t>
      </w:r>
    </w:p>
    <w:p/>
    <w:p>
      <w:pPr>
        <w:pStyle w:val="3"/>
        <w:jc w:val="left"/>
      </w:pPr>
      <w:r>
        <w:rPr>
          <w:rFonts w:ascii="宋体" w:hAnsi="宋体" w:eastAsia="宋体" w:cs="宋体"/>
        </w:rPr>
        <w:t>10.3 查阅方式</w:t>
      </w:r>
    </w:p>
    <w:p>
      <w:r>
        <w:rPr>
          <w:rFonts w:ascii="宋体" w:hAnsi="宋体" w:eastAsia="宋体" w:cs="宋体"/>
          <w:b w:val="0"/>
        </w:rPr>
        <w:t xml:space="preserve">    1、投资者可在营业时间免费查阅，也可按工本费购买复印件。</w:t>
      </w:r>
      <w:r>
        <w:rPr>
          <w:rFonts w:ascii="宋体" w:hAnsi="宋体" w:eastAsia="宋体" w:cs="宋体"/>
          <w:b w:val="0"/>
        </w:rPr>
        <w:br w:type="textWrapping"/>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br w:type="textWrapping"/>
      </w:r>
      <w:r>
        <w:rPr>
          <w:rFonts w:ascii="宋体" w:hAnsi="宋体" w:eastAsia="宋体" w:cs="宋体"/>
          <w:b w:val="0"/>
        </w:rPr>
        <w:t xml:space="preserve">    3、投资者可通过中国证监会基金电子披露网站（http://eid.csrc.gov.cn/fund/）和基金管理人网站（https://www.dfa66.com）查阅本报告书。</w:t>
      </w:r>
    </w:p>
    <w:p/>
    <w:p/>
    <w:p/>
    <w:p>
      <w:pPr>
        <w:jc w:val="right"/>
      </w:pPr>
      <w:r>
        <w:rPr>
          <w:rFonts w:ascii="宋体" w:hAnsi="宋体" w:eastAsia="宋体" w:cs="宋体"/>
          <w:b/>
        </w:rPr>
        <w:t>东方阿尔法基金管理有限公司</w:t>
      </w:r>
    </w:p>
    <w:p>
      <w:pPr>
        <w:jc w:val="right"/>
      </w:pPr>
      <w:r>
        <w:rPr>
          <w:rFonts w:ascii="宋体" w:hAnsi="宋体" w:eastAsia="宋体" w:cs="宋体"/>
          <w:b/>
        </w:rPr>
        <w:t>二〇二六年七月二十日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2</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2</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1</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right"/>
      <w:rPr>
        <w:rFonts w:ascii="宋体" w:hAnsi="宋体" w:eastAsia="宋体"/>
      </w:rPr>
    </w:pPr>
    <w:r>
      <w:rPr>
        <w:rFonts w:hint="eastAsia" w:ascii="宋体" w:hAnsi="宋体" w:eastAsia="宋体"/>
        <w:sz w:val="18"/>
      </w:rPr>
      <w:t>东方阿尔法增利债券型发起式证券投资基金2026年第2季度报告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3B11292"/>
    <w:rsid w:val="67517C74"/>
    <w:rsid w:val="77407113"/>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uiPriority="39" w:semiHidden="0"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link w:val="41"/>
    <w:semiHidden/>
    <w:unhideWhenUsed/>
    <w:qFormat/>
    <w:uiPriority w:val="99"/>
    <w:pPr>
      <w:ind w:firstLine="420" w:firstLineChars="200"/>
    </w:pPr>
  </w:style>
  <w:style w:type="paragraph" w:styleId="8">
    <w:name w:val="Document Map"/>
    <w:basedOn w:val="1"/>
    <w:link w:val="57"/>
    <w:semiHidden/>
    <w:unhideWhenUsed/>
    <w:qFormat/>
    <w:uiPriority w:val="99"/>
    <w:rPr>
      <w:rFonts w:ascii="宋体"/>
      <w:sz w:val="18"/>
      <w:szCs w:val="18"/>
    </w:rPr>
  </w:style>
  <w:style w:type="paragraph" w:styleId="9">
    <w:name w:val="annotation text"/>
    <w:basedOn w:val="1"/>
    <w:link w:val="42"/>
    <w:semiHidden/>
    <w:unhideWhenUsed/>
    <w:qFormat/>
    <w:uiPriority w:val="99"/>
    <w:pPr>
      <w:jc w:val="left"/>
    </w:pPr>
  </w:style>
  <w:style w:type="paragraph" w:styleId="10">
    <w:name w:val="Body Text"/>
    <w:basedOn w:val="1"/>
    <w:link w:val="45"/>
    <w:semiHidden/>
    <w:unhideWhenUsed/>
    <w:qFormat/>
    <w:uiPriority w:val="99"/>
    <w:pPr>
      <w:spacing w:after="120"/>
    </w:pPr>
  </w:style>
  <w:style w:type="paragraph" w:styleId="11">
    <w:name w:val="toc 5"/>
    <w:basedOn w:val="1"/>
    <w:next w:val="1"/>
    <w:unhideWhenUsed/>
    <w:qFormat/>
    <w:uiPriority w:val="39"/>
    <w:pPr>
      <w:ind w:left="840"/>
      <w:jc w:val="left"/>
    </w:pPr>
    <w:rPr>
      <w:sz w:val="18"/>
      <w:szCs w:val="18"/>
    </w:rPr>
  </w:style>
  <w:style w:type="paragraph" w:styleId="12">
    <w:name w:val="toc 3"/>
    <w:basedOn w:val="1"/>
    <w:next w:val="1"/>
    <w:unhideWhenUsed/>
    <w:qFormat/>
    <w:uiPriority w:val="39"/>
    <w:pPr>
      <w:spacing w:line="240" w:lineRule="auto"/>
      <w:ind w:left="420"/>
      <w:jc w:val="left"/>
    </w:pPr>
    <w:rPr>
      <w:i/>
      <w:iCs/>
      <w:szCs w:val="20"/>
    </w:rPr>
  </w:style>
  <w:style w:type="paragraph" w:styleId="13">
    <w:name w:val="Plain Text"/>
    <w:basedOn w:val="1"/>
    <w:link w:val="47"/>
    <w:semiHidden/>
    <w:unhideWhenUsed/>
    <w:qFormat/>
    <w:uiPriority w:val="99"/>
    <w:rPr>
      <w:rFonts w:hAnsi="Courier New" w:cs="Courier New" w:asciiTheme="minorEastAsia"/>
    </w:rPr>
  </w:style>
  <w:style w:type="paragraph" w:styleId="14">
    <w:name w:val="toc 8"/>
    <w:basedOn w:val="1"/>
    <w:next w:val="1"/>
    <w:unhideWhenUsed/>
    <w:qFormat/>
    <w:uiPriority w:val="39"/>
    <w:pPr>
      <w:ind w:left="1470"/>
      <w:jc w:val="left"/>
    </w:pPr>
    <w:rPr>
      <w:rFonts w:eastAsiaTheme="minorHAnsi"/>
      <w:sz w:val="18"/>
      <w:szCs w:val="18"/>
    </w:rPr>
  </w:style>
  <w:style w:type="paragraph" w:styleId="15">
    <w:name w:val="Date"/>
    <w:basedOn w:val="1"/>
    <w:next w:val="1"/>
    <w:link w:val="46"/>
    <w:semiHidden/>
    <w:unhideWhenUsed/>
    <w:qFormat/>
    <w:uiPriority w:val="99"/>
    <w:pPr>
      <w:ind w:left="100" w:leftChars="2500"/>
    </w:pPr>
  </w:style>
  <w:style w:type="paragraph" w:styleId="16">
    <w:name w:val="Balloon Text"/>
    <w:basedOn w:val="1"/>
    <w:link w:val="49"/>
    <w:semiHidden/>
    <w:unhideWhenUsed/>
    <w:qFormat/>
    <w:uiPriority w:val="99"/>
    <w:rPr>
      <w:sz w:val="18"/>
      <w:szCs w:val="18"/>
    </w:rPr>
  </w:style>
  <w:style w:type="paragraph" w:styleId="17">
    <w:name w:val="footer"/>
    <w:basedOn w:val="1"/>
    <w:link w:val="44"/>
    <w:unhideWhenUsed/>
    <w:qFormat/>
    <w:uiPriority w:val="99"/>
    <w:pPr>
      <w:tabs>
        <w:tab w:val="center" w:pos="4153"/>
        <w:tab w:val="right" w:pos="8306"/>
      </w:tabs>
      <w:snapToGrid w:val="0"/>
      <w:jc w:val="left"/>
    </w:pPr>
    <w:rPr>
      <w:sz w:val="18"/>
      <w:szCs w:val="18"/>
    </w:rPr>
  </w:style>
  <w:style w:type="paragraph" w:styleId="18">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right" w:leader="dot" w:pos="9060"/>
      </w:tabs>
      <w:spacing w:line="240" w:lineRule="auto"/>
      <w:jc w:val="left"/>
    </w:pPr>
    <w:rPr>
      <w:b/>
      <w:bCs/>
      <w:caps/>
      <w:szCs w:val="20"/>
    </w:rPr>
  </w:style>
  <w:style w:type="paragraph" w:styleId="20">
    <w:name w:val="toc 4"/>
    <w:basedOn w:val="1"/>
    <w:next w:val="1"/>
    <w:unhideWhenUsed/>
    <w:qFormat/>
    <w:uiPriority w:val="39"/>
    <w:pPr>
      <w:ind w:left="630"/>
      <w:jc w:val="left"/>
    </w:pPr>
    <w:rPr>
      <w:sz w:val="18"/>
      <w:szCs w:val="18"/>
    </w:rPr>
  </w:style>
  <w:style w:type="paragraph" w:styleId="21">
    <w:name w:val="toc 6"/>
    <w:basedOn w:val="1"/>
    <w:next w:val="1"/>
    <w:unhideWhenUsed/>
    <w:qFormat/>
    <w:uiPriority w:val="39"/>
    <w:pPr>
      <w:ind w:left="1050"/>
      <w:jc w:val="left"/>
    </w:pPr>
    <w:rPr>
      <w:sz w:val="18"/>
      <w:szCs w:val="18"/>
    </w:rPr>
  </w:style>
  <w:style w:type="paragraph" w:styleId="22">
    <w:name w:val="toc 2"/>
    <w:basedOn w:val="1"/>
    <w:next w:val="1"/>
    <w:unhideWhenUsed/>
    <w:uiPriority w:val="39"/>
    <w:pPr>
      <w:spacing w:line="240" w:lineRule="auto"/>
      <w:ind w:left="210"/>
      <w:jc w:val="left"/>
    </w:pPr>
    <w:rPr>
      <w:smallCaps/>
      <w:szCs w:val="20"/>
    </w:rPr>
  </w:style>
  <w:style w:type="paragraph" w:styleId="23">
    <w:name w:val="toc 9"/>
    <w:basedOn w:val="1"/>
    <w:next w:val="1"/>
    <w:unhideWhenUsed/>
    <w:uiPriority w:val="39"/>
    <w:pPr>
      <w:ind w:left="1680"/>
      <w:jc w:val="left"/>
    </w:pPr>
    <w:rPr>
      <w:rFonts w:eastAsiaTheme="minorHAnsi"/>
      <w:sz w:val="18"/>
      <w:szCs w:val="18"/>
    </w:rPr>
  </w:style>
  <w:style w:type="paragraph" w:styleId="24">
    <w:name w:val="Normal (Web)"/>
    <w:basedOn w:val="1"/>
    <w:semiHidden/>
    <w:unhideWhenUsed/>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uiPriority w:val="99"/>
    <w:rPr>
      <w:b/>
      <w:bCs/>
    </w:rPr>
  </w:style>
  <w:style w:type="table" w:styleId="28">
    <w:name w:val="Table Grid"/>
    <w:basedOn w:val="27"/>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uiPriority w:val="99"/>
    <w:rPr>
      <w:color w:val="0000FF"/>
      <w:u w:val="single"/>
    </w:rPr>
  </w:style>
  <w:style w:type="character" w:styleId="33">
    <w:name w:val="HTML Code"/>
    <w:basedOn w:val="30"/>
    <w:semiHidden/>
    <w:unhideWhenUsed/>
    <w:qFormat/>
    <w:uiPriority w:val="99"/>
    <w:rPr>
      <w:rFonts w:ascii="Courier New" w:hAnsi="Courier New" w:cs="Courier New"/>
      <w:sz w:val="20"/>
      <w:szCs w:val="20"/>
    </w:rPr>
  </w:style>
  <w:style w:type="character" w:styleId="34">
    <w:name w:val="annotation reference"/>
    <w:basedOn w:val="30"/>
    <w:semiHidden/>
    <w:unhideWhenUsed/>
    <w:qFormat/>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uiPriority w:val="9"/>
    <w:rPr>
      <w:rFonts w:eastAsia="宋体" w:asciiTheme="majorHAnsi" w:hAnsiTheme="majorHAnsi" w:cstheme="majorBidi"/>
      <w:b/>
      <w:bCs/>
      <w:sz w:val="24"/>
      <w:szCs w:val="32"/>
    </w:rPr>
  </w:style>
  <w:style w:type="character" w:customStyle="1" w:styleId="39">
    <w:name w:val="标题 3 字符"/>
    <w:basedOn w:val="30"/>
    <w:link w:val="4"/>
    <w:uiPriority w:val="9"/>
    <w:rPr>
      <w:rFonts w:eastAsia="宋体"/>
      <w:b/>
      <w:bCs/>
      <w:sz w:val="24"/>
      <w:szCs w:val="32"/>
    </w:rPr>
  </w:style>
  <w:style w:type="character" w:customStyle="1" w:styleId="40">
    <w:name w:val="标题 4 字符"/>
    <w:basedOn w:val="30"/>
    <w:link w:val="5"/>
    <w:semiHidden/>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qFormat/>
    <w:uiPriority w:val="99"/>
    <w:rPr>
      <w:rFonts w:asciiTheme="minorHAnsi" w:hAnsiTheme="minorHAnsi" w:eastAsiaTheme="minorEastAsia" w:cstheme="minorBidi"/>
      <w:sz w:val="21"/>
      <w:szCs w:val="22"/>
    </w:rPr>
  </w:style>
  <w:style w:type="character" w:customStyle="1" w:styleId="43">
    <w:name w:val="页眉 字符"/>
    <w:basedOn w:val="30"/>
    <w:link w:val="18"/>
    <w:qFormat/>
    <w:uiPriority w:val="99"/>
    <w:rPr>
      <w:rFonts w:asciiTheme="minorHAnsi" w:hAnsiTheme="minorHAnsi" w:eastAsiaTheme="minorEastAsia" w:cstheme="minorBidi"/>
      <w:sz w:val="18"/>
      <w:szCs w:val="18"/>
    </w:rPr>
  </w:style>
  <w:style w:type="character" w:customStyle="1" w:styleId="44">
    <w:name w:val="页脚 字符"/>
    <w:basedOn w:val="30"/>
    <w:link w:val="17"/>
    <w:uiPriority w:val="99"/>
    <w:rPr>
      <w:rFonts w:asciiTheme="minorHAnsi" w:hAnsiTheme="minorHAnsi" w:eastAsiaTheme="minorEastAsia" w:cstheme="minorBidi"/>
      <w:sz w:val="18"/>
      <w:szCs w:val="18"/>
    </w:rPr>
  </w:style>
  <w:style w:type="character" w:customStyle="1" w:styleId="45">
    <w:name w:val="正文文本 字符"/>
    <w:basedOn w:val="30"/>
    <w:link w:val="10"/>
    <w:semiHidden/>
    <w:qFormat/>
    <w:uiPriority w:val="99"/>
    <w:rPr>
      <w:rFonts w:asciiTheme="minorHAnsi" w:hAnsiTheme="minorHAnsi" w:eastAsiaTheme="minorEastAsia" w:cstheme="minorBidi"/>
      <w:sz w:val="21"/>
      <w:szCs w:val="22"/>
    </w:rPr>
  </w:style>
  <w:style w:type="character" w:customStyle="1" w:styleId="46">
    <w:name w:val="日期 字符"/>
    <w:basedOn w:val="30"/>
    <w:link w:val="15"/>
    <w:semiHidden/>
    <w:qFormat/>
    <w:uiPriority w:val="99"/>
    <w:rPr>
      <w:rFonts w:asciiTheme="minorHAnsi" w:hAnsiTheme="minorHAnsi" w:eastAsiaTheme="minorEastAsia" w:cstheme="minorBidi"/>
      <w:sz w:val="21"/>
      <w:szCs w:val="22"/>
    </w:rPr>
  </w:style>
  <w:style w:type="character" w:customStyle="1" w:styleId="47">
    <w:name w:val="纯文本 字符"/>
    <w:basedOn w:val="30"/>
    <w:link w:val="13"/>
    <w:semiHidden/>
    <w:qFormat/>
    <w:uiPriority w:val="99"/>
    <w:rPr>
      <w:rFonts w:hAnsi="Courier New" w:cs="Courier New" w:asciiTheme="minorEastAsia" w:eastAsiaTheme="minorEastAsia"/>
      <w:sz w:val="21"/>
      <w:szCs w:val="22"/>
    </w:rPr>
  </w:style>
  <w:style w:type="character" w:customStyle="1" w:styleId="48">
    <w:name w:val="批注主题 字符"/>
    <w:basedOn w:val="42"/>
    <w:link w:val="26"/>
    <w:semiHidden/>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uiPriority w:val="10"/>
    <w:rPr>
      <w:rFonts w:asciiTheme="majorHAnsi" w:hAnsiTheme="majorHAnsi" w:eastAsiaTheme="majorEastAsia" w:cstheme="majorBidi"/>
      <w:b/>
      <w:bCs/>
      <w:sz w:val="32"/>
      <w:szCs w:val="32"/>
    </w:rPr>
  </w:style>
  <w:style w:type="paragraph" w:customStyle="1" w:styleId="52">
    <w:name w:val="biaoge_left"/>
    <w:basedOn w:val="1"/>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uiPriority w:val="99"/>
    <w:rPr>
      <w:rFonts w:ascii="宋体" w:eastAsia="宋体"/>
      <w:sz w:val="18"/>
      <w:szCs w:val="18"/>
    </w:rPr>
  </w:style>
  <w:style w:type="paragraph" w:customStyle="1" w:styleId="58">
    <w:name w:val="zhangjie_p2"/>
    <w:basedOn w:val="1"/>
    <w:next w:val="1"/>
    <w:qFormat/>
    <w:uiPriority w:val="0"/>
    <w:pPr>
      <w:spacing w:line="240" w:lineRule="auto"/>
      <w:jc w:val="left"/>
    </w:pPr>
    <w:rPr>
      <w:bCs/>
      <w:iCs/>
      <w:cap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Words>
  <Characters>139</Characters>
  <Lines>1</Lines>
  <Paragraphs>1</Paragraphs>
  <TotalTime>51</TotalTime>
  <ScaleCrop>false</ScaleCrop>
  <LinksUpToDate>false</LinksUpToDate>
  <CharactersWithSpaces>162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2026-07-14T00:55:59Z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