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东方阿尔法招阳混合型证券投资基金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2026年第2季度报告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2026年06月30日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2026年07月20日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基金托管人招商银行股份有限公司根据本基金合同规定，于2026年07月14日复核了本报告中的财务指标、净值表现和投资组合报告等内容，保证复核内容不存在虚假记载、误导性陈述或者重大遗漏。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本报告期自2026年04月01日起至2026年06月30日止。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东方阿尔法招阳混合</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011184</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2021年03月17日</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566,772,878.54份</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在严格控制风险的基础之上，通过深入研究、优选个股、主动的投资管理方式力求实现组合资产的稳健增值。</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本基金的投资策略主要有以下9个方面内容：</w:t>
              <w:br/>
            </w:r>
            <w:r>
              <w:rPr>
                <w:rFonts w:ascii="宋体" w:hAnsi="宋体" w:cs="宋体" w:eastAsia="宋体"/>
                <w:b w:val="false"/>
              </w:rPr>
              <w:t>1、大类资产配置策略</w:t>
              <w:br/>
            </w:r>
            <w:r>
              <w:rPr>
                <w:rFonts w:ascii="宋体" w:hAnsi="宋体" w:cs="宋体" w:eastAsia="宋体"/>
                <w:b w:val="false"/>
              </w:rPr>
              <w:t>根据国内外宏观经济情况、国内外证券市场估值水平阶段性不断调整权益类资产和其他资产之间的大类资产配置比例。</w:t>
              <w:br/>
            </w:r>
            <w:r>
              <w:rPr>
                <w:rFonts w:ascii="宋体" w:hAnsi="宋体" w:cs="宋体" w:eastAsia="宋体"/>
                <w:b w:val="false"/>
              </w:rPr>
              <w:t>2、个股优选策略</w:t>
              <w:br/>
            </w:r>
            <w:r>
              <w:rPr>
                <w:rFonts w:ascii="宋体" w:hAnsi="宋体" w:cs="宋体" w:eastAsia="宋体"/>
                <w:b w:val="false"/>
              </w:rPr>
              <w:t>采用定量分析与定性分析相结合的方式对上市公司进行分析，建立备选股票池，并以备选股票池成份股未来两年的PE衡量动态性价比作为选择其进入投资组合的重要依据。</w:t>
              <w:br/>
            </w:r>
            <w:r>
              <w:rPr>
                <w:rFonts w:ascii="宋体" w:hAnsi="宋体" w:cs="宋体" w:eastAsia="宋体"/>
                <w:b w:val="false"/>
              </w:rPr>
              <w:t>3、港股投资策略</w:t>
              <w:br/>
            </w:r>
            <w:r>
              <w:rPr>
                <w:rFonts w:ascii="宋体" w:hAnsi="宋体" w:cs="宋体" w:eastAsia="宋体"/>
                <w:b w:val="false"/>
              </w:rPr>
              <w:t>重点关注A股稀缺性行业个股、A股缺乏投资标的行业、具有持续领先优势或核心竞争力的企业、符合内地政策和投资逻辑的主题性行业个股以及与A股同类公司相比具有估值优势的公司。</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6、股指期货投资策略</w:t>
              <w:br/>
            </w:r>
            <w:r>
              <w:rPr>
                <w:rFonts w:ascii="宋体" w:hAnsi="宋体" w:cs="宋体" w:eastAsia="宋体"/>
                <w:b w:val="false"/>
              </w:rPr>
              <w:t>以投资组合避险和有效管理为目的，通过套期保值策略，对冲系统性风险，应对组合构建与调整中的流动性风险，力求风险收益的优化。</w:t>
              <w:br/>
            </w:r>
            <w:r>
              <w:rPr>
                <w:rFonts w:ascii="宋体" w:hAnsi="宋体" w:cs="宋体" w:eastAsia="宋体"/>
                <w:b w:val="false"/>
              </w:rPr>
              <w:t>7、融资业务的投资策略</w:t>
              <w:br/>
            </w:r>
            <w:r>
              <w:rPr>
                <w:rFonts w:ascii="宋体" w:hAnsi="宋体" w:cs="宋体" w:eastAsia="宋体"/>
                <w:b w:val="false"/>
              </w:rPr>
              <w:t>综合考虑融资成本、保证金比例、冲抵保证金证券折算率、信用资质等条选择合适的交易对手方。在保障基金投资组合充足流动性以及有效控制融资杠杆风险的前提下，确定融资比例。</w:t>
              <w:br/>
            </w:r>
            <w:r>
              <w:rPr>
                <w:rFonts w:ascii="宋体" w:hAnsi="宋体" w:cs="宋体" w:eastAsia="宋体"/>
                <w:b w:val="false"/>
              </w:rPr>
              <w:t>8、国债期货的投资策略</w:t>
              <w:br/>
            </w:r>
            <w:r>
              <w:rPr>
                <w:rFonts w:ascii="宋体" w:hAnsi="宋体" w:cs="宋体" w:eastAsia="宋体"/>
                <w:b w:val="false"/>
              </w:rPr>
              <w:t>结合对宏观经济形势和政策趋势的判断、对债券市场进行定性和定量分析，构建量化分析体系，在最大限度保证基金资产安全的基础上，力求实现所资产的长期稳定增值。</w:t>
              <w:br/>
            </w:r>
            <w:r>
              <w:rPr>
                <w:rFonts w:ascii="宋体" w:hAnsi="宋体" w:cs="宋体" w:eastAsia="宋体"/>
                <w:b w:val="false"/>
              </w:rPr>
              <w:t>9、资产支持证券投资策略</w:t>
              <w:br/>
            </w:r>
            <w:r>
              <w:rPr>
                <w:rFonts w:ascii="宋体" w:hAnsi="宋体" w:cs="宋体" w:eastAsia="宋体"/>
                <w:b w:val="false"/>
              </w:rPr>
              <w:t>通过对宏观经济、提前偿还率、资产池结构、行业景气变化、标的证券发行条款等因素的研究，预测资产池未来现金流变化，结合信用研究和流动性管理，选择风险调整后收益高的品种进行投资，以期获得长期稳定收益。</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中证800指数收益率×80%+中证综合债券指数收益率×10%+恒生指数收益率×10%</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本基金为混合型基金，其预期风险和预期收益高于债券型基金、货币市场基金。本基金如果投资港股通标的股票，需承担汇率风险以及境外市场的风险。</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000"/>
            <w:vAlign w:val="center"/>
          </w:tcPr>
          <w:p>
            <w:pPr>
              <w:spacing w:line="240" w:lineRule="auto"/>
              <w:jc w:val="left"/>
            </w:pPr>
            <w:r>
              <w:rPr>
                <w:rFonts w:ascii="宋体" w:hAnsi="宋体" w:cs="宋体" w:eastAsia="宋体"/>
                <w:b w:val="false"/>
              </w:rPr>
              <w:t>东方阿尔法招阳混合A</w:t>
            </w:r>
          </w:p>
        </w:tc>
        <w:tc>
          <w:tcPr>
            <w:tcW w:type="pct" w:w="1000"/>
            <w:vAlign w:val="center"/>
          </w:tcPr>
          <w:p>
            <w:pPr>
              <w:spacing w:line="240" w:lineRule="auto"/>
              <w:jc w:val="left"/>
            </w:pPr>
            <w:r>
              <w:rPr>
                <w:rFonts w:ascii="宋体" w:hAnsi="宋体" w:cs="宋体" w:eastAsia="宋体"/>
                <w:b w:val="false"/>
              </w:rPr>
              <w:t>东方阿尔法招阳混合C</w:t>
            </w:r>
          </w:p>
        </w:tc>
        <w:tc>
          <w:tcPr>
            <w:tcW w:type="pct" w:w="1000"/>
            <w:vAlign w:val="center"/>
          </w:tcPr>
          <w:p>
            <w:pPr>
              <w:spacing w:line="240" w:lineRule="auto"/>
              <w:jc w:val="left"/>
            </w:pPr>
            <w:r>
              <w:rPr>
                <w:rFonts w:ascii="宋体" w:hAnsi="宋体" w:cs="宋体" w:eastAsia="宋体"/>
                <w:b w:val="false"/>
              </w:rPr>
              <w:t>东方阿尔法招阳混合E</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000"/>
            <w:vAlign w:val="center"/>
          </w:tcPr>
          <w:p>
            <w:pPr>
              <w:spacing w:line="240" w:lineRule="auto"/>
              <w:jc w:val="left"/>
            </w:pPr>
            <w:r>
              <w:rPr>
                <w:rFonts w:ascii="宋体" w:hAnsi="宋体" w:cs="宋体" w:eastAsia="宋体"/>
                <w:b w:val="false"/>
              </w:rPr>
              <w:t>011184</w:t>
            </w:r>
          </w:p>
        </w:tc>
        <w:tc>
          <w:tcPr>
            <w:tcW w:type="pct" w:w="1000"/>
            <w:vAlign w:val="center"/>
          </w:tcPr>
          <w:p>
            <w:pPr>
              <w:spacing w:line="240" w:lineRule="auto"/>
              <w:jc w:val="left"/>
            </w:pPr>
            <w:r>
              <w:rPr>
                <w:rFonts w:ascii="宋体" w:hAnsi="宋体" w:cs="宋体" w:eastAsia="宋体"/>
                <w:b w:val="false"/>
              </w:rPr>
              <w:t>011185</w:t>
            </w:r>
          </w:p>
        </w:tc>
        <w:tc>
          <w:tcPr>
            <w:tcW w:type="pct" w:w="1000"/>
            <w:vAlign w:val="center"/>
          </w:tcPr>
          <w:p>
            <w:pPr>
              <w:spacing w:line="240" w:lineRule="auto"/>
              <w:jc w:val="left"/>
            </w:pPr>
            <w:r>
              <w:rPr>
                <w:rFonts w:ascii="宋体" w:hAnsi="宋体" w:cs="宋体" w:eastAsia="宋体"/>
                <w:b w:val="false"/>
              </w:rPr>
              <w:t>017889</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000"/>
            <w:vAlign w:val="center"/>
          </w:tcPr>
          <w:p>
            <w:pPr>
              <w:spacing w:line="240" w:lineRule="auto"/>
              <w:jc w:val="left"/>
            </w:pPr>
            <w:r>
              <w:rPr>
                <w:rFonts w:ascii="宋体" w:hAnsi="宋体" w:cs="宋体" w:eastAsia="宋体"/>
                <w:b w:val="false"/>
              </w:rPr>
              <w:t>519,365,994.76份</w:t>
            </w:r>
          </w:p>
        </w:tc>
        <w:tc>
          <w:tcPr>
            <w:tcW w:type="pct" w:w="1000"/>
            <w:vAlign w:val="center"/>
          </w:tcPr>
          <w:p>
            <w:pPr>
              <w:spacing w:line="240" w:lineRule="auto"/>
              <w:jc w:val="left"/>
            </w:pPr>
            <w:r>
              <w:rPr>
                <w:rFonts w:ascii="宋体" w:hAnsi="宋体" w:cs="宋体" w:eastAsia="宋体"/>
                <w:b w:val="false"/>
              </w:rPr>
              <w:t>10,050,926.15份</w:t>
            </w:r>
          </w:p>
        </w:tc>
        <w:tc>
          <w:tcPr>
            <w:tcW w:type="pct" w:w="1000"/>
            <w:vAlign w:val="center"/>
          </w:tcPr>
          <w:p>
            <w:pPr>
              <w:spacing w:line="240" w:lineRule="auto"/>
              <w:jc w:val="left"/>
            </w:pPr>
            <w:r>
              <w:rPr>
                <w:rFonts w:ascii="宋体" w:hAnsi="宋体" w:cs="宋体" w:eastAsia="宋体"/>
                <w:b w:val="false"/>
              </w:rPr>
              <w:t>37,355,957.63份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报告期（2026年04月01日-2026年06月30日）</w:t>
            </w:r>
          </w:p>
        </w:tc>
        <w:tc>
          <w:tcPr>
            <w:hMerge w:val="continue"/>
          </w:tcPr>
          <w:p/>
        </w:tc>
        <w:tc>
          <w:tcPr>
            <w:hMerge w:val="continue"/>
          </w:tcPr>
          <w:p/>
        </w:tc>
      </w:tr>
      <w:tr>
        <w:tc>
          <w:tcPr>
            <w:vMerge w:val="continue"/>
          </w:tcPr>
          <w:p/>
        </w:tc>
        <w:tc>
          <w:tcPr>
            <w:tcW w:type="pct" w:w="1000"/>
            <w:vAlign w:val="center"/>
          </w:tcPr>
          <w:tcPr>
            <w:shd w:fill="d9d9d9"/>
          </w:tcPr>
          <w:p>
            <w:pPr>
              <w:spacing w:line="240" w:lineRule="auto"/>
              <w:jc w:val="center"/>
            </w:pPr>
            <w:r>
              <w:rPr>
                <w:rFonts w:ascii="宋体" w:hAnsi="宋体" w:cs="宋体" w:eastAsia="宋体"/>
                <w:b w:val="false"/>
              </w:rPr>
              <w:t>东方阿尔法招阳混合A</w:t>
            </w:r>
          </w:p>
        </w:tc>
        <w:tc>
          <w:tcPr>
            <w:tcW w:type="pct" w:w="1000"/>
            <w:vAlign w:val="center"/>
          </w:tcPr>
          <w:tcPr>
            <w:shd w:fill="d9d9d9"/>
          </w:tcPr>
          <w:p>
            <w:pPr>
              <w:spacing w:line="240" w:lineRule="auto"/>
              <w:jc w:val="center"/>
            </w:pPr>
            <w:r>
              <w:rPr>
                <w:rFonts w:ascii="宋体" w:hAnsi="宋体" w:cs="宋体" w:eastAsia="宋体"/>
                <w:b w:val="false"/>
              </w:rPr>
              <w:t>东方阿尔法招阳混合C</w:t>
            </w:r>
          </w:p>
        </w:tc>
        <w:tc>
          <w:tcPr>
            <w:tcW w:type="pct" w:w="1000"/>
            <w:vAlign w:val="center"/>
          </w:tcPr>
          <w:tcPr>
            <w:shd w:fill="d9d9d9"/>
          </w:tcPr>
          <w:p>
            <w:pPr>
              <w:spacing w:line="240" w:lineRule="auto"/>
              <w:jc w:val="center"/>
            </w:pPr>
            <w:r>
              <w:rPr>
                <w:rFonts w:ascii="宋体" w:hAnsi="宋体" w:cs="宋体" w:eastAsia="宋体"/>
                <w:b w:val="false"/>
              </w:rPr>
              <w:t>东方阿尔法招阳混合E</w:t>
            </w:r>
          </w:p>
        </w:tc>
      </w:tr>
      <w:tr>
        <w:tc>
          <w:tcPr>
            <w:tcW/>
            <w:vAlign w:val="center"/>
          </w:tcPr>
          <w:p>
            <w:pPr>
              <w:spacing w:line="240" w:lineRule="auto"/>
              <w:jc w:val="left"/>
            </w:pPr>
            <w:r>
              <w:rPr>
                <w:rFonts w:ascii="宋体" w:hAnsi="宋体" w:cs="宋体" w:eastAsia="宋体"/>
                <w:b w:val="false"/>
              </w:rPr>
              <w:t>1.本期已实现收益</w:t>
            </w:r>
          </w:p>
        </w:tc>
        <w:tc>
          <w:tcPr>
            <w:tcW w:type="pct" w:w="1000"/>
            <w:vAlign w:val="center"/>
          </w:tcPr>
          <w:p>
            <w:pPr>
              <w:spacing w:line="240" w:lineRule="auto"/>
              <w:jc w:val="right"/>
            </w:pPr>
            <w:r>
              <w:rPr>
                <w:rFonts w:ascii="宋体" w:hAnsi="宋体" w:cs="宋体" w:eastAsia="宋体"/>
                <w:b w:val="false"/>
              </w:rPr>
              <w:t>-26,663,672.51</w:t>
            </w:r>
          </w:p>
        </w:tc>
        <w:tc>
          <w:tcPr>
            <w:tcW w:type="pct" w:w="1000"/>
            <w:vAlign w:val="center"/>
          </w:tcPr>
          <w:p>
            <w:pPr>
              <w:spacing w:line="240" w:lineRule="auto"/>
              <w:jc w:val="right"/>
            </w:pPr>
            <w:r>
              <w:rPr>
                <w:rFonts w:ascii="宋体" w:hAnsi="宋体" w:cs="宋体" w:eastAsia="宋体"/>
                <w:b w:val="false"/>
              </w:rPr>
              <w:t>-415,733.98</w:t>
            </w:r>
          </w:p>
        </w:tc>
        <w:tc>
          <w:tcPr>
            <w:tcW w:type="pct" w:w="1000"/>
            <w:vAlign w:val="center"/>
          </w:tcPr>
          <w:p>
            <w:pPr>
              <w:spacing w:line="240" w:lineRule="auto"/>
              <w:jc w:val="right"/>
            </w:pPr>
            <w:r>
              <w:rPr>
                <w:rFonts w:ascii="宋体" w:hAnsi="宋体" w:cs="宋体" w:eastAsia="宋体"/>
                <w:b w:val="false"/>
              </w:rPr>
              <w:t>-2,128,454.88</w:t>
            </w:r>
          </w:p>
        </w:tc>
      </w:tr>
      <w:tr>
        <w:tc>
          <w:tcPr>
            <w:tcW/>
            <w:vAlign w:val="center"/>
          </w:tcPr>
          <w:p>
            <w:pPr>
              <w:spacing w:line="240" w:lineRule="auto"/>
              <w:jc w:val="left"/>
            </w:pPr>
            <w:r>
              <w:rPr>
                <w:rFonts w:ascii="宋体" w:hAnsi="宋体" w:cs="宋体" w:eastAsia="宋体"/>
                <w:b w:val="false"/>
              </w:rPr>
              <w:t>2.本期利润</w:t>
            </w:r>
          </w:p>
        </w:tc>
        <w:tc>
          <w:tcPr>
            <w:tcW w:type="pct" w:w="1000"/>
            <w:vAlign w:val="center"/>
          </w:tcPr>
          <w:p>
            <w:pPr>
              <w:spacing w:line="240" w:lineRule="auto"/>
              <w:jc w:val="right"/>
            </w:pPr>
            <w:r>
              <w:rPr>
                <w:rFonts w:ascii="宋体" w:hAnsi="宋体" w:cs="宋体" w:eastAsia="宋体"/>
                <w:b w:val="false"/>
              </w:rPr>
              <w:t>-4,734,629.97</w:t>
            </w:r>
          </w:p>
        </w:tc>
        <w:tc>
          <w:tcPr>
            <w:tcW w:type="pct" w:w="1000"/>
            <w:vAlign w:val="center"/>
          </w:tcPr>
          <w:p>
            <w:pPr>
              <w:spacing w:line="240" w:lineRule="auto"/>
              <w:jc w:val="right"/>
            </w:pPr>
            <w:r>
              <w:rPr>
                <w:rFonts w:ascii="宋体" w:hAnsi="宋体" w:cs="宋体" w:eastAsia="宋体"/>
                <w:b w:val="false"/>
              </w:rPr>
              <w:t>-65,644.93</w:t>
            </w:r>
          </w:p>
        </w:tc>
        <w:tc>
          <w:tcPr>
            <w:tcW w:type="pct" w:w="1000"/>
            <w:vAlign w:val="center"/>
          </w:tcPr>
          <w:p>
            <w:pPr>
              <w:spacing w:line="240" w:lineRule="auto"/>
              <w:jc w:val="right"/>
            </w:pPr>
            <w:r>
              <w:rPr>
                <w:rFonts w:ascii="宋体" w:hAnsi="宋体" w:cs="宋体" w:eastAsia="宋体"/>
                <w:b w:val="false"/>
              </w:rPr>
              <w:t>-112,126.91</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000"/>
            <w:vAlign w:val="center"/>
          </w:tcPr>
          <w:p>
            <w:pPr>
              <w:spacing w:line="240" w:lineRule="auto"/>
              <w:jc w:val="right"/>
            </w:pPr>
            <w:r>
              <w:rPr>
                <w:rFonts w:ascii="宋体" w:hAnsi="宋体" w:cs="宋体" w:eastAsia="宋体"/>
                <w:b w:val="false"/>
              </w:rPr>
              <w:t>-0.0091</w:t>
            </w:r>
          </w:p>
        </w:tc>
        <w:tc>
          <w:tcPr>
            <w:tcW w:type="pct" w:w="1000"/>
            <w:vAlign w:val="center"/>
          </w:tcPr>
          <w:p>
            <w:pPr>
              <w:spacing w:line="240" w:lineRule="auto"/>
              <w:jc w:val="right"/>
            </w:pPr>
            <w:r>
              <w:rPr>
                <w:rFonts w:ascii="宋体" w:hAnsi="宋体" w:cs="宋体" w:eastAsia="宋体"/>
                <w:b w:val="false"/>
              </w:rPr>
              <w:t>-0.0078</w:t>
            </w:r>
          </w:p>
        </w:tc>
        <w:tc>
          <w:tcPr>
            <w:tcW w:type="pct" w:w="1000"/>
            <w:vAlign w:val="center"/>
          </w:tcPr>
          <w:p>
            <w:pPr>
              <w:spacing w:line="240" w:lineRule="auto"/>
              <w:jc w:val="right"/>
            </w:pPr>
            <w:r>
              <w:rPr>
                <w:rFonts w:ascii="宋体" w:hAnsi="宋体" w:cs="宋体" w:eastAsia="宋体"/>
                <w:b w:val="false"/>
              </w:rPr>
              <w:t>-0.0027</w:t>
            </w:r>
          </w:p>
        </w:tc>
      </w:tr>
      <w:tr>
        <w:tc>
          <w:tcPr>
            <w:tcW/>
            <w:vAlign w:val="center"/>
          </w:tcPr>
          <w:p>
            <w:pPr>
              <w:spacing w:line="240" w:lineRule="auto"/>
              <w:jc w:val="left"/>
            </w:pPr>
            <w:r>
              <w:rPr>
                <w:rFonts w:ascii="宋体" w:hAnsi="宋体" w:cs="宋体" w:eastAsia="宋体"/>
                <w:b w:val="false"/>
              </w:rPr>
              <w:t>4.期末基金资产净值</w:t>
            </w:r>
          </w:p>
        </w:tc>
        <w:tc>
          <w:tcPr>
            <w:tcW w:type="pct" w:w="1000"/>
            <w:vAlign w:val="center"/>
          </w:tcPr>
          <w:p>
            <w:pPr>
              <w:spacing w:line="240" w:lineRule="auto"/>
              <w:jc w:val="right"/>
            </w:pPr>
            <w:r>
              <w:rPr>
                <w:rFonts w:ascii="宋体" w:hAnsi="宋体" w:cs="宋体" w:eastAsia="宋体"/>
                <w:b w:val="false"/>
              </w:rPr>
              <w:t>214,813,198.44</w:t>
            </w:r>
          </w:p>
        </w:tc>
        <w:tc>
          <w:tcPr>
            <w:tcW w:type="pct" w:w="1000"/>
            <w:vAlign w:val="center"/>
          </w:tcPr>
          <w:p>
            <w:pPr>
              <w:spacing w:line="240" w:lineRule="auto"/>
              <w:jc w:val="right"/>
            </w:pPr>
            <w:r>
              <w:rPr>
                <w:rFonts w:ascii="宋体" w:hAnsi="宋体" w:cs="宋体" w:eastAsia="宋体"/>
                <w:b w:val="false"/>
              </w:rPr>
              <w:t>3,923,724.76</w:t>
            </w:r>
          </w:p>
        </w:tc>
        <w:tc>
          <w:tcPr>
            <w:tcW w:type="pct" w:w="1000"/>
            <w:vAlign w:val="center"/>
          </w:tcPr>
          <w:p>
            <w:pPr>
              <w:spacing w:line="240" w:lineRule="auto"/>
              <w:jc w:val="right"/>
            </w:pPr>
            <w:r>
              <w:rPr>
                <w:rFonts w:ascii="宋体" w:hAnsi="宋体" w:cs="宋体" w:eastAsia="宋体"/>
                <w:b w:val="false"/>
              </w:rPr>
              <w:t>15,209,662.18</w:t>
            </w:r>
          </w:p>
        </w:tc>
      </w:tr>
      <w:tr>
        <w:tc>
          <w:tcPr>
            <w:tcW/>
            <w:vAlign w:val="center"/>
          </w:tcPr>
          <w:p>
            <w:pPr>
              <w:spacing w:line="240" w:lineRule="auto"/>
              <w:jc w:val="left"/>
            </w:pPr>
            <w:r>
              <w:rPr>
                <w:rFonts w:ascii="宋体" w:hAnsi="宋体" w:cs="宋体" w:eastAsia="宋体"/>
                <w:b w:val="false"/>
              </w:rPr>
              <w:t>5.期末基金份额净值</w:t>
            </w:r>
          </w:p>
        </w:tc>
        <w:tc>
          <w:tcPr>
            <w:tcW w:type="pct" w:w="1000"/>
            <w:vAlign w:val="center"/>
          </w:tcPr>
          <w:p>
            <w:pPr>
              <w:spacing w:line="240" w:lineRule="auto"/>
              <w:jc w:val="right"/>
            </w:pPr>
            <w:r>
              <w:rPr>
                <w:rFonts w:ascii="宋体" w:hAnsi="宋体" w:cs="宋体" w:eastAsia="宋体"/>
                <w:b w:val="false"/>
              </w:rPr>
              <w:t>0.4136</w:t>
            </w:r>
          </w:p>
        </w:tc>
        <w:tc>
          <w:tcPr>
            <w:tcW w:type="pct" w:w="1000"/>
            <w:vAlign w:val="center"/>
          </w:tcPr>
          <w:p>
            <w:pPr>
              <w:spacing w:line="240" w:lineRule="auto"/>
              <w:jc w:val="right"/>
            </w:pPr>
            <w:r>
              <w:rPr>
                <w:rFonts w:ascii="宋体" w:hAnsi="宋体" w:cs="宋体" w:eastAsia="宋体"/>
                <w:b w:val="false"/>
              </w:rPr>
              <w:t>0.3904</w:t>
            </w:r>
          </w:p>
        </w:tc>
        <w:tc>
          <w:tcPr>
            <w:tcW w:type="pct" w:w="1000"/>
            <w:vAlign w:val="center"/>
          </w:tcPr>
          <w:p>
            <w:pPr>
              <w:spacing w:line="240" w:lineRule="auto"/>
              <w:jc w:val="right"/>
            </w:pPr>
            <w:r>
              <w:rPr>
                <w:rFonts w:ascii="宋体" w:hAnsi="宋体" w:cs="宋体" w:eastAsia="宋体"/>
                <w:b w:val="false"/>
              </w:rPr>
              <w:t>0.4072</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b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东方阿尔法招阳混合A净值表现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-2.20%</w:t>
            </w:r>
          </w:p>
        </w:tc>
        <w:tc>
          <w:tcPr>
            <w:tcW/>
            <w:vAlign w:val="center"/>
          </w:tcPr>
          <w:p>
            <w:pPr>
              <w:spacing w:line="240" w:lineRule="auto"/>
              <w:jc w:val="right"/>
            </w:pPr>
            <w:r>
              <w:rPr>
                <w:rFonts w:ascii="宋体" w:hAnsi="宋体" w:cs="宋体" w:eastAsia="宋体"/>
                <w:b w:val="false"/>
              </w:rPr>
              <w:t>2.02%</w:t>
            </w:r>
          </w:p>
        </w:tc>
        <w:tc>
          <w:tcPr>
            <w:tcW/>
            <w:vAlign w:val="center"/>
          </w:tcPr>
          <w:p>
            <w:pPr>
              <w:spacing w:line="240" w:lineRule="auto"/>
              <w:jc w:val="right"/>
            </w:pPr>
            <w:r>
              <w:rPr>
                <w:rFonts w:ascii="宋体" w:hAnsi="宋体" w:cs="宋体" w:eastAsia="宋体"/>
                <w:b w:val="false"/>
              </w:rPr>
              <w:t>10.17%</w:t>
            </w:r>
          </w:p>
        </w:tc>
        <w:tc>
          <w:tcPr>
            <w:tcW/>
            <w:vAlign w:val="center"/>
          </w:tcPr>
          <w:p>
            <w:pPr>
              <w:spacing w:line="240" w:lineRule="auto"/>
              <w:jc w:val="right"/>
            </w:pPr>
            <w:r>
              <w:rPr>
                <w:rFonts w:ascii="宋体" w:hAnsi="宋体" w:cs="宋体" w:eastAsia="宋体"/>
                <w:b w:val="false"/>
              </w:rPr>
              <w:t>1.14%</w:t>
            </w:r>
          </w:p>
        </w:tc>
        <w:tc>
          <w:tcPr>
            <w:tcW/>
            <w:vAlign w:val="center"/>
          </w:tcPr>
          <w:p>
            <w:pPr>
              <w:spacing w:line="240" w:lineRule="auto"/>
              <w:jc w:val="right"/>
            </w:pPr>
            <w:r>
              <w:rPr>
                <w:rFonts w:ascii="宋体" w:hAnsi="宋体" w:cs="宋体" w:eastAsia="宋体"/>
                <w:b w:val="false"/>
              </w:rPr>
              <w:t>-12.37%</w:t>
            </w:r>
          </w:p>
        </w:tc>
        <w:tc>
          <w:tcPr>
            <w:tcW/>
            <w:vAlign w:val="center"/>
          </w:tcPr>
          <w:p>
            <w:pPr>
              <w:spacing w:line="240" w:lineRule="auto"/>
              <w:jc w:val="right"/>
            </w:pPr>
            <w:r>
              <w:rPr>
                <w:rFonts w:ascii="宋体" w:hAnsi="宋体" w:cs="宋体" w:eastAsia="宋体"/>
                <w:b w:val="false"/>
              </w:rPr>
              <w:t>0.88%</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-11.00%</w:t>
            </w:r>
          </w:p>
        </w:tc>
        <w:tc>
          <w:tcPr>
            <w:tcW/>
            <w:vAlign w:val="center"/>
          </w:tcPr>
          <w:p>
            <w:pPr>
              <w:spacing w:line="240" w:lineRule="auto"/>
              <w:jc w:val="right"/>
            </w:pPr>
            <w:r>
              <w:rPr>
                <w:rFonts w:ascii="宋体" w:hAnsi="宋体" w:cs="宋体" w:eastAsia="宋体"/>
                <w:b w:val="false"/>
              </w:rPr>
              <w:t>2.34%</w:t>
            </w:r>
          </w:p>
        </w:tc>
        <w:tc>
          <w:tcPr>
            <w:tcW/>
            <w:vAlign w:val="center"/>
          </w:tcPr>
          <w:p>
            <w:pPr>
              <w:spacing w:line="240" w:lineRule="auto"/>
              <w:jc w:val="right"/>
            </w:pPr>
            <w:r>
              <w:rPr>
                <w:rFonts w:ascii="宋体" w:hAnsi="宋体" w:cs="宋体" w:eastAsia="宋体"/>
                <w:b w:val="false"/>
              </w:rPr>
              <w:t>7.93%</w:t>
            </w:r>
          </w:p>
        </w:tc>
        <w:tc>
          <w:tcPr>
            <w:tcW/>
            <w:vAlign w:val="center"/>
          </w:tcPr>
          <w:p>
            <w:pPr>
              <w:spacing w:line="240" w:lineRule="auto"/>
              <w:jc w:val="right"/>
            </w:pPr>
            <w:r>
              <w:rPr>
                <w:rFonts w:ascii="宋体" w:hAnsi="宋体" w:cs="宋体" w:eastAsia="宋体"/>
                <w:b w:val="false"/>
              </w:rPr>
              <w:t>1.08%</w:t>
            </w:r>
          </w:p>
        </w:tc>
        <w:tc>
          <w:tcPr>
            <w:tcW/>
            <w:vAlign w:val="center"/>
          </w:tcPr>
          <w:p>
            <w:pPr>
              <w:spacing w:line="240" w:lineRule="auto"/>
              <w:jc w:val="right"/>
            </w:pPr>
            <w:r>
              <w:rPr>
                <w:rFonts w:ascii="宋体" w:hAnsi="宋体" w:cs="宋体" w:eastAsia="宋体"/>
                <w:b w:val="false"/>
              </w:rPr>
              <w:t>-18.93%</w:t>
            </w:r>
          </w:p>
        </w:tc>
        <w:tc>
          <w:tcPr>
            <w:tcW/>
            <w:vAlign w:val="center"/>
          </w:tcPr>
          <w:p>
            <w:pPr>
              <w:spacing w:line="240" w:lineRule="auto"/>
              <w:jc w:val="right"/>
            </w:pPr>
            <w:r>
              <w:rPr>
                <w:rFonts w:ascii="宋体" w:hAnsi="宋体" w:cs="宋体" w:eastAsia="宋体"/>
                <w:b w:val="false"/>
              </w:rPr>
              <w:t>1.26%</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-16.86%</w:t>
            </w:r>
          </w:p>
        </w:tc>
        <w:tc>
          <w:tcPr>
            <w:tcW/>
            <w:vAlign w:val="center"/>
          </w:tcPr>
          <w:p>
            <w:pPr>
              <w:spacing w:line="240" w:lineRule="auto"/>
              <w:jc w:val="right"/>
            </w:pPr>
            <w:r>
              <w:rPr>
                <w:rFonts w:ascii="宋体" w:hAnsi="宋体" w:cs="宋体" w:eastAsia="宋体"/>
                <w:b w:val="false"/>
              </w:rPr>
              <w:t>2.10%</w:t>
            </w:r>
          </w:p>
        </w:tc>
        <w:tc>
          <w:tcPr>
            <w:tcW/>
            <w:vAlign w:val="center"/>
          </w:tcPr>
          <w:p>
            <w:pPr>
              <w:spacing w:line="240" w:lineRule="auto"/>
              <w:jc w:val="right"/>
            </w:pPr>
            <w:r>
              <w:rPr>
                <w:rFonts w:ascii="宋体" w:hAnsi="宋体" w:cs="宋体" w:eastAsia="宋体"/>
                <w:b w:val="false"/>
              </w:rPr>
              <w:t>25.61%</w:t>
            </w:r>
          </w:p>
        </w:tc>
        <w:tc>
          <w:tcPr>
            <w:tcW/>
            <w:vAlign w:val="center"/>
          </w:tcPr>
          <w:p>
            <w:pPr>
              <w:spacing w:line="240" w:lineRule="auto"/>
              <w:jc w:val="right"/>
            </w:pPr>
            <w:r>
              <w:rPr>
                <w:rFonts w:ascii="宋体" w:hAnsi="宋体" w:cs="宋体" w:eastAsia="宋体"/>
                <w:b w:val="false"/>
              </w:rPr>
              <w:t>0.96%</w:t>
            </w:r>
          </w:p>
        </w:tc>
        <w:tc>
          <w:tcPr>
            <w:tcW/>
            <w:vAlign w:val="center"/>
          </w:tcPr>
          <w:p>
            <w:pPr>
              <w:spacing w:line="240" w:lineRule="auto"/>
              <w:jc w:val="right"/>
            </w:pPr>
            <w:r>
              <w:rPr>
                <w:rFonts w:ascii="宋体" w:hAnsi="宋体" w:cs="宋体" w:eastAsia="宋体"/>
                <w:b w:val="false"/>
              </w:rPr>
              <w:t>-42.47%</w:t>
            </w:r>
          </w:p>
        </w:tc>
        <w:tc>
          <w:tcPr>
            <w:tcW/>
            <w:vAlign w:val="center"/>
          </w:tcPr>
          <w:p>
            <w:pPr>
              <w:spacing w:line="240" w:lineRule="auto"/>
              <w:jc w:val="right"/>
            </w:pPr>
            <w:r>
              <w:rPr>
                <w:rFonts w:ascii="宋体" w:hAnsi="宋体" w:cs="宋体" w:eastAsia="宋体"/>
                <w:b w:val="false"/>
              </w:rPr>
              <w:t>1.14%</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-40.99%</w:t>
            </w:r>
          </w:p>
        </w:tc>
        <w:tc>
          <w:tcPr>
            <w:tcW/>
            <w:vAlign w:val="center"/>
          </w:tcPr>
          <w:p>
            <w:pPr>
              <w:spacing w:line="240" w:lineRule="auto"/>
              <w:jc w:val="right"/>
            </w:pPr>
            <w:r>
              <w:rPr>
                <w:rFonts w:ascii="宋体" w:hAnsi="宋体" w:cs="宋体" w:eastAsia="宋体"/>
                <w:b w:val="false"/>
              </w:rPr>
              <w:t>2.07%</w:t>
            </w:r>
          </w:p>
        </w:tc>
        <w:tc>
          <w:tcPr>
            <w:tcW/>
            <w:vAlign w:val="center"/>
          </w:tcPr>
          <w:p>
            <w:pPr>
              <w:spacing w:line="240" w:lineRule="auto"/>
              <w:jc w:val="right"/>
            </w:pPr>
            <w:r>
              <w:rPr>
                <w:rFonts w:ascii="宋体" w:hAnsi="宋体" w:cs="宋体" w:eastAsia="宋体"/>
                <w:b w:val="false"/>
              </w:rPr>
              <w:t>32.41%</w:t>
            </w:r>
          </w:p>
        </w:tc>
        <w:tc>
          <w:tcPr>
            <w:tcW/>
            <w:vAlign w:val="center"/>
          </w:tcPr>
          <w:p>
            <w:pPr>
              <w:spacing w:line="240" w:lineRule="auto"/>
              <w:jc w:val="right"/>
            </w:pPr>
            <w:r>
              <w:rPr>
                <w:rFonts w:ascii="宋体" w:hAnsi="宋体" w:cs="宋体" w:eastAsia="宋体"/>
                <w:b w:val="false"/>
              </w:rPr>
              <w:t>1.03%</w:t>
            </w:r>
          </w:p>
        </w:tc>
        <w:tc>
          <w:tcPr>
            <w:tcW/>
            <w:vAlign w:val="center"/>
          </w:tcPr>
          <w:p>
            <w:pPr>
              <w:spacing w:line="240" w:lineRule="auto"/>
              <w:jc w:val="right"/>
            </w:pPr>
            <w:r>
              <w:rPr>
                <w:rFonts w:ascii="宋体" w:hAnsi="宋体" w:cs="宋体" w:eastAsia="宋体"/>
                <w:b w:val="false"/>
              </w:rPr>
              <w:t>-73.40%</w:t>
            </w:r>
          </w:p>
        </w:tc>
        <w:tc>
          <w:tcPr>
            <w:tcW/>
            <w:vAlign w:val="center"/>
          </w:tcPr>
          <w:p>
            <w:pPr>
              <w:spacing w:line="240" w:lineRule="auto"/>
              <w:jc w:val="right"/>
            </w:pPr>
            <w:r>
              <w:rPr>
                <w:rFonts w:ascii="宋体" w:hAnsi="宋体" w:cs="宋体" w:eastAsia="宋体"/>
                <w:b w:val="false"/>
              </w:rPr>
              <w:t>1.04%</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-60.50%</w:t>
            </w:r>
          </w:p>
        </w:tc>
        <w:tc>
          <w:tcPr>
            <w:tcW/>
            <w:vAlign w:val="center"/>
          </w:tcPr>
          <w:p>
            <w:pPr>
              <w:spacing w:line="240" w:lineRule="auto"/>
              <w:jc w:val="right"/>
            </w:pPr>
            <w:r>
              <w:rPr>
                <w:rFonts w:ascii="宋体" w:hAnsi="宋体" w:cs="宋体" w:eastAsia="宋体"/>
                <w:b w:val="false"/>
              </w:rPr>
              <w:t>1.92%</w:t>
            </w:r>
          </w:p>
        </w:tc>
        <w:tc>
          <w:tcPr>
            <w:tcW/>
            <w:vAlign w:val="center"/>
          </w:tcPr>
          <w:p>
            <w:pPr>
              <w:spacing w:line="240" w:lineRule="auto"/>
              <w:jc w:val="right"/>
            </w:pPr>
            <w:r>
              <w:rPr>
                <w:rFonts w:ascii="宋体" w:hAnsi="宋体" w:cs="宋体" w:eastAsia="宋体"/>
                <w:b w:val="false"/>
              </w:rPr>
              <w:t>4.30%</w:t>
            </w:r>
          </w:p>
        </w:tc>
        <w:tc>
          <w:tcPr>
            <w:tcW/>
            <w:vAlign w:val="center"/>
          </w:tcPr>
          <w:p>
            <w:pPr>
              <w:spacing w:line="240" w:lineRule="auto"/>
              <w:jc w:val="right"/>
            </w:pPr>
            <w:r>
              <w:rPr>
                <w:rFonts w:ascii="宋体" w:hAnsi="宋体" w:cs="宋体" w:eastAsia="宋体"/>
                <w:b w:val="false"/>
              </w:rPr>
              <w:t>1.02%</w:t>
            </w:r>
          </w:p>
        </w:tc>
        <w:tc>
          <w:tcPr>
            <w:tcW/>
            <w:vAlign w:val="center"/>
          </w:tcPr>
          <w:p>
            <w:pPr>
              <w:spacing w:line="240" w:lineRule="auto"/>
              <w:jc w:val="right"/>
            </w:pPr>
            <w:r>
              <w:rPr>
                <w:rFonts w:ascii="宋体" w:hAnsi="宋体" w:cs="宋体" w:eastAsia="宋体"/>
                <w:b w:val="false"/>
              </w:rPr>
              <w:t>-64.80%</w:t>
            </w:r>
          </w:p>
        </w:tc>
        <w:tc>
          <w:tcPr>
            <w:tcW/>
            <w:vAlign w:val="center"/>
          </w:tcPr>
          <w:p>
            <w:pPr>
              <w:spacing w:line="240" w:lineRule="auto"/>
              <w:jc w:val="right"/>
            </w:pPr>
            <w:r>
              <w:rPr>
                <w:rFonts w:ascii="宋体" w:hAnsi="宋体" w:cs="宋体" w:eastAsia="宋体"/>
                <w:b w:val="false"/>
              </w:rPr>
              <w:t>0.90%</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-58.64%</w:t>
            </w:r>
          </w:p>
        </w:tc>
        <w:tc>
          <w:tcPr>
            <w:tcW/>
            <w:vAlign w:val="center"/>
          </w:tcPr>
          <w:p>
            <w:pPr>
              <w:spacing w:line="240" w:lineRule="auto"/>
              <w:jc w:val="right"/>
            </w:pPr>
            <w:r>
              <w:rPr>
                <w:rFonts w:ascii="宋体" w:hAnsi="宋体" w:cs="宋体" w:eastAsia="宋体"/>
                <w:b w:val="false"/>
              </w:rPr>
              <w:t>1.87%</w:t>
            </w:r>
          </w:p>
        </w:tc>
        <w:tc>
          <w:tcPr>
            <w:tcW/>
            <w:vAlign w:val="center"/>
          </w:tcPr>
          <w:p>
            <w:pPr>
              <w:spacing w:line="240" w:lineRule="auto"/>
              <w:jc w:val="right"/>
            </w:pPr>
            <w:r>
              <w:rPr>
                <w:rFonts w:ascii="宋体" w:hAnsi="宋体" w:cs="宋体" w:eastAsia="宋体"/>
                <w:b w:val="false"/>
              </w:rPr>
              <w:t>8.10%</w:t>
            </w:r>
          </w:p>
        </w:tc>
        <w:tc>
          <w:tcPr>
            <w:tcW/>
            <w:vAlign w:val="center"/>
          </w:tcPr>
          <w:p>
            <w:pPr>
              <w:spacing w:line="240" w:lineRule="auto"/>
              <w:jc w:val="right"/>
            </w:pPr>
            <w:r>
              <w:rPr>
                <w:rFonts w:ascii="宋体" w:hAnsi="宋体" w:cs="宋体" w:eastAsia="宋体"/>
                <w:b w:val="false"/>
              </w:rPr>
              <w:t>1.01%</w:t>
            </w:r>
          </w:p>
        </w:tc>
        <w:tc>
          <w:tcPr>
            <w:tcW/>
            <w:vAlign w:val="center"/>
          </w:tcPr>
          <w:p>
            <w:pPr>
              <w:spacing w:line="240" w:lineRule="auto"/>
              <w:jc w:val="right"/>
            </w:pPr>
            <w:r>
              <w:rPr>
                <w:rFonts w:ascii="宋体" w:hAnsi="宋体" w:cs="宋体" w:eastAsia="宋体"/>
                <w:b w:val="false"/>
              </w:rPr>
              <w:t>-66.74%</w:t>
            </w:r>
          </w:p>
        </w:tc>
        <w:tc>
          <w:tcPr>
            <w:tcW/>
            <w:vAlign w:val="center"/>
          </w:tcPr>
          <w:p>
            <w:pPr>
              <w:spacing w:line="240" w:lineRule="auto"/>
              <w:jc w:val="right"/>
            </w:pPr>
            <w:r>
              <w:rPr>
                <w:rFonts w:ascii="宋体" w:hAnsi="宋体" w:cs="宋体" w:eastAsia="宋体"/>
                <w:b w:val="false"/>
              </w:rPr>
              <w:t>0.86%</w:t>
            </w:r>
          </w:p>
        </w:tc>
      </w:tr>
    </w:tbl>
    <w:p>
      <w:pPr>
        <w:jc w:val="left"/>
      </w:pPr>
      <w:r>
        <w:rPr>
          <w:rFonts w:ascii="宋体" w:hAnsi="宋体" w:cs="宋体" w:eastAsia="宋体"/>
          <w:b w:val="true"/>
        </w:rPr>
        <w:t>东方阿尔法招阳混合C净值表现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-2.40%</w:t>
            </w:r>
          </w:p>
        </w:tc>
        <w:tc>
          <w:tcPr>
            <w:tcW/>
            <w:vAlign w:val="center"/>
          </w:tcPr>
          <w:p>
            <w:pPr>
              <w:spacing w:line="240" w:lineRule="auto"/>
              <w:jc w:val="right"/>
            </w:pPr>
            <w:r>
              <w:rPr>
                <w:rFonts w:ascii="宋体" w:hAnsi="宋体" w:cs="宋体" w:eastAsia="宋体"/>
                <w:b w:val="false"/>
              </w:rPr>
              <w:t>2.02%</w:t>
            </w:r>
          </w:p>
        </w:tc>
        <w:tc>
          <w:tcPr>
            <w:tcW/>
            <w:vAlign w:val="center"/>
          </w:tcPr>
          <w:p>
            <w:pPr>
              <w:spacing w:line="240" w:lineRule="auto"/>
              <w:jc w:val="right"/>
            </w:pPr>
            <w:r>
              <w:rPr>
                <w:rFonts w:ascii="宋体" w:hAnsi="宋体" w:cs="宋体" w:eastAsia="宋体"/>
                <w:b w:val="false"/>
              </w:rPr>
              <w:t>10.17%</w:t>
            </w:r>
          </w:p>
        </w:tc>
        <w:tc>
          <w:tcPr>
            <w:tcW/>
            <w:vAlign w:val="center"/>
          </w:tcPr>
          <w:p>
            <w:pPr>
              <w:spacing w:line="240" w:lineRule="auto"/>
              <w:jc w:val="right"/>
            </w:pPr>
            <w:r>
              <w:rPr>
                <w:rFonts w:ascii="宋体" w:hAnsi="宋体" w:cs="宋体" w:eastAsia="宋体"/>
                <w:b w:val="false"/>
              </w:rPr>
              <w:t>1.14%</w:t>
            </w:r>
          </w:p>
        </w:tc>
        <w:tc>
          <w:tcPr>
            <w:tcW/>
            <w:vAlign w:val="center"/>
          </w:tcPr>
          <w:p>
            <w:pPr>
              <w:spacing w:line="240" w:lineRule="auto"/>
              <w:jc w:val="right"/>
            </w:pPr>
            <w:r>
              <w:rPr>
                <w:rFonts w:ascii="宋体" w:hAnsi="宋体" w:cs="宋体" w:eastAsia="宋体"/>
                <w:b w:val="false"/>
              </w:rPr>
              <w:t>-12.57%</w:t>
            </w:r>
          </w:p>
        </w:tc>
        <w:tc>
          <w:tcPr>
            <w:tcW/>
            <w:vAlign w:val="center"/>
          </w:tcPr>
          <w:p>
            <w:pPr>
              <w:spacing w:line="240" w:lineRule="auto"/>
              <w:jc w:val="right"/>
            </w:pPr>
            <w:r>
              <w:rPr>
                <w:rFonts w:ascii="宋体" w:hAnsi="宋体" w:cs="宋体" w:eastAsia="宋体"/>
                <w:b w:val="false"/>
              </w:rPr>
              <w:t>0.88%</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-11.33%</w:t>
            </w:r>
          </w:p>
        </w:tc>
        <w:tc>
          <w:tcPr>
            <w:tcW/>
            <w:vAlign w:val="center"/>
          </w:tcPr>
          <w:p>
            <w:pPr>
              <w:spacing w:line="240" w:lineRule="auto"/>
              <w:jc w:val="right"/>
            </w:pPr>
            <w:r>
              <w:rPr>
                <w:rFonts w:ascii="宋体" w:hAnsi="宋体" w:cs="宋体" w:eastAsia="宋体"/>
                <w:b w:val="false"/>
              </w:rPr>
              <w:t>2.34%</w:t>
            </w:r>
          </w:p>
        </w:tc>
        <w:tc>
          <w:tcPr>
            <w:tcW/>
            <w:vAlign w:val="center"/>
          </w:tcPr>
          <w:p>
            <w:pPr>
              <w:spacing w:line="240" w:lineRule="auto"/>
              <w:jc w:val="right"/>
            </w:pPr>
            <w:r>
              <w:rPr>
                <w:rFonts w:ascii="宋体" w:hAnsi="宋体" w:cs="宋体" w:eastAsia="宋体"/>
                <w:b w:val="false"/>
              </w:rPr>
              <w:t>7.93%</w:t>
            </w:r>
          </w:p>
        </w:tc>
        <w:tc>
          <w:tcPr>
            <w:tcW/>
            <w:vAlign w:val="center"/>
          </w:tcPr>
          <w:p>
            <w:pPr>
              <w:spacing w:line="240" w:lineRule="auto"/>
              <w:jc w:val="right"/>
            </w:pPr>
            <w:r>
              <w:rPr>
                <w:rFonts w:ascii="宋体" w:hAnsi="宋体" w:cs="宋体" w:eastAsia="宋体"/>
                <w:b w:val="false"/>
              </w:rPr>
              <w:t>1.08%</w:t>
            </w:r>
          </w:p>
        </w:tc>
        <w:tc>
          <w:tcPr>
            <w:tcW/>
            <w:vAlign w:val="center"/>
          </w:tcPr>
          <w:p>
            <w:pPr>
              <w:spacing w:line="240" w:lineRule="auto"/>
              <w:jc w:val="right"/>
            </w:pPr>
            <w:r>
              <w:rPr>
                <w:rFonts w:ascii="宋体" w:hAnsi="宋体" w:cs="宋体" w:eastAsia="宋体"/>
                <w:b w:val="false"/>
              </w:rPr>
              <w:t>-19.26%</w:t>
            </w:r>
          </w:p>
        </w:tc>
        <w:tc>
          <w:tcPr>
            <w:tcW/>
            <w:vAlign w:val="center"/>
          </w:tcPr>
          <w:p>
            <w:pPr>
              <w:spacing w:line="240" w:lineRule="auto"/>
              <w:jc w:val="right"/>
            </w:pPr>
            <w:r>
              <w:rPr>
                <w:rFonts w:ascii="宋体" w:hAnsi="宋体" w:cs="宋体" w:eastAsia="宋体"/>
                <w:b w:val="false"/>
              </w:rPr>
              <w:t>1.26%</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-17.52%</w:t>
            </w:r>
          </w:p>
        </w:tc>
        <w:tc>
          <w:tcPr>
            <w:tcW/>
            <w:vAlign w:val="center"/>
          </w:tcPr>
          <w:p>
            <w:pPr>
              <w:spacing w:line="240" w:lineRule="auto"/>
              <w:jc w:val="right"/>
            </w:pPr>
            <w:r>
              <w:rPr>
                <w:rFonts w:ascii="宋体" w:hAnsi="宋体" w:cs="宋体" w:eastAsia="宋体"/>
                <w:b w:val="false"/>
              </w:rPr>
              <w:t>2.10%</w:t>
            </w:r>
          </w:p>
        </w:tc>
        <w:tc>
          <w:tcPr>
            <w:tcW/>
            <w:vAlign w:val="center"/>
          </w:tcPr>
          <w:p>
            <w:pPr>
              <w:spacing w:line="240" w:lineRule="auto"/>
              <w:jc w:val="right"/>
            </w:pPr>
            <w:r>
              <w:rPr>
                <w:rFonts w:ascii="宋体" w:hAnsi="宋体" w:cs="宋体" w:eastAsia="宋体"/>
                <w:b w:val="false"/>
              </w:rPr>
              <w:t>25.61%</w:t>
            </w:r>
          </w:p>
        </w:tc>
        <w:tc>
          <w:tcPr>
            <w:tcW/>
            <w:vAlign w:val="center"/>
          </w:tcPr>
          <w:p>
            <w:pPr>
              <w:spacing w:line="240" w:lineRule="auto"/>
              <w:jc w:val="right"/>
            </w:pPr>
            <w:r>
              <w:rPr>
                <w:rFonts w:ascii="宋体" w:hAnsi="宋体" w:cs="宋体" w:eastAsia="宋体"/>
                <w:b w:val="false"/>
              </w:rPr>
              <w:t>0.96%</w:t>
            </w:r>
          </w:p>
        </w:tc>
        <w:tc>
          <w:tcPr>
            <w:tcW/>
            <w:vAlign w:val="center"/>
          </w:tcPr>
          <w:p>
            <w:pPr>
              <w:spacing w:line="240" w:lineRule="auto"/>
              <w:jc w:val="right"/>
            </w:pPr>
            <w:r>
              <w:rPr>
                <w:rFonts w:ascii="宋体" w:hAnsi="宋体" w:cs="宋体" w:eastAsia="宋体"/>
                <w:b w:val="false"/>
              </w:rPr>
              <w:t>-43.13%</w:t>
            </w:r>
          </w:p>
        </w:tc>
        <w:tc>
          <w:tcPr>
            <w:tcW/>
            <w:vAlign w:val="center"/>
          </w:tcPr>
          <w:p>
            <w:pPr>
              <w:spacing w:line="240" w:lineRule="auto"/>
              <w:jc w:val="right"/>
            </w:pPr>
            <w:r>
              <w:rPr>
                <w:rFonts w:ascii="宋体" w:hAnsi="宋体" w:cs="宋体" w:eastAsia="宋体"/>
                <w:b w:val="false"/>
              </w:rPr>
              <w:t>1.14%</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-42.38%</w:t>
            </w:r>
          </w:p>
        </w:tc>
        <w:tc>
          <w:tcPr>
            <w:tcW/>
            <w:vAlign w:val="center"/>
          </w:tcPr>
          <w:p>
            <w:pPr>
              <w:spacing w:line="240" w:lineRule="auto"/>
              <w:jc w:val="right"/>
            </w:pPr>
            <w:r>
              <w:rPr>
                <w:rFonts w:ascii="宋体" w:hAnsi="宋体" w:cs="宋体" w:eastAsia="宋体"/>
                <w:b w:val="false"/>
              </w:rPr>
              <w:t>2.07%</w:t>
            </w:r>
          </w:p>
        </w:tc>
        <w:tc>
          <w:tcPr>
            <w:tcW/>
            <w:vAlign w:val="center"/>
          </w:tcPr>
          <w:p>
            <w:pPr>
              <w:spacing w:line="240" w:lineRule="auto"/>
              <w:jc w:val="right"/>
            </w:pPr>
            <w:r>
              <w:rPr>
                <w:rFonts w:ascii="宋体" w:hAnsi="宋体" w:cs="宋体" w:eastAsia="宋体"/>
                <w:b w:val="false"/>
              </w:rPr>
              <w:t>32.41%</w:t>
            </w:r>
          </w:p>
        </w:tc>
        <w:tc>
          <w:tcPr>
            <w:tcW/>
            <w:vAlign w:val="center"/>
          </w:tcPr>
          <w:p>
            <w:pPr>
              <w:spacing w:line="240" w:lineRule="auto"/>
              <w:jc w:val="right"/>
            </w:pPr>
            <w:r>
              <w:rPr>
                <w:rFonts w:ascii="宋体" w:hAnsi="宋体" w:cs="宋体" w:eastAsia="宋体"/>
                <w:b w:val="false"/>
              </w:rPr>
              <w:t>1.03%</w:t>
            </w:r>
          </w:p>
        </w:tc>
        <w:tc>
          <w:tcPr>
            <w:tcW/>
            <w:vAlign w:val="center"/>
          </w:tcPr>
          <w:p>
            <w:pPr>
              <w:spacing w:line="240" w:lineRule="auto"/>
              <w:jc w:val="right"/>
            </w:pPr>
            <w:r>
              <w:rPr>
                <w:rFonts w:ascii="宋体" w:hAnsi="宋体" w:cs="宋体" w:eastAsia="宋体"/>
                <w:b w:val="false"/>
              </w:rPr>
              <w:t>-74.79%</w:t>
            </w:r>
          </w:p>
        </w:tc>
        <w:tc>
          <w:tcPr>
            <w:tcW/>
            <w:vAlign w:val="center"/>
          </w:tcPr>
          <w:p>
            <w:pPr>
              <w:spacing w:line="240" w:lineRule="auto"/>
              <w:jc w:val="right"/>
            </w:pPr>
            <w:r>
              <w:rPr>
                <w:rFonts w:ascii="宋体" w:hAnsi="宋体" w:cs="宋体" w:eastAsia="宋体"/>
                <w:b w:val="false"/>
              </w:rPr>
              <w:t>1.04%</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-62.56%</w:t>
            </w:r>
          </w:p>
        </w:tc>
        <w:tc>
          <w:tcPr>
            <w:tcW/>
            <w:vAlign w:val="center"/>
          </w:tcPr>
          <w:p>
            <w:pPr>
              <w:spacing w:line="240" w:lineRule="auto"/>
              <w:jc w:val="right"/>
            </w:pPr>
            <w:r>
              <w:rPr>
                <w:rFonts w:ascii="宋体" w:hAnsi="宋体" w:cs="宋体" w:eastAsia="宋体"/>
                <w:b w:val="false"/>
              </w:rPr>
              <w:t>1.92%</w:t>
            </w:r>
          </w:p>
        </w:tc>
        <w:tc>
          <w:tcPr>
            <w:tcW/>
            <w:vAlign w:val="center"/>
          </w:tcPr>
          <w:p>
            <w:pPr>
              <w:spacing w:line="240" w:lineRule="auto"/>
              <w:jc w:val="right"/>
            </w:pPr>
            <w:r>
              <w:rPr>
                <w:rFonts w:ascii="宋体" w:hAnsi="宋体" w:cs="宋体" w:eastAsia="宋体"/>
                <w:b w:val="false"/>
              </w:rPr>
              <w:t>4.30%</w:t>
            </w:r>
          </w:p>
        </w:tc>
        <w:tc>
          <w:tcPr>
            <w:tcW/>
            <w:vAlign w:val="center"/>
          </w:tcPr>
          <w:p>
            <w:pPr>
              <w:spacing w:line="240" w:lineRule="auto"/>
              <w:jc w:val="right"/>
            </w:pPr>
            <w:r>
              <w:rPr>
                <w:rFonts w:ascii="宋体" w:hAnsi="宋体" w:cs="宋体" w:eastAsia="宋体"/>
                <w:b w:val="false"/>
              </w:rPr>
              <w:t>1.02%</w:t>
            </w:r>
          </w:p>
        </w:tc>
        <w:tc>
          <w:tcPr>
            <w:tcW/>
            <w:vAlign w:val="center"/>
          </w:tcPr>
          <w:p>
            <w:pPr>
              <w:spacing w:line="240" w:lineRule="auto"/>
              <w:jc w:val="right"/>
            </w:pPr>
            <w:r>
              <w:rPr>
                <w:rFonts w:ascii="宋体" w:hAnsi="宋体" w:cs="宋体" w:eastAsia="宋体"/>
                <w:b w:val="false"/>
              </w:rPr>
              <w:t>-66.86%</w:t>
            </w:r>
          </w:p>
        </w:tc>
        <w:tc>
          <w:tcPr>
            <w:tcW/>
            <w:vAlign w:val="center"/>
          </w:tcPr>
          <w:p>
            <w:pPr>
              <w:spacing w:line="240" w:lineRule="auto"/>
              <w:jc w:val="right"/>
            </w:pPr>
            <w:r>
              <w:rPr>
                <w:rFonts w:ascii="宋体" w:hAnsi="宋体" w:cs="宋体" w:eastAsia="宋体"/>
                <w:b w:val="false"/>
              </w:rPr>
              <w:t>0.90%</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-60.96%</w:t>
            </w:r>
          </w:p>
        </w:tc>
        <w:tc>
          <w:tcPr>
            <w:tcW/>
            <w:vAlign w:val="center"/>
          </w:tcPr>
          <w:p>
            <w:pPr>
              <w:spacing w:line="240" w:lineRule="auto"/>
              <w:jc w:val="right"/>
            </w:pPr>
            <w:r>
              <w:rPr>
                <w:rFonts w:ascii="宋体" w:hAnsi="宋体" w:cs="宋体" w:eastAsia="宋体"/>
                <w:b w:val="false"/>
              </w:rPr>
              <w:t>1.87%</w:t>
            </w:r>
          </w:p>
        </w:tc>
        <w:tc>
          <w:tcPr>
            <w:tcW/>
            <w:vAlign w:val="center"/>
          </w:tcPr>
          <w:p>
            <w:pPr>
              <w:spacing w:line="240" w:lineRule="auto"/>
              <w:jc w:val="right"/>
            </w:pPr>
            <w:r>
              <w:rPr>
                <w:rFonts w:ascii="宋体" w:hAnsi="宋体" w:cs="宋体" w:eastAsia="宋体"/>
                <w:b w:val="false"/>
              </w:rPr>
              <w:t>8.10%</w:t>
            </w:r>
          </w:p>
        </w:tc>
        <w:tc>
          <w:tcPr>
            <w:tcW/>
            <w:vAlign w:val="center"/>
          </w:tcPr>
          <w:p>
            <w:pPr>
              <w:spacing w:line="240" w:lineRule="auto"/>
              <w:jc w:val="right"/>
            </w:pPr>
            <w:r>
              <w:rPr>
                <w:rFonts w:ascii="宋体" w:hAnsi="宋体" w:cs="宋体" w:eastAsia="宋体"/>
                <w:b w:val="false"/>
              </w:rPr>
              <w:t>1.01%</w:t>
            </w:r>
          </w:p>
        </w:tc>
        <w:tc>
          <w:tcPr>
            <w:tcW/>
            <w:vAlign w:val="center"/>
          </w:tcPr>
          <w:p>
            <w:pPr>
              <w:spacing w:line="240" w:lineRule="auto"/>
              <w:jc w:val="right"/>
            </w:pPr>
            <w:r>
              <w:rPr>
                <w:rFonts w:ascii="宋体" w:hAnsi="宋体" w:cs="宋体" w:eastAsia="宋体"/>
                <w:b w:val="false"/>
              </w:rPr>
              <w:t>-69.06%</w:t>
            </w:r>
          </w:p>
        </w:tc>
        <w:tc>
          <w:tcPr>
            <w:tcW/>
            <w:vAlign w:val="center"/>
          </w:tcPr>
          <w:p>
            <w:pPr>
              <w:spacing w:line="240" w:lineRule="auto"/>
              <w:jc w:val="right"/>
            </w:pPr>
            <w:r>
              <w:rPr>
                <w:rFonts w:ascii="宋体" w:hAnsi="宋体" w:cs="宋体" w:eastAsia="宋体"/>
                <w:b w:val="false"/>
              </w:rPr>
              <w:t>0.86%</w:t>
            </w:r>
          </w:p>
        </w:tc>
      </w:tr>
    </w:tbl>
    <w:p>
      <w:pPr>
        <w:jc w:val="left"/>
      </w:pPr>
      <w:r>
        <w:rPr>
          <w:rFonts w:ascii="宋体" w:hAnsi="宋体" w:cs="宋体" w:eastAsia="宋体"/>
          <w:b w:val="true"/>
        </w:rPr>
        <w:t>东方阿尔法招阳混合E净值表现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-2.30%</w:t>
            </w:r>
          </w:p>
        </w:tc>
        <w:tc>
          <w:tcPr>
            <w:tcW/>
            <w:vAlign w:val="center"/>
          </w:tcPr>
          <w:p>
            <w:pPr>
              <w:spacing w:line="240" w:lineRule="auto"/>
              <w:jc w:val="right"/>
            </w:pPr>
            <w:r>
              <w:rPr>
                <w:rFonts w:ascii="宋体" w:hAnsi="宋体" w:cs="宋体" w:eastAsia="宋体"/>
                <w:b w:val="false"/>
              </w:rPr>
              <w:t>2.02%</w:t>
            </w:r>
          </w:p>
        </w:tc>
        <w:tc>
          <w:tcPr>
            <w:tcW/>
            <w:vAlign w:val="center"/>
          </w:tcPr>
          <w:p>
            <w:pPr>
              <w:spacing w:line="240" w:lineRule="auto"/>
              <w:jc w:val="right"/>
            </w:pPr>
            <w:r>
              <w:rPr>
                <w:rFonts w:ascii="宋体" w:hAnsi="宋体" w:cs="宋体" w:eastAsia="宋体"/>
                <w:b w:val="false"/>
              </w:rPr>
              <w:t>10.17%</w:t>
            </w:r>
          </w:p>
        </w:tc>
        <w:tc>
          <w:tcPr>
            <w:tcW/>
            <w:vAlign w:val="center"/>
          </w:tcPr>
          <w:p>
            <w:pPr>
              <w:spacing w:line="240" w:lineRule="auto"/>
              <w:jc w:val="right"/>
            </w:pPr>
            <w:r>
              <w:rPr>
                <w:rFonts w:ascii="宋体" w:hAnsi="宋体" w:cs="宋体" w:eastAsia="宋体"/>
                <w:b w:val="false"/>
              </w:rPr>
              <w:t>1.14%</w:t>
            </w:r>
          </w:p>
        </w:tc>
        <w:tc>
          <w:tcPr>
            <w:tcW/>
            <w:vAlign w:val="center"/>
          </w:tcPr>
          <w:p>
            <w:pPr>
              <w:spacing w:line="240" w:lineRule="auto"/>
              <w:jc w:val="right"/>
            </w:pPr>
            <w:r>
              <w:rPr>
                <w:rFonts w:ascii="宋体" w:hAnsi="宋体" w:cs="宋体" w:eastAsia="宋体"/>
                <w:b w:val="false"/>
              </w:rPr>
              <w:t>-12.47%</w:t>
            </w:r>
          </w:p>
        </w:tc>
        <w:tc>
          <w:tcPr>
            <w:tcW/>
            <w:vAlign w:val="center"/>
          </w:tcPr>
          <w:p>
            <w:pPr>
              <w:spacing w:line="240" w:lineRule="auto"/>
              <w:jc w:val="right"/>
            </w:pPr>
            <w:r>
              <w:rPr>
                <w:rFonts w:ascii="宋体" w:hAnsi="宋体" w:cs="宋体" w:eastAsia="宋体"/>
                <w:b w:val="false"/>
              </w:rPr>
              <w:t>0.88%</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-11.21%</w:t>
            </w:r>
          </w:p>
        </w:tc>
        <w:tc>
          <w:tcPr>
            <w:tcW/>
            <w:vAlign w:val="center"/>
          </w:tcPr>
          <w:p>
            <w:pPr>
              <w:spacing w:line="240" w:lineRule="auto"/>
              <w:jc w:val="right"/>
            </w:pPr>
            <w:r>
              <w:rPr>
                <w:rFonts w:ascii="宋体" w:hAnsi="宋体" w:cs="宋体" w:eastAsia="宋体"/>
                <w:b w:val="false"/>
              </w:rPr>
              <w:t>2.34%</w:t>
            </w:r>
          </w:p>
        </w:tc>
        <w:tc>
          <w:tcPr>
            <w:tcW/>
            <w:vAlign w:val="center"/>
          </w:tcPr>
          <w:p>
            <w:pPr>
              <w:spacing w:line="240" w:lineRule="auto"/>
              <w:jc w:val="right"/>
            </w:pPr>
            <w:r>
              <w:rPr>
                <w:rFonts w:ascii="宋体" w:hAnsi="宋体" w:cs="宋体" w:eastAsia="宋体"/>
                <w:b w:val="false"/>
              </w:rPr>
              <w:t>7.93%</w:t>
            </w:r>
          </w:p>
        </w:tc>
        <w:tc>
          <w:tcPr>
            <w:tcW/>
            <w:vAlign w:val="center"/>
          </w:tcPr>
          <w:p>
            <w:pPr>
              <w:spacing w:line="240" w:lineRule="auto"/>
              <w:jc w:val="right"/>
            </w:pPr>
            <w:r>
              <w:rPr>
                <w:rFonts w:ascii="宋体" w:hAnsi="宋体" w:cs="宋体" w:eastAsia="宋体"/>
                <w:b w:val="false"/>
              </w:rPr>
              <w:t>1.08%</w:t>
            </w:r>
          </w:p>
        </w:tc>
        <w:tc>
          <w:tcPr>
            <w:tcW/>
            <w:vAlign w:val="center"/>
          </w:tcPr>
          <w:p>
            <w:pPr>
              <w:spacing w:line="240" w:lineRule="auto"/>
              <w:jc w:val="right"/>
            </w:pPr>
            <w:r>
              <w:rPr>
                <w:rFonts w:ascii="宋体" w:hAnsi="宋体" w:cs="宋体" w:eastAsia="宋体"/>
                <w:b w:val="false"/>
              </w:rPr>
              <w:t>-19.14%</w:t>
            </w:r>
          </w:p>
        </w:tc>
        <w:tc>
          <w:tcPr>
            <w:tcW/>
            <w:vAlign w:val="center"/>
          </w:tcPr>
          <w:p>
            <w:pPr>
              <w:spacing w:line="240" w:lineRule="auto"/>
              <w:jc w:val="right"/>
            </w:pPr>
            <w:r>
              <w:rPr>
                <w:rFonts w:ascii="宋体" w:hAnsi="宋体" w:cs="宋体" w:eastAsia="宋体"/>
                <w:b w:val="false"/>
              </w:rPr>
              <w:t>1.26%</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-17.27%</w:t>
            </w:r>
          </w:p>
        </w:tc>
        <w:tc>
          <w:tcPr>
            <w:tcW/>
            <w:vAlign w:val="center"/>
          </w:tcPr>
          <w:p>
            <w:pPr>
              <w:spacing w:line="240" w:lineRule="auto"/>
              <w:jc w:val="right"/>
            </w:pPr>
            <w:r>
              <w:rPr>
                <w:rFonts w:ascii="宋体" w:hAnsi="宋体" w:cs="宋体" w:eastAsia="宋体"/>
                <w:b w:val="false"/>
              </w:rPr>
              <w:t>2.10%</w:t>
            </w:r>
          </w:p>
        </w:tc>
        <w:tc>
          <w:tcPr>
            <w:tcW/>
            <w:vAlign w:val="center"/>
          </w:tcPr>
          <w:p>
            <w:pPr>
              <w:spacing w:line="240" w:lineRule="auto"/>
              <w:jc w:val="right"/>
            </w:pPr>
            <w:r>
              <w:rPr>
                <w:rFonts w:ascii="宋体" w:hAnsi="宋体" w:cs="宋体" w:eastAsia="宋体"/>
                <w:b w:val="false"/>
              </w:rPr>
              <w:t>25.61%</w:t>
            </w:r>
          </w:p>
        </w:tc>
        <w:tc>
          <w:tcPr>
            <w:tcW/>
            <w:vAlign w:val="center"/>
          </w:tcPr>
          <w:p>
            <w:pPr>
              <w:spacing w:line="240" w:lineRule="auto"/>
              <w:jc w:val="right"/>
            </w:pPr>
            <w:r>
              <w:rPr>
                <w:rFonts w:ascii="宋体" w:hAnsi="宋体" w:cs="宋体" w:eastAsia="宋体"/>
                <w:b w:val="false"/>
              </w:rPr>
              <w:t>0.96%</w:t>
            </w:r>
          </w:p>
        </w:tc>
        <w:tc>
          <w:tcPr>
            <w:tcW/>
            <w:vAlign w:val="center"/>
          </w:tcPr>
          <w:p>
            <w:pPr>
              <w:spacing w:line="240" w:lineRule="auto"/>
              <w:jc w:val="right"/>
            </w:pPr>
            <w:r>
              <w:rPr>
                <w:rFonts w:ascii="宋体" w:hAnsi="宋体" w:cs="宋体" w:eastAsia="宋体"/>
                <w:b w:val="false"/>
              </w:rPr>
              <w:t>-42.88%</w:t>
            </w:r>
          </w:p>
        </w:tc>
        <w:tc>
          <w:tcPr>
            <w:tcW/>
            <w:vAlign w:val="center"/>
          </w:tcPr>
          <w:p>
            <w:pPr>
              <w:spacing w:line="240" w:lineRule="auto"/>
              <w:jc w:val="right"/>
            </w:pPr>
            <w:r>
              <w:rPr>
                <w:rFonts w:ascii="宋体" w:hAnsi="宋体" w:cs="宋体" w:eastAsia="宋体"/>
                <w:b w:val="false"/>
              </w:rPr>
              <w:t>1.14%</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-41.89%</w:t>
            </w:r>
          </w:p>
        </w:tc>
        <w:tc>
          <w:tcPr>
            <w:tcW/>
            <w:vAlign w:val="center"/>
          </w:tcPr>
          <w:p>
            <w:pPr>
              <w:spacing w:line="240" w:lineRule="auto"/>
              <w:jc w:val="right"/>
            </w:pPr>
            <w:r>
              <w:rPr>
                <w:rFonts w:ascii="宋体" w:hAnsi="宋体" w:cs="宋体" w:eastAsia="宋体"/>
                <w:b w:val="false"/>
              </w:rPr>
              <w:t>2.07%</w:t>
            </w:r>
          </w:p>
        </w:tc>
        <w:tc>
          <w:tcPr>
            <w:tcW/>
            <w:vAlign w:val="center"/>
          </w:tcPr>
          <w:p>
            <w:pPr>
              <w:spacing w:line="240" w:lineRule="auto"/>
              <w:jc w:val="right"/>
            </w:pPr>
            <w:r>
              <w:rPr>
                <w:rFonts w:ascii="宋体" w:hAnsi="宋体" w:cs="宋体" w:eastAsia="宋体"/>
                <w:b w:val="false"/>
              </w:rPr>
              <w:t>32.41%</w:t>
            </w:r>
          </w:p>
        </w:tc>
        <w:tc>
          <w:tcPr>
            <w:tcW/>
            <w:vAlign w:val="center"/>
          </w:tcPr>
          <w:p>
            <w:pPr>
              <w:spacing w:line="240" w:lineRule="auto"/>
              <w:jc w:val="right"/>
            </w:pPr>
            <w:r>
              <w:rPr>
                <w:rFonts w:ascii="宋体" w:hAnsi="宋体" w:cs="宋体" w:eastAsia="宋体"/>
                <w:b w:val="false"/>
              </w:rPr>
              <w:t>1.03%</w:t>
            </w:r>
          </w:p>
        </w:tc>
        <w:tc>
          <w:tcPr>
            <w:tcW/>
            <w:vAlign w:val="center"/>
          </w:tcPr>
          <w:p>
            <w:pPr>
              <w:spacing w:line="240" w:lineRule="auto"/>
              <w:jc w:val="right"/>
            </w:pPr>
            <w:r>
              <w:rPr>
                <w:rFonts w:ascii="宋体" w:hAnsi="宋体" w:cs="宋体" w:eastAsia="宋体"/>
                <w:b w:val="false"/>
              </w:rPr>
              <w:t>-74.30%</w:t>
            </w:r>
          </w:p>
        </w:tc>
        <w:tc>
          <w:tcPr>
            <w:tcW/>
            <w:vAlign w:val="center"/>
          </w:tcPr>
          <w:p>
            <w:pPr>
              <w:spacing w:line="240" w:lineRule="auto"/>
              <w:jc w:val="right"/>
            </w:pPr>
            <w:r>
              <w:rPr>
                <w:rFonts w:ascii="宋体" w:hAnsi="宋体" w:cs="宋体" w:eastAsia="宋体"/>
                <w:b w:val="false"/>
              </w:rPr>
              <w:t>1.04%</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-38.40%</w:t>
            </w:r>
          </w:p>
        </w:tc>
        <w:tc>
          <w:tcPr>
            <w:tcW/>
            <w:vAlign w:val="center"/>
          </w:tcPr>
          <w:p>
            <w:pPr>
              <w:spacing w:line="240" w:lineRule="auto"/>
              <w:jc w:val="right"/>
            </w:pPr>
            <w:r>
              <w:rPr>
                <w:rFonts w:ascii="宋体" w:hAnsi="宋体" w:cs="宋体" w:eastAsia="宋体"/>
                <w:b w:val="false"/>
              </w:rPr>
              <w:t>2.04%</w:t>
            </w:r>
          </w:p>
        </w:tc>
        <w:tc>
          <w:tcPr>
            <w:tcW/>
            <w:vAlign w:val="center"/>
          </w:tcPr>
          <w:p>
            <w:pPr>
              <w:spacing w:line="240" w:lineRule="auto"/>
              <w:jc w:val="right"/>
            </w:pPr>
            <w:r>
              <w:rPr>
                <w:rFonts w:ascii="宋体" w:hAnsi="宋体" w:cs="宋体" w:eastAsia="宋体"/>
                <w:b w:val="false"/>
              </w:rPr>
              <w:t>28.16%</w:t>
            </w:r>
          </w:p>
        </w:tc>
        <w:tc>
          <w:tcPr>
            <w:tcW/>
            <w:vAlign w:val="center"/>
          </w:tcPr>
          <w:p>
            <w:pPr>
              <w:spacing w:line="240" w:lineRule="auto"/>
              <w:jc w:val="right"/>
            </w:pPr>
            <w:r>
              <w:rPr>
                <w:rFonts w:ascii="宋体" w:hAnsi="宋体" w:cs="宋体" w:eastAsia="宋体"/>
                <w:b w:val="false"/>
              </w:rPr>
              <w:t>1.02%</w:t>
            </w:r>
          </w:p>
        </w:tc>
        <w:tc>
          <w:tcPr>
            <w:tcW/>
            <w:vAlign w:val="center"/>
          </w:tcPr>
          <w:p>
            <w:pPr>
              <w:spacing w:line="240" w:lineRule="auto"/>
              <w:jc w:val="right"/>
            </w:pPr>
            <w:r>
              <w:rPr>
                <w:rFonts w:ascii="宋体" w:hAnsi="宋体" w:cs="宋体" w:eastAsia="宋体"/>
                <w:b w:val="false"/>
              </w:rPr>
              <w:t>-66.56%</w:t>
            </w:r>
          </w:p>
        </w:tc>
        <w:tc>
          <w:tcPr>
            <w:tcW/>
            <w:vAlign w:val="center"/>
          </w:tcPr>
          <w:p>
            <w:pPr>
              <w:spacing w:line="240" w:lineRule="auto"/>
              <w:jc w:val="right"/>
            </w:pPr>
            <w:r>
              <w:rPr>
                <w:rFonts w:ascii="宋体" w:hAnsi="宋体" w:cs="宋体" w:eastAsia="宋体"/>
                <w:b w:val="false"/>
              </w:rPr>
              <w:t>1.02%</w:t>
            </w:r>
          </w:p>
        </w:tc>
      </w:tr>
    </w:tbl>
    <w:p>
      <w:r>
        <w:rPr>
          <w:rFonts w:ascii="宋体" w:hAnsi="宋体" w:cs="宋体" w:eastAsia="宋体"/>
          <w:b w:val="false"/>
        </w:rPr>
        <w:t>注：1、本基金成立于2021年3月17日。自2023年5月10日起，本基金增设E类份额类别，份额首次确认日为2023年5月11日，增设当期的相关数据和指标按实际存续期计算。</w:t>
        <w:br/>
      </w:r>
      <w:r>
        <w:rPr>
          <w:rFonts w:ascii="宋体" w:hAnsi="宋体" w:cs="宋体" w:eastAsia="宋体"/>
          <w:b w:val="false"/>
        </w:rPr>
        <w:t>2、本基金业绩比较基准为：中证800指数收益率×80%+中证综合债券指数收益率×10%+恒生指数收益率×10%。</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3" name="Drawing 3" descr="Generated"/>
            <a:graphic xmlns:a="http://schemas.openxmlformats.org/drawingml/2006/main">
              <a:graphicData uri="http://schemas.openxmlformats.org/drawingml/2006/picture">
                <pic:pic xmlns:pic="http://schemas.openxmlformats.org/drawingml/2006/picture">
                  <pic:nvPicPr>
                    <pic:cNvPr id="0" name="Picture 3" descr="Generated"/>
                    <pic:cNvPicPr>
                      <a:picLocks noChangeAspect="true"/>
                    </pic:cNvPicPr>
                  </pic:nvPicPr>
                  <pic:blipFill>
                    <a:blip r:embed="rId18"/>
                    <a:stretch>
                      <a:fillRect/>
                    </a:stretch>
                  </pic:blipFill>
                  <pic:spPr>
                    <a:xfrm>
                      <a:off x="0" y="0"/>
                      <a:ext cx="5715000" cy="3048000"/>
                    </a:xfrm>
                    <a:prstGeom prst="rect">
                      <a:avLst/>
                    </a:prstGeom>
                  </pic:spPr>
                </pic:pic>
              </a:graphicData>
            </a:graphic>
          </wp:inline>
        </w:drawing>
      </w:r>
    </w:p>
    <w:p>
      <w:r>
        <w:rPr>
          <w:rFonts w:ascii="宋体" w:hAnsi="宋体" w:cs="宋体" w:eastAsia="宋体"/>
          <w:b w:val="false"/>
        </w:rPr>
        <w:t>注：自2023年5月10日起，本基金增设E类份额类别，份额首次确认日为2023年5月11日，增设当期的相关数据和指标按实际存续期计算。</w:t>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2026-06-04</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16年</w:t>
            </w:r>
          </w:p>
        </w:tc>
        <w:tc>
          <w:tcPr>
            <w:tcW/>
            <w:vAlign w:val="center"/>
          </w:tcPr>
          <w:p>
            <w:pPr>
              <w:spacing w:line="240" w:lineRule="auto"/>
              <w:jc w:val="left"/>
            </w:pPr>
            <w:r>
              <w:rPr>
                <w:rFonts w:ascii="宋体" w:hAnsi="宋体" w:cs="宋体" w:eastAsia="宋体"/>
                <w:b w:val="false"/>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r>
        <w:tc>
          <w:tcPr>
            <w:tcW/>
            <w:vAlign w:val="center"/>
          </w:tcPr>
          <w:p>
            <w:pPr>
              <w:spacing w:line="240" w:lineRule="auto"/>
              <w:jc w:val="left"/>
            </w:pPr>
            <w:r>
              <w:rPr>
                <w:rFonts w:ascii="宋体" w:hAnsi="宋体" w:cs="宋体" w:eastAsia="宋体"/>
                <w:b w:val="false"/>
              </w:rPr>
              <w:t>潘令梓</w:t>
            </w:r>
          </w:p>
        </w:tc>
        <w:tc>
          <w:tcPr>
            <w:tcW/>
            <w:vAlign w:val="center"/>
          </w:tcPr>
          <w:p>
            <w:pPr>
              <w:spacing w:line="240" w:lineRule="auto"/>
              <w:jc w:val="left"/>
            </w:pPr>
            <w:r>
              <w:rPr>
                <w:rFonts w:ascii="宋体" w:hAnsi="宋体" w:cs="宋体" w:eastAsia="宋体"/>
                <w:b w:val="false"/>
              </w:rPr>
              <w:t>基金经理（已离任）</w:t>
            </w:r>
          </w:p>
        </w:tc>
        <w:tc>
          <w:tcPr>
            <w:tcW/>
            <w:vAlign w:val="center"/>
          </w:tcPr>
          <w:p>
            <w:pPr>
              <w:spacing w:line="240" w:lineRule="auto"/>
              <w:jc w:val="center"/>
            </w:pPr>
            <w:r>
              <w:rPr>
                <w:rFonts w:ascii="宋体" w:hAnsi="宋体" w:cs="宋体" w:eastAsia="宋体"/>
                <w:b w:val="false"/>
              </w:rPr>
              <w:t>2024-11-19</w:t>
            </w:r>
          </w:p>
        </w:tc>
        <w:tc>
          <w:tcPr>
            <w:tcW/>
            <w:vAlign w:val="center"/>
          </w:tcPr>
          <w:p>
            <w:pPr>
              <w:spacing w:line="240" w:lineRule="auto"/>
              <w:jc w:val="center"/>
            </w:pPr>
            <w:r>
              <w:rPr>
                <w:rFonts w:ascii="宋体" w:hAnsi="宋体" w:cs="宋体" w:eastAsia="宋体"/>
                <w:b w:val="false"/>
              </w:rPr>
              <w:t>2026-06-12</w:t>
            </w:r>
          </w:p>
        </w:tc>
        <w:tc>
          <w:tcPr>
            <w:tcW/>
            <w:vAlign w:val="center"/>
          </w:tcPr>
          <w:p>
            <w:pPr>
              <w:spacing w:line="240" w:lineRule="auto"/>
              <w:jc w:val="center"/>
            </w:pPr>
            <w:r>
              <w:rPr>
                <w:rFonts w:ascii="宋体" w:hAnsi="宋体" w:cs="宋体" w:eastAsia="宋体"/>
                <w:b w:val="false"/>
              </w:rPr>
              <w:t>7年</w:t>
            </w:r>
          </w:p>
        </w:tc>
        <w:tc>
          <w:tcPr>
            <w:tcW/>
            <w:vAlign w:val="center"/>
          </w:tcPr>
          <w:p>
            <w:pPr>
              <w:spacing w:line="240" w:lineRule="auto"/>
              <w:jc w:val="left"/>
            </w:pPr>
            <w:r>
              <w:rPr>
                <w:rFonts w:ascii="宋体" w:hAnsi="宋体" w:cs="宋体" w:eastAsia="宋体"/>
                <w:b w:val="false"/>
              </w:rPr>
              <w:t>潘令梓先生，南开大学保险学学士，香港大学会计学硕士，于2019年11月入职东方阿尔法基金管理有限公司，历任研究部研究员、基金经理助理、基金经理。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b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本基金基金经理不存在兼任私募资产管理计划的投资经理的情况。</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b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二季度全球地缘格局呈现“多点升温、长期胶着”的特征，三组冲突构成了贯穿全季的地缘主线：</w:t>
        <w:br/>
      </w:r>
      <w:r>
        <w:rPr>
          <w:rFonts w:ascii="宋体" w:hAnsi="宋体" w:cs="宋体" w:eastAsia="宋体"/>
          <w:b w:val="false"/>
        </w:rPr>
        <w:t xml:space="preserve">    首先，美伊冲突持续胶着。 冲突外溢效应波及全球能源市场与航运通道，油价一度冲高后回落，霍尔木兹海峡通行风险反复推升运费。油价的高企影响着加息的预期，一度对科技股造成较大的波动，也对许多商品价格产生较大影响。7月初美伊冲突暂入停火窗口，但双方深层矛盾远未化解。俄乌冲突谈判曙光初现但实质进展有限，战场形态的新变化也导致了光纤等品种价格高涨，在A股这边对应标的出现较大投资机会。  </w:t>
        <w:br/>
      </w:r>
      <w:r>
        <w:rPr>
          <w:rFonts w:ascii="宋体" w:hAnsi="宋体" w:cs="宋体" w:eastAsia="宋体"/>
          <w:b w:val="false"/>
        </w:rPr>
        <w:t xml:space="preserve">    其次，地缘升温对军贸行业的影响立竿见影。全球军贸需求显著扩容，冲突各方的武器采购与补充需求激增；俄乌冲突拖累俄罗斯军贸产能，其全球份额从21%骤降至11%，为其他国家带来结构性补位机会。</w:t>
        <w:br/>
      </w:r>
      <w:r>
        <w:rPr>
          <w:rFonts w:ascii="宋体" w:hAnsi="宋体" w:cs="宋体" w:eastAsia="宋体"/>
          <w:b w:val="false"/>
        </w:rPr>
        <w:t xml:space="preserve">    再次，中国军贸进入“内需筑基、外贸拓增”的新阶段。中国军工产业已从依赖国内单一需求，演进为“内需筑基、外贸拓增”的双轮驱动格局，军贸占比提升的公司有望迎来量利改善的情形。中国武器出口全球占比约2.6%，主要出口巴基斯坦（51%），但出口规模呈波段上升趋势。翼龙系列无人机等质优价廉的装备体系正从单品出口向装备体系出海升级。国防科创顶层部署落地——5月14日国家国防科工局发布政策加速装备技术自主可控，叠加海外军贸订单扩容，军工全产业链景气边际改善。2026年初至5月末，中信军工行业收益率-10.4%，在30个行业中排名第24位。板块弱势表现与国防费持续增长7%的基本面形成显著背离，反映市场对军工企业订单节奏、估值水平及改革进展的阶段性疑虑。但6月下旬起，随着“十五五”规划预期升温、建军百年目标临近，军工板块开始震荡回升。</w:t>
        <w:br/>
      </w:r>
      <w:r>
        <w:rPr>
          <w:rFonts w:ascii="宋体" w:hAnsi="宋体" w:cs="宋体" w:eastAsia="宋体"/>
          <w:b w:val="false"/>
        </w:rPr>
        <w:t xml:space="preserve">    本基金在二季度继续重点配置在军贸行业，同时也配置了军工电子行业，特别是一些与AI相关的元器件。军工当中许多元器件属于军民两用产品，一方面军工会使用，同时这些公司也保留了民用元器件的业务，在AI产业链兴起后许多公司开始受益于AI对元器件的需求。</w:t>
        <w:br/>
      </w:r>
      <w:r>
        <w:rPr>
          <w:rFonts w:ascii="宋体" w:hAnsi="宋体" w:cs="宋体" w:eastAsia="宋体"/>
          <w:b w:val="false"/>
        </w:rPr>
        <w:t xml:space="preserve">    展望三季度，军贸行业将迎来多重催化共振。 随着2027年建军百年目标临近，“十五五”规划相关装备采购计划将进入实质下达阶段，困扰军工板块的“订单节奏不确定性”有望消除，板块从预期驱动转向订单驱动。三季度文昌商业发射密度创年内新高，有望与军贸行业形成共振。商业航天既是军贸的民用转化路径，又是军工板块的独立景气主线，两者共振放大板块效应。本基金将在军工电子主仓基础上，进一步精选“AI渗透率提升+国产替代加速+军贸出海受益”的三重共振标的，为投资者抓住军贸产业链的投资机会。</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招阳混合A基金份额净值为0.4136元，本报告期内，该类基金份额净值增长率为-2.20%，同期业绩比较基准收益率为10.17%；截至报告期末东方阿尔法招阳混合C基金份额净值为0.3904元，本报告期内，该类基金份额净值增长率为-2.40%，同期业绩比较基准收益率为10.17%；截至报告期末东方阿尔法招阳混合E基金份额净值为0.4072元，本报告期内，该类基金份额净值增长率为-2.30%，同期业绩比较基准收益率为10.17%。</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220,333,112.01</w:t>
            </w:r>
          </w:p>
        </w:tc>
        <w:tc>
          <w:tcPr>
            <w:tcW/>
            <w:vAlign w:val="center"/>
          </w:tcPr>
          <w:p>
            <w:pPr>
              <w:spacing w:line="240" w:lineRule="auto"/>
              <w:jc w:val="right"/>
            </w:pPr>
            <w:r>
              <w:rPr>
                <w:rFonts w:ascii="宋体" w:hAnsi="宋体" w:cs="宋体" w:eastAsia="宋体"/>
                <w:b w:val="false"/>
              </w:rPr>
              <w:t>93.92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220,333,112.01</w:t>
            </w:r>
          </w:p>
        </w:tc>
        <w:tc>
          <w:tcPr>
            <w:tcW/>
            <w:vAlign w:val="center"/>
          </w:tcPr>
          <w:p>
            <w:pPr>
              <w:spacing w:line="240" w:lineRule="auto"/>
              <w:jc w:val="right"/>
            </w:pPr>
            <w:r>
              <w:rPr>
                <w:rFonts w:ascii="宋体" w:hAnsi="宋体" w:cs="宋体" w:eastAsia="宋体"/>
                <w:b w:val="false"/>
              </w:rPr>
              <w:t>93.92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12,207,348.43</w:t>
            </w:r>
          </w:p>
        </w:tc>
        <w:tc>
          <w:tcPr>
            <w:tcW/>
            <w:vAlign w:val="center"/>
          </w:tcPr>
          <w:p>
            <w:pPr>
              <w:spacing w:line="240" w:lineRule="auto"/>
              <w:jc w:val="right"/>
            </w:pPr>
            <w:r>
              <w:rPr>
                <w:rFonts w:ascii="宋体" w:hAnsi="宋体" w:cs="宋体" w:eastAsia="宋体"/>
                <w:b w:val="false"/>
              </w:rPr>
              <w:t>5.20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12,207,348.43</w:t>
            </w:r>
          </w:p>
        </w:tc>
        <w:tc>
          <w:tcPr>
            <w:tcW/>
            <w:vAlign w:val="center"/>
          </w:tcPr>
          <w:p>
            <w:pPr>
              <w:spacing w:line="240" w:lineRule="auto"/>
              <w:jc w:val="right"/>
            </w:pPr>
            <w:r>
              <w:rPr>
                <w:rFonts w:ascii="宋体" w:hAnsi="宋体" w:cs="宋体" w:eastAsia="宋体"/>
                <w:b w:val="false"/>
              </w:rPr>
              <w:t>5.20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1,949,222.78</w:t>
            </w:r>
          </w:p>
        </w:tc>
        <w:tc>
          <w:tcPr>
            <w:tcW/>
            <w:vAlign w:val="center"/>
          </w:tcPr>
          <w:p>
            <w:pPr>
              <w:spacing w:line="240" w:lineRule="auto"/>
              <w:jc w:val="right"/>
            </w:pPr>
            <w:r>
              <w:rPr>
                <w:rFonts w:ascii="宋体" w:hAnsi="宋体" w:cs="宋体" w:eastAsia="宋体"/>
                <w:b w:val="false"/>
              </w:rPr>
              <w:t>0.83</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97,194.17</w:t>
            </w:r>
          </w:p>
        </w:tc>
        <w:tc>
          <w:tcPr>
            <w:tcW/>
            <w:vAlign w:val="center"/>
          </w:tcPr>
          <w:p>
            <w:pPr>
              <w:spacing w:line="240" w:lineRule="auto"/>
              <w:jc w:val="right"/>
            </w:pPr>
            <w:r>
              <w:rPr>
                <w:rFonts w:ascii="宋体" w:hAnsi="宋体" w:cs="宋体" w:eastAsia="宋体"/>
                <w:b w:val="false"/>
              </w:rPr>
              <w:t>0.04</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234,586,877.39</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23,208.06</w:t>
            </w:r>
          </w:p>
        </w:tc>
        <w:tc>
          <w:tcPr>
            <w:tcW/>
            <w:vAlign w:val="center"/>
          </w:tcPr>
          <w:p>
            <w:pPr>
              <w:spacing w:line="240" w:lineRule="auto"/>
              <w:jc w:val="right"/>
            </w:pPr>
            <w:r>
              <w:rPr>
                <w:rFonts w:ascii="宋体" w:hAnsi="宋体" w:cs="宋体" w:eastAsia="宋体"/>
                <w:b w:val="false"/>
              </w:rPr>
              <w:t>0.01</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202,665,661.74</w:t>
            </w:r>
          </w:p>
        </w:tc>
        <w:tc>
          <w:tcPr>
            <w:tcW/>
            <w:vAlign w:val="center"/>
          </w:tcPr>
          <w:p>
            <w:pPr>
              <w:spacing w:line="240" w:lineRule="auto"/>
              <w:jc w:val="right"/>
            </w:pPr>
            <w:r>
              <w:rPr>
                <w:rFonts w:ascii="宋体" w:hAnsi="宋体" w:cs="宋体" w:eastAsia="宋体"/>
                <w:b w:val="false"/>
              </w:rPr>
              <w:t>86.63</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108,267.99</w:t>
            </w:r>
          </w:p>
        </w:tc>
        <w:tc>
          <w:tcPr>
            <w:tcW/>
            <w:vAlign w:val="center"/>
          </w:tcPr>
          <w:p>
            <w:pPr>
              <w:spacing w:line="240" w:lineRule="auto"/>
              <w:jc w:val="right"/>
            </w:pPr>
            <w:r>
              <w:rPr>
                <w:rFonts w:ascii="宋体" w:hAnsi="宋体" w:cs="宋体" w:eastAsia="宋体"/>
                <w:b w:val="false"/>
              </w:rPr>
              <w:t>0.05</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17,494,621.02</w:t>
            </w:r>
          </w:p>
        </w:tc>
        <w:tc>
          <w:tcPr>
            <w:tcW/>
            <w:vAlign w:val="center"/>
          </w:tcPr>
          <w:p>
            <w:pPr>
              <w:spacing w:line="240" w:lineRule="auto"/>
              <w:jc w:val="right"/>
            </w:pPr>
            <w:r>
              <w:rPr>
                <w:rFonts w:ascii="宋体" w:hAnsi="宋体" w:cs="宋体" w:eastAsia="宋体"/>
                <w:b w:val="false"/>
              </w:rPr>
              <w:t>7.48</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41,353.20</w:t>
            </w:r>
          </w:p>
        </w:tc>
        <w:tc>
          <w:tcPr>
            <w:tcW/>
            <w:vAlign w:val="center"/>
          </w:tcPr>
          <w:p>
            <w:pPr>
              <w:spacing w:line="240" w:lineRule="auto"/>
              <w:jc w:val="right"/>
            </w:pPr>
            <w:r>
              <w:rPr>
                <w:rFonts w:ascii="宋体" w:hAnsi="宋体" w:cs="宋体" w:eastAsia="宋体"/>
                <w:b w:val="false"/>
              </w:rPr>
              <w:t>0.02</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220,333,112.01</w:t>
            </w:r>
          </w:p>
        </w:tc>
        <w:tc>
          <w:tcPr>
            <w:tcW/>
            <w:vAlign w:val="center"/>
          </w:tcPr>
          <w:p>
            <w:pPr>
              <w:spacing w:line="240" w:lineRule="auto"/>
              <w:jc w:val="right"/>
            </w:pPr>
            <w:r>
              <w:rPr>
                <w:rFonts w:ascii="宋体" w:hAnsi="宋体" w:cs="宋体" w:eastAsia="宋体"/>
                <w:b w:val="false"/>
              </w:rPr>
              <w:t>94.18</w:t>
            </w:r>
          </w:p>
        </w:tc>
      </w:tr>
    </w:tbl>
    <w:p/>
    <w:p>
      <w:pPr>
        <w:pStyle w:val="zhangjiep2"/>
      </w:pPr>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002179</w:t>
            </w:r>
          </w:p>
        </w:tc>
        <w:tc>
          <w:tcPr>
            <w:tcW/>
            <w:vAlign w:val="center"/>
          </w:tcPr>
          <w:p>
            <w:pPr>
              <w:spacing w:line="240" w:lineRule="auto"/>
              <w:jc w:val="left"/>
            </w:pPr>
            <w:r>
              <w:rPr>
                <w:rFonts w:ascii="宋体" w:hAnsi="宋体" w:cs="宋体" w:eastAsia="宋体"/>
                <w:b w:val="false"/>
              </w:rPr>
              <w:t>中航光电</w:t>
            </w:r>
          </w:p>
        </w:tc>
        <w:tc>
          <w:tcPr>
            <w:tcW/>
            <w:vAlign w:val="center"/>
          </w:tcPr>
          <w:p>
            <w:pPr>
              <w:spacing w:line="240" w:lineRule="auto"/>
              <w:jc w:val="right"/>
            </w:pPr>
            <w:r>
              <w:rPr>
                <w:rFonts w:ascii="宋体" w:hAnsi="宋体" w:cs="宋体" w:eastAsia="宋体"/>
                <w:b w:val="false"/>
              </w:rPr>
              <w:t>445,500</w:t>
            </w:r>
          </w:p>
        </w:tc>
        <w:tc>
          <w:tcPr>
            <w:tcW/>
            <w:vAlign w:val="center"/>
          </w:tcPr>
          <w:p>
            <w:pPr>
              <w:spacing w:line="240" w:lineRule="auto"/>
              <w:jc w:val="right"/>
            </w:pPr>
            <w:r>
              <w:rPr>
                <w:rFonts w:ascii="宋体" w:hAnsi="宋体" w:cs="宋体" w:eastAsia="宋体"/>
                <w:b w:val="false"/>
              </w:rPr>
              <w:t>20,582,100.00</w:t>
            </w:r>
          </w:p>
        </w:tc>
        <w:tc>
          <w:tcPr>
            <w:tcW/>
            <w:vAlign w:val="center"/>
          </w:tcPr>
          <w:p>
            <w:pPr>
              <w:spacing w:line="240" w:lineRule="auto"/>
              <w:jc w:val="right"/>
            </w:pPr>
            <w:r>
              <w:rPr>
                <w:rFonts w:ascii="宋体" w:hAnsi="宋体" w:cs="宋体" w:eastAsia="宋体"/>
                <w:b w:val="false"/>
              </w:rPr>
              <w:t>8.80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600184</w:t>
            </w:r>
          </w:p>
        </w:tc>
        <w:tc>
          <w:tcPr>
            <w:tcW/>
            <w:vAlign w:val="center"/>
          </w:tcPr>
          <w:p>
            <w:pPr>
              <w:spacing w:line="240" w:lineRule="auto"/>
              <w:jc w:val="left"/>
            </w:pPr>
            <w:r>
              <w:rPr>
                <w:rFonts w:ascii="宋体" w:hAnsi="宋体" w:cs="宋体" w:eastAsia="宋体"/>
                <w:b w:val="false"/>
              </w:rPr>
              <w:t>光电股份</w:t>
            </w:r>
          </w:p>
        </w:tc>
        <w:tc>
          <w:tcPr>
            <w:tcW/>
            <w:vAlign w:val="center"/>
          </w:tcPr>
          <w:p>
            <w:pPr>
              <w:spacing w:line="240" w:lineRule="auto"/>
              <w:jc w:val="right"/>
            </w:pPr>
            <w:r>
              <w:rPr>
                <w:rFonts w:ascii="宋体" w:hAnsi="宋体" w:cs="宋体" w:eastAsia="宋体"/>
                <w:b w:val="false"/>
              </w:rPr>
              <w:t>581,900</w:t>
            </w:r>
          </w:p>
        </w:tc>
        <w:tc>
          <w:tcPr>
            <w:tcW/>
            <w:vAlign w:val="center"/>
          </w:tcPr>
          <w:p>
            <w:pPr>
              <w:spacing w:line="240" w:lineRule="auto"/>
              <w:jc w:val="right"/>
            </w:pPr>
            <w:r>
              <w:rPr>
                <w:rFonts w:ascii="宋体" w:hAnsi="宋体" w:cs="宋体" w:eastAsia="宋体"/>
                <w:b w:val="false"/>
              </w:rPr>
              <w:t>18,626,619.00</w:t>
            </w:r>
          </w:p>
        </w:tc>
        <w:tc>
          <w:tcPr>
            <w:tcW/>
            <w:vAlign w:val="center"/>
          </w:tcPr>
          <w:p>
            <w:pPr>
              <w:spacing w:line="240" w:lineRule="auto"/>
              <w:jc w:val="right"/>
            </w:pPr>
            <w:r>
              <w:rPr>
                <w:rFonts w:ascii="宋体" w:hAnsi="宋体" w:cs="宋体" w:eastAsia="宋体"/>
                <w:b w:val="false"/>
              </w:rPr>
              <w:t>7.96</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600562</w:t>
            </w:r>
          </w:p>
        </w:tc>
        <w:tc>
          <w:tcPr>
            <w:tcW/>
            <w:vAlign w:val="center"/>
          </w:tcPr>
          <w:p>
            <w:pPr>
              <w:spacing w:line="240" w:lineRule="auto"/>
              <w:jc w:val="left"/>
            </w:pPr>
            <w:r>
              <w:rPr>
                <w:rFonts w:ascii="宋体" w:hAnsi="宋体" w:cs="宋体" w:eastAsia="宋体"/>
                <w:b w:val="false"/>
              </w:rPr>
              <w:t>国睿科技</w:t>
            </w:r>
          </w:p>
        </w:tc>
        <w:tc>
          <w:tcPr>
            <w:tcW/>
            <w:vAlign w:val="center"/>
          </w:tcPr>
          <w:p>
            <w:pPr>
              <w:spacing w:line="240" w:lineRule="auto"/>
              <w:jc w:val="right"/>
            </w:pPr>
            <w:r>
              <w:rPr>
                <w:rFonts w:ascii="宋体" w:hAnsi="宋体" w:cs="宋体" w:eastAsia="宋体"/>
                <w:b w:val="false"/>
              </w:rPr>
              <w:t>760,400</w:t>
            </w:r>
          </w:p>
        </w:tc>
        <w:tc>
          <w:tcPr>
            <w:tcW/>
            <w:vAlign w:val="center"/>
          </w:tcPr>
          <w:p>
            <w:pPr>
              <w:spacing w:line="240" w:lineRule="auto"/>
              <w:jc w:val="right"/>
            </w:pPr>
            <w:r>
              <w:rPr>
                <w:rFonts w:ascii="宋体" w:hAnsi="宋体" w:cs="宋体" w:eastAsia="宋体"/>
                <w:b w:val="false"/>
              </w:rPr>
              <w:t>16,135,688.00</w:t>
            </w:r>
          </w:p>
        </w:tc>
        <w:tc>
          <w:tcPr>
            <w:tcW/>
            <w:vAlign w:val="center"/>
          </w:tcPr>
          <w:p>
            <w:pPr>
              <w:spacing w:line="240" w:lineRule="auto"/>
              <w:jc w:val="right"/>
            </w:pPr>
            <w:r>
              <w:rPr>
                <w:rFonts w:ascii="宋体" w:hAnsi="宋体" w:cs="宋体" w:eastAsia="宋体"/>
                <w:b w:val="false"/>
              </w:rPr>
              <w:t>6.90</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300747</w:t>
            </w:r>
          </w:p>
        </w:tc>
        <w:tc>
          <w:tcPr>
            <w:tcW/>
            <w:vAlign w:val="center"/>
          </w:tcPr>
          <w:p>
            <w:pPr>
              <w:spacing w:line="240" w:lineRule="auto"/>
              <w:jc w:val="left"/>
            </w:pPr>
            <w:r>
              <w:rPr>
                <w:rFonts w:ascii="宋体" w:hAnsi="宋体" w:cs="宋体" w:eastAsia="宋体"/>
                <w:b w:val="false"/>
              </w:rPr>
              <w:t>锐科激光</w:t>
            </w:r>
          </w:p>
        </w:tc>
        <w:tc>
          <w:tcPr>
            <w:tcW/>
            <w:vAlign w:val="center"/>
          </w:tcPr>
          <w:p>
            <w:pPr>
              <w:spacing w:line="240" w:lineRule="auto"/>
              <w:jc w:val="right"/>
            </w:pPr>
            <w:r>
              <w:rPr>
                <w:rFonts w:ascii="宋体" w:hAnsi="宋体" w:cs="宋体" w:eastAsia="宋体"/>
                <w:b w:val="false"/>
              </w:rPr>
              <w:t>295,100</w:t>
            </w:r>
          </w:p>
        </w:tc>
        <w:tc>
          <w:tcPr>
            <w:tcW/>
            <w:vAlign w:val="center"/>
          </w:tcPr>
          <w:p>
            <w:pPr>
              <w:spacing w:line="240" w:lineRule="auto"/>
              <w:jc w:val="right"/>
            </w:pPr>
            <w:r>
              <w:rPr>
                <w:rFonts w:ascii="宋体" w:hAnsi="宋体" w:cs="宋体" w:eastAsia="宋体"/>
                <w:b w:val="false"/>
              </w:rPr>
              <w:t>15,666,859.00</w:t>
            </w:r>
          </w:p>
        </w:tc>
        <w:tc>
          <w:tcPr>
            <w:tcW/>
            <w:vAlign w:val="center"/>
          </w:tcPr>
          <w:p>
            <w:pPr>
              <w:spacing w:line="240" w:lineRule="auto"/>
              <w:jc w:val="right"/>
            </w:pPr>
            <w:r>
              <w:rPr>
                <w:rFonts w:ascii="宋体" w:hAnsi="宋体" w:cs="宋体" w:eastAsia="宋体"/>
                <w:b w:val="false"/>
              </w:rPr>
              <w:t>6.70</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300593</w:t>
            </w:r>
          </w:p>
        </w:tc>
        <w:tc>
          <w:tcPr>
            <w:tcW/>
            <w:vAlign w:val="center"/>
          </w:tcPr>
          <w:p>
            <w:pPr>
              <w:spacing w:line="240" w:lineRule="auto"/>
              <w:jc w:val="left"/>
            </w:pPr>
            <w:r>
              <w:rPr>
                <w:rFonts w:ascii="宋体" w:hAnsi="宋体" w:cs="宋体" w:eastAsia="宋体"/>
                <w:b w:val="false"/>
              </w:rPr>
              <w:t>新雷能</w:t>
            </w:r>
          </w:p>
        </w:tc>
        <w:tc>
          <w:tcPr>
            <w:tcW/>
            <w:vAlign w:val="center"/>
          </w:tcPr>
          <w:p>
            <w:pPr>
              <w:spacing w:line="240" w:lineRule="auto"/>
              <w:jc w:val="right"/>
            </w:pPr>
            <w:r>
              <w:rPr>
                <w:rFonts w:ascii="宋体" w:hAnsi="宋体" w:cs="宋体" w:eastAsia="宋体"/>
                <w:b w:val="false"/>
              </w:rPr>
              <w:t>507,100</w:t>
            </w:r>
          </w:p>
        </w:tc>
        <w:tc>
          <w:tcPr>
            <w:tcW/>
            <w:vAlign w:val="center"/>
          </w:tcPr>
          <w:p>
            <w:pPr>
              <w:spacing w:line="240" w:lineRule="auto"/>
              <w:jc w:val="right"/>
            </w:pPr>
            <w:r>
              <w:rPr>
                <w:rFonts w:ascii="宋体" w:hAnsi="宋体" w:cs="宋体" w:eastAsia="宋体"/>
                <w:b w:val="false"/>
              </w:rPr>
              <w:t>15,243,426.00</w:t>
            </w:r>
          </w:p>
        </w:tc>
        <w:tc>
          <w:tcPr>
            <w:tcW/>
            <w:vAlign w:val="center"/>
          </w:tcPr>
          <w:p>
            <w:pPr>
              <w:spacing w:line="240" w:lineRule="auto"/>
              <w:jc w:val="right"/>
            </w:pPr>
            <w:r>
              <w:rPr>
                <w:rFonts w:ascii="宋体" w:hAnsi="宋体" w:cs="宋体" w:eastAsia="宋体"/>
                <w:b w:val="false"/>
              </w:rPr>
              <w:t>6.52</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600316</w:t>
            </w:r>
          </w:p>
        </w:tc>
        <w:tc>
          <w:tcPr>
            <w:tcW/>
            <w:vAlign w:val="center"/>
          </w:tcPr>
          <w:p>
            <w:pPr>
              <w:spacing w:line="240" w:lineRule="auto"/>
              <w:jc w:val="left"/>
            </w:pPr>
            <w:r>
              <w:rPr>
                <w:rFonts w:ascii="宋体" w:hAnsi="宋体" w:cs="宋体" w:eastAsia="宋体"/>
                <w:b w:val="false"/>
              </w:rPr>
              <w:t>洪都航空</w:t>
            </w:r>
          </w:p>
        </w:tc>
        <w:tc>
          <w:tcPr>
            <w:tcW/>
            <w:vAlign w:val="center"/>
          </w:tcPr>
          <w:p>
            <w:pPr>
              <w:spacing w:line="240" w:lineRule="auto"/>
              <w:jc w:val="right"/>
            </w:pPr>
            <w:r>
              <w:rPr>
                <w:rFonts w:ascii="宋体" w:hAnsi="宋体" w:cs="宋体" w:eastAsia="宋体"/>
                <w:b w:val="false"/>
              </w:rPr>
              <w:t>536,200</w:t>
            </w:r>
          </w:p>
        </w:tc>
        <w:tc>
          <w:tcPr>
            <w:tcW/>
            <w:vAlign w:val="center"/>
          </w:tcPr>
          <w:p>
            <w:pPr>
              <w:spacing w:line="240" w:lineRule="auto"/>
              <w:jc w:val="right"/>
            </w:pPr>
            <w:r>
              <w:rPr>
                <w:rFonts w:ascii="宋体" w:hAnsi="宋体" w:cs="宋体" w:eastAsia="宋体"/>
                <w:b w:val="false"/>
              </w:rPr>
              <w:t>14,981,428.00</w:t>
            </w:r>
          </w:p>
        </w:tc>
        <w:tc>
          <w:tcPr>
            <w:tcW/>
            <w:vAlign w:val="center"/>
          </w:tcPr>
          <w:p>
            <w:pPr>
              <w:spacing w:line="240" w:lineRule="auto"/>
              <w:jc w:val="right"/>
            </w:pPr>
            <w:r>
              <w:rPr>
                <w:rFonts w:ascii="宋体" w:hAnsi="宋体" w:cs="宋体" w:eastAsia="宋体"/>
                <w:b w:val="false"/>
              </w:rPr>
              <w:t>6.40</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600760</w:t>
            </w:r>
          </w:p>
        </w:tc>
        <w:tc>
          <w:tcPr>
            <w:tcW/>
            <w:vAlign w:val="center"/>
          </w:tcPr>
          <w:p>
            <w:pPr>
              <w:spacing w:line="240" w:lineRule="auto"/>
              <w:jc w:val="left"/>
            </w:pPr>
            <w:r>
              <w:rPr>
                <w:rFonts w:ascii="宋体" w:hAnsi="宋体" w:cs="宋体" w:eastAsia="宋体"/>
                <w:b w:val="false"/>
              </w:rPr>
              <w:t>中航沈飞</w:t>
            </w:r>
          </w:p>
        </w:tc>
        <w:tc>
          <w:tcPr>
            <w:tcW/>
            <w:vAlign w:val="center"/>
          </w:tcPr>
          <w:p>
            <w:pPr>
              <w:spacing w:line="240" w:lineRule="auto"/>
              <w:jc w:val="right"/>
            </w:pPr>
            <w:r>
              <w:rPr>
                <w:rFonts w:ascii="宋体" w:hAnsi="宋体" w:cs="宋体" w:eastAsia="宋体"/>
                <w:b w:val="false"/>
              </w:rPr>
              <w:t>363,200</w:t>
            </w:r>
          </w:p>
        </w:tc>
        <w:tc>
          <w:tcPr>
            <w:tcW/>
            <w:vAlign w:val="center"/>
          </w:tcPr>
          <w:p>
            <w:pPr>
              <w:spacing w:line="240" w:lineRule="auto"/>
              <w:jc w:val="right"/>
            </w:pPr>
            <w:r>
              <w:rPr>
                <w:rFonts w:ascii="宋体" w:hAnsi="宋体" w:cs="宋体" w:eastAsia="宋体"/>
                <w:b w:val="false"/>
              </w:rPr>
              <w:t>14,927,520.00</w:t>
            </w:r>
          </w:p>
        </w:tc>
        <w:tc>
          <w:tcPr>
            <w:tcW/>
            <w:vAlign w:val="center"/>
          </w:tcPr>
          <w:p>
            <w:pPr>
              <w:spacing w:line="240" w:lineRule="auto"/>
              <w:jc w:val="right"/>
            </w:pPr>
            <w:r>
              <w:rPr>
                <w:rFonts w:ascii="宋体" w:hAnsi="宋体" w:cs="宋体" w:eastAsia="宋体"/>
                <w:b w:val="false"/>
              </w:rPr>
              <w:t>6.38</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688552</w:t>
            </w:r>
          </w:p>
        </w:tc>
        <w:tc>
          <w:tcPr>
            <w:tcW/>
            <w:vAlign w:val="center"/>
          </w:tcPr>
          <w:p>
            <w:pPr>
              <w:spacing w:line="240" w:lineRule="auto"/>
              <w:jc w:val="left"/>
            </w:pPr>
            <w:r>
              <w:rPr>
                <w:rFonts w:ascii="宋体" w:hAnsi="宋体" w:cs="宋体" w:eastAsia="宋体"/>
                <w:b w:val="false"/>
              </w:rPr>
              <w:t>航天南湖</w:t>
            </w:r>
          </w:p>
        </w:tc>
        <w:tc>
          <w:tcPr>
            <w:tcW/>
            <w:vAlign w:val="center"/>
          </w:tcPr>
          <w:p>
            <w:pPr>
              <w:spacing w:line="240" w:lineRule="auto"/>
              <w:jc w:val="right"/>
            </w:pPr>
            <w:r>
              <w:rPr>
                <w:rFonts w:ascii="宋体" w:hAnsi="宋体" w:cs="宋体" w:eastAsia="宋体"/>
                <w:b w:val="false"/>
              </w:rPr>
              <w:t>486,689</w:t>
            </w:r>
          </w:p>
        </w:tc>
        <w:tc>
          <w:tcPr>
            <w:tcW/>
            <w:vAlign w:val="center"/>
          </w:tcPr>
          <w:p>
            <w:pPr>
              <w:spacing w:line="240" w:lineRule="auto"/>
              <w:jc w:val="right"/>
            </w:pPr>
            <w:r>
              <w:rPr>
                <w:rFonts w:ascii="宋体" w:hAnsi="宋体" w:cs="宋体" w:eastAsia="宋体"/>
                <w:b w:val="false"/>
              </w:rPr>
              <w:t>13,690,561.57</w:t>
            </w:r>
          </w:p>
        </w:tc>
        <w:tc>
          <w:tcPr>
            <w:tcW/>
            <w:vAlign w:val="center"/>
          </w:tcPr>
          <w:p>
            <w:pPr>
              <w:spacing w:line="240" w:lineRule="auto"/>
              <w:jc w:val="right"/>
            </w:pPr>
            <w:r>
              <w:rPr>
                <w:rFonts w:ascii="宋体" w:hAnsi="宋体" w:cs="宋体" w:eastAsia="宋体"/>
                <w:b w:val="false"/>
              </w:rPr>
              <w:t>5.85</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603678</w:t>
            </w:r>
          </w:p>
        </w:tc>
        <w:tc>
          <w:tcPr>
            <w:tcW/>
            <w:vAlign w:val="center"/>
          </w:tcPr>
          <w:p>
            <w:pPr>
              <w:spacing w:line="240" w:lineRule="auto"/>
              <w:jc w:val="left"/>
            </w:pPr>
            <w:r>
              <w:rPr>
                <w:rFonts w:ascii="宋体" w:hAnsi="宋体" w:cs="宋体" w:eastAsia="宋体"/>
                <w:b w:val="false"/>
              </w:rPr>
              <w:t>火炬电子</w:t>
            </w:r>
          </w:p>
        </w:tc>
        <w:tc>
          <w:tcPr>
            <w:tcW/>
            <w:vAlign w:val="center"/>
          </w:tcPr>
          <w:p>
            <w:pPr>
              <w:spacing w:line="240" w:lineRule="auto"/>
              <w:jc w:val="right"/>
            </w:pPr>
            <w:r>
              <w:rPr>
                <w:rFonts w:ascii="宋体" w:hAnsi="宋体" w:cs="宋体" w:eastAsia="宋体"/>
                <w:b w:val="false"/>
              </w:rPr>
              <w:t>128,700</w:t>
            </w:r>
          </w:p>
        </w:tc>
        <w:tc>
          <w:tcPr>
            <w:tcW/>
            <w:vAlign w:val="center"/>
          </w:tcPr>
          <w:p>
            <w:pPr>
              <w:spacing w:line="240" w:lineRule="auto"/>
              <w:jc w:val="right"/>
            </w:pPr>
            <w:r>
              <w:rPr>
                <w:rFonts w:ascii="宋体" w:hAnsi="宋体" w:cs="宋体" w:eastAsia="宋体"/>
                <w:b w:val="false"/>
              </w:rPr>
              <w:t>10,682,100.00</w:t>
            </w:r>
          </w:p>
        </w:tc>
        <w:tc>
          <w:tcPr>
            <w:tcW/>
            <w:vAlign w:val="center"/>
          </w:tcPr>
          <w:p>
            <w:pPr>
              <w:spacing w:line="240" w:lineRule="auto"/>
              <w:jc w:val="right"/>
            </w:pPr>
            <w:r>
              <w:rPr>
                <w:rFonts w:ascii="宋体" w:hAnsi="宋体" w:cs="宋体" w:eastAsia="宋体"/>
                <w:b w:val="false"/>
              </w:rPr>
              <w:t>4.57</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688002</w:t>
            </w:r>
          </w:p>
        </w:tc>
        <w:tc>
          <w:tcPr>
            <w:tcW/>
            <w:vAlign w:val="center"/>
          </w:tcPr>
          <w:p>
            <w:pPr>
              <w:spacing w:line="240" w:lineRule="auto"/>
              <w:jc w:val="left"/>
            </w:pPr>
            <w:r>
              <w:rPr>
                <w:rFonts w:ascii="宋体" w:hAnsi="宋体" w:cs="宋体" w:eastAsia="宋体"/>
                <w:b w:val="false"/>
              </w:rPr>
              <w:t>睿创微纳</w:t>
            </w:r>
          </w:p>
        </w:tc>
        <w:tc>
          <w:tcPr>
            <w:tcW/>
            <w:vAlign w:val="center"/>
          </w:tcPr>
          <w:p>
            <w:pPr>
              <w:spacing w:line="240" w:lineRule="auto"/>
              <w:jc w:val="right"/>
            </w:pPr>
            <w:r>
              <w:rPr>
                <w:rFonts w:ascii="宋体" w:hAnsi="宋体" w:cs="宋体" w:eastAsia="宋体"/>
                <w:b w:val="false"/>
              </w:rPr>
              <w:t>68,421</w:t>
            </w:r>
          </w:p>
        </w:tc>
        <w:tc>
          <w:tcPr>
            <w:tcW/>
            <w:vAlign w:val="center"/>
          </w:tcPr>
          <w:p>
            <w:pPr>
              <w:spacing w:line="240" w:lineRule="auto"/>
              <w:jc w:val="right"/>
            </w:pPr>
            <w:r>
              <w:rPr>
                <w:rFonts w:ascii="宋体" w:hAnsi="宋体" w:cs="宋体" w:eastAsia="宋体"/>
                <w:b w:val="false"/>
              </w:rPr>
              <w:t>10,584,044.49</w:t>
            </w:r>
          </w:p>
        </w:tc>
        <w:tc>
          <w:tcPr>
            <w:tcW/>
            <w:vAlign w:val="center"/>
          </w:tcPr>
          <w:p>
            <w:pPr>
              <w:spacing w:line="240" w:lineRule="auto"/>
              <w:jc w:val="right"/>
            </w:pPr>
            <w:r>
              <w:rPr>
                <w:rFonts w:ascii="宋体" w:hAnsi="宋体" w:cs="宋体" w:eastAsia="宋体"/>
                <w:b w:val="false"/>
              </w:rPr>
              <w:t>4.52</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12,207,348.43</w:t>
            </w:r>
          </w:p>
        </w:tc>
        <w:tc>
          <w:tcPr>
            <w:tcW/>
            <w:vAlign w:val="center"/>
          </w:tcPr>
          <w:p>
            <w:pPr>
              <w:spacing w:line="240" w:lineRule="auto"/>
              <w:jc w:val="right"/>
            </w:pPr>
            <w:r>
              <w:rPr>
                <w:rFonts w:ascii="宋体" w:hAnsi="宋体" w:cs="宋体" w:eastAsia="宋体"/>
                <w:b w:val="false"/>
              </w:rPr>
              <w:t>5.22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12,207,348.43</w:t>
            </w:r>
          </w:p>
        </w:tc>
        <w:tc>
          <w:tcPr>
            <w:tcW/>
            <w:vAlign w:val="center"/>
          </w:tcPr>
          <w:p>
            <w:pPr>
              <w:spacing w:line="240" w:lineRule="auto"/>
              <w:jc w:val="right"/>
            </w:pPr>
            <w:r>
              <w:rPr>
                <w:rFonts w:ascii="宋体" w:hAnsi="宋体" w:cs="宋体" w:eastAsia="宋体"/>
                <w:b w:val="false"/>
              </w:rPr>
              <w:t>5.22</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112,600</w:t>
            </w:r>
          </w:p>
        </w:tc>
        <w:tc>
          <w:tcPr>
            <w:tcW/>
            <w:vAlign w:val="center"/>
          </w:tcPr>
          <w:p>
            <w:pPr>
              <w:spacing w:line="240" w:lineRule="auto"/>
              <w:jc w:val="right"/>
            </w:pPr>
            <w:r>
              <w:rPr>
                <w:rFonts w:ascii="宋体" w:hAnsi="宋体" w:cs="宋体" w:eastAsia="宋体"/>
                <w:b w:val="false"/>
              </w:rPr>
              <w:t>11,402,162.90</w:t>
            </w:r>
          </w:p>
        </w:tc>
        <w:tc>
          <w:tcPr>
            <w:tcW/>
            <w:vAlign w:val="center"/>
          </w:tcPr>
          <w:p>
            <w:pPr>
              <w:spacing w:line="240" w:lineRule="auto"/>
              <w:jc w:val="right"/>
            </w:pPr>
            <w:r>
              <w:rPr>
                <w:rFonts w:ascii="宋体" w:hAnsi="宋体" w:cs="宋体" w:eastAsia="宋体"/>
                <w:b w:val="false"/>
              </w:rPr>
              <w:t>4.87</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019827</w:t>
            </w:r>
          </w:p>
        </w:tc>
        <w:tc>
          <w:tcPr>
            <w:tcW/>
            <w:vAlign w:val="center"/>
          </w:tcPr>
          <w:p>
            <w:pPr>
              <w:spacing w:line="240" w:lineRule="auto"/>
              <w:jc w:val="left"/>
            </w:pPr>
            <w:r>
              <w:rPr>
                <w:rFonts w:ascii="宋体" w:hAnsi="宋体" w:cs="宋体" w:eastAsia="宋体"/>
                <w:b w:val="false"/>
              </w:rPr>
              <w:t>26国债01</w:t>
            </w:r>
          </w:p>
        </w:tc>
        <w:tc>
          <w:tcPr>
            <w:tcW/>
            <w:vAlign w:val="center"/>
          </w:tcPr>
          <w:p>
            <w:pPr>
              <w:spacing w:line="240" w:lineRule="auto"/>
              <w:jc w:val="right"/>
            </w:pPr>
            <w:r>
              <w:rPr>
                <w:rFonts w:ascii="宋体" w:hAnsi="宋体" w:cs="宋体" w:eastAsia="宋体"/>
                <w:b w:val="false"/>
              </w:rPr>
              <w:t>8,000</w:t>
            </w:r>
          </w:p>
        </w:tc>
        <w:tc>
          <w:tcPr>
            <w:tcW/>
            <w:vAlign w:val="center"/>
          </w:tcPr>
          <w:p>
            <w:pPr>
              <w:spacing w:line="240" w:lineRule="auto"/>
              <w:jc w:val="right"/>
            </w:pPr>
            <w:r>
              <w:rPr>
                <w:rFonts w:ascii="宋体" w:hAnsi="宋体" w:cs="宋体" w:eastAsia="宋体"/>
                <w:b w:val="false"/>
              </w:rPr>
              <w:t>805,185.53</w:t>
            </w:r>
          </w:p>
        </w:tc>
        <w:tc>
          <w:tcPr>
            <w:tcW/>
            <w:vAlign w:val="center"/>
          </w:tcPr>
          <w:p>
            <w:pPr>
              <w:spacing w:line="240" w:lineRule="auto"/>
              <w:jc w:val="right"/>
            </w:pPr>
            <w:r>
              <w:rPr>
                <w:rFonts w:ascii="宋体" w:hAnsi="宋体" w:cs="宋体" w:eastAsia="宋体"/>
                <w:b w:val="false"/>
              </w:rPr>
              <w:t>0.34</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97,194.17</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97,194.17</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本基金本报告期末前十名股票中不存在流通受限的情况。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2266"/>
        <w:gridCol w:w="2266"/>
        <w:gridCol w:w="2266"/>
        <w:gridCol w:w="2266"/>
      </w:tblGrid>
      <w:tr>
        <w:tc>
          <w:tcPr>
            <w:tcW w:type="pct" w:w="2308"/>
            <w:vAlign w:val="center"/>
          </w:tcPr>
          <w:p>
            <w:pPr>
              <w:spacing w:line="240" w:lineRule="auto"/>
              <w:jc w:val="center"/>
            </w:pPr>
          </w:p>
        </w:tc>
        <w:tc>
          <w:tcPr>
            <w:tcW w:type="pct" w:w="850"/>
            <w:vAlign w:val="center"/>
          </w:tcPr>
          <w:p>
            <w:pPr>
              <w:spacing w:line="240" w:lineRule="auto"/>
              <w:jc w:val="center"/>
            </w:pPr>
            <w:r>
              <w:rPr>
                <w:rFonts w:ascii="宋体" w:hAnsi="宋体" w:cs="宋体" w:eastAsia="宋体"/>
                <w:b w:val="false"/>
              </w:rPr>
              <w:t>东方阿尔法招阳混合A</w:t>
            </w:r>
          </w:p>
        </w:tc>
        <w:tc>
          <w:tcPr>
            <w:tcW w:type="pct" w:w="850"/>
            <w:vAlign w:val="center"/>
          </w:tcPr>
          <w:p>
            <w:pPr>
              <w:spacing w:line="240" w:lineRule="auto"/>
              <w:jc w:val="center"/>
            </w:pPr>
            <w:r>
              <w:rPr>
                <w:rFonts w:ascii="宋体" w:hAnsi="宋体" w:cs="宋体" w:eastAsia="宋体"/>
                <w:b w:val="false"/>
              </w:rPr>
              <w:t>东方阿尔法招阳混合C</w:t>
            </w:r>
          </w:p>
        </w:tc>
        <w:tc>
          <w:tcPr>
            <w:tcW w:type="pct" w:w="850"/>
            <w:vAlign w:val="center"/>
          </w:tcPr>
          <w:p>
            <w:pPr>
              <w:spacing w:line="240" w:lineRule="auto"/>
              <w:jc w:val="center"/>
            </w:pPr>
            <w:r>
              <w:rPr>
                <w:rFonts w:ascii="宋体" w:hAnsi="宋体" w:cs="宋体" w:eastAsia="宋体"/>
                <w:b w:val="false"/>
              </w:rPr>
              <w:t>东方阿尔法招阳混合E</w:t>
            </w:r>
          </w:p>
        </w:tc>
      </w:tr>
      <w:tr>
        <w:tc>
          <w:tcPr>
            <w:tcW/>
            <w:vAlign w:val="center"/>
          </w:tcPr>
          <w:p>
            <w:pPr>
              <w:spacing w:line="240" w:lineRule="auto"/>
              <w:jc w:val="left"/>
            </w:pPr>
            <w:r>
              <w:rPr>
                <w:rFonts w:ascii="宋体" w:hAnsi="宋体" w:cs="宋体" w:eastAsia="宋体"/>
                <w:b w:val="false"/>
              </w:rPr>
              <w:t>报告期期初基金份额总额</w:t>
            </w:r>
          </w:p>
        </w:tc>
        <w:tc>
          <w:tcPr>
            <w:tcW w:type="pct" w:w="850"/>
            <w:vAlign w:val="center"/>
          </w:tcPr>
          <w:p>
            <w:pPr>
              <w:spacing w:line="240" w:lineRule="auto"/>
              <w:jc w:val="right"/>
            </w:pPr>
            <w:r>
              <w:rPr>
                <w:rFonts w:ascii="宋体" w:hAnsi="宋体" w:cs="宋体" w:eastAsia="宋体"/>
                <w:b w:val="false"/>
              </w:rPr>
              <w:t>520,487,592.45</w:t>
            </w:r>
          </w:p>
        </w:tc>
        <w:tc>
          <w:tcPr>
            <w:tcW w:type="pct" w:w="850"/>
            <w:vAlign w:val="center"/>
          </w:tcPr>
          <w:p>
            <w:pPr>
              <w:spacing w:line="240" w:lineRule="auto"/>
              <w:jc w:val="right"/>
            </w:pPr>
            <w:r>
              <w:rPr>
                <w:rFonts w:ascii="宋体" w:hAnsi="宋体" w:cs="宋体" w:eastAsia="宋体"/>
                <w:b w:val="false"/>
              </w:rPr>
              <w:t>8,145,270.29</w:t>
            </w:r>
          </w:p>
        </w:tc>
        <w:tc>
          <w:tcPr>
            <w:tcW w:type="pct" w:w="850"/>
            <w:vAlign w:val="center"/>
          </w:tcPr>
          <w:p>
            <w:pPr>
              <w:spacing w:line="240" w:lineRule="auto"/>
              <w:jc w:val="right"/>
            </w:pPr>
            <w:r>
              <w:rPr>
                <w:rFonts w:ascii="宋体" w:hAnsi="宋体" w:cs="宋体" w:eastAsia="宋体"/>
                <w:b w:val="false"/>
              </w:rPr>
              <w:t>40,254,259.07</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850"/>
            <w:vAlign w:val="center"/>
          </w:tcPr>
          <w:p>
            <w:pPr>
              <w:spacing w:line="240" w:lineRule="auto"/>
              <w:jc w:val="right"/>
            </w:pPr>
            <w:r>
              <w:rPr>
                <w:rFonts w:ascii="宋体" w:hAnsi="宋体" w:cs="宋体" w:eastAsia="宋体"/>
                <w:b w:val="false"/>
              </w:rPr>
              <w:t>13,849,608.11</w:t>
            </w:r>
          </w:p>
        </w:tc>
        <w:tc>
          <w:tcPr>
            <w:tcW w:type="pct" w:w="850"/>
            <w:vAlign w:val="center"/>
          </w:tcPr>
          <w:p>
            <w:pPr>
              <w:spacing w:line="240" w:lineRule="auto"/>
              <w:jc w:val="right"/>
            </w:pPr>
            <w:r>
              <w:rPr>
                <w:rFonts w:ascii="宋体" w:hAnsi="宋体" w:cs="宋体" w:eastAsia="宋体"/>
                <w:b w:val="false"/>
              </w:rPr>
              <w:t>3,537,326.43</w:t>
            </w:r>
          </w:p>
        </w:tc>
        <w:tc>
          <w:tcPr>
            <w:tcW w:type="pct" w:w="850"/>
            <w:vAlign w:val="center"/>
          </w:tcPr>
          <w:p>
            <w:pPr>
              <w:spacing w:line="240" w:lineRule="auto"/>
              <w:jc w:val="right"/>
            </w:pPr>
            <w:r>
              <w:rPr>
                <w:rFonts w:ascii="宋体" w:hAnsi="宋体" w:cs="宋体" w:eastAsia="宋体"/>
                <w:b w:val="false"/>
              </w:rPr>
              <w:t>40,797,301.65</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850"/>
            <w:vAlign w:val="center"/>
          </w:tcPr>
          <w:p>
            <w:pPr>
              <w:spacing w:line="240" w:lineRule="auto"/>
              <w:jc w:val="right"/>
            </w:pPr>
            <w:r>
              <w:rPr>
                <w:rFonts w:ascii="宋体" w:hAnsi="宋体" w:cs="宋体" w:eastAsia="宋体"/>
                <w:b w:val="false"/>
              </w:rPr>
              <w:t>14,971,205.80</w:t>
            </w:r>
          </w:p>
        </w:tc>
        <w:tc>
          <w:tcPr>
            <w:tcW w:type="pct" w:w="850"/>
            <w:vAlign w:val="center"/>
          </w:tcPr>
          <w:p>
            <w:pPr>
              <w:spacing w:line="240" w:lineRule="auto"/>
              <w:jc w:val="right"/>
            </w:pPr>
            <w:r>
              <w:rPr>
                <w:rFonts w:ascii="宋体" w:hAnsi="宋体" w:cs="宋体" w:eastAsia="宋体"/>
                <w:b w:val="false"/>
              </w:rPr>
              <w:t>1,631,670.57</w:t>
            </w:r>
          </w:p>
        </w:tc>
        <w:tc>
          <w:tcPr>
            <w:tcW w:type="pct" w:w="850"/>
            <w:vAlign w:val="center"/>
          </w:tcPr>
          <w:p>
            <w:pPr>
              <w:spacing w:line="240" w:lineRule="auto"/>
              <w:jc w:val="right"/>
            </w:pPr>
            <w:r>
              <w:rPr>
                <w:rFonts w:ascii="宋体" w:hAnsi="宋体" w:cs="宋体" w:eastAsia="宋体"/>
                <w:b w:val="false"/>
              </w:rPr>
              <w:t>43,695,603.09</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850"/>
            <w:vAlign w:val="center"/>
          </w:tcPr>
          <w:p>
            <w:pPr>
              <w:spacing w:line="240" w:lineRule="auto"/>
              <w:jc w:val="right"/>
            </w:pPr>
            <w:r>
              <w:rPr>
                <w:rFonts w:ascii="宋体" w:hAnsi="宋体" w:cs="宋体" w:eastAsia="宋体"/>
                <w:b w:val="false"/>
              </w:rPr>
              <w:t>-</w:t>
            </w:r>
          </w:p>
        </w:tc>
        <w:tc>
          <w:tcPr>
            <w:tcW w:type="pct" w:w="850"/>
            <w:vAlign w:val="center"/>
          </w:tcPr>
          <w:p>
            <w:pPr>
              <w:spacing w:line="240" w:lineRule="auto"/>
              <w:jc w:val="right"/>
            </w:pPr>
            <w:r>
              <w:rPr>
                <w:rFonts w:ascii="宋体" w:hAnsi="宋体" w:cs="宋体" w:eastAsia="宋体"/>
                <w:b w:val="false"/>
              </w:rPr>
              <w:t>-</w:t>
            </w:r>
          </w:p>
        </w:tc>
        <w:tc>
          <w:tcPr>
            <w:tcW w:type="pct" w:w="8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850"/>
            <w:vAlign w:val="center"/>
          </w:tcPr>
          <w:p>
            <w:pPr>
              <w:spacing w:line="240" w:lineRule="auto"/>
              <w:jc w:val="right"/>
            </w:pPr>
            <w:r>
              <w:rPr>
                <w:rFonts w:ascii="宋体" w:hAnsi="宋体" w:cs="宋体" w:eastAsia="宋体"/>
                <w:b w:val="false"/>
              </w:rPr>
              <w:t>519,365,994.76</w:t>
            </w:r>
          </w:p>
        </w:tc>
        <w:tc>
          <w:tcPr>
            <w:tcW w:type="pct" w:w="850"/>
            <w:vAlign w:val="center"/>
          </w:tcPr>
          <w:p>
            <w:pPr>
              <w:spacing w:line="240" w:lineRule="auto"/>
              <w:jc w:val="right"/>
            </w:pPr>
            <w:r>
              <w:rPr>
                <w:rFonts w:ascii="宋体" w:hAnsi="宋体" w:cs="宋体" w:eastAsia="宋体"/>
                <w:b w:val="false"/>
              </w:rPr>
              <w:t>10,050,926.15</w:t>
            </w:r>
          </w:p>
        </w:tc>
        <w:tc>
          <w:tcPr>
            <w:tcW w:type="pct" w:w="850"/>
            <w:vAlign w:val="center"/>
          </w:tcPr>
          <w:p>
            <w:pPr>
              <w:spacing w:line="240" w:lineRule="auto"/>
              <w:jc w:val="right"/>
            </w:pPr>
            <w:r>
              <w:rPr>
                <w:rFonts w:ascii="宋体" w:hAnsi="宋体" w:cs="宋体" w:eastAsia="宋体"/>
                <w:b w:val="false"/>
              </w:rPr>
              <w:t>37,355,957.63</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影响投资者决策的其他重要信息</w:t>
      </w:r>
    </w:p>
    <w:p>
      <w:pPr>
        <w:pStyle w:val="2"/>
        <w:jc w:val="left"/>
      </w:pPr>
      <w:r>
        <w:rPr>
          <w:rFonts w:ascii="宋体" w:hAnsi="宋体" w:cs="宋体" w:eastAsia="宋体"/>
        </w:rPr>
        <w:t>8.1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Merge w:val="restart"/>
            <w:vAlign w:val="center"/>
          </w:tcPr>
          <w:p>
            <w:pPr>
              <w:spacing w:line="240" w:lineRule="auto"/>
              <w:jc w:val="center"/>
            </w:pPr>
            <w:r>
              <w:rPr>
                <w:rFonts w:ascii="宋体" w:hAnsi="宋体" w:cs="宋体" w:eastAsia="宋体"/>
                <w:b w:val="false"/>
              </w:rPr>
              <w:t>个人</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2026年04月01日-2026年06月30日</w:t>
            </w:r>
          </w:p>
        </w:tc>
        <w:tc>
          <w:tcPr>
            <w:tcW/>
            <w:vAlign w:val="center"/>
          </w:tcPr>
          <w:p>
            <w:pPr>
              <w:spacing w:line="240" w:lineRule="auto"/>
              <w:jc w:val="right"/>
            </w:pPr>
            <w:r>
              <w:rPr>
                <w:rFonts w:ascii="宋体" w:hAnsi="宋体" w:cs="宋体" w:eastAsia="宋体"/>
                <w:b w:val="false"/>
              </w:rPr>
              <w:t>200,020,500.00</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200,020,500.00</w:t>
            </w:r>
          </w:p>
        </w:tc>
        <w:tc>
          <w:tcPr>
            <w:tcW/>
            <w:vAlign w:val="center"/>
          </w:tcPr>
          <w:p>
            <w:pPr>
              <w:spacing w:line="240" w:lineRule="auto"/>
              <w:jc w:val="right"/>
            </w:pPr>
            <w:r>
              <w:rPr>
                <w:rFonts w:ascii="宋体" w:hAnsi="宋体" w:cs="宋体" w:eastAsia="宋体"/>
                <w:b w:val="false"/>
              </w:rPr>
              <w:t>35.29%</w:t>
            </w:r>
          </w:p>
        </w:tc>
      </w:tr>
      <w:tr>
        <w:tc>
          <w:tcPr>
            <w:vMerge w:val="continue"/>
          </w:tcPr>
          <w:p/>
        </w:tc>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center"/>
            </w:pPr>
            <w:r>
              <w:rPr>
                <w:rFonts w:ascii="宋体" w:hAnsi="宋体" w:cs="宋体" w:eastAsia="宋体"/>
                <w:b w:val="false"/>
              </w:rPr>
              <w:t>2026年04月01日-2026年06月30日</w:t>
            </w:r>
          </w:p>
        </w:tc>
        <w:tc>
          <w:tcPr>
            <w:tcW/>
            <w:vAlign w:val="center"/>
          </w:tcPr>
          <w:p>
            <w:pPr>
              <w:spacing w:line="240" w:lineRule="auto"/>
              <w:jc w:val="right"/>
            </w:pPr>
            <w:r>
              <w:rPr>
                <w:rFonts w:ascii="宋体" w:hAnsi="宋体" w:cs="宋体" w:eastAsia="宋体"/>
                <w:b w:val="false"/>
              </w:rPr>
              <w:t>200,038,500.00</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200,038,500.00</w:t>
            </w:r>
          </w:p>
        </w:tc>
        <w:tc>
          <w:tcPr>
            <w:tcW/>
            <w:vAlign w:val="center"/>
          </w:tcPr>
          <w:p>
            <w:pPr>
              <w:spacing w:line="240" w:lineRule="auto"/>
              <w:jc w:val="right"/>
            </w:pPr>
            <w:r>
              <w:rPr>
                <w:rFonts w:ascii="宋体" w:hAnsi="宋体" w:cs="宋体" w:eastAsia="宋体"/>
                <w:b w:val="false"/>
              </w:rPr>
              <w:t>35.29%</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8.2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§9 备查文件目录</w:t>
      </w:r>
    </w:p>
    <w:p>
      <w:pPr>
        <w:pStyle w:val="2"/>
        <w:jc w:val="left"/>
      </w:pPr>
      <w:r>
        <w:rPr>
          <w:rFonts w:ascii="宋体" w:hAnsi="宋体" w:cs="宋体" w:eastAsia="宋体"/>
        </w:rPr>
        <w:t>9.1 备查文件目录</w:t>
      </w:r>
    </w:p>
    <w:p>
      <w:r>
        <w:rPr>
          <w:rFonts w:ascii="宋体" w:hAnsi="宋体" w:cs="宋体" w:eastAsia="宋体"/>
          <w:b w:val="false"/>
        </w:rPr>
        <w:t xml:space="preserve">    1、中国证券监督管理委员会批准的东方阿尔法招阳混合型证券投资基金设立的文件；</w:t>
        <w:br/>
      </w:r>
      <w:r>
        <w:rPr>
          <w:rFonts w:ascii="宋体" w:hAnsi="宋体" w:cs="宋体" w:eastAsia="宋体"/>
          <w:b w:val="false"/>
        </w:rPr>
        <w:t xml:space="preserve">    2、《东方阿尔法招阳混合型证券投资基金基金合同》；</w:t>
        <w:br/>
      </w:r>
      <w:r>
        <w:rPr>
          <w:rFonts w:ascii="宋体" w:hAnsi="宋体" w:cs="宋体" w:eastAsia="宋体"/>
          <w:b w:val="false"/>
        </w:rPr>
        <w:t xml:space="preserve">    3、《东方阿尔法招阳混合型证券投资基金托管协议》；</w:t>
        <w:br/>
      </w:r>
      <w:r>
        <w:rPr>
          <w:rFonts w:ascii="宋体" w:hAnsi="宋体" w:cs="宋体" w:eastAsia="宋体"/>
          <w:b w:val="false"/>
        </w:rPr>
        <w:t xml:space="preserve">    4、《东方阿尔法招阳混合型证券投资基金招募说明书》（含更新）；</w:t>
        <w:b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9.2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9.3 查阅方式</w:t>
      </w:r>
    </w:p>
    <w:p>
      <w:r>
        <w:rPr>
          <w:rFonts w:ascii="宋体" w:hAnsi="宋体" w:cs="宋体" w:eastAsia="宋体"/>
          <w:b w:val="false"/>
        </w:rPr>
        <w:t xml:space="preserve">    1、投资者可在营业时间免费查阅，也可按工本费购买复印件。</w:t>
        <w:br/>
      </w:r>
      <w:r>
        <w:rPr>
          <w:rFonts w:ascii="宋体" w:hAnsi="宋体" w:cs="宋体" w:eastAsia="宋体"/>
          <w:b w:val="false"/>
        </w:rPr>
        <w:t xml:space="preserve">    2、投资者对本报告书如有疑问，可咨询本基金管理人东方阿尔法基金管理有限公司，客户服务电话：400-930-6677（免长途话费）。</w:t>
        <w:b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二〇二六年七月二十日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东方阿尔法招阳混合型证券投资基金2026年第2季度报告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18" Target="media/image3.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