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40" w:line="361" w:lineRule="auto"/>
        <w:ind w:left="0" w:right="111" w:firstLine="643" w:firstLineChars="200"/>
        <w:jc w:val="center"/>
        <w:rPr>
          <w:rFonts w:ascii="黑体" w:hAnsi="黑体" w:eastAsia="黑体"/>
          <w:b/>
          <w:sz w:val="32"/>
          <w:lang w:eastAsia="zh-CN"/>
        </w:rPr>
      </w:pPr>
      <w:r>
        <w:rPr>
          <w:rFonts w:hint="eastAsia" w:ascii="黑体" w:hAnsi="黑体" w:eastAsia="黑体"/>
          <w:b/>
          <w:sz w:val="32"/>
          <w:lang w:eastAsia="zh-CN"/>
        </w:rPr>
        <w:t>东方阿尔法基金管理有限公司</w:t>
      </w:r>
    </w:p>
    <w:p>
      <w:pPr>
        <w:pStyle w:val="3"/>
        <w:spacing w:before="40" w:line="361" w:lineRule="auto"/>
        <w:ind w:left="0" w:right="111" w:firstLine="643" w:firstLineChars="200"/>
        <w:jc w:val="center"/>
        <w:rPr>
          <w:rFonts w:ascii="黑体" w:hAnsi="黑体" w:eastAsia="黑体"/>
          <w:b/>
          <w:sz w:val="32"/>
          <w:lang w:eastAsia="zh-CN"/>
        </w:rPr>
      </w:pPr>
      <w:r>
        <w:rPr>
          <w:rFonts w:hint="eastAsia" w:ascii="黑体" w:hAnsi="黑体" w:eastAsia="黑体"/>
          <w:b/>
          <w:sz w:val="32"/>
          <w:lang w:eastAsia="zh-CN"/>
        </w:rPr>
        <w:t>关于旗下部分基金投资非公开发行股票的公告</w:t>
      </w:r>
    </w:p>
    <w:p>
      <w:pPr>
        <w:pStyle w:val="3"/>
        <w:spacing w:before="40" w:line="361" w:lineRule="auto"/>
        <w:ind w:left="0" w:right="111" w:firstLine="480" w:firstLineChars="200"/>
        <w:jc w:val="both"/>
        <w:rPr>
          <w:lang w:eastAsia="zh-CN"/>
        </w:rPr>
      </w:pPr>
    </w:p>
    <w:p>
      <w:pPr>
        <w:pStyle w:val="3"/>
        <w:spacing w:before="40" w:line="361" w:lineRule="auto"/>
        <w:ind w:left="0" w:right="111" w:firstLine="480" w:firstLineChars="200"/>
        <w:jc w:val="both"/>
        <w:rPr>
          <w:lang w:eastAsia="zh-CN"/>
        </w:rPr>
      </w:pPr>
      <w:r>
        <w:rPr>
          <w:lang w:eastAsia="zh-CN"/>
        </w:rPr>
        <w:t>东方阿尔法基金管理有限公司旗下</w:t>
      </w:r>
      <w:r>
        <w:rPr>
          <w:rFonts w:hint="eastAsia"/>
          <w:lang w:eastAsia="zh-CN"/>
        </w:rPr>
        <w:t>东方阿尔法科技智选混合型发起式证券投资基金</w:t>
      </w:r>
      <w:r>
        <w:rPr>
          <w:lang w:eastAsia="zh-CN"/>
        </w:rPr>
        <w:t>参</w:t>
      </w:r>
      <w:r>
        <w:rPr>
          <w:rFonts w:hint="eastAsia"/>
          <w:lang w:eastAsia="zh-CN"/>
        </w:rPr>
        <w:t>与了深圳市江波龙电子股份有限公司</w:t>
      </w:r>
      <w:r>
        <w:rPr>
          <w:lang w:eastAsia="zh-CN"/>
        </w:rPr>
        <w:t>（</w:t>
      </w:r>
      <w:r>
        <w:rPr>
          <w:rFonts w:hint="eastAsia"/>
          <w:lang w:eastAsia="zh-CN"/>
        </w:rPr>
        <w:t>证券</w:t>
      </w:r>
      <w:r>
        <w:rPr>
          <w:lang w:eastAsia="zh-CN"/>
        </w:rPr>
        <w:t>简称“</w:t>
      </w:r>
      <w:bookmarkStart w:id="0" w:name="OLE_LINK1"/>
      <w:bookmarkStart w:id="1" w:name="OLE_LINK2"/>
      <w:bookmarkStart w:id="2" w:name="OLE_LINK3"/>
      <w:r>
        <w:rPr>
          <w:rFonts w:hint="eastAsia"/>
          <w:lang w:eastAsia="zh-CN"/>
        </w:rPr>
        <w:t>江波龙</w:t>
      </w:r>
      <w:bookmarkEnd w:id="0"/>
      <w:bookmarkEnd w:id="1"/>
      <w:bookmarkEnd w:id="2"/>
      <w:r>
        <w:rPr>
          <w:lang w:eastAsia="zh-CN"/>
        </w:rPr>
        <w:t>”，代码：301308）非公开发行股票的认购。根据中国</w:t>
      </w:r>
      <w:r>
        <w:rPr>
          <w:rFonts w:hint="eastAsia"/>
          <w:lang w:eastAsia="zh-CN"/>
        </w:rPr>
        <w:t>证监会</w:t>
      </w:r>
      <w:r>
        <w:rPr>
          <w:lang w:eastAsia="zh-CN"/>
        </w:rPr>
        <w:t>《关于基金投资非公开发行股票等流通受限证券有关问题的通知》（证监基金字</w:t>
      </w:r>
      <w:r>
        <w:rPr>
          <w:highlight w:val="none"/>
          <w:lang w:eastAsia="zh-CN"/>
        </w:rPr>
        <w:t>[2006]141号</w:t>
      </w:r>
      <w:r>
        <w:rPr>
          <w:lang w:eastAsia="zh-CN"/>
        </w:rPr>
        <w:t>）等有关规定，我司现将</w:t>
      </w:r>
      <w:r>
        <w:rPr>
          <w:rFonts w:hint="eastAsia"/>
          <w:lang w:eastAsia="zh-CN"/>
        </w:rPr>
        <w:t>认购的</w:t>
      </w:r>
      <w:r>
        <w:rPr>
          <w:lang w:eastAsia="zh-CN"/>
        </w:rPr>
        <w:t>相关信息公告如下：</w:t>
      </w:r>
    </w:p>
    <w:tbl>
      <w:tblPr>
        <w:tblStyle w:val="9"/>
        <w:tblW w:w="9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1127"/>
        <w:gridCol w:w="1189"/>
        <w:gridCol w:w="1595"/>
        <w:gridCol w:w="946"/>
        <w:gridCol w:w="1500"/>
        <w:gridCol w:w="933"/>
        <w:gridCol w:w="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  <w:jc w:val="center"/>
        </w:trPr>
        <w:tc>
          <w:tcPr>
            <w:tcW w:w="1077" w:type="dxa"/>
            <w:vAlign w:val="center"/>
          </w:tcPr>
          <w:p>
            <w:pPr>
              <w:pStyle w:val="3"/>
              <w:spacing w:before="40"/>
              <w:ind w:left="0" w:right="111"/>
              <w:jc w:val="center"/>
              <w:rPr>
                <w:rFonts w:asciiTheme="minorEastAsia" w:hAnsiTheme="minorEastAsia" w:eastAsiaTheme="minorEastAsia"/>
                <w:b/>
                <w:sz w:val="20"/>
                <w:szCs w:val="20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sz w:val="20"/>
                <w:szCs w:val="20"/>
                <w:lang w:eastAsia="zh-CN"/>
              </w:rPr>
              <w:t>基金名称</w:t>
            </w:r>
          </w:p>
        </w:tc>
        <w:tc>
          <w:tcPr>
            <w:tcW w:w="1127" w:type="dxa"/>
          </w:tcPr>
          <w:p>
            <w:pPr>
              <w:pStyle w:val="3"/>
              <w:spacing w:before="40"/>
              <w:ind w:left="0" w:right="111"/>
              <w:jc w:val="center"/>
              <w:rPr>
                <w:rFonts w:hint="eastAsia" w:cs="宋体" w:asciiTheme="minorEastAsia" w:hAnsiTheme="minorEastAsia" w:eastAsiaTheme="minorEastAsia"/>
                <w:b/>
                <w:sz w:val="20"/>
                <w:szCs w:val="20"/>
                <w:lang w:eastAsia="zh-CN"/>
              </w:rPr>
            </w:pPr>
          </w:p>
          <w:p>
            <w:pPr>
              <w:pStyle w:val="3"/>
              <w:spacing w:before="40"/>
              <w:ind w:left="0" w:right="111"/>
              <w:jc w:val="center"/>
              <w:rPr>
                <w:rFonts w:hint="eastAsia" w:cs="宋体" w:asciiTheme="minorEastAsia" w:hAnsiTheme="minorEastAsia" w:eastAsiaTheme="minorEastAsia"/>
                <w:b/>
                <w:sz w:val="20"/>
                <w:szCs w:val="20"/>
                <w:lang w:eastAsia="zh-CN"/>
              </w:rPr>
            </w:pPr>
          </w:p>
          <w:p>
            <w:pPr>
              <w:pStyle w:val="3"/>
              <w:spacing w:before="40"/>
              <w:ind w:left="0" w:right="111"/>
              <w:jc w:val="center"/>
              <w:rPr>
                <w:rFonts w:cs="宋体" w:asciiTheme="minorEastAsia" w:hAnsiTheme="minorEastAsia" w:eastAsiaTheme="minorEastAsia"/>
                <w:b/>
                <w:sz w:val="20"/>
                <w:szCs w:val="20"/>
                <w:lang w:eastAsia="zh-CN"/>
              </w:rPr>
            </w:pPr>
            <w:bookmarkStart w:id="3" w:name="_GoBack"/>
            <w:bookmarkEnd w:id="3"/>
            <w:r>
              <w:rPr>
                <w:rFonts w:hint="eastAsia" w:cs="宋体" w:asciiTheme="minorEastAsia" w:hAnsiTheme="minorEastAsia" w:eastAsiaTheme="minorEastAsia"/>
                <w:b/>
                <w:sz w:val="20"/>
                <w:szCs w:val="20"/>
                <w:lang w:eastAsia="zh-CN"/>
              </w:rPr>
              <w:t>非公开发行股票</w:t>
            </w:r>
          </w:p>
        </w:tc>
        <w:tc>
          <w:tcPr>
            <w:tcW w:w="1189" w:type="dxa"/>
            <w:vAlign w:val="center"/>
          </w:tcPr>
          <w:p>
            <w:pPr>
              <w:pStyle w:val="3"/>
              <w:spacing w:before="40"/>
              <w:ind w:left="0" w:right="111"/>
              <w:jc w:val="center"/>
              <w:rPr>
                <w:rFonts w:cs="宋体" w:asciiTheme="minorEastAsia" w:hAnsiTheme="minorEastAsia" w:eastAsiaTheme="minorEastAsia"/>
                <w:b/>
                <w:sz w:val="20"/>
                <w:szCs w:val="20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sz w:val="20"/>
                <w:szCs w:val="20"/>
                <w:lang w:eastAsia="zh-CN"/>
              </w:rPr>
              <w:t>认购数量（股）</w:t>
            </w:r>
          </w:p>
        </w:tc>
        <w:tc>
          <w:tcPr>
            <w:tcW w:w="1595" w:type="dxa"/>
            <w:vAlign w:val="center"/>
          </w:tcPr>
          <w:p>
            <w:pPr>
              <w:pStyle w:val="3"/>
              <w:spacing w:before="40"/>
              <w:ind w:left="0" w:right="111"/>
              <w:jc w:val="center"/>
              <w:rPr>
                <w:rFonts w:cs="宋体" w:asciiTheme="minorEastAsia" w:hAnsiTheme="minorEastAsia" w:eastAsiaTheme="minorEastAsia"/>
                <w:b/>
                <w:sz w:val="20"/>
                <w:szCs w:val="20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sz w:val="20"/>
                <w:szCs w:val="20"/>
                <w:lang w:eastAsia="zh-CN"/>
              </w:rPr>
              <w:t>总成本</w:t>
            </w:r>
          </w:p>
          <w:p>
            <w:pPr>
              <w:pStyle w:val="3"/>
              <w:spacing w:before="40"/>
              <w:ind w:left="0" w:right="111"/>
              <w:jc w:val="center"/>
              <w:rPr>
                <w:rFonts w:cs="宋体" w:asciiTheme="minorEastAsia" w:hAnsiTheme="minorEastAsia" w:eastAsiaTheme="minorEastAsia"/>
                <w:b/>
                <w:sz w:val="20"/>
                <w:szCs w:val="20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sz w:val="20"/>
                <w:szCs w:val="20"/>
                <w:lang w:eastAsia="zh-CN"/>
              </w:rPr>
              <w:t>（元）</w:t>
            </w:r>
          </w:p>
        </w:tc>
        <w:tc>
          <w:tcPr>
            <w:tcW w:w="946" w:type="dxa"/>
            <w:vAlign w:val="center"/>
          </w:tcPr>
          <w:p>
            <w:pPr>
              <w:pStyle w:val="3"/>
              <w:spacing w:before="40"/>
              <w:ind w:left="0" w:right="111"/>
              <w:jc w:val="center"/>
              <w:rPr>
                <w:rFonts w:cs="宋体" w:asciiTheme="minorEastAsia" w:hAnsiTheme="minorEastAsia" w:eastAsiaTheme="minorEastAsia"/>
                <w:b/>
                <w:sz w:val="20"/>
                <w:szCs w:val="20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sz w:val="20"/>
                <w:szCs w:val="20"/>
                <w:lang w:eastAsia="zh-CN"/>
              </w:rPr>
              <w:t>总成本占基金资产净值比例（%）</w:t>
            </w:r>
          </w:p>
        </w:tc>
        <w:tc>
          <w:tcPr>
            <w:tcW w:w="1500" w:type="dxa"/>
            <w:vAlign w:val="center"/>
          </w:tcPr>
          <w:p>
            <w:pPr>
              <w:pStyle w:val="3"/>
              <w:spacing w:before="40"/>
              <w:ind w:left="0" w:right="111"/>
              <w:jc w:val="center"/>
              <w:rPr>
                <w:rFonts w:cs="宋体" w:asciiTheme="minorEastAsia" w:hAnsiTheme="minorEastAsia" w:eastAsiaTheme="minorEastAsia"/>
                <w:b/>
                <w:sz w:val="20"/>
                <w:szCs w:val="20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sz w:val="20"/>
                <w:szCs w:val="20"/>
                <w:lang w:eastAsia="zh-CN"/>
              </w:rPr>
              <w:t>账面价值（元）</w:t>
            </w:r>
          </w:p>
        </w:tc>
        <w:tc>
          <w:tcPr>
            <w:tcW w:w="933" w:type="dxa"/>
            <w:vAlign w:val="center"/>
          </w:tcPr>
          <w:p>
            <w:pPr>
              <w:pStyle w:val="3"/>
              <w:spacing w:before="40"/>
              <w:ind w:left="0" w:right="111"/>
              <w:jc w:val="center"/>
              <w:rPr>
                <w:rFonts w:cs="宋体" w:asciiTheme="minorEastAsia" w:hAnsiTheme="minorEastAsia" w:eastAsiaTheme="minorEastAsia"/>
                <w:b/>
                <w:sz w:val="20"/>
                <w:szCs w:val="20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sz w:val="20"/>
                <w:szCs w:val="20"/>
                <w:lang w:eastAsia="zh-CN"/>
              </w:rPr>
              <w:t>账面价值占基金资产净值比例（%）</w:t>
            </w:r>
          </w:p>
        </w:tc>
        <w:tc>
          <w:tcPr>
            <w:tcW w:w="768" w:type="dxa"/>
            <w:vAlign w:val="center"/>
          </w:tcPr>
          <w:p>
            <w:pPr>
              <w:pStyle w:val="3"/>
              <w:spacing w:before="40"/>
              <w:ind w:left="0" w:right="111"/>
              <w:jc w:val="center"/>
              <w:rPr>
                <w:rFonts w:cs="宋体" w:asciiTheme="minorEastAsia" w:hAnsiTheme="minorEastAsia" w:eastAsiaTheme="minorEastAsia"/>
                <w:b/>
                <w:sz w:val="20"/>
                <w:szCs w:val="20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sz w:val="20"/>
                <w:szCs w:val="20"/>
                <w:lang w:eastAsia="zh-CN"/>
              </w:rPr>
              <w:t>限售期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1077" w:type="dxa"/>
          </w:tcPr>
          <w:p>
            <w:pPr>
              <w:pStyle w:val="3"/>
              <w:spacing w:before="40" w:line="361" w:lineRule="auto"/>
              <w:ind w:left="0" w:right="111"/>
              <w:jc w:val="center"/>
              <w:rPr>
                <w:rFonts w:cs="宋体" w:asciiTheme="minorEastAsia" w:hAnsiTheme="minor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  <w:lang w:eastAsia="zh-CN"/>
              </w:rPr>
              <w:t>东方阿尔法科技智选混合型发起式证券投资基金</w:t>
            </w:r>
          </w:p>
        </w:tc>
        <w:tc>
          <w:tcPr>
            <w:tcW w:w="1127" w:type="dxa"/>
            <w:vAlign w:val="center"/>
          </w:tcPr>
          <w:p>
            <w:pPr>
              <w:pStyle w:val="3"/>
              <w:spacing w:before="40" w:line="361" w:lineRule="auto"/>
              <w:ind w:left="0" w:right="111"/>
              <w:jc w:val="center"/>
              <w:rPr>
                <w:rFonts w:cs="宋体" w:asciiTheme="minorEastAsia" w:hAnsiTheme="minor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  <w:lang w:eastAsia="zh-CN"/>
              </w:rPr>
              <w:t>江波龙</w:t>
            </w:r>
          </w:p>
        </w:tc>
        <w:tc>
          <w:tcPr>
            <w:tcW w:w="1189" w:type="dxa"/>
            <w:vAlign w:val="center"/>
          </w:tcPr>
          <w:p>
            <w:pPr>
              <w:pStyle w:val="3"/>
              <w:spacing w:before="40" w:line="361" w:lineRule="auto"/>
              <w:ind w:left="0" w:right="111"/>
              <w:jc w:val="center"/>
              <w:rPr>
                <w:rFonts w:cs="宋体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cs="宋体" w:asciiTheme="minorEastAsia" w:hAnsiTheme="minorEastAsia" w:eastAsiaTheme="minorEastAsia"/>
                <w:sz w:val="18"/>
                <w:szCs w:val="18"/>
                <w:lang w:eastAsia="zh-CN"/>
              </w:rPr>
              <w:t>267,857</w:t>
            </w:r>
          </w:p>
        </w:tc>
        <w:tc>
          <w:tcPr>
            <w:tcW w:w="1595" w:type="dxa"/>
            <w:vAlign w:val="center"/>
          </w:tcPr>
          <w:p>
            <w:pPr>
              <w:pStyle w:val="3"/>
              <w:spacing w:before="40" w:line="361" w:lineRule="auto"/>
              <w:ind w:left="0" w:right="111"/>
              <w:jc w:val="center"/>
              <w:rPr>
                <w:rFonts w:cs="宋体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cs="宋体" w:asciiTheme="minorEastAsia" w:hAnsiTheme="minorEastAsia" w:eastAsiaTheme="minorEastAsia"/>
                <w:sz w:val="18"/>
                <w:szCs w:val="18"/>
                <w:lang w:eastAsia="zh-CN"/>
              </w:rPr>
              <w:t>149,999,920.00</w:t>
            </w:r>
          </w:p>
        </w:tc>
        <w:tc>
          <w:tcPr>
            <w:tcW w:w="946" w:type="dxa"/>
            <w:vAlign w:val="center"/>
          </w:tcPr>
          <w:p>
            <w:pPr>
              <w:pStyle w:val="3"/>
              <w:spacing w:before="40" w:line="361" w:lineRule="auto"/>
              <w:ind w:left="0" w:right="111"/>
              <w:jc w:val="center"/>
              <w:rPr>
                <w:rFonts w:cs="宋体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cs="宋体" w:asciiTheme="minorEastAsia" w:hAnsiTheme="minorEastAsia" w:eastAsiaTheme="minorEastAsia"/>
                <w:sz w:val="18"/>
                <w:szCs w:val="18"/>
                <w:lang w:eastAsia="zh-CN"/>
              </w:rPr>
              <w:t>2.13%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cs="宋体" w:asciiTheme="minorEastAsia" w:hAnsiTheme="minorEastAsia"/>
                <w:sz w:val="18"/>
                <w:szCs w:val="18"/>
                <w:lang w:eastAsia="zh-CN"/>
              </w:rPr>
              <w:t>91,248,165.62</w:t>
            </w:r>
          </w:p>
        </w:tc>
        <w:tc>
          <w:tcPr>
            <w:tcW w:w="933" w:type="dxa"/>
            <w:vAlign w:val="center"/>
          </w:tcPr>
          <w:p>
            <w:pPr>
              <w:pStyle w:val="3"/>
              <w:spacing w:before="40" w:line="361" w:lineRule="auto"/>
              <w:ind w:left="0" w:right="111"/>
              <w:jc w:val="center"/>
              <w:rPr>
                <w:rFonts w:cs="宋体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cs="宋体" w:asciiTheme="minorEastAsia" w:hAnsiTheme="minorEastAsia" w:eastAsiaTheme="minorEastAsia"/>
                <w:sz w:val="18"/>
                <w:szCs w:val="18"/>
                <w:lang w:eastAsia="zh-CN"/>
              </w:rPr>
              <w:t>1.30%</w:t>
            </w:r>
          </w:p>
        </w:tc>
        <w:tc>
          <w:tcPr>
            <w:tcW w:w="768" w:type="dxa"/>
            <w:vAlign w:val="center"/>
          </w:tcPr>
          <w:p>
            <w:pPr>
              <w:pStyle w:val="3"/>
              <w:spacing w:before="40" w:line="361" w:lineRule="auto"/>
              <w:ind w:left="0" w:right="111"/>
              <w:jc w:val="center"/>
              <w:rPr>
                <w:rFonts w:cs="宋体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cs="宋体" w:asciiTheme="minorEastAsia" w:hAnsiTheme="minorEastAsia" w:eastAsiaTheme="minorEastAsia"/>
                <w:sz w:val="20"/>
                <w:szCs w:val="20"/>
                <w:lang w:eastAsia="zh-CN"/>
              </w:rPr>
              <w:t>自新增股份</w:t>
            </w:r>
            <w:r>
              <w:rPr>
                <w:rFonts w:hint="eastAsia" w:cs="宋体" w:asciiTheme="minorEastAsia" w:hAnsiTheme="minorEastAsia" w:eastAsiaTheme="minorEastAsia"/>
                <w:sz w:val="20"/>
                <w:szCs w:val="20"/>
                <w:lang w:eastAsia="zh-CN"/>
              </w:rPr>
              <w:t>上市</w:t>
            </w:r>
            <w:r>
              <w:rPr>
                <w:rFonts w:cs="宋体" w:asciiTheme="minorEastAsia" w:hAnsiTheme="minorEastAsia" w:eastAsiaTheme="minorEastAsia"/>
                <w:sz w:val="20"/>
                <w:szCs w:val="20"/>
                <w:lang w:eastAsia="zh-CN"/>
              </w:rPr>
              <w:t>之日起6个月</w:t>
            </w:r>
          </w:p>
        </w:tc>
      </w:tr>
    </w:tbl>
    <w:p>
      <w:pPr>
        <w:pStyle w:val="3"/>
        <w:spacing w:before="37" w:line="331" w:lineRule="auto"/>
        <w:ind w:right="238" w:rightChars="108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>注：</w:t>
      </w:r>
      <w:r>
        <w:rPr>
          <w:rFonts w:hint="eastAsia"/>
          <w:sz w:val="18"/>
          <w:szCs w:val="18"/>
          <w:lang w:eastAsia="zh-CN"/>
        </w:rPr>
        <w:t>基金资产净值、账面价值</w:t>
      </w:r>
      <w:r>
        <w:rPr>
          <w:sz w:val="18"/>
          <w:szCs w:val="18"/>
          <w:lang w:eastAsia="zh-CN"/>
        </w:rPr>
        <w:t>为</w:t>
      </w:r>
      <w:r>
        <w:rPr>
          <w:rFonts w:hint="eastAsia"/>
          <w:sz w:val="18"/>
          <w:szCs w:val="18"/>
          <w:lang w:eastAsia="zh-CN"/>
        </w:rPr>
        <w:t>2026</w:t>
      </w:r>
      <w:r>
        <w:rPr>
          <w:sz w:val="18"/>
          <w:szCs w:val="18"/>
          <w:lang w:eastAsia="zh-CN"/>
        </w:rPr>
        <w:t>年8月13日</w:t>
      </w:r>
      <w:r>
        <w:rPr>
          <w:rFonts w:hint="eastAsia"/>
          <w:sz w:val="18"/>
          <w:szCs w:val="18"/>
          <w:lang w:eastAsia="zh-CN"/>
        </w:rPr>
        <w:t>的数据。</w:t>
      </w:r>
    </w:p>
    <w:p>
      <w:pPr>
        <w:pStyle w:val="3"/>
        <w:spacing w:before="37" w:line="331" w:lineRule="auto"/>
        <w:ind w:left="119" w:leftChars="54" w:right="238"/>
        <w:rPr>
          <w:lang w:eastAsia="zh-CN"/>
        </w:rPr>
      </w:pPr>
    </w:p>
    <w:p>
      <w:pPr>
        <w:pStyle w:val="3"/>
        <w:spacing w:before="37" w:line="331" w:lineRule="auto"/>
        <w:ind w:left="119" w:leftChars="54" w:right="238"/>
        <w:rPr>
          <w:lang w:eastAsia="zh-CN"/>
        </w:rPr>
      </w:pPr>
      <w:r>
        <w:rPr>
          <w:lang w:eastAsia="zh-CN"/>
        </w:rPr>
        <w:t>特此公告</w:t>
      </w:r>
      <w:r>
        <w:rPr>
          <w:rFonts w:hint="eastAsia"/>
          <w:lang w:eastAsia="zh-CN"/>
        </w:rPr>
        <w:t>。</w:t>
      </w:r>
    </w:p>
    <w:p>
      <w:pPr>
        <w:spacing w:before="16" w:line="280" w:lineRule="exact"/>
        <w:rPr>
          <w:rFonts w:ascii="宋体" w:hAnsi="宋体" w:eastAsia="宋体"/>
          <w:sz w:val="24"/>
          <w:szCs w:val="24"/>
          <w:lang w:eastAsia="zh-CN"/>
        </w:rPr>
      </w:pPr>
    </w:p>
    <w:p>
      <w:pPr>
        <w:pStyle w:val="3"/>
        <w:ind w:left="0" w:right="237"/>
        <w:jc w:val="right"/>
        <w:rPr>
          <w:lang w:eastAsia="zh-CN"/>
        </w:rPr>
      </w:pPr>
      <w:r>
        <w:rPr>
          <w:lang w:eastAsia="zh-CN"/>
        </w:rPr>
        <w:t>东方阿尔法基金管理有限公司</w:t>
      </w:r>
    </w:p>
    <w:p>
      <w:pPr>
        <w:spacing w:line="160" w:lineRule="exact"/>
        <w:rPr>
          <w:rFonts w:ascii="宋体" w:hAnsi="宋体" w:eastAsia="宋体"/>
          <w:sz w:val="24"/>
          <w:szCs w:val="24"/>
          <w:lang w:eastAsia="zh-CN"/>
        </w:rPr>
      </w:pPr>
    </w:p>
    <w:p>
      <w:pPr>
        <w:pStyle w:val="3"/>
        <w:ind w:left="0" w:right="241"/>
        <w:jc w:val="right"/>
        <w:rPr>
          <w:lang w:eastAsia="zh-CN"/>
        </w:rPr>
      </w:pPr>
      <w:r>
        <w:rPr>
          <w:rFonts w:hint="eastAsia"/>
          <w:lang w:eastAsia="zh-CN"/>
        </w:rPr>
        <w:t>2026</w:t>
      </w:r>
      <w:r>
        <w:rPr>
          <w:lang w:eastAsia="zh-CN"/>
        </w:rPr>
        <w:t>年8月15日</w:t>
      </w:r>
    </w:p>
    <w:sectPr>
      <w:type w:val="continuous"/>
      <w:pgSz w:w="11904" w:h="16840"/>
      <w:pgMar w:top="1440" w:right="156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I4MTdhNThiM2E0OTkyMzFjY2ZlNGIyNmQ0NDJmMTIifQ=="/>
  </w:docVars>
  <w:rsids>
    <w:rsidRoot w:val="00214D94"/>
    <w:rsid w:val="000276A7"/>
    <w:rsid w:val="0003303C"/>
    <w:rsid w:val="00067477"/>
    <w:rsid w:val="000A6111"/>
    <w:rsid w:val="000B4BCB"/>
    <w:rsid w:val="000E387B"/>
    <w:rsid w:val="001142B1"/>
    <w:rsid w:val="001377DE"/>
    <w:rsid w:val="00151DEA"/>
    <w:rsid w:val="00157550"/>
    <w:rsid w:val="0017045C"/>
    <w:rsid w:val="0017314E"/>
    <w:rsid w:val="001C47E9"/>
    <w:rsid w:val="001D5F84"/>
    <w:rsid w:val="001F2880"/>
    <w:rsid w:val="0020784A"/>
    <w:rsid w:val="00214D94"/>
    <w:rsid w:val="002161B2"/>
    <w:rsid w:val="00255052"/>
    <w:rsid w:val="002636D6"/>
    <w:rsid w:val="002672A2"/>
    <w:rsid w:val="002C6374"/>
    <w:rsid w:val="002E6CDD"/>
    <w:rsid w:val="002F48E6"/>
    <w:rsid w:val="00322C4C"/>
    <w:rsid w:val="0034626B"/>
    <w:rsid w:val="00356284"/>
    <w:rsid w:val="0038511F"/>
    <w:rsid w:val="00386879"/>
    <w:rsid w:val="00386EC9"/>
    <w:rsid w:val="003A3695"/>
    <w:rsid w:val="003B3037"/>
    <w:rsid w:val="003C63AD"/>
    <w:rsid w:val="003C7AC4"/>
    <w:rsid w:val="003E7242"/>
    <w:rsid w:val="003F3E67"/>
    <w:rsid w:val="004536EC"/>
    <w:rsid w:val="004611EA"/>
    <w:rsid w:val="004619F9"/>
    <w:rsid w:val="0049456F"/>
    <w:rsid w:val="004A4674"/>
    <w:rsid w:val="004C256D"/>
    <w:rsid w:val="004C6DA2"/>
    <w:rsid w:val="004E61C2"/>
    <w:rsid w:val="004E6F03"/>
    <w:rsid w:val="005029FB"/>
    <w:rsid w:val="00504378"/>
    <w:rsid w:val="005265A7"/>
    <w:rsid w:val="00550B3A"/>
    <w:rsid w:val="005755F5"/>
    <w:rsid w:val="005822C1"/>
    <w:rsid w:val="005972BC"/>
    <w:rsid w:val="005C2244"/>
    <w:rsid w:val="00626BDA"/>
    <w:rsid w:val="006335CE"/>
    <w:rsid w:val="00633FAE"/>
    <w:rsid w:val="00646B22"/>
    <w:rsid w:val="00663AD9"/>
    <w:rsid w:val="00674FAD"/>
    <w:rsid w:val="00675ABA"/>
    <w:rsid w:val="00676C00"/>
    <w:rsid w:val="00711EEA"/>
    <w:rsid w:val="00724656"/>
    <w:rsid w:val="00752749"/>
    <w:rsid w:val="00755ACB"/>
    <w:rsid w:val="007747EA"/>
    <w:rsid w:val="00782145"/>
    <w:rsid w:val="007A4B24"/>
    <w:rsid w:val="007B77F0"/>
    <w:rsid w:val="007B7EDB"/>
    <w:rsid w:val="007C0E3D"/>
    <w:rsid w:val="007C1D54"/>
    <w:rsid w:val="007C343A"/>
    <w:rsid w:val="007D49EE"/>
    <w:rsid w:val="0080039D"/>
    <w:rsid w:val="00824C7B"/>
    <w:rsid w:val="00834D9E"/>
    <w:rsid w:val="00836BAD"/>
    <w:rsid w:val="00847B54"/>
    <w:rsid w:val="00861E72"/>
    <w:rsid w:val="00871891"/>
    <w:rsid w:val="008A7014"/>
    <w:rsid w:val="008C5BE8"/>
    <w:rsid w:val="008D2793"/>
    <w:rsid w:val="008E0DAC"/>
    <w:rsid w:val="008F34F1"/>
    <w:rsid w:val="00904AFC"/>
    <w:rsid w:val="00942E5C"/>
    <w:rsid w:val="00957F8A"/>
    <w:rsid w:val="00981E3F"/>
    <w:rsid w:val="00990B1A"/>
    <w:rsid w:val="009A568A"/>
    <w:rsid w:val="009D3403"/>
    <w:rsid w:val="009E6BDC"/>
    <w:rsid w:val="00A104E4"/>
    <w:rsid w:val="00A46F91"/>
    <w:rsid w:val="00A47550"/>
    <w:rsid w:val="00A51BA6"/>
    <w:rsid w:val="00A82A0A"/>
    <w:rsid w:val="00A83384"/>
    <w:rsid w:val="00A91245"/>
    <w:rsid w:val="00A94651"/>
    <w:rsid w:val="00AA1809"/>
    <w:rsid w:val="00AB2024"/>
    <w:rsid w:val="00AB29C0"/>
    <w:rsid w:val="00AB418E"/>
    <w:rsid w:val="00AF553C"/>
    <w:rsid w:val="00B3153F"/>
    <w:rsid w:val="00B31AA3"/>
    <w:rsid w:val="00B42F0F"/>
    <w:rsid w:val="00B57962"/>
    <w:rsid w:val="00B62430"/>
    <w:rsid w:val="00B62A40"/>
    <w:rsid w:val="00B800FB"/>
    <w:rsid w:val="00BE5200"/>
    <w:rsid w:val="00BF04D3"/>
    <w:rsid w:val="00BF5677"/>
    <w:rsid w:val="00C31687"/>
    <w:rsid w:val="00C867A8"/>
    <w:rsid w:val="00C8730B"/>
    <w:rsid w:val="00C90A94"/>
    <w:rsid w:val="00CA1179"/>
    <w:rsid w:val="00CA3BF8"/>
    <w:rsid w:val="00CC2EAC"/>
    <w:rsid w:val="00CC658A"/>
    <w:rsid w:val="00CD4C26"/>
    <w:rsid w:val="00CD5D6B"/>
    <w:rsid w:val="00CF5D6A"/>
    <w:rsid w:val="00D07BCD"/>
    <w:rsid w:val="00D30B2B"/>
    <w:rsid w:val="00D34D8B"/>
    <w:rsid w:val="00D351BA"/>
    <w:rsid w:val="00D403D8"/>
    <w:rsid w:val="00D534E5"/>
    <w:rsid w:val="00D82323"/>
    <w:rsid w:val="00DA25DE"/>
    <w:rsid w:val="00DA3B5A"/>
    <w:rsid w:val="00DA7EEC"/>
    <w:rsid w:val="00DB032E"/>
    <w:rsid w:val="00DB194C"/>
    <w:rsid w:val="00DC2605"/>
    <w:rsid w:val="00DF600A"/>
    <w:rsid w:val="00E129A8"/>
    <w:rsid w:val="00E158E4"/>
    <w:rsid w:val="00E167FE"/>
    <w:rsid w:val="00E57110"/>
    <w:rsid w:val="00E61181"/>
    <w:rsid w:val="00E61D98"/>
    <w:rsid w:val="00E65059"/>
    <w:rsid w:val="00E86D46"/>
    <w:rsid w:val="00E91ECB"/>
    <w:rsid w:val="00EA474D"/>
    <w:rsid w:val="00EA5898"/>
    <w:rsid w:val="00EA78A6"/>
    <w:rsid w:val="00EC0121"/>
    <w:rsid w:val="00EC5097"/>
    <w:rsid w:val="00ED0615"/>
    <w:rsid w:val="00ED77DC"/>
    <w:rsid w:val="00EF1F48"/>
    <w:rsid w:val="00F037B0"/>
    <w:rsid w:val="00F41F57"/>
    <w:rsid w:val="00F42FE6"/>
    <w:rsid w:val="00FA6F43"/>
    <w:rsid w:val="00FC19E1"/>
    <w:rsid w:val="00FC5D10"/>
    <w:rsid w:val="00FD13D9"/>
    <w:rsid w:val="04194A97"/>
    <w:rsid w:val="053938D9"/>
    <w:rsid w:val="0C6C454B"/>
    <w:rsid w:val="102B4AC6"/>
    <w:rsid w:val="1C344336"/>
    <w:rsid w:val="276D3C0C"/>
    <w:rsid w:val="2ECF58B9"/>
    <w:rsid w:val="31B83D97"/>
    <w:rsid w:val="34452101"/>
    <w:rsid w:val="39BC3B36"/>
    <w:rsid w:val="471B4A5A"/>
    <w:rsid w:val="47843F27"/>
    <w:rsid w:val="526C2747"/>
    <w:rsid w:val="5446229E"/>
    <w:rsid w:val="5491738D"/>
    <w:rsid w:val="581B08A2"/>
    <w:rsid w:val="652A70C4"/>
    <w:rsid w:val="65BA45FA"/>
    <w:rsid w:val="692A02BA"/>
    <w:rsid w:val="6E89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</w:style>
  <w:style w:type="paragraph" w:styleId="3">
    <w:name w:val="Body Text"/>
    <w:basedOn w:val="1"/>
    <w:qFormat/>
    <w:uiPriority w:val="1"/>
    <w:pPr>
      <w:ind w:left="120"/>
    </w:pPr>
    <w:rPr>
      <w:rFonts w:ascii="宋体" w:hAnsi="宋体" w:eastAsia="宋体"/>
      <w:sz w:val="24"/>
      <w:szCs w:val="24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</w:style>
  <w:style w:type="paragraph" w:customStyle="1" w:styleId="14">
    <w:name w:val="Table Paragraph"/>
    <w:basedOn w:val="1"/>
    <w:qFormat/>
    <w:uiPriority w:val="1"/>
  </w:style>
  <w:style w:type="character" w:customStyle="1" w:styleId="15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7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8">
    <w:name w:val="批注文字 Char"/>
    <w:basedOn w:val="10"/>
    <w:link w:val="2"/>
    <w:semiHidden/>
    <w:qFormat/>
    <w:uiPriority w:val="99"/>
  </w:style>
  <w:style w:type="character" w:customStyle="1" w:styleId="19">
    <w:name w:val="批注主题 Char"/>
    <w:basedOn w:val="18"/>
    <w:link w:val="7"/>
    <w:semiHidden/>
    <w:qFormat/>
    <w:uiPriority w:val="99"/>
    <w:rPr>
      <w:b/>
      <w:bCs/>
    </w:rPr>
  </w:style>
  <w:style w:type="paragraph" w:customStyle="1" w:styleId="20">
    <w:name w:val="修订1"/>
    <w:hidden/>
    <w:semiHidden/>
    <w:qFormat/>
    <w:uiPriority w:val="99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21">
    <w:name w:val="Revision"/>
    <w:hidden/>
    <w:semiHidden/>
    <w:qFormat/>
    <w:uiPriority w:val="99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64</Words>
  <Characters>366</Characters>
  <Lines>3</Lines>
  <Paragraphs>1</Paragraphs>
  <TotalTime>34</TotalTime>
  <ScaleCrop>false</ScaleCrop>
  <LinksUpToDate>false</LinksUpToDate>
  <CharactersWithSpaces>429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2017-09-13T02:57:00Z</dcterms:created>
  <dc:creator>localadmin</dc:creator>
  <cp:lastModifiedBy>聪子</cp:lastModifiedBy>
  <dcterms:modified xsi:type="dcterms:W3CDTF">2026-08-14T02:42:26Z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2016-11-16T00:00:00Z</vt:filetime>
  </property>
  <property fmtid="{D5CDD505-2E9C-101B-9397-08002B2CF9AE}" pid="3" name="LastSaved">
    <vt:filetime>2017-04-11T00:00:00Z</vt:filetime>
  </property>
  <property fmtid="{D5CDD505-2E9C-101B-9397-08002B2CF9AE}" pid="4" name="KSOTemplateDocerSaveRecord">
    <vt:lpwstr>eyJoZGlkIjoiNDlmZDQ1NzE5ZjE5YTIwNzY1NzE5N2I3MjBkYWExNjEiLCJ1c2VySWQiOiIxMDI2NTI0Njg4In0=</vt:lpwstr>
  </property>
  <property fmtid="{D5CDD505-2E9C-101B-9397-08002B2CF9AE}" pid="5" name="KSOProductBuildVer">
    <vt:lpwstr>2052-11.1.0.10314</vt:lpwstr>
  </property>
  <property fmtid="{D5CDD505-2E9C-101B-9397-08002B2CF9AE}" pid="6" name="ICV">
    <vt:lpwstr>8A9F91F34D8C44529FCEA3B692117371_12</vt:lpwstr>
  </property>
</Properties>
</file>