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ascii="黑体" w:hAnsi="黑体" w:eastAsia="黑体" w:cs="黑体"/>
          <w:b/>
          <w:sz w:val="32"/>
          <w:szCs w:val="24"/>
          <w:highlight w:val="none"/>
        </w:rPr>
      </w:pPr>
      <w:r>
        <w:rPr>
          <w:rFonts w:hint="eastAsia" w:ascii="黑体" w:hAnsi="黑体" w:eastAsia="黑体" w:cs="黑体"/>
          <w:b/>
          <w:sz w:val="32"/>
          <w:szCs w:val="24"/>
          <w:highlight w:val="none"/>
          <w:lang w:eastAsia="zh-CN"/>
        </w:rPr>
        <w:t>东方阿尔法</w:t>
      </w:r>
      <w:r>
        <w:rPr>
          <w:rFonts w:hint="eastAsia" w:ascii="黑体" w:hAnsi="黑体" w:eastAsia="黑体" w:cs="黑体"/>
          <w:b/>
          <w:sz w:val="32"/>
          <w:szCs w:val="24"/>
          <w:highlight w:val="none"/>
        </w:rPr>
        <w:t>基金管理有限公司关于旗下部分基金</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ascii="黑体" w:hAnsi="黑体" w:eastAsia="黑体" w:cs="黑体"/>
          <w:b/>
          <w:sz w:val="32"/>
          <w:szCs w:val="24"/>
          <w:highlight w:val="none"/>
        </w:rPr>
      </w:pPr>
      <w:r>
        <w:rPr>
          <w:rFonts w:hint="eastAsia" w:ascii="黑体" w:hAnsi="黑体" w:eastAsia="黑体" w:cs="黑体"/>
          <w:b/>
          <w:sz w:val="32"/>
          <w:szCs w:val="24"/>
          <w:highlight w:val="none"/>
        </w:rPr>
        <w:t>调整业绩比较基准并修订基金合同</w:t>
      </w:r>
      <w:r>
        <w:rPr>
          <w:rFonts w:hint="eastAsia" w:ascii="黑体" w:hAnsi="黑体" w:eastAsia="黑体" w:cs="黑体"/>
          <w:b/>
          <w:sz w:val="32"/>
          <w:szCs w:val="24"/>
          <w:highlight w:val="none"/>
          <w:lang w:val="en-US" w:eastAsia="zh-CN"/>
        </w:rPr>
        <w:t>等法律文件</w:t>
      </w:r>
      <w:r>
        <w:rPr>
          <w:rFonts w:hint="eastAsia" w:ascii="黑体" w:hAnsi="黑体" w:eastAsia="黑体" w:cs="黑体"/>
          <w:b/>
          <w:sz w:val="32"/>
          <w:szCs w:val="24"/>
          <w:highlight w:val="none"/>
        </w:rPr>
        <w:t>的公告</w:t>
      </w:r>
    </w:p>
    <w:p>
      <w:pPr>
        <w:pStyle w:val="4"/>
        <w:keepNext w:val="0"/>
        <w:keepLines w:val="0"/>
        <w:pageBreakBefore w:val="0"/>
        <w:widowControl w:val="0"/>
        <w:kinsoku/>
        <w:wordWrap/>
        <w:overflowPunct/>
        <w:topLinePunct w:val="0"/>
        <w:autoSpaceDE w:val="0"/>
        <w:autoSpaceDN w:val="0"/>
        <w:bidi w:val="0"/>
        <w:adjustRightInd/>
        <w:snapToGrid/>
        <w:spacing w:before="0" w:after="0"/>
        <w:ind w:left="0" w:leftChars="0" w:right="0" w:firstLine="0" w:firstLineChars="0"/>
        <w:textAlignment w:val="auto"/>
        <w:rPr>
          <w:rFonts w:ascii="Microsoft JhengHei"/>
          <w:b/>
          <w:sz w:val="30"/>
          <w:highlight w:val="none"/>
        </w:rPr>
      </w:pPr>
    </w:p>
    <w:p>
      <w:pPr>
        <w:pStyle w:val="4"/>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44" w:firstLineChars="200"/>
        <w:textAlignment w:val="auto"/>
        <w:rPr>
          <w:highlight w:val="none"/>
        </w:rPr>
      </w:pPr>
      <w:r>
        <w:rPr>
          <w:spacing w:val="-9"/>
          <w:highlight w:val="none"/>
        </w:rPr>
        <w:t>根据《公开募集证券投资基金业绩比较基准指引》的相关规定，为更好地反</w:t>
      </w:r>
      <w:r>
        <w:rPr>
          <w:spacing w:val="-13"/>
          <w:highlight w:val="none"/>
        </w:rPr>
        <w:t>映基金投资风格，提高基金业绩表现与业绩比较基准的可比性，经与各基金托管</w:t>
      </w:r>
      <w:r>
        <w:rPr>
          <w:spacing w:val="-9"/>
          <w:highlight w:val="none"/>
        </w:rPr>
        <w:t>人协商一致，</w:t>
      </w:r>
      <w:r>
        <w:rPr>
          <w:rFonts w:hint="eastAsia"/>
          <w:spacing w:val="-9"/>
          <w:highlight w:val="none"/>
          <w:lang w:eastAsia="zh-CN"/>
        </w:rPr>
        <w:t>东方阿尔法</w:t>
      </w:r>
      <w:r>
        <w:rPr>
          <w:spacing w:val="-9"/>
          <w:highlight w:val="none"/>
        </w:rPr>
        <w:t>基金管理有限公司</w:t>
      </w:r>
      <w:r>
        <w:rPr>
          <w:highlight w:val="none"/>
        </w:rPr>
        <w:t>（</w:t>
      </w:r>
      <w:r>
        <w:rPr>
          <w:spacing w:val="-14"/>
          <w:highlight w:val="none"/>
        </w:rPr>
        <w:t>以下简称“基金管理人”</w:t>
      </w:r>
      <w:r>
        <w:rPr>
          <w:spacing w:val="-9"/>
          <w:highlight w:val="none"/>
        </w:rPr>
        <w:t>）</w:t>
      </w:r>
      <w:r>
        <w:rPr>
          <w:spacing w:val="-15"/>
          <w:highlight w:val="none"/>
        </w:rPr>
        <w:t>决定自</w:t>
      </w:r>
      <w:r>
        <w:rPr>
          <w:rFonts w:ascii="Times New Roman" w:hAnsi="Times New Roman" w:eastAsia="Times New Roman"/>
          <w:highlight w:val="none"/>
        </w:rPr>
        <w:t>2026</w:t>
      </w:r>
      <w:r>
        <w:rPr>
          <w:spacing w:val="30"/>
          <w:highlight w:val="none"/>
        </w:rPr>
        <w:t>年</w:t>
      </w:r>
      <w:r>
        <w:rPr>
          <w:rFonts w:hint="default" w:ascii="Times New Roman" w:hAnsi="Times New Roman"/>
          <w:highlight w:val="none"/>
          <w:lang w:val="en-US" w:eastAsia="zh-CN"/>
        </w:rPr>
        <w:t>9</w:t>
      </w:r>
      <w:r>
        <w:rPr>
          <w:spacing w:val="30"/>
          <w:highlight w:val="none"/>
        </w:rPr>
        <w:t>月</w:t>
      </w:r>
      <w:r>
        <w:rPr>
          <w:rFonts w:hint="default" w:ascii="Times New Roman" w:hAnsi="Times New Roman"/>
          <w:highlight w:val="none"/>
          <w:lang w:val="en-US" w:eastAsia="zh-CN"/>
        </w:rPr>
        <w:t>21</w:t>
      </w:r>
      <w:r>
        <w:rPr>
          <w:rFonts w:ascii="Times New Roman" w:hAnsi="Times New Roman" w:eastAsia="Times New Roman"/>
          <w:spacing w:val="-30"/>
          <w:highlight w:val="none"/>
        </w:rPr>
        <w:t xml:space="preserve"> </w:t>
      </w:r>
      <w:r>
        <w:rPr>
          <w:spacing w:val="-1"/>
          <w:highlight w:val="none"/>
        </w:rPr>
        <w:t>日起调整旗下部分基金的业绩比较基准并对基金合同</w:t>
      </w:r>
      <w:r>
        <w:rPr>
          <w:rFonts w:hint="eastAsia"/>
          <w:spacing w:val="-1"/>
          <w:highlight w:val="none"/>
          <w:lang w:val="en-US" w:eastAsia="zh-CN"/>
        </w:rPr>
        <w:t>等法律文件</w:t>
      </w:r>
      <w:r>
        <w:rPr>
          <w:spacing w:val="-1"/>
          <w:highlight w:val="none"/>
        </w:rPr>
        <w:t>有关条款进行修订。</w:t>
      </w:r>
      <w:r>
        <w:rPr>
          <w:highlight w:val="none"/>
        </w:rPr>
        <w:t>现将相关事宜公告如下：</w:t>
      </w:r>
    </w:p>
    <w:p>
      <w:pPr>
        <w:pStyle w:val="4"/>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textAlignment w:val="auto"/>
        <w:rPr>
          <w:highlight w:val="none"/>
        </w:rPr>
      </w:pPr>
      <w:bookmarkStart w:id="1" w:name="_GoBack"/>
      <w:bookmarkEnd w:id="1"/>
    </w:p>
    <w:p>
      <w:pPr>
        <w:pStyle w:val="2"/>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2" w:firstLineChars="200"/>
        <w:textAlignment w:val="auto"/>
        <w:rPr>
          <w:rFonts w:hint="eastAsia" w:ascii="黑体" w:hAnsi="黑体" w:eastAsia="黑体" w:cs="黑体"/>
          <w:highlight w:val="none"/>
        </w:rPr>
      </w:pPr>
      <w:r>
        <w:rPr>
          <w:rFonts w:hint="eastAsia" w:ascii="黑体" w:hAnsi="黑体" w:eastAsia="黑体" w:cs="黑体"/>
          <w:highlight w:val="none"/>
        </w:rPr>
        <w:t>一、业绩比较基准调整情况</w:t>
      </w:r>
    </w:p>
    <w:p>
      <w:pPr>
        <w:pStyle w:val="4"/>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textAlignment w:val="auto"/>
        <w:rPr>
          <w:highlight w:val="none"/>
        </w:rPr>
      </w:pPr>
      <w:r>
        <w:rPr>
          <w:highlight w:val="none"/>
        </w:rPr>
        <w:t>本次调整业绩比较基准的基金及调整前后的业绩比较基准情况如下：</w:t>
      </w:r>
    </w:p>
    <w:tbl>
      <w:tblPr>
        <w:tblStyle w:val="5"/>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9"/>
        <w:gridCol w:w="2131"/>
        <w:gridCol w:w="3392"/>
        <w:gridCol w:w="35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709" w:type="dxa"/>
          </w:tcPr>
          <w:p>
            <w:pPr>
              <w:pStyle w:val="9"/>
              <w:spacing w:before="158"/>
              <w:ind w:left="124" w:right="114"/>
              <w:jc w:val="center"/>
              <w:rPr>
                <w:b/>
                <w:bCs/>
                <w:color w:val="auto"/>
                <w:sz w:val="22"/>
                <w:szCs w:val="24"/>
                <w:highlight w:val="none"/>
              </w:rPr>
            </w:pPr>
            <w:r>
              <w:rPr>
                <w:b/>
                <w:bCs/>
                <w:color w:val="auto"/>
                <w:sz w:val="22"/>
                <w:szCs w:val="24"/>
                <w:highlight w:val="none"/>
              </w:rPr>
              <w:t>序号</w:t>
            </w:r>
          </w:p>
        </w:tc>
        <w:tc>
          <w:tcPr>
            <w:tcW w:w="2131" w:type="dxa"/>
          </w:tcPr>
          <w:p>
            <w:pPr>
              <w:pStyle w:val="9"/>
              <w:spacing w:before="158"/>
              <w:ind w:left="645"/>
              <w:rPr>
                <w:b/>
                <w:bCs/>
                <w:color w:val="auto"/>
                <w:sz w:val="22"/>
                <w:szCs w:val="24"/>
                <w:highlight w:val="none"/>
              </w:rPr>
            </w:pPr>
            <w:r>
              <w:rPr>
                <w:b/>
                <w:bCs/>
                <w:color w:val="auto"/>
                <w:sz w:val="22"/>
                <w:szCs w:val="24"/>
                <w:highlight w:val="none"/>
              </w:rPr>
              <w:t>基金全称</w:t>
            </w:r>
          </w:p>
        </w:tc>
        <w:tc>
          <w:tcPr>
            <w:tcW w:w="3392" w:type="dxa"/>
          </w:tcPr>
          <w:p>
            <w:pPr>
              <w:pStyle w:val="9"/>
              <w:spacing w:before="158"/>
              <w:ind w:left="540"/>
              <w:rPr>
                <w:b/>
                <w:bCs/>
                <w:color w:val="auto"/>
                <w:sz w:val="22"/>
                <w:szCs w:val="24"/>
                <w:highlight w:val="none"/>
              </w:rPr>
            </w:pPr>
            <w:r>
              <w:rPr>
                <w:b/>
                <w:bCs/>
                <w:color w:val="auto"/>
                <w:sz w:val="22"/>
                <w:szCs w:val="24"/>
                <w:highlight w:val="none"/>
              </w:rPr>
              <w:t>原基金合同业绩比较基准</w:t>
            </w:r>
          </w:p>
        </w:tc>
        <w:tc>
          <w:tcPr>
            <w:tcW w:w="3584" w:type="dxa"/>
          </w:tcPr>
          <w:p>
            <w:pPr>
              <w:pStyle w:val="9"/>
              <w:spacing w:before="158"/>
              <w:ind w:left="637"/>
              <w:rPr>
                <w:b/>
                <w:bCs/>
                <w:color w:val="auto"/>
                <w:sz w:val="22"/>
                <w:szCs w:val="24"/>
                <w:highlight w:val="none"/>
              </w:rPr>
            </w:pPr>
            <w:r>
              <w:rPr>
                <w:b/>
                <w:bCs/>
                <w:color w:val="auto"/>
                <w:sz w:val="22"/>
                <w:szCs w:val="24"/>
                <w:highlight w:val="none"/>
              </w:rPr>
              <w:t>调整后的新业绩比较基准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4" w:hRule="atLeast"/>
        </w:trPr>
        <w:tc>
          <w:tcPr>
            <w:tcW w:w="709" w:type="dxa"/>
          </w:tcPr>
          <w:p>
            <w:pPr>
              <w:pStyle w:val="9"/>
              <w:spacing w:line="360" w:lineRule="auto"/>
              <w:jc w:val="both"/>
              <w:rPr>
                <w:color w:val="auto"/>
                <w:sz w:val="22"/>
                <w:szCs w:val="24"/>
                <w:highlight w:val="none"/>
              </w:rPr>
            </w:pPr>
          </w:p>
          <w:p>
            <w:pPr>
              <w:pStyle w:val="9"/>
              <w:spacing w:line="360" w:lineRule="auto"/>
              <w:ind w:left="10"/>
              <w:jc w:val="center"/>
              <w:rPr>
                <w:rFonts w:hint="eastAsia" w:eastAsia="宋体"/>
                <w:color w:val="auto"/>
                <w:sz w:val="22"/>
                <w:szCs w:val="24"/>
                <w:highlight w:val="none"/>
                <w:lang w:eastAsia="zh-CN"/>
              </w:rPr>
            </w:pPr>
            <w:r>
              <w:rPr>
                <w:rFonts w:hint="eastAsia"/>
                <w:color w:val="auto"/>
                <w:sz w:val="22"/>
                <w:szCs w:val="24"/>
                <w:highlight w:val="none"/>
                <w:lang w:val="en-US" w:eastAsia="zh-CN"/>
              </w:rPr>
              <w:t>1</w:t>
            </w:r>
          </w:p>
        </w:tc>
        <w:tc>
          <w:tcPr>
            <w:tcW w:w="2131" w:type="dxa"/>
            <w:vAlign w:val="top"/>
          </w:tcPr>
          <w:p>
            <w:pPr>
              <w:pStyle w:val="9"/>
              <w:spacing w:before="131" w:line="360" w:lineRule="auto"/>
              <w:ind w:left="120" w:right="108"/>
              <w:jc w:val="left"/>
              <w:rPr>
                <w:rFonts w:hint="eastAsia" w:ascii="宋体" w:hAnsi="宋体" w:eastAsia="宋体" w:cs="宋体"/>
                <w:color w:val="auto"/>
                <w:sz w:val="22"/>
                <w:szCs w:val="24"/>
                <w:highlight w:val="none"/>
                <w:lang w:val="zh-CN" w:eastAsia="zh-CN" w:bidi="zh-CN"/>
              </w:rPr>
            </w:pPr>
            <w:r>
              <w:rPr>
                <w:rFonts w:hint="eastAsia" w:ascii="宋体" w:hAnsi="宋体" w:eastAsia="宋体" w:cs="宋体"/>
                <w:color w:val="auto"/>
                <w:sz w:val="22"/>
                <w:szCs w:val="24"/>
                <w:highlight w:val="none"/>
                <w:lang w:val="zh-CN" w:eastAsia="zh-CN" w:bidi="zh-CN"/>
              </w:rPr>
              <w:t>东方阿尔法优势产业混合型发起式证券投资基金</w:t>
            </w:r>
          </w:p>
        </w:tc>
        <w:tc>
          <w:tcPr>
            <w:tcW w:w="3392" w:type="dxa"/>
          </w:tcPr>
          <w:p>
            <w:pPr>
              <w:pStyle w:val="9"/>
              <w:spacing w:line="360" w:lineRule="auto"/>
              <w:ind w:left="120" w:right="110"/>
              <w:jc w:val="left"/>
              <w:rPr>
                <w:color w:val="auto"/>
                <w:sz w:val="22"/>
                <w:szCs w:val="24"/>
                <w:highlight w:val="none"/>
              </w:rPr>
            </w:pPr>
            <w:r>
              <w:rPr>
                <w:rFonts w:hint="eastAsia"/>
                <w:color w:val="auto"/>
                <w:sz w:val="22"/>
                <w:szCs w:val="24"/>
                <w:highlight w:val="none"/>
              </w:rPr>
              <w:t>中证800指数收益率*70%+中证综合债券指数收益率*30%</w:t>
            </w:r>
          </w:p>
        </w:tc>
        <w:tc>
          <w:tcPr>
            <w:tcW w:w="3584" w:type="dxa"/>
          </w:tcPr>
          <w:p>
            <w:pPr>
              <w:pStyle w:val="9"/>
              <w:spacing w:line="360" w:lineRule="auto"/>
              <w:ind w:left="112" w:right="101"/>
              <w:jc w:val="left"/>
              <w:rPr>
                <w:color w:val="auto"/>
                <w:sz w:val="22"/>
                <w:szCs w:val="24"/>
                <w:highlight w:val="none"/>
              </w:rPr>
            </w:pPr>
            <w:r>
              <w:rPr>
                <w:rFonts w:hint="eastAsia"/>
                <w:color w:val="auto"/>
                <w:sz w:val="22"/>
                <w:szCs w:val="24"/>
                <w:highlight w:val="none"/>
              </w:rPr>
              <w:t>中证800指数收益率*90%+中证综合债（全价）指数收益率*10%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20" w:hRule="atLeast"/>
        </w:trPr>
        <w:tc>
          <w:tcPr>
            <w:tcW w:w="709" w:type="dxa"/>
          </w:tcPr>
          <w:p>
            <w:pPr>
              <w:pStyle w:val="9"/>
              <w:spacing w:line="360" w:lineRule="auto"/>
              <w:ind w:left="10"/>
              <w:jc w:val="center"/>
              <w:rPr>
                <w:rFonts w:hint="eastAsia"/>
                <w:color w:val="auto"/>
                <w:sz w:val="22"/>
                <w:szCs w:val="24"/>
                <w:highlight w:val="none"/>
                <w:lang w:val="en-US" w:eastAsia="zh-CN"/>
              </w:rPr>
            </w:pPr>
          </w:p>
          <w:p>
            <w:pPr>
              <w:pStyle w:val="9"/>
              <w:spacing w:line="360" w:lineRule="auto"/>
              <w:jc w:val="center"/>
              <w:rPr>
                <w:rFonts w:hint="eastAsia"/>
                <w:color w:val="auto"/>
                <w:sz w:val="22"/>
                <w:szCs w:val="24"/>
                <w:highlight w:val="none"/>
                <w:lang w:val="en-US" w:eastAsia="zh-CN"/>
              </w:rPr>
            </w:pPr>
            <w:r>
              <w:rPr>
                <w:rFonts w:hint="eastAsia"/>
                <w:color w:val="auto"/>
                <w:sz w:val="22"/>
                <w:szCs w:val="24"/>
                <w:highlight w:val="none"/>
                <w:lang w:val="en-US" w:eastAsia="zh-CN"/>
              </w:rPr>
              <w:t>2</w:t>
            </w:r>
          </w:p>
        </w:tc>
        <w:tc>
          <w:tcPr>
            <w:tcW w:w="2131" w:type="dxa"/>
            <w:vAlign w:val="top"/>
          </w:tcPr>
          <w:p>
            <w:pPr>
              <w:pStyle w:val="9"/>
              <w:spacing w:before="131" w:line="360" w:lineRule="auto"/>
              <w:ind w:left="120" w:right="108"/>
              <w:jc w:val="left"/>
              <w:rPr>
                <w:rFonts w:hint="eastAsia" w:ascii="宋体" w:hAnsi="宋体" w:eastAsia="宋体" w:cs="宋体"/>
                <w:color w:val="auto"/>
                <w:sz w:val="22"/>
                <w:szCs w:val="24"/>
                <w:highlight w:val="none"/>
                <w:lang w:val="zh-CN" w:eastAsia="zh-CN" w:bidi="zh-CN"/>
              </w:rPr>
            </w:pPr>
            <w:r>
              <w:rPr>
                <w:rFonts w:hint="eastAsia" w:ascii="宋体" w:hAnsi="宋体" w:eastAsia="宋体" w:cs="宋体"/>
                <w:color w:val="auto"/>
                <w:sz w:val="22"/>
                <w:szCs w:val="24"/>
                <w:highlight w:val="none"/>
                <w:lang w:val="zh-CN" w:eastAsia="zh-CN" w:bidi="zh-CN"/>
              </w:rPr>
              <w:t>东方阿尔法瑞丰混合型发起式证券投资基金</w:t>
            </w:r>
          </w:p>
        </w:tc>
        <w:tc>
          <w:tcPr>
            <w:tcW w:w="3392" w:type="dxa"/>
          </w:tcPr>
          <w:p>
            <w:pPr>
              <w:pStyle w:val="9"/>
              <w:spacing w:line="360" w:lineRule="auto"/>
              <w:ind w:left="120" w:right="110"/>
              <w:jc w:val="left"/>
              <w:rPr>
                <w:color w:val="auto"/>
                <w:sz w:val="22"/>
                <w:szCs w:val="24"/>
                <w:highlight w:val="none"/>
              </w:rPr>
            </w:pPr>
            <w:r>
              <w:rPr>
                <w:rFonts w:hint="eastAsia" w:ascii="宋体" w:hAnsi="宋体" w:eastAsia="宋体" w:cs="宋体"/>
                <w:color w:val="auto"/>
                <w:sz w:val="22"/>
                <w:szCs w:val="24"/>
                <w:highlight w:val="none"/>
                <w:lang w:val="zh-CN" w:eastAsia="zh-CN" w:bidi="zh-CN"/>
              </w:rPr>
              <w:t>中证800指数收益率*60%+恒生指数收益率*20%+中证综合债券指数收益率*20%</w:t>
            </w:r>
          </w:p>
        </w:tc>
        <w:tc>
          <w:tcPr>
            <w:tcW w:w="3584" w:type="dxa"/>
          </w:tcPr>
          <w:p>
            <w:pPr>
              <w:pStyle w:val="9"/>
              <w:spacing w:line="360" w:lineRule="auto"/>
              <w:ind w:left="112" w:right="101" w:firstLine="78"/>
              <w:jc w:val="left"/>
              <w:rPr>
                <w:color w:val="auto"/>
                <w:sz w:val="22"/>
                <w:szCs w:val="24"/>
                <w:highlight w:val="none"/>
              </w:rPr>
            </w:pPr>
            <w:r>
              <w:rPr>
                <w:rFonts w:hint="eastAsia"/>
                <w:color w:val="auto"/>
                <w:sz w:val="22"/>
                <w:szCs w:val="24"/>
                <w:highlight w:val="none"/>
              </w:rPr>
              <w:t>中证800指数收益率*65%+恒生指数收益率*20%+中证综合债（全价）指数收益率*15%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709" w:type="dxa"/>
          </w:tcPr>
          <w:p>
            <w:pPr>
              <w:pStyle w:val="9"/>
              <w:spacing w:line="360" w:lineRule="auto"/>
              <w:ind w:left="112" w:right="101" w:firstLine="78"/>
              <w:jc w:val="center"/>
              <w:rPr>
                <w:rFonts w:hint="eastAsia"/>
                <w:color w:val="auto"/>
                <w:sz w:val="22"/>
                <w:szCs w:val="24"/>
                <w:highlight w:val="none"/>
                <w:lang w:val="en-US" w:eastAsia="zh-CN"/>
              </w:rPr>
            </w:pPr>
          </w:p>
          <w:p>
            <w:pPr>
              <w:pStyle w:val="9"/>
              <w:spacing w:line="360" w:lineRule="auto"/>
              <w:ind w:right="101"/>
              <w:jc w:val="center"/>
              <w:rPr>
                <w:rFonts w:hint="default"/>
                <w:color w:val="auto"/>
                <w:sz w:val="22"/>
                <w:szCs w:val="24"/>
                <w:highlight w:val="none"/>
                <w:lang w:val="en-US" w:eastAsia="zh-CN"/>
              </w:rPr>
            </w:pPr>
            <w:r>
              <w:rPr>
                <w:rFonts w:hint="eastAsia"/>
                <w:color w:val="auto"/>
                <w:sz w:val="22"/>
                <w:szCs w:val="24"/>
                <w:highlight w:val="none"/>
                <w:lang w:val="en-US" w:eastAsia="zh-CN"/>
              </w:rPr>
              <w:t>3</w:t>
            </w:r>
          </w:p>
        </w:tc>
        <w:tc>
          <w:tcPr>
            <w:tcW w:w="2131" w:type="dxa"/>
            <w:vAlign w:val="top"/>
          </w:tcPr>
          <w:p>
            <w:pPr>
              <w:pStyle w:val="9"/>
              <w:spacing w:line="360" w:lineRule="auto"/>
              <w:ind w:left="112" w:right="101" w:firstLine="78"/>
              <w:jc w:val="left"/>
              <w:rPr>
                <w:rFonts w:hint="eastAsia"/>
                <w:color w:val="auto"/>
                <w:sz w:val="22"/>
                <w:szCs w:val="24"/>
                <w:highlight w:val="none"/>
                <w:lang w:val="zh-CN" w:eastAsia="zh-CN"/>
              </w:rPr>
            </w:pPr>
            <w:r>
              <w:rPr>
                <w:rFonts w:hint="eastAsia"/>
                <w:color w:val="auto"/>
                <w:sz w:val="22"/>
                <w:szCs w:val="24"/>
                <w:highlight w:val="none"/>
              </w:rPr>
              <w:t>东方阿尔法医疗健康混合型发起式证券投资基金</w:t>
            </w:r>
          </w:p>
        </w:tc>
        <w:tc>
          <w:tcPr>
            <w:tcW w:w="3392" w:type="dxa"/>
          </w:tcPr>
          <w:p>
            <w:pPr>
              <w:pStyle w:val="9"/>
              <w:spacing w:line="360" w:lineRule="auto"/>
              <w:ind w:left="112" w:right="101" w:firstLine="78"/>
              <w:jc w:val="left"/>
              <w:rPr>
                <w:rFonts w:hint="eastAsia"/>
                <w:color w:val="auto"/>
                <w:sz w:val="22"/>
                <w:szCs w:val="24"/>
                <w:highlight w:val="none"/>
                <w:lang w:val="zh-CN" w:eastAsia="zh-CN"/>
              </w:rPr>
            </w:pPr>
            <w:r>
              <w:rPr>
                <w:rFonts w:hint="eastAsia"/>
                <w:color w:val="auto"/>
                <w:sz w:val="22"/>
                <w:szCs w:val="24"/>
                <w:highlight w:val="none"/>
              </w:rPr>
              <w:t>中证医药卫生指数收益率*60%+恒生医疗保健指数收益率*20%+中证综合债券指数收益率*20%</w:t>
            </w:r>
          </w:p>
        </w:tc>
        <w:tc>
          <w:tcPr>
            <w:tcW w:w="3584" w:type="dxa"/>
          </w:tcPr>
          <w:p>
            <w:pPr>
              <w:pStyle w:val="9"/>
              <w:spacing w:line="360" w:lineRule="auto"/>
              <w:ind w:left="112" w:right="101" w:firstLine="78"/>
              <w:jc w:val="left"/>
              <w:rPr>
                <w:rFonts w:hint="eastAsia"/>
                <w:color w:val="auto"/>
                <w:sz w:val="22"/>
                <w:szCs w:val="24"/>
                <w:highlight w:val="none"/>
              </w:rPr>
            </w:pPr>
            <w:r>
              <w:rPr>
                <w:rFonts w:hint="eastAsia"/>
                <w:color w:val="auto"/>
                <w:sz w:val="22"/>
                <w:szCs w:val="24"/>
                <w:highlight w:val="none"/>
              </w:rPr>
              <w:t>中证医药卫生指数收益率*65%+恒生医疗保健指数收益率*20%+中证综合债（全价）指数收益率*15%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709" w:type="dxa"/>
          </w:tcPr>
          <w:p>
            <w:pPr>
              <w:pStyle w:val="9"/>
              <w:spacing w:line="360" w:lineRule="auto"/>
              <w:ind w:left="10"/>
              <w:jc w:val="center"/>
              <w:rPr>
                <w:rFonts w:hint="eastAsia"/>
                <w:color w:val="auto"/>
                <w:sz w:val="22"/>
                <w:szCs w:val="24"/>
                <w:highlight w:val="none"/>
                <w:lang w:val="en-US" w:eastAsia="zh-CN"/>
              </w:rPr>
            </w:pPr>
          </w:p>
          <w:p>
            <w:pPr>
              <w:pStyle w:val="9"/>
              <w:spacing w:line="360" w:lineRule="auto"/>
              <w:ind w:left="10"/>
              <w:jc w:val="center"/>
              <w:rPr>
                <w:rFonts w:hint="eastAsia"/>
                <w:color w:val="auto"/>
                <w:sz w:val="22"/>
                <w:szCs w:val="24"/>
                <w:highlight w:val="none"/>
                <w:lang w:val="en-US" w:eastAsia="zh-CN"/>
              </w:rPr>
            </w:pPr>
          </w:p>
          <w:p>
            <w:pPr>
              <w:pStyle w:val="9"/>
              <w:spacing w:line="360" w:lineRule="auto"/>
              <w:ind w:left="10"/>
              <w:jc w:val="center"/>
              <w:rPr>
                <w:rFonts w:hint="eastAsia" w:eastAsia="宋体"/>
                <w:color w:val="auto"/>
                <w:sz w:val="22"/>
                <w:szCs w:val="24"/>
                <w:highlight w:val="none"/>
                <w:lang w:val="en-US" w:eastAsia="zh-CN"/>
              </w:rPr>
            </w:pPr>
            <w:r>
              <w:rPr>
                <w:rFonts w:hint="eastAsia"/>
                <w:color w:val="auto"/>
                <w:sz w:val="22"/>
                <w:szCs w:val="24"/>
                <w:highlight w:val="none"/>
                <w:lang w:val="en-US" w:eastAsia="zh-CN"/>
              </w:rPr>
              <w:t>4</w:t>
            </w:r>
          </w:p>
        </w:tc>
        <w:tc>
          <w:tcPr>
            <w:tcW w:w="2131" w:type="dxa"/>
            <w:vAlign w:val="top"/>
          </w:tcPr>
          <w:p>
            <w:pPr>
              <w:pStyle w:val="9"/>
              <w:spacing w:before="131" w:line="360" w:lineRule="auto"/>
              <w:ind w:left="120" w:right="108"/>
              <w:jc w:val="left"/>
              <w:rPr>
                <w:rFonts w:hint="eastAsia" w:ascii="宋体" w:hAnsi="宋体" w:eastAsia="宋体" w:cs="宋体"/>
                <w:color w:val="auto"/>
                <w:sz w:val="22"/>
                <w:szCs w:val="24"/>
                <w:highlight w:val="none"/>
                <w:lang w:val="zh-CN" w:eastAsia="zh-CN" w:bidi="zh-CN"/>
              </w:rPr>
            </w:pPr>
            <w:r>
              <w:rPr>
                <w:rFonts w:hint="eastAsia" w:ascii="宋体" w:hAnsi="宋体" w:eastAsia="宋体" w:cs="宋体"/>
                <w:color w:val="auto"/>
                <w:sz w:val="22"/>
                <w:szCs w:val="24"/>
                <w:highlight w:val="none"/>
                <w:lang w:val="zh-CN" w:eastAsia="zh-CN" w:bidi="zh-CN"/>
              </w:rPr>
              <w:t>东方阿尔法健康产业混合型发起式证券投资基金</w:t>
            </w:r>
          </w:p>
        </w:tc>
        <w:tc>
          <w:tcPr>
            <w:tcW w:w="3392" w:type="dxa"/>
          </w:tcPr>
          <w:p>
            <w:pPr>
              <w:pStyle w:val="9"/>
              <w:spacing w:line="360" w:lineRule="auto"/>
              <w:ind w:left="120" w:right="110"/>
              <w:jc w:val="left"/>
              <w:rPr>
                <w:color w:val="auto"/>
                <w:sz w:val="22"/>
                <w:szCs w:val="24"/>
                <w:highlight w:val="none"/>
              </w:rPr>
            </w:pPr>
            <w:r>
              <w:rPr>
                <w:rFonts w:hint="eastAsia"/>
                <w:color w:val="auto"/>
                <w:sz w:val="22"/>
                <w:szCs w:val="24"/>
                <w:highlight w:val="none"/>
              </w:rPr>
              <w:t>中证医药卫生指数收益率*40%+中证内地消费主题指数收益率*20%+恒生指数收益率*20%+中证综合债券指数收益率*20%</w:t>
            </w:r>
          </w:p>
        </w:tc>
        <w:tc>
          <w:tcPr>
            <w:tcW w:w="3584" w:type="dxa"/>
          </w:tcPr>
          <w:p>
            <w:pPr>
              <w:pStyle w:val="9"/>
              <w:spacing w:line="360" w:lineRule="auto"/>
              <w:ind w:right="101"/>
              <w:jc w:val="left"/>
              <w:rPr>
                <w:color w:val="auto"/>
                <w:sz w:val="22"/>
                <w:szCs w:val="24"/>
                <w:highlight w:val="none"/>
              </w:rPr>
            </w:pPr>
            <w:r>
              <w:rPr>
                <w:rFonts w:hint="eastAsia"/>
                <w:color w:val="auto"/>
                <w:sz w:val="22"/>
                <w:szCs w:val="24"/>
                <w:highlight w:val="none"/>
              </w:rPr>
              <w:t>中证医药卫生指数收益率*65%+恒生医疗保健指数收益率*20%+中证综合债（全价）指数收益率*15%</w:t>
            </w:r>
          </w:p>
        </w:tc>
      </w:tr>
    </w:tbl>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textAlignment w:val="auto"/>
        <w:rPr>
          <w:spacing w:val="-13"/>
          <w:highlight w:val="none"/>
        </w:rPr>
      </w:pPr>
      <w:r>
        <w:rPr>
          <w:spacing w:val="-13"/>
          <w:highlight w:val="none"/>
        </w:rPr>
        <w:t>上述基金调整业绩比较基准要素的原因、差异及影响详见附件《业绩比较基准调整原因及合理性说明》。</w:t>
      </w:r>
    </w:p>
    <w:p>
      <w:pPr>
        <w:pStyle w:val="2"/>
        <w:spacing w:line="360" w:lineRule="auto"/>
        <w:ind w:left="1340" w:firstLine="0"/>
        <w:rPr>
          <w:rFonts w:hint="eastAsia" w:ascii="黑体" w:hAnsi="黑体" w:eastAsia="黑体" w:cs="黑体"/>
          <w:highlight w:val="none"/>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highlight w:val="none"/>
        </w:rPr>
      </w:pPr>
      <w:r>
        <w:rPr>
          <w:rFonts w:hint="eastAsia" w:ascii="黑体" w:hAnsi="黑体" w:eastAsia="黑体" w:cs="黑体"/>
          <w:highlight w:val="none"/>
        </w:rPr>
        <w:t>二、基金合同等法律文件修订内容</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textAlignment w:val="auto"/>
        <w:rPr>
          <w:spacing w:val="-13"/>
          <w:highlight w:val="none"/>
        </w:rPr>
      </w:pPr>
      <w:r>
        <w:rPr>
          <w:spacing w:val="-13"/>
          <w:highlight w:val="none"/>
        </w:rPr>
        <w:t>（一）基金合同具体修订内容包括：在“基金的投资”章节中的“业绩比较基准”部分列明基金调整后的业绩比较基准、设定原因（包括与基金产品投资目标、投资范围、投资策略、投资比例限制的匹配情况）、基准要素相关信息（包括发布机构、代码、查询途径等）、业绩比较基准的计算方法、管理投资偏离业绩比较基准的定性或定量方法，以及未来可能变更业绩比较基准的情形和程序。</w:t>
      </w:r>
      <w:r>
        <w:rPr>
          <w:rFonts w:hint="eastAsia"/>
          <w:spacing w:val="-13"/>
          <w:highlight w:val="none"/>
        </w:rPr>
        <w:t>基金管理人将一并修订托管协议（如有），并更新招募说明书、基金产品资料概要相关内容。</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textAlignment w:val="auto"/>
        <w:rPr>
          <w:spacing w:val="-13"/>
          <w:highlight w:val="none"/>
        </w:rPr>
      </w:pPr>
      <w:r>
        <w:rPr>
          <w:spacing w:val="-13"/>
          <w:highlight w:val="none"/>
        </w:rPr>
        <w:t>（二）</w:t>
      </w:r>
      <w:r>
        <w:rPr>
          <w:rFonts w:hint="eastAsia"/>
          <w:spacing w:val="-13"/>
          <w:highlight w:val="none"/>
        </w:rPr>
        <w:t>本次修订对基金份额持有人利益无实质性不利影响，基金管理人已履行规定的程序，符合相关法律法规规定和基金合同约定，修订后的基金合同、托管协议（如有）、招募说明书（更新）和基金产品资料概要（更新）</w:t>
      </w:r>
      <w:r>
        <w:rPr>
          <w:spacing w:val="-13"/>
          <w:highlight w:val="none"/>
        </w:rPr>
        <w:t>将在基金管理人网站（</w:t>
      </w:r>
      <w:r>
        <w:rPr>
          <w:spacing w:val="-13"/>
          <w:highlight w:val="none"/>
        </w:rPr>
        <w:fldChar w:fldCharType="begin"/>
      </w:r>
      <w:r>
        <w:rPr>
          <w:spacing w:val="-13"/>
          <w:highlight w:val="none"/>
        </w:rPr>
        <w:instrText xml:space="preserve"> HYPERLINK "http://www.dfa66.com" </w:instrText>
      </w:r>
      <w:r>
        <w:rPr>
          <w:spacing w:val="-13"/>
          <w:highlight w:val="none"/>
        </w:rPr>
        <w:fldChar w:fldCharType="separate"/>
      </w:r>
      <w:r>
        <w:rPr>
          <w:spacing w:val="-13"/>
          <w:highlight w:val="none"/>
        </w:rPr>
        <w:t>www.dfa66.com</w:t>
      </w:r>
      <w:r>
        <w:rPr>
          <w:spacing w:val="-13"/>
          <w:highlight w:val="none"/>
        </w:rPr>
        <w:fldChar w:fldCharType="end"/>
      </w:r>
      <w:r>
        <w:rPr>
          <w:spacing w:val="-13"/>
          <w:highlight w:val="none"/>
        </w:rPr>
        <w:t>）和中国证监会基金电子披露网站（</w:t>
      </w:r>
      <w:r>
        <w:rPr>
          <w:spacing w:val="-13"/>
          <w:highlight w:val="none"/>
        </w:rPr>
        <w:fldChar w:fldCharType="begin"/>
      </w:r>
      <w:r>
        <w:rPr>
          <w:spacing w:val="-13"/>
          <w:highlight w:val="none"/>
        </w:rPr>
        <w:instrText xml:space="preserve"> HYPERLINK "http://eid.csrc.gov.cn/fund" \h </w:instrText>
      </w:r>
      <w:r>
        <w:rPr>
          <w:spacing w:val="-13"/>
          <w:highlight w:val="none"/>
        </w:rPr>
        <w:fldChar w:fldCharType="separate"/>
      </w:r>
      <w:r>
        <w:rPr>
          <w:spacing w:val="-13"/>
          <w:highlight w:val="none"/>
        </w:rPr>
        <w:t>http://eid.csrc.gov.cn/fund</w:t>
      </w:r>
      <w:r>
        <w:rPr>
          <w:spacing w:val="-13"/>
          <w:highlight w:val="none"/>
        </w:rPr>
        <w:fldChar w:fldCharType="end"/>
      </w:r>
      <w:r>
        <w:rPr>
          <w:spacing w:val="-13"/>
          <w:highlight w:val="none"/>
        </w:rPr>
        <w:t>）发布。投资者办理基金交易等相关业务前，应仔细阅读各基金的基金合同、招募说明书、基金产品资料概要、风险提示及相关业务规则和操作指南等文件。</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textAlignment w:val="auto"/>
        <w:rPr>
          <w:spacing w:val="-13"/>
          <w:highlight w:val="none"/>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highlight w:val="none"/>
        </w:rPr>
      </w:pPr>
      <w:r>
        <w:rPr>
          <w:rFonts w:hint="eastAsia" w:ascii="黑体" w:hAnsi="黑体" w:eastAsia="黑体" w:cs="黑体"/>
          <w:highlight w:val="none"/>
        </w:rPr>
        <w:t>三、上述基金修订后的基金合同、托管协议（如有）自2026年</w:t>
      </w:r>
      <w:r>
        <w:rPr>
          <w:rFonts w:hint="default" w:ascii="黑体" w:hAnsi="黑体" w:eastAsia="黑体" w:cs="黑体"/>
          <w:highlight w:val="none"/>
          <w:lang w:val="en-US" w:eastAsia="zh-CN"/>
        </w:rPr>
        <w:t>9</w:t>
      </w:r>
      <w:r>
        <w:rPr>
          <w:rFonts w:hint="eastAsia" w:ascii="黑体" w:hAnsi="黑体" w:eastAsia="黑体" w:cs="黑体"/>
          <w:highlight w:val="none"/>
        </w:rPr>
        <w:t>月</w:t>
      </w:r>
      <w:r>
        <w:rPr>
          <w:rFonts w:hint="default" w:ascii="黑体" w:hAnsi="黑体" w:eastAsia="黑体" w:cs="黑体"/>
          <w:highlight w:val="none"/>
          <w:lang w:val="en-US" w:eastAsia="zh-CN"/>
        </w:rPr>
        <w:t>21</w:t>
      </w:r>
      <w:r>
        <w:rPr>
          <w:rFonts w:hint="eastAsia" w:ascii="黑体" w:hAnsi="黑体" w:eastAsia="黑体" w:cs="黑体"/>
          <w:highlight w:val="none"/>
        </w:rPr>
        <w:t>日起生效。</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520" w:firstLineChars="200"/>
        <w:textAlignment w:val="auto"/>
        <w:rPr>
          <w:rFonts w:ascii="Microsoft JhengHei"/>
          <w:b w:val="0"/>
          <w:bCs/>
          <w:sz w:val="26"/>
          <w:highlight w:val="none"/>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b/>
          <w:sz w:val="24"/>
          <w:highlight w:val="none"/>
        </w:rPr>
      </w:pPr>
      <w:r>
        <w:rPr>
          <w:rFonts w:hint="eastAsia" w:ascii="黑体" w:hAnsi="黑体" w:eastAsia="黑体" w:cs="黑体"/>
          <w:b/>
          <w:sz w:val="24"/>
          <w:highlight w:val="none"/>
        </w:rPr>
        <w:t>四、其他事项</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textAlignment w:val="auto"/>
        <w:rPr>
          <w:spacing w:val="-13"/>
          <w:highlight w:val="none"/>
        </w:rPr>
      </w:pPr>
      <w:r>
        <w:rPr>
          <w:spacing w:val="-13"/>
          <w:highlight w:val="none"/>
        </w:rPr>
        <w:t>（一）投资者可通过以下途径咨询有关详情</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textAlignment w:val="auto"/>
        <w:rPr>
          <w:spacing w:val="-13"/>
          <w:highlight w:val="none"/>
        </w:rPr>
      </w:pPr>
      <w:r>
        <w:rPr>
          <w:spacing w:val="-13"/>
          <w:highlight w:val="none"/>
        </w:rPr>
        <w:t>客户服务中心电话：400-930-6677</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textAlignment w:val="auto"/>
        <w:rPr>
          <w:spacing w:val="-13"/>
          <w:highlight w:val="none"/>
        </w:rPr>
      </w:pPr>
      <w:r>
        <w:rPr>
          <w:spacing w:val="-13"/>
          <w:highlight w:val="none"/>
        </w:rPr>
        <w:t>网址：</w:t>
      </w:r>
      <w:r>
        <w:rPr>
          <w:spacing w:val="-13"/>
          <w:highlight w:val="none"/>
        </w:rPr>
        <w:fldChar w:fldCharType="begin"/>
      </w:r>
      <w:r>
        <w:rPr>
          <w:spacing w:val="-13"/>
          <w:highlight w:val="none"/>
        </w:rPr>
        <w:instrText xml:space="preserve"> HYPERLINK "http://www.dfa66.com" </w:instrText>
      </w:r>
      <w:r>
        <w:rPr>
          <w:spacing w:val="-13"/>
          <w:highlight w:val="none"/>
        </w:rPr>
        <w:fldChar w:fldCharType="separate"/>
      </w:r>
      <w:r>
        <w:rPr>
          <w:spacing w:val="-13"/>
          <w:highlight w:val="none"/>
        </w:rPr>
        <w:t>www.dfa66.com</w:t>
      </w:r>
      <w:r>
        <w:rPr>
          <w:spacing w:val="-13"/>
          <w:highlight w:val="none"/>
        </w:rPr>
        <w:fldChar w:fldCharType="end"/>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textAlignment w:val="auto"/>
        <w:rPr>
          <w:spacing w:val="-13"/>
          <w:highlight w:val="none"/>
        </w:rPr>
      </w:pPr>
      <w:r>
        <w:rPr>
          <w:spacing w:val="-13"/>
          <w:highlight w:val="none"/>
        </w:rPr>
        <w:t>（二）基金管理人承诺以诚实信用、勤勉尽责的原则管理和运用基金资产，但不保证基金一定盈利，也不保证最低收益。销售机构根据法规要求对投资者类别、风险承受能力和基金的风险等级进行划分，并提出适当性匹配意见。投资者在投资基金前应认真阅读基金合同、招募说明书（更新）和基金产品资料概要（更新）等基金法律文件，全面认识基金产品的风险收益特征，在了解产品情况及销售机构适当性意见的基础上，根据自身的风险承受能力、投资期限和投资目标，对基金投资作出独立决策，选择合适的基金产品。基金管理人提醒投资者基金投资的“买者自负”原则，在投资者作出投资决策后，基金运营状况与基金净值变化引致的投资风险，由投资者自行负责。</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textAlignment w:val="auto"/>
        <w:rPr>
          <w:spacing w:val="-13"/>
          <w:highlight w:val="none"/>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textAlignment w:val="auto"/>
        <w:rPr>
          <w:spacing w:val="-13"/>
          <w:highlight w:val="none"/>
        </w:rPr>
      </w:pPr>
      <w:r>
        <w:rPr>
          <w:spacing w:val="-13"/>
          <w:highlight w:val="none"/>
        </w:rPr>
        <w:t>特此公告。</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28" w:firstLineChars="200"/>
        <w:textAlignment w:val="auto"/>
        <w:rPr>
          <w:spacing w:val="-13"/>
          <w:highlight w:val="none"/>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jc w:val="right"/>
        <w:textAlignment w:val="auto"/>
        <w:rPr>
          <w:spacing w:val="-13"/>
          <w:highlight w:val="none"/>
        </w:rPr>
      </w:pPr>
      <w:r>
        <w:rPr>
          <w:rFonts w:hint="eastAsia"/>
          <w:spacing w:val="-13"/>
          <w:highlight w:val="none"/>
          <w:lang w:eastAsia="zh-CN"/>
        </w:rPr>
        <w:t>东方阿尔法</w:t>
      </w:r>
      <w:r>
        <w:rPr>
          <w:spacing w:val="-13"/>
          <w:highlight w:val="none"/>
        </w:rPr>
        <w:t>基金管理有限公司</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28" w:firstLineChars="200"/>
        <w:jc w:val="right"/>
        <w:textAlignment w:val="auto"/>
        <w:rPr>
          <w:spacing w:val="-13"/>
          <w:highlight w:val="none"/>
        </w:rPr>
      </w:pPr>
      <w:r>
        <w:rPr>
          <w:spacing w:val="-13"/>
          <w:highlight w:val="none"/>
        </w:rPr>
        <w:t>2026年</w:t>
      </w:r>
      <w:r>
        <w:rPr>
          <w:rFonts w:hint="default"/>
          <w:spacing w:val="-13"/>
          <w:highlight w:val="none"/>
          <w:lang w:val="en-US" w:eastAsia="zh-CN"/>
        </w:rPr>
        <w:t>8</w:t>
      </w:r>
      <w:r>
        <w:rPr>
          <w:spacing w:val="-13"/>
          <w:highlight w:val="none"/>
        </w:rPr>
        <w:t>月</w:t>
      </w:r>
      <w:r>
        <w:rPr>
          <w:rFonts w:hint="default"/>
          <w:spacing w:val="-13"/>
          <w:highlight w:val="none"/>
          <w:lang w:val="en-US" w:eastAsia="zh-CN"/>
        </w:rPr>
        <w:t>22</w:t>
      </w:r>
      <w:r>
        <w:rPr>
          <w:spacing w:val="-13"/>
          <w:highlight w:val="none"/>
        </w:rPr>
        <w:t>日</w:t>
      </w:r>
    </w:p>
    <w:p>
      <w:pPr>
        <w:pStyle w:val="4"/>
        <w:spacing w:before="1" w:line="360" w:lineRule="auto"/>
        <w:ind w:right="665" w:firstLine="480"/>
        <w:rPr>
          <w:spacing w:val="-13"/>
          <w:highlight w:val="none"/>
        </w:rPr>
        <w:sectPr>
          <w:footerReference r:id="rId3" w:type="default"/>
          <w:pgSz w:w="11910" w:h="16840"/>
          <w:pgMar w:top="1580" w:right="920" w:bottom="1220" w:left="940" w:header="0" w:footer="945" w:gutter="0"/>
          <w:cols w:space="720" w:num="1"/>
        </w:sectPr>
      </w:pPr>
    </w:p>
    <w:p>
      <w:pPr>
        <w:pStyle w:val="2"/>
        <w:keepNext w:val="0"/>
        <w:keepLines w:val="0"/>
        <w:pageBreakBefore w:val="0"/>
        <w:widowControl w:val="0"/>
        <w:kinsoku/>
        <w:wordWrap/>
        <w:overflowPunct/>
        <w:topLinePunct w:val="0"/>
        <w:autoSpaceDE w:val="0"/>
        <w:autoSpaceDN w:val="0"/>
        <w:bidi w:val="0"/>
        <w:adjustRightInd/>
        <w:snapToGrid/>
        <w:spacing w:line="360" w:lineRule="auto"/>
        <w:ind w:left="601" w:hanging="601"/>
        <w:textAlignment w:val="auto"/>
        <w:rPr>
          <w:rFonts w:hint="eastAsia" w:ascii="宋体" w:hAnsi="宋体" w:eastAsia="宋体" w:cs="宋体"/>
          <w:sz w:val="28"/>
          <w:szCs w:val="28"/>
          <w:highlight w:val="none"/>
        </w:rPr>
      </w:pPr>
      <w:r>
        <w:rPr>
          <w:rFonts w:hint="eastAsia" w:ascii="宋体" w:hAnsi="宋体" w:eastAsia="宋体" w:cs="宋体"/>
          <w:sz w:val="28"/>
          <w:szCs w:val="28"/>
          <w:highlight w:val="none"/>
        </w:rPr>
        <w:t>附：业绩比较基准调整原因及合理性说明</w:t>
      </w:r>
    </w:p>
    <w:p>
      <w:pPr>
        <w:pStyle w:val="2"/>
        <w:ind w:left="601" w:hanging="601"/>
        <w:rPr>
          <w:rFonts w:hint="eastAsia" w:asciiTheme="minorEastAsia" w:hAnsiTheme="minorEastAsia"/>
          <w:sz w:val="24"/>
          <w:highlight w:val="none"/>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b/>
          <w:bCs/>
          <w:sz w:val="24"/>
          <w:szCs w:val="24"/>
          <w:highlight w:val="none"/>
          <w:lang w:val="zh-CN" w:eastAsia="zh-CN" w:bidi="zh-CN"/>
        </w:rPr>
      </w:pPr>
      <w:r>
        <w:rPr>
          <w:rFonts w:hint="eastAsia" w:ascii="黑体" w:hAnsi="黑体" w:eastAsia="黑体" w:cs="黑体"/>
          <w:b/>
          <w:bCs/>
          <w:sz w:val="24"/>
          <w:szCs w:val="24"/>
          <w:highlight w:val="none"/>
          <w:lang w:val="en-US" w:eastAsia="zh-CN" w:bidi="zh-CN"/>
        </w:rPr>
        <w:t>一、</w:t>
      </w:r>
      <w:r>
        <w:rPr>
          <w:rFonts w:hint="eastAsia" w:ascii="黑体" w:hAnsi="黑体" w:eastAsia="黑体" w:cs="黑体"/>
          <w:b/>
          <w:bCs/>
          <w:sz w:val="24"/>
          <w:szCs w:val="24"/>
          <w:highlight w:val="none"/>
          <w:lang w:val="zh-CN" w:eastAsia="zh-CN" w:bidi="zh-CN"/>
        </w:rPr>
        <w:t>东方阿尔法优势产业混合型发起式证券投资基金</w:t>
      </w:r>
    </w:p>
    <w:p>
      <w:pPr>
        <w:pStyle w:val="8"/>
        <w:keepNext w:val="0"/>
        <w:keepLines w:val="0"/>
        <w:pageBreakBefore w:val="0"/>
        <w:widowControl w:val="0"/>
        <w:numPr>
          <w:ilvl w:val="0"/>
          <w:numId w:val="0"/>
        </w:numPr>
        <w:tabs>
          <w:tab w:val="left" w:pos="1943"/>
        </w:tabs>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default" w:ascii="宋体" w:hAnsi="宋体" w:eastAsia="宋体" w:cs="宋体"/>
          <w:color w:val="auto"/>
          <w:sz w:val="24"/>
          <w:szCs w:val="32"/>
          <w:highlight w:val="none"/>
          <w:lang w:val="en-US" w:eastAsia="zh-CN" w:bidi="zh-CN"/>
        </w:rPr>
      </w:pPr>
      <w:r>
        <w:rPr>
          <w:rFonts w:hint="eastAsia" w:ascii="黑体" w:hAnsi="黑体" w:eastAsia="黑体" w:cs="黑体"/>
          <w:b/>
          <w:bCs/>
          <w:sz w:val="24"/>
          <w:szCs w:val="24"/>
          <w:highlight w:val="none"/>
          <w:lang w:val="en-US" w:eastAsia="zh-CN" w:bidi="zh-CN"/>
        </w:rPr>
        <w:t>1、</w:t>
      </w:r>
      <w:r>
        <w:rPr>
          <w:rFonts w:hint="eastAsia" w:ascii="黑体" w:hAnsi="黑体" w:eastAsia="黑体" w:cs="黑体"/>
          <w:b/>
          <w:bCs/>
          <w:sz w:val="24"/>
          <w:szCs w:val="24"/>
          <w:highlight w:val="none"/>
          <w:lang w:val="zh-CN" w:eastAsia="zh-CN" w:bidi="zh-CN"/>
        </w:rPr>
        <w:t>当前业绩比较基准：</w:t>
      </w:r>
      <w:r>
        <w:rPr>
          <w:rFonts w:hint="eastAsia" w:ascii="宋体" w:hAnsi="宋体" w:eastAsia="宋体" w:cs="宋体"/>
          <w:color w:val="auto"/>
          <w:sz w:val="24"/>
          <w:szCs w:val="32"/>
          <w:highlight w:val="none"/>
          <w:lang w:val="zh-CN" w:eastAsia="zh-CN" w:bidi="zh-CN"/>
        </w:rPr>
        <w:t>中证800指数收益率*70%+中证综合债券指数收益率*30%</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default" w:ascii="宋体" w:hAnsi="宋体" w:eastAsia="宋体" w:cs="宋体"/>
          <w:color w:val="auto"/>
          <w:sz w:val="24"/>
          <w:szCs w:val="32"/>
          <w:highlight w:val="none"/>
          <w:lang w:val="en-US" w:eastAsia="zh-CN" w:bidi="zh-CN"/>
        </w:rPr>
      </w:pPr>
      <w:r>
        <w:rPr>
          <w:rFonts w:hint="eastAsia" w:ascii="黑体" w:hAnsi="黑体" w:eastAsia="黑体" w:cs="黑体"/>
          <w:b/>
          <w:bCs/>
          <w:sz w:val="24"/>
          <w:szCs w:val="24"/>
          <w:highlight w:val="none"/>
          <w:lang w:val="zh-CN" w:eastAsia="zh-CN" w:bidi="zh-CN"/>
        </w:rPr>
        <w:t>调整后新业绩比较基准：</w:t>
      </w:r>
      <w:r>
        <w:rPr>
          <w:rFonts w:hint="eastAsia" w:ascii="宋体" w:hAnsi="宋体" w:eastAsia="宋体" w:cs="宋体"/>
          <w:color w:val="auto"/>
          <w:sz w:val="24"/>
          <w:szCs w:val="32"/>
          <w:highlight w:val="none"/>
          <w:lang w:val="zh-CN" w:eastAsia="zh-CN" w:bidi="zh-CN"/>
        </w:rPr>
        <w:t>中证800指数收益率*90%+中证综合债（全价）指数收益率*10%</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highlight w:val="none"/>
        </w:rPr>
      </w:pPr>
      <w:r>
        <w:rPr>
          <w:rFonts w:hint="eastAsia" w:ascii="黑体" w:hAnsi="黑体" w:eastAsia="黑体" w:cs="黑体"/>
          <w:highlight w:val="none"/>
          <w:lang w:val="en-US" w:eastAsia="zh-CN"/>
        </w:rPr>
        <w:t>2、</w:t>
      </w:r>
      <w:r>
        <w:rPr>
          <w:rFonts w:hint="eastAsia" w:ascii="黑体" w:hAnsi="黑体" w:eastAsia="黑体" w:cs="黑体"/>
          <w:highlight w:val="none"/>
        </w:rPr>
        <w:t>新的业绩比较基准选择原因、差异及影响：</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Calibri" w:hAnsi="Calibri" w:cs="Times New Roman"/>
          <w:kern w:val="2"/>
          <w:sz w:val="24"/>
          <w:szCs w:val="24"/>
          <w:highlight w:val="none"/>
          <w:lang w:val="en-US" w:bidi="ar-SA"/>
        </w:rPr>
      </w:pPr>
      <w:r>
        <w:rPr>
          <w:rFonts w:hint="eastAsia" w:ascii="Calibri" w:hAnsi="Calibri" w:cs="Times New Roman"/>
          <w:kern w:val="2"/>
          <w:sz w:val="24"/>
          <w:szCs w:val="24"/>
          <w:highlight w:val="none"/>
          <w:lang w:val="en-US" w:bidi="ar-SA"/>
        </w:rPr>
        <w:t>此次本基金业绩比较基准调整同时涉及更换业绩比较基准要素和调整业绩比较基准的要素权重。</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Calibri" w:hAnsi="Calibri" w:eastAsia="宋体" w:cs="Times New Roman"/>
          <w:kern w:val="2"/>
          <w:sz w:val="24"/>
          <w:szCs w:val="24"/>
          <w:highlight w:val="none"/>
          <w:lang w:val="en-US" w:eastAsia="zh-CN" w:bidi="ar-SA"/>
        </w:rPr>
      </w:pPr>
      <w:r>
        <w:rPr>
          <w:rFonts w:hint="eastAsia" w:ascii="Calibri" w:hAnsi="Calibri" w:eastAsia="宋体" w:cs="Times New Roman"/>
          <w:kern w:val="2"/>
          <w:sz w:val="24"/>
          <w:szCs w:val="24"/>
          <w:highlight w:val="none"/>
          <w:lang w:val="en-US" w:eastAsia="zh-CN" w:bidi="ar-SA"/>
        </w:rPr>
        <w:t>本基金的债券资产采用全市场策略，主要通过类属配置与券种选择进行投资管理。原业绩比较基准中，中证综合债券指数（指数代码H11009）</w:t>
      </w:r>
      <w:r>
        <w:rPr>
          <w:rFonts w:hint="eastAsia"/>
          <w:bCs/>
          <w:sz w:val="24"/>
          <w:highlight w:val="none"/>
        </w:rPr>
        <w:t>选取在沪深交易所或银行间市场上市的BBB及以上、且剩余期限1个月及以上的国债、金融债、企业债等债券作为成份券</w:t>
      </w:r>
      <w:r>
        <w:rPr>
          <w:rFonts w:hint="eastAsia"/>
          <w:bCs/>
          <w:sz w:val="24"/>
          <w:highlight w:val="none"/>
          <w:lang w:eastAsia="zh-CN"/>
        </w:rPr>
        <w:t>，</w:t>
      </w:r>
      <w:r>
        <w:rPr>
          <w:rFonts w:hint="eastAsia"/>
          <w:bCs/>
          <w:sz w:val="24"/>
          <w:highlight w:val="none"/>
        </w:rPr>
        <w:t>该指数旨在更全面地反映我国债券市场的整体价格变动趋势</w:t>
      </w:r>
      <w:r>
        <w:rPr>
          <w:rFonts w:hint="eastAsia" w:ascii="Calibri" w:hAnsi="Calibri" w:eastAsia="宋体" w:cs="Times New Roman"/>
          <w:kern w:val="2"/>
          <w:sz w:val="24"/>
          <w:szCs w:val="24"/>
          <w:highlight w:val="none"/>
          <w:lang w:val="en-US" w:eastAsia="zh-CN" w:bidi="ar-SA"/>
        </w:rPr>
        <w:t>。调整后的新业绩比较基准中，中证综合债（全价）指数（指数代码H11009CNY030）为中证综合债券指数的全价算法衍生指数，适合作为本基金债券部分的业绩比较基准要素。</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Calibri" w:hAnsi="Calibri" w:cs="Times New Roman"/>
          <w:kern w:val="2"/>
          <w:sz w:val="24"/>
          <w:szCs w:val="24"/>
          <w:highlight w:val="none"/>
          <w:lang w:val="en-US" w:eastAsia="zh-CN" w:bidi="ar-SA"/>
        </w:rPr>
      </w:pPr>
      <w:r>
        <w:rPr>
          <w:rFonts w:hint="eastAsia" w:ascii="Calibri" w:hAnsi="Calibri" w:eastAsia="宋体" w:cs="Times New Roman"/>
          <w:kern w:val="2"/>
          <w:sz w:val="24"/>
          <w:szCs w:val="24"/>
          <w:highlight w:val="none"/>
          <w:lang w:val="en-US" w:eastAsia="zh-CN" w:bidi="ar-SA"/>
        </w:rPr>
        <w:t>此外，基于本基金历史持仓，并结合基金合同约定的投资比例限制以及本基金预期的资产配置比例中枢，将业绩比较基准中的股票资产所对应的基准要素权重从</w:t>
      </w:r>
      <w:r>
        <w:rPr>
          <w:rFonts w:hint="eastAsia" w:ascii="Calibri" w:hAnsi="Calibri" w:cs="Times New Roman"/>
          <w:kern w:val="2"/>
          <w:sz w:val="24"/>
          <w:szCs w:val="24"/>
          <w:highlight w:val="none"/>
          <w:lang w:val="en-US" w:eastAsia="zh-CN" w:bidi="ar-SA"/>
        </w:rPr>
        <w:t>70</w:t>
      </w:r>
      <w:r>
        <w:rPr>
          <w:rFonts w:hint="eastAsia" w:ascii="Calibri" w:hAnsi="Calibri" w:eastAsia="宋体" w:cs="Times New Roman"/>
          <w:kern w:val="2"/>
          <w:sz w:val="24"/>
          <w:szCs w:val="24"/>
          <w:highlight w:val="none"/>
          <w:lang w:val="en-US" w:eastAsia="zh-CN" w:bidi="ar-SA"/>
        </w:rPr>
        <w:t>%提高至</w:t>
      </w:r>
      <w:r>
        <w:rPr>
          <w:rFonts w:hint="eastAsia" w:ascii="Calibri" w:hAnsi="Calibri" w:cs="Times New Roman"/>
          <w:kern w:val="2"/>
          <w:sz w:val="24"/>
          <w:szCs w:val="24"/>
          <w:highlight w:val="none"/>
          <w:lang w:val="en-US" w:eastAsia="zh-CN" w:bidi="ar-SA"/>
        </w:rPr>
        <w:t>90</w:t>
      </w:r>
      <w:r>
        <w:rPr>
          <w:rFonts w:hint="eastAsia" w:ascii="Calibri" w:hAnsi="Calibri" w:eastAsia="宋体" w:cs="Times New Roman"/>
          <w:kern w:val="2"/>
          <w:sz w:val="24"/>
          <w:szCs w:val="24"/>
          <w:highlight w:val="none"/>
          <w:lang w:val="en-US" w:eastAsia="zh-CN" w:bidi="ar-SA"/>
        </w:rPr>
        <w:t>%，将业绩比较基准中的债券资产所对应的基准要素权重从</w:t>
      </w:r>
      <w:r>
        <w:rPr>
          <w:rFonts w:hint="eastAsia" w:ascii="Calibri" w:hAnsi="Calibri" w:cs="Times New Roman"/>
          <w:kern w:val="2"/>
          <w:sz w:val="24"/>
          <w:szCs w:val="24"/>
          <w:highlight w:val="none"/>
          <w:lang w:val="en-US" w:eastAsia="zh-CN" w:bidi="ar-SA"/>
        </w:rPr>
        <w:t>30</w:t>
      </w:r>
      <w:r>
        <w:rPr>
          <w:rFonts w:hint="eastAsia" w:ascii="Calibri" w:hAnsi="Calibri" w:eastAsia="宋体" w:cs="Times New Roman"/>
          <w:kern w:val="2"/>
          <w:sz w:val="24"/>
          <w:szCs w:val="24"/>
          <w:highlight w:val="none"/>
          <w:lang w:val="en-US" w:eastAsia="zh-CN" w:bidi="ar-SA"/>
        </w:rPr>
        <w:t>%降低至</w:t>
      </w:r>
      <w:r>
        <w:rPr>
          <w:rFonts w:hint="eastAsia" w:ascii="Calibri" w:hAnsi="Calibri" w:cs="Times New Roman"/>
          <w:kern w:val="2"/>
          <w:sz w:val="24"/>
          <w:szCs w:val="24"/>
          <w:highlight w:val="none"/>
          <w:lang w:val="en-US" w:eastAsia="zh-CN" w:bidi="ar-SA"/>
        </w:rPr>
        <w:t>10</w:t>
      </w:r>
      <w:r>
        <w:rPr>
          <w:rFonts w:hint="eastAsia" w:ascii="Calibri" w:hAnsi="Calibri" w:eastAsia="宋体" w:cs="Times New Roman"/>
          <w:kern w:val="2"/>
          <w:sz w:val="24"/>
          <w:szCs w:val="24"/>
          <w:highlight w:val="none"/>
          <w:lang w:val="en-US" w:eastAsia="zh-CN" w:bidi="ar-SA"/>
        </w:rPr>
        <w:t>%，从而使得新业绩比较基准中各大资产类别所对应的基准要素权重与基金投资策略和基金过往实际投资运作等相匹配。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Theme="minorEastAsia" w:hAnsiTheme="minorEastAsia"/>
          <w:sz w:val="24"/>
          <w:highlight w:val="none"/>
        </w:rPr>
      </w:pPr>
      <w:r>
        <w:rPr>
          <w:rFonts w:hint="eastAsia" w:asciiTheme="minorEastAsia" w:hAnsiTheme="minorEastAsia"/>
          <w:sz w:val="24"/>
          <w:highlight w:val="none"/>
        </w:rPr>
        <w:t>本次调整业绩比较基准旨在提高基金业绩表现与业绩比较基准的可比性，更加清晰反映基金的风险收益特征，不会对产品投资运作、持有人利益产生实质性不利影响。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textAlignment w:val="auto"/>
        <w:rPr>
          <w:highlight w:val="none"/>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b/>
          <w:bCs/>
          <w:sz w:val="24"/>
          <w:szCs w:val="24"/>
          <w:highlight w:val="none"/>
          <w:lang w:val="zh-CN" w:eastAsia="zh-CN" w:bidi="zh-CN"/>
        </w:rPr>
      </w:pPr>
      <w:r>
        <w:rPr>
          <w:rFonts w:hint="eastAsia" w:ascii="黑体" w:hAnsi="黑体" w:eastAsia="黑体" w:cs="黑体"/>
          <w:b/>
          <w:bCs/>
          <w:sz w:val="24"/>
          <w:szCs w:val="24"/>
          <w:highlight w:val="none"/>
          <w:lang w:val="en-US" w:eastAsia="zh-CN" w:bidi="zh-CN"/>
        </w:rPr>
        <w:t>二、</w:t>
      </w:r>
      <w:r>
        <w:rPr>
          <w:rFonts w:hint="eastAsia" w:ascii="黑体" w:hAnsi="黑体" w:eastAsia="黑体" w:cs="黑体"/>
          <w:b/>
          <w:bCs/>
          <w:sz w:val="24"/>
          <w:szCs w:val="24"/>
          <w:highlight w:val="none"/>
          <w:lang w:val="zh-CN" w:eastAsia="zh-CN" w:bidi="zh-CN"/>
        </w:rPr>
        <w:t>东方阿尔法瑞丰混合型发起式证券投资基金</w:t>
      </w:r>
    </w:p>
    <w:p>
      <w:pPr>
        <w:pStyle w:val="8"/>
        <w:keepNext w:val="0"/>
        <w:keepLines w:val="0"/>
        <w:pageBreakBefore w:val="0"/>
        <w:widowControl w:val="0"/>
        <w:numPr>
          <w:ilvl w:val="0"/>
          <w:numId w:val="0"/>
        </w:numPr>
        <w:tabs>
          <w:tab w:val="left" w:pos="1943"/>
        </w:tabs>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default" w:ascii="宋体" w:hAnsi="宋体" w:eastAsia="宋体" w:cs="宋体"/>
          <w:color w:val="auto"/>
          <w:sz w:val="24"/>
          <w:szCs w:val="32"/>
          <w:highlight w:val="none"/>
          <w:lang w:val="en-US" w:eastAsia="zh-CN" w:bidi="zh-CN"/>
        </w:rPr>
      </w:pPr>
      <w:r>
        <w:rPr>
          <w:rFonts w:hint="eastAsia" w:ascii="黑体" w:hAnsi="黑体" w:eastAsia="黑体" w:cs="黑体"/>
          <w:b/>
          <w:bCs/>
          <w:sz w:val="24"/>
          <w:szCs w:val="24"/>
          <w:highlight w:val="none"/>
          <w:lang w:val="en-US" w:eastAsia="zh-CN" w:bidi="zh-CN"/>
        </w:rPr>
        <w:t>1、</w:t>
      </w:r>
      <w:r>
        <w:rPr>
          <w:rFonts w:hint="eastAsia" w:ascii="黑体" w:hAnsi="黑体" w:eastAsia="黑体" w:cs="黑体"/>
          <w:b/>
          <w:bCs/>
          <w:sz w:val="24"/>
          <w:szCs w:val="24"/>
          <w:highlight w:val="none"/>
          <w:lang w:val="zh-CN" w:eastAsia="zh-CN" w:bidi="zh-CN"/>
        </w:rPr>
        <w:t>当前业绩比较基准：</w:t>
      </w:r>
      <w:r>
        <w:rPr>
          <w:rFonts w:hint="eastAsia" w:ascii="宋体" w:hAnsi="宋体" w:eastAsia="宋体" w:cs="宋体"/>
          <w:color w:val="auto"/>
          <w:sz w:val="24"/>
          <w:szCs w:val="32"/>
          <w:highlight w:val="none"/>
          <w:lang w:val="zh-CN" w:eastAsia="zh-CN" w:bidi="zh-CN"/>
        </w:rPr>
        <w:t>中证800指数收益率*60%+恒生指数收益率*20%+中证综合债券指数收益率*20%</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default" w:ascii="宋体" w:hAnsi="宋体" w:eastAsia="宋体" w:cs="宋体"/>
          <w:color w:val="auto"/>
          <w:sz w:val="24"/>
          <w:szCs w:val="32"/>
          <w:highlight w:val="none"/>
          <w:lang w:val="en-US" w:eastAsia="zh-CN" w:bidi="zh-CN"/>
        </w:rPr>
      </w:pPr>
      <w:r>
        <w:rPr>
          <w:rFonts w:hint="eastAsia" w:ascii="黑体" w:hAnsi="黑体" w:eastAsia="黑体" w:cs="黑体"/>
          <w:b/>
          <w:bCs/>
          <w:sz w:val="24"/>
          <w:szCs w:val="24"/>
          <w:highlight w:val="none"/>
          <w:lang w:val="zh-CN" w:eastAsia="zh-CN" w:bidi="zh-CN"/>
        </w:rPr>
        <w:t>调整后新业绩比较基准：</w:t>
      </w:r>
      <w:r>
        <w:rPr>
          <w:rFonts w:hint="eastAsia" w:ascii="宋体" w:hAnsi="宋体" w:eastAsia="宋体" w:cs="宋体"/>
          <w:color w:val="auto"/>
          <w:sz w:val="24"/>
          <w:szCs w:val="32"/>
          <w:highlight w:val="none"/>
          <w:lang w:val="zh-CN" w:eastAsia="zh-CN" w:bidi="zh-CN"/>
        </w:rPr>
        <w:t>中证800指数收益率*65%+恒生指数收益率*20%+中证综合债（全价）指数收益率*15%</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highlight w:val="none"/>
        </w:rPr>
      </w:pPr>
      <w:r>
        <w:rPr>
          <w:rFonts w:hint="eastAsia" w:ascii="黑体" w:hAnsi="黑体" w:eastAsia="黑体" w:cs="黑体"/>
          <w:highlight w:val="none"/>
          <w:lang w:val="en-US" w:eastAsia="zh-CN"/>
        </w:rPr>
        <w:t>2、</w:t>
      </w:r>
      <w:r>
        <w:rPr>
          <w:rFonts w:hint="eastAsia" w:ascii="黑体" w:hAnsi="黑体" w:eastAsia="黑体" w:cs="黑体"/>
          <w:highlight w:val="none"/>
        </w:rPr>
        <w:t>新的业绩比较基准选择原因、差异及影响：</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Calibri" w:hAnsi="Calibri" w:cs="Times New Roman"/>
          <w:kern w:val="2"/>
          <w:sz w:val="24"/>
          <w:szCs w:val="24"/>
          <w:highlight w:val="none"/>
          <w:lang w:val="en-US" w:bidi="ar-SA"/>
        </w:rPr>
      </w:pPr>
      <w:r>
        <w:rPr>
          <w:rFonts w:hint="eastAsia" w:ascii="Calibri" w:hAnsi="Calibri" w:cs="Times New Roman"/>
          <w:kern w:val="2"/>
          <w:sz w:val="24"/>
          <w:szCs w:val="24"/>
          <w:highlight w:val="none"/>
          <w:lang w:val="en-US" w:bidi="ar-SA"/>
        </w:rPr>
        <w:t>此次本基金业绩比较基准调整同时涉及更换业绩比较基准要素和调整业绩比较基准的要素权重。</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right="0" w:firstLine="480" w:firstLineChars="200"/>
        <w:jc w:val="both"/>
        <w:textAlignment w:val="auto"/>
        <w:rPr>
          <w:rFonts w:hint="eastAsia" w:ascii="Calibri" w:hAnsi="Calibri" w:eastAsia="宋体" w:cs="Times New Roman"/>
          <w:kern w:val="2"/>
          <w:sz w:val="24"/>
          <w:szCs w:val="24"/>
          <w:highlight w:val="none"/>
          <w:lang w:val="en-US" w:eastAsia="zh-CN" w:bidi="ar-SA"/>
        </w:rPr>
      </w:pPr>
      <w:r>
        <w:rPr>
          <w:rFonts w:hint="eastAsia" w:ascii="Calibri" w:hAnsi="Calibri" w:eastAsia="宋体" w:cs="Times New Roman"/>
          <w:kern w:val="2"/>
          <w:sz w:val="24"/>
          <w:szCs w:val="24"/>
          <w:highlight w:val="none"/>
          <w:lang w:val="en-US" w:eastAsia="zh-CN" w:bidi="ar-SA"/>
        </w:rPr>
        <w:t>本基金的债券资产采用全市场策略，主要通过类属配置与券种选择进行投资管理。原业绩比较基准中，中证综合债券指数（指数代码H11009）</w:t>
      </w:r>
      <w:r>
        <w:rPr>
          <w:rFonts w:hint="eastAsia"/>
          <w:bCs/>
          <w:sz w:val="24"/>
          <w:highlight w:val="none"/>
        </w:rPr>
        <w:t>选取在沪深交易所或银行间市场上市的BBB及以上、且剩余期限1个月及以上的国债、金融债、企业债等债券作为成份券</w:t>
      </w:r>
      <w:r>
        <w:rPr>
          <w:rFonts w:hint="eastAsia"/>
          <w:bCs/>
          <w:sz w:val="24"/>
          <w:highlight w:val="none"/>
          <w:lang w:eastAsia="zh-CN"/>
        </w:rPr>
        <w:t>，</w:t>
      </w:r>
      <w:r>
        <w:rPr>
          <w:rFonts w:hint="eastAsia"/>
          <w:bCs/>
          <w:sz w:val="24"/>
          <w:highlight w:val="none"/>
        </w:rPr>
        <w:t>该指数旨在更全面地反映我国债券市场的整体价格变动趋势</w:t>
      </w:r>
      <w:r>
        <w:rPr>
          <w:rFonts w:hint="eastAsia" w:ascii="Calibri" w:hAnsi="Calibri" w:eastAsia="宋体" w:cs="Times New Roman"/>
          <w:kern w:val="2"/>
          <w:sz w:val="24"/>
          <w:szCs w:val="24"/>
          <w:highlight w:val="none"/>
          <w:lang w:val="en-US" w:eastAsia="zh-CN" w:bidi="ar-SA"/>
        </w:rPr>
        <w:t>。调整后的新业绩比较基准中，中证综合债（全价）指数（指数代码H11009CNY030）为中证综合债券指数的全价算法衍生指数，适合作为本基金债券部分的业绩比较基准要素。</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right="0" w:firstLine="480" w:firstLineChars="200"/>
        <w:jc w:val="both"/>
        <w:textAlignment w:val="auto"/>
        <w:rPr>
          <w:highlight w:val="none"/>
        </w:rPr>
      </w:pPr>
      <w:r>
        <w:rPr>
          <w:rFonts w:hint="eastAsia" w:ascii="Calibri" w:hAnsi="Calibri" w:eastAsia="宋体" w:cs="Times New Roman"/>
          <w:kern w:val="2"/>
          <w:sz w:val="24"/>
          <w:szCs w:val="24"/>
          <w:highlight w:val="none"/>
          <w:lang w:val="en-US" w:eastAsia="zh-CN" w:bidi="ar-SA"/>
        </w:rPr>
        <w:t>此外，基于本基金历史持仓，并结合基金合同约定的投资比例限制以及本基金预期的资产配置比例中枢，将业绩比较基准中的股票资产所对应的基准要素权重从80%提高至85%（其中A股股票部分的基准要素权重相应从60%提高至65%，港股通标的股票部分的基准要素权重仍维持20%），将业绩比较基准中的债券资产所对应的基准要素权重从20%降低至15%，从而使得新业绩比较基准中各大资产类别所对应的基准要素权重与基金投资策略和基金过往实际投资运作等相匹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Theme="minorEastAsia" w:hAnsiTheme="minorEastAsia"/>
          <w:sz w:val="24"/>
          <w:highlight w:val="none"/>
        </w:rPr>
      </w:pPr>
      <w:r>
        <w:rPr>
          <w:rFonts w:hint="eastAsia" w:asciiTheme="minorEastAsia" w:hAnsiTheme="minorEastAsia"/>
          <w:sz w:val="24"/>
          <w:highlight w:val="none"/>
        </w:rPr>
        <w:t>本次调整业绩比较基准旨在提高基金业绩表现与业绩比较基准的可比性，更加清晰反映基金的风险收益特征，不会对产品投资运作、持有人利益产生实质性不利影响。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textAlignment w:val="auto"/>
        <w:rPr>
          <w:highlight w:val="none"/>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b/>
          <w:bCs/>
          <w:sz w:val="24"/>
          <w:szCs w:val="24"/>
          <w:highlight w:val="none"/>
          <w:lang w:val="zh-CN" w:eastAsia="zh-CN" w:bidi="zh-CN"/>
        </w:rPr>
      </w:pPr>
      <w:r>
        <w:rPr>
          <w:rFonts w:hint="eastAsia" w:ascii="黑体" w:hAnsi="黑体" w:eastAsia="黑体" w:cs="黑体"/>
          <w:b/>
          <w:bCs/>
          <w:sz w:val="24"/>
          <w:szCs w:val="24"/>
          <w:highlight w:val="none"/>
          <w:lang w:val="en-US" w:eastAsia="zh-CN" w:bidi="zh-CN"/>
        </w:rPr>
        <w:t>三、</w:t>
      </w:r>
      <w:r>
        <w:rPr>
          <w:rFonts w:hint="eastAsia" w:ascii="黑体" w:hAnsi="黑体" w:eastAsia="黑体" w:cs="黑体"/>
          <w:b/>
          <w:bCs/>
          <w:sz w:val="24"/>
          <w:szCs w:val="24"/>
          <w:highlight w:val="none"/>
          <w:lang w:val="zh-CN" w:eastAsia="zh-CN" w:bidi="zh-CN"/>
        </w:rPr>
        <w:t>东方阿尔法医疗健康混合型发起式证券投资基金</w:t>
      </w:r>
    </w:p>
    <w:p>
      <w:pPr>
        <w:pStyle w:val="8"/>
        <w:keepNext w:val="0"/>
        <w:keepLines w:val="0"/>
        <w:pageBreakBefore w:val="0"/>
        <w:widowControl w:val="0"/>
        <w:numPr>
          <w:ilvl w:val="0"/>
          <w:numId w:val="0"/>
        </w:numPr>
        <w:tabs>
          <w:tab w:val="left" w:pos="1943"/>
        </w:tabs>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default" w:ascii="宋体" w:hAnsi="宋体" w:eastAsia="宋体" w:cs="宋体"/>
          <w:color w:val="auto"/>
          <w:sz w:val="24"/>
          <w:szCs w:val="32"/>
          <w:highlight w:val="none"/>
          <w:lang w:val="en-US" w:eastAsia="zh-CN" w:bidi="zh-CN"/>
        </w:rPr>
      </w:pPr>
      <w:r>
        <w:rPr>
          <w:rFonts w:hint="eastAsia" w:ascii="黑体" w:hAnsi="黑体" w:eastAsia="黑体" w:cs="黑体"/>
          <w:b/>
          <w:bCs/>
          <w:sz w:val="24"/>
          <w:szCs w:val="24"/>
          <w:highlight w:val="none"/>
          <w:lang w:val="en-US" w:eastAsia="zh-CN" w:bidi="zh-CN"/>
        </w:rPr>
        <w:t>1、</w:t>
      </w:r>
      <w:r>
        <w:rPr>
          <w:rFonts w:hint="eastAsia" w:ascii="黑体" w:hAnsi="黑体" w:eastAsia="黑体" w:cs="黑体"/>
          <w:b/>
          <w:bCs/>
          <w:sz w:val="24"/>
          <w:szCs w:val="24"/>
          <w:highlight w:val="none"/>
          <w:lang w:val="zh-CN" w:eastAsia="zh-CN" w:bidi="zh-CN"/>
        </w:rPr>
        <w:t>当前业绩比较基准：</w:t>
      </w:r>
      <w:r>
        <w:rPr>
          <w:rFonts w:hint="eastAsia" w:ascii="宋体" w:hAnsi="宋体" w:eastAsia="宋体" w:cs="宋体"/>
          <w:color w:val="auto"/>
          <w:sz w:val="24"/>
          <w:szCs w:val="32"/>
          <w:highlight w:val="none"/>
          <w:lang w:val="zh-CN" w:eastAsia="zh-CN" w:bidi="zh-CN"/>
        </w:rPr>
        <w:t>中证医药卫生指数收益率*60%+恒生医疗保健指数收益率*20%+中证综合债券指数收益率*20%</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default" w:ascii="宋体" w:hAnsi="宋体" w:eastAsia="宋体" w:cs="宋体"/>
          <w:color w:val="auto"/>
          <w:sz w:val="24"/>
          <w:szCs w:val="32"/>
          <w:highlight w:val="none"/>
          <w:lang w:val="en-US" w:eastAsia="zh-CN" w:bidi="zh-CN"/>
        </w:rPr>
      </w:pPr>
      <w:r>
        <w:rPr>
          <w:rFonts w:hint="eastAsia" w:ascii="黑体" w:hAnsi="黑体" w:eastAsia="黑体" w:cs="黑体"/>
          <w:b/>
          <w:bCs/>
          <w:sz w:val="24"/>
          <w:szCs w:val="24"/>
          <w:highlight w:val="none"/>
          <w:lang w:val="zh-CN" w:eastAsia="zh-CN" w:bidi="zh-CN"/>
        </w:rPr>
        <w:t>调整后新业绩比较基准：</w:t>
      </w:r>
      <w:r>
        <w:rPr>
          <w:rFonts w:hint="eastAsia" w:ascii="宋体" w:hAnsi="宋体" w:eastAsia="宋体" w:cs="宋体"/>
          <w:color w:val="auto"/>
          <w:sz w:val="24"/>
          <w:szCs w:val="32"/>
          <w:highlight w:val="none"/>
          <w:lang w:val="zh-CN" w:eastAsia="zh-CN" w:bidi="zh-CN"/>
        </w:rPr>
        <w:t>中证医药卫生指数收益率*65%+恒生医疗保健指数收益率*20%+中证综合债（全价）指数收益率*15%</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highlight w:val="none"/>
        </w:rPr>
      </w:pPr>
      <w:r>
        <w:rPr>
          <w:rFonts w:hint="eastAsia" w:ascii="黑体" w:hAnsi="黑体" w:eastAsia="黑体" w:cs="黑体"/>
          <w:highlight w:val="none"/>
          <w:lang w:val="en-US" w:eastAsia="zh-CN"/>
        </w:rPr>
        <w:t>2、</w:t>
      </w:r>
      <w:r>
        <w:rPr>
          <w:rFonts w:hint="eastAsia" w:ascii="黑体" w:hAnsi="黑体" w:eastAsia="黑体" w:cs="黑体"/>
          <w:highlight w:val="none"/>
        </w:rPr>
        <w:t>新的业绩比较基准选择原因、差异及影响：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highlight w:val="none"/>
        </w:rPr>
      </w:pPr>
      <w:r>
        <w:rPr>
          <w:rFonts w:hint="eastAsia"/>
          <w:sz w:val="24"/>
          <w:szCs w:val="24"/>
          <w:highlight w:val="none"/>
        </w:rPr>
        <w:t>此次本基金业绩比较基准调整同时涉及更换业绩比较基准要素和调整业绩比较基准的要素权重。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eastAsia="宋体"/>
          <w:sz w:val="24"/>
          <w:szCs w:val="24"/>
          <w:highlight w:val="none"/>
          <w:lang w:val="en-US" w:eastAsia="zh-CN"/>
        </w:rPr>
      </w:pPr>
      <w:r>
        <w:rPr>
          <w:rFonts w:hint="eastAsia" w:ascii="Calibri" w:eastAsia="宋体"/>
          <w:sz w:val="24"/>
          <w:szCs w:val="24"/>
          <w:highlight w:val="none"/>
          <w:lang w:val="en-US" w:eastAsia="zh-CN"/>
        </w:rPr>
        <w:t>本基金的债券资产采用全市场策略，主要通过类属配置与券种选择进行投资管理。原业绩比较基准中，中证综合债券指数（指数代码H11009）</w:t>
      </w:r>
      <w:r>
        <w:rPr>
          <w:rFonts w:hint="eastAsia"/>
          <w:bCs/>
          <w:sz w:val="24"/>
          <w:highlight w:val="none"/>
        </w:rPr>
        <w:t>选取在沪深交易所或银行间市场上市的BBB及以上、且剩余期限1个月及以上的国债、金融债、企业债等债券作为成份券</w:t>
      </w:r>
      <w:r>
        <w:rPr>
          <w:rFonts w:hint="eastAsia"/>
          <w:bCs/>
          <w:sz w:val="24"/>
          <w:highlight w:val="none"/>
          <w:lang w:eastAsia="zh-CN"/>
        </w:rPr>
        <w:t>，</w:t>
      </w:r>
      <w:r>
        <w:rPr>
          <w:rFonts w:hint="eastAsia"/>
          <w:bCs/>
          <w:sz w:val="24"/>
          <w:highlight w:val="none"/>
        </w:rPr>
        <w:t>该指数旨在更全面地反映我国债券市场的整体价格变动趋势</w:t>
      </w:r>
      <w:r>
        <w:rPr>
          <w:rFonts w:hint="eastAsia" w:ascii="Calibri" w:eastAsia="宋体"/>
          <w:sz w:val="24"/>
          <w:szCs w:val="24"/>
          <w:highlight w:val="none"/>
          <w:lang w:val="en-US" w:eastAsia="zh-CN"/>
        </w:rPr>
        <w:t>。调整后的新业绩比较基准中，中证综合债（全价）指数（指数代码H11009CNY030）为中证综合债券指数的全价算法衍生指数，适合作为本基金债券部分的业绩比较基准要素。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highlight w:val="none"/>
        </w:rPr>
      </w:pPr>
      <w:r>
        <w:rPr>
          <w:rFonts w:hint="eastAsia" w:ascii="Calibri" w:eastAsia="宋体"/>
          <w:sz w:val="24"/>
          <w:szCs w:val="24"/>
          <w:highlight w:val="none"/>
          <w:lang w:val="en-US" w:eastAsia="zh-CN"/>
        </w:rPr>
        <w:t>此外，基于本基金历史持仓，并结合基金合同约定的投资比例限制以及本基金预期的资产配置比例中枢，将业绩比较基准中的股票资产所对应的基准要素权重从</w:t>
      </w:r>
      <w:r>
        <w:rPr>
          <w:rFonts w:hint="eastAsia"/>
          <w:sz w:val="24"/>
          <w:szCs w:val="24"/>
          <w:highlight w:val="none"/>
          <w:lang w:val="en-US" w:eastAsia="zh-CN"/>
        </w:rPr>
        <w:t>80</w:t>
      </w:r>
      <w:r>
        <w:rPr>
          <w:rFonts w:hint="eastAsia" w:ascii="Calibri" w:eastAsia="宋体"/>
          <w:sz w:val="24"/>
          <w:szCs w:val="24"/>
          <w:highlight w:val="none"/>
          <w:lang w:val="en-US" w:eastAsia="zh-CN"/>
        </w:rPr>
        <w:t>%提高至</w:t>
      </w:r>
      <w:r>
        <w:rPr>
          <w:rFonts w:hint="eastAsia"/>
          <w:sz w:val="24"/>
          <w:szCs w:val="24"/>
          <w:highlight w:val="none"/>
          <w:lang w:val="en-US" w:eastAsia="zh-CN"/>
        </w:rPr>
        <w:t>85</w:t>
      </w:r>
      <w:r>
        <w:rPr>
          <w:rFonts w:hint="eastAsia" w:ascii="Calibri" w:eastAsia="宋体"/>
          <w:sz w:val="24"/>
          <w:szCs w:val="24"/>
          <w:highlight w:val="none"/>
          <w:lang w:val="en-US" w:eastAsia="zh-CN"/>
        </w:rPr>
        <w:t>%（其中A股股票部分的基准要素权重相应从</w:t>
      </w:r>
      <w:r>
        <w:rPr>
          <w:rFonts w:hint="eastAsia"/>
          <w:sz w:val="24"/>
          <w:szCs w:val="24"/>
          <w:highlight w:val="none"/>
          <w:lang w:val="en-US" w:eastAsia="zh-CN"/>
        </w:rPr>
        <w:t>60</w:t>
      </w:r>
      <w:r>
        <w:rPr>
          <w:rFonts w:hint="eastAsia" w:ascii="Calibri" w:eastAsia="宋体"/>
          <w:sz w:val="24"/>
          <w:szCs w:val="24"/>
          <w:highlight w:val="none"/>
          <w:lang w:val="en-US" w:eastAsia="zh-CN"/>
        </w:rPr>
        <w:t>%提高至</w:t>
      </w:r>
      <w:r>
        <w:rPr>
          <w:rFonts w:hint="eastAsia"/>
          <w:sz w:val="24"/>
          <w:szCs w:val="24"/>
          <w:highlight w:val="none"/>
          <w:lang w:val="en-US" w:eastAsia="zh-CN"/>
        </w:rPr>
        <w:t>65</w:t>
      </w:r>
      <w:r>
        <w:rPr>
          <w:rFonts w:hint="eastAsia" w:ascii="Calibri" w:eastAsia="宋体"/>
          <w:sz w:val="24"/>
          <w:szCs w:val="24"/>
          <w:highlight w:val="none"/>
          <w:lang w:val="en-US" w:eastAsia="zh-CN"/>
        </w:rPr>
        <w:t>%，港股通标的股票部分的基准要素权重仍维持20%），将业绩比较基准中的债券资产所对应的基准要素权重从</w:t>
      </w:r>
      <w:r>
        <w:rPr>
          <w:rFonts w:hint="eastAsia"/>
          <w:sz w:val="24"/>
          <w:szCs w:val="24"/>
          <w:highlight w:val="none"/>
          <w:lang w:val="en-US" w:eastAsia="zh-CN"/>
        </w:rPr>
        <w:t>20</w:t>
      </w:r>
      <w:r>
        <w:rPr>
          <w:rFonts w:hint="eastAsia" w:ascii="Calibri" w:eastAsia="宋体"/>
          <w:sz w:val="24"/>
          <w:szCs w:val="24"/>
          <w:highlight w:val="none"/>
          <w:lang w:val="en-US" w:eastAsia="zh-CN"/>
        </w:rPr>
        <w:t>%降低至</w:t>
      </w:r>
      <w:r>
        <w:rPr>
          <w:rFonts w:hint="eastAsia"/>
          <w:sz w:val="24"/>
          <w:szCs w:val="24"/>
          <w:highlight w:val="none"/>
          <w:lang w:val="en-US" w:eastAsia="zh-CN"/>
        </w:rPr>
        <w:t>15</w:t>
      </w:r>
      <w:r>
        <w:rPr>
          <w:rFonts w:hint="eastAsia" w:ascii="Calibri" w:eastAsia="宋体"/>
          <w:sz w:val="24"/>
          <w:szCs w:val="24"/>
          <w:highlight w:val="none"/>
          <w:lang w:val="en-US" w:eastAsia="zh-CN"/>
        </w:rPr>
        <w:t>%，从而使得新业绩比较基准中各大资产类别所对应的基准要素权重与基金投资策略和基金过往实际投资运作等相匹配。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Theme="minorEastAsia" w:hAnsiTheme="minorEastAsia"/>
          <w:sz w:val="24"/>
          <w:highlight w:val="none"/>
        </w:rPr>
      </w:pPr>
      <w:r>
        <w:rPr>
          <w:rFonts w:hint="eastAsia" w:asciiTheme="minorEastAsia" w:hAnsiTheme="minorEastAsia"/>
          <w:sz w:val="24"/>
          <w:highlight w:val="none"/>
        </w:rPr>
        <w:t>本次调整业绩比较基准旨在提高基金业绩表现与业绩比较基准的可比性，更加清晰反映基金的风险收益特征，不会对产品投资运作、持有人利益产生实质性不利影响。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0" w:firstLineChars="0"/>
        <w:textAlignment w:val="auto"/>
        <w:rPr>
          <w:highlight w:val="none"/>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b/>
          <w:bCs/>
          <w:sz w:val="24"/>
          <w:szCs w:val="24"/>
          <w:highlight w:val="none"/>
          <w:lang w:val="zh-CN" w:eastAsia="zh-CN" w:bidi="zh-CN"/>
        </w:rPr>
      </w:pPr>
      <w:r>
        <w:rPr>
          <w:rFonts w:hint="eastAsia" w:ascii="黑体" w:hAnsi="黑体" w:eastAsia="黑体" w:cs="黑体"/>
          <w:b/>
          <w:bCs/>
          <w:sz w:val="24"/>
          <w:szCs w:val="24"/>
          <w:highlight w:val="none"/>
          <w:lang w:val="en-US" w:eastAsia="zh-CN" w:bidi="zh-CN"/>
        </w:rPr>
        <w:t>四</w:t>
      </w:r>
      <w:r>
        <w:rPr>
          <w:rFonts w:hint="eastAsia" w:ascii="黑体" w:hAnsi="黑体" w:eastAsia="黑体" w:cs="黑体"/>
          <w:b/>
          <w:bCs/>
          <w:sz w:val="24"/>
          <w:szCs w:val="24"/>
          <w:highlight w:val="none"/>
          <w:lang w:val="zh-CN" w:eastAsia="zh-CN" w:bidi="zh-CN"/>
        </w:rPr>
        <w:t>、东方阿尔法健康产业混合型发起式证券投资基金</w:t>
      </w:r>
    </w:p>
    <w:p>
      <w:pPr>
        <w:pStyle w:val="8"/>
        <w:keepNext w:val="0"/>
        <w:keepLines w:val="0"/>
        <w:pageBreakBefore w:val="0"/>
        <w:widowControl w:val="0"/>
        <w:numPr>
          <w:ilvl w:val="0"/>
          <w:numId w:val="0"/>
        </w:numPr>
        <w:tabs>
          <w:tab w:val="left" w:pos="1943"/>
        </w:tabs>
        <w:kinsoku/>
        <w:wordWrap/>
        <w:overflowPunct/>
        <w:topLinePunct w:val="0"/>
        <w:autoSpaceDE w:val="0"/>
        <w:autoSpaceDN w:val="0"/>
        <w:bidi w:val="0"/>
        <w:adjustRightInd/>
        <w:snapToGrid/>
        <w:spacing w:before="0" w:after="0" w:line="360" w:lineRule="auto"/>
        <w:ind w:left="0" w:leftChars="0" w:right="0" w:rightChars="0" w:firstLine="482" w:firstLineChars="200"/>
        <w:jc w:val="left"/>
        <w:textAlignment w:val="auto"/>
        <w:rPr>
          <w:rFonts w:hint="default" w:ascii="宋体" w:hAnsi="宋体" w:eastAsia="宋体" w:cs="宋体"/>
          <w:color w:val="auto"/>
          <w:sz w:val="24"/>
          <w:szCs w:val="32"/>
          <w:highlight w:val="none"/>
          <w:lang w:val="en-US" w:eastAsia="zh-CN" w:bidi="zh-CN"/>
        </w:rPr>
      </w:pPr>
      <w:r>
        <w:rPr>
          <w:rFonts w:hint="eastAsia" w:ascii="黑体" w:hAnsi="黑体" w:eastAsia="黑体" w:cs="黑体"/>
          <w:b/>
          <w:bCs/>
          <w:sz w:val="24"/>
          <w:szCs w:val="24"/>
          <w:highlight w:val="none"/>
          <w:lang w:val="en-US" w:eastAsia="zh-CN" w:bidi="zh-CN"/>
        </w:rPr>
        <w:t>1、</w:t>
      </w:r>
      <w:r>
        <w:rPr>
          <w:rFonts w:hint="eastAsia" w:ascii="黑体" w:hAnsi="黑体" w:eastAsia="黑体" w:cs="黑体"/>
          <w:b/>
          <w:bCs/>
          <w:sz w:val="24"/>
          <w:szCs w:val="24"/>
          <w:highlight w:val="none"/>
          <w:lang w:val="zh-CN" w:eastAsia="zh-CN" w:bidi="zh-CN"/>
        </w:rPr>
        <w:t>当前业绩比较基准：</w:t>
      </w:r>
      <w:r>
        <w:rPr>
          <w:rFonts w:hint="eastAsia" w:ascii="宋体" w:hAnsi="宋体" w:eastAsia="宋体" w:cs="宋体"/>
          <w:color w:val="auto"/>
          <w:sz w:val="24"/>
          <w:szCs w:val="32"/>
          <w:highlight w:val="none"/>
          <w:lang w:val="zh-CN" w:eastAsia="zh-CN" w:bidi="zh-CN"/>
        </w:rPr>
        <w:t>中证医药卫生指数收益率*40%+中证内地消费主题指数收益率*20%+恒生指数收益率*20%+中证综合债券指数收益率*20%</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default" w:ascii="宋体" w:hAnsi="宋体" w:eastAsia="宋体" w:cs="宋体"/>
          <w:color w:val="auto"/>
          <w:sz w:val="24"/>
          <w:szCs w:val="32"/>
          <w:highlight w:val="none"/>
          <w:lang w:val="en-US" w:eastAsia="zh-CN" w:bidi="zh-CN"/>
        </w:rPr>
      </w:pPr>
      <w:r>
        <w:rPr>
          <w:rFonts w:hint="eastAsia" w:ascii="黑体" w:hAnsi="黑体" w:eastAsia="黑体" w:cs="黑体"/>
          <w:b/>
          <w:bCs/>
          <w:sz w:val="24"/>
          <w:szCs w:val="24"/>
          <w:highlight w:val="none"/>
          <w:lang w:val="zh-CN" w:eastAsia="zh-CN" w:bidi="zh-CN"/>
        </w:rPr>
        <w:t>调整后新业绩比较基准：</w:t>
      </w:r>
      <w:r>
        <w:rPr>
          <w:rFonts w:hint="eastAsia" w:ascii="宋体" w:hAnsi="宋体" w:eastAsia="宋体" w:cs="宋体"/>
          <w:color w:val="auto"/>
          <w:sz w:val="24"/>
          <w:szCs w:val="32"/>
          <w:highlight w:val="none"/>
          <w:lang w:val="zh-CN" w:eastAsia="zh-CN" w:bidi="zh-CN"/>
        </w:rPr>
        <w:t>中证医药卫生指数收益率*65%+恒生医疗保健指数收益率*20%+中证综合债（全价）指数收益率*15%</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2" w:firstLineChars="200"/>
        <w:textAlignment w:val="auto"/>
        <w:rPr>
          <w:rFonts w:hint="eastAsia" w:ascii="黑体" w:hAnsi="黑体" w:eastAsia="黑体" w:cs="黑体"/>
          <w:highlight w:val="none"/>
        </w:rPr>
      </w:pPr>
      <w:r>
        <w:rPr>
          <w:rFonts w:hint="eastAsia" w:ascii="黑体" w:hAnsi="黑体" w:eastAsia="黑体" w:cs="黑体"/>
          <w:highlight w:val="none"/>
          <w:lang w:val="en-US" w:eastAsia="zh-CN"/>
        </w:rPr>
        <w:t>2、</w:t>
      </w:r>
      <w:r>
        <w:rPr>
          <w:rFonts w:hint="eastAsia" w:ascii="黑体" w:hAnsi="黑体" w:eastAsia="黑体" w:cs="黑体"/>
          <w:highlight w:val="none"/>
        </w:rPr>
        <w:t>新的业绩比较基准选择原因、差异及影响：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sz w:val="24"/>
          <w:szCs w:val="24"/>
          <w:highlight w:val="none"/>
        </w:rPr>
      </w:pPr>
      <w:r>
        <w:rPr>
          <w:rFonts w:hint="eastAsia"/>
          <w:sz w:val="24"/>
          <w:szCs w:val="24"/>
          <w:highlight w:val="none"/>
        </w:rPr>
        <w:t>此次本基金业绩比较基准调整同时涉及更换业绩比较基准要素和调整业绩比较基准的要素权重。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Calibri" w:eastAsia="宋体"/>
          <w:sz w:val="24"/>
          <w:szCs w:val="24"/>
          <w:highlight w:val="none"/>
          <w:lang w:val="en-US" w:eastAsia="zh-CN"/>
        </w:rPr>
      </w:pPr>
      <w:bookmarkStart w:id="0" w:name="OLE_LINK5"/>
      <w:r>
        <w:rPr>
          <w:rFonts w:hint="eastAsia"/>
          <w:sz w:val="24"/>
          <w:szCs w:val="24"/>
          <w:highlight w:val="none"/>
        </w:rPr>
        <w:t>基于基金投资目标、投资范围和投资策略，本基金股票资产主要投向健康产业主题相关公司，并在健康产业主题中，采用自上而下与自下而上相结合的投资方法，以基本面分析为立足点，精选个股，在科学严格管理风险的前提下，谋求基金资产的中长期稳健增值。</w:t>
      </w:r>
      <w:r>
        <w:rPr>
          <w:rFonts w:hint="eastAsia" w:ascii="Calibri" w:eastAsia="宋体"/>
          <w:sz w:val="24"/>
          <w:szCs w:val="24"/>
          <w:highlight w:val="none"/>
          <w:lang w:val="en-US" w:eastAsia="zh-CN"/>
        </w:rPr>
        <w:t>原业绩比较基准中，中证内地消费主题</w:t>
      </w:r>
      <w:r>
        <w:rPr>
          <w:rFonts w:hint="eastAsia"/>
          <w:sz w:val="24"/>
          <w:szCs w:val="24"/>
          <w:highlight w:val="none"/>
          <w:lang w:val="en-US" w:eastAsia="zh-CN"/>
        </w:rPr>
        <w:t>指数（</w:t>
      </w:r>
      <w:r>
        <w:rPr>
          <w:rFonts w:hint="eastAsia" w:ascii="Calibri" w:eastAsia="宋体"/>
          <w:sz w:val="24"/>
          <w:szCs w:val="24"/>
          <w:highlight w:val="none"/>
          <w:lang w:val="en-US" w:eastAsia="zh-CN"/>
        </w:rPr>
        <w:t>指数代码</w:t>
      </w:r>
      <w:r>
        <w:rPr>
          <w:rFonts w:hint="eastAsia"/>
          <w:sz w:val="24"/>
          <w:szCs w:val="24"/>
          <w:highlight w:val="none"/>
          <w:lang w:val="en-US" w:eastAsia="zh-CN"/>
        </w:rPr>
        <w:t>000942</w:t>
      </w:r>
      <w:r>
        <w:rPr>
          <w:rFonts w:hint="eastAsia" w:ascii="Calibri" w:eastAsia="宋体"/>
          <w:sz w:val="24"/>
          <w:szCs w:val="24"/>
          <w:highlight w:val="none"/>
          <w:lang w:val="en-US" w:eastAsia="zh-CN"/>
        </w:rPr>
        <w:t>）从中证 800成份股中，选取可选消费、主要消费板块中市值最大的50 只消费类股票组成，主要覆盖食品饮料、交运设备、商业贸易、农林牧渔、纺织服装、医药生物等行业，</w:t>
      </w:r>
      <w:bookmarkEnd w:id="0"/>
      <w:r>
        <w:rPr>
          <w:rFonts w:hint="eastAsia" w:ascii="Calibri" w:eastAsia="宋体"/>
          <w:sz w:val="24"/>
          <w:szCs w:val="24"/>
          <w:highlight w:val="none"/>
          <w:lang w:val="en-US" w:eastAsia="zh-CN"/>
        </w:rPr>
        <w:t>仅少量成分股零星涉及医药生物，指数整体行业属性以消费为主，无法客观匹配本基金的基金投资目标、投资范围和投资策略，因此本次基准调整予以剔除该指数标的。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Calibri" w:eastAsia="宋体"/>
          <w:sz w:val="24"/>
          <w:szCs w:val="24"/>
          <w:highlight w:val="none"/>
          <w:lang w:val="en-US" w:eastAsia="zh-CN"/>
        </w:rPr>
      </w:pPr>
      <w:r>
        <w:rPr>
          <w:rFonts w:hint="eastAsia" w:ascii="Calibri" w:eastAsia="宋体"/>
          <w:sz w:val="24"/>
          <w:szCs w:val="24"/>
          <w:highlight w:val="none"/>
          <w:lang w:val="en-US" w:eastAsia="zh-CN"/>
        </w:rPr>
        <w:t>原业绩比较基准中，恒生指数（指数代码HSI）是反映香港股票市场表现较为具有代表性的综合指标。调整后的新业绩比较基准中，恒生医疗保健指数（指数代码HSHCI）由恒生综合指数中属于医疗保健业的证券组成，反映在香港上市、主要经营医疗保健业务证券的整体表现，适合作为本基金港股股票部分的业绩比较基准要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eastAsia="宋体"/>
          <w:sz w:val="24"/>
          <w:szCs w:val="24"/>
          <w:highlight w:val="none"/>
          <w:lang w:val="en-US" w:eastAsia="zh-CN"/>
        </w:rPr>
      </w:pPr>
      <w:r>
        <w:rPr>
          <w:rFonts w:hint="eastAsia" w:ascii="Calibri" w:eastAsia="宋体"/>
          <w:sz w:val="24"/>
          <w:szCs w:val="24"/>
          <w:highlight w:val="none"/>
          <w:lang w:val="en-US" w:eastAsia="zh-CN"/>
        </w:rPr>
        <w:t>本基金的债券资产采用全市场策略，主要通过类属配置与券种选择进行投资管理。原业绩比较基准中，中证综合债券指数（指数代码H11009）</w:t>
      </w:r>
      <w:r>
        <w:rPr>
          <w:rFonts w:hint="eastAsia"/>
          <w:bCs/>
          <w:sz w:val="24"/>
          <w:highlight w:val="none"/>
        </w:rPr>
        <w:t>选取在沪深交易所或银行间市场上市的BBB及以上、且剩余期限1个月及以上的国债、金融债、企业债等债券作为成份券</w:t>
      </w:r>
      <w:r>
        <w:rPr>
          <w:rFonts w:hint="eastAsia"/>
          <w:bCs/>
          <w:sz w:val="24"/>
          <w:highlight w:val="none"/>
          <w:lang w:eastAsia="zh-CN"/>
        </w:rPr>
        <w:t>，</w:t>
      </w:r>
      <w:r>
        <w:rPr>
          <w:rFonts w:hint="eastAsia"/>
          <w:bCs/>
          <w:sz w:val="24"/>
          <w:highlight w:val="none"/>
        </w:rPr>
        <w:t>该指数旨在更全面地反映我国债券市场的整体价格变动趋势</w:t>
      </w:r>
      <w:r>
        <w:rPr>
          <w:rFonts w:hint="eastAsia" w:ascii="Calibri" w:eastAsia="宋体"/>
          <w:sz w:val="24"/>
          <w:szCs w:val="24"/>
          <w:highlight w:val="none"/>
          <w:lang w:val="en-US" w:eastAsia="zh-CN"/>
        </w:rPr>
        <w:t>。调整后的新业绩比较基准中，中证综合债（全价）指数（指数代码H11009CNY030）为中证综合债券指数的全价算法衍生指数，适合作为本基金债券部分的业绩比较基准要素。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highlight w:val="none"/>
        </w:rPr>
      </w:pPr>
      <w:r>
        <w:rPr>
          <w:rFonts w:hint="eastAsia" w:ascii="Calibri" w:eastAsia="宋体"/>
          <w:sz w:val="24"/>
          <w:szCs w:val="24"/>
          <w:highlight w:val="none"/>
          <w:lang w:val="en-US" w:eastAsia="zh-CN"/>
        </w:rPr>
        <w:t>此外，基于本基金历史持仓，并结合基金合同约定的投资比例限制以及本基金预期的资产配置比例中枢，将业绩比较基准中的股票资产所对应的基准要素权重从</w:t>
      </w:r>
      <w:r>
        <w:rPr>
          <w:rFonts w:hint="eastAsia"/>
          <w:sz w:val="24"/>
          <w:szCs w:val="24"/>
          <w:highlight w:val="none"/>
          <w:lang w:val="en-US" w:eastAsia="zh-CN"/>
        </w:rPr>
        <w:t>80</w:t>
      </w:r>
      <w:r>
        <w:rPr>
          <w:rFonts w:hint="eastAsia" w:ascii="Calibri" w:eastAsia="宋体"/>
          <w:sz w:val="24"/>
          <w:szCs w:val="24"/>
          <w:highlight w:val="none"/>
          <w:lang w:val="en-US" w:eastAsia="zh-CN"/>
        </w:rPr>
        <w:t>%提高至</w:t>
      </w:r>
      <w:r>
        <w:rPr>
          <w:rFonts w:hint="eastAsia"/>
          <w:sz w:val="24"/>
          <w:szCs w:val="24"/>
          <w:highlight w:val="none"/>
          <w:lang w:val="en-US" w:eastAsia="zh-CN"/>
        </w:rPr>
        <w:t>85</w:t>
      </w:r>
      <w:r>
        <w:rPr>
          <w:rFonts w:hint="eastAsia" w:ascii="Calibri" w:eastAsia="宋体"/>
          <w:sz w:val="24"/>
          <w:szCs w:val="24"/>
          <w:highlight w:val="none"/>
          <w:lang w:val="en-US" w:eastAsia="zh-CN"/>
        </w:rPr>
        <w:t>%（其中A股股票部分的基准要素权重相应从</w:t>
      </w:r>
      <w:r>
        <w:rPr>
          <w:rFonts w:hint="eastAsia"/>
          <w:sz w:val="24"/>
          <w:szCs w:val="24"/>
          <w:highlight w:val="none"/>
          <w:lang w:val="en-US" w:eastAsia="zh-CN"/>
        </w:rPr>
        <w:t>60</w:t>
      </w:r>
      <w:r>
        <w:rPr>
          <w:rFonts w:hint="eastAsia" w:ascii="Calibri" w:eastAsia="宋体"/>
          <w:sz w:val="24"/>
          <w:szCs w:val="24"/>
          <w:highlight w:val="none"/>
          <w:lang w:val="en-US" w:eastAsia="zh-CN"/>
        </w:rPr>
        <w:t>%提高至</w:t>
      </w:r>
      <w:r>
        <w:rPr>
          <w:rFonts w:hint="eastAsia"/>
          <w:sz w:val="24"/>
          <w:szCs w:val="24"/>
          <w:highlight w:val="none"/>
          <w:lang w:val="en-US" w:eastAsia="zh-CN"/>
        </w:rPr>
        <w:t>65</w:t>
      </w:r>
      <w:r>
        <w:rPr>
          <w:rFonts w:hint="eastAsia" w:ascii="Calibri" w:eastAsia="宋体"/>
          <w:sz w:val="24"/>
          <w:szCs w:val="24"/>
          <w:highlight w:val="none"/>
          <w:lang w:val="en-US" w:eastAsia="zh-CN"/>
        </w:rPr>
        <w:t>%，港股通标的股票部分的基准要素权重仍维持20%），将业绩比较基准中的债券资产所对应的基准要素权重从</w:t>
      </w:r>
      <w:r>
        <w:rPr>
          <w:rFonts w:hint="eastAsia"/>
          <w:sz w:val="24"/>
          <w:szCs w:val="24"/>
          <w:highlight w:val="none"/>
          <w:lang w:val="en-US" w:eastAsia="zh-CN"/>
        </w:rPr>
        <w:t>20</w:t>
      </w:r>
      <w:r>
        <w:rPr>
          <w:rFonts w:hint="eastAsia" w:ascii="Calibri" w:eastAsia="宋体"/>
          <w:sz w:val="24"/>
          <w:szCs w:val="24"/>
          <w:highlight w:val="none"/>
          <w:lang w:val="en-US" w:eastAsia="zh-CN"/>
        </w:rPr>
        <w:t>%降低至</w:t>
      </w:r>
      <w:r>
        <w:rPr>
          <w:rFonts w:hint="eastAsia"/>
          <w:sz w:val="24"/>
          <w:szCs w:val="24"/>
          <w:highlight w:val="none"/>
          <w:lang w:val="en-US" w:eastAsia="zh-CN"/>
        </w:rPr>
        <w:t>15</w:t>
      </w:r>
      <w:r>
        <w:rPr>
          <w:rFonts w:hint="eastAsia" w:ascii="Calibri" w:eastAsia="宋体"/>
          <w:sz w:val="24"/>
          <w:szCs w:val="24"/>
          <w:highlight w:val="none"/>
          <w:lang w:val="en-US" w:eastAsia="zh-CN"/>
        </w:rPr>
        <w:t>%，从而使得新业绩比较基准中各大资产类别所对应的基准要素权重与基金投资策略和基金过往实际投资运作等相匹配。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leftChars="0" w:right="0" w:firstLine="480" w:firstLineChars="200"/>
        <w:textAlignment w:val="auto"/>
        <w:rPr>
          <w:rFonts w:hint="eastAsia" w:asciiTheme="minorEastAsia" w:hAnsiTheme="minorEastAsia"/>
          <w:sz w:val="24"/>
          <w:highlight w:val="none"/>
        </w:rPr>
      </w:pPr>
      <w:r>
        <w:rPr>
          <w:rFonts w:hint="eastAsia" w:asciiTheme="minorEastAsia" w:hAnsiTheme="minorEastAsia"/>
          <w:sz w:val="24"/>
          <w:highlight w:val="none"/>
        </w:rPr>
        <w:t>本次调整业绩比较基准旨在提高基金业绩表现与业绩比较基准的可比性，更加清晰反映基金的风险收益特征，不会对产品投资运作、持有人利益产生实质性不利影响。</w:t>
      </w: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highlight w:val="none"/>
        </w:rPr>
      </w:pPr>
    </w:p>
    <w:p>
      <w:pPr>
        <w:pStyle w:val="4"/>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0" w:firstLineChars="200"/>
        <w:textAlignment w:val="auto"/>
        <w:rPr>
          <w:highlight w:val="none"/>
        </w:rPr>
      </w:pPr>
    </w:p>
    <w:p>
      <w:pPr>
        <w:pStyle w:val="4"/>
        <w:ind w:left="0"/>
        <w:rPr>
          <w:highlight w:val="none"/>
        </w:rPr>
      </w:pPr>
    </w:p>
    <w:p>
      <w:pPr>
        <w:pStyle w:val="4"/>
        <w:spacing w:before="1"/>
        <w:ind w:left="0"/>
        <w:rPr>
          <w:sz w:val="25"/>
          <w:highlight w:val="none"/>
        </w:rPr>
      </w:pPr>
    </w:p>
    <w:p>
      <w:pPr>
        <w:pStyle w:val="4"/>
        <w:spacing w:before="7"/>
        <w:ind w:right="786"/>
        <w:jc w:val="center"/>
        <w:rPr>
          <w:highlight w:val="none"/>
        </w:rPr>
      </w:pPr>
    </w:p>
    <w:sectPr>
      <w:pgSz w:w="11910" w:h="16840"/>
      <w:pgMar w:top="1460" w:right="920" w:bottom="1220" w:left="940" w:header="0" w:footer="945"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spacing w:line="14" w:lineRule="auto"/>
      <w:ind w:left="0"/>
      <w:rPr>
        <w:sz w:val="20"/>
      </w:rPr>
    </w:pPr>
    <w:r>
      <w:pict>
        <v:shape id="_x0000_s4097" o:spid="_x0000_s4097" o:spt="202" type="#_x0000_t202" style="position:absolute;left:0pt;margin-left:290.35pt;margin-top:779.65pt;height:13.65pt;width:14.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before="11"/>
                  <w:ind w:left="40" w:right="0" w:firstLine="0"/>
                  <w:jc w:val="left"/>
                  <w:rPr>
                    <w:rFonts w:ascii="Times New Roman"/>
                    <w:sz w:val="21"/>
                  </w:rPr>
                </w:pPr>
                <w:r>
                  <w:fldChar w:fldCharType="begin"/>
                </w:r>
                <w:r>
                  <w:rPr>
                    <w:rFonts w:ascii="Times New Roman"/>
                    <w:sz w:val="21"/>
                  </w:rPr>
                  <w:instrText xml:space="preserve"> PAGE </w:instrText>
                </w:r>
                <w:r>
                  <w:fldChar w:fldCharType="separate"/>
                </w:r>
                <w:r>
                  <w:t>10</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MGZkYWRiZmZiZTlmZmQwMjRmZGQyZmU2MTdkMDlmY2EifQ=="/>
  </w:docVars>
  <w:rsids>
    <w:rsidRoot w:val="00000000"/>
    <w:rsid w:val="006816B8"/>
    <w:rsid w:val="01AC3228"/>
    <w:rsid w:val="026B6029"/>
    <w:rsid w:val="05D41901"/>
    <w:rsid w:val="07A90CE6"/>
    <w:rsid w:val="08492CA7"/>
    <w:rsid w:val="08927341"/>
    <w:rsid w:val="0AF70DE1"/>
    <w:rsid w:val="0E5433B2"/>
    <w:rsid w:val="0F984EE6"/>
    <w:rsid w:val="101A6FB8"/>
    <w:rsid w:val="10F21A31"/>
    <w:rsid w:val="11B872D2"/>
    <w:rsid w:val="11CB5864"/>
    <w:rsid w:val="11F624ED"/>
    <w:rsid w:val="16390D4F"/>
    <w:rsid w:val="18BC7F89"/>
    <w:rsid w:val="1B460DAA"/>
    <w:rsid w:val="1BAB0C11"/>
    <w:rsid w:val="1D3A1858"/>
    <w:rsid w:val="1DE17DC1"/>
    <w:rsid w:val="1FEE5BD8"/>
    <w:rsid w:val="226B4A56"/>
    <w:rsid w:val="247576BF"/>
    <w:rsid w:val="25F17579"/>
    <w:rsid w:val="288928B2"/>
    <w:rsid w:val="2A546B21"/>
    <w:rsid w:val="2CB246D5"/>
    <w:rsid w:val="2E861650"/>
    <w:rsid w:val="2FAD2459"/>
    <w:rsid w:val="30E2194A"/>
    <w:rsid w:val="31AF67F1"/>
    <w:rsid w:val="35996C72"/>
    <w:rsid w:val="376F5A8F"/>
    <w:rsid w:val="3EF33D73"/>
    <w:rsid w:val="3FE70BDC"/>
    <w:rsid w:val="43D33430"/>
    <w:rsid w:val="45C66A5C"/>
    <w:rsid w:val="4A846B44"/>
    <w:rsid w:val="4B452E5C"/>
    <w:rsid w:val="4D522E53"/>
    <w:rsid w:val="4EB0093E"/>
    <w:rsid w:val="4F620561"/>
    <w:rsid w:val="512E2F5B"/>
    <w:rsid w:val="535673EB"/>
    <w:rsid w:val="548940CB"/>
    <w:rsid w:val="5C824115"/>
    <w:rsid w:val="5E4F62A9"/>
    <w:rsid w:val="608F2F1C"/>
    <w:rsid w:val="61C51BAD"/>
    <w:rsid w:val="666F6907"/>
    <w:rsid w:val="6EB84885"/>
    <w:rsid w:val="6FFF31B5"/>
    <w:rsid w:val="7094484C"/>
    <w:rsid w:val="73AE6633"/>
    <w:rsid w:val="79B256BF"/>
    <w:rsid w:val="7AAA6E5C"/>
    <w:rsid w:val="7BD63418"/>
    <w:rsid w:val="7E1B03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2">
    <w:name w:val="heading 1"/>
    <w:basedOn w:val="1"/>
    <w:next w:val="1"/>
    <w:qFormat/>
    <w:uiPriority w:val="1"/>
    <w:pPr>
      <w:ind w:left="1941" w:hanging="601"/>
      <w:outlineLvl w:val="1"/>
    </w:pPr>
    <w:rPr>
      <w:rFonts w:ascii="Microsoft JhengHei" w:hAnsi="Microsoft JhengHei" w:eastAsia="Microsoft JhengHei" w:cs="Microsoft JhengHei"/>
      <w:b/>
      <w:bCs/>
      <w:sz w:val="24"/>
      <w:szCs w:val="24"/>
      <w:lang w:val="zh-CN" w:eastAsia="zh-CN" w:bidi="zh-CN"/>
    </w:rPr>
  </w:style>
  <w:style w:type="character" w:default="1" w:styleId="6">
    <w:name w:val="Default Paragraph Font"/>
    <w:semiHidden/>
    <w:unhideWhenUsed/>
    <w:qFormat/>
    <w:uiPriority w:val="1"/>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qFormat/>
    <w:uiPriority w:val="1"/>
    <w:pPr>
      <w:ind w:left="860"/>
    </w:pPr>
    <w:rPr>
      <w:rFonts w:ascii="宋体" w:hAnsi="宋体" w:eastAsia="宋体" w:cs="宋体"/>
      <w:sz w:val="24"/>
      <w:szCs w:val="24"/>
      <w:lang w:val="zh-CN" w:eastAsia="zh-CN" w:bidi="zh-CN"/>
    </w:rPr>
  </w:style>
  <w:style w:type="table" w:customStyle="1" w:styleId="7">
    <w:name w:val="Table Normal"/>
    <w:semiHidden/>
    <w:unhideWhenUsed/>
    <w:qFormat/>
    <w:uiPriority w:val="2"/>
    <w:tblPr>
      <w:tblCellMar>
        <w:top w:w="0" w:type="dxa"/>
        <w:left w:w="0" w:type="dxa"/>
        <w:bottom w:w="0" w:type="dxa"/>
        <w:right w:w="0" w:type="dxa"/>
      </w:tblCellMar>
    </w:tblPr>
  </w:style>
  <w:style w:type="paragraph" w:styleId="8">
    <w:name w:val="List Paragraph"/>
    <w:basedOn w:val="1"/>
    <w:qFormat/>
    <w:uiPriority w:val="1"/>
    <w:pPr>
      <w:spacing w:before="81"/>
      <w:ind w:left="1941" w:hanging="601"/>
    </w:pPr>
    <w:rPr>
      <w:rFonts w:ascii="Microsoft JhengHei" w:hAnsi="Microsoft JhengHei" w:eastAsia="Microsoft JhengHei" w:cs="Microsoft JhengHei"/>
      <w:lang w:val="zh-CN" w:eastAsia="zh-CN" w:bidi="zh-CN"/>
    </w:rPr>
  </w:style>
  <w:style w:type="paragraph" w:customStyle="1" w:styleId="9">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7461</Words>
  <Characters>8102</Characters>
  <TotalTime>7</TotalTime>
  <ScaleCrop>false</ScaleCrop>
  <LinksUpToDate>false</LinksUpToDate>
  <CharactersWithSpaces>8108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2026-05-06T06:31:00Z</dcterms:created>
  <dc:creator>daicz</dc:creator>
  <cp:lastModifiedBy>聪子</cp:lastModifiedBy>
  <dcterms:modified xsi:type="dcterms:W3CDTF">2026-08-19T07:53:11Z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Aspose Ltd.</vt:lpwstr>
  </property>
  <property fmtid="{D5CDD505-2E9C-101B-9397-08002B2CF9AE}" pid="3" name="KSOProductBuildVer">
    <vt:lpwstr>2052-11.1.0.10314</vt:lpwstr>
  </property>
  <property fmtid="{D5CDD505-2E9C-101B-9397-08002B2CF9AE}" pid="4" name="ICV">
    <vt:lpwstr>C60DC41589AD440A8192DE79C1734E4A_12</vt:lpwstr>
  </property>
</Properties>
</file>