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C650C">
      <w:pPr>
        <w:pStyle w:val="19"/>
        <w:tabs>
          <w:tab w:val="right" w:leader="dot" w:pos="9080"/>
        </w:tabs>
        <w:spacing w:before="72" w:after="120"/>
        <w:jc w:val="center"/>
        <w:rPr>
          <w:rFonts w:ascii="宋体" w:hAnsi="宋体"/>
          <w:b/>
          <w:bCs/>
          <w:sz w:val="24"/>
        </w:rPr>
      </w:pPr>
      <w:bookmarkStart w:id="68" w:name="_GoBack"/>
      <w:bookmarkEnd w:id="68"/>
    </w:p>
    <w:p w14:paraId="506D74B8">
      <w:pPr>
        <w:pStyle w:val="19"/>
        <w:tabs>
          <w:tab w:val="right" w:leader="dot" w:pos="9080"/>
        </w:tabs>
        <w:spacing w:before="72" w:after="120"/>
        <w:jc w:val="center"/>
        <w:rPr>
          <w:rFonts w:ascii="宋体" w:hAnsi="宋体"/>
          <w:b/>
          <w:bCs/>
          <w:sz w:val="24"/>
        </w:rPr>
      </w:pPr>
    </w:p>
    <w:p w14:paraId="12239E3F">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东方阿尔法科技优选混合型发起式证券投资基金</w:t>
      </w:r>
    </w:p>
    <w:p w14:paraId="7B7AA3D6">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2026年中期报告</w:t>
      </w:r>
    </w:p>
    <w:p w14:paraId="2AEC377D">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2026年06月30日</w:t>
      </w:r>
    </w:p>
    <w:p w14:paraId="43197BDE">
      <w:pPr>
        <w:pStyle w:val="19"/>
        <w:tabs>
          <w:tab w:val="right" w:leader="dot" w:pos="9080"/>
        </w:tabs>
        <w:spacing w:before="72" w:after="120"/>
        <w:jc w:val="center"/>
        <w:rPr>
          <w:rFonts w:ascii="宋体" w:hAnsi="宋体"/>
          <w:b/>
          <w:bCs/>
          <w:sz w:val="24"/>
        </w:rPr>
      </w:pPr>
    </w:p>
    <w:p w14:paraId="43B1DC19">
      <w:pPr>
        <w:pStyle w:val="19"/>
        <w:tabs>
          <w:tab w:val="right" w:leader="dot" w:pos="9080"/>
        </w:tabs>
        <w:spacing w:before="72" w:after="120"/>
        <w:jc w:val="center"/>
        <w:rPr>
          <w:rFonts w:ascii="宋体" w:hAnsi="宋体"/>
          <w:b/>
          <w:bCs/>
          <w:sz w:val="24"/>
        </w:rPr>
      </w:pPr>
    </w:p>
    <w:p w14:paraId="19558CDE">
      <w:pPr>
        <w:pStyle w:val="19"/>
        <w:tabs>
          <w:tab w:val="right" w:leader="dot" w:pos="9080"/>
        </w:tabs>
        <w:spacing w:before="72" w:after="120"/>
        <w:jc w:val="center"/>
        <w:rPr>
          <w:rFonts w:ascii="宋体" w:hAnsi="宋体"/>
          <w:b/>
          <w:bCs/>
          <w:sz w:val="24"/>
        </w:rPr>
      </w:pPr>
    </w:p>
    <w:p w14:paraId="0209D5B4">
      <w:pPr>
        <w:pStyle w:val="19"/>
        <w:tabs>
          <w:tab w:val="right" w:leader="dot" w:pos="9080"/>
        </w:tabs>
        <w:spacing w:before="72" w:after="120"/>
        <w:jc w:val="center"/>
        <w:rPr>
          <w:rFonts w:ascii="宋体" w:hAnsi="宋体"/>
          <w:b/>
          <w:bCs/>
          <w:sz w:val="24"/>
        </w:rPr>
      </w:pPr>
    </w:p>
    <w:p w14:paraId="4E57FE95">
      <w:pPr>
        <w:pStyle w:val="19"/>
        <w:tabs>
          <w:tab w:val="right" w:leader="dot" w:pos="9080"/>
        </w:tabs>
        <w:spacing w:before="72" w:after="120"/>
        <w:jc w:val="center"/>
        <w:rPr>
          <w:rFonts w:ascii="宋体" w:hAnsi="宋体"/>
          <w:b/>
          <w:bCs/>
          <w:sz w:val="24"/>
        </w:rPr>
      </w:pPr>
    </w:p>
    <w:p w14:paraId="20CE69B5">
      <w:pPr>
        <w:pStyle w:val="19"/>
        <w:tabs>
          <w:tab w:val="right" w:leader="dot" w:pos="9080"/>
        </w:tabs>
        <w:spacing w:before="72" w:after="120"/>
        <w:jc w:val="center"/>
        <w:rPr>
          <w:rFonts w:ascii="宋体" w:hAnsi="宋体"/>
          <w:b/>
          <w:bCs/>
          <w:sz w:val="24"/>
        </w:rPr>
      </w:pPr>
    </w:p>
    <w:p w14:paraId="29BA0B7D">
      <w:pPr>
        <w:pStyle w:val="19"/>
        <w:tabs>
          <w:tab w:val="right" w:leader="dot" w:pos="9080"/>
        </w:tabs>
        <w:spacing w:before="72" w:after="120"/>
        <w:jc w:val="center"/>
        <w:rPr>
          <w:rFonts w:ascii="宋体" w:hAnsi="宋体"/>
          <w:b/>
          <w:bCs/>
          <w:sz w:val="24"/>
        </w:rPr>
      </w:pPr>
    </w:p>
    <w:p w14:paraId="61577FDE">
      <w:pPr>
        <w:pStyle w:val="19"/>
        <w:tabs>
          <w:tab w:val="right" w:leader="dot" w:pos="9080"/>
        </w:tabs>
        <w:spacing w:before="72" w:after="120"/>
        <w:jc w:val="center"/>
        <w:rPr>
          <w:rFonts w:ascii="宋体" w:hAnsi="宋体"/>
          <w:b/>
          <w:bCs/>
          <w:sz w:val="24"/>
        </w:rPr>
      </w:pPr>
    </w:p>
    <w:p w14:paraId="74D15018">
      <w:pPr>
        <w:pStyle w:val="19"/>
        <w:tabs>
          <w:tab w:val="right" w:leader="dot" w:pos="9080"/>
        </w:tabs>
        <w:spacing w:before="72" w:after="120"/>
        <w:jc w:val="center"/>
        <w:rPr>
          <w:rFonts w:ascii="宋体" w:hAnsi="宋体"/>
          <w:b/>
          <w:bCs/>
          <w:sz w:val="24"/>
        </w:rPr>
      </w:pPr>
    </w:p>
    <w:p w14:paraId="1CFAB0DE">
      <w:pPr>
        <w:pStyle w:val="19"/>
        <w:tabs>
          <w:tab w:val="right" w:leader="dot" w:pos="9080"/>
        </w:tabs>
        <w:spacing w:before="72" w:after="120"/>
        <w:jc w:val="center"/>
        <w:rPr>
          <w:rFonts w:ascii="宋体" w:hAnsi="宋体"/>
          <w:b/>
          <w:bCs/>
          <w:sz w:val="24"/>
        </w:rPr>
      </w:pPr>
    </w:p>
    <w:p w14:paraId="585FE9C5">
      <w:pPr>
        <w:pStyle w:val="19"/>
        <w:tabs>
          <w:tab w:val="right" w:leader="dot" w:pos="9080"/>
        </w:tabs>
        <w:spacing w:before="72" w:after="120"/>
        <w:jc w:val="center"/>
        <w:rPr>
          <w:rFonts w:ascii="宋体" w:hAnsi="宋体"/>
          <w:b/>
          <w:bCs/>
          <w:sz w:val="24"/>
        </w:rPr>
      </w:pPr>
    </w:p>
    <w:p w14:paraId="72982273">
      <w:pPr>
        <w:pStyle w:val="19"/>
        <w:tabs>
          <w:tab w:val="right" w:leader="dot" w:pos="9080"/>
        </w:tabs>
        <w:spacing w:before="72" w:after="120"/>
        <w:jc w:val="center"/>
        <w:rPr>
          <w:rFonts w:ascii="宋体" w:hAnsi="宋体"/>
          <w:b/>
          <w:bCs/>
          <w:sz w:val="24"/>
        </w:rPr>
      </w:pPr>
    </w:p>
    <w:p w14:paraId="516E8798">
      <w:pPr>
        <w:pStyle w:val="19"/>
        <w:tabs>
          <w:tab w:val="right" w:leader="dot" w:pos="9080"/>
        </w:tabs>
        <w:spacing w:before="72" w:after="120"/>
        <w:jc w:val="center"/>
        <w:rPr>
          <w:rFonts w:ascii="宋体" w:hAnsi="宋体"/>
          <w:b/>
          <w:bCs/>
          <w:sz w:val="24"/>
        </w:rPr>
      </w:pPr>
    </w:p>
    <w:p w14:paraId="1854A8C4">
      <w:pPr>
        <w:pStyle w:val="19"/>
        <w:tabs>
          <w:tab w:val="right" w:leader="dot" w:pos="9080"/>
        </w:tabs>
        <w:spacing w:before="72" w:after="120"/>
        <w:jc w:val="center"/>
        <w:rPr>
          <w:rFonts w:ascii="宋体" w:hAnsi="宋体"/>
          <w:b/>
          <w:bCs/>
          <w:sz w:val="24"/>
        </w:rPr>
      </w:pPr>
    </w:p>
    <w:p w14:paraId="02DB12D1">
      <w:pPr>
        <w:pStyle w:val="19"/>
        <w:tabs>
          <w:tab w:val="right" w:leader="dot" w:pos="9080"/>
        </w:tabs>
        <w:spacing w:before="72" w:after="120"/>
        <w:jc w:val="center"/>
        <w:rPr>
          <w:rFonts w:ascii="宋体" w:hAnsi="宋体"/>
          <w:b/>
          <w:bCs/>
          <w:sz w:val="24"/>
        </w:rPr>
      </w:pPr>
    </w:p>
    <w:p w14:paraId="296D8477">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14:paraId="697F86F9">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中信银行股份有限公司</w:t>
      </w:r>
    </w:p>
    <w:p w14:paraId="5C69E2B6">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2026年08月31日</w:t>
      </w:r>
    </w:p>
    <w:p w14:paraId="652B3B4E">
      <w:pPr>
        <w:jc w:val="center"/>
      </w:pPr>
      <w:r>
        <w:br w:type="page"/>
      </w:r>
    </w:p>
    <w:p w14:paraId="468EFB59">
      <w:pPr>
        <w:pStyle w:val="2"/>
        <w:rPr>
          <w:rFonts w:ascii="宋体" w:hAnsi="宋体"/>
        </w:rPr>
      </w:pPr>
      <w:bookmarkStart w:id="0" w:name="_Toc35266759"/>
      <w:bookmarkStart w:id="1" w:name="_Toc22547"/>
      <w:r>
        <w:rPr>
          <w:rFonts w:hint="eastAsia" w:ascii="宋体" w:hAnsi="宋体"/>
          <w:color w:val="000000"/>
        </w:rPr>
        <w:t>§1 重要提示及目录</w:t>
      </w:r>
      <w:bookmarkEnd w:id="0"/>
      <w:bookmarkEnd w:id="1"/>
    </w:p>
    <w:p w14:paraId="764D6144">
      <w:pPr>
        <w:pStyle w:val="3"/>
        <w:adjustRightInd w:val="0"/>
        <w:rPr>
          <w:rFonts w:ascii="宋体" w:hAnsi="宋体"/>
        </w:rPr>
      </w:pPr>
      <w:bookmarkStart w:id="2" w:name="_Toc35266760"/>
      <w:bookmarkStart w:id="3" w:name="_Toc7592"/>
      <w:r>
        <w:rPr>
          <w:rFonts w:hint="eastAsia" w:ascii="宋体" w:hAnsi="宋体"/>
        </w:rPr>
        <w:t>1.1 重要提示</w:t>
      </w:r>
      <w:bookmarkEnd w:id="2"/>
      <w:bookmarkEnd w:id="3"/>
    </w:p>
    <w:p w14:paraId="75ACFCE0">
      <w:pPr>
        <w:widowControl/>
        <w:jc w:val="left"/>
        <w:rPr>
          <w:rFonts w:hint="eastAsia" w:ascii="宋体" w:hAnsi="宋体" w:eastAsia="宋体"/>
          <w:b/>
          <w:sz w:val="24"/>
          <w:szCs w:val="24"/>
        </w:rPr>
      </w:pPr>
      <w:r>
        <w:t xml:space="preserve">    基金管理人的董事会、董事保证本报告所载资料不存在虚假记载、误导性陈述或重大遗漏，并对其内容的真实性、准确性和完整性承担个别及连带的法律责任。本中期报告已经三分之二以上独立董事签字同意。 </w:t>
      </w:r>
      <w:r>
        <w:cr/>
      </w:r>
      <w:r>
        <w:t xml:space="preserve">    基金托管人中信银行股份有限公司根据本基金合同约定，于2026年08月28日复核了本报告中的财务指标、净值表现、利润分配情况、财务会计报告、投资组合报告等内容，保证复核内容不存在虚假记载、误导性陈述或者重大遗漏。</w:t>
      </w:r>
      <w:r>
        <w:cr/>
      </w:r>
      <w:r>
        <w:t xml:space="preserve">    基金管理人承诺以诚实信用、勤勉尽责的原则管理和运用基金资产，但不保证基金一定盈利。 </w:t>
      </w:r>
      <w:r>
        <w:cr/>
      </w:r>
      <w:r>
        <w:t xml:space="preserve">    基金的过往业绩并不代表其未来表现。投资有风险，投资者在作出投资决策前应仔细阅读本基金的招募说明书及其更新。 </w:t>
      </w:r>
      <w:r>
        <w:cr/>
      </w:r>
      <w:r>
        <w:t xml:space="preserve">    本报告中的财务资料未经审计。</w:t>
      </w:r>
      <w:r>
        <w:cr/>
      </w:r>
      <w:r>
        <w:t xml:space="preserve">    本报告期自2026年01月01日起至2026年06月30日止。</w:t>
      </w:r>
    </w:p>
    <w:p w14:paraId="086E17BD">
      <w:r>
        <w:br w:type="page"/>
      </w:r>
    </w:p>
    <w:p w14:paraId="0291529B">
      <w:pPr>
        <w:pStyle w:val="3"/>
        <w:rPr>
          <w:rFonts w:ascii="宋体" w:hAnsi="宋体"/>
        </w:rPr>
      </w:pPr>
      <w:bookmarkStart w:id="4" w:name="_Toc21559"/>
      <w:r>
        <w:rPr>
          <w:rFonts w:hint="eastAsia" w:ascii="宋体" w:hAnsi="宋体"/>
        </w:rPr>
        <w:t>1</w:t>
      </w:r>
      <w:r>
        <w:rPr>
          <w:rFonts w:ascii="宋体" w:hAnsi="宋体"/>
        </w:rPr>
        <w:t xml:space="preserve">.2 </w:t>
      </w:r>
      <w:r>
        <w:rPr>
          <w:rFonts w:hint="eastAsia" w:ascii="宋体" w:hAnsi="宋体"/>
        </w:rPr>
        <w:t>目录</w:t>
      </w:r>
      <w:bookmarkEnd w:id="4"/>
    </w:p>
    <w:p w14:paraId="21B4EA48">
      <w:pPr>
        <w:pStyle w:val="19"/>
        <w:tabs>
          <w:tab w:val="right" w:leader="dot" w:pos="9070"/>
          <w:tab w:val="clear" w:pos="9060"/>
        </w:tabs>
      </w:pPr>
      <w:r>
        <w:fldChar w:fldCharType="begin"/>
      </w:r>
      <w:r>
        <w:instrText xml:space="preserve">TOC \o "1-2" \h \z \u </w:instrText>
      </w:r>
      <w:r>
        <w:fldChar w:fldCharType="separate"/>
      </w:r>
      <w:r>
        <w:fldChar w:fldCharType="begin"/>
      </w:r>
      <w:r>
        <w:instrText xml:space="preserve"> HYPERLINK \l _Toc22547 </w:instrText>
      </w:r>
      <w:r>
        <w:fldChar w:fldCharType="separate"/>
      </w:r>
      <w:r>
        <w:rPr>
          <w:rFonts w:hint="eastAsia" w:ascii="宋体" w:hAnsi="宋体"/>
        </w:rPr>
        <w:t>§1 重要提示及目录</w:t>
      </w:r>
      <w:r>
        <w:tab/>
      </w:r>
      <w:r>
        <w:fldChar w:fldCharType="begin"/>
      </w:r>
      <w:r>
        <w:instrText xml:space="preserve"> PAGEREF _Toc22547 \h </w:instrText>
      </w:r>
      <w:r>
        <w:fldChar w:fldCharType="separate"/>
      </w:r>
      <w:r>
        <w:t>1</w:t>
      </w:r>
      <w:r>
        <w:fldChar w:fldCharType="end"/>
      </w:r>
      <w:r>
        <w:fldChar w:fldCharType="end"/>
      </w:r>
    </w:p>
    <w:p w14:paraId="672AADB1">
      <w:pPr>
        <w:pStyle w:val="22"/>
        <w:tabs>
          <w:tab w:val="right" w:leader="dot" w:pos="9070"/>
        </w:tabs>
      </w:pPr>
      <w:r>
        <w:fldChar w:fldCharType="begin"/>
      </w:r>
      <w:r>
        <w:instrText xml:space="preserve"> HYPERLINK \l _Toc7592 </w:instrText>
      </w:r>
      <w:r>
        <w:fldChar w:fldCharType="separate"/>
      </w:r>
      <w:r>
        <w:rPr>
          <w:rFonts w:hint="eastAsia" w:ascii="宋体" w:hAnsi="宋体"/>
        </w:rPr>
        <w:t>1.1 重要提示</w:t>
      </w:r>
      <w:r>
        <w:tab/>
      </w:r>
      <w:r>
        <w:fldChar w:fldCharType="begin"/>
      </w:r>
      <w:r>
        <w:instrText xml:space="preserve"> PAGEREF _Toc7592 \h </w:instrText>
      </w:r>
      <w:r>
        <w:fldChar w:fldCharType="separate"/>
      </w:r>
      <w:r>
        <w:t>1</w:t>
      </w:r>
      <w:r>
        <w:fldChar w:fldCharType="end"/>
      </w:r>
      <w:r>
        <w:fldChar w:fldCharType="end"/>
      </w:r>
    </w:p>
    <w:p w14:paraId="68715FD8">
      <w:pPr>
        <w:pStyle w:val="22"/>
        <w:tabs>
          <w:tab w:val="right" w:leader="dot" w:pos="9070"/>
        </w:tabs>
      </w:pPr>
      <w:r>
        <w:fldChar w:fldCharType="begin"/>
      </w:r>
      <w:r>
        <w:instrText xml:space="preserve"> HYPERLINK \l _Toc21559 </w:instrText>
      </w:r>
      <w:r>
        <w:fldChar w:fldCharType="separate"/>
      </w:r>
      <w:r>
        <w:rPr>
          <w:rFonts w:hint="eastAsia" w:ascii="宋体" w:hAnsi="宋体"/>
        </w:rPr>
        <w:t>1</w:t>
      </w:r>
      <w:r>
        <w:rPr>
          <w:rFonts w:ascii="宋体" w:hAnsi="宋体"/>
        </w:rPr>
        <w:t xml:space="preserve">.2 </w:t>
      </w:r>
      <w:r>
        <w:rPr>
          <w:rFonts w:hint="eastAsia" w:ascii="宋体" w:hAnsi="宋体"/>
        </w:rPr>
        <w:t>目录</w:t>
      </w:r>
      <w:r>
        <w:tab/>
      </w:r>
      <w:r>
        <w:fldChar w:fldCharType="begin"/>
      </w:r>
      <w:r>
        <w:instrText xml:space="preserve"> PAGEREF _Toc21559 \h </w:instrText>
      </w:r>
      <w:r>
        <w:fldChar w:fldCharType="separate"/>
      </w:r>
      <w:r>
        <w:t>2</w:t>
      </w:r>
      <w:r>
        <w:fldChar w:fldCharType="end"/>
      </w:r>
      <w:r>
        <w:fldChar w:fldCharType="end"/>
      </w:r>
    </w:p>
    <w:p w14:paraId="52F215EF">
      <w:pPr>
        <w:pStyle w:val="19"/>
        <w:tabs>
          <w:tab w:val="right" w:leader="dot" w:pos="9070"/>
          <w:tab w:val="clear" w:pos="9060"/>
        </w:tabs>
      </w:pPr>
      <w:r>
        <w:fldChar w:fldCharType="begin"/>
      </w:r>
      <w:r>
        <w:instrText xml:space="preserve"> HYPERLINK \l _Toc17809 </w:instrText>
      </w:r>
      <w:r>
        <w:fldChar w:fldCharType="separate"/>
      </w:r>
      <w:r>
        <w:rPr>
          <w:rFonts w:ascii="宋体" w:hAnsi="宋体" w:eastAsia="宋体" w:cs="宋体"/>
        </w:rPr>
        <w:t>§2 基金简介</w:t>
      </w:r>
      <w:r>
        <w:tab/>
      </w:r>
      <w:r>
        <w:fldChar w:fldCharType="begin"/>
      </w:r>
      <w:r>
        <w:instrText xml:space="preserve"> PAGEREF _Toc17809 \h </w:instrText>
      </w:r>
      <w:r>
        <w:fldChar w:fldCharType="separate"/>
      </w:r>
      <w:r>
        <w:t>4</w:t>
      </w:r>
      <w:r>
        <w:fldChar w:fldCharType="end"/>
      </w:r>
      <w:r>
        <w:fldChar w:fldCharType="end"/>
      </w:r>
    </w:p>
    <w:p w14:paraId="15E9B8D1">
      <w:pPr>
        <w:pStyle w:val="22"/>
        <w:tabs>
          <w:tab w:val="right" w:leader="dot" w:pos="9070"/>
        </w:tabs>
      </w:pPr>
      <w:r>
        <w:fldChar w:fldCharType="begin"/>
      </w:r>
      <w:r>
        <w:instrText xml:space="preserve"> HYPERLINK \l _Toc29088 </w:instrText>
      </w:r>
      <w:r>
        <w:fldChar w:fldCharType="separate"/>
      </w:r>
      <w:r>
        <w:rPr>
          <w:rFonts w:ascii="宋体" w:hAnsi="宋体" w:eastAsia="宋体" w:cs="宋体"/>
        </w:rPr>
        <w:t>2.1 基金基本情况</w:t>
      </w:r>
      <w:r>
        <w:tab/>
      </w:r>
      <w:r>
        <w:fldChar w:fldCharType="begin"/>
      </w:r>
      <w:r>
        <w:instrText xml:space="preserve"> PAGEREF _Toc29088 \h </w:instrText>
      </w:r>
      <w:r>
        <w:fldChar w:fldCharType="separate"/>
      </w:r>
      <w:r>
        <w:t>4</w:t>
      </w:r>
      <w:r>
        <w:fldChar w:fldCharType="end"/>
      </w:r>
      <w:r>
        <w:fldChar w:fldCharType="end"/>
      </w:r>
    </w:p>
    <w:p w14:paraId="67C043E7">
      <w:pPr>
        <w:pStyle w:val="22"/>
        <w:tabs>
          <w:tab w:val="right" w:leader="dot" w:pos="9070"/>
        </w:tabs>
      </w:pPr>
      <w:r>
        <w:fldChar w:fldCharType="begin"/>
      </w:r>
      <w:r>
        <w:instrText xml:space="preserve"> HYPERLINK \l _Toc28554 </w:instrText>
      </w:r>
      <w:r>
        <w:fldChar w:fldCharType="separate"/>
      </w:r>
      <w:r>
        <w:rPr>
          <w:rFonts w:ascii="宋体" w:hAnsi="宋体" w:eastAsia="宋体" w:cs="宋体"/>
        </w:rPr>
        <w:t>2.2 基金产品说明</w:t>
      </w:r>
      <w:r>
        <w:tab/>
      </w:r>
      <w:r>
        <w:fldChar w:fldCharType="begin"/>
      </w:r>
      <w:r>
        <w:instrText xml:space="preserve"> PAGEREF _Toc28554 \h </w:instrText>
      </w:r>
      <w:r>
        <w:fldChar w:fldCharType="separate"/>
      </w:r>
      <w:r>
        <w:t>4</w:t>
      </w:r>
      <w:r>
        <w:fldChar w:fldCharType="end"/>
      </w:r>
      <w:r>
        <w:fldChar w:fldCharType="end"/>
      </w:r>
    </w:p>
    <w:p w14:paraId="12FEE80F">
      <w:pPr>
        <w:pStyle w:val="22"/>
        <w:tabs>
          <w:tab w:val="right" w:leader="dot" w:pos="9070"/>
        </w:tabs>
      </w:pPr>
      <w:r>
        <w:fldChar w:fldCharType="begin"/>
      </w:r>
      <w:r>
        <w:instrText xml:space="preserve"> HYPERLINK \l _Toc10297 </w:instrText>
      </w:r>
      <w:r>
        <w:fldChar w:fldCharType="separate"/>
      </w:r>
      <w:r>
        <w:rPr>
          <w:rFonts w:ascii="宋体" w:hAnsi="宋体" w:eastAsia="宋体" w:cs="宋体"/>
        </w:rPr>
        <w:t>2.3 基金管理人和基金托管人</w:t>
      </w:r>
      <w:r>
        <w:tab/>
      </w:r>
      <w:r>
        <w:fldChar w:fldCharType="begin"/>
      </w:r>
      <w:r>
        <w:instrText xml:space="preserve"> PAGEREF _Toc10297 \h </w:instrText>
      </w:r>
      <w:r>
        <w:fldChar w:fldCharType="separate"/>
      </w:r>
      <w:r>
        <w:t>5</w:t>
      </w:r>
      <w:r>
        <w:fldChar w:fldCharType="end"/>
      </w:r>
      <w:r>
        <w:fldChar w:fldCharType="end"/>
      </w:r>
    </w:p>
    <w:p w14:paraId="73AF1929">
      <w:pPr>
        <w:pStyle w:val="22"/>
        <w:tabs>
          <w:tab w:val="right" w:leader="dot" w:pos="9070"/>
        </w:tabs>
      </w:pPr>
      <w:r>
        <w:fldChar w:fldCharType="begin"/>
      </w:r>
      <w:r>
        <w:instrText xml:space="preserve"> HYPERLINK \l _Toc31958 </w:instrText>
      </w:r>
      <w:r>
        <w:fldChar w:fldCharType="separate"/>
      </w:r>
      <w:r>
        <w:rPr>
          <w:rFonts w:ascii="宋体" w:hAnsi="宋体" w:eastAsia="宋体" w:cs="宋体"/>
        </w:rPr>
        <w:t>2.4 信息披露方式</w:t>
      </w:r>
      <w:r>
        <w:tab/>
      </w:r>
      <w:r>
        <w:fldChar w:fldCharType="begin"/>
      </w:r>
      <w:r>
        <w:instrText xml:space="preserve"> PAGEREF _Toc31958 \h </w:instrText>
      </w:r>
      <w:r>
        <w:fldChar w:fldCharType="separate"/>
      </w:r>
      <w:r>
        <w:t>6</w:t>
      </w:r>
      <w:r>
        <w:fldChar w:fldCharType="end"/>
      </w:r>
      <w:r>
        <w:fldChar w:fldCharType="end"/>
      </w:r>
    </w:p>
    <w:p w14:paraId="72AF5576">
      <w:pPr>
        <w:pStyle w:val="22"/>
        <w:tabs>
          <w:tab w:val="right" w:leader="dot" w:pos="9070"/>
        </w:tabs>
      </w:pPr>
      <w:r>
        <w:fldChar w:fldCharType="begin"/>
      </w:r>
      <w:r>
        <w:instrText xml:space="preserve"> HYPERLINK \l _Toc307 </w:instrText>
      </w:r>
      <w:r>
        <w:fldChar w:fldCharType="separate"/>
      </w:r>
      <w:r>
        <w:rPr>
          <w:rFonts w:ascii="宋体" w:hAnsi="宋体" w:eastAsia="宋体" w:cs="宋体"/>
        </w:rPr>
        <w:t>2.5 其他相关资料</w:t>
      </w:r>
      <w:r>
        <w:tab/>
      </w:r>
      <w:r>
        <w:fldChar w:fldCharType="begin"/>
      </w:r>
      <w:r>
        <w:instrText xml:space="preserve"> PAGEREF _Toc307 \h </w:instrText>
      </w:r>
      <w:r>
        <w:fldChar w:fldCharType="separate"/>
      </w:r>
      <w:r>
        <w:t>6</w:t>
      </w:r>
      <w:r>
        <w:fldChar w:fldCharType="end"/>
      </w:r>
      <w:r>
        <w:fldChar w:fldCharType="end"/>
      </w:r>
    </w:p>
    <w:p w14:paraId="10924932">
      <w:pPr>
        <w:pStyle w:val="19"/>
        <w:tabs>
          <w:tab w:val="right" w:leader="dot" w:pos="9070"/>
          <w:tab w:val="clear" w:pos="9060"/>
        </w:tabs>
      </w:pPr>
      <w:r>
        <w:fldChar w:fldCharType="begin"/>
      </w:r>
      <w:r>
        <w:instrText xml:space="preserve"> HYPERLINK \l _Toc13042 </w:instrText>
      </w:r>
      <w:r>
        <w:fldChar w:fldCharType="separate"/>
      </w:r>
      <w:r>
        <w:rPr>
          <w:rFonts w:ascii="宋体" w:hAnsi="宋体" w:eastAsia="宋体" w:cs="宋体"/>
        </w:rPr>
        <w:t>§3 主要财务指标和基金净值表现</w:t>
      </w:r>
      <w:r>
        <w:tab/>
      </w:r>
      <w:r>
        <w:fldChar w:fldCharType="begin"/>
      </w:r>
      <w:r>
        <w:instrText xml:space="preserve"> PAGEREF _Toc13042 \h </w:instrText>
      </w:r>
      <w:r>
        <w:fldChar w:fldCharType="separate"/>
      </w:r>
      <w:r>
        <w:t>6</w:t>
      </w:r>
      <w:r>
        <w:fldChar w:fldCharType="end"/>
      </w:r>
      <w:r>
        <w:fldChar w:fldCharType="end"/>
      </w:r>
    </w:p>
    <w:p w14:paraId="0D316BB6">
      <w:pPr>
        <w:pStyle w:val="22"/>
        <w:tabs>
          <w:tab w:val="right" w:leader="dot" w:pos="9070"/>
        </w:tabs>
      </w:pPr>
      <w:r>
        <w:fldChar w:fldCharType="begin"/>
      </w:r>
      <w:r>
        <w:instrText xml:space="preserve"> HYPERLINK \l _Toc20700 </w:instrText>
      </w:r>
      <w:r>
        <w:fldChar w:fldCharType="separate"/>
      </w:r>
      <w:r>
        <w:rPr>
          <w:rFonts w:ascii="宋体" w:hAnsi="宋体" w:eastAsia="宋体" w:cs="宋体"/>
        </w:rPr>
        <w:t>3.1 主要会计数据和财务指标</w:t>
      </w:r>
      <w:r>
        <w:tab/>
      </w:r>
      <w:r>
        <w:fldChar w:fldCharType="begin"/>
      </w:r>
      <w:r>
        <w:instrText xml:space="preserve"> PAGEREF _Toc20700 \h </w:instrText>
      </w:r>
      <w:r>
        <w:fldChar w:fldCharType="separate"/>
      </w:r>
      <w:r>
        <w:t>6</w:t>
      </w:r>
      <w:r>
        <w:fldChar w:fldCharType="end"/>
      </w:r>
      <w:r>
        <w:fldChar w:fldCharType="end"/>
      </w:r>
    </w:p>
    <w:p w14:paraId="5A24C985">
      <w:pPr>
        <w:pStyle w:val="22"/>
        <w:tabs>
          <w:tab w:val="right" w:leader="dot" w:pos="9070"/>
        </w:tabs>
      </w:pPr>
      <w:r>
        <w:fldChar w:fldCharType="begin"/>
      </w:r>
      <w:r>
        <w:instrText xml:space="preserve"> HYPERLINK \l _Toc20121 </w:instrText>
      </w:r>
      <w:r>
        <w:fldChar w:fldCharType="separate"/>
      </w:r>
      <w:r>
        <w:rPr>
          <w:rFonts w:ascii="宋体" w:hAnsi="宋体" w:eastAsia="宋体" w:cs="宋体"/>
        </w:rPr>
        <w:t>3.2 基金净值表现</w:t>
      </w:r>
      <w:r>
        <w:tab/>
      </w:r>
      <w:r>
        <w:fldChar w:fldCharType="begin"/>
      </w:r>
      <w:r>
        <w:instrText xml:space="preserve"> PAGEREF _Toc20121 \h </w:instrText>
      </w:r>
      <w:r>
        <w:fldChar w:fldCharType="separate"/>
      </w:r>
      <w:r>
        <w:t>7</w:t>
      </w:r>
      <w:r>
        <w:fldChar w:fldCharType="end"/>
      </w:r>
      <w:r>
        <w:fldChar w:fldCharType="end"/>
      </w:r>
    </w:p>
    <w:p w14:paraId="7099350F">
      <w:pPr>
        <w:pStyle w:val="19"/>
        <w:tabs>
          <w:tab w:val="right" w:leader="dot" w:pos="9070"/>
          <w:tab w:val="clear" w:pos="9060"/>
        </w:tabs>
      </w:pPr>
      <w:r>
        <w:fldChar w:fldCharType="begin"/>
      </w:r>
      <w:r>
        <w:instrText xml:space="preserve"> HYPERLINK \l _Toc15398 </w:instrText>
      </w:r>
      <w:r>
        <w:fldChar w:fldCharType="separate"/>
      </w:r>
      <w:r>
        <w:rPr>
          <w:rFonts w:ascii="宋体" w:hAnsi="宋体" w:eastAsia="宋体" w:cs="宋体"/>
        </w:rPr>
        <w:t>§4 管理人报告</w:t>
      </w:r>
      <w:r>
        <w:tab/>
      </w:r>
      <w:r>
        <w:fldChar w:fldCharType="begin"/>
      </w:r>
      <w:r>
        <w:instrText xml:space="preserve"> PAGEREF _Toc15398 \h </w:instrText>
      </w:r>
      <w:r>
        <w:fldChar w:fldCharType="separate"/>
      </w:r>
      <w:r>
        <w:t>8</w:t>
      </w:r>
      <w:r>
        <w:fldChar w:fldCharType="end"/>
      </w:r>
      <w:r>
        <w:fldChar w:fldCharType="end"/>
      </w:r>
    </w:p>
    <w:p w14:paraId="4421E085">
      <w:pPr>
        <w:pStyle w:val="22"/>
        <w:tabs>
          <w:tab w:val="right" w:leader="dot" w:pos="9070"/>
        </w:tabs>
      </w:pPr>
      <w:r>
        <w:fldChar w:fldCharType="begin"/>
      </w:r>
      <w:r>
        <w:instrText xml:space="preserve"> HYPERLINK \l _Toc14245 </w:instrText>
      </w:r>
      <w:r>
        <w:fldChar w:fldCharType="separate"/>
      </w:r>
      <w:r>
        <w:rPr>
          <w:rFonts w:ascii="宋体" w:hAnsi="宋体" w:eastAsia="宋体" w:cs="宋体"/>
        </w:rPr>
        <w:t>4.1 基金管理人及基金经理情况</w:t>
      </w:r>
      <w:r>
        <w:tab/>
      </w:r>
      <w:r>
        <w:fldChar w:fldCharType="begin"/>
      </w:r>
      <w:r>
        <w:instrText xml:space="preserve"> PAGEREF _Toc14245 \h </w:instrText>
      </w:r>
      <w:r>
        <w:fldChar w:fldCharType="separate"/>
      </w:r>
      <w:r>
        <w:t>8</w:t>
      </w:r>
      <w:r>
        <w:fldChar w:fldCharType="end"/>
      </w:r>
      <w:r>
        <w:fldChar w:fldCharType="end"/>
      </w:r>
    </w:p>
    <w:p w14:paraId="461704B9">
      <w:pPr>
        <w:pStyle w:val="22"/>
        <w:tabs>
          <w:tab w:val="right" w:leader="dot" w:pos="9070"/>
        </w:tabs>
      </w:pPr>
      <w:r>
        <w:fldChar w:fldCharType="begin"/>
      </w:r>
      <w:r>
        <w:instrText xml:space="preserve"> HYPERLINK \l _Toc20327 </w:instrText>
      </w:r>
      <w:r>
        <w:fldChar w:fldCharType="separate"/>
      </w:r>
      <w:r>
        <w:rPr>
          <w:rFonts w:ascii="宋体" w:hAnsi="宋体" w:eastAsia="宋体" w:cs="宋体"/>
        </w:rPr>
        <w:t>4.2 管理人对报告期内本基金运作遵规守信情况的说明</w:t>
      </w:r>
      <w:r>
        <w:tab/>
      </w:r>
      <w:r>
        <w:fldChar w:fldCharType="begin"/>
      </w:r>
      <w:r>
        <w:instrText xml:space="preserve"> PAGEREF _Toc20327 \h </w:instrText>
      </w:r>
      <w:r>
        <w:fldChar w:fldCharType="separate"/>
      </w:r>
      <w:r>
        <w:t>10</w:t>
      </w:r>
      <w:r>
        <w:fldChar w:fldCharType="end"/>
      </w:r>
      <w:r>
        <w:fldChar w:fldCharType="end"/>
      </w:r>
    </w:p>
    <w:p w14:paraId="2AA0B9BA">
      <w:pPr>
        <w:pStyle w:val="22"/>
        <w:tabs>
          <w:tab w:val="right" w:leader="dot" w:pos="9070"/>
        </w:tabs>
      </w:pPr>
      <w:r>
        <w:fldChar w:fldCharType="begin"/>
      </w:r>
      <w:r>
        <w:instrText xml:space="preserve"> HYPERLINK \l _Toc9557 </w:instrText>
      </w:r>
      <w:r>
        <w:fldChar w:fldCharType="separate"/>
      </w:r>
      <w:r>
        <w:rPr>
          <w:rFonts w:ascii="宋体" w:hAnsi="宋体" w:eastAsia="宋体" w:cs="宋体"/>
        </w:rPr>
        <w:t>4.3 管理人对报告期内公平交易情况的专项说明</w:t>
      </w:r>
      <w:r>
        <w:tab/>
      </w:r>
      <w:r>
        <w:fldChar w:fldCharType="begin"/>
      </w:r>
      <w:r>
        <w:instrText xml:space="preserve"> PAGEREF _Toc9557 \h </w:instrText>
      </w:r>
      <w:r>
        <w:fldChar w:fldCharType="separate"/>
      </w:r>
      <w:r>
        <w:t>10</w:t>
      </w:r>
      <w:r>
        <w:fldChar w:fldCharType="end"/>
      </w:r>
      <w:r>
        <w:fldChar w:fldCharType="end"/>
      </w:r>
    </w:p>
    <w:p w14:paraId="15D8F7B9">
      <w:pPr>
        <w:pStyle w:val="22"/>
        <w:tabs>
          <w:tab w:val="right" w:leader="dot" w:pos="9070"/>
        </w:tabs>
      </w:pPr>
      <w:r>
        <w:fldChar w:fldCharType="begin"/>
      </w:r>
      <w:r>
        <w:instrText xml:space="preserve"> HYPERLINK \l _Toc22554 </w:instrText>
      </w:r>
      <w:r>
        <w:fldChar w:fldCharType="separate"/>
      </w:r>
      <w:r>
        <w:rPr>
          <w:rFonts w:ascii="宋体" w:hAnsi="宋体" w:eastAsia="宋体" w:cs="宋体"/>
        </w:rPr>
        <w:t>4.4 管理人对报告期内基金的投资策略和业绩表现的说明</w:t>
      </w:r>
      <w:r>
        <w:tab/>
      </w:r>
      <w:r>
        <w:fldChar w:fldCharType="begin"/>
      </w:r>
      <w:r>
        <w:instrText xml:space="preserve"> PAGEREF _Toc22554 \h </w:instrText>
      </w:r>
      <w:r>
        <w:fldChar w:fldCharType="separate"/>
      </w:r>
      <w:r>
        <w:t>10</w:t>
      </w:r>
      <w:r>
        <w:fldChar w:fldCharType="end"/>
      </w:r>
      <w:r>
        <w:fldChar w:fldCharType="end"/>
      </w:r>
    </w:p>
    <w:p w14:paraId="6B677C14">
      <w:pPr>
        <w:pStyle w:val="22"/>
        <w:tabs>
          <w:tab w:val="right" w:leader="dot" w:pos="9070"/>
        </w:tabs>
      </w:pPr>
      <w:r>
        <w:fldChar w:fldCharType="begin"/>
      </w:r>
      <w:r>
        <w:instrText xml:space="preserve"> HYPERLINK \l _Toc15754 </w:instrText>
      </w:r>
      <w:r>
        <w:fldChar w:fldCharType="separate"/>
      </w:r>
      <w:r>
        <w:rPr>
          <w:rFonts w:ascii="宋体" w:hAnsi="宋体" w:eastAsia="宋体" w:cs="宋体"/>
        </w:rPr>
        <w:t>4.5 管理人对宏观经济、证券市场及行业走势的简要展望</w:t>
      </w:r>
      <w:r>
        <w:tab/>
      </w:r>
      <w:r>
        <w:fldChar w:fldCharType="begin"/>
      </w:r>
      <w:r>
        <w:instrText xml:space="preserve"> PAGEREF _Toc15754 \h </w:instrText>
      </w:r>
      <w:r>
        <w:fldChar w:fldCharType="separate"/>
      </w:r>
      <w:r>
        <w:t>11</w:t>
      </w:r>
      <w:r>
        <w:fldChar w:fldCharType="end"/>
      </w:r>
      <w:r>
        <w:fldChar w:fldCharType="end"/>
      </w:r>
    </w:p>
    <w:p w14:paraId="5FE0450F">
      <w:pPr>
        <w:pStyle w:val="22"/>
        <w:tabs>
          <w:tab w:val="right" w:leader="dot" w:pos="9070"/>
        </w:tabs>
      </w:pPr>
      <w:r>
        <w:fldChar w:fldCharType="begin"/>
      </w:r>
      <w:r>
        <w:instrText xml:space="preserve"> HYPERLINK \l _Toc427 </w:instrText>
      </w:r>
      <w:r>
        <w:fldChar w:fldCharType="separate"/>
      </w:r>
      <w:r>
        <w:rPr>
          <w:rFonts w:ascii="宋体" w:hAnsi="宋体" w:eastAsia="宋体" w:cs="宋体"/>
        </w:rPr>
        <w:t>4.6 管理人对报告期内基金估值程序等事项的说明</w:t>
      </w:r>
      <w:r>
        <w:tab/>
      </w:r>
      <w:r>
        <w:fldChar w:fldCharType="begin"/>
      </w:r>
      <w:r>
        <w:instrText xml:space="preserve"> PAGEREF _Toc427 \h </w:instrText>
      </w:r>
      <w:r>
        <w:fldChar w:fldCharType="separate"/>
      </w:r>
      <w:r>
        <w:t>11</w:t>
      </w:r>
      <w:r>
        <w:fldChar w:fldCharType="end"/>
      </w:r>
      <w:r>
        <w:fldChar w:fldCharType="end"/>
      </w:r>
    </w:p>
    <w:p w14:paraId="0086EFB4">
      <w:pPr>
        <w:pStyle w:val="22"/>
        <w:tabs>
          <w:tab w:val="right" w:leader="dot" w:pos="9070"/>
        </w:tabs>
      </w:pPr>
      <w:r>
        <w:fldChar w:fldCharType="begin"/>
      </w:r>
      <w:r>
        <w:instrText xml:space="preserve"> HYPERLINK \l _Toc20198 </w:instrText>
      </w:r>
      <w:r>
        <w:fldChar w:fldCharType="separate"/>
      </w:r>
      <w:r>
        <w:rPr>
          <w:rFonts w:ascii="宋体" w:hAnsi="宋体" w:eastAsia="宋体" w:cs="宋体"/>
        </w:rPr>
        <w:t>4.7 管理人对报告期内基金利润分配情况的说明</w:t>
      </w:r>
      <w:r>
        <w:tab/>
      </w:r>
      <w:r>
        <w:fldChar w:fldCharType="begin"/>
      </w:r>
      <w:r>
        <w:instrText xml:space="preserve"> PAGEREF _Toc20198 \h </w:instrText>
      </w:r>
      <w:r>
        <w:fldChar w:fldCharType="separate"/>
      </w:r>
      <w:r>
        <w:t>12</w:t>
      </w:r>
      <w:r>
        <w:fldChar w:fldCharType="end"/>
      </w:r>
      <w:r>
        <w:fldChar w:fldCharType="end"/>
      </w:r>
    </w:p>
    <w:p w14:paraId="63DEAC49">
      <w:pPr>
        <w:pStyle w:val="22"/>
        <w:tabs>
          <w:tab w:val="right" w:leader="dot" w:pos="9070"/>
        </w:tabs>
      </w:pPr>
      <w:r>
        <w:fldChar w:fldCharType="begin"/>
      </w:r>
      <w:r>
        <w:instrText xml:space="preserve"> HYPERLINK \l _Toc30095 </w:instrText>
      </w:r>
      <w:r>
        <w:fldChar w:fldCharType="separate"/>
      </w:r>
      <w:r>
        <w:rPr>
          <w:rFonts w:ascii="宋体" w:hAnsi="宋体" w:eastAsia="宋体" w:cs="宋体"/>
        </w:rPr>
        <w:t>4.8 报告期内管理人对本基金持有人数或基金资产净值预警情形的说明</w:t>
      </w:r>
      <w:r>
        <w:tab/>
      </w:r>
      <w:r>
        <w:fldChar w:fldCharType="begin"/>
      </w:r>
      <w:r>
        <w:instrText xml:space="preserve"> PAGEREF _Toc30095 \h </w:instrText>
      </w:r>
      <w:r>
        <w:fldChar w:fldCharType="separate"/>
      </w:r>
      <w:r>
        <w:t>12</w:t>
      </w:r>
      <w:r>
        <w:fldChar w:fldCharType="end"/>
      </w:r>
      <w:r>
        <w:fldChar w:fldCharType="end"/>
      </w:r>
    </w:p>
    <w:p w14:paraId="3138471A">
      <w:pPr>
        <w:pStyle w:val="19"/>
        <w:tabs>
          <w:tab w:val="right" w:leader="dot" w:pos="9070"/>
          <w:tab w:val="clear" w:pos="9060"/>
        </w:tabs>
      </w:pPr>
      <w:r>
        <w:fldChar w:fldCharType="begin"/>
      </w:r>
      <w:r>
        <w:instrText xml:space="preserve"> HYPERLINK \l _Toc1274 </w:instrText>
      </w:r>
      <w:r>
        <w:fldChar w:fldCharType="separate"/>
      </w:r>
      <w:r>
        <w:rPr>
          <w:rFonts w:ascii="宋体" w:hAnsi="宋体" w:eastAsia="宋体" w:cs="宋体"/>
        </w:rPr>
        <w:t>§5 托管人报告</w:t>
      </w:r>
      <w:r>
        <w:tab/>
      </w:r>
      <w:r>
        <w:fldChar w:fldCharType="begin"/>
      </w:r>
      <w:r>
        <w:instrText xml:space="preserve"> PAGEREF _Toc1274 \h </w:instrText>
      </w:r>
      <w:r>
        <w:fldChar w:fldCharType="separate"/>
      </w:r>
      <w:r>
        <w:t>12</w:t>
      </w:r>
      <w:r>
        <w:fldChar w:fldCharType="end"/>
      </w:r>
      <w:r>
        <w:fldChar w:fldCharType="end"/>
      </w:r>
    </w:p>
    <w:p w14:paraId="26DCA945">
      <w:pPr>
        <w:pStyle w:val="22"/>
        <w:tabs>
          <w:tab w:val="right" w:leader="dot" w:pos="9070"/>
        </w:tabs>
      </w:pPr>
      <w:r>
        <w:fldChar w:fldCharType="begin"/>
      </w:r>
      <w:r>
        <w:instrText xml:space="preserve"> HYPERLINK \l _Toc313 </w:instrText>
      </w:r>
      <w:r>
        <w:fldChar w:fldCharType="separate"/>
      </w:r>
      <w:r>
        <w:rPr>
          <w:rFonts w:ascii="宋体" w:hAnsi="宋体" w:eastAsia="宋体" w:cs="宋体"/>
        </w:rPr>
        <w:t>5.1 报告期内本基金托管人遵规守信情况声明</w:t>
      </w:r>
      <w:r>
        <w:tab/>
      </w:r>
      <w:r>
        <w:fldChar w:fldCharType="begin"/>
      </w:r>
      <w:r>
        <w:instrText xml:space="preserve"> PAGEREF _Toc313 \h </w:instrText>
      </w:r>
      <w:r>
        <w:fldChar w:fldCharType="separate"/>
      </w:r>
      <w:r>
        <w:t>12</w:t>
      </w:r>
      <w:r>
        <w:fldChar w:fldCharType="end"/>
      </w:r>
      <w:r>
        <w:fldChar w:fldCharType="end"/>
      </w:r>
    </w:p>
    <w:p w14:paraId="05029113">
      <w:pPr>
        <w:pStyle w:val="22"/>
        <w:tabs>
          <w:tab w:val="right" w:leader="dot" w:pos="9070"/>
        </w:tabs>
      </w:pPr>
      <w:r>
        <w:fldChar w:fldCharType="begin"/>
      </w:r>
      <w:r>
        <w:instrText xml:space="preserve"> HYPERLINK \l _Toc12011 </w:instrText>
      </w:r>
      <w:r>
        <w:fldChar w:fldCharType="separate"/>
      </w:r>
      <w:r>
        <w:rPr>
          <w:rFonts w:ascii="宋体" w:hAnsi="宋体" w:eastAsia="宋体" w:cs="宋体"/>
        </w:rPr>
        <w:t>5.2 托管人对报告期内本基金投资运作遵规守信、净值计算、利润分配等情况的说明</w:t>
      </w:r>
      <w:r>
        <w:tab/>
      </w:r>
      <w:r>
        <w:fldChar w:fldCharType="begin"/>
      </w:r>
      <w:r>
        <w:instrText xml:space="preserve"> PAGEREF _Toc12011 \h </w:instrText>
      </w:r>
      <w:r>
        <w:fldChar w:fldCharType="separate"/>
      </w:r>
      <w:r>
        <w:t>12</w:t>
      </w:r>
      <w:r>
        <w:fldChar w:fldCharType="end"/>
      </w:r>
      <w:r>
        <w:fldChar w:fldCharType="end"/>
      </w:r>
    </w:p>
    <w:p w14:paraId="11E23F33">
      <w:pPr>
        <w:pStyle w:val="22"/>
        <w:tabs>
          <w:tab w:val="right" w:leader="dot" w:pos="9070"/>
        </w:tabs>
      </w:pPr>
      <w:r>
        <w:fldChar w:fldCharType="begin"/>
      </w:r>
      <w:r>
        <w:instrText xml:space="preserve"> HYPERLINK \l _Toc6322 </w:instrText>
      </w:r>
      <w:r>
        <w:fldChar w:fldCharType="separate"/>
      </w:r>
      <w:r>
        <w:rPr>
          <w:rFonts w:ascii="宋体" w:hAnsi="宋体" w:eastAsia="宋体" w:cs="宋体"/>
        </w:rPr>
        <w:t>5.3 托管人对本中期报告中财务信息等内容的真实、准确和完整发表意见</w:t>
      </w:r>
      <w:r>
        <w:tab/>
      </w:r>
      <w:r>
        <w:fldChar w:fldCharType="begin"/>
      </w:r>
      <w:r>
        <w:instrText xml:space="preserve"> PAGEREF _Toc6322 \h </w:instrText>
      </w:r>
      <w:r>
        <w:fldChar w:fldCharType="separate"/>
      </w:r>
      <w:r>
        <w:t>12</w:t>
      </w:r>
      <w:r>
        <w:fldChar w:fldCharType="end"/>
      </w:r>
      <w:r>
        <w:fldChar w:fldCharType="end"/>
      </w:r>
    </w:p>
    <w:p w14:paraId="63E779AF">
      <w:pPr>
        <w:pStyle w:val="19"/>
        <w:tabs>
          <w:tab w:val="right" w:leader="dot" w:pos="9070"/>
          <w:tab w:val="clear" w:pos="9060"/>
        </w:tabs>
      </w:pPr>
      <w:r>
        <w:fldChar w:fldCharType="begin"/>
      </w:r>
      <w:r>
        <w:instrText xml:space="preserve"> HYPERLINK \l _Toc13367 </w:instrText>
      </w:r>
      <w:r>
        <w:fldChar w:fldCharType="separate"/>
      </w:r>
      <w:r>
        <w:rPr>
          <w:rFonts w:ascii="宋体" w:hAnsi="宋体" w:eastAsia="宋体" w:cs="宋体"/>
        </w:rPr>
        <w:t>§6 半年度财务会计报告(未经审计)</w:t>
      </w:r>
      <w:r>
        <w:tab/>
      </w:r>
      <w:r>
        <w:fldChar w:fldCharType="begin"/>
      </w:r>
      <w:r>
        <w:instrText xml:space="preserve"> PAGEREF _Toc13367 \h </w:instrText>
      </w:r>
      <w:r>
        <w:fldChar w:fldCharType="separate"/>
      </w:r>
      <w:r>
        <w:t>13</w:t>
      </w:r>
      <w:r>
        <w:fldChar w:fldCharType="end"/>
      </w:r>
      <w:r>
        <w:fldChar w:fldCharType="end"/>
      </w:r>
    </w:p>
    <w:p w14:paraId="223F7859">
      <w:pPr>
        <w:pStyle w:val="22"/>
        <w:tabs>
          <w:tab w:val="right" w:leader="dot" w:pos="9070"/>
        </w:tabs>
      </w:pPr>
      <w:r>
        <w:fldChar w:fldCharType="begin"/>
      </w:r>
      <w:r>
        <w:instrText xml:space="preserve"> HYPERLINK \l _Toc722 </w:instrText>
      </w:r>
      <w:r>
        <w:fldChar w:fldCharType="separate"/>
      </w:r>
      <w:r>
        <w:rPr>
          <w:rFonts w:ascii="宋体" w:hAnsi="宋体" w:eastAsia="宋体" w:cs="宋体"/>
        </w:rPr>
        <w:t>6.1 资产负债表</w:t>
      </w:r>
      <w:r>
        <w:tab/>
      </w:r>
      <w:r>
        <w:fldChar w:fldCharType="begin"/>
      </w:r>
      <w:r>
        <w:instrText xml:space="preserve"> PAGEREF _Toc722 \h </w:instrText>
      </w:r>
      <w:r>
        <w:fldChar w:fldCharType="separate"/>
      </w:r>
      <w:r>
        <w:t>13</w:t>
      </w:r>
      <w:r>
        <w:fldChar w:fldCharType="end"/>
      </w:r>
      <w:r>
        <w:fldChar w:fldCharType="end"/>
      </w:r>
    </w:p>
    <w:p w14:paraId="496A028D">
      <w:pPr>
        <w:pStyle w:val="22"/>
        <w:tabs>
          <w:tab w:val="right" w:leader="dot" w:pos="9070"/>
        </w:tabs>
      </w:pPr>
      <w:r>
        <w:fldChar w:fldCharType="begin"/>
      </w:r>
      <w:r>
        <w:instrText xml:space="preserve"> HYPERLINK \l _Toc28784 </w:instrText>
      </w:r>
      <w:r>
        <w:fldChar w:fldCharType="separate"/>
      </w:r>
      <w:r>
        <w:rPr>
          <w:rFonts w:ascii="宋体" w:hAnsi="宋体" w:eastAsia="宋体" w:cs="宋体"/>
        </w:rPr>
        <w:t>6.2 利润表</w:t>
      </w:r>
      <w:r>
        <w:tab/>
      </w:r>
      <w:r>
        <w:fldChar w:fldCharType="begin"/>
      </w:r>
      <w:r>
        <w:instrText xml:space="preserve"> PAGEREF _Toc28784 \h </w:instrText>
      </w:r>
      <w:r>
        <w:fldChar w:fldCharType="separate"/>
      </w:r>
      <w:r>
        <w:t>14</w:t>
      </w:r>
      <w:r>
        <w:fldChar w:fldCharType="end"/>
      </w:r>
      <w:r>
        <w:fldChar w:fldCharType="end"/>
      </w:r>
    </w:p>
    <w:p w14:paraId="19BB1950">
      <w:pPr>
        <w:pStyle w:val="22"/>
        <w:tabs>
          <w:tab w:val="right" w:leader="dot" w:pos="9070"/>
        </w:tabs>
      </w:pPr>
      <w:r>
        <w:fldChar w:fldCharType="begin"/>
      </w:r>
      <w:r>
        <w:instrText xml:space="preserve"> HYPERLINK \l _Toc9333 </w:instrText>
      </w:r>
      <w:r>
        <w:fldChar w:fldCharType="separate"/>
      </w:r>
      <w:r>
        <w:rPr>
          <w:rFonts w:ascii="宋体" w:hAnsi="宋体" w:eastAsia="宋体" w:cs="宋体"/>
        </w:rPr>
        <w:t>6.3 净资产变动表</w:t>
      </w:r>
      <w:r>
        <w:tab/>
      </w:r>
      <w:r>
        <w:fldChar w:fldCharType="begin"/>
      </w:r>
      <w:r>
        <w:instrText xml:space="preserve"> PAGEREF _Toc9333 \h </w:instrText>
      </w:r>
      <w:r>
        <w:fldChar w:fldCharType="separate"/>
      </w:r>
      <w:r>
        <w:t>15</w:t>
      </w:r>
      <w:r>
        <w:fldChar w:fldCharType="end"/>
      </w:r>
      <w:r>
        <w:fldChar w:fldCharType="end"/>
      </w:r>
    </w:p>
    <w:p w14:paraId="644ECDC4">
      <w:pPr>
        <w:pStyle w:val="22"/>
        <w:tabs>
          <w:tab w:val="right" w:leader="dot" w:pos="9070"/>
        </w:tabs>
      </w:pPr>
      <w:r>
        <w:fldChar w:fldCharType="begin"/>
      </w:r>
      <w:r>
        <w:instrText xml:space="preserve"> HYPERLINK \l _Toc13881 </w:instrText>
      </w:r>
      <w:r>
        <w:fldChar w:fldCharType="separate"/>
      </w:r>
      <w:r>
        <w:rPr>
          <w:rFonts w:ascii="宋体" w:hAnsi="宋体" w:eastAsia="宋体" w:cs="宋体"/>
        </w:rPr>
        <w:t>6.4 报表附注</w:t>
      </w:r>
      <w:r>
        <w:tab/>
      </w:r>
      <w:r>
        <w:fldChar w:fldCharType="begin"/>
      </w:r>
      <w:r>
        <w:instrText xml:space="preserve"> PAGEREF _Toc13881 \h </w:instrText>
      </w:r>
      <w:r>
        <w:fldChar w:fldCharType="separate"/>
      </w:r>
      <w:r>
        <w:t>16</w:t>
      </w:r>
      <w:r>
        <w:fldChar w:fldCharType="end"/>
      </w:r>
      <w:r>
        <w:fldChar w:fldCharType="end"/>
      </w:r>
    </w:p>
    <w:p w14:paraId="1CBB474A">
      <w:pPr>
        <w:pStyle w:val="19"/>
        <w:tabs>
          <w:tab w:val="right" w:leader="dot" w:pos="9070"/>
          <w:tab w:val="clear" w:pos="9060"/>
        </w:tabs>
      </w:pPr>
      <w:r>
        <w:fldChar w:fldCharType="begin"/>
      </w:r>
      <w:r>
        <w:instrText xml:space="preserve"> HYPERLINK \l _Toc18975 </w:instrText>
      </w:r>
      <w:r>
        <w:fldChar w:fldCharType="separate"/>
      </w:r>
      <w:r>
        <w:rPr>
          <w:rFonts w:ascii="宋体" w:hAnsi="宋体" w:eastAsia="宋体" w:cs="宋体"/>
        </w:rPr>
        <w:t>§7 投资组合报告</w:t>
      </w:r>
      <w:r>
        <w:tab/>
      </w:r>
      <w:r>
        <w:fldChar w:fldCharType="begin"/>
      </w:r>
      <w:r>
        <w:instrText xml:space="preserve"> PAGEREF _Toc18975 \h </w:instrText>
      </w:r>
      <w:r>
        <w:fldChar w:fldCharType="separate"/>
      </w:r>
      <w:r>
        <w:t>35</w:t>
      </w:r>
      <w:r>
        <w:fldChar w:fldCharType="end"/>
      </w:r>
      <w:r>
        <w:fldChar w:fldCharType="end"/>
      </w:r>
    </w:p>
    <w:p w14:paraId="3FDE45BC">
      <w:pPr>
        <w:pStyle w:val="22"/>
        <w:tabs>
          <w:tab w:val="right" w:leader="dot" w:pos="9070"/>
        </w:tabs>
      </w:pPr>
      <w:r>
        <w:fldChar w:fldCharType="begin"/>
      </w:r>
      <w:r>
        <w:instrText xml:space="preserve"> HYPERLINK \l _Toc31434 </w:instrText>
      </w:r>
      <w:r>
        <w:fldChar w:fldCharType="separate"/>
      </w:r>
      <w:r>
        <w:rPr>
          <w:rFonts w:ascii="宋体" w:hAnsi="宋体" w:eastAsia="宋体" w:cs="宋体"/>
        </w:rPr>
        <w:t>7.1 期末基金资产组合情况</w:t>
      </w:r>
      <w:r>
        <w:tab/>
      </w:r>
      <w:r>
        <w:fldChar w:fldCharType="begin"/>
      </w:r>
      <w:r>
        <w:instrText xml:space="preserve"> PAGEREF _Toc31434 \h </w:instrText>
      </w:r>
      <w:r>
        <w:fldChar w:fldCharType="separate"/>
      </w:r>
      <w:r>
        <w:t>35</w:t>
      </w:r>
      <w:r>
        <w:fldChar w:fldCharType="end"/>
      </w:r>
      <w:r>
        <w:fldChar w:fldCharType="end"/>
      </w:r>
    </w:p>
    <w:p w14:paraId="6C0A9F22">
      <w:pPr>
        <w:pStyle w:val="22"/>
        <w:tabs>
          <w:tab w:val="right" w:leader="dot" w:pos="9070"/>
        </w:tabs>
      </w:pPr>
      <w:r>
        <w:fldChar w:fldCharType="begin"/>
      </w:r>
      <w:r>
        <w:instrText xml:space="preserve"> HYPERLINK \l _Toc3045 </w:instrText>
      </w:r>
      <w:r>
        <w:fldChar w:fldCharType="separate"/>
      </w:r>
      <w:r>
        <w:rPr>
          <w:rFonts w:ascii="宋体" w:hAnsi="宋体" w:eastAsia="宋体" w:cs="宋体"/>
        </w:rPr>
        <w:t>7.2 报告期末按行业分类的股票投资组合</w:t>
      </w:r>
      <w:r>
        <w:tab/>
      </w:r>
      <w:r>
        <w:fldChar w:fldCharType="begin"/>
      </w:r>
      <w:r>
        <w:instrText xml:space="preserve"> PAGEREF _Toc3045 \h </w:instrText>
      </w:r>
      <w:r>
        <w:fldChar w:fldCharType="separate"/>
      </w:r>
      <w:r>
        <w:t>35</w:t>
      </w:r>
      <w:r>
        <w:fldChar w:fldCharType="end"/>
      </w:r>
      <w:r>
        <w:fldChar w:fldCharType="end"/>
      </w:r>
    </w:p>
    <w:p w14:paraId="5A341495">
      <w:pPr>
        <w:pStyle w:val="22"/>
        <w:tabs>
          <w:tab w:val="right" w:leader="dot" w:pos="9070"/>
        </w:tabs>
      </w:pPr>
      <w:r>
        <w:fldChar w:fldCharType="begin"/>
      </w:r>
      <w:r>
        <w:instrText xml:space="preserve"> HYPERLINK \l _Toc30385 </w:instrText>
      </w:r>
      <w:r>
        <w:fldChar w:fldCharType="separate"/>
      </w:r>
      <w:r>
        <w:rPr>
          <w:rFonts w:ascii="宋体" w:hAnsi="宋体" w:eastAsia="宋体" w:cs="宋体"/>
        </w:rPr>
        <w:t>7.3 期末按公允价值占基金资产净值比例大小排序的所有股票投资明细</w:t>
      </w:r>
      <w:r>
        <w:tab/>
      </w:r>
      <w:r>
        <w:fldChar w:fldCharType="begin"/>
      </w:r>
      <w:r>
        <w:instrText xml:space="preserve"> PAGEREF _Toc30385 \h </w:instrText>
      </w:r>
      <w:r>
        <w:fldChar w:fldCharType="separate"/>
      </w:r>
      <w:r>
        <w:t>36</w:t>
      </w:r>
      <w:r>
        <w:fldChar w:fldCharType="end"/>
      </w:r>
      <w:r>
        <w:fldChar w:fldCharType="end"/>
      </w:r>
    </w:p>
    <w:p w14:paraId="0AEE99A9">
      <w:pPr>
        <w:pStyle w:val="22"/>
        <w:tabs>
          <w:tab w:val="right" w:leader="dot" w:pos="9070"/>
        </w:tabs>
      </w:pPr>
      <w:r>
        <w:fldChar w:fldCharType="begin"/>
      </w:r>
      <w:r>
        <w:instrText xml:space="preserve"> HYPERLINK \l _Toc1442 </w:instrText>
      </w:r>
      <w:r>
        <w:fldChar w:fldCharType="separate"/>
      </w:r>
      <w:r>
        <w:rPr>
          <w:rFonts w:ascii="宋体" w:hAnsi="宋体" w:eastAsia="宋体" w:cs="宋体"/>
        </w:rPr>
        <w:t>7.4 报告期内股票投资组合的重大变动</w:t>
      </w:r>
      <w:r>
        <w:tab/>
      </w:r>
      <w:r>
        <w:fldChar w:fldCharType="begin"/>
      </w:r>
      <w:r>
        <w:instrText xml:space="preserve"> PAGEREF _Toc1442 \h </w:instrText>
      </w:r>
      <w:r>
        <w:fldChar w:fldCharType="separate"/>
      </w:r>
      <w:r>
        <w:t>37</w:t>
      </w:r>
      <w:r>
        <w:fldChar w:fldCharType="end"/>
      </w:r>
      <w:r>
        <w:fldChar w:fldCharType="end"/>
      </w:r>
    </w:p>
    <w:p w14:paraId="655652F1">
      <w:pPr>
        <w:pStyle w:val="22"/>
        <w:tabs>
          <w:tab w:val="right" w:leader="dot" w:pos="9070"/>
        </w:tabs>
      </w:pPr>
      <w:r>
        <w:fldChar w:fldCharType="begin"/>
      </w:r>
      <w:r>
        <w:instrText xml:space="preserve"> HYPERLINK \l _Toc11713 </w:instrText>
      </w:r>
      <w:r>
        <w:fldChar w:fldCharType="separate"/>
      </w:r>
      <w:r>
        <w:rPr>
          <w:rFonts w:ascii="宋体" w:hAnsi="宋体" w:eastAsia="宋体" w:cs="宋体"/>
        </w:rPr>
        <w:t>7.5 期末按债券品种分类的债券投资组合</w:t>
      </w:r>
      <w:r>
        <w:tab/>
      </w:r>
      <w:r>
        <w:fldChar w:fldCharType="begin"/>
      </w:r>
      <w:r>
        <w:instrText xml:space="preserve"> PAGEREF _Toc11713 \h </w:instrText>
      </w:r>
      <w:r>
        <w:fldChar w:fldCharType="separate"/>
      </w:r>
      <w:r>
        <w:t>39</w:t>
      </w:r>
      <w:r>
        <w:fldChar w:fldCharType="end"/>
      </w:r>
      <w:r>
        <w:fldChar w:fldCharType="end"/>
      </w:r>
    </w:p>
    <w:p w14:paraId="5E8210D4">
      <w:pPr>
        <w:pStyle w:val="22"/>
        <w:tabs>
          <w:tab w:val="right" w:leader="dot" w:pos="9070"/>
        </w:tabs>
      </w:pPr>
      <w:r>
        <w:fldChar w:fldCharType="begin"/>
      </w:r>
      <w:r>
        <w:instrText xml:space="preserve"> HYPERLINK \l _Toc11705 </w:instrText>
      </w:r>
      <w:r>
        <w:fldChar w:fldCharType="separate"/>
      </w:r>
      <w:r>
        <w:rPr>
          <w:rFonts w:ascii="宋体" w:hAnsi="宋体" w:eastAsia="宋体" w:cs="宋体"/>
        </w:rPr>
        <w:t>7.6 期末按公允价值占基金资产净值比例大小排序的前五名债券投资明细</w:t>
      </w:r>
      <w:r>
        <w:tab/>
      </w:r>
      <w:r>
        <w:fldChar w:fldCharType="begin"/>
      </w:r>
      <w:r>
        <w:instrText xml:space="preserve"> PAGEREF _Toc11705 \h </w:instrText>
      </w:r>
      <w:r>
        <w:fldChar w:fldCharType="separate"/>
      </w:r>
      <w:r>
        <w:t>39</w:t>
      </w:r>
      <w:r>
        <w:fldChar w:fldCharType="end"/>
      </w:r>
      <w:r>
        <w:fldChar w:fldCharType="end"/>
      </w:r>
    </w:p>
    <w:p w14:paraId="7D68AB2E">
      <w:pPr>
        <w:pStyle w:val="22"/>
        <w:tabs>
          <w:tab w:val="right" w:leader="dot" w:pos="9070"/>
        </w:tabs>
      </w:pPr>
      <w:r>
        <w:fldChar w:fldCharType="begin"/>
      </w:r>
      <w:r>
        <w:instrText xml:space="preserve"> HYPERLINK \l _Toc8008 </w:instrText>
      </w:r>
      <w:r>
        <w:fldChar w:fldCharType="separate"/>
      </w:r>
      <w:r>
        <w:rPr>
          <w:rFonts w:ascii="宋体" w:hAnsi="宋体" w:eastAsia="宋体" w:cs="宋体"/>
        </w:rPr>
        <w:t>7.7 期末按公允价值占基金资产净值比例大小排序的所有资产支持证券投资明细</w:t>
      </w:r>
      <w:r>
        <w:tab/>
      </w:r>
      <w:r>
        <w:fldChar w:fldCharType="begin"/>
      </w:r>
      <w:r>
        <w:instrText xml:space="preserve"> PAGEREF _Toc8008 \h </w:instrText>
      </w:r>
      <w:r>
        <w:fldChar w:fldCharType="separate"/>
      </w:r>
      <w:r>
        <w:t>39</w:t>
      </w:r>
      <w:r>
        <w:fldChar w:fldCharType="end"/>
      </w:r>
      <w:r>
        <w:fldChar w:fldCharType="end"/>
      </w:r>
    </w:p>
    <w:p w14:paraId="786884F4">
      <w:pPr>
        <w:pStyle w:val="22"/>
        <w:tabs>
          <w:tab w:val="right" w:leader="dot" w:pos="9070"/>
        </w:tabs>
      </w:pPr>
      <w:r>
        <w:fldChar w:fldCharType="begin"/>
      </w:r>
      <w:r>
        <w:instrText xml:space="preserve"> HYPERLINK \l _Toc9965 </w:instrText>
      </w:r>
      <w:r>
        <w:fldChar w:fldCharType="separate"/>
      </w:r>
      <w:r>
        <w:rPr>
          <w:rFonts w:ascii="宋体" w:hAnsi="宋体" w:eastAsia="宋体" w:cs="宋体"/>
        </w:rPr>
        <w:t>7.8 报告期末按公允价值占基金资产净值比例大小排序的前五名贵金属投资明细</w:t>
      </w:r>
      <w:r>
        <w:tab/>
      </w:r>
      <w:r>
        <w:fldChar w:fldCharType="begin"/>
      </w:r>
      <w:r>
        <w:instrText xml:space="preserve"> PAGEREF _Toc9965 \h </w:instrText>
      </w:r>
      <w:r>
        <w:fldChar w:fldCharType="separate"/>
      </w:r>
      <w:r>
        <w:t>39</w:t>
      </w:r>
      <w:r>
        <w:fldChar w:fldCharType="end"/>
      </w:r>
      <w:r>
        <w:fldChar w:fldCharType="end"/>
      </w:r>
    </w:p>
    <w:p w14:paraId="6AF49F7D">
      <w:pPr>
        <w:pStyle w:val="22"/>
        <w:tabs>
          <w:tab w:val="right" w:leader="dot" w:pos="9070"/>
        </w:tabs>
      </w:pPr>
      <w:r>
        <w:fldChar w:fldCharType="begin"/>
      </w:r>
      <w:r>
        <w:instrText xml:space="preserve"> HYPERLINK \l _Toc10485 </w:instrText>
      </w:r>
      <w:r>
        <w:fldChar w:fldCharType="separate"/>
      </w:r>
      <w:r>
        <w:rPr>
          <w:rFonts w:ascii="宋体" w:hAnsi="宋体" w:eastAsia="宋体" w:cs="宋体"/>
        </w:rPr>
        <w:t>7.9 期末按公允价值占基金资产净值比例大小排序的前五名权证投资明细</w:t>
      </w:r>
      <w:r>
        <w:tab/>
      </w:r>
      <w:r>
        <w:fldChar w:fldCharType="begin"/>
      </w:r>
      <w:r>
        <w:instrText xml:space="preserve"> PAGEREF _Toc10485 \h </w:instrText>
      </w:r>
      <w:r>
        <w:fldChar w:fldCharType="separate"/>
      </w:r>
      <w:r>
        <w:t>39</w:t>
      </w:r>
      <w:r>
        <w:fldChar w:fldCharType="end"/>
      </w:r>
      <w:r>
        <w:fldChar w:fldCharType="end"/>
      </w:r>
    </w:p>
    <w:p w14:paraId="749D983D">
      <w:pPr>
        <w:pStyle w:val="22"/>
        <w:tabs>
          <w:tab w:val="right" w:leader="dot" w:pos="9070"/>
        </w:tabs>
      </w:pPr>
      <w:r>
        <w:fldChar w:fldCharType="begin"/>
      </w:r>
      <w:r>
        <w:instrText xml:space="preserve"> HYPERLINK \l _Toc3622 </w:instrText>
      </w:r>
      <w:r>
        <w:fldChar w:fldCharType="separate"/>
      </w:r>
      <w:r>
        <w:rPr>
          <w:rFonts w:ascii="宋体" w:hAnsi="宋体" w:eastAsia="宋体" w:cs="宋体"/>
        </w:rPr>
        <w:t>7.10 本基金投资股指期货的投资政策</w:t>
      </w:r>
      <w:r>
        <w:tab/>
      </w:r>
      <w:r>
        <w:fldChar w:fldCharType="begin"/>
      </w:r>
      <w:r>
        <w:instrText xml:space="preserve"> PAGEREF _Toc3622 \h </w:instrText>
      </w:r>
      <w:r>
        <w:fldChar w:fldCharType="separate"/>
      </w:r>
      <w:r>
        <w:t>40</w:t>
      </w:r>
      <w:r>
        <w:fldChar w:fldCharType="end"/>
      </w:r>
      <w:r>
        <w:fldChar w:fldCharType="end"/>
      </w:r>
    </w:p>
    <w:p w14:paraId="08657BC6">
      <w:pPr>
        <w:pStyle w:val="22"/>
        <w:tabs>
          <w:tab w:val="right" w:leader="dot" w:pos="9070"/>
        </w:tabs>
      </w:pPr>
      <w:r>
        <w:fldChar w:fldCharType="begin"/>
      </w:r>
      <w:r>
        <w:instrText xml:space="preserve"> HYPERLINK \l _Toc14887 </w:instrText>
      </w:r>
      <w:r>
        <w:fldChar w:fldCharType="separate"/>
      </w:r>
      <w:r>
        <w:rPr>
          <w:rFonts w:ascii="宋体" w:hAnsi="宋体" w:eastAsia="宋体" w:cs="宋体"/>
        </w:rPr>
        <w:t>7.11 报告期末本基金投资的国债期货交易情况说明</w:t>
      </w:r>
      <w:r>
        <w:tab/>
      </w:r>
      <w:r>
        <w:fldChar w:fldCharType="begin"/>
      </w:r>
      <w:r>
        <w:instrText xml:space="preserve"> PAGEREF _Toc14887 \h </w:instrText>
      </w:r>
      <w:r>
        <w:fldChar w:fldCharType="separate"/>
      </w:r>
      <w:r>
        <w:t>40</w:t>
      </w:r>
      <w:r>
        <w:fldChar w:fldCharType="end"/>
      </w:r>
      <w:r>
        <w:fldChar w:fldCharType="end"/>
      </w:r>
    </w:p>
    <w:p w14:paraId="59AFF03B">
      <w:pPr>
        <w:pStyle w:val="22"/>
        <w:tabs>
          <w:tab w:val="right" w:leader="dot" w:pos="9070"/>
        </w:tabs>
      </w:pPr>
      <w:r>
        <w:fldChar w:fldCharType="begin"/>
      </w:r>
      <w:r>
        <w:instrText xml:space="preserve"> HYPERLINK \l _Toc2834 </w:instrText>
      </w:r>
      <w:r>
        <w:fldChar w:fldCharType="separate"/>
      </w:r>
      <w:r>
        <w:rPr>
          <w:rFonts w:ascii="宋体" w:hAnsi="宋体" w:eastAsia="宋体" w:cs="宋体"/>
        </w:rPr>
        <w:t>7.12 投资组合报告附注</w:t>
      </w:r>
      <w:r>
        <w:tab/>
      </w:r>
      <w:r>
        <w:fldChar w:fldCharType="begin"/>
      </w:r>
      <w:r>
        <w:instrText xml:space="preserve"> PAGEREF _Toc2834 \h </w:instrText>
      </w:r>
      <w:r>
        <w:fldChar w:fldCharType="separate"/>
      </w:r>
      <w:r>
        <w:t>40</w:t>
      </w:r>
      <w:r>
        <w:fldChar w:fldCharType="end"/>
      </w:r>
      <w:r>
        <w:fldChar w:fldCharType="end"/>
      </w:r>
    </w:p>
    <w:p w14:paraId="2811D49C">
      <w:pPr>
        <w:pStyle w:val="19"/>
        <w:tabs>
          <w:tab w:val="right" w:leader="dot" w:pos="9070"/>
          <w:tab w:val="clear" w:pos="9060"/>
        </w:tabs>
      </w:pPr>
      <w:r>
        <w:fldChar w:fldCharType="begin"/>
      </w:r>
      <w:r>
        <w:instrText xml:space="preserve"> HYPERLINK \l _Toc8826 </w:instrText>
      </w:r>
      <w:r>
        <w:fldChar w:fldCharType="separate"/>
      </w:r>
      <w:r>
        <w:rPr>
          <w:rFonts w:ascii="宋体" w:hAnsi="宋体" w:eastAsia="宋体" w:cs="宋体"/>
        </w:rPr>
        <w:t>§8 基金份额持有人信息</w:t>
      </w:r>
      <w:r>
        <w:tab/>
      </w:r>
      <w:r>
        <w:fldChar w:fldCharType="begin"/>
      </w:r>
      <w:r>
        <w:instrText xml:space="preserve"> PAGEREF _Toc8826 \h </w:instrText>
      </w:r>
      <w:r>
        <w:fldChar w:fldCharType="separate"/>
      </w:r>
      <w:r>
        <w:t>41</w:t>
      </w:r>
      <w:r>
        <w:fldChar w:fldCharType="end"/>
      </w:r>
      <w:r>
        <w:fldChar w:fldCharType="end"/>
      </w:r>
    </w:p>
    <w:p w14:paraId="4A977B8B">
      <w:pPr>
        <w:pStyle w:val="22"/>
        <w:tabs>
          <w:tab w:val="right" w:leader="dot" w:pos="9070"/>
        </w:tabs>
      </w:pPr>
      <w:r>
        <w:fldChar w:fldCharType="begin"/>
      </w:r>
      <w:r>
        <w:instrText xml:space="preserve"> HYPERLINK \l _Toc25339 </w:instrText>
      </w:r>
      <w:r>
        <w:fldChar w:fldCharType="separate"/>
      </w:r>
      <w:r>
        <w:rPr>
          <w:rFonts w:ascii="宋体" w:hAnsi="宋体" w:eastAsia="宋体" w:cs="宋体"/>
        </w:rPr>
        <w:t>8.1 期末基金份额持有人户数及持有人结构</w:t>
      </w:r>
      <w:r>
        <w:tab/>
      </w:r>
      <w:r>
        <w:fldChar w:fldCharType="begin"/>
      </w:r>
      <w:r>
        <w:instrText xml:space="preserve"> PAGEREF _Toc25339 \h </w:instrText>
      </w:r>
      <w:r>
        <w:fldChar w:fldCharType="separate"/>
      </w:r>
      <w:r>
        <w:t>41</w:t>
      </w:r>
      <w:r>
        <w:fldChar w:fldCharType="end"/>
      </w:r>
      <w:r>
        <w:fldChar w:fldCharType="end"/>
      </w:r>
    </w:p>
    <w:p w14:paraId="31F32BA2">
      <w:pPr>
        <w:pStyle w:val="22"/>
        <w:tabs>
          <w:tab w:val="right" w:leader="dot" w:pos="9070"/>
        </w:tabs>
      </w:pPr>
      <w:r>
        <w:fldChar w:fldCharType="begin"/>
      </w:r>
      <w:r>
        <w:instrText xml:space="preserve"> HYPERLINK \l _Toc23997 </w:instrText>
      </w:r>
      <w:r>
        <w:fldChar w:fldCharType="separate"/>
      </w:r>
      <w:r>
        <w:rPr>
          <w:rFonts w:ascii="宋体" w:hAnsi="宋体" w:eastAsia="宋体" w:cs="宋体"/>
        </w:rPr>
        <w:t>8.2 盈利投资者数量占比</w:t>
      </w:r>
      <w:r>
        <w:tab/>
      </w:r>
      <w:r>
        <w:fldChar w:fldCharType="begin"/>
      </w:r>
      <w:r>
        <w:instrText xml:space="preserve"> PAGEREF _Toc23997 \h </w:instrText>
      </w:r>
      <w:r>
        <w:fldChar w:fldCharType="separate"/>
      </w:r>
      <w:r>
        <w:t>41</w:t>
      </w:r>
      <w:r>
        <w:fldChar w:fldCharType="end"/>
      </w:r>
      <w:r>
        <w:fldChar w:fldCharType="end"/>
      </w:r>
    </w:p>
    <w:p w14:paraId="27336E11">
      <w:pPr>
        <w:pStyle w:val="22"/>
        <w:tabs>
          <w:tab w:val="right" w:leader="dot" w:pos="9070"/>
        </w:tabs>
      </w:pPr>
      <w:r>
        <w:fldChar w:fldCharType="begin"/>
      </w:r>
      <w:r>
        <w:instrText xml:space="preserve"> HYPERLINK \l _Toc1882 </w:instrText>
      </w:r>
      <w:r>
        <w:fldChar w:fldCharType="separate"/>
      </w:r>
      <w:r>
        <w:rPr>
          <w:rFonts w:ascii="宋体" w:hAnsi="宋体" w:eastAsia="宋体" w:cs="宋体"/>
        </w:rPr>
        <w:t>8.3 期末基金管理人的从业人员持有本基金的情况</w:t>
      </w:r>
      <w:r>
        <w:tab/>
      </w:r>
      <w:r>
        <w:fldChar w:fldCharType="begin"/>
      </w:r>
      <w:r>
        <w:instrText xml:space="preserve"> PAGEREF _Toc1882 \h </w:instrText>
      </w:r>
      <w:r>
        <w:fldChar w:fldCharType="separate"/>
      </w:r>
      <w:r>
        <w:t>41</w:t>
      </w:r>
      <w:r>
        <w:fldChar w:fldCharType="end"/>
      </w:r>
      <w:r>
        <w:fldChar w:fldCharType="end"/>
      </w:r>
    </w:p>
    <w:p w14:paraId="044BF715">
      <w:pPr>
        <w:pStyle w:val="22"/>
        <w:tabs>
          <w:tab w:val="right" w:leader="dot" w:pos="9070"/>
        </w:tabs>
      </w:pPr>
      <w:r>
        <w:fldChar w:fldCharType="begin"/>
      </w:r>
      <w:r>
        <w:instrText xml:space="preserve"> HYPERLINK \l _Toc4294 </w:instrText>
      </w:r>
      <w:r>
        <w:fldChar w:fldCharType="separate"/>
      </w:r>
      <w:r>
        <w:rPr>
          <w:rFonts w:ascii="宋体" w:hAnsi="宋体" w:eastAsia="宋体" w:cs="宋体"/>
        </w:rPr>
        <w:t>8.4 期末基金管理人的从业人员持有本开放式基金份额总量区间情况</w:t>
      </w:r>
      <w:r>
        <w:tab/>
      </w:r>
      <w:r>
        <w:fldChar w:fldCharType="begin"/>
      </w:r>
      <w:r>
        <w:instrText xml:space="preserve"> PAGEREF _Toc4294 \h </w:instrText>
      </w:r>
      <w:r>
        <w:fldChar w:fldCharType="separate"/>
      </w:r>
      <w:r>
        <w:t>42</w:t>
      </w:r>
      <w:r>
        <w:fldChar w:fldCharType="end"/>
      </w:r>
      <w:r>
        <w:fldChar w:fldCharType="end"/>
      </w:r>
    </w:p>
    <w:p w14:paraId="440D740A">
      <w:pPr>
        <w:pStyle w:val="22"/>
        <w:tabs>
          <w:tab w:val="right" w:leader="dot" w:pos="9070"/>
        </w:tabs>
      </w:pPr>
      <w:r>
        <w:fldChar w:fldCharType="begin"/>
      </w:r>
      <w:r>
        <w:instrText xml:space="preserve"> HYPERLINK \l _Toc9705 </w:instrText>
      </w:r>
      <w:r>
        <w:fldChar w:fldCharType="separate"/>
      </w:r>
      <w:r>
        <w:rPr>
          <w:rFonts w:ascii="宋体" w:hAnsi="宋体" w:eastAsia="宋体" w:cs="宋体"/>
        </w:rPr>
        <w:t>8.5 发起式基金发起资金持有份额情况</w:t>
      </w:r>
      <w:r>
        <w:tab/>
      </w:r>
      <w:r>
        <w:fldChar w:fldCharType="begin"/>
      </w:r>
      <w:r>
        <w:instrText xml:space="preserve"> PAGEREF _Toc9705 \h </w:instrText>
      </w:r>
      <w:r>
        <w:fldChar w:fldCharType="separate"/>
      </w:r>
      <w:r>
        <w:t>42</w:t>
      </w:r>
      <w:r>
        <w:fldChar w:fldCharType="end"/>
      </w:r>
      <w:r>
        <w:fldChar w:fldCharType="end"/>
      </w:r>
    </w:p>
    <w:p w14:paraId="39957191">
      <w:pPr>
        <w:pStyle w:val="19"/>
        <w:tabs>
          <w:tab w:val="right" w:leader="dot" w:pos="9070"/>
          <w:tab w:val="clear" w:pos="9060"/>
        </w:tabs>
      </w:pPr>
      <w:r>
        <w:fldChar w:fldCharType="begin"/>
      </w:r>
      <w:r>
        <w:instrText xml:space="preserve"> HYPERLINK \l _Toc17852 </w:instrText>
      </w:r>
      <w:r>
        <w:fldChar w:fldCharType="separate"/>
      </w:r>
      <w:r>
        <w:rPr>
          <w:rFonts w:ascii="宋体" w:hAnsi="宋体" w:eastAsia="宋体" w:cs="宋体"/>
        </w:rPr>
        <w:t>§9 开放式基金份额变动</w:t>
      </w:r>
      <w:r>
        <w:tab/>
      </w:r>
      <w:r>
        <w:fldChar w:fldCharType="begin"/>
      </w:r>
      <w:r>
        <w:instrText xml:space="preserve"> PAGEREF _Toc17852 \h </w:instrText>
      </w:r>
      <w:r>
        <w:fldChar w:fldCharType="separate"/>
      </w:r>
      <w:r>
        <w:t>42</w:t>
      </w:r>
      <w:r>
        <w:fldChar w:fldCharType="end"/>
      </w:r>
      <w:r>
        <w:fldChar w:fldCharType="end"/>
      </w:r>
    </w:p>
    <w:p w14:paraId="2F4E4B96">
      <w:pPr>
        <w:pStyle w:val="19"/>
        <w:tabs>
          <w:tab w:val="right" w:leader="dot" w:pos="9070"/>
          <w:tab w:val="clear" w:pos="9060"/>
        </w:tabs>
      </w:pPr>
      <w:r>
        <w:fldChar w:fldCharType="begin"/>
      </w:r>
      <w:r>
        <w:instrText xml:space="preserve"> HYPERLINK \l _Toc11834 </w:instrText>
      </w:r>
      <w:r>
        <w:fldChar w:fldCharType="separate"/>
      </w:r>
      <w:r>
        <w:rPr>
          <w:rFonts w:ascii="宋体" w:hAnsi="宋体" w:eastAsia="宋体" w:cs="宋体"/>
        </w:rPr>
        <w:t>§10 重大事件揭示</w:t>
      </w:r>
      <w:r>
        <w:tab/>
      </w:r>
      <w:r>
        <w:fldChar w:fldCharType="begin"/>
      </w:r>
      <w:r>
        <w:instrText xml:space="preserve"> PAGEREF _Toc11834 \h </w:instrText>
      </w:r>
      <w:r>
        <w:fldChar w:fldCharType="separate"/>
      </w:r>
      <w:r>
        <w:t>42</w:t>
      </w:r>
      <w:r>
        <w:fldChar w:fldCharType="end"/>
      </w:r>
      <w:r>
        <w:fldChar w:fldCharType="end"/>
      </w:r>
    </w:p>
    <w:p w14:paraId="3EE6B2ED">
      <w:pPr>
        <w:pStyle w:val="22"/>
        <w:tabs>
          <w:tab w:val="right" w:leader="dot" w:pos="9070"/>
        </w:tabs>
      </w:pPr>
      <w:r>
        <w:fldChar w:fldCharType="begin"/>
      </w:r>
      <w:r>
        <w:instrText xml:space="preserve"> HYPERLINK \l _Toc11213 </w:instrText>
      </w:r>
      <w:r>
        <w:fldChar w:fldCharType="separate"/>
      </w:r>
      <w:r>
        <w:rPr>
          <w:rFonts w:ascii="宋体" w:hAnsi="宋体" w:eastAsia="宋体" w:cs="宋体"/>
        </w:rPr>
        <w:t>10.1 基金份额持有人大会决议</w:t>
      </w:r>
      <w:r>
        <w:tab/>
      </w:r>
      <w:r>
        <w:fldChar w:fldCharType="begin"/>
      </w:r>
      <w:r>
        <w:instrText xml:space="preserve"> PAGEREF _Toc11213 \h </w:instrText>
      </w:r>
      <w:r>
        <w:fldChar w:fldCharType="separate"/>
      </w:r>
      <w:r>
        <w:t>43</w:t>
      </w:r>
      <w:r>
        <w:fldChar w:fldCharType="end"/>
      </w:r>
      <w:r>
        <w:fldChar w:fldCharType="end"/>
      </w:r>
    </w:p>
    <w:p w14:paraId="202968D6">
      <w:pPr>
        <w:pStyle w:val="22"/>
        <w:tabs>
          <w:tab w:val="right" w:leader="dot" w:pos="9070"/>
        </w:tabs>
      </w:pPr>
      <w:r>
        <w:fldChar w:fldCharType="begin"/>
      </w:r>
      <w:r>
        <w:instrText xml:space="preserve"> HYPERLINK \l _Toc8482 </w:instrText>
      </w:r>
      <w:r>
        <w:fldChar w:fldCharType="separate"/>
      </w:r>
      <w:r>
        <w:rPr>
          <w:rFonts w:ascii="宋体" w:hAnsi="宋体" w:eastAsia="宋体" w:cs="宋体"/>
        </w:rPr>
        <w:t>10.2 基金管理人、基金托管人的专门基金托管部门的重大人事变动</w:t>
      </w:r>
      <w:r>
        <w:tab/>
      </w:r>
      <w:r>
        <w:fldChar w:fldCharType="begin"/>
      </w:r>
      <w:r>
        <w:instrText xml:space="preserve"> PAGEREF _Toc8482 \h </w:instrText>
      </w:r>
      <w:r>
        <w:fldChar w:fldCharType="separate"/>
      </w:r>
      <w:r>
        <w:t>43</w:t>
      </w:r>
      <w:r>
        <w:fldChar w:fldCharType="end"/>
      </w:r>
      <w:r>
        <w:fldChar w:fldCharType="end"/>
      </w:r>
    </w:p>
    <w:p w14:paraId="4AF109B5">
      <w:pPr>
        <w:pStyle w:val="22"/>
        <w:tabs>
          <w:tab w:val="right" w:leader="dot" w:pos="9070"/>
        </w:tabs>
      </w:pPr>
      <w:r>
        <w:fldChar w:fldCharType="begin"/>
      </w:r>
      <w:r>
        <w:instrText xml:space="preserve"> HYPERLINK \l _Toc32101 </w:instrText>
      </w:r>
      <w:r>
        <w:fldChar w:fldCharType="separate"/>
      </w:r>
      <w:r>
        <w:rPr>
          <w:rFonts w:ascii="宋体" w:hAnsi="宋体" w:eastAsia="宋体" w:cs="宋体"/>
        </w:rPr>
        <w:t>10.3 涉及基金管理人、基金财产、基金托管业务的诉讼</w:t>
      </w:r>
      <w:r>
        <w:tab/>
      </w:r>
      <w:r>
        <w:fldChar w:fldCharType="begin"/>
      </w:r>
      <w:r>
        <w:instrText xml:space="preserve"> PAGEREF _Toc32101 \h </w:instrText>
      </w:r>
      <w:r>
        <w:fldChar w:fldCharType="separate"/>
      </w:r>
      <w:r>
        <w:t>43</w:t>
      </w:r>
      <w:r>
        <w:fldChar w:fldCharType="end"/>
      </w:r>
      <w:r>
        <w:fldChar w:fldCharType="end"/>
      </w:r>
    </w:p>
    <w:p w14:paraId="37CF42A4">
      <w:pPr>
        <w:pStyle w:val="22"/>
        <w:tabs>
          <w:tab w:val="right" w:leader="dot" w:pos="9070"/>
        </w:tabs>
      </w:pPr>
      <w:r>
        <w:fldChar w:fldCharType="begin"/>
      </w:r>
      <w:r>
        <w:instrText xml:space="preserve"> HYPERLINK \l _Toc24706 </w:instrText>
      </w:r>
      <w:r>
        <w:fldChar w:fldCharType="separate"/>
      </w:r>
      <w:r>
        <w:rPr>
          <w:rFonts w:ascii="宋体" w:hAnsi="宋体" w:eastAsia="宋体" w:cs="宋体"/>
        </w:rPr>
        <w:t>10.4 基金投资策略的改变</w:t>
      </w:r>
      <w:r>
        <w:tab/>
      </w:r>
      <w:r>
        <w:fldChar w:fldCharType="begin"/>
      </w:r>
      <w:r>
        <w:instrText xml:space="preserve"> PAGEREF _Toc24706 \h </w:instrText>
      </w:r>
      <w:r>
        <w:fldChar w:fldCharType="separate"/>
      </w:r>
      <w:r>
        <w:t>43</w:t>
      </w:r>
      <w:r>
        <w:fldChar w:fldCharType="end"/>
      </w:r>
      <w:r>
        <w:fldChar w:fldCharType="end"/>
      </w:r>
    </w:p>
    <w:p w14:paraId="3874B8E2">
      <w:pPr>
        <w:pStyle w:val="22"/>
        <w:tabs>
          <w:tab w:val="right" w:leader="dot" w:pos="9070"/>
        </w:tabs>
      </w:pPr>
      <w:r>
        <w:fldChar w:fldCharType="begin"/>
      </w:r>
      <w:r>
        <w:instrText xml:space="preserve"> HYPERLINK \l _Toc2410 </w:instrText>
      </w:r>
      <w:r>
        <w:fldChar w:fldCharType="separate"/>
      </w:r>
      <w:r>
        <w:rPr>
          <w:rFonts w:ascii="宋体" w:hAnsi="宋体" w:eastAsia="宋体" w:cs="宋体"/>
        </w:rPr>
        <w:t>10.5 为基金进行审计的会计师事务所情况</w:t>
      </w:r>
      <w:r>
        <w:tab/>
      </w:r>
      <w:r>
        <w:fldChar w:fldCharType="begin"/>
      </w:r>
      <w:r>
        <w:instrText xml:space="preserve"> PAGEREF _Toc2410 \h </w:instrText>
      </w:r>
      <w:r>
        <w:fldChar w:fldCharType="separate"/>
      </w:r>
      <w:r>
        <w:t>43</w:t>
      </w:r>
      <w:r>
        <w:fldChar w:fldCharType="end"/>
      </w:r>
      <w:r>
        <w:fldChar w:fldCharType="end"/>
      </w:r>
    </w:p>
    <w:p w14:paraId="2073705B">
      <w:pPr>
        <w:pStyle w:val="22"/>
        <w:tabs>
          <w:tab w:val="right" w:leader="dot" w:pos="9070"/>
        </w:tabs>
      </w:pPr>
      <w:r>
        <w:fldChar w:fldCharType="begin"/>
      </w:r>
      <w:r>
        <w:instrText xml:space="preserve"> HYPERLINK \l _Toc10791 </w:instrText>
      </w:r>
      <w:r>
        <w:fldChar w:fldCharType="separate"/>
      </w:r>
      <w:r>
        <w:rPr>
          <w:rFonts w:ascii="宋体" w:hAnsi="宋体" w:eastAsia="宋体" w:cs="宋体"/>
        </w:rPr>
        <w:t>10.6 管理人、托管人及相关从业人员受调查或处罚等情况</w:t>
      </w:r>
      <w:r>
        <w:tab/>
      </w:r>
      <w:r>
        <w:fldChar w:fldCharType="begin"/>
      </w:r>
      <w:r>
        <w:instrText xml:space="preserve"> PAGEREF _Toc10791 \h </w:instrText>
      </w:r>
      <w:r>
        <w:fldChar w:fldCharType="separate"/>
      </w:r>
      <w:r>
        <w:t>43</w:t>
      </w:r>
      <w:r>
        <w:fldChar w:fldCharType="end"/>
      </w:r>
      <w:r>
        <w:fldChar w:fldCharType="end"/>
      </w:r>
    </w:p>
    <w:p w14:paraId="3A327117">
      <w:pPr>
        <w:pStyle w:val="22"/>
        <w:tabs>
          <w:tab w:val="right" w:leader="dot" w:pos="9070"/>
        </w:tabs>
      </w:pPr>
      <w:r>
        <w:fldChar w:fldCharType="begin"/>
      </w:r>
      <w:r>
        <w:instrText xml:space="preserve"> HYPERLINK \l _Toc32518 </w:instrText>
      </w:r>
      <w:r>
        <w:fldChar w:fldCharType="separate"/>
      </w:r>
      <w:r>
        <w:rPr>
          <w:rFonts w:ascii="宋体" w:hAnsi="宋体" w:eastAsia="宋体" w:cs="宋体"/>
        </w:rPr>
        <w:t>10.7 基金租用或者通过证券公司交易单元进行证券投资的相关情况</w:t>
      </w:r>
      <w:r>
        <w:tab/>
      </w:r>
      <w:r>
        <w:fldChar w:fldCharType="begin"/>
      </w:r>
      <w:r>
        <w:instrText xml:space="preserve"> PAGEREF _Toc32518 \h </w:instrText>
      </w:r>
      <w:r>
        <w:fldChar w:fldCharType="separate"/>
      </w:r>
      <w:r>
        <w:t>43</w:t>
      </w:r>
      <w:r>
        <w:fldChar w:fldCharType="end"/>
      </w:r>
      <w:r>
        <w:fldChar w:fldCharType="end"/>
      </w:r>
    </w:p>
    <w:p w14:paraId="3B552946">
      <w:pPr>
        <w:pStyle w:val="22"/>
        <w:tabs>
          <w:tab w:val="right" w:leader="dot" w:pos="9070"/>
        </w:tabs>
      </w:pPr>
      <w:r>
        <w:fldChar w:fldCharType="begin"/>
      </w:r>
      <w:r>
        <w:instrText xml:space="preserve"> HYPERLINK \l _Toc32472 </w:instrText>
      </w:r>
      <w:r>
        <w:fldChar w:fldCharType="separate"/>
      </w:r>
      <w:r>
        <w:rPr>
          <w:rFonts w:ascii="宋体" w:hAnsi="宋体" w:eastAsia="宋体" w:cs="宋体"/>
        </w:rPr>
        <w:t>10.8 其他重大事件</w:t>
      </w:r>
      <w:r>
        <w:tab/>
      </w:r>
      <w:r>
        <w:fldChar w:fldCharType="begin"/>
      </w:r>
      <w:r>
        <w:instrText xml:space="preserve"> PAGEREF _Toc32472 \h </w:instrText>
      </w:r>
      <w:r>
        <w:fldChar w:fldCharType="separate"/>
      </w:r>
      <w:r>
        <w:t>45</w:t>
      </w:r>
      <w:r>
        <w:fldChar w:fldCharType="end"/>
      </w:r>
      <w:r>
        <w:fldChar w:fldCharType="end"/>
      </w:r>
    </w:p>
    <w:p w14:paraId="030CCC1F">
      <w:pPr>
        <w:pStyle w:val="19"/>
        <w:tabs>
          <w:tab w:val="right" w:leader="dot" w:pos="9070"/>
          <w:tab w:val="clear" w:pos="9060"/>
        </w:tabs>
      </w:pPr>
      <w:r>
        <w:fldChar w:fldCharType="begin"/>
      </w:r>
      <w:r>
        <w:instrText xml:space="preserve"> HYPERLINK \l _Toc22785 </w:instrText>
      </w:r>
      <w:r>
        <w:fldChar w:fldCharType="separate"/>
      </w:r>
      <w:r>
        <w:rPr>
          <w:rFonts w:ascii="宋体" w:hAnsi="宋体" w:eastAsia="宋体" w:cs="宋体"/>
        </w:rPr>
        <w:t>§11 影响投资者决策的其他重要信息</w:t>
      </w:r>
      <w:r>
        <w:tab/>
      </w:r>
      <w:r>
        <w:fldChar w:fldCharType="begin"/>
      </w:r>
      <w:r>
        <w:instrText xml:space="preserve"> PAGEREF _Toc22785 \h </w:instrText>
      </w:r>
      <w:r>
        <w:fldChar w:fldCharType="separate"/>
      </w:r>
      <w:r>
        <w:t>46</w:t>
      </w:r>
      <w:r>
        <w:fldChar w:fldCharType="end"/>
      </w:r>
      <w:r>
        <w:fldChar w:fldCharType="end"/>
      </w:r>
    </w:p>
    <w:p w14:paraId="22341A51">
      <w:pPr>
        <w:pStyle w:val="22"/>
        <w:tabs>
          <w:tab w:val="right" w:leader="dot" w:pos="9070"/>
        </w:tabs>
      </w:pPr>
      <w:r>
        <w:fldChar w:fldCharType="begin"/>
      </w:r>
      <w:r>
        <w:instrText xml:space="preserve"> HYPERLINK \l _Toc32474 </w:instrText>
      </w:r>
      <w:r>
        <w:fldChar w:fldCharType="separate"/>
      </w:r>
      <w:r>
        <w:rPr>
          <w:rFonts w:ascii="宋体" w:hAnsi="宋体" w:eastAsia="宋体" w:cs="宋体"/>
        </w:rPr>
        <w:t>11.1 报告期内单一投资者持有基金份额比例达到或超过20%的情况</w:t>
      </w:r>
      <w:r>
        <w:tab/>
      </w:r>
      <w:r>
        <w:fldChar w:fldCharType="begin"/>
      </w:r>
      <w:r>
        <w:instrText xml:space="preserve"> PAGEREF _Toc32474 \h </w:instrText>
      </w:r>
      <w:r>
        <w:fldChar w:fldCharType="separate"/>
      </w:r>
      <w:r>
        <w:t>46</w:t>
      </w:r>
      <w:r>
        <w:fldChar w:fldCharType="end"/>
      </w:r>
      <w:r>
        <w:fldChar w:fldCharType="end"/>
      </w:r>
    </w:p>
    <w:p w14:paraId="7843334C">
      <w:pPr>
        <w:pStyle w:val="22"/>
        <w:tabs>
          <w:tab w:val="right" w:leader="dot" w:pos="9070"/>
        </w:tabs>
      </w:pPr>
      <w:r>
        <w:fldChar w:fldCharType="begin"/>
      </w:r>
      <w:r>
        <w:instrText xml:space="preserve"> HYPERLINK \l _Toc27841 </w:instrText>
      </w:r>
      <w:r>
        <w:fldChar w:fldCharType="separate"/>
      </w:r>
      <w:r>
        <w:rPr>
          <w:rFonts w:ascii="宋体" w:hAnsi="宋体" w:eastAsia="宋体" w:cs="宋体"/>
        </w:rPr>
        <w:t>11.2 影响投资者决策的其他重要信息</w:t>
      </w:r>
      <w:r>
        <w:tab/>
      </w:r>
      <w:r>
        <w:fldChar w:fldCharType="begin"/>
      </w:r>
      <w:r>
        <w:instrText xml:space="preserve"> PAGEREF _Toc27841 \h </w:instrText>
      </w:r>
      <w:r>
        <w:fldChar w:fldCharType="separate"/>
      </w:r>
      <w:r>
        <w:t>46</w:t>
      </w:r>
      <w:r>
        <w:fldChar w:fldCharType="end"/>
      </w:r>
      <w:r>
        <w:fldChar w:fldCharType="end"/>
      </w:r>
    </w:p>
    <w:p w14:paraId="6FB5266A">
      <w:pPr>
        <w:pStyle w:val="19"/>
        <w:tabs>
          <w:tab w:val="right" w:leader="dot" w:pos="9070"/>
          <w:tab w:val="clear" w:pos="9060"/>
        </w:tabs>
      </w:pPr>
      <w:r>
        <w:fldChar w:fldCharType="begin"/>
      </w:r>
      <w:r>
        <w:instrText xml:space="preserve"> HYPERLINK \l _Toc20325 </w:instrText>
      </w:r>
      <w:r>
        <w:fldChar w:fldCharType="separate"/>
      </w:r>
      <w:r>
        <w:rPr>
          <w:rFonts w:ascii="宋体" w:hAnsi="宋体" w:eastAsia="宋体" w:cs="宋体"/>
        </w:rPr>
        <w:t>§12 备查文件目录</w:t>
      </w:r>
      <w:r>
        <w:tab/>
      </w:r>
      <w:r>
        <w:fldChar w:fldCharType="begin"/>
      </w:r>
      <w:r>
        <w:instrText xml:space="preserve"> PAGEREF _Toc20325 \h </w:instrText>
      </w:r>
      <w:r>
        <w:fldChar w:fldCharType="separate"/>
      </w:r>
      <w:r>
        <w:t>46</w:t>
      </w:r>
      <w:r>
        <w:fldChar w:fldCharType="end"/>
      </w:r>
      <w:r>
        <w:fldChar w:fldCharType="end"/>
      </w:r>
    </w:p>
    <w:p w14:paraId="3F9C732D">
      <w:pPr>
        <w:pStyle w:val="22"/>
        <w:tabs>
          <w:tab w:val="right" w:leader="dot" w:pos="9070"/>
        </w:tabs>
      </w:pPr>
      <w:r>
        <w:fldChar w:fldCharType="begin"/>
      </w:r>
      <w:r>
        <w:instrText xml:space="preserve"> HYPERLINK \l _Toc611 </w:instrText>
      </w:r>
      <w:r>
        <w:fldChar w:fldCharType="separate"/>
      </w:r>
      <w:r>
        <w:rPr>
          <w:rFonts w:ascii="宋体" w:hAnsi="宋体" w:eastAsia="宋体" w:cs="宋体"/>
        </w:rPr>
        <w:t>12.1 备查文件目录</w:t>
      </w:r>
      <w:r>
        <w:tab/>
      </w:r>
      <w:r>
        <w:fldChar w:fldCharType="begin"/>
      </w:r>
      <w:r>
        <w:instrText xml:space="preserve"> PAGEREF _Toc611 \h </w:instrText>
      </w:r>
      <w:r>
        <w:fldChar w:fldCharType="separate"/>
      </w:r>
      <w:r>
        <w:t>46</w:t>
      </w:r>
      <w:r>
        <w:fldChar w:fldCharType="end"/>
      </w:r>
      <w:r>
        <w:fldChar w:fldCharType="end"/>
      </w:r>
    </w:p>
    <w:p w14:paraId="21133C54">
      <w:pPr>
        <w:pStyle w:val="22"/>
        <w:tabs>
          <w:tab w:val="right" w:leader="dot" w:pos="9070"/>
        </w:tabs>
      </w:pPr>
      <w:r>
        <w:fldChar w:fldCharType="begin"/>
      </w:r>
      <w:r>
        <w:instrText xml:space="preserve"> HYPERLINK \l _Toc30939 </w:instrText>
      </w:r>
      <w:r>
        <w:fldChar w:fldCharType="separate"/>
      </w:r>
      <w:r>
        <w:rPr>
          <w:rFonts w:ascii="宋体" w:hAnsi="宋体" w:eastAsia="宋体" w:cs="宋体"/>
        </w:rPr>
        <w:t>12.2 存放地点</w:t>
      </w:r>
      <w:r>
        <w:tab/>
      </w:r>
      <w:r>
        <w:fldChar w:fldCharType="begin"/>
      </w:r>
      <w:r>
        <w:instrText xml:space="preserve"> PAGEREF _Toc30939 \h </w:instrText>
      </w:r>
      <w:r>
        <w:fldChar w:fldCharType="separate"/>
      </w:r>
      <w:r>
        <w:t>46</w:t>
      </w:r>
      <w:r>
        <w:fldChar w:fldCharType="end"/>
      </w:r>
      <w:r>
        <w:fldChar w:fldCharType="end"/>
      </w:r>
    </w:p>
    <w:p w14:paraId="1128764A">
      <w:pPr>
        <w:pStyle w:val="22"/>
        <w:tabs>
          <w:tab w:val="right" w:leader="dot" w:pos="9070"/>
        </w:tabs>
      </w:pPr>
      <w:r>
        <w:fldChar w:fldCharType="begin"/>
      </w:r>
      <w:r>
        <w:instrText xml:space="preserve"> HYPERLINK \l _Toc18062 </w:instrText>
      </w:r>
      <w:r>
        <w:fldChar w:fldCharType="separate"/>
      </w:r>
      <w:r>
        <w:rPr>
          <w:rFonts w:ascii="宋体" w:hAnsi="宋体" w:eastAsia="宋体" w:cs="宋体"/>
        </w:rPr>
        <w:t>12.3 查阅方式</w:t>
      </w:r>
      <w:r>
        <w:tab/>
      </w:r>
      <w:r>
        <w:fldChar w:fldCharType="begin"/>
      </w:r>
      <w:r>
        <w:instrText xml:space="preserve"> PAGEREF _Toc18062 \h </w:instrText>
      </w:r>
      <w:r>
        <w:fldChar w:fldCharType="separate"/>
      </w:r>
      <w:r>
        <w:t>46</w:t>
      </w:r>
      <w:r>
        <w:fldChar w:fldCharType="end"/>
      </w:r>
      <w:r>
        <w:fldChar w:fldCharType="end"/>
      </w:r>
    </w:p>
    <w:p w14:paraId="1C1AA67A">
      <w:pPr>
        <w:rPr>
          <w:rFonts w:ascii="宋体" w:hAnsi="宋体" w:eastAsia="宋体"/>
        </w:rPr>
      </w:pPr>
      <w:r>
        <w:fldChar w:fldCharType="end"/>
      </w:r>
    </w:p>
    <w:p w14:paraId="45716991">
      <w:r>
        <w:br w:type="page"/>
      </w:r>
    </w:p>
    <w:p w14:paraId="49BDF0B2">
      <w:pPr>
        <w:pStyle w:val="2"/>
        <w:jc w:val="center"/>
      </w:pPr>
      <w:bookmarkStart w:id="5" w:name="_Toc17809"/>
      <w:r>
        <w:rPr>
          <w:rFonts w:ascii="宋体" w:hAnsi="宋体" w:eastAsia="宋体" w:cs="宋体"/>
        </w:rPr>
        <w:t>§2 基金简介</w:t>
      </w:r>
      <w:bookmarkEnd w:id="5"/>
    </w:p>
    <w:p w14:paraId="4BA40DA1">
      <w:pPr>
        <w:pStyle w:val="3"/>
        <w:jc w:val="left"/>
      </w:pPr>
      <w:bookmarkStart w:id="6" w:name="_Toc29088"/>
      <w:r>
        <w:rPr>
          <w:rFonts w:ascii="宋体" w:hAnsi="宋体" w:eastAsia="宋体" w:cs="宋体"/>
        </w:rPr>
        <w:t>2.1 基金基本情况</w:t>
      </w:r>
      <w:bookmarkEnd w:id="6"/>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3157"/>
        <w:gridCol w:w="3273"/>
      </w:tblGrid>
      <w:tr w14:paraId="0F02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Align w:val="center"/>
          </w:tcPr>
          <w:p w14:paraId="5851D84D">
            <w:pPr>
              <w:spacing w:line="240" w:lineRule="auto"/>
              <w:jc w:val="left"/>
            </w:pPr>
            <w:r>
              <w:rPr>
                <w:rFonts w:ascii="宋体" w:hAnsi="宋体" w:eastAsia="宋体" w:cs="宋体"/>
                <w:b w:val="0"/>
              </w:rPr>
              <w:t>基金名称</w:t>
            </w:r>
          </w:p>
        </w:tc>
        <w:tc>
          <w:tcPr>
            <w:tcW w:w="3462" w:type="pct"/>
            <w:gridSpan w:val="2"/>
            <w:vAlign w:val="center"/>
          </w:tcPr>
          <w:p w14:paraId="3C95B1B1">
            <w:pPr>
              <w:spacing w:line="240" w:lineRule="auto"/>
              <w:jc w:val="left"/>
            </w:pPr>
            <w:r>
              <w:rPr>
                <w:rFonts w:ascii="宋体" w:hAnsi="宋体" w:eastAsia="宋体" w:cs="宋体"/>
                <w:b w:val="0"/>
              </w:rPr>
              <w:t>东方阿尔法科技优选混合型发起式证券投资基金</w:t>
            </w:r>
          </w:p>
        </w:tc>
      </w:tr>
      <w:tr w14:paraId="0DD4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2E24D0">
            <w:pPr>
              <w:spacing w:line="240" w:lineRule="auto"/>
              <w:jc w:val="left"/>
            </w:pPr>
            <w:r>
              <w:rPr>
                <w:rFonts w:ascii="宋体" w:hAnsi="宋体" w:eastAsia="宋体" w:cs="宋体"/>
                <w:b w:val="0"/>
              </w:rPr>
              <w:t>基金简称</w:t>
            </w:r>
          </w:p>
        </w:tc>
        <w:tc>
          <w:tcPr>
            <w:tcW w:w="0" w:type="dxa"/>
            <w:gridSpan w:val="2"/>
            <w:vAlign w:val="center"/>
          </w:tcPr>
          <w:p w14:paraId="4D5BC8A5">
            <w:pPr>
              <w:spacing w:line="240" w:lineRule="auto"/>
              <w:jc w:val="left"/>
            </w:pPr>
            <w:r>
              <w:rPr>
                <w:rFonts w:ascii="宋体" w:hAnsi="宋体" w:eastAsia="宋体" w:cs="宋体"/>
                <w:b w:val="0"/>
              </w:rPr>
              <w:t>东方阿尔法科技优选混合发起</w:t>
            </w:r>
          </w:p>
        </w:tc>
      </w:tr>
      <w:tr w14:paraId="5C7E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14B4AE">
            <w:pPr>
              <w:spacing w:line="240" w:lineRule="auto"/>
              <w:jc w:val="left"/>
            </w:pPr>
            <w:r>
              <w:rPr>
                <w:rFonts w:ascii="宋体" w:hAnsi="宋体" w:eastAsia="宋体" w:cs="宋体"/>
                <w:b w:val="0"/>
              </w:rPr>
              <w:t>基金主代码</w:t>
            </w:r>
          </w:p>
        </w:tc>
        <w:tc>
          <w:tcPr>
            <w:tcW w:w="0" w:type="dxa"/>
            <w:gridSpan w:val="2"/>
            <w:vAlign w:val="center"/>
          </w:tcPr>
          <w:p w14:paraId="22887A94">
            <w:pPr>
              <w:spacing w:line="240" w:lineRule="auto"/>
              <w:jc w:val="left"/>
            </w:pPr>
            <w:r>
              <w:rPr>
                <w:rFonts w:ascii="宋体" w:hAnsi="宋体" w:eastAsia="宋体" w:cs="宋体"/>
                <w:b w:val="0"/>
              </w:rPr>
              <w:t>024423</w:t>
            </w:r>
          </w:p>
        </w:tc>
      </w:tr>
      <w:tr w14:paraId="1BF8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90A062A">
            <w:pPr>
              <w:spacing w:line="240" w:lineRule="auto"/>
              <w:jc w:val="left"/>
            </w:pPr>
            <w:r>
              <w:rPr>
                <w:rFonts w:ascii="宋体" w:hAnsi="宋体" w:eastAsia="宋体" w:cs="宋体"/>
                <w:b w:val="0"/>
              </w:rPr>
              <w:t>基金运作方式</w:t>
            </w:r>
          </w:p>
        </w:tc>
        <w:tc>
          <w:tcPr>
            <w:tcW w:w="0" w:type="dxa"/>
            <w:gridSpan w:val="2"/>
            <w:vAlign w:val="center"/>
          </w:tcPr>
          <w:p w14:paraId="7E6A27C5">
            <w:pPr>
              <w:spacing w:line="240" w:lineRule="auto"/>
              <w:jc w:val="left"/>
            </w:pPr>
            <w:r>
              <w:rPr>
                <w:rFonts w:ascii="宋体" w:hAnsi="宋体" w:eastAsia="宋体" w:cs="宋体"/>
                <w:b w:val="0"/>
              </w:rPr>
              <w:t>契约型开放式</w:t>
            </w:r>
          </w:p>
        </w:tc>
      </w:tr>
      <w:tr w14:paraId="60FF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C47CFC">
            <w:pPr>
              <w:spacing w:line="240" w:lineRule="auto"/>
              <w:jc w:val="left"/>
            </w:pPr>
            <w:r>
              <w:rPr>
                <w:rFonts w:ascii="宋体" w:hAnsi="宋体" w:eastAsia="宋体" w:cs="宋体"/>
                <w:b w:val="0"/>
              </w:rPr>
              <w:t>基金合同生效日</w:t>
            </w:r>
          </w:p>
        </w:tc>
        <w:tc>
          <w:tcPr>
            <w:tcW w:w="0" w:type="dxa"/>
            <w:gridSpan w:val="2"/>
            <w:vAlign w:val="center"/>
          </w:tcPr>
          <w:p w14:paraId="0B09A9EC">
            <w:pPr>
              <w:spacing w:line="240" w:lineRule="auto"/>
              <w:jc w:val="left"/>
            </w:pPr>
            <w:r>
              <w:rPr>
                <w:rFonts w:ascii="宋体" w:hAnsi="宋体" w:eastAsia="宋体" w:cs="宋体"/>
                <w:b w:val="0"/>
              </w:rPr>
              <w:t>2025年06月06日</w:t>
            </w:r>
          </w:p>
        </w:tc>
      </w:tr>
      <w:tr w14:paraId="740E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2CAED7">
            <w:pPr>
              <w:spacing w:line="240" w:lineRule="auto"/>
              <w:jc w:val="left"/>
            </w:pPr>
            <w:r>
              <w:rPr>
                <w:rFonts w:ascii="宋体" w:hAnsi="宋体" w:eastAsia="宋体" w:cs="宋体"/>
                <w:b w:val="0"/>
              </w:rPr>
              <w:t>基金管理人</w:t>
            </w:r>
          </w:p>
        </w:tc>
        <w:tc>
          <w:tcPr>
            <w:tcW w:w="0" w:type="dxa"/>
            <w:gridSpan w:val="2"/>
            <w:vAlign w:val="center"/>
          </w:tcPr>
          <w:p w14:paraId="51B7669A">
            <w:pPr>
              <w:spacing w:line="240" w:lineRule="auto"/>
              <w:jc w:val="left"/>
            </w:pPr>
            <w:r>
              <w:rPr>
                <w:rFonts w:ascii="宋体" w:hAnsi="宋体" w:eastAsia="宋体" w:cs="宋体"/>
                <w:b w:val="0"/>
              </w:rPr>
              <w:t>东方阿尔法基金管理有限公司</w:t>
            </w:r>
          </w:p>
        </w:tc>
      </w:tr>
      <w:tr w14:paraId="1BEA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61F721">
            <w:pPr>
              <w:spacing w:line="240" w:lineRule="auto"/>
              <w:jc w:val="left"/>
            </w:pPr>
            <w:r>
              <w:rPr>
                <w:rFonts w:ascii="宋体" w:hAnsi="宋体" w:eastAsia="宋体" w:cs="宋体"/>
                <w:b w:val="0"/>
              </w:rPr>
              <w:t>基金托管人</w:t>
            </w:r>
          </w:p>
        </w:tc>
        <w:tc>
          <w:tcPr>
            <w:tcW w:w="0" w:type="dxa"/>
            <w:gridSpan w:val="2"/>
            <w:vAlign w:val="center"/>
          </w:tcPr>
          <w:p w14:paraId="1C036355">
            <w:pPr>
              <w:spacing w:line="240" w:lineRule="auto"/>
              <w:jc w:val="left"/>
            </w:pPr>
            <w:r>
              <w:rPr>
                <w:rFonts w:ascii="宋体" w:hAnsi="宋体" w:eastAsia="宋体" w:cs="宋体"/>
                <w:b w:val="0"/>
              </w:rPr>
              <w:t>中信银行股份有限公司</w:t>
            </w:r>
          </w:p>
        </w:tc>
      </w:tr>
      <w:tr w14:paraId="4AA5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05BC6A">
            <w:pPr>
              <w:spacing w:line="240" w:lineRule="auto"/>
              <w:jc w:val="left"/>
            </w:pPr>
            <w:r>
              <w:rPr>
                <w:rFonts w:ascii="宋体" w:hAnsi="宋体" w:eastAsia="宋体" w:cs="宋体"/>
                <w:b w:val="0"/>
              </w:rPr>
              <w:t>报告期末基金份额总额</w:t>
            </w:r>
          </w:p>
        </w:tc>
        <w:tc>
          <w:tcPr>
            <w:tcW w:w="0" w:type="dxa"/>
            <w:gridSpan w:val="2"/>
            <w:vAlign w:val="center"/>
          </w:tcPr>
          <w:p w14:paraId="73623660">
            <w:pPr>
              <w:spacing w:line="240" w:lineRule="auto"/>
              <w:jc w:val="left"/>
            </w:pPr>
            <w:r>
              <w:rPr>
                <w:rFonts w:ascii="宋体" w:hAnsi="宋体" w:eastAsia="宋体" w:cs="宋体"/>
                <w:b w:val="0"/>
              </w:rPr>
              <w:t>381,358,247.77份</w:t>
            </w:r>
          </w:p>
        </w:tc>
      </w:tr>
      <w:tr w14:paraId="4C0F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137DEF">
            <w:pPr>
              <w:spacing w:line="240" w:lineRule="auto"/>
              <w:jc w:val="left"/>
            </w:pPr>
            <w:r>
              <w:rPr>
                <w:rFonts w:ascii="宋体" w:hAnsi="宋体" w:eastAsia="宋体" w:cs="宋体"/>
                <w:b w:val="0"/>
              </w:rPr>
              <w:t>基金合同存续期</w:t>
            </w:r>
          </w:p>
        </w:tc>
        <w:tc>
          <w:tcPr>
            <w:tcW w:w="0" w:type="dxa"/>
            <w:gridSpan w:val="2"/>
            <w:vAlign w:val="center"/>
          </w:tcPr>
          <w:p w14:paraId="3A03694F">
            <w:pPr>
              <w:spacing w:line="240" w:lineRule="auto"/>
              <w:jc w:val="left"/>
            </w:pPr>
            <w:r>
              <w:rPr>
                <w:rFonts w:ascii="宋体" w:hAnsi="宋体" w:eastAsia="宋体" w:cs="宋体"/>
                <w:b w:val="0"/>
              </w:rPr>
              <w:t>不定期</w:t>
            </w:r>
          </w:p>
        </w:tc>
      </w:tr>
      <w:tr w14:paraId="6603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D65E70B">
            <w:pPr>
              <w:spacing w:line="240" w:lineRule="auto"/>
              <w:jc w:val="left"/>
            </w:pPr>
            <w:r>
              <w:rPr>
                <w:rFonts w:ascii="宋体" w:hAnsi="宋体" w:eastAsia="宋体" w:cs="宋体"/>
                <w:b w:val="0"/>
              </w:rPr>
              <w:t>下属分级基金的基金简称</w:t>
            </w:r>
          </w:p>
        </w:tc>
        <w:tc>
          <w:tcPr>
            <w:tcW w:w="1700" w:type="pct"/>
            <w:vAlign w:val="center"/>
          </w:tcPr>
          <w:p w14:paraId="0F64E564">
            <w:pPr>
              <w:spacing w:line="240" w:lineRule="auto"/>
              <w:jc w:val="left"/>
            </w:pPr>
            <w:r>
              <w:rPr>
                <w:rFonts w:ascii="宋体" w:hAnsi="宋体" w:eastAsia="宋体" w:cs="宋体"/>
                <w:b w:val="0"/>
              </w:rPr>
              <w:t>东方阿尔法科技优选混合发起A</w:t>
            </w:r>
          </w:p>
        </w:tc>
        <w:tc>
          <w:tcPr>
            <w:tcW w:w="1700" w:type="pct"/>
            <w:vAlign w:val="center"/>
          </w:tcPr>
          <w:p w14:paraId="2D634CE0">
            <w:pPr>
              <w:spacing w:line="240" w:lineRule="auto"/>
              <w:jc w:val="left"/>
            </w:pPr>
            <w:r>
              <w:rPr>
                <w:rFonts w:ascii="宋体" w:hAnsi="宋体" w:eastAsia="宋体" w:cs="宋体"/>
                <w:b w:val="0"/>
              </w:rPr>
              <w:t>东方阿尔法科技优选混合发起C</w:t>
            </w:r>
          </w:p>
        </w:tc>
      </w:tr>
      <w:tr w14:paraId="34D1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9C2222">
            <w:pPr>
              <w:spacing w:line="240" w:lineRule="auto"/>
              <w:jc w:val="left"/>
            </w:pPr>
            <w:r>
              <w:rPr>
                <w:rFonts w:ascii="宋体" w:hAnsi="宋体" w:eastAsia="宋体" w:cs="宋体"/>
                <w:b w:val="0"/>
              </w:rPr>
              <w:t>下属分级基金的交易代码</w:t>
            </w:r>
          </w:p>
        </w:tc>
        <w:tc>
          <w:tcPr>
            <w:tcW w:w="1700" w:type="pct"/>
            <w:vAlign w:val="center"/>
          </w:tcPr>
          <w:p w14:paraId="187D110A">
            <w:pPr>
              <w:spacing w:line="240" w:lineRule="auto"/>
              <w:jc w:val="left"/>
            </w:pPr>
            <w:r>
              <w:rPr>
                <w:rFonts w:ascii="宋体" w:hAnsi="宋体" w:eastAsia="宋体" w:cs="宋体"/>
                <w:b w:val="0"/>
              </w:rPr>
              <w:t>024423</w:t>
            </w:r>
          </w:p>
        </w:tc>
        <w:tc>
          <w:tcPr>
            <w:tcW w:w="1700" w:type="pct"/>
            <w:vAlign w:val="center"/>
          </w:tcPr>
          <w:p w14:paraId="79154ABF">
            <w:pPr>
              <w:spacing w:line="240" w:lineRule="auto"/>
              <w:jc w:val="left"/>
            </w:pPr>
            <w:r>
              <w:rPr>
                <w:rFonts w:ascii="宋体" w:hAnsi="宋体" w:eastAsia="宋体" w:cs="宋体"/>
                <w:b w:val="0"/>
              </w:rPr>
              <w:t>024424</w:t>
            </w:r>
          </w:p>
        </w:tc>
      </w:tr>
      <w:tr w14:paraId="4B80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0954E1">
            <w:pPr>
              <w:spacing w:line="240" w:lineRule="auto"/>
              <w:jc w:val="left"/>
            </w:pPr>
            <w:r>
              <w:rPr>
                <w:rFonts w:ascii="宋体" w:hAnsi="宋体" w:eastAsia="宋体" w:cs="宋体"/>
                <w:b w:val="0"/>
              </w:rPr>
              <w:t>报告期末下属分级基金的份额总额</w:t>
            </w:r>
          </w:p>
        </w:tc>
        <w:tc>
          <w:tcPr>
            <w:tcW w:w="1700" w:type="pct"/>
            <w:vAlign w:val="center"/>
          </w:tcPr>
          <w:p w14:paraId="54E02CD1">
            <w:pPr>
              <w:spacing w:line="240" w:lineRule="auto"/>
              <w:jc w:val="left"/>
            </w:pPr>
            <w:r>
              <w:rPr>
                <w:rFonts w:ascii="宋体" w:hAnsi="宋体" w:eastAsia="宋体" w:cs="宋体"/>
                <w:b w:val="0"/>
              </w:rPr>
              <w:t>35,990,901.20份</w:t>
            </w:r>
          </w:p>
        </w:tc>
        <w:tc>
          <w:tcPr>
            <w:tcW w:w="1700" w:type="pct"/>
            <w:vAlign w:val="center"/>
          </w:tcPr>
          <w:p w14:paraId="096C2FE2">
            <w:pPr>
              <w:spacing w:line="240" w:lineRule="auto"/>
              <w:jc w:val="left"/>
            </w:pPr>
            <w:r>
              <w:rPr>
                <w:rFonts w:ascii="宋体" w:hAnsi="宋体" w:eastAsia="宋体" w:cs="宋体"/>
                <w:b w:val="0"/>
              </w:rPr>
              <w:t>345,367,346.57份</w:t>
            </w:r>
          </w:p>
        </w:tc>
      </w:tr>
    </w:tbl>
    <w:p w14:paraId="494B6858"/>
    <w:p w14:paraId="38DD344F">
      <w:pPr>
        <w:pStyle w:val="3"/>
        <w:jc w:val="left"/>
      </w:pPr>
      <w:bookmarkStart w:id="7" w:name="_Toc28554"/>
      <w:r>
        <w:rPr>
          <w:rFonts w:ascii="宋体" w:hAnsi="宋体" w:eastAsia="宋体" w:cs="宋体"/>
        </w:rPr>
        <w:t>2.2 基金产品说明</w:t>
      </w:r>
      <w:bookmarkEnd w:id="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5715"/>
      </w:tblGrid>
      <w:tr w14:paraId="44F5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727D8EB8">
            <w:pPr>
              <w:spacing w:line="240" w:lineRule="auto"/>
              <w:jc w:val="left"/>
            </w:pPr>
            <w:r>
              <w:rPr>
                <w:rFonts w:ascii="宋体" w:hAnsi="宋体" w:eastAsia="宋体" w:cs="宋体"/>
                <w:b w:val="0"/>
              </w:rPr>
              <w:t>投资目标</w:t>
            </w:r>
          </w:p>
        </w:tc>
        <w:tc>
          <w:tcPr>
            <w:tcW w:w="3077" w:type="pct"/>
            <w:vAlign w:val="center"/>
          </w:tcPr>
          <w:p w14:paraId="2383A3F4">
            <w:pPr>
              <w:spacing w:line="240" w:lineRule="auto"/>
              <w:jc w:val="left"/>
            </w:pPr>
            <w:r>
              <w:rPr>
                <w:rFonts w:ascii="宋体" w:hAnsi="宋体" w:eastAsia="宋体" w:cs="宋体"/>
                <w:b w:val="0"/>
              </w:rPr>
              <w:t xml:space="preserve">    本基金在严格控制风险并保持良好流动性的前提下，重点投资于科技主题相关证券，力争获取超越业绩比较基准的投资回报，谋求基金资产的长期增值。</w:t>
            </w:r>
          </w:p>
        </w:tc>
      </w:tr>
      <w:tr w14:paraId="62D9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80FE07">
            <w:pPr>
              <w:spacing w:line="240" w:lineRule="auto"/>
              <w:jc w:val="left"/>
            </w:pPr>
            <w:r>
              <w:rPr>
                <w:rFonts w:ascii="宋体" w:hAnsi="宋体" w:eastAsia="宋体" w:cs="宋体"/>
                <w:b w:val="0"/>
              </w:rPr>
              <w:t>投资策略</w:t>
            </w:r>
          </w:p>
        </w:tc>
        <w:tc>
          <w:tcPr>
            <w:tcW w:w="0" w:type="dxa"/>
            <w:vAlign w:val="center"/>
          </w:tcPr>
          <w:p w14:paraId="6BECE809">
            <w:pPr>
              <w:spacing w:line="240" w:lineRule="auto"/>
              <w:jc w:val="left"/>
            </w:pPr>
            <w:r>
              <w:rPr>
                <w:rFonts w:ascii="宋体" w:hAnsi="宋体" w:eastAsia="宋体" w:cs="宋体"/>
                <w:b w:val="0"/>
              </w:rPr>
              <w:t xml:space="preserve">    本基金的投资策略主要有以下11个方面内容：</w:t>
            </w:r>
            <w:r>
              <w:rPr>
                <w:rFonts w:ascii="宋体" w:hAnsi="宋体" w:eastAsia="宋体" w:cs="宋体"/>
                <w:b w:val="0"/>
              </w:rPr>
              <w:br w:type="textWrapping"/>
            </w:r>
            <w:r>
              <w:rPr>
                <w:rFonts w:ascii="宋体" w:hAnsi="宋体" w:eastAsia="宋体" w:cs="宋体"/>
                <w:b w:val="0"/>
              </w:rPr>
              <w:t xml:space="preserve">    1、资产配置策略</w:t>
            </w:r>
            <w:r>
              <w:rPr>
                <w:rFonts w:ascii="宋体" w:hAnsi="宋体" w:eastAsia="宋体" w:cs="宋体"/>
                <w:b w:val="0"/>
              </w:rPr>
              <w:br w:type="textWrapping"/>
            </w:r>
            <w:r>
              <w:rPr>
                <w:rFonts w:ascii="宋体" w:hAnsi="宋体" w:eastAsia="宋体" w:cs="宋体"/>
                <w:b w:val="0"/>
              </w:rPr>
              <w:t xml:space="preserve">    本基金结合定性与定量分析经济和市场趋势，评估风险和收益，确定股票、债券、现金等资产的配置比例和调整原则，追求稳定增值，同时持续监控风险并适时调整。</w:t>
            </w:r>
            <w:r>
              <w:rPr>
                <w:rFonts w:ascii="宋体" w:hAnsi="宋体" w:eastAsia="宋体" w:cs="宋体"/>
                <w:b w:val="0"/>
              </w:rPr>
              <w:br w:type="textWrapping"/>
            </w:r>
            <w:r>
              <w:rPr>
                <w:rFonts w:ascii="宋体" w:hAnsi="宋体" w:eastAsia="宋体" w:cs="宋体"/>
                <w:b w:val="0"/>
              </w:rPr>
              <w:t xml:space="preserve">    2、股票投资策略</w:t>
            </w:r>
            <w:r>
              <w:rPr>
                <w:rFonts w:ascii="宋体" w:hAnsi="宋体" w:eastAsia="宋体" w:cs="宋体"/>
                <w:b w:val="0"/>
              </w:rPr>
              <w:br w:type="textWrapping"/>
            </w:r>
            <w:r>
              <w:rPr>
                <w:rFonts w:ascii="宋体" w:hAnsi="宋体" w:eastAsia="宋体" w:cs="宋体"/>
                <w:b w:val="0"/>
              </w:rPr>
              <w:t xml:space="preserve">    本基金通过定性与定量结合的积极策略，自下而上精选科技主题股票，构建多元资产组合以实现长期稳健增值。</w:t>
            </w:r>
            <w:r>
              <w:rPr>
                <w:rFonts w:ascii="宋体" w:hAnsi="宋体" w:eastAsia="宋体" w:cs="宋体"/>
                <w:b w:val="0"/>
              </w:rPr>
              <w:br w:type="textWrapping"/>
            </w:r>
            <w:r>
              <w:rPr>
                <w:rFonts w:ascii="宋体" w:hAnsi="宋体" w:eastAsia="宋体" w:cs="宋体"/>
                <w:b w:val="0"/>
              </w:rPr>
              <w:t xml:space="preserve">    3、港股投资策略</w:t>
            </w:r>
            <w:r>
              <w:rPr>
                <w:rFonts w:ascii="宋体" w:hAnsi="宋体" w:eastAsia="宋体" w:cs="宋体"/>
                <w:b w:val="0"/>
              </w:rPr>
              <w:br w:type="textWrapping"/>
            </w:r>
            <w:r>
              <w:rPr>
                <w:rFonts w:ascii="宋体" w:hAnsi="宋体" w:eastAsia="宋体" w:cs="宋体"/>
                <w:b w:val="0"/>
              </w:rPr>
              <w:t xml:space="preserve">    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 xml:space="preserve">    4、存托凭证投资策略</w:t>
            </w:r>
            <w:r>
              <w:rPr>
                <w:rFonts w:ascii="宋体" w:hAnsi="宋体" w:eastAsia="宋体" w:cs="宋体"/>
                <w:b w:val="0"/>
              </w:rPr>
              <w:br w:type="textWrapping"/>
            </w:r>
            <w:r>
              <w:rPr>
                <w:rFonts w:ascii="宋体" w:hAnsi="宋体" w:eastAsia="宋体" w:cs="宋体"/>
                <w:b w:val="0"/>
              </w:rPr>
              <w:t xml:space="preserve">    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 xml:space="preserve">    5、债券类资产投资策略</w:t>
            </w:r>
            <w:r>
              <w:rPr>
                <w:rFonts w:ascii="宋体" w:hAnsi="宋体" w:eastAsia="宋体" w:cs="宋体"/>
                <w:b w:val="0"/>
              </w:rPr>
              <w:br w:type="textWrapping"/>
            </w:r>
            <w:r>
              <w:rPr>
                <w:rFonts w:ascii="宋体" w:hAnsi="宋体" w:eastAsia="宋体" w:cs="宋体"/>
                <w:b w:val="0"/>
              </w:rPr>
              <w:t xml:space="preserve">    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 xml:space="preserve">    6、可转债（含分离交易可转债）及可交换债券投资策略</w:t>
            </w:r>
            <w:r>
              <w:rPr>
                <w:rFonts w:ascii="宋体" w:hAnsi="宋体" w:eastAsia="宋体" w:cs="宋体"/>
                <w:b w:val="0"/>
              </w:rPr>
              <w:br w:type="textWrapping"/>
            </w:r>
            <w:r>
              <w:rPr>
                <w:rFonts w:ascii="宋体" w:hAnsi="宋体" w:eastAsia="宋体" w:cs="宋体"/>
                <w:b w:val="0"/>
              </w:rPr>
              <w:t xml:space="preserve">    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 xml:space="preserve">    7、股指期货投资策略</w:t>
            </w:r>
            <w:r>
              <w:rPr>
                <w:rFonts w:ascii="宋体" w:hAnsi="宋体" w:eastAsia="宋体" w:cs="宋体"/>
                <w:b w:val="0"/>
              </w:rPr>
              <w:br w:type="textWrapping"/>
            </w:r>
            <w:r>
              <w:rPr>
                <w:rFonts w:ascii="宋体" w:hAnsi="宋体" w:eastAsia="宋体" w:cs="宋体"/>
                <w:b w:val="0"/>
              </w:rPr>
              <w:t xml:space="preserve">    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 xml:space="preserve">    8、融资业务投资策略</w:t>
            </w:r>
            <w:r>
              <w:rPr>
                <w:rFonts w:ascii="宋体" w:hAnsi="宋体" w:eastAsia="宋体" w:cs="宋体"/>
                <w:b w:val="0"/>
              </w:rPr>
              <w:br w:type="textWrapping"/>
            </w:r>
            <w:r>
              <w:rPr>
                <w:rFonts w:ascii="宋体" w:hAnsi="宋体" w:eastAsia="宋体" w:cs="宋体"/>
                <w:b w:val="0"/>
              </w:rPr>
              <w:t xml:space="preserve">    本基金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 xml:space="preserve">    9、国债期货投资策略</w:t>
            </w:r>
            <w:r>
              <w:rPr>
                <w:rFonts w:ascii="宋体" w:hAnsi="宋体" w:eastAsia="宋体" w:cs="宋体"/>
                <w:b w:val="0"/>
              </w:rPr>
              <w:br w:type="textWrapping"/>
            </w:r>
            <w:r>
              <w:rPr>
                <w:rFonts w:ascii="宋体" w:hAnsi="宋体" w:eastAsia="宋体" w:cs="宋体"/>
                <w:b w:val="0"/>
              </w:rPr>
              <w:t xml:space="preserve">    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 xml:space="preserve">    10、股票期权投资策略</w:t>
            </w:r>
            <w:r>
              <w:rPr>
                <w:rFonts w:ascii="宋体" w:hAnsi="宋体" w:eastAsia="宋体" w:cs="宋体"/>
                <w:b w:val="0"/>
              </w:rPr>
              <w:br w:type="textWrapping"/>
            </w:r>
            <w:r>
              <w:rPr>
                <w:rFonts w:ascii="宋体" w:hAnsi="宋体" w:eastAsia="宋体" w:cs="宋体"/>
                <w:b w:val="0"/>
              </w:rPr>
              <w:t xml:space="preserve">    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 xml:space="preserve">    11、资产支持证券投资策略</w:t>
            </w:r>
            <w:r>
              <w:rPr>
                <w:rFonts w:ascii="宋体" w:hAnsi="宋体" w:eastAsia="宋体" w:cs="宋体"/>
                <w:b w:val="0"/>
              </w:rPr>
              <w:br w:type="textWrapping"/>
            </w:r>
            <w:r>
              <w:rPr>
                <w:rFonts w:ascii="宋体" w:hAnsi="宋体" w:eastAsia="宋体" w:cs="宋体"/>
                <w:b w:val="0"/>
              </w:rPr>
              <w:t xml:space="preserve">    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14:paraId="0A8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865694">
            <w:pPr>
              <w:spacing w:line="240" w:lineRule="auto"/>
              <w:jc w:val="left"/>
            </w:pPr>
            <w:r>
              <w:rPr>
                <w:rFonts w:ascii="宋体" w:hAnsi="宋体" w:eastAsia="宋体" w:cs="宋体"/>
                <w:b w:val="0"/>
              </w:rPr>
              <w:t>业绩比较基准</w:t>
            </w:r>
          </w:p>
        </w:tc>
        <w:tc>
          <w:tcPr>
            <w:tcW w:w="0" w:type="dxa"/>
            <w:vAlign w:val="center"/>
          </w:tcPr>
          <w:p w14:paraId="4105F207">
            <w:pPr>
              <w:spacing w:line="240" w:lineRule="auto"/>
              <w:jc w:val="left"/>
            </w:pPr>
            <w:r>
              <w:rPr>
                <w:rFonts w:ascii="宋体" w:hAnsi="宋体" w:eastAsia="宋体" w:cs="宋体"/>
                <w:b w:val="0"/>
              </w:rPr>
              <w:t xml:space="preserve">    中国战略新兴产业成份指数收益率*70%+中债-综合指数(全价)收益率*20%+恒生科技指数收益率(按估值汇率折算)*10%</w:t>
            </w:r>
          </w:p>
        </w:tc>
      </w:tr>
      <w:tr w14:paraId="2A44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638194">
            <w:pPr>
              <w:spacing w:line="240" w:lineRule="auto"/>
              <w:jc w:val="left"/>
            </w:pPr>
            <w:r>
              <w:rPr>
                <w:rFonts w:ascii="宋体" w:hAnsi="宋体" w:eastAsia="宋体" w:cs="宋体"/>
                <w:b w:val="0"/>
              </w:rPr>
              <w:t>风险收益特征</w:t>
            </w:r>
          </w:p>
        </w:tc>
        <w:tc>
          <w:tcPr>
            <w:tcW w:w="0" w:type="dxa"/>
            <w:vAlign w:val="center"/>
          </w:tcPr>
          <w:p w14:paraId="7BFAE371">
            <w:pPr>
              <w:spacing w:line="240" w:lineRule="auto"/>
              <w:jc w:val="left"/>
            </w:pPr>
            <w:r>
              <w:rPr>
                <w:rFonts w:ascii="宋体" w:hAnsi="宋体" w:eastAsia="宋体" w:cs="宋体"/>
                <w:b w:val="0"/>
              </w:rPr>
              <w:t xml:space="preserve">    本基金为混合型基金，其预期收益和风险高于货币型基金、债券型基金。本基金如果投资港股通标的股票，需承担汇率风险以及境外市场的风险。</w:t>
            </w:r>
          </w:p>
        </w:tc>
      </w:tr>
    </w:tbl>
    <w:p w14:paraId="74A3DBB8"/>
    <w:p w14:paraId="6F041DD1">
      <w:pPr>
        <w:pStyle w:val="3"/>
        <w:jc w:val="left"/>
      </w:pPr>
      <w:bookmarkStart w:id="8" w:name="_Toc10297"/>
      <w:r>
        <w:rPr>
          <w:rFonts w:ascii="宋体" w:hAnsi="宋体" w:eastAsia="宋体" w:cs="宋体"/>
        </w:rPr>
        <w:t>2.3 基金管理人和基金托管人</w:t>
      </w:r>
      <w:bookmarkEnd w:id="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1498"/>
        <w:gridCol w:w="3145"/>
        <w:gridCol w:w="3145"/>
      </w:tblGrid>
      <w:tr w14:paraId="145F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gridSpan w:val="2"/>
            <w:shd w:val="clear" w:color="auto" w:fill="D9D9D9"/>
            <w:vAlign w:val="center"/>
          </w:tcPr>
          <w:p w14:paraId="6AD9C757">
            <w:pPr>
              <w:spacing w:line="240" w:lineRule="auto"/>
              <w:jc w:val="center"/>
            </w:pPr>
            <w:r>
              <w:rPr>
                <w:rFonts w:ascii="宋体" w:hAnsi="宋体" w:eastAsia="宋体" w:cs="宋体"/>
                <w:b w:val="0"/>
              </w:rPr>
              <w:t>项目</w:t>
            </w:r>
          </w:p>
        </w:tc>
        <w:tc>
          <w:tcPr>
            <w:tcW w:w="1615" w:type="pct"/>
            <w:shd w:val="clear" w:color="auto" w:fill="D9D9D9"/>
            <w:vAlign w:val="center"/>
          </w:tcPr>
          <w:p w14:paraId="4450B2BA">
            <w:pPr>
              <w:spacing w:line="240" w:lineRule="auto"/>
              <w:jc w:val="center"/>
            </w:pPr>
            <w:r>
              <w:rPr>
                <w:rFonts w:ascii="宋体" w:hAnsi="宋体" w:eastAsia="宋体" w:cs="宋体"/>
                <w:b w:val="0"/>
              </w:rPr>
              <w:t>基金管理人</w:t>
            </w:r>
          </w:p>
        </w:tc>
        <w:tc>
          <w:tcPr>
            <w:tcW w:w="1615" w:type="pct"/>
            <w:shd w:val="clear" w:color="auto" w:fill="D9D9D9"/>
            <w:vAlign w:val="center"/>
          </w:tcPr>
          <w:p w14:paraId="3E6E3086">
            <w:pPr>
              <w:spacing w:line="240" w:lineRule="auto"/>
              <w:jc w:val="center"/>
            </w:pPr>
            <w:r>
              <w:rPr>
                <w:rFonts w:ascii="宋体" w:hAnsi="宋体" w:eastAsia="宋体" w:cs="宋体"/>
                <w:b w:val="0"/>
              </w:rPr>
              <w:t>基金托管人</w:t>
            </w:r>
          </w:p>
        </w:tc>
      </w:tr>
      <w:tr w14:paraId="6A1C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5C25264E">
            <w:pPr>
              <w:spacing w:line="240" w:lineRule="auto"/>
              <w:jc w:val="left"/>
            </w:pPr>
            <w:r>
              <w:rPr>
                <w:rFonts w:ascii="宋体" w:hAnsi="宋体" w:eastAsia="宋体" w:cs="宋体"/>
                <w:b w:val="0"/>
              </w:rPr>
              <w:t>名称</w:t>
            </w:r>
          </w:p>
        </w:tc>
        <w:tc>
          <w:tcPr>
            <w:tcW w:w="0" w:type="dxa"/>
            <w:vAlign w:val="center"/>
          </w:tcPr>
          <w:p w14:paraId="46FD24A7">
            <w:pPr>
              <w:spacing w:line="240" w:lineRule="auto"/>
              <w:jc w:val="left"/>
            </w:pPr>
            <w:r>
              <w:rPr>
                <w:rFonts w:ascii="宋体" w:hAnsi="宋体" w:eastAsia="宋体" w:cs="宋体"/>
                <w:b w:val="0"/>
              </w:rPr>
              <w:t>东方阿尔法基金管理有限公司</w:t>
            </w:r>
          </w:p>
        </w:tc>
        <w:tc>
          <w:tcPr>
            <w:tcW w:w="0" w:type="dxa"/>
            <w:vAlign w:val="center"/>
          </w:tcPr>
          <w:p w14:paraId="489A8A87">
            <w:pPr>
              <w:spacing w:line="240" w:lineRule="auto"/>
              <w:jc w:val="left"/>
            </w:pPr>
            <w:r>
              <w:rPr>
                <w:rFonts w:ascii="宋体" w:hAnsi="宋体" w:eastAsia="宋体" w:cs="宋体"/>
                <w:b w:val="0"/>
              </w:rPr>
              <w:t>中信银行股份有限公司</w:t>
            </w:r>
          </w:p>
        </w:tc>
      </w:tr>
      <w:tr w14:paraId="0B7B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Merge w:val="restart"/>
            <w:vAlign w:val="center"/>
          </w:tcPr>
          <w:p w14:paraId="5A641ED7">
            <w:pPr>
              <w:spacing w:line="240" w:lineRule="auto"/>
              <w:jc w:val="left"/>
            </w:pPr>
            <w:r>
              <w:rPr>
                <w:rFonts w:ascii="宋体" w:hAnsi="宋体" w:eastAsia="宋体" w:cs="宋体"/>
                <w:b w:val="0"/>
              </w:rPr>
              <w:t>信息披露负责人</w:t>
            </w:r>
          </w:p>
        </w:tc>
        <w:tc>
          <w:tcPr>
            <w:tcW w:w="769" w:type="pct"/>
            <w:vAlign w:val="center"/>
          </w:tcPr>
          <w:p w14:paraId="572C9524">
            <w:pPr>
              <w:spacing w:line="240" w:lineRule="auto"/>
              <w:jc w:val="left"/>
            </w:pPr>
            <w:r>
              <w:rPr>
                <w:rFonts w:ascii="宋体" w:hAnsi="宋体" w:eastAsia="宋体" w:cs="宋体"/>
                <w:b w:val="0"/>
              </w:rPr>
              <w:t>姓名</w:t>
            </w:r>
          </w:p>
        </w:tc>
        <w:tc>
          <w:tcPr>
            <w:tcW w:w="0" w:type="dxa"/>
            <w:vAlign w:val="center"/>
          </w:tcPr>
          <w:p w14:paraId="2D1EC54E">
            <w:pPr>
              <w:spacing w:line="240" w:lineRule="auto"/>
              <w:jc w:val="left"/>
            </w:pPr>
            <w:r>
              <w:rPr>
                <w:rFonts w:ascii="宋体" w:hAnsi="宋体" w:eastAsia="宋体" w:cs="宋体"/>
                <w:b w:val="0"/>
              </w:rPr>
              <w:t>曾健</w:t>
            </w:r>
          </w:p>
        </w:tc>
        <w:tc>
          <w:tcPr>
            <w:tcW w:w="0" w:type="dxa"/>
            <w:vAlign w:val="center"/>
          </w:tcPr>
          <w:p w14:paraId="3C8BC82D">
            <w:pPr>
              <w:spacing w:line="240" w:lineRule="auto"/>
              <w:jc w:val="left"/>
            </w:pPr>
            <w:r>
              <w:rPr>
                <w:rFonts w:ascii="宋体" w:hAnsi="宋体" w:eastAsia="宋体" w:cs="宋体"/>
                <w:b w:val="0"/>
              </w:rPr>
              <w:t>滕菲菲</w:t>
            </w:r>
          </w:p>
        </w:tc>
      </w:tr>
      <w:tr w14:paraId="0AD9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5A37077"/>
        </w:tc>
        <w:tc>
          <w:tcPr>
            <w:tcW w:w="0" w:type="dxa"/>
            <w:vAlign w:val="center"/>
          </w:tcPr>
          <w:p w14:paraId="7D46D5CF">
            <w:pPr>
              <w:spacing w:line="240" w:lineRule="auto"/>
              <w:jc w:val="left"/>
            </w:pPr>
            <w:r>
              <w:rPr>
                <w:rFonts w:ascii="宋体" w:hAnsi="宋体" w:eastAsia="宋体" w:cs="宋体"/>
                <w:b w:val="0"/>
              </w:rPr>
              <w:t>联系电话</w:t>
            </w:r>
          </w:p>
        </w:tc>
        <w:tc>
          <w:tcPr>
            <w:tcW w:w="0" w:type="dxa"/>
            <w:vAlign w:val="center"/>
          </w:tcPr>
          <w:p w14:paraId="769BA971">
            <w:pPr>
              <w:spacing w:line="240" w:lineRule="auto"/>
              <w:jc w:val="left"/>
            </w:pPr>
            <w:r>
              <w:rPr>
                <w:rFonts w:ascii="宋体" w:hAnsi="宋体" w:eastAsia="宋体" w:cs="宋体"/>
                <w:b w:val="0"/>
              </w:rPr>
              <w:t>0755-21872900</w:t>
            </w:r>
          </w:p>
        </w:tc>
        <w:tc>
          <w:tcPr>
            <w:tcW w:w="0" w:type="dxa"/>
            <w:vAlign w:val="center"/>
          </w:tcPr>
          <w:p w14:paraId="1614DE19">
            <w:pPr>
              <w:spacing w:line="240" w:lineRule="auto"/>
              <w:jc w:val="left"/>
            </w:pPr>
            <w:r>
              <w:rPr>
                <w:rFonts w:ascii="宋体" w:hAnsi="宋体" w:eastAsia="宋体" w:cs="宋体"/>
                <w:b w:val="0"/>
              </w:rPr>
              <w:t>4006800000</w:t>
            </w:r>
          </w:p>
        </w:tc>
      </w:tr>
      <w:tr w14:paraId="10B5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46E5EF7"/>
        </w:tc>
        <w:tc>
          <w:tcPr>
            <w:tcW w:w="0" w:type="dxa"/>
            <w:vAlign w:val="center"/>
          </w:tcPr>
          <w:p w14:paraId="25C6FA26">
            <w:pPr>
              <w:spacing w:line="240" w:lineRule="auto"/>
              <w:jc w:val="left"/>
            </w:pPr>
            <w:r>
              <w:rPr>
                <w:rFonts w:ascii="宋体" w:hAnsi="宋体" w:eastAsia="宋体" w:cs="宋体"/>
                <w:b w:val="0"/>
              </w:rPr>
              <w:t>电子邮箱</w:t>
            </w:r>
          </w:p>
        </w:tc>
        <w:tc>
          <w:tcPr>
            <w:tcW w:w="0" w:type="dxa"/>
            <w:vAlign w:val="center"/>
          </w:tcPr>
          <w:p w14:paraId="247F5579">
            <w:pPr>
              <w:spacing w:line="240" w:lineRule="auto"/>
              <w:jc w:val="left"/>
            </w:pPr>
            <w:r>
              <w:rPr>
                <w:rFonts w:ascii="宋体" w:hAnsi="宋体" w:eastAsia="宋体" w:cs="宋体"/>
                <w:b w:val="0"/>
              </w:rPr>
              <w:t>service@dfa66.com</w:t>
            </w:r>
          </w:p>
        </w:tc>
        <w:tc>
          <w:tcPr>
            <w:tcW w:w="0" w:type="dxa"/>
            <w:vAlign w:val="center"/>
          </w:tcPr>
          <w:p w14:paraId="04E3F063">
            <w:pPr>
              <w:spacing w:line="240" w:lineRule="auto"/>
              <w:jc w:val="left"/>
            </w:pPr>
            <w:r>
              <w:rPr>
                <w:rFonts w:ascii="宋体" w:hAnsi="宋体" w:eastAsia="宋体" w:cs="宋体"/>
                <w:b w:val="0"/>
              </w:rPr>
              <w:t>tengfeifei@citicbank.com</w:t>
            </w:r>
          </w:p>
        </w:tc>
      </w:tr>
      <w:tr w14:paraId="4079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438578B0">
            <w:pPr>
              <w:spacing w:line="240" w:lineRule="auto"/>
              <w:jc w:val="left"/>
            </w:pPr>
            <w:r>
              <w:rPr>
                <w:rFonts w:ascii="宋体" w:hAnsi="宋体" w:eastAsia="宋体" w:cs="宋体"/>
                <w:b w:val="0"/>
              </w:rPr>
              <w:t>客户服务电话</w:t>
            </w:r>
          </w:p>
        </w:tc>
        <w:tc>
          <w:tcPr>
            <w:tcW w:w="0" w:type="dxa"/>
            <w:vAlign w:val="center"/>
          </w:tcPr>
          <w:p w14:paraId="57176EAD">
            <w:pPr>
              <w:spacing w:line="240" w:lineRule="auto"/>
              <w:jc w:val="left"/>
            </w:pPr>
            <w:r>
              <w:rPr>
                <w:rFonts w:ascii="宋体" w:hAnsi="宋体" w:eastAsia="宋体" w:cs="宋体"/>
                <w:b w:val="0"/>
              </w:rPr>
              <w:t>400-930-6677</w:t>
            </w:r>
          </w:p>
        </w:tc>
        <w:tc>
          <w:tcPr>
            <w:tcW w:w="0" w:type="dxa"/>
            <w:vAlign w:val="center"/>
          </w:tcPr>
          <w:p w14:paraId="6661CA0C">
            <w:pPr>
              <w:spacing w:line="240" w:lineRule="auto"/>
              <w:jc w:val="left"/>
            </w:pPr>
            <w:r>
              <w:rPr>
                <w:rFonts w:ascii="宋体" w:hAnsi="宋体" w:eastAsia="宋体" w:cs="宋体"/>
                <w:b w:val="0"/>
              </w:rPr>
              <w:t>95558</w:t>
            </w:r>
          </w:p>
        </w:tc>
      </w:tr>
      <w:tr w14:paraId="6AA3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BBEE8F1">
            <w:pPr>
              <w:spacing w:line="240" w:lineRule="auto"/>
              <w:jc w:val="left"/>
            </w:pPr>
            <w:r>
              <w:rPr>
                <w:rFonts w:ascii="宋体" w:hAnsi="宋体" w:eastAsia="宋体" w:cs="宋体"/>
                <w:b w:val="0"/>
              </w:rPr>
              <w:t>传真</w:t>
            </w:r>
          </w:p>
        </w:tc>
        <w:tc>
          <w:tcPr>
            <w:tcW w:w="0" w:type="dxa"/>
            <w:vAlign w:val="center"/>
          </w:tcPr>
          <w:p w14:paraId="39511BE8">
            <w:pPr>
              <w:spacing w:line="240" w:lineRule="auto"/>
              <w:jc w:val="left"/>
            </w:pPr>
            <w:r>
              <w:rPr>
                <w:rFonts w:ascii="宋体" w:hAnsi="宋体" w:eastAsia="宋体" w:cs="宋体"/>
                <w:b w:val="0"/>
              </w:rPr>
              <w:t>0755-21872902</w:t>
            </w:r>
          </w:p>
        </w:tc>
        <w:tc>
          <w:tcPr>
            <w:tcW w:w="0" w:type="dxa"/>
            <w:vAlign w:val="center"/>
          </w:tcPr>
          <w:p w14:paraId="57ED3F92">
            <w:pPr>
              <w:spacing w:line="240" w:lineRule="auto"/>
              <w:jc w:val="left"/>
            </w:pPr>
            <w:r>
              <w:rPr>
                <w:rFonts w:ascii="宋体" w:hAnsi="宋体" w:eastAsia="宋体" w:cs="宋体"/>
                <w:b w:val="0"/>
              </w:rPr>
              <w:t>010-85230024</w:t>
            </w:r>
          </w:p>
        </w:tc>
      </w:tr>
      <w:tr w14:paraId="4782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654D7B01">
            <w:pPr>
              <w:spacing w:line="240" w:lineRule="auto"/>
              <w:jc w:val="left"/>
            </w:pPr>
            <w:r>
              <w:rPr>
                <w:rFonts w:ascii="宋体" w:hAnsi="宋体" w:eastAsia="宋体" w:cs="宋体"/>
                <w:b w:val="0"/>
              </w:rPr>
              <w:t>注册地址</w:t>
            </w:r>
          </w:p>
        </w:tc>
        <w:tc>
          <w:tcPr>
            <w:tcW w:w="0" w:type="dxa"/>
            <w:vAlign w:val="center"/>
          </w:tcPr>
          <w:p w14:paraId="7FAE0277">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14:paraId="6864409D">
            <w:pPr>
              <w:spacing w:line="240" w:lineRule="auto"/>
              <w:jc w:val="left"/>
            </w:pPr>
            <w:r>
              <w:rPr>
                <w:rFonts w:ascii="宋体" w:hAnsi="宋体" w:eastAsia="宋体" w:cs="宋体"/>
                <w:b w:val="0"/>
              </w:rPr>
              <w:t>北京市朝阳区光华路10号院1号楼6-30层、32-42层</w:t>
            </w:r>
          </w:p>
        </w:tc>
      </w:tr>
      <w:tr w14:paraId="640F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0278BD9">
            <w:pPr>
              <w:spacing w:line="240" w:lineRule="auto"/>
              <w:jc w:val="left"/>
            </w:pPr>
            <w:r>
              <w:rPr>
                <w:rFonts w:ascii="宋体" w:hAnsi="宋体" w:eastAsia="宋体" w:cs="宋体"/>
                <w:b w:val="0"/>
              </w:rPr>
              <w:t>办公地址</w:t>
            </w:r>
          </w:p>
        </w:tc>
        <w:tc>
          <w:tcPr>
            <w:tcW w:w="0" w:type="dxa"/>
            <w:vAlign w:val="center"/>
          </w:tcPr>
          <w:p w14:paraId="3A5C959A">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14:paraId="6F6FDFEF">
            <w:pPr>
              <w:spacing w:line="240" w:lineRule="auto"/>
              <w:jc w:val="left"/>
            </w:pPr>
            <w:r>
              <w:rPr>
                <w:rFonts w:ascii="宋体" w:hAnsi="宋体" w:eastAsia="宋体" w:cs="宋体"/>
                <w:b w:val="0"/>
              </w:rPr>
              <w:t>北京市朝阳区光华路10号院1号楼6-30层、32-42层</w:t>
            </w:r>
          </w:p>
        </w:tc>
      </w:tr>
      <w:tr w14:paraId="3A9C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78FCD80A">
            <w:pPr>
              <w:spacing w:line="240" w:lineRule="auto"/>
              <w:jc w:val="left"/>
            </w:pPr>
            <w:r>
              <w:rPr>
                <w:rFonts w:ascii="宋体" w:hAnsi="宋体" w:eastAsia="宋体" w:cs="宋体"/>
                <w:b w:val="0"/>
              </w:rPr>
              <w:t>邮政编码</w:t>
            </w:r>
          </w:p>
        </w:tc>
        <w:tc>
          <w:tcPr>
            <w:tcW w:w="0" w:type="dxa"/>
            <w:vAlign w:val="center"/>
          </w:tcPr>
          <w:p w14:paraId="36BEACFA">
            <w:pPr>
              <w:spacing w:line="240" w:lineRule="auto"/>
              <w:jc w:val="left"/>
            </w:pPr>
            <w:r>
              <w:rPr>
                <w:rFonts w:ascii="宋体" w:hAnsi="宋体" w:eastAsia="宋体" w:cs="宋体"/>
                <w:b w:val="0"/>
              </w:rPr>
              <w:t>518034</w:t>
            </w:r>
          </w:p>
        </w:tc>
        <w:tc>
          <w:tcPr>
            <w:tcW w:w="0" w:type="dxa"/>
            <w:vAlign w:val="center"/>
          </w:tcPr>
          <w:p w14:paraId="79BDFF83">
            <w:pPr>
              <w:spacing w:line="240" w:lineRule="auto"/>
              <w:jc w:val="left"/>
            </w:pPr>
            <w:r>
              <w:rPr>
                <w:rFonts w:ascii="宋体" w:hAnsi="宋体" w:eastAsia="宋体" w:cs="宋体"/>
                <w:b w:val="0"/>
              </w:rPr>
              <w:t>100020</w:t>
            </w:r>
          </w:p>
        </w:tc>
      </w:tr>
      <w:tr w14:paraId="550F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05553081">
            <w:pPr>
              <w:spacing w:line="240" w:lineRule="auto"/>
              <w:jc w:val="left"/>
            </w:pPr>
            <w:r>
              <w:rPr>
                <w:rFonts w:ascii="宋体" w:hAnsi="宋体" w:eastAsia="宋体" w:cs="宋体"/>
                <w:b w:val="0"/>
              </w:rPr>
              <w:t>法定代表人</w:t>
            </w:r>
          </w:p>
        </w:tc>
        <w:tc>
          <w:tcPr>
            <w:tcW w:w="0" w:type="dxa"/>
            <w:vAlign w:val="center"/>
          </w:tcPr>
          <w:p w14:paraId="54CF188D">
            <w:pPr>
              <w:spacing w:line="240" w:lineRule="auto"/>
              <w:jc w:val="left"/>
            </w:pPr>
            <w:r>
              <w:rPr>
                <w:rFonts w:ascii="宋体" w:hAnsi="宋体" w:eastAsia="宋体" w:cs="宋体"/>
                <w:b w:val="0"/>
              </w:rPr>
              <w:t>刘明</w:t>
            </w:r>
          </w:p>
        </w:tc>
        <w:tc>
          <w:tcPr>
            <w:tcW w:w="0" w:type="dxa"/>
            <w:vAlign w:val="center"/>
          </w:tcPr>
          <w:p w14:paraId="40041950">
            <w:pPr>
              <w:spacing w:line="240" w:lineRule="auto"/>
              <w:jc w:val="left"/>
            </w:pPr>
            <w:r>
              <w:rPr>
                <w:rFonts w:ascii="宋体" w:hAnsi="宋体" w:eastAsia="宋体" w:cs="宋体"/>
                <w:b w:val="0"/>
              </w:rPr>
              <w:t>方合英</w:t>
            </w:r>
          </w:p>
        </w:tc>
      </w:tr>
    </w:tbl>
    <w:p w14:paraId="24C0CAB5"/>
    <w:p w14:paraId="1659EC27">
      <w:pPr>
        <w:pStyle w:val="3"/>
        <w:jc w:val="left"/>
      </w:pPr>
      <w:bookmarkStart w:id="9" w:name="_Toc31958"/>
      <w:r>
        <w:rPr>
          <w:rFonts w:ascii="宋体" w:hAnsi="宋体" w:eastAsia="宋体" w:cs="宋体"/>
        </w:rPr>
        <w:t>2.4 信息披露方式</w:t>
      </w:r>
      <w:bookmarkEnd w:id="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1D8D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1105A518">
            <w:pPr>
              <w:spacing w:line="240" w:lineRule="auto"/>
              <w:jc w:val="left"/>
            </w:pPr>
            <w:r>
              <w:rPr>
                <w:rFonts w:ascii="宋体" w:hAnsi="宋体" w:eastAsia="宋体" w:cs="宋体"/>
                <w:b w:val="0"/>
              </w:rPr>
              <w:t>本基金选定的信息披露报纸名称</w:t>
            </w:r>
          </w:p>
        </w:tc>
        <w:tc>
          <w:tcPr>
            <w:tcW w:w="2500" w:type="pct"/>
            <w:vAlign w:val="center"/>
          </w:tcPr>
          <w:p w14:paraId="09D782EB">
            <w:pPr>
              <w:spacing w:line="240" w:lineRule="auto"/>
              <w:jc w:val="left"/>
            </w:pPr>
            <w:r>
              <w:rPr>
                <w:rFonts w:ascii="宋体" w:hAnsi="宋体" w:eastAsia="宋体" w:cs="宋体"/>
                <w:b w:val="0"/>
              </w:rPr>
              <w:t>中国证券报</w:t>
            </w:r>
          </w:p>
        </w:tc>
      </w:tr>
      <w:tr w14:paraId="501A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A0617F">
            <w:pPr>
              <w:spacing w:line="240" w:lineRule="auto"/>
              <w:jc w:val="left"/>
            </w:pPr>
            <w:r>
              <w:rPr>
                <w:rFonts w:ascii="宋体" w:hAnsi="宋体" w:eastAsia="宋体" w:cs="宋体"/>
                <w:b w:val="0"/>
              </w:rPr>
              <w:t>登载基金中期报告的管理人互联网网址</w:t>
            </w:r>
          </w:p>
        </w:tc>
        <w:tc>
          <w:tcPr>
            <w:tcW w:w="0" w:type="dxa"/>
            <w:vAlign w:val="center"/>
          </w:tcPr>
          <w:p w14:paraId="78B48E18">
            <w:pPr>
              <w:spacing w:line="240" w:lineRule="auto"/>
              <w:jc w:val="left"/>
            </w:pPr>
            <w:r>
              <w:rPr>
                <w:rFonts w:ascii="宋体" w:hAnsi="宋体" w:eastAsia="宋体" w:cs="宋体"/>
                <w:b w:val="0"/>
              </w:rPr>
              <w:t>https://www.dfa66.com</w:t>
            </w:r>
          </w:p>
        </w:tc>
      </w:tr>
      <w:tr w14:paraId="203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8F0D8F">
            <w:pPr>
              <w:spacing w:line="240" w:lineRule="auto"/>
              <w:jc w:val="left"/>
            </w:pPr>
            <w:r>
              <w:rPr>
                <w:rFonts w:ascii="宋体" w:hAnsi="宋体" w:eastAsia="宋体" w:cs="宋体"/>
                <w:b w:val="0"/>
              </w:rPr>
              <w:t>基金中期报告置备地点</w:t>
            </w:r>
          </w:p>
        </w:tc>
        <w:tc>
          <w:tcPr>
            <w:tcW w:w="0" w:type="dxa"/>
            <w:vAlign w:val="center"/>
          </w:tcPr>
          <w:p w14:paraId="28C9E611">
            <w:pPr>
              <w:spacing w:line="240" w:lineRule="auto"/>
              <w:jc w:val="left"/>
            </w:pPr>
            <w:r>
              <w:rPr>
                <w:rFonts w:ascii="宋体" w:hAnsi="宋体" w:eastAsia="宋体" w:cs="宋体"/>
                <w:b w:val="0"/>
              </w:rPr>
              <w:t>基金管理人的办公场所</w:t>
            </w:r>
          </w:p>
        </w:tc>
      </w:tr>
    </w:tbl>
    <w:p w14:paraId="0CD450AB"/>
    <w:p w14:paraId="236C317E">
      <w:pPr>
        <w:pStyle w:val="3"/>
        <w:jc w:val="left"/>
      </w:pPr>
      <w:bookmarkStart w:id="10" w:name="_Toc307"/>
      <w:r>
        <w:rPr>
          <w:rFonts w:ascii="宋体" w:hAnsi="宋体" w:eastAsia="宋体" w:cs="宋体"/>
        </w:rPr>
        <w:t>2.5 其他相关资料</w:t>
      </w:r>
      <w:bookmarkEnd w:id="1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3258"/>
        <w:gridCol w:w="4073"/>
      </w:tblGrid>
      <w:tr w14:paraId="680B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shd w:val="clear" w:color="auto" w:fill="D9D9D9"/>
            <w:vAlign w:val="center"/>
          </w:tcPr>
          <w:p w14:paraId="5E9B1B5A">
            <w:pPr>
              <w:spacing w:line="240" w:lineRule="auto"/>
              <w:jc w:val="center"/>
            </w:pPr>
            <w:r>
              <w:rPr>
                <w:rFonts w:ascii="宋体" w:hAnsi="宋体" w:eastAsia="宋体" w:cs="宋体"/>
                <w:b w:val="0"/>
              </w:rPr>
              <w:t>项目</w:t>
            </w:r>
          </w:p>
        </w:tc>
        <w:tc>
          <w:tcPr>
            <w:tcW w:w="1538" w:type="pct"/>
            <w:shd w:val="clear" w:color="auto" w:fill="D9D9D9"/>
            <w:vAlign w:val="center"/>
          </w:tcPr>
          <w:p w14:paraId="2A97D4A6">
            <w:pPr>
              <w:spacing w:line="240" w:lineRule="auto"/>
              <w:jc w:val="center"/>
            </w:pPr>
            <w:r>
              <w:rPr>
                <w:rFonts w:ascii="宋体" w:hAnsi="宋体" w:eastAsia="宋体" w:cs="宋体"/>
                <w:b w:val="0"/>
              </w:rPr>
              <w:t>名称</w:t>
            </w:r>
          </w:p>
        </w:tc>
        <w:tc>
          <w:tcPr>
            <w:tcW w:w="1923" w:type="pct"/>
            <w:shd w:val="clear" w:color="auto" w:fill="D9D9D9"/>
            <w:vAlign w:val="center"/>
          </w:tcPr>
          <w:p w14:paraId="52B0182C">
            <w:pPr>
              <w:spacing w:line="240" w:lineRule="auto"/>
              <w:jc w:val="center"/>
            </w:pPr>
            <w:r>
              <w:rPr>
                <w:rFonts w:ascii="宋体" w:hAnsi="宋体" w:eastAsia="宋体" w:cs="宋体"/>
                <w:b w:val="0"/>
              </w:rPr>
              <w:t>办公地址</w:t>
            </w:r>
          </w:p>
        </w:tc>
      </w:tr>
      <w:tr w14:paraId="2FA4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4CF1B1">
            <w:pPr>
              <w:spacing w:line="240" w:lineRule="auto"/>
              <w:jc w:val="left"/>
            </w:pPr>
            <w:r>
              <w:rPr>
                <w:rFonts w:ascii="宋体" w:hAnsi="宋体" w:eastAsia="宋体" w:cs="宋体"/>
                <w:b w:val="0"/>
              </w:rPr>
              <w:t>金融运营服务机构</w:t>
            </w:r>
          </w:p>
        </w:tc>
        <w:tc>
          <w:tcPr>
            <w:tcW w:w="0" w:type="dxa"/>
            <w:vAlign w:val="center"/>
          </w:tcPr>
          <w:p w14:paraId="3CB97D49">
            <w:pPr>
              <w:spacing w:line="240" w:lineRule="auto"/>
              <w:jc w:val="left"/>
            </w:pPr>
            <w:r>
              <w:rPr>
                <w:rFonts w:ascii="宋体" w:hAnsi="宋体" w:eastAsia="宋体" w:cs="宋体"/>
                <w:b w:val="0"/>
              </w:rPr>
              <w:t>招商证券股份有限公司</w:t>
            </w:r>
          </w:p>
        </w:tc>
        <w:tc>
          <w:tcPr>
            <w:tcW w:w="0" w:type="dxa"/>
            <w:vAlign w:val="center"/>
          </w:tcPr>
          <w:p w14:paraId="1AE34A3C">
            <w:pPr>
              <w:spacing w:line="240" w:lineRule="auto"/>
              <w:jc w:val="left"/>
            </w:pPr>
            <w:r>
              <w:rPr>
                <w:rFonts w:ascii="宋体" w:hAnsi="宋体" w:eastAsia="宋体" w:cs="宋体"/>
                <w:b w:val="0"/>
              </w:rPr>
              <w:t>广东省深圳市福田区福华一路111号招商证券大厦</w:t>
            </w:r>
          </w:p>
        </w:tc>
      </w:tr>
    </w:tbl>
    <w:p w14:paraId="211DE00B">
      <w:pPr>
        <w:pStyle w:val="2"/>
        <w:jc w:val="center"/>
      </w:pPr>
      <w:bookmarkStart w:id="11" w:name="_Toc13042"/>
      <w:r>
        <w:rPr>
          <w:rFonts w:ascii="宋体" w:hAnsi="宋体" w:eastAsia="宋体" w:cs="宋体"/>
        </w:rPr>
        <w:t>§3 主要财务指标和基金净值表现</w:t>
      </w:r>
      <w:bookmarkEnd w:id="11"/>
    </w:p>
    <w:p w14:paraId="660B55EB">
      <w:pPr>
        <w:pStyle w:val="3"/>
        <w:jc w:val="left"/>
      </w:pPr>
      <w:bookmarkStart w:id="12" w:name="_Toc20700"/>
      <w:r>
        <w:rPr>
          <w:rFonts w:ascii="宋体" w:hAnsi="宋体" w:eastAsia="宋体" w:cs="宋体"/>
        </w:rPr>
        <w:t>3.1 主要会计数据和财务指标</w:t>
      </w:r>
      <w:bookmarkEnd w:id="12"/>
    </w:p>
    <w:p w14:paraId="4A6F9CCB">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14:paraId="6CBC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14:paraId="57263742">
            <w:pPr>
              <w:spacing w:line="240" w:lineRule="auto"/>
              <w:jc w:val="left"/>
            </w:pPr>
            <w:r>
              <w:rPr>
                <w:rFonts w:ascii="宋体" w:hAnsi="宋体" w:eastAsia="宋体" w:cs="宋体"/>
                <w:b/>
              </w:rPr>
              <w:t>3.1.1期间数据和指标</w:t>
            </w:r>
          </w:p>
        </w:tc>
        <w:tc>
          <w:tcPr>
            <w:tcW w:w="3077" w:type="pct"/>
            <w:gridSpan w:val="2"/>
            <w:shd w:val="clear" w:color="auto" w:fill="D9D9D9"/>
            <w:vAlign w:val="center"/>
          </w:tcPr>
          <w:p w14:paraId="6592912F">
            <w:pPr>
              <w:spacing w:line="240" w:lineRule="auto"/>
              <w:jc w:val="center"/>
            </w:pPr>
            <w:r>
              <w:rPr>
                <w:rFonts w:ascii="宋体" w:hAnsi="宋体" w:eastAsia="宋体" w:cs="宋体"/>
                <w:b w:val="0"/>
              </w:rPr>
              <w:t>报告期（2026年01月01日-2026年06月30日）</w:t>
            </w:r>
          </w:p>
        </w:tc>
      </w:tr>
      <w:tr w14:paraId="74D2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111F493"/>
        </w:tc>
        <w:tc>
          <w:tcPr>
            <w:tcW w:w="1500" w:type="pct"/>
            <w:shd w:val="clear" w:color="auto" w:fill="D9D9D9"/>
            <w:vAlign w:val="center"/>
          </w:tcPr>
          <w:p w14:paraId="1A9EE211">
            <w:pPr>
              <w:spacing w:line="240" w:lineRule="auto"/>
              <w:jc w:val="center"/>
            </w:pPr>
            <w:r>
              <w:rPr>
                <w:rFonts w:ascii="宋体" w:hAnsi="宋体" w:eastAsia="宋体" w:cs="宋体"/>
                <w:b w:val="0"/>
              </w:rPr>
              <w:t>东方阿尔法科技优选混合发起A</w:t>
            </w:r>
          </w:p>
        </w:tc>
        <w:tc>
          <w:tcPr>
            <w:tcW w:w="1500" w:type="pct"/>
            <w:shd w:val="clear" w:color="auto" w:fill="D9D9D9"/>
            <w:vAlign w:val="center"/>
          </w:tcPr>
          <w:p w14:paraId="7ED7ABD1">
            <w:pPr>
              <w:spacing w:line="240" w:lineRule="auto"/>
              <w:jc w:val="center"/>
            </w:pPr>
            <w:r>
              <w:rPr>
                <w:rFonts w:ascii="宋体" w:hAnsi="宋体" w:eastAsia="宋体" w:cs="宋体"/>
                <w:b w:val="0"/>
              </w:rPr>
              <w:t>东方阿尔法科技优选混合发起C</w:t>
            </w:r>
          </w:p>
        </w:tc>
      </w:tr>
      <w:tr w14:paraId="7C0B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90A90F">
            <w:pPr>
              <w:spacing w:line="240" w:lineRule="auto"/>
              <w:jc w:val="left"/>
            </w:pPr>
            <w:r>
              <w:rPr>
                <w:rFonts w:ascii="宋体" w:hAnsi="宋体" w:eastAsia="宋体" w:cs="宋体"/>
                <w:b w:val="0"/>
              </w:rPr>
              <w:t xml:space="preserve">本期已实现收益 </w:t>
            </w:r>
          </w:p>
        </w:tc>
        <w:tc>
          <w:tcPr>
            <w:tcW w:w="1500" w:type="pct"/>
            <w:vAlign w:val="center"/>
          </w:tcPr>
          <w:p w14:paraId="5CE44F96">
            <w:pPr>
              <w:spacing w:line="240" w:lineRule="auto"/>
              <w:jc w:val="right"/>
            </w:pPr>
            <w:r>
              <w:rPr>
                <w:rFonts w:ascii="宋体" w:hAnsi="宋体" w:eastAsia="宋体" w:cs="宋体"/>
                <w:b w:val="0"/>
              </w:rPr>
              <w:t>5,126,945.11</w:t>
            </w:r>
          </w:p>
        </w:tc>
        <w:tc>
          <w:tcPr>
            <w:tcW w:w="1500" w:type="pct"/>
            <w:vAlign w:val="center"/>
          </w:tcPr>
          <w:p w14:paraId="7F2D8958">
            <w:pPr>
              <w:spacing w:line="240" w:lineRule="auto"/>
              <w:jc w:val="right"/>
            </w:pPr>
            <w:r>
              <w:rPr>
                <w:rFonts w:ascii="宋体" w:hAnsi="宋体" w:eastAsia="宋体" w:cs="宋体"/>
                <w:b w:val="0"/>
              </w:rPr>
              <w:t>25,042,848.29</w:t>
            </w:r>
          </w:p>
        </w:tc>
      </w:tr>
      <w:tr w14:paraId="08C7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63BE45">
            <w:pPr>
              <w:spacing w:line="240" w:lineRule="auto"/>
              <w:jc w:val="left"/>
            </w:pPr>
            <w:r>
              <w:rPr>
                <w:rFonts w:ascii="宋体" w:hAnsi="宋体" w:eastAsia="宋体" w:cs="宋体"/>
                <w:b w:val="0"/>
              </w:rPr>
              <w:t xml:space="preserve">本期利润 </w:t>
            </w:r>
          </w:p>
        </w:tc>
        <w:tc>
          <w:tcPr>
            <w:tcW w:w="1500" w:type="pct"/>
            <w:vAlign w:val="center"/>
          </w:tcPr>
          <w:p w14:paraId="3D421AE4">
            <w:pPr>
              <w:spacing w:line="240" w:lineRule="auto"/>
              <w:jc w:val="right"/>
            </w:pPr>
            <w:r>
              <w:rPr>
                <w:rFonts w:ascii="宋体" w:hAnsi="宋体" w:eastAsia="宋体" w:cs="宋体"/>
                <w:b w:val="0"/>
              </w:rPr>
              <w:t>35,773,222.68</w:t>
            </w:r>
          </w:p>
        </w:tc>
        <w:tc>
          <w:tcPr>
            <w:tcW w:w="1500" w:type="pct"/>
            <w:vAlign w:val="center"/>
          </w:tcPr>
          <w:p w14:paraId="4344C4E9">
            <w:pPr>
              <w:spacing w:line="240" w:lineRule="auto"/>
              <w:jc w:val="right"/>
            </w:pPr>
            <w:r>
              <w:rPr>
                <w:rFonts w:ascii="宋体" w:hAnsi="宋体" w:eastAsia="宋体" w:cs="宋体"/>
                <w:b w:val="0"/>
              </w:rPr>
              <w:t>196,200,323.97</w:t>
            </w:r>
          </w:p>
        </w:tc>
      </w:tr>
      <w:tr w14:paraId="125E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E6F009">
            <w:pPr>
              <w:spacing w:line="240" w:lineRule="auto"/>
              <w:jc w:val="left"/>
            </w:pPr>
            <w:r>
              <w:rPr>
                <w:rFonts w:ascii="宋体" w:hAnsi="宋体" w:eastAsia="宋体" w:cs="宋体"/>
                <w:b w:val="0"/>
              </w:rPr>
              <w:t xml:space="preserve">加权平均基金份额本期利润 </w:t>
            </w:r>
          </w:p>
        </w:tc>
        <w:tc>
          <w:tcPr>
            <w:tcW w:w="1500" w:type="pct"/>
            <w:vAlign w:val="center"/>
          </w:tcPr>
          <w:p w14:paraId="1B885542">
            <w:pPr>
              <w:spacing w:line="240" w:lineRule="auto"/>
              <w:jc w:val="right"/>
            </w:pPr>
            <w:r>
              <w:rPr>
                <w:rFonts w:ascii="宋体" w:hAnsi="宋体" w:eastAsia="宋体" w:cs="宋体"/>
                <w:b w:val="0"/>
              </w:rPr>
              <w:t>1.4813</w:t>
            </w:r>
          </w:p>
        </w:tc>
        <w:tc>
          <w:tcPr>
            <w:tcW w:w="1500" w:type="pct"/>
            <w:vAlign w:val="center"/>
          </w:tcPr>
          <w:p w14:paraId="4296A67E">
            <w:pPr>
              <w:spacing w:line="240" w:lineRule="auto"/>
              <w:jc w:val="right"/>
            </w:pPr>
            <w:r>
              <w:rPr>
                <w:rFonts w:ascii="宋体" w:hAnsi="宋体" w:eastAsia="宋体" w:cs="宋体"/>
                <w:b w:val="0"/>
              </w:rPr>
              <w:t>1.5732</w:t>
            </w:r>
          </w:p>
        </w:tc>
      </w:tr>
      <w:tr w14:paraId="3CEC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AE1F0D">
            <w:pPr>
              <w:spacing w:line="240" w:lineRule="auto"/>
              <w:jc w:val="left"/>
            </w:pPr>
            <w:r>
              <w:rPr>
                <w:rFonts w:ascii="宋体" w:hAnsi="宋体" w:eastAsia="宋体" w:cs="宋体"/>
                <w:b w:val="0"/>
              </w:rPr>
              <w:t>本期加权平均净值利润率</w:t>
            </w:r>
          </w:p>
        </w:tc>
        <w:tc>
          <w:tcPr>
            <w:tcW w:w="1500" w:type="pct"/>
            <w:vAlign w:val="center"/>
          </w:tcPr>
          <w:p w14:paraId="1B9DADD1">
            <w:pPr>
              <w:spacing w:line="240" w:lineRule="auto"/>
              <w:jc w:val="right"/>
            </w:pPr>
            <w:r>
              <w:rPr>
                <w:rFonts w:ascii="宋体" w:hAnsi="宋体" w:eastAsia="宋体" w:cs="宋体"/>
                <w:b w:val="0"/>
              </w:rPr>
              <w:t>110.05%</w:t>
            </w:r>
          </w:p>
        </w:tc>
        <w:tc>
          <w:tcPr>
            <w:tcW w:w="1500" w:type="pct"/>
            <w:vAlign w:val="center"/>
          </w:tcPr>
          <w:p w14:paraId="6D63EF82">
            <w:pPr>
              <w:spacing w:line="240" w:lineRule="auto"/>
              <w:jc w:val="right"/>
            </w:pPr>
            <w:r>
              <w:rPr>
                <w:rFonts w:ascii="宋体" w:hAnsi="宋体" w:eastAsia="宋体" w:cs="宋体"/>
                <w:b w:val="0"/>
              </w:rPr>
              <w:t>114.83%</w:t>
            </w:r>
          </w:p>
        </w:tc>
      </w:tr>
      <w:tr w14:paraId="5D0D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3A15B4">
            <w:pPr>
              <w:spacing w:line="240" w:lineRule="auto"/>
              <w:jc w:val="left"/>
            </w:pPr>
            <w:r>
              <w:rPr>
                <w:rFonts w:ascii="宋体" w:hAnsi="宋体" w:eastAsia="宋体" w:cs="宋体"/>
                <w:b w:val="0"/>
              </w:rPr>
              <w:t>本期基金份额净值增长率</w:t>
            </w:r>
          </w:p>
        </w:tc>
        <w:tc>
          <w:tcPr>
            <w:tcW w:w="1500" w:type="pct"/>
            <w:vAlign w:val="center"/>
          </w:tcPr>
          <w:p w14:paraId="6DAC1034">
            <w:pPr>
              <w:spacing w:line="240" w:lineRule="auto"/>
              <w:jc w:val="right"/>
            </w:pPr>
            <w:r>
              <w:rPr>
                <w:rFonts w:ascii="宋体" w:hAnsi="宋体" w:eastAsia="宋体" w:cs="宋体"/>
                <w:b w:val="0"/>
              </w:rPr>
              <w:t>138.55%</w:t>
            </w:r>
          </w:p>
        </w:tc>
        <w:tc>
          <w:tcPr>
            <w:tcW w:w="1500" w:type="pct"/>
            <w:vAlign w:val="center"/>
          </w:tcPr>
          <w:p w14:paraId="6BFE8D83">
            <w:pPr>
              <w:spacing w:line="240" w:lineRule="auto"/>
              <w:jc w:val="right"/>
            </w:pPr>
            <w:r>
              <w:rPr>
                <w:rFonts w:ascii="宋体" w:hAnsi="宋体" w:eastAsia="宋体" w:cs="宋体"/>
                <w:b w:val="0"/>
              </w:rPr>
              <w:t>138.07%</w:t>
            </w:r>
          </w:p>
        </w:tc>
      </w:tr>
      <w:tr w14:paraId="6750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105A8D1A">
            <w:pPr>
              <w:spacing w:line="240" w:lineRule="auto"/>
              <w:jc w:val="left"/>
            </w:pPr>
            <w:r>
              <w:rPr>
                <w:rFonts w:ascii="宋体" w:hAnsi="宋体" w:eastAsia="宋体" w:cs="宋体"/>
                <w:b/>
              </w:rPr>
              <w:t>3.1.2期末数据和指标</w:t>
            </w:r>
          </w:p>
        </w:tc>
        <w:tc>
          <w:tcPr>
            <w:tcW w:w="0" w:type="dxa"/>
            <w:gridSpan w:val="2"/>
            <w:shd w:val="clear" w:color="auto" w:fill="D9D9D9"/>
            <w:vAlign w:val="center"/>
          </w:tcPr>
          <w:p w14:paraId="56CEB4E0">
            <w:pPr>
              <w:spacing w:line="240" w:lineRule="auto"/>
              <w:jc w:val="center"/>
            </w:pPr>
            <w:r>
              <w:rPr>
                <w:rFonts w:ascii="宋体" w:hAnsi="宋体" w:eastAsia="宋体" w:cs="宋体"/>
                <w:b w:val="0"/>
              </w:rPr>
              <w:t>报告期末（2026年06月30日）</w:t>
            </w:r>
          </w:p>
        </w:tc>
      </w:tr>
      <w:tr w14:paraId="3654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5A5BEC">
            <w:pPr>
              <w:spacing w:line="240" w:lineRule="auto"/>
              <w:jc w:val="left"/>
            </w:pPr>
            <w:r>
              <w:rPr>
                <w:rFonts w:ascii="宋体" w:hAnsi="宋体" w:eastAsia="宋体" w:cs="宋体"/>
                <w:b w:val="0"/>
              </w:rPr>
              <w:t xml:space="preserve">期末可供分配利润 </w:t>
            </w:r>
          </w:p>
        </w:tc>
        <w:tc>
          <w:tcPr>
            <w:tcW w:w="1500" w:type="pct"/>
            <w:vAlign w:val="center"/>
          </w:tcPr>
          <w:p w14:paraId="01887ED4">
            <w:pPr>
              <w:spacing w:line="240" w:lineRule="auto"/>
              <w:jc w:val="right"/>
            </w:pPr>
            <w:r>
              <w:rPr>
                <w:rFonts w:ascii="宋体" w:hAnsi="宋体" w:eastAsia="宋体" w:cs="宋体"/>
                <w:b w:val="0"/>
              </w:rPr>
              <w:t>6,190,218.92</w:t>
            </w:r>
          </w:p>
        </w:tc>
        <w:tc>
          <w:tcPr>
            <w:tcW w:w="1500" w:type="pct"/>
            <w:vAlign w:val="center"/>
          </w:tcPr>
          <w:p w14:paraId="6A5D9ECA">
            <w:pPr>
              <w:spacing w:line="240" w:lineRule="auto"/>
              <w:jc w:val="right"/>
            </w:pPr>
            <w:r>
              <w:rPr>
                <w:rFonts w:ascii="宋体" w:hAnsi="宋体" w:eastAsia="宋体" w:cs="宋体"/>
                <w:b w:val="0"/>
              </w:rPr>
              <w:t>57,528,803.36</w:t>
            </w:r>
          </w:p>
        </w:tc>
      </w:tr>
      <w:tr w14:paraId="5351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8CF5C9">
            <w:pPr>
              <w:spacing w:line="240" w:lineRule="auto"/>
              <w:jc w:val="left"/>
            </w:pPr>
            <w:r>
              <w:rPr>
                <w:rFonts w:ascii="宋体" w:hAnsi="宋体" w:eastAsia="宋体" w:cs="宋体"/>
                <w:b w:val="0"/>
              </w:rPr>
              <w:t>期末可供分配基金份额利润</w:t>
            </w:r>
          </w:p>
        </w:tc>
        <w:tc>
          <w:tcPr>
            <w:tcW w:w="1500" w:type="pct"/>
            <w:vAlign w:val="center"/>
          </w:tcPr>
          <w:p w14:paraId="5C709FA7">
            <w:pPr>
              <w:spacing w:line="240" w:lineRule="auto"/>
              <w:jc w:val="right"/>
            </w:pPr>
            <w:r>
              <w:rPr>
                <w:rFonts w:ascii="宋体" w:hAnsi="宋体" w:eastAsia="宋体" w:cs="宋体"/>
                <w:b w:val="0"/>
              </w:rPr>
              <w:t>0.1720</w:t>
            </w:r>
          </w:p>
        </w:tc>
        <w:tc>
          <w:tcPr>
            <w:tcW w:w="1500" w:type="pct"/>
            <w:vAlign w:val="center"/>
          </w:tcPr>
          <w:p w14:paraId="28310903">
            <w:pPr>
              <w:spacing w:line="240" w:lineRule="auto"/>
              <w:jc w:val="right"/>
            </w:pPr>
            <w:r>
              <w:rPr>
                <w:rFonts w:ascii="宋体" w:hAnsi="宋体" w:eastAsia="宋体" w:cs="宋体"/>
                <w:b w:val="0"/>
              </w:rPr>
              <w:t>0.1666</w:t>
            </w:r>
          </w:p>
        </w:tc>
      </w:tr>
      <w:tr w14:paraId="5C6F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6332EE">
            <w:pPr>
              <w:spacing w:line="240" w:lineRule="auto"/>
              <w:jc w:val="left"/>
            </w:pPr>
            <w:r>
              <w:rPr>
                <w:rFonts w:ascii="宋体" w:hAnsi="宋体" w:eastAsia="宋体" w:cs="宋体"/>
                <w:b w:val="0"/>
              </w:rPr>
              <w:t>期末基金资产净值</w:t>
            </w:r>
          </w:p>
        </w:tc>
        <w:tc>
          <w:tcPr>
            <w:tcW w:w="1500" w:type="pct"/>
            <w:vAlign w:val="center"/>
          </w:tcPr>
          <w:p w14:paraId="5C7CD32D">
            <w:pPr>
              <w:spacing w:line="240" w:lineRule="auto"/>
              <w:jc w:val="right"/>
            </w:pPr>
            <w:r>
              <w:rPr>
                <w:rFonts w:ascii="宋体" w:hAnsi="宋体" w:eastAsia="宋体" w:cs="宋体"/>
                <w:b w:val="0"/>
              </w:rPr>
              <w:t>88,467,411.98</w:t>
            </w:r>
          </w:p>
        </w:tc>
        <w:tc>
          <w:tcPr>
            <w:tcW w:w="1500" w:type="pct"/>
            <w:vAlign w:val="center"/>
          </w:tcPr>
          <w:p w14:paraId="101335A7">
            <w:pPr>
              <w:spacing w:line="240" w:lineRule="auto"/>
              <w:jc w:val="right"/>
            </w:pPr>
            <w:r>
              <w:rPr>
                <w:rFonts w:ascii="宋体" w:hAnsi="宋体" w:eastAsia="宋体" w:cs="宋体"/>
                <w:b w:val="0"/>
              </w:rPr>
              <w:t>845,378,613.82</w:t>
            </w:r>
          </w:p>
        </w:tc>
      </w:tr>
      <w:tr w14:paraId="5297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940EFF">
            <w:pPr>
              <w:spacing w:line="240" w:lineRule="auto"/>
              <w:jc w:val="left"/>
            </w:pPr>
            <w:r>
              <w:rPr>
                <w:rFonts w:ascii="宋体" w:hAnsi="宋体" w:eastAsia="宋体" w:cs="宋体"/>
                <w:b w:val="0"/>
              </w:rPr>
              <w:t>期末基金份额净值</w:t>
            </w:r>
          </w:p>
        </w:tc>
        <w:tc>
          <w:tcPr>
            <w:tcW w:w="1500" w:type="pct"/>
            <w:vAlign w:val="center"/>
          </w:tcPr>
          <w:p w14:paraId="78479229">
            <w:pPr>
              <w:spacing w:line="240" w:lineRule="auto"/>
              <w:jc w:val="right"/>
            </w:pPr>
            <w:r>
              <w:rPr>
                <w:rFonts w:ascii="宋体" w:hAnsi="宋体" w:eastAsia="宋体" w:cs="宋体"/>
                <w:b w:val="0"/>
              </w:rPr>
              <w:t>2.4580</w:t>
            </w:r>
          </w:p>
        </w:tc>
        <w:tc>
          <w:tcPr>
            <w:tcW w:w="1500" w:type="pct"/>
            <w:vAlign w:val="center"/>
          </w:tcPr>
          <w:p w14:paraId="27F5A56F">
            <w:pPr>
              <w:spacing w:line="240" w:lineRule="auto"/>
              <w:jc w:val="right"/>
            </w:pPr>
            <w:r>
              <w:rPr>
                <w:rFonts w:ascii="宋体" w:hAnsi="宋体" w:eastAsia="宋体" w:cs="宋体"/>
                <w:b w:val="0"/>
              </w:rPr>
              <w:t>2.4478</w:t>
            </w:r>
          </w:p>
        </w:tc>
      </w:tr>
      <w:tr w14:paraId="6A09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2E2E8E15">
            <w:pPr>
              <w:spacing w:line="240" w:lineRule="auto"/>
              <w:jc w:val="left"/>
            </w:pPr>
            <w:r>
              <w:rPr>
                <w:rFonts w:ascii="宋体" w:hAnsi="宋体" w:eastAsia="宋体" w:cs="宋体"/>
                <w:b/>
              </w:rPr>
              <w:t>3.1.3累计期末指标</w:t>
            </w:r>
          </w:p>
        </w:tc>
        <w:tc>
          <w:tcPr>
            <w:tcW w:w="0" w:type="dxa"/>
            <w:gridSpan w:val="2"/>
            <w:shd w:val="clear" w:color="auto" w:fill="D9D9D9"/>
            <w:vAlign w:val="center"/>
          </w:tcPr>
          <w:p w14:paraId="79EA6CD5">
            <w:pPr>
              <w:spacing w:line="240" w:lineRule="auto"/>
              <w:jc w:val="center"/>
            </w:pPr>
            <w:r>
              <w:rPr>
                <w:rFonts w:ascii="宋体" w:hAnsi="宋体" w:eastAsia="宋体" w:cs="宋体"/>
                <w:b w:val="0"/>
              </w:rPr>
              <w:t>报告期末（2026年06月30日）</w:t>
            </w:r>
          </w:p>
        </w:tc>
      </w:tr>
      <w:tr w14:paraId="3C27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B05159">
            <w:pPr>
              <w:spacing w:line="240" w:lineRule="auto"/>
              <w:jc w:val="left"/>
            </w:pPr>
            <w:r>
              <w:rPr>
                <w:rFonts w:ascii="宋体" w:hAnsi="宋体" w:eastAsia="宋体" w:cs="宋体"/>
                <w:b w:val="0"/>
              </w:rPr>
              <w:t>基金份额累计净值增长率</w:t>
            </w:r>
          </w:p>
        </w:tc>
        <w:tc>
          <w:tcPr>
            <w:tcW w:w="1500" w:type="pct"/>
            <w:vAlign w:val="center"/>
          </w:tcPr>
          <w:p w14:paraId="5C6FE551">
            <w:pPr>
              <w:spacing w:line="240" w:lineRule="auto"/>
              <w:jc w:val="right"/>
            </w:pPr>
            <w:r>
              <w:rPr>
                <w:rFonts w:ascii="宋体" w:hAnsi="宋体" w:eastAsia="宋体" w:cs="宋体"/>
                <w:b w:val="0"/>
              </w:rPr>
              <w:t>145.80%</w:t>
            </w:r>
          </w:p>
        </w:tc>
        <w:tc>
          <w:tcPr>
            <w:tcW w:w="1500" w:type="pct"/>
            <w:vAlign w:val="center"/>
          </w:tcPr>
          <w:p w14:paraId="07B36108">
            <w:pPr>
              <w:spacing w:line="240" w:lineRule="auto"/>
              <w:jc w:val="right"/>
            </w:pPr>
            <w:r>
              <w:rPr>
                <w:rFonts w:ascii="宋体" w:hAnsi="宋体" w:eastAsia="宋体" w:cs="宋体"/>
                <w:b w:val="0"/>
              </w:rPr>
              <w:t>144.78%</w:t>
            </w:r>
          </w:p>
        </w:tc>
      </w:tr>
    </w:tbl>
    <w:p w14:paraId="46E9A828">
      <w:r>
        <w:rPr>
          <w:rFonts w:ascii="宋体" w:hAnsi="宋体" w:eastAsia="宋体" w:cs="宋体"/>
          <w:b w:val="0"/>
        </w:rPr>
        <w:t>注：1.本期已实现收益指基金本期利息收入、投资收益、其他收入(不含公允价值变动收益)扣除相关费用和信用减值损失后的余额,本期利润为本期已实现收益加上本期公允价值变动收益。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2.期末可供分配利润，采用期末资产负债表中未分配利润与未分配利润中已实现部分的孰低数（为期末余额，不是当期发生数）。</w:t>
      </w:r>
      <w:r>
        <w:rPr>
          <w:rFonts w:ascii="宋体" w:hAnsi="宋体" w:eastAsia="宋体" w:cs="宋体"/>
          <w:b w:val="0"/>
        </w:rPr>
        <w:br w:type="textWrapping"/>
      </w:r>
      <w:r>
        <w:rPr>
          <w:rFonts w:ascii="宋体" w:hAnsi="宋体" w:eastAsia="宋体" w:cs="宋体"/>
          <w:b w:val="0"/>
        </w:rPr>
        <w:t>3.所述基金业绩指标不包括持有人认购或交易基金的各项费用，计入费用后实际收益水平要低于所列数字。</w:t>
      </w:r>
    </w:p>
    <w:p w14:paraId="5679AEA7"/>
    <w:p w14:paraId="1A19E5A3">
      <w:pPr>
        <w:pStyle w:val="3"/>
        <w:jc w:val="left"/>
      </w:pPr>
      <w:bookmarkStart w:id="13" w:name="_Toc20121"/>
      <w:r>
        <w:rPr>
          <w:rFonts w:ascii="宋体" w:hAnsi="宋体" w:eastAsia="宋体" w:cs="宋体"/>
        </w:rPr>
        <w:t>3.2 基金净值表现</w:t>
      </w:r>
      <w:bookmarkEnd w:id="13"/>
    </w:p>
    <w:p w14:paraId="3814C5A0">
      <w:pPr>
        <w:pStyle w:val="58"/>
      </w:pPr>
      <w:r>
        <w:rPr>
          <w:rFonts w:ascii="宋体" w:hAnsi="宋体" w:eastAsia="宋体" w:cs="宋体"/>
          <w:b/>
        </w:rPr>
        <w:t>3.2.1 基金份额净值增长率及其与同期业绩比较基准收益率的比较</w:t>
      </w:r>
    </w:p>
    <w:p w14:paraId="277EE1E4">
      <w:pPr>
        <w:jc w:val="left"/>
      </w:pPr>
      <w:r>
        <w:rPr>
          <w:rFonts w:ascii="宋体" w:hAnsi="宋体" w:eastAsia="宋体" w:cs="宋体"/>
          <w:b/>
        </w:rPr>
        <w:t>东方阿尔法科技优选混合发起A净值表现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14:paraId="6F59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14:paraId="66A8E32D">
            <w:pPr>
              <w:spacing w:line="240" w:lineRule="auto"/>
              <w:jc w:val="center"/>
            </w:pPr>
            <w:r>
              <w:rPr>
                <w:rFonts w:ascii="宋体" w:hAnsi="宋体" w:eastAsia="宋体" w:cs="宋体"/>
                <w:b w:val="0"/>
              </w:rPr>
              <w:t>阶段</w:t>
            </w:r>
          </w:p>
        </w:tc>
        <w:tc>
          <w:tcPr>
            <w:tcW w:w="692" w:type="pct"/>
            <w:shd w:val="clear" w:color="auto" w:fill="D9D9D9"/>
            <w:vAlign w:val="center"/>
          </w:tcPr>
          <w:p w14:paraId="5426CAD6">
            <w:pPr>
              <w:spacing w:line="240" w:lineRule="auto"/>
              <w:jc w:val="center"/>
            </w:pPr>
            <w:r>
              <w:rPr>
                <w:rFonts w:ascii="宋体" w:hAnsi="宋体" w:eastAsia="宋体" w:cs="宋体"/>
                <w:b w:val="0"/>
              </w:rPr>
              <w:t>份额净值增长率①</w:t>
            </w:r>
          </w:p>
        </w:tc>
        <w:tc>
          <w:tcPr>
            <w:tcW w:w="692" w:type="pct"/>
            <w:shd w:val="clear" w:color="auto" w:fill="D9D9D9"/>
            <w:vAlign w:val="center"/>
          </w:tcPr>
          <w:p w14:paraId="01C7CF7E">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14:paraId="7E07D2A7">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14:paraId="792A2933">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14:paraId="3C0BA78B">
            <w:pPr>
              <w:spacing w:line="240" w:lineRule="auto"/>
              <w:jc w:val="center"/>
            </w:pPr>
            <w:r>
              <w:rPr>
                <w:rFonts w:ascii="宋体" w:hAnsi="宋体" w:eastAsia="宋体" w:cs="宋体"/>
                <w:b w:val="0"/>
              </w:rPr>
              <w:t>①－③</w:t>
            </w:r>
          </w:p>
        </w:tc>
        <w:tc>
          <w:tcPr>
            <w:tcW w:w="692" w:type="pct"/>
            <w:shd w:val="clear" w:color="auto" w:fill="D9D9D9"/>
            <w:vAlign w:val="center"/>
          </w:tcPr>
          <w:p w14:paraId="33BD767D">
            <w:pPr>
              <w:spacing w:line="240" w:lineRule="auto"/>
              <w:jc w:val="center"/>
            </w:pPr>
            <w:r>
              <w:rPr>
                <w:rFonts w:ascii="宋体" w:hAnsi="宋体" w:eastAsia="宋体" w:cs="宋体"/>
                <w:b w:val="0"/>
              </w:rPr>
              <w:t>②－④</w:t>
            </w:r>
          </w:p>
        </w:tc>
      </w:tr>
      <w:tr w14:paraId="3E34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4CADF7">
            <w:pPr>
              <w:spacing w:line="240" w:lineRule="auto"/>
              <w:jc w:val="left"/>
            </w:pPr>
            <w:r>
              <w:rPr>
                <w:rFonts w:ascii="宋体" w:hAnsi="宋体" w:eastAsia="宋体" w:cs="宋体"/>
                <w:b w:val="0"/>
              </w:rPr>
              <w:t>过去三个月</w:t>
            </w:r>
          </w:p>
        </w:tc>
        <w:tc>
          <w:tcPr>
            <w:tcW w:w="0" w:type="dxa"/>
            <w:vAlign w:val="center"/>
          </w:tcPr>
          <w:p w14:paraId="75F5B15A">
            <w:pPr>
              <w:spacing w:line="240" w:lineRule="auto"/>
              <w:jc w:val="right"/>
            </w:pPr>
            <w:r>
              <w:rPr>
                <w:rFonts w:ascii="宋体" w:hAnsi="宋体" w:eastAsia="宋体" w:cs="宋体"/>
                <w:b w:val="0"/>
              </w:rPr>
              <w:t>135.58%</w:t>
            </w:r>
          </w:p>
        </w:tc>
        <w:tc>
          <w:tcPr>
            <w:tcW w:w="0" w:type="dxa"/>
            <w:vAlign w:val="center"/>
          </w:tcPr>
          <w:p w14:paraId="27A6393D">
            <w:pPr>
              <w:spacing w:line="240" w:lineRule="auto"/>
              <w:jc w:val="right"/>
            </w:pPr>
            <w:r>
              <w:rPr>
                <w:rFonts w:ascii="宋体" w:hAnsi="宋体" w:eastAsia="宋体" w:cs="宋体"/>
                <w:b w:val="0"/>
              </w:rPr>
              <w:t>3.52%</w:t>
            </w:r>
          </w:p>
        </w:tc>
        <w:tc>
          <w:tcPr>
            <w:tcW w:w="0" w:type="dxa"/>
            <w:vAlign w:val="center"/>
          </w:tcPr>
          <w:p w14:paraId="3D4A1CAD">
            <w:pPr>
              <w:spacing w:line="240" w:lineRule="auto"/>
              <w:jc w:val="right"/>
            </w:pPr>
            <w:r>
              <w:rPr>
                <w:rFonts w:ascii="宋体" w:hAnsi="宋体" w:eastAsia="宋体" w:cs="宋体"/>
                <w:b w:val="0"/>
              </w:rPr>
              <w:t>40.40%</w:t>
            </w:r>
          </w:p>
        </w:tc>
        <w:tc>
          <w:tcPr>
            <w:tcW w:w="0" w:type="dxa"/>
            <w:vAlign w:val="center"/>
          </w:tcPr>
          <w:p w14:paraId="2AE7F3F9">
            <w:pPr>
              <w:spacing w:line="240" w:lineRule="auto"/>
              <w:jc w:val="right"/>
            </w:pPr>
            <w:r>
              <w:rPr>
                <w:rFonts w:ascii="宋体" w:hAnsi="宋体" w:eastAsia="宋体" w:cs="宋体"/>
                <w:b w:val="0"/>
              </w:rPr>
              <w:t>1.80%</w:t>
            </w:r>
          </w:p>
        </w:tc>
        <w:tc>
          <w:tcPr>
            <w:tcW w:w="0" w:type="dxa"/>
            <w:vAlign w:val="center"/>
          </w:tcPr>
          <w:p w14:paraId="4CE805CF">
            <w:pPr>
              <w:spacing w:line="240" w:lineRule="auto"/>
              <w:jc w:val="right"/>
            </w:pPr>
            <w:r>
              <w:rPr>
                <w:rFonts w:ascii="宋体" w:hAnsi="宋体" w:eastAsia="宋体" w:cs="宋体"/>
                <w:b w:val="0"/>
              </w:rPr>
              <w:t>95.18%</w:t>
            </w:r>
          </w:p>
        </w:tc>
        <w:tc>
          <w:tcPr>
            <w:tcW w:w="0" w:type="dxa"/>
            <w:vAlign w:val="center"/>
          </w:tcPr>
          <w:p w14:paraId="76F59791">
            <w:pPr>
              <w:spacing w:line="240" w:lineRule="auto"/>
              <w:jc w:val="right"/>
            </w:pPr>
            <w:r>
              <w:rPr>
                <w:rFonts w:ascii="宋体" w:hAnsi="宋体" w:eastAsia="宋体" w:cs="宋体"/>
                <w:b w:val="0"/>
              </w:rPr>
              <w:t>1.72%</w:t>
            </w:r>
          </w:p>
        </w:tc>
      </w:tr>
      <w:tr w14:paraId="3634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915C9B">
            <w:pPr>
              <w:spacing w:line="240" w:lineRule="auto"/>
              <w:jc w:val="left"/>
            </w:pPr>
            <w:r>
              <w:rPr>
                <w:rFonts w:ascii="宋体" w:hAnsi="宋体" w:eastAsia="宋体" w:cs="宋体"/>
                <w:b w:val="0"/>
              </w:rPr>
              <w:t>过去六个月</w:t>
            </w:r>
          </w:p>
        </w:tc>
        <w:tc>
          <w:tcPr>
            <w:tcW w:w="0" w:type="dxa"/>
            <w:vAlign w:val="center"/>
          </w:tcPr>
          <w:p w14:paraId="36371CED">
            <w:pPr>
              <w:spacing w:line="240" w:lineRule="auto"/>
              <w:jc w:val="right"/>
            </w:pPr>
            <w:r>
              <w:rPr>
                <w:rFonts w:ascii="宋体" w:hAnsi="宋体" w:eastAsia="宋体" w:cs="宋体"/>
                <w:b w:val="0"/>
              </w:rPr>
              <w:t>138.55%</w:t>
            </w:r>
          </w:p>
        </w:tc>
        <w:tc>
          <w:tcPr>
            <w:tcW w:w="0" w:type="dxa"/>
            <w:vAlign w:val="center"/>
          </w:tcPr>
          <w:p w14:paraId="7C41F227">
            <w:pPr>
              <w:spacing w:line="240" w:lineRule="auto"/>
              <w:jc w:val="right"/>
            </w:pPr>
            <w:r>
              <w:rPr>
                <w:rFonts w:ascii="宋体" w:hAnsi="宋体" w:eastAsia="宋体" w:cs="宋体"/>
                <w:b w:val="0"/>
              </w:rPr>
              <w:t>3.32%</w:t>
            </w:r>
          </w:p>
        </w:tc>
        <w:tc>
          <w:tcPr>
            <w:tcW w:w="0" w:type="dxa"/>
            <w:vAlign w:val="center"/>
          </w:tcPr>
          <w:p w14:paraId="30E16096">
            <w:pPr>
              <w:spacing w:line="240" w:lineRule="auto"/>
              <w:jc w:val="right"/>
            </w:pPr>
            <w:r>
              <w:rPr>
                <w:rFonts w:ascii="宋体" w:hAnsi="宋体" w:eastAsia="宋体" w:cs="宋体"/>
                <w:b w:val="0"/>
              </w:rPr>
              <w:t>34.06%</w:t>
            </w:r>
          </w:p>
        </w:tc>
        <w:tc>
          <w:tcPr>
            <w:tcW w:w="0" w:type="dxa"/>
            <w:vAlign w:val="center"/>
          </w:tcPr>
          <w:p w14:paraId="5349AC71">
            <w:pPr>
              <w:spacing w:line="240" w:lineRule="auto"/>
              <w:jc w:val="right"/>
            </w:pPr>
            <w:r>
              <w:rPr>
                <w:rFonts w:ascii="宋体" w:hAnsi="宋体" w:eastAsia="宋体" w:cs="宋体"/>
                <w:b w:val="0"/>
              </w:rPr>
              <w:t>1.57%</w:t>
            </w:r>
          </w:p>
        </w:tc>
        <w:tc>
          <w:tcPr>
            <w:tcW w:w="0" w:type="dxa"/>
            <w:vAlign w:val="center"/>
          </w:tcPr>
          <w:p w14:paraId="66294168">
            <w:pPr>
              <w:spacing w:line="240" w:lineRule="auto"/>
              <w:jc w:val="right"/>
            </w:pPr>
            <w:r>
              <w:rPr>
                <w:rFonts w:ascii="宋体" w:hAnsi="宋体" w:eastAsia="宋体" w:cs="宋体"/>
                <w:b w:val="0"/>
              </w:rPr>
              <w:t>104.49%</w:t>
            </w:r>
          </w:p>
        </w:tc>
        <w:tc>
          <w:tcPr>
            <w:tcW w:w="0" w:type="dxa"/>
            <w:vAlign w:val="center"/>
          </w:tcPr>
          <w:p w14:paraId="24C0B8D0">
            <w:pPr>
              <w:spacing w:line="240" w:lineRule="auto"/>
              <w:jc w:val="right"/>
            </w:pPr>
            <w:r>
              <w:rPr>
                <w:rFonts w:ascii="宋体" w:hAnsi="宋体" w:eastAsia="宋体" w:cs="宋体"/>
                <w:b w:val="0"/>
              </w:rPr>
              <w:t>1.75%</w:t>
            </w:r>
          </w:p>
        </w:tc>
      </w:tr>
      <w:tr w14:paraId="12F4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A40F00">
            <w:pPr>
              <w:spacing w:line="240" w:lineRule="auto"/>
              <w:jc w:val="left"/>
            </w:pPr>
            <w:r>
              <w:rPr>
                <w:rFonts w:ascii="宋体" w:hAnsi="宋体" w:eastAsia="宋体" w:cs="宋体"/>
                <w:b w:val="0"/>
              </w:rPr>
              <w:t>过去一年</w:t>
            </w:r>
          </w:p>
        </w:tc>
        <w:tc>
          <w:tcPr>
            <w:tcW w:w="0" w:type="dxa"/>
            <w:vAlign w:val="center"/>
          </w:tcPr>
          <w:p w14:paraId="79903055">
            <w:pPr>
              <w:spacing w:line="240" w:lineRule="auto"/>
              <w:jc w:val="right"/>
            </w:pPr>
            <w:r>
              <w:rPr>
                <w:rFonts w:ascii="宋体" w:hAnsi="宋体" w:eastAsia="宋体" w:cs="宋体"/>
                <w:b w:val="0"/>
              </w:rPr>
              <w:t>147.53%</w:t>
            </w:r>
          </w:p>
        </w:tc>
        <w:tc>
          <w:tcPr>
            <w:tcW w:w="0" w:type="dxa"/>
            <w:vAlign w:val="center"/>
          </w:tcPr>
          <w:p w14:paraId="2E6CADA6">
            <w:pPr>
              <w:spacing w:line="240" w:lineRule="auto"/>
              <w:jc w:val="right"/>
            </w:pPr>
            <w:r>
              <w:rPr>
                <w:rFonts w:ascii="宋体" w:hAnsi="宋体" w:eastAsia="宋体" w:cs="宋体"/>
                <w:b w:val="0"/>
              </w:rPr>
              <w:t>2.70%</w:t>
            </w:r>
          </w:p>
        </w:tc>
        <w:tc>
          <w:tcPr>
            <w:tcW w:w="0" w:type="dxa"/>
            <w:vAlign w:val="center"/>
          </w:tcPr>
          <w:p w14:paraId="499E4A97">
            <w:pPr>
              <w:spacing w:line="240" w:lineRule="auto"/>
              <w:jc w:val="right"/>
            </w:pPr>
            <w:r>
              <w:rPr>
                <w:rFonts w:ascii="宋体" w:hAnsi="宋体" w:eastAsia="宋体" w:cs="宋体"/>
                <w:b w:val="0"/>
              </w:rPr>
              <w:t>78.25%</w:t>
            </w:r>
          </w:p>
        </w:tc>
        <w:tc>
          <w:tcPr>
            <w:tcW w:w="0" w:type="dxa"/>
            <w:vAlign w:val="center"/>
          </w:tcPr>
          <w:p w14:paraId="391DA8B2">
            <w:pPr>
              <w:spacing w:line="240" w:lineRule="auto"/>
              <w:jc w:val="right"/>
            </w:pPr>
            <w:r>
              <w:rPr>
                <w:rFonts w:ascii="宋体" w:hAnsi="宋体" w:eastAsia="宋体" w:cs="宋体"/>
                <w:b w:val="0"/>
              </w:rPr>
              <w:t>1.53%</w:t>
            </w:r>
          </w:p>
        </w:tc>
        <w:tc>
          <w:tcPr>
            <w:tcW w:w="0" w:type="dxa"/>
            <w:vAlign w:val="center"/>
          </w:tcPr>
          <w:p w14:paraId="60D22085">
            <w:pPr>
              <w:spacing w:line="240" w:lineRule="auto"/>
              <w:jc w:val="right"/>
            </w:pPr>
            <w:r>
              <w:rPr>
                <w:rFonts w:ascii="宋体" w:hAnsi="宋体" w:eastAsia="宋体" w:cs="宋体"/>
                <w:b w:val="0"/>
              </w:rPr>
              <w:t>69.28%</w:t>
            </w:r>
          </w:p>
        </w:tc>
        <w:tc>
          <w:tcPr>
            <w:tcW w:w="0" w:type="dxa"/>
            <w:vAlign w:val="center"/>
          </w:tcPr>
          <w:p w14:paraId="5D95D083">
            <w:pPr>
              <w:spacing w:line="240" w:lineRule="auto"/>
              <w:jc w:val="right"/>
            </w:pPr>
            <w:r>
              <w:rPr>
                <w:rFonts w:ascii="宋体" w:hAnsi="宋体" w:eastAsia="宋体" w:cs="宋体"/>
                <w:b w:val="0"/>
              </w:rPr>
              <w:t>1.17%</w:t>
            </w:r>
          </w:p>
        </w:tc>
      </w:tr>
      <w:tr w14:paraId="6D65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50B716">
            <w:pPr>
              <w:spacing w:line="240" w:lineRule="auto"/>
              <w:jc w:val="left"/>
            </w:pPr>
            <w:r>
              <w:rPr>
                <w:rFonts w:ascii="宋体" w:hAnsi="宋体" w:eastAsia="宋体" w:cs="宋体"/>
                <w:b w:val="0"/>
              </w:rPr>
              <w:t>自基金合同生效起至今</w:t>
            </w:r>
          </w:p>
        </w:tc>
        <w:tc>
          <w:tcPr>
            <w:tcW w:w="0" w:type="dxa"/>
            <w:vAlign w:val="center"/>
          </w:tcPr>
          <w:p w14:paraId="4E252C04">
            <w:pPr>
              <w:spacing w:line="240" w:lineRule="auto"/>
              <w:jc w:val="right"/>
            </w:pPr>
            <w:r>
              <w:rPr>
                <w:rFonts w:ascii="宋体" w:hAnsi="宋体" w:eastAsia="宋体" w:cs="宋体"/>
                <w:b w:val="0"/>
              </w:rPr>
              <w:t>145.80%</w:t>
            </w:r>
          </w:p>
        </w:tc>
        <w:tc>
          <w:tcPr>
            <w:tcW w:w="0" w:type="dxa"/>
            <w:vAlign w:val="center"/>
          </w:tcPr>
          <w:p w14:paraId="4E101DF7">
            <w:pPr>
              <w:spacing w:line="240" w:lineRule="auto"/>
              <w:jc w:val="right"/>
            </w:pPr>
            <w:r>
              <w:rPr>
                <w:rFonts w:ascii="宋体" w:hAnsi="宋体" w:eastAsia="宋体" w:cs="宋体"/>
                <w:b w:val="0"/>
              </w:rPr>
              <w:t>2.63%</w:t>
            </w:r>
          </w:p>
        </w:tc>
        <w:tc>
          <w:tcPr>
            <w:tcW w:w="0" w:type="dxa"/>
            <w:vAlign w:val="center"/>
          </w:tcPr>
          <w:p w14:paraId="432D7465">
            <w:pPr>
              <w:spacing w:line="240" w:lineRule="auto"/>
              <w:jc w:val="right"/>
            </w:pPr>
            <w:r>
              <w:rPr>
                <w:rFonts w:ascii="宋体" w:hAnsi="宋体" w:eastAsia="宋体" w:cs="宋体"/>
                <w:b w:val="0"/>
              </w:rPr>
              <w:t>85.28%</w:t>
            </w:r>
          </w:p>
        </w:tc>
        <w:tc>
          <w:tcPr>
            <w:tcW w:w="0" w:type="dxa"/>
            <w:vAlign w:val="center"/>
          </w:tcPr>
          <w:p w14:paraId="50E6F5E9">
            <w:pPr>
              <w:spacing w:line="240" w:lineRule="auto"/>
              <w:jc w:val="right"/>
            </w:pPr>
            <w:r>
              <w:rPr>
                <w:rFonts w:ascii="宋体" w:hAnsi="宋体" w:eastAsia="宋体" w:cs="宋体"/>
                <w:b w:val="0"/>
              </w:rPr>
              <w:t>1.50%</w:t>
            </w:r>
          </w:p>
        </w:tc>
        <w:tc>
          <w:tcPr>
            <w:tcW w:w="0" w:type="dxa"/>
            <w:vAlign w:val="center"/>
          </w:tcPr>
          <w:p w14:paraId="288A8DC8">
            <w:pPr>
              <w:spacing w:line="240" w:lineRule="auto"/>
              <w:jc w:val="right"/>
            </w:pPr>
            <w:r>
              <w:rPr>
                <w:rFonts w:ascii="宋体" w:hAnsi="宋体" w:eastAsia="宋体" w:cs="宋体"/>
                <w:b w:val="0"/>
              </w:rPr>
              <w:t>60.52%</w:t>
            </w:r>
          </w:p>
        </w:tc>
        <w:tc>
          <w:tcPr>
            <w:tcW w:w="0" w:type="dxa"/>
            <w:vAlign w:val="center"/>
          </w:tcPr>
          <w:p w14:paraId="56818AEA">
            <w:pPr>
              <w:spacing w:line="240" w:lineRule="auto"/>
              <w:jc w:val="right"/>
            </w:pPr>
            <w:r>
              <w:rPr>
                <w:rFonts w:ascii="宋体" w:hAnsi="宋体" w:eastAsia="宋体" w:cs="宋体"/>
                <w:b w:val="0"/>
              </w:rPr>
              <w:t>1.13%</w:t>
            </w:r>
          </w:p>
        </w:tc>
      </w:tr>
    </w:tbl>
    <w:p w14:paraId="6AA72AEF">
      <w:pPr>
        <w:jc w:val="left"/>
      </w:pPr>
      <w:r>
        <w:rPr>
          <w:rFonts w:ascii="宋体" w:hAnsi="宋体" w:eastAsia="宋体" w:cs="宋体"/>
          <w:b/>
        </w:rPr>
        <w:t>东方阿尔法科技优选混合发起C净值表现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14:paraId="54EB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14:paraId="43253F57">
            <w:pPr>
              <w:spacing w:line="240" w:lineRule="auto"/>
              <w:jc w:val="center"/>
            </w:pPr>
            <w:r>
              <w:rPr>
                <w:rFonts w:ascii="宋体" w:hAnsi="宋体" w:eastAsia="宋体" w:cs="宋体"/>
                <w:b w:val="0"/>
              </w:rPr>
              <w:t>阶段</w:t>
            </w:r>
          </w:p>
        </w:tc>
        <w:tc>
          <w:tcPr>
            <w:tcW w:w="692" w:type="pct"/>
            <w:shd w:val="clear" w:color="auto" w:fill="D9D9D9"/>
            <w:vAlign w:val="center"/>
          </w:tcPr>
          <w:p w14:paraId="0BC81AB7">
            <w:pPr>
              <w:spacing w:line="240" w:lineRule="auto"/>
              <w:jc w:val="center"/>
            </w:pPr>
            <w:r>
              <w:rPr>
                <w:rFonts w:ascii="宋体" w:hAnsi="宋体" w:eastAsia="宋体" w:cs="宋体"/>
                <w:b w:val="0"/>
              </w:rPr>
              <w:t>份额净值增长率①</w:t>
            </w:r>
          </w:p>
        </w:tc>
        <w:tc>
          <w:tcPr>
            <w:tcW w:w="692" w:type="pct"/>
            <w:shd w:val="clear" w:color="auto" w:fill="D9D9D9"/>
            <w:vAlign w:val="center"/>
          </w:tcPr>
          <w:p w14:paraId="0610A26F">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14:paraId="2CDD9CD9">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14:paraId="2685F157">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14:paraId="4C744755">
            <w:pPr>
              <w:spacing w:line="240" w:lineRule="auto"/>
              <w:jc w:val="center"/>
            </w:pPr>
            <w:r>
              <w:rPr>
                <w:rFonts w:ascii="宋体" w:hAnsi="宋体" w:eastAsia="宋体" w:cs="宋体"/>
                <w:b w:val="0"/>
              </w:rPr>
              <w:t>①－③</w:t>
            </w:r>
          </w:p>
        </w:tc>
        <w:tc>
          <w:tcPr>
            <w:tcW w:w="692" w:type="pct"/>
            <w:shd w:val="clear" w:color="auto" w:fill="D9D9D9"/>
            <w:vAlign w:val="center"/>
          </w:tcPr>
          <w:p w14:paraId="4396B109">
            <w:pPr>
              <w:spacing w:line="240" w:lineRule="auto"/>
              <w:jc w:val="center"/>
            </w:pPr>
            <w:r>
              <w:rPr>
                <w:rFonts w:ascii="宋体" w:hAnsi="宋体" w:eastAsia="宋体" w:cs="宋体"/>
                <w:b w:val="0"/>
              </w:rPr>
              <w:t>②－④</w:t>
            </w:r>
          </w:p>
        </w:tc>
      </w:tr>
      <w:tr w14:paraId="4EA4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56493B">
            <w:pPr>
              <w:spacing w:line="240" w:lineRule="auto"/>
              <w:jc w:val="left"/>
            </w:pPr>
            <w:r>
              <w:rPr>
                <w:rFonts w:ascii="宋体" w:hAnsi="宋体" w:eastAsia="宋体" w:cs="宋体"/>
                <w:b w:val="0"/>
              </w:rPr>
              <w:t>过去三个月</w:t>
            </w:r>
          </w:p>
        </w:tc>
        <w:tc>
          <w:tcPr>
            <w:tcW w:w="0" w:type="dxa"/>
            <w:vAlign w:val="center"/>
          </w:tcPr>
          <w:p w14:paraId="01556DCE">
            <w:pPr>
              <w:spacing w:line="240" w:lineRule="auto"/>
              <w:jc w:val="right"/>
            </w:pPr>
            <w:r>
              <w:rPr>
                <w:rFonts w:ascii="宋体" w:hAnsi="宋体" w:eastAsia="宋体" w:cs="宋体"/>
                <w:b w:val="0"/>
              </w:rPr>
              <w:t>135.37%</w:t>
            </w:r>
          </w:p>
        </w:tc>
        <w:tc>
          <w:tcPr>
            <w:tcW w:w="0" w:type="dxa"/>
            <w:vAlign w:val="center"/>
          </w:tcPr>
          <w:p w14:paraId="785C6BE0">
            <w:pPr>
              <w:spacing w:line="240" w:lineRule="auto"/>
              <w:jc w:val="right"/>
            </w:pPr>
            <w:r>
              <w:rPr>
                <w:rFonts w:ascii="宋体" w:hAnsi="宋体" w:eastAsia="宋体" w:cs="宋体"/>
                <w:b w:val="0"/>
              </w:rPr>
              <w:t>3.52%</w:t>
            </w:r>
          </w:p>
        </w:tc>
        <w:tc>
          <w:tcPr>
            <w:tcW w:w="0" w:type="dxa"/>
            <w:vAlign w:val="center"/>
          </w:tcPr>
          <w:p w14:paraId="53652BA8">
            <w:pPr>
              <w:spacing w:line="240" w:lineRule="auto"/>
              <w:jc w:val="right"/>
            </w:pPr>
            <w:r>
              <w:rPr>
                <w:rFonts w:ascii="宋体" w:hAnsi="宋体" w:eastAsia="宋体" w:cs="宋体"/>
                <w:b w:val="0"/>
              </w:rPr>
              <w:t>40.40%</w:t>
            </w:r>
          </w:p>
        </w:tc>
        <w:tc>
          <w:tcPr>
            <w:tcW w:w="0" w:type="dxa"/>
            <w:vAlign w:val="center"/>
          </w:tcPr>
          <w:p w14:paraId="20B0F0E2">
            <w:pPr>
              <w:spacing w:line="240" w:lineRule="auto"/>
              <w:jc w:val="right"/>
            </w:pPr>
            <w:r>
              <w:rPr>
                <w:rFonts w:ascii="宋体" w:hAnsi="宋体" w:eastAsia="宋体" w:cs="宋体"/>
                <w:b w:val="0"/>
              </w:rPr>
              <w:t>1.80%</w:t>
            </w:r>
          </w:p>
        </w:tc>
        <w:tc>
          <w:tcPr>
            <w:tcW w:w="0" w:type="dxa"/>
            <w:vAlign w:val="center"/>
          </w:tcPr>
          <w:p w14:paraId="5E388B2B">
            <w:pPr>
              <w:spacing w:line="240" w:lineRule="auto"/>
              <w:jc w:val="right"/>
            </w:pPr>
            <w:r>
              <w:rPr>
                <w:rFonts w:ascii="宋体" w:hAnsi="宋体" w:eastAsia="宋体" w:cs="宋体"/>
                <w:b w:val="0"/>
              </w:rPr>
              <w:t>94.97%</w:t>
            </w:r>
          </w:p>
        </w:tc>
        <w:tc>
          <w:tcPr>
            <w:tcW w:w="0" w:type="dxa"/>
            <w:vAlign w:val="center"/>
          </w:tcPr>
          <w:p w14:paraId="5E7EE65B">
            <w:pPr>
              <w:spacing w:line="240" w:lineRule="auto"/>
              <w:jc w:val="right"/>
            </w:pPr>
            <w:r>
              <w:rPr>
                <w:rFonts w:ascii="宋体" w:hAnsi="宋体" w:eastAsia="宋体" w:cs="宋体"/>
                <w:b w:val="0"/>
              </w:rPr>
              <w:t>1.72%</w:t>
            </w:r>
          </w:p>
        </w:tc>
      </w:tr>
      <w:tr w14:paraId="75ED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8FC77B">
            <w:pPr>
              <w:spacing w:line="240" w:lineRule="auto"/>
              <w:jc w:val="left"/>
            </w:pPr>
            <w:r>
              <w:rPr>
                <w:rFonts w:ascii="宋体" w:hAnsi="宋体" w:eastAsia="宋体" w:cs="宋体"/>
                <w:b w:val="0"/>
              </w:rPr>
              <w:t>过去六个月</w:t>
            </w:r>
          </w:p>
        </w:tc>
        <w:tc>
          <w:tcPr>
            <w:tcW w:w="0" w:type="dxa"/>
            <w:vAlign w:val="center"/>
          </w:tcPr>
          <w:p w14:paraId="0AE1823A">
            <w:pPr>
              <w:spacing w:line="240" w:lineRule="auto"/>
              <w:jc w:val="right"/>
            </w:pPr>
            <w:r>
              <w:rPr>
                <w:rFonts w:ascii="宋体" w:hAnsi="宋体" w:eastAsia="宋体" w:cs="宋体"/>
                <w:b w:val="0"/>
              </w:rPr>
              <w:t>138.07%</w:t>
            </w:r>
          </w:p>
        </w:tc>
        <w:tc>
          <w:tcPr>
            <w:tcW w:w="0" w:type="dxa"/>
            <w:vAlign w:val="center"/>
          </w:tcPr>
          <w:p w14:paraId="2FEA4A61">
            <w:pPr>
              <w:spacing w:line="240" w:lineRule="auto"/>
              <w:jc w:val="right"/>
            </w:pPr>
            <w:r>
              <w:rPr>
                <w:rFonts w:ascii="宋体" w:hAnsi="宋体" w:eastAsia="宋体" w:cs="宋体"/>
                <w:b w:val="0"/>
              </w:rPr>
              <w:t>3.33%</w:t>
            </w:r>
          </w:p>
        </w:tc>
        <w:tc>
          <w:tcPr>
            <w:tcW w:w="0" w:type="dxa"/>
            <w:vAlign w:val="center"/>
          </w:tcPr>
          <w:p w14:paraId="61282FB9">
            <w:pPr>
              <w:spacing w:line="240" w:lineRule="auto"/>
              <w:jc w:val="right"/>
            </w:pPr>
            <w:r>
              <w:rPr>
                <w:rFonts w:ascii="宋体" w:hAnsi="宋体" w:eastAsia="宋体" w:cs="宋体"/>
                <w:b w:val="0"/>
              </w:rPr>
              <w:t>34.06%</w:t>
            </w:r>
          </w:p>
        </w:tc>
        <w:tc>
          <w:tcPr>
            <w:tcW w:w="0" w:type="dxa"/>
            <w:vAlign w:val="center"/>
          </w:tcPr>
          <w:p w14:paraId="603E7E20">
            <w:pPr>
              <w:spacing w:line="240" w:lineRule="auto"/>
              <w:jc w:val="right"/>
            </w:pPr>
            <w:r>
              <w:rPr>
                <w:rFonts w:ascii="宋体" w:hAnsi="宋体" w:eastAsia="宋体" w:cs="宋体"/>
                <w:b w:val="0"/>
              </w:rPr>
              <w:t>1.57%</w:t>
            </w:r>
          </w:p>
        </w:tc>
        <w:tc>
          <w:tcPr>
            <w:tcW w:w="0" w:type="dxa"/>
            <w:vAlign w:val="center"/>
          </w:tcPr>
          <w:p w14:paraId="417A51D0">
            <w:pPr>
              <w:spacing w:line="240" w:lineRule="auto"/>
              <w:jc w:val="right"/>
            </w:pPr>
            <w:r>
              <w:rPr>
                <w:rFonts w:ascii="宋体" w:hAnsi="宋体" w:eastAsia="宋体" w:cs="宋体"/>
                <w:b w:val="0"/>
              </w:rPr>
              <w:t>104.01%</w:t>
            </w:r>
          </w:p>
        </w:tc>
        <w:tc>
          <w:tcPr>
            <w:tcW w:w="0" w:type="dxa"/>
            <w:vAlign w:val="center"/>
          </w:tcPr>
          <w:p w14:paraId="4800BE33">
            <w:pPr>
              <w:spacing w:line="240" w:lineRule="auto"/>
              <w:jc w:val="right"/>
            </w:pPr>
            <w:r>
              <w:rPr>
                <w:rFonts w:ascii="宋体" w:hAnsi="宋体" w:eastAsia="宋体" w:cs="宋体"/>
                <w:b w:val="0"/>
              </w:rPr>
              <w:t>1.76%</w:t>
            </w:r>
          </w:p>
        </w:tc>
      </w:tr>
      <w:tr w14:paraId="7F8E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1280B1">
            <w:pPr>
              <w:spacing w:line="240" w:lineRule="auto"/>
              <w:jc w:val="left"/>
            </w:pPr>
            <w:r>
              <w:rPr>
                <w:rFonts w:ascii="宋体" w:hAnsi="宋体" w:eastAsia="宋体" w:cs="宋体"/>
                <w:b w:val="0"/>
              </w:rPr>
              <w:t>过去一年</w:t>
            </w:r>
          </w:p>
        </w:tc>
        <w:tc>
          <w:tcPr>
            <w:tcW w:w="0" w:type="dxa"/>
            <w:vAlign w:val="center"/>
          </w:tcPr>
          <w:p w14:paraId="1DB94226">
            <w:pPr>
              <w:spacing w:line="240" w:lineRule="auto"/>
              <w:jc w:val="right"/>
            </w:pPr>
            <w:r>
              <w:rPr>
                <w:rFonts w:ascii="宋体" w:hAnsi="宋体" w:eastAsia="宋体" w:cs="宋体"/>
                <w:b w:val="0"/>
              </w:rPr>
              <w:t>146.58%</w:t>
            </w:r>
          </w:p>
        </w:tc>
        <w:tc>
          <w:tcPr>
            <w:tcW w:w="0" w:type="dxa"/>
            <w:vAlign w:val="center"/>
          </w:tcPr>
          <w:p w14:paraId="2DB81F8E">
            <w:pPr>
              <w:spacing w:line="240" w:lineRule="auto"/>
              <w:jc w:val="right"/>
            </w:pPr>
            <w:r>
              <w:rPr>
                <w:rFonts w:ascii="宋体" w:hAnsi="宋体" w:eastAsia="宋体" w:cs="宋体"/>
                <w:b w:val="0"/>
              </w:rPr>
              <w:t>2.70%</w:t>
            </w:r>
          </w:p>
        </w:tc>
        <w:tc>
          <w:tcPr>
            <w:tcW w:w="0" w:type="dxa"/>
            <w:vAlign w:val="center"/>
          </w:tcPr>
          <w:p w14:paraId="45786F36">
            <w:pPr>
              <w:spacing w:line="240" w:lineRule="auto"/>
              <w:jc w:val="right"/>
            </w:pPr>
            <w:r>
              <w:rPr>
                <w:rFonts w:ascii="宋体" w:hAnsi="宋体" w:eastAsia="宋体" w:cs="宋体"/>
                <w:b w:val="0"/>
              </w:rPr>
              <w:t>78.25%</w:t>
            </w:r>
          </w:p>
        </w:tc>
        <w:tc>
          <w:tcPr>
            <w:tcW w:w="0" w:type="dxa"/>
            <w:vAlign w:val="center"/>
          </w:tcPr>
          <w:p w14:paraId="0F24AC3E">
            <w:pPr>
              <w:spacing w:line="240" w:lineRule="auto"/>
              <w:jc w:val="right"/>
            </w:pPr>
            <w:r>
              <w:rPr>
                <w:rFonts w:ascii="宋体" w:hAnsi="宋体" w:eastAsia="宋体" w:cs="宋体"/>
                <w:b w:val="0"/>
              </w:rPr>
              <w:t>1.53%</w:t>
            </w:r>
          </w:p>
        </w:tc>
        <w:tc>
          <w:tcPr>
            <w:tcW w:w="0" w:type="dxa"/>
            <w:vAlign w:val="center"/>
          </w:tcPr>
          <w:p w14:paraId="2637F02B">
            <w:pPr>
              <w:spacing w:line="240" w:lineRule="auto"/>
              <w:jc w:val="right"/>
            </w:pPr>
            <w:r>
              <w:rPr>
                <w:rFonts w:ascii="宋体" w:hAnsi="宋体" w:eastAsia="宋体" w:cs="宋体"/>
                <w:b w:val="0"/>
              </w:rPr>
              <w:t>68.33%</w:t>
            </w:r>
          </w:p>
        </w:tc>
        <w:tc>
          <w:tcPr>
            <w:tcW w:w="0" w:type="dxa"/>
            <w:vAlign w:val="center"/>
          </w:tcPr>
          <w:p w14:paraId="1F312AB8">
            <w:pPr>
              <w:spacing w:line="240" w:lineRule="auto"/>
              <w:jc w:val="right"/>
            </w:pPr>
            <w:r>
              <w:rPr>
                <w:rFonts w:ascii="宋体" w:hAnsi="宋体" w:eastAsia="宋体" w:cs="宋体"/>
                <w:b w:val="0"/>
              </w:rPr>
              <w:t>1.17%</w:t>
            </w:r>
          </w:p>
        </w:tc>
      </w:tr>
      <w:tr w14:paraId="6085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B6EFD0">
            <w:pPr>
              <w:spacing w:line="240" w:lineRule="auto"/>
              <w:jc w:val="left"/>
            </w:pPr>
            <w:r>
              <w:rPr>
                <w:rFonts w:ascii="宋体" w:hAnsi="宋体" w:eastAsia="宋体" w:cs="宋体"/>
                <w:b w:val="0"/>
              </w:rPr>
              <w:t>自基金合同生效起至今</w:t>
            </w:r>
          </w:p>
        </w:tc>
        <w:tc>
          <w:tcPr>
            <w:tcW w:w="0" w:type="dxa"/>
            <w:vAlign w:val="center"/>
          </w:tcPr>
          <w:p w14:paraId="4B14F25A">
            <w:pPr>
              <w:spacing w:line="240" w:lineRule="auto"/>
              <w:jc w:val="right"/>
            </w:pPr>
            <w:r>
              <w:rPr>
                <w:rFonts w:ascii="宋体" w:hAnsi="宋体" w:eastAsia="宋体" w:cs="宋体"/>
                <w:b w:val="0"/>
              </w:rPr>
              <w:t>144.78%</w:t>
            </w:r>
          </w:p>
        </w:tc>
        <w:tc>
          <w:tcPr>
            <w:tcW w:w="0" w:type="dxa"/>
            <w:vAlign w:val="center"/>
          </w:tcPr>
          <w:p w14:paraId="7C9FC235">
            <w:pPr>
              <w:spacing w:line="240" w:lineRule="auto"/>
              <w:jc w:val="right"/>
            </w:pPr>
            <w:r>
              <w:rPr>
                <w:rFonts w:ascii="宋体" w:hAnsi="宋体" w:eastAsia="宋体" w:cs="宋体"/>
                <w:b w:val="0"/>
              </w:rPr>
              <w:t>2.63%</w:t>
            </w:r>
          </w:p>
        </w:tc>
        <w:tc>
          <w:tcPr>
            <w:tcW w:w="0" w:type="dxa"/>
            <w:vAlign w:val="center"/>
          </w:tcPr>
          <w:p w14:paraId="67584B1C">
            <w:pPr>
              <w:spacing w:line="240" w:lineRule="auto"/>
              <w:jc w:val="right"/>
            </w:pPr>
            <w:r>
              <w:rPr>
                <w:rFonts w:ascii="宋体" w:hAnsi="宋体" w:eastAsia="宋体" w:cs="宋体"/>
                <w:b w:val="0"/>
              </w:rPr>
              <w:t>85.28%</w:t>
            </w:r>
          </w:p>
        </w:tc>
        <w:tc>
          <w:tcPr>
            <w:tcW w:w="0" w:type="dxa"/>
            <w:vAlign w:val="center"/>
          </w:tcPr>
          <w:p w14:paraId="6F725E5D">
            <w:pPr>
              <w:spacing w:line="240" w:lineRule="auto"/>
              <w:jc w:val="right"/>
            </w:pPr>
            <w:r>
              <w:rPr>
                <w:rFonts w:ascii="宋体" w:hAnsi="宋体" w:eastAsia="宋体" w:cs="宋体"/>
                <w:b w:val="0"/>
              </w:rPr>
              <w:t>1.50%</w:t>
            </w:r>
          </w:p>
        </w:tc>
        <w:tc>
          <w:tcPr>
            <w:tcW w:w="0" w:type="dxa"/>
            <w:vAlign w:val="center"/>
          </w:tcPr>
          <w:p w14:paraId="62920E70">
            <w:pPr>
              <w:spacing w:line="240" w:lineRule="auto"/>
              <w:jc w:val="right"/>
            </w:pPr>
            <w:r>
              <w:rPr>
                <w:rFonts w:ascii="宋体" w:hAnsi="宋体" w:eastAsia="宋体" w:cs="宋体"/>
                <w:b w:val="0"/>
              </w:rPr>
              <w:t>59.50%</w:t>
            </w:r>
          </w:p>
        </w:tc>
        <w:tc>
          <w:tcPr>
            <w:tcW w:w="0" w:type="dxa"/>
            <w:vAlign w:val="center"/>
          </w:tcPr>
          <w:p w14:paraId="36F3AA1B">
            <w:pPr>
              <w:spacing w:line="240" w:lineRule="auto"/>
              <w:jc w:val="right"/>
            </w:pPr>
            <w:r>
              <w:rPr>
                <w:rFonts w:ascii="宋体" w:hAnsi="宋体" w:eastAsia="宋体" w:cs="宋体"/>
                <w:b w:val="0"/>
              </w:rPr>
              <w:t>1.13%</w:t>
            </w:r>
          </w:p>
        </w:tc>
      </w:tr>
    </w:tbl>
    <w:p w14:paraId="65BA0009">
      <w:r>
        <w:rPr>
          <w:rFonts w:ascii="宋体" w:hAnsi="宋体" w:eastAsia="宋体" w:cs="宋体"/>
          <w:b w:val="0"/>
        </w:rPr>
        <w:t>注：本基金业绩比较基准为：中国战略新兴产业成份指数收益率*70%+中债-综合指数(全价)收益率*20%+恒生科技指数收益率(按估值汇率折算)*10%</w:t>
      </w:r>
    </w:p>
    <w:p w14:paraId="769D757E"/>
    <w:p w14:paraId="6919012B">
      <w:pPr>
        <w:pStyle w:val="58"/>
      </w:pPr>
      <w:r>
        <w:rPr>
          <w:rFonts w:ascii="宋体" w:hAnsi="宋体" w:eastAsia="宋体" w:cs="宋体"/>
          <w:b/>
        </w:rPr>
        <w:t>3.2.2 自基金合同生效以来基金份额累计净值增长率变动及其与同期业绩比较基准收益率变动的比较</w:t>
      </w:r>
    </w:p>
    <w:p w14:paraId="0A4539CD">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2"/>
                    <a:stretch>
                      <a:fillRect/>
                    </a:stretch>
                  </pic:blipFill>
                  <pic:spPr>
                    <a:xfrm>
                      <a:off x="0" y="0"/>
                      <a:ext cx="5715000" cy="3048000"/>
                    </a:xfrm>
                    <a:prstGeom prst="rect">
                      <a:avLst/>
                    </a:prstGeom>
                  </pic:spPr>
                </pic:pic>
              </a:graphicData>
            </a:graphic>
          </wp:inline>
        </w:drawing>
      </w:r>
    </w:p>
    <w:p w14:paraId="71A77E66"/>
    <w:p w14:paraId="37E66B79">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3"/>
                    <a:stretch>
                      <a:fillRect/>
                    </a:stretch>
                  </pic:blipFill>
                  <pic:spPr>
                    <a:xfrm>
                      <a:off x="0" y="0"/>
                      <a:ext cx="5715000" cy="3048000"/>
                    </a:xfrm>
                    <a:prstGeom prst="rect">
                      <a:avLst/>
                    </a:prstGeom>
                  </pic:spPr>
                </pic:pic>
              </a:graphicData>
            </a:graphic>
          </wp:inline>
        </w:drawing>
      </w:r>
    </w:p>
    <w:p w14:paraId="3E11D15B">
      <w:pPr>
        <w:pStyle w:val="2"/>
        <w:jc w:val="center"/>
      </w:pPr>
      <w:bookmarkStart w:id="14" w:name="_Toc15398"/>
      <w:r>
        <w:rPr>
          <w:rFonts w:ascii="宋体" w:hAnsi="宋体" w:eastAsia="宋体" w:cs="宋体"/>
        </w:rPr>
        <w:t>§4 管理人报告</w:t>
      </w:r>
      <w:bookmarkEnd w:id="14"/>
    </w:p>
    <w:p w14:paraId="7B729720">
      <w:pPr>
        <w:pStyle w:val="3"/>
        <w:jc w:val="left"/>
      </w:pPr>
      <w:bookmarkStart w:id="15" w:name="_Toc14245"/>
      <w:r>
        <w:rPr>
          <w:rFonts w:ascii="宋体" w:hAnsi="宋体" w:eastAsia="宋体" w:cs="宋体"/>
        </w:rPr>
        <w:t>4.1 基金管理人及基金经理情况</w:t>
      </w:r>
      <w:bookmarkEnd w:id="15"/>
    </w:p>
    <w:p w14:paraId="263213D3">
      <w:pPr>
        <w:pStyle w:val="58"/>
      </w:pPr>
      <w:r>
        <w:rPr>
          <w:rFonts w:ascii="宋体" w:hAnsi="宋体" w:eastAsia="宋体" w:cs="宋体"/>
          <w:b/>
        </w:rPr>
        <w:t>4.1.1 基金管理人及其管理基金的经验</w:t>
      </w:r>
    </w:p>
    <w:p w14:paraId="3A10D090">
      <w:pPr>
        <w:jc w:val="left"/>
      </w:pPr>
      <w:r>
        <w:rPr>
          <w:rFonts w:ascii="宋体" w:hAnsi="宋体" w:eastAsia="宋体" w:cs="宋体"/>
          <w:b w:val="0"/>
        </w:rPr>
        <w:t xml:space="preserve">    东方阿尔法基金管理有限公司（以下简称"东方阿尔法基金"）于2017年6月24日经中国证监会批准，2017年7月4日注册成立，公司总部设在广东省深圳市，证券期货业务范围包括公开募集证券投资基金管理、基金销售、特定客户资产管理。截至报告期末，注册资本为1亿元人民币。</w:t>
      </w:r>
      <w:r>
        <w:rPr>
          <w:rFonts w:ascii="宋体" w:hAnsi="宋体" w:eastAsia="宋体" w:cs="宋体"/>
          <w:b w:val="0"/>
        </w:rPr>
        <w:br w:type="textWrapping"/>
      </w:r>
      <w:r>
        <w:rPr>
          <w:rFonts w:ascii="宋体" w:hAnsi="宋体" w:eastAsia="宋体" w:cs="宋体"/>
          <w:b w:val="0"/>
        </w:rPr>
        <w:t xml:space="preserve">    东方阿尔法基金作为华南地区首家纯员工持股的公募基金管理公司，公司股权结构为刘明、珠海共同成长投资合伙企业（有限合伙）、肖冰、曾健分别持有公司44.46%、39.56%、13.98%、2%的股权。</w:t>
      </w:r>
      <w:r>
        <w:rPr>
          <w:rFonts w:ascii="宋体" w:hAnsi="宋体" w:eastAsia="宋体" w:cs="宋体"/>
          <w:b w:val="0"/>
        </w:rPr>
        <w:br w:type="textWrapping"/>
      </w:r>
      <w:r>
        <w:rPr>
          <w:rFonts w:ascii="宋体" w:hAnsi="宋体" w:eastAsia="宋体" w:cs="宋体"/>
          <w:b w:val="0"/>
        </w:rPr>
        <w:t xml:space="preserve">    截至报告期末，东方阿尔法基金管理资产规模275.33亿元，旗下管理15只公开募集证券投资基金和3只私募资产管理计划。</w:t>
      </w:r>
    </w:p>
    <w:p w14:paraId="407CC7BD"/>
    <w:p w14:paraId="74175269">
      <w:pPr>
        <w:pStyle w:val="58"/>
      </w:pPr>
      <w:r>
        <w:rPr>
          <w:rFonts w:ascii="宋体" w:hAnsi="宋体" w:eastAsia="宋体" w:cs="宋体"/>
          <w:b/>
        </w:rPr>
        <w:t>4.1.2 基金经理（或基金经理小组）及基金经理助理简介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2428"/>
        <w:gridCol w:w="1266"/>
        <w:gridCol w:w="1266"/>
        <w:gridCol w:w="457"/>
        <w:gridCol w:w="2922"/>
      </w:tblGrid>
      <w:tr w14:paraId="1A9D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pct"/>
            <w:vMerge w:val="restart"/>
            <w:shd w:val="clear" w:color="auto" w:fill="D9D9D9"/>
            <w:vAlign w:val="center"/>
          </w:tcPr>
          <w:p w14:paraId="5BE8112B">
            <w:pPr>
              <w:spacing w:line="240" w:lineRule="auto"/>
              <w:jc w:val="center"/>
            </w:pPr>
            <w:r>
              <w:rPr>
                <w:rFonts w:ascii="宋体" w:hAnsi="宋体" w:eastAsia="宋体" w:cs="宋体"/>
                <w:b w:val="0"/>
              </w:rPr>
              <w:t>姓名</w:t>
            </w:r>
          </w:p>
        </w:tc>
        <w:tc>
          <w:tcPr>
            <w:tcW w:w="1231" w:type="pct"/>
            <w:vMerge w:val="restart"/>
            <w:shd w:val="clear" w:color="auto" w:fill="D9D9D9"/>
            <w:vAlign w:val="center"/>
          </w:tcPr>
          <w:p w14:paraId="5B93B231">
            <w:pPr>
              <w:spacing w:line="240" w:lineRule="auto"/>
              <w:jc w:val="center"/>
            </w:pPr>
            <w:r>
              <w:rPr>
                <w:rFonts w:ascii="宋体" w:hAnsi="宋体" w:eastAsia="宋体" w:cs="宋体"/>
                <w:b w:val="0"/>
              </w:rPr>
              <w:t>职务</w:t>
            </w:r>
          </w:p>
        </w:tc>
        <w:tc>
          <w:tcPr>
            <w:tcW w:w="808" w:type="pct"/>
            <w:gridSpan w:val="2"/>
            <w:shd w:val="clear" w:color="auto" w:fill="D9D9D9"/>
            <w:vAlign w:val="center"/>
          </w:tcPr>
          <w:p w14:paraId="47C9A920">
            <w:pPr>
              <w:spacing w:line="240" w:lineRule="auto"/>
              <w:jc w:val="center"/>
            </w:pPr>
            <w:r>
              <w:rPr>
                <w:rFonts w:ascii="宋体" w:hAnsi="宋体" w:eastAsia="宋体" w:cs="宋体"/>
                <w:b w:val="0"/>
              </w:rPr>
              <w:t>任本基金的基金经理（助理）期限</w:t>
            </w:r>
          </w:p>
        </w:tc>
        <w:tc>
          <w:tcPr>
            <w:tcW w:w="308" w:type="pct"/>
            <w:vMerge w:val="restart"/>
            <w:shd w:val="clear" w:color="auto" w:fill="D9D9D9"/>
            <w:vAlign w:val="center"/>
          </w:tcPr>
          <w:p w14:paraId="09063C6D">
            <w:pPr>
              <w:spacing w:line="240" w:lineRule="auto"/>
              <w:jc w:val="center"/>
            </w:pPr>
            <w:r>
              <w:rPr>
                <w:rFonts w:ascii="宋体" w:hAnsi="宋体" w:eastAsia="宋体" w:cs="宋体"/>
                <w:b w:val="0"/>
              </w:rPr>
              <w:t>证券从业年限</w:t>
            </w:r>
          </w:p>
        </w:tc>
        <w:tc>
          <w:tcPr>
            <w:tcW w:w="1462" w:type="pct"/>
            <w:vMerge w:val="restart"/>
            <w:shd w:val="clear" w:color="auto" w:fill="D9D9D9"/>
            <w:vAlign w:val="center"/>
          </w:tcPr>
          <w:p w14:paraId="4EB581DA">
            <w:pPr>
              <w:spacing w:line="240" w:lineRule="auto"/>
              <w:jc w:val="center"/>
            </w:pPr>
            <w:r>
              <w:rPr>
                <w:rFonts w:ascii="宋体" w:hAnsi="宋体" w:eastAsia="宋体" w:cs="宋体"/>
                <w:b w:val="0"/>
              </w:rPr>
              <w:t>说明</w:t>
            </w:r>
          </w:p>
        </w:tc>
      </w:tr>
      <w:tr w14:paraId="4538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8D7207E"/>
        </w:tc>
        <w:tc>
          <w:tcPr>
            <w:vMerge w:val="continue"/>
          </w:tcPr>
          <w:p w14:paraId="00DB0815"/>
        </w:tc>
        <w:tc>
          <w:tcPr>
            <w:tcW w:w="400" w:type="pct"/>
            <w:shd w:val="clear" w:color="auto" w:fill="D9D9D9"/>
            <w:vAlign w:val="center"/>
          </w:tcPr>
          <w:p w14:paraId="1901C5B1">
            <w:pPr>
              <w:spacing w:line="240" w:lineRule="auto"/>
              <w:jc w:val="center"/>
            </w:pPr>
            <w:r>
              <w:rPr>
                <w:rFonts w:ascii="宋体" w:hAnsi="宋体" w:eastAsia="宋体" w:cs="宋体"/>
                <w:b w:val="0"/>
              </w:rPr>
              <w:t>任职日期</w:t>
            </w:r>
          </w:p>
        </w:tc>
        <w:tc>
          <w:tcPr>
            <w:tcW w:w="392" w:type="pct"/>
            <w:shd w:val="clear" w:color="auto" w:fill="D9D9D9"/>
            <w:vAlign w:val="center"/>
          </w:tcPr>
          <w:p w14:paraId="1288A00E">
            <w:pPr>
              <w:spacing w:line="240" w:lineRule="auto"/>
              <w:jc w:val="center"/>
            </w:pPr>
            <w:r>
              <w:rPr>
                <w:rFonts w:ascii="宋体" w:hAnsi="宋体" w:eastAsia="宋体" w:cs="宋体"/>
                <w:b w:val="0"/>
              </w:rPr>
              <w:t>离任日期</w:t>
            </w:r>
          </w:p>
        </w:tc>
        <w:tc>
          <w:tcPr>
            <w:vMerge w:val="continue"/>
          </w:tcPr>
          <w:p w14:paraId="63809FDA"/>
        </w:tc>
        <w:tc>
          <w:tcPr>
            <w:vMerge w:val="continue"/>
          </w:tcPr>
          <w:p w14:paraId="4118F0B5"/>
        </w:tc>
      </w:tr>
      <w:tr w14:paraId="6282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DE5A9B">
            <w:pPr>
              <w:spacing w:line="240" w:lineRule="auto"/>
              <w:jc w:val="left"/>
            </w:pPr>
            <w:r>
              <w:rPr>
                <w:rFonts w:ascii="宋体" w:hAnsi="宋体" w:eastAsia="宋体" w:cs="宋体"/>
                <w:b w:val="0"/>
              </w:rPr>
              <w:t>周谧</w:t>
            </w:r>
          </w:p>
        </w:tc>
        <w:tc>
          <w:tcPr>
            <w:tcW w:w="0" w:type="dxa"/>
            <w:vAlign w:val="center"/>
          </w:tcPr>
          <w:p w14:paraId="74F9DCF4">
            <w:pPr>
              <w:spacing w:line="240" w:lineRule="auto"/>
              <w:jc w:val="left"/>
            </w:pPr>
            <w:r>
              <w:rPr>
                <w:rFonts w:ascii="宋体" w:hAnsi="宋体" w:eastAsia="宋体" w:cs="宋体"/>
                <w:b w:val="0"/>
              </w:rPr>
              <w:t>基金经理</w:t>
            </w:r>
          </w:p>
        </w:tc>
        <w:tc>
          <w:tcPr>
            <w:tcW w:w="0" w:type="dxa"/>
            <w:vAlign w:val="center"/>
          </w:tcPr>
          <w:p w14:paraId="52B5ED34">
            <w:pPr>
              <w:spacing w:line="240" w:lineRule="auto"/>
              <w:jc w:val="left"/>
            </w:pPr>
            <w:r>
              <w:rPr>
                <w:rFonts w:ascii="宋体" w:hAnsi="宋体" w:eastAsia="宋体" w:cs="宋体"/>
                <w:b w:val="0"/>
              </w:rPr>
              <w:t>2025-06-12</w:t>
            </w:r>
          </w:p>
        </w:tc>
        <w:tc>
          <w:tcPr>
            <w:tcW w:w="0" w:type="dxa"/>
            <w:vAlign w:val="center"/>
          </w:tcPr>
          <w:p w14:paraId="5FF0B58D">
            <w:pPr>
              <w:spacing w:line="240" w:lineRule="auto"/>
              <w:jc w:val="left"/>
            </w:pPr>
            <w:r>
              <w:rPr>
                <w:rFonts w:ascii="宋体" w:hAnsi="宋体" w:eastAsia="宋体" w:cs="宋体"/>
                <w:b w:val="0"/>
              </w:rPr>
              <w:t>-</w:t>
            </w:r>
          </w:p>
        </w:tc>
        <w:tc>
          <w:tcPr>
            <w:tcW w:w="0" w:type="dxa"/>
            <w:vAlign w:val="center"/>
          </w:tcPr>
          <w:p w14:paraId="4CF67E3F">
            <w:pPr>
              <w:spacing w:line="240" w:lineRule="auto"/>
              <w:jc w:val="left"/>
            </w:pPr>
            <w:r>
              <w:rPr>
                <w:rFonts w:ascii="宋体" w:hAnsi="宋体" w:eastAsia="宋体" w:cs="宋体"/>
                <w:b w:val="0"/>
              </w:rPr>
              <w:t>16年</w:t>
            </w:r>
          </w:p>
        </w:tc>
        <w:tc>
          <w:tcPr>
            <w:tcW w:w="0" w:type="dxa"/>
            <w:vAlign w:val="center"/>
          </w:tcPr>
          <w:p w14:paraId="1FC6CD05">
            <w:pPr>
              <w:spacing w:line="240" w:lineRule="auto"/>
              <w:jc w:val="left"/>
            </w:pPr>
            <w:r>
              <w:rPr>
                <w:rFonts w:ascii="宋体" w:hAnsi="宋体" w:eastAsia="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r w14:paraId="5846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3238818">
            <w:pPr>
              <w:spacing w:line="240" w:lineRule="auto"/>
              <w:jc w:val="left"/>
            </w:pPr>
            <w:r>
              <w:rPr>
                <w:rFonts w:ascii="宋体" w:hAnsi="宋体" w:eastAsia="宋体" w:cs="宋体"/>
                <w:b w:val="0"/>
              </w:rPr>
              <w:t>梁少文</w:t>
            </w:r>
          </w:p>
        </w:tc>
        <w:tc>
          <w:tcPr>
            <w:tcW w:w="0" w:type="dxa"/>
            <w:vAlign w:val="center"/>
          </w:tcPr>
          <w:p w14:paraId="5CC80F87">
            <w:pPr>
              <w:spacing w:line="240" w:lineRule="auto"/>
              <w:jc w:val="left"/>
            </w:pPr>
            <w:r>
              <w:rPr>
                <w:rFonts w:ascii="宋体" w:hAnsi="宋体" w:eastAsia="宋体" w:cs="宋体"/>
                <w:b w:val="0"/>
              </w:rPr>
              <w:t>基金经理</w:t>
            </w:r>
          </w:p>
        </w:tc>
        <w:tc>
          <w:tcPr>
            <w:tcW w:w="0" w:type="dxa"/>
            <w:vAlign w:val="center"/>
          </w:tcPr>
          <w:p w14:paraId="7A9147A1">
            <w:pPr>
              <w:spacing w:line="240" w:lineRule="auto"/>
              <w:jc w:val="left"/>
            </w:pPr>
            <w:r>
              <w:rPr>
                <w:rFonts w:ascii="宋体" w:hAnsi="宋体" w:eastAsia="宋体" w:cs="宋体"/>
                <w:b w:val="0"/>
              </w:rPr>
              <w:t>2025-12-01</w:t>
            </w:r>
          </w:p>
        </w:tc>
        <w:tc>
          <w:tcPr>
            <w:tcW w:w="0" w:type="dxa"/>
            <w:vAlign w:val="center"/>
          </w:tcPr>
          <w:p w14:paraId="3856039E">
            <w:pPr>
              <w:spacing w:line="240" w:lineRule="auto"/>
              <w:jc w:val="left"/>
            </w:pPr>
            <w:r>
              <w:rPr>
                <w:rFonts w:ascii="宋体" w:hAnsi="宋体" w:eastAsia="宋体" w:cs="宋体"/>
                <w:b w:val="0"/>
              </w:rPr>
              <w:t>-</w:t>
            </w:r>
          </w:p>
        </w:tc>
        <w:tc>
          <w:tcPr>
            <w:tcW w:w="0" w:type="dxa"/>
            <w:vAlign w:val="center"/>
          </w:tcPr>
          <w:p w14:paraId="13757714">
            <w:pPr>
              <w:spacing w:line="240" w:lineRule="auto"/>
              <w:jc w:val="left"/>
            </w:pPr>
            <w:r>
              <w:rPr>
                <w:rFonts w:ascii="宋体" w:hAnsi="宋体" w:eastAsia="宋体" w:cs="宋体"/>
                <w:b w:val="0"/>
              </w:rPr>
              <w:t>5年</w:t>
            </w:r>
          </w:p>
        </w:tc>
        <w:tc>
          <w:tcPr>
            <w:tcW w:w="0" w:type="dxa"/>
            <w:vAlign w:val="center"/>
          </w:tcPr>
          <w:p w14:paraId="09CA8971">
            <w:pPr>
              <w:spacing w:line="240" w:lineRule="auto"/>
              <w:jc w:val="left"/>
            </w:pPr>
            <w:r>
              <w:rPr>
                <w:rFonts w:ascii="宋体" w:hAnsi="宋体" w:eastAsia="宋体" w:cs="宋体"/>
                <w:b w:val="0"/>
              </w:rPr>
              <w:t>梁少文先生，华中科技大学工学学士，华中科技大学金融硕士，于2021年11月入职东方阿尔法基金管理有限公司，历任研究员、基金经理助理。现任东方阿尔法基金管理有限公司基金经理。</w:t>
            </w:r>
          </w:p>
        </w:tc>
      </w:tr>
      <w:tr w14:paraId="0804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813DCA">
            <w:pPr>
              <w:spacing w:line="240" w:lineRule="auto"/>
              <w:jc w:val="left"/>
            </w:pPr>
            <w:r>
              <w:rPr>
                <w:rFonts w:ascii="宋体" w:hAnsi="宋体" w:eastAsia="宋体" w:cs="宋体"/>
                <w:b w:val="0"/>
              </w:rPr>
              <w:t>潘令梓</w:t>
            </w:r>
          </w:p>
        </w:tc>
        <w:tc>
          <w:tcPr>
            <w:tcW w:w="0" w:type="dxa"/>
            <w:vAlign w:val="center"/>
          </w:tcPr>
          <w:p w14:paraId="2D207B57">
            <w:pPr>
              <w:spacing w:line="240" w:lineRule="auto"/>
              <w:jc w:val="left"/>
            </w:pPr>
            <w:r>
              <w:rPr>
                <w:rFonts w:ascii="宋体" w:hAnsi="宋体" w:eastAsia="宋体" w:cs="宋体"/>
                <w:b w:val="0"/>
              </w:rPr>
              <w:t>基金经理（已离任）</w:t>
            </w:r>
          </w:p>
        </w:tc>
        <w:tc>
          <w:tcPr>
            <w:tcW w:w="0" w:type="dxa"/>
            <w:vAlign w:val="center"/>
          </w:tcPr>
          <w:p w14:paraId="4ABCC1EA">
            <w:pPr>
              <w:spacing w:line="240" w:lineRule="auto"/>
              <w:jc w:val="left"/>
            </w:pPr>
            <w:r>
              <w:rPr>
                <w:rFonts w:ascii="宋体" w:hAnsi="宋体" w:eastAsia="宋体" w:cs="宋体"/>
                <w:b w:val="0"/>
              </w:rPr>
              <w:t>2025-06-06</w:t>
            </w:r>
          </w:p>
        </w:tc>
        <w:tc>
          <w:tcPr>
            <w:tcW w:w="0" w:type="dxa"/>
            <w:vAlign w:val="center"/>
          </w:tcPr>
          <w:p w14:paraId="066B86CC">
            <w:pPr>
              <w:spacing w:line="240" w:lineRule="auto"/>
              <w:jc w:val="left"/>
            </w:pPr>
            <w:r>
              <w:rPr>
                <w:rFonts w:ascii="宋体" w:hAnsi="宋体" w:eastAsia="宋体" w:cs="宋体"/>
                <w:b w:val="0"/>
              </w:rPr>
              <w:t>2026-06-12</w:t>
            </w:r>
          </w:p>
        </w:tc>
        <w:tc>
          <w:tcPr>
            <w:tcW w:w="0" w:type="dxa"/>
            <w:vAlign w:val="center"/>
          </w:tcPr>
          <w:p w14:paraId="57694FBD">
            <w:pPr>
              <w:spacing w:line="240" w:lineRule="auto"/>
              <w:jc w:val="left"/>
            </w:pPr>
            <w:r>
              <w:rPr>
                <w:rFonts w:ascii="宋体" w:hAnsi="宋体" w:eastAsia="宋体" w:cs="宋体"/>
                <w:b w:val="0"/>
              </w:rPr>
              <w:t>7年</w:t>
            </w:r>
          </w:p>
        </w:tc>
        <w:tc>
          <w:tcPr>
            <w:tcW w:w="0" w:type="dxa"/>
            <w:vAlign w:val="center"/>
          </w:tcPr>
          <w:p w14:paraId="16273B94">
            <w:pPr>
              <w:spacing w:line="240" w:lineRule="auto"/>
              <w:jc w:val="left"/>
            </w:pPr>
            <w:r>
              <w:rPr>
                <w:rFonts w:ascii="宋体" w:hAnsi="宋体" w:eastAsia="宋体" w:cs="宋体"/>
                <w:b w:val="0"/>
              </w:rPr>
              <w:t>潘令梓先生，南开大学保险学学士，香港大学会计学硕士，于2019年11月入职东方阿尔法基金管理有限公司，历任研究部研究员、基金经理助理、基金经理。</w:t>
            </w:r>
          </w:p>
        </w:tc>
      </w:tr>
    </w:tbl>
    <w:p w14:paraId="3011A7DC">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14:paraId="40D14FBD"/>
    <w:p w14:paraId="6E26C39C">
      <w:pPr>
        <w:pStyle w:val="58"/>
      </w:pPr>
      <w:r>
        <w:rPr>
          <w:rFonts w:ascii="宋体" w:hAnsi="宋体" w:eastAsia="宋体" w:cs="宋体"/>
          <w:b/>
        </w:rPr>
        <w:t>4.1.3 期末兼任私募资产管理计划投资经理的基金经理同时管理的产品情况</w:t>
      </w:r>
    </w:p>
    <w:p w14:paraId="5316A14B">
      <w:r>
        <w:rPr>
          <w:rFonts w:ascii="宋体" w:hAnsi="宋体" w:eastAsia="宋体" w:cs="宋体"/>
          <w:b w:val="0"/>
        </w:rPr>
        <w:t xml:space="preserve">    本基金基金经理不存在兼任私募资产管理计划的投资经理的情况。</w:t>
      </w:r>
    </w:p>
    <w:p w14:paraId="7168A502"/>
    <w:p w14:paraId="569F81F4">
      <w:pPr>
        <w:pStyle w:val="3"/>
        <w:jc w:val="left"/>
      </w:pPr>
      <w:bookmarkStart w:id="16" w:name="_Toc20327"/>
      <w:r>
        <w:rPr>
          <w:rFonts w:ascii="宋体" w:hAnsi="宋体" w:eastAsia="宋体" w:cs="宋体"/>
        </w:rPr>
        <w:t>4.2 管理人对报告期内本基金运作遵规守信情况的说明</w:t>
      </w:r>
      <w:bookmarkEnd w:id="16"/>
    </w:p>
    <w:p w14:paraId="101343D6">
      <w:pPr>
        <w:jc w:val="left"/>
      </w:pPr>
      <w:r>
        <w:rPr>
          <w:rFonts w:ascii="宋体" w:hAnsi="宋体" w:eastAsia="宋体" w:cs="宋体"/>
          <w:b w:val="0"/>
        </w:rPr>
        <w:t xml:space="preserve">    本报告期内，本基金管理人严格遵守《中华人民共和国证券投资基金法》、《公开募集证券投资基金运作管理办法》、《公开募集证券投资基金销售机构监督管理办法》和《公开募集证券投资基金信息披露管理办法》等有关法律法规及各项实施准则、本基金《基金合同》和其他有关法律法规的规定，本着诚实信用、勤勉尽责的原则管理和运用基金资产，在严格控制风险的基础上，为基金份额持有人谋求最大利益。本报告期内，基金运作整体合法合规，没有损害基金份额持有人利益。基金的投资范围、投资比例及投资组合符合有关法律法规及基金合同的规定。</w:t>
      </w:r>
    </w:p>
    <w:p w14:paraId="22352E01"/>
    <w:p w14:paraId="30084EF8">
      <w:pPr>
        <w:pStyle w:val="3"/>
        <w:jc w:val="left"/>
      </w:pPr>
      <w:bookmarkStart w:id="17" w:name="_Toc9557"/>
      <w:r>
        <w:rPr>
          <w:rFonts w:ascii="宋体" w:hAnsi="宋体" w:eastAsia="宋体" w:cs="宋体"/>
        </w:rPr>
        <w:t>4.3 管理人对报告期内公平交易情况的专项说明</w:t>
      </w:r>
      <w:bookmarkEnd w:id="17"/>
    </w:p>
    <w:p w14:paraId="24900C8E">
      <w:pPr>
        <w:pStyle w:val="58"/>
      </w:pPr>
      <w:r>
        <w:rPr>
          <w:rFonts w:ascii="宋体" w:hAnsi="宋体" w:eastAsia="宋体" w:cs="宋体"/>
          <w:b/>
        </w:rPr>
        <w:t>4.3.1 公平交易制度的执行情况</w:t>
      </w:r>
    </w:p>
    <w:p w14:paraId="13689D8D">
      <w:pPr>
        <w:jc w:val="left"/>
      </w:pPr>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14:paraId="3E8848CE"/>
    <w:p w14:paraId="6D81EDBA">
      <w:pPr>
        <w:pStyle w:val="58"/>
      </w:pPr>
      <w:r>
        <w:rPr>
          <w:rFonts w:ascii="宋体" w:hAnsi="宋体" w:eastAsia="宋体" w:cs="宋体"/>
          <w:b/>
        </w:rPr>
        <w:t>4.3.2 异常交易行为的专项说明</w:t>
      </w:r>
    </w:p>
    <w:p w14:paraId="56CC66B9">
      <w:pPr>
        <w:jc w:val="left"/>
      </w:pPr>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14:paraId="2326858E"/>
    <w:p w14:paraId="60B22F7A">
      <w:pPr>
        <w:pStyle w:val="3"/>
        <w:jc w:val="left"/>
      </w:pPr>
      <w:bookmarkStart w:id="18" w:name="_Toc22554"/>
      <w:r>
        <w:rPr>
          <w:rFonts w:ascii="宋体" w:hAnsi="宋体" w:eastAsia="宋体" w:cs="宋体"/>
        </w:rPr>
        <w:t>4.4 管理人对报告期内基金的投资策略和业绩表现的说明</w:t>
      </w:r>
      <w:bookmarkEnd w:id="18"/>
    </w:p>
    <w:p w14:paraId="1F9EE0E8">
      <w:pPr>
        <w:pStyle w:val="58"/>
      </w:pPr>
      <w:r>
        <w:rPr>
          <w:rFonts w:ascii="宋体" w:hAnsi="宋体" w:eastAsia="宋体" w:cs="宋体"/>
          <w:b/>
        </w:rPr>
        <w:t>4.4.1 报告期内基金投资策略和运作分析</w:t>
      </w:r>
    </w:p>
    <w:p w14:paraId="5040DD34">
      <w:pPr>
        <w:jc w:val="left"/>
      </w:pPr>
      <w:r>
        <w:rPr>
          <w:rFonts w:ascii="宋体" w:hAnsi="宋体" w:eastAsia="宋体" w:cs="宋体"/>
          <w:b w:val="0"/>
        </w:rPr>
        <w:t xml:space="preserve">    2026年上半年，国内GDP增速达4.7%，宏观经济整体维持稳健增长态势。全球层面，地缘冲突持续为全球经济及资本市场运行带来不确定性，国际油价年内呈现先涨后跌的走势，阶段性通胀扰动对全球货币政策形成一定冲击，A股市场也随之出现阶段性波动。整体来看，上半年中东地缘政治冲突经历爆发、缓解的过程。进入2026年7月，科技板块出现明显情绪波动，行业短期调整压力显现，但截至本报告出具日科技板块已逐步走出调整、呈现止跌反弹态势。在外部环境不确定性抬升的背景下，人工智能产业迭代进程如火如荼，技术落地场景持续丰富，成为科技板块核心增长主线，持续催生结构性投资机会。</w:t>
      </w:r>
      <w:r>
        <w:rPr>
          <w:rFonts w:ascii="宋体" w:hAnsi="宋体" w:eastAsia="宋体" w:cs="宋体"/>
          <w:b w:val="0"/>
        </w:rPr>
        <w:br w:type="textWrapping"/>
      </w:r>
      <w:r>
        <w:rPr>
          <w:rFonts w:ascii="宋体" w:hAnsi="宋体" w:eastAsia="宋体" w:cs="宋体"/>
          <w:b w:val="0"/>
        </w:rPr>
        <w:t xml:space="preserve">    从产业基本面与行业景气演变来看，上半年半导体设备材料板块依托政策扶持、国产替代、AI产业扩容、晶圆厂扩产四重逻辑，行业景气度持续上行，成长确定性突出。半导体作为国家重点战略扶持产业，是中美科技博弈的核心领域，而半导体设备、材料更是突破海外技术限制、实现产业链自主可控的关键核心环节，具备长期政策红利与产业成长逻辑。</w:t>
      </w:r>
      <w:r>
        <w:rPr>
          <w:rFonts w:ascii="宋体" w:hAnsi="宋体" w:eastAsia="宋体" w:cs="宋体"/>
          <w:b w:val="0"/>
        </w:rPr>
        <w:br w:type="textWrapping"/>
      </w:r>
      <w:r>
        <w:rPr>
          <w:rFonts w:ascii="宋体" w:hAnsi="宋体" w:eastAsia="宋体" w:cs="宋体"/>
          <w:b w:val="0"/>
        </w:rPr>
        <w:t xml:space="preserve">    报告期内，本基金始终锚定半导体设备材料行业高景气主线，结合宏观环境变化、产业迭代节奏、国产替代进程及业绩兑现力度，持续优化投资布局。一季度，基于半导体自主可控的核心政策逻辑、晶圆厂扩产带动的行业需求复苏，重点聚焦国产化率提升、先进制程扩产两大核心方向，深耕半导体设备、材料核心板块，筛选具备核心技术壁垒、国产替代空间广阔的优质标的，把握行业政策与产业双驱动的结构性机会。二季度，在宏观风险缓解、AI产业持续升温、行业扩产落地加速、订单业绩持续兑现的背景下，继续坚守设备材料核心板块，紧跟产业链资本开支扩张、国产化替代深化节奏，重点布局业绩高增确定性强、行业关注度持续提升的核心资产，充分把握行业景气加速上行的投资红利。</w:t>
      </w:r>
      <w:r>
        <w:rPr>
          <w:rFonts w:ascii="宋体" w:hAnsi="宋体" w:eastAsia="宋体" w:cs="宋体"/>
          <w:b w:val="0"/>
        </w:rPr>
        <w:br w:type="textWrapping"/>
      </w:r>
      <w:r>
        <w:rPr>
          <w:rFonts w:ascii="宋体" w:hAnsi="宋体" w:eastAsia="宋体" w:cs="宋体"/>
          <w:b w:val="0"/>
        </w:rPr>
        <w:t xml:space="preserve">    整体来看，本基金上半年始终围绕“政策自主可控+晶圆厂扩产+AI需求拉动+国产化替代”的四维核心逻辑开展投资运作，紧跟季度级别产业景气变化，聚焦半导体设备材料高成长细分领域，依托产业趋势布局核心资产。</w:t>
      </w:r>
    </w:p>
    <w:p w14:paraId="12B42D3B"/>
    <w:p w14:paraId="0EC2856E">
      <w:pPr>
        <w:pStyle w:val="58"/>
      </w:pPr>
      <w:r>
        <w:rPr>
          <w:rFonts w:ascii="宋体" w:hAnsi="宋体" w:eastAsia="宋体" w:cs="宋体"/>
          <w:b/>
        </w:rPr>
        <w:t>4.4.2 报告期内基金的业绩表现</w:t>
      </w:r>
    </w:p>
    <w:p w14:paraId="5A119D7E">
      <w:pPr>
        <w:jc w:val="left"/>
      </w:pPr>
      <w:r>
        <w:rPr>
          <w:rFonts w:ascii="宋体" w:hAnsi="宋体" w:eastAsia="宋体" w:cs="宋体"/>
          <w:b w:val="0"/>
        </w:rPr>
        <w:t xml:space="preserve">    截至报告期末东方阿尔法科技优选混合发起A基金份额净值为2.4580元，本报告期内，该类基金份额净值增长率为138.55%，同期业绩比较基准收益率为34.06%；截至报告期末东方阿尔法科技优选混合发起C基金份额净值为2.4478元，本报告期内，该类基金份额净值增长率为138.07%，同期业绩比较基准收益率为34.06%。</w:t>
      </w:r>
    </w:p>
    <w:p w14:paraId="550CC711"/>
    <w:p w14:paraId="4D72EC42">
      <w:pPr>
        <w:pStyle w:val="3"/>
        <w:jc w:val="left"/>
      </w:pPr>
      <w:bookmarkStart w:id="19" w:name="_Toc15754"/>
      <w:r>
        <w:rPr>
          <w:rFonts w:ascii="宋体" w:hAnsi="宋体" w:eastAsia="宋体" w:cs="宋体"/>
        </w:rPr>
        <w:t>4.5 管理人对宏观经济、证券市场及行业走势的简要展望</w:t>
      </w:r>
      <w:bookmarkEnd w:id="19"/>
    </w:p>
    <w:p w14:paraId="5B676439">
      <w:pPr>
        <w:jc w:val="left"/>
      </w:pPr>
      <w:r>
        <w:rPr>
          <w:rFonts w:ascii="宋体" w:hAnsi="宋体" w:eastAsia="宋体" w:cs="宋体"/>
          <w:b w:val="0"/>
        </w:rPr>
        <w:t xml:space="preserve">    展望2026年下半年，我们认为中国经济具有较强的韧性，中国的产业链优势在动荡的全球格局中具备较强的竞争力，而其中扎根在AI产业链的公司将持续受益于AI的发展，且相关的股票目前的估值已经具备很好的吸引力，因此我们对股票市场的长期表现持乐观态度。</w:t>
      </w:r>
      <w:r>
        <w:rPr>
          <w:rFonts w:ascii="宋体" w:hAnsi="宋体" w:eastAsia="宋体" w:cs="宋体"/>
          <w:b w:val="0"/>
        </w:rPr>
        <w:br w:type="textWrapping"/>
      </w:r>
      <w:r>
        <w:rPr>
          <w:rFonts w:ascii="宋体" w:hAnsi="宋体" w:eastAsia="宋体" w:cs="宋体"/>
          <w:b w:val="0"/>
        </w:rPr>
        <w:t xml:space="preserve">    我们认为半导体设备材料行业仍有良好的投资机会。一方面，晶圆厂和封装厂景气度高，资本投入进入加速区间，对产业链公司的订单带来正向拉动，相关公司的订单和业绩开始加速兑现；另一方面，某家头部公司资本化在按计划推进，市场对半导体设备材料板块的关注度持续提升。</w:t>
      </w:r>
      <w:r>
        <w:rPr>
          <w:rFonts w:ascii="宋体" w:hAnsi="宋体" w:eastAsia="宋体" w:cs="宋体"/>
          <w:b w:val="0"/>
        </w:rPr>
        <w:br w:type="textWrapping"/>
      </w:r>
      <w:r>
        <w:rPr>
          <w:rFonts w:ascii="宋体" w:hAnsi="宋体" w:eastAsia="宋体" w:cs="宋体"/>
          <w:b w:val="0"/>
        </w:rPr>
        <w:t xml:space="preserve">    基于以上分析，本基金持续关注半导体设备材料产业链，重点聚焦国产化率提升、先进制程扩产等相关领域，持续把握半导体设备材料板块中长期成长机遇，力争为基金持有人创造稳健收益。</w:t>
      </w:r>
    </w:p>
    <w:p w14:paraId="19F0283E"/>
    <w:p w14:paraId="2E69EEC6">
      <w:pPr>
        <w:pStyle w:val="3"/>
        <w:jc w:val="left"/>
      </w:pPr>
      <w:bookmarkStart w:id="20" w:name="_Toc427"/>
      <w:r>
        <w:rPr>
          <w:rFonts w:ascii="宋体" w:hAnsi="宋体" w:eastAsia="宋体" w:cs="宋体"/>
        </w:rPr>
        <w:t>4.6 管理人对报告期内基金估值程序等事项的说明</w:t>
      </w:r>
      <w:bookmarkEnd w:id="20"/>
    </w:p>
    <w:p w14:paraId="20053D66">
      <w:pPr>
        <w:jc w:val="left"/>
      </w:pPr>
      <w:r>
        <w:rPr>
          <w:rFonts w:ascii="宋体" w:hAnsi="宋体" w:eastAsia="宋体" w:cs="宋体"/>
          <w:b w:val="0"/>
        </w:rPr>
        <w:t xml:space="preserve">    本基金管理人已将本基金的基金估值核算业务外包给本基金的金融运营服务机构--招商证券股份有限公司。本基金金融运营服务机构按照企业会计准则、中国证监会相关规定和基金合同关于估值的约定，对基金所持有的投资品种进行估值。本基金金融运营服务机构使用可靠的估值业务系统，估值人员熟悉各类投资品种的估值原则和具体估值程序。估值流程中包含风险监测、控制和报告机制。金融运营服务机构改变估值技术，导致基金资产净值的变化在0.25%以上的，对所采用的相关估值技术、假设及输入值的适当性咨询会计师事务所的专业意见。本基金托管人根据法律法规要求履行估值及净值计算的复核责任。</w:t>
      </w:r>
      <w:r>
        <w:rPr>
          <w:rFonts w:ascii="宋体" w:hAnsi="宋体" w:eastAsia="宋体" w:cs="宋体"/>
          <w:b w:val="0"/>
        </w:rPr>
        <w:br w:type="textWrapping"/>
      </w:r>
      <w:r>
        <w:rPr>
          <w:rFonts w:ascii="宋体" w:hAnsi="宋体" w:eastAsia="宋体" w:cs="宋体"/>
          <w:b w:val="0"/>
        </w:rPr>
        <w:t xml:space="preserve">    本基金管理人建立了估值小组，成员由运作保障部、投资部门、研究部和监察稽核部业务骨干组成，负责指导和监督整个估值流程。该等人员均具备专业胜任能力和相关从业资格，精通各领域的理论知识，熟悉相关政策法规，并具有丰富的实践经验。基金经理可参与估值原则和方法的讨论，但不参与估值原则和方法的最终决策和日常估值的执行。</w:t>
      </w:r>
      <w:r>
        <w:rPr>
          <w:rFonts w:ascii="宋体" w:hAnsi="宋体" w:eastAsia="宋体" w:cs="宋体"/>
          <w:b w:val="0"/>
        </w:rPr>
        <w:br w:type="textWrapping"/>
      </w:r>
      <w:r>
        <w:rPr>
          <w:rFonts w:ascii="宋体" w:hAnsi="宋体" w:eastAsia="宋体" w:cs="宋体"/>
          <w:b w:val="0"/>
        </w:rPr>
        <w:t xml:space="preserve">    本基金本报告期内，参与估值流程各方之间无重大利益冲突。</w:t>
      </w:r>
    </w:p>
    <w:p w14:paraId="05FDEAA5"/>
    <w:p w14:paraId="02D053F5">
      <w:pPr>
        <w:pStyle w:val="3"/>
        <w:jc w:val="left"/>
      </w:pPr>
      <w:bookmarkStart w:id="21" w:name="_Toc20198"/>
      <w:r>
        <w:rPr>
          <w:rFonts w:ascii="宋体" w:hAnsi="宋体" w:eastAsia="宋体" w:cs="宋体"/>
        </w:rPr>
        <w:t>4.7 管理人对报告期内基金利润分配情况的说明</w:t>
      </w:r>
      <w:bookmarkEnd w:id="21"/>
    </w:p>
    <w:p w14:paraId="2DE6927F">
      <w:pPr>
        <w:jc w:val="left"/>
      </w:pPr>
      <w:r>
        <w:rPr>
          <w:rFonts w:ascii="宋体" w:hAnsi="宋体" w:eastAsia="宋体" w:cs="宋体"/>
          <w:b w:val="0"/>
        </w:rPr>
        <w:t xml:space="preserve">    本基金本报告期内未实施利润分配。</w:t>
      </w:r>
    </w:p>
    <w:p w14:paraId="203C772C"/>
    <w:p w14:paraId="1032E94F">
      <w:pPr>
        <w:pStyle w:val="3"/>
        <w:jc w:val="left"/>
      </w:pPr>
      <w:bookmarkStart w:id="22" w:name="_Toc30095"/>
      <w:r>
        <w:rPr>
          <w:rFonts w:ascii="宋体" w:hAnsi="宋体" w:eastAsia="宋体" w:cs="宋体"/>
        </w:rPr>
        <w:t>4.8 报告期内管理人对本基金持有人数或基金资产净值预警情形的说明</w:t>
      </w:r>
      <w:bookmarkEnd w:id="22"/>
    </w:p>
    <w:p w14:paraId="6B2CBBEE">
      <w:pPr>
        <w:jc w:val="left"/>
      </w:pPr>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14:paraId="4310AB45">
      <w:pPr>
        <w:pStyle w:val="2"/>
        <w:jc w:val="center"/>
      </w:pPr>
      <w:bookmarkStart w:id="23" w:name="_Toc1274"/>
      <w:r>
        <w:rPr>
          <w:rFonts w:ascii="宋体" w:hAnsi="宋体" w:eastAsia="宋体" w:cs="宋体"/>
        </w:rPr>
        <w:t>§5 托管人报告</w:t>
      </w:r>
      <w:bookmarkEnd w:id="23"/>
    </w:p>
    <w:p w14:paraId="712541F7">
      <w:pPr>
        <w:pStyle w:val="3"/>
        <w:jc w:val="left"/>
      </w:pPr>
      <w:bookmarkStart w:id="24" w:name="_Toc313"/>
      <w:r>
        <w:rPr>
          <w:rFonts w:ascii="宋体" w:hAnsi="宋体" w:eastAsia="宋体" w:cs="宋体"/>
        </w:rPr>
        <w:t>5.1 报告期内本基金托管人遵规守信情况声明</w:t>
      </w:r>
      <w:bookmarkEnd w:id="24"/>
    </w:p>
    <w:p w14:paraId="3ACC604D">
      <w:pPr>
        <w:jc w:val="left"/>
      </w:pPr>
      <w:r>
        <w:rPr>
          <w:rFonts w:ascii="宋体" w:hAnsi="宋体" w:eastAsia="宋体" w:cs="宋体"/>
          <w:b w:val="0"/>
        </w:rPr>
        <w:t xml:space="preserve">    作为本基金的托管人，中信银行严格遵守了《中华人民共和国证券投资基金法》及其他有关法律法规、基金合同和托管协议的规定，对东方阿尔法科技优选混合型发起式证券投资基金报告期的投资运作，进行了认真、独立的会计核算和必要的投资监督，履行了托管人的义务，不存在任何损害基金份额持有人利益的行为。</w:t>
      </w:r>
    </w:p>
    <w:p w14:paraId="2247B33F"/>
    <w:p w14:paraId="17D34CC6">
      <w:pPr>
        <w:pStyle w:val="3"/>
        <w:jc w:val="left"/>
      </w:pPr>
      <w:bookmarkStart w:id="25" w:name="_Toc12011"/>
      <w:r>
        <w:rPr>
          <w:rFonts w:ascii="宋体" w:hAnsi="宋体" w:eastAsia="宋体" w:cs="宋体"/>
        </w:rPr>
        <w:t>5.2 托管人对报告期内本基金投资运作遵规守信、净值计算、利润分配等情况的说明</w:t>
      </w:r>
      <w:bookmarkEnd w:id="25"/>
    </w:p>
    <w:p w14:paraId="37613AD1">
      <w:pPr>
        <w:jc w:val="left"/>
      </w:pPr>
      <w:r>
        <w:rPr>
          <w:rFonts w:ascii="宋体" w:hAnsi="宋体" w:eastAsia="宋体" w:cs="宋体"/>
          <w:b w:val="0"/>
        </w:rPr>
        <w:t xml:space="preserve">    本托管人认为，东方阿尔法基金管理有限公司在东方阿尔法科技优选混合型发起式证券投资基金的投资运作、基金资产净值的计算、基金份额申购赎回价格的计算、基金费用开支及利润分配等问题上，不存在损害基金份额持有人利益的行为；在报告期内，严格遵守了《中华人民共和国证券投资基金法》等有关法律法规，在各重要方面的运作严格按照基金合同的规定进行。</w:t>
      </w:r>
    </w:p>
    <w:p w14:paraId="2EBD0AB1"/>
    <w:p w14:paraId="348555A3">
      <w:pPr>
        <w:pStyle w:val="3"/>
        <w:jc w:val="left"/>
      </w:pPr>
      <w:bookmarkStart w:id="26" w:name="_Toc6322"/>
      <w:r>
        <w:rPr>
          <w:rFonts w:ascii="宋体" w:hAnsi="宋体" w:eastAsia="宋体" w:cs="宋体"/>
        </w:rPr>
        <w:t>5.3 托管人对本中期报告中财务信息等内容的真实、准确和完整发表意见</w:t>
      </w:r>
      <w:bookmarkEnd w:id="26"/>
    </w:p>
    <w:p w14:paraId="024E37F1">
      <w:pPr>
        <w:jc w:val="left"/>
      </w:pPr>
      <w:r>
        <w:rPr>
          <w:rFonts w:ascii="宋体" w:hAnsi="宋体" w:eastAsia="宋体" w:cs="宋体"/>
          <w:b w:val="0"/>
        </w:rPr>
        <w:t xml:space="preserve">    本托管人认为，东方阿尔法基金管理有限公司的信息披露事务符合《公开募集证券投资基金信息披露管理办法》及其他相关法律法规的规定，基金管理人所编制和披露的报告期内的财务指标、净值表现、收益分配情况、财务会计报告、投资组合报告等信息真实、准确、完整，未发现有损害基金持有人利益的行为。</w:t>
      </w:r>
    </w:p>
    <w:p w14:paraId="2B7D5BE3">
      <w:pPr>
        <w:pStyle w:val="2"/>
        <w:jc w:val="center"/>
      </w:pPr>
      <w:bookmarkStart w:id="27" w:name="_Toc13367"/>
      <w:r>
        <w:rPr>
          <w:rFonts w:ascii="宋体" w:hAnsi="宋体" w:eastAsia="宋体" w:cs="宋体"/>
        </w:rPr>
        <w:t>§6 半年度财务会计报告(未经审计)</w:t>
      </w:r>
      <w:bookmarkEnd w:id="27"/>
    </w:p>
    <w:p w14:paraId="5F63BD43">
      <w:pPr>
        <w:pStyle w:val="3"/>
        <w:jc w:val="left"/>
      </w:pPr>
      <w:bookmarkStart w:id="28" w:name="_Toc722"/>
      <w:r>
        <w:rPr>
          <w:rFonts w:ascii="宋体" w:hAnsi="宋体" w:eastAsia="宋体" w:cs="宋体"/>
        </w:rPr>
        <w:t>6.1 资产负债表</w:t>
      </w:r>
      <w:bookmarkEnd w:id="28"/>
    </w:p>
    <w:p w14:paraId="46BAF69C">
      <w:pPr>
        <w:jc w:val="left"/>
      </w:pPr>
      <w:r>
        <w:rPr>
          <w:rFonts w:ascii="宋体" w:hAnsi="宋体" w:eastAsia="宋体" w:cs="宋体"/>
          <w:b w:val="0"/>
        </w:rPr>
        <w:t>会计主体：东方阿尔法科技优选混合型发起式证券投资基金</w:t>
      </w:r>
    </w:p>
    <w:p w14:paraId="4EC9CCE0">
      <w:pPr>
        <w:jc w:val="left"/>
      </w:pPr>
      <w:r>
        <w:rPr>
          <w:rFonts w:ascii="宋体" w:hAnsi="宋体" w:eastAsia="宋体" w:cs="宋体"/>
          <w:b w:val="0"/>
        </w:rPr>
        <w:t>报告截止日：2026年06月30日</w:t>
      </w:r>
    </w:p>
    <w:p w14:paraId="1A64C2C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1428"/>
        <w:gridCol w:w="2857"/>
        <w:gridCol w:w="2857"/>
      </w:tblGrid>
      <w:tr w14:paraId="612A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0C39978D">
            <w:pPr>
              <w:spacing w:line="240" w:lineRule="auto"/>
              <w:jc w:val="center"/>
            </w:pPr>
            <w:r>
              <w:rPr>
                <w:rFonts w:ascii="宋体" w:hAnsi="宋体" w:eastAsia="宋体" w:cs="宋体"/>
                <w:b/>
              </w:rPr>
              <w:t xml:space="preserve">资 产 </w:t>
            </w:r>
          </w:p>
        </w:tc>
        <w:tc>
          <w:tcPr>
            <w:tcW w:w="769" w:type="pct"/>
            <w:shd w:val="clear" w:color="auto" w:fill="D9D9D9"/>
            <w:vAlign w:val="center"/>
          </w:tcPr>
          <w:p w14:paraId="2D18993D">
            <w:pPr>
              <w:spacing w:line="240" w:lineRule="auto"/>
              <w:jc w:val="center"/>
            </w:pPr>
            <w:r>
              <w:rPr>
                <w:rFonts w:ascii="宋体" w:hAnsi="宋体" w:eastAsia="宋体" w:cs="宋体"/>
                <w:b/>
              </w:rPr>
              <w:t>附注号</w:t>
            </w:r>
          </w:p>
        </w:tc>
        <w:tc>
          <w:tcPr>
            <w:tcW w:w="1538" w:type="pct"/>
            <w:shd w:val="clear" w:color="auto" w:fill="D9D9D9"/>
            <w:vAlign w:val="center"/>
          </w:tcPr>
          <w:p w14:paraId="13B5F6C0">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14:paraId="30E791B1">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14:paraId="1A5B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750142">
            <w:pPr>
              <w:spacing w:line="240" w:lineRule="auto"/>
              <w:jc w:val="left"/>
            </w:pPr>
            <w:r>
              <w:rPr>
                <w:rFonts w:ascii="宋体" w:hAnsi="宋体" w:eastAsia="宋体" w:cs="宋体"/>
                <w:b/>
              </w:rPr>
              <w:t>资 产：</w:t>
            </w:r>
          </w:p>
        </w:tc>
        <w:tc>
          <w:tcPr>
            <w:tcW w:w="0" w:type="dxa"/>
            <w:vAlign w:val="center"/>
          </w:tcPr>
          <w:p w14:paraId="5C9E46BB">
            <w:pPr>
              <w:spacing w:line="240" w:lineRule="auto"/>
              <w:jc w:val="center"/>
            </w:pPr>
          </w:p>
        </w:tc>
        <w:tc>
          <w:tcPr>
            <w:tcW w:w="0" w:type="dxa"/>
            <w:vAlign w:val="center"/>
          </w:tcPr>
          <w:p w14:paraId="177EB240">
            <w:pPr>
              <w:spacing w:line="240" w:lineRule="auto"/>
              <w:jc w:val="center"/>
            </w:pPr>
          </w:p>
        </w:tc>
        <w:tc>
          <w:tcPr>
            <w:tcW w:w="0" w:type="dxa"/>
            <w:vAlign w:val="center"/>
          </w:tcPr>
          <w:p w14:paraId="56A1CAC4">
            <w:pPr>
              <w:spacing w:line="240" w:lineRule="auto"/>
              <w:jc w:val="center"/>
            </w:pPr>
          </w:p>
        </w:tc>
      </w:tr>
      <w:tr w14:paraId="7852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CD1668">
            <w:pPr>
              <w:spacing w:line="240" w:lineRule="auto"/>
              <w:jc w:val="left"/>
            </w:pPr>
            <w:r>
              <w:rPr>
                <w:rFonts w:ascii="宋体" w:hAnsi="宋体" w:eastAsia="宋体" w:cs="宋体"/>
                <w:b w:val="0"/>
              </w:rPr>
              <w:t>货币资金</w:t>
            </w:r>
          </w:p>
        </w:tc>
        <w:tc>
          <w:tcPr>
            <w:tcW w:w="0" w:type="dxa"/>
            <w:vAlign w:val="center"/>
          </w:tcPr>
          <w:p w14:paraId="58EAC90B">
            <w:pPr>
              <w:spacing w:line="240" w:lineRule="auto"/>
              <w:jc w:val="center"/>
            </w:pPr>
            <w:r>
              <w:rPr>
                <w:rFonts w:ascii="宋体" w:hAnsi="宋体" w:eastAsia="宋体" w:cs="宋体"/>
                <w:b w:val="0"/>
              </w:rPr>
              <w:t>6.4.7.1</w:t>
            </w:r>
          </w:p>
        </w:tc>
        <w:tc>
          <w:tcPr>
            <w:tcW w:w="0" w:type="dxa"/>
            <w:vAlign w:val="center"/>
          </w:tcPr>
          <w:p w14:paraId="5FBF4D0E">
            <w:pPr>
              <w:spacing w:line="240" w:lineRule="auto"/>
              <w:jc w:val="right"/>
            </w:pPr>
            <w:r>
              <w:rPr>
                <w:rFonts w:ascii="宋体" w:hAnsi="宋体" w:eastAsia="宋体" w:cs="宋体"/>
                <w:b w:val="0"/>
              </w:rPr>
              <w:t>49,764,334.44</w:t>
            </w:r>
          </w:p>
        </w:tc>
        <w:tc>
          <w:tcPr>
            <w:tcW w:w="0" w:type="dxa"/>
            <w:vAlign w:val="center"/>
          </w:tcPr>
          <w:p w14:paraId="0FB82103">
            <w:pPr>
              <w:spacing w:line="240" w:lineRule="auto"/>
              <w:jc w:val="right"/>
            </w:pPr>
            <w:r>
              <w:rPr>
                <w:rFonts w:ascii="宋体" w:hAnsi="宋体" w:eastAsia="宋体" w:cs="宋体"/>
                <w:b w:val="0"/>
              </w:rPr>
              <w:t>1,611,138.21</w:t>
            </w:r>
          </w:p>
        </w:tc>
      </w:tr>
      <w:tr w14:paraId="6B14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D34B6B">
            <w:pPr>
              <w:spacing w:line="240" w:lineRule="auto"/>
              <w:jc w:val="left"/>
            </w:pPr>
            <w:r>
              <w:rPr>
                <w:rFonts w:ascii="宋体" w:hAnsi="宋体" w:eastAsia="宋体" w:cs="宋体"/>
                <w:b w:val="0"/>
              </w:rPr>
              <w:t>结算备付金</w:t>
            </w:r>
          </w:p>
        </w:tc>
        <w:tc>
          <w:tcPr>
            <w:tcW w:w="0" w:type="dxa"/>
            <w:vAlign w:val="center"/>
          </w:tcPr>
          <w:p w14:paraId="51B331F6">
            <w:pPr>
              <w:spacing w:line="240" w:lineRule="auto"/>
              <w:jc w:val="center"/>
            </w:pPr>
          </w:p>
        </w:tc>
        <w:tc>
          <w:tcPr>
            <w:tcW w:w="0" w:type="dxa"/>
            <w:vAlign w:val="center"/>
          </w:tcPr>
          <w:p w14:paraId="740E453E">
            <w:pPr>
              <w:spacing w:line="240" w:lineRule="auto"/>
              <w:jc w:val="right"/>
            </w:pPr>
            <w:r>
              <w:rPr>
                <w:rFonts w:ascii="宋体" w:hAnsi="宋体" w:eastAsia="宋体" w:cs="宋体"/>
                <w:b w:val="0"/>
              </w:rPr>
              <w:t>-</w:t>
            </w:r>
          </w:p>
        </w:tc>
        <w:tc>
          <w:tcPr>
            <w:tcW w:w="0" w:type="dxa"/>
            <w:vAlign w:val="center"/>
          </w:tcPr>
          <w:p w14:paraId="020473F4">
            <w:pPr>
              <w:spacing w:line="240" w:lineRule="auto"/>
              <w:jc w:val="right"/>
            </w:pPr>
            <w:r>
              <w:rPr>
                <w:rFonts w:ascii="宋体" w:hAnsi="宋体" w:eastAsia="宋体" w:cs="宋体"/>
                <w:b w:val="0"/>
              </w:rPr>
              <w:t>-</w:t>
            </w:r>
          </w:p>
        </w:tc>
      </w:tr>
      <w:tr w14:paraId="24425959">
        <w:tblPrEx>
          <w:tblCellMar>
            <w:top w:w="0" w:type="dxa"/>
            <w:left w:w="108" w:type="dxa"/>
            <w:bottom w:w="0" w:type="dxa"/>
            <w:right w:w="108" w:type="dxa"/>
          </w:tblCellMar>
        </w:tblPrEx>
        <w:tc>
          <w:tcPr>
            <w:tcW w:w="0" w:type="dxa"/>
            <w:vAlign w:val="center"/>
          </w:tcPr>
          <w:p w14:paraId="1B896D0B">
            <w:pPr>
              <w:spacing w:line="240" w:lineRule="auto"/>
              <w:jc w:val="left"/>
            </w:pPr>
            <w:r>
              <w:rPr>
                <w:rFonts w:ascii="宋体" w:hAnsi="宋体" w:eastAsia="宋体" w:cs="宋体"/>
                <w:b w:val="0"/>
              </w:rPr>
              <w:t>存出保证金</w:t>
            </w:r>
          </w:p>
        </w:tc>
        <w:tc>
          <w:tcPr>
            <w:tcW w:w="0" w:type="dxa"/>
            <w:vAlign w:val="center"/>
          </w:tcPr>
          <w:p w14:paraId="6A4567BB">
            <w:pPr>
              <w:spacing w:line="240" w:lineRule="auto"/>
              <w:jc w:val="center"/>
            </w:pPr>
          </w:p>
        </w:tc>
        <w:tc>
          <w:tcPr>
            <w:tcW w:w="0" w:type="dxa"/>
            <w:vAlign w:val="center"/>
          </w:tcPr>
          <w:p w14:paraId="3EA84C82">
            <w:pPr>
              <w:spacing w:line="240" w:lineRule="auto"/>
              <w:jc w:val="right"/>
            </w:pPr>
            <w:r>
              <w:rPr>
                <w:rFonts w:ascii="宋体" w:hAnsi="宋体" w:eastAsia="宋体" w:cs="宋体"/>
                <w:b w:val="0"/>
              </w:rPr>
              <w:t>-</w:t>
            </w:r>
          </w:p>
        </w:tc>
        <w:tc>
          <w:tcPr>
            <w:tcW w:w="0" w:type="dxa"/>
            <w:vAlign w:val="center"/>
          </w:tcPr>
          <w:p w14:paraId="2D9849EB">
            <w:pPr>
              <w:spacing w:line="240" w:lineRule="auto"/>
              <w:jc w:val="right"/>
            </w:pPr>
            <w:r>
              <w:rPr>
                <w:rFonts w:ascii="宋体" w:hAnsi="宋体" w:eastAsia="宋体" w:cs="宋体"/>
                <w:b w:val="0"/>
              </w:rPr>
              <w:t>-</w:t>
            </w:r>
          </w:p>
        </w:tc>
      </w:tr>
      <w:tr w14:paraId="2547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B6534D">
            <w:pPr>
              <w:spacing w:line="240" w:lineRule="auto"/>
              <w:jc w:val="left"/>
            </w:pPr>
            <w:r>
              <w:rPr>
                <w:rFonts w:ascii="宋体" w:hAnsi="宋体" w:eastAsia="宋体" w:cs="宋体"/>
                <w:b w:val="0"/>
              </w:rPr>
              <w:t>交易性金融资产</w:t>
            </w:r>
          </w:p>
        </w:tc>
        <w:tc>
          <w:tcPr>
            <w:tcW w:w="0" w:type="dxa"/>
            <w:vAlign w:val="center"/>
          </w:tcPr>
          <w:p w14:paraId="6E2A2358">
            <w:pPr>
              <w:spacing w:line="240" w:lineRule="auto"/>
              <w:jc w:val="center"/>
            </w:pPr>
            <w:r>
              <w:rPr>
                <w:rFonts w:ascii="宋体" w:hAnsi="宋体" w:eastAsia="宋体" w:cs="宋体"/>
                <w:b w:val="0"/>
              </w:rPr>
              <w:t>6.4.7.2</w:t>
            </w:r>
          </w:p>
        </w:tc>
        <w:tc>
          <w:tcPr>
            <w:tcW w:w="0" w:type="dxa"/>
            <w:vAlign w:val="center"/>
          </w:tcPr>
          <w:p w14:paraId="71CAF7E1">
            <w:pPr>
              <w:spacing w:line="240" w:lineRule="auto"/>
              <w:jc w:val="right"/>
            </w:pPr>
            <w:r>
              <w:rPr>
                <w:rFonts w:ascii="宋体" w:hAnsi="宋体" w:eastAsia="宋体" w:cs="宋体"/>
                <w:b w:val="0"/>
              </w:rPr>
              <w:t>746,459,041.25</w:t>
            </w:r>
          </w:p>
        </w:tc>
        <w:tc>
          <w:tcPr>
            <w:tcW w:w="0" w:type="dxa"/>
            <w:vAlign w:val="center"/>
          </w:tcPr>
          <w:p w14:paraId="74797CF4">
            <w:pPr>
              <w:spacing w:line="240" w:lineRule="auto"/>
              <w:jc w:val="right"/>
            </w:pPr>
            <w:r>
              <w:rPr>
                <w:rFonts w:ascii="宋体" w:hAnsi="宋体" w:eastAsia="宋体" w:cs="宋体"/>
                <w:b w:val="0"/>
              </w:rPr>
              <w:t>58,807,592.50</w:t>
            </w:r>
          </w:p>
        </w:tc>
      </w:tr>
      <w:tr w14:paraId="54E5A6B7">
        <w:tblPrEx>
          <w:tblCellMar>
            <w:top w:w="0" w:type="dxa"/>
            <w:left w:w="108" w:type="dxa"/>
            <w:bottom w:w="0" w:type="dxa"/>
            <w:right w:w="108" w:type="dxa"/>
          </w:tblCellMar>
        </w:tblPrEx>
        <w:tc>
          <w:tcPr>
            <w:tcW w:w="0" w:type="dxa"/>
            <w:vAlign w:val="center"/>
          </w:tcPr>
          <w:p w14:paraId="41645737">
            <w:pPr>
              <w:spacing w:line="240" w:lineRule="auto"/>
              <w:jc w:val="left"/>
            </w:pPr>
            <w:r>
              <w:rPr>
                <w:rFonts w:ascii="宋体" w:hAnsi="宋体" w:eastAsia="宋体" w:cs="宋体"/>
                <w:b w:val="0"/>
              </w:rPr>
              <w:t>其中：股票投资</w:t>
            </w:r>
          </w:p>
        </w:tc>
        <w:tc>
          <w:tcPr>
            <w:tcW w:w="0" w:type="dxa"/>
            <w:vAlign w:val="center"/>
          </w:tcPr>
          <w:p w14:paraId="237FF60B">
            <w:pPr>
              <w:spacing w:line="240" w:lineRule="auto"/>
              <w:jc w:val="center"/>
            </w:pPr>
          </w:p>
        </w:tc>
        <w:tc>
          <w:tcPr>
            <w:tcW w:w="0" w:type="dxa"/>
            <w:vAlign w:val="center"/>
          </w:tcPr>
          <w:p w14:paraId="35AC31B6">
            <w:pPr>
              <w:spacing w:line="240" w:lineRule="auto"/>
              <w:jc w:val="right"/>
            </w:pPr>
            <w:r>
              <w:rPr>
                <w:rFonts w:ascii="宋体" w:hAnsi="宋体" w:eastAsia="宋体" w:cs="宋体"/>
                <w:b w:val="0"/>
              </w:rPr>
              <w:t>726,911,909.88</w:t>
            </w:r>
          </w:p>
        </w:tc>
        <w:tc>
          <w:tcPr>
            <w:tcW w:w="0" w:type="dxa"/>
            <w:vAlign w:val="center"/>
          </w:tcPr>
          <w:p w14:paraId="4DB0469A">
            <w:pPr>
              <w:spacing w:line="240" w:lineRule="auto"/>
              <w:jc w:val="right"/>
            </w:pPr>
            <w:r>
              <w:rPr>
                <w:rFonts w:ascii="宋体" w:hAnsi="宋体" w:eastAsia="宋体" w:cs="宋体"/>
                <w:b w:val="0"/>
              </w:rPr>
              <w:t>55,604,897.97</w:t>
            </w:r>
          </w:p>
        </w:tc>
      </w:tr>
      <w:tr w14:paraId="5A95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EE351F9">
            <w:pPr>
              <w:spacing w:line="240" w:lineRule="auto"/>
              <w:jc w:val="left"/>
            </w:pPr>
            <w:r>
              <w:rPr>
                <w:rFonts w:ascii="宋体" w:hAnsi="宋体" w:eastAsia="宋体" w:cs="宋体"/>
                <w:b w:val="0"/>
              </w:rPr>
              <w:t xml:space="preserve">      基金投资</w:t>
            </w:r>
          </w:p>
        </w:tc>
        <w:tc>
          <w:tcPr>
            <w:tcW w:w="0" w:type="dxa"/>
            <w:vAlign w:val="center"/>
          </w:tcPr>
          <w:p w14:paraId="3E991116">
            <w:pPr>
              <w:spacing w:line="240" w:lineRule="auto"/>
              <w:jc w:val="center"/>
            </w:pPr>
          </w:p>
        </w:tc>
        <w:tc>
          <w:tcPr>
            <w:tcW w:w="0" w:type="dxa"/>
            <w:vAlign w:val="center"/>
          </w:tcPr>
          <w:p w14:paraId="7580F56E">
            <w:pPr>
              <w:spacing w:line="240" w:lineRule="auto"/>
              <w:jc w:val="right"/>
            </w:pPr>
            <w:r>
              <w:rPr>
                <w:rFonts w:ascii="宋体" w:hAnsi="宋体" w:eastAsia="宋体" w:cs="宋体"/>
                <w:b w:val="0"/>
              </w:rPr>
              <w:t>-</w:t>
            </w:r>
          </w:p>
        </w:tc>
        <w:tc>
          <w:tcPr>
            <w:tcW w:w="0" w:type="dxa"/>
            <w:vAlign w:val="center"/>
          </w:tcPr>
          <w:p w14:paraId="00392E12">
            <w:pPr>
              <w:spacing w:line="240" w:lineRule="auto"/>
              <w:jc w:val="right"/>
            </w:pPr>
            <w:r>
              <w:rPr>
                <w:rFonts w:ascii="宋体" w:hAnsi="宋体" w:eastAsia="宋体" w:cs="宋体"/>
                <w:b w:val="0"/>
              </w:rPr>
              <w:t>-</w:t>
            </w:r>
          </w:p>
        </w:tc>
      </w:tr>
      <w:tr w14:paraId="1897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FDD545">
            <w:pPr>
              <w:spacing w:line="240" w:lineRule="auto"/>
              <w:jc w:val="left"/>
            </w:pPr>
            <w:r>
              <w:rPr>
                <w:rFonts w:ascii="宋体" w:hAnsi="宋体" w:eastAsia="宋体" w:cs="宋体"/>
                <w:b w:val="0"/>
              </w:rPr>
              <w:t xml:space="preserve">      债券投资</w:t>
            </w:r>
          </w:p>
        </w:tc>
        <w:tc>
          <w:tcPr>
            <w:tcW w:w="0" w:type="dxa"/>
            <w:vAlign w:val="center"/>
          </w:tcPr>
          <w:p w14:paraId="4CD4A1A2">
            <w:pPr>
              <w:spacing w:line="240" w:lineRule="auto"/>
              <w:jc w:val="center"/>
            </w:pPr>
          </w:p>
        </w:tc>
        <w:tc>
          <w:tcPr>
            <w:tcW w:w="0" w:type="dxa"/>
            <w:vAlign w:val="center"/>
          </w:tcPr>
          <w:p w14:paraId="154A4AC2">
            <w:pPr>
              <w:spacing w:line="240" w:lineRule="auto"/>
              <w:jc w:val="right"/>
            </w:pPr>
            <w:r>
              <w:rPr>
                <w:rFonts w:ascii="宋体" w:hAnsi="宋体" w:eastAsia="宋体" w:cs="宋体"/>
                <w:b w:val="0"/>
              </w:rPr>
              <w:t>19,547,131.37</w:t>
            </w:r>
          </w:p>
        </w:tc>
        <w:tc>
          <w:tcPr>
            <w:tcW w:w="0" w:type="dxa"/>
            <w:vAlign w:val="center"/>
          </w:tcPr>
          <w:p w14:paraId="2D81F4CB">
            <w:pPr>
              <w:spacing w:line="240" w:lineRule="auto"/>
              <w:jc w:val="right"/>
            </w:pPr>
            <w:r>
              <w:rPr>
                <w:rFonts w:ascii="宋体" w:hAnsi="宋体" w:eastAsia="宋体" w:cs="宋体"/>
                <w:b w:val="0"/>
              </w:rPr>
              <w:t>3,202,694.53</w:t>
            </w:r>
          </w:p>
        </w:tc>
      </w:tr>
      <w:tr w14:paraId="0FDB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7C1583A">
            <w:pPr>
              <w:spacing w:line="240" w:lineRule="auto"/>
              <w:jc w:val="left"/>
            </w:pPr>
            <w:r>
              <w:rPr>
                <w:rFonts w:ascii="宋体" w:hAnsi="宋体" w:eastAsia="宋体" w:cs="宋体"/>
                <w:b w:val="0"/>
              </w:rPr>
              <w:t xml:space="preserve">      资产支持证券投资</w:t>
            </w:r>
          </w:p>
        </w:tc>
        <w:tc>
          <w:tcPr>
            <w:tcW w:w="0" w:type="dxa"/>
            <w:vAlign w:val="center"/>
          </w:tcPr>
          <w:p w14:paraId="1DB8F55A">
            <w:pPr>
              <w:spacing w:line="240" w:lineRule="auto"/>
              <w:jc w:val="center"/>
            </w:pPr>
          </w:p>
        </w:tc>
        <w:tc>
          <w:tcPr>
            <w:tcW w:w="0" w:type="dxa"/>
            <w:vAlign w:val="center"/>
          </w:tcPr>
          <w:p w14:paraId="6A3AFAD0">
            <w:pPr>
              <w:spacing w:line="240" w:lineRule="auto"/>
              <w:jc w:val="right"/>
            </w:pPr>
            <w:r>
              <w:rPr>
                <w:rFonts w:ascii="宋体" w:hAnsi="宋体" w:eastAsia="宋体" w:cs="宋体"/>
                <w:b w:val="0"/>
              </w:rPr>
              <w:t>-</w:t>
            </w:r>
          </w:p>
        </w:tc>
        <w:tc>
          <w:tcPr>
            <w:tcW w:w="0" w:type="dxa"/>
            <w:vAlign w:val="center"/>
          </w:tcPr>
          <w:p w14:paraId="15511E49">
            <w:pPr>
              <w:spacing w:line="240" w:lineRule="auto"/>
              <w:jc w:val="right"/>
            </w:pPr>
            <w:r>
              <w:rPr>
                <w:rFonts w:ascii="宋体" w:hAnsi="宋体" w:eastAsia="宋体" w:cs="宋体"/>
                <w:b w:val="0"/>
              </w:rPr>
              <w:t>-</w:t>
            </w:r>
          </w:p>
        </w:tc>
      </w:tr>
      <w:tr w14:paraId="59A3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6C85F4">
            <w:pPr>
              <w:spacing w:line="240" w:lineRule="auto"/>
              <w:jc w:val="left"/>
            </w:pPr>
            <w:r>
              <w:rPr>
                <w:rFonts w:ascii="宋体" w:hAnsi="宋体" w:eastAsia="宋体" w:cs="宋体"/>
                <w:b w:val="0"/>
              </w:rPr>
              <w:t xml:space="preserve">      贵金属投资</w:t>
            </w:r>
          </w:p>
        </w:tc>
        <w:tc>
          <w:tcPr>
            <w:tcW w:w="0" w:type="dxa"/>
            <w:vAlign w:val="center"/>
          </w:tcPr>
          <w:p w14:paraId="26085AAF">
            <w:pPr>
              <w:spacing w:line="240" w:lineRule="auto"/>
              <w:jc w:val="center"/>
            </w:pPr>
          </w:p>
        </w:tc>
        <w:tc>
          <w:tcPr>
            <w:tcW w:w="0" w:type="dxa"/>
            <w:vAlign w:val="center"/>
          </w:tcPr>
          <w:p w14:paraId="154237F3">
            <w:pPr>
              <w:spacing w:line="240" w:lineRule="auto"/>
              <w:jc w:val="right"/>
            </w:pPr>
            <w:r>
              <w:rPr>
                <w:rFonts w:ascii="宋体" w:hAnsi="宋体" w:eastAsia="宋体" w:cs="宋体"/>
                <w:b w:val="0"/>
              </w:rPr>
              <w:t>-</w:t>
            </w:r>
          </w:p>
        </w:tc>
        <w:tc>
          <w:tcPr>
            <w:tcW w:w="0" w:type="dxa"/>
            <w:vAlign w:val="center"/>
          </w:tcPr>
          <w:p w14:paraId="4B7CE757">
            <w:pPr>
              <w:spacing w:line="240" w:lineRule="auto"/>
              <w:jc w:val="right"/>
            </w:pPr>
            <w:r>
              <w:rPr>
                <w:rFonts w:ascii="宋体" w:hAnsi="宋体" w:eastAsia="宋体" w:cs="宋体"/>
                <w:b w:val="0"/>
              </w:rPr>
              <w:t>-</w:t>
            </w:r>
          </w:p>
        </w:tc>
      </w:tr>
      <w:tr w14:paraId="0A8F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CA25D9">
            <w:pPr>
              <w:spacing w:line="240" w:lineRule="auto"/>
              <w:jc w:val="left"/>
            </w:pPr>
            <w:r>
              <w:rPr>
                <w:rFonts w:ascii="宋体" w:hAnsi="宋体" w:eastAsia="宋体" w:cs="宋体"/>
                <w:b w:val="0"/>
              </w:rPr>
              <w:t xml:space="preserve">      其他投资</w:t>
            </w:r>
          </w:p>
        </w:tc>
        <w:tc>
          <w:tcPr>
            <w:tcW w:w="0" w:type="dxa"/>
            <w:vAlign w:val="center"/>
          </w:tcPr>
          <w:p w14:paraId="6ACB0B7A">
            <w:pPr>
              <w:spacing w:line="240" w:lineRule="auto"/>
              <w:jc w:val="center"/>
            </w:pPr>
          </w:p>
        </w:tc>
        <w:tc>
          <w:tcPr>
            <w:tcW w:w="0" w:type="dxa"/>
            <w:vAlign w:val="center"/>
          </w:tcPr>
          <w:p w14:paraId="4BEC046C">
            <w:pPr>
              <w:spacing w:line="240" w:lineRule="auto"/>
              <w:jc w:val="right"/>
            </w:pPr>
            <w:r>
              <w:rPr>
                <w:rFonts w:ascii="宋体" w:hAnsi="宋体" w:eastAsia="宋体" w:cs="宋体"/>
                <w:b w:val="0"/>
              </w:rPr>
              <w:t>-</w:t>
            </w:r>
          </w:p>
        </w:tc>
        <w:tc>
          <w:tcPr>
            <w:tcW w:w="0" w:type="dxa"/>
            <w:vAlign w:val="center"/>
          </w:tcPr>
          <w:p w14:paraId="2F9D8409">
            <w:pPr>
              <w:spacing w:line="240" w:lineRule="auto"/>
              <w:jc w:val="right"/>
            </w:pPr>
            <w:r>
              <w:rPr>
                <w:rFonts w:ascii="宋体" w:hAnsi="宋体" w:eastAsia="宋体" w:cs="宋体"/>
                <w:b w:val="0"/>
              </w:rPr>
              <w:t>-</w:t>
            </w:r>
          </w:p>
        </w:tc>
      </w:tr>
      <w:tr w14:paraId="4AA28453">
        <w:tblPrEx>
          <w:tblCellMar>
            <w:top w:w="0" w:type="dxa"/>
            <w:left w:w="108" w:type="dxa"/>
            <w:bottom w:w="0" w:type="dxa"/>
            <w:right w:w="108" w:type="dxa"/>
          </w:tblCellMar>
        </w:tblPrEx>
        <w:tc>
          <w:tcPr>
            <w:tcW w:w="0" w:type="dxa"/>
            <w:vAlign w:val="center"/>
          </w:tcPr>
          <w:p w14:paraId="0D7A2291">
            <w:pPr>
              <w:spacing w:line="240" w:lineRule="auto"/>
              <w:jc w:val="left"/>
            </w:pPr>
            <w:r>
              <w:rPr>
                <w:rFonts w:ascii="宋体" w:hAnsi="宋体" w:eastAsia="宋体" w:cs="宋体"/>
                <w:b w:val="0"/>
              </w:rPr>
              <w:t>衍生金融资产</w:t>
            </w:r>
          </w:p>
        </w:tc>
        <w:tc>
          <w:tcPr>
            <w:tcW w:w="0" w:type="dxa"/>
            <w:vAlign w:val="center"/>
          </w:tcPr>
          <w:p w14:paraId="69B6EFB3">
            <w:pPr>
              <w:spacing w:line="240" w:lineRule="auto"/>
              <w:jc w:val="center"/>
            </w:pPr>
            <w:r>
              <w:rPr>
                <w:rFonts w:ascii="宋体" w:hAnsi="宋体" w:eastAsia="宋体" w:cs="宋体"/>
                <w:b w:val="0"/>
              </w:rPr>
              <w:t>6.4.7.3</w:t>
            </w:r>
          </w:p>
        </w:tc>
        <w:tc>
          <w:tcPr>
            <w:tcW w:w="0" w:type="dxa"/>
            <w:vAlign w:val="center"/>
          </w:tcPr>
          <w:p w14:paraId="11ECCC43">
            <w:pPr>
              <w:spacing w:line="240" w:lineRule="auto"/>
              <w:jc w:val="right"/>
            </w:pPr>
            <w:r>
              <w:rPr>
                <w:rFonts w:ascii="宋体" w:hAnsi="宋体" w:eastAsia="宋体" w:cs="宋体"/>
                <w:b w:val="0"/>
              </w:rPr>
              <w:t>-</w:t>
            </w:r>
          </w:p>
        </w:tc>
        <w:tc>
          <w:tcPr>
            <w:tcW w:w="0" w:type="dxa"/>
            <w:vAlign w:val="center"/>
          </w:tcPr>
          <w:p w14:paraId="23073497">
            <w:pPr>
              <w:spacing w:line="240" w:lineRule="auto"/>
              <w:jc w:val="right"/>
            </w:pPr>
            <w:r>
              <w:rPr>
                <w:rFonts w:ascii="宋体" w:hAnsi="宋体" w:eastAsia="宋体" w:cs="宋体"/>
                <w:b w:val="0"/>
              </w:rPr>
              <w:t>-</w:t>
            </w:r>
          </w:p>
        </w:tc>
      </w:tr>
      <w:tr w14:paraId="652E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433CD4">
            <w:pPr>
              <w:spacing w:line="240" w:lineRule="auto"/>
              <w:jc w:val="left"/>
            </w:pPr>
            <w:r>
              <w:rPr>
                <w:rFonts w:ascii="宋体" w:hAnsi="宋体" w:eastAsia="宋体" w:cs="宋体"/>
                <w:b w:val="0"/>
              </w:rPr>
              <w:t>买入返售金融资产</w:t>
            </w:r>
          </w:p>
        </w:tc>
        <w:tc>
          <w:tcPr>
            <w:tcW w:w="0" w:type="dxa"/>
            <w:vAlign w:val="center"/>
          </w:tcPr>
          <w:p w14:paraId="124D20AD">
            <w:pPr>
              <w:spacing w:line="240" w:lineRule="auto"/>
              <w:jc w:val="center"/>
            </w:pPr>
            <w:r>
              <w:rPr>
                <w:rFonts w:ascii="宋体" w:hAnsi="宋体" w:eastAsia="宋体" w:cs="宋体"/>
                <w:b w:val="0"/>
              </w:rPr>
              <w:t>6.4.7.4</w:t>
            </w:r>
          </w:p>
        </w:tc>
        <w:tc>
          <w:tcPr>
            <w:tcW w:w="0" w:type="dxa"/>
            <w:vAlign w:val="center"/>
          </w:tcPr>
          <w:p w14:paraId="7F98447E">
            <w:pPr>
              <w:spacing w:line="240" w:lineRule="auto"/>
              <w:jc w:val="right"/>
            </w:pPr>
            <w:r>
              <w:rPr>
                <w:rFonts w:ascii="宋体" w:hAnsi="宋体" w:eastAsia="宋体" w:cs="宋体"/>
                <w:b w:val="0"/>
              </w:rPr>
              <w:t>-</w:t>
            </w:r>
          </w:p>
        </w:tc>
        <w:tc>
          <w:tcPr>
            <w:tcW w:w="0" w:type="dxa"/>
            <w:vAlign w:val="center"/>
          </w:tcPr>
          <w:p w14:paraId="05D3A1FE">
            <w:pPr>
              <w:spacing w:line="240" w:lineRule="auto"/>
              <w:jc w:val="right"/>
            </w:pPr>
            <w:r>
              <w:rPr>
                <w:rFonts w:ascii="宋体" w:hAnsi="宋体" w:eastAsia="宋体" w:cs="宋体"/>
                <w:b w:val="0"/>
              </w:rPr>
              <w:t>-</w:t>
            </w:r>
          </w:p>
        </w:tc>
      </w:tr>
      <w:tr w14:paraId="7E6A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DB64C7">
            <w:pPr>
              <w:spacing w:line="240" w:lineRule="auto"/>
              <w:jc w:val="left"/>
            </w:pPr>
            <w:r>
              <w:rPr>
                <w:rFonts w:ascii="宋体" w:hAnsi="宋体" w:eastAsia="宋体" w:cs="宋体"/>
                <w:b w:val="0"/>
              </w:rPr>
              <w:t>应收清算款</w:t>
            </w:r>
          </w:p>
        </w:tc>
        <w:tc>
          <w:tcPr>
            <w:tcW w:w="0" w:type="dxa"/>
            <w:vAlign w:val="center"/>
          </w:tcPr>
          <w:p w14:paraId="5DD76EDC">
            <w:pPr>
              <w:spacing w:line="240" w:lineRule="auto"/>
              <w:jc w:val="center"/>
            </w:pPr>
          </w:p>
        </w:tc>
        <w:tc>
          <w:tcPr>
            <w:tcW w:w="0" w:type="dxa"/>
            <w:vAlign w:val="center"/>
          </w:tcPr>
          <w:p w14:paraId="78D05971">
            <w:pPr>
              <w:spacing w:line="240" w:lineRule="auto"/>
              <w:jc w:val="right"/>
            </w:pPr>
            <w:r>
              <w:rPr>
                <w:rFonts w:ascii="宋体" w:hAnsi="宋体" w:eastAsia="宋体" w:cs="宋体"/>
                <w:b w:val="0"/>
              </w:rPr>
              <w:t>-</w:t>
            </w:r>
          </w:p>
        </w:tc>
        <w:tc>
          <w:tcPr>
            <w:tcW w:w="0" w:type="dxa"/>
            <w:vAlign w:val="center"/>
          </w:tcPr>
          <w:p w14:paraId="498FA173">
            <w:pPr>
              <w:spacing w:line="240" w:lineRule="auto"/>
              <w:jc w:val="right"/>
            </w:pPr>
            <w:r>
              <w:rPr>
                <w:rFonts w:ascii="宋体" w:hAnsi="宋体" w:eastAsia="宋体" w:cs="宋体"/>
                <w:b w:val="0"/>
              </w:rPr>
              <w:t>-</w:t>
            </w:r>
          </w:p>
        </w:tc>
      </w:tr>
      <w:tr w14:paraId="558A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C83812">
            <w:pPr>
              <w:spacing w:line="240" w:lineRule="auto"/>
              <w:jc w:val="left"/>
            </w:pPr>
            <w:r>
              <w:rPr>
                <w:rFonts w:ascii="宋体" w:hAnsi="宋体" w:eastAsia="宋体" w:cs="宋体"/>
                <w:b w:val="0"/>
              </w:rPr>
              <w:t>应收股利</w:t>
            </w:r>
          </w:p>
        </w:tc>
        <w:tc>
          <w:tcPr>
            <w:tcW w:w="0" w:type="dxa"/>
            <w:vAlign w:val="center"/>
          </w:tcPr>
          <w:p w14:paraId="3CB32CDC">
            <w:pPr>
              <w:spacing w:line="240" w:lineRule="auto"/>
              <w:jc w:val="center"/>
            </w:pPr>
          </w:p>
        </w:tc>
        <w:tc>
          <w:tcPr>
            <w:tcW w:w="0" w:type="dxa"/>
            <w:vAlign w:val="center"/>
          </w:tcPr>
          <w:p w14:paraId="5DB89BFB">
            <w:pPr>
              <w:spacing w:line="240" w:lineRule="auto"/>
              <w:jc w:val="right"/>
            </w:pPr>
            <w:r>
              <w:rPr>
                <w:rFonts w:ascii="宋体" w:hAnsi="宋体" w:eastAsia="宋体" w:cs="宋体"/>
                <w:b w:val="0"/>
              </w:rPr>
              <w:t>-</w:t>
            </w:r>
          </w:p>
        </w:tc>
        <w:tc>
          <w:tcPr>
            <w:tcW w:w="0" w:type="dxa"/>
            <w:vAlign w:val="center"/>
          </w:tcPr>
          <w:p w14:paraId="1D6D6809">
            <w:pPr>
              <w:spacing w:line="240" w:lineRule="auto"/>
              <w:jc w:val="right"/>
            </w:pPr>
            <w:r>
              <w:rPr>
                <w:rFonts w:ascii="宋体" w:hAnsi="宋体" w:eastAsia="宋体" w:cs="宋体"/>
                <w:b w:val="0"/>
              </w:rPr>
              <w:t>-</w:t>
            </w:r>
          </w:p>
        </w:tc>
      </w:tr>
      <w:tr w14:paraId="1AF0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F4C775">
            <w:pPr>
              <w:spacing w:line="240" w:lineRule="auto"/>
              <w:jc w:val="left"/>
            </w:pPr>
            <w:r>
              <w:rPr>
                <w:rFonts w:ascii="宋体" w:hAnsi="宋体" w:eastAsia="宋体" w:cs="宋体"/>
                <w:b w:val="0"/>
              </w:rPr>
              <w:t>应收申购款</w:t>
            </w:r>
          </w:p>
        </w:tc>
        <w:tc>
          <w:tcPr>
            <w:tcW w:w="0" w:type="dxa"/>
            <w:vAlign w:val="center"/>
          </w:tcPr>
          <w:p w14:paraId="2ECCB038">
            <w:pPr>
              <w:spacing w:line="240" w:lineRule="auto"/>
              <w:jc w:val="center"/>
            </w:pPr>
          </w:p>
        </w:tc>
        <w:tc>
          <w:tcPr>
            <w:tcW w:w="0" w:type="dxa"/>
            <w:vAlign w:val="center"/>
          </w:tcPr>
          <w:p w14:paraId="10CCEB46">
            <w:pPr>
              <w:spacing w:line="240" w:lineRule="auto"/>
              <w:jc w:val="right"/>
            </w:pPr>
            <w:r>
              <w:rPr>
                <w:rFonts w:ascii="宋体" w:hAnsi="宋体" w:eastAsia="宋体" w:cs="宋体"/>
                <w:b w:val="0"/>
              </w:rPr>
              <w:t>145,148,778.30</w:t>
            </w:r>
          </w:p>
        </w:tc>
        <w:tc>
          <w:tcPr>
            <w:tcW w:w="0" w:type="dxa"/>
            <w:vAlign w:val="center"/>
          </w:tcPr>
          <w:p w14:paraId="106A2BB3">
            <w:pPr>
              <w:spacing w:line="240" w:lineRule="auto"/>
              <w:jc w:val="right"/>
            </w:pPr>
            <w:r>
              <w:rPr>
                <w:rFonts w:ascii="宋体" w:hAnsi="宋体" w:eastAsia="宋体" w:cs="宋体"/>
                <w:b w:val="0"/>
              </w:rPr>
              <w:t>2,735,430.87</w:t>
            </w:r>
          </w:p>
        </w:tc>
      </w:tr>
      <w:tr w14:paraId="04C6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DDBF10">
            <w:pPr>
              <w:spacing w:line="240" w:lineRule="auto"/>
              <w:jc w:val="left"/>
            </w:pPr>
            <w:r>
              <w:rPr>
                <w:rFonts w:ascii="宋体" w:hAnsi="宋体" w:eastAsia="宋体" w:cs="宋体"/>
                <w:b w:val="0"/>
              </w:rPr>
              <w:t>递延所得税资产</w:t>
            </w:r>
          </w:p>
        </w:tc>
        <w:tc>
          <w:tcPr>
            <w:tcW w:w="0" w:type="dxa"/>
            <w:vAlign w:val="center"/>
          </w:tcPr>
          <w:p w14:paraId="33C4A8C8">
            <w:pPr>
              <w:spacing w:line="240" w:lineRule="auto"/>
              <w:jc w:val="center"/>
            </w:pPr>
          </w:p>
        </w:tc>
        <w:tc>
          <w:tcPr>
            <w:tcW w:w="0" w:type="dxa"/>
            <w:vAlign w:val="center"/>
          </w:tcPr>
          <w:p w14:paraId="1803AD35">
            <w:pPr>
              <w:spacing w:line="240" w:lineRule="auto"/>
              <w:jc w:val="right"/>
            </w:pPr>
            <w:r>
              <w:rPr>
                <w:rFonts w:ascii="宋体" w:hAnsi="宋体" w:eastAsia="宋体" w:cs="宋体"/>
                <w:b w:val="0"/>
              </w:rPr>
              <w:t>-</w:t>
            </w:r>
          </w:p>
        </w:tc>
        <w:tc>
          <w:tcPr>
            <w:tcW w:w="0" w:type="dxa"/>
            <w:vAlign w:val="center"/>
          </w:tcPr>
          <w:p w14:paraId="69CC51B4">
            <w:pPr>
              <w:spacing w:line="240" w:lineRule="auto"/>
              <w:jc w:val="right"/>
            </w:pPr>
            <w:r>
              <w:rPr>
                <w:rFonts w:ascii="宋体" w:hAnsi="宋体" w:eastAsia="宋体" w:cs="宋体"/>
                <w:b w:val="0"/>
              </w:rPr>
              <w:t>-</w:t>
            </w:r>
          </w:p>
        </w:tc>
      </w:tr>
      <w:tr w14:paraId="6B90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F5E77D">
            <w:pPr>
              <w:spacing w:line="240" w:lineRule="auto"/>
              <w:jc w:val="left"/>
            </w:pPr>
            <w:r>
              <w:rPr>
                <w:rFonts w:ascii="宋体" w:hAnsi="宋体" w:eastAsia="宋体" w:cs="宋体"/>
                <w:b w:val="0"/>
              </w:rPr>
              <w:t>其他资产</w:t>
            </w:r>
          </w:p>
        </w:tc>
        <w:tc>
          <w:tcPr>
            <w:tcW w:w="0" w:type="dxa"/>
            <w:vAlign w:val="center"/>
          </w:tcPr>
          <w:p w14:paraId="3476D6E0">
            <w:pPr>
              <w:spacing w:line="240" w:lineRule="auto"/>
              <w:jc w:val="center"/>
            </w:pPr>
            <w:r>
              <w:rPr>
                <w:rFonts w:ascii="宋体" w:hAnsi="宋体" w:eastAsia="宋体" w:cs="宋体"/>
                <w:b w:val="0"/>
              </w:rPr>
              <w:t>6.4.7.5</w:t>
            </w:r>
          </w:p>
        </w:tc>
        <w:tc>
          <w:tcPr>
            <w:tcW w:w="0" w:type="dxa"/>
            <w:vAlign w:val="center"/>
          </w:tcPr>
          <w:p w14:paraId="50AA905E">
            <w:pPr>
              <w:spacing w:line="240" w:lineRule="auto"/>
              <w:jc w:val="right"/>
            </w:pPr>
            <w:r>
              <w:rPr>
                <w:rFonts w:ascii="宋体" w:hAnsi="宋体" w:eastAsia="宋体" w:cs="宋体"/>
                <w:b w:val="0"/>
              </w:rPr>
              <w:t>-</w:t>
            </w:r>
          </w:p>
        </w:tc>
        <w:tc>
          <w:tcPr>
            <w:tcW w:w="0" w:type="dxa"/>
            <w:vAlign w:val="center"/>
          </w:tcPr>
          <w:p w14:paraId="7B63EDAD">
            <w:pPr>
              <w:spacing w:line="240" w:lineRule="auto"/>
              <w:jc w:val="right"/>
            </w:pPr>
            <w:r>
              <w:rPr>
                <w:rFonts w:ascii="宋体" w:hAnsi="宋体" w:eastAsia="宋体" w:cs="宋体"/>
                <w:b w:val="0"/>
              </w:rPr>
              <w:t>-</w:t>
            </w:r>
          </w:p>
        </w:tc>
      </w:tr>
      <w:tr w14:paraId="3BAE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3601FD">
            <w:pPr>
              <w:spacing w:line="240" w:lineRule="auto"/>
              <w:jc w:val="left"/>
            </w:pPr>
            <w:r>
              <w:rPr>
                <w:rFonts w:ascii="宋体" w:hAnsi="宋体" w:eastAsia="宋体" w:cs="宋体"/>
                <w:b w:val="0"/>
              </w:rPr>
              <w:t>资产总计</w:t>
            </w:r>
          </w:p>
        </w:tc>
        <w:tc>
          <w:tcPr>
            <w:tcW w:w="0" w:type="dxa"/>
            <w:vAlign w:val="center"/>
          </w:tcPr>
          <w:p w14:paraId="37B80ADD">
            <w:pPr>
              <w:spacing w:line="240" w:lineRule="auto"/>
              <w:jc w:val="center"/>
            </w:pPr>
          </w:p>
        </w:tc>
        <w:tc>
          <w:tcPr>
            <w:tcW w:w="0" w:type="dxa"/>
            <w:vAlign w:val="center"/>
          </w:tcPr>
          <w:p w14:paraId="7E5A70C9">
            <w:pPr>
              <w:spacing w:line="240" w:lineRule="auto"/>
              <w:jc w:val="right"/>
            </w:pPr>
            <w:r>
              <w:rPr>
                <w:rFonts w:ascii="宋体" w:hAnsi="宋体" w:eastAsia="宋体" w:cs="宋体"/>
                <w:b w:val="0"/>
              </w:rPr>
              <w:t>941,372,153.99</w:t>
            </w:r>
          </w:p>
        </w:tc>
        <w:tc>
          <w:tcPr>
            <w:tcW w:w="0" w:type="dxa"/>
            <w:vAlign w:val="center"/>
          </w:tcPr>
          <w:p w14:paraId="038ED4AD">
            <w:pPr>
              <w:spacing w:line="240" w:lineRule="auto"/>
              <w:jc w:val="right"/>
            </w:pPr>
            <w:r>
              <w:rPr>
                <w:rFonts w:ascii="宋体" w:hAnsi="宋体" w:eastAsia="宋体" w:cs="宋体"/>
                <w:b w:val="0"/>
              </w:rPr>
              <w:t>63,154,161.58</w:t>
            </w:r>
          </w:p>
        </w:tc>
      </w:tr>
      <w:tr w14:paraId="4C70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2B7E95F6">
            <w:pPr>
              <w:spacing w:line="240" w:lineRule="auto"/>
              <w:jc w:val="center"/>
            </w:pPr>
            <w:r>
              <w:rPr>
                <w:rFonts w:ascii="宋体" w:hAnsi="宋体" w:eastAsia="宋体" w:cs="宋体"/>
                <w:b/>
              </w:rPr>
              <w:t>负债和净资产</w:t>
            </w:r>
          </w:p>
        </w:tc>
        <w:tc>
          <w:tcPr>
            <w:tcW w:w="0" w:type="dxa"/>
            <w:shd w:val="clear" w:color="auto" w:fill="D9D9D9"/>
            <w:vAlign w:val="center"/>
          </w:tcPr>
          <w:p w14:paraId="50D71499">
            <w:pPr>
              <w:spacing w:line="240" w:lineRule="auto"/>
              <w:jc w:val="center"/>
            </w:pPr>
            <w:r>
              <w:rPr>
                <w:rFonts w:ascii="宋体" w:hAnsi="宋体" w:eastAsia="宋体" w:cs="宋体"/>
                <w:b/>
              </w:rPr>
              <w:t>附注号</w:t>
            </w:r>
          </w:p>
        </w:tc>
        <w:tc>
          <w:tcPr>
            <w:tcW w:w="1538" w:type="pct"/>
            <w:shd w:val="clear" w:color="auto" w:fill="D9D9D9"/>
            <w:vAlign w:val="center"/>
          </w:tcPr>
          <w:p w14:paraId="0CA00E42">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14:paraId="4B54CB87">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14:paraId="5FB2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74571A">
            <w:pPr>
              <w:spacing w:line="240" w:lineRule="auto"/>
              <w:jc w:val="left"/>
            </w:pPr>
            <w:r>
              <w:rPr>
                <w:rFonts w:ascii="宋体" w:hAnsi="宋体" w:eastAsia="宋体" w:cs="宋体"/>
                <w:b/>
              </w:rPr>
              <w:t>负 债：</w:t>
            </w:r>
          </w:p>
        </w:tc>
        <w:tc>
          <w:tcPr>
            <w:tcW w:w="0" w:type="dxa"/>
            <w:vAlign w:val="center"/>
          </w:tcPr>
          <w:p w14:paraId="3FF40E19">
            <w:pPr>
              <w:spacing w:line="240" w:lineRule="auto"/>
              <w:jc w:val="center"/>
            </w:pPr>
          </w:p>
        </w:tc>
        <w:tc>
          <w:tcPr>
            <w:tcW w:w="0" w:type="dxa"/>
            <w:vAlign w:val="center"/>
          </w:tcPr>
          <w:p w14:paraId="7EDB8729">
            <w:pPr>
              <w:spacing w:line="240" w:lineRule="auto"/>
              <w:jc w:val="center"/>
            </w:pPr>
          </w:p>
        </w:tc>
        <w:tc>
          <w:tcPr>
            <w:tcW w:w="0" w:type="dxa"/>
            <w:vAlign w:val="center"/>
          </w:tcPr>
          <w:p w14:paraId="702AC352">
            <w:pPr>
              <w:spacing w:line="240" w:lineRule="auto"/>
              <w:jc w:val="center"/>
            </w:pPr>
          </w:p>
        </w:tc>
      </w:tr>
      <w:tr w14:paraId="2CF8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818296">
            <w:pPr>
              <w:spacing w:line="240" w:lineRule="auto"/>
              <w:jc w:val="left"/>
            </w:pPr>
            <w:r>
              <w:rPr>
                <w:rFonts w:ascii="宋体" w:hAnsi="宋体" w:eastAsia="宋体" w:cs="宋体"/>
                <w:b w:val="0"/>
              </w:rPr>
              <w:t>短期借款</w:t>
            </w:r>
          </w:p>
        </w:tc>
        <w:tc>
          <w:tcPr>
            <w:tcW w:w="0" w:type="dxa"/>
            <w:vAlign w:val="center"/>
          </w:tcPr>
          <w:p w14:paraId="229A0990">
            <w:pPr>
              <w:spacing w:line="240" w:lineRule="auto"/>
              <w:jc w:val="center"/>
            </w:pPr>
          </w:p>
        </w:tc>
        <w:tc>
          <w:tcPr>
            <w:tcW w:w="0" w:type="dxa"/>
            <w:vAlign w:val="center"/>
          </w:tcPr>
          <w:p w14:paraId="09C52622">
            <w:pPr>
              <w:spacing w:line="240" w:lineRule="auto"/>
              <w:jc w:val="right"/>
            </w:pPr>
            <w:r>
              <w:rPr>
                <w:rFonts w:ascii="宋体" w:hAnsi="宋体" w:eastAsia="宋体" w:cs="宋体"/>
                <w:b w:val="0"/>
              </w:rPr>
              <w:t>-</w:t>
            </w:r>
          </w:p>
        </w:tc>
        <w:tc>
          <w:tcPr>
            <w:tcW w:w="0" w:type="dxa"/>
            <w:vAlign w:val="center"/>
          </w:tcPr>
          <w:p w14:paraId="6B68D65D">
            <w:pPr>
              <w:spacing w:line="240" w:lineRule="auto"/>
              <w:jc w:val="right"/>
            </w:pPr>
            <w:r>
              <w:rPr>
                <w:rFonts w:ascii="宋体" w:hAnsi="宋体" w:eastAsia="宋体" w:cs="宋体"/>
                <w:b w:val="0"/>
              </w:rPr>
              <w:t>-</w:t>
            </w:r>
          </w:p>
        </w:tc>
      </w:tr>
      <w:tr w14:paraId="7866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BC06FD">
            <w:pPr>
              <w:spacing w:line="240" w:lineRule="auto"/>
              <w:jc w:val="left"/>
            </w:pPr>
            <w:r>
              <w:rPr>
                <w:rFonts w:ascii="宋体" w:hAnsi="宋体" w:eastAsia="宋体" w:cs="宋体"/>
                <w:b w:val="0"/>
              </w:rPr>
              <w:t>交易性金融负债</w:t>
            </w:r>
          </w:p>
        </w:tc>
        <w:tc>
          <w:tcPr>
            <w:tcW w:w="0" w:type="dxa"/>
            <w:vAlign w:val="center"/>
          </w:tcPr>
          <w:p w14:paraId="58B77FAF">
            <w:pPr>
              <w:spacing w:line="240" w:lineRule="auto"/>
              <w:jc w:val="center"/>
            </w:pPr>
          </w:p>
        </w:tc>
        <w:tc>
          <w:tcPr>
            <w:tcW w:w="0" w:type="dxa"/>
            <w:vAlign w:val="center"/>
          </w:tcPr>
          <w:p w14:paraId="5AE962C7">
            <w:pPr>
              <w:spacing w:line="240" w:lineRule="auto"/>
              <w:jc w:val="right"/>
            </w:pPr>
            <w:r>
              <w:rPr>
                <w:rFonts w:ascii="宋体" w:hAnsi="宋体" w:eastAsia="宋体" w:cs="宋体"/>
                <w:b w:val="0"/>
              </w:rPr>
              <w:t>-</w:t>
            </w:r>
          </w:p>
        </w:tc>
        <w:tc>
          <w:tcPr>
            <w:tcW w:w="0" w:type="dxa"/>
            <w:vAlign w:val="center"/>
          </w:tcPr>
          <w:p w14:paraId="73AC60CB">
            <w:pPr>
              <w:spacing w:line="240" w:lineRule="auto"/>
              <w:jc w:val="right"/>
            </w:pPr>
            <w:r>
              <w:rPr>
                <w:rFonts w:ascii="宋体" w:hAnsi="宋体" w:eastAsia="宋体" w:cs="宋体"/>
                <w:b w:val="0"/>
              </w:rPr>
              <w:t>-</w:t>
            </w:r>
          </w:p>
        </w:tc>
      </w:tr>
      <w:tr w14:paraId="1A50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1E754D">
            <w:pPr>
              <w:spacing w:line="240" w:lineRule="auto"/>
              <w:jc w:val="left"/>
            </w:pPr>
            <w:r>
              <w:rPr>
                <w:rFonts w:ascii="宋体" w:hAnsi="宋体" w:eastAsia="宋体" w:cs="宋体"/>
                <w:b w:val="0"/>
              </w:rPr>
              <w:t>衍生金融负债</w:t>
            </w:r>
          </w:p>
        </w:tc>
        <w:tc>
          <w:tcPr>
            <w:tcW w:w="0" w:type="dxa"/>
            <w:vAlign w:val="center"/>
          </w:tcPr>
          <w:p w14:paraId="1E61F050">
            <w:pPr>
              <w:spacing w:line="240" w:lineRule="auto"/>
              <w:jc w:val="center"/>
            </w:pPr>
            <w:r>
              <w:rPr>
                <w:rFonts w:ascii="宋体" w:hAnsi="宋体" w:eastAsia="宋体" w:cs="宋体"/>
                <w:b w:val="0"/>
              </w:rPr>
              <w:t>6.4.7.3</w:t>
            </w:r>
          </w:p>
        </w:tc>
        <w:tc>
          <w:tcPr>
            <w:tcW w:w="0" w:type="dxa"/>
            <w:vAlign w:val="center"/>
          </w:tcPr>
          <w:p w14:paraId="523F6B28">
            <w:pPr>
              <w:spacing w:line="240" w:lineRule="auto"/>
              <w:jc w:val="right"/>
            </w:pPr>
            <w:r>
              <w:rPr>
                <w:rFonts w:ascii="宋体" w:hAnsi="宋体" w:eastAsia="宋体" w:cs="宋体"/>
                <w:b w:val="0"/>
              </w:rPr>
              <w:t>-</w:t>
            </w:r>
          </w:p>
        </w:tc>
        <w:tc>
          <w:tcPr>
            <w:tcW w:w="0" w:type="dxa"/>
            <w:vAlign w:val="center"/>
          </w:tcPr>
          <w:p w14:paraId="751DFADC">
            <w:pPr>
              <w:spacing w:line="240" w:lineRule="auto"/>
              <w:jc w:val="right"/>
            </w:pPr>
            <w:r>
              <w:rPr>
                <w:rFonts w:ascii="宋体" w:hAnsi="宋体" w:eastAsia="宋体" w:cs="宋体"/>
                <w:b w:val="0"/>
              </w:rPr>
              <w:t>-</w:t>
            </w:r>
          </w:p>
        </w:tc>
      </w:tr>
      <w:tr w14:paraId="609A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24387C">
            <w:pPr>
              <w:spacing w:line="240" w:lineRule="auto"/>
              <w:jc w:val="left"/>
            </w:pPr>
            <w:r>
              <w:rPr>
                <w:rFonts w:ascii="宋体" w:hAnsi="宋体" w:eastAsia="宋体" w:cs="宋体"/>
                <w:b w:val="0"/>
              </w:rPr>
              <w:t>卖出回购金融资产款</w:t>
            </w:r>
          </w:p>
        </w:tc>
        <w:tc>
          <w:tcPr>
            <w:tcW w:w="0" w:type="dxa"/>
            <w:vAlign w:val="center"/>
          </w:tcPr>
          <w:p w14:paraId="3C3561BB">
            <w:pPr>
              <w:spacing w:line="240" w:lineRule="auto"/>
              <w:jc w:val="center"/>
            </w:pPr>
          </w:p>
        </w:tc>
        <w:tc>
          <w:tcPr>
            <w:tcW w:w="0" w:type="dxa"/>
            <w:vAlign w:val="center"/>
          </w:tcPr>
          <w:p w14:paraId="25AA4697">
            <w:pPr>
              <w:spacing w:line="240" w:lineRule="auto"/>
              <w:jc w:val="right"/>
            </w:pPr>
            <w:r>
              <w:rPr>
                <w:rFonts w:ascii="宋体" w:hAnsi="宋体" w:eastAsia="宋体" w:cs="宋体"/>
                <w:b w:val="0"/>
              </w:rPr>
              <w:t>-</w:t>
            </w:r>
          </w:p>
        </w:tc>
        <w:tc>
          <w:tcPr>
            <w:tcW w:w="0" w:type="dxa"/>
            <w:vAlign w:val="center"/>
          </w:tcPr>
          <w:p w14:paraId="7111B1D8">
            <w:pPr>
              <w:spacing w:line="240" w:lineRule="auto"/>
              <w:jc w:val="right"/>
            </w:pPr>
            <w:r>
              <w:rPr>
                <w:rFonts w:ascii="宋体" w:hAnsi="宋体" w:eastAsia="宋体" w:cs="宋体"/>
                <w:b w:val="0"/>
              </w:rPr>
              <w:t>-376.82</w:t>
            </w:r>
          </w:p>
        </w:tc>
      </w:tr>
      <w:tr w14:paraId="50F5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9090C1">
            <w:pPr>
              <w:spacing w:line="240" w:lineRule="auto"/>
              <w:jc w:val="left"/>
            </w:pPr>
            <w:r>
              <w:rPr>
                <w:rFonts w:ascii="宋体" w:hAnsi="宋体" w:eastAsia="宋体" w:cs="宋体"/>
                <w:b w:val="0"/>
              </w:rPr>
              <w:t>应付清算款</w:t>
            </w:r>
          </w:p>
        </w:tc>
        <w:tc>
          <w:tcPr>
            <w:tcW w:w="0" w:type="dxa"/>
            <w:vAlign w:val="center"/>
          </w:tcPr>
          <w:p w14:paraId="2C2A4F59">
            <w:pPr>
              <w:spacing w:line="240" w:lineRule="auto"/>
              <w:jc w:val="center"/>
            </w:pPr>
          </w:p>
        </w:tc>
        <w:tc>
          <w:tcPr>
            <w:tcW w:w="0" w:type="dxa"/>
            <w:vAlign w:val="center"/>
          </w:tcPr>
          <w:p w14:paraId="2DA1129C">
            <w:pPr>
              <w:spacing w:line="240" w:lineRule="auto"/>
              <w:jc w:val="right"/>
            </w:pPr>
            <w:r>
              <w:rPr>
                <w:rFonts w:ascii="宋体" w:hAnsi="宋体" w:eastAsia="宋体" w:cs="宋体"/>
                <w:b w:val="0"/>
              </w:rPr>
              <w:t>-</w:t>
            </w:r>
          </w:p>
        </w:tc>
        <w:tc>
          <w:tcPr>
            <w:tcW w:w="0" w:type="dxa"/>
            <w:vAlign w:val="center"/>
          </w:tcPr>
          <w:p w14:paraId="5B926EC7">
            <w:pPr>
              <w:spacing w:line="240" w:lineRule="auto"/>
              <w:jc w:val="right"/>
            </w:pPr>
            <w:r>
              <w:rPr>
                <w:rFonts w:ascii="宋体" w:hAnsi="宋体" w:eastAsia="宋体" w:cs="宋体"/>
                <w:b w:val="0"/>
              </w:rPr>
              <w:t>-</w:t>
            </w:r>
          </w:p>
        </w:tc>
      </w:tr>
      <w:tr w14:paraId="4F37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7B9838">
            <w:pPr>
              <w:spacing w:line="240" w:lineRule="auto"/>
              <w:jc w:val="left"/>
            </w:pPr>
            <w:r>
              <w:rPr>
                <w:rFonts w:ascii="宋体" w:hAnsi="宋体" w:eastAsia="宋体" w:cs="宋体"/>
                <w:b w:val="0"/>
              </w:rPr>
              <w:t>应付赎回款</w:t>
            </w:r>
          </w:p>
        </w:tc>
        <w:tc>
          <w:tcPr>
            <w:tcW w:w="0" w:type="dxa"/>
            <w:vAlign w:val="center"/>
          </w:tcPr>
          <w:p w14:paraId="078514DC">
            <w:pPr>
              <w:spacing w:line="240" w:lineRule="auto"/>
              <w:jc w:val="center"/>
            </w:pPr>
          </w:p>
        </w:tc>
        <w:tc>
          <w:tcPr>
            <w:tcW w:w="0" w:type="dxa"/>
            <w:vAlign w:val="center"/>
          </w:tcPr>
          <w:p w14:paraId="55161BF3">
            <w:pPr>
              <w:spacing w:line="240" w:lineRule="auto"/>
              <w:jc w:val="right"/>
            </w:pPr>
            <w:r>
              <w:rPr>
                <w:rFonts w:ascii="宋体" w:hAnsi="宋体" w:eastAsia="宋体" w:cs="宋体"/>
                <w:b w:val="0"/>
              </w:rPr>
              <w:t>6,989,364.34</w:t>
            </w:r>
          </w:p>
        </w:tc>
        <w:tc>
          <w:tcPr>
            <w:tcW w:w="0" w:type="dxa"/>
            <w:vAlign w:val="center"/>
          </w:tcPr>
          <w:p w14:paraId="197CFC8C">
            <w:pPr>
              <w:spacing w:line="240" w:lineRule="auto"/>
              <w:jc w:val="right"/>
            </w:pPr>
            <w:r>
              <w:rPr>
                <w:rFonts w:ascii="宋体" w:hAnsi="宋体" w:eastAsia="宋体" w:cs="宋体"/>
                <w:b w:val="0"/>
              </w:rPr>
              <w:t>3,924,699.06</w:t>
            </w:r>
          </w:p>
        </w:tc>
      </w:tr>
      <w:tr w14:paraId="591D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F9EDAD">
            <w:pPr>
              <w:spacing w:line="240" w:lineRule="auto"/>
              <w:jc w:val="left"/>
            </w:pPr>
            <w:r>
              <w:rPr>
                <w:rFonts w:ascii="宋体" w:hAnsi="宋体" w:eastAsia="宋体" w:cs="宋体"/>
                <w:b w:val="0"/>
              </w:rPr>
              <w:t>应付管理人报酬</w:t>
            </w:r>
          </w:p>
        </w:tc>
        <w:tc>
          <w:tcPr>
            <w:tcW w:w="0" w:type="dxa"/>
            <w:vAlign w:val="center"/>
          </w:tcPr>
          <w:p w14:paraId="6A6548ED">
            <w:pPr>
              <w:spacing w:line="240" w:lineRule="auto"/>
              <w:jc w:val="center"/>
            </w:pPr>
          </w:p>
        </w:tc>
        <w:tc>
          <w:tcPr>
            <w:tcW w:w="0" w:type="dxa"/>
            <w:vAlign w:val="center"/>
          </w:tcPr>
          <w:p w14:paraId="2A94B894">
            <w:pPr>
              <w:spacing w:line="240" w:lineRule="auto"/>
              <w:jc w:val="right"/>
            </w:pPr>
            <w:r>
              <w:rPr>
                <w:rFonts w:ascii="宋体" w:hAnsi="宋体" w:eastAsia="宋体" w:cs="宋体"/>
                <w:b w:val="0"/>
              </w:rPr>
              <w:t>338,794.33</w:t>
            </w:r>
          </w:p>
        </w:tc>
        <w:tc>
          <w:tcPr>
            <w:tcW w:w="0" w:type="dxa"/>
            <w:vAlign w:val="center"/>
          </w:tcPr>
          <w:p w14:paraId="2674D01B">
            <w:pPr>
              <w:spacing w:line="240" w:lineRule="auto"/>
              <w:jc w:val="right"/>
            </w:pPr>
            <w:r>
              <w:rPr>
                <w:rFonts w:ascii="宋体" w:hAnsi="宋体" w:eastAsia="宋体" w:cs="宋体"/>
                <w:b w:val="0"/>
              </w:rPr>
              <w:t>37,737.10</w:t>
            </w:r>
          </w:p>
        </w:tc>
      </w:tr>
      <w:tr w14:paraId="02DE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7FBA421">
            <w:pPr>
              <w:spacing w:line="240" w:lineRule="auto"/>
              <w:jc w:val="left"/>
            </w:pPr>
            <w:r>
              <w:rPr>
                <w:rFonts w:ascii="宋体" w:hAnsi="宋体" w:eastAsia="宋体" w:cs="宋体"/>
                <w:b w:val="0"/>
              </w:rPr>
              <w:t>应付托管费</w:t>
            </w:r>
          </w:p>
        </w:tc>
        <w:tc>
          <w:tcPr>
            <w:tcW w:w="0" w:type="dxa"/>
            <w:vAlign w:val="center"/>
          </w:tcPr>
          <w:p w14:paraId="0FDD5B50">
            <w:pPr>
              <w:spacing w:line="240" w:lineRule="auto"/>
              <w:jc w:val="center"/>
            </w:pPr>
          </w:p>
        </w:tc>
        <w:tc>
          <w:tcPr>
            <w:tcW w:w="0" w:type="dxa"/>
            <w:vAlign w:val="center"/>
          </w:tcPr>
          <w:p w14:paraId="3C8FEE45">
            <w:pPr>
              <w:spacing w:line="240" w:lineRule="auto"/>
              <w:jc w:val="right"/>
            </w:pPr>
            <w:r>
              <w:rPr>
                <w:rFonts w:ascii="宋体" w:hAnsi="宋体" w:eastAsia="宋体" w:cs="宋体"/>
                <w:b w:val="0"/>
              </w:rPr>
              <w:t>56,465.73</w:t>
            </w:r>
          </w:p>
        </w:tc>
        <w:tc>
          <w:tcPr>
            <w:tcW w:w="0" w:type="dxa"/>
            <w:vAlign w:val="center"/>
          </w:tcPr>
          <w:p w14:paraId="38A78166">
            <w:pPr>
              <w:spacing w:line="240" w:lineRule="auto"/>
              <w:jc w:val="right"/>
            </w:pPr>
            <w:r>
              <w:rPr>
                <w:rFonts w:ascii="宋体" w:hAnsi="宋体" w:eastAsia="宋体" w:cs="宋体"/>
                <w:b w:val="0"/>
              </w:rPr>
              <w:t>6,289.51</w:t>
            </w:r>
          </w:p>
        </w:tc>
      </w:tr>
      <w:tr w14:paraId="47CB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742019">
            <w:pPr>
              <w:spacing w:line="240" w:lineRule="auto"/>
              <w:jc w:val="left"/>
            </w:pPr>
            <w:r>
              <w:rPr>
                <w:rFonts w:ascii="宋体" w:hAnsi="宋体" w:eastAsia="宋体" w:cs="宋体"/>
                <w:b w:val="0"/>
              </w:rPr>
              <w:t>应付销售服务费</w:t>
            </w:r>
          </w:p>
        </w:tc>
        <w:tc>
          <w:tcPr>
            <w:tcW w:w="0" w:type="dxa"/>
            <w:vAlign w:val="center"/>
          </w:tcPr>
          <w:p w14:paraId="6179628E">
            <w:pPr>
              <w:spacing w:line="240" w:lineRule="auto"/>
              <w:jc w:val="center"/>
            </w:pPr>
          </w:p>
        </w:tc>
        <w:tc>
          <w:tcPr>
            <w:tcW w:w="0" w:type="dxa"/>
            <w:vAlign w:val="center"/>
          </w:tcPr>
          <w:p w14:paraId="7C21A74B">
            <w:pPr>
              <w:spacing w:line="240" w:lineRule="auto"/>
              <w:jc w:val="right"/>
            </w:pPr>
            <w:r>
              <w:rPr>
                <w:rFonts w:ascii="宋体" w:hAnsi="宋体" w:eastAsia="宋体" w:cs="宋体"/>
                <w:b w:val="0"/>
              </w:rPr>
              <w:t>96,314.65</w:t>
            </w:r>
          </w:p>
        </w:tc>
        <w:tc>
          <w:tcPr>
            <w:tcW w:w="0" w:type="dxa"/>
            <w:vAlign w:val="center"/>
          </w:tcPr>
          <w:p w14:paraId="001A0136">
            <w:pPr>
              <w:spacing w:line="240" w:lineRule="auto"/>
              <w:jc w:val="right"/>
            </w:pPr>
            <w:r>
              <w:rPr>
                <w:rFonts w:ascii="宋体" w:hAnsi="宋体" w:eastAsia="宋体" w:cs="宋体"/>
                <w:b w:val="0"/>
              </w:rPr>
              <w:t>8,000.40</w:t>
            </w:r>
          </w:p>
        </w:tc>
      </w:tr>
      <w:tr w14:paraId="5AD9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2D6713">
            <w:pPr>
              <w:spacing w:line="240" w:lineRule="auto"/>
              <w:jc w:val="left"/>
            </w:pPr>
            <w:r>
              <w:rPr>
                <w:rFonts w:ascii="宋体" w:hAnsi="宋体" w:eastAsia="宋体" w:cs="宋体"/>
                <w:b w:val="0"/>
              </w:rPr>
              <w:t>应付投资顾问费</w:t>
            </w:r>
          </w:p>
        </w:tc>
        <w:tc>
          <w:tcPr>
            <w:tcW w:w="0" w:type="dxa"/>
            <w:vAlign w:val="center"/>
          </w:tcPr>
          <w:p w14:paraId="2889BD7C">
            <w:pPr>
              <w:spacing w:line="240" w:lineRule="auto"/>
              <w:jc w:val="center"/>
            </w:pPr>
          </w:p>
        </w:tc>
        <w:tc>
          <w:tcPr>
            <w:tcW w:w="0" w:type="dxa"/>
            <w:vAlign w:val="center"/>
          </w:tcPr>
          <w:p w14:paraId="19B414A7">
            <w:pPr>
              <w:spacing w:line="240" w:lineRule="auto"/>
              <w:jc w:val="right"/>
            </w:pPr>
            <w:r>
              <w:rPr>
                <w:rFonts w:ascii="宋体" w:hAnsi="宋体" w:eastAsia="宋体" w:cs="宋体"/>
                <w:b w:val="0"/>
              </w:rPr>
              <w:t>-</w:t>
            </w:r>
          </w:p>
        </w:tc>
        <w:tc>
          <w:tcPr>
            <w:tcW w:w="0" w:type="dxa"/>
            <w:vAlign w:val="center"/>
          </w:tcPr>
          <w:p w14:paraId="1141CC52">
            <w:pPr>
              <w:spacing w:line="240" w:lineRule="auto"/>
              <w:jc w:val="right"/>
            </w:pPr>
            <w:r>
              <w:rPr>
                <w:rFonts w:ascii="宋体" w:hAnsi="宋体" w:eastAsia="宋体" w:cs="宋体"/>
                <w:b w:val="0"/>
              </w:rPr>
              <w:t>-</w:t>
            </w:r>
          </w:p>
        </w:tc>
      </w:tr>
      <w:tr w14:paraId="56633AB3">
        <w:tblPrEx>
          <w:tblCellMar>
            <w:top w:w="0" w:type="dxa"/>
            <w:left w:w="108" w:type="dxa"/>
            <w:bottom w:w="0" w:type="dxa"/>
            <w:right w:w="108" w:type="dxa"/>
          </w:tblCellMar>
        </w:tblPrEx>
        <w:tc>
          <w:tcPr>
            <w:tcW w:w="0" w:type="dxa"/>
            <w:vAlign w:val="center"/>
          </w:tcPr>
          <w:p w14:paraId="67D8D9F2">
            <w:pPr>
              <w:spacing w:line="240" w:lineRule="auto"/>
              <w:jc w:val="left"/>
            </w:pPr>
            <w:r>
              <w:rPr>
                <w:rFonts w:ascii="宋体" w:hAnsi="宋体" w:eastAsia="宋体" w:cs="宋体"/>
                <w:b w:val="0"/>
              </w:rPr>
              <w:t>应交税费</w:t>
            </w:r>
          </w:p>
        </w:tc>
        <w:tc>
          <w:tcPr>
            <w:tcW w:w="0" w:type="dxa"/>
            <w:vAlign w:val="center"/>
          </w:tcPr>
          <w:p w14:paraId="779F2EDB">
            <w:pPr>
              <w:spacing w:line="240" w:lineRule="auto"/>
              <w:jc w:val="center"/>
            </w:pPr>
          </w:p>
        </w:tc>
        <w:tc>
          <w:tcPr>
            <w:tcW w:w="0" w:type="dxa"/>
            <w:vAlign w:val="center"/>
          </w:tcPr>
          <w:p w14:paraId="4B510CBE">
            <w:pPr>
              <w:spacing w:line="240" w:lineRule="auto"/>
              <w:jc w:val="right"/>
            </w:pPr>
            <w:r>
              <w:rPr>
                <w:rFonts w:ascii="宋体" w:hAnsi="宋体" w:eastAsia="宋体" w:cs="宋体"/>
                <w:b w:val="0"/>
              </w:rPr>
              <w:t>479.20</w:t>
            </w:r>
          </w:p>
        </w:tc>
        <w:tc>
          <w:tcPr>
            <w:tcW w:w="0" w:type="dxa"/>
            <w:vAlign w:val="center"/>
          </w:tcPr>
          <w:p w14:paraId="611F4CB3">
            <w:pPr>
              <w:spacing w:line="240" w:lineRule="auto"/>
              <w:jc w:val="right"/>
            </w:pPr>
            <w:r>
              <w:rPr>
                <w:rFonts w:ascii="宋体" w:hAnsi="宋体" w:eastAsia="宋体" w:cs="宋体"/>
                <w:b w:val="0"/>
              </w:rPr>
              <w:t>29.81</w:t>
            </w:r>
          </w:p>
        </w:tc>
      </w:tr>
      <w:tr w14:paraId="715F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BC157D">
            <w:pPr>
              <w:spacing w:line="240" w:lineRule="auto"/>
              <w:jc w:val="left"/>
            </w:pPr>
            <w:r>
              <w:rPr>
                <w:rFonts w:ascii="宋体" w:hAnsi="宋体" w:eastAsia="宋体" w:cs="宋体"/>
                <w:b w:val="0"/>
              </w:rPr>
              <w:t>应付利润</w:t>
            </w:r>
          </w:p>
        </w:tc>
        <w:tc>
          <w:tcPr>
            <w:tcW w:w="0" w:type="dxa"/>
            <w:vAlign w:val="center"/>
          </w:tcPr>
          <w:p w14:paraId="731DA6CF">
            <w:pPr>
              <w:spacing w:line="240" w:lineRule="auto"/>
              <w:jc w:val="center"/>
            </w:pPr>
          </w:p>
        </w:tc>
        <w:tc>
          <w:tcPr>
            <w:tcW w:w="0" w:type="dxa"/>
            <w:vAlign w:val="center"/>
          </w:tcPr>
          <w:p w14:paraId="7A41ECAE">
            <w:pPr>
              <w:spacing w:line="240" w:lineRule="auto"/>
              <w:jc w:val="right"/>
            </w:pPr>
            <w:r>
              <w:rPr>
                <w:rFonts w:ascii="宋体" w:hAnsi="宋体" w:eastAsia="宋体" w:cs="宋体"/>
                <w:b w:val="0"/>
              </w:rPr>
              <w:t>-</w:t>
            </w:r>
          </w:p>
        </w:tc>
        <w:tc>
          <w:tcPr>
            <w:tcW w:w="0" w:type="dxa"/>
            <w:vAlign w:val="center"/>
          </w:tcPr>
          <w:p w14:paraId="69C18EA4">
            <w:pPr>
              <w:spacing w:line="240" w:lineRule="auto"/>
              <w:jc w:val="right"/>
            </w:pPr>
            <w:r>
              <w:rPr>
                <w:rFonts w:ascii="宋体" w:hAnsi="宋体" w:eastAsia="宋体" w:cs="宋体"/>
                <w:b w:val="0"/>
              </w:rPr>
              <w:t>-</w:t>
            </w:r>
          </w:p>
        </w:tc>
      </w:tr>
      <w:tr w14:paraId="41593E44">
        <w:tblPrEx>
          <w:tblCellMar>
            <w:top w:w="0" w:type="dxa"/>
            <w:left w:w="108" w:type="dxa"/>
            <w:bottom w:w="0" w:type="dxa"/>
            <w:right w:w="108" w:type="dxa"/>
          </w:tblCellMar>
        </w:tblPrEx>
        <w:tc>
          <w:tcPr>
            <w:tcW w:w="0" w:type="dxa"/>
            <w:vAlign w:val="center"/>
          </w:tcPr>
          <w:p w14:paraId="4B3D8DF3">
            <w:pPr>
              <w:spacing w:line="240" w:lineRule="auto"/>
              <w:jc w:val="left"/>
            </w:pPr>
            <w:r>
              <w:rPr>
                <w:rFonts w:ascii="宋体" w:hAnsi="宋体" w:eastAsia="宋体" w:cs="宋体"/>
                <w:b w:val="0"/>
              </w:rPr>
              <w:t>递延所得税负债</w:t>
            </w:r>
          </w:p>
        </w:tc>
        <w:tc>
          <w:tcPr>
            <w:tcW w:w="0" w:type="dxa"/>
            <w:vAlign w:val="center"/>
          </w:tcPr>
          <w:p w14:paraId="01ADB1CE">
            <w:pPr>
              <w:spacing w:line="240" w:lineRule="auto"/>
              <w:jc w:val="center"/>
            </w:pPr>
          </w:p>
        </w:tc>
        <w:tc>
          <w:tcPr>
            <w:tcW w:w="0" w:type="dxa"/>
            <w:vAlign w:val="center"/>
          </w:tcPr>
          <w:p w14:paraId="104E3674">
            <w:pPr>
              <w:spacing w:line="240" w:lineRule="auto"/>
              <w:jc w:val="right"/>
            </w:pPr>
            <w:r>
              <w:rPr>
                <w:rFonts w:ascii="宋体" w:hAnsi="宋体" w:eastAsia="宋体" w:cs="宋体"/>
                <w:b w:val="0"/>
              </w:rPr>
              <w:t>-</w:t>
            </w:r>
          </w:p>
        </w:tc>
        <w:tc>
          <w:tcPr>
            <w:tcW w:w="0" w:type="dxa"/>
            <w:vAlign w:val="center"/>
          </w:tcPr>
          <w:p w14:paraId="64081E3A">
            <w:pPr>
              <w:spacing w:line="240" w:lineRule="auto"/>
              <w:jc w:val="right"/>
            </w:pPr>
            <w:r>
              <w:rPr>
                <w:rFonts w:ascii="宋体" w:hAnsi="宋体" w:eastAsia="宋体" w:cs="宋体"/>
                <w:b w:val="0"/>
              </w:rPr>
              <w:t>-</w:t>
            </w:r>
          </w:p>
        </w:tc>
      </w:tr>
      <w:tr w14:paraId="2414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F3CE86">
            <w:pPr>
              <w:spacing w:line="240" w:lineRule="auto"/>
              <w:jc w:val="left"/>
            </w:pPr>
            <w:r>
              <w:rPr>
                <w:rFonts w:ascii="宋体" w:hAnsi="宋体" w:eastAsia="宋体" w:cs="宋体"/>
                <w:b w:val="0"/>
              </w:rPr>
              <w:t>其他负债</w:t>
            </w:r>
          </w:p>
        </w:tc>
        <w:tc>
          <w:tcPr>
            <w:tcW w:w="0" w:type="dxa"/>
            <w:vAlign w:val="center"/>
          </w:tcPr>
          <w:p w14:paraId="4304C43A">
            <w:pPr>
              <w:spacing w:line="240" w:lineRule="auto"/>
              <w:jc w:val="center"/>
            </w:pPr>
            <w:r>
              <w:rPr>
                <w:rFonts w:ascii="宋体" w:hAnsi="宋体" w:eastAsia="宋体" w:cs="宋体"/>
                <w:b w:val="0"/>
              </w:rPr>
              <w:t>6.4.7.6</w:t>
            </w:r>
          </w:p>
        </w:tc>
        <w:tc>
          <w:tcPr>
            <w:tcW w:w="0" w:type="dxa"/>
            <w:vAlign w:val="center"/>
          </w:tcPr>
          <w:p w14:paraId="753649AD">
            <w:pPr>
              <w:spacing w:line="240" w:lineRule="auto"/>
              <w:jc w:val="right"/>
            </w:pPr>
            <w:r>
              <w:rPr>
                <w:rFonts w:ascii="宋体" w:hAnsi="宋体" w:eastAsia="宋体" w:cs="宋体"/>
                <w:b w:val="0"/>
              </w:rPr>
              <w:t>44,709.94</w:t>
            </w:r>
          </w:p>
        </w:tc>
        <w:tc>
          <w:tcPr>
            <w:tcW w:w="0" w:type="dxa"/>
            <w:vAlign w:val="center"/>
          </w:tcPr>
          <w:p w14:paraId="683E27DA">
            <w:pPr>
              <w:spacing w:line="240" w:lineRule="auto"/>
              <w:jc w:val="right"/>
            </w:pPr>
            <w:r>
              <w:rPr>
                <w:rFonts w:ascii="宋体" w:hAnsi="宋体" w:eastAsia="宋体" w:cs="宋体"/>
                <w:b w:val="0"/>
              </w:rPr>
              <w:t>5,012.21</w:t>
            </w:r>
          </w:p>
        </w:tc>
      </w:tr>
      <w:tr w14:paraId="38D5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D91DF5">
            <w:pPr>
              <w:spacing w:line="240" w:lineRule="auto"/>
              <w:jc w:val="left"/>
            </w:pPr>
            <w:r>
              <w:rPr>
                <w:rFonts w:ascii="宋体" w:hAnsi="宋体" w:eastAsia="宋体" w:cs="宋体"/>
                <w:b w:val="0"/>
              </w:rPr>
              <w:t>负债合计</w:t>
            </w:r>
          </w:p>
        </w:tc>
        <w:tc>
          <w:tcPr>
            <w:tcW w:w="0" w:type="dxa"/>
            <w:vAlign w:val="center"/>
          </w:tcPr>
          <w:p w14:paraId="6FAAB98A">
            <w:pPr>
              <w:spacing w:line="240" w:lineRule="auto"/>
              <w:jc w:val="center"/>
            </w:pPr>
          </w:p>
        </w:tc>
        <w:tc>
          <w:tcPr>
            <w:tcW w:w="0" w:type="dxa"/>
            <w:vAlign w:val="center"/>
          </w:tcPr>
          <w:p w14:paraId="28892347">
            <w:pPr>
              <w:spacing w:line="240" w:lineRule="auto"/>
              <w:jc w:val="right"/>
            </w:pPr>
            <w:r>
              <w:rPr>
                <w:rFonts w:ascii="宋体" w:hAnsi="宋体" w:eastAsia="宋体" w:cs="宋体"/>
                <w:b w:val="0"/>
              </w:rPr>
              <w:t>7,526,128.19</w:t>
            </w:r>
          </w:p>
        </w:tc>
        <w:tc>
          <w:tcPr>
            <w:tcW w:w="0" w:type="dxa"/>
            <w:vAlign w:val="center"/>
          </w:tcPr>
          <w:p w14:paraId="3A01F123">
            <w:pPr>
              <w:spacing w:line="240" w:lineRule="auto"/>
              <w:jc w:val="right"/>
            </w:pPr>
            <w:r>
              <w:rPr>
                <w:rFonts w:ascii="宋体" w:hAnsi="宋体" w:eastAsia="宋体" w:cs="宋体"/>
                <w:b w:val="0"/>
              </w:rPr>
              <w:t>3,981,391.27</w:t>
            </w:r>
          </w:p>
        </w:tc>
      </w:tr>
      <w:tr w14:paraId="2E40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9B9D23C">
            <w:pPr>
              <w:spacing w:line="240" w:lineRule="auto"/>
              <w:jc w:val="left"/>
            </w:pPr>
            <w:r>
              <w:rPr>
                <w:rFonts w:ascii="宋体" w:hAnsi="宋体" w:eastAsia="宋体" w:cs="宋体"/>
                <w:b/>
              </w:rPr>
              <w:t>净资产：</w:t>
            </w:r>
          </w:p>
        </w:tc>
        <w:tc>
          <w:tcPr>
            <w:tcW w:w="0" w:type="dxa"/>
            <w:vAlign w:val="center"/>
          </w:tcPr>
          <w:p w14:paraId="742386D2">
            <w:pPr>
              <w:spacing w:line="240" w:lineRule="auto"/>
              <w:jc w:val="center"/>
            </w:pPr>
          </w:p>
        </w:tc>
        <w:tc>
          <w:tcPr>
            <w:tcW w:w="0" w:type="dxa"/>
            <w:vAlign w:val="center"/>
          </w:tcPr>
          <w:p w14:paraId="725F2C37">
            <w:pPr>
              <w:spacing w:line="240" w:lineRule="auto"/>
              <w:jc w:val="center"/>
            </w:pPr>
          </w:p>
        </w:tc>
        <w:tc>
          <w:tcPr>
            <w:tcW w:w="0" w:type="dxa"/>
            <w:vAlign w:val="center"/>
          </w:tcPr>
          <w:p w14:paraId="59457BE6">
            <w:pPr>
              <w:spacing w:line="240" w:lineRule="auto"/>
              <w:jc w:val="center"/>
            </w:pPr>
          </w:p>
        </w:tc>
      </w:tr>
      <w:tr w14:paraId="2038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777C68">
            <w:pPr>
              <w:spacing w:line="240" w:lineRule="auto"/>
              <w:jc w:val="left"/>
            </w:pPr>
            <w:r>
              <w:rPr>
                <w:rFonts w:ascii="宋体" w:hAnsi="宋体" w:eastAsia="宋体" w:cs="宋体"/>
                <w:b w:val="0"/>
              </w:rPr>
              <w:t>实收基金</w:t>
            </w:r>
          </w:p>
        </w:tc>
        <w:tc>
          <w:tcPr>
            <w:tcW w:w="0" w:type="dxa"/>
            <w:vAlign w:val="center"/>
          </w:tcPr>
          <w:p w14:paraId="41DADE1D">
            <w:pPr>
              <w:spacing w:line="240" w:lineRule="auto"/>
              <w:jc w:val="center"/>
            </w:pPr>
            <w:r>
              <w:rPr>
                <w:rFonts w:ascii="宋体" w:hAnsi="宋体" w:eastAsia="宋体" w:cs="宋体"/>
                <w:b w:val="0"/>
              </w:rPr>
              <w:t>6.4.7.7</w:t>
            </w:r>
          </w:p>
        </w:tc>
        <w:tc>
          <w:tcPr>
            <w:tcW w:w="0" w:type="dxa"/>
            <w:vAlign w:val="center"/>
          </w:tcPr>
          <w:p w14:paraId="6ACD4FCD">
            <w:pPr>
              <w:spacing w:line="240" w:lineRule="auto"/>
              <w:jc w:val="right"/>
            </w:pPr>
            <w:r>
              <w:rPr>
                <w:rFonts w:ascii="宋体" w:hAnsi="宋体" w:eastAsia="宋体" w:cs="宋体"/>
                <w:b w:val="0"/>
              </w:rPr>
              <w:t>381,358,247.77</w:t>
            </w:r>
          </w:p>
        </w:tc>
        <w:tc>
          <w:tcPr>
            <w:tcW w:w="0" w:type="dxa"/>
            <w:vAlign w:val="center"/>
          </w:tcPr>
          <w:p w14:paraId="7B65E93B">
            <w:pPr>
              <w:spacing w:line="240" w:lineRule="auto"/>
              <w:jc w:val="right"/>
            </w:pPr>
            <w:r>
              <w:rPr>
                <w:rFonts w:ascii="宋体" w:hAnsi="宋体" w:eastAsia="宋体" w:cs="宋体"/>
                <w:b w:val="0"/>
              </w:rPr>
              <w:t>57,518,550.99</w:t>
            </w:r>
          </w:p>
        </w:tc>
      </w:tr>
      <w:tr w14:paraId="630C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3D2B8FB">
            <w:pPr>
              <w:spacing w:line="240" w:lineRule="auto"/>
              <w:jc w:val="left"/>
            </w:pPr>
            <w:r>
              <w:rPr>
                <w:rFonts w:ascii="宋体" w:hAnsi="宋体" w:eastAsia="宋体" w:cs="宋体"/>
                <w:b w:val="0"/>
              </w:rPr>
              <w:t>未分配利润</w:t>
            </w:r>
          </w:p>
        </w:tc>
        <w:tc>
          <w:tcPr>
            <w:tcW w:w="0" w:type="dxa"/>
            <w:vAlign w:val="center"/>
          </w:tcPr>
          <w:p w14:paraId="3043E5D6">
            <w:pPr>
              <w:spacing w:line="240" w:lineRule="auto"/>
              <w:jc w:val="center"/>
            </w:pPr>
            <w:r>
              <w:rPr>
                <w:rFonts w:ascii="宋体" w:hAnsi="宋体" w:eastAsia="宋体" w:cs="宋体"/>
                <w:b w:val="0"/>
              </w:rPr>
              <w:t>6.4.7.8</w:t>
            </w:r>
          </w:p>
        </w:tc>
        <w:tc>
          <w:tcPr>
            <w:tcW w:w="0" w:type="dxa"/>
            <w:vAlign w:val="center"/>
          </w:tcPr>
          <w:p w14:paraId="2BDCFDC0">
            <w:pPr>
              <w:spacing w:line="240" w:lineRule="auto"/>
              <w:jc w:val="right"/>
            </w:pPr>
            <w:r>
              <w:rPr>
                <w:rFonts w:ascii="宋体" w:hAnsi="宋体" w:eastAsia="宋体" w:cs="宋体"/>
                <w:b w:val="0"/>
              </w:rPr>
              <w:t>552,487,778.03</w:t>
            </w:r>
          </w:p>
        </w:tc>
        <w:tc>
          <w:tcPr>
            <w:tcW w:w="0" w:type="dxa"/>
            <w:vAlign w:val="center"/>
          </w:tcPr>
          <w:p w14:paraId="42A0CF5C">
            <w:pPr>
              <w:spacing w:line="240" w:lineRule="auto"/>
              <w:jc w:val="right"/>
            </w:pPr>
            <w:r>
              <w:rPr>
                <w:rFonts w:ascii="宋体" w:hAnsi="宋体" w:eastAsia="宋体" w:cs="宋体"/>
                <w:b w:val="0"/>
              </w:rPr>
              <w:t>1,654,219.32</w:t>
            </w:r>
          </w:p>
        </w:tc>
      </w:tr>
      <w:tr w14:paraId="4E33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41BCA8">
            <w:pPr>
              <w:spacing w:line="240" w:lineRule="auto"/>
              <w:jc w:val="left"/>
            </w:pPr>
            <w:r>
              <w:rPr>
                <w:rFonts w:ascii="宋体" w:hAnsi="宋体" w:eastAsia="宋体" w:cs="宋体"/>
                <w:b w:val="0"/>
              </w:rPr>
              <w:t>净资产合计</w:t>
            </w:r>
          </w:p>
        </w:tc>
        <w:tc>
          <w:tcPr>
            <w:tcW w:w="0" w:type="dxa"/>
            <w:vAlign w:val="center"/>
          </w:tcPr>
          <w:p w14:paraId="66EBEF33">
            <w:pPr>
              <w:spacing w:line="240" w:lineRule="auto"/>
              <w:jc w:val="center"/>
            </w:pPr>
          </w:p>
        </w:tc>
        <w:tc>
          <w:tcPr>
            <w:tcW w:w="0" w:type="dxa"/>
            <w:vAlign w:val="center"/>
          </w:tcPr>
          <w:p w14:paraId="6ECB0045">
            <w:pPr>
              <w:spacing w:line="240" w:lineRule="auto"/>
              <w:jc w:val="right"/>
            </w:pPr>
            <w:r>
              <w:rPr>
                <w:rFonts w:ascii="宋体" w:hAnsi="宋体" w:eastAsia="宋体" w:cs="宋体"/>
                <w:b w:val="0"/>
              </w:rPr>
              <w:t>933,846,025.80</w:t>
            </w:r>
          </w:p>
        </w:tc>
        <w:tc>
          <w:tcPr>
            <w:tcW w:w="0" w:type="dxa"/>
            <w:vAlign w:val="center"/>
          </w:tcPr>
          <w:p w14:paraId="408D937A">
            <w:pPr>
              <w:spacing w:line="240" w:lineRule="auto"/>
              <w:jc w:val="right"/>
            </w:pPr>
            <w:r>
              <w:rPr>
                <w:rFonts w:ascii="宋体" w:hAnsi="宋体" w:eastAsia="宋体" w:cs="宋体"/>
                <w:b w:val="0"/>
              </w:rPr>
              <w:t>59,172,770.31</w:t>
            </w:r>
          </w:p>
        </w:tc>
      </w:tr>
      <w:tr w14:paraId="36D2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E473612">
            <w:pPr>
              <w:spacing w:line="240" w:lineRule="auto"/>
              <w:jc w:val="left"/>
            </w:pPr>
            <w:r>
              <w:rPr>
                <w:rFonts w:ascii="宋体" w:hAnsi="宋体" w:eastAsia="宋体" w:cs="宋体"/>
                <w:b w:val="0"/>
              </w:rPr>
              <w:t>负债和净资产总计</w:t>
            </w:r>
          </w:p>
        </w:tc>
        <w:tc>
          <w:tcPr>
            <w:tcW w:w="0" w:type="dxa"/>
            <w:vAlign w:val="center"/>
          </w:tcPr>
          <w:p w14:paraId="083C49C9">
            <w:pPr>
              <w:spacing w:line="240" w:lineRule="auto"/>
              <w:jc w:val="center"/>
            </w:pPr>
          </w:p>
        </w:tc>
        <w:tc>
          <w:tcPr>
            <w:tcW w:w="0" w:type="dxa"/>
            <w:vAlign w:val="center"/>
          </w:tcPr>
          <w:p w14:paraId="4E585E95">
            <w:pPr>
              <w:spacing w:line="240" w:lineRule="auto"/>
              <w:jc w:val="right"/>
            </w:pPr>
            <w:r>
              <w:rPr>
                <w:rFonts w:ascii="宋体" w:hAnsi="宋体" w:eastAsia="宋体" w:cs="宋体"/>
                <w:b w:val="0"/>
              </w:rPr>
              <w:t>941,372,153.99</w:t>
            </w:r>
          </w:p>
        </w:tc>
        <w:tc>
          <w:tcPr>
            <w:tcW w:w="0" w:type="dxa"/>
            <w:vAlign w:val="center"/>
          </w:tcPr>
          <w:p w14:paraId="106A9093">
            <w:pPr>
              <w:spacing w:line="240" w:lineRule="auto"/>
              <w:jc w:val="right"/>
            </w:pPr>
            <w:r>
              <w:rPr>
                <w:rFonts w:ascii="宋体" w:hAnsi="宋体" w:eastAsia="宋体" w:cs="宋体"/>
                <w:b w:val="0"/>
              </w:rPr>
              <w:t>63,154,161.58</w:t>
            </w:r>
          </w:p>
        </w:tc>
      </w:tr>
    </w:tbl>
    <w:p w14:paraId="2D744738">
      <w:r>
        <w:rPr>
          <w:rFonts w:ascii="宋体" w:hAnsi="宋体" w:eastAsia="宋体" w:cs="宋体"/>
          <w:b w:val="0"/>
        </w:rPr>
        <w:t>注：报告截止日2026年06月30日，东方阿尔法科技优选混合型发起式证券投资基金A类基金份额净值2.4580元，C类基金份额净值2.4478元，基金总份额381,358,247.77份，其中A类基金份额35,990,901.20份，C类基金份额345,367,346.57份。</w:t>
      </w:r>
    </w:p>
    <w:p w14:paraId="52603C85"/>
    <w:p w14:paraId="56B70D94">
      <w:pPr>
        <w:pStyle w:val="3"/>
        <w:jc w:val="left"/>
      </w:pPr>
      <w:bookmarkStart w:id="29" w:name="_Toc28784"/>
      <w:r>
        <w:rPr>
          <w:rFonts w:ascii="宋体" w:hAnsi="宋体" w:eastAsia="宋体" w:cs="宋体"/>
        </w:rPr>
        <w:t>6.2 利润表</w:t>
      </w:r>
      <w:bookmarkEnd w:id="29"/>
    </w:p>
    <w:p w14:paraId="316E3995">
      <w:pPr>
        <w:jc w:val="left"/>
      </w:pPr>
      <w:r>
        <w:rPr>
          <w:rFonts w:ascii="宋体" w:hAnsi="宋体" w:eastAsia="宋体" w:cs="宋体"/>
          <w:b w:val="0"/>
        </w:rPr>
        <w:t>会计主体：东方阿尔法科技优选混合型发起式证券投资基金</w:t>
      </w:r>
    </w:p>
    <w:p w14:paraId="59AE47F1">
      <w:pPr>
        <w:jc w:val="left"/>
      </w:pPr>
      <w:r>
        <w:rPr>
          <w:rFonts w:ascii="宋体" w:hAnsi="宋体" w:eastAsia="宋体" w:cs="宋体"/>
          <w:b w:val="0"/>
        </w:rPr>
        <w:t>本报告期：2026年01月01日至2026年06月30日</w:t>
      </w:r>
    </w:p>
    <w:p w14:paraId="5CDFAA3E">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1547"/>
        <w:gridCol w:w="2322"/>
        <w:gridCol w:w="2322"/>
      </w:tblGrid>
      <w:tr w14:paraId="67C4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5E992408">
            <w:pPr>
              <w:spacing w:line="240" w:lineRule="auto"/>
              <w:jc w:val="center"/>
            </w:pPr>
            <w:r>
              <w:rPr>
                <w:rFonts w:ascii="宋体" w:hAnsi="宋体" w:eastAsia="宋体" w:cs="宋体"/>
                <w:b/>
              </w:rPr>
              <w:t>项 目</w:t>
            </w:r>
          </w:p>
        </w:tc>
        <w:tc>
          <w:tcPr>
            <w:tcW w:w="769" w:type="pct"/>
            <w:shd w:val="clear" w:color="auto" w:fill="D9D9D9"/>
            <w:vAlign w:val="center"/>
          </w:tcPr>
          <w:p w14:paraId="5F54EC46">
            <w:pPr>
              <w:spacing w:line="240" w:lineRule="auto"/>
              <w:jc w:val="center"/>
            </w:pPr>
            <w:r>
              <w:rPr>
                <w:rFonts w:ascii="宋体" w:hAnsi="宋体" w:eastAsia="宋体" w:cs="宋体"/>
                <w:b/>
              </w:rPr>
              <w:t>附注号</w:t>
            </w:r>
          </w:p>
        </w:tc>
        <w:tc>
          <w:tcPr>
            <w:tcW w:w="1154" w:type="pct"/>
            <w:shd w:val="clear" w:color="auto" w:fill="D9D9D9"/>
            <w:vAlign w:val="center"/>
          </w:tcPr>
          <w:p w14:paraId="16D87030">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c>
          <w:tcPr>
            <w:tcW w:w="1154" w:type="pct"/>
            <w:shd w:val="clear" w:color="auto" w:fill="D9D9D9"/>
            <w:vAlign w:val="center"/>
          </w:tcPr>
          <w:p w14:paraId="2B6C2E84">
            <w:pPr>
              <w:spacing w:line="240" w:lineRule="auto"/>
              <w:jc w:val="center"/>
            </w:pPr>
            <w:r>
              <w:rPr>
                <w:rFonts w:ascii="宋体" w:hAnsi="宋体" w:eastAsia="宋体" w:cs="宋体"/>
                <w:b/>
              </w:rPr>
              <w:t>上年度可比期间</w:t>
            </w:r>
            <w:r>
              <w:br w:type="textWrapping"/>
            </w:r>
            <w:r>
              <w:rPr>
                <w:rFonts w:ascii="宋体" w:hAnsi="宋体" w:eastAsia="宋体" w:cs="宋体"/>
                <w:b/>
              </w:rPr>
              <w:t>2025年06月06日（基金合同生效日）至2025年06月30日</w:t>
            </w:r>
          </w:p>
        </w:tc>
      </w:tr>
      <w:tr w14:paraId="70A3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373358">
            <w:pPr>
              <w:spacing w:line="240" w:lineRule="auto"/>
              <w:jc w:val="left"/>
            </w:pPr>
            <w:r>
              <w:rPr>
                <w:rFonts w:ascii="宋体" w:hAnsi="宋体" w:eastAsia="宋体" w:cs="宋体"/>
                <w:b/>
              </w:rPr>
              <w:t>一、营业总收入</w:t>
            </w:r>
          </w:p>
        </w:tc>
        <w:tc>
          <w:tcPr>
            <w:tcW w:w="0" w:type="dxa"/>
            <w:vAlign w:val="center"/>
          </w:tcPr>
          <w:p w14:paraId="1107E6F6">
            <w:pPr>
              <w:spacing w:line="240" w:lineRule="auto"/>
              <w:jc w:val="center"/>
            </w:pPr>
          </w:p>
        </w:tc>
        <w:tc>
          <w:tcPr>
            <w:tcW w:w="0" w:type="dxa"/>
            <w:vAlign w:val="center"/>
          </w:tcPr>
          <w:p w14:paraId="20521C26">
            <w:pPr>
              <w:spacing w:line="240" w:lineRule="auto"/>
              <w:jc w:val="right"/>
            </w:pPr>
            <w:r>
              <w:rPr>
                <w:rFonts w:ascii="宋体" w:hAnsi="宋体" w:eastAsia="宋体" w:cs="宋体"/>
                <w:b w:val="0"/>
              </w:rPr>
              <w:t>233,755,332.42</w:t>
            </w:r>
          </w:p>
        </w:tc>
        <w:tc>
          <w:tcPr>
            <w:tcW w:w="0" w:type="dxa"/>
            <w:vAlign w:val="center"/>
          </w:tcPr>
          <w:p w14:paraId="1ED641A7">
            <w:pPr>
              <w:spacing w:line="240" w:lineRule="auto"/>
              <w:jc w:val="right"/>
            </w:pPr>
            <w:r>
              <w:rPr>
                <w:rFonts w:ascii="宋体" w:hAnsi="宋体" w:eastAsia="宋体" w:cs="宋体"/>
                <w:b w:val="0"/>
              </w:rPr>
              <w:t>-64,162.19</w:t>
            </w:r>
          </w:p>
        </w:tc>
      </w:tr>
      <w:tr w14:paraId="1D22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48C7B6">
            <w:pPr>
              <w:spacing w:line="240" w:lineRule="auto"/>
              <w:jc w:val="left"/>
            </w:pPr>
            <w:r>
              <w:rPr>
                <w:rFonts w:ascii="宋体" w:hAnsi="宋体" w:eastAsia="宋体" w:cs="宋体"/>
                <w:b w:val="0"/>
              </w:rPr>
              <w:t>1.利息收入</w:t>
            </w:r>
          </w:p>
        </w:tc>
        <w:tc>
          <w:tcPr>
            <w:tcW w:w="0" w:type="dxa"/>
            <w:vAlign w:val="center"/>
          </w:tcPr>
          <w:p w14:paraId="6646CCCF">
            <w:pPr>
              <w:spacing w:line="240" w:lineRule="auto"/>
              <w:jc w:val="center"/>
            </w:pPr>
          </w:p>
        </w:tc>
        <w:tc>
          <w:tcPr>
            <w:tcW w:w="0" w:type="dxa"/>
            <w:vAlign w:val="center"/>
          </w:tcPr>
          <w:p w14:paraId="1B5085AF">
            <w:pPr>
              <w:spacing w:line="240" w:lineRule="auto"/>
              <w:jc w:val="right"/>
            </w:pPr>
            <w:r>
              <w:rPr>
                <w:rFonts w:ascii="宋体" w:hAnsi="宋体" w:eastAsia="宋体" w:cs="宋体"/>
                <w:b w:val="0"/>
              </w:rPr>
              <w:t>2,590.24</w:t>
            </w:r>
          </w:p>
        </w:tc>
        <w:tc>
          <w:tcPr>
            <w:tcW w:w="0" w:type="dxa"/>
            <w:vAlign w:val="center"/>
          </w:tcPr>
          <w:p w14:paraId="1A54141B">
            <w:pPr>
              <w:spacing w:line="240" w:lineRule="auto"/>
              <w:jc w:val="right"/>
            </w:pPr>
            <w:r>
              <w:rPr>
                <w:rFonts w:ascii="宋体" w:hAnsi="宋体" w:eastAsia="宋体" w:cs="宋体"/>
                <w:b w:val="0"/>
              </w:rPr>
              <w:t>105.82</w:t>
            </w:r>
          </w:p>
        </w:tc>
      </w:tr>
      <w:tr w14:paraId="3D61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9AA413">
            <w:pPr>
              <w:spacing w:line="240" w:lineRule="auto"/>
              <w:jc w:val="left"/>
            </w:pPr>
            <w:r>
              <w:rPr>
                <w:rFonts w:ascii="宋体" w:hAnsi="宋体" w:eastAsia="宋体" w:cs="宋体"/>
                <w:b w:val="0"/>
              </w:rPr>
              <w:t>其中：存款利息收入</w:t>
            </w:r>
          </w:p>
        </w:tc>
        <w:tc>
          <w:tcPr>
            <w:tcW w:w="0" w:type="dxa"/>
            <w:vAlign w:val="center"/>
          </w:tcPr>
          <w:p w14:paraId="43F38F75">
            <w:pPr>
              <w:spacing w:line="240" w:lineRule="auto"/>
              <w:jc w:val="center"/>
            </w:pPr>
            <w:r>
              <w:rPr>
                <w:rFonts w:ascii="宋体" w:hAnsi="宋体" w:eastAsia="宋体" w:cs="宋体"/>
                <w:b w:val="0"/>
              </w:rPr>
              <w:t>6.4.7.9</w:t>
            </w:r>
          </w:p>
        </w:tc>
        <w:tc>
          <w:tcPr>
            <w:tcW w:w="0" w:type="dxa"/>
            <w:vAlign w:val="center"/>
          </w:tcPr>
          <w:p w14:paraId="0E4653E1">
            <w:pPr>
              <w:spacing w:line="240" w:lineRule="auto"/>
              <w:jc w:val="right"/>
            </w:pPr>
            <w:r>
              <w:rPr>
                <w:rFonts w:ascii="宋体" w:hAnsi="宋体" w:eastAsia="宋体" w:cs="宋体"/>
                <w:b w:val="0"/>
              </w:rPr>
              <w:t>2,590.24</w:t>
            </w:r>
          </w:p>
        </w:tc>
        <w:tc>
          <w:tcPr>
            <w:tcW w:w="0" w:type="dxa"/>
            <w:vAlign w:val="center"/>
          </w:tcPr>
          <w:p w14:paraId="6D002FC3">
            <w:pPr>
              <w:spacing w:line="240" w:lineRule="auto"/>
              <w:jc w:val="right"/>
            </w:pPr>
            <w:r>
              <w:rPr>
                <w:rFonts w:ascii="宋体" w:hAnsi="宋体" w:eastAsia="宋体" w:cs="宋体"/>
                <w:b w:val="0"/>
              </w:rPr>
              <w:t>105.82</w:t>
            </w:r>
          </w:p>
        </w:tc>
      </w:tr>
      <w:tr w14:paraId="2DA0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EB06DE">
            <w:pPr>
              <w:spacing w:line="240" w:lineRule="auto"/>
              <w:jc w:val="left"/>
            </w:pPr>
            <w:r>
              <w:rPr>
                <w:rFonts w:ascii="宋体" w:hAnsi="宋体" w:eastAsia="宋体" w:cs="宋体"/>
                <w:b w:val="0"/>
              </w:rPr>
              <w:t xml:space="preserve">      债券利息收入</w:t>
            </w:r>
          </w:p>
        </w:tc>
        <w:tc>
          <w:tcPr>
            <w:tcW w:w="0" w:type="dxa"/>
            <w:vAlign w:val="center"/>
          </w:tcPr>
          <w:p w14:paraId="130AB1DF">
            <w:pPr>
              <w:spacing w:line="240" w:lineRule="auto"/>
              <w:jc w:val="center"/>
            </w:pPr>
          </w:p>
        </w:tc>
        <w:tc>
          <w:tcPr>
            <w:tcW w:w="0" w:type="dxa"/>
            <w:vAlign w:val="center"/>
          </w:tcPr>
          <w:p w14:paraId="2DFC11E7">
            <w:pPr>
              <w:spacing w:line="240" w:lineRule="auto"/>
              <w:jc w:val="right"/>
            </w:pPr>
            <w:r>
              <w:rPr>
                <w:rFonts w:ascii="宋体" w:hAnsi="宋体" w:eastAsia="宋体" w:cs="宋体"/>
                <w:b w:val="0"/>
              </w:rPr>
              <w:t>-</w:t>
            </w:r>
          </w:p>
        </w:tc>
        <w:tc>
          <w:tcPr>
            <w:tcW w:w="0" w:type="dxa"/>
            <w:vAlign w:val="center"/>
          </w:tcPr>
          <w:p w14:paraId="4BAD1A9E">
            <w:pPr>
              <w:spacing w:line="240" w:lineRule="auto"/>
              <w:jc w:val="right"/>
            </w:pPr>
            <w:r>
              <w:rPr>
                <w:rFonts w:ascii="宋体" w:hAnsi="宋体" w:eastAsia="宋体" w:cs="宋体"/>
                <w:b w:val="0"/>
              </w:rPr>
              <w:t>-</w:t>
            </w:r>
          </w:p>
        </w:tc>
      </w:tr>
      <w:tr w14:paraId="5C2B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6FE965">
            <w:pPr>
              <w:spacing w:line="240" w:lineRule="auto"/>
              <w:jc w:val="left"/>
            </w:pPr>
            <w:r>
              <w:rPr>
                <w:rFonts w:ascii="宋体" w:hAnsi="宋体" w:eastAsia="宋体" w:cs="宋体"/>
                <w:b w:val="0"/>
              </w:rPr>
              <w:t xml:space="preserve">      资产支持证券利息收入</w:t>
            </w:r>
          </w:p>
        </w:tc>
        <w:tc>
          <w:tcPr>
            <w:tcW w:w="0" w:type="dxa"/>
            <w:vAlign w:val="center"/>
          </w:tcPr>
          <w:p w14:paraId="4E24F13A">
            <w:pPr>
              <w:spacing w:line="240" w:lineRule="auto"/>
              <w:jc w:val="center"/>
            </w:pPr>
          </w:p>
        </w:tc>
        <w:tc>
          <w:tcPr>
            <w:tcW w:w="0" w:type="dxa"/>
            <w:vAlign w:val="center"/>
          </w:tcPr>
          <w:p w14:paraId="0A66CEDB">
            <w:pPr>
              <w:spacing w:line="240" w:lineRule="auto"/>
              <w:jc w:val="right"/>
            </w:pPr>
            <w:r>
              <w:rPr>
                <w:rFonts w:ascii="宋体" w:hAnsi="宋体" w:eastAsia="宋体" w:cs="宋体"/>
                <w:b w:val="0"/>
              </w:rPr>
              <w:t>-</w:t>
            </w:r>
          </w:p>
        </w:tc>
        <w:tc>
          <w:tcPr>
            <w:tcW w:w="0" w:type="dxa"/>
            <w:vAlign w:val="center"/>
          </w:tcPr>
          <w:p w14:paraId="715BD96C">
            <w:pPr>
              <w:spacing w:line="240" w:lineRule="auto"/>
              <w:jc w:val="right"/>
            </w:pPr>
            <w:r>
              <w:rPr>
                <w:rFonts w:ascii="宋体" w:hAnsi="宋体" w:eastAsia="宋体" w:cs="宋体"/>
                <w:b w:val="0"/>
              </w:rPr>
              <w:t>-</w:t>
            </w:r>
          </w:p>
        </w:tc>
      </w:tr>
      <w:tr w14:paraId="075C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C1E16B">
            <w:pPr>
              <w:spacing w:line="240" w:lineRule="auto"/>
              <w:jc w:val="left"/>
            </w:pPr>
            <w:r>
              <w:rPr>
                <w:rFonts w:ascii="宋体" w:hAnsi="宋体" w:eastAsia="宋体" w:cs="宋体"/>
                <w:b w:val="0"/>
              </w:rPr>
              <w:t xml:space="preserve">      买入返售金融资产收入</w:t>
            </w:r>
          </w:p>
        </w:tc>
        <w:tc>
          <w:tcPr>
            <w:tcW w:w="0" w:type="dxa"/>
            <w:vAlign w:val="center"/>
          </w:tcPr>
          <w:p w14:paraId="09A62CA7">
            <w:pPr>
              <w:spacing w:line="240" w:lineRule="auto"/>
              <w:jc w:val="center"/>
            </w:pPr>
          </w:p>
        </w:tc>
        <w:tc>
          <w:tcPr>
            <w:tcW w:w="0" w:type="dxa"/>
            <w:vAlign w:val="center"/>
          </w:tcPr>
          <w:p w14:paraId="04873B8B">
            <w:pPr>
              <w:spacing w:line="240" w:lineRule="auto"/>
              <w:jc w:val="right"/>
            </w:pPr>
            <w:r>
              <w:rPr>
                <w:rFonts w:ascii="宋体" w:hAnsi="宋体" w:eastAsia="宋体" w:cs="宋体"/>
                <w:b w:val="0"/>
              </w:rPr>
              <w:t>-</w:t>
            </w:r>
          </w:p>
        </w:tc>
        <w:tc>
          <w:tcPr>
            <w:tcW w:w="0" w:type="dxa"/>
            <w:vAlign w:val="center"/>
          </w:tcPr>
          <w:p w14:paraId="6B697461">
            <w:pPr>
              <w:spacing w:line="240" w:lineRule="auto"/>
              <w:jc w:val="right"/>
            </w:pPr>
            <w:r>
              <w:rPr>
                <w:rFonts w:ascii="宋体" w:hAnsi="宋体" w:eastAsia="宋体" w:cs="宋体"/>
                <w:b w:val="0"/>
              </w:rPr>
              <w:t>-</w:t>
            </w:r>
          </w:p>
        </w:tc>
      </w:tr>
      <w:tr w14:paraId="5684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9BBCA6">
            <w:pPr>
              <w:spacing w:line="240" w:lineRule="auto"/>
              <w:jc w:val="left"/>
            </w:pPr>
            <w:r>
              <w:rPr>
                <w:rFonts w:ascii="宋体" w:hAnsi="宋体" w:eastAsia="宋体" w:cs="宋体"/>
                <w:b w:val="0"/>
              </w:rPr>
              <w:t xml:space="preserve">      其他利息收入</w:t>
            </w:r>
          </w:p>
        </w:tc>
        <w:tc>
          <w:tcPr>
            <w:tcW w:w="0" w:type="dxa"/>
            <w:vAlign w:val="center"/>
          </w:tcPr>
          <w:p w14:paraId="71F91702">
            <w:pPr>
              <w:spacing w:line="240" w:lineRule="auto"/>
              <w:jc w:val="center"/>
            </w:pPr>
          </w:p>
        </w:tc>
        <w:tc>
          <w:tcPr>
            <w:tcW w:w="0" w:type="dxa"/>
            <w:vAlign w:val="center"/>
          </w:tcPr>
          <w:p w14:paraId="7A6F5F28">
            <w:pPr>
              <w:spacing w:line="240" w:lineRule="auto"/>
              <w:jc w:val="right"/>
            </w:pPr>
            <w:r>
              <w:rPr>
                <w:rFonts w:ascii="宋体" w:hAnsi="宋体" w:eastAsia="宋体" w:cs="宋体"/>
                <w:b w:val="0"/>
              </w:rPr>
              <w:t>-</w:t>
            </w:r>
          </w:p>
        </w:tc>
        <w:tc>
          <w:tcPr>
            <w:tcW w:w="0" w:type="dxa"/>
            <w:vAlign w:val="center"/>
          </w:tcPr>
          <w:p w14:paraId="2324CE43">
            <w:pPr>
              <w:spacing w:line="240" w:lineRule="auto"/>
              <w:jc w:val="right"/>
            </w:pPr>
            <w:r>
              <w:rPr>
                <w:rFonts w:ascii="宋体" w:hAnsi="宋体" w:eastAsia="宋体" w:cs="宋体"/>
                <w:b w:val="0"/>
              </w:rPr>
              <w:t>-</w:t>
            </w:r>
          </w:p>
        </w:tc>
      </w:tr>
      <w:tr w14:paraId="3CDB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8D8438">
            <w:pPr>
              <w:spacing w:line="240" w:lineRule="auto"/>
              <w:jc w:val="left"/>
            </w:pPr>
            <w:r>
              <w:rPr>
                <w:rFonts w:ascii="宋体" w:hAnsi="宋体" w:eastAsia="宋体" w:cs="宋体"/>
                <w:b w:val="0"/>
              </w:rPr>
              <w:t>2.投资收益（损失以“-”填列）</w:t>
            </w:r>
          </w:p>
        </w:tc>
        <w:tc>
          <w:tcPr>
            <w:tcW w:w="0" w:type="dxa"/>
            <w:vAlign w:val="center"/>
          </w:tcPr>
          <w:p w14:paraId="6AE00F92">
            <w:pPr>
              <w:spacing w:line="240" w:lineRule="auto"/>
              <w:jc w:val="center"/>
            </w:pPr>
          </w:p>
        </w:tc>
        <w:tc>
          <w:tcPr>
            <w:tcW w:w="0" w:type="dxa"/>
            <w:vAlign w:val="center"/>
          </w:tcPr>
          <w:p w14:paraId="6CB9D8C5">
            <w:pPr>
              <w:spacing w:line="240" w:lineRule="auto"/>
              <w:jc w:val="right"/>
            </w:pPr>
            <w:r>
              <w:rPr>
                <w:rFonts w:ascii="宋体" w:hAnsi="宋体" w:eastAsia="宋体" w:cs="宋体"/>
                <w:b w:val="0"/>
              </w:rPr>
              <w:t>26,451,162.71</w:t>
            </w:r>
          </w:p>
        </w:tc>
        <w:tc>
          <w:tcPr>
            <w:tcW w:w="0" w:type="dxa"/>
            <w:vAlign w:val="center"/>
          </w:tcPr>
          <w:p w14:paraId="5C37E565">
            <w:pPr>
              <w:spacing w:line="240" w:lineRule="auto"/>
              <w:jc w:val="right"/>
            </w:pPr>
            <w:r>
              <w:rPr>
                <w:rFonts w:ascii="宋体" w:hAnsi="宋体" w:eastAsia="宋体" w:cs="宋体"/>
                <w:b w:val="0"/>
              </w:rPr>
              <w:t>-138,239.37</w:t>
            </w:r>
          </w:p>
        </w:tc>
      </w:tr>
      <w:tr w14:paraId="424D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7FEF19">
            <w:pPr>
              <w:spacing w:line="240" w:lineRule="auto"/>
              <w:jc w:val="left"/>
            </w:pPr>
            <w:r>
              <w:rPr>
                <w:rFonts w:ascii="宋体" w:hAnsi="宋体" w:eastAsia="宋体" w:cs="宋体"/>
                <w:b w:val="0"/>
              </w:rPr>
              <w:t>其中：股票投资收益</w:t>
            </w:r>
          </w:p>
        </w:tc>
        <w:tc>
          <w:tcPr>
            <w:tcW w:w="0" w:type="dxa"/>
            <w:vAlign w:val="center"/>
          </w:tcPr>
          <w:p w14:paraId="742FDE19">
            <w:pPr>
              <w:spacing w:line="240" w:lineRule="auto"/>
              <w:jc w:val="center"/>
            </w:pPr>
            <w:r>
              <w:rPr>
                <w:rFonts w:ascii="宋体" w:hAnsi="宋体" w:eastAsia="宋体" w:cs="宋体"/>
                <w:b w:val="0"/>
              </w:rPr>
              <w:t>6.4.7.10</w:t>
            </w:r>
          </w:p>
        </w:tc>
        <w:tc>
          <w:tcPr>
            <w:tcW w:w="0" w:type="dxa"/>
            <w:vAlign w:val="center"/>
          </w:tcPr>
          <w:p w14:paraId="19F7DD01">
            <w:pPr>
              <w:spacing w:line="240" w:lineRule="auto"/>
              <w:jc w:val="right"/>
            </w:pPr>
            <w:r>
              <w:rPr>
                <w:rFonts w:ascii="宋体" w:hAnsi="宋体" w:eastAsia="宋体" w:cs="宋体"/>
                <w:b w:val="0"/>
              </w:rPr>
              <w:t>26,136,856.21</w:t>
            </w:r>
          </w:p>
        </w:tc>
        <w:tc>
          <w:tcPr>
            <w:tcW w:w="0" w:type="dxa"/>
            <w:vAlign w:val="center"/>
          </w:tcPr>
          <w:p w14:paraId="3CE91AA6">
            <w:pPr>
              <w:spacing w:line="240" w:lineRule="auto"/>
              <w:jc w:val="right"/>
            </w:pPr>
            <w:r>
              <w:rPr>
                <w:rFonts w:ascii="宋体" w:hAnsi="宋体" w:eastAsia="宋体" w:cs="宋体"/>
                <w:b w:val="0"/>
              </w:rPr>
              <w:t>-174,625.60</w:t>
            </w:r>
          </w:p>
        </w:tc>
      </w:tr>
      <w:tr w14:paraId="2FC4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DC10E1">
            <w:pPr>
              <w:spacing w:line="240" w:lineRule="auto"/>
              <w:jc w:val="left"/>
            </w:pPr>
            <w:r>
              <w:rPr>
                <w:rFonts w:ascii="宋体" w:hAnsi="宋体" w:eastAsia="宋体" w:cs="宋体"/>
                <w:b w:val="0"/>
              </w:rPr>
              <w:t xml:space="preserve">      基金投资收益</w:t>
            </w:r>
          </w:p>
        </w:tc>
        <w:tc>
          <w:tcPr>
            <w:tcW w:w="0" w:type="dxa"/>
            <w:vAlign w:val="center"/>
          </w:tcPr>
          <w:p w14:paraId="2A0A1B51">
            <w:pPr>
              <w:spacing w:line="240" w:lineRule="auto"/>
              <w:jc w:val="center"/>
            </w:pPr>
            <w:r>
              <w:rPr>
                <w:rFonts w:ascii="宋体" w:hAnsi="宋体" w:eastAsia="宋体" w:cs="宋体"/>
                <w:b w:val="0"/>
              </w:rPr>
              <w:t>6.4.7.11</w:t>
            </w:r>
          </w:p>
        </w:tc>
        <w:tc>
          <w:tcPr>
            <w:tcW w:w="0" w:type="dxa"/>
            <w:vAlign w:val="center"/>
          </w:tcPr>
          <w:p w14:paraId="3F94F8DA">
            <w:pPr>
              <w:spacing w:line="240" w:lineRule="auto"/>
              <w:jc w:val="right"/>
            </w:pPr>
            <w:r>
              <w:rPr>
                <w:rFonts w:ascii="宋体" w:hAnsi="宋体" w:eastAsia="宋体" w:cs="宋体"/>
                <w:b w:val="0"/>
              </w:rPr>
              <w:t>-</w:t>
            </w:r>
          </w:p>
        </w:tc>
        <w:tc>
          <w:tcPr>
            <w:tcW w:w="0" w:type="dxa"/>
            <w:vAlign w:val="center"/>
          </w:tcPr>
          <w:p w14:paraId="1BD5D9CB">
            <w:pPr>
              <w:spacing w:line="240" w:lineRule="auto"/>
              <w:jc w:val="right"/>
            </w:pPr>
            <w:r>
              <w:rPr>
                <w:rFonts w:ascii="宋体" w:hAnsi="宋体" w:eastAsia="宋体" w:cs="宋体"/>
                <w:b w:val="0"/>
              </w:rPr>
              <w:t>-</w:t>
            </w:r>
          </w:p>
        </w:tc>
      </w:tr>
      <w:tr w14:paraId="75AA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1D2863">
            <w:pPr>
              <w:spacing w:line="240" w:lineRule="auto"/>
              <w:jc w:val="left"/>
            </w:pPr>
            <w:r>
              <w:rPr>
                <w:rFonts w:ascii="宋体" w:hAnsi="宋体" w:eastAsia="宋体" w:cs="宋体"/>
                <w:b w:val="0"/>
              </w:rPr>
              <w:t xml:space="preserve">      债券投资收益</w:t>
            </w:r>
          </w:p>
        </w:tc>
        <w:tc>
          <w:tcPr>
            <w:tcW w:w="0" w:type="dxa"/>
            <w:vAlign w:val="center"/>
          </w:tcPr>
          <w:p w14:paraId="2456194D">
            <w:pPr>
              <w:spacing w:line="240" w:lineRule="auto"/>
              <w:jc w:val="center"/>
            </w:pPr>
            <w:r>
              <w:rPr>
                <w:rFonts w:ascii="宋体" w:hAnsi="宋体" w:eastAsia="宋体" w:cs="宋体"/>
                <w:b w:val="0"/>
              </w:rPr>
              <w:t>6.4.7.12</w:t>
            </w:r>
          </w:p>
        </w:tc>
        <w:tc>
          <w:tcPr>
            <w:tcW w:w="0" w:type="dxa"/>
            <w:vAlign w:val="center"/>
          </w:tcPr>
          <w:p w14:paraId="1DF1414D">
            <w:pPr>
              <w:spacing w:line="240" w:lineRule="auto"/>
              <w:jc w:val="right"/>
            </w:pPr>
            <w:r>
              <w:rPr>
                <w:rFonts w:ascii="宋体" w:hAnsi="宋体" w:eastAsia="宋体" w:cs="宋体"/>
                <w:b w:val="0"/>
              </w:rPr>
              <w:t>42,647.19</w:t>
            </w:r>
          </w:p>
        </w:tc>
        <w:tc>
          <w:tcPr>
            <w:tcW w:w="0" w:type="dxa"/>
            <w:vAlign w:val="center"/>
          </w:tcPr>
          <w:p w14:paraId="7BF83EA3">
            <w:pPr>
              <w:spacing w:line="240" w:lineRule="auto"/>
              <w:jc w:val="right"/>
            </w:pPr>
            <w:r>
              <w:rPr>
                <w:rFonts w:ascii="宋体" w:hAnsi="宋体" w:eastAsia="宋体" w:cs="宋体"/>
                <w:b w:val="0"/>
              </w:rPr>
              <w:t>280.05</w:t>
            </w:r>
          </w:p>
        </w:tc>
      </w:tr>
      <w:tr w14:paraId="5F0D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2F996E">
            <w:pPr>
              <w:spacing w:line="240" w:lineRule="auto"/>
              <w:jc w:val="left"/>
            </w:pPr>
            <w:r>
              <w:rPr>
                <w:rFonts w:ascii="宋体" w:hAnsi="宋体" w:eastAsia="宋体" w:cs="宋体"/>
                <w:b w:val="0"/>
              </w:rPr>
              <w:t xml:space="preserve">      资产支持证券投资收益</w:t>
            </w:r>
          </w:p>
        </w:tc>
        <w:tc>
          <w:tcPr>
            <w:tcW w:w="0" w:type="dxa"/>
            <w:vAlign w:val="center"/>
          </w:tcPr>
          <w:p w14:paraId="1D682300">
            <w:pPr>
              <w:spacing w:line="240" w:lineRule="auto"/>
              <w:jc w:val="center"/>
            </w:pPr>
            <w:r>
              <w:rPr>
                <w:rFonts w:ascii="宋体" w:hAnsi="宋体" w:eastAsia="宋体" w:cs="宋体"/>
                <w:b w:val="0"/>
              </w:rPr>
              <w:t>6.4.7.13</w:t>
            </w:r>
          </w:p>
        </w:tc>
        <w:tc>
          <w:tcPr>
            <w:tcW w:w="0" w:type="dxa"/>
            <w:vAlign w:val="center"/>
          </w:tcPr>
          <w:p w14:paraId="25C67D9D">
            <w:pPr>
              <w:spacing w:line="240" w:lineRule="auto"/>
              <w:jc w:val="right"/>
            </w:pPr>
            <w:r>
              <w:rPr>
                <w:rFonts w:ascii="宋体" w:hAnsi="宋体" w:eastAsia="宋体" w:cs="宋体"/>
                <w:b w:val="0"/>
              </w:rPr>
              <w:t>-</w:t>
            </w:r>
          </w:p>
        </w:tc>
        <w:tc>
          <w:tcPr>
            <w:tcW w:w="0" w:type="dxa"/>
            <w:vAlign w:val="center"/>
          </w:tcPr>
          <w:p w14:paraId="7792CC0D">
            <w:pPr>
              <w:spacing w:line="240" w:lineRule="auto"/>
              <w:jc w:val="right"/>
            </w:pPr>
            <w:r>
              <w:rPr>
                <w:rFonts w:ascii="宋体" w:hAnsi="宋体" w:eastAsia="宋体" w:cs="宋体"/>
                <w:b w:val="0"/>
              </w:rPr>
              <w:t>-</w:t>
            </w:r>
          </w:p>
        </w:tc>
      </w:tr>
      <w:tr w14:paraId="3F81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CC2668">
            <w:pPr>
              <w:spacing w:line="240" w:lineRule="auto"/>
              <w:jc w:val="left"/>
            </w:pPr>
            <w:r>
              <w:rPr>
                <w:rFonts w:ascii="宋体" w:hAnsi="宋体" w:eastAsia="宋体" w:cs="宋体"/>
                <w:b w:val="0"/>
              </w:rPr>
              <w:t xml:space="preserve">      贵金属投资收益</w:t>
            </w:r>
          </w:p>
        </w:tc>
        <w:tc>
          <w:tcPr>
            <w:tcW w:w="0" w:type="dxa"/>
            <w:vAlign w:val="center"/>
          </w:tcPr>
          <w:p w14:paraId="1B1FB624">
            <w:pPr>
              <w:spacing w:line="240" w:lineRule="auto"/>
              <w:jc w:val="center"/>
            </w:pPr>
            <w:r>
              <w:rPr>
                <w:rFonts w:ascii="宋体" w:hAnsi="宋体" w:eastAsia="宋体" w:cs="宋体"/>
                <w:b w:val="0"/>
              </w:rPr>
              <w:t>6.4.7.14</w:t>
            </w:r>
          </w:p>
        </w:tc>
        <w:tc>
          <w:tcPr>
            <w:tcW w:w="0" w:type="dxa"/>
            <w:vAlign w:val="center"/>
          </w:tcPr>
          <w:p w14:paraId="06C83198">
            <w:pPr>
              <w:spacing w:line="240" w:lineRule="auto"/>
              <w:jc w:val="right"/>
            </w:pPr>
            <w:r>
              <w:rPr>
                <w:rFonts w:ascii="宋体" w:hAnsi="宋体" w:eastAsia="宋体" w:cs="宋体"/>
                <w:b w:val="0"/>
              </w:rPr>
              <w:t>-</w:t>
            </w:r>
          </w:p>
        </w:tc>
        <w:tc>
          <w:tcPr>
            <w:tcW w:w="0" w:type="dxa"/>
            <w:vAlign w:val="center"/>
          </w:tcPr>
          <w:p w14:paraId="39F0D288">
            <w:pPr>
              <w:spacing w:line="240" w:lineRule="auto"/>
              <w:jc w:val="right"/>
            </w:pPr>
            <w:r>
              <w:rPr>
                <w:rFonts w:ascii="宋体" w:hAnsi="宋体" w:eastAsia="宋体" w:cs="宋体"/>
                <w:b w:val="0"/>
              </w:rPr>
              <w:t>-</w:t>
            </w:r>
          </w:p>
        </w:tc>
      </w:tr>
      <w:tr w14:paraId="4B4F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665BA56">
            <w:pPr>
              <w:spacing w:line="240" w:lineRule="auto"/>
              <w:jc w:val="left"/>
            </w:pPr>
            <w:r>
              <w:rPr>
                <w:rFonts w:ascii="宋体" w:hAnsi="宋体" w:eastAsia="宋体" w:cs="宋体"/>
                <w:b w:val="0"/>
              </w:rPr>
              <w:t xml:space="preserve">      衍生工具收益</w:t>
            </w:r>
          </w:p>
        </w:tc>
        <w:tc>
          <w:tcPr>
            <w:tcW w:w="0" w:type="dxa"/>
            <w:vAlign w:val="center"/>
          </w:tcPr>
          <w:p w14:paraId="34FC89ED">
            <w:pPr>
              <w:spacing w:line="240" w:lineRule="auto"/>
              <w:jc w:val="center"/>
            </w:pPr>
            <w:r>
              <w:rPr>
                <w:rFonts w:ascii="宋体" w:hAnsi="宋体" w:eastAsia="宋体" w:cs="宋体"/>
                <w:b w:val="0"/>
              </w:rPr>
              <w:t>6.4.7.15</w:t>
            </w:r>
          </w:p>
        </w:tc>
        <w:tc>
          <w:tcPr>
            <w:tcW w:w="0" w:type="dxa"/>
            <w:vAlign w:val="center"/>
          </w:tcPr>
          <w:p w14:paraId="3DD1A16E">
            <w:pPr>
              <w:spacing w:line="240" w:lineRule="auto"/>
              <w:jc w:val="right"/>
            </w:pPr>
            <w:r>
              <w:rPr>
                <w:rFonts w:ascii="宋体" w:hAnsi="宋体" w:eastAsia="宋体" w:cs="宋体"/>
                <w:b w:val="0"/>
              </w:rPr>
              <w:t>-</w:t>
            </w:r>
          </w:p>
        </w:tc>
        <w:tc>
          <w:tcPr>
            <w:tcW w:w="0" w:type="dxa"/>
            <w:vAlign w:val="center"/>
          </w:tcPr>
          <w:p w14:paraId="1260FB13">
            <w:pPr>
              <w:spacing w:line="240" w:lineRule="auto"/>
              <w:jc w:val="right"/>
            </w:pPr>
            <w:r>
              <w:rPr>
                <w:rFonts w:ascii="宋体" w:hAnsi="宋体" w:eastAsia="宋体" w:cs="宋体"/>
                <w:b w:val="0"/>
              </w:rPr>
              <w:t>-</w:t>
            </w:r>
          </w:p>
        </w:tc>
      </w:tr>
      <w:tr w14:paraId="581B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CEDA2A4">
            <w:pPr>
              <w:spacing w:line="240" w:lineRule="auto"/>
              <w:jc w:val="left"/>
            </w:pPr>
            <w:r>
              <w:rPr>
                <w:rFonts w:ascii="宋体" w:hAnsi="宋体" w:eastAsia="宋体" w:cs="宋体"/>
                <w:b w:val="0"/>
              </w:rPr>
              <w:t xml:space="preserve">      股利收益</w:t>
            </w:r>
          </w:p>
        </w:tc>
        <w:tc>
          <w:tcPr>
            <w:tcW w:w="0" w:type="dxa"/>
            <w:vAlign w:val="center"/>
          </w:tcPr>
          <w:p w14:paraId="767C90F8">
            <w:pPr>
              <w:spacing w:line="240" w:lineRule="auto"/>
              <w:jc w:val="center"/>
            </w:pPr>
            <w:r>
              <w:rPr>
                <w:rFonts w:ascii="宋体" w:hAnsi="宋体" w:eastAsia="宋体" w:cs="宋体"/>
                <w:b w:val="0"/>
              </w:rPr>
              <w:t>6.4.7.16</w:t>
            </w:r>
          </w:p>
        </w:tc>
        <w:tc>
          <w:tcPr>
            <w:tcW w:w="0" w:type="dxa"/>
            <w:vAlign w:val="center"/>
          </w:tcPr>
          <w:p w14:paraId="056C9B58">
            <w:pPr>
              <w:spacing w:line="240" w:lineRule="auto"/>
              <w:jc w:val="right"/>
            </w:pPr>
            <w:r>
              <w:rPr>
                <w:rFonts w:ascii="宋体" w:hAnsi="宋体" w:eastAsia="宋体" w:cs="宋体"/>
                <w:b w:val="0"/>
              </w:rPr>
              <w:t>271,659.31</w:t>
            </w:r>
          </w:p>
        </w:tc>
        <w:tc>
          <w:tcPr>
            <w:tcW w:w="0" w:type="dxa"/>
            <w:vAlign w:val="center"/>
          </w:tcPr>
          <w:p w14:paraId="62FF26CB">
            <w:pPr>
              <w:spacing w:line="240" w:lineRule="auto"/>
              <w:jc w:val="right"/>
            </w:pPr>
            <w:r>
              <w:rPr>
                <w:rFonts w:ascii="宋体" w:hAnsi="宋体" w:eastAsia="宋体" w:cs="宋体"/>
                <w:b w:val="0"/>
              </w:rPr>
              <w:t>36,106.18</w:t>
            </w:r>
          </w:p>
        </w:tc>
      </w:tr>
      <w:tr w14:paraId="550A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76B251">
            <w:pPr>
              <w:spacing w:line="240" w:lineRule="auto"/>
              <w:jc w:val="left"/>
            </w:pPr>
            <w:r>
              <w:rPr>
                <w:rFonts w:ascii="宋体" w:hAnsi="宋体" w:eastAsia="宋体" w:cs="宋体"/>
                <w:b w:val="0"/>
              </w:rPr>
              <w:t xml:space="preserve">      其他投资收益</w:t>
            </w:r>
          </w:p>
        </w:tc>
        <w:tc>
          <w:tcPr>
            <w:tcW w:w="0" w:type="dxa"/>
            <w:vAlign w:val="center"/>
          </w:tcPr>
          <w:p w14:paraId="22436AA4">
            <w:pPr>
              <w:spacing w:line="240" w:lineRule="auto"/>
              <w:jc w:val="center"/>
            </w:pPr>
          </w:p>
        </w:tc>
        <w:tc>
          <w:tcPr>
            <w:tcW w:w="0" w:type="dxa"/>
            <w:vAlign w:val="center"/>
          </w:tcPr>
          <w:p w14:paraId="4AB5A7B9">
            <w:pPr>
              <w:spacing w:line="240" w:lineRule="auto"/>
              <w:jc w:val="right"/>
            </w:pPr>
            <w:r>
              <w:rPr>
                <w:rFonts w:ascii="宋体" w:hAnsi="宋体" w:eastAsia="宋体" w:cs="宋体"/>
                <w:b w:val="0"/>
              </w:rPr>
              <w:t>-</w:t>
            </w:r>
          </w:p>
        </w:tc>
        <w:tc>
          <w:tcPr>
            <w:tcW w:w="0" w:type="dxa"/>
            <w:vAlign w:val="center"/>
          </w:tcPr>
          <w:p w14:paraId="2CF45E63">
            <w:pPr>
              <w:spacing w:line="240" w:lineRule="auto"/>
              <w:jc w:val="right"/>
            </w:pPr>
            <w:r>
              <w:rPr>
                <w:rFonts w:ascii="宋体" w:hAnsi="宋体" w:eastAsia="宋体" w:cs="宋体"/>
                <w:b w:val="0"/>
              </w:rPr>
              <w:t>-</w:t>
            </w:r>
          </w:p>
        </w:tc>
      </w:tr>
      <w:tr w14:paraId="7925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28265F2">
            <w:pPr>
              <w:spacing w:line="240" w:lineRule="auto"/>
              <w:jc w:val="left"/>
            </w:pPr>
            <w:r>
              <w:rPr>
                <w:rFonts w:ascii="宋体" w:hAnsi="宋体" w:eastAsia="宋体" w:cs="宋体"/>
                <w:b w:val="0"/>
              </w:rPr>
              <w:t>3.公允价值变动收益（损失以“-”号填列）</w:t>
            </w:r>
          </w:p>
        </w:tc>
        <w:tc>
          <w:tcPr>
            <w:tcW w:w="0" w:type="dxa"/>
            <w:vAlign w:val="center"/>
          </w:tcPr>
          <w:p w14:paraId="03592D9B">
            <w:pPr>
              <w:spacing w:line="240" w:lineRule="auto"/>
              <w:jc w:val="center"/>
            </w:pPr>
            <w:r>
              <w:rPr>
                <w:rFonts w:ascii="宋体" w:hAnsi="宋体" w:eastAsia="宋体" w:cs="宋体"/>
                <w:b w:val="0"/>
              </w:rPr>
              <w:t>6.4.7.17</w:t>
            </w:r>
          </w:p>
        </w:tc>
        <w:tc>
          <w:tcPr>
            <w:tcW w:w="0" w:type="dxa"/>
            <w:vAlign w:val="center"/>
          </w:tcPr>
          <w:p w14:paraId="1771DE65">
            <w:pPr>
              <w:spacing w:line="240" w:lineRule="auto"/>
              <w:jc w:val="right"/>
            </w:pPr>
            <w:r>
              <w:rPr>
                <w:rFonts w:ascii="宋体" w:hAnsi="宋体" w:eastAsia="宋体" w:cs="宋体"/>
                <w:b w:val="0"/>
              </w:rPr>
              <w:t>201,803,753.25</w:t>
            </w:r>
          </w:p>
        </w:tc>
        <w:tc>
          <w:tcPr>
            <w:tcW w:w="0" w:type="dxa"/>
            <w:vAlign w:val="center"/>
          </w:tcPr>
          <w:p w14:paraId="37B10B0C">
            <w:pPr>
              <w:spacing w:line="240" w:lineRule="auto"/>
              <w:jc w:val="right"/>
            </w:pPr>
            <w:r>
              <w:rPr>
                <w:rFonts w:ascii="宋体" w:hAnsi="宋体" w:eastAsia="宋体" w:cs="宋体"/>
                <w:b w:val="0"/>
              </w:rPr>
              <w:t>73,963.13</w:t>
            </w:r>
          </w:p>
        </w:tc>
      </w:tr>
      <w:tr w14:paraId="059FF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D4672A">
            <w:pPr>
              <w:spacing w:line="240" w:lineRule="auto"/>
              <w:jc w:val="left"/>
            </w:pPr>
            <w:r>
              <w:rPr>
                <w:rFonts w:ascii="宋体" w:hAnsi="宋体" w:eastAsia="宋体" w:cs="宋体"/>
                <w:b w:val="0"/>
              </w:rPr>
              <w:t>4.汇兑收益（损失以“-”号填列）</w:t>
            </w:r>
          </w:p>
        </w:tc>
        <w:tc>
          <w:tcPr>
            <w:tcW w:w="0" w:type="dxa"/>
            <w:vAlign w:val="center"/>
          </w:tcPr>
          <w:p w14:paraId="2FD78FC6">
            <w:pPr>
              <w:spacing w:line="240" w:lineRule="auto"/>
              <w:jc w:val="center"/>
            </w:pPr>
          </w:p>
        </w:tc>
        <w:tc>
          <w:tcPr>
            <w:tcW w:w="0" w:type="dxa"/>
            <w:vAlign w:val="center"/>
          </w:tcPr>
          <w:p w14:paraId="0B498C5F">
            <w:pPr>
              <w:spacing w:line="240" w:lineRule="auto"/>
              <w:jc w:val="right"/>
            </w:pPr>
            <w:r>
              <w:rPr>
                <w:rFonts w:ascii="宋体" w:hAnsi="宋体" w:eastAsia="宋体" w:cs="宋体"/>
                <w:b w:val="0"/>
              </w:rPr>
              <w:t>-</w:t>
            </w:r>
          </w:p>
        </w:tc>
        <w:tc>
          <w:tcPr>
            <w:tcW w:w="0" w:type="dxa"/>
            <w:vAlign w:val="center"/>
          </w:tcPr>
          <w:p w14:paraId="1817ED89">
            <w:pPr>
              <w:spacing w:line="240" w:lineRule="auto"/>
              <w:jc w:val="right"/>
            </w:pPr>
            <w:r>
              <w:rPr>
                <w:rFonts w:ascii="宋体" w:hAnsi="宋体" w:eastAsia="宋体" w:cs="宋体"/>
                <w:b w:val="0"/>
              </w:rPr>
              <w:t>-</w:t>
            </w:r>
          </w:p>
        </w:tc>
      </w:tr>
      <w:tr w14:paraId="49A3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6A70A5">
            <w:pPr>
              <w:spacing w:line="240" w:lineRule="auto"/>
              <w:jc w:val="left"/>
            </w:pPr>
            <w:r>
              <w:rPr>
                <w:rFonts w:ascii="宋体" w:hAnsi="宋体" w:eastAsia="宋体" w:cs="宋体"/>
                <w:b w:val="0"/>
              </w:rPr>
              <w:t>5.其他收入（损失以“-”号填列）</w:t>
            </w:r>
          </w:p>
        </w:tc>
        <w:tc>
          <w:tcPr>
            <w:tcW w:w="0" w:type="dxa"/>
            <w:vAlign w:val="center"/>
          </w:tcPr>
          <w:p w14:paraId="17C640D0">
            <w:pPr>
              <w:spacing w:line="240" w:lineRule="auto"/>
              <w:jc w:val="center"/>
            </w:pPr>
            <w:r>
              <w:rPr>
                <w:rFonts w:ascii="宋体" w:hAnsi="宋体" w:eastAsia="宋体" w:cs="宋体"/>
                <w:b w:val="0"/>
              </w:rPr>
              <w:t>6.4.7.18</w:t>
            </w:r>
          </w:p>
        </w:tc>
        <w:tc>
          <w:tcPr>
            <w:tcW w:w="0" w:type="dxa"/>
            <w:vAlign w:val="center"/>
          </w:tcPr>
          <w:p w14:paraId="5CE26B4B">
            <w:pPr>
              <w:spacing w:line="240" w:lineRule="auto"/>
              <w:jc w:val="right"/>
            </w:pPr>
            <w:r>
              <w:rPr>
                <w:rFonts w:ascii="宋体" w:hAnsi="宋体" w:eastAsia="宋体" w:cs="宋体"/>
                <w:b w:val="0"/>
              </w:rPr>
              <w:t>5,497,826.22</w:t>
            </w:r>
          </w:p>
        </w:tc>
        <w:tc>
          <w:tcPr>
            <w:tcW w:w="0" w:type="dxa"/>
            <w:vAlign w:val="center"/>
          </w:tcPr>
          <w:p w14:paraId="682421F7">
            <w:pPr>
              <w:spacing w:line="240" w:lineRule="auto"/>
              <w:jc w:val="right"/>
            </w:pPr>
            <w:r>
              <w:rPr>
                <w:rFonts w:ascii="宋体" w:hAnsi="宋体" w:eastAsia="宋体" w:cs="宋体"/>
                <w:b w:val="0"/>
              </w:rPr>
              <w:t>8.23</w:t>
            </w:r>
          </w:p>
        </w:tc>
      </w:tr>
      <w:tr w14:paraId="6699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10DAF6">
            <w:pPr>
              <w:spacing w:line="240" w:lineRule="auto"/>
              <w:jc w:val="left"/>
            </w:pPr>
            <w:r>
              <w:rPr>
                <w:rFonts w:ascii="宋体" w:hAnsi="宋体" w:eastAsia="宋体" w:cs="宋体"/>
                <w:b/>
              </w:rPr>
              <w:t>减：二、营业总支出</w:t>
            </w:r>
          </w:p>
        </w:tc>
        <w:tc>
          <w:tcPr>
            <w:tcW w:w="0" w:type="dxa"/>
            <w:vAlign w:val="center"/>
          </w:tcPr>
          <w:p w14:paraId="03F74EB9">
            <w:pPr>
              <w:spacing w:line="240" w:lineRule="auto"/>
              <w:jc w:val="center"/>
            </w:pPr>
          </w:p>
        </w:tc>
        <w:tc>
          <w:tcPr>
            <w:tcW w:w="0" w:type="dxa"/>
            <w:vAlign w:val="center"/>
          </w:tcPr>
          <w:p w14:paraId="0AB98D28">
            <w:pPr>
              <w:spacing w:line="240" w:lineRule="auto"/>
              <w:jc w:val="right"/>
            </w:pPr>
            <w:r>
              <w:rPr>
                <w:rFonts w:ascii="宋体" w:hAnsi="宋体" w:eastAsia="宋体" w:cs="宋体"/>
                <w:b w:val="0"/>
              </w:rPr>
              <w:t>1,781,785.77</w:t>
            </w:r>
          </w:p>
        </w:tc>
        <w:tc>
          <w:tcPr>
            <w:tcW w:w="0" w:type="dxa"/>
            <w:vAlign w:val="center"/>
          </w:tcPr>
          <w:p w14:paraId="32D26332">
            <w:pPr>
              <w:spacing w:line="240" w:lineRule="auto"/>
              <w:jc w:val="right"/>
            </w:pPr>
            <w:r>
              <w:rPr>
                <w:rFonts w:ascii="宋体" w:hAnsi="宋体" w:eastAsia="宋体" w:cs="宋体"/>
                <w:b w:val="0"/>
              </w:rPr>
              <w:t>19,083.95</w:t>
            </w:r>
          </w:p>
        </w:tc>
      </w:tr>
      <w:tr w14:paraId="0ACB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2DCA59C">
            <w:pPr>
              <w:spacing w:line="240" w:lineRule="auto"/>
              <w:jc w:val="left"/>
            </w:pPr>
            <w:r>
              <w:rPr>
                <w:rFonts w:ascii="宋体" w:hAnsi="宋体" w:eastAsia="宋体" w:cs="宋体"/>
                <w:b w:val="0"/>
              </w:rPr>
              <w:t>1.管理人报酬</w:t>
            </w:r>
          </w:p>
        </w:tc>
        <w:tc>
          <w:tcPr>
            <w:tcW w:w="0" w:type="dxa"/>
            <w:vAlign w:val="center"/>
          </w:tcPr>
          <w:p w14:paraId="3175A111">
            <w:pPr>
              <w:spacing w:line="240" w:lineRule="auto"/>
              <w:jc w:val="center"/>
            </w:pPr>
            <w:r>
              <w:rPr>
                <w:rFonts w:ascii="宋体" w:hAnsi="宋体" w:eastAsia="宋体" w:cs="宋体"/>
                <w:b w:val="0"/>
              </w:rPr>
              <w:t>6.4.10.2.1</w:t>
            </w:r>
          </w:p>
        </w:tc>
        <w:tc>
          <w:tcPr>
            <w:tcW w:w="0" w:type="dxa"/>
            <w:vAlign w:val="center"/>
          </w:tcPr>
          <w:p w14:paraId="6420F8FF">
            <w:pPr>
              <w:spacing w:line="240" w:lineRule="auto"/>
              <w:jc w:val="right"/>
            </w:pPr>
            <w:r>
              <w:rPr>
                <w:rFonts w:ascii="宋体" w:hAnsi="宋体" w:eastAsia="宋体" w:cs="宋体"/>
                <w:b w:val="0"/>
              </w:rPr>
              <w:t>1,193,665.96</w:t>
            </w:r>
          </w:p>
        </w:tc>
        <w:tc>
          <w:tcPr>
            <w:tcW w:w="0" w:type="dxa"/>
            <w:vAlign w:val="center"/>
          </w:tcPr>
          <w:p w14:paraId="55D32388">
            <w:pPr>
              <w:spacing w:line="240" w:lineRule="auto"/>
              <w:jc w:val="right"/>
            </w:pPr>
            <w:r>
              <w:rPr>
                <w:rFonts w:ascii="宋体" w:hAnsi="宋体" w:eastAsia="宋体" w:cs="宋体"/>
                <w:b w:val="0"/>
              </w:rPr>
              <w:t>9,173.94</w:t>
            </w:r>
          </w:p>
        </w:tc>
      </w:tr>
      <w:tr w14:paraId="3FEC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FCB9E7">
            <w:pPr>
              <w:spacing w:line="240" w:lineRule="auto"/>
              <w:jc w:val="left"/>
            </w:pPr>
            <w:r>
              <w:rPr>
                <w:rFonts w:ascii="宋体" w:hAnsi="宋体" w:eastAsia="宋体" w:cs="宋体"/>
                <w:b w:val="0"/>
              </w:rPr>
              <w:t>2.托管费</w:t>
            </w:r>
          </w:p>
        </w:tc>
        <w:tc>
          <w:tcPr>
            <w:tcW w:w="0" w:type="dxa"/>
            <w:vAlign w:val="center"/>
          </w:tcPr>
          <w:p w14:paraId="67ED0D7C">
            <w:pPr>
              <w:spacing w:line="240" w:lineRule="auto"/>
              <w:jc w:val="center"/>
            </w:pPr>
            <w:r>
              <w:rPr>
                <w:rFonts w:ascii="宋体" w:hAnsi="宋体" w:eastAsia="宋体" w:cs="宋体"/>
                <w:b w:val="0"/>
              </w:rPr>
              <w:t>6.4.10.2.2</w:t>
            </w:r>
          </w:p>
        </w:tc>
        <w:tc>
          <w:tcPr>
            <w:tcW w:w="0" w:type="dxa"/>
            <w:vAlign w:val="center"/>
          </w:tcPr>
          <w:p w14:paraId="05CB5872">
            <w:pPr>
              <w:spacing w:line="240" w:lineRule="auto"/>
              <w:jc w:val="right"/>
            </w:pPr>
            <w:r>
              <w:rPr>
                <w:rFonts w:ascii="宋体" w:hAnsi="宋体" w:eastAsia="宋体" w:cs="宋体"/>
                <w:b w:val="0"/>
              </w:rPr>
              <w:t>198,944.37</w:t>
            </w:r>
          </w:p>
        </w:tc>
        <w:tc>
          <w:tcPr>
            <w:tcW w:w="0" w:type="dxa"/>
            <w:vAlign w:val="center"/>
          </w:tcPr>
          <w:p w14:paraId="703D01EC">
            <w:pPr>
              <w:spacing w:line="240" w:lineRule="auto"/>
              <w:jc w:val="right"/>
            </w:pPr>
            <w:r>
              <w:rPr>
                <w:rFonts w:ascii="宋体" w:hAnsi="宋体" w:eastAsia="宋体" w:cs="宋体"/>
                <w:b w:val="0"/>
              </w:rPr>
              <w:t>1,528.98</w:t>
            </w:r>
          </w:p>
        </w:tc>
      </w:tr>
      <w:tr w14:paraId="6FBA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8008D7">
            <w:pPr>
              <w:spacing w:line="240" w:lineRule="auto"/>
              <w:jc w:val="left"/>
            </w:pPr>
            <w:r>
              <w:rPr>
                <w:rFonts w:ascii="宋体" w:hAnsi="宋体" w:eastAsia="宋体" w:cs="宋体"/>
                <w:b w:val="0"/>
              </w:rPr>
              <w:t>3.销售服务费</w:t>
            </w:r>
          </w:p>
        </w:tc>
        <w:tc>
          <w:tcPr>
            <w:tcW w:w="0" w:type="dxa"/>
            <w:vAlign w:val="center"/>
          </w:tcPr>
          <w:p w14:paraId="0ABA3A07">
            <w:pPr>
              <w:spacing w:line="240" w:lineRule="auto"/>
              <w:jc w:val="center"/>
            </w:pPr>
            <w:r>
              <w:rPr>
                <w:rFonts w:ascii="宋体" w:hAnsi="宋体" w:eastAsia="宋体" w:cs="宋体"/>
                <w:b w:val="0"/>
              </w:rPr>
              <w:t>6.4.10.2.3</w:t>
            </w:r>
          </w:p>
        </w:tc>
        <w:tc>
          <w:tcPr>
            <w:tcW w:w="0" w:type="dxa"/>
            <w:vAlign w:val="center"/>
          </w:tcPr>
          <w:p w14:paraId="4A01AFBE">
            <w:pPr>
              <w:spacing w:line="240" w:lineRule="auto"/>
              <w:jc w:val="right"/>
            </w:pPr>
            <w:r>
              <w:rPr>
                <w:rFonts w:ascii="宋体" w:hAnsi="宋体" w:eastAsia="宋体" w:cs="宋体"/>
                <w:b w:val="0"/>
              </w:rPr>
              <w:t>334,151.01</w:t>
            </w:r>
          </w:p>
        </w:tc>
        <w:tc>
          <w:tcPr>
            <w:tcW w:w="0" w:type="dxa"/>
            <w:vAlign w:val="center"/>
          </w:tcPr>
          <w:p w14:paraId="6131CBAB">
            <w:pPr>
              <w:spacing w:line="240" w:lineRule="auto"/>
              <w:jc w:val="right"/>
            </w:pPr>
            <w:r>
              <w:rPr>
                <w:rFonts w:ascii="宋体" w:hAnsi="宋体" w:eastAsia="宋体" w:cs="宋体"/>
                <w:b w:val="0"/>
              </w:rPr>
              <w:t>4.03</w:t>
            </w:r>
          </w:p>
        </w:tc>
      </w:tr>
      <w:tr w14:paraId="7C8A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10159C">
            <w:pPr>
              <w:spacing w:line="240" w:lineRule="auto"/>
              <w:jc w:val="left"/>
            </w:pPr>
            <w:r>
              <w:rPr>
                <w:rFonts w:ascii="宋体" w:hAnsi="宋体" w:eastAsia="宋体" w:cs="宋体"/>
                <w:b w:val="0"/>
              </w:rPr>
              <w:t>4.投资顾问费</w:t>
            </w:r>
          </w:p>
        </w:tc>
        <w:tc>
          <w:tcPr>
            <w:tcW w:w="0" w:type="dxa"/>
            <w:vAlign w:val="center"/>
          </w:tcPr>
          <w:p w14:paraId="04E2B91B">
            <w:pPr>
              <w:spacing w:line="240" w:lineRule="auto"/>
              <w:jc w:val="center"/>
            </w:pPr>
          </w:p>
        </w:tc>
        <w:tc>
          <w:tcPr>
            <w:tcW w:w="0" w:type="dxa"/>
            <w:vAlign w:val="center"/>
          </w:tcPr>
          <w:p w14:paraId="159BF34F">
            <w:pPr>
              <w:spacing w:line="240" w:lineRule="auto"/>
              <w:jc w:val="right"/>
            </w:pPr>
            <w:r>
              <w:rPr>
                <w:rFonts w:ascii="宋体" w:hAnsi="宋体" w:eastAsia="宋体" w:cs="宋体"/>
                <w:b w:val="0"/>
              </w:rPr>
              <w:t>-</w:t>
            </w:r>
          </w:p>
        </w:tc>
        <w:tc>
          <w:tcPr>
            <w:tcW w:w="0" w:type="dxa"/>
            <w:vAlign w:val="center"/>
          </w:tcPr>
          <w:p w14:paraId="5F344B43">
            <w:pPr>
              <w:spacing w:line="240" w:lineRule="auto"/>
              <w:jc w:val="right"/>
            </w:pPr>
            <w:r>
              <w:rPr>
                <w:rFonts w:ascii="宋体" w:hAnsi="宋体" w:eastAsia="宋体" w:cs="宋体"/>
                <w:b w:val="0"/>
              </w:rPr>
              <w:t>-</w:t>
            </w:r>
          </w:p>
        </w:tc>
      </w:tr>
      <w:tr w14:paraId="7316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398249">
            <w:pPr>
              <w:spacing w:line="240" w:lineRule="auto"/>
              <w:jc w:val="left"/>
            </w:pPr>
            <w:r>
              <w:rPr>
                <w:rFonts w:ascii="宋体" w:hAnsi="宋体" w:eastAsia="宋体" w:cs="宋体"/>
                <w:b w:val="0"/>
              </w:rPr>
              <w:t>5.利息支出</w:t>
            </w:r>
          </w:p>
        </w:tc>
        <w:tc>
          <w:tcPr>
            <w:tcW w:w="0" w:type="dxa"/>
            <w:vAlign w:val="center"/>
          </w:tcPr>
          <w:p w14:paraId="34D6043C">
            <w:pPr>
              <w:spacing w:line="240" w:lineRule="auto"/>
              <w:jc w:val="center"/>
            </w:pPr>
          </w:p>
        </w:tc>
        <w:tc>
          <w:tcPr>
            <w:tcW w:w="0" w:type="dxa"/>
            <w:vAlign w:val="center"/>
          </w:tcPr>
          <w:p w14:paraId="6AEDC6FA">
            <w:pPr>
              <w:spacing w:line="240" w:lineRule="auto"/>
              <w:jc w:val="right"/>
            </w:pPr>
            <w:r>
              <w:rPr>
                <w:rFonts w:ascii="宋体" w:hAnsi="宋体" w:eastAsia="宋体" w:cs="宋体"/>
                <w:b w:val="0"/>
              </w:rPr>
              <w:t>5,806.62</w:t>
            </w:r>
          </w:p>
        </w:tc>
        <w:tc>
          <w:tcPr>
            <w:tcW w:w="0" w:type="dxa"/>
            <w:vAlign w:val="center"/>
          </w:tcPr>
          <w:p w14:paraId="59758C92">
            <w:pPr>
              <w:spacing w:line="240" w:lineRule="auto"/>
              <w:jc w:val="right"/>
            </w:pPr>
            <w:r>
              <w:rPr>
                <w:rFonts w:ascii="宋体" w:hAnsi="宋体" w:eastAsia="宋体" w:cs="宋体"/>
                <w:b w:val="0"/>
              </w:rPr>
              <w:t>-</w:t>
            </w:r>
          </w:p>
        </w:tc>
      </w:tr>
      <w:tr w14:paraId="1A25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5A4E4A">
            <w:pPr>
              <w:spacing w:line="240" w:lineRule="auto"/>
              <w:jc w:val="left"/>
            </w:pPr>
            <w:r>
              <w:rPr>
                <w:rFonts w:ascii="宋体" w:hAnsi="宋体" w:eastAsia="宋体" w:cs="宋体"/>
                <w:b w:val="0"/>
              </w:rPr>
              <w:t>其中：卖出回购金融资产支出</w:t>
            </w:r>
          </w:p>
        </w:tc>
        <w:tc>
          <w:tcPr>
            <w:tcW w:w="0" w:type="dxa"/>
            <w:vAlign w:val="center"/>
          </w:tcPr>
          <w:p w14:paraId="648BE90B">
            <w:pPr>
              <w:spacing w:line="240" w:lineRule="auto"/>
              <w:jc w:val="center"/>
            </w:pPr>
          </w:p>
        </w:tc>
        <w:tc>
          <w:tcPr>
            <w:tcW w:w="0" w:type="dxa"/>
            <w:vAlign w:val="center"/>
          </w:tcPr>
          <w:p w14:paraId="51DB4C9B">
            <w:pPr>
              <w:spacing w:line="240" w:lineRule="auto"/>
              <w:jc w:val="right"/>
            </w:pPr>
            <w:r>
              <w:rPr>
                <w:rFonts w:ascii="宋体" w:hAnsi="宋体" w:eastAsia="宋体" w:cs="宋体"/>
                <w:b w:val="0"/>
              </w:rPr>
              <w:t>5,806.62</w:t>
            </w:r>
          </w:p>
        </w:tc>
        <w:tc>
          <w:tcPr>
            <w:tcW w:w="0" w:type="dxa"/>
            <w:vAlign w:val="center"/>
          </w:tcPr>
          <w:p w14:paraId="45236BE4">
            <w:pPr>
              <w:spacing w:line="240" w:lineRule="auto"/>
              <w:jc w:val="right"/>
            </w:pPr>
            <w:r>
              <w:rPr>
                <w:rFonts w:ascii="宋体" w:hAnsi="宋体" w:eastAsia="宋体" w:cs="宋体"/>
                <w:b w:val="0"/>
              </w:rPr>
              <w:t>-</w:t>
            </w:r>
          </w:p>
        </w:tc>
      </w:tr>
      <w:tr w14:paraId="3E9E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2111CC">
            <w:pPr>
              <w:spacing w:line="240" w:lineRule="auto"/>
              <w:jc w:val="left"/>
            </w:pPr>
            <w:r>
              <w:rPr>
                <w:rFonts w:ascii="宋体" w:hAnsi="宋体" w:eastAsia="宋体" w:cs="宋体"/>
                <w:b w:val="0"/>
              </w:rPr>
              <w:t>6.信用减值损失</w:t>
            </w:r>
          </w:p>
        </w:tc>
        <w:tc>
          <w:tcPr>
            <w:tcW w:w="0" w:type="dxa"/>
            <w:vAlign w:val="center"/>
          </w:tcPr>
          <w:p w14:paraId="346A09B2">
            <w:pPr>
              <w:spacing w:line="240" w:lineRule="auto"/>
              <w:jc w:val="center"/>
            </w:pPr>
          </w:p>
        </w:tc>
        <w:tc>
          <w:tcPr>
            <w:tcW w:w="0" w:type="dxa"/>
            <w:vAlign w:val="center"/>
          </w:tcPr>
          <w:p w14:paraId="1B62BCBE">
            <w:pPr>
              <w:spacing w:line="240" w:lineRule="auto"/>
              <w:jc w:val="right"/>
            </w:pPr>
            <w:r>
              <w:rPr>
                <w:rFonts w:ascii="宋体" w:hAnsi="宋体" w:eastAsia="宋体" w:cs="宋体"/>
                <w:b w:val="0"/>
              </w:rPr>
              <w:t>-</w:t>
            </w:r>
          </w:p>
        </w:tc>
        <w:tc>
          <w:tcPr>
            <w:tcW w:w="0" w:type="dxa"/>
            <w:vAlign w:val="center"/>
          </w:tcPr>
          <w:p w14:paraId="391822C3">
            <w:pPr>
              <w:spacing w:line="240" w:lineRule="auto"/>
              <w:jc w:val="right"/>
            </w:pPr>
            <w:r>
              <w:rPr>
                <w:rFonts w:ascii="宋体" w:hAnsi="宋体" w:eastAsia="宋体" w:cs="宋体"/>
                <w:b w:val="0"/>
              </w:rPr>
              <w:t>-</w:t>
            </w:r>
          </w:p>
        </w:tc>
      </w:tr>
      <w:tr w14:paraId="750F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85B2CD">
            <w:pPr>
              <w:spacing w:line="240" w:lineRule="auto"/>
              <w:jc w:val="left"/>
            </w:pPr>
            <w:r>
              <w:rPr>
                <w:rFonts w:ascii="宋体" w:hAnsi="宋体" w:eastAsia="宋体" w:cs="宋体"/>
                <w:b w:val="0"/>
              </w:rPr>
              <w:t>7.税金及附加</w:t>
            </w:r>
          </w:p>
        </w:tc>
        <w:tc>
          <w:tcPr>
            <w:tcW w:w="0" w:type="dxa"/>
            <w:vAlign w:val="center"/>
          </w:tcPr>
          <w:p w14:paraId="7273CCFE">
            <w:pPr>
              <w:spacing w:line="240" w:lineRule="auto"/>
              <w:jc w:val="center"/>
            </w:pPr>
          </w:p>
        </w:tc>
        <w:tc>
          <w:tcPr>
            <w:tcW w:w="0" w:type="dxa"/>
            <w:vAlign w:val="center"/>
          </w:tcPr>
          <w:p w14:paraId="51BBBB9A">
            <w:pPr>
              <w:spacing w:line="240" w:lineRule="auto"/>
              <w:jc w:val="right"/>
            </w:pPr>
            <w:r>
              <w:rPr>
                <w:rFonts w:ascii="宋体" w:hAnsi="宋体" w:eastAsia="宋体" w:cs="宋体"/>
                <w:b w:val="0"/>
              </w:rPr>
              <w:t>210.35</w:t>
            </w:r>
          </w:p>
        </w:tc>
        <w:tc>
          <w:tcPr>
            <w:tcW w:w="0" w:type="dxa"/>
            <w:vAlign w:val="center"/>
          </w:tcPr>
          <w:p w14:paraId="2888FC62">
            <w:pPr>
              <w:spacing w:line="240" w:lineRule="auto"/>
              <w:jc w:val="right"/>
            </w:pPr>
            <w:r>
              <w:rPr>
                <w:rFonts w:ascii="宋体" w:hAnsi="宋体" w:eastAsia="宋体" w:cs="宋体"/>
                <w:b w:val="0"/>
              </w:rPr>
              <w:t>-</w:t>
            </w:r>
          </w:p>
        </w:tc>
      </w:tr>
      <w:tr w14:paraId="5331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7B66195">
            <w:pPr>
              <w:spacing w:line="240" w:lineRule="auto"/>
              <w:jc w:val="left"/>
            </w:pPr>
            <w:r>
              <w:rPr>
                <w:rFonts w:ascii="宋体" w:hAnsi="宋体" w:eastAsia="宋体" w:cs="宋体"/>
                <w:b w:val="0"/>
              </w:rPr>
              <w:t>8.其他费用</w:t>
            </w:r>
          </w:p>
        </w:tc>
        <w:tc>
          <w:tcPr>
            <w:tcW w:w="0" w:type="dxa"/>
            <w:vAlign w:val="center"/>
          </w:tcPr>
          <w:p w14:paraId="273A4ABA">
            <w:pPr>
              <w:spacing w:line="240" w:lineRule="auto"/>
              <w:jc w:val="center"/>
            </w:pPr>
            <w:r>
              <w:rPr>
                <w:rFonts w:ascii="宋体" w:hAnsi="宋体" w:eastAsia="宋体" w:cs="宋体"/>
                <w:b w:val="0"/>
              </w:rPr>
              <w:t>6.4.7.19</w:t>
            </w:r>
          </w:p>
        </w:tc>
        <w:tc>
          <w:tcPr>
            <w:tcW w:w="0" w:type="dxa"/>
            <w:vAlign w:val="center"/>
          </w:tcPr>
          <w:p w14:paraId="06094545">
            <w:pPr>
              <w:spacing w:line="240" w:lineRule="auto"/>
              <w:jc w:val="right"/>
            </w:pPr>
            <w:r>
              <w:rPr>
                <w:rFonts w:ascii="宋体" w:hAnsi="宋体" w:eastAsia="宋体" w:cs="宋体"/>
                <w:b w:val="0"/>
              </w:rPr>
              <w:t>49,007.46</w:t>
            </w:r>
          </w:p>
        </w:tc>
        <w:tc>
          <w:tcPr>
            <w:tcW w:w="0" w:type="dxa"/>
            <w:vAlign w:val="center"/>
          </w:tcPr>
          <w:p w14:paraId="38307248">
            <w:pPr>
              <w:spacing w:line="240" w:lineRule="auto"/>
              <w:jc w:val="right"/>
            </w:pPr>
            <w:r>
              <w:rPr>
                <w:rFonts w:ascii="宋体" w:hAnsi="宋体" w:eastAsia="宋体" w:cs="宋体"/>
                <w:b w:val="0"/>
              </w:rPr>
              <w:t>8,377.00</w:t>
            </w:r>
          </w:p>
        </w:tc>
      </w:tr>
      <w:tr w14:paraId="3AB8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60E2B1">
            <w:pPr>
              <w:spacing w:line="240" w:lineRule="auto"/>
              <w:jc w:val="left"/>
            </w:pPr>
            <w:r>
              <w:rPr>
                <w:rFonts w:ascii="宋体" w:hAnsi="宋体" w:eastAsia="宋体" w:cs="宋体"/>
                <w:b/>
              </w:rPr>
              <w:t>三、利润总额（亏损总额以“-”号填列）</w:t>
            </w:r>
          </w:p>
        </w:tc>
        <w:tc>
          <w:tcPr>
            <w:tcW w:w="0" w:type="dxa"/>
            <w:vAlign w:val="center"/>
          </w:tcPr>
          <w:p w14:paraId="07517813">
            <w:pPr>
              <w:spacing w:line="240" w:lineRule="auto"/>
              <w:jc w:val="center"/>
            </w:pPr>
          </w:p>
        </w:tc>
        <w:tc>
          <w:tcPr>
            <w:tcW w:w="0" w:type="dxa"/>
            <w:vAlign w:val="center"/>
          </w:tcPr>
          <w:p w14:paraId="791E3A65">
            <w:pPr>
              <w:spacing w:line="240" w:lineRule="auto"/>
              <w:jc w:val="right"/>
            </w:pPr>
            <w:r>
              <w:rPr>
                <w:rFonts w:ascii="宋体" w:hAnsi="宋体" w:eastAsia="宋体" w:cs="宋体"/>
                <w:b w:val="0"/>
              </w:rPr>
              <w:t>231,973,546.65</w:t>
            </w:r>
          </w:p>
        </w:tc>
        <w:tc>
          <w:tcPr>
            <w:tcW w:w="0" w:type="dxa"/>
            <w:vAlign w:val="center"/>
          </w:tcPr>
          <w:p w14:paraId="35B90F93">
            <w:pPr>
              <w:spacing w:line="240" w:lineRule="auto"/>
              <w:jc w:val="right"/>
            </w:pPr>
            <w:r>
              <w:rPr>
                <w:rFonts w:ascii="宋体" w:hAnsi="宋体" w:eastAsia="宋体" w:cs="宋体"/>
                <w:b w:val="0"/>
              </w:rPr>
              <w:t>-83,246.14</w:t>
            </w:r>
          </w:p>
        </w:tc>
      </w:tr>
      <w:tr w14:paraId="1C0B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963E6E6">
            <w:pPr>
              <w:spacing w:line="240" w:lineRule="auto"/>
              <w:jc w:val="left"/>
            </w:pPr>
            <w:r>
              <w:rPr>
                <w:rFonts w:ascii="宋体" w:hAnsi="宋体" w:eastAsia="宋体" w:cs="宋体"/>
                <w:b w:val="0"/>
              </w:rPr>
              <w:t>减：所得税费用</w:t>
            </w:r>
          </w:p>
        </w:tc>
        <w:tc>
          <w:tcPr>
            <w:tcW w:w="0" w:type="dxa"/>
            <w:vAlign w:val="center"/>
          </w:tcPr>
          <w:p w14:paraId="4E3E69E2">
            <w:pPr>
              <w:spacing w:line="240" w:lineRule="auto"/>
              <w:jc w:val="center"/>
            </w:pPr>
          </w:p>
        </w:tc>
        <w:tc>
          <w:tcPr>
            <w:tcW w:w="0" w:type="dxa"/>
            <w:vAlign w:val="center"/>
          </w:tcPr>
          <w:p w14:paraId="5B720CD8">
            <w:pPr>
              <w:spacing w:line="240" w:lineRule="auto"/>
              <w:jc w:val="right"/>
            </w:pPr>
            <w:r>
              <w:rPr>
                <w:rFonts w:ascii="宋体" w:hAnsi="宋体" w:eastAsia="宋体" w:cs="宋体"/>
                <w:b w:val="0"/>
              </w:rPr>
              <w:t>-</w:t>
            </w:r>
          </w:p>
        </w:tc>
        <w:tc>
          <w:tcPr>
            <w:tcW w:w="0" w:type="dxa"/>
            <w:vAlign w:val="center"/>
          </w:tcPr>
          <w:p w14:paraId="36B2462A">
            <w:pPr>
              <w:spacing w:line="240" w:lineRule="auto"/>
              <w:jc w:val="right"/>
            </w:pPr>
            <w:r>
              <w:rPr>
                <w:rFonts w:ascii="宋体" w:hAnsi="宋体" w:eastAsia="宋体" w:cs="宋体"/>
                <w:b w:val="0"/>
              </w:rPr>
              <w:t>-</w:t>
            </w:r>
          </w:p>
        </w:tc>
      </w:tr>
      <w:tr w14:paraId="65A8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53A22B">
            <w:pPr>
              <w:spacing w:line="240" w:lineRule="auto"/>
              <w:jc w:val="left"/>
            </w:pPr>
            <w:r>
              <w:rPr>
                <w:rFonts w:ascii="宋体" w:hAnsi="宋体" w:eastAsia="宋体" w:cs="宋体"/>
                <w:b/>
              </w:rPr>
              <w:t>四、净利润（净亏损以“-”号填列）</w:t>
            </w:r>
          </w:p>
        </w:tc>
        <w:tc>
          <w:tcPr>
            <w:tcW w:w="0" w:type="dxa"/>
            <w:vAlign w:val="center"/>
          </w:tcPr>
          <w:p w14:paraId="2B63DA31">
            <w:pPr>
              <w:spacing w:line="240" w:lineRule="auto"/>
              <w:jc w:val="center"/>
            </w:pPr>
          </w:p>
        </w:tc>
        <w:tc>
          <w:tcPr>
            <w:tcW w:w="0" w:type="dxa"/>
            <w:vAlign w:val="center"/>
          </w:tcPr>
          <w:p w14:paraId="147A9C59">
            <w:pPr>
              <w:spacing w:line="240" w:lineRule="auto"/>
              <w:jc w:val="right"/>
            </w:pPr>
            <w:r>
              <w:rPr>
                <w:rFonts w:ascii="宋体" w:hAnsi="宋体" w:eastAsia="宋体" w:cs="宋体"/>
                <w:b w:val="0"/>
              </w:rPr>
              <w:t>231,973,546.65</w:t>
            </w:r>
          </w:p>
        </w:tc>
        <w:tc>
          <w:tcPr>
            <w:tcW w:w="0" w:type="dxa"/>
            <w:vAlign w:val="center"/>
          </w:tcPr>
          <w:p w14:paraId="572E105A">
            <w:pPr>
              <w:spacing w:line="240" w:lineRule="auto"/>
              <w:jc w:val="right"/>
            </w:pPr>
            <w:r>
              <w:rPr>
                <w:rFonts w:ascii="宋体" w:hAnsi="宋体" w:eastAsia="宋体" w:cs="宋体"/>
                <w:b w:val="0"/>
              </w:rPr>
              <w:t>-83,246.14</w:t>
            </w:r>
          </w:p>
        </w:tc>
      </w:tr>
      <w:tr w14:paraId="374A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95DF4D">
            <w:pPr>
              <w:spacing w:line="240" w:lineRule="auto"/>
              <w:jc w:val="left"/>
            </w:pPr>
            <w:r>
              <w:rPr>
                <w:rFonts w:ascii="宋体" w:hAnsi="宋体" w:eastAsia="宋体" w:cs="宋体"/>
                <w:b/>
              </w:rPr>
              <w:t>五、其他综合收益的税后净额</w:t>
            </w:r>
          </w:p>
        </w:tc>
        <w:tc>
          <w:tcPr>
            <w:tcW w:w="0" w:type="dxa"/>
            <w:vAlign w:val="center"/>
          </w:tcPr>
          <w:p w14:paraId="0501E7B8">
            <w:pPr>
              <w:spacing w:line="240" w:lineRule="auto"/>
              <w:jc w:val="center"/>
            </w:pPr>
          </w:p>
        </w:tc>
        <w:tc>
          <w:tcPr>
            <w:tcW w:w="0" w:type="dxa"/>
            <w:vAlign w:val="center"/>
          </w:tcPr>
          <w:p w14:paraId="7ECF6D58">
            <w:pPr>
              <w:spacing w:line="240" w:lineRule="auto"/>
              <w:jc w:val="right"/>
            </w:pPr>
            <w:r>
              <w:rPr>
                <w:rFonts w:ascii="宋体" w:hAnsi="宋体" w:eastAsia="宋体" w:cs="宋体"/>
                <w:b w:val="0"/>
              </w:rPr>
              <w:t>-</w:t>
            </w:r>
          </w:p>
        </w:tc>
        <w:tc>
          <w:tcPr>
            <w:tcW w:w="0" w:type="dxa"/>
            <w:vAlign w:val="center"/>
          </w:tcPr>
          <w:p w14:paraId="22F8FE5E">
            <w:pPr>
              <w:spacing w:line="240" w:lineRule="auto"/>
              <w:jc w:val="right"/>
            </w:pPr>
            <w:r>
              <w:rPr>
                <w:rFonts w:ascii="宋体" w:hAnsi="宋体" w:eastAsia="宋体" w:cs="宋体"/>
                <w:b w:val="0"/>
              </w:rPr>
              <w:t>-</w:t>
            </w:r>
          </w:p>
        </w:tc>
      </w:tr>
      <w:tr w14:paraId="6029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7623478">
            <w:pPr>
              <w:spacing w:line="240" w:lineRule="auto"/>
              <w:jc w:val="left"/>
            </w:pPr>
            <w:r>
              <w:rPr>
                <w:rFonts w:ascii="宋体" w:hAnsi="宋体" w:eastAsia="宋体" w:cs="宋体"/>
                <w:b/>
              </w:rPr>
              <w:t>六、综合收益总额</w:t>
            </w:r>
          </w:p>
        </w:tc>
        <w:tc>
          <w:tcPr>
            <w:tcW w:w="0" w:type="dxa"/>
            <w:vAlign w:val="center"/>
          </w:tcPr>
          <w:p w14:paraId="687C7E71">
            <w:pPr>
              <w:spacing w:line="240" w:lineRule="auto"/>
              <w:jc w:val="center"/>
            </w:pPr>
          </w:p>
        </w:tc>
        <w:tc>
          <w:tcPr>
            <w:tcW w:w="0" w:type="dxa"/>
            <w:vAlign w:val="center"/>
          </w:tcPr>
          <w:p w14:paraId="1C65927C">
            <w:pPr>
              <w:spacing w:line="240" w:lineRule="auto"/>
              <w:jc w:val="right"/>
            </w:pPr>
            <w:r>
              <w:rPr>
                <w:rFonts w:ascii="宋体" w:hAnsi="宋体" w:eastAsia="宋体" w:cs="宋体"/>
                <w:b w:val="0"/>
              </w:rPr>
              <w:t>231,973,546.65</w:t>
            </w:r>
          </w:p>
        </w:tc>
        <w:tc>
          <w:tcPr>
            <w:tcW w:w="0" w:type="dxa"/>
            <w:vAlign w:val="center"/>
          </w:tcPr>
          <w:p w14:paraId="6DFE2B96">
            <w:pPr>
              <w:spacing w:line="240" w:lineRule="auto"/>
              <w:jc w:val="right"/>
            </w:pPr>
            <w:r>
              <w:rPr>
                <w:rFonts w:ascii="宋体" w:hAnsi="宋体" w:eastAsia="宋体" w:cs="宋体"/>
                <w:b w:val="0"/>
              </w:rPr>
              <w:t>-83,246.14</w:t>
            </w:r>
          </w:p>
        </w:tc>
      </w:tr>
    </w:tbl>
    <w:p w14:paraId="7F645098"/>
    <w:p w14:paraId="6D00CB70">
      <w:pPr>
        <w:pStyle w:val="3"/>
        <w:jc w:val="left"/>
      </w:pPr>
      <w:bookmarkStart w:id="30" w:name="_Toc9333"/>
      <w:r>
        <w:rPr>
          <w:rFonts w:ascii="宋体" w:hAnsi="宋体" w:eastAsia="宋体" w:cs="宋体"/>
        </w:rPr>
        <w:t>6.3 净资产变动表</w:t>
      </w:r>
      <w:bookmarkEnd w:id="30"/>
    </w:p>
    <w:p w14:paraId="5CCCDFAA">
      <w:pPr>
        <w:jc w:val="left"/>
      </w:pPr>
      <w:r>
        <w:rPr>
          <w:rFonts w:ascii="宋体" w:hAnsi="宋体" w:eastAsia="宋体" w:cs="宋体"/>
          <w:b w:val="0"/>
        </w:rPr>
        <w:t>会计主体：东方阿尔法科技优选混合型发起式证券投资基金</w:t>
      </w:r>
    </w:p>
    <w:p w14:paraId="218D22D4">
      <w:pPr>
        <w:jc w:val="left"/>
      </w:pPr>
      <w:r>
        <w:rPr>
          <w:rFonts w:ascii="宋体" w:hAnsi="宋体" w:eastAsia="宋体" w:cs="宋体"/>
          <w:b w:val="0"/>
        </w:rPr>
        <w:t>本报告期：2026年01月01日至2026年06月30日</w:t>
      </w:r>
    </w:p>
    <w:p w14:paraId="2B085D2B">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2000"/>
        <w:gridCol w:w="2000"/>
        <w:gridCol w:w="2001"/>
      </w:tblGrid>
      <w:tr w14:paraId="47E6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9" w:type="pct"/>
            <w:vMerge w:val="restart"/>
            <w:shd w:val="clear" w:color="auto" w:fill="D9D9D9"/>
            <w:vAlign w:val="center"/>
          </w:tcPr>
          <w:p w14:paraId="0AF1D419">
            <w:pPr>
              <w:spacing w:line="240" w:lineRule="auto"/>
              <w:jc w:val="center"/>
            </w:pPr>
            <w:r>
              <w:rPr>
                <w:rFonts w:ascii="宋体" w:hAnsi="宋体" w:eastAsia="宋体" w:cs="宋体"/>
                <w:b/>
              </w:rPr>
              <w:t>项 目</w:t>
            </w:r>
          </w:p>
        </w:tc>
        <w:tc>
          <w:tcPr>
            <w:tcW w:w="3231" w:type="pct"/>
            <w:gridSpan w:val="3"/>
            <w:shd w:val="clear" w:color="auto" w:fill="D9D9D9"/>
            <w:vAlign w:val="center"/>
          </w:tcPr>
          <w:p w14:paraId="18F24C0A">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r>
      <w:tr w14:paraId="433E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F28CEE6"/>
        </w:tc>
        <w:tc>
          <w:tcPr>
            <w:tcW w:w="1077" w:type="pct"/>
            <w:shd w:val="clear" w:color="auto" w:fill="D9D9D9"/>
            <w:vAlign w:val="center"/>
          </w:tcPr>
          <w:p w14:paraId="190404E6">
            <w:pPr>
              <w:spacing w:line="240" w:lineRule="auto"/>
              <w:jc w:val="center"/>
            </w:pPr>
            <w:r>
              <w:rPr>
                <w:rFonts w:ascii="宋体" w:hAnsi="宋体" w:eastAsia="宋体" w:cs="宋体"/>
                <w:b/>
              </w:rPr>
              <w:t>实收基金</w:t>
            </w:r>
          </w:p>
        </w:tc>
        <w:tc>
          <w:tcPr>
            <w:tcW w:w="1077" w:type="pct"/>
            <w:shd w:val="clear" w:color="auto" w:fill="D9D9D9"/>
            <w:vAlign w:val="center"/>
          </w:tcPr>
          <w:p w14:paraId="0107D8B5">
            <w:pPr>
              <w:spacing w:line="240" w:lineRule="auto"/>
              <w:jc w:val="center"/>
            </w:pPr>
            <w:r>
              <w:rPr>
                <w:rFonts w:ascii="宋体" w:hAnsi="宋体" w:eastAsia="宋体" w:cs="宋体"/>
                <w:b/>
              </w:rPr>
              <w:t>未分配利润</w:t>
            </w:r>
          </w:p>
        </w:tc>
        <w:tc>
          <w:tcPr>
            <w:tcW w:w="1077" w:type="pct"/>
            <w:shd w:val="clear" w:color="auto" w:fill="D9D9D9"/>
            <w:vAlign w:val="center"/>
          </w:tcPr>
          <w:p w14:paraId="1F506517">
            <w:pPr>
              <w:spacing w:line="240" w:lineRule="auto"/>
              <w:jc w:val="center"/>
            </w:pPr>
            <w:r>
              <w:rPr>
                <w:rFonts w:ascii="宋体" w:hAnsi="宋体" w:eastAsia="宋体" w:cs="宋体"/>
                <w:b/>
              </w:rPr>
              <w:t>净资产合计</w:t>
            </w:r>
          </w:p>
        </w:tc>
      </w:tr>
      <w:tr w14:paraId="7B13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6ECE44">
            <w:pPr>
              <w:spacing w:line="240" w:lineRule="auto"/>
              <w:jc w:val="left"/>
            </w:pPr>
            <w:r>
              <w:rPr>
                <w:rFonts w:ascii="宋体" w:hAnsi="宋体" w:eastAsia="宋体" w:cs="宋体"/>
                <w:b w:val="0"/>
              </w:rPr>
              <w:t>一、上期期末净资产</w:t>
            </w:r>
          </w:p>
        </w:tc>
        <w:tc>
          <w:tcPr>
            <w:tcW w:w="0" w:type="dxa"/>
            <w:vAlign w:val="center"/>
          </w:tcPr>
          <w:p w14:paraId="7F2B308F">
            <w:pPr>
              <w:spacing w:line="240" w:lineRule="auto"/>
              <w:jc w:val="right"/>
            </w:pPr>
            <w:r>
              <w:rPr>
                <w:rFonts w:ascii="宋体" w:hAnsi="宋体" w:eastAsia="宋体" w:cs="宋体"/>
                <w:b w:val="0"/>
              </w:rPr>
              <w:t>57,518,550.99</w:t>
            </w:r>
          </w:p>
        </w:tc>
        <w:tc>
          <w:tcPr>
            <w:tcW w:w="0" w:type="dxa"/>
            <w:vAlign w:val="center"/>
          </w:tcPr>
          <w:p w14:paraId="303008CF">
            <w:pPr>
              <w:spacing w:line="240" w:lineRule="auto"/>
              <w:jc w:val="right"/>
            </w:pPr>
            <w:r>
              <w:rPr>
                <w:rFonts w:ascii="宋体" w:hAnsi="宋体" w:eastAsia="宋体" w:cs="宋体"/>
                <w:b w:val="0"/>
              </w:rPr>
              <w:t>1,654,219.32</w:t>
            </w:r>
          </w:p>
        </w:tc>
        <w:tc>
          <w:tcPr>
            <w:tcW w:w="0" w:type="dxa"/>
            <w:vAlign w:val="center"/>
          </w:tcPr>
          <w:p w14:paraId="6D14BE9C">
            <w:pPr>
              <w:spacing w:line="240" w:lineRule="auto"/>
              <w:jc w:val="right"/>
            </w:pPr>
            <w:r>
              <w:rPr>
                <w:rFonts w:ascii="宋体" w:hAnsi="宋体" w:eastAsia="宋体" w:cs="宋体"/>
                <w:b w:val="0"/>
              </w:rPr>
              <w:t>59,172,770.31</w:t>
            </w:r>
          </w:p>
        </w:tc>
      </w:tr>
      <w:tr w14:paraId="066A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E87901F">
            <w:pPr>
              <w:spacing w:line="240" w:lineRule="auto"/>
              <w:jc w:val="left"/>
            </w:pPr>
            <w:r>
              <w:rPr>
                <w:rFonts w:ascii="宋体" w:hAnsi="宋体" w:eastAsia="宋体" w:cs="宋体"/>
                <w:b w:val="0"/>
              </w:rPr>
              <w:t>二、本期期初净资产</w:t>
            </w:r>
          </w:p>
        </w:tc>
        <w:tc>
          <w:tcPr>
            <w:tcW w:w="0" w:type="dxa"/>
            <w:vAlign w:val="center"/>
          </w:tcPr>
          <w:p w14:paraId="631B99C2">
            <w:pPr>
              <w:spacing w:line="240" w:lineRule="auto"/>
              <w:jc w:val="right"/>
            </w:pPr>
            <w:r>
              <w:rPr>
                <w:rFonts w:ascii="宋体" w:hAnsi="宋体" w:eastAsia="宋体" w:cs="宋体"/>
                <w:b w:val="0"/>
              </w:rPr>
              <w:t>57,518,550.99</w:t>
            </w:r>
          </w:p>
        </w:tc>
        <w:tc>
          <w:tcPr>
            <w:tcW w:w="0" w:type="dxa"/>
            <w:vAlign w:val="center"/>
          </w:tcPr>
          <w:p w14:paraId="1367880C">
            <w:pPr>
              <w:spacing w:line="240" w:lineRule="auto"/>
              <w:jc w:val="right"/>
            </w:pPr>
            <w:r>
              <w:rPr>
                <w:rFonts w:ascii="宋体" w:hAnsi="宋体" w:eastAsia="宋体" w:cs="宋体"/>
                <w:b w:val="0"/>
              </w:rPr>
              <w:t>1,654,219.32</w:t>
            </w:r>
          </w:p>
        </w:tc>
        <w:tc>
          <w:tcPr>
            <w:tcW w:w="0" w:type="dxa"/>
            <w:vAlign w:val="center"/>
          </w:tcPr>
          <w:p w14:paraId="06580A79">
            <w:pPr>
              <w:spacing w:line="240" w:lineRule="auto"/>
              <w:jc w:val="right"/>
            </w:pPr>
            <w:r>
              <w:rPr>
                <w:rFonts w:ascii="宋体" w:hAnsi="宋体" w:eastAsia="宋体" w:cs="宋体"/>
                <w:b w:val="0"/>
              </w:rPr>
              <w:t>59,172,770.31</w:t>
            </w:r>
          </w:p>
        </w:tc>
      </w:tr>
      <w:tr w14:paraId="5D5A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260DAE">
            <w:pPr>
              <w:spacing w:line="240" w:lineRule="auto"/>
              <w:jc w:val="left"/>
            </w:pPr>
            <w:r>
              <w:rPr>
                <w:rFonts w:ascii="宋体" w:hAnsi="宋体" w:eastAsia="宋体" w:cs="宋体"/>
                <w:b w:val="0"/>
              </w:rPr>
              <w:t>三、本期增减变动额（减少以“-”号填列）</w:t>
            </w:r>
          </w:p>
        </w:tc>
        <w:tc>
          <w:tcPr>
            <w:tcW w:w="0" w:type="dxa"/>
            <w:vAlign w:val="center"/>
          </w:tcPr>
          <w:p w14:paraId="16C4D00F">
            <w:pPr>
              <w:spacing w:line="240" w:lineRule="auto"/>
              <w:jc w:val="right"/>
            </w:pPr>
            <w:r>
              <w:rPr>
                <w:rFonts w:ascii="宋体" w:hAnsi="宋体" w:eastAsia="宋体" w:cs="宋体"/>
                <w:b w:val="0"/>
              </w:rPr>
              <w:t>323,839,696.78</w:t>
            </w:r>
          </w:p>
        </w:tc>
        <w:tc>
          <w:tcPr>
            <w:tcW w:w="0" w:type="dxa"/>
            <w:vAlign w:val="center"/>
          </w:tcPr>
          <w:p w14:paraId="7BE06D57">
            <w:pPr>
              <w:spacing w:line="240" w:lineRule="auto"/>
              <w:jc w:val="right"/>
            </w:pPr>
            <w:r>
              <w:rPr>
                <w:rFonts w:ascii="宋体" w:hAnsi="宋体" w:eastAsia="宋体" w:cs="宋体"/>
                <w:b w:val="0"/>
              </w:rPr>
              <w:t>550,833,558.71</w:t>
            </w:r>
          </w:p>
        </w:tc>
        <w:tc>
          <w:tcPr>
            <w:tcW w:w="0" w:type="dxa"/>
            <w:vAlign w:val="center"/>
          </w:tcPr>
          <w:p w14:paraId="3C436AF1">
            <w:pPr>
              <w:spacing w:line="240" w:lineRule="auto"/>
              <w:jc w:val="right"/>
            </w:pPr>
            <w:r>
              <w:rPr>
                <w:rFonts w:ascii="宋体" w:hAnsi="宋体" w:eastAsia="宋体" w:cs="宋体"/>
                <w:b w:val="0"/>
              </w:rPr>
              <w:t>874,673,255.49</w:t>
            </w:r>
          </w:p>
        </w:tc>
      </w:tr>
      <w:tr w14:paraId="6025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3AE786">
            <w:pPr>
              <w:spacing w:line="240" w:lineRule="auto"/>
              <w:jc w:val="left"/>
            </w:pPr>
            <w:r>
              <w:rPr>
                <w:rFonts w:ascii="宋体" w:hAnsi="宋体" w:eastAsia="宋体" w:cs="宋体"/>
                <w:b w:val="0"/>
              </w:rPr>
              <w:t>（一）、综合收益总额</w:t>
            </w:r>
          </w:p>
        </w:tc>
        <w:tc>
          <w:tcPr>
            <w:tcW w:w="0" w:type="dxa"/>
            <w:vAlign w:val="center"/>
          </w:tcPr>
          <w:p w14:paraId="25AE9DDD">
            <w:pPr>
              <w:spacing w:line="240" w:lineRule="auto"/>
              <w:jc w:val="right"/>
            </w:pPr>
            <w:r>
              <w:rPr>
                <w:rFonts w:ascii="宋体" w:hAnsi="宋体" w:eastAsia="宋体" w:cs="宋体"/>
                <w:b w:val="0"/>
              </w:rPr>
              <w:t>-</w:t>
            </w:r>
          </w:p>
        </w:tc>
        <w:tc>
          <w:tcPr>
            <w:tcW w:w="0" w:type="dxa"/>
            <w:vAlign w:val="center"/>
          </w:tcPr>
          <w:p w14:paraId="457190D9">
            <w:pPr>
              <w:spacing w:line="240" w:lineRule="auto"/>
              <w:jc w:val="right"/>
            </w:pPr>
            <w:r>
              <w:rPr>
                <w:rFonts w:ascii="宋体" w:hAnsi="宋体" w:eastAsia="宋体" w:cs="宋体"/>
                <w:b w:val="0"/>
              </w:rPr>
              <w:t>231,973,546.65</w:t>
            </w:r>
          </w:p>
        </w:tc>
        <w:tc>
          <w:tcPr>
            <w:tcW w:w="0" w:type="dxa"/>
            <w:vAlign w:val="center"/>
          </w:tcPr>
          <w:p w14:paraId="6B23865B">
            <w:pPr>
              <w:spacing w:line="240" w:lineRule="auto"/>
              <w:jc w:val="right"/>
            </w:pPr>
            <w:r>
              <w:rPr>
                <w:rFonts w:ascii="宋体" w:hAnsi="宋体" w:eastAsia="宋体" w:cs="宋体"/>
                <w:b w:val="0"/>
              </w:rPr>
              <w:t>231,973,546.65</w:t>
            </w:r>
          </w:p>
        </w:tc>
      </w:tr>
      <w:tr w14:paraId="7097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301573">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14:paraId="1A2D9735">
            <w:pPr>
              <w:spacing w:line="240" w:lineRule="auto"/>
              <w:jc w:val="right"/>
            </w:pPr>
            <w:r>
              <w:rPr>
                <w:rFonts w:ascii="宋体" w:hAnsi="宋体" w:eastAsia="宋体" w:cs="宋体"/>
                <w:b w:val="0"/>
              </w:rPr>
              <w:t>323,839,696.78</w:t>
            </w:r>
          </w:p>
        </w:tc>
        <w:tc>
          <w:tcPr>
            <w:tcW w:w="0" w:type="dxa"/>
            <w:vAlign w:val="center"/>
          </w:tcPr>
          <w:p w14:paraId="66408FBB">
            <w:pPr>
              <w:spacing w:line="240" w:lineRule="auto"/>
              <w:jc w:val="right"/>
            </w:pPr>
            <w:r>
              <w:rPr>
                <w:rFonts w:ascii="宋体" w:hAnsi="宋体" w:eastAsia="宋体" w:cs="宋体"/>
                <w:b w:val="0"/>
              </w:rPr>
              <w:t>318,860,012.06</w:t>
            </w:r>
          </w:p>
        </w:tc>
        <w:tc>
          <w:tcPr>
            <w:tcW w:w="0" w:type="dxa"/>
            <w:vAlign w:val="center"/>
          </w:tcPr>
          <w:p w14:paraId="70918C8C">
            <w:pPr>
              <w:spacing w:line="240" w:lineRule="auto"/>
              <w:jc w:val="right"/>
            </w:pPr>
            <w:r>
              <w:rPr>
                <w:rFonts w:ascii="宋体" w:hAnsi="宋体" w:eastAsia="宋体" w:cs="宋体"/>
                <w:b w:val="0"/>
              </w:rPr>
              <w:t>642,699,708.84</w:t>
            </w:r>
          </w:p>
        </w:tc>
      </w:tr>
      <w:tr w14:paraId="1A31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E0F046">
            <w:pPr>
              <w:spacing w:line="240" w:lineRule="auto"/>
              <w:jc w:val="left"/>
            </w:pPr>
            <w:r>
              <w:rPr>
                <w:rFonts w:ascii="宋体" w:hAnsi="宋体" w:eastAsia="宋体" w:cs="宋体"/>
                <w:b w:val="0"/>
              </w:rPr>
              <w:t>其中：1.基金申购款</w:t>
            </w:r>
          </w:p>
        </w:tc>
        <w:tc>
          <w:tcPr>
            <w:tcW w:w="0" w:type="dxa"/>
            <w:vAlign w:val="center"/>
          </w:tcPr>
          <w:p w14:paraId="55B9BE87">
            <w:pPr>
              <w:spacing w:line="240" w:lineRule="auto"/>
              <w:jc w:val="right"/>
            </w:pPr>
            <w:r>
              <w:rPr>
                <w:rFonts w:ascii="宋体" w:hAnsi="宋体" w:eastAsia="宋体" w:cs="宋体"/>
                <w:b w:val="0"/>
              </w:rPr>
              <w:t>1,138,685,893.62</w:t>
            </w:r>
          </w:p>
        </w:tc>
        <w:tc>
          <w:tcPr>
            <w:tcW w:w="0" w:type="dxa"/>
            <w:vAlign w:val="center"/>
          </w:tcPr>
          <w:p w14:paraId="0BDECE57">
            <w:pPr>
              <w:spacing w:line="240" w:lineRule="auto"/>
              <w:jc w:val="right"/>
            </w:pPr>
            <w:r>
              <w:rPr>
                <w:rFonts w:ascii="宋体" w:hAnsi="宋体" w:eastAsia="宋体" w:cs="宋体"/>
                <w:b w:val="0"/>
              </w:rPr>
              <w:t>595,724,087.70</w:t>
            </w:r>
          </w:p>
        </w:tc>
        <w:tc>
          <w:tcPr>
            <w:tcW w:w="0" w:type="dxa"/>
            <w:vAlign w:val="center"/>
          </w:tcPr>
          <w:p w14:paraId="4B41F3DB">
            <w:pPr>
              <w:spacing w:line="240" w:lineRule="auto"/>
              <w:jc w:val="right"/>
            </w:pPr>
            <w:r>
              <w:rPr>
                <w:rFonts w:ascii="宋体" w:hAnsi="宋体" w:eastAsia="宋体" w:cs="宋体"/>
                <w:b w:val="0"/>
              </w:rPr>
              <w:t>1,734,409,981.32</w:t>
            </w:r>
          </w:p>
        </w:tc>
      </w:tr>
      <w:tr w14:paraId="5BE8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A2195C">
            <w:pPr>
              <w:spacing w:line="240" w:lineRule="auto"/>
              <w:jc w:val="left"/>
            </w:pPr>
            <w:r>
              <w:rPr>
                <w:rFonts w:ascii="宋体" w:hAnsi="宋体" w:eastAsia="宋体" w:cs="宋体"/>
                <w:b w:val="0"/>
              </w:rPr>
              <w:t xml:space="preserve">      2.基金赎回款</w:t>
            </w:r>
          </w:p>
        </w:tc>
        <w:tc>
          <w:tcPr>
            <w:tcW w:w="0" w:type="dxa"/>
            <w:vAlign w:val="center"/>
          </w:tcPr>
          <w:p w14:paraId="6252F17A">
            <w:pPr>
              <w:spacing w:line="240" w:lineRule="auto"/>
              <w:jc w:val="right"/>
            </w:pPr>
            <w:r>
              <w:rPr>
                <w:rFonts w:ascii="宋体" w:hAnsi="宋体" w:eastAsia="宋体" w:cs="宋体"/>
                <w:b w:val="0"/>
              </w:rPr>
              <w:t>-814,846,196.84</w:t>
            </w:r>
          </w:p>
        </w:tc>
        <w:tc>
          <w:tcPr>
            <w:tcW w:w="0" w:type="dxa"/>
            <w:vAlign w:val="center"/>
          </w:tcPr>
          <w:p w14:paraId="62F76180">
            <w:pPr>
              <w:spacing w:line="240" w:lineRule="auto"/>
              <w:jc w:val="right"/>
            </w:pPr>
            <w:r>
              <w:rPr>
                <w:rFonts w:ascii="宋体" w:hAnsi="宋体" w:eastAsia="宋体" w:cs="宋体"/>
                <w:b w:val="0"/>
              </w:rPr>
              <w:t>-276,864,075.64</w:t>
            </w:r>
          </w:p>
        </w:tc>
        <w:tc>
          <w:tcPr>
            <w:tcW w:w="0" w:type="dxa"/>
            <w:vAlign w:val="center"/>
          </w:tcPr>
          <w:p w14:paraId="14FCA40B">
            <w:pPr>
              <w:spacing w:line="240" w:lineRule="auto"/>
              <w:jc w:val="right"/>
            </w:pPr>
            <w:r>
              <w:rPr>
                <w:rFonts w:ascii="宋体" w:hAnsi="宋体" w:eastAsia="宋体" w:cs="宋体"/>
                <w:b w:val="0"/>
              </w:rPr>
              <w:t>-1,091,710,272.48</w:t>
            </w:r>
          </w:p>
        </w:tc>
      </w:tr>
      <w:tr w14:paraId="36CA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586005">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14:paraId="6E94259B">
            <w:pPr>
              <w:spacing w:line="240" w:lineRule="auto"/>
              <w:jc w:val="right"/>
            </w:pPr>
            <w:r>
              <w:rPr>
                <w:rFonts w:ascii="宋体" w:hAnsi="宋体" w:eastAsia="宋体" w:cs="宋体"/>
                <w:b w:val="0"/>
              </w:rPr>
              <w:t>-</w:t>
            </w:r>
          </w:p>
        </w:tc>
        <w:tc>
          <w:tcPr>
            <w:tcW w:w="0" w:type="dxa"/>
            <w:vAlign w:val="center"/>
          </w:tcPr>
          <w:p w14:paraId="6BBCA1BF">
            <w:pPr>
              <w:spacing w:line="240" w:lineRule="auto"/>
              <w:jc w:val="right"/>
            </w:pPr>
            <w:r>
              <w:rPr>
                <w:rFonts w:ascii="宋体" w:hAnsi="宋体" w:eastAsia="宋体" w:cs="宋体"/>
                <w:b w:val="0"/>
              </w:rPr>
              <w:t>-</w:t>
            </w:r>
          </w:p>
        </w:tc>
        <w:tc>
          <w:tcPr>
            <w:tcW w:w="0" w:type="dxa"/>
            <w:vAlign w:val="center"/>
          </w:tcPr>
          <w:p w14:paraId="506537C3">
            <w:pPr>
              <w:spacing w:line="240" w:lineRule="auto"/>
              <w:jc w:val="right"/>
            </w:pPr>
            <w:r>
              <w:rPr>
                <w:rFonts w:ascii="宋体" w:hAnsi="宋体" w:eastAsia="宋体" w:cs="宋体"/>
                <w:b w:val="0"/>
              </w:rPr>
              <w:t>-</w:t>
            </w:r>
          </w:p>
        </w:tc>
      </w:tr>
      <w:tr w14:paraId="1C76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9EB490">
            <w:pPr>
              <w:spacing w:line="240" w:lineRule="auto"/>
              <w:jc w:val="left"/>
            </w:pPr>
            <w:r>
              <w:rPr>
                <w:rFonts w:ascii="宋体" w:hAnsi="宋体" w:eastAsia="宋体" w:cs="宋体"/>
                <w:b w:val="0"/>
              </w:rPr>
              <w:t>四、本期期末净资产</w:t>
            </w:r>
          </w:p>
        </w:tc>
        <w:tc>
          <w:tcPr>
            <w:tcW w:w="0" w:type="dxa"/>
            <w:vAlign w:val="center"/>
          </w:tcPr>
          <w:p w14:paraId="7D123FF2">
            <w:pPr>
              <w:spacing w:line="240" w:lineRule="auto"/>
              <w:jc w:val="right"/>
            </w:pPr>
            <w:r>
              <w:rPr>
                <w:rFonts w:ascii="宋体" w:hAnsi="宋体" w:eastAsia="宋体" w:cs="宋体"/>
                <w:b w:val="0"/>
              </w:rPr>
              <w:t>381,358,247.77</w:t>
            </w:r>
          </w:p>
        </w:tc>
        <w:tc>
          <w:tcPr>
            <w:tcW w:w="0" w:type="dxa"/>
            <w:vAlign w:val="center"/>
          </w:tcPr>
          <w:p w14:paraId="662D73C9">
            <w:pPr>
              <w:spacing w:line="240" w:lineRule="auto"/>
              <w:jc w:val="right"/>
            </w:pPr>
            <w:r>
              <w:rPr>
                <w:rFonts w:ascii="宋体" w:hAnsi="宋体" w:eastAsia="宋体" w:cs="宋体"/>
                <w:b w:val="0"/>
              </w:rPr>
              <w:t>552,487,778.03</w:t>
            </w:r>
          </w:p>
        </w:tc>
        <w:tc>
          <w:tcPr>
            <w:tcW w:w="0" w:type="dxa"/>
            <w:vAlign w:val="center"/>
          </w:tcPr>
          <w:p w14:paraId="70DDEF71">
            <w:pPr>
              <w:spacing w:line="240" w:lineRule="auto"/>
              <w:jc w:val="right"/>
            </w:pPr>
            <w:r>
              <w:rPr>
                <w:rFonts w:ascii="宋体" w:hAnsi="宋体" w:eastAsia="宋体" w:cs="宋体"/>
                <w:b w:val="0"/>
              </w:rPr>
              <w:t>933,846,025.80</w:t>
            </w:r>
          </w:p>
        </w:tc>
      </w:tr>
      <w:tr w14:paraId="1D31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14:paraId="57F1F65D">
            <w:pPr>
              <w:spacing w:line="240" w:lineRule="auto"/>
              <w:jc w:val="center"/>
            </w:pPr>
            <w:r>
              <w:rPr>
                <w:rFonts w:ascii="宋体" w:hAnsi="宋体" w:eastAsia="宋体" w:cs="宋体"/>
                <w:b/>
              </w:rPr>
              <w:t>项 目</w:t>
            </w:r>
          </w:p>
        </w:tc>
        <w:tc>
          <w:tcPr>
            <w:tcW w:w="0" w:type="dxa"/>
            <w:gridSpan w:val="3"/>
            <w:shd w:val="clear" w:color="auto" w:fill="D9D9D9"/>
            <w:vAlign w:val="center"/>
          </w:tcPr>
          <w:p w14:paraId="4B124391">
            <w:pPr>
              <w:spacing w:line="240" w:lineRule="auto"/>
              <w:jc w:val="center"/>
            </w:pPr>
            <w:r>
              <w:rPr>
                <w:rFonts w:ascii="宋体" w:hAnsi="宋体" w:eastAsia="宋体" w:cs="宋体"/>
                <w:b/>
              </w:rPr>
              <w:t>上年度可比期间</w:t>
            </w:r>
            <w:r>
              <w:br w:type="textWrapping"/>
            </w:r>
            <w:r>
              <w:rPr>
                <w:rFonts w:ascii="宋体" w:hAnsi="宋体" w:eastAsia="宋体" w:cs="宋体"/>
                <w:b/>
              </w:rPr>
              <w:t>2025年06月06日（基金合同生效日）至2025年06月30日</w:t>
            </w:r>
          </w:p>
        </w:tc>
      </w:tr>
      <w:tr w14:paraId="24B7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4DD0EB2"/>
        </w:tc>
        <w:tc>
          <w:tcPr>
            <w:tcW w:w="0" w:type="dxa"/>
            <w:shd w:val="clear" w:color="auto" w:fill="D9D9D9"/>
            <w:vAlign w:val="center"/>
          </w:tcPr>
          <w:p w14:paraId="38641B3E">
            <w:pPr>
              <w:spacing w:line="240" w:lineRule="auto"/>
              <w:jc w:val="center"/>
            </w:pPr>
            <w:r>
              <w:rPr>
                <w:rFonts w:ascii="宋体" w:hAnsi="宋体" w:eastAsia="宋体" w:cs="宋体"/>
                <w:b/>
              </w:rPr>
              <w:t>实收基金</w:t>
            </w:r>
          </w:p>
        </w:tc>
        <w:tc>
          <w:tcPr>
            <w:tcW w:w="0" w:type="dxa"/>
            <w:shd w:val="clear" w:color="auto" w:fill="D9D9D9"/>
            <w:vAlign w:val="center"/>
          </w:tcPr>
          <w:p w14:paraId="2C489C87">
            <w:pPr>
              <w:spacing w:line="240" w:lineRule="auto"/>
              <w:jc w:val="center"/>
            </w:pPr>
            <w:r>
              <w:rPr>
                <w:rFonts w:ascii="宋体" w:hAnsi="宋体" w:eastAsia="宋体" w:cs="宋体"/>
                <w:b/>
              </w:rPr>
              <w:t>未分配利润</w:t>
            </w:r>
          </w:p>
        </w:tc>
        <w:tc>
          <w:tcPr>
            <w:tcW w:w="0" w:type="dxa"/>
            <w:shd w:val="clear" w:color="auto" w:fill="D9D9D9"/>
            <w:vAlign w:val="center"/>
          </w:tcPr>
          <w:p w14:paraId="58B88097">
            <w:pPr>
              <w:spacing w:line="240" w:lineRule="auto"/>
              <w:jc w:val="center"/>
            </w:pPr>
            <w:r>
              <w:rPr>
                <w:rFonts w:ascii="宋体" w:hAnsi="宋体" w:eastAsia="宋体" w:cs="宋体"/>
                <w:b/>
              </w:rPr>
              <w:t>净资产合计</w:t>
            </w:r>
          </w:p>
        </w:tc>
      </w:tr>
      <w:tr w14:paraId="0164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BBC081">
            <w:pPr>
              <w:spacing w:line="240" w:lineRule="auto"/>
              <w:jc w:val="left"/>
            </w:pPr>
            <w:r>
              <w:rPr>
                <w:rFonts w:ascii="宋体" w:hAnsi="宋体" w:eastAsia="宋体" w:cs="宋体"/>
                <w:b w:val="0"/>
              </w:rPr>
              <w:t>一、上期期末净资产</w:t>
            </w:r>
          </w:p>
        </w:tc>
        <w:tc>
          <w:tcPr>
            <w:tcW w:w="0" w:type="dxa"/>
            <w:vAlign w:val="center"/>
          </w:tcPr>
          <w:p w14:paraId="7571B512">
            <w:pPr>
              <w:spacing w:line="240" w:lineRule="auto"/>
              <w:jc w:val="right"/>
            </w:pPr>
            <w:r>
              <w:rPr>
                <w:rFonts w:ascii="宋体" w:hAnsi="宋体" w:eastAsia="宋体" w:cs="宋体"/>
                <w:b w:val="0"/>
              </w:rPr>
              <w:t>-</w:t>
            </w:r>
          </w:p>
        </w:tc>
        <w:tc>
          <w:tcPr>
            <w:tcW w:w="0" w:type="dxa"/>
            <w:vAlign w:val="center"/>
          </w:tcPr>
          <w:p w14:paraId="1D3B0019">
            <w:pPr>
              <w:spacing w:line="240" w:lineRule="auto"/>
              <w:jc w:val="right"/>
            </w:pPr>
            <w:r>
              <w:rPr>
                <w:rFonts w:ascii="宋体" w:hAnsi="宋体" w:eastAsia="宋体" w:cs="宋体"/>
                <w:b w:val="0"/>
              </w:rPr>
              <w:t>-</w:t>
            </w:r>
          </w:p>
        </w:tc>
        <w:tc>
          <w:tcPr>
            <w:tcW w:w="0" w:type="dxa"/>
            <w:vAlign w:val="center"/>
          </w:tcPr>
          <w:p w14:paraId="41A033F1">
            <w:pPr>
              <w:spacing w:line="240" w:lineRule="auto"/>
              <w:jc w:val="right"/>
            </w:pPr>
            <w:r>
              <w:rPr>
                <w:rFonts w:ascii="宋体" w:hAnsi="宋体" w:eastAsia="宋体" w:cs="宋体"/>
                <w:b w:val="0"/>
              </w:rPr>
              <w:t>-</w:t>
            </w:r>
          </w:p>
        </w:tc>
      </w:tr>
      <w:tr w14:paraId="44C3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2E1174">
            <w:pPr>
              <w:spacing w:line="240" w:lineRule="auto"/>
              <w:jc w:val="left"/>
            </w:pPr>
            <w:r>
              <w:rPr>
                <w:rFonts w:ascii="宋体" w:hAnsi="宋体" w:eastAsia="宋体" w:cs="宋体"/>
                <w:b w:val="0"/>
              </w:rPr>
              <w:t>二、本期期初净资产</w:t>
            </w:r>
          </w:p>
        </w:tc>
        <w:tc>
          <w:tcPr>
            <w:tcW w:w="0" w:type="dxa"/>
            <w:vAlign w:val="center"/>
          </w:tcPr>
          <w:p w14:paraId="7479310E">
            <w:pPr>
              <w:spacing w:line="240" w:lineRule="auto"/>
              <w:jc w:val="right"/>
            </w:pPr>
            <w:r>
              <w:rPr>
                <w:rFonts w:ascii="宋体" w:hAnsi="宋体" w:eastAsia="宋体" w:cs="宋体"/>
                <w:b w:val="0"/>
              </w:rPr>
              <w:t>11,875,911.44</w:t>
            </w:r>
          </w:p>
        </w:tc>
        <w:tc>
          <w:tcPr>
            <w:tcW w:w="0" w:type="dxa"/>
            <w:vAlign w:val="center"/>
          </w:tcPr>
          <w:p w14:paraId="27CE7646">
            <w:pPr>
              <w:spacing w:line="240" w:lineRule="auto"/>
              <w:jc w:val="right"/>
            </w:pPr>
            <w:r>
              <w:rPr>
                <w:rFonts w:ascii="宋体" w:hAnsi="宋体" w:eastAsia="宋体" w:cs="宋体"/>
                <w:b w:val="0"/>
              </w:rPr>
              <w:t>-</w:t>
            </w:r>
          </w:p>
        </w:tc>
        <w:tc>
          <w:tcPr>
            <w:tcW w:w="0" w:type="dxa"/>
            <w:vAlign w:val="center"/>
          </w:tcPr>
          <w:p w14:paraId="71C064FD">
            <w:pPr>
              <w:spacing w:line="240" w:lineRule="auto"/>
              <w:jc w:val="right"/>
            </w:pPr>
            <w:r>
              <w:rPr>
                <w:rFonts w:ascii="宋体" w:hAnsi="宋体" w:eastAsia="宋体" w:cs="宋体"/>
                <w:b w:val="0"/>
              </w:rPr>
              <w:t>11,875,911.44</w:t>
            </w:r>
          </w:p>
        </w:tc>
      </w:tr>
      <w:tr w14:paraId="7F54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14:paraId="3EE0F622">
            <w:pPr>
              <w:spacing w:line="240" w:lineRule="auto"/>
              <w:jc w:val="left"/>
            </w:pPr>
            <w:r>
              <w:rPr>
                <w:rFonts w:ascii="宋体" w:hAnsi="宋体" w:eastAsia="宋体" w:cs="宋体"/>
                <w:b w:val="0"/>
              </w:rPr>
              <w:t>三、本期增减变动额（减少以“-”号填列）</w:t>
            </w:r>
          </w:p>
        </w:tc>
        <w:tc>
          <w:tcPr>
            <w:tcW w:w="0" w:type="dxa"/>
            <w:vAlign w:val="center"/>
          </w:tcPr>
          <w:p w14:paraId="71ACB675">
            <w:pPr>
              <w:spacing w:line="240" w:lineRule="auto"/>
              <w:jc w:val="right"/>
            </w:pPr>
            <w:r>
              <w:rPr>
                <w:rFonts w:ascii="宋体" w:hAnsi="宋体" w:eastAsia="宋体" w:cs="宋体"/>
                <w:b w:val="0"/>
              </w:rPr>
              <w:t>49,195.59</w:t>
            </w:r>
          </w:p>
        </w:tc>
        <w:tc>
          <w:tcPr>
            <w:tcW w:w="0" w:type="dxa"/>
            <w:vAlign w:val="center"/>
          </w:tcPr>
          <w:p w14:paraId="5C0A61F7">
            <w:pPr>
              <w:spacing w:line="240" w:lineRule="auto"/>
              <w:jc w:val="right"/>
            </w:pPr>
            <w:r>
              <w:rPr>
                <w:rFonts w:ascii="宋体" w:hAnsi="宋体" w:eastAsia="宋体" w:cs="宋体"/>
                <w:b w:val="0"/>
              </w:rPr>
              <w:t>-83,980.98</w:t>
            </w:r>
          </w:p>
        </w:tc>
        <w:tc>
          <w:tcPr>
            <w:tcW w:w="0" w:type="dxa"/>
            <w:vAlign w:val="center"/>
          </w:tcPr>
          <w:p w14:paraId="00C09D29">
            <w:pPr>
              <w:spacing w:line="240" w:lineRule="auto"/>
              <w:jc w:val="right"/>
            </w:pPr>
            <w:r>
              <w:rPr>
                <w:rFonts w:ascii="宋体" w:hAnsi="宋体" w:eastAsia="宋体" w:cs="宋体"/>
                <w:b w:val="0"/>
              </w:rPr>
              <w:t>-34,785.39</w:t>
            </w:r>
          </w:p>
        </w:tc>
      </w:tr>
      <w:tr w14:paraId="4F7A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2C2822">
            <w:pPr>
              <w:spacing w:line="240" w:lineRule="auto"/>
              <w:jc w:val="left"/>
            </w:pPr>
            <w:r>
              <w:rPr>
                <w:rFonts w:ascii="宋体" w:hAnsi="宋体" w:eastAsia="宋体" w:cs="宋体"/>
                <w:b w:val="0"/>
              </w:rPr>
              <w:t>（一）、综合收益总额</w:t>
            </w:r>
          </w:p>
        </w:tc>
        <w:tc>
          <w:tcPr>
            <w:tcW w:w="0" w:type="dxa"/>
            <w:vAlign w:val="center"/>
          </w:tcPr>
          <w:p w14:paraId="6FD8B9BE">
            <w:pPr>
              <w:spacing w:line="240" w:lineRule="auto"/>
              <w:jc w:val="right"/>
            </w:pPr>
            <w:r>
              <w:rPr>
                <w:rFonts w:ascii="宋体" w:hAnsi="宋体" w:eastAsia="宋体" w:cs="宋体"/>
                <w:b w:val="0"/>
              </w:rPr>
              <w:t>-</w:t>
            </w:r>
          </w:p>
        </w:tc>
        <w:tc>
          <w:tcPr>
            <w:tcW w:w="0" w:type="dxa"/>
            <w:vAlign w:val="center"/>
          </w:tcPr>
          <w:p w14:paraId="065C6391">
            <w:pPr>
              <w:spacing w:line="240" w:lineRule="auto"/>
              <w:jc w:val="right"/>
            </w:pPr>
            <w:r>
              <w:rPr>
                <w:rFonts w:ascii="宋体" w:hAnsi="宋体" w:eastAsia="宋体" w:cs="宋体"/>
                <w:b w:val="0"/>
              </w:rPr>
              <w:t>-83,246.14</w:t>
            </w:r>
          </w:p>
        </w:tc>
        <w:tc>
          <w:tcPr>
            <w:tcW w:w="0" w:type="dxa"/>
            <w:vAlign w:val="center"/>
          </w:tcPr>
          <w:p w14:paraId="73FE7877">
            <w:pPr>
              <w:spacing w:line="240" w:lineRule="auto"/>
              <w:jc w:val="right"/>
            </w:pPr>
            <w:r>
              <w:rPr>
                <w:rFonts w:ascii="宋体" w:hAnsi="宋体" w:eastAsia="宋体" w:cs="宋体"/>
                <w:b w:val="0"/>
              </w:rPr>
              <w:t>-83,246.14</w:t>
            </w:r>
          </w:p>
        </w:tc>
      </w:tr>
      <w:tr w14:paraId="38D8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6B895A">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14:paraId="410779C5">
            <w:pPr>
              <w:spacing w:line="240" w:lineRule="auto"/>
              <w:jc w:val="right"/>
            </w:pPr>
            <w:r>
              <w:rPr>
                <w:rFonts w:ascii="宋体" w:hAnsi="宋体" w:eastAsia="宋体" w:cs="宋体"/>
                <w:b w:val="0"/>
              </w:rPr>
              <w:t>49,195.59</w:t>
            </w:r>
          </w:p>
        </w:tc>
        <w:tc>
          <w:tcPr>
            <w:tcW w:w="0" w:type="dxa"/>
            <w:vAlign w:val="center"/>
          </w:tcPr>
          <w:p w14:paraId="44A82577">
            <w:pPr>
              <w:spacing w:line="240" w:lineRule="auto"/>
              <w:jc w:val="right"/>
            </w:pPr>
            <w:r>
              <w:rPr>
                <w:rFonts w:ascii="宋体" w:hAnsi="宋体" w:eastAsia="宋体" w:cs="宋体"/>
                <w:b w:val="0"/>
              </w:rPr>
              <w:t>-734.84</w:t>
            </w:r>
          </w:p>
        </w:tc>
        <w:tc>
          <w:tcPr>
            <w:tcW w:w="0" w:type="dxa"/>
            <w:vAlign w:val="center"/>
          </w:tcPr>
          <w:p w14:paraId="116BCDD6">
            <w:pPr>
              <w:spacing w:line="240" w:lineRule="auto"/>
              <w:jc w:val="right"/>
            </w:pPr>
            <w:r>
              <w:rPr>
                <w:rFonts w:ascii="宋体" w:hAnsi="宋体" w:eastAsia="宋体" w:cs="宋体"/>
                <w:b w:val="0"/>
              </w:rPr>
              <w:t>48,460.75</w:t>
            </w:r>
          </w:p>
        </w:tc>
      </w:tr>
      <w:tr w14:paraId="3DB6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5E14C4">
            <w:pPr>
              <w:spacing w:line="240" w:lineRule="auto"/>
              <w:jc w:val="left"/>
            </w:pPr>
            <w:r>
              <w:rPr>
                <w:rFonts w:ascii="宋体" w:hAnsi="宋体" w:eastAsia="宋体" w:cs="宋体"/>
                <w:b w:val="0"/>
              </w:rPr>
              <w:t>其中：1.基金申购款</w:t>
            </w:r>
          </w:p>
        </w:tc>
        <w:tc>
          <w:tcPr>
            <w:tcW w:w="0" w:type="dxa"/>
            <w:vAlign w:val="center"/>
          </w:tcPr>
          <w:p w14:paraId="1AA4B5B4">
            <w:pPr>
              <w:spacing w:line="240" w:lineRule="auto"/>
              <w:jc w:val="right"/>
            </w:pPr>
            <w:r>
              <w:rPr>
                <w:rFonts w:ascii="宋体" w:hAnsi="宋体" w:eastAsia="宋体" w:cs="宋体"/>
                <w:b w:val="0"/>
              </w:rPr>
              <w:t>50,368.40</w:t>
            </w:r>
          </w:p>
        </w:tc>
        <w:tc>
          <w:tcPr>
            <w:tcW w:w="0" w:type="dxa"/>
            <w:vAlign w:val="center"/>
          </w:tcPr>
          <w:p w14:paraId="2E86C320">
            <w:pPr>
              <w:spacing w:line="240" w:lineRule="auto"/>
              <w:jc w:val="right"/>
            </w:pPr>
            <w:r>
              <w:rPr>
                <w:rFonts w:ascii="宋体" w:hAnsi="宋体" w:eastAsia="宋体" w:cs="宋体"/>
                <w:b w:val="0"/>
              </w:rPr>
              <w:t>-788.88</w:t>
            </w:r>
          </w:p>
        </w:tc>
        <w:tc>
          <w:tcPr>
            <w:tcW w:w="0" w:type="dxa"/>
            <w:vAlign w:val="center"/>
          </w:tcPr>
          <w:p w14:paraId="22D0224C">
            <w:pPr>
              <w:spacing w:line="240" w:lineRule="auto"/>
              <w:jc w:val="right"/>
            </w:pPr>
            <w:r>
              <w:rPr>
                <w:rFonts w:ascii="宋体" w:hAnsi="宋体" w:eastAsia="宋体" w:cs="宋体"/>
                <w:b w:val="0"/>
              </w:rPr>
              <w:t>49,579.52</w:t>
            </w:r>
          </w:p>
        </w:tc>
      </w:tr>
      <w:tr w14:paraId="7763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EF598C">
            <w:pPr>
              <w:spacing w:line="240" w:lineRule="auto"/>
              <w:jc w:val="left"/>
            </w:pPr>
            <w:r>
              <w:rPr>
                <w:rFonts w:ascii="宋体" w:hAnsi="宋体" w:eastAsia="宋体" w:cs="宋体"/>
                <w:b w:val="0"/>
              </w:rPr>
              <w:t xml:space="preserve">      2.基金赎回款</w:t>
            </w:r>
          </w:p>
        </w:tc>
        <w:tc>
          <w:tcPr>
            <w:tcW w:w="0" w:type="dxa"/>
            <w:vAlign w:val="center"/>
          </w:tcPr>
          <w:p w14:paraId="504F0B89">
            <w:pPr>
              <w:spacing w:line="240" w:lineRule="auto"/>
              <w:jc w:val="right"/>
            </w:pPr>
            <w:r>
              <w:rPr>
                <w:rFonts w:ascii="宋体" w:hAnsi="宋体" w:eastAsia="宋体" w:cs="宋体"/>
                <w:b w:val="0"/>
              </w:rPr>
              <w:t>-1,172.81</w:t>
            </w:r>
          </w:p>
        </w:tc>
        <w:tc>
          <w:tcPr>
            <w:tcW w:w="0" w:type="dxa"/>
            <w:vAlign w:val="center"/>
          </w:tcPr>
          <w:p w14:paraId="2520A5A7">
            <w:pPr>
              <w:spacing w:line="240" w:lineRule="auto"/>
              <w:jc w:val="right"/>
            </w:pPr>
            <w:r>
              <w:rPr>
                <w:rFonts w:ascii="宋体" w:hAnsi="宋体" w:eastAsia="宋体" w:cs="宋体"/>
                <w:b w:val="0"/>
              </w:rPr>
              <w:t>54.04</w:t>
            </w:r>
          </w:p>
        </w:tc>
        <w:tc>
          <w:tcPr>
            <w:tcW w:w="0" w:type="dxa"/>
            <w:vAlign w:val="center"/>
          </w:tcPr>
          <w:p w14:paraId="3734DB63">
            <w:pPr>
              <w:spacing w:line="240" w:lineRule="auto"/>
              <w:jc w:val="right"/>
            </w:pPr>
            <w:r>
              <w:rPr>
                <w:rFonts w:ascii="宋体" w:hAnsi="宋体" w:eastAsia="宋体" w:cs="宋体"/>
                <w:b w:val="0"/>
              </w:rPr>
              <w:t>-1,118.77</w:t>
            </w:r>
          </w:p>
        </w:tc>
      </w:tr>
      <w:tr w14:paraId="562B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4E9FFE">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14:paraId="18AA3178">
            <w:pPr>
              <w:spacing w:line="240" w:lineRule="auto"/>
              <w:jc w:val="right"/>
            </w:pPr>
            <w:r>
              <w:rPr>
                <w:rFonts w:ascii="宋体" w:hAnsi="宋体" w:eastAsia="宋体" w:cs="宋体"/>
                <w:b w:val="0"/>
              </w:rPr>
              <w:t>-</w:t>
            </w:r>
          </w:p>
        </w:tc>
        <w:tc>
          <w:tcPr>
            <w:tcW w:w="0" w:type="dxa"/>
            <w:vAlign w:val="center"/>
          </w:tcPr>
          <w:p w14:paraId="6B85F84D">
            <w:pPr>
              <w:spacing w:line="240" w:lineRule="auto"/>
              <w:jc w:val="right"/>
            </w:pPr>
            <w:r>
              <w:rPr>
                <w:rFonts w:ascii="宋体" w:hAnsi="宋体" w:eastAsia="宋体" w:cs="宋体"/>
                <w:b w:val="0"/>
              </w:rPr>
              <w:t>-</w:t>
            </w:r>
          </w:p>
        </w:tc>
        <w:tc>
          <w:tcPr>
            <w:tcW w:w="0" w:type="dxa"/>
            <w:vAlign w:val="center"/>
          </w:tcPr>
          <w:p w14:paraId="1E68E8F2">
            <w:pPr>
              <w:spacing w:line="240" w:lineRule="auto"/>
              <w:jc w:val="right"/>
            </w:pPr>
            <w:r>
              <w:rPr>
                <w:rFonts w:ascii="宋体" w:hAnsi="宋体" w:eastAsia="宋体" w:cs="宋体"/>
                <w:b w:val="0"/>
              </w:rPr>
              <w:t>-</w:t>
            </w:r>
          </w:p>
        </w:tc>
      </w:tr>
      <w:tr w14:paraId="5802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E7C149">
            <w:pPr>
              <w:spacing w:line="240" w:lineRule="auto"/>
              <w:jc w:val="left"/>
            </w:pPr>
            <w:r>
              <w:rPr>
                <w:rFonts w:ascii="宋体" w:hAnsi="宋体" w:eastAsia="宋体" w:cs="宋体"/>
                <w:b w:val="0"/>
              </w:rPr>
              <w:t>四、本期期末净资产</w:t>
            </w:r>
          </w:p>
        </w:tc>
        <w:tc>
          <w:tcPr>
            <w:tcW w:w="0" w:type="dxa"/>
            <w:vAlign w:val="center"/>
          </w:tcPr>
          <w:p w14:paraId="11C50DD1">
            <w:pPr>
              <w:spacing w:line="240" w:lineRule="auto"/>
              <w:jc w:val="right"/>
            </w:pPr>
            <w:r>
              <w:rPr>
                <w:rFonts w:ascii="宋体" w:hAnsi="宋体" w:eastAsia="宋体" w:cs="宋体"/>
                <w:b w:val="0"/>
              </w:rPr>
              <w:t>11,925,107.03</w:t>
            </w:r>
          </w:p>
        </w:tc>
        <w:tc>
          <w:tcPr>
            <w:tcW w:w="0" w:type="dxa"/>
            <w:vAlign w:val="center"/>
          </w:tcPr>
          <w:p w14:paraId="4A572BA8">
            <w:pPr>
              <w:spacing w:line="240" w:lineRule="auto"/>
              <w:jc w:val="right"/>
            </w:pPr>
            <w:r>
              <w:rPr>
                <w:rFonts w:ascii="宋体" w:hAnsi="宋体" w:eastAsia="宋体" w:cs="宋体"/>
                <w:b w:val="0"/>
              </w:rPr>
              <w:t>-83,980.98</w:t>
            </w:r>
          </w:p>
        </w:tc>
        <w:tc>
          <w:tcPr>
            <w:tcW w:w="0" w:type="dxa"/>
            <w:vAlign w:val="center"/>
          </w:tcPr>
          <w:p w14:paraId="7857275D">
            <w:pPr>
              <w:spacing w:line="240" w:lineRule="auto"/>
              <w:jc w:val="right"/>
            </w:pPr>
            <w:r>
              <w:rPr>
                <w:rFonts w:ascii="宋体" w:hAnsi="宋体" w:eastAsia="宋体" w:cs="宋体"/>
                <w:b w:val="0"/>
              </w:rPr>
              <w:t>11,841,126.05</w:t>
            </w:r>
          </w:p>
        </w:tc>
      </w:tr>
    </w:tbl>
    <w:p w14:paraId="48DAE116"/>
    <w:p w14:paraId="589CB913">
      <w:pPr>
        <w:jc w:val="left"/>
      </w:pPr>
      <w:r>
        <w:rPr>
          <w:rFonts w:ascii="宋体" w:hAnsi="宋体" w:eastAsia="宋体" w:cs="宋体"/>
          <w:b w:val="0"/>
        </w:rPr>
        <w:t>报表附注为财务报表的组成部分。</w:t>
      </w:r>
    </w:p>
    <w:p w14:paraId="630E3BD1">
      <w:pPr>
        <w:jc w:val="left"/>
      </w:pPr>
      <w:r>
        <w:rPr>
          <w:rFonts w:ascii="宋体" w:hAnsi="宋体" w:eastAsia="宋体" w:cs="宋体"/>
          <w:b w:val="0"/>
        </w:rPr>
        <w:t>本报告6.1至6.4财务报表由下列负责人签署:</w:t>
      </w:r>
    </w:p>
    <w:tbl>
      <w:tblPr>
        <w:tblStyle w:val="27"/>
        <w:tblW w:w="5000" w:type="pct"/>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095"/>
        <w:gridCol w:w="3095"/>
        <w:gridCol w:w="3096"/>
      </w:tblGrid>
      <w:tr w14:paraId="62B191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04C99D4D">
            <w:pPr>
              <w:spacing w:line="240" w:lineRule="auto"/>
              <w:jc w:val="center"/>
            </w:pPr>
            <w:r>
              <w:rPr>
                <w:rFonts w:ascii="宋体" w:hAnsi="宋体" w:eastAsia="宋体" w:cs="宋体"/>
                <w:b w:val="0"/>
              </w:rPr>
              <w:t>刘明</w:t>
            </w:r>
          </w:p>
        </w:tc>
        <w:tc>
          <w:tcPr>
            <w:tcW w:w="1538" w:type="pct"/>
            <w:vAlign w:val="center"/>
          </w:tcPr>
          <w:p w14:paraId="191BF126">
            <w:pPr>
              <w:spacing w:line="240" w:lineRule="auto"/>
              <w:jc w:val="center"/>
            </w:pPr>
            <w:r>
              <w:rPr>
                <w:rFonts w:ascii="宋体" w:hAnsi="宋体" w:eastAsia="宋体" w:cs="宋体"/>
                <w:b w:val="0"/>
              </w:rPr>
              <w:t>曹渊</w:t>
            </w:r>
          </w:p>
        </w:tc>
        <w:tc>
          <w:tcPr>
            <w:tcW w:w="1538" w:type="pct"/>
            <w:vAlign w:val="center"/>
          </w:tcPr>
          <w:p w14:paraId="349CE5D2">
            <w:pPr>
              <w:spacing w:line="240" w:lineRule="auto"/>
              <w:jc w:val="center"/>
            </w:pPr>
            <w:r>
              <w:rPr>
                <w:rFonts w:ascii="宋体" w:hAnsi="宋体" w:eastAsia="宋体" w:cs="宋体"/>
                <w:b w:val="0"/>
              </w:rPr>
              <w:t>张珂</w:t>
            </w:r>
          </w:p>
        </w:tc>
      </w:tr>
      <w:tr w14:paraId="3F7E4B7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186C642C">
            <w:pPr>
              <w:spacing w:line="240" w:lineRule="auto"/>
              <w:jc w:val="center"/>
            </w:pPr>
            <w:r>
              <w:rPr>
                <w:rFonts w:ascii="宋体" w:hAnsi="宋体" w:eastAsia="宋体" w:cs="宋体"/>
                <w:b w:val="0"/>
              </w:rPr>
              <w:t>—————————</w:t>
            </w:r>
          </w:p>
        </w:tc>
        <w:tc>
          <w:tcPr>
            <w:tcW w:w="1538" w:type="pct"/>
            <w:vAlign w:val="center"/>
          </w:tcPr>
          <w:p w14:paraId="78CCA4E8">
            <w:pPr>
              <w:spacing w:line="240" w:lineRule="auto"/>
              <w:jc w:val="center"/>
            </w:pPr>
            <w:r>
              <w:rPr>
                <w:rFonts w:ascii="宋体" w:hAnsi="宋体" w:eastAsia="宋体" w:cs="宋体"/>
                <w:b w:val="0"/>
              </w:rPr>
              <w:t>—————————</w:t>
            </w:r>
          </w:p>
        </w:tc>
        <w:tc>
          <w:tcPr>
            <w:tcW w:w="1538" w:type="pct"/>
            <w:vAlign w:val="center"/>
          </w:tcPr>
          <w:p w14:paraId="136BA9DB">
            <w:pPr>
              <w:spacing w:line="240" w:lineRule="auto"/>
              <w:jc w:val="center"/>
            </w:pPr>
            <w:r>
              <w:rPr>
                <w:rFonts w:ascii="宋体" w:hAnsi="宋体" w:eastAsia="宋体" w:cs="宋体"/>
                <w:b w:val="0"/>
              </w:rPr>
              <w:t>—————————</w:t>
            </w:r>
          </w:p>
        </w:tc>
      </w:tr>
      <w:tr w14:paraId="4FB901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3AEA3DC1">
            <w:pPr>
              <w:spacing w:line="240" w:lineRule="auto"/>
              <w:jc w:val="center"/>
            </w:pPr>
            <w:r>
              <w:rPr>
                <w:rFonts w:ascii="宋体" w:hAnsi="宋体" w:eastAsia="宋体" w:cs="宋体"/>
                <w:b w:val="0"/>
              </w:rPr>
              <w:t>基金管理人负责人</w:t>
            </w:r>
          </w:p>
        </w:tc>
        <w:tc>
          <w:tcPr>
            <w:tcW w:w="1538" w:type="pct"/>
            <w:vAlign w:val="center"/>
          </w:tcPr>
          <w:p w14:paraId="240728D9">
            <w:pPr>
              <w:spacing w:line="240" w:lineRule="auto"/>
              <w:jc w:val="center"/>
            </w:pPr>
            <w:r>
              <w:rPr>
                <w:rFonts w:ascii="宋体" w:hAnsi="宋体" w:eastAsia="宋体" w:cs="宋体"/>
                <w:b w:val="0"/>
              </w:rPr>
              <w:t>主管会计工作负责人</w:t>
            </w:r>
          </w:p>
        </w:tc>
        <w:tc>
          <w:tcPr>
            <w:tcW w:w="1538" w:type="pct"/>
            <w:vAlign w:val="center"/>
          </w:tcPr>
          <w:p w14:paraId="21688888">
            <w:pPr>
              <w:spacing w:line="240" w:lineRule="auto"/>
              <w:jc w:val="center"/>
            </w:pPr>
            <w:r>
              <w:rPr>
                <w:rFonts w:ascii="宋体" w:hAnsi="宋体" w:eastAsia="宋体" w:cs="宋体"/>
                <w:b w:val="0"/>
              </w:rPr>
              <w:t>会计机构负责人</w:t>
            </w:r>
          </w:p>
        </w:tc>
      </w:tr>
    </w:tbl>
    <w:p w14:paraId="24549020"/>
    <w:p w14:paraId="5D83B079">
      <w:pPr>
        <w:pStyle w:val="3"/>
        <w:jc w:val="left"/>
      </w:pPr>
      <w:bookmarkStart w:id="31" w:name="_Toc13881"/>
      <w:r>
        <w:rPr>
          <w:rFonts w:ascii="宋体" w:hAnsi="宋体" w:eastAsia="宋体" w:cs="宋体"/>
        </w:rPr>
        <w:t>6.4 报表附注</w:t>
      </w:r>
      <w:bookmarkEnd w:id="31"/>
    </w:p>
    <w:p w14:paraId="2709D0C3">
      <w:pPr>
        <w:pStyle w:val="58"/>
      </w:pPr>
      <w:r>
        <w:rPr>
          <w:rFonts w:ascii="宋体" w:hAnsi="宋体" w:eastAsia="宋体" w:cs="宋体"/>
          <w:b/>
        </w:rPr>
        <w:t>6.4.1 基金基本情况</w:t>
      </w:r>
    </w:p>
    <w:p w14:paraId="23369429">
      <w:pPr>
        <w:jc w:val="left"/>
      </w:pPr>
      <w:r>
        <w:rPr>
          <w:rFonts w:ascii="宋体" w:hAnsi="宋体" w:eastAsia="宋体" w:cs="宋体"/>
          <w:b w:val="0"/>
        </w:rPr>
        <w:t xml:space="preserve">    东方阿尔法科技优选混合型发起式证券投资基金(以下简称“本基金”)经中国证券监督管理委员会(以下简称“中国证监会”)证监许可[2025]1061号《关于准予东方阿尔法科技优选混合型发起式证券投资基金注册的批复》核准，由东方阿尔法基金管理有限公司依照《中华人民共和国证券投资基金法》和《东方阿尔法科技优选混合型发起式证券投资基金基金合同》负责公开募集。本基金为契约型开放式基金，存续期限不定，首次设立募集不包括认购资金利息共募集人民币11,875,450.28元，业经容诚会计师事务所(特殊普通合伙)容诚验字[2025]200Z0082号验资报告予以验证。经向中国证监会备案，《东方阿尔法科技优选混合型发起式证券投资基金基金合同》于2025年6月6日正式生效，基金合同生效日的基金份额总额为11,875,911.44份基金份额，其中认购资金利息折合461.16份基金份额。本基金的基金管理人为东方阿尔法基金管理有限公司，基金金融运营服务机构为招商证券股份有限公司，基金托管人为中信银行股份有限公司。</w:t>
      </w:r>
      <w:r>
        <w:rPr>
          <w:rFonts w:ascii="宋体" w:hAnsi="宋体" w:eastAsia="宋体" w:cs="宋体"/>
          <w:b w:val="0"/>
        </w:rPr>
        <w:br w:type="textWrapping"/>
      </w:r>
      <w:r>
        <w:rPr>
          <w:rFonts w:ascii="宋体" w:hAnsi="宋体" w:eastAsia="宋体" w:cs="宋体"/>
          <w:b w:val="0"/>
        </w:rPr>
        <w:t xml:space="preserve">    本基金为发起式基金，发起资金认购部分为10,000,388.92份基金份额，发起资金认购方承诺使用发起资金认购的基金份额持有期限不少于3年。</w:t>
      </w:r>
      <w:r>
        <w:rPr>
          <w:rFonts w:ascii="宋体" w:hAnsi="宋体" w:eastAsia="宋体" w:cs="宋体"/>
          <w:b w:val="0"/>
        </w:rPr>
        <w:br w:type="textWrapping"/>
      </w:r>
      <w:r>
        <w:rPr>
          <w:rFonts w:ascii="宋体" w:hAnsi="宋体" w:eastAsia="宋体" w:cs="宋体"/>
          <w:b w:val="0"/>
        </w:rPr>
        <w:t xml:space="preserve">    根据《东方阿尔法科技优选混合型发起式证券投资基金基金合同》和《东方阿尔法科技优选混合型发起式证券投资基金招募说明书》(含更新)，本基金根据所收取认购/申购费用、销售服务费用方式的差异，将基金份额分为不同的类别。收取认购/申购费用、赎回费用而不计提销售服务费，并在赎回时根据持有期限收取赎回费用的基金份额，称为A类基金份额；不收取认购/申购费、赎回时根据持有期限收取赎回费用，且从本类别基金资产中计提销售服务费的基金份额，称为C类基金份额。本基金A类、C类两种收费模式并存，各类基金份额分别计算基金份额净值。投资人可自由选择认购/申购某一类别的基金份额，但各类别基金份额之间不能相互转换。</w:t>
      </w:r>
      <w:r>
        <w:rPr>
          <w:rFonts w:ascii="宋体" w:hAnsi="宋体" w:eastAsia="宋体" w:cs="宋体"/>
          <w:b w:val="0"/>
        </w:rPr>
        <w:br w:type="textWrapping"/>
      </w:r>
      <w:r>
        <w:rPr>
          <w:rFonts w:ascii="宋体" w:hAnsi="宋体" w:eastAsia="宋体" w:cs="宋体"/>
          <w:b w:val="0"/>
        </w:rPr>
        <w:t xml:space="preserve">    根据《中华人民共和国证券投资基金法》和《东方阿尔法科技优选混合型发起式证券投资基金基金合同》的有关规定，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本基金的业绩比较基准为：中国战略新兴产业成份指数收益率×70%+中债-综合指数(全价)收益率×20%+恒生科技指数收益率(按估值汇率折算)×10%。</w:t>
      </w:r>
    </w:p>
    <w:p w14:paraId="6DB0003E"/>
    <w:p w14:paraId="2BBCEBBC">
      <w:pPr>
        <w:pStyle w:val="58"/>
      </w:pPr>
      <w:r>
        <w:rPr>
          <w:rFonts w:ascii="宋体" w:hAnsi="宋体" w:eastAsia="宋体" w:cs="宋体"/>
          <w:b/>
        </w:rPr>
        <w:t>6.4.2 会计报表的编制基础</w:t>
      </w:r>
    </w:p>
    <w:p w14:paraId="06349256">
      <w:pPr>
        <w:jc w:val="left"/>
      </w:pPr>
      <w:r>
        <w:rPr>
          <w:rFonts w:ascii="宋体" w:hAnsi="宋体" w:eastAsia="宋体" w:cs="宋体"/>
          <w:b w:val="0"/>
        </w:rPr>
        <w:t xml:space="preserve">    本基金的财务报表按照财政部于2006年2月15日及以后期间颁布的《企业会计准则－基本准则》、各项具体会计准则、《资产管理产品相关会计处理规定》及其他相关规定(以下合称"企业会计准则")、中国证券投资基金业协会(以下简称"中国基金业协会")发布的《公开募集证券投资基金信息披露XBRL模板第3号——年度报告和中期报告》、《证券投资基金会计核算业务指引》、《东方阿尔法科技优选混合型发起式证券投资基金基金合同》和在财务报表附注所列示的中国证监会、中国基金业协会发布的有关规定及允许的基金行业实务操作编制。</w:t>
      </w:r>
      <w:r>
        <w:rPr>
          <w:rFonts w:ascii="宋体" w:hAnsi="宋体" w:eastAsia="宋体" w:cs="宋体"/>
          <w:b w:val="0"/>
        </w:rPr>
        <w:br w:type="textWrapping"/>
      </w:r>
      <w:r>
        <w:rPr>
          <w:rFonts w:ascii="宋体" w:hAnsi="宋体" w:eastAsia="宋体" w:cs="宋体"/>
          <w:b w:val="0"/>
        </w:rPr>
        <w:t xml:space="preserve">    本财务报表以持续经营为基础编制。</w:t>
      </w:r>
    </w:p>
    <w:p w14:paraId="4A426C95"/>
    <w:p w14:paraId="5C6328A6">
      <w:pPr>
        <w:pStyle w:val="58"/>
      </w:pPr>
      <w:r>
        <w:rPr>
          <w:rFonts w:ascii="宋体" w:hAnsi="宋体" w:eastAsia="宋体" w:cs="宋体"/>
          <w:b/>
        </w:rPr>
        <w:t>6.4.3 遵循企业会计准则及其他有关规定的声明</w:t>
      </w:r>
    </w:p>
    <w:p w14:paraId="02B25DF3">
      <w:pPr>
        <w:jc w:val="left"/>
      </w:pPr>
      <w:r>
        <w:rPr>
          <w:rFonts w:ascii="宋体" w:hAnsi="宋体" w:eastAsia="宋体" w:cs="宋体"/>
          <w:b w:val="0"/>
        </w:rPr>
        <w:t xml:space="preserve">    本基金2026年度中期财务报表符合企业会计准则的要求，真实、完整地反映了本基金2026年06月30日的财务状况以及2026年度上半年的经营成果和净资产变动情况等有关信息。</w:t>
      </w:r>
    </w:p>
    <w:p w14:paraId="386E7437"/>
    <w:p w14:paraId="796336D0">
      <w:pPr>
        <w:pStyle w:val="58"/>
      </w:pPr>
      <w:r>
        <w:rPr>
          <w:rFonts w:ascii="宋体" w:hAnsi="宋体" w:eastAsia="宋体" w:cs="宋体"/>
          <w:b/>
        </w:rPr>
        <w:t>6.4.4 本报告期所采用的会计政策、会计估计与最近一期年度报告相一致的说明</w:t>
      </w:r>
    </w:p>
    <w:p w14:paraId="654990C0">
      <w:pPr>
        <w:jc w:val="left"/>
      </w:pPr>
      <w:r>
        <w:rPr>
          <w:rFonts w:ascii="宋体" w:hAnsi="宋体" w:eastAsia="宋体" w:cs="宋体"/>
          <w:b w:val="0"/>
        </w:rPr>
        <w:t xml:space="preserve">    本基金本报告期所采用的会计政策、会计估计与最近一期年度报告相一致。</w:t>
      </w:r>
    </w:p>
    <w:p w14:paraId="7B823C75"/>
    <w:p w14:paraId="5A1F405D">
      <w:pPr>
        <w:pStyle w:val="58"/>
      </w:pPr>
      <w:r>
        <w:rPr>
          <w:rFonts w:ascii="宋体" w:hAnsi="宋体" w:eastAsia="宋体" w:cs="宋体"/>
          <w:b/>
        </w:rPr>
        <w:t>6.4.5 会计政策和会计估计变更以及差错更正的说明</w:t>
      </w:r>
    </w:p>
    <w:p w14:paraId="718A482D">
      <w:pPr>
        <w:pStyle w:val="58"/>
      </w:pPr>
      <w:r>
        <w:rPr>
          <w:rFonts w:ascii="宋体" w:hAnsi="宋体" w:eastAsia="宋体" w:cs="宋体"/>
          <w:b/>
        </w:rPr>
        <w:t>6.4.5.1 会计政策变更的说明</w:t>
      </w:r>
    </w:p>
    <w:p w14:paraId="24D699CC">
      <w:pPr>
        <w:jc w:val="left"/>
      </w:pPr>
      <w:r>
        <w:rPr>
          <w:rFonts w:ascii="宋体" w:hAnsi="宋体" w:eastAsia="宋体" w:cs="宋体"/>
          <w:b w:val="0"/>
        </w:rPr>
        <w:t xml:space="preserve">    本基金本报告期未发生会计政策变更。</w:t>
      </w:r>
    </w:p>
    <w:p w14:paraId="61DAB65A"/>
    <w:p w14:paraId="3E761603">
      <w:pPr>
        <w:pStyle w:val="58"/>
      </w:pPr>
      <w:r>
        <w:rPr>
          <w:rFonts w:ascii="宋体" w:hAnsi="宋体" w:eastAsia="宋体" w:cs="宋体"/>
          <w:b/>
        </w:rPr>
        <w:t>6.4.5.2 会计估计变更的说明</w:t>
      </w:r>
    </w:p>
    <w:p w14:paraId="14BC59C6">
      <w:pPr>
        <w:jc w:val="left"/>
      </w:pPr>
      <w:r>
        <w:rPr>
          <w:rFonts w:ascii="宋体" w:hAnsi="宋体" w:eastAsia="宋体" w:cs="宋体"/>
          <w:b w:val="0"/>
        </w:rPr>
        <w:t xml:space="preserve">    本基金本报告期未发生会计估计变更。</w:t>
      </w:r>
    </w:p>
    <w:p w14:paraId="014B9A79"/>
    <w:p w14:paraId="62BA97A2">
      <w:pPr>
        <w:pStyle w:val="58"/>
      </w:pPr>
      <w:r>
        <w:rPr>
          <w:rFonts w:ascii="宋体" w:hAnsi="宋体" w:eastAsia="宋体" w:cs="宋体"/>
          <w:b/>
        </w:rPr>
        <w:t>6.4.5.3 差错更正的说明</w:t>
      </w:r>
    </w:p>
    <w:p w14:paraId="2D62917D">
      <w:pPr>
        <w:jc w:val="left"/>
      </w:pPr>
      <w:r>
        <w:rPr>
          <w:rFonts w:ascii="宋体" w:hAnsi="宋体" w:eastAsia="宋体" w:cs="宋体"/>
          <w:b w:val="0"/>
        </w:rPr>
        <w:t xml:space="preserve">    本基金在本报告期间无须说明的会计差错更正。</w:t>
      </w:r>
    </w:p>
    <w:p w14:paraId="089B6860"/>
    <w:p w14:paraId="02BC5290">
      <w:pPr>
        <w:pStyle w:val="58"/>
      </w:pPr>
      <w:r>
        <w:rPr>
          <w:rFonts w:ascii="宋体" w:hAnsi="宋体" w:eastAsia="宋体" w:cs="宋体"/>
          <w:b/>
        </w:rPr>
        <w:t>6.4.6 税项</w:t>
      </w:r>
    </w:p>
    <w:p w14:paraId="25D54842">
      <w:pPr>
        <w:jc w:val="left"/>
      </w:pPr>
      <w:r>
        <w:rPr>
          <w:rFonts w:ascii="宋体" w:hAnsi="宋体" w:eastAsia="宋体" w:cs="宋体"/>
          <w:b w:val="0"/>
        </w:rPr>
        <w:t xml:space="preserve">    根据财政部、国家税务总局财税[2002]128号《关于开放式证券投资基金有关税收问题的通知》、财税[2008]1号《关于企业所得税若干优惠政策的通知》、财税[2012]85号《关于实施上市公司股息红利差别化个人所得税政策有关问题的通知》、财税[2014]81号《财政部国家税务总局证监会关于沪港股票市场交易互联互通机制试点有关税收政策的通知》、财税[2015]101号《关于上市公司股息红利差别化个人所得税政策有关问题的通知》、财税[2016]127号《财政部国家税务总局证监会关于深港股票市场交易互联互通机制试点有关税收政策的通知》、财税[2017]56号《关于资管产品增值税有关问题的通知》、财税[2017]90号《关于租入固定资产进项税额抵扣等增值税政策的通知》、财政部、国家税务总局公告2025年第4号《关于国债等债券利息收入增值税政策的公告》、国务院令第826号《中华人民共和国增值税法实施条例》、财政部、税务总局公告2026年第10号《财政部 税务总局关于增值税法施行后增值税优惠政策衔接事项的公告》及其他相关财税法规和实务操作，主要税项列示如下：     </w:t>
      </w:r>
      <w:r>
        <w:rPr>
          <w:rFonts w:ascii="宋体" w:hAnsi="宋体" w:eastAsia="宋体" w:cs="宋体"/>
          <w:b w:val="0"/>
        </w:rPr>
        <w:br w:type="textWrapping"/>
      </w:r>
      <w:r>
        <w:rPr>
          <w:rFonts w:ascii="宋体" w:hAnsi="宋体" w:eastAsia="宋体" w:cs="宋体"/>
          <w:b w:val="0"/>
        </w:rPr>
        <w:t xml:space="preserve">    (1) 资管产品运营过程中发生的增值税应税行为，以资管产品管理人为增值税纳税人。资管产品管理人运营资管产品过程中发生的增值税应税行为，暂适用简易计税方法，按照3%的征收率缴纳增值税。     </w:t>
      </w:r>
      <w:r>
        <w:rPr>
          <w:rFonts w:ascii="宋体" w:hAnsi="宋体" w:eastAsia="宋体" w:cs="宋体"/>
          <w:b w:val="0"/>
        </w:rPr>
        <w:br w:type="textWrapping"/>
      </w:r>
      <w:r>
        <w:rPr>
          <w:rFonts w:ascii="宋体" w:hAnsi="宋体" w:eastAsia="宋体" w:cs="宋体"/>
          <w:b w:val="0"/>
        </w:rPr>
        <w:t xml:space="preserve">    对证券投资基金管理人运用基金买卖股票、债券的转让收入免征增值税，对除持有金融债券外的金融同业往来利息收入亦免征增值税。自2025年8月8日起，对在该日期之后(含当日)新发行的国债、地方政府债券、金融债券的利息收入，恢复征收增值税。对在该日期之前已发行的国债、地方政府债券、金融债券(包含在2025年8月8日之后续发行的部分)的利息收入，免征增值税直至债券到期。资管产品管理人运营资管产品提供的贷款服务，以产生的利息及利息性质的收入为销售额。   </w:t>
      </w:r>
      <w:r>
        <w:rPr>
          <w:rFonts w:ascii="宋体" w:hAnsi="宋体" w:eastAsia="宋体" w:cs="宋体"/>
          <w:b w:val="0"/>
        </w:rPr>
        <w:br w:type="textWrapping"/>
      </w:r>
      <w:r>
        <w:rPr>
          <w:rFonts w:ascii="宋体" w:hAnsi="宋体" w:eastAsia="宋体" w:cs="宋体"/>
          <w:b w:val="0"/>
        </w:rPr>
        <w:t xml:space="preserve">    (2) 对基金从证券市场中取得的收入，包括买卖股票、债券的差价收入，股票的股息、红利收入，债券的利息收入及其他收入，暂不征收企业所得税。     </w:t>
      </w:r>
      <w:r>
        <w:rPr>
          <w:rFonts w:ascii="宋体" w:hAnsi="宋体" w:eastAsia="宋体" w:cs="宋体"/>
          <w:b w:val="0"/>
        </w:rPr>
        <w:br w:type="textWrapping"/>
      </w:r>
      <w:r>
        <w:rPr>
          <w:rFonts w:ascii="宋体" w:hAnsi="宋体" w:eastAsia="宋体" w:cs="宋体"/>
          <w:b w:val="0"/>
        </w:rPr>
        <w:t xml:space="preserve">    (3) 对基金取得的企业债券利息收入，应由发行债券的企业在向基金支付利息时代扣代缴20%的个人所得税。对基金从上市公司取得的股息红利所得，持股期限在1个月以内(含1个月)的，其股息红利所得全额计入应纳税所得额；持股期限在1个月以上至1年(含1年)的，暂减按50%计入应纳税所得额；持股期限超过1年的，暂免征收个人所得税。对基金持有的上市公司限售股，解禁后取得的股息、红利收入，按照上述规定计算纳税，持股时间自解禁日起计算；解禁前取得的股息、红利收入继续暂减按50%计入应纳税所得额。上述所得统一适用20%的税率计征个人所得税。     </w:t>
      </w:r>
      <w:r>
        <w:rPr>
          <w:rFonts w:ascii="宋体" w:hAnsi="宋体" w:eastAsia="宋体" w:cs="宋体"/>
          <w:b w:val="0"/>
        </w:rPr>
        <w:br w:type="textWrapping"/>
      </w:r>
      <w:r>
        <w:rPr>
          <w:rFonts w:ascii="宋体" w:hAnsi="宋体" w:eastAsia="宋体" w:cs="宋体"/>
          <w:b w:val="0"/>
        </w:rPr>
        <w:t xml:space="preserve">    (4) 基金卖出股票按0.1%的税率缴纳股票交易印花税，买入股票不征收股票交易印花税。根据财政部、国家税务总局公告2023年第39号《关于减半征收证券交易印花税的公告》，自2023年8月28日起，证券交易印花税实施减半征收。     </w:t>
      </w:r>
      <w:r>
        <w:rPr>
          <w:rFonts w:ascii="宋体" w:hAnsi="宋体" w:eastAsia="宋体" w:cs="宋体"/>
          <w:b w:val="0"/>
        </w:rPr>
        <w:br w:type="textWrapping"/>
      </w:r>
      <w:r>
        <w:rPr>
          <w:rFonts w:ascii="宋体" w:hAnsi="宋体" w:eastAsia="宋体" w:cs="宋体"/>
          <w:b w:val="0"/>
        </w:rPr>
        <w:t xml:space="preserve">    (5) 本基金的城市维护建设税、教育费附加和地方教育附加等税费按照实际缴纳增值税额的适用比例计算缴纳。</w:t>
      </w:r>
    </w:p>
    <w:p w14:paraId="20D614D4"/>
    <w:p w14:paraId="5958376C">
      <w:pPr>
        <w:pStyle w:val="58"/>
      </w:pPr>
      <w:r>
        <w:rPr>
          <w:rFonts w:ascii="宋体" w:hAnsi="宋体" w:eastAsia="宋体" w:cs="宋体"/>
          <w:b/>
        </w:rPr>
        <w:t>6.4.7 重要财务报表项目的说明</w:t>
      </w:r>
    </w:p>
    <w:p w14:paraId="2651C3FE">
      <w:pPr>
        <w:pStyle w:val="58"/>
      </w:pPr>
      <w:r>
        <w:rPr>
          <w:rFonts w:ascii="宋体" w:hAnsi="宋体" w:eastAsia="宋体" w:cs="宋体"/>
          <w:b/>
        </w:rPr>
        <w:t>6.4.7.1 货币资金</w:t>
      </w:r>
    </w:p>
    <w:p w14:paraId="0E2D55E8">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023A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14:paraId="1BB7583A">
            <w:pPr>
              <w:spacing w:line="240" w:lineRule="auto"/>
              <w:jc w:val="center"/>
            </w:pPr>
            <w:r>
              <w:rPr>
                <w:rFonts w:ascii="宋体" w:hAnsi="宋体" w:eastAsia="宋体" w:cs="宋体"/>
                <w:b w:val="0"/>
              </w:rPr>
              <w:t>项目</w:t>
            </w:r>
          </w:p>
        </w:tc>
        <w:tc>
          <w:tcPr>
            <w:tcW w:w="2308" w:type="pct"/>
            <w:shd w:val="clear" w:color="auto" w:fill="D9D9D9"/>
            <w:vAlign w:val="center"/>
          </w:tcPr>
          <w:p w14:paraId="5AD1E13D">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2A3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D4F7F8">
            <w:pPr>
              <w:spacing w:line="240" w:lineRule="auto"/>
              <w:jc w:val="left"/>
            </w:pPr>
            <w:r>
              <w:rPr>
                <w:rFonts w:ascii="宋体" w:hAnsi="宋体" w:eastAsia="宋体" w:cs="宋体"/>
                <w:b w:val="0"/>
              </w:rPr>
              <w:t>活期存款</w:t>
            </w:r>
          </w:p>
        </w:tc>
        <w:tc>
          <w:tcPr>
            <w:tcW w:w="0" w:type="dxa"/>
            <w:vAlign w:val="center"/>
          </w:tcPr>
          <w:p w14:paraId="0E6621A2">
            <w:pPr>
              <w:spacing w:line="240" w:lineRule="auto"/>
              <w:jc w:val="right"/>
            </w:pPr>
            <w:r>
              <w:rPr>
                <w:rFonts w:ascii="宋体" w:hAnsi="宋体" w:eastAsia="宋体" w:cs="宋体"/>
                <w:b w:val="0"/>
              </w:rPr>
              <w:t>3,783,011.87</w:t>
            </w:r>
          </w:p>
        </w:tc>
      </w:tr>
      <w:tr w14:paraId="5AE7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0A68DE">
            <w:pPr>
              <w:spacing w:line="240" w:lineRule="auto"/>
              <w:jc w:val="left"/>
            </w:pPr>
            <w:r>
              <w:rPr>
                <w:rFonts w:ascii="宋体" w:hAnsi="宋体" w:eastAsia="宋体" w:cs="宋体"/>
                <w:b w:val="0"/>
              </w:rPr>
              <w:t>等于：本金</w:t>
            </w:r>
          </w:p>
        </w:tc>
        <w:tc>
          <w:tcPr>
            <w:tcW w:w="0" w:type="dxa"/>
            <w:vAlign w:val="center"/>
          </w:tcPr>
          <w:p w14:paraId="7FA61A35">
            <w:pPr>
              <w:spacing w:line="240" w:lineRule="auto"/>
              <w:jc w:val="right"/>
            </w:pPr>
            <w:r>
              <w:rPr>
                <w:rFonts w:ascii="宋体" w:hAnsi="宋体" w:eastAsia="宋体" w:cs="宋体"/>
                <w:b w:val="0"/>
              </w:rPr>
              <w:t>3,782,976.75</w:t>
            </w:r>
          </w:p>
        </w:tc>
      </w:tr>
      <w:tr w14:paraId="5721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4A30BD">
            <w:pPr>
              <w:spacing w:line="240" w:lineRule="auto"/>
              <w:jc w:val="left"/>
            </w:pPr>
            <w:r>
              <w:rPr>
                <w:rFonts w:ascii="宋体" w:hAnsi="宋体" w:eastAsia="宋体" w:cs="宋体"/>
                <w:b w:val="0"/>
              </w:rPr>
              <w:t xml:space="preserve">      加：应计利息</w:t>
            </w:r>
          </w:p>
        </w:tc>
        <w:tc>
          <w:tcPr>
            <w:tcW w:w="0" w:type="dxa"/>
            <w:vAlign w:val="center"/>
          </w:tcPr>
          <w:p w14:paraId="69EF824E">
            <w:pPr>
              <w:spacing w:line="240" w:lineRule="auto"/>
              <w:jc w:val="right"/>
            </w:pPr>
            <w:r>
              <w:rPr>
                <w:rFonts w:ascii="宋体" w:hAnsi="宋体" w:eastAsia="宋体" w:cs="宋体"/>
                <w:b w:val="0"/>
              </w:rPr>
              <w:t>35.12</w:t>
            </w:r>
          </w:p>
        </w:tc>
      </w:tr>
      <w:tr w14:paraId="0271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6A2F627">
            <w:pPr>
              <w:spacing w:line="240" w:lineRule="auto"/>
              <w:jc w:val="left"/>
            </w:pPr>
            <w:r>
              <w:rPr>
                <w:rFonts w:ascii="宋体" w:hAnsi="宋体" w:eastAsia="宋体" w:cs="宋体"/>
                <w:b w:val="0"/>
              </w:rPr>
              <w:t xml:space="preserve">      减：坏账准备</w:t>
            </w:r>
          </w:p>
        </w:tc>
        <w:tc>
          <w:tcPr>
            <w:tcW w:w="0" w:type="dxa"/>
            <w:vAlign w:val="center"/>
          </w:tcPr>
          <w:p w14:paraId="31EE54E4">
            <w:pPr>
              <w:spacing w:line="240" w:lineRule="auto"/>
              <w:jc w:val="right"/>
            </w:pPr>
            <w:r>
              <w:rPr>
                <w:rFonts w:ascii="宋体" w:hAnsi="宋体" w:eastAsia="宋体" w:cs="宋体"/>
                <w:b w:val="0"/>
              </w:rPr>
              <w:t>-</w:t>
            </w:r>
          </w:p>
        </w:tc>
      </w:tr>
      <w:tr w14:paraId="6D4E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198FD5">
            <w:pPr>
              <w:spacing w:line="240" w:lineRule="auto"/>
              <w:jc w:val="left"/>
            </w:pPr>
            <w:r>
              <w:rPr>
                <w:rFonts w:ascii="宋体" w:hAnsi="宋体" w:eastAsia="宋体" w:cs="宋体"/>
                <w:b w:val="0"/>
              </w:rPr>
              <w:t>定期存款</w:t>
            </w:r>
          </w:p>
        </w:tc>
        <w:tc>
          <w:tcPr>
            <w:tcW w:w="0" w:type="dxa"/>
            <w:vAlign w:val="center"/>
          </w:tcPr>
          <w:p w14:paraId="4A252306">
            <w:pPr>
              <w:spacing w:line="240" w:lineRule="auto"/>
              <w:jc w:val="right"/>
            </w:pPr>
            <w:r>
              <w:rPr>
                <w:rFonts w:ascii="宋体" w:hAnsi="宋体" w:eastAsia="宋体" w:cs="宋体"/>
                <w:b w:val="0"/>
              </w:rPr>
              <w:t>-</w:t>
            </w:r>
          </w:p>
        </w:tc>
      </w:tr>
      <w:tr w14:paraId="51B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C10AC6">
            <w:pPr>
              <w:spacing w:line="240" w:lineRule="auto"/>
              <w:jc w:val="left"/>
            </w:pPr>
            <w:r>
              <w:rPr>
                <w:rFonts w:ascii="宋体" w:hAnsi="宋体" w:eastAsia="宋体" w:cs="宋体"/>
                <w:b w:val="0"/>
              </w:rPr>
              <w:t>等于：本金</w:t>
            </w:r>
          </w:p>
        </w:tc>
        <w:tc>
          <w:tcPr>
            <w:tcW w:w="0" w:type="dxa"/>
            <w:vAlign w:val="center"/>
          </w:tcPr>
          <w:p w14:paraId="184C2204">
            <w:pPr>
              <w:spacing w:line="240" w:lineRule="auto"/>
              <w:jc w:val="right"/>
            </w:pPr>
            <w:r>
              <w:rPr>
                <w:rFonts w:ascii="宋体" w:hAnsi="宋体" w:eastAsia="宋体" w:cs="宋体"/>
                <w:b w:val="0"/>
              </w:rPr>
              <w:t>-</w:t>
            </w:r>
          </w:p>
        </w:tc>
      </w:tr>
      <w:tr w14:paraId="41A0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9CCD8BC">
            <w:pPr>
              <w:spacing w:line="240" w:lineRule="auto"/>
              <w:jc w:val="left"/>
            </w:pPr>
            <w:r>
              <w:rPr>
                <w:rFonts w:ascii="宋体" w:hAnsi="宋体" w:eastAsia="宋体" w:cs="宋体"/>
                <w:b w:val="0"/>
              </w:rPr>
              <w:t xml:space="preserve">      加：应计利息</w:t>
            </w:r>
          </w:p>
        </w:tc>
        <w:tc>
          <w:tcPr>
            <w:tcW w:w="0" w:type="dxa"/>
            <w:vAlign w:val="center"/>
          </w:tcPr>
          <w:p w14:paraId="77703CE5">
            <w:pPr>
              <w:spacing w:line="240" w:lineRule="auto"/>
              <w:jc w:val="right"/>
            </w:pPr>
            <w:r>
              <w:rPr>
                <w:rFonts w:ascii="宋体" w:hAnsi="宋体" w:eastAsia="宋体" w:cs="宋体"/>
                <w:b w:val="0"/>
              </w:rPr>
              <w:t>-</w:t>
            </w:r>
          </w:p>
        </w:tc>
      </w:tr>
      <w:tr w14:paraId="3495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D08B55">
            <w:pPr>
              <w:spacing w:line="240" w:lineRule="auto"/>
              <w:jc w:val="left"/>
            </w:pPr>
            <w:r>
              <w:rPr>
                <w:rFonts w:ascii="宋体" w:hAnsi="宋体" w:eastAsia="宋体" w:cs="宋体"/>
                <w:b w:val="0"/>
              </w:rPr>
              <w:t xml:space="preserve">      减：坏账准备</w:t>
            </w:r>
          </w:p>
        </w:tc>
        <w:tc>
          <w:tcPr>
            <w:tcW w:w="0" w:type="dxa"/>
            <w:vAlign w:val="center"/>
          </w:tcPr>
          <w:p w14:paraId="63783921">
            <w:pPr>
              <w:spacing w:line="240" w:lineRule="auto"/>
              <w:jc w:val="right"/>
            </w:pPr>
            <w:r>
              <w:rPr>
                <w:rFonts w:ascii="宋体" w:hAnsi="宋体" w:eastAsia="宋体" w:cs="宋体"/>
                <w:b w:val="0"/>
              </w:rPr>
              <w:t>-</w:t>
            </w:r>
          </w:p>
        </w:tc>
      </w:tr>
      <w:tr w14:paraId="53EA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7475CC">
            <w:pPr>
              <w:spacing w:line="240" w:lineRule="auto"/>
              <w:jc w:val="left"/>
            </w:pPr>
            <w:r>
              <w:rPr>
                <w:rFonts w:ascii="宋体" w:hAnsi="宋体" w:eastAsia="宋体" w:cs="宋体"/>
                <w:b w:val="0"/>
              </w:rPr>
              <w:t>其中：存款期限1个月以内</w:t>
            </w:r>
          </w:p>
        </w:tc>
        <w:tc>
          <w:tcPr>
            <w:tcW w:w="0" w:type="dxa"/>
            <w:vAlign w:val="center"/>
          </w:tcPr>
          <w:p w14:paraId="29093F2E">
            <w:pPr>
              <w:spacing w:line="240" w:lineRule="auto"/>
              <w:jc w:val="right"/>
            </w:pPr>
            <w:r>
              <w:rPr>
                <w:rFonts w:ascii="宋体" w:hAnsi="宋体" w:eastAsia="宋体" w:cs="宋体"/>
                <w:b w:val="0"/>
              </w:rPr>
              <w:t>-</w:t>
            </w:r>
          </w:p>
        </w:tc>
      </w:tr>
      <w:tr w14:paraId="51E3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6EFBB2">
            <w:pPr>
              <w:spacing w:line="240" w:lineRule="auto"/>
              <w:jc w:val="left"/>
            </w:pPr>
            <w:r>
              <w:rPr>
                <w:rFonts w:ascii="宋体" w:hAnsi="宋体" w:eastAsia="宋体" w:cs="宋体"/>
                <w:b w:val="0"/>
              </w:rPr>
              <w:t xml:space="preserve">      存款期限1-3个月</w:t>
            </w:r>
          </w:p>
        </w:tc>
        <w:tc>
          <w:tcPr>
            <w:tcW w:w="0" w:type="dxa"/>
            <w:vAlign w:val="center"/>
          </w:tcPr>
          <w:p w14:paraId="6F4B01A9">
            <w:pPr>
              <w:spacing w:line="240" w:lineRule="auto"/>
              <w:jc w:val="right"/>
            </w:pPr>
            <w:r>
              <w:rPr>
                <w:rFonts w:ascii="宋体" w:hAnsi="宋体" w:eastAsia="宋体" w:cs="宋体"/>
                <w:b w:val="0"/>
              </w:rPr>
              <w:t>-</w:t>
            </w:r>
          </w:p>
        </w:tc>
      </w:tr>
      <w:tr w14:paraId="27D6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285673">
            <w:pPr>
              <w:spacing w:line="240" w:lineRule="auto"/>
              <w:jc w:val="left"/>
            </w:pPr>
            <w:r>
              <w:rPr>
                <w:rFonts w:ascii="宋体" w:hAnsi="宋体" w:eastAsia="宋体" w:cs="宋体"/>
                <w:b w:val="0"/>
              </w:rPr>
              <w:t xml:space="preserve">      存款期限3个月以上</w:t>
            </w:r>
          </w:p>
        </w:tc>
        <w:tc>
          <w:tcPr>
            <w:tcW w:w="0" w:type="dxa"/>
            <w:vAlign w:val="center"/>
          </w:tcPr>
          <w:p w14:paraId="4680528D">
            <w:pPr>
              <w:spacing w:line="240" w:lineRule="auto"/>
              <w:jc w:val="right"/>
            </w:pPr>
            <w:r>
              <w:rPr>
                <w:rFonts w:ascii="宋体" w:hAnsi="宋体" w:eastAsia="宋体" w:cs="宋体"/>
                <w:b w:val="0"/>
              </w:rPr>
              <w:t>-</w:t>
            </w:r>
          </w:p>
        </w:tc>
      </w:tr>
      <w:tr w14:paraId="4AEF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0E281D">
            <w:pPr>
              <w:spacing w:line="240" w:lineRule="auto"/>
              <w:jc w:val="left"/>
            </w:pPr>
            <w:r>
              <w:rPr>
                <w:rFonts w:ascii="宋体" w:hAnsi="宋体" w:eastAsia="宋体" w:cs="宋体"/>
                <w:b w:val="0"/>
              </w:rPr>
              <w:t>其他存款</w:t>
            </w:r>
          </w:p>
        </w:tc>
        <w:tc>
          <w:tcPr>
            <w:tcW w:w="0" w:type="dxa"/>
            <w:vAlign w:val="center"/>
          </w:tcPr>
          <w:p w14:paraId="374F9307">
            <w:pPr>
              <w:spacing w:line="240" w:lineRule="auto"/>
              <w:jc w:val="right"/>
            </w:pPr>
            <w:r>
              <w:rPr>
                <w:rFonts w:ascii="宋体" w:hAnsi="宋体" w:eastAsia="宋体" w:cs="宋体"/>
                <w:b w:val="0"/>
              </w:rPr>
              <w:t>45,981,322.57</w:t>
            </w:r>
          </w:p>
        </w:tc>
      </w:tr>
      <w:tr w14:paraId="3E9C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427BBC">
            <w:pPr>
              <w:spacing w:line="240" w:lineRule="auto"/>
              <w:jc w:val="left"/>
            </w:pPr>
            <w:r>
              <w:rPr>
                <w:rFonts w:ascii="宋体" w:hAnsi="宋体" w:eastAsia="宋体" w:cs="宋体"/>
                <w:b w:val="0"/>
              </w:rPr>
              <w:t>等于：本金</w:t>
            </w:r>
          </w:p>
        </w:tc>
        <w:tc>
          <w:tcPr>
            <w:tcW w:w="0" w:type="dxa"/>
            <w:vAlign w:val="center"/>
          </w:tcPr>
          <w:p w14:paraId="6C4430F0">
            <w:pPr>
              <w:spacing w:line="240" w:lineRule="auto"/>
              <w:jc w:val="right"/>
            </w:pPr>
            <w:r>
              <w:rPr>
                <w:rFonts w:ascii="宋体" w:hAnsi="宋体" w:eastAsia="宋体" w:cs="宋体"/>
                <w:b w:val="0"/>
              </w:rPr>
              <w:t>45,981,106.26</w:t>
            </w:r>
          </w:p>
        </w:tc>
      </w:tr>
      <w:tr w14:paraId="1A05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FD2BE2">
            <w:pPr>
              <w:spacing w:line="240" w:lineRule="auto"/>
              <w:jc w:val="left"/>
            </w:pPr>
            <w:r>
              <w:rPr>
                <w:rFonts w:ascii="宋体" w:hAnsi="宋体" w:eastAsia="宋体" w:cs="宋体"/>
                <w:b w:val="0"/>
              </w:rPr>
              <w:t xml:space="preserve">      加：应计利息</w:t>
            </w:r>
          </w:p>
        </w:tc>
        <w:tc>
          <w:tcPr>
            <w:tcW w:w="0" w:type="dxa"/>
            <w:vAlign w:val="center"/>
          </w:tcPr>
          <w:p w14:paraId="62FBB360">
            <w:pPr>
              <w:spacing w:line="240" w:lineRule="auto"/>
              <w:jc w:val="right"/>
            </w:pPr>
            <w:r>
              <w:rPr>
                <w:rFonts w:ascii="宋体" w:hAnsi="宋体" w:eastAsia="宋体" w:cs="宋体"/>
                <w:b w:val="0"/>
              </w:rPr>
              <w:t>216.31</w:t>
            </w:r>
          </w:p>
        </w:tc>
      </w:tr>
      <w:tr w14:paraId="6E42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EA8CB1">
            <w:pPr>
              <w:spacing w:line="240" w:lineRule="auto"/>
              <w:jc w:val="left"/>
            </w:pPr>
            <w:r>
              <w:rPr>
                <w:rFonts w:ascii="宋体" w:hAnsi="宋体" w:eastAsia="宋体" w:cs="宋体"/>
                <w:b w:val="0"/>
              </w:rPr>
              <w:t xml:space="preserve">      减：坏账准备</w:t>
            </w:r>
          </w:p>
        </w:tc>
        <w:tc>
          <w:tcPr>
            <w:tcW w:w="0" w:type="dxa"/>
            <w:vAlign w:val="center"/>
          </w:tcPr>
          <w:p w14:paraId="50FC976B">
            <w:pPr>
              <w:spacing w:line="240" w:lineRule="auto"/>
              <w:jc w:val="right"/>
            </w:pPr>
            <w:r>
              <w:rPr>
                <w:rFonts w:ascii="宋体" w:hAnsi="宋体" w:eastAsia="宋体" w:cs="宋体"/>
                <w:b w:val="0"/>
              </w:rPr>
              <w:t>-</w:t>
            </w:r>
          </w:p>
        </w:tc>
      </w:tr>
      <w:tr w14:paraId="473B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8B22F6">
            <w:pPr>
              <w:spacing w:line="240" w:lineRule="auto"/>
              <w:jc w:val="center"/>
            </w:pPr>
            <w:r>
              <w:rPr>
                <w:rFonts w:ascii="宋体" w:hAnsi="宋体" w:eastAsia="宋体" w:cs="宋体"/>
                <w:b w:val="0"/>
              </w:rPr>
              <w:t>合计</w:t>
            </w:r>
          </w:p>
        </w:tc>
        <w:tc>
          <w:tcPr>
            <w:tcW w:w="0" w:type="dxa"/>
            <w:vAlign w:val="center"/>
          </w:tcPr>
          <w:p w14:paraId="675D7B50">
            <w:pPr>
              <w:spacing w:line="240" w:lineRule="auto"/>
              <w:jc w:val="right"/>
            </w:pPr>
            <w:r>
              <w:rPr>
                <w:rFonts w:ascii="宋体" w:hAnsi="宋体" w:eastAsia="宋体" w:cs="宋体"/>
                <w:b w:val="0"/>
              </w:rPr>
              <w:t>49,764,334.44</w:t>
            </w:r>
          </w:p>
        </w:tc>
      </w:tr>
    </w:tbl>
    <w:p w14:paraId="415E467E">
      <w:r>
        <w:rPr>
          <w:rFonts w:ascii="宋体" w:hAnsi="宋体" w:eastAsia="宋体" w:cs="宋体"/>
          <w:b w:val="0"/>
        </w:rPr>
        <w:t>注: 本基金持有的其他存款为存放在证券经纪商基金专用证券账户的证券交易结算资金。</w:t>
      </w:r>
    </w:p>
    <w:p w14:paraId="5B7C78FF"/>
    <w:p w14:paraId="54F279BA">
      <w:pPr>
        <w:pStyle w:val="58"/>
      </w:pPr>
      <w:r>
        <w:rPr>
          <w:rFonts w:ascii="宋体" w:hAnsi="宋体" w:eastAsia="宋体" w:cs="宋体"/>
          <w:b/>
        </w:rPr>
        <w:t>6.4.7.2 交易性金融资产</w:t>
      </w:r>
    </w:p>
    <w:p w14:paraId="21211C9D">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428"/>
        <w:gridCol w:w="1787"/>
        <w:gridCol w:w="1787"/>
        <w:gridCol w:w="1787"/>
        <w:gridCol w:w="1783"/>
      </w:tblGrid>
      <w:tr w14:paraId="6020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gridSpan w:val="2"/>
            <w:vMerge w:val="restart"/>
            <w:shd w:val="clear" w:color="auto" w:fill="D9D9D9"/>
            <w:vAlign w:val="center"/>
          </w:tcPr>
          <w:p w14:paraId="7652B04F">
            <w:pPr>
              <w:spacing w:line="240" w:lineRule="auto"/>
              <w:jc w:val="center"/>
            </w:pPr>
            <w:r>
              <w:rPr>
                <w:rFonts w:ascii="宋体" w:hAnsi="宋体" w:eastAsia="宋体" w:cs="宋体"/>
                <w:b w:val="0"/>
              </w:rPr>
              <w:t>项目</w:t>
            </w:r>
          </w:p>
        </w:tc>
        <w:tc>
          <w:tcPr>
            <w:tcW w:w="3846" w:type="pct"/>
            <w:gridSpan w:val="4"/>
            <w:shd w:val="clear" w:color="auto" w:fill="D9D9D9"/>
            <w:vAlign w:val="center"/>
          </w:tcPr>
          <w:p w14:paraId="1C709EB1">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077A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gridSpan w:val="2"/>
            <w:vMerge w:val="continue"/>
          </w:tcPr>
          <w:p w14:paraId="752353C7"/>
        </w:tc>
        <w:tc>
          <w:tcPr>
            <w:tcW w:w="962" w:type="pct"/>
            <w:shd w:val="clear" w:color="auto" w:fill="D9D9D9"/>
            <w:vAlign w:val="center"/>
          </w:tcPr>
          <w:p w14:paraId="314F7A70">
            <w:pPr>
              <w:spacing w:line="240" w:lineRule="auto"/>
              <w:jc w:val="center"/>
            </w:pPr>
            <w:r>
              <w:rPr>
                <w:rFonts w:ascii="宋体" w:hAnsi="宋体" w:eastAsia="宋体" w:cs="宋体"/>
                <w:b w:val="0"/>
              </w:rPr>
              <w:t>成本</w:t>
            </w:r>
          </w:p>
        </w:tc>
        <w:tc>
          <w:tcPr>
            <w:tcW w:w="962" w:type="pct"/>
            <w:shd w:val="clear" w:color="auto" w:fill="D9D9D9"/>
            <w:vAlign w:val="center"/>
          </w:tcPr>
          <w:p w14:paraId="2796B8C3">
            <w:pPr>
              <w:spacing w:line="240" w:lineRule="auto"/>
              <w:jc w:val="center"/>
            </w:pPr>
            <w:r>
              <w:rPr>
                <w:rFonts w:ascii="宋体" w:hAnsi="宋体" w:eastAsia="宋体" w:cs="宋体"/>
                <w:b w:val="0"/>
              </w:rPr>
              <w:t>应计利息</w:t>
            </w:r>
          </w:p>
        </w:tc>
        <w:tc>
          <w:tcPr>
            <w:tcW w:w="962" w:type="pct"/>
            <w:shd w:val="clear" w:color="auto" w:fill="D9D9D9"/>
            <w:vAlign w:val="center"/>
          </w:tcPr>
          <w:p w14:paraId="304B46F0">
            <w:pPr>
              <w:spacing w:line="240" w:lineRule="auto"/>
              <w:jc w:val="center"/>
            </w:pPr>
            <w:r>
              <w:rPr>
                <w:rFonts w:ascii="宋体" w:hAnsi="宋体" w:eastAsia="宋体" w:cs="宋体"/>
                <w:b w:val="0"/>
              </w:rPr>
              <w:t>公允价值</w:t>
            </w:r>
          </w:p>
        </w:tc>
        <w:tc>
          <w:tcPr>
            <w:tcW w:w="962" w:type="pct"/>
            <w:shd w:val="clear" w:color="auto" w:fill="D9D9D9"/>
            <w:vAlign w:val="center"/>
          </w:tcPr>
          <w:p w14:paraId="17D55990">
            <w:pPr>
              <w:spacing w:line="240" w:lineRule="auto"/>
              <w:jc w:val="center"/>
            </w:pPr>
            <w:r>
              <w:rPr>
                <w:rFonts w:ascii="宋体" w:hAnsi="宋体" w:eastAsia="宋体" w:cs="宋体"/>
                <w:b w:val="0"/>
              </w:rPr>
              <w:t>公允价值变动</w:t>
            </w:r>
          </w:p>
        </w:tc>
      </w:tr>
      <w:tr w14:paraId="603E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40DD76A2">
            <w:pPr>
              <w:spacing w:line="240" w:lineRule="auto"/>
              <w:jc w:val="left"/>
            </w:pPr>
            <w:r>
              <w:rPr>
                <w:rFonts w:ascii="宋体" w:hAnsi="宋体" w:eastAsia="宋体" w:cs="宋体"/>
                <w:b w:val="0"/>
              </w:rPr>
              <w:t>股票</w:t>
            </w:r>
          </w:p>
        </w:tc>
        <w:tc>
          <w:tcPr>
            <w:tcW w:w="0" w:type="dxa"/>
            <w:vAlign w:val="center"/>
          </w:tcPr>
          <w:p w14:paraId="2BCF5C8B">
            <w:pPr>
              <w:spacing w:line="240" w:lineRule="auto"/>
              <w:jc w:val="right"/>
            </w:pPr>
            <w:r>
              <w:rPr>
                <w:rFonts w:ascii="宋体" w:hAnsi="宋体" w:eastAsia="宋体" w:cs="宋体"/>
                <w:b w:val="0"/>
              </w:rPr>
              <w:t>523,970,908.10</w:t>
            </w:r>
          </w:p>
        </w:tc>
        <w:tc>
          <w:tcPr>
            <w:tcW w:w="0" w:type="dxa"/>
            <w:vAlign w:val="center"/>
          </w:tcPr>
          <w:p w14:paraId="7C8C2F83">
            <w:pPr>
              <w:spacing w:line="240" w:lineRule="auto"/>
              <w:jc w:val="right"/>
            </w:pPr>
            <w:r>
              <w:rPr>
                <w:rFonts w:ascii="宋体" w:hAnsi="宋体" w:eastAsia="宋体" w:cs="宋体"/>
                <w:b w:val="0"/>
              </w:rPr>
              <w:t>-</w:t>
            </w:r>
          </w:p>
        </w:tc>
        <w:tc>
          <w:tcPr>
            <w:tcW w:w="0" w:type="dxa"/>
            <w:vAlign w:val="center"/>
          </w:tcPr>
          <w:p w14:paraId="1EB166ED">
            <w:pPr>
              <w:spacing w:line="240" w:lineRule="auto"/>
              <w:jc w:val="right"/>
            </w:pPr>
            <w:r>
              <w:rPr>
                <w:rFonts w:ascii="宋体" w:hAnsi="宋体" w:eastAsia="宋体" w:cs="宋体"/>
                <w:b w:val="0"/>
              </w:rPr>
              <w:t>726,911,909.88</w:t>
            </w:r>
          </w:p>
        </w:tc>
        <w:tc>
          <w:tcPr>
            <w:tcW w:w="0" w:type="dxa"/>
            <w:vAlign w:val="center"/>
          </w:tcPr>
          <w:p w14:paraId="2A6F67EE">
            <w:pPr>
              <w:spacing w:line="240" w:lineRule="auto"/>
              <w:jc w:val="right"/>
            </w:pPr>
            <w:r>
              <w:rPr>
                <w:rFonts w:ascii="宋体" w:hAnsi="宋体" w:eastAsia="宋体" w:cs="宋体"/>
                <w:b w:val="0"/>
              </w:rPr>
              <w:t>202,941,001.78</w:t>
            </w:r>
          </w:p>
        </w:tc>
      </w:tr>
      <w:tr w14:paraId="298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76735FE">
            <w:pPr>
              <w:spacing w:line="240" w:lineRule="auto"/>
              <w:jc w:val="left"/>
            </w:pPr>
            <w:r>
              <w:rPr>
                <w:rFonts w:ascii="宋体" w:hAnsi="宋体" w:eastAsia="宋体" w:cs="宋体"/>
                <w:b w:val="0"/>
              </w:rPr>
              <w:t>贵金属投资-金交所黄金合约</w:t>
            </w:r>
          </w:p>
        </w:tc>
        <w:tc>
          <w:tcPr>
            <w:tcW w:w="0" w:type="dxa"/>
            <w:vAlign w:val="center"/>
          </w:tcPr>
          <w:p w14:paraId="304E9C68">
            <w:pPr>
              <w:spacing w:line="240" w:lineRule="auto"/>
              <w:jc w:val="right"/>
            </w:pPr>
            <w:r>
              <w:rPr>
                <w:rFonts w:ascii="宋体" w:hAnsi="宋体" w:eastAsia="宋体" w:cs="宋体"/>
                <w:b w:val="0"/>
              </w:rPr>
              <w:t>-</w:t>
            </w:r>
          </w:p>
        </w:tc>
        <w:tc>
          <w:tcPr>
            <w:tcW w:w="0" w:type="dxa"/>
            <w:vAlign w:val="center"/>
          </w:tcPr>
          <w:p w14:paraId="356A59DA">
            <w:pPr>
              <w:spacing w:line="240" w:lineRule="auto"/>
              <w:jc w:val="right"/>
            </w:pPr>
            <w:r>
              <w:rPr>
                <w:rFonts w:ascii="宋体" w:hAnsi="宋体" w:eastAsia="宋体" w:cs="宋体"/>
                <w:b w:val="0"/>
              </w:rPr>
              <w:t>-</w:t>
            </w:r>
          </w:p>
        </w:tc>
        <w:tc>
          <w:tcPr>
            <w:tcW w:w="0" w:type="dxa"/>
            <w:vAlign w:val="center"/>
          </w:tcPr>
          <w:p w14:paraId="4C5F0F9F">
            <w:pPr>
              <w:spacing w:line="240" w:lineRule="auto"/>
              <w:jc w:val="right"/>
            </w:pPr>
            <w:r>
              <w:rPr>
                <w:rFonts w:ascii="宋体" w:hAnsi="宋体" w:eastAsia="宋体" w:cs="宋体"/>
                <w:b w:val="0"/>
              </w:rPr>
              <w:t>-</w:t>
            </w:r>
          </w:p>
        </w:tc>
        <w:tc>
          <w:tcPr>
            <w:tcW w:w="0" w:type="dxa"/>
            <w:vAlign w:val="center"/>
          </w:tcPr>
          <w:p w14:paraId="1B37C411">
            <w:pPr>
              <w:spacing w:line="240" w:lineRule="auto"/>
              <w:jc w:val="right"/>
            </w:pPr>
            <w:r>
              <w:rPr>
                <w:rFonts w:ascii="宋体" w:hAnsi="宋体" w:eastAsia="宋体" w:cs="宋体"/>
                <w:b w:val="0"/>
              </w:rPr>
              <w:t>-</w:t>
            </w:r>
          </w:p>
        </w:tc>
      </w:tr>
      <w:tr w14:paraId="78B9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Merge w:val="restart"/>
            <w:vAlign w:val="center"/>
          </w:tcPr>
          <w:p w14:paraId="23C18A76">
            <w:pPr>
              <w:spacing w:line="240" w:lineRule="auto"/>
              <w:jc w:val="center"/>
            </w:pPr>
            <w:r>
              <w:rPr>
                <w:rFonts w:ascii="宋体" w:hAnsi="宋体" w:eastAsia="宋体" w:cs="宋体"/>
                <w:b w:val="0"/>
              </w:rPr>
              <w:t>债券</w:t>
            </w:r>
          </w:p>
        </w:tc>
        <w:tc>
          <w:tcPr>
            <w:tcW w:w="769" w:type="pct"/>
            <w:vAlign w:val="center"/>
          </w:tcPr>
          <w:p w14:paraId="6CF15815">
            <w:pPr>
              <w:spacing w:line="240" w:lineRule="auto"/>
              <w:jc w:val="left"/>
            </w:pPr>
            <w:r>
              <w:rPr>
                <w:rFonts w:ascii="宋体" w:hAnsi="宋体" w:eastAsia="宋体" w:cs="宋体"/>
                <w:b w:val="0"/>
              </w:rPr>
              <w:t>交易所市场</w:t>
            </w:r>
          </w:p>
        </w:tc>
        <w:tc>
          <w:tcPr>
            <w:tcW w:w="0" w:type="dxa"/>
            <w:vAlign w:val="center"/>
          </w:tcPr>
          <w:p w14:paraId="41B31A00">
            <w:pPr>
              <w:spacing w:line="240" w:lineRule="auto"/>
              <w:jc w:val="right"/>
            </w:pPr>
            <w:r>
              <w:rPr>
                <w:rFonts w:ascii="宋体" w:hAnsi="宋体" w:eastAsia="宋体" w:cs="宋体"/>
                <w:b w:val="0"/>
              </w:rPr>
              <w:t>19,487,053.47</w:t>
            </w:r>
          </w:p>
        </w:tc>
        <w:tc>
          <w:tcPr>
            <w:tcW w:w="0" w:type="dxa"/>
            <w:vAlign w:val="center"/>
          </w:tcPr>
          <w:p w14:paraId="24AFF39E">
            <w:pPr>
              <w:spacing w:line="240" w:lineRule="auto"/>
              <w:jc w:val="right"/>
            </w:pPr>
            <w:r>
              <w:rPr>
                <w:rFonts w:ascii="宋体" w:hAnsi="宋体" w:eastAsia="宋体" w:cs="宋体"/>
                <w:b w:val="0"/>
              </w:rPr>
              <w:t>51,281.37</w:t>
            </w:r>
          </w:p>
        </w:tc>
        <w:tc>
          <w:tcPr>
            <w:tcW w:w="0" w:type="dxa"/>
            <w:vAlign w:val="center"/>
          </w:tcPr>
          <w:p w14:paraId="25400C4D">
            <w:pPr>
              <w:spacing w:line="240" w:lineRule="auto"/>
              <w:jc w:val="right"/>
            </w:pPr>
            <w:r>
              <w:rPr>
                <w:rFonts w:ascii="宋体" w:hAnsi="宋体" w:eastAsia="宋体" w:cs="宋体"/>
                <w:b w:val="0"/>
              </w:rPr>
              <w:t>19,547,131.37</w:t>
            </w:r>
          </w:p>
        </w:tc>
        <w:tc>
          <w:tcPr>
            <w:tcW w:w="0" w:type="dxa"/>
            <w:vAlign w:val="center"/>
          </w:tcPr>
          <w:p w14:paraId="6EEA3B67">
            <w:pPr>
              <w:spacing w:line="240" w:lineRule="auto"/>
              <w:jc w:val="right"/>
            </w:pPr>
            <w:r>
              <w:rPr>
                <w:rFonts w:ascii="宋体" w:hAnsi="宋体" w:eastAsia="宋体" w:cs="宋体"/>
                <w:b w:val="0"/>
              </w:rPr>
              <w:t>8,796.53</w:t>
            </w:r>
          </w:p>
        </w:tc>
      </w:tr>
      <w:tr w14:paraId="4709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EFD9905"/>
        </w:tc>
        <w:tc>
          <w:tcPr>
            <w:tcW w:w="0" w:type="dxa"/>
            <w:vAlign w:val="center"/>
          </w:tcPr>
          <w:p w14:paraId="240F8CA9">
            <w:pPr>
              <w:spacing w:line="240" w:lineRule="auto"/>
              <w:jc w:val="left"/>
            </w:pPr>
            <w:r>
              <w:rPr>
                <w:rFonts w:ascii="宋体" w:hAnsi="宋体" w:eastAsia="宋体" w:cs="宋体"/>
                <w:b w:val="0"/>
              </w:rPr>
              <w:t>银行间市场</w:t>
            </w:r>
          </w:p>
        </w:tc>
        <w:tc>
          <w:tcPr>
            <w:tcW w:w="0" w:type="dxa"/>
            <w:vAlign w:val="center"/>
          </w:tcPr>
          <w:p w14:paraId="58B992B1">
            <w:pPr>
              <w:spacing w:line="240" w:lineRule="auto"/>
              <w:jc w:val="right"/>
            </w:pPr>
            <w:r>
              <w:rPr>
                <w:rFonts w:ascii="宋体" w:hAnsi="宋体" w:eastAsia="宋体" w:cs="宋体"/>
                <w:b w:val="0"/>
              </w:rPr>
              <w:t>-</w:t>
            </w:r>
          </w:p>
        </w:tc>
        <w:tc>
          <w:tcPr>
            <w:tcW w:w="0" w:type="dxa"/>
            <w:vAlign w:val="center"/>
          </w:tcPr>
          <w:p w14:paraId="13903851">
            <w:pPr>
              <w:spacing w:line="240" w:lineRule="auto"/>
              <w:jc w:val="right"/>
            </w:pPr>
            <w:r>
              <w:rPr>
                <w:rFonts w:ascii="宋体" w:hAnsi="宋体" w:eastAsia="宋体" w:cs="宋体"/>
                <w:b w:val="0"/>
              </w:rPr>
              <w:t>-</w:t>
            </w:r>
          </w:p>
        </w:tc>
        <w:tc>
          <w:tcPr>
            <w:tcW w:w="0" w:type="dxa"/>
            <w:vAlign w:val="center"/>
          </w:tcPr>
          <w:p w14:paraId="2D07E416">
            <w:pPr>
              <w:spacing w:line="240" w:lineRule="auto"/>
              <w:jc w:val="right"/>
            </w:pPr>
            <w:r>
              <w:rPr>
                <w:rFonts w:ascii="宋体" w:hAnsi="宋体" w:eastAsia="宋体" w:cs="宋体"/>
                <w:b w:val="0"/>
              </w:rPr>
              <w:t>-</w:t>
            </w:r>
          </w:p>
        </w:tc>
        <w:tc>
          <w:tcPr>
            <w:tcW w:w="0" w:type="dxa"/>
            <w:vAlign w:val="center"/>
          </w:tcPr>
          <w:p w14:paraId="1464CBE3">
            <w:pPr>
              <w:spacing w:line="240" w:lineRule="auto"/>
              <w:jc w:val="right"/>
            </w:pPr>
            <w:r>
              <w:rPr>
                <w:rFonts w:ascii="宋体" w:hAnsi="宋体" w:eastAsia="宋体" w:cs="宋体"/>
                <w:b w:val="0"/>
              </w:rPr>
              <w:t>-</w:t>
            </w:r>
          </w:p>
        </w:tc>
      </w:tr>
      <w:tr w14:paraId="714D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D70E3DB"/>
        </w:tc>
        <w:tc>
          <w:tcPr>
            <w:tcW w:w="0" w:type="dxa"/>
            <w:vAlign w:val="center"/>
          </w:tcPr>
          <w:p w14:paraId="71CD55A0">
            <w:pPr>
              <w:spacing w:line="240" w:lineRule="auto"/>
              <w:jc w:val="left"/>
            </w:pPr>
            <w:r>
              <w:rPr>
                <w:rFonts w:ascii="宋体" w:hAnsi="宋体" w:eastAsia="宋体" w:cs="宋体"/>
                <w:b w:val="0"/>
              </w:rPr>
              <w:t>合计</w:t>
            </w:r>
          </w:p>
        </w:tc>
        <w:tc>
          <w:tcPr>
            <w:tcW w:w="0" w:type="dxa"/>
            <w:vAlign w:val="center"/>
          </w:tcPr>
          <w:p w14:paraId="61390457">
            <w:pPr>
              <w:spacing w:line="240" w:lineRule="auto"/>
              <w:jc w:val="right"/>
            </w:pPr>
            <w:r>
              <w:rPr>
                <w:rFonts w:ascii="宋体" w:hAnsi="宋体" w:eastAsia="宋体" w:cs="宋体"/>
                <w:b w:val="0"/>
              </w:rPr>
              <w:t>19,487,053.47</w:t>
            </w:r>
          </w:p>
        </w:tc>
        <w:tc>
          <w:tcPr>
            <w:tcW w:w="0" w:type="dxa"/>
            <w:vAlign w:val="center"/>
          </w:tcPr>
          <w:p w14:paraId="220423AE">
            <w:pPr>
              <w:spacing w:line="240" w:lineRule="auto"/>
              <w:jc w:val="right"/>
            </w:pPr>
            <w:r>
              <w:rPr>
                <w:rFonts w:ascii="宋体" w:hAnsi="宋体" w:eastAsia="宋体" w:cs="宋体"/>
                <w:b w:val="0"/>
              </w:rPr>
              <w:t>51,281.37</w:t>
            </w:r>
          </w:p>
        </w:tc>
        <w:tc>
          <w:tcPr>
            <w:tcW w:w="0" w:type="dxa"/>
            <w:vAlign w:val="center"/>
          </w:tcPr>
          <w:p w14:paraId="722345B6">
            <w:pPr>
              <w:spacing w:line="240" w:lineRule="auto"/>
              <w:jc w:val="right"/>
            </w:pPr>
            <w:r>
              <w:rPr>
                <w:rFonts w:ascii="宋体" w:hAnsi="宋体" w:eastAsia="宋体" w:cs="宋体"/>
                <w:b w:val="0"/>
              </w:rPr>
              <w:t>19,547,131.37</w:t>
            </w:r>
          </w:p>
        </w:tc>
        <w:tc>
          <w:tcPr>
            <w:tcW w:w="0" w:type="dxa"/>
            <w:vAlign w:val="center"/>
          </w:tcPr>
          <w:p w14:paraId="7D9699C2">
            <w:pPr>
              <w:spacing w:line="240" w:lineRule="auto"/>
              <w:jc w:val="right"/>
            </w:pPr>
            <w:r>
              <w:rPr>
                <w:rFonts w:ascii="宋体" w:hAnsi="宋体" w:eastAsia="宋体" w:cs="宋体"/>
                <w:b w:val="0"/>
              </w:rPr>
              <w:t>8,796.53</w:t>
            </w:r>
          </w:p>
        </w:tc>
      </w:tr>
      <w:tr w14:paraId="3712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7C3C894E">
            <w:pPr>
              <w:spacing w:line="240" w:lineRule="auto"/>
              <w:jc w:val="left"/>
            </w:pPr>
            <w:r>
              <w:rPr>
                <w:rFonts w:ascii="宋体" w:hAnsi="宋体" w:eastAsia="宋体" w:cs="宋体"/>
                <w:b w:val="0"/>
              </w:rPr>
              <w:t>资产支持证券</w:t>
            </w:r>
          </w:p>
        </w:tc>
        <w:tc>
          <w:tcPr>
            <w:tcW w:w="0" w:type="dxa"/>
            <w:vAlign w:val="center"/>
          </w:tcPr>
          <w:p w14:paraId="3750976F">
            <w:pPr>
              <w:spacing w:line="240" w:lineRule="auto"/>
              <w:jc w:val="right"/>
            </w:pPr>
            <w:r>
              <w:rPr>
                <w:rFonts w:ascii="宋体" w:hAnsi="宋体" w:eastAsia="宋体" w:cs="宋体"/>
                <w:b w:val="0"/>
              </w:rPr>
              <w:t>-</w:t>
            </w:r>
          </w:p>
        </w:tc>
        <w:tc>
          <w:tcPr>
            <w:tcW w:w="0" w:type="dxa"/>
            <w:vAlign w:val="center"/>
          </w:tcPr>
          <w:p w14:paraId="1C7FBE5A">
            <w:pPr>
              <w:spacing w:line="240" w:lineRule="auto"/>
              <w:jc w:val="right"/>
            </w:pPr>
            <w:r>
              <w:rPr>
                <w:rFonts w:ascii="宋体" w:hAnsi="宋体" w:eastAsia="宋体" w:cs="宋体"/>
                <w:b w:val="0"/>
              </w:rPr>
              <w:t>-</w:t>
            </w:r>
          </w:p>
        </w:tc>
        <w:tc>
          <w:tcPr>
            <w:tcW w:w="0" w:type="dxa"/>
            <w:vAlign w:val="center"/>
          </w:tcPr>
          <w:p w14:paraId="5D53C20D">
            <w:pPr>
              <w:spacing w:line="240" w:lineRule="auto"/>
              <w:jc w:val="right"/>
            </w:pPr>
            <w:r>
              <w:rPr>
                <w:rFonts w:ascii="宋体" w:hAnsi="宋体" w:eastAsia="宋体" w:cs="宋体"/>
                <w:b w:val="0"/>
              </w:rPr>
              <w:t>-</w:t>
            </w:r>
          </w:p>
        </w:tc>
        <w:tc>
          <w:tcPr>
            <w:tcW w:w="0" w:type="dxa"/>
            <w:vAlign w:val="center"/>
          </w:tcPr>
          <w:p w14:paraId="3BE3C303">
            <w:pPr>
              <w:spacing w:line="240" w:lineRule="auto"/>
              <w:jc w:val="right"/>
            </w:pPr>
            <w:r>
              <w:rPr>
                <w:rFonts w:ascii="宋体" w:hAnsi="宋体" w:eastAsia="宋体" w:cs="宋体"/>
                <w:b w:val="0"/>
              </w:rPr>
              <w:t>-</w:t>
            </w:r>
          </w:p>
        </w:tc>
      </w:tr>
      <w:tr w14:paraId="7FE2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6C8EDDB8">
            <w:pPr>
              <w:spacing w:line="240" w:lineRule="auto"/>
              <w:jc w:val="left"/>
            </w:pPr>
            <w:r>
              <w:rPr>
                <w:rFonts w:ascii="宋体" w:hAnsi="宋体" w:eastAsia="宋体" w:cs="宋体"/>
                <w:b w:val="0"/>
              </w:rPr>
              <w:t>基金</w:t>
            </w:r>
          </w:p>
        </w:tc>
        <w:tc>
          <w:tcPr>
            <w:tcW w:w="0" w:type="dxa"/>
            <w:vAlign w:val="center"/>
          </w:tcPr>
          <w:p w14:paraId="638FD0A2">
            <w:pPr>
              <w:spacing w:line="240" w:lineRule="auto"/>
              <w:jc w:val="right"/>
            </w:pPr>
            <w:r>
              <w:rPr>
                <w:rFonts w:ascii="宋体" w:hAnsi="宋体" w:eastAsia="宋体" w:cs="宋体"/>
                <w:b w:val="0"/>
              </w:rPr>
              <w:t>-</w:t>
            </w:r>
          </w:p>
        </w:tc>
        <w:tc>
          <w:tcPr>
            <w:tcW w:w="0" w:type="dxa"/>
            <w:vAlign w:val="center"/>
          </w:tcPr>
          <w:p w14:paraId="1068668D">
            <w:pPr>
              <w:spacing w:line="240" w:lineRule="auto"/>
              <w:jc w:val="right"/>
            </w:pPr>
            <w:r>
              <w:rPr>
                <w:rFonts w:ascii="宋体" w:hAnsi="宋体" w:eastAsia="宋体" w:cs="宋体"/>
                <w:b w:val="0"/>
              </w:rPr>
              <w:t>-</w:t>
            </w:r>
          </w:p>
        </w:tc>
        <w:tc>
          <w:tcPr>
            <w:tcW w:w="0" w:type="dxa"/>
            <w:vAlign w:val="center"/>
          </w:tcPr>
          <w:p w14:paraId="17F7E44A">
            <w:pPr>
              <w:spacing w:line="240" w:lineRule="auto"/>
              <w:jc w:val="right"/>
            </w:pPr>
            <w:r>
              <w:rPr>
                <w:rFonts w:ascii="宋体" w:hAnsi="宋体" w:eastAsia="宋体" w:cs="宋体"/>
                <w:b w:val="0"/>
              </w:rPr>
              <w:t>-</w:t>
            </w:r>
          </w:p>
        </w:tc>
        <w:tc>
          <w:tcPr>
            <w:tcW w:w="0" w:type="dxa"/>
            <w:vAlign w:val="center"/>
          </w:tcPr>
          <w:p w14:paraId="1E3EEC96">
            <w:pPr>
              <w:spacing w:line="240" w:lineRule="auto"/>
              <w:jc w:val="right"/>
            </w:pPr>
            <w:r>
              <w:rPr>
                <w:rFonts w:ascii="宋体" w:hAnsi="宋体" w:eastAsia="宋体" w:cs="宋体"/>
                <w:b w:val="0"/>
              </w:rPr>
              <w:t>-</w:t>
            </w:r>
          </w:p>
        </w:tc>
      </w:tr>
      <w:tr w14:paraId="29DD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119CD314">
            <w:pPr>
              <w:spacing w:line="240" w:lineRule="auto"/>
              <w:jc w:val="left"/>
            </w:pPr>
            <w:r>
              <w:rPr>
                <w:rFonts w:ascii="宋体" w:hAnsi="宋体" w:eastAsia="宋体" w:cs="宋体"/>
                <w:b w:val="0"/>
              </w:rPr>
              <w:t>其他</w:t>
            </w:r>
          </w:p>
        </w:tc>
        <w:tc>
          <w:tcPr>
            <w:tcW w:w="0" w:type="dxa"/>
            <w:vAlign w:val="center"/>
          </w:tcPr>
          <w:p w14:paraId="574CBE66">
            <w:pPr>
              <w:spacing w:line="240" w:lineRule="auto"/>
              <w:jc w:val="right"/>
            </w:pPr>
            <w:r>
              <w:rPr>
                <w:rFonts w:ascii="宋体" w:hAnsi="宋体" w:eastAsia="宋体" w:cs="宋体"/>
                <w:b w:val="0"/>
              </w:rPr>
              <w:t>-</w:t>
            </w:r>
          </w:p>
        </w:tc>
        <w:tc>
          <w:tcPr>
            <w:tcW w:w="0" w:type="dxa"/>
            <w:vAlign w:val="center"/>
          </w:tcPr>
          <w:p w14:paraId="1CDA0D2C">
            <w:pPr>
              <w:spacing w:line="240" w:lineRule="auto"/>
              <w:jc w:val="right"/>
            </w:pPr>
            <w:r>
              <w:rPr>
                <w:rFonts w:ascii="宋体" w:hAnsi="宋体" w:eastAsia="宋体" w:cs="宋体"/>
                <w:b w:val="0"/>
              </w:rPr>
              <w:t>-</w:t>
            </w:r>
          </w:p>
        </w:tc>
        <w:tc>
          <w:tcPr>
            <w:tcW w:w="0" w:type="dxa"/>
            <w:vAlign w:val="center"/>
          </w:tcPr>
          <w:p w14:paraId="79785FDD">
            <w:pPr>
              <w:spacing w:line="240" w:lineRule="auto"/>
              <w:jc w:val="right"/>
            </w:pPr>
            <w:r>
              <w:rPr>
                <w:rFonts w:ascii="宋体" w:hAnsi="宋体" w:eastAsia="宋体" w:cs="宋体"/>
                <w:b w:val="0"/>
              </w:rPr>
              <w:t>-</w:t>
            </w:r>
          </w:p>
        </w:tc>
        <w:tc>
          <w:tcPr>
            <w:tcW w:w="0" w:type="dxa"/>
            <w:vAlign w:val="center"/>
          </w:tcPr>
          <w:p w14:paraId="78D7BCEC">
            <w:pPr>
              <w:spacing w:line="240" w:lineRule="auto"/>
              <w:jc w:val="right"/>
            </w:pPr>
            <w:r>
              <w:rPr>
                <w:rFonts w:ascii="宋体" w:hAnsi="宋体" w:eastAsia="宋体" w:cs="宋体"/>
                <w:b w:val="0"/>
              </w:rPr>
              <w:t>-</w:t>
            </w:r>
          </w:p>
        </w:tc>
      </w:tr>
      <w:tr w14:paraId="400B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63F896D8">
            <w:pPr>
              <w:spacing w:line="240" w:lineRule="auto"/>
              <w:jc w:val="center"/>
            </w:pPr>
            <w:r>
              <w:rPr>
                <w:rFonts w:ascii="宋体" w:hAnsi="宋体" w:eastAsia="宋体" w:cs="宋体"/>
                <w:b w:val="0"/>
              </w:rPr>
              <w:t>合计</w:t>
            </w:r>
          </w:p>
        </w:tc>
        <w:tc>
          <w:tcPr>
            <w:tcW w:w="0" w:type="dxa"/>
            <w:vAlign w:val="center"/>
          </w:tcPr>
          <w:p w14:paraId="094C2370">
            <w:pPr>
              <w:spacing w:line="240" w:lineRule="auto"/>
              <w:jc w:val="right"/>
            </w:pPr>
            <w:r>
              <w:rPr>
                <w:rFonts w:ascii="宋体" w:hAnsi="宋体" w:eastAsia="宋体" w:cs="宋体"/>
                <w:b w:val="0"/>
              </w:rPr>
              <w:t>543,457,961.57</w:t>
            </w:r>
          </w:p>
        </w:tc>
        <w:tc>
          <w:tcPr>
            <w:tcW w:w="0" w:type="dxa"/>
            <w:vAlign w:val="center"/>
          </w:tcPr>
          <w:p w14:paraId="0F31BACA">
            <w:pPr>
              <w:spacing w:line="240" w:lineRule="auto"/>
              <w:jc w:val="right"/>
            </w:pPr>
            <w:r>
              <w:rPr>
                <w:rFonts w:ascii="宋体" w:hAnsi="宋体" w:eastAsia="宋体" w:cs="宋体"/>
                <w:b w:val="0"/>
              </w:rPr>
              <w:t>51,281.37</w:t>
            </w:r>
          </w:p>
        </w:tc>
        <w:tc>
          <w:tcPr>
            <w:tcW w:w="0" w:type="dxa"/>
            <w:vAlign w:val="center"/>
          </w:tcPr>
          <w:p w14:paraId="2E2B9E2D">
            <w:pPr>
              <w:spacing w:line="240" w:lineRule="auto"/>
              <w:jc w:val="right"/>
            </w:pPr>
            <w:r>
              <w:rPr>
                <w:rFonts w:ascii="宋体" w:hAnsi="宋体" w:eastAsia="宋体" w:cs="宋体"/>
                <w:b w:val="0"/>
              </w:rPr>
              <w:t>746,459,041.25</w:t>
            </w:r>
          </w:p>
        </w:tc>
        <w:tc>
          <w:tcPr>
            <w:tcW w:w="0" w:type="dxa"/>
            <w:vAlign w:val="center"/>
          </w:tcPr>
          <w:p w14:paraId="5CE3B796">
            <w:pPr>
              <w:spacing w:line="240" w:lineRule="auto"/>
              <w:jc w:val="right"/>
            </w:pPr>
            <w:r>
              <w:rPr>
                <w:rFonts w:ascii="宋体" w:hAnsi="宋体" w:eastAsia="宋体" w:cs="宋体"/>
                <w:b w:val="0"/>
              </w:rPr>
              <w:t>202,949,798.31</w:t>
            </w:r>
          </w:p>
        </w:tc>
      </w:tr>
    </w:tbl>
    <w:p w14:paraId="6C9B0EF8"/>
    <w:p w14:paraId="7E38C5A0">
      <w:pPr>
        <w:pStyle w:val="58"/>
      </w:pPr>
      <w:r>
        <w:rPr>
          <w:rFonts w:ascii="宋体" w:hAnsi="宋体" w:eastAsia="宋体" w:cs="宋体"/>
          <w:b/>
        </w:rPr>
        <w:t>6.4.7.3 衍生金融资产/负债</w:t>
      </w:r>
    </w:p>
    <w:p w14:paraId="0C748D33">
      <w:r>
        <w:rPr>
          <w:rFonts w:ascii="宋体" w:hAnsi="宋体" w:eastAsia="宋体" w:cs="宋体"/>
          <w:b w:val="0"/>
        </w:rPr>
        <w:t xml:space="preserve">    本基金本报告期末未持有衍生金融资产/负债。</w:t>
      </w:r>
    </w:p>
    <w:p w14:paraId="697FC20B"/>
    <w:p w14:paraId="0B8EEACC">
      <w:pPr>
        <w:pStyle w:val="58"/>
      </w:pPr>
      <w:r>
        <w:rPr>
          <w:rFonts w:ascii="宋体" w:hAnsi="宋体" w:eastAsia="宋体" w:cs="宋体"/>
          <w:b/>
        </w:rPr>
        <w:t>6.4.7.4 买入返售金融资产</w:t>
      </w:r>
    </w:p>
    <w:p w14:paraId="74829D14">
      <w:pPr>
        <w:pStyle w:val="58"/>
      </w:pPr>
      <w:r>
        <w:rPr>
          <w:rFonts w:ascii="宋体" w:hAnsi="宋体" w:eastAsia="宋体" w:cs="宋体"/>
          <w:b/>
        </w:rPr>
        <w:t>6.4.7.4.1 各项买入返售金融资产期末余额</w:t>
      </w:r>
    </w:p>
    <w:p w14:paraId="20C97ADF">
      <w:r>
        <w:rPr>
          <w:rFonts w:ascii="宋体" w:hAnsi="宋体" w:eastAsia="宋体" w:cs="宋体"/>
          <w:b w:val="0"/>
        </w:rPr>
        <w:t xml:space="preserve">    本基金本报告期末未持有买入返售金融资产。</w:t>
      </w:r>
    </w:p>
    <w:p w14:paraId="00D39CB1"/>
    <w:p w14:paraId="17B89C3E">
      <w:pPr>
        <w:pStyle w:val="58"/>
      </w:pPr>
      <w:r>
        <w:rPr>
          <w:rFonts w:ascii="宋体" w:hAnsi="宋体" w:eastAsia="宋体" w:cs="宋体"/>
          <w:b/>
        </w:rPr>
        <w:t>6.4.7.4.2 期末买断式逆回购交易中取得的债券</w:t>
      </w:r>
    </w:p>
    <w:p w14:paraId="3DD1BAFB">
      <w:r>
        <w:rPr>
          <w:rFonts w:ascii="宋体" w:hAnsi="宋体" w:eastAsia="宋体" w:cs="宋体"/>
          <w:b w:val="0"/>
        </w:rPr>
        <w:t xml:space="preserve">    本基金本报告期末未持有从买断式逆回购交易中取得的债券。</w:t>
      </w:r>
    </w:p>
    <w:p w14:paraId="0F2926EA"/>
    <w:p w14:paraId="361CA280">
      <w:pPr>
        <w:pStyle w:val="58"/>
      </w:pPr>
      <w:r>
        <w:rPr>
          <w:rFonts w:ascii="宋体" w:hAnsi="宋体" w:eastAsia="宋体" w:cs="宋体"/>
          <w:b/>
        </w:rPr>
        <w:t>6.4.7.5 其他资产</w:t>
      </w:r>
    </w:p>
    <w:p w14:paraId="7855F57F">
      <w:r>
        <w:rPr>
          <w:rFonts w:ascii="宋体" w:hAnsi="宋体" w:eastAsia="宋体" w:cs="宋体"/>
          <w:b w:val="0"/>
        </w:rPr>
        <w:t xml:space="preserve">    本基金本报告期末未持有其他资产。</w:t>
      </w:r>
    </w:p>
    <w:p w14:paraId="24E1F5D2"/>
    <w:p w14:paraId="118347F5">
      <w:pPr>
        <w:pStyle w:val="58"/>
      </w:pPr>
      <w:r>
        <w:rPr>
          <w:rFonts w:ascii="宋体" w:hAnsi="宋体" w:eastAsia="宋体" w:cs="宋体"/>
          <w:b/>
        </w:rPr>
        <w:t>6.4.7.6 其他负债</w:t>
      </w:r>
    </w:p>
    <w:p w14:paraId="12AE864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0D05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37E3CA77">
            <w:pPr>
              <w:spacing w:line="240" w:lineRule="auto"/>
              <w:jc w:val="center"/>
            </w:pPr>
            <w:r>
              <w:rPr>
                <w:rFonts w:ascii="宋体" w:hAnsi="宋体" w:eastAsia="宋体" w:cs="宋体"/>
                <w:b w:val="0"/>
              </w:rPr>
              <w:t>项目</w:t>
            </w:r>
          </w:p>
        </w:tc>
        <w:tc>
          <w:tcPr>
            <w:tcW w:w="3077" w:type="pct"/>
            <w:shd w:val="clear" w:color="auto" w:fill="D9D9D9"/>
            <w:vAlign w:val="center"/>
          </w:tcPr>
          <w:p w14:paraId="3754A1F2">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56B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43BD52">
            <w:pPr>
              <w:spacing w:line="240" w:lineRule="auto"/>
              <w:jc w:val="left"/>
            </w:pPr>
            <w:r>
              <w:rPr>
                <w:rFonts w:ascii="宋体" w:hAnsi="宋体" w:eastAsia="宋体" w:cs="宋体"/>
                <w:b w:val="0"/>
              </w:rPr>
              <w:t>应付券商交易单元保证金</w:t>
            </w:r>
          </w:p>
        </w:tc>
        <w:tc>
          <w:tcPr>
            <w:tcW w:w="0" w:type="dxa"/>
            <w:vAlign w:val="center"/>
          </w:tcPr>
          <w:p w14:paraId="79A2B0DE">
            <w:pPr>
              <w:spacing w:line="240" w:lineRule="auto"/>
              <w:jc w:val="right"/>
            </w:pPr>
            <w:r>
              <w:rPr>
                <w:rFonts w:ascii="宋体" w:hAnsi="宋体" w:eastAsia="宋体" w:cs="宋体"/>
                <w:b w:val="0"/>
              </w:rPr>
              <w:t>-</w:t>
            </w:r>
          </w:p>
        </w:tc>
      </w:tr>
      <w:tr w14:paraId="0850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10F3FB">
            <w:pPr>
              <w:spacing w:line="240" w:lineRule="auto"/>
              <w:jc w:val="left"/>
            </w:pPr>
            <w:r>
              <w:rPr>
                <w:rFonts w:ascii="宋体" w:hAnsi="宋体" w:eastAsia="宋体" w:cs="宋体"/>
                <w:b w:val="0"/>
              </w:rPr>
              <w:t>应付赎回费</w:t>
            </w:r>
          </w:p>
        </w:tc>
        <w:tc>
          <w:tcPr>
            <w:tcW w:w="0" w:type="dxa"/>
            <w:vAlign w:val="center"/>
          </w:tcPr>
          <w:p w14:paraId="0F1613F4">
            <w:pPr>
              <w:spacing w:line="240" w:lineRule="auto"/>
              <w:jc w:val="right"/>
            </w:pPr>
            <w:r>
              <w:rPr>
                <w:rFonts w:ascii="宋体" w:hAnsi="宋体" w:eastAsia="宋体" w:cs="宋体"/>
                <w:b w:val="0"/>
              </w:rPr>
              <w:t>266.98</w:t>
            </w:r>
          </w:p>
        </w:tc>
      </w:tr>
      <w:tr w14:paraId="607B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5A535D">
            <w:pPr>
              <w:spacing w:line="240" w:lineRule="auto"/>
              <w:jc w:val="left"/>
            </w:pPr>
            <w:r>
              <w:rPr>
                <w:rFonts w:ascii="宋体" w:hAnsi="宋体" w:eastAsia="宋体" w:cs="宋体"/>
                <w:b w:val="0"/>
              </w:rPr>
              <w:t>应付证券出借违约金</w:t>
            </w:r>
          </w:p>
        </w:tc>
        <w:tc>
          <w:tcPr>
            <w:tcW w:w="0" w:type="dxa"/>
            <w:vAlign w:val="center"/>
          </w:tcPr>
          <w:p w14:paraId="6D8742D2">
            <w:pPr>
              <w:spacing w:line="240" w:lineRule="auto"/>
              <w:jc w:val="right"/>
            </w:pPr>
            <w:r>
              <w:rPr>
                <w:rFonts w:ascii="宋体" w:hAnsi="宋体" w:eastAsia="宋体" w:cs="宋体"/>
                <w:b w:val="0"/>
              </w:rPr>
              <w:t>-</w:t>
            </w:r>
          </w:p>
        </w:tc>
      </w:tr>
      <w:tr w14:paraId="3AE0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124D41">
            <w:pPr>
              <w:spacing w:line="240" w:lineRule="auto"/>
              <w:jc w:val="left"/>
            </w:pPr>
            <w:r>
              <w:rPr>
                <w:rFonts w:ascii="宋体" w:hAnsi="宋体" w:eastAsia="宋体" w:cs="宋体"/>
                <w:b w:val="0"/>
              </w:rPr>
              <w:t>应付交易费用</w:t>
            </w:r>
          </w:p>
        </w:tc>
        <w:tc>
          <w:tcPr>
            <w:tcW w:w="0" w:type="dxa"/>
            <w:vAlign w:val="center"/>
          </w:tcPr>
          <w:p w14:paraId="313A29D2">
            <w:pPr>
              <w:spacing w:line="240" w:lineRule="auto"/>
              <w:jc w:val="right"/>
            </w:pPr>
            <w:r>
              <w:rPr>
                <w:rFonts w:ascii="宋体" w:hAnsi="宋体" w:eastAsia="宋体" w:cs="宋体"/>
                <w:b w:val="0"/>
              </w:rPr>
              <w:t>-</w:t>
            </w:r>
          </w:p>
        </w:tc>
      </w:tr>
      <w:tr w14:paraId="56E9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090FF0">
            <w:pPr>
              <w:spacing w:line="240" w:lineRule="auto"/>
              <w:jc w:val="left"/>
            </w:pPr>
            <w:r>
              <w:rPr>
                <w:rFonts w:ascii="宋体" w:hAnsi="宋体" w:eastAsia="宋体" w:cs="宋体"/>
                <w:b w:val="0"/>
              </w:rPr>
              <w:t>其中：交易所市场</w:t>
            </w:r>
          </w:p>
        </w:tc>
        <w:tc>
          <w:tcPr>
            <w:tcW w:w="0" w:type="dxa"/>
            <w:vAlign w:val="center"/>
          </w:tcPr>
          <w:p w14:paraId="47A57F70">
            <w:pPr>
              <w:spacing w:line="240" w:lineRule="auto"/>
              <w:jc w:val="right"/>
            </w:pPr>
            <w:r>
              <w:rPr>
                <w:rFonts w:ascii="宋体" w:hAnsi="宋体" w:eastAsia="宋体" w:cs="宋体"/>
                <w:b w:val="0"/>
              </w:rPr>
              <w:t>-</w:t>
            </w:r>
          </w:p>
        </w:tc>
      </w:tr>
      <w:tr w14:paraId="118C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F6A268">
            <w:pPr>
              <w:spacing w:line="240" w:lineRule="auto"/>
              <w:jc w:val="left"/>
            </w:pPr>
            <w:r>
              <w:rPr>
                <w:rFonts w:ascii="宋体" w:hAnsi="宋体" w:eastAsia="宋体" w:cs="宋体"/>
                <w:b w:val="0"/>
              </w:rPr>
              <w:t xml:space="preserve">      银行间市场</w:t>
            </w:r>
          </w:p>
        </w:tc>
        <w:tc>
          <w:tcPr>
            <w:tcW w:w="0" w:type="dxa"/>
            <w:vAlign w:val="center"/>
          </w:tcPr>
          <w:p w14:paraId="4FCEC96E">
            <w:pPr>
              <w:spacing w:line="240" w:lineRule="auto"/>
              <w:jc w:val="right"/>
            </w:pPr>
            <w:r>
              <w:rPr>
                <w:rFonts w:ascii="宋体" w:hAnsi="宋体" w:eastAsia="宋体" w:cs="宋体"/>
                <w:b w:val="0"/>
              </w:rPr>
              <w:t>-</w:t>
            </w:r>
          </w:p>
        </w:tc>
      </w:tr>
      <w:tr w14:paraId="1027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1902EE">
            <w:pPr>
              <w:spacing w:line="240" w:lineRule="auto"/>
              <w:jc w:val="left"/>
            </w:pPr>
            <w:r>
              <w:rPr>
                <w:rFonts w:ascii="宋体" w:hAnsi="宋体" w:eastAsia="宋体" w:cs="宋体"/>
                <w:b w:val="0"/>
              </w:rPr>
              <w:t>应付利息</w:t>
            </w:r>
          </w:p>
        </w:tc>
        <w:tc>
          <w:tcPr>
            <w:tcW w:w="0" w:type="dxa"/>
            <w:vAlign w:val="center"/>
          </w:tcPr>
          <w:p w14:paraId="17076882">
            <w:pPr>
              <w:spacing w:line="240" w:lineRule="auto"/>
              <w:jc w:val="right"/>
            </w:pPr>
            <w:r>
              <w:rPr>
                <w:rFonts w:ascii="宋体" w:hAnsi="宋体" w:eastAsia="宋体" w:cs="宋体"/>
                <w:b w:val="0"/>
              </w:rPr>
              <w:t>-</w:t>
            </w:r>
          </w:p>
        </w:tc>
      </w:tr>
      <w:tr w14:paraId="52EC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21C97D">
            <w:pPr>
              <w:spacing w:line="240" w:lineRule="auto"/>
              <w:jc w:val="left"/>
            </w:pPr>
            <w:r>
              <w:rPr>
                <w:rFonts w:ascii="宋体" w:hAnsi="宋体" w:eastAsia="宋体" w:cs="宋体"/>
                <w:b w:val="0"/>
              </w:rPr>
              <w:t>预提费用</w:t>
            </w:r>
          </w:p>
        </w:tc>
        <w:tc>
          <w:tcPr>
            <w:tcW w:w="0" w:type="dxa"/>
            <w:vAlign w:val="center"/>
          </w:tcPr>
          <w:p w14:paraId="2819AC3A">
            <w:pPr>
              <w:spacing w:line="240" w:lineRule="auto"/>
              <w:jc w:val="right"/>
            </w:pPr>
            <w:r>
              <w:rPr>
                <w:rFonts w:ascii="宋体" w:hAnsi="宋体" w:eastAsia="宋体" w:cs="宋体"/>
                <w:b w:val="0"/>
              </w:rPr>
              <w:t>44,442.96</w:t>
            </w:r>
          </w:p>
        </w:tc>
      </w:tr>
      <w:tr w14:paraId="1C0D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A34290">
            <w:pPr>
              <w:spacing w:line="240" w:lineRule="auto"/>
              <w:jc w:val="center"/>
            </w:pPr>
            <w:r>
              <w:rPr>
                <w:rFonts w:ascii="宋体" w:hAnsi="宋体" w:eastAsia="宋体" w:cs="宋体"/>
                <w:b w:val="0"/>
              </w:rPr>
              <w:t>合计</w:t>
            </w:r>
          </w:p>
        </w:tc>
        <w:tc>
          <w:tcPr>
            <w:tcW w:w="0" w:type="dxa"/>
            <w:vAlign w:val="center"/>
          </w:tcPr>
          <w:p w14:paraId="77BEB018">
            <w:pPr>
              <w:spacing w:line="240" w:lineRule="auto"/>
              <w:jc w:val="right"/>
            </w:pPr>
            <w:r>
              <w:rPr>
                <w:rFonts w:ascii="宋体" w:hAnsi="宋体" w:eastAsia="宋体" w:cs="宋体"/>
                <w:b w:val="0"/>
              </w:rPr>
              <w:t>44,709.94</w:t>
            </w:r>
          </w:p>
        </w:tc>
      </w:tr>
    </w:tbl>
    <w:p w14:paraId="2BFDADC0"/>
    <w:p w14:paraId="2CC884AB">
      <w:pPr>
        <w:pStyle w:val="58"/>
      </w:pPr>
      <w:r>
        <w:rPr>
          <w:rFonts w:ascii="宋体" w:hAnsi="宋体" w:eastAsia="宋体" w:cs="宋体"/>
          <w:b/>
        </w:rPr>
        <w:t>6.4.7.7 实收基金</w:t>
      </w:r>
    </w:p>
    <w:p w14:paraId="5D6DA1EC">
      <w:pPr>
        <w:jc w:val="left"/>
      </w:pPr>
      <w:r>
        <w:rPr>
          <w:rFonts w:ascii="宋体" w:hAnsi="宋体" w:eastAsia="宋体" w:cs="宋体"/>
          <w:b/>
        </w:rPr>
        <w:t>东方阿尔法科技优选混合发起A</w:t>
      </w:r>
    </w:p>
    <w:p w14:paraId="724A9CD7">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14:paraId="6DE0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3F4AD97A">
            <w:pPr>
              <w:spacing w:line="240" w:lineRule="auto"/>
              <w:jc w:val="center"/>
            </w:pPr>
            <w:r>
              <w:rPr>
                <w:rFonts w:ascii="宋体" w:hAnsi="宋体" w:eastAsia="宋体" w:cs="宋体"/>
                <w:b w:val="0"/>
              </w:rPr>
              <w:t>项目</w:t>
            </w:r>
          </w:p>
        </w:tc>
        <w:tc>
          <w:tcPr>
            <w:tcW w:w="3077" w:type="pct"/>
            <w:gridSpan w:val="2"/>
            <w:shd w:val="clear" w:color="auto" w:fill="D9D9D9"/>
            <w:vAlign w:val="center"/>
          </w:tcPr>
          <w:p w14:paraId="2300E9CB">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57CB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3362C28"/>
        </w:tc>
        <w:tc>
          <w:tcPr>
            <w:tcW w:w="1538" w:type="pct"/>
            <w:shd w:val="clear" w:color="auto" w:fill="D9D9D9"/>
            <w:vAlign w:val="center"/>
          </w:tcPr>
          <w:p w14:paraId="23630046">
            <w:pPr>
              <w:spacing w:line="240" w:lineRule="auto"/>
              <w:jc w:val="center"/>
            </w:pPr>
            <w:r>
              <w:rPr>
                <w:rFonts w:ascii="宋体" w:hAnsi="宋体" w:eastAsia="宋体" w:cs="宋体"/>
                <w:b w:val="0"/>
              </w:rPr>
              <w:t>基金份额（份）</w:t>
            </w:r>
          </w:p>
        </w:tc>
        <w:tc>
          <w:tcPr>
            <w:tcW w:w="1538" w:type="pct"/>
            <w:shd w:val="clear" w:color="auto" w:fill="D9D9D9"/>
            <w:vAlign w:val="center"/>
          </w:tcPr>
          <w:p w14:paraId="7284973D">
            <w:pPr>
              <w:spacing w:line="240" w:lineRule="auto"/>
              <w:jc w:val="center"/>
            </w:pPr>
            <w:r>
              <w:rPr>
                <w:rFonts w:ascii="宋体" w:hAnsi="宋体" w:eastAsia="宋体" w:cs="宋体"/>
                <w:b w:val="0"/>
              </w:rPr>
              <w:t>账面金额</w:t>
            </w:r>
          </w:p>
        </w:tc>
      </w:tr>
      <w:tr w14:paraId="6860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15B6EF">
            <w:pPr>
              <w:spacing w:line="240" w:lineRule="auto"/>
              <w:jc w:val="left"/>
            </w:pPr>
            <w:r>
              <w:rPr>
                <w:rFonts w:ascii="宋体" w:hAnsi="宋体" w:eastAsia="宋体" w:cs="宋体"/>
                <w:b w:val="0"/>
              </w:rPr>
              <w:t>上年度末</w:t>
            </w:r>
          </w:p>
        </w:tc>
        <w:tc>
          <w:tcPr>
            <w:tcW w:w="0" w:type="dxa"/>
            <w:vAlign w:val="center"/>
          </w:tcPr>
          <w:p w14:paraId="7D8B2DD3">
            <w:pPr>
              <w:spacing w:line="240" w:lineRule="auto"/>
              <w:jc w:val="right"/>
            </w:pPr>
            <w:r>
              <w:rPr>
                <w:rFonts w:ascii="宋体" w:hAnsi="宋体" w:eastAsia="宋体" w:cs="宋体"/>
                <w:b w:val="0"/>
              </w:rPr>
              <w:t>14,330,083.19</w:t>
            </w:r>
          </w:p>
        </w:tc>
        <w:tc>
          <w:tcPr>
            <w:tcW w:w="0" w:type="dxa"/>
            <w:vAlign w:val="center"/>
          </w:tcPr>
          <w:p w14:paraId="1F887F85">
            <w:pPr>
              <w:spacing w:line="240" w:lineRule="auto"/>
              <w:jc w:val="right"/>
            </w:pPr>
            <w:r>
              <w:rPr>
                <w:rFonts w:ascii="宋体" w:hAnsi="宋体" w:eastAsia="宋体" w:cs="宋体"/>
                <w:b w:val="0"/>
              </w:rPr>
              <w:t>14,330,083.19</w:t>
            </w:r>
          </w:p>
        </w:tc>
      </w:tr>
      <w:tr w14:paraId="1028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CBC8FC">
            <w:pPr>
              <w:spacing w:line="240" w:lineRule="auto"/>
              <w:jc w:val="left"/>
            </w:pPr>
            <w:r>
              <w:rPr>
                <w:rFonts w:ascii="宋体" w:hAnsi="宋体" w:eastAsia="宋体" w:cs="宋体"/>
                <w:b w:val="0"/>
              </w:rPr>
              <w:t>本期申购</w:t>
            </w:r>
          </w:p>
        </w:tc>
        <w:tc>
          <w:tcPr>
            <w:tcW w:w="0" w:type="dxa"/>
            <w:vAlign w:val="center"/>
          </w:tcPr>
          <w:p w14:paraId="0DE01903">
            <w:pPr>
              <w:spacing w:line="240" w:lineRule="auto"/>
              <w:jc w:val="right"/>
            </w:pPr>
            <w:r>
              <w:rPr>
                <w:rFonts w:ascii="宋体" w:hAnsi="宋体" w:eastAsia="宋体" w:cs="宋体"/>
                <w:b w:val="0"/>
              </w:rPr>
              <w:t>57,378,229.81</w:t>
            </w:r>
          </w:p>
        </w:tc>
        <w:tc>
          <w:tcPr>
            <w:tcW w:w="0" w:type="dxa"/>
            <w:vAlign w:val="center"/>
          </w:tcPr>
          <w:p w14:paraId="064FB9C5">
            <w:pPr>
              <w:spacing w:line="240" w:lineRule="auto"/>
              <w:jc w:val="right"/>
            </w:pPr>
            <w:r>
              <w:rPr>
                <w:rFonts w:ascii="宋体" w:hAnsi="宋体" w:eastAsia="宋体" w:cs="宋体"/>
                <w:b w:val="0"/>
              </w:rPr>
              <w:t>57,378,229.81</w:t>
            </w:r>
          </w:p>
        </w:tc>
      </w:tr>
      <w:tr w14:paraId="4F70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7E65EF">
            <w:pPr>
              <w:spacing w:line="240" w:lineRule="auto"/>
              <w:jc w:val="left"/>
            </w:pPr>
            <w:r>
              <w:rPr>
                <w:rFonts w:ascii="宋体" w:hAnsi="宋体" w:eastAsia="宋体" w:cs="宋体"/>
                <w:b w:val="0"/>
              </w:rPr>
              <w:t>本期赎回（以“-”号填列）</w:t>
            </w:r>
          </w:p>
        </w:tc>
        <w:tc>
          <w:tcPr>
            <w:tcW w:w="0" w:type="dxa"/>
            <w:vAlign w:val="center"/>
          </w:tcPr>
          <w:p w14:paraId="3F50C826">
            <w:pPr>
              <w:spacing w:line="240" w:lineRule="auto"/>
              <w:jc w:val="right"/>
            </w:pPr>
            <w:r>
              <w:rPr>
                <w:rFonts w:ascii="宋体" w:hAnsi="宋体" w:eastAsia="宋体" w:cs="宋体"/>
                <w:b w:val="0"/>
              </w:rPr>
              <w:t>-35,717,411.80</w:t>
            </w:r>
          </w:p>
        </w:tc>
        <w:tc>
          <w:tcPr>
            <w:tcW w:w="0" w:type="dxa"/>
            <w:vAlign w:val="center"/>
          </w:tcPr>
          <w:p w14:paraId="1534E5EF">
            <w:pPr>
              <w:spacing w:line="240" w:lineRule="auto"/>
              <w:jc w:val="right"/>
            </w:pPr>
            <w:r>
              <w:rPr>
                <w:rFonts w:ascii="宋体" w:hAnsi="宋体" w:eastAsia="宋体" w:cs="宋体"/>
                <w:b w:val="0"/>
              </w:rPr>
              <w:t>-35,717,411.80</w:t>
            </w:r>
          </w:p>
        </w:tc>
      </w:tr>
      <w:tr w14:paraId="7FD8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4FB428">
            <w:pPr>
              <w:spacing w:line="240" w:lineRule="auto"/>
              <w:jc w:val="left"/>
            </w:pPr>
            <w:r>
              <w:rPr>
                <w:rFonts w:ascii="宋体" w:hAnsi="宋体" w:eastAsia="宋体" w:cs="宋体"/>
                <w:b w:val="0"/>
              </w:rPr>
              <w:t>本期末</w:t>
            </w:r>
          </w:p>
        </w:tc>
        <w:tc>
          <w:tcPr>
            <w:tcW w:w="0" w:type="dxa"/>
            <w:vAlign w:val="center"/>
          </w:tcPr>
          <w:p w14:paraId="7AF83AD1">
            <w:pPr>
              <w:spacing w:line="240" w:lineRule="auto"/>
              <w:jc w:val="right"/>
            </w:pPr>
            <w:r>
              <w:rPr>
                <w:rFonts w:ascii="宋体" w:hAnsi="宋体" w:eastAsia="宋体" w:cs="宋体"/>
                <w:b w:val="0"/>
              </w:rPr>
              <w:t>35,990,901.20</w:t>
            </w:r>
          </w:p>
        </w:tc>
        <w:tc>
          <w:tcPr>
            <w:tcW w:w="0" w:type="dxa"/>
            <w:vAlign w:val="center"/>
          </w:tcPr>
          <w:p w14:paraId="3DB3520F">
            <w:pPr>
              <w:spacing w:line="240" w:lineRule="auto"/>
              <w:jc w:val="right"/>
            </w:pPr>
            <w:r>
              <w:rPr>
                <w:rFonts w:ascii="宋体" w:hAnsi="宋体" w:eastAsia="宋体" w:cs="宋体"/>
                <w:b w:val="0"/>
              </w:rPr>
              <w:t>35,990,901.20</w:t>
            </w:r>
          </w:p>
        </w:tc>
      </w:tr>
    </w:tbl>
    <w:p w14:paraId="5337A6DC">
      <w:pPr>
        <w:jc w:val="left"/>
      </w:pPr>
      <w:r>
        <w:rPr>
          <w:rFonts w:ascii="宋体" w:hAnsi="宋体" w:eastAsia="宋体" w:cs="宋体"/>
          <w:b/>
        </w:rPr>
        <w:t>东方阿尔法科技优选混合发起C</w:t>
      </w:r>
    </w:p>
    <w:p w14:paraId="6CEA69B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14:paraId="0DF8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747B795B">
            <w:pPr>
              <w:spacing w:line="240" w:lineRule="auto"/>
              <w:jc w:val="center"/>
            </w:pPr>
            <w:r>
              <w:rPr>
                <w:rFonts w:ascii="宋体" w:hAnsi="宋体" w:eastAsia="宋体" w:cs="宋体"/>
                <w:b w:val="0"/>
              </w:rPr>
              <w:t>项目</w:t>
            </w:r>
          </w:p>
        </w:tc>
        <w:tc>
          <w:tcPr>
            <w:tcW w:w="3077" w:type="pct"/>
            <w:gridSpan w:val="2"/>
            <w:shd w:val="clear" w:color="auto" w:fill="D9D9D9"/>
            <w:vAlign w:val="center"/>
          </w:tcPr>
          <w:p w14:paraId="5A40EF11">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73B6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BBB300E"/>
        </w:tc>
        <w:tc>
          <w:tcPr>
            <w:tcW w:w="1538" w:type="pct"/>
            <w:shd w:val="clear" w:color="auto" w:fill="D9D9D9"/>
            <w:vAlign w:val="center"/>
          </w:tcPr>
          <w:p w14:paraId="52F6C499">
            <w:pPr>
              <w:spacing w:line="240" w:lineRule="auto"/>
              <w:jc w:val="center"/>
            </w:pPr>
            <w:r>
              <w:rPr>
                <w:rFonts w:ascii="宋体" w:hAnsi="宋体" w:eastAsia="宋体" w:cs="宋体"/>
                <w:b w:val="0"/>
              </w:rPr>
              <w:t>基金份额（份）</w:t>
            </w:r>
          </w:p>
        </w:tc>
        <w:tc>
          <w:tcPr>
            <w:tcW w:w="1538" w:type="pct"/>
            <w:shd w:val="clear" w:color="auto" w:fill="D9D9D9"/>
            <w:vAlign w:val="center"/>
          </w:tcPr>
          <w:p w14:paraId="4417A1BB">
            <w:pPr>
              <w:spacing w:line="240" w:lineRule="auto"/>
              <w:jc w:val="center"/>
            </w:pPr>
            <w:r>
              <w:rPr>
                <w:rFonts w:ascii="宋体" w:hAnsi="宋体" w:eastAsia="宋体" w:cs="宋体"/>
                <w:b w:val="0"/>
              </w:rPr>
              <w:t>账面金额</w:t>
            </w:r>
          </w:p>
        </w:tc>
      </w:tr>
      <w:tr w14:paraId="355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E75FE4">
            <w:pPr>
              <w:spacing w:line="240" w:lineRule="auto"/>
              <w:jc w:val="left"/>
            </w:pPr>
            <w:r>
              <w:rPr>
                <w:rFonts w:ascii="宋体" w:hAnsi="宋体" w:eastAsia="宋体" w:cs="宋体"/>
                <w:b w:val="0"/>
              </w:rPr>
              <w:t>上年度末</w:t>
            </w:r>
          </w:p>
        </w:tc>
        <w:tc>
          <w:tcPr>
            <w:tcW w:w="0" w:type="dxa"/>
            <w:vAlign w:val="center"/>
          </w:tcPr>
          <w:p w14:paraId="4E1742B8">
            <w:pPr>
              <w:spacing w:line="240" w:lineRule="auto"/>
              <w:jc w:val="right"/>
            </w:pPr>
            <w:r>
              <w:rPr>
                <w:rFonts w:ascii="宋体" w:hAnsi="宋体" w:eastAsia="宋体" w:cs="宋体"/>
                <w:b w:val="0"/>
              </w:rPr>
              <w:t>43,188,467.80</w:t>
            </w:r>
          </w:p>
        </w:tc>
        <w:tc>
          <w:tcPr>
            <w:tcW w:w="0" w:type="dxa"/>
            <w:vAlign w:val="center"/>
          </w:tcPr>
          <w:p w14:paraId="4ADC2FB0">
            <w:pPr>
              <w:spacing w:line="240" w:lineRule="auto"/>
              <w:jc w:val="right"/>
            </w:pPr>
            <w:r>
              <w:rPr>
                <w:rFonts w:ascii="宋体" w:hAnsi="宋体" w:eastAsia="宋体" w:cs="宋体"/>
                <w:b w:val="0"/>
              </w:rPr>
              <w:t>43,188,467.80</w:t>
            </w:r>
          </w:p>
        </w:tc>
      </w:tr>
      <w:tr w14:paraId="40D7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E24C29">
            <w:pPr>
              <w:spacing w:line="240" w:lineRule="auto"/>
              <w:jc w:val="left"/>
            </w:pPr>
            <w:r>
              <w:rPr>
                <w:rFonts w:ascii="宋体" w:hAnsi="宋体" w:eastAsia="宋体" w:cs="宋体"/>
                <w:b w:val="0"/>
              </w:rPr>
              <w:t>本期申购</w:t>
            </w:r>
          </w:p>
        </w:tc>
        <w:tc>
          <w:tcPr>
            <w:tcW w:w="0" w:type="dxa"/>
            <w:vAlign w:val="center"/>
          </w:tcPr>
          <w:p w14:paraId="209CC918">
            <w:pPr>
              <w:spacing w:line="240" w:lineRule="auto"/>
              <w:jc w:val="right"/>
            </w:pPr>
            <w:r>
              <w:rPr>
                <w:rFonts w:ascii="宋体" w:hAnsi="宋体" w:eastAsia="宋体" w:cs="宋体"/>
                <w:b w:val="0"/>
              </w:rPr>
              <w:t>1,081,307,663.81</w:t>
            </w:r>
          </w:p>
        </w:tc>
        <w:tc>
          <w:tcPr>
            <w:tcW w:w="0" w:type="dxa"/>
            <w:vAlign w:val="center"/>
          </w:tcPr>
          <w:p w14:paraId="74E24429">
            <w:pPr>
              <w:spacing w:line="240" w:lineRule="auto"/>
              <w:jc w:val="right"/>
            </w:pPr>
            <w:r>
              <w:rPr>
                <w:rFonts w:ascii="宋体" w:hAnsi="宋体" w:eastAsia="宋体" w:cs="宋体"/>
                <w:b w:val="0"/>
              </w:rPr>
              <w:t>1,081,307,663.81</w:t>
            </w:r>
          </w:p>
        </w:tc>
      </w:tr>
      <w:tr w14:paraId="1289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C1EDDB">
            <w:pPr>
              <w:spacing w:line="240" w:lineRule="auto"/>
              <w:jc w:val="left"/>
            </w:pPr>
            <w:r>
              <w:rPr>
                <w:rFonts w:ascii="宋体" w:hAnsi="宋体" w:eastAsia="宋体" w:cs="宋体"/>
                <w:b w:val="0"/>
              </w:rPr>
              <w:t>本期赎回（以“-”号填列）</w:t>
            </w:r>
          </w:p>
        </w:tc>
        <w:tc>
          <w:tcPr>
            <w:tcW w:w="0" w:type="dxa"/>
            <w:vAlign w:val="center"/>
          </w:tcPr>
          <w:p w14:paraId="009270CC">
            <w:pPr>
              <w:spacing w:line="240" w:lineRule="auto"/>
              <w:jc w:val="right"/>
            </w:pPr>
            <w:r>
              <w:rPr>
                <w:rFonts w:ascii="宋体" w:hAnsi="宋体" w:eastAsia="宋体" w:cs="宋体"/>
                <w:b w:val="0"/>
              </w:rPr>
              <w:t>-779,128,785.04</w:t>
            </w:r>
          </w:p>
        </w:tc>
        <w:tc>
          <w:tcPr>
            <w:tcW w:w="0" w:type="dxa"/>
            <w:vAlign w:val="center"/>
          </w:tcPr>
          <w:p w14:paraId="1CB9E5BD">
            <w:pPr>
              <w:spacing w:line="240" w:lineRule="auto"/>
              <w:jc w:val="right"/>
            </w:pPr>
            <w:r>
              <w:rPr>
                <w:rFonts w:ascii="宋体" w:hAnsi="宋体" w:eastAsia="宋体" w:cs="宋体"/>
                <w:b w:val="0"/>
              </w:rPr>
              <w:t>-779,128,785.04</w:t>
            </w:r>
          </w:p>
        </w:tc>
      </w:tr>
      <w:tr w14:paraId="21F8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DE1A14">
            <w:pPr>
              <w:spacing w:line="240" w:lineRule="auto"/>
              <w:jc w:val="left"/>
            </w:pPr>
            <w:r>
              <w:rPr>
                <w:rFonts w:ascii="宋体" w:hAnsi="宋体" w:eastAsia="宋体" w:cs="宋体"/>
                <w:b w:val="0"/>
              </w:rPr>
              <w:t>本期末</w:t>
            </w:r>
          </w:p>
        </w:tc>
        <w:tc>
          <w:tcPr>
            <w:tcW w:w="0" w:type="dxa"/>
            <w:vAlign w:val="center"/>
          </w:tcPr>
          <w:p w14:paraId="568B2F97">
            <w:pPr>
              <w:spacing w:line="240" w:lineRule="auto"/>
              <w:jc w:val="right"/>
            </w:pPr>
            <w:r>
              <w:rPr>
                <w:rFonts w:ascii="宋体" w:hAnsi="宋体" w:eastAsia="宋体" w:cs="宋体"/>
                <w:b w:val="0"/>
              </w:rPr>
              <w:t>345,367,346.57</w:t>
            </w:r>
          </w:p>
        </w:tc>
        <w:tc>
          <w:tcPr>
            <w:tcW w:w="0" w:type="dxa"/>
            <w:vAlign w:val="center"/>
          </w:tcPr>
          <w:p w14:paraId="2721167A">
            <w:pPr>
              <w:spacing w:line="240" w:lineRule="auto"/>
              <w:jc w:val="right"/>
            </w:pPr>
            <w:r>
              <w:rPr>
                <w:rFonts w:ascii="宋体" w:hAnsi="宋体" w:eastAsia="宋体" w:cs="宋体"/>
                <w:b w:val="0"/>
              </w:rPr>
              <w:t>345,367,346.57</w:t>
            </w:r>
          </w:p>
        </w:tc>
      </w:tr>
    </w:tbl>
    <w:p w14:paraId="07D85A0B">
      <w:r>
        <w:rPr>
          <w:rFonts w:ascii="宋体" w:hAnsi="宋体" w:eastAsia="宋体" w:cs="宋体"/>
          <w:b w:val="0"/>
        </w:rPr>
        <w:t>注：申购含转换入份额，赎回含转换出份额。</w:t>
      </w:r>
    </w:p>
    <w:p w14:paraId="39F1A7AE"/>
    <w:p w14:paraId="39715CC5">
      <w:pPr>
        <w:pStyle w:val="58"/>
      </w:pPr>
      <w:r>
        <w:rPr>
          <w:rFonts w:ascii="宋体" w:hAnsi="宋体" w:eastAsia="宋体" w:cs="宋体"/>
          <w:b/>
        </w:rPr>
        <w:t>6.4.7.8 未分配利润</w:t>
      </w:r>
    </w:p>
    <w:p w14:paraId="3259C508">
      <w:pPr>
        <w:jc w:val="left"/>
      </w:pPr>
      <w:r>
        <w:rPr>
          <w:rFonts w:ascii="宋体" w:hAnsi="宋体" w:eastAsia="宋体" w:cs="宋体"/>
          <w:b/>
        </w:rPr>
        <w:t>东方阿尔法科技优选混合发起A</w:t>
      </w:r>
    </w:p>
    <w:p w14:paraId="20E258AC">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14:paraId="2680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7F4BBE75">
            <w:pPr>
              <w:spacing w:line="240" w:lineRule="auto"/>
              <w:jc w:val="center"/>
            </w:pPr>
            <w:r>
              <w:rPr>
                <w:rFonts w:ascii="宋体" w:hAnsi="宋体" w:eastAsia="宋体" w:cs="宋体"/>
                <w:b w:val="0"/>
              </w:rPr>
              <w:t>项目</w:t>
            </w:r>
          </w:p>
        </w:tc>
        <w:tc>
          <w:tcPr>
            <w:tcW w:w="1231" w:type="pct"/>
            <w:shd w:val="clear" w:color="auto" w:fill="D9D9D9"/>
            <w:vAlign w:val="center"/>
          </w:tcPr>
          <w:p w14:paraId="10473030">
            <w:pPr>
              <w:spacing w:line="240" w:lineRule="auto"/>
              <w:jc w:val="center"/>
            </w:pPr>
            <w:r>
              <w:rPr>
                <w:rFonts w:ascii="宋体" w:hAnsi="宋体" w:eastAsia="宋体" w:cs="宋体"/>
                <w:b w:val="0"/>
              </w:rPr>
              <w:t>已实现部分</w:t>
            </w:r>
          </w:p>
        </w:tc>
        <w:tc>
          <w:tcPr>
            <w:tcW w:w="1231" w:type="pct"/>
            <w:shd w:val="clear" w:color="auto" w:fill="D9D9D9"/>
            <w:vAlign w:val="center"/>
          </w:tcPr>
          <w:p w14:paraId="6997541C">
            <w:pPr>
              <w:spacing w:line="240" w:lineRule="auto"/>
              <w:jc w:val="center"/>
            </w:pPr>
            <w:r>
              <w:rPr>
                <w:rFonts w:ascii="宋体" w:hAnsi="宋体" w:eastAsia="宋体" w:cs="宋体"/>
                <w:b w:val="0"/>
              </w:rPr>
              <w:t>未实现部分</w:t>
            </w:r>
          </w:p>
        </w:tc>
        <w:tc>
          <w:tcPr>
            <w:tcW w:w="1385" w:type="pct"/>
            <w:shd w:val="clear" w:color="auto" w:fill="D9D9D9"/>
            <w:vAlign w:val="center"/>
          </w:tcPr>
          <w:p w14:paraId="4B60379C">
            <w:pPr>
              <w:spacing w:line="240" w:lineRule="auto"/>
              <w:jc w:val="center"/>
            </w:pPr>
            <w:r>
              <w:rPr>
                <w:rFonts w:ascii="宋体" w:hAnsi="宋体" w:eastAsia="宋体" w:cs="宋体"/>
                <w:b w:val="0"/>
              </w:rPr>
              <w:t>未分配利润合计</w:t>
            </w:r>
          </w:p>
        </w:tc>
      </w:tr>
      <w:tr w14:paraId="2A11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A72EAB">
            <w:pPr>
              <w:spacing w:line="240" w:lineRule="auto"/>
              <w:jc w:val="left"/>
            </w:pPr>
            <w:r>
              <w:rPr>
                <w:rFonts w:ascii="宋体" w:hAnsi="宋体" w:eastAsia="宋体" w:cs="宋体"/>
                <w:b w:val="0"/>
              </w:rPr>
              <w:t>上年度末</w:t>
            </w:r>
          </w:p>
        </w:tc>
        <w:tc>
          <w:tcPr>
            <w:tcW w:w="0" w:type="dxa"/>
            <w:vAlign w:val="center"/>
          </w:tcPr>
          <w:p w14:paraId="308E7A99">
            <w:pPr>
              <w:spacing w:line="240" w:lineRule="auto"/>
              <w:jc w:val="right"/>
            </w:pPr>
            <w:r>
              <w:rPr>
                <w:rFonts w:ascii="宋体" w:hAnsi="宋体" w:eastAsia="宋体" w:cs="宋体"/>
                <w:b w:val="0"/>
              </w:rPr>
              <w:t>-408,970.06</w:t>
            </w:r>
          </w:p>
        </w:tc>
        <w:tc>
          <w:tcPr>
            <w:tcW w:w="0" w:type="dxa"/>
            <w:vAlign w:val="center"/>
          </w:tcPr>
          <w:p w14:paraId="20E28E2C">
            <w:pPr>
              <w:spacing w:line="240" w:lineRule="auto"/>
              <w:jc w:val="right"/>
            </w:pPr>
            <w:r>
              <w:rPr>
                <w:rFonts w:ascii="宋体" w:hAnsi="宋体" w:eastAsia="宋体" w:cs="宋体"/>
                <w:b w:val="0"/>
              </w:rPr>
              <w:t>845,108.81</w:t>
            </w:r>
          </w:p>
        </w:tc>
        <w:tc>
          <w:tcPr>
            <w:tcW w:w="0" w:type="dxa"/>
            <w:vAlign w:val="center"/>
          </w:tcPr>
          <w:p w14:paraId="1D9D64CB">
            <w:pPr>
              <w:spacing w:line="240" w:lineRule="auto"/>
              <w:jc w:val="right"/>
            </w:pPr>
            <w:r>
              <w:rPr>
                <w:rFonts w:ascii="宋体" w:hAnsi="宋体" w:eastAsia="宋体" w:cs="宋体"/>
                <w:b w:val="0"/>
              </w:rPr>
              <w:t>436,138.75</w:t>
            </w:r>
          </w:p>
        </w:tc>
      </w:tr>
      <w:tr w14:paraId="13AE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8EE66A">
            <w:pPr>
              <w:spacing w:line="240" w:lineRule="auto"/>
              <w:jc w:val="left"/>
            </w:pPr>
            <w:r>
              <w:rPr>
                <w:rFonts w:ascii="宋体" w:hAnsi="宋体" w:eastAsia="宋体" w:cs="宋体"/>
                <w:b w:val="0"/>
              </w:rPr>
              <w:t>本期期初</w:t>
            </w:r>
          </w:p>
        </w:tc>
        <w:tc>
          <w:tcPr>
            <w:tcW w:w="0" w:type="dxa"/>
            <w:vAlign w:val="center"/>
          </w:tcPr>
          <w:p w14:paraId="672B49E2">
            <w:pPr>
              <w:spacing w:line="240" w:lineRule="auto"/>
              <w:jc w:val="right"/>
            </w:pPr>
            <w:r>
              <w:rPr>
                <w:rFonts w:ascii="宋体" w:hAnsi="宋体" w:eastAsia="宋体" w:cs="宋体"/>
                <w:b w:val="0"/>
              </w:rPr>
              <w:t>-408,970.06</w:t>
            </w:r>
          </w:p>
        </w:tc>
        <w:tc>
          <w:tcPr>
            <w:tcW w:w="0" w:type="dxa"/>
            <w:vAlign w:val="center"/>
          </w:tcPr>
          <w:p w14:paraId="32BA8EDD">
            <w:pPr>
              <w:spacing w:line="240" w:lineRule="auto"/>
              <w:jc w:val="right"/>
            </w:pPr>
            <w:r>
              <w:rPr>
                <w:rFonts w:ascii="宋体" w:hAnsi="宋体" w:eastAsia="宋体" w:cs="宋体"/>
                <w:b w:val="0"/>
              </w:rPr>
              <w:t>845,108.81</w:t>
            </w:r>
          </w:p>
        </w:tc>
        <w:tc>
          <w:tcPr>
            <w:tcW w:w="0" w:type="dxa"/>
            <w:vAlign w:val="center"/>
          </w:tcPr>
          <w:p w14:paraId="518B0C8C">
            <w:pPr>
              <w:spacing w:line="240" w:lineRule="auto"/>
              <w:jc w:val="right"/>
            </w:pPr>
            <w:r>
              <w:rPr>
                <w:rFonts w:ascii="宋体" w:hAnsi="宋体" w:eastAsia="宋体" w:cs="宋体"/>
                <w:b w:val="0"/>
              </w:rPr>
              <w:t>436,138.75</w:t>
            </w:r>
          </w:p>
        </w:tc>
      </w:tr>
      <w:tr w14:paraId="542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8448683">
            <w:pPr>
              <w:spacing w:line="240" w:lineRule="auto"/>
              <w:jc w:val="left"/>
            </w:pPr>
            <w:r>
              <w:rPr>
                <w:rFonts w:ascii="宋体" w:hAnsi="宋体" w:eastAsia="宋体" w:cs="宋体"/>
                <w:b w:val="0"/>
              </w:rPr>
              <w:t>本期利润</w:t>
            </w:r>
          </w:p>
        </w:tc>
        <w:tc>
          <w:tcPr>
            <w:tcW w:w="0" w:type="dxa"/>
            <w:vAlign w:val="center"/>
          </w:tcPr>
          <w:p w14:paraId="7077D1C4">
            <w:pPr>
              <w:spacing w:line="240" w:lineRule="auto"/>
              <w:jc w:val="right"/>
            </w:pPr>
            <w:r>
              <w:rPr>
                <w:rFonts w:ascii="宋体" w:hAnsi="宋体" w:eastAsia="宋体" w:cs="宋体"/>
                <w:b w:val="0"/>
              </w:rPr>
              <w:t>5,126,945.11</w:t>
            </w:r>
          </w:p>
        </w:tc>
        <w:tc>
          <w:tcPr>
            <w:tcW w:w="0" w:type="dxa"/>
            <w:vAlign w:val="center"/>
          </w:tcPr>
          <w:p w14:paraId="758D9725">
            <w:pPr>
              <w:spacing w:line="240" w:lineRule="auto"/>
              <w:jc w:val="right"/>
            </w:pPr>
            <w:r>
              <w:rPr>
                <w:rFonts w:ascii="宋体" w:hAnsi="宋体" w:eastAsia="宋体" w:cs="宋体"/>
                <w:b w:val="0"/>
              </w:rPr>
              <w:t>30,646,277.57</w:t>
            </w:r>
          </w:p>
        </w:tc>
        <w:tc>
          <w:tcPr>
            <w:tcW w:w="0" w:type="dxa"/>
            <w:vAlign w:val="center"/>
          </w:tcPr>
          <w:p w14:paraId="781915F0">
            <w:pPr>
              <w:spacing w:line="240" w:lineRule="auto"/>
              <w:jc w:val="right"/>
            </w:pPr>
            <w:r>
              <w:rPr>
                <w:rFonts w:ascii="宋体" w:hAnsi="宋体" w:eastAsia="宋体" w:cs="宋体"/>
                <w:b w:val="0"/>
              </w:rPr>
              <w:t>35,773,222.68</w:t>
            </w:r>
          </w:p>
        </w:tc>
      </w:tr>
      <w:tr w14:paraId="52C5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AD30A1">
            <w:pPr>
              <w:spacing w:line="240" w:lineRule="auto"/>
              <w:jc w:val="left"/>
            </w:pPr>
            <w:r>
              <w:rPr>
                <w:rFonts w:ascii="宋体" w:hAnsi="宋体" w:eastAsia="宋体" w:cs="宋体"/>
                <w:b w:val="0"/>
              </w:rPr>
              <w:t>本期基金份额交易产生的变动数</w:t>
            </w:r>
          </w:p>
        </w:tc>
        <w:tc>
          <w:tcPr>
            <w:tcW w:w="0" w:type="dxa"/>
            <w:vAlign w:val="center"/>
          </w:tcPr>
          <w:p w14:paraId="3DB54D92">
            <w:pPr>
              <w:spacing w:line="240" w:lineRule="auto"/>
              <w:jc w:val="right"/>
            </w:pPr>
            <w:r>
              <w:rPr>
                <w:rFonts w:ascii="宋体" w:hAnsi="宋体" w:eastAsia="宋体" w:cs="宋体"/>
                <w:b w:val="0"/>
              </w:rPr>
              <w:t>1,472,243.87</w:t>
            </w:r>
          </w:p>
        </w:tc>
        <w:tc>
          <w:tcPr>
            <w:tcW w:w="0" w:type="dxa"/>
            <w:vAlign w:val="center"/>
          </w:tcPr>
          <w:p w14:paraId="52776D40">
            <w:pPr>
              <w:spacing w:line="240" w:lineRule="auto"/>
              <w:jc w:val="right"/>
            </w:pPr>
            <w:r>
              <w:rPr>
                <w:rFonts w:ascii="宋体" w:hAnsi="宋体" w:eastAsia="宋体" w:cs="宋体"/>
                <w:b w:val="0"/>
              </w:rPr>
              <w:t>14,794,905.48</w:t>
            </w:r>
          </w:p>
        </w:tc>
        <w:tc>
          <w:tcPr>
            <w:tcW w:w="0" w:type="dxa"/>
            <w:vAlign w:val="center"/>
          </w:tcPr>
          <w:p w14:paraId="0F57845E">
            <w:pPr>
              <w:spacing w:line="240" w:lineRule="auto"/>
              <w:jc w:val="right"/>
            </w:pPr>
            <w:r>
              <w:rPr>
                <w:rFonts w:ascii="宋体" w:hAnsi="宋体" w:eastAsia="宋体" w:cs="宋体"/>
                <w:b w:val="0"/>
              </w:rPr>
              <w:t>16,267,149.35</w:t>
            </w:r>
          </w:p>
        </w:tc>
      </w:tr>
      <w:tr w14:paraId="1E13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40A1B0">
            <w:pPr>
              <w:spacing w:line="240" w:lineRule="auto"/>
              <w:jc w:val="left"/>
            </w:pPr>
            <w:r>
              <w:rPr>
                <w:rFonts w:ascii="宋体" w:hAnsi="宋体" w:eastAsia="宋体" w:cs="宋体"/>
                <w:b w:val="0"/>
              </w:rPr>
              <w:t>其中：基金申购款</w:t>
            </w:r>
          </w:p>
        </w:tc>
        <w:tc>
          <w:tcPr>
            <w:tcW w:w="0" w:type="dxa"/>
            <w:vAlign w:val="center"/>
          </w:tcPr>
          <w:p w14:paraId="28908651">
            <w:pPr>
              <w:spacing w:line="240" w:lineRule="auto"/>
              <w:jc w:val="right"/>
            </w:pPr>
            <w:r>
              <w:rPr>
                <w:rFonts w:ascii="宋体" w:hAnsi="宋体" w:eastAsia="宋体" w:cs="宋体"/>
                <w:b w:val="0"/>
              </w:rPr>
              <w:t>3,493,211.89</w:t>
            </w:r>
          </w:p>
        </w:tc>
        <w:tc>
          <w:tcPr>
            <w:tcW w:w="0" w:type="dxa"/>
            <w:vAlign w:val="center"/>
          </w:tcPr>
          <w:p w14:paraId="415466C7">
            <w:pPr>
              <w:spacing w:line="240" w:lineRule="auto"/>
              <w:jc w:val="right"/>
            </w:pPr>
            <w:r>
              <w:rPr>
                <w:rFonts w:ascii="宋体" w:hAnsi="宋体" w:eastAsia="宋体" w:cs="宋体"/>
                <w:b w:val="0"/>
              </w:rPr>
              <w:t>26,785,561.37</w:t>
            </w:r>
          </w:p>
        </w:tc>
        <w:tc>
          <w:tcPr>
            <w:tcW w:w="0" w:type="dxa"/>
            <w:vAlign w:val="center"/>
          </w:tcPr>
          <w:p w14:paraId="6B2B3732">
            <w:pPr>
              <w:spacing w:line="240" w:lineRule="auto"/>
              <w:jc w:val="right"/>
            </w:pPr>
            <w:r>
              <w:rPr>
                <w:rFonts w:ascii="宋体" w:hAnsi="宋体" w:eastAsia="宋体" w:cs="宋体"/>
                <w:b w:val="0"/>
              </w:rPr>
              <w:t>30,278,773.26</w:t>
            </w:r>
          </w:p>
        </w:tc>
      </w:tr>
      <w:tr w14:paraId="1AF2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A91FA1">
            <w:pPr>
              <w:spacing w:line="240" w:lineRule="auto"/>
              <w:jc w:val="left"/>
            </w:pPr>
            <w:r>
              <w:rPr>
                <w:rFonts w:ascii="宋体" w:hAnsi="宋体" w:eastAsia="宋体" w:cs="宋体"/>
                <w:b w:val="0"/>
              </w:rPr>
              <w:t xml:space="preserve">      基金赎回款</w:t>
            </w:r>
          </w:p>
        </w:tc>
        <w:tc>
          <w:tcPr>
            <w:tcW w:w="0" w:type="dxa"/>
            <w:vAlign w:val="center"/>
          </w:tcPr>
          <w:p w14:paraId="0AB80FBC">
            <w:pPr>
              <w:spacing w:line="240" w:lineRule="auto"/>
              <w:jc w:val="right"/>
            </w:pPr>
            <w:r>
              <w:rPr>
                <w:rFonts w:ascii="宋体" w:hAnsi="宋体" w:eastAsia="宋体" w:cs="宋体"/>
                <w:b w:val="0"/>
              </w:rPr>
              <w:t>-2,020,968.02</w:t>
            </w:r>
          </w:p>
        </w:tc>
        <w:tc>
          <w:tcPr>
            <w:tcW w:w="0" w:type="dxa"/>
            <w:vAlign w:val="center"/>
          </w:tcPr>
          <w:p w14:paraId="7FC87C28">
            <w:pPr>
              <w:spacing w:line="240" w:lineRule="auto"/>
              <w:jc w:val="right"/>
            </w:pPr>
            <w:r>
              <w:rPr>
                <w:rFonts w:ascii="宋体" w:hAnsi="宋体" w:eastAsia="宋体" w:cs="宋体"/>
                <w:b w:val="0"/>
              </w:rPr>
              <w:t>-11,990,655.89</w:t>
            </w:r>
          </w:p>
        </w:tc>
        <w:tc>
          <w:tcPr>
            <w:tcW w:w="0" w:type="dxa"/>
            <w:vAlign w:val="center"/>
          </w:tcPr>
          <w:p w14:paraId="59347A32">
            <w:pPr>
              <w:spacing w:line="240" w:lineRule="auto"/>
              <w:jc w:val="right"/>
            </w:pPr>
            <w:r>
              <w:rPr>
                <w:rFonts w:ascii="宋体" w:hAnsi="宋体" w:eastAsia="宋体" w:cs="宋体"/>
                <w:b w:val="0"/>
              </w:rPr>
              <w:t>-14,011,623.91</w:t>
            </w:r>
          </w:p>
        </w:tc>
      </w:tr>
      <w:tr w14:paraId="0853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FF7251">
            <w:pPr>
              <w:spacing w:line="240" w:lineRule="auto"/>
              <w:jc w:val="left"/>
            </w:pPr>
            <w:r>
              <w:rPr>
                <w:rFonts w:ascii="宋体" w:hAnsi="宋体" w:eastAsia="宋体" w:cs="宋体"/>
                <w:b w:val="0"/>
              </w:rPr>
              <w:t>本期已分配利润</w:t>
            </w:r>
          </w:p>
        </w:tc>
        <w:tc>
          <w:tcPr>
            <w:tcW w:w="0" w:type="dxa"/>
            <w:vAlign w:val="center"/>
          </w:tcPr>
          <w:p w14:paraId="37DAFC45">
            <w:pPr>
              <w:spacing w:line="240" w:lineRule="auto"/>
              <w:jc w:val="right"/>
            </w:pPr>
            <w:r>
              <w:rPr>
                <w:rFonts w:ascii="宋体" w:hAnsi="宋体" w:eastAsia="宋体" w:cs="宋体"/>
                <w:b w:val="0"/>
              </w:rPr>
              <w:t>-</w:t>
            </w:r>
          </w:p>
        </w:tc>
        <w:tc>
          <w:tcPr>
            <w:tcW w:w="0" w:type="dxa"/>
            <w:vAlign w:val="center"/>
          </w:tcPr>
          <w:p w14:paraId="34DBE17B">
            <w:pPr>
              <w:spacing w:line="240" w:lineRule="auto"/>
              <w:jc w:val="right"/>
            </w:pPr>
            <w:r>
              <w:rPr>
                <w:rFonts w:ascii="宋体" w:hAnsi="宋体" w:eastAsia="宋体" w:cs="宋体"/>
                <w:b w:val="0"/>
              </w:rPr>
              <w:t>-</w:t>
            </w:r>
          </w:p>
        </w:tc>
        <w:tc>
          <w:tcPr>
            <w:tcW w:w="0" w:type="dxa"/>
            <w:vAlign w:val="center"/>
          </w:tcPr>
          <w:p w14:paraId="5A316AD2">
            <w:pPr>
              <w:spacing w:line="240" w:lineRule="auto"/>
              <w:jc w:val="right"/>
            </w:pPr>
            <w:r>
              <w:rPr>
                <w:rFonts w:ascii="宋体" w:hAnsi="宋体" w:eastAsia="宋体" w:cs="宋体"/>
                <w:b w:val="0"/>
              </w:rPr>
              <w:t>-</w:t>
            </w:r>
          </w:p>
        </w:tc>
      </w:tr>
      <w:tr w14:paraId="5B95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A7893C">
            <w:pPr>
              <w:spacing w:line="240" w:lineRule="auto"/>
              <w:jc w:val="left"/>
            </w:pPr>
            <w:r>
              <w:rPr>
                <w:rFonts w:ascii="宋体" w:hAnsi="宋体" w:eastAsia="宋体" w:cs="宋体"/>
                <w:b w:val="0"/>
              </w:rPr>
              <w:t>本期末</w:t>
            </w:r>
          </w:p>
        </w:tc>
        <w:tc>
          <w:tcPr>
            <w:tcW w:w="0" w:type="dxa"/>
            <w:vAlign w:val="center"/>
          </w:tcPr>
          <w:p w14:paraId="20A3C776">
            <w:pPr>
              <w:spacing w:line="240" w:lineRule="auto"/>
              <w:jc w:val="right"/>
            </w:pPr>
            <w:r>
              <w:rPr>
                <w:rFonts w:ascii="宋体" w:hAnsi="宋体" w:eastAsia="宋体" w:cs="宋体"/>
                <w:b w:val="0"/>
              </w:rPr>
              <w:t>6,190,218.92</w:t>
            </w:r>
          </w:p>
        </w:tc>
        <w:tc>
          <w:tcPr>
            <w:tcW w:w="0" w:type="dxa"/>
            <w:vAlign w:val="center"/>
          </w:tcPr>
          <w:p w14:paraId="25A9234E">
            <w:pPr>
              <w:spacing w:line="240" w:lineRule="auto"/>
              <w:jc w:val="right"/>
            </w:pPr>
            <w:r>
              <w:rPr>
                <w:rFonts w:ascii="宋体" w:hAnsi="宋体" w:eastAsia="宋体" w:cs="宋体"/>
                <w:b w:val="0"/>
              </w:rPr>
              <w:t>46,286,291.86</w:t>
            </w:r>
          </w:p>
        </w:tc>
        <w:tc>
          <w:tcPr>
            <w:tcW w:w="0" w:type="dxa"/>
            <w:vAlign w:val="center"/>
          </w:tcPr>
          <w:p w14:paraId="45C20542">
            <w:pPr>
              <w:spacing w:line="240" w:lineRule="auto"/>
              <w:jc w:val="right"/>
            </w:pPr>
            <w:r>
              <w:rPr>
                <w:rFonts w:ascii="宋体" w:hAnsi="宋体" w:eastAsia="宋体" w:cs="宋体"/>
                <w:b w:val="0"/>
              </w:rPr>
              <w:t>52,476,510.78</w:t>
            </w:r>
          </w:p>
        </w:tc>
      </w:tr>
    </w:tbl>
    <w:p w14:paraId="310206EC">
      <w:pPr>
        <w:jc w:val="left"/>
      </w:pPr>
      <w:r>
        <w:rPr>
          <w:rFonts w:ascii="宋体" w:hAnsi="宋体" w:eastAsia="宋体" w:cs="宋体"/>
          <w:b/>
        </w:rPr>
        <w:t>东方阿尔法科技优选混合发起C</w:t>
      </w:r>
    </w:p>
    <w:p w14:paraId="20BB934D">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14:paraId="63DA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33E14B07">
            <w:pPr>
              <w:spacing w:line="240" w:lineRule="auto"/>
              <w:jc w:val="center"/>
            </w:pPr>
            <w:r>
              <w:rPr>
                <w:rFonts w:ascii="宋体" w:hAnsi="宋体" w:eastAsia="宋体" w:cs="宋体"/>
                <w:b w:val="0"/>
              </w:rPr>
              <w:t>项目</w:t>
            </w:r>
          </w:p>
        </w:tc>
        <w:tc>
          <w:tcPr>
            <w:tcW w:w="1231" w:type="pct"/>
            <w:shd w:val="clear" w:color="auto" w:fill="D9D9D9"/>
            <w:vAlign w:val="center"/>
          </w:tcPr>
          <w:p w14:paraId="720DCFA7">
            <w:pPr>
              <w:spacing w:line="240" w:lineRule="auto"/>
              <w:jc w:val="center"/>
            </w:pPr>
            <w:r>
              <w:rPr>
                <w:rFonts w:ascii="宋体" w:hAnsi="宋体" w:eastAsia="宋体" w:cs="宋体"/>
                <w:b w:val="0"/>
              </w:rPr>
              <w:t>已实现部分</w:t>
            </w:r>
          </w:p>
        </w:tc>
        <w:tc>
          <w:tcPr>
            <w:tcW w:w="1231" w:type="pct"/>
            <w:shd w:val="clear" w:color="auto" w:fill="D9D9D9"/>
            <w:vAlign w:val="center"/>
          </w:tcPr>
          <w:p w14:paraId="6E0077D0">
            <w:pPr>
              <w:spacing w:line="240" w:lineRule="auto"/>
              <w:jc w:val="center"/>
            </w:pPr>
            <w:r>
              <w:rPr>
                <w:rFonts w:ascii="宋体" w:hAnsi="宋体" w:eastAsia="宋体" w:cs="宋体"/>
                <w:b w:val="0"/>
              </w:rPr>
              <w:t>未实现部分</w:t>
            </w:r>
          </w:p>
        </w:tc>
        <w:tc>
          <w:tcPr>
            <w:tcW w:w="1385" w:type="pct"/>
            <w:shd w:val="clear" w:color="auto" w:fill="D9D9D9"/>
            <w:vAlign w:val="center"/>
          </w:tcPr>
          <w:p w14:paraId="4C196440">
            <w:pPr>
              <w:spacing w:line="240" w:lineRule="auto"/>
              <w:jc w:val="center"/>
            </w:pPr>
            <w:r>
              <w:rPr>
                <w:rFonts w:ascii="宋体" w:hAnsi="宋体" w:eastAsia="宋体" w:cs="宋体"/>
                <w:b w:val="0"/>
              </w:rPr>
              <w:t>未分配利润合计</w:t>
            </w:r>
          </w:p>
        </w:tc>
      </w:tr>
      <w:tr w14:paraId="02C6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7C9C74">
            <w:pPr>
              <w:spacing w:line="240" w:lineRule="auto"/>
              <w:jc w:val="left"/>
            </w:pPr>
            <w:r>
              <w:rPr>
                <w:rFonts w:ascii="宋体" w:hAnsi="宋体" w:eastAsia="宋体" w:cs="宋体"/>
                <w:b w:val="0"/>
              </w:rPr>
              <w:t>上年度末</w:t>
            </w:r>
          </w:p>
        </w:tc>
        <w:tc>
          <w:tcPr>
            <w:tcW w:w="0" w:type="dxa"/>
            <w:vAlign w:val="center"/>
          </w:tcPr>
          <w:p w14:paraId="61782B0D">
            <w:pPr>
              <w:spacing w:line="240" w:lineRule="auto"/>
              <w:jc w:val="right"/>
            </w:pPr>
            <w:r>
              <w:rPr>
                <w:rFonts w:ascii="宋体" w:hAnsi="宋体" w:eastAsia="宋体" w:cs="宋体"/>
                <w:b w:val="0"/>
              </w:rPr>
              <w:t>-1,322,595.17</w:t>
            </w:r>
          </w:p>
        </w:tc>
        <w:tc>
          <w:tcPr>
            <w:tcW w:w="0" w:type="dxa"/>
            <w:vAlign w:val="center"/>
          </w:tcPr>
          <w:p w14:paraId="45C732B6">
            <w:pPr>
              <w:spacing w:line="240" w:lineRule="auto"/>
              <w:jc w:val="right"/>
            </w:pPr>
            <w:r>
              <w:rPr>
                <w:rFonts w:ascii="宋体" w:hAnsi="宋体" w:eastAsia="宋体" w:cs="宋体"/>
                <w:b w:val="0"/>
              </w:rPr>
              <w:t>2,540,675.74</w:t>
            </w:r>
          </w:p>
        </w:tc>
        <w:tc>
          <w:tcPr>
            <w:tcW w:w="0" w:type="dxa"/>
            <w:vAlign w:val="center"/>
          </w:tcPr>
          <w:p w14:paraId="24928BCA">
            <w:pPr>
              <w:spacing w:line="240" w:lineRule="auto"/>
              <w:jc w:val="right"/>
            </w:pPr>
            <w:r>
              <w:rPr>
                <w:rFonts w:ascii="宋体" w:hAnsi="宋体" w:eastAsia="宋体" w:cs="宋体"/>
                <w:b w:val="0"/>
              </w:rPr>
              <w:t>1,218,080.57</w:t>
            </w:r>
          </w:p>
        </w:tc>
      </w:tr>
      <w:tr w14:paraId="2806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624F5A">
            <w:pPr>
              <w:spacing w:line="240" w:lineRule="auto"/>
              <w:jc w:val="left"/>
            </w:pPr>
            <w:r>
              <w:rPr>
                <w:rFonts w:ascii="宋体" w:hAnsi="宋体" w:eastAsia="宋体" w:cs="宋体"/>
                <w:b w:val="0"/>
              </w:rPr>
              <w:t>本期期初</w:t>
            </w:r>
          </w:p>
        </w:tc>
        <w:tc>
          <w:tcPr>
            <w:tcW w:w="0" w:type="dxa"/>
            <w:vAlign w:val="center"/>
          </w:tcPr>
          <w:p w14:paraId="02321FCF">
            <w:pPr>
              <w:spacing w:line="240" w:lineRule="auto"/>
              <w:jc w:val="right"/>
            </w:pPr>
            <w:r>
              <w:rPr>
                <w:rFonts w:ascii="宋体" w:hAnsi="宋体" w:eastAsia="宋体" w:cs="宋体"/>
                <w:b w:val="0"/>
              </w:rPr>
              <w:t>-1,322,595.17</w:t>
            </w:r>
          </w:p>
        </w:tc>
        <w:tc>
          <w:tcPr>
            <w:tcW w:w="0" w:type="dxa"/>
            <w:vAlign w:val="center"/>
          </w:tcPr>
          <w:p w14:paraId="0F659D71">
            <w:pPr>
              <w:spacing w:line="240" w:lineRule="auto"/>
              <w:jc w:val="right"/>
            </w:pPr>
            <w:r>
              <w:rPr>
                <w:rFonts w:ascii="宋体" w:hAnsi="宋体" w:eastAsia="宋体" w:cs="宋体"/>
                <w:b w:val="0"/>
              </w:rPr>
              <w:t>2,540,675.74</w:t>
            </w:r>
          </w:p>
        </w:tc>
        <w:tc>
          <w:tcPr>
            <w:tcW w:w="0" w:type="dxa"/>
            <w:vAlign w:val="center"/>
          </w:tcPr>
          <w:p w14:paraId="7A7D87AC">
            <w:pPr>
              <w:spacing w:line="240" w:lineRule="auto"/>
              <w:jc w:val="right"/>
            </w:pPr>
            <w:r>
              <w:rPr>
                <w:rFonts w:ascii="宋体" w:hAnsi="宋体" w:eastAsia="宋体" w:cs="宋体"/>
                <w:b w:val="0"/>
              </w:rPr>
              <w:t>1,218,080.57</w:t>
            </w:r>
          </w:p>
        </w:tc>
      </w:tr>
      <w:tr w14:paraId="13F7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EA3636">
            <w:pPr>
              <w:spacing w:line="240" w:lineRule="auto"/>
              <w:jc w:val="left"/>
            </w:pPr>
            <w:r>
              <w:rPr>
                <w:rFonts w:ascii="宋体" w:hAnsi="宋体" w:eastAsia="宋体" w:cs="宋体"/>
                <w:b w:val="0"/>
              </w:rPr>
              <w:t>本期利润</w:t>
            </w:r>
          </w:p>
        </w:tc>
        <w:tc>
          <w:tcPr>
            <w:tcW w:w="0" w:type="dxa"/>
            <w:vAlign w:val="center"/>
          </w:tcPr>
          <w:p w14:paraId="2C7F8242">
            <w:pPr>
              <w:spacing w:line="240" w:lineRule="auto"/>
              <w:jc w:val="right"/>
            </w:pPr>
            <w:r>
              <w:rPr>
                <w:rFonts w:ascii="宋体" w:hAnsi="宋体" w:eastAsia="宋体" w:cs="宋体"/>
                <w:b w:val="0"/>
              </w:rPr>
              <w:t>25,042,848.29</w:t>
            </w:r>
          </w:p>
        </w:tc>
        <w:tc>
          <w:tcPr>
            <w:tcW w:w="0" w:type="dxa"/>
            <w:vAlign w:val="center"/>
          </w:tcPr>
          <w:p w14:paraId="22E0C502">
            <w:pPr>
              <w:spacing w:line="240" w:lineRule="auto"/>
              <w:jc w:val="right"/>
            </w:pPr>
            <w:r>
              <w:rPr>
                <w:rFonts w:ascii="宋体" w:hAnsi="宋体" w:eastAsia="宋体" w:cs="宋体"/>
                <w:b w:val="0"/>
              </w:rPr>
              <w:t>171,157,475.68</w:t>
            </w:r>
          </w:p>
        </w:tc>
        <w:tc>
          <w:tcPr>
            <w:tcW w:w="0" w:type="dxa"/>
            <w:vAlign w:val="center"/>
          </w:tcPr>
          <w:p w14:paraId="4EA826FF">
            <w:pPr>
              <w:spacing w:line="240" w:lineRule="auto"/>
              <w:jc w:val="right"/>
            </w:pPr>
            <w:r>
              <w:rPr>
                <w:rFonts w:ascii="宋体" w:hAnsi="宋体" w:eastAsia="宋体" w:cs="宋体"/>
                <w:b w:val="0"/>
              </w:rPr>
              <w:t>196,200,323.97</w:t>
            </w:r>
          </w:p>
        </w:tc>
      </w:tr>
      <w:tr w14:paraId="0797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4DA8FA">
            <w:pPr>
              <w:spacing w:line="240" w:lineRule="auto"/>
              <w:jc w:val="left"/>
            </w:pPr>
            <w:r>
              <w:rPr>
                <w:rFonts w:ascii="宋体" w:hAnsi="宋体" w:eastAsia="宋体" w:cs="宋体"/>
                <w:b w:val="0"/>
              </w:rPr>
              <w:t>本期基金份额交易产生的变动数</w:t>
            </w:r>
          </w:p>
        </w:tc>
        <w:tc>
          <w:tcPr>
            <w:tcW w:w="0" w:type="dxa"/>
            <w:vAlign w:val="center"/>
          </w:tcPr>
          <w:p w14:paraId="7D626E3E">
            <w:pPr>
              <w:spacing w:line="240" w:lineRule="auto"/>
              <w:jc w:val="right"/>
            </w:pPr>
            <w:r>
              <w:rPr>
                <w:rFonts w:ascii="宋体" w:hAnsi="宋体" w:eastAsia="宋体" w:cs="宋体"/>
                <w:b w:val="0"/>
              </w:rPr>
              <w:t>33,808,550.24</w:t>
            </w:r>
          </w:p>
        </w:tc>
        <w:tc>
          <w:tcPr>
            <w:tcW w:w="0" w:type="dxa"/>
            <w:vAlign w:val="center"/>
          </w:tcPr>
          <w:p w14:paraId="52867AE5">
            <w:pPr>
              <w:spacing w:line="240" w:lineRule="auto"/>
              <w:jc w:val="right"/>
            </w:pPr>
            <w:r>
              <w:rPr>
                <w:rFonts w:ascii="宋体" w:hAnsi="宋体" w:eastAsia="宋体" w:cs="宋体"/>
                <w:b w:val="0"/>
              </w:rPr>
              <w:t>268,784,312.47</w:t>
            </w:r>
          </w:p>
        </w:tc>
        <w:tc>
          <w:tcPr>
            <w:tcW w:w="0" w:type="dxa"/>
            <w:vAlign w:val="center"/>
          </w:tcPr>
          <w:p w14:paraId="55B387AE">
            <w:pPr>
              <w:spacing w:line="240" w:lineRule="auto"/>
              <w:jc w:val="right"/>
            </w:pPr>
            <w:r>
              <w:rPr>
                <w:rFonts w:ascii="宋体" w:hAnsi="宋体" w:eastAsia="宋体" w:cs="宋体"/>
                <w:b w:val="0"/>
              </w:rPr>
              <w:t>302,592,862.71</w:t>
            </w:r>
          </w:p>
        </w:tc>
      </w:tr>
      <w:tr w14:paraId="0CF4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2648A4">
            <w:pPr>
              <w:spacing w:line="240" w:lineRule="auto"/>
              <w:jc w:val="left"/>
            </w:pPr>
            <w:r>
              <w:rPr>
                <w:rFonts w:ascii="宋体" w:hAnsi="宋体" w:eastAsia="宋体" w:cs="宋体"/>
                <w:b w:val="0"/>
              </w:rPr>
              <w:t>其中：基金申购款</w:t>
            </w:r>
          </w:p>
        </w:tc>
        <w:tc>
          <w:tcPr>
            <w:tcW w:w="0" w:type="dxa"/>
            <w:vAlign w:val="center"/>
          </w:tcPr>
          <w:p w14:paraId="707D6FA8">
            <w:pPr>
              <w:spacing w:line="240" w:lineRule="auto"/>
              <w:jc w:val="right"/>
            </w:pPr>
            <w:r>
              <w:rPr>
                <w:rFonts w:ascii="宋体" w:hAnsi="宋体" w:eastAsia="宋体" w:cs="宋体"/>
                <w:b w:val="0"/>
              </w:rPr>
              <w:t>61,251,568.03</w:t>
            </w:r>
          </w:p>
        </w:tc>
        <w:tc>
          <w:tcPr>
            <w:tcW w:w="0" w:type="dxa"/>
            <w:vAlign w:val="center"/>
          </w:tcPr>
          <w:p w14:paraId="096E486F">
            <w:pPr>
              <w:spacing w:line="240" w:lineRule="auto"/>
              <w:jc w:val="right"/>
            </w:pPr>
            <w:r>
              <w:rPr>
                <w:rFonts w:ascii="宋体" w:hAnsi="宋体" w:eastAsia="宋体" w:cs="宋体"/>
                <w:b w:val="0"/>
              </w:rPr>
              <w:t>504,193,746.41</w:t>
            </w:r>
          </w:p>
        </w:tc>
        <w:tc>
          <w:tcPr>
            <w:tcW w:w="0" w:type="dxa"/>
            <w:vAlign w:val="center"/>
          </w:tcPr>
          <w:p w14:paraId="4D7F263C">
            <w:pPr>
              <w:spacing w:line="240" w:lineRule="auto"/>
              <w:jc w:val="right"/>
            </w:pPr>
            <w:r>
              <w:rPr>
                <w:rFonts w:ascii="宋体" w:hAnsi="宋体" w:eastAsia="宋体" w:cs="宋体"/>
                <w:b w:val="0"/>
              </w:rPr>
              <w:t>565,445,314.44</w:t>
            </w:r>
          </w:p>
        </w:tc>
      </w:tr>
      <w:tr w14:paraId="32D6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A14DCA">
            <w:pPr>
              <w:spacing w:line="240" w:lineRule="auto"/>
              <w:jc w:val="left"/>
            </w:pPr>
            <w:r>
              <w:rPr>
                <w:rFonts w:ascii="宋体" w:hAnsi="宋体" w:eastAsia="宋体" w:cs="宋体"/>
                <w:b w:val="0"/>
              </w:rPr>
              <w:t xml:space="preserve">      基金赎回款</w:t>
            </w:r>
          </w:p>
        </w:tc>
        <w:tc>
          <w:tcPr>
            <w:tcW w:w="0" w:type="dxa"/>
            <w:vAlign w:val="center"/>
          </w:tcPr>
          <w:p w14:paraId="5BEB4DDC">
            <w:pPr>
              <w:spacing w:line="240" w:lineRule="auto"/>
              <w:jc w:val="right"/>
            </w:pPr>
            <w:r>
              <w:rPr>
                <w:rFonts w:ascii="宋体" w:hAnsi="宋体" w:eastAsia="宋体" w:cs="宋体"/>
                <w:b w:val="0"/>
              </w:rPr>
              <w:t>-27,443,017.79</w:t>
            </w:r>
          </w:p>
        </w:tc>
        <w:tc>
          <w:tcPr>
            <w:tcW w:w="0" w:type="dxa"/>
            <w:vAlign w:val="center"/>
          </w:tcPr>
          <w:p w14:paraId="5EBACB12">
            <w:pPr>
              <w:spacing w:line="240" w:lineRule="auto"/>
              <w:jc w:val="right"/>
            </w:pPr>
            <w:r>
              <w:rPr>
                <w:rFonts w:ascii="宋体" w:hAnsi="宋体" w:eastAsia="宋体" w:cs="宋体"/>
                <w:b w:val="0"/>
              </w:rPr>
              <w:t>-235,409,433.94</w:t>
            </w:r>
          </w:p>
        </w:tc>
        <w:tc>
          <w:tcPr>
            <w:tcW w:w="0" w:type="dxa"/>
            <w:vAlign w:val="center"/>
          </w:tcPr>
          <w:p w14:paraId="166A506F">
            <w:pPr>
              <w:spacing w:line="240" w:lineRule="auto"/>
              <w:jc w:val="right"/>
            </w:pPr>
            <w:r>
              <w:rPr>
                <w:rFonts w:ascii="宋体" w:hAnsi="宋体" w:eastAsia="宋体" w:cs="宋体"/>
                <w:b w:val="0"/>
              </w:rPr>
              <w:t>-262,852,451.73</w:t>
            </w:r>
          </w:p>
        </w:tc>
      </w:tr>
      <w:tr w14:paraId="220A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F84868">
            <w:pPr>
              <w:spacing w:line="240" w:lineRule="auto"/>
              <w:jc w:val="left"/>
            </w:pPr>
            <w:r>
              <w:rPr>
                <w:rFonts w:ascii="宋体" w:hAnsi="宋体" w:eastAsia="宋体" w:cs="宋体"/>
                <w:b w:val="0"/>
              </w:rPr>
              <w:t>本期已分配利润</w:t>
            </w:r>
          </w:p>
        </w:tc>
        <w:tc>
          <w:tcPr>
            <w:tcW w:w="0" w:type="dxa"/>
            <w:vAlign w:val="center"/>
          </w:tcPr>
          <w:p w14:paraId="5C0DDA7A">
            <w:pPr>
              <w:spacing w:line="240" w:lineRule="auto"/>
              <w:jc w:val="right"/>
            </w:pPr>
            <w:r>
              <w:rPr>
                <w:rFonts w:ascii="宋体" w:hAnsi="宋体" w:eastAsia="宋体" w:cs="宋体"/>
                <w:b w:val="0"/>
              </w:rPr>
              <w:t>-</w:t>
            </w:r>
          </w:p>
        </w:tc>
        <w:tc>
          <w:tcPr>
            <w:tcW w:w="0" w:type="dxa"/>
            <w:vAlign w:val="center"/>
          </w:tcPr>
          <w:p w14:paraId="34AFB2AB">
            <w:pPr>
              <w:spacing w:line="240" w:lineRule="auto"/>
              <w:jc w:val="right"/>
            </w:pPr>
            <w:r>
              <w:rPr>
                <w:rFonts w:ascii="宋体" w:hAnsi="宋体" w:eastAsia="宋体" w:cs="宋体"/>
                <w:b w:val="0"/>
              </w:rPr>
              <w:t>-</w:t>
            </w:r>
          </w:p>
        </w:tc>
        <w:tc>
          <w:tcPr>
            <w:tcW w:w="0" w:type="dxa"/>
            <w:vAlign w:val="center"/>
          </w:tcPr>
          <w:p w14:paraId="4209B64C">
            <w:pPr>
              <w:spacing w:line="240" w:lineRule="auto"/>
              <w:jc w:val="right"/>
            </w:pPr>
            <w:r>
              <w:rPr>
                <w:rFonts w:ascii="宋体" w:hAnsi="宋体" w:eastAsia="宋体" w:cs="宋体"/>
                <w:b w:val="0"/>
              </w:rPr>
              <w:t>-</w:t>
            </w:r>
          </w:p>
        </w:tc>
      </w:tr>
      <w:tr w14:paraId="5215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20AA59">
            <w:pPr>
              <w:spacing w:line="240" w:lineRule="auto"/>
              <w:jc w:val="left"/>
            </w:pPr>
            <w:r>
              <w:rPr>
                <w:rFonts w:ascii="宋体" w:hAnsi="宋体" w:eastAsia="宋体" w:cs="宋体"/>
                <w:b w:val="0"/>
              </w:rPr>
              <w:t>本期末</w:t>
            </w:r>
          </w:p>
        </w:tc>
        <w:tc>
          <w:tcPr>
            <w:tcW w:w="0" w:type="dxa"/>
            <w:vAlign w:val="center"/>
          </w:tcPr>
          <w:p w14:paraId="7B99956B">
            <w:pPr>
              <w:spacing w:line="240" w:lineRule="auto"/>
              <w:jc w:val="right"/>
            </w:pPr>
            <w:r>
              <w:rPr>
                <w:rFonts w:ascii="宋体" w:hAnsi="宋体" w:eastAsia="宋体" w:cs="宋体"/>
                <w:b w:val="0"/>
              </w:rPr>
              <w:t>57,528,803.36</w:t>
            </w:r>
          </w:p>
        </w:tc>
        <w:tc>
          <w:tcPr>
            <w:tcW w:w="0" w:type="dxa"/>
            <w:vAlign w:val="center"/>
          </w:tcPr>
          <w:p w14:paraId="2FBCFBFF">
            <w:pPr>
              <w:spacing w:line="240" w:lineRule="auto"/>
              <w:jc w:val="right"/>
            </w:pPr>
            <w:r>
              <w:rPr>
                <w:rFonts w:ascii="宋体" w:hAnsi="宋体" w:eastAsia="宋体" w:cs="宋体"/>
                <w:b w:val="0"/>
              </w:rPr>
              <w:t>442,482,463.89</w:t>
            </w:r>
          </w:p>
        </w:tc>
        <w:tc>
          <w:tcPr>
            <w:tcW w:w="0" w:type="dxa"/>
            <w:vAlign w:val="center"/>
          </w:tcPr>
          <w:p w14:paraId="1A813ED9">
            <w:pPr>
              <w:spacing w:line="240" w:lineRule="auto"/>
              <w:jc w:val="right"/>
            </w:pPr>
            <w:r>
              <w:rPr>
                <w:rFonts w:ascii="宋体" w:hAnsi="宋体" w:eastAsia="宋体" w:cs="宋体"/>
                <w:b w:val="0"/>
              </w:rPr>
              <w:t>500,011,267.25</w:t>
            </w:r>
          </w:p>
        </w:tc>
      </w:tr>
    </w:tbl>
    <w:p w14:paraId="6AB9E8FB"/>
    <w:p w14:paraId="5C9D1D79">
      <w:pPr>
        <w:pStyle w:val="58"/>
      </w:pPr>
      <w:r>
        <w:rPr>
          <w:rFonts w:ascii="宋体" w:hAnsi="宋体" w:eastAsia="宋体" w:cs="宋体"/>
          <w:b/>
        </w:rPr>
        <w:t>6.4.7.9 存款利息收入</w:t>
      </w:r>
    </w:p>
    <w:p w14:paraId="2E7F52DD">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7C27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2B71B673">
            <w:pPr>
              <w:spacing w:line="240" w:lineRule="auto"/>
              <w:jc w:val="center"/>
            </w:pPr>
            <w:r>
              <w:rPr>
                <w:rFonts w:ascii="宋体" w:hAnsi="宋体" w:eastAsia="宋体" w:cs="宋体"/>
                <w:b w:val="0"/>
              </w:rPr>
              <w:t>项目</w:t>
            </w:r>
          </w:p>
        </w:tc>
        <w:tc>
          <w:tcPr>
            <w:tcW w:w="3077" w:type="pct"/>
            <w:shd w:val="clear" w:color="auto" w:fill="D9D9D9"/>
            <w:vAlign w:val="center"/>
          </w:tcPr>
          <w:p w14:paraId="159342D0">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2461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334136">
            <w:pPr>
              <w:spacing w:line="240" w:lineRule="auto"/>
              <w:jc w:val="left"/>
            </w:pPr>
            <w:r>
              <w:rPr>
                <w:rFonts w:ascii="宋体" w:hAnsi="宋体" w:eastAsia="宋体" w:cs="宋体"/>
                <w:b w:val="0"/>
              </w:rPr>
              <w:t>活期存款利息收入</w:t>
            </w:r>
          </w:p>
        </w:tc>
        <w:tc>
          <w:tcPr>
            <w:tcW w:w="0" w:type="dxa"/>
            <w:vAlign w:val="center"/>
          </w:tcPr>
          <w:p w14:paraId="5C78639A">
            <w:pPr>
              <w:spacing w:line="240" w:lineRule="auto"/>
              <w:jc w:val="right"/>
            </w:pPr>
            <w:r>
              <w:rPr>
                <w:rFonts w:ascii="宋体" w:hAnsi="宋体" w:eastAsia="宋体" w:cs="宋体"/>
                <w:b w:val="0"/>
              </w:rPr>
              <w:t>344.77</w:t>
            </w:r>
          </w:p>
        </w:tc>
      </w:tr>
      <w:tr w14:paraId="1E89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1856955">
            <w:pPr>
              <w:spacing w:line="240" w:lineRule="auto"/>
              <w:jc w:val="left"/>
            </w:pPr>
            <w:r>
              <w:rPr>
                <w:rFonts w:ascii="宋体" w:hAnsi="宋体" w:eastAsia="宋体" w:cs="宋体"/>
                <w:b w:val="0"/>
              </w:rPr>
              <w:t>定期存款利息收入</w:t>
            </w:r>
          </w:p>
        </w:tc>
        <w:tc>
          <w:tcPr>
            <w:tcW w:w="0" w:type="dxa"/>
            <w:vAlign w:val="center"/>
          </w:tcPr>
          <w:p w14:paraId="119E4219">
            <w:pPr>
              <w:spacing w:line="240" w:lineRule="auto"/>
              <w:jc w:val="right"/>
            </w:pPr>
            <w:r>
              <w:rPr>
                <w:rFonts w:ascii="宋体" w:hAnsi="宋体" w:eastAsia="宋体" w:cs="宋体"/>
                <w:b w:val="0"/>
              </w:rPr>
              <w:t>-</w:t>
            </w:r>
          </w:p>
        </w:tc>
      </w:tr>
      <w:tr w14:paraId="1ECA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DC5400">
            <w:pPr>
              <w:spacing w:line="240" w:lineRule="auto"/>
              <w:jc w:val="left"/>
            </w:pPr>
            <w:r>
              <w:rPr>
                <w:rFonts w:ascii="宋体" w:hAnsi="宋体" w:eastAsia="宋体" w:cs="宋体"/>
                <w:b w:val="0"/>
              </w:rPr>
              <w:t>其他存款利息收入</w:t>
            </w:r>
          </w:p>
        </w:tc>
        <w:tc>
          <w:tcPr>
            <w:tcW w:w="0" w:type="dxa"/>
            <w:vAlign w:val="center"/>
          </w:tcPr>
          <w:p w14:paraId="0E369C80">
            <w:pPr>
              <w:spacing w:line="240" w:lineRule="auto"/>
              <w:jc w:val="right"/>
            </w:pPr>
            <w:r>
              <w:rPr>
                <w:rFonts w:ascii="宋体" w:hAnsi="宋体" w:eastAsia="宋体" w:cs="宋体"/>
                <w:b w:val="0"/>
              </w:rPr>
              <w:t>2,245.11</w:t>
            </w:r>
          </w:p>
        </w:tc>
      </w:tr>
      <w:tr w14:paraId="4471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DC413B">
            <w:pPr>
              <w:spacing w:line="240" w:lineRule="auto"/>
              <w:jc w:val="left"/>
            </w:pPr>
            <w:r>
              <w:rPr>
                <w:rFonts w:ascii="宋体" w:hAnsi="宋体" w:eastAsia="宋体" w:cs="宋体"/>
                <w:b w:val="0"/>
              </w:rPr>
              <w:t>结算备付金利息收入</w:t>
            </w:r>
          </w:p>
        </w:tc>
        <w:tc>
          <w:tcPr>
            <w:tcW w:w="0" w:type="dxa"/>
            <w:vAlign w:val="center"/>
          </w:tcPr>
          <w:p w14:paraId="02B47ADC">
            <w:pPr>
              <w:spacing w:line="240" w:lineRule="auto"/>
              <w:jc w:val="right"/>
            </w:pPr>
            <w:r>
              <w:rPr>
                <w:rFonts w:ascii="宋体" w:hAnsi="宋体" w:eastAsia="宋体" w:cs="宋体"/>
                <w:b w:val="0"/>
              </w:rPr>
              <w:t>-</w:t>
            </w:r>
          </w:p>
        </w:tc>
      </w:tr>
      <w:tr w14:paraId="5E55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1D0AD83">
            <w:pPr>
              <w:spacing w:line="240" w:lineRule="auto"/>
              <w:jc w:val="left"/>
            </w:pPr>
            <w:r>
              <w:rPr>
                <w:rFonts w:ascii="宋体" w:hAnsi="宋体" w:eastAsia="宋体" w:cs="宋体"/>
                <w:b w:val="0"/>
              </w:rPr>
              <w:t>其他</w:t>
            </w:r>
          </w:p>
        </w:tc>
        <w:tc>
          <w:tcPr>
            <w:tcW w:w="0" w:type="dxa"/>
            <w:vAlign w:val="center"/>
          </w:tcPr>
          <w:p w14:paraId="5592AC3F">
            <w:pPr>
              <w:spacing w:line="240" w:lineRule="auto"/>
              <w:jc w:val="right"/>
            </w:pPr>
            <w:r>
              <w:rPr>
                <w:rFonts w:ascii="宋体" w:hAnsi="宋体" w:eastAsia="宋体" w:cs="宋体"/>
                <w:b w:val="0"/>
              </w:rPr>
              <w:t>0.36</w:t>
            </w:r>
          </w:p>
        </w:tc>
      </w:tr>
      <w:tr w14:paraId="5D69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B83238">
            <w:pPr>
              <w:spacing w:line="240" w:lineRule="auto"/>
              <w:jc w:val="center"/>
            </w:pPr>
            <w:r>
              <w:rPr>
                <w:rFonts w:ascii="宋体" w:hAnsi="宋体" w:eastAsia="宋体" w:cs="宋体"/>
                <w:b w:val="0"/>
              </w:rPr>
              <w:t>合计</w:t>
            </w:r>
          </w:p>
        </w:tc>
        <w:tc>
          <w:tcPr>
            <w:tcW w:w="0" w:type="dxa"/>
            <w:vAlign w:val="center"/>
          </w:tcPr>
          <w:p w14:paraId="097FE7CA">
            <w:pPr>
              <w:spacing w:line="240" w:lineRule="auto"/>
              <w:jc w:val="right"/>
            </w:pPr>
            <w:r>
              <w:rPr>
                <w:rFonts w:ascii="宋体" w:hAnsi="宋体" w:eastAsia="宋体" w:cs="宋体"/>
                <w:b w:val="0"/>
              </w:rPr>
              <w:t>2,590.24</w:t>
            </w:r>
          </w:p>
        </w:tc>
      </w:tr>
    </w:tbl>
    <w:p w14:paraId="2019050A">
      <w:r>
        <w:rPr>
          <w:rFonts w:ascii="宋体" w:hAnsi="宋体" w:eastAsia="宋体" w:cs="宋体"/>
          <w:b w:val="0"/>
        </w:rPr>
        <w:t>注：其他存款利息收入为存放在证券经纪商基金专用证券账户的证券交易结算资金产生的利息收入。</w:t>
      </w:r>
    </w:p>
    <w:p w14:paraId="368C34BC"/>
    <w:p w14:paraId="465B2665">
      <w:pPr>
        <w:pStyle w:val="58"/>
      </w:pPr>
      <w:r>
        <w:rPr>
          <w:rFonts w:ascii="宋体" w:hAnsi="宋体" w:eastAsia="宋体" w:cs="宋体"/>
          <w:b/>
        </w:rPr>
        <w:t>6.4.7.10 股票投资收益——买卖股票差价收入</w:t>
      </w:r>
    </w:p>
    <w:p w14:paraId="3CBCA7D6">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60F8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76899E64">
            <w:pPr>
              <w:spacing w:line="240" w:lineRule="auto"/>
              <w:jc w:val="center"/>
            </w:pPr>
            <w:r>
              <w:rPr>
                <w:rFonts w:ascii="宋体" w:hAnsi="宋体" w:eastAsia="宋体" w:cs="宋体"/>
                <w:b w:val="0"/>
              </w:rPr>
              <w:t>项目</w:t>
            </w:r>
          </w:p>
        </w:tc>
        <w:tc>
          <w:tcPr>
            <w:tcW w:w="3077" w:type="pct"/>
            <w:shd w:val="clear" w:color="auto" w:fill="D9D9D9"/>
            <w:vAlign w:val="center"/>
          </w:tcPr>
          <w:p w14:paraId="7F4FFF87">
            <w:pPr>
              <w:spacing w:line="240" w:lineRule="auto"/>
              <w:jc w:val="center"/>
            </w:pPr>
            <w:r>
              <w:rPr>
                <w:rFonts w:ascii="宋体" w:hAnsi="宋体" w:eastAsia="宋体" w:cs="宋体"/>
                <w:b w:val="0"/>
              </w:rPr>
              <w:t>本期2026年01月01日至2026年06月30日</w:t>
            </w:r>
          </w:p>
        </w:tc>
      </w:tr>
      <w:tr w14:paraId="16E6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B9F64C">
            <w:pPr>
              <w:spacing w:line="240" w:lineRule="auto"/>
              <w:jc w:val="left"/>
            </w:pPr>
            <w:r>
              <w:rPr>
                <w:rFonts w:ascii="宋体" w:hAnsi="宋体" w:eastAsia="宋体" w:cs="宋体"/>
                <w:b w:val="0"/>
              </w:rPr>
              <w:t>卖出股票成交总额</w:t>
            </w:r>
          </w:p>
        </w:tc>
        <w:tc>
          <w:tcPr>
            <w:tcW w:w="0" w:type="dxa"/>
            <w:vAlign w:val="center"/>
          </w:tcPr>
          <w:p w14:paraId="5C8A214D">
            <w:pPr>
              <w:spacing w:line="240" w:lineRule="auto"/>
              <w:jc w:val="right"/>
            </w:pPr>
            <w:r>
              <w:rPr>
                <w:rFonts w:ascii="宋体" w:hAnsi="宋体" w:eastAsia="宋体" w:cs="宋体"/>
                <w:b w:val="0"/>
              </w:rPr>
              <w:t>594,350,364.39</w:t>
            </w:r>
          </w:p>
        </w:tc>
      </w:tr>
      <w:tr w14:paraId="2E93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7CA8CB">
            <w:pPr>
              <w:spacing w:line="240" w:lineRule="auto"/>
              <w:jc w:val="left"/>
            </w:pPr>
            <w:r>
              <w:rPr>
                <w:rFonts w:ascii="宋体" w:hAnsi="宋体" w:eastAsia="宋体" w:cs="宋体"/>
                <w:b w:val="0"/>
              </w:rPr>
              <w:t>减：卖出股票成本总额</w:t>
            </w:r>
          </w:p>
        </w:tc>
        <w:tc>
          <w:tcPr>
            <w:tcW w:w="0" w:type="dxa"/>
            <w:vAlign w:val="center"/>
          </w:tcPr>
          <w:p w14:paraId="6D19B195">
            <w:pPr>
              <w:spacing w:line="240" w:lineRule="auto"/>
              <w:jc w:val="right"/>
            </w:pPr>
            <w:r>
              <w:rPr>
                <w:rFonts w:ascii="宋体" w:hAnsi="宋体" w:eastAsia="宋体" w:cs="宋体"/>
                <w:b w:val="0"/>
              </w:rPr>
              <w:t>567,089,461.52</w:t>
            </w:r>
          </w:p>
        </w:tc>
      </w:tr>
      <w:tr w14:paraId="5908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9345D6E">
            <w:pPr>
              <w:spacing w:line="240" w:lineRule="auto"/>
              <w:jc w:val="left"/>
            </w:pPr>
            <w:r>
              <w:rPr>
                <w:rFonts w:ascii="宋体" w:hAnsi="宋体" w:eastAsia="宋体" w:cs="宋体"/>
                <w:b w:val="0"/>
              </w:rPr>
              <w:t>减：交易费用</w:t>
            </w:r>
          </w:p>
        </w:tc>
        <w:tc>
          <w:tcPr>
            <w:tcW w:w="0" w:type="dxa"/>
            <w:vAlign w:val="center"/>
          </w:tcPr>
          <w:p w14:paraId="129AE57F">
            <w:pPr>
              <w:spacing w:line="240" w:lineRule="auto"/>
              <w:jc w:val="right"/>
            </w:pPr>
            <w:r>
              <w:rPr>
                <w:rFonts w:ascii="宋体" w:hAnsi="宋体" w:eastAsia="宋体" w:cs="宋体"/>
                <w:b w:val="0"/>
              </w:rPr>
              <w:t>1,124,046.66</w:t>
            </w:r>
          </w:p>
        </w:tc>
      </w:tr>
      <w:tr w14:paraId="278C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AE055F">
            <w:pPr>
              <w:spacing w:line="240" w:lineRule="auto"/>
              <w:jc w:val="left"/>
            </w:pPr>
            <w:r>
              <w:rPr>
                <w:rFonts w:ascii="宋体" w:hAnsi="宋体" w:eastAsia="宋体" w:cs="宋体"/>
                <w:b w:val="0"/>
              </w:rPr>
              <w:t>买卖股票差价收入</w:t>
            </w:r>
          </w:p>
        </w:tc>
        <w:tc>
          <w:tcPr>
            <w:tcW w:w="0" w:type="dxa"/>
            <w:vAlign w:val="center"/>
          </w:tcPr>
          <w:p w14:paraId="047DB27C">
            <w:pPr>
              <w:spacing w:line="240" w:lineRule="auto"/>
              <w:jc w:val="right"/>
            </w:pPr>
            <w:r>
              <w:rPr>
                <w:rFonts w:ascii="宋体" w:hAnsi="宋体" w:eastAsia="宋体" w:cs="宋体"/>
                <w:b w:val="0"/>
              </w:rPr>
              <w:t>26,136,856.21</w:t>
            </w:r>
          </w:p>
        </w:tc>
      </w:tr>
    </w:tbl>
    <w:p w14:paraId="20B99C1F"/>
    <w:p w14:paraId="186E75B9">
      <w:pPr>
        <w:pStyle w:val="58"/>
      </w:pPr>
      <w:r>
        <w:rPr>
          <w:rFonts w:ascii="宋体" w:hAnsi="宋体" w:eastAsia="宋体" w:cs="宋体"/>
          <w:b/>
        </w:rPr>
        <w:t>6.4.7.11 基金投资收益</w:t>
      </w:r>
    </w:p>
    <w:p w14:paraId="5D2A8ED1">
      <w:r>
        <w:rPr>
          <w:rFonts w:ascii="宋体" w:hAnsi="宋体" w:eastAsia="宋体" w:cs="宋体"/>
          <w:b w:val="0"/>
        </w:rPr>
        <w:t xml:space="preserve">    本基金本报告期无基金投资收益。</w:t>
      </w:r>
    </w:p>
    <w:p w14:paraId="271A66FF"/>
    <w:p w14:paraId="34B0A560">
      <w:pPr>
        <w:pStyle w:val="58"/>
      </w:pPr>
      <w:r>
        <w:rPr>
          <w:rFonts w:ascii="宋体" w:hAnsi="宋体" w:eastAsia="宋体" w:cs="宋体"/>
          <w:b/>
        </w:rPr>
        <w:t>6.4.7.12 债券投资收益</w:t>
      </w:r>
    </w:p>
    <w:p w14:paraId="3DDA2628">
      <w:pPr>
        <w:pStyle w:val="58"/>
      </w:pPr>
      <w:r>
        <w:rPr>
          <w:rFonts w:ascii="宋体" w:hAnsi="宋体" w:eastAsia="宋体" w:cs="宋体"/>
          <w:b/>
        </w:rPr>
        <w:t>6.4.7.12.1 债券投资收益项目构成</w:t>
      </w:r>
    </w:p>
    <w:p w14:paraId="742331D2">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8"/>
        <w:gridCol w:w="4888"/>
      </w:tblGrid>
      <w:tr w14:paraId="549E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pct"/>
            <w:shd w:val="clear" w:color="auto" w:fill="D9D9D9"/>
            <w:vAlign w:val="center"/>
          </w:tcPr>
          <w:p w14:paraId="1C39341B">
            <w:pPr>
              <w:spacing w:line="240" w:lineRule="auto"/>
              <w:jc w:val="center"/>
            </w:pPr>
            <w:r>
              <w:rPr>
                <w:rFonts w:ascii="宋体" w:hAnsi="宋体" w:eastAsia="宋体" w:cs="宋体"/>
                <w:b w:val="0"/>
              </w:rPr>
              <w:t>项目</w:t>
            </w:r>
          </w:p>
        </w:tc>
        <w:tc>
          <w:tcPr>
            <w:tcW w:w="2500" w:type="pct"/>
            <w:shd w:val="clear" w:color="auto" w:fill="D9D9D9"/>
            <w:vAlign w:val="center"/>
          </w:tcPr>
          <w:p w14:paraId="22B8B582">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06DD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70BD25">
            <w:pPr>
              <w:spacing w:line="240" w:lineRule="auto"/>
              <w:jc w:val="left"/>
            </w:pPr>
            <w:r>
              <w:rPr>
                <w:rFonts w:ascii="宋体" w:hAnsi="宋体" w:eastAsia="宋体" w:cs="宋体"/>
                <w:b w:val="0"/>
              </w:rPr>
              <w:t>债券投资收益——利息收入</w:t>
            </w:r>
          </w:p>
        </w:tc>
        <w:tc>
          <w:tcPr>
            <w:tcW w:w="0" w:type="dxa"/>
            <w:vAlign w:val="center"/>
          </w:tcPr>
          <w:p w14:paraId="5C9A33A5">
            <w:pPr>
              <w:spacing w:line="240" w:lineRule="auto"/>
              <w:jc w:val="right"/>
            </w:pPr>
            <w:r>
              <w:rPr>
                <w:rFonts w:ascii="宋体" w:hAnsi="宋体" w:eastAsia="宋体" w:cs="宋体"/>
                <w:b w:val="0"/>
              </w:rPr>
              <w:t>64,002.77</w:t>
            </w:r>
          </w:p>
        </w:tc>
      </w:tr>
      <w:tr w14:paraId="4896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A6F403">
            <w:pPr>
              <w:spacing w:line="240" w:lineRule="auto"/>
              <w:jc w:val="left"/>
            </w:pPr>
            <w:r>
              <w:rPr>
                <w:rFonts w:ascii="宋体" w:hAnsi="宋体" w:eastAsia="宋体" w:cs="宋体"/>
                <w:b w:val="0"/>
              </w:rPr>
              <w:t>债券投资收益——买卖债券（债转股及债券到期兑付）差价收入</w:t>
            </w:r>
          </w:p>
        </w:tc>
        <w:tc>
          <w:tcPr>
            <w:tcW w:w="0" w:type="dxa"/>
            <w:vAlign w:val="center"/>
          </w:tcPr>
          <w:p w14:paraId="26BA8683">
            <w:pPr>
              <w:spacing w:line="240" w:lineRule="auto"/>
              <w:jc w:val="right"/>
            </w:pPr>
            <w:r>
              <w:rPr>
                <w:rFonts w:ascii="宋体" w:hAnsi="宋体" w:eastAsia="宋体" w:cs="宋体"/>
                <w:b w:val="0"/>
              </w:rPr>
              <w:t>-21,355.58</w:t>
            </w:r>
          </w:p>
        </w:tc>
      </w:tr>
      <w:tr w14:paraId="06B0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CF9DC3">
            <w:pPr>
              <w:spacing w:line="240" w:lineRule="auto"/>
              <w:jc w:val="left"/>
            </w:pPr>
            <w:r>
              <w:rPr>
                <w:rFonts w:ascii="宋体" w:hAnsi="宋体" w:eastAsia="宋体" w:cs="宋体"/>
                <w:b w:val="0"/>
              </w:rPr>
              <w:t>债券投资收益——赎回差价收入</w:t>
            </w:r>
          </w:p>
        </w:tc>
        <w:tc>
          <w:tcPr>
            <w:tcW w:w="0" w:type="dxa"/>
            <w:vAlign w:val="center"/>
          </w:tcPr>
          <w:p w14:paraId="0B7491B8">
            <w:pPr>
              <w:spacing w:line="240" w:lineRule="auto"/>
              <w:jc w:val="right"/>
            </w:pPr>
            <w:r>
              <w:rPr>
                <w:rFonts w:ascii="宋体" w:hAnsi="宋体" w:eastAsia="宋体" w:cs="宋体"/>
                <w:b w:val="0"/>
              </w:rPr>
              <w:t>-</w:t>
            </w:r>
          </w:p>
        </w:tc>
      </w:tr>
      <w:tr w14:paraId="1594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2E4308">
            <w:pPr>
              <w:spacing w:line="240" w:lineRule="auto"/>
              <w:jc w:val="left"/>
            </w:pPr>
            <w:r>
              <w:rPr>
                <w:rFonts w:ascii="宋体" w:hAnsi="宋体" w:eastAsia="宋体" w:cs="宋体"/>
                <w:b w:val="0"/>
              </w:rPr>
              <w:t>债券投资收益——申购差价收入</w:t>
            </w:r>
          </w:p>
        </w:tc>
        <w:tc>
          <w:tcPr>
            <w:tcW w:w="0" w:type="dxa"/>
            <w:vAlign w:val="center"/>
          </w:tcPr>
          <w:p w14:paraId="1CA39C0A">
            <w:pPr>
              <w:spacing w:line="240" w:lineRule="auto"/>
              <w:jc w:val="right"/>
            </w:pPr>
            <w:r>
              <w:rPr>
                <w:rFonts w:ascii="宋体" w:hAnsi="宋体" w:eastAsia="宋体" w:cs="宋体"/>
                <w:b w:val="0"/>
              </w:rPr>
              <w:t>-</w:t>
            </w:r>
          </w:p>
        </w:tc>
      </w:tr>
      <w:tr w14:paraId="264D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B73F72">
            <w:pPr>
              <w:spacing w:line="240" w:lineRule="auto"/>
              <w:jc w:val="left"/>
            </w:pPr>
            <w:r>
              <w:rPr>
                <w:rFonts w:ascii="宋体" w:hAnsi="宋体" w:eastAsia="宋体" w:cs="宋体"/>
                <w:b w:val="0"/>
              </w:rPr>
              <w:t>合计</w:t>
            </w:r>
          </w:p>
        </w:tc>
        <w:tc>
          <w:tcPr>
            <w:tcW w:w="0" w:type="dxa"/>
            <w:vAlign w:val="center"/>
          </w:tcPr>
          <w:p w14:paraId="6F8CFA49">
            <w:pPr>
              <w:spacing w:line="240" w:lineRule="auto"/>
              <w:jc w:val="right"/>
            </w:pPr>
            <w:r>
              <w:rPr>
                <w:rFonts w:ascii="宋体" w:hAnsi="宋体" w:eastAsia="宋体" w:cs="宋体"/>
                <w:b w:val="0"/>
              </w:rPr>
              <w:t>42,647.19</w:t>
            </w:r>
          </w:p>
        </w:tc>
      </w:tr>
    </w:tbl>
    <w:p w14:paraId="31A52B9E"/>
    <w:p w14:paraId="5AD0A52C">
      <w:pPr>
        <w:pStyle w:val="58"/>
      </w:pPr>
      <w:r>
        <w:rPr>
          <w:rFonts w:ascii="宋体" w:hAnsi="宋体" w:eastAsia="宋体" w:cs="宋体"/>
          <w:b/>
        </w:rPr>
        <w:t>6.4.7.12.2 债券投资收益——买卖债券差价收入</w:t>
      </w:r>
    </w:p>
    <w:p w14:paraId="7E9DB925">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6"/>
        <w:gridCol w:w="3980"/>
      </w:tblGrid>
      <w:tr w14:paraId="43474AB3">
        <w:tblPrEx>
          <w:tblCellMar>
            <w:top w:w="0" w:type="dxa"/>
            <w:left w:w="108" w:type="dxa"/>
            <w:bottom w:w="0" w:type="dxa"/>
            <w:right w:w="108" w:type="dxa"/>
          </w:tblCellMar>
        </w:tblPrEx>
        <w:tc>
          <w:tcPr>
            <w:tcW w:w="2000" w:type="pct"/>
            <w:shd w:val="clear" w:color="auto" w:fill="D9D9D9"/>
            <w:vAlign w:val="center"/>
          </w:tcPr>
          <w:p w14:paraId="79C12F26">
            <w:pPr>
              <w:spacing w:line="240" w:lineRule="auto"/>
              <w:jc w:val="center"/>
            </w:pPr>
            <w:r>
              <w:rPr>
                <w:rFonts w:ascii="宋体" w:hAnsi="宋体" w:eastAsia="宋体" w:cs="宋体"/>
                <w:b w:val="0"/>
              </w:rPr>
              <w:t>项目</w:t>
            </w:r>
          </w:p>
        </w:tc>
        <w:tc>
          <w:tcPr>
            <w:tcW w:w="1500" w:type="pct"/>
            <w:shd w:val="clear" w:color="auto" w:fill="D9D9D9"/>
            <w:vAlign w:val="center"/>
          </w:tcPr>
          <w:p w14:paraId="6F89A114">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2299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E02745">
            <w:pPr>
              <w:spacing w:line="240" w:lineRule="auto"/>
              <w:jc w:val="left"/>
            </w:pPr>
            <w:r>
              <w:rPr>
                <w:rFonts w:ascii="宋体" w:hAnsi="宋体" w:eastAsia="宋体" w:cs="宋体"/>
                <w:b w:val="0"/>
              </w:rPr>
              <w:t>卖出债券（债转股及债券到期兑付）成交总额</w:t>
            </w:r>
          </w:p>
        </w:tc>
        <w:tc>
          <w:tcPr>
            <w:tcW w:w="0" w:type="dxa"/>
            <w:vAlign w:val="center"/>
          </w:tcPr>
          <w:p w14:paraId="6A4D5FFA">
            <w:pPr>
              <w:spacing w:line="240" w:lineRule="auto"/>
              <w:jc w:val="right"/>
            </w:pPr>
            <w:r>
              <w:rPr>
                <w:rFonts w:ascii="宋体" w:hAnsi="宋体" w:eastAsia="宋体" w:cs="宋体"/>
                <w:b w:val="0"/>
              </w:rPr>
              <w:t>24,363,603.43</w:t>
            </w:r>
          </w:p>
        </w:tc>
      </w:tr>
      <w:tr w14:paraId="16EA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85D0B2">
            <w:pPr>
              <w:spacing w:line="240" w:lineRule="auto"/>
              <w:jc w:val="left"/>
            </w:pPr>
            <w:r>
              <w:rPr>
                <w:rFonts w:ascii="宋体" w:hAnsi="宋体" w:eastAsia="宋体" w:cs="宋体"/>
                <w:b w:val="0"/>
              </w:rPr>
              <w:t>减：卖出债券（债转股及债券到期兑付）成本总额</w:t>
            </w:r>
          </w:p>
        </w:tc>
        <w:tc>
          <w:tcPr>
            <w:tcW w:w="0" w:type="dxa"/>
            <w:vAlign w:val="center"/>
          </w:tcPr>
          <w:p w14:paraId="6FDF50CD">
            <w:pPr>
              <w:spacing w:line="240" w:lineRule="auto"/>
              <w:jc w:val="right"/>
            </w:pPr>
            <w:r>
              <w:rPr>
                <w:rFonts w:ascii="宋体" w:hAnsi="宋体" w:eastAsia="宋体" w:cs="宋体"/>
                <w:b w:val="0"/>
              </w:rPr>
              <w:t>24,208,279.62</w:t>
            </w:r>
          </w:p>
        </w:tc>
      </w:tr>
      <w:tr w14:paraId="1B8B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44F285">
            <w:pPr>
              <w:spacing w:line="240" w:lineRule="auto"/>
              <w:jc w:val="left"/>
            </w:pPr>
            <w:r>
              <w:rPr>
                <w:rFonts w:ascii="宋体" w:hAnsi="宋体" w:eastAsia="宋体" w:cs="宋体"/>
                <w:b w:val="0"/>
              </w:rPr>
              <w:t>减：应计利息总额</w:t>
            </w:r>
          </w:p>
        </w:tc>
        <w:tc>
          <w:tcPr>
            <w:tcW w:w="0" w:type="dxa"/>
            <w:vAlign w:val="center"/>
          </w:tcPr>
          <w:p w14:paraId="179D63BE">
            <w:pPr>
              <w:spacing w:line="240" w:lineRule="auto"/>
              <w:jc w:val="right"/>
            </w:pPr>
            <w:r>
              <w:rPr>
                <w:rFonts w:ascii="宋体" w:hAnsi="宋体" w:eastAsia="宋体" w:cs="宋体"/>
                <w:b w:val="0"/>
              </w:rPr>
              <w:t>163,917.43</w:t>
            </w:r>
          </w:p>
        </w:tc>
      </w:tr>
      <w:tr w14:paraId="41D1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2B47AA">
            <w:pPr>
              <w:spacing w:line="240" w:lineRule="auto"/>
              <w:jc w:val="left"/>
            </w:pPr>
            <w:r>
              <w:rPr>
                <w:rFonts w:ascii="宋体" w:hAnsi="宋体" w:eastAsia="宋体" w:cs="宋体"/>
                <w:b w:val="0"/>
              </w:rPr>
              <w:t>减：交易费用</w:t>
            </w:r>
          </w:p>
        </w:tc>
        <w:tc>
          <w:tcPr>
            <w:tcW w:w="0" w:type="dxa"/>
            <w:vAlign w:val="center"/>
          </w:tcPr>
          <w:p w14:paraId="5B21C6D5">
            <w:pPr>
              <w:spacing w:line="240" w:lineRule="auto"/>
              <w:jc w:val="right"/>
            </w:pPr>
            <w:r>
              <w:rPr>
                <w:rFonts w:ascii="宋体" w:hAnsi="宋体" w:eastAsia="宋体" w:cs="宋体"/>
                <w:b w:val="0"/>
              </w:rPr>
              <w:t>12,761.96</w:t>
            </w:r>
          </w:p>
        </w:tc>
      </w:tr>
      <w:tr w14:paraId="3E02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2C14C8">
            <w:pPr>
              <w:spacing w:line="240" w:lineRule="auto"/>
              <w:jc w:val="left"/>
            </w:pPr>
            <w:r>
              <w:rPr>
                <w:rFonts w:ascii="宋体" w:hAnsi="宋体" w:eastAsia="宋体" w:cs="宋体"/>
                <w:b w:val="0"/>
              </w:rPr>
              <w:t>买卖债券差价收入</w:t>
            </w:r>
          </w:p>
        </w:tc>
        <w:tc>
          <w:tcPr>
            <w:tcW w:w="0" w:type="dxa"/>
            <w:vAlign w:val="center"/>
          </w:tcPr>
          <w:p w14:paraId="64D155B9">
            <w:pPr>
              <w:spacing w:line="240" w:lineRule="auto"/>
              <w:jc w:val="right"/>
            </w:pPr>
            <w:r>
              <w:rPr>
                <w:rFonts w:ascii="宋体" w:hAnsi="宋体" w:eastAsia="宋体" w:cs="宋体"/>
                <w:b w:val="0"/>
              </w:rPr>
              <w:t>-21,355.58</w:t>
            </w:r>
          </w:p>
        </w:tc>
      </w:tr>
    </w:tbl>
    <w:p w14:paraId="1D1A7BE4"/>
    <w:p w14:paraId="33C71C01">
      <w:pPr>
        <w:pStyle w:val="58"/>
      </w:pPr>
      <w:r>
        <w:rPr>
          <w:rFonts w:ascii="宋体" w:hAnsi="宋体" w:eastAsia="宋体" w:cs="宋体"/>
          <w:b/>
        </w:rPr>
        <w:t>6.4.7.13 资产支持证券投资收益</w:t>
      </w:r>
    </w:p>
    <w:p w14:paraId="00ECA5E7">
      <w:r>
        <w:rPr>
          <w:rFonts w:ascii="宋体" w:hAnsi="宋体" w:eastAsia="宋体" w:cs="宋体"/>
          <w:b w:val="0"/>
        </w:rPr>
        <w:t xml:space="preserve">    本基金本报告期内无资产支持证券投资收益。</w:t>
      </w:r>
    </w:p>
    <w:p w14:paraId="080A324E"/>
    <w:p w14:paraId="4E7A19E2">
      <w:pPr>
        <w:pStyle w:val="58"/>
      </w:pPr>
      <w:r>
        <w:rPr>
          <w:rFonts w:ascii="宋体" w:hAnsi="宋体" w:eastAsia="宋体" w:cs="宋体"/>
          <w:b/>
        </w:rPr>
        <w:t>6.4.7.14 贵金属投资收益</w:t>
      </w:r>
    </w:p>
    <w:p w14:paraId="083BEEC3">
      <w:r>
        <w:rPr>
          <w:rFonts w:ascii="宋体" w:hAnsi="宋体" w:eastAsia="宋体" w:cs="宋体"/>
          <w:b w:val="0"/>
        </w:rPr>
        <w:t xml:space="preserve">    本基金本报告期内无贵金属投资收益。</w:t>
      </w:r>
    </w:p>
    <w:p w14:paraId="388FC0F5"/>
    <w:p w14:paraId="4B2AC141">
      <w:pPr>
        <w:pStyle w:val="58"/>
      </w:pPr>
      <w:r>
        <w:rPr>
          <w:rFonts w:ascii="宋体" w:hAnsi="宋体" w:eastAsia="宋体" w:cs="宋体"/>
          <w:b/>
        </w:rPr>
        <w:t>6.4.7.15 衍生工具收益</w:t>
      </w:r>
    </w:p>
    <w:p w14:paraId="1F1AD3A8">
      <w:r>
        <w:rPr>
          <w:rFonts w:ascii="宋体" w:hAnsi="宋体" w:eastAsia="宋体" w:cs="宋体"/>
          <w:b w:val="0"/>
        </w:rPr>
        <w:t xml:space="preserve">    本基金本报告期内无衍生工具收益。</w:t>
      </w:r>
    </w:p>
    <w:p w14:paraId="11173880"/>
    <w:p w14:paraId="33484833">
      <w:pPr>
        <w:pStyle w:val="58"/>
      </w:pPr>
      <w:r>
        <w:rPr>
          <w:rFonts w:ascii="宋体" w:hAnsi="宋体" w:eastAsia="宋体" w:cs="宋体"/>
          <w:b/>
        </w:rPr>
        <w:t>6.4.7.16 股利收益</w:t>
      </w:r>
    </w:p>
    <w:p w14:paraId="5A3D1452">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4CFB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0BEF6708">
            <w:pPr>
              <w:spacing w:line="240" w:lineRule="auto"/>
              <w:jc w:val="center"/>
            </w:pPr>
            <w:r>
              <w:rPr>
                <w:rFonts w:ascii="宋体" w:hAnsi="宋体" w:eastAsia="宋体" w:cs="宋体"/>
                <w:b w:val="0"/>
              </w:rPr>
              <w:t>项目</w:t>
            </w:r>
          </w:p>
        </w:tc>
        <w:tc>
          <w:tcPr>
            <w:tcW w:w="3077" w:type="pct"/>
            <w:shd w:val="clear" w:color="auto" w:fill="D9D9D9"/>
            <w:vAlign w:val="center"/>
          </w:tcPr>
          <w:p w14:paraId="79FF441D">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4EC8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CF9CB40">
            <w:pPr>
              <w:spacing w:line="240" w:lineRule="auto"/>
              <w:jc w:val="left"/>
            </w:pPr>
            <w:r>
              <w:rPr>
                <w:rFonts w:ascii="宋体" w:hAnsi="宋体" w:eastAsia="宋体" w:cs="宋体"/>
                <w:b w:val="0"/>
              </w:rPr>
              <w:t>股票投资产生的股利收益</w:t>
            </w:r>
          </w:p>
        </w:tc>
        <w:tc>
          <w:tcPr>
            <w:tcW w:w="0" w:type="dxa"/>
            <w:vAlign w:val="center"/>
          </w:tcPr>
          <w:p w14:paraId="6FBA3AF0">
            <w:pPr>
              <w:spacing w:line="240" w:lineRule="auto"/>
              <w:jc w:val="right"/>
            </w:pPr>
            <w:r>
              <w:rPr>
                <w:rFonts w:ascii="宋体" w:hAnsi="宋体" w:eastAsia="宋体" w:cs="宋体"/>
                <w:b w:val="0"/>
              </w:rPr>
              <w:t>271,659.31</w:t>
            </w:r>
          </w:p>
        </w:tc>
      </w:tr>
      <w:tr w14:paraId="4E07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C0AEA7">
            <w:pPr>
              <w:spacing w:line="240" w:lineRule="auto"/>
              <w:jc w:val="left"/>
            </w:pPr>
            <w:r>
              <w:rPr>
                <w:rFonts w:ascii="宋体" w:hAnsi="宋体" w:eastAsia="宋体" w:cs="宋体"/>
                <w:b w:val="0"/>
              </w:rPr>
              <w:t>其中：证券出借权益补偿收入</w:t>
            </w:r>
          </w:p>
        </w:tc>
        <w:tc>
          <w:tcPr>
            <w:tcW w:w="0" w:type="dxa"/>
            <w:vAlign w:val="center"/>
          </w:tcPr>
          <w:p w14:paraId="121FCE0A">
            <w:pPr>
              <w:spacing w:line="240" w:lineRule="auto"/>
              <w:jc w:val="right"/>
            </w:pPr>
            <w:r>
              <w:rPr>
                <w:rFonts w:ascii="宋体" w:hAnsi="宋体" w:eastAsia="宋体" w:cs="宋体"/>
                <w:b w:val="0"/>
              </w:rPr>
              <w:t>-</w:t>
            </w:r>
          </w:p>
        </w:tc>
      </w:tr>
      <w:tr w14:paraId="136F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3F1BA5">
            <w:pPr>
              <w:spacing w:line="240" w:lineRule="auto"/>
              <w:jc w:val="left"/>
            </w:pPr>
            <w:r>
              <w:rPr>
                <w:rFonts w:ascii="宋体" w:hAnsi="宋体" w:eastAsia="宋体" w:cs="宋体"/>
                <w:b w:val="0"/>
              </w:rPr>
              <w:t>基金投资产生的股利收益</w:t>
            </w:r>
          </w:p>
        </w:tc>
        <w:tc>
          <w:tcPr>
            <w:tcW w:w="0" w:type="dxa"/>
            <w:vAlign w:val="center"/>
          </w:tcPr>
          <w:p w14:paraId="5E99AB6F">
            <w:pPr>
              <w:spacing w:line="240" w:lineRule="auto"/>
              <w:jc w:val="right"/>
            </w:pPr>
            <w:r>
              <w:rPr>
                <w:rFonts w:ascii="宋体" w:hAnsi="宋体" w:eastAsia="宋体" w:cs="宋体"/>
                <w:b w:val="0"/>
              </w:rPr>
              <w:t>-</w:t>
            </w:r>
          </w:p>
        </w:tc>
      </w:tr>
      <w:tr w14:paraId="33E5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230C9A">
            <w:pPr>
              <w:spacing w:line="240" w:lineRule="auto"/>
              <w:jc w:val="center"/>
            </w:pPr>
            <w:r>
              <w:rPr>
                <w:rFonts w:ascii="宋体" w:hAnsi="宋体" w:eastAsia="宋体" w:cs="宋体"/>
                <w:b w:val="0"/>
              </w:rPr>
              <w:t>合计</w:t>
            </w:r>
          </w:p>
        </w:tc>
        <w:tc>
          <w:tcPr>
            <w:tcW w:w="0" w:type="dxa"/>
            <w:vAlign w:val="center"/>
          </w:tcPr>
          <w:p w14:paraId="4898B174">
            <w:pPr>
              <w:spacing w:line="240" w:lineRule="auto"/>
              <w:jc w:val="right"/>
            </w:pPr>
            <w:r>
              <w:rPr>
                <w:rFonts w:ascii="宋体" w:hAnsi="宋体" w:eastAsia="宋体" w:cs="宋体"/>
                <w:b w:val="0"/>
              </w:rPr>
              <w:t>271,659.31</w:t>
            </w:r>
          </w:p>
        </w:tc>
      </w:tr>
    </w:tbl>
    <w:p w14:paraId="7BBD8810"/>
    <w:p w14:paraId="3DFAEFD6">
      <w:pPr>
        <w:pStyle w:val="58"/>
      </w:pPr>
      <w:r>
        <w:rPr>
          <w:rFonts w:ascii="宋体" w:hAnsi="宋体" w:eastAsia="宋体" w:cs="宋体"/>
          <w:b/>
        </w:rPr>
        <w:t>6.4.7.17 公允价值变动收益</w:t>
      </w:r>
    </w:p>
    <w:p w14:paraId="6FF32ACE">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6191"/>
      </w:tblGrid>
      <w:tr w14:paraId="5968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pct"/>
            <w:shd w:val="clear" w:color="auto" w:fill="D9D9D9"/>
            <w:vAlign w:val="center"/>
          </w:tcPr>
          <w:p w14:paraId="4176E049">
            <w:pPr>
              <w:spacing w:line="240" w:lineRule="auto"/>
              <w:jc w:val="center"/>
            </w:pPr>
            <w:r>
              <w:rPr>
                <w:rFonts w:ascii="宋体" w:hAnsi="宋体" w:eastAsia="宋体" w:cs="宋体"/>
                <w:b w:val="0"/>
              </w:rPr>
              <w:t>项目名称</w:t>
            </w:r>
          </w:p>
        </w:tc>
        <w:tc>
          <w:tcPr>
            <w:tcW w:w="3000" w:type="pct"/>
            <w:shd w:val="clear" w:color="auto" w:fill="D9D9D9"/>
            <w:vAlign w:val="center"/>
          </w:tcPr>
          <w:p w14:paraId="3FE7B9C5">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7899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104F12">
            <w:pPr>
              <w:spacing w:line="240" w:lineRule="auto"/>
              <w:jc w:val="left"/>
            </w:pPr>
            <w:r>
              <w:rPr>
                <w:rFonts w:ascii="宋体" w:hAnsi="宋体" w:eastAsia="宋体" w:cs="宋体"/>
                <w:b w:val="0"/>
              </w:rPr>
              <w:t>1.交易性金融资产</w:t>
            </w:r>
          </w:p>
        </w:tc>
        <w:tc>
          <w:tcPr>
            <w:tcW w:w="0" w:type="dxa"/>
            <w:vAlign w:val="center"/>
          </w:tcPr>
          <w:p w14:paraId="4139A9FB">
            <w:pPr>
              <w:spacing w:line="240" w:lineRule="auto"/>
              <w:jc w:val="right"/>
            </w:pPr>
            <w:r>
              <w:rPr>
                <w:rFonts w:ascii="宋体" w:hAnsi="宋体" w:eastAsia="宋体" w:cs="宋体"/>
                <w:b w:val="0"/>
              </w:rPr>
              <w:t>201,803,753.25</w:t>
            </w:r>
          </w:p>
        </w:tc>
      </w:tr>
      <w:tr w14:paraId="37DD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BD5794">
            <w:pPr>
              <w:spacing w:line="240" w:lineRule="auto"/>
              <w:jc w:val="left"/>
            </w:pPr>
            <w:r>
              <w:rPr>
                <w:rFonts w:ascii="宋体" w:hAnsi="宋体" w:eastAsia="宋体" w:cs="宋体"/>
                <w:b w:val="0"/>
              </w:rPr>
              <w:t>——股票投资</w:t>
            </w:r>
          </w:p>
        </w:tc>
        <w:tc>
          <w:tcPr>
            <w:tcW w:w="0" w:type="dxa"/>
            <w:vAlign w:val="center"/>
          </w:tcPr>
          <w:p w14:paraId="073FE760">
            <w:pPr>
              <w:spacing w:line="240" w:lineRule="auto"/>
              <w:jc w:val="right"/>
            </w:pPr>
            <w:r>
              <w:rPr>
                <w:rFonts w:ascii="宋体" w:hAnsi="宋体" w:eastAsia="宋体" w:cs="宋体"/>
                <w:b w:val="0"/>
              </w:rPr>
              <w:t>201,795,566.63</w:t>
            </w:r>
          </w:p>
        </w:tc>
      </w:tr>
      <w:tr w14:paraId="0CF58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7C84B8">
            <w:pPr>
              <w:spacing w:line="240" w:lineRule="auto"/>
              <w:jc w:val="left"/>
            </w:pPr>
            <w:r>
              <w:rPr>
                <w:rFonts w:ascii="宋体" w:hAnsi="宋体" w:eastAsia="宋体" w:cs="宋体"/>
                <w:b w:val="0"/>
              </w:rPr>
              <w:t>——债券投资</w:t>
            </w:r>
          </w:p>
        </w:tc>
        <w:tc>
          <w:tcPr>
            <w:tcW w:w="0" w:type="dxa"/>
            <w:vAlign w:val="center"/>
          </w:tcPr>
          <w:p w14:paraId="37E811F4">
            <w:pPr>
              <w:spacing w:line="240" w:lineRule="auto"/>
              <w:jc w:val="right"/>
            </w:pPr>
            <w:r>
              <w:rPr>
                <w:rFonts w:ascii="宋体" w:hAnsi="宋体" w:eastAsia="宋体" w:cs="宋体"/>
                <w:b w:val="0"/>
              </w:rPr>
              <w:t>8,186.62</w:t>
            </w:r>
          </w:p>
        </w:tc>
      </w:tr>
      <w:tr w14:paraId="32B1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AE5058">
            <w:pPr>
              <w:spacing w:line="240" w:lineRule="auto"/>
              <w:jc w:val="left"/>
            </w:pPr>
            <w:r>
              <w:rPr>
                <w:rFonts w:ascii="宋体" w:hAnsi="宋体" w:eastAsia="宋体" w:cs="宋体"/>
                <w:b w:val="0"/>
              </w:rPr>
              <w:t>——资产支持证券投资</w:t>
            </w:r>
          </w:p>
        </w:tc>
        <w:tc>
          <w:tcPr>
            <w:tcW w:w="0" w:type="dxa"/>
            <w:vAlign w:val="center"/>
          </w:tcPr>
          <w:p w14:paraId="687FB5F6">
            <w:pPr>
              <w:spacing w:line="240" w:lineRule="auto"/>
              <w:jc w:val="right"/>
            </w:pPr>
            <w:r>
              <w:rPr>
                <w:rFonts w:ascii="宋体" w:hAnsi="宋体" w:eastAsia="宋体" w:cs="宋体"/>
                <w:b w:val="0"/>
              </w:rPr>
              <w:t>-</w:t>
            </w:r>
          </w:p>
        </w:tc>
      </w:tr>
      <w:tr w14:paraId="2290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4A6A09">
            <w:pPr>
              <w:spacing w:line="240" w:lineRule="auto"/>
              <w:jc w:val="left"/>
            </w:pPr>
            <w:r>
              <w:rPr>
                <w:rFonts w:ascii="宋体" w:hAnsi="宋体" w:eastAsia="宋体" w:cs="宋体"/>
                <w:b w:val="0"/>
              </w:rPr>
              <w:t>——贵金属投资</w:t>
            </w:r>
          </w:p>
        </w:tc>
        <w:tc>
          <w:tcPr>
            <w:tcW w:w="0" w:type="dxa"/>
            <w:vAlign w:val="center"/>
          </w:tcPr>
          <w:p w14:paraId="09276EB1">
            <w:pPr>
              <w:spacing w:line="240" w:lineRule="auto"/>
              <w:jc w:val="right"/>
            </w:pPr>
            <w:r>
              <w:rPr>
                <w:rFonts w:ascii="宋体" w:hAnsi="宋体" w:eastAsia="宋体" w:cs="宋体"/>
                <w:b w:val="0"/>
              </w:rPr>
              <w:t>-</w:t>
            </w:r>
          </w:p>
        </w:tc>
      </w:tr>
      <w:tr w14:paraId="008D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85A624">
            <w:pPr>
              <w:spacing w:line="240" w:lineRule="auto"/>
              <w:jc w:val="left"/>
            </w:pPr>
            <w:r>
              <w:rPr>
                <w:rFonts w:ascii="宋体" w:hAnsi="宋体" w:eastAsia="宋体" w:cs="宋体"/>
                <w:b w:val="0"/>
              </w:rPr>
              <w:t>——其他</w:t>
            </w:r>
          </w:p>
        </w:tc>
        <w:tc>
          <w:tcPr>
            <w:tcW w:w="0" w:type="dxa"/>
            <w:vAlign w:val="center"/>
          </w:tcPr>
          <w:p w14:paraId="45F8A4E1">
            <w:pPr>
              <w:spacing w:line="240" w:lineRule="auto"/>
              <w:jc w:val="right"/>
            </w:pPr>
            <w:r>
              <w:rPr>
                <w:rFonts w:ascii="宋体" w:hAnsi="宋体" w:eastAsia="宋体" w:cs="宋体"/>
                <w:b w:val="0"/>
              </w:rPr>
              <w:t>-</w:t>
            </w:r>
          </w:p>
        </w:tc>
      </w:tr>
      <w:tr w14:paraId="6708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5ECD9D">
            <w:pPr>
              <w:spacing w:line="240" w:lineRule="auto"/>
              <w:jc w:val="left"/>
            </w:pPr>
            <w:r>
              <w:rPr>
                <w:rFonts w:ascii="宋体" w:hAnsi="宋体" w:eastAsia="宋体" w:cs="宋体"/>
                <w:b w:val="0"/>
              </w:rPr>
              <w:t>2.衍生工具</w:t>
            </w:r>
          </w:p>
        </w:tc>
        <w:tc>
          <w:tcPr>
            <w:tcW w:w="0" w:type="dxa"/>
            <w:vAlign w:val="center"/>
          </w:tcPr>
          <w:p w14:paraId="710D6685">
            <w:pPr>
              <w:spacing w:line="240" w:lineRule="auto"/>
              <w:jc w:val="right"/>
            </w:pPr>
            <w:r>
              <w:rPr>
                <w:rFonts w:ascii="宋体" w:hAnsi="宋体" w:eastAsia="宋体" w:cs="宋体"/>
                <w:b w:val="0"/>
              </w:rPr>
              <w:t>-</w:t>
            </w:r>
          </w:p>
        </w:tc>
      </w:tr>
      <w:tr w14:paraId="3838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E734C5">
            <w:pPr>
              <w:spacing w:line="240" w:lineRule="auto"/>
              <w:jc w:val="left"/>
            </w:pPr>
            <w:r>
              <w:rPr>
                <w:rFonts w:ascii="宋体" w:hAnsi="宋体" w:eastAsia="宋体" w:cs="宋体"/>
                <w:b w:val="0"/>
              </w:rPr>
              <w:t>——权证投资</w:t>
            </w:r>
          </w:p>
        </w:tc>
        <w:tc>
          <w:tcPr>
            <w:tcW w:w="0" w:type="dxa"/>
            <w:vAlign w:val="center"/>
          </w:tcPr>
          <w:p w14:paraId="67BF30FB">
            <w:pPr>
              <w:spacing w:line="240" w:lineRule="auto"/>
              <w:jc w:val="right"/>
            </w:pPr>
            <w:r>
              <w:rPr>
                <w:rFonts w:ascii="宋体" w:hAnsi="宋体" w:eastAsia="宋体" w:cs="宋体"/>
                <w:b w:val="0"/>
              </w:rPr>
              <w:t>-</w:t>
            </w:r>
          </w:p>
        </w:tc>
      </w:tr>
      <w:tr w14:paraId="41D6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A0D55F">
            <w:pPr>
              <w:spacing w:line="240" w:lineRule="auto"/>
              <w:jc w:val="left"/>
            </w:pPr>
            <w:r>
              <w:rPr>
                <w:rFonts w:ascii="宋体" w:hAnsi="宋体" w:eastAsia="宋体" w:cs="宋体"/>
                <w:b w:val="0"/>
              </w:rPr>
              <w:t>3.其他</w:t>
            </w:r>
          </w:p>
        </w:tc>
        <w:tc>
          <w:tcPr>
            <w:tcW w:w="0" w:type="dxa"/>
            <w:vAlign w:val="center"/>
          </w:tcPr>
          <w:p w14:paraId="6EC37838">
            <w:pPr>
              <w:spacing w:line="240" w:lineRule="auto"/>
              <w:jc w:val="right"/>
            </w:pPr>
            <w:r>
              <w:rPr>
                <w:rFonts w:ascii="宋体" w:hAnsi="宋体" w:eastAsia="宋体" w:cs="宋体"/>
                <w:b w:val="0"/>
              </w:rPr>
              <w:t>-</w:t>
            </w:r>
          </w:p>
        </w:tc>
      </w:tr>
      <w:tr w14:paraId="6A26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E24C5F">
            <w:pPr>
              <w:spacing w:line="240" w:lineRule="auto"/>
              <w:jc w:val="left"/>
            </w:pPr>
            <w:r>
              <w:rPr>
                <w:rFonts w:ascii="宋体" w:hAnsi="宋体" w:eastAsia="宋体" w:cs="宋体"/>
                <w:b w:val="0"/>
              </w:rPr>
              <w:t>减：应税金融商品公允价值变动产生的预估增值税</w:t>
            </w:r>
          </w:p>
        </w:tc>
        <w:tc>
          <w:tcPr>
            <w:tcW w:w="0" w:type="dxa"/>
            <w:vAlign w:val="center"/>
          </w:tcPr>
          <w:p w14:paraId="5CC39995">
            <w:pPr>
              <w:spacing w:line="240" w:lineRule="auto"/>
              <w:jc w:val="right"/>
            </w:pPr>
            <w:r>
              <w:rPr>
                <w:rFonts w:ascii="宋体" w:hAnsi="宋体" w:eastAsia="宋体" w:cs="宋体"/>
                <w:b w:val="0"/>
              </w:rPr>
              <w:t>-</w:t>
            </w:r>
          </w:p>
        </w:tc>
      </w:tr>
      <w:tr w14:paraId="1D66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0598B4">
            <w:pPr>
              <w:spacing w:line="240" w:lineRule="auto"/>
              <w:jc w:val="left"/>
            </w:pPr>
            <w:r>
              <w:rPr>
                <w:rFonts w:ascii="宋体" w:hAnsi="宋体" w:eastAsia="宋体" w:cs="宋体"/>
                <w:b w:val="0"/>
              </w:rPr>
              <w:t>合计</w:t>
            </w:r>
          </w:p>
        </w:tc>
        <w:tc>
          <w:tcPr>
            <w:tcW w:w="0" w:type="dxa"/>
            <w:vAlign w:val="center"/>
          </w:tcPr>
          <w:p w14:paraId="78C4FED6">
            <w:pPr>
              <w:spacing w:line="240" w:lineRule="auto"/>
              <w:jc w:val="right"/>
            </w:pPr>
            <w:r>
              <w:rPr>
                <w:rFonts w:ascii="宋体" w:hAnsi="宋体" w:eastAsia="宋体" w:cs="宋体"/>
                <w:b w:val="0"/>
              </w:rPr>
              <w:t>201,803,753.25</w:t>
            </w:r>
          </w:p>
        </w:tc>
      </w:tr>
    </w:tbl>
    <w:p w14:paraId="55A60BFB"/>
    <w:p w14:paraId="6C7A1C55">
      <w:pPr>
        <w:pStyle w:val="58"/>
      </w:pPr>
      <w:r>
        <w:rPr>
          <w:rFonts w:ascii="宋体" w:hAnsi="宋体" w:eastAsia="宋体" w:cs="宋体"/>
          <w:b/>
        </w:rPr>
        <w:t>6.4.7.18 其他收入</w:t>
      </w:r>
    </w:p>
    <w:p w14:paraId="08974B45">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7356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3922CDD3">
            <w:pPr>
              <w:spacing w:line="240" w:lineRule="auto"/>
              <w:jc w:val="center"/>
            </w:pPr>
            <w:r>
              <w:rPr>
                <w:rFonts w:ascii="宋体" w:hAnsi="宋体" w:eastAsia="宋体" w:cs="宋体"/>
                <w:b w:val="0"/>
              </w:rPr>
              <w:t>项目</w:t>
            </w:r>
          </w:p>
        </w:tc>
        <w:tc>
          <w:tcPr>
            <w:tcW w:w="3077" w:type="pct"/>
            <w:shd w:val="clear" w:color="auto" w:fill="D9D9D9"/>
            <w:vAlign w:val="center"/>
          </w:tcPr>
          <w:p w14:paraId="0E6FF593">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7822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257D41">
            <w:pPr>
              <w:spacing w:line="240" w:lineRule="auto"/>
              <w:jc w:val="left"/>
            </w:pPr>
            <w:r>
              <w:rPr>
                <w:rFonts w:ascii="宋体" w:hAnsi="宋体" w:eastAsia="宋体" w:cs="宋体"/>
                <w:b w:val="0"/>
              </w:rPr>
              <w:t>基金赎回费收入</w:t>
            </w:r>
          </w:p>
        </w:tc>
        <w:tc>
          <w:tcPr>
            <w:tcW w:w="0" w:type="dxa"/>
            <w:vAlign w:val="center"/>
          </w:tcPr>
          <w:p w14:paraId="7D625A3D">
            <w:pPr>
              <w:spacing w:line="240" w:lineRule="auto"/>
              <w:jc w:val="right"/>
            </w:pPr>
            <w:r>
              <w:rPr>
                <w:rFonts w:ascii="宋体" w:hAnsi="宋体" w:eastAsia="宋体" w:cs="宋体"/>
                <w:b w:val="0"/>
              </w:rPr>
              <w:t>5,454,442.60</w:t>
            </w:r>
          </w:p>
        </w:tc>
      </w:tr>
      <w:tr w14:paraId="5AF3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7EB872">
            <w:pPr>
              <w:spacing w:line="240" w:lineRule="auto"/>
              <w:jc w:val="left"/>
            </w:pPr>
            <w:r>
              <w:rPr>
                <w:rFonts w:ascii="宋体" w:hAnsi="宋体" w:eastAsia="宋体" w:cs="宋体"/>
                <w:b w:val="0"/>
              </w:rPr>
              <w:t>转换费收入</w:t>
            </w:r>
          </w:p>
        </w:tc>
        <w:tc>
          <w:tcPr>
            <w:tcW w:w="0" w:type="dxa"/>
            <w:vAlign w:val="center"/>
          </w:tcPr>
          <w:p w14:paraId="300DB676">
            <w:pPr>
              <w:spacing w:line="240" w:lineRule="auto"/>
              <w:jc w:val="right"/>
            </w:pPr>
            <w:r>
              <w:rPr>
                <w:rFonts w:ascii="宋体" w:hAnsi="宋体" w:eastAsia="宋体" w:cs="宋体"/>
                <w:b w:val="0"/>
              </w:rPr>
              <w:t>43,383.62</w:t>
            </w:r>
          </w:p>
        </w:tc>
      </w:tr>
      <w:tr w14:paraId="55E8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1BEE1A">
            <w:pPr>
              <w:spacing w:line="240" w:lineRule="auto"/>
              <w:jc w:val="left"/>
            </w:pPr>
            <w:r>
              <w:rPr>
                <w:rFonts w:ascii="宋体" w:hAnsi="宋体" w:eastAsia="宋体" w:cs="宋体"/>
                <w:b w:val="0"/>
              </w:rPr>
              <w:t>合计</w:t>
            </w:r>
          </w:p>
        </w:tc>
        <w:tc>
          <w:tcPr>
            <w:tcW w:w="0" w:type="dxa"/>
            <w:vAlign w:val="center"/>
          </w:tcPr>
          <w:p w14:paraId="3AD266CE">
            <w:pPr>
              <w:spacing w:line="240" w:lineRule="auto"/>
              <w:jc w:val="right"/>
            </w:pPr>
            <w:r>
              <w:rPr>
                <w:rFonts w:ascii="宋体" w:hAnsi="宋体" w:eastAsia="宋体" w:cs="宋体"/>
                <w:b w:val="0"/>
              </w:rPr>
              <w:t>5,497,826.22</w:t>
            </w:r>
          </w:p>
        </w:tc>
      </w:tr>
    </w:tbl>
    <w:p w14:paraId="4A472E4B"/>
    <w:p w14:paraId="1DE51A6D">
      <w:pPr>
        <w:pStyle w:val="58"/>
      </w:pPr>
      <w:r>
        <w:rPr>
          <w:rFonts w:ascii="宋体" w:hAnsi="宋体" w:eastAsia="宋体" w:cs="宋体"/>
          <w:b/>
        </w:rPr>
        <w:t>6.4.7.19 其他费用</w:t>
      </w:r>
    </w:p>
    <w:p w14:paraId="1CFFF553">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4CCF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0CB5F5B6">
            <w:pPr>
              <w:spacing w:line="240" w:lineRule="auto"/>
              <w:jc w:val="center"/>
            </w:pPr>
            <w:r>
              <w:rPr>
                <w:rFonts w:ascii="宋体" w:hAnsi="宋体" w:eastAsia="宋体" w:cs="宋体"/>
                <w:b w:val="0"/>
              </w:rPr>
              <w:t>项目</w:t>
            </w:r>
          </w:p>
        </w:tc>
        <w:tc>
          <w:tcPr>
            <w:tcW w:w="3077" w:type="pct"/>
            <w:shd w:val="clear" w:color="auto" w:fill="D9D9D9"/>
            <w:vAlign w:val="center"/>
          </w:tcPr>
          <w:p w14:paraId="15ACD44A">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4834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6AFE35">
            <w:pPr>
              <w:spacing w:line="240" w:lineRule="auto"/>
              <w:jc w:val="left"/>
            </w:pPr>
            <w:r>
              <w:rPr>
                <w:rFonts w:ascii="宋体" w:hAnsi="宋体" w:eastAsia="宋体" w:cs="宋体"/>
                <w:b w:val="0"/>
              </w:rPr>
              <w:t>审计费用</w:t>
            </w:r>
          </w:p>
        </w:tc>
        <w:tc>
          <w:tcPr>
            <w:tcW w:w="0" w:type="dxa"/>
            <w:vAlign w:val="center"/>
          </w:tcPr>
          <w:p w14:paraId="7E5339BF">
            <w:pPr>
              <w:spacing w:line="240" w:lineRule="auto"/>
              <w:jc w:val="right"/>
            </w:pPr>
            <w:r>
              <w:rPr>
                <w:rFonts w:ascii="宋体" w:hAnsi="宋体" w:eastAsia="宋体" w:cs="宋体"/>
                <w:b w:val="0"/>
              </w:rPr>
              <w:t>3,104.74</w:t>
            </w:r>
          </w:p>
        </w:tc>
      </w:tr>
      <w:tr w14:paraId="1E3C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B8B781">
            <w:pPr>
              <w:spacing w:line="240" w:lineRule="auto"/>
              <w:jc w:val="left"/>
            </w:pPr>
            <w:r>
              <w:rPr>
                <w:rFonts w:ascii="宋体" w:hAnsi="宋体" w:eastAsia="宋体" w:cs="宋体"/>
                <w:b w:val="0"/>
              </w:rPr>
              <w:t>信息披露费</w:t>
            </w:r>
          </w:p>
        </w:tc>
        <w:tc>
          <w:tcPr>
            <w:tcW w:w="0" w:type="dxa"/>
            <w:vAlign w:val="center"/>
          </w:tcPr>
          <w:p w14:paraId="3A95B71F">
            <w:pPr>
              <w:spacing w:line="240" w:lineRule="auto"/>
              <w:jc w:val="right"/>
            </w:pPr>
            <w:r>
              <w:rPr>
                <w:rFonts w:ascii="宋体" w:hAnsi="宋体" w:eastAsia="宋体" w:cs="宋体"/>
                <w:b w:val="0"/>
              </w:rPr>
              <w:t>41,338.22</w:t>
            </w:r>
          </w:p>
        </w:tc>
      </w:tr>
      <w:tr w14:paraId="7060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FF6DA1">
            <w:pPr>
              <w:spacing w:line="240" w:lineRule="auto"/>
              <w:jc w:val="left"/>
            </w:pPr>
            <w:r>
              <w:rPr>
                <w:rFonts w:ascii="宋体" w:hAnsi="宋体" w:eastAsia="宋体" w:cs="宋体"/>
                <w:b w:val="0"/>
              </w:rPr>
              <w:t>证券出借违约金</w:t>
            </w:r>
          </w:p>
        </w:tc>
        <w:tc>
          <w:tcPr>
            <w:tcW w:w="0" w:type="dxa"/>
            <w:vAlign w:val="center"/>
          </w:tcPr>
          <w:p w14:paraId="739602B9">
            <w:pPr>
              <w:spacing w:line="240" w:lineRule="auto"/>
              <w:jc w:val="right"/>
            </w:pPr>
            <w:r>
              <w:rPr>
                <w:rFonts w:ascii="宋体" w:hAnsi="宋体" w:eastAsia="宋体" w:cs="宋体"/>
                <w:b w:val="0"/>
              </w:rPr>
              <w:t>-</w:t>
            </w:r>
          </w:p>
        </w:tc>
      </w:tr>
      <w:tr w14:paraId="53E1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E8BF60">
            <w:pPr>
              <w:spacing w:line="240" w:lineRule="auto"/>
              <w:jc w:val="left"/>
            </w:pPr>
            <w:r>
              <w:rPr>
                <w:rFonts w:ascii="宋体" w:hAnsi="宋体" w:eastAsia="宋体" w:cs="宋体"/>
                <w:b w:val="0"/>
              </w:rPr>
              <w:t>汇划手续费</w:t>
            </w:r>
          </w:p>
        </w:tc>
        <w:tc>
          <w:tcPr>
            <w:tcW w:w="0" w:type="dxa"/>
            <w:vAlign w:val="center"/>
          </w:tcPr>
          <w:p w14:paraId="73D48E40">
            <w:pPr>
              <w:spacing w:line="240" w:lineRule="auto"/>
              <w:jc w:val="right"/>
            </w:pPr>
            <w:r>
              <w:rPr>
                <w:rFonts w:ascii="宋体" w:hAnsi="宋体" w:eastAsia="宋体" w:cs="宋体"/>
                <w:b w:val="0"/>
              </w:rPr>
              <w:t>4,564.50</w:t>
            </w:r>
          </w:p>
        </w:tc>
      </w:tr>
      <w:tr w14:paraId="466B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76FD5B">
            <w:pPr>
              <w:spacing w:line="240" w:lineRule="auto"/>
              <w:jc w:val="left"/>
            </w:pPr>
            <w:r>
              <w:rPr>
                <w:rFonts w:ascii="宋体" w:hAnsi="宋体" w:eastAsia="宋体" w:cs="宋体"/>
                <w:b w:val="0"/>
              </w:rPr>
              <w:t>合计</w:t>
            </w:r>
          </w:p>
        </w:tc>
        <w:tc>
          <w:tcPr>
            <w:tcW w:w="0" w:type="dxa"/>
            <w:vAlign w:val="center"/>
          </w:tcPr>
          <w:p w14:paraId="279E8E7B">
            <w:pPr>
              <w:spacing w:line="240" w:lineRule="auto"/>
              <w:jc w:val="right"/>
            </w:pPr>
            <w:r>
              <w:rPr>
                <w:rFonts w:ascii="宋体" w:hAnsi="宋体" w:eastAsia="宋体" w:cs="宋体"/>
                <w:b w:val="0"/>
              </w:rPr>
              <w:t>49,007.46</w:t>
            </w:r>
          </w:p>
        </w:tc>
      </w:tr>
    </w:tbl>
    <w:p w14:paraId="0D30F63F"/>
    <w:p w14:paraId="18A40F70">
      <w:pPr>
        <w:pStyle w:val="58"/>
      </w:pPr>
      <w:r>
        <w:rPr>
          <w:rFonts w:ascii="宋体" w:hAnsi="宋体" w:eastAsia="宋体" w:cs="宋体"/>
          <w:b/>
        </w:rPr>
        <w:t>6.4.8 或有事项、资产负债表日后事项的说明</w:t>
      </w:r>
    </w:p>
    <w:p w14:paraId="26E7ABBB">
      <w:pPr>
        <w:pStyle w:val="58"/>
      </w:pPr>
      <w:r>
        <w:rPr>
          <w:rFonts w:ascii="宋体" w:hAnsi="宋体" w:eastAsia="宋体" w:cs="宋体"/>
          <w:b/>
        </w:rPr>
        <w:t>6.4.8.1 或有事项</w:t>
      </w:r>
    </w:p>
    <w:p w14:paraId="6A62B4FA">
      <w:pPr>
        <w:jc w:val="left"/>
      </w:pPr>
      <w:r>
        <w:rPr>
          <w:rFonts w:ascii="宋体" w:hAnsi="宋体" w:eastAsia="宋体" w:cs="宋体"/>
          <w:b w:val="0"/>
        </w:rPr>
        <w:t xml:space="preserve">    截至资产负债表日，本基金并无须作披露的或有事项。</w:t>
      </w:r>
    </w:p>
    <w:p w14:paraId="75019758"/>
    <w:p w14:paraId="3D95FC4F">
      <w:pPr>
        <w:pStyle w:val="58"/>
      </w:pPr>
      <w:r>
        <w:rPr>
          <w:rFonts w:ascii="宋体" w:hAnsi="宋体" w:eastAsia="宋体" w:cs="宋体"/>
          <w:b/>
        </w:rPr>
        <w:t>6.4.8.2 资产负债表日后事项</w:t>
      </w:r>
    </w:p>
    <w:p w14:paraId="69E6D4EF">
      <w:pPr>
        <w:jc w:val="left"/>
      </w:pPr>
      <w:r>
        <w:rPr>
          <w:rFonts w:ascii="宋体" w:hAnsi="宋体" w:eastAsia="宋体" w:cs="宋体"/>
          <w:b w:val="0"/>
        </w:rPr>
        <w:t xml:space="preserve">    截至本会计报表批准报出日，本基金无须作披露的资产负债表日后事项。</w:t>
      </w:r>
    </w:p>
    <w:p w14:paraId="7F5310DE"/>
    <w:p w14:paraId="795FFE00">
      <w:pPr>
        <w:pStyle w:val="58"/>
      </w:pPr>
      <w:r>
        <w:rPr>
          <w:rFonts w:ascii="宋体" w:hAnsi="宋体" w:eastAsia="宋体" w:cs="宋体"/>
          <w:b/>
        </w:rPr>
        <w:t>6.4.9 关联方、关联关系</w:t>
      </w:r>
    </w:p>
    <w:p w14:paraId="337FE371">
      <w:pPr>
        <w:pStyle w:val="58"/>
      </w:pPr>
      <w:r>
        <w:rPr>
          <w:rFonts w:ascii="宋体" w:hAnsi="宋体" w:eastAsia="宋体" w:cs="宋体"/>
          <w:b/>
        </w:rPr>
        <w:t>6.4.9.1 本报告期存在控制关系或其他重大利害关系的关联方发生变化的情况</w:t>
      </w:r>
    </w:p>
    <w:p w14:paraId="6B1022BE">
      <w:pPr>
        <w:jc w:val="left"/>
      </w:pPr>
      <w:r>
        <w:rPr>
          <w:rFonts w:ascii="宋体" w:hAnsi="宋体" w:eastAsia="宋体" w:cs="宋体"/>
          <w:b w:val="0"/>
        </w:rPr>
        <w:t xml:space="preserve">    本报告期内存在控制关系或其他重大利害关系的关联方未发生变化。</w:t>
      </w:r>
    </w:p>
    <w:p w14:paraId="2D47799F"/>
    <w:p w14:paraId="6BAB3480">
      <w:pPr>
        <w:pStyle w:val="58"/>
      </w:pPr>
      <w:r>
        <w:rPr>
          <w:rFonts w:ascii="宋体" w:hAnsi="宋体" w:eastAsia="宋体" w:cs="宋体"/>
          <w:b/>
        </w:rPr>
        <w:t>6.4.9.2 本报告期与基金发生关联交易的各关联方</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4"/>
        <w:gridCol w:w="5572"/>
      </w:tblGrid>
      <w:tr w14:paraId="1356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0" w:type="pct"/>
            <w:shd w:val="clear" w:color="auto" w:fill="D9D9D9"/>
            <w:vAlign w:val="center"/>
          </w:tcPr>
          <w:p w14:paraId="57CD662E">
            <w:pPr>
              <w:spacing w:line="240" w:lineRule="auto"/>
              <w:jc w:val="center"/>
            </w:pPr>
            <w:r>
              <w:rPr>
                <w:rFonts w:ascii="宋体" w:hAnsi="宋体" w:eastAsia="宋体" w:cs="宋体"/>
                <w:b w:val="0"/>
              </w:rPr>
              <w:t>关联方名称</w:t>
            </w:r>
          </w:p>
        </w:tc>
        <w:tc>
          <w:tcPr>
            <w:tcW w:w="3000" w:type="pct"/>
            <w:shd w:val="clear" w:color="auto" w:fill="D9D9D9"/>
            <w:vAlign w:val="center"/>
          </w:tcPr>
          <w:p w14:paraId="6E1BC028">
            <w:pPr>
              <w:spacing w:line="240" w:lineRule="auto"/>
              <w:jc w:val="center"/>
            </w:pPr>
            <w:r>
              <w:rPr>
                <w:rFonts w:ascii="宋体" w:hAnsi="宋体" w:eastAsia="宋体" w:cs="宋体"/>
                <w:b w:val="0"/>
              </w:rPr>
              <w:t>与本基金的关系</w:t>
            </w:r>
          </w:p>
        </w:tc>
      </w:tr>
      <w:tr w14:paraId="6A5C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E34112">
            <w:pPr>
              <w:spacing w:line="240" w:lineRule="auto"/>
              <w:jc w:val="left"/>
            </w:pPr>
            <w:r>
              <w:rPr>
                <w:rFonts w:ascii="宋体" w:hAnsi="宋体" w:eastAsia="宋体" w:cs="宋体"/>
                <w:b w:val="0"/>
              </w:rPr>
              <w:t>东方阿尔法基金管理有限公司(“东方阿尔法基金”)</w:t>
            </w:r>
          </w:p>
        </w:tc>
        <w:tc>
          <w:tcPr>
            <w:tcW w:w="0" w:type="dxa"/>
            <w:vAlign w:val="center"/>
          </w:tcPr>
          <w:p w14:paraId="577D5F90">
            <w:pPr>
              <w:spacing w:line="240" w:lineRule="auto"/>
              <w:jc w:val="left"/>
            </w:pPr>
            <w:r>
              <w:rPr>
                <w:rFonts w:ascii="宋体" w:hAnsi="宋体" w:eastAsia="宋体" w:cs="宋体"/>
                <w:b w:val="0"/>
              </w:rPr>
              <w:t>基金管理人、基金销售机构</w:t>
            </w:r>
          </w:p>
        </w:tc>
      </w:tr>
      <w:tr w14:paraId="26E5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FF74F3">
            <w:pPr>
              <w:spacing w:line="240" w:lineRule="auto"/>
              <w:jc w:val="left"/>
            </w:pPr>
            <w:r>
              <w:rPr>
                <w:rFonts w:ascii="宋体" w:hAnsi="宋体" w:eastAsia="宋体" w:cs="宋体"/>
                <w:b w:val="0"/>
              </w:rPr>
              <w:t>中信银行股份有限公司(“中信银行”)</w:t>
            </w:r>
          </w:p>
        </w:tc>
        <w:tc>
          <w:tcPr>
            <w:tcW w:w="0" w:type="dxa"/>
            <w:vAlign w:val="center"/>
          </w:tcPr>
          <w:p w14:paraId="74C26230">
            <w:pPr>
              <w:spacing w:line="240" w:lineRule="auto"/>
              <w:jc w:val="left"/>
            </w:pPr>
            <w:r>
              <w:rPr>
                <w:rFonts w:ascii="宋体" w:hAnsi="宋体" w:eastAsia="宋体" w:cs="宋体"/>
                <w:b w:val="0"/>
              </w:rPr>
              <w:t>基金托管人</w:t>
            </w:r>
          </w:p>
        </w:tc>
      </w:tr>
      <w:tr w14:paraId="1BA0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355562">
            <w:pPr>
              <w:spacing w:line="240" w:lineRule="auto"/>
              <w:jc w:val="left"/>
            </w:pPr>
            <w:r>
              <w:rPr>
                <w:rFonts w:ascii="宋体" w:hAnsi="宋体" w:eastAsia="宋体" w:cs="宋体"/>
                <w:b w:val="0"/>
              </w:rPr>
              <w:t>珠海共同成长投资合伙企业(有限合伙)</w:t>
            </w:r>
          </w:p>
        </w:tc>
        <w:tc>
          <w:tcPr>
            <w:tcW w:w="0" w:type="dxa"/>
            <w:vAlign w:val="center"/>
          </w:tcPr>
          <w:p w14:paraId="0B2B05C6">
            <w:pPr>
              <w:spacing w:line="240" w:lineRule="auto"/>
              <w:jc w:val="left"/>
            </w:pPr>
            <w:r>
              <w:rPr>
                <w:rFonts w:ascii="宋体" w:hAnsi="宋体" w:eastAsia="宋体" w:cs="宋体"/>
                <w:b w:val="0"/>
              </w:rPr>
              <w:t>基金管理人的股东</w:t>
            </w:r>
          </w:p>
        </w:tc>
      </w:tr>
      <w:tr w14:paraId="3639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6872FF">
            <w:pPr>
              <w:spacing w:line="240" w:lineRule="auto"/>
              <w:jc w:val="left"/>
            </w:pPr>
            <w:r>
              <w:rPr>
                <w:rFonts w:ascii="宋体" w:hAnsi="宋体" w:eastAsia="宋体" w:cs="宋体"/>
                <w:b w:val="0"/>
              </w:rPr>
              <w:t>刘明</w:t>
            </w:r>
          </w:p>
        </w:tc>
        <w:tc>
          <w:tcPr>
            <w:tcW w:w="0" w:type="dxa"/>
            <w:vAlign w:val="center"/>
          </w:tcPr>
          <w:p w14:paraId="0497498B">
            <w:pPr>
              <w:spacing w:line="240" w:lineRule="auto"/>
              <w:jc w:val="left"/>
            </w:pPr>
            <w:r>
              <w:rPr>
                <w:rFonts w:ascii="宋体" w:hAnsi="宋体" w:eastAsia="宋体" w:cs="宋体"/>
                <w:b w:val="0"/>
              </w:rPr>
              <w:t>基金管理人的股东</w:t>
            </w:r>
          </w:p>
        </w:tc>
      </w:tr>
      <w:tr w14:paraId="596F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A79406">
            <w:pPr>
              <w:spacing w:line="240" w:lineRule="auto"/>
              <w:jc w:val="left"/>
            </w:pPr>
            <w:r>
              <w:rPr>
                <w:rFonts w:ascii="宋体" w:hAnsi="宋体" w:eastAsia="宋体" w:cs="宋体"/>
                <w:b w:val="0"/>
              </w:rPr>
              <w:t>肖冰</w:t>
            </w:r>
          </w:p>
        </w:tc>
        <w:tc>
          <w:tcPr>
            <w:tcW w:w="0" w:type="dxa"/>
            <w:vAlign w:val="center"/>
          </w:tcPr>
          <w:p w14:paraId="2EAD00B1">
            <w:pPr>
              <w:spacing w:line="240" w:lineRule="auto"/>
              <w:jc w:val="left"/>
            </w:pPr>
            <w:r>
              <w:rPr>
                <w:rFonts w:ascii="宋体" w:hAnsi="宋体" w:eastAsia="宋体" w:cs="宋体"/>
                <w:b w:val="0"/>
              </w:rPr>
              <w:t>基金管理人的股东</w:t>
            </w:r>
          </w:p>
        </w:tc>
      </w:tr>
      <w:tr w14:paraId="0B1D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73663E">
            <w:pPr>
              <w:spacing w:line="240" w:lineRule="auto"/>
              <w:jc w:val="left"/>
            </w:pPr>
            <w:r>
              <w:rPr>
                <w:rFonts w:ascii="宋体" w:hAnsi="宋体" w:eastAsia="宋体" w:cs="宋体"/>
                <w:b w:val="0"/>
              </w:rPr>
              <w:t>曾健</w:t>
            </w:r>
          </w:p>
        </w:tc>
        <w:tc>
          <w:tcPr>
            <w:tcW w:w="0" w:type="dxa"/>
            <w:vAlign w:val="center"/>
          </w:tcPr>
          <w:p w14:paraId="4F3521F3">
            <w:pPr>
              <w:spacing w:line="240" w:lineRule="auto"/>
              <w:jc w:val="left"/>
            </w:pPr>
            <w:r>
              <w:rPr>
                <w:rFonts w:ascii="宋体" w:hAnsi="宋体" w:eastAsia="宋体" w:cs="宋体"/>
                <w:b w:val="0"/>
              </w:rPr>
              <w:t>基金管理人的股东</w:t>
            </w:r>
          </w:p>
        </w:tc>
      </w:tr>
    </w:tbl>
    <w:p w14:paraId="2D0E892D">
      <w:r>
        <w:rPr>
          <w:rFonts w:ascii="宋体" w:hAnsi="宋体" w:eastAsia="宋体" w:cs="宋体"/>
          <w:b w:val="0"/>
        </w:rPr>
        <w:t>注：下述关联交易均在正常业务范围内按一般商业条款订立。</w:t>
      </w:r>
    </w:p>
    <w:p w14:paraId="36062E7E"/>
    <w:p w14:paraId="49DAD10C">
      <w:pPr>
        <w:pStyle w:val="58"/>
      </w:pPr>
      <w:r>
        <w:rPr>
          <w:rFonts w:ascii="宋体" w:hAnsi="宋体" w:eastAsia="宋体" w:cs="宋体"/>
          <w:b/>
        </w:rPr>
        <w:t>6.4.10 本报告期及上年度可比期间的关联方交易</w:t>
      </w:r>
    </w:p>
    <w:p w14:paraId="4E463E05">
      <w:pPr>
        <w:pStyle w:val="58"/>
      </w:pPr>
      <w:r>
        <w:rPr>
          <w:rFonts w:ascii="宋体" w:hAnsi="宋体" w:eastAsia="宋体" w:cs="宋体"/>
          <w:b/>
        </w:rPr>
        <w:t>6.4.10.1 通过关联方交易单元进行的交易</w:t>
      </w:r>
    </w:p>
    <w:p w14:paraId="4A351A45">
      <w:pPr>
        <w:pStyle w:val="58"/>
      </w:pPr>
      <w:r>
        <w:rPr>
          <w:rFonts w:ascii="宋体" w:hAnsi="宋体" w:eastAsia="宋体" w:cs="宋体"/>
          <w:b/>
        </w:rPr>
        <w:t>6.4.10.1.1 股票交易</w:t>
      </w:r>
    </w:p>
    <w:p w14:paraId="7507A1FF">
      <w:r>
        <w:rPr>
          <w:rFonts w:ascii="宋体" w:hAnsi="宋体" w:eastAsia="宋体" w:cs="宋体"/>
          <w:b w:val="0"/>
        </w:rPr>
        <w:t xml:space="preserve">    本基金本报告期及上年度可比期间未通过关联方交易单元进行股票交易。</w:t>
      </w:r>
    </w:p>
    <w:p w14:paraId="09FC39E1"/>
    <w:p w14:paraId="7B1A0A92">
      <w:pPr>
        <w:pStyle w:val="58"/>
      </w:pPr>
      <w:r>
        <w:rPr>
          <w:rFonts w:ascii="宋体" w:hAnsi="宋体" w:eastAsia="宋体" w:cs="宋体"/>
          <w:b/>
        </w:rPr>
        <w:t>6.4.10.1.2 权证交易</w:t>
      </w:r>
    </w:p>
    <w:p w14:paraId="640178D8">
      <w:r>
        <w:rPr>
          <w:rFonts w:ascii="宋体" w:hAnsi="宋体" w:eastAsia="宋体" w:cs="宋体"/>
          <w:b w:val="0"/>
        </w:rPr>
        <w:t xml:space="preserve">    本基金本报告期及上年度可比期间未通过关联方交易单元进行权证交易。</w:t>
      </w:r>
    </w:p>
    <w:p w14:paraId="5454387E"/>
    <w:p w14:paraId="1267A5FA">
      <w:pPr>
        <w:pStyle w:val="58"/>
      </w:pPr>
      <w:r>
        <w:rPr>
          <w:rFonts w:ascii="宋体" w:hAnsi="宋体" w:eastAsia="宋体" w:cs="宋体"/>
          <w:b/>
        </w:rPr>
        <w:t>6.4.10.1.3 债券交易</w:t>
      </w:r>
    </w:p>
    <w:p w14:paraId="30A9CD59">
      <w:r>
        <w:rPr>
          <w:rFonts w:ascii="宋体" w:hAnsi="宋体" w:eastAsia="宋体" w:cs="宋体"/>
          <w:b w:val="0"/>
        </w:rPr>
        <w:t xml:space="preserve">    本基金本报告期及上年度可比期间未通过关联方交易单元进行债券交易。</w:t>
      </w:r>
    </w:p>
    <w:p w14:paraId="2CE61C8B"/>
    <w:p w14:paraId="1CCE7C30">
      <w:pPr>
        <w:pStyle w:val="58"/>
      </w:pPr>
      <w:r>
        <w:rPr>
          <w:rFonts w:ascii="宋体" w:hAnsi="宋体" w:eastAsia="宋体" w:cs="宋体"/>
          <w:b/>
        </w:rPr>
        <w:t>6.4.10.1.4 债券回购交易</w:t>
      </w:r>
    </w:p>
    <w:p w14:paraId="245B1F58">
      <w:r>
        <w:rPr>
          <w:rFonts w:ascii="宋体" w:hAnsi="宋体" w:eastAsia="宋体" w:cs="宋体"/>
          <w:b w:val="0"/>
        </w:rPr>
        <w:t xml:space="preserve">    本基金本报告期及上年度可比期间未通过关联方交易单元进行债券回购交易。</w:t>
      </w:r>
    </w:p>
    <w:p w14:paraId="2364184F"/>
    <w:p w14:paraId="414E104F">
      <w:pPr>
        <w:pStyle w:val="58"/>
      </w:pPr>
      <w:r>
        <w:rPr>
          <w:rFonts w:ascii="宋体" w:hAnsi="宋体" w:eastAsia="宋体" w:cs="宋体"/>
          <w:b/>
        </w:rPr>
        <w:t>6.4.10.1.5 应支付关联方的佣金</w:t>
      </w:r>
    </w:p>
    <w:p w14:paraId="795FC0EB">
      <w:r>
        <w:rPr>
          <w:rFonts w:ascii="宋体" w:hAnsi="宋体" w:eastAsia="宋体" w:cs="宋体"/>
          <w:b w:val="0"/>
        </w:rPr>
        <w:t xml:space="preserve">    本基金本报告期及上年度可比期间无应支付关联方的佣金。</w:t>
      </w:r>
    </w:p>
    <w:p w14:paraId="16E5E491"/>
    <w:p w14:paraId="1023678E">
      <w:pPr>
        <w:pStyle w:val="58"/>
      </w:pPr>
      <w:r>
        <w:rPr>
          <w:rFonts w:ascii="宋体" w:hAnsi="宋体" w:eastAsia="宋体" w:cs="宋体"/>
          <w:b/>
        </w:rPr>
        <w:t>6.4.10.2 关联方报酬</w:t>
      </w:r>
    </w:p>
    <w:p w14:paraId="666C868B">
      <w:pPr>
        <w:pStyle w:val="58"/>
      </w:pPr>
      <w:r>
        <w:rPr>
          <w:rFonts w:ascii="宋体" w:hAnsi="宋体" w:eastAsia="宋体" w:cs="宋体"/>
          <w:b/>
        </w:rPr>
        <w:t>6.4.10.2.1 基金管理费</w:t>
      </w:r>
    </w:p>
    <w:p w14:paraId="1B23AA16">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642E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25B51436">
            <w:pPr>
              <w:spacing w:line="240" w:lineRule="auto"/>
              <w:jc w:val="center"/>
            </w:pPr>
            <w:r>
              <w:rPr>
                <w:rFonts w:ascii="宋体" w:hAnsi="宋体" w:eastAsia="宋体" w:cs="宋体"/>
                <w:b w:val="0"/>
              </w:rPr>
              <w:t>项目</w:t>
            </w:r>
          </w:p>
        </w:tc>
        <w:tc>
          <w:tcPr>
            <w:tcW w:w="1538" w:type="pct"/>
            <w:shd w:val="clear" w:color="auto" w:fill="D9D9D9"/>
            <w:vAlign w:val="center"/>
          </w:tcPr>
          <w:p w14:paraId="40BEA869">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14:paraId="4D4FDEA9">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2025年06月06日（基金合同生效日）至2025年06月30日</w:t>
            </w:r>
          </w:p>
        </w:tc>
      </w:tr>
      <w:tr w14:paraId="6CDC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DFB70E5">
            <w:pPr>
              <w:spacing w:line="240" w:lineRule="auto"/>
              <w:jc w:val="left"/>
            </w:pPr>
            <w:r>
              <w:rPr>
                <w:rFonts w:ascii="宋体" w:hAnsi="宋体" w:eastAsia="宋体" w:cs="宋体"/>
                <w:b w:val="0"/>
              </w:rPr>
              <w:t>当期发生的基金应支付的管理费</w:t>
            </w:r>
          </w:p>
        </w:tc>
        <w:tc>
          <w:tcPr>
            <w:tcW w:w="0" w:type="dxa"/>
            <w:vAlign w:val="center"/>
          </w:tcPr>
          <w:p w14:paraId="00E7B95C">
            <w:pPr>
              <w:spacing w:line="240" w:lineRule="auto"/>
              <w:jc w:val="right"/>
            </w:pPr>
            <w:r>
              <w:rPr>
                <w:rFonts w:ascii="宋体" w:hAnsi="宋体" w:eastAsia="宋体" w:cs="宋体"/>
                <w:b w:val="0"/>
              </w:rPr>
              <w:t>1,193,665.96</w:t>
            </w:r>
          </w:p>
        </w:tc>
        <w:tc>
          <w:tcPr>
            <w:tcW w:w="0" w:type="dxa"/>
            <w:vAlign w:val="center"/>
          </w:tcPr>
          <w:p w14:paraId="2EA318DC">
            <w:pPr>
              <w:spacing w:line="240" w:lineRule="auto"/>
              <w:jc w:val="right"/>
            </w:pPr>
            <w:r>
              <w:rPr>
                <w:rFonts w:ascii="宋体" w:hAnsi="宋体" w:eastAsia="宋体" w:cs="宋体"/>
                <w:b w:val="0"/>
              </w:rPr>
              <w:t>9,173.94</w:t>
            </w:r>
          </w:p>
        </w:tc>
      </w:tr>
      <w:tr w14:paraId="6837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286647">
            <w:pPr>
              <w:spacing w:line="240" w:lineRule="auto"/>
              <w:jc w:val="left"/>
            </w:pPr>
            <w:r>
              <w:rPr>
                <w:rFonts w:ascii="宋体" w:hAnsi="宋体" w:eastAsia="宋体" w:cs="宋体"/>
                <w:b w:val="0"/>
              </w:rPr>
              <w:t>其中：应支付销售机构的客户维护费</w:t>
            </w:r>
          </w:p>
        </w:tc>
        <w:tc>
          <w:tcPr>
            <w:tcW w:w="0" w:type="dxa"/>
            <w:vAlign w:val="center"/>
          </w:tcPr>
          <w:p w14:paraId="70C8DDFF">
            <w:pPr>
              <w:spacing w:line="240" w:lineRule="auto"/>
              <w:jc w:val="right"/>
            </w:pPr>
            <w:r>
              <w:rPr>
                <w:rFonts w:ascii="宋体" w:hAnsi="宋体" w:eastAsia="宋体" w:cs="宋体"/>
                <w:b w:val="0"/>
              </w:rPr>
              <w:t>545,435.62</w:t>
            </w:r>
          </w:p>
        </w:tc>
        <w:tc>
          <w:tcPr>
            <w:tcW w:w="0" w:type="dxa"/>
            <w:vAlign w:val="center"/>
          </w:tcPr>
          <w:p w14:paraId="115D97B0">
            <w:pPr>
              <w:spacing w:line="240" w:lineRule="auto"/>
              <w:jc w:val="right"/>
            </w:pPr>
            <w:r>
              <w:rPr>
                <w:rFonts w:ascii="宋体" w:hAnsi="宋体" w:eastAsia="宋体" w:cs="宋体"/>
                <w:b w:val="0"/>
              </w:rPr>
              <w:t>8.40</w:t>
            </w:r>
          </w:p>
        </w:tc>
      </w:tr>
      <w:tr w14:paraId="144B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EB2DD5">
            <w:pPr>
              <w:spacing w:line="240" w:lineRule="auto"/>
              <w:jc w:val="left"/>
            </w:pPr>
            <w:r>
              <w:rPr>
                <w:rFonts w:ascii="宋体" w:hAnsi="宋体" w:eastAsia="宋体" w:cs="宋体"/>
                <w:b w:val="0"/>
              </w:rPr>
              <w:t xml:space="preserve">      应支付基金管理人的净管理费</w:t>
            </w:r>
          </w:p>
        </w:tc>
        <w:tc>
          <w:tcPr>
            <w:tcW w:w="0" w:type="dxa"/>
            <w:vAlign w:val="center"/>
          </w:tcPr>
          <w:p w14:paraId="5A21FAD4">
            <w:pPr>
              <w:spacing w:line="240" w:lineRule="auto"/>
              <w:jc w:val="right"/>
            </w:pPr>
            <w:r>
              <w:rPr>
                <w:rFonts w:ascii="宋体" w:hAnsi="宋体" w:eastAsia="宋体" w:cs="宋体"/>
                <w:b w:val="0"/>
              </w:rPr>
              <w:t>648,230.34</w:t>
            </w:r>
          </w:p>
        </w:tc>
        <w:tc>
          <w:tcPr>
            <w:tcW w:w="0" w:type="dxa"/>
            <w:vAlign w:val="center"/>
          </w:tcPr>
          <w:p w14:paraId="1C3B929D">
            <w:pPr>
              <w:spacing w:line="240" w:lineRule="auto"/>
              <w:jc w:val="right"/>
            </w:pPr>
            <w:r>
              <w:rPr>
                <w:rFonts w:ascii="宋体" w:hAnsi="宋体" w:eastAsia="宋体" w:cs="宋体"/>
                <w:b w:val="0"/>
              </w:rPr>
              <w:t>9,165.54</w:t>
            </w:r>
          </w:p>
        </w:tc>
      </w:tr>
    </w:tbl>
    <w:p w14:paraId="4D6A47EF">
      <w:r>
        <w:rPr>
          <w:rFonts w:ascii="宋体" w:hAnsi="宋体" w:eastAsia="宋体" w:cs="宋体"/>
          <w:b w:val="0"/>
        </w:rPr>
        <w:t>注：支付基金管理人的管理人报酬按前一日基金资产净值1.20%的年费率计提，逐日累计至每月月底，按月支付。其计算公式为：</w:t>
      </w:r>
      <w:r>
        <w:rPr>
          <w:rFonts w:ascii="宋体" w:hAnsi="宋体" w:eastAsia="宋体" w:cs="宋体"/>
          <w:b w:val="0"/>
        </w:rPr>
        <w:br w:type="textWrapping"/>
      </w:r>
      <w:r>
        <w:rPr>
          <w:rFonts w:ascii="宋体" w:hAnsi="宋体" w:eastAsia="宋体" w:cs="宋体"/>
          <w:b w:val="0"/>
        </w:rPr>
        <w:t>日管理人报酬＝前一日基金资产净值 × 1.20%/ 当年天数。</w:t>
      </w:r>
    </w:p>
    <w:p w14:paraId="7B4FB638"/>
    <w:p w14:paraId="7011F3C8">
      <w:pPr>
        <w:pStyle w:val="58"/>
      </w:pPr>
      <w:r>
        <w:rPr>
          <w:rFonts w:ascii="宋体" w:hAnsi="宋体" w:eastAsia="宋体" w:cs="宋体"/>
          <w:b/>
        </w:rPr>
        <w:t>6.4.10.2.2 基金托管费</w:t>
      </w:r>
    </w:p>
    <w:p w14:paraId="2D331FD3">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4DE4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02D5ABA9">
            <w:pPr>
              <w:spacing w:line="240" w:lineRule="auto"/>
              <w:jc w:val="center"/>
            </w:pPr>
            <w:r>
              <w:rPr>
                <w:rFonts w:ascii="宋体" w:hAnsi="宋体" w:eastAsia="宋体" w:cs="宋体"/>
                <w:b w:val="0"/>
              </w:rPr>
              <w:t>项目</w:t>
            </w:r>
          </w:p>
        </w:tc>
        <w:tc>
          <w:tcPr>
            <w:tcW w:w="1538" w:type="pct"/>
            <w:shd w:val="clear" w:color="auto" w:fill="D9D9D9"/>
            <w:vAlign w:val="center"/>
          </w:tcPr>
          <w:p w14:paraId="65C88A4E">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14:paraId="723861A6">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2025年06月06日（基金合同生效日）至2025年06月30日</w:t>
            </w:r>
          </w:p>
        </w:tc>
      </w:tr>
      <w:tr w14:paraId="34CE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47199C">
            <w:pPr>
              <w:spacing w:line="240" w:lineRule="auto"/>
              <w:jc w:val="left"/>
            </w:pPr>
            <w:r>
              <w:rPr>
                <w:rFonts w:ascii="宋体" w:hAnsi="宋体" w:eastAsia="宋体" w:cs="宋体"/>
                <w:b w:val="0"/>
              </w:rPr>
              <w:t>当期发生的基金应支付的托管费</w:t>
            </w:r>
          </w:p>
        </w:tc>
        <w:tc>
          <w:tcPr>
            <w:tcW w:w="0" w:type="dxa"/>
            <w:vAlign w:val="center"/>
          </w:tcPr>
          <w:p w14:paraId="7C6230A8">
            <w:pPr>
              <w:spacing w:line="240" w:lineRule="auto"/>
              <w:jc w:val="right"/>
            </w:pPr>
            <w:r>
              <w:rPr>
                <w:rFonts w:ascii="宋体" w:hAnsi="宋体" w:eastAsia="宋体" w:cs="宋体"/>
                <w:b w:val="0"/>
              </w:rPr>
              <w:t>198,944.37</w:t>
            </w:r>
          </w:p>
        </w:tc>
        <w:tc>
          <w:tcPr>
            <w:tcW w:w="0" w:type="dxa"/>
            <w:vAlign w:val="center"/>
          </w:tcPr>
          <w:p w14:paraId="122791AC">
            <w:pPr>
              <w:spacing w:line="240" w:lineRule="auto"/>
              <w:jc w:val="right"/>
            </w:pPr>
            <w:r>
              <w:rPr>
                <w:rFonts w:ascii="宋体" w:hAnsi="宋体" w:eastAsia="宋体" w:cs="宋体"/>
                <w:b w:val="0"/>
              </w:rPr>
              <w:t>1,528.98</w:t>
            </w:r>
          </w:p>
        </w:tc>
      </w:tr>
    </w:tbl>
    <w:p w14:paraId="790226C5">
      <w:r>
        <w:rPr>
          <w:rFonts w:ascii="宋体" w:hAnsi="宋体" w:eastAsia="宋体" w:cs="宋体"/>
          <w:b w:val="0"/>
        </w:rPr>
        <w:t>注：支付基金托管人的托管费按前一日基金资产净值0.20%的年费率计提，逐日累计至每月月底，按月支付。其计算公式为：</w:t>
      </w:r>
      <w:r>
        <w:rPr>
          <w:rFonts w:ascii="宋体" w:hAnsi="宋体" w:eastAsia="宋体" w:cs="宋体"/>
          <w:b w:val="0"/>
        </w:rPr>
        <w:br w:type="textWrapping"/>
      </w:r>
      <w:r>
        <w:rPr>
          <w:rFonts w:ascii="宋体" w:hAnsi="宋体" w:eastAsia="宋体" w:cs="宋体"/>
          <w:b w:val="0"/>
        </w:rPr>
        <w:t>日托管费＝前一日基金资产净值 ×0.20%/ 当年天数。</w:t>
      </w:r>
    </w:p>
    <w:p w14:paraId="06218B91"/>
    <w:p w14:paraId="730121E6">
      <w:pPr>
        <w:pStyle w:val="58"/>
      </w:pPr>
      <w:r>
        <w:rPr>
          <w:rFonts w:ascii="宋体" w:hAnsi="宋体" w:eastAsia="宋体" w:cs="宋体"/>
          <w:b/>
        </w:rPr>
        <w:t>6.4.10.2.3 销售服务费</w:t>
      </w:r>
    </w:p>
    <w:p w14:paraId="0F220F28">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00"/>
        <w:gridCol w:w="2500"/>
        <w:gridCol w:w="1430"/>
      </w:tblGrid>
      <w:tr w14:paraId="088A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58C8BD05">
            <w:pPr>
              <w:spacing w:line="240" w:lineRule="auto"/>
              <w:jc w:val="center"/>
            </w:pPr>
            <w:r>
              <w:rPr>
                <w:rFonts w:ascii="宋体" w:hAnsi="宋体" w:eastAsia="宋体" w:cs="宋体"/>
                <w:b w:val="0"/>
              </w:rPr>
              <w:t>获得销售服务费的各关联方名称</w:t>
            </w:r>
          </w:p>
        </w:tc>
        <w:tc>
          <w:tcPr>
            <w:tcW w:w="3462" w:type="pct"/>
            <w:gridSpan w:val="3"/>
            <w:shd w:val="clear" w:color="auto" w:fill="D9D9D9"/>
            <w:vAlign w:val="center"/>
          </w:tcPr>
          <w:p w14:paraId="48F694F1">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14A8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72B8F566"/>
        </w:tc>
        <w:tc>
          <w:tcPr>
            <w:tcW w:w="0" w:type="dxa"/>
            <w:gridSpan w:val="3"/>
            <w:shd w:val="clear" w:color="auto" w:fill="D9D9D9"/>
            <w:vAlign w:val="center"/>
          </w:tcPr>
          <w:p w14:paraId="09349017">
            <w:pPr>
              <w:spacing w:line="240" w:lineRule="auto"/>
              <w:jc w:val="center"/>
            </w:pPr>
            <w:r>
              <w:rPr>
                <w:rFonts w:ascii="宋体" w:hAnsi="宋体" w:eastAsia="宋体" w:cs="宋体"/>
                <w:b w:val="0"/>
              </w:rPr>
              <w:t>当期发生的基金应支付的销售服务费</w:t>
            </w:r>
          </w:p>
        </w:tc>
      </w:tr>
      <w:tr w14:paraId="15BA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57592FE"/>
        </w:tc>
        <w:tc>
          <w:tcPr>
            <w:tcW w:w="1346" w:type="pct"/>
            <w:shd w:val="clear" w:color="auto" w:fill="D9D9D9"/>
            <w:vAlign w:val="center"/>
          </w:tcPr>
          <w:p w14:paraId="44A3648C">
            <w:pPr>
              <w:spacing w:line="240" w:lineRule="auto"/>
              <w:jc w:val="center"/>
            </w:pPr>
            <w:r>
              <w:rPr>
                <w:rFonts w:ascii="宋体" w:hAnsi="宋体" w:eastAsia="宋体" w:cs="宋体"/>
                <w:b w:val="0"/>
              </w:rPr>
              <w:t>东方阿尔法科技优选混合发起A</w:t>
            </w:r>
          </w:p>
        </w:tc>
        <w:tc>
          <w:tcPr>
            <w:tcW w:w="1346" w:type="pct"/>
            <w:shd w:val="clear" w:color="auto" w:fill="D9D9D9"/>
            <w:vAlign w:val="center"/>
          </w:tcPr>
          <w:p w14:paraId="6E2DC3DC">
            <w:pPr>
              <w:spacing w:line="240" w:lineRule="auto"/>
              <w:jc w:val="center"/>
            </w:pPr>
            <w:r>
              <w:rPr>
                <w:rFonts w:ascii="宋体" w:hAnsi="宋体" w:eastAsia="宋体" w:cs="宋体"/>
                <w:b w:val="0"/>
              </w:rPr>
              <w:t>东方阿尔法科技优选混合发起C</w:t>
            </w:r>
          </w:p>
        </w:tc>
        <w:tc>
          <w:tcPr>
            <w:tcW w:w="769" w:type="pct"/>
            <w:shd w:val="clear" w:color="auto" w:fill="D9D9D9"/>
            <w:vAlign w:val="center"/>
          </w:tcPr>
          <w:p w14:paraId="6F129085">
            <w:pPr>
              <w:spacing w:line="240" w:lineRule="auto"/>
              <w:jc w:val="center"/>
            </w:pPr>
            <w:r>
              <w:rPr>
                <w:rFonts w:ascii="宋体" w:hAnsi="宋体" w:eastAsia="宋体" w:cs="宋体"/>
                <w:b w:val="0"/>
              </w:rPr>
              <w:t>合计</w:t>
            </w:r>
          </w:p>
        </w:tc>
      </w:tr>
      <w:tr w14:paraId="4FAC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FD9290">
            <w:pPr>
              <w:spacing w:line="240" w:lineRule="auto"/>
              <w:jc w:val="left"/>
            </w:pPr>
            <w:r>
              <w:rPr>
                <w:rFonts w:ascii="宋体" w:hAnsi="宋体" w:eastAsia="宋体" w:cs="宋体"/>
                <w:b w:val="0"/>
              </w:rPr>
              <w:t>中信银行</w:t>
            </w:r>
          </w:p>
        </w:tc>
        <w:tc>
          <w:tcPr>
            <w:tcW w:w="0" w:type="dxa"/>
            <w:vAlign w:val="center"/>
          </w:tcPr>
          <w:p w14:paraId="3BACAA63">
            <w:pPr>
              <w:spacing w:line="240" w:lineRule="auto"/>
              <w:jc w:val="right"/>
            </w:pPr>
            <w:r>
              <w:rPr>
                <w:rFonts w:ascii="宋体" w:hAnsi="宋体" w:eastAsia="宋体" w:cs="宋体"/>
                <w:b w:val="0"/>
              </w:rPr>
              <w:t>-</w:t>
            </w:r>
          </w:p>
        </w:tc>
        <w:tc>
          <w:tcPr>
            <w:tcW w:w="0" w:type="dxa"/>
            <w:vAlign w:val="center"/>
          </w:tcPr>
          <w:p w14:paraId="6C0878F4">
            <w:pPr>
              <w:spacing w:line="240" w:lineRule="auto"/>
              <w:jc w:val="right"/>
            </w:pPr>
            <w:r>
              <w:rPr>
                <w:rFonts w:ascii="宋体" w:hAnsi="宋体" w:eastAsia="宋体" w:cs="宋体"/>
                <w:b w:val="0"/>
              </w:rPr>
              <w:t>-</w:t>
            </w:r>
          </w:p>
        </w:tc>
        <w:tc>
          <w:tcPr>
            <w:tcW w:w="0" w:type="dxa"/>
            <w:vAlign w:val="center"/>
          </w:tcPr>
          <w:p w14:paraId="25DCDC1A">
            <w:pPr>
              <w:spacing w:line="240" w:lineRule="auto"/>
              <w:jc w:val="right"/>
            </w:pPr>
            <w:r>
              <w:rPr>
                <w:rFonts w:ascii="宋体" w:hAnsi="宋体" w:eastAsia="宋体" w:cs="宋体"/>
                <w:b w:val="0"/>
              </w:rPr>
              <w:t>-</w:t>
            </w:r>
          </w:p>
        </w:tc>
      </w:tr>
      <w:tr w14:paraId="1281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3B7DE3">
            <w:pPr>
              <w:spacing w:line="240" w:lineRule="auto"/>
              <w:jc w:val="left"/>
            </w:pPr>
            <w:r>
              <w:rPr>
                <w:rFonts w:ascii="宋体" w:hAnsi="宋体" w:eastAsia="宋体" w:cs="宋体"/>
                <w:b w:val="0"/>
              </w:rPr>
              <w:t>东方阿尔法基金</w:t>
            </w:r>
          </w:p>
        </w:tc>
        <w:tc>
          <w:tcPr>
            <w:tcW w:w="0" w:type="dxa"/>
            <w:vAlign w:val="center"/>
          </w:tcPr>
          <w:p w14:paraId="0D05117F">
            <w:pPr>
              <w:spacing w:line="240" w:lineRule="auto"/>
              <w:jc w:val="right"/>
            </w:pPr>
            <w:r>
              <w:rPr>
                <w:rFonts w:ascii="宋体" w:hAnsi="宋体" w:eastAsia="宋体" w:cs="宋体"/>
                <w:b w:val="0"/>
              </w:rPr>
              <w:t>-</w:t>
            </w:r>
          </w:p>
        </w:tc>
        <w:tc>
          <w:tcPr>
            <w:tcW w:w="0" w:type="dxa"/>
            <w:vAlign w:val="center"/>
          </w:tcPr>
          <w:p w14:paraId="6A013106">
            <w:pPr>
              <w:spacing w:line="240" w:lineRule="auto"/>
              <w:jc w:val="right"/>
            </w:pPr>
            <w:r>
              <w:rPr>
                <w:rFonts w:ascii="宋体" w:hAnsi="宋体" w:eastAsia="宋体" w:cs="宋体"/>
                <w:b w:val="0"/>
              </w:rPr>
              <w:t>11.47</w:t>
            </w:r>
          </w:p>
        </w:tc>
        <w:tc>
          <w:tcPr>
            <w:tcW w:w="0" w:type="dxa"/>
            <w:vAlign w:val="center"/>
          </w:tcPr>
          <w:p w14:paraId="4AF58537">
            <w:pPr>
              <w:spacing w:line="240" w:lineRule="auto"/>
              <w:jc w:val="right"/>
            </w:pPr>
            <w:r>
              <w:rPr>
                <w:rFonts w:ascii="宋体" w:hAnsi="宋体" w:eastAsia="宋体" w:cs="宋体"/>
                <w:b w:val="0"/>
              </w:rPr>
              <w:t>11.47</w:t>
            </w:r>
          </w:p>
        </w:tc>
      </w:tr>
      <w:tr w14:paraId="36F3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6D3659">
            <w:pPr>
              <w:spacing w:line="240" w:lineRule="auto"/>
              <w:jc w:val="left"/>
            </w:pPr>
            <w:r>
              <w:rPr>
                <w:rFonts w:ascii="宋体" w:hAnsi="宋体" w:eastAsia="宋体" w:cs="宋体"/>
                <w:b w:val="0"/>
              </w:rPr>
              <w:t>合计</w:t>
            </w:r>
          </w:p>
        </w:tc>
        <w:tc>
          <w:tcPr>
            <w:tcW w:w="0" w:type="dxa"/>
            <w:vAlign w:val="center"/>
          </w:tcPr>
          <w:p w14:paraId="10CB2781">
            <w:pPr>
              <w:spacing w:line="240" w:lineRule="auto"/>
              <w:jc w:val="right"/>
            </w:pPr>
            <w:r>
              <w:rPr>
                <w:rFonts w:ascii="宋体" w:hAnsi="宋体" w:eastAsia="宋体" w:cs="宋体"/>
                <w:b w:val="0"/>
              </w:rPr>
              <w:t>-</w:t>
            </w:r>
          </w:p>
        </w:tc>
        <w:tc>
          <w:tcPr>
            <w:tcW w:w="0" w:type="dxa"/>
            <w:vAlign w:val="center"/>
          </w:tcPr>
          <w:p w14:paraId="03459393">
            <w:pPr>
              <w:spacing w:line="240" w:lineRule="auto"/>
              <w:jc w:val="right"/>
            </w:pPr>
            <w:r>
              <w:rPr>
                <w:rFonts w:ascii="宋体" w:hAnsi="宋体" w:eastAsia="宋体" w:cs="宋体"/>
                <w:b w:val="0"/>
              </w:rPr>
              <w:t>11.47</w:t>
            </w:r>
          </w:p>
        </w:tc>
        <w:tc>
          <w:tcPr>
            <w:tcW w:w="0" w:type="dxa"/>
            <w:vAlign w:val="center"/>
          </w:tcPr>
          <w:p w14:paraId="6220120A">
            <w:pPr>
              <w:spacing w:line="240" w:lineRule="auto"/>
              <w:jc w:val="right"/>
            </w:pPr>
            <w:r>
              <w:rPr>
                <w:rFonts w:ascii="宋体" w:hAnsi="宋体" w:eastAsia="宋体" w:cs="宋体"/>
                <w:b w:val="0"/>
              </w:rPr>
              <w:t>11.47</w:t>
            </w:r>
          </w:p>
        </w:tc>
      </w:tr>
      <w:tr w14:paraId="1DB4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14:paraId="0AA31356">
            <w:pPr>
              <w:spacing w:line="240" w:lineRule="auto"/>
              <w:jc w:val="center"/>
            </w:pPr>
            <w:r>
              <w:rPr>
                <w:rFonts w:ascii="宋体" w:hAnsi="宋体" w:eastAsia="宋体" w:cs="宋体"/>
                <w:b w:val="0"/>
              </w:rPr>
              <w:t>获得销售服务费的各关联方名称</w:t>
            </w:r>
          </w:p>
        </w:tc>
        <w:tc>
          <w:tcPr>
            <w:tcW w:w="0" w:type="dxa"/>
            <w:gridSpan w:val="3"/>
            <w:shd w:val="clear" w:color="auto" w:fill="D9D9D9"/>
            <w:vAlign w:val="center"/>
          </w:tcPr>
          <w:p w14:paraId="4AFA93C2">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2025年06月06日（基金合同生效日）至2025年06月30日</w:t>
            </w:r>
          </w:p>
        </w:tc>
      </w:tr>
      <w:tr w14:paraId="2828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66D3096"/>
        </w:tc>
        <w:tc>
          <w:tcPr>
            <w:tcW w:w="0" w:type="dxa"/>
            <w:gridSpan w:val="3"/>
            <w:shd w:val="clear" w:color="auto" w:fill="D9D9D9"/>
            <w:vAlign w:val="center"/>
          </w:tcPr>
          <w:p w14:paraId="50819151">
            <w:pPr>
              <w:spacing w:line="240" w:lineRule="auto"/>
              <w:jc w:val="center"/>
            </w:pPr>
            <w:r>
              <w:rPr>
                <w:rFonts w:ascii="宋体" w:hAnsi="宋体" w:eastAsia="宋体" w:cs="宋体"/>
                <w:b w:val="0"/>
              </w:rPr>
              <w:t>当期发生的基金应支付的销售服务费</w:t>
            </w:r>
          </w:p>
        </w:tc>
      </w:tr>
      <w:tr w14:paraId="63A6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D6B7F2F"/>
        </w:tc>
        <w:tc>
          <w:tcPr>
            <w:tcW w:w="0" w:type="dxa"/>
            <w:shd w:val="clear" w:color="auto" w:fill="D9D9D9"/>
            <w:vAlign w:val="center"/>
          </w:tcPr>
          <w:p w14:paraId="390BED92">
            <w:pPr>
              <w:spacing w:line="240" w:lineRule="auto"/>
              <w:jc w:val="center"/>
            </w:pPr>
            <w:r>
              <w:rPr>
                <w:rFonts w:ascii="宋体" w:hAnsi="宋体" w:eastAsia="宋体" w:cs="宋体"/>
                <w:b w:val="0"/>
              </w:rPr>
              <w:t>东方阿尔法科技优选混合发起A</w:t>
            </w:r>
          </w:p>
        </w:tc>
        <w:tc>
          <w:tcPr>
            <w:tcW w:w="0" w:type="dxa"/>
            <w:shd w:val="clear" w:color="auto" w:fill="D9D9D9"/>
            <w:vAlign w:val="center"/>
          </w:tcPr>
          <w:p w14:paraId="521303CA">
            <w:pPr>
              <w:spacing w:line="240" w:lineRule="auto"/>
              <w:jc w:val="center"/>
            </w:pPr>
            <w:r>
              <w:rPr>
                <w:rFonts w:ascii="宋体" w:hAnsi="宋体" w:eastAsia="宋体" w:cs="宋体"/>
                <w:b w:val="0"/>
              </w:rPr>
              <w:t>东方阿尔法科技优选混合发起C</w:t>
            </w:r>
          </w:p>
        </w:tc>
        <w:tc>
          <w:tcPr>
            <w:tcW w:w="0" w:type="dxa"/>
            <w:shd w:val="clear" w:color="auto" w:fill="D9D9D9"/>
            <w:vAlign w:val="center"/>
          </w:tcPr>
          <w:p w14:paraId="36A0C002">
            <w:pPr>
              <w:spacing w:line="240" w:lineRule="auto"/>
              <w:jc w:val="center"/>
            </w:pPr>
            <w:r>
              <w:rPr>
                <w:rFonts w:ascii="宋体" w:hAnsi="宋体" w:eastAsia="宋体" w:cs="宋体"/>
                <w:b w:val="0"/>
              </w:rPr>
              <w:t>合计</w:t>
            </w:r>
          </w:p>
        </w:tc>
      </w:tr>
      <w:tr w14:paraId="67F6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7C9367">
            <w:pPr>
              <w:spacing w:line="240" w:lineRule="auto"/>
              <w:jc w:val="left"/>
            </w:pPr>
            <w:r>
              <w:rPr>
                <w:rFonts w:ascii="宋体" w:hAnsi="宋体" w:eastAsia="宋体" w:cs="宋体"/>
                <w:b w:val="0"/>
              </w:rPr>
              <w:t>中信银行</w:t>
            </w:r>
          </w:p>
        </w:tc>
        <w:tc>
          <w:tcPr>
            <w:tcW w:w="0" w:type="dxa"/>
            <w:vAlign w:val="center"/>
          </w:tcPr>
          <w:p w14:paraId="33F832D0">
            <w:pPr>
              <w:spacing w:line="240" w:lineRule="auto"/>
              <w:jc w:val="right"/>
            </w:pPr>
            <w:r>
              <w:rPr>
                <w:rFonts w:ascii="宋体" w:hAnsi="宋体" w:eastAsia="宋体" w:cs="宋体"/>
                <w:b w:val="0"/>
              </w:rPr>
              <w:t>-</w:t>
            </w:r>
          </w:p>
        </w:tc>
        <w:tc>
          <w:tcPr>
            <w:tcW w:w="0" w:type="dxa"/>
            <w:vAlign w:val="center"/>
          </w:tcPr>
          <w:p w14:paraId="63568B01">
            <w:pPr>
              <w:spacing w:line="240" w:lineRule="auto"/>
              <w:jc w:val="right"/>
            </w:pPr>
            <w:r>
              <w:rPr>
                <w:rFonts w:ascii="宋体" w:hAnsi="宋体" w:eastAsia="宋体" w:cs="宋体"/>
                <w:b w:val="0"/>
              </w:rPr>
              <w:t>-</w:t>
            </w:r>
          </w:p>
        </w:tc>
        <w:tc>
          <w:tcPr>
            <w:tcW w:w="0" w:type="dxa"/>
            <w:vAlign w:val="center"/>
          </w:tcPr>
          <w:p w14:paraId="2F92BB3D">
            <w:pPr>
              <w:spacing w:line="240" w:lineRule="auto"/>
              <w:jc w:val="right"/>
            </w:pPr>
            <w:r>
              <w:rPr>
                <w:rFonts w:ascii="宋体" w:hAnsi="宋体" w:eastAsia="宋体" w:cs="宋体"/>
                <w:b w:val="0"/>
              </w:rPr>
              <w:t>-</w:t>
            </w:r>
          </w:p>
        </w:tc>
      </w:tr>
      <w:tr w14:paraId="2C15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3080431">
            <w:pPr>
              <w:spacing w:line="240" w:lineRule="auto"/>
              <w:jc w:val="left"/>
            </w:pPr>
            <w:r>
              <w:rPr>
                <w:rFonts w:ascii="宋体" w:hAnsi="宋体" w:eastAsia="宋体" w:cs="宋体"/>
                <w:b w:val="0"/>
              </w:rPr>
              <w:t>东方阿尔法基金</w:t>
            </w:r>
          </w:p>
        </w:tc>
        <w:tc>
          <w:tcPr>
            <w:tcW w:w="0" w:type="dxa"/>
            <w:vAlign w:val="center"/>
          </w:tcPr>
          <w:p w14:paraId="7B42ADB4">
            <w:pPr>
              <w:spacing w:line="240" w:lineRule="auto"/>
              <w:jc w:val="right"/>
            </w:pPr>
            <w:r>
              <w:rPr>
                <w:rFonts w:ascii="宋体" w:hAnsi="宋体" w:eastAsia="宋体" w:cs="宋体"/>
                <w:b w:val="0"/>
              </w:rPr>
              <w:t>-</w:t>
            </w:r>
          </w:p>
        </w:tc>
        <w:tc>
          <w:tcPr>
            <w:tcW w:w="0" w:type="dxa"/>
            <w:vAlign w:val="center"/>
          </w:tcPr>
          <w:p w14:paraId="431CD909">
            <w:pPr>
              <w:spacing w:line="240" w:lineRule="auto"/>
              <w:jc w:val="right"/>
            </w:pPr>
            <w:r>
              <w:rPr>
                <w:rFonts w:ascii="宋体" w:hAnsi="宋体" w:eastAsia="宋体" w:cs="宋体"/>
                <w:b w:val="0"/>
              </w:rPr>
              <w:t>1.20</w:t>
            </w:r>
          </w:p>
        </w:tc>
        <w:tc>
          <w:tcPr>
            <w:tcW w:w="0" w:type="dxa"/>
            <w:vAlign w:val="center"/>
          </w:tcPr>
          <w:p w14:paraId="1970C1E1">
            <w:pPr>
              <w:spacing w:line="240" w:lineRule="auto"/>
              <w:jc w:val="right"/>
            </w:pPr>
            <w:r>
              <w:rPr>
                <w:rFonts w:ascii="宋体" w:hAnsi="宋体" w:eastAsia="宋体" w:cs="宋体"/>
                <w:b w:val="0"/>
              </w:rPr>
              <w:t>1.20</w:t>
            </w:r>
          </w:p>
        </w:tc>
      </w:tr>
      <w:tr w14:paraId="6E13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C05F22">
            <w:pPr>
              <w:spacing w:line="240" w:lineRule="auto"/>
              <w:jc w:val="left"/>
            </w:pPr>
            <w:r>
              <w:rPr>
                <w:rFonts w:ascii="宋体" w:hAnsi="宋体" w:eastAsia="宋体" w:cs="宋体"/>
                <w:b w:val="0"/>
              </w:rPr>
              <w:t>合计</w:t>
            </w:r>
          </w:p>
        </w:tc>
        <w:tc>
          <w:tcPr>
            <w:tcW w:w="0" w:type="dxa"/>
            <w:vAlign w:val="center"/>
          </w:tcPr>
          <w:p w14:paraId="75D4DC42">
            <w:pPr>
              <w:spacing w:line="240" w:lineRule="auto"/>
              <w:jc w:val="right"/>
            </w:pPr>
            <w:r>
              <w:rPr>
                <w:rFonts w:ascii="宋体" w:hAnsi="宋体" w:eastAsia="宋体" w:cs="宋体"/>
                <w:b w:val="0"/>
              </w:rPr>
              <w:t>-</w:t>
            </w:r>
          </w:p>
        </w:tc>
        <w:tc>
          <w:tcPr>
            <w:tcW w:w="0" w:type="dxa"/>
            <w:vAlign w:val="center"/>
          </w:tcPr>
          <w:p w14:paraId="06AD9F8B">
            <w:pPr>
              <w:spacing w:line="240" w:lineRule="auto"/>
              <w:jc w:val="right"/>
            </w:pPr>
            <w:r>
              <w:rPr>
                <w:rFonts w:ascii="宋体" w:hAnsi="宋体" w:eastAsia="宋体" w:cs="宋体"/>
                <w:b w:val="0"/>
              </w:rPr>
              <w:t>1.20</w:t>
            </w:r>
          </w:p>
        </w:tc>
        <w:tc>
          <w:tcPr>
            <w:tcW w:w="0" w:type="dxa"/>
            <w:vAlign w:val="center"/>
          </w:tcPr>
          <w:p w14:paraId="5D75E222">
            <w:pPr>
              <w:spacing w:line="240" w:lineRule="auto"/>
              <w:jc w:val="right"/>
            </w:pPr>
            <w:r>
              <w:rPr>
                <w:rFonts w:ascii="宋体" w:hAnsi="宋体" w:eastAsia="宋体" w:cs="宋体"/>
                <w:b w:val="0"/>
              </w:rPr>
              <w:t>1.20</w:t>
            </w:r>
          </w:p>
        </w:tc>
      </w:tr>
    </w:tbl>
    <w:p w14:paraId="2FDDF5E4">
      <w:r>
        <w:rPr>
          <w:rFonts w:ascii="宋体" w:hAnsi="宋体" w:eastAsia="宋体" w:cs="宋体"/>
          <w:b w:val="0"/>
        </w:rPr>
        <w:t>注：1、本基金A类基金份额不收取销售服务费，C类基金份额的销售服务费年费率为0.40%，逐日累计至每月月底，按月支付给登记机构 ，由登记机构代付给各基金销售机构。</w:t>
      </w:r>
      <w:r>
        <w:rPr>
          <w:rFonts w:ascii="宋体" w:hAnsi="宋体" w:eastAsia="宋体" w:cs="宋体"/>
          <w:b w:val="0"/>
        </w:rPr>
        <w:br w:type="textWrapping"/>
      </w:r>
      <w:r>
        <w:rPr>
          <w:rFonts w:ascii="宋体" w:hAnsi="宋体" w:eastAsia="宋体" w:cs="宋体"/>
          <w:b w:val="0"/>
        </w:rPr>
        <w:t>2、本基金销售服务费将专门用于本基金的销售与基金份额持有人服务。销售服务费计提的计算公式如下：</w:t>
      </w:r>
      <w:r>
        <w:rPr>
          <w:rFonts w:ascii="宋体" w:hAnsi="宋体" w:eastAsia="宋体" w:cs="宋体"/>
          <w:b w:val="0"/>
        </w:rPr>
        <w:br w:type="textWrapping"/>
      </w:r>
      <w:r>
        <w:rPr>
          <w:rFonts w:ascii="宋体" w:hAnsi="宋体" w:eastAsia="宋体" w:cs="宋体"/>
          <w:b w:val="0"/>
        </w:rPr>
        <w:t>日销售服务费=前一日C类基金份额的基金资产净值×0.40%/ 当年天数。</w:t>
      </w:r>
    </w:p>
    <w:p w14:paraId="173BA7CD"/>
    <w:p w14:paraId="66A6470B">
      <w:pPr>
        <w:pStyle w:val="58"/>
      </w:pPr>
      <w:r>
        <w:rPr>
          <w:rFonts w:ascii="宋体" w:hAnsi="宋体" w:eastAsia="宋体" w:cs="宋体"/>
          <w:b/>
        </w:rPr>
        <w:t>6.4.10.3 与关联方进行银行间同业市场的债券(含回购)交易</w:t>
      </w:r>
    </w:p>
    <w:p w14:paraId="667D5133">
      <w:r>
        <w:rPr>
          <w:rFonts w:ascii="宋体" w:hAnsi="宋体" w:eastAsia="宋体" w:cs="宋体"/>
          <w:b w:val="0"/>
        </w:rPr>
        <w:t xml:space="preserve">    本基金本报告期内及上年度可比期间未与关联方进行银行间同业市场的债券(含回购)交易。</w:t>
      </w:r>
    </w:p>
    <w:p w14:paraId="28F976B1"/>
    <w:p w14:paraId="60EC91BD">
      <w:pPr>
        <w:pStyle w:val="58"/>
      </w:pPr>
      <w:r>
        <w:rPr>
          <w:rFonts w:ascii="宋体" w:hAnsi="宋体" w:eastAsia="宋体" w:cs="宋体"/>
          <w:b/>
        </w:rPr>
        <w:t>6.4.10.4 报告期内转融通证券出借业务发生重大关联交易事项的说明</w:t>
      </w:r>
    </w:p>
    <w:p w14:paraId="60C2E34B">
      <w:pPr>
        <w:pStyle w:val="58"/>
      </w:pPr>
      <w:r>
        <w:rPr>
          <w:rFonts w:ascii="宋体" w:hAnsi="宋体" w:eastAsia="宋体" w:cs="宋体"/>
          <w:b/>
        </w:rPr>
        <w:t>6.4.10.4.1 与关联方通过约定申报方式进行的适用固定期限费率的证券出借业务的情况</w:t>
      </w:r>
    </w:p>
    <w:p w14:paraId="68AE110D">
      <w:r>
        <w:rPr>
          <w:rFonts w:ascii="宋体" w:hAnsi="宋体" w:eastAsia="宋体" w:cs="宋体"/>
          <w:b w:val="0"/>
        </w:rPr>
        <w:t xml:space="preserve">    本基金本报告期内及上年度可比期间无与关联方通过约定申报方式进行的适用固定期限费率的证券出借业务的情况。</w:t>
      </w:r>
    </w:p>
    <w:p w14:paraId="177E0736"/>
    <w:p w14:paraId="30C2C3FD">
      <w:pPr>
        <w:pStyle w:val="58"/>
      </w:pPr>
      <w:r>
        <w:rPr>
          <w:rFonts w:ascii="宋体" w:hAnsi="宋体" w:eastAsia="宋体" w:cs="宋体"/>
          <w:b/>
        </w:rPr>
        <w:t>6.4.10.4.2 与关联方通过约定申报方式进行的适用市场化期限费率的证券出借业务的情况</w:t>
      </w:r>
    </w:p>
    <w:p w14:paraId="4A0891C8">
      <w:r>
        <w:rPr>
          <w:rFonts w:ascii="宋体" w:hAnsi="宋体" w:eastAsia="宋体" w:cs="宋体"/>
          <w:b w:val="0"/>
        </w:rPr>
        <w:t xml:space="preserve">    本基金本报告期内及上年度可比期间无与关联方通过约定申报方式进行的适用市场化期限费率的证券出借业务的情况。</w:t>
      </w:r>
    </w:p>
    <w:p w14:paraId="175CB43C"/>
    <w:p w14:paraId="76A05AAB">
      <w:pPr>
        <w:pStyle w:val="58"/>
      </w:pPr>
      <w:r>
        <w:rPr>
          <w:rFonts w:ascii="宋体" w:hAnsi="宋体" w:eastAsia="宋体" w:cs="宋体"/>
          <w:b/>
        </w:rPr>
        <w:t>6.4.10.5 各关联方投资本基金的情况</w:t>
      </w:r>
    </w:p>
    <w:p w14:paraId="720C88D0">
      <w:pPr>
        <w:pStyle w:val="58"/>
      </w:pPr>
      <w:r>
        <w:rPr>
          <w:rFonts w:ascii="宋体" w:hAnsi="宋体" w:eastAsia="宋体" w:cs="宋体"/>
          <w:b/>
        </w:rPr>
        <w:t>6.4.10.5.1 报告期内基金管理人运用固有资金投资本基金的情况</w:t>
      </w:r>
    </w:p>
    <w:p w14:paraId="55C24CC7">
      <w:r>
        <w:rPr>
          <w:rFonts w:ascii="宋体" w:hAnsi="宋体" w:eastAsia="宋体" w:cs="宋体"/>
          <w:b w:val="0"/>
        </w:rPr>
        <w:t xml:space="preserve">    本报告期内及上年度可比期间基金管理人未运用固有资金投资本基金。</w:t>
      </w:r>
    </w:p>
    <w:p w14:paraId="2E9DA896"/>
    <w:p w14:paraId="26B426C9">
      <w:pPr>
        <w:pStyle w:val="58"/>
      </w:pPr>
      <w:r>
        <w:rPr>
          <w:rFonts w:ascii="宋体" w:hAnsi="宋体" w:eastAsia="宋体" w:cs="宋体"/>
          <w:b/>
        </w:rPr>
        <w:t>6.4.10.5.2 报告期末除基金管理人之外的其他关联方投资本基金的情况</w:t>
      </w:r>
    </w:p>
    <w:p w14:paraId="02F84D39">
      <w:pPr>
        <w:jc w:val="left"/>
      </w:pPr>
      <w:r>
        <w:rPr>
          <w:rFonts w:ascii="宋体" w:hAnsi="宋体" w:eastAsia="宋体" w:cs="宋体"/>
          <w:b/>
        </w:rPr>
        <w:t>东方阿尔法科技优选混合发起A</w:t>
      </w:r>
    </w:p>
    <w:p w14:paraId="75DC5DBF">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6"/>
        <w:gridCol w:w="1581"/>
        <w:gridCol w:w="1629"/>
        <w:gridCol w:w="1581"/>
        <w:gridCol w:w="1629"/>
      </w:tblGrid>
      <w:tr w14:paraId="175B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085CD6F3">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14:paraId="7848CA20">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14:paraId="7A612678">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2728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7C67B41E"/>
        </w:tc>
        <w:tc>
          <w:tcPr>
            <w:tcW w:w="615" w:type="pct"/>
            <w:shd w:val="clear" w:color="auto" w:fill="D9D9D9"/>
            <w:vAlign w:val="center"/>
          </w:tcPr>
          <w:p w14:paraId="6877CB68">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58CED12A">
            <w:pPr>
              <w:spacing w:line="240" w:lineRule="auto"/>
              <w:jc w:val="center"/>
            </w:pPr>
            <w:r>
              <w:rPr>
                <w:rFonts w:ascii="宋体" w:hAnsi="宋体" w:eastAsia="宋体" w:cs="宋体"/>
                <w:b w:val="0"/>
              </w:rPr>
              <w:t>持有的基金份额占基金总份额的比例</w:t>
            </w:r>
          </w:p>
        </w:tc>
        <w:tc>
          <w:tcPr>
            <w:tcW w:w="615" w:type="pct"/>
            <w:shd w:val="clear" w:color="auto" w:fill="D9D9D9"/>
            <w:vAlign w:val="center"/>
          </w:tcPr>
          <w:p w14:paraId="6F0A30FA">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06D46231">
            <w:pPr>
              <w:spacing w:line="240" w:lineRule="auto"/>
              <w:jc w:val="center"/>
            </w:pPr>
            <w:r>
              <w:rPr>
                <w:rFonts w:ascii="宋体" w:hAnsi="宋体" w:eastAsia="宋体" w:cs="宋体"/>
                <w:b w:val="0"/>
              </w:rPr>
              <w:t>持有的基金份额占基金总份额的比例</w:t>
            </w:r>
          </w:p>
        </w:tc>
      </w:tr>
      <w:tr w14:paraId="36BC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3B585C">
            <w:pPr>
              <w:spacing w:line="240" w:lineRule="auto"/>
              <w:jc w:val="left"/>
            </w:pPr>
            <w:r>
              <w:rPr>
                <w:rFonts w:ascii="宋体" w:hAnsi="宋体" w:eastAsia="宋体" w:cs="宋体"/>
                <w:b w:val="0"/>
              </w:rPr>
              <w:t>曾健</w:t>
            </w:r>
          </w:p>
        </w:tc>
        <w:tc>
          <w:tcPr>
            <w:tcW w:w="0" w:type="dxa"/>
            <w:vAlign w:val="center"/>
          </w:tcPr>
          <w:p w14:paraId="072776B6">
            <w:pPr>
              <w:spacing w:line="240" w:lineRule="auto"/>
              <w:jc w:val="right"/>
            </w:pPr>
            <w:r>
              <w:rPr>
                <w:rFonts w:ascii="宋体" w:hAnsi="宋体" w:eastAsia="宋体" w:cs="宋体"/>
                <w:b w:val="0"/>
              </w:rPr>
              <w:t>200,756.91</w:t>
            </w:r>
          </w:p>
        </w:tc>
        <w:tc>
          <w:tcPr>
            <w:tcW w:w="0" w:type="dxa"/>
            <w:vAlign w:val="center"/>
          </w:tcPr>
          <w:p w14:paraId="593FE509">
            <w:pPr>
              <w:spacing w:line="240" w:lineRule="auto"/>
              <w:jc w:val="right"/>
            </w:pPr>
            <w:r>
              <w:rPr>
                <w:rFonts w:ascii="宋体" w:hAnsi="宋体" w:eastAsia="宋体" w:cs="宋体"/>
                <w:b w:val="0"/>
              </w:rPr>
              <w:t>0.56%</w:t>
            </w:r>
          </w:p>
        </w:tc>
        <w:tc>
          <w:tcPr>
            <w:tcW w:w="0" w:type="dxa"/>
            <w:vAlign w:val="center"/>
          </w:tcPr>
          <w:p w14:paraId="17928BE6">
            <w:pPr>
              <w:spacing w:line="240" w:lineRule="auto"/>
              <w:jc w:val="right"/>
            </w:pPr>
            <w:r>
              <w:rPr>
                <w:rFonts w:ascii="宋体" w:hAnsi="宋体" w:eastAsia="宋体" w:cs="宋体"/>
                <w:b w:val="0"/>
              </w:rPr>
              <w:t>200,756.91</w:t>
            </w:r>
          </w:p>
        </w:tc>
        <w:tc>
          <w:tcPr>
            <w:tcW w:w="0" w:type="dxa"/>
            <w:vAlign w:val="center"/>
          </w:tcPr>
          <w:p w14:paraId="21C762A3">
            <w:pPr>
              <w:spacing w:line="240" w:lineRule="auto"/>
              <w:jc w:val="right"/>
            </w:pPr>
            <w:r>
              <w:rPr>
                <w:rFonts w:ascii="宋体" w:hAnsi="宋体" w:eastAsia="宋体" w:cs="宋体"/>
                <w:b w:val="0"/>
              </w:rPr>
              <w:t>1.40%</w:t>
            </w:r>
          </w:p>
        </w:tc>
      </w:tr>
      <w:tr w14:paraId="00CD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038FA7">
            <w:pPr>
              <w:spacing w:line="240" w:lineRule="auto"/>
              <w:jc w:val="left"/>
            </w:pPr>
            <w:r>
              <w:rPr>
                <w:rFonts w:ascii="宋体" w:hAnsi="宋体" w:eastAsia="宋体" w:cs="宋体"/>
                <w:b w:val="0"/>
              </w:rPr>
              <w:t>肖冰</w:t>
            </w:r>
          </w:p>
        </w:tc>
        <w:tc>
          <w:tcPr>
            <w:tcW w:w="0" w:type="dxa"/>
            <w:vAlign w:val="center"/>
          </w:tcPr>
          <w:p w14:paraId="2CC8A475">
            <w:pPr>
              <w:spacing w:line="240" w:lineRule="auto"/>
              <w:jc w:val="right"/>
            </w:pPr>
            <w:r>
              <w:rPr>
                <w:rFonts w:ascii="宋体" w:hAnsi="宋体" w:eastAsia="宋体" w:cs="宋体"/>
                <w:b w:val="0"/>
              </w:rPr>
              <w:t>999,239.52</w:t>
            </w:r>
          </w:p>
        </w:tc>
        <w:tc>
          <w:tcPr>
            <w:tcW w:w="0" w:type="dxa"/>
            <w:vAlign w:val="center"/>
          </w:tcPr>
          <w:p w14:paraId="36F4F26F">
            <w:pPr>
              <w:spacing w:line="240" w:lineRule="auto"/>
              <w:jc w:val="right"/>
            </w:pPr>
            <w:r>
              <w:rPr>
                <w:rFonts w:ascii="宋体" w:hAnsi="宋体" w:eastAsia="宋体" w:cs="宋体"/>
                <w:b w:val="0"/>
              </w:rPr>
              <w:t>2.78%</w:t>
            </w:r>
          </w:p>
        </w:tc>
        <w:tc>
          <w:tcPr>
            <w:tcW w:w="0" w:type="dxa"/>
            <w:vAlign w:val="center"/>
          </w:tcPr>
          <w:p w14:paraId="2E0812CE">
            <w:pPr>
              <w:spacing w:line="240" w:lineRule="auto"/>
              <w:jc w:val="right"/>
            </w:pPr>
            <w:r>
              <w:rPr>
                <w:rFonts w:ascii="宋体" w:hAnsi="宋体" w:eastAsia="宋体" w:cs="宋体"/>
                <w:b w:val="0"/>
              </w:rPr>
              <w:t>999,239.52</w:t>
            </w:r>
          </w:p>
        </w:tc>
        <w:tc>
          <w:tcPr>
            <w:tcW w:w="0" w:type="dxa"/>
            <w:vAlign w:val="center"/>
          </w:tcPr>
          <w:p w14:paraId="4B38352D">
            <w:pPr>
              <w:spacing w:line="240" w:lineRule="auto"/>
              <w:jc w:val="right"/>
            </w:pPr>
            <w:r>
              <w:rPr>
                <w:rFonts w:ascii="宋体" w:hAnsi="宋体" w:eastAsia="宋体" w:cs="宋体"/>
                <w:b w:val="0"/>
              </w:rPr>
              <w:t>6.97%</w:t>
            </w:r>
          </w:p>
        </w:tc>
      </w:tr>
      <w:tr w14:paraId="648D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E4332C">
            <w:pPr>
              <w:spacing w:line="240" w:lineRule="auto"/>
              <w:jc w:val="left"/>
            </w:pPr>
            <w:r>
              <w:rPr>
                <w:rFonts w:ascii="宋体" w:hAnsi="宋体" w:eastAsia="宋体" w:cs="宋体"/>
                <w:b w:val="0"/>
              </w:rPr>
              <w:t>刘明</w:t>
            </w:r>
          </w:p>
        </w:tc>
        <w:tc>
          <w:tcPr>
            <w:tcW w:w="0" w:type="dxa"/>
            <w:vAlign w:val="center"/>
          </w:tcPr>
          <w:p w14:paraId="16AA4461">
            <w:pPr>
              <w:spacing w:line="240" w:lineRule="auto"/>
              <w:jc w:val="right"/>
            </w:pPr>
            <w:r>
              <w:rPr>
                <w:rFonts w:ascii="宋体" w:hAnsi="宋体" w:eastAsia="宋体" w:cs="宋体"/>
                <w:b w:val="0"/>
              </w:rPr>
              <w:t>10,000,388.92</w:t>
            </w:r>
          </w:p>
        </w:tc>
        <w:tc>
          <w:tcPr>
            <w:tcW w:w="0" w:type="dxa"/>
            <w:vAlign w:val="center"/>
          </w:tcPr>
          <w:p w14:paraId="2148434B">
            <w:pPr>
              <w:spacing w:line="240" w:lineRule="auto"/>
              <w:jc w:val="right"/>
            </w:pPr>
            <w:r>
              <w:rPr>
                <w:rFonts w:ascii="宋体" w:hAnsi="宋体" w:eastAsia="宋体" w:cs="宋体"/>
                <w:b w:val="0"/>
              </w:rPr>
              <w:t>27.79%</w:t>
            </w:r>
          </w:p>
        </w:tc>
        <w:tc>
          <w:tcPr>
            <w:tcW w:w="0" w:type="dxa"/>
            <w:vAlign w:val="center"/>
          </w:tcPr>
          <w:p w14:paraId="31863E49">
            <w:pPr>
              <w:spacing w:line="240" w:lineRule="auto"/>
              <w:jc w:val="right"/>
            </w:pPr>
            <w:r>
              <w:rPr>
                <w:rFonts w:ascii="宋体" w:hAnsi="宋体" w:eastAsia="宋体" w:cs="宋体"/>
                <w:b w:val="0"/>
              </w:rPr>
              <w:t>10,000,388.92</w:t>
            </w:r>
          </w:p>
        </w:tc>
        <w:tc>
          <w:tcPr>
            <w:tcW w:w="0" w:type="dxa"/>
            <w:vAlign w:val="center"/>
          </w:tcPr>
          <w:p w14:paraId="2A0E5C1F">
            <w:pPr>
              <w:spacing w:line="240" w:lineRule="auto"/>
              <w:jc w:val="right"/>
            </w:pPr>
            <w:r>
              <w:rPr>
                <w:rFonts w:ascii="宋体" w:hAnsi="宋体" w:eastAsia="宋体" w:cs="宋体"/>
                <w:b w:val="0"/>
              </w:rPr>
              <w:t>69.79%</w:t>
            </w:r>
          </w:p>
        </w:tc>
      </w:tr>
    </w:tbl>
    <w:p w14:paraId="2FF62903">
      <w:r>
        <w:rPr>
          <w:rFonts w:ascii="宋体" w:hAnsi="宋体" w:eastAsia="宋体" w:cs="宋体"/>
          <w:b w:val="0"/>
        </w:rPr>
        <w:t>注: 1.以上表中“持有的基金份额占基金总份额的比例”的计算中，对下属不同类别基金比例的分母采用各自级别的份额。</w:t>
      </w:r>
      <w:r>
        <w:rPr>
          <w:rFonts w:ascii="宋体" w:hAnsi="宋体" w:eastAsia="宋体" w:cs="宋体"/>
          <w:b w:val="0"/>
        </w:rPr>
        <w:br w:type="textWrapping"/>
      </w:r>
      <w:r>
        <w:rPr>
          <w:rFonts w:ascii="宋体" w:hAnsi="宋体" w:eastAsia="宋体" w:cs="宋体"/>
          <w:b w:val="0"/>
        </w:rPr>
        <w:t>2.上述关联方投资本基金适用的认购、申购、赎回费率按照本基金招募说明书的费率执行。</w:t>
      </w:r>
      <w:r>
        <w:rPr>
          <w:rFonts w:ascii="宋体" w:hAnsi="宋体" w:eastAsia="宋体" w:cs="宋体"/>
          <w:b w:val="0"/>
        </w:rPr>
        <w:br w:type="textWrapping"/>
      </w:r>
      <w:r>
        <w:rPr>
          <w:rFonts w:ascii="宋体" w:hAnsi="宋体" w:eastAsia="宋体" w:cs="宋体"/>
          <w:b w:val="0"/>
        </w:rPr>
        <w:t>3.报告期末除基金管理人之外的其他关联方未投资“东方阿尔法科技优选混合发起C”。</w:t>
      </w:r>
    </w:p>
    <w:p w14:paraId="65AAFDC5"/>
    <w:p w14:paraId="60DEB971">
      <w:pPr>
        <w:pStyle w:val="58"/>
      </w:pPr>
      <w:r>
        <w:rPr>
          <w:rFonts w:ascii="宋体" w:hAnsi="宋体" w:eastAsia="宋体" w:cs="宋体"/>
          <w:b/>
        </w:rPr>
        <w:t>6.4.10.6 由关联方保管的银行存款余额及当期产生的利息收入</w:t>
      </w:r>
    </w:p>
    <w:p w14:paraId="74B23CDD">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1548"/>
        <w:gridCol w:w="1548"/>
        <w:gridCol w:w="1548"/>
        <w:gridCol w:w="1548"/>
      </w:tblGrid>
      <w:tr w14:paraId="3CC7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4B6E663F">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14:paraId="309C5850">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gridSpan w:val="2"/>
            <w:shd w:val="clear" w:color="auto" w:fill="D9D9D9"/>
            <w:vAlign w:val="center"/>
          </w:tcPr>
          <w:p w14:paraId="5CDCB79B">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2025年06月06日（基金合同生效日）至2025年06月30日</w:t>
            </w:r>
          </w:p>
        </w:tc>
      </w:tr>
      <w:tr w14:paraId="3CCB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26E5DD7"/>
        </w:tc>
        <w:tc>
          <w:tcPr>
            <w:tcW w:w="769" w:type="pct"/>
            <w:shd w:val="clear" w:color="auto" w:fill="D9D9D9"/>
            <w:vAlign w:val="center"/>
          </w:tcPr>
          <w:p w14:paraId="46B72907">
            <w:pPr>
              <w:spacing w:line="240" w:lineRule="auto"/>
              <w:jc w:val="center"/>
            </w:pPr>
            <w:r>
              <w:rPr>
                <w:rFonts w:ascii="宋体" w:hAnsi="宋体" w:eastAsia="宋体" w:cs="宋体"/>
                <w:b w:val="0"/>
              </w:rPr>
              <w:t>期末余额</w:t>
            </w:r>
          </w:p>
        </w:tc>
        <w:tc>
          <w:tcPr>
            <w:tcW w:w="769" w:type="pct"/>
            <w:shd w:val="clear" w:color="auto" w:fill="D9D9D9"/>
            <w:vAlign w:val="center"/>
          </w:tcPr>
          <w:p w14:paraId="7CB3AA59">
            <w:pPr>
              <w:spacing w:line="240" w:lineRule="auto"/>
              <w:jc w:val="center"/>
            </w:pPr>
            <w:r>
              <w:rPr>
                <w:rFonts w:ascii="宋体" w:hAnsi="宋体" w:eastAsia="宋体" w:cs="宋体"/>
                <w:b w:val="0"/>
              </w:rPr>
              <w:t>当期利息收入</w:t>
            </w:r>
          </w:p>
        </w:tc>
        <w:tc>
          <w:tcPr>
            <w:tcW w:w="769" w:type="pct"/>
            <w:shd w:val="clear" w:color="auto" w:fill="D9D9D9"/>
            <w:vAlign w:val="center"/>
          </w:tcPr>
          <w:p w14:paraId="68CC4CE2">
            <w:pPr>
              <w:spacing w:line="240" w:lineRule="auto"/>
              <w:jc w:val="center"/>
            </w:pPr>
            <w:r>
              <w:rPr>
                <w:rFonts w:ascii="宋体" w:hAnsi="宋体" w:eastAsia="宋体" w:cs="宋体"/>
                <w:b w:val="0"/>
              </w:rPr>
              <w:t>期末余额</w:t>
            </w:r>
          </w:p>
        </w:tc>
        <w:tc>
          <w:tcPr>
            <w:tcW w:w="769" w:type="pct"/>
            <w:shd w:val="clear" w:color="auto" w:fill="D9D9D9"/>
            <w:vAlign w:val="center"/>
          </w:tcPr>
          <w:p w14:paraId="4C08510F">
            <w:pPr>
              <w:spacing w:line="240" w:lineRule="auto"/>
              <w:jc w:val="center"/>
            </w:pPr>
            <w:r>
              <w:rPr>
                <w:rFonts w:ascii="宋体" w:hAnsi="宋体" w:eastAsia="宋体" w:cs="宋体"/>
                <w:b w:val="0"/>
              </w:rPr>
              <w:t>当期利息收入</w:t>
            </w:r>
          </w:p>
        </w:tc>
      </w:tr>
      <w:tr w14:paraId="5FA5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86CCAD">
            <w:pPr>
              <w:spacing w:line="240" w:lineRule="auto"/>
              <w:jc w:val="left"/>
            </w:pPr>
            <w:r>
              <w:rPr>
                <w:rFonts w:ascii="宋体" w:hAnsi="宋体" w:eastAsia="宋体" w:cs="宋体"/>
                <w:b w:val="0"/>
              </w:rPr>
              <w:t>中信银行</w:t>
            </w:r>
          </w:p>
        </w:tc>
        <w:tc>
          <w:tcPr>
            <w:tcW w:w="0" w:type="dxa"/>
            <w:vAlign w:val="center"/>
          </w:tcPr>
          <w:p w14:paraId="366D6B9A">
            <w:pPr>
              <w:spacing w:line="240" w:lineRule="auto"/>
              <w:jc w:val="right"/>
            </w:pPr>
            <w:r>
              <w:rPr>
                <w:rFonts w:ascii="宋体" w:hAnsi="宋体" w:eastAsia="宋体" w:cs="宋体"/>
                <w:b w:val="0"/>
              </w:rPr>
              <w:t>3,783,011.87</w:t>
            </w:r>
          </w:p>
        </w:tc>
        <w:tc>
          <w:tcPr>
            <w:tcW w:w="0" w:type="dxa"/>
            <w:vAlign w:val="center"/>
          </w:tcPr>
          <w:p w14:paraId="162EBCF9">
            <w:pPr>
              <w:spacing w:line="240" w:lineRule="auto"/>
              <w:jc w:val="right"/>
            </w:pPr>
            <w:r>
              <w:rPr>
                <w:rFonts w:ascii="宋体" w:hAnsi="宋体" w:eastAsia="宋体" w:cs="宋体"/>
                <w:b w:val="0"/>
              </w:rPr>
              <w:t>344.77</w:t>
            </w:r>
          </w:p>
        </w:tc>
        <w:tc>
          <w:tcPr>
            <w:tcW w:w="0" w:type="dxa"/>
            <w:vAlign w:val="center"/>
          </w:tcPr>
          <w:p w14:paraId="338448B1">
            <w:pPr>
              <w:spacing w:line="240" w:lineRule="auto"/>
              <w:jc w:val="right"/>
            </w:pPr>
            <w:r>
              <w:rPr>
                <w:rFonts w:ascii="宋体" w:hAnsi="宋体" w:eastAsia="宋体" w:cs="宋体"/>
                <w:b w:val="0"/>
              </w:rPr>
              <w:t>43,457.84</w:t>
            </w:r>
          </w:p>
        </w:tc>
        <w:tc>
          <w:tcPr>
            <w:tcW w:w="0" w:type="dxa"/>
            <w:vAlign w:val="center"/>
          </w:tcPr>
          <w:p w14:paraId="424541BC">
            <w:pPr>
              <w:spacing w:line="240" w:lineRule="auto"/>
              <w:jc w:val="right"/>
            </w:pPr>
            <w:r>
              <w:rPr>
                <w:rFonts w:ascii="宋体" w:hAnsi="宋体" w:eastAsia="宋体" w:cs="宋体"/>
                <w:b w:val="0"/>
              </w:rPr>
              <w:t>67.09</w:t>
            </w:r>
          </w:p>
        </w:tc>
      </w:tr>
    </w:tbl>
    <w:p w14:paraId="5F95B12A">
      <w:r>
        <w:rPr>
          <w:rFonts w:ascii="宋体" w:hAnsi="宋体" w:eastAsia="宋体" w:cs="宋体"/>
          <w:b w:val="0"/>
        </w:rPr>
        <w:t>注：本基金的银行存款由基金托管人中信银行保管，按银行同业利率计息。</w:t>
      </w:r>
    </w:p>
    <w:p w14:paraId="06B11006"/>
    <w:p w14:paraId="59641BBC">
      <w:pPr>
        <w:pStyle w:val="58"/>
      </w:pPr>
      <w:r>
        <w:rPr>
          <w:rFonts w:ascii="宋体" w:hAnsi="宋体" w:eastAsia="宋体" w:cs="宋体"/>
          <w:b/>
        </w:rPr>
        <w:t>6.4.10.7 本基金在承销期内参与关联方承销证券的情况</w:t>
      </w:r>
    </w:p>
    <w:p w14:paraId="0B9A839C">
      <w:r>
        <w:rPr>
          <w:rFonts w:ascii="宋体" w:hAnsi="宋体" w:eastAsia="宋体" w:cs="宋体"/>
          <w:b w:val="0"/>
        </w:rPr>
        <w:t xml:space="preserve">    本基金本报告期内及上年度可比期间无在承销期内参与关联方承销证券的情况。</w:t>
      </w:r>
    </w:p>
    <w:p w14:paraId="53A25B02"/>
    <w:p w14:paraId="7FF3AF7B">
      <w:pPr>
        <w:pStyle w:val="58"/>
      </w:pPr>
      <w:r>
        <w:rPr>
          <w:rFonts w:ascii="宋体" w:hAnsi="宋体" w:eastAsia="宋体" w:cs="宋体"/>
          <w:b/>
        </w:rPr>
        <w:t>6.4.10.8 其他关联交易事项的说明</w:t>
      </w:r>
    </w:p>
    <w:p w14:paraId="74DB4363">
      <w:pPr>
        <w:jc w:val="left"/>
      </w:pPr>
      <w:r>
        <w:rPr>
          <w:rFonts w:ascii="宋体" w:hAnsi="宋体" w:eastAsia="宋体" w:cs="宋体"/>
          <w:b w:val="0"/>
        </w:rPr>
        <w:t xml:space="preserve">    本基金本报告期内及上年度可比期间无须作说明的其他关联交易事项。</w:t>
      </w:r>
    </w:p>
    <w:p w14:paraId="1D21CC01"/>
    <w:p w14:paraId="0ED4DC1B">
      <w:pPr>
        <w:pStyle w:val="58"/>
      </w:pPr>
      <w:r>
        <w:rPr>
          <w:rFonts w:ascii="宋体" w:hAnsi="宋体" w:eastAsia="宋体" w:cs="宋体"/>
          <w:b/>
        </w:rPr>
        <w:t>6.4.11 利润分配情况</w:t>
      </w:r>
    </w:p>
    <w:p w14:paraId="1B3995A5">
      <w:r>
        <w:rPr>
          <w:rFonts w:ascii="宋体" w:hAnsi="宋体" w:eastAsia="宋体" w:cs="宋体"/>
          <w:b w:val="0"/>
        </w:rPr>
        <w:t xml:space="preserve">    本基金本报告期内未进行利润分配。</w:t>
      </w:r>
    </w:p>
    <w:p w14:paraId="609DE9A3"/>
    <w:p w14:paraId="1D1FB8E6">
      <w:pPr>
        <w:pStyle w:val="58"/>
      </w:pPr>
      <w:r>
        <w:rPr>
          <w:rFonts w:ascii="宋体" w:hAnsi="宋体" w:eastAsia="宋体" w:cs="宋体"/>
          <w:b/>
        </w:rPr>
        <w:t>6.4.12 期末（2026年06月30日）本基金持有的流通受限证券</w:t>
      </w:r>
    </w:p>
    <w:p w14:paraId="7A9C210E">
      <w:pPr>
        <w:pStyle w:val="58"/>
      </w:pPr>
      <w:r>
        <w:rPr>
          <w:rFonts w:ascii="宋体" w:hAnsi="宋体" w:eastAsia="宋体" w:cs="宋体"/>
          <w:b/>
        </w:rPr>
        <w:t>6.4.12.1 因认购新发/增发证券而于期末持有的流通受限证券</w:t>
      </w:r>
    </w:p>
    <w:p w14:paraId="25FC7303">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51"/>
        <w:gridCol w:w="1266"/>
        <w:gridCol w:w="651"/>
        <w:gridCol w:w="652"/>
        <w:gridCol w:w="741"/>
        <w:gridCol w:w="1056"/>
        <w:gridCol w:w="563"/>
        <w:gridCol w:w="1056"/>
        <w:gridCol w:w="1161"/>
        <w:gridCol w:w="643"/>
      </w:tblGrid>
      <w:tr w14:paraId="2797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11"/>
            <w:shd w:val="clear" w:color="auto" w:fill="D9D9D9"/>
            <w:vAlign w:val="center"/>
          </w:tcPr>
          <w:p w14:paraId="50A1D1E8">
            <w:pPr>
              <w:spacing w:line="240" w:lineRule="auto"/>
              <w:jc w:val="left"/>
            </w:pPr>
            <w:r>
              <w:rPr>
                <w:rFonts w:ascii="宋体" w:hAnsi="宋体" w:eastAsia="宋体" w:cs="宋体"/>
                <w:b w:val="0"/>
              </w:rPr>
              <w:t>6.4.12.1.1 受限证券类别：股票</w:t>
            </w:r>
          </w:p>
        </w:tc>
      </w:tr>
      <w:tr w14:paraId="42E1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73A3BCC6">
            <w:pPr>
              <w:spacing w:line="240" w:lineRule="auto"/>
              <w:jc w:val="left"/>
            </w:pPr>
            <w:r>
              <w:rPr>
                <w:rFonts w:ascii="宋体" w:hAnsi="宋体" w:eastAsia="宋体" w:cs="宋体"/>
                <w:b w:val="0"/>
              </w:rPr>
              <w:t>证券代码</w:t>
            </w:r>
          </w:p>
        </w:tc>
        <w:tc>
          <w:tcPr>
            <w:tcW w:w="462" w:type="pct"/>
            <w:vAlign w:val="center"/>
          </w:tcPr>
          <w:p w14:paraId="74C3C7BD">
            <w:pPr>
              <w:spacing w:line="240" w:lineRule="auto"/>
              <w:jc w:val="left"/>
            </w:pPr>
            <w:r>
              <w:rPr>
                <w:rFonts w:ascii="宋体" w:hAnsi="宋体" w:eastAsia="宋体" w:cs="宋体"/>
                <w:b w:val="0"/>
              </w:rPr>
              <w:t>证券名称</w:t>
            </w:r>
          </w:p>
        </w:tc>
        <w:tc>
          <w:tcPr>
            <w:tcW w:w="462" w:type="pct"/>
            <w:vAlign w:val="center"/>
          </w:tcPr>
          <w:p w14:paraId="1BFFB2F3">
            <w:pPr>
              <w:spacing w:line="240" w:lineRule="auto"/>
              <w:jc w:val="left"/>
            </w:pPr>
            <w:r>
              <w:rPr>
                <w:rFonts w:ascii="宋体" w:hAnsi="宋体" w:eastAsia="宋体" w:cs="宋体"/>
                <w:b w:val="0"/>
              </w:rPr>
              <w:t>成功认购日</w:t>
            </w:r>
          </w:p>
        </w:tc>
        <w:tc>
          <w:tcPr>
            <w:tcW w:w="462" w:type="pct"/>
            <w:vAlign w:val="center"/>
          </w:tcPr>
          <w:p w14:paraId="358AA3A5">
            <w:pPr>
              <w:spacing w:line="240" w:lineRule="auto"/>
              <w:jc w:val="left"/>
            </w:pPr>
            <w:r>
              <w:rPr>
                <w:rFonts w:ascii="宋体" w:hAnsi="宋体" w:eastAsia="宋体" w:cs="宋体"/>
                <w:b w:val="0"/>
              </w:rPr>
              <w:t>受限期</w:t>
            </w:r>
          </w:p>
        </w:tc>
        <w:tc>
          <w:tcPr>
            <w:tcW w:w="462" w:type="pct"/>
            <w:vAlign w:val="center"/>
          </w:tcPr>
          <w:p w14:paraId="137851C1">
            <w:pPr>
              <w:spacing w:line="240" w:lineRule="auto"/>
              <w:jc w:val="left"/>
            </w:pPr>
            <w:r>
              <w:rPr>
                <w:rFonts w:ascii="宋体" w:hAnsi="宋体" w:eastAsia="宋体" w:cs="宋体"/>
                <w:b w:val="0"/>
              </w:rPr>
              <w:t>流通受限类型</w:t>
            </w:r>
          </w:p>
        </w:tc>
        <w:tc>
          <w:tcPr>
            <w:tcW w:w="462" w:type="pct"/>
            <w:vAlign w:val="center"/>
          </w:tcPr>
          <w:p w14:paraId="4EF838C9">
            <w:pPr>
              <w:spacing w:line="240" w:lineRule="auto"/>
              <w:jc w:val="left"/>
            </w:pPr>
            <w:r>
              <w:rPr>
                <w:rFonts w:ascii="宋体" w:hAnsi="宋体" w:eastAsia="宋体" w:cs="宋体"/>
                <w:b w:val="0"/>
              </w:rPr>
              <w:t>认购价格</w:t>
            </w:r>
          </w:p>
        </w:tc>
        <w:tc>
          <w:tcPr>
            <w:tcW w:w="462" w:type="pct"/>
            <w:vAlign w:val="center"/>
          </w:tcPr>
          <w:p w14:paraId="4014A00C">
            <w:pPr>
              <w:spacing w:line="240" w:lineRule="auto"/>
              <w:jc w:val="left"/>
            </w:pPr>
            <w:r>
              <w:rPr>
                <w:rFonts w:ascii="宋体" w:hAnsi="宋体" w:eastAsia="宋体" w:cs="宋体"/>
                <w:b w:val="0"/>
              </w:rPr>
              <w:t>期末估值单价</w:t>
            </w:r>
          </w:p>
        </w:tc>
        <w:tc>
          <w:tcPr>
            <w:tcW w:w="462" w:type="pct"/>
            <w:vAlign w:val="center"/>
          </w:tcPr>
          <w:p w14:paraId="2D992954">
            <w:pPr>
              <w:spacing w:line="240" w:lineRule="auto"/>
              <w:jc w:val="left"/>
            </w:pPr>
            <w:r>
              <w:rPr>
                <w:rFonts w:ascii="宋体" w:hAnsi="宋体" w:eastAsia="宋体" w:cs="宋体"/>
                <w:b w:val="0"/>
              </w:rPr>
              <w:t>数量(单位:股)</w:t>
            </w:r>
          </w:p>
        </w:tc>
        <w:tc>
          <w:tcPr>
            <w:tcW w:w="462" w:type="pct"/>
            <w:vAlign w:val="center"/>
          </w:tcPr>
          <w:p w14:paraId="604631FE">
            <w:pPr>
              <w:spacing w:line="240" w:lineRule="auto"/>
              <w:jc w:val="left"/>
            </w:pPr>
            <w:r>
              <w:rPr>
                <w:rFonts w:ascii="宋体" w:hAnsi="宋体" w:eastAsia="宋体" w:cs="宋体"/>
                <w:b w:val="0"/>
              </w:rPr>
              <w:t>期末成本总额</w:t>
            </w:r>
          </w:p>
        </w:tc>
        <w:tc>
          <w:tcPr>
            <w:tcW w:w="462" w:type="pct"/>
            <w:vAlign w:val="center"/>
          </w:tcPr>
          <w:p w14:paraId="0585911F">
            <w:pPr>
              <w:spacing w:line="240" w:lineRule="auto"/>
              <w:jc w:val="left"/>
            </w:pPr>
            <w:r>
              <w:rPr>
                <w:rFonts w:ascii="宋体" w:hAnsi="宋体" w:eastAsia="宋体" w:cs="宋体"/>
                <w:b w:val="0"/>
              </w:rPr>
              <w:t>期末估值总额</w:t>
            </w:r>
          </w:p>
        </w:tc>
        <w:tc>
          <w:tcPr>
            <w:tcW w:w="462" w:type="pct"/>
            <w:vAlign w:val="center"/>
          </w:tcPr>
          <w:p w14:paraId="5C5059DE">
            <w:pPr>
              <w:spacing w:line="240" w:lineRule="auto"/>
              <w:jc w:val="left"/>
            </w:pPr>
            <w:r>
              <w:rPr>
                <w:rFonts w:ascii="宋体" w:hAnsi="宋体" w:eastAsia="宋体" w:cs="宋体"/>
                <w:b w:val="0"/>
              </w:rPr>
              <w:t>备注</w:t>
            </w:r>
          </w:p>
        </w:tc>
      </w:tr>
      <w:tr w14:paraId="24B3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6E086E">
            <w:pPr>
              <w:spacing w:line="240" w:lineRule="auto"/>
              <w:jc w:val="left"/>
            </w:pPr>
            <w:r>
              <w:rPr>
                <w:rFonts w:ascii="宋体" w:hAnsi="宋体" w:eastAsia="宋体" w:cs="宋体"/>
                <w:b w:val="0"/>
              </w:rPr>
              <w:t>688808</w:t>
            </w:r>
          </w:p>
        </w:tc>
        <w:tc>
          <w:tcPr>
            <w:tcW w:w="0" w:type="dxa"/>
            <w:vAlign w:val="center"/>
          </w:tcPr>
          <w:p w14:paraId="4A33C8EA">
            <w:pPr>
              <w:spacing w:line="240" w:lineRule="auto"/>
              <w:jc w:val="left"/>
            </w:pPr>
            <w:r>
              <w:rPr>
                <w:rFonts w:ascii="宋体" w:hAnsi="宋体" w:eastAsia="宋体" w:cs="宋体"/>
                <w:b w:val="0"/>
              </w:rPr>
              <w:t>联讯仪器</w:t>
            </w:r>
          </w:p>
        </w:tc>
        <w:tc>
          <w:tcPr>
            <w:tcW w:w="0" w:type="dxa"/>
            <w:vAlign w:val="center"/>
          </w:tcPr>
          <w:p w14:paraId="021A8EA6">
            <w:pPr>
              <w:spacing w:line="240" w:lineRule="auto"/>
              <w:jc w:val="left"/>
            </w:pPr>
            <w:r>
              <w:rPr>
                <w:rFonts w:ascii="宋体" w:hAnsi="宋体" w:eastAsia="宋体" w:cs="宋体"/>
                <w:b w:val="0"/>
              </w:rPr>
              <w:t>2026-04-16</w:t>
            </w:r>
          </w:p>
        </w:tc>
        <w:tc>
          <w:tcPr>
            <w:tcW w:w="0" w:type="dxa"/>
            <w:vAlign w:val="center"/>
          </w:tcPr>
          <w:p w14:paraId="57D26E02">
            <w:pPr>
              <w:spacing w:line="240" w:lineRule="auto"/>
              <w:jc w:val="left"/>
            </w:pPr>
            <w:r>
              <w:rPr>
                <w:rFonts w:ascii="宋体" w:hAnsi="宋体" w:eastAsia="宋体" w:cs="宋体"/>
                <w:b w:val="0"/>
              </w:rPr>
              <w:t>6个月</w:t>
            </w:r>
          </w:p>
        </w:tc>
        <w:tc>
          <w:tcPr>
            <w:tcW w:w="0" w:type="dxa"/>
            <w:vAlign w:val="center"/>
          </w:tcPr>
          <w:p w14:paraId="1DC75B91">
            <w:pPr>
              <w:spacing w:line="240" w:lineRule="auto"/>
              <w:jc w:val="left"/>
            </w:pPr>
            <w:r>
              <w:rPr>
                <w:rFonts w:ascii="宋体" w:hAnsi="宋体" w:eastAsia="宋体" w:cs="宋体"/>
                <w:b w:val="0"/>
              </w:rPr>
              <w:t>新股流通受限</w:t>
            </w:r>
          </w:p>
        </w:tc>
        <w:tc>
          <w:tcPr>
            <w:tcW w:w="0" w:type="dxa"/>
            <w:vAlign w:val="center"/>
          </w:tcPr>
          <w:p w14:paraId="584F86A4">
            <w:pPr>
              <w:spacing w:line="240" w:lineRule="auto"/>
              <w:jc w:val="right"/>
            </w:pPr>
            <w:r>
              <w:rPr>
                <w:rFonts w:ascii="宋体" w:hAnsi="宋体" w:eastAsia="宋体" w:cs="宋体"/>
                <w:b w:val="0"/>
              </w:rPr>
              <w:t>81.88</w:t>
            </w:r>
          </w:p>
        </w:tc>
        <w:tc>
          <w:tcPr>
            <w:tcW w:w="0" w:type="dxa"/>
            <w:vAlign w:val="center"/>
          </w:tcPr>
          <w:p w14:paraId="48D2F83B">
            <w:pPr>
              <w:spacing w:line="240" w:lineRule="auto"/>
              <w:jc w:val="right"/>
            </w:pPr>
            <w:r>
              <w:rPr>
                <w:rFonts w:ascii="宋体" w:hAnsi="宋体" w:eastAsia="宋体" w:cs="宋体"/>
                <w:b w:val="0"/>
              </w:rPr>
              <w:t>1,584.33</w:t>
            </w:r>
          </w:p>
        </w:tc>
        <w:tc>
          <w:tcPr>
            <w:tcW w:w="0" w:type="dxa"/>
            <w:vAlign w:val="center"/>
          </w:tcPr>
          <w:p w14:paraId="1E7DF835">
            <w:pPr>
              <w:spacing w:line="240" w:lineRule="auto"/>
              <w:jc w:val="right"/>
            </w:pPr>
            <w:r>
              <w:rPr>
                <w:rFonts w:ascii="宋体" w:hAnsi="宋体" w:eastAsia="宋体" w:cs="宋体"/>
                <w:b w:val="0"/>
              </w:rPr>
              <w:t>33</w:t>
            </w:r>
          </w:p>
        </w:tc>
        <w:tc>
          <w:tcPr>
            <w:tcW w:w="0" w:type="dxa"/>
            <w:vAlign w:val="center"/>
          </w:tcPr>
          <w:p w14:paraId="4F92E177">
            <w:pPr>
              <w:spacing w:line="240" w:lineRule="auto"/>
              <w:jc w:val="right"/>
            </w:pPr>
            <w:r>
              <w:rPr>
                <w:rFonts w:ascii="宋体" w:hAnsi="宋体" w:eastAsia="宋体" w:cs="宋体"/>
                <w:b w:val="0"/>
              </w:rPr>
              <w:t>2,702.04</w:t>
            </w:r>
          </w:p>
        </w:tc>
        <w:tc>
          <w:tcPr>
            <w:tcW w:w="0" w:type="dxa"/>
            <w:vAlign w:val="center"/>
          </w:tcPr>
          <w:p w14:paraId="62A9C23D">
            <w:pPr>
              <w:spacing w:line="240" w:lineRule="auto"/>
              <w:jc w:val="right"/>
            </w:pPr>
            <w:r>
              <w:rPr>
                <w:rFonts w:ascii="宋体" w:hAnsi="宋体" w:eastAsia="宋体" w:cs="宋体"/>
                <w:b w:val="0"/>
              </w:rPr>
              <w:t>52,282.89</w:t>
            </w:r>
          </w:p>
        </w:tc>
        <w:tc>
          <w:tcPr>
            <w:tcW w:w="0" w:type="dxa"/>
            <w:vAlign w:val="center"/>
          </w:tcPr>
          <w:p w14:paraId="6787D26A">
            <w:pPr>
              <w:spacing w:line="240" w:lineRule="auto"/>
              <w:jc w:val="left"/>
            </w:pPr>
            <w:r>
              <w:rPr>
                <w:rFonts w:ascii="宋体" w:hAnsi="宋体" w:eastAsia="宋体" w:cs="宋体"/>
                <w:b w:val="0"/>
              </w:rPr>
              <w:t>-</w:t>
            </w:r>
          </w:p>
        </w:tc>
      </w:tr>
      <w:tr w14:paraId="0399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3145FDD">
            <w:pPr>
              <w:spacing w:line="240" w:lineRule="auto"/>
              <w:jc w:val="left"/>
            </w:pPr>
            <w:r>
              <w:rPr>
                <w:rFonts w:ascii="宋体" w:hAnsi="宋体" w:eastAsia="宋体" w:cs="宋体"/>
                <w:b w:val="0"/>
              </w:rPr>
              <w:t>688797</w:t>
            </w:r>
          </w:p>
        </w:tc>
        <w:tc>
          <w:tcPr>
            <w:tcW w:w="0" w:type="dxa"/>
            <w:vAlign w:val="center"/>
          </w:tcPr>
          <w:p w14:paraId="4910866A">
            <w:pPr>
              <w:spacing w:line="240" w:lineRule="auto"/>
              <w:jc w:val="left"/>
            </w:pPr>
            <w:r>
              <w:rPr>
                <w:rFonts w:ascii="宋体" w:hAnsi="宋体" w:eastAsia="宋体" w:cs="宋体"/>
                <w:b w:val="0"/>
              </w:rPr>
              <w:t>臻宝科技</w:t>
            </w:r>
          </w:p>
        </w:tc>
        <w:tc>
          <w:tcPr>
            <w:tcW w:w="0" w:type="dxa"/>
            <w:vAlign w:val="center"/>
          </w:tcPr>
          <w:p w14:paraId="54DD9E8D">
            <w:pPr>
              <w:spacing w:line="240" w:lineRule="auto"/>
              <w:jc w:val="left"/>
            </w:pPr>
            <w:r>
              <w:rPr>
                <w:rFonts w:ascii="宋体" w:hAnsi="宋体" w:eastAsia="宋体" w:cs="宋体"/>
                <w:b w:val="0"/>
              </w:rPr>
              <w:t>2026-06-16</w:t>
            </w:r>
          </w:p>
        </w:tc>
        <w:tc>
          <w:tcPr>
            <w:tcW w:w="0" w:type="dxa"/>
            <w:vAlign w:val="center"/>
          </w:tcPr>
          <w:p w14:paraId="0B9D7948">
            <w:pPr>
              <w:spacing w:line="240" w:lineRule="auto"/>
              <w:jc w:val="left"/>
            </w:pPr>
            <w:r>
              <w:rPr>
                <w:rFonts w:ascii="宋体" w:hAnsi="宋体" w:eastAsia="宋体" w:cs="宋体"/>
                <w:b w:val="0"/>
              </w:rPr>
              <w:t>6个月</w:t>
            </w:r>
          </w:p>
        </w:tc>
        <w:tc>
          <w:tcPr>
            <w:tcW w:w="0" w:type="dxa"/>
            <w:vAlign w:val="center"/>
          </w:tcPr>
          <w:p w14:paraId="1D631DA6">
            <w:pPr>
              <w:spacing w:line="240" w:lineRule="auto"/>
              <w:jc w:val="left"/>
            </w:pPr>
            <w:r>
              <w:rPr>
                <w:rFonts w:ascii="宋体" w:hAnsi="宋体" w:eastAsia="宋体" w:cs="宋体"/>
                <w:b w:val="0"/>
              </w:rPr>
              <w:t>新股流通受限</w:t>
            </w:r>
          </w:p>
        </w:tc>
        <w:tc>
          <w:tcPr>
            <w:tcW w:w="0" w:type="dxa"/>
            <w:vAlign w:val="center"/>
          </w:tcPr>
          <w:p w14:paraId="58275C30">
            <w:pPr>
              <w:spacing w:line="240" w:lineRule="auto"/>
              <w:jc w:val="right"/>
            </w:pPr>
            <w:r>
              <w:rPr>
                <w:rFonts w:ascii="宋体" w:hAnsi="宋体" w:eastAsia="宋体" w:cs="宋体"/>
                <w:b w:val="0"/>
              </w:rPr>
              <w:t>44.56</w:t>
            </w:r>
          </w:p>
        </w:tc>
        <w:tc>
          <w:tcPr>
            <w:tcW w:w="0" w:type="dxa"/>
            <w:vAlign w:val="center"/>
          </w:tcPr>
          <w:p w14:paraId="0F005D4C">
            <w:pPr>
              <w:spacing w:line="240" w:lineRule="auto"/>
              <w:jc w:val="right"/>
            </w:pPr>
            <w:r>
              <w:rPr>
                <w:rFonts w:ascii="宋体" w:hAnsi="宋体" w:eastAsia="宋体" w:cs="宋体"/>
                <w:b w:val="0"/>
              </w:rPr>
              <w:t>468.67</w:t>
            </w:r>
          </w:p>
        </w:tc>
        <w:tc>
          <w:tcPr>
            <w:tcW w:w="0" w:type="dxa"/>
            <w:vAlign w:val="center"/>
          </w:tcPr>
          <w:p w14:paraId="1E186EEE">
            <w:pPr>
              <w:spacing w:line="240" w:lineRule="auto"/>
              <w:jc w:val="right"/>
            </w:pPr>
            <w:r>
              <w:rPr>
                <w:rFonts w:ascii="宋体" w:hAnsi="宋体" w:eastAsia="宋体" w:cs="宋体"/>
                <w:b w:val="0"/>
              </w:rPr>
              <w:t>111</w:t>
            </w:r>
          </w:p>
        </w:tc>
        <w:tc>
          <w:tcPr>
            <w:tcW w:w="0" w:type="dxa"/>
            <w:vAlign w:val="center"/>
          </w:tcPr>
          <w:p w14:paraId="0A684B2B">
            <w:pPr>
              <w:spacing w:line="240" w:lineRule="auto"/>
              <w:jc w:val="right"/>
            </w:pPr>
            <w:r>
              <w:rPr>
                <w:rFonts w:ascii="宋体" w:hAnsi="宋体" w:eastAsia="宋体" w:cs="宋体"/>
                <w:b w:val="0"/>
              </w:rPr>
              <w:t>4,946.16</w:t>
            </w:r>
          </w:p>
        </w:tc>
        <w:tc>
          <w:tcPr>
            <w:tcW w:w="0" w:type="dxa"/>
            <w:vAlign w:val="center"/>
          </w:tcPr>
          <w:p w14:paraId="5B87C68D">
            <w:pPr>
              <w:spacing w:line="240" w:lineRule="auto"/>
              <w:jc w:val="right"/>
            </w:pPr>
            <w:r>
              <w:rPr>
                <w:rFonts w:ascii="宋体" w:hAnsi="宋体" w:eastAsia="宋体" w:cs="宋体"/>
                <w:b w:val="0"/>
              </w:rPr>
              <w:t>52,022.37</w:t>
            </w:r>
          </w:p>
        </w:tc>
        <w:tc>
          <w:tcPr>
            <w:tcW w:w="0" w:type="dxa"/>
            <w:vAlign w:val="center"/>
          </w:tcPr>
          <w:p w14:paraId="5B4A7028">
            <w:pPr>
              <w:spacing w:line="240" w:lineRule="auto"/>
              <w:jc w:val="left"/>
            </w:pPr>
            <w:r>
              <w:rPr>
                <w:rFonts w:ascii="宋体" w:hAnsi="宋体" w:eastAsia="宋体" w:cs="宋体"/>
                <w:b w:val="0"/>
              </w:rPr>
              <w:t>-</w:t>
            </w:r>
          </w:p>
        </w:tc>
      </w:tr>
      <w:tr w14:paraId="2844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8E70C4">
            <w:pPr>
              <w:spacing w:line="240" w:lineRule="auto"/>
              <w:jc w:val="left"/>
            </w:pPr>
            <w:r>
              <w:rPr>
                <w:rFonts w:ascii="宋体" w:hAnsi="宋体" w:eastAsia="宋体" w:cs="宋体"/>
                <w:b w:val="0"/>
              </w:rPr>
              <w:t>688635</w:t>
            </w:r>
          </w:p>
        </w:tc>
        <w:tc>
          <w:tcPr>
            <w:tcW w:w="0" w:type="dxa"/>
            <w:vAlign w:val="center"/>
          </w:tcPr>
          <w:p w14:paraId="09E8E80D">
            <w:pPr>
              <w:spacing w:line="240" w:lineRule="auto"/>
              <w:jc w:val="left"/>
            </w:pPr>
            <w:r>
              <w:rPr>
                <w:rFonts w:ascii="宋体" w:hAnsi="宋体" w:eastAsia="宋体" w:cs="宋体"/>
                <w:b w:val="0"/>
              </w:rPr>
              <w:t>长进光子</w:t>
            </w:r>
          </w:p>
        </w:tc>
        <w:tc>
          <w:tcPr>
            <w:tcW w:w="0" w:type="dxa"/>
            <w:vAlign w:val="center"/>
          </w:tcPr>
          <w:p w14:paraId="6F2DB929">
            <w:pPr>
              <w:spacing w:line="240" w:lineRule="auto"/>
              <w:jc w:val="left"/>
            </w:pPr>
            <w:r>
              <w:rPr>
                <w:rFonts w:ascii="宋体" w:hAnsi="宋体" w:eastAsia="宋体" w:cs="宋体"/>
                <w:b w:val="0"/>
              </w:rPr>
              <w:t>2026-05-20</w:t>
            </w:r>
          </w:p>
        </w:tc>
        <w:tc>
          <w:tcPr>
            <w:tcW w:w="0" w:type="dxa"/>
            <w:vAlign w:val="center"/>
          </w:tcPr>
          <w:p w14:paraId="28DBD843">
            <w:pPr>
              <w:spacing w:line="240" w:lineRule="auto"/>
              <w:jc w:val="left"/>
            </w:pPr>
            <w:r>
              <w:rPr>
                <w:rFonts w:ascii="宋体" w:hAnsi="宋体" w:eastAsia="宋体" w:cs="宋体"/>
                <w:b w:val="0"/>
              </w:rPr>
              <w:t>6个月</w:t>
            </w:r>
          </w:p>
        </w:tc>
        <w:tc>
          <w:tcPr>
            <w:tcW w:w="0" w:type="dxa"/>
            <w:vAlign w:val="center"/>
          </w:tcPr>
          <w:p w14:paraId="62FB7F71">
            <w:pPr>
              <w:spacing w:line="240" w:lineRule="auto"/>
              <w:jc w:val="left"/>
            </w:pPr>
            <w:r>
              <w:rPr>
                <w:rFonts w:ascii="宋体" w:hAnsi="宋体" w:eastAsia="宋体" w:cs="宋体"/>
                <w:b w:val="0"/>
              </w:rPr>
              <w:t>新股流通受限</w:t>
            </w:r>
          </w:p>
        </w:tc>
        <w:tc>
          <w:tcPr>
            <w:tcW w:w="0" w:type="dxa"/>
            <w:vAlign w:val="center"/>
          </w:tcPr>
          <w:p w14:paraId="0343FEE1">
            <w:pPr>
              <w:spacing w:line="240" w:lineRule="auto"/>
              <w:jc w:val="right"/>
            </w:pPr>
            <w:r>
              <w:rPr>
                <w:rFonts w:ascii="宋体" w:hAnsi="宋体" w:eastAsia="宋体" w:cs="宋体"/>
                <w:b w:val="0"/>
              </w:rPr>
              <w:t>40.98</w:t>
            </w:r>
          </w:p>
        </w:tc>
        <w:tc>
          <w:tcPr>
            <w:tcW w:w="0" w:type="dxa"/>
            <w:vAlign w:val="center"/>
          </w:tcPr>
          <w:p w14:paraId="577D2E59">
            <w:pPr>
              <w:spacing w:line="240" w:lineRule="auto"/>
              <w:jc w:val="right"/>
            </w:pPr>
            <w:r>
              <w:rPr>
                <w:rFonts w:ascii="宋体" w:hAnsi="宋体" w:eastAsia="宋体" w:cs="宋体"/>
                <w:b w:val="0"/>
              </w:rPr>
              <w:t>308.19</w:t>
            </w:r>
          </w:p>
        </w:tc>
        <w:tc>
          <w:tcPr>
            <w:tcW w:w="0" w:type="dxa"/>
            <w:vAlign w:val="center"/>
          </w:tcPr>
          <w:p w14:paraId="55DB35FD">
            <w:pPr>
              <w:spacing w:line="240" w:lineRule="auto"/>
              <w:jc w:val="right"/>
            </w:pPr>
            <w:r>
              <w:rPr>
                <w:rFonts w:ascii="宋体" w:hAnsi="宋体" w:eastAsia="宋体" w:cs="宋体"/>
                <w:b w:val="0"/>
              </w:rPr>
              <w:t>53</w:t>
            </w:r>
          </w:p>
        </w:tc>
        <w:tc>
          <w:tcPr>
            <w:tcW w:w="0" w:type="dxa"/>
            <w:vAlign w:val="center"/>
          </w:tcPr>
          <w:p w14:paraId="2EC0F578">
            <w:pPr>
              <w:spacing w:line="240" w:lineRule="auto"/>
              <w:jc w:val="right"/>
            </w:pPr>
            <w:r>
              <w:rPr>
                <w:rFonts w:ascii="宋体" w:hAnsi="宋体" w:eastAsia="宋体" w:cs="宋体"/>
                <w:b w:val="0"/>
              </w:rPr>
              <w:t>2,171.94</w:t>
            </w:r>
          </w:p>
        </w:tc>
        <w:tc>
          <w:tcPr>
            <w:tcW w:w="0" w:type="dxa"/>
            <w:vAlign w:val="center"/>
          </w:tcPr>
          <w:p w14:paraId="7FC995B3">
            <w:pPr>
              <w:spacing w:line="240" w:lineRule="auto"/>
              <w:jc w:val="right"/>
            </w:pPr>
            <w:r>
              <w:rPr>
                <w:rFonts w:ascii="宋体" w:hAnsi="宋体" w:eastAsia="宋体" w:cs="宋体"/>
                <w:b w:val="0"/>
              </w:rPr>
              <w:t>16,334.07</w:t>
            </w:r>
          </w:p>
        </w:tc>
        <w:tc>
          <w:tcPr>
            <w:tcW w:w="0" w:type="dxa"/>
            <w:vAlign w:val="center"/>
          </w:tcPr>
          <w:p w14:paraId="4B29F89C">
            <w:pPr>
              <w:spacing w:line="240" w:lineRule="auto"/>
              <w:jc w:val="left"/>
            </w:pPr>
            <w:r>
              <w:rPr>
                <w:rFonts w:ascii="宋体" w:hAnsi="宋体" w:eastAsia="宋体" w:cs="宋体"/>
                <w:b w:val="0"/>
              </w:rPr>
              <w:t>-</w:t>
            </w:r>
          </w:p>
        </w:tc>
      </w:tr>
      <w:tr w14:paraId="5DC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1872CC">
            <w:pPr>
              <w:spacing w:line="240" w:lineRule="auto"/>
              <w:jc w:val="left"/>
            </w:pPr>
            <w:r>
              <w:rPr>
                <w:rFonts w:ascii="宋体" w:hAnsi="宋体" w:eastAsia="宋体" w:cs="宋体"/>
                <w:b w:val="0"/>
              </w:rPr>
              <w:t>603435</w:t>
            </w:r>
          </w:p>
        </w:tc>
        <w:tc>
          <w:tcPr>
            <w:tcW w:w="0" w:type="dxa"/>
            <w:vAlign w:val="center"/>
          </w:tcPr>
          <w:p w14:paraId="39F3DA75">
            <w:pPr>
              <w:spacing w:line="240" w:lineRule="auto"/>
              <w:jc w:val="left"/>
            </w:pPr>
            <w:r>
              <w:rPr>
                <w:rFonts w:ascii="宋体" w:hAnsi="宋体" w:eastAsia="宋体" w:cs="宋体"/>
                <w:b w:val="0"/>
              </w:rPr>
              <w:t>嘉德利</w:t>
            </w:r>
          </w:p>
        </w:tc>
        <w:tc>
          <w:tcPr>
            <w:tcW w:w="0" w:type="dxa"/>
            <w:vAlign w:val="center"/>
          </w:tcPr>
          <w:p w14:paraId="61000BD2">
            <w:pPr>
              <w:spacing w:line="240" w:lineRule="auto"/>
              <w:jc w:val="left"/>
            </w:pPr>
            <w:r>
              <w:rPr>
                <w:rFonts w:ascii="宋体" w:hAnsi="宋体" w:eastAsia="宋体" w:cs="宋体"/>
                <w:b w:val="0"/>
              </w:rPr>
              <w:t>2026-05-15</w:t>
            </w:r>
          </w:p>
        </w:tc>
        <w:tc>
          <w:tcPr>
            <w:tcW w:w="0" w:type="dxa"/>
            <w:vAlign w:val="center"/>
          </w:tcPr>
          <w:p w14:paraId="478EA0EE">
            <w:pPr>
              <w:spacing w:line="240" w:lineRule="auto"/>
              <w:jc w:val="left"/>
            </w:pPr>
            <w:r>
              <w:rPr>
                <w:rFonts w:ascii="宋体" w:hAnsi="宋体" w:eastAsia="宋体" w:cs="宋体"/>
                <w:b w:val="0"/>
              </w:rPr>
              <w:t>6个月</w:t>
            </w:r>
          </w:p>
        </w:tc>
        <w:tc>
          <w:tcPr>
            <w:tcW w:w="0" w:type="dxa"/>
            <w:vAlign w:val="center"/>
          </w:tcPr>
          <w:p w14:paraId="1F306441">
            <w:pPr>
              <w:spacing w:line="240" w:lineRule="auto"/>
              <w:jc w:val="left"/>
            </w:pPr>
            <w:r>
              <w:rPr>
                <w:rFonts w:ascii="宋体" w:hAnsi="宋体" w:eastAsia="宋体" w:cs="宋体"/>
                <w:b w:val="0"/>
              </w:rPr>
              <w:t>新股流通受限</w:t>
            </w:r>
          </w:p>
        </w:tc>
        <w:tc>
          <w:tcPr>
            <w:tcW w:w="0" w:type="dxa"/>
            <w:vAlign w:val="center"/>
          </w:tcPr>
          <w:p w14:paraId="7BA0B757">
            <w:pPr>
              <w:spacing w:line="240" w:lineRule="auto"/>
              <w:jc w:val="right"/>
            </w:pPr>
            <w:r>
              <w:rPr>
                <w:rFonts w:ascii="宋体" w:hAnsi="宋体" w:eastAsia="宋体" w:cs="宋体"/>
                <w:b w:val="0"/>
              </w:rPr>
              <w:t>15.76</w:t>
            </w:r>
          </w:p>
        </w:tc>
        <w:tc>
          <w:tcPr>
            <w:tcW w:w="0" w:type="dxa"/>
            <w:vAlign w:val="center"/>
          </w:tcPr>
          <w:p w14:paraId="3AA9AF65">
            <w:pPr>
              <w:spacing w:line="240" w:lineRule="auto"/>
              <w:jc w:val="right"/>
            </w:pPr>
            <w:r>
              <w:rPr>
                <w:rFonts w:ascii="宋体" w:hAnsi="宋体" w:eastAsia="宋体" w:cs="宋体"/>
                <w:b w:val="0"/>
              </w:rPr>
              <w:t>46.71</w:t>
            </w:r>
          </w:p>
        </w:tc>
        <w:tc>
          <w:tcPr>
            <w:tcW w:w="0" w:type="dxa"/>
            <w:vAlign w:val="center"/>
          </w:tcPr>
          <w:p w14:paraId="0A6A578E">
            <w:pPr>
              <w:spacing w:line="240" w:lineRule="auto"/>
              <w:jc w:val="right"/>
            </w:pPr>
            <w:r>
              <w:rPr>
                <w:rFonts w:ascii="宋体" w:hAnsi="宋体" w:eastAsia="宋体" w:cs="宋体"/>
                <w:b w:val="0"/>
              </w:rPr>
              <w:t>60</w:t>
            </w:r>
          </w:p>
        </w:tc>
        <w:tc>
          <w:tcPr>
            <w:tcW w:w="0" w:type="dxa"/>
            <w:vAlign w:val="center"/>
          </w:tcPr>
          <w:p w14:paraId="6A6BF9F6">
            <w:pPr>
              <w:spacing w:line="240" w:lineRule="auto"/>
              <w:jc w:val="right"/>
            </w:pPr>
            <w:r>
              <w:rPr>
                <w:rFonts w:ascii="宋体" w:hAnsi="宋体" w:eastAsia="宋体" w:cs="宋体"/>
                <w:b w:val="0"/>
              </w:rPr>
              <w:t>945.60</w:t>
            </w:r>
          </w:p>
        </w:tc>
        <w:tc>
          <w:tcPr>
            <w:tcW w:w="0" w:type="dxa"/>
            <w:vAlign w:val="center"/>
          </w:tcPr>
          <w:p w14:paraId="6490B899">
            <w:pPr>
              <w:spacing w:line="240" w:lineRule="auto"/>
              <w:jc w:val="right"/>
            </w:pPr>
            <w:r>
              <w:rPr>
                <w:rFonts w:ascii="宋体" w:hAnsi="宋体" w:eastAsia="宋体" w:cs="宋体"/>
                <w:b w:val="0"/>
              </w:rPr>
              <w:t>2,802.60</w:t>
            </w:r>
          </w:p>
        </w:tc>
        <w:tc>
          <w:tcPr>
            <w:tcW w:w="0" w:type="dxa"/>
            <w:vAlign w:val="center"/>
          </w:tcPr>
          <w:p w14:paraId="1DAD63A1">
            <w:pPr>
              <w:spacing w:line="240" w:lineRule="auto"/>
              <w:jc w:val="left"/>
            </w:pPr>
            <w:r>
              <w:rPr>
                <w:rFonts w:ascii="宋体" w:hAnsi="宋体" w:eastAsia="宋体" w:cs="宋体"/>
                <w:b w:val="0"/>
              </w:rPr>
              <w:t>-</w:t>
            </w:r>
          </w:p>
        </w:tc>
      </w:tr>
    </w:tbl>
    <w:p w14:paraId="6A1D2EEA">
      <w:r>
        <w:rPr>
          <w:rFonts w:ascii="宋体" w:hAnsi="宋体" w:eastAsia="宋体" w:cs="宋体"/>
          <w:b w:val="0"/>
        </w:rPr>
        <w:t>注：基金可使用以基金名义开设的股票账户，选择网上或者网下一种方式进行新股申购。其中基金参与网下申购获得的新股中需要限售的部分或作为战略投资者参与配售获得的新股，在新股上市后的约定期限内不能自由转让；基金参与网上申购获配的新股，从新股获配日至新股上市日之间不能自由转让。</w:t>
      </w:r>
    </w:p>
    <w:p w14:paraId="66FB2E32"/>
    <w:p w14:paraId="05AC54A8">
      <w:pPr>
        <w:pStyle w:val="58"/>
      </w:pPr>
      <w:r>
        <w:rPr>
          <w:rFonts w:ascii="宋体" w:hAnsi="宋体" w:eastAsia="宋体" w:cs="宋体"/>
          <w:b/>
        </w:rPr>
        <w:t>6.4.12.2 期末持有的暂时停牌等流通受限股票</w:t>
      </w:r>
    </w:p>
    <w:p w14:paraId="66523DAB">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397"/>
        <w:gridCol w:w="1125"/>
        <w:gridCol w:w="398"/>
        <w:gridCol w:w="762"/>
        <w:gridCol w:w="1125"/>
        <w:gridCol w:w="762"/>
        <w:gridCol w:w="762"/>
        <w:gridCol w:w="1398"/>
        <w:gridCol w:w="1398"/>
        <w:gridCol w:w="398"/>
      </w:tblGrid>
      <w:tr w14:paraId="2FDB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shd w:val="clear" w:color="auto" w:fill="D9D9D9"/>
            <w:vAlign w:val="center"/>
          </w:tcPr>
          <w:p w14:paraId="4396817F">
            <w:pPr>
              <w:spacing w:line="240" w:lineRule="auto"/>
              <w:jc w:val="center"/>
            </w:pPr>
            <w:r>
              <w:rPr>
                <w:rFonts w:ascii="宋体" w:hAnsi="宋体" w:eastAsia="宋体" w:cs="宋体"/>
                <w:b w:val="0"/>
              </w:rPr>
              <w:t>股票代码</w:t>
            </w:r>
          </w:p>
        </w:tc>
        <w:tc>
          <w:tcPr>
            <w:tcW w:w="462" w:type="pct"/>
            <w:shd w:val="clear" w:color="auto" w:fill="D9D9D9"/>
            <w:vAlign w:val="center"/>
          </w:tcPr>
          <w:p w14:paraId="2E690BC4">
            <w:pPr>
              <w:spacing w:line="240" w:lineRule="auto"/>
              <w:jc w:val="center"/>
            </w:pPr>
            <w:r>
              <w:rPr>
                <w:rFonts w:ascii="宋体" w:hAnsi="宋体" w:eastAsia="宋体" w:cs="宋体"/>
                <w:b w:val="0"/>
              </w:rPr>
              <w:t>股票名称</w:t>
            </w:r>
          </w:p>
        </w:tc>
        <w:tc>
          <w:tcPr>
            <w:tcW w:w="462" w:type="pct"/>
            <w:shd w:val="clear" w:color="auto" w:fill="D9D9D9"/>
            <w:vAlign w:val="center"/>
          </w:tcPr>
          <w:p w14:paraId="374BEF48">
            <w:pPr>
              <w:spacing w:line="240" w:lineRule="auto"/>
              <w:jc w:val="center"/>
            </w:pPr>
            <w:r>
              <w:rPr>
                <w:rFonts w:ascii="宋体" w:hAnsi="宋体" w:eastAsia="宋体" w:cs="宋体"/>
                <w:b w:val="0"/>
              </w:rPr>
              <w:t>停牌日期</w:t>
            </w:r>
          </w:p>
        </w:tc>
        <w:tc>
          <w:tcPr>
            <w:tcW w:w="462" w:type="pct"/>
            <w:shd w:val="clear" w:color="auto" w:fill="D9D9D9"/>
            <w:vAlign w:val="center"/>
          </w:tcPr>
          <w:p w14:paraId="31173574">
            <w:pPr>
              <w:spacing w:line="240" w:lineRule="auto"/>
              <w:jc w:val="center"/>
            </w:pPr>
            <w:r>
              <w:rPr>
                <w:rFonts w:ascii="宋体" w:hAnsi="宋体" w:eastAsia="宋体" w:cs="宋体"/>
                <w:b w:val="0"/>
              </w:rPr>
              <w:t>停牌原因</w:t>
            </w:r>
          </w:p>
        </w:tc>
        <w:tc>
          <w:tcPr>
            <w:tcW w:w="462" w:type="pct"/>
            <w:shd w:val="clear" w:color="auto" w:fill="D9D9D9"/>
            <w:vAlign w:val="center"/>
          </w:tcPr>
          <w:p w14:paraId="70C00625">
            <w:pPr>
              <w:spacing w:line="240" w:lineRule="auto"/>
              <w:jc w:val="center"/>
            </w:pPr>
            <w:r>
              <w:rPr>
                <w:rFonts w:ascii="宋体" w:hAnsi="宋体" w:eastAsia="宋体" w:cs="宋体"/>
                <w:b w:val="0"/>
              </w:rPr>
              <w:t>期末估值单价</w:t>
            </w:r>
          </w:p>
        </w:tc>
        <w:tc>
          <w:tcPr>
            <w:tcW w:w="462" w:type="pct"/>
            <w:shd w:val="clear" w:color="auto" w:fill="D9D9D9"/>
            <w:vAlign w:val="center"/>
          </w:tcPr>
          <w:p w14:paraId="0C1D5026">
            <w:pPr>
              <w:spacing w:line="240" w:lineRule="auto"/>
              <w:jc w:val="center"/>
            </w:pPr>
            <w:r>
              <w:rPr>
                <w:rFonts w:ascii="宋体" w:hAnsi="宋体" w:eastAsia="宋体" w:cs="宋体"/>
                <w:b w:val="0"/>
              </w:rPr>
              <w:t>复牌日期</w:t>
            </w:r>
          </w:p>
        </w:tc>
        <w:tc>
          <w:tcPr>
            <w:tcW w:w="462" w:type="pct"/>
            <w:shd w:val="clear" w:color="auto" w:fill="D9D9D9"/>
            <w:vAlign w:val="center"/>
          </w:tcPr>
          <w:p w14:paraId="1C0B585B">
            <w:pPr>
              <w:spacing w:line="240" w:lineRule="auto"/>
              <w:jc w:val="center"/>
            </w:pPr>
            <w:r>
              <w:rPr>
                <w:rFonts w:ascii="宋体" w:hAnsi="宋体" w:eastAsia="宋体" w:cs="宋体"/>
                <w:b w:val="0"/>
              </w:rPr>
              <w:t>复牌开盘单价</w:t>
            </w:r>
          </w:p>
        </w:tc>
        <w:tc>
          <w:tcPr>
            <w:tcW w:w="462" w:type="pct"/>
            <w:shd w:val="clear" w:color="auto" w:fill="D9D9D9"/>
            <w:vAlign w:val="center"/>
          </w:tcPr>
          <w:p w14:paraId="321843CE">
            <w:pPr>
              <w:spacing w:line="240" w:lineRule="auto"/>
              <w:jc w:val="center"/>
            </w:pPr>
            <w:r>
              <w:rPr>
                <w:rFonts w:ascii="宋体" w:hAnsi="宋体" w:eastAsia="宋体" w:cs="宋体"/>
                <w:b w:val="0"/>
              </w:rPr>
              <w:t>数量（股）</w:t>
            </w:r>
          </w:p>
        </w:tc>
        <w:tc>
          <w:tcPr>
            <w:tcW w:w="462" w:type="pct"/>
            <w:shd w:val="clear" w:color="auto" w:fill="D9D9D9"/>
            <w:vAlign w:val="center"/>
          </w:tcPr>
          <w:p w14:paraId="0C648BD8">
            <w:pPr>
              <w:spacing w:line="240" w:lineRule="auto"/>
              <w:jc w:val="center"/>
            </w:pPr>
            <w:r>
              <w:rPr>
                <w:rFonts w:ascii="宋体" w:hAnsi="宋体" w:eastAsia="宋体" w:cs="宋体"/>
                <w:b w:val="0"/>
              </w:rPr>
              <w:t>期末成本总额</w:t>
            </w:r>
          </w:p>
        </w:tc>
        <w:tc>
          <w:tcPr>
            <w:tcW w:w="462" w:type="pct"/>
            <w:shd w:val="clear" w:color="auto" w:fill="D9D9D9"/>
            <w:vAlign w:val="center"/>
          </w:tcPr>
          <w:p w14:paraId="171C398A">
            <w:pPr>
              <w:spacing w:line="240" w:lineRule="auto"/>
              <w:jc w:val="center"/>
            </w:pPr>
            <w:r>
              <w:rPr>
                <w:rFonts w:ascii="宋体" w:hAnsi="宋体" w:eastAsia="宋体" w:cs="宋体"/>
                <w:b w:val="0"/>
              </w:rPr>
              <w:t>期末估值总额</w:t>
            </w:r>
          </w:p>
        </w:tc>
        <w:tc>
          <w:tcPr>
            <w:tcW w:w="462" w:type="pct"/>
            <w:shd w:val="clear" w:color="auto" w:fill="D9D9D9"/>
            <w:vAlign w:val="center"/>
          </w:tcPr>
          <w:p w14:paraId="2C8D64D1">
            <w:pPr>
              <w:spacing w:line="240" w:lineRule="auto"/>
              <w:jc w:val="center"/>
            </w:pPr>
            <w:r>
              <w:rPr>
                <w:rFonts w:ascii="宋体" w:hAnsi="宋体" w:eastAsia="宋体" w:cs="宋体"/>
                <w:b w:val="0"/>
              </w:rPr>
              <w:t>备注</w:t>
            </w:r>
          </w:p>
        </w:tc>
      </w:tr>
      <w:tr w14:paraId="0997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3166B2">
            <w:pPr>
              <w:spacing w:line="240" w:lineRule="auto"/>
              <w:jc w:val="left"/>
            </w:pPr>
            <w:r>
              <w:rPr>
                <w:rFonts w:ascii="宋体" w:hAnsi="宋体" w:eastAsia="宋体" w:cs="宋体"/>
                <w:b w:val="0"/>
              </w:rPr>
              <w:t>688072</w:t>
            </w:r>
          </w:p>
        </w:tc>
        <w:tc>
          <w:tcPr>
            <w:tcW w:w="0" w:type="dxa"/>
            <w:vAlign w:val="center"/>
          </w:tcPr>
          <w:p w14:paraId="17BA8281">
            <w:pPr>
              <w:spacing w:line="240" w:lineRule="auto"/>
              <w:jc w:val="left"/>
            </w:pPr>
            <w:r>
              <w:rPr>
                <w:rFonts w:ascii="宋体" w:hAnsi="宋体" w:eastAsia="宋体" w:cs="宋体"/>
                <w:b w:val="0"/>
              </w:rPr>
              <w:t>拓荆科技</w:t>
            </w:r>
          </w:p>
        </w:tc>
        <w:tc>
          <w:tcPr>
            <w:tcW w:w="0" w:type="dxa"/>
            <w:vAlign w:val="center"/>
          </w:tcPr>
          <w:p w14:paraId="1BF73E97">
            <w:pPr>
              <w:spacing w:line="240" w:lineRule="auto"/>
              <w:jc w:val="left"/>
            </w:pPr>
            <w:r>
              <w:rPr>
                <w:rFonts w:ascii="宋体" w:hAnsi="宋体" w:eastAsia="宋体" w:cs="宋体"/>
                <w:b w:val="0"/>
              </w:rPr>
              <w:t>2026-06-29</w:t>
            </w:r>
          </w:p>
        </w:tc>
        <w:tc>
          <w:tcPr>
            <w:tcW w:w="0" w:type="dxa"/>
            <w:vAlign w:val="center"/>
          </w:tcPr>
          <w:p w14:paraId="09BC11CF">
            <w:pPr>
              <w:spacing w:line="240" w:lineRule="auto"/>
              <w:jc w:val="left"/>
            </w:pPr>
            <w:r>
              <w:rPr>
                <w:rFonts w:ascii="宋体" w:hAnsi="宋体" w:eastAsia="宋体" w:cs="宋体"/>
                <w:b w:val="0"/>
              </w:rPr>
              <w:t>重大事项停牌</w:t>
            </w:r>
          </w:p>
        </w:tc>
        <w:tc>
          <w:tcPr>
            <w:tcW w:w="0" w:type="dxa"/>
            <w:vAlign w:val="center"/>
          </w:tcPr>
          <w:p w14:paraId="72E77A2D">
            <w:pPr>
              <w:spacing w:line="240" w:lineRule="auto"/>
              <w:jc w:val="right"/>
            </w:pPr>
            <w:r>
              <w:rPr>
                <w:rFonts w:ascii="宋体" w:hAnsi="宋体" w:eastAsia="宋体" w:cs="宋体"/>
                <w:b w:val="0"/>
              </w:rPr>
              <w:t>879.53</w:t>
            </w:r>
          </w:p>
        </w:tc>
        <w:tc>
          <w:tcPr>
            <w:tcW w:w="0" w:type="dxa"/>
            <w:vAlign w:val="center"/>
          </w:tcPr>
          <w:p w14:paraId="3C70853A">
            <w:pPr>
              <w:spacing w:line="240" w:lineRule="auto"/>
              <w:jc w:val="left"/>
            </w:pPr>
            <w:r>
              <w:rPr>
                <w:rFonts w:ascii="宋体" w:hAnsi="宋体" w:eastAsia="宋体" w:cs="宋体"/>
                <w:b w:val="0"/>
              </w:rPr>
              <w:t>2026-07-13</w:t>
            </w:r>
          </w:p>
        </w:tc>
        <w:tc>
          <w:tcPr>
            <w:tcW w:w="0" w:type="dxa"/>
            <w:vAlign w:val="center"/>
          </w:tcPr>
          <w:p w14:paraId="008A44AF">
            <w:pPr>
              <w:spacing w:line="240" w:lineRule="auto"/>
              <w:jc w:val="right"/>
            </w:pPr>
            <w:r>
              <w:rPr>
                <w:rFonts w:ascii="宋体" w:hAnsi="宋体" w:eastAsia="宋体" w:cs="宋体"/>
                <w:b w:val="0"/>
              </w:rPr>
              <w:t>890.99</w:t>
            </w:r>
          </w:p>
        </w:tc>
        <w:tc>
          <w:tcPr>
            <w:tcW w:w="0" w:type="dxa"/>
            <w:vAlign w:val="center"/>
          </w:tcPr>
          <w:p w14:paraId="489DE1E6">
            <w:pPr>
              <w:spacing w:line="240" w:lineRule="auto"/>
              <w:jc w:val="right"/>
            </w:pPr>
            <w:r>
              <w:rPr>
                <w:rFonts w:ascii="宋体" w:hAnsi="宋体" w:eastAsia="宋体" w:cs="宋体"/>
                <w:b w:val="0"/>
              </w:rPr>
              <w:t>58,227</w:t>
            </w:r>
          </w:p>
        </w:tc>
        <w:tc>
          <w:tcPr>
            <w:tcW w:w="0" w:type="dxa"/>
            <w:vAlign w:val="center"/>
          </w:tcPr>
          <w:p w14:paraId="14D6D558">
            <w:pPr>
              <w:spacing w:line="240" w:lineRule="auto"/>
              <w:jc w:val="right"/>
            </w:pPr>
            <w:r>
              <w:rPr>
                <w:rFonts w:ascii="宋体" w:hAnsi="宋体" w:eastAsia="宋体" w:cs="宋体"/>
                <w:b w:val="0"/>
              </w:rPr>
              <w:t>35,614,641.25</w:t>
            </w:r>
          </w:p>
        </w:tc>
        <w:tc>
          <w:tcPr>
            <w:tcW w:w="0" w:type="dxa"/>
            <w:vAlign w:val="center"/>
          </w:tcPr>
          <w:p w14:paraId="674AB881">
            <w:pPr>
              <w:spacing w:line="240" w:lineRule="auto"/>
              <w:jc w:val="right"/>
            </w:pPr>
            <w:r>
              <w:rPr>
                <w:rFonts w:ascii="宋体" w:hAnsi="宋体" w:eastAsia="宋体" w:cs="宋体"/>
                <w:b w:val="0"/>
              </w:rPr>
              <w:t>51,212,393.31</w:t>
            </w:r>
          </w:p>
        </w:tc>
        <w:tc>
          <w:tcPr>
            <w:tcW w:w="0" w:type="dxa"/>
            <w:vAlign w:val="center"/>
          </w:tcPr>
          <w:p w14:paraId="73D81A4D">
            <w:pPr>
              <w:spacing w:line="240" w:lineRule="auto"/>
              <w:jc w:val="left"/>
            </w:pPr>
            <w:r>
              <w:rPr>
                <w:rFonts w:ascii="宋体" w:hAnsi="宋体" w:eastAsia="宋体" w:cs="宋体"/>
                <w:b w:val="0"/>
              </w:rPr>
              <w:t>-</w:t>
            </w:r>
          </w:p>
        </w:tc>
      </w:tr>
    </w:tbl>
    <w:p w14:paraId="17859650"/>
    <w:p w14:paraId="4AB4A27F">
      <w:pPr>
        <w:pStyle w:val="58"/>
      </w:pPr>
      <w:r>
        <w:rPr>
          <w:rFonts w:ascii="宋体" w:hAnsi="宋体" w:eastAsia="宋体" w:cs="宋体"/>
          <w:b/>
        </w:rPr>
        <w:t>6.4.12.3 期末债券正回购交易中作为抵押的债券</w:t>
      </w:r>
    </w:p>
    <w:p w14:paraId="5B05665C">
      <w:pPr>
        <w:pStyle w:val="58"/>
      </w:pPr>
      <w:r>
        <w:rPr>
          <w:rFonts w:ascii="宋体" w:hAnsi="宋体" w:eastAsia="宋体" w:cs="宋体"/>
          <w:b/>
        </w:rPr>
        <w:t>6.4.12.3.1 银行间市场债券正回购</w:t>
      </w:r>
    </w:p>
    <w:p w14:paraId="3CA2F89C">
      <w:pPr>
        <w:jc w:val="left"/>
      </w:pPr>
      <w:r>
        <w:rPr>
          <w:rFonts w:ascii="宋体" w:hAnsi="宋体" w:eastAsia="宋体" w:cs="宋体"/>
          <w:b w:val="0"/>
        </w:rPr>
        <w:t xml:space="preserve">    本基金本报告期末无从事银行间市场债券正回购交易形成的卖出回购证券款余额。</w:t>
      </w:r>
    </w:p>
    <w:p w14:paraId="60E2EBC7"/>
    <w:p w14:paraId="25353EE9">
      <w:pPr>
        <w:pStyle w:val="58"/>
      </w:pPr>
      <w:r>
        <w:rPr>
          <w:rFonts w:ascii="宋体" w:hAnsi="宋体" w:eastAsia="宋体" w:cs="宋体"/>
          <w:b/>
        </w:rPr>
        <w:t>6.4.12.3.2 交易所市场债券正回购</w:t>
      </w:r>
    </w:p>
    <w:p w14:paraId="0585260A">
      <w:pPr>
        <w:jc w:val="left"/>
      </w:pPr>
      <w:r>
        <w:rPr>
          <w:rFonts w:ascii="宋体" w:hAnsi="宋体" w:eastAsia="宋体" w:cs="宋体"/>
          <w:b w:val="0"/>
        </w:rPr>
        <w:t xml:space="preserve">    本基金本报告期末无从事交易所债券正回购交易形成的卖出回购证券款余额。</w:t>
      </w:r>
    </w:p>
    <w:p w14:paraId="486C0B8D"/>
    <w:p w14:paraId="79497393">
      <w:pPr>
        <w:pStyle w:val="58"/>
      </w:pPr>
      <w:r>
        <w:rPr>
          <w:rFonts w:ascii="宋体" w:hAnsi="宋体" w:eastAsia="宋体" w:cs="宋体"/>
          <w:b/>
        </w:rPr>
        <w:t>6.4.12.4 期末参与转融通证券出借业务的证券</w:t>
      </w:r>
    </w:p>
    <w:p w14:paraId="2246E8FA">
      <w:r>
        <w:rPr>
          <w:rFonts w:ascii="宋体" w:hAnsi="宋体" w:eastAsia="宋体" w:cs="宋体"/>
          <w:b w:val="0"/>
        </w:rPr>
        <w:t xml:space="preserve">    本基金本报告期末无参与转融通出借业务的证券。</w:t>
      </w:r>
    </w:p>
    <w:p w14:paraId="20E515C8"/>
    <w:p w14:paraId="1F7DCBC9">
      <w:pPr>
        <w:pStyle w:val="58"/>
      </w:pPr>
      <w:r>
        <w:rPr>
          <w:rFonts w:ascii="宋体" w:hAnsi="宋体" w:eastAsia="宋体" w:cs="宋体"/>
          <w:b/>
        </w:rPr>
        <w:t>6.4.13 金融工具风险及管理</w:t>
      </w:r>
    </w:p>
    <w:p w14:paraId="6D7FEECE">
      <w:pPr>
        <w:pStyle w:val="58"/>
      </w:pPr>
      <w:r>
        <w:rPr>
          <w:rFonts w:ascii="宋体" w:hAnsi="宋体" w:eastAsia="宋体" w:cs="宋体"/>
          <w:b/>
        </w:rPr>
        <w:t>6.4.13.1 风险管理政策和组织架构</w:t>
      </w:r>
    </w:p>
    <w:p w14:paraId="2C732EDD">
      <w:pPr>
        <w:jc w:val="left"/>
      </w:pPr>
      <w:r>
        <w:rPr>
          <w:rFonts w:ascii="宋体" w:hAnsi="宋体" w:eastAsia="宋体" w:cs="宋体"/>
          <w:b w:val="0"/>
        </w:rPr>
        <w:t xml:space="preserve">    本基金是一只进行主动投资的混合型证券投资基金，预期风险和收益水平高于债券基金及货币市场基金。本基金投资的金融工具主要包括股票投资、债券投资和交易所回购等。本基金在日常投资管理中面临的与这些金融工具相关的风险主要包括信用风险、流动性风险及市场风险。本基金的基金管理人从事风险管理的主要目标是争取将以上风险控制在限定的范围之内，使本基金在风险和收益之间取得最佳的平衡以实现"风险和收益相匹配"的风险收益目标。</w:t>
      </w:r>
      <w:r>
        <w:rPr>
          <w:rFonts w:ascii="宋体" w:hAnsi="宋体" w:eastAsia="宋体" w:cs="宋体"/>
          <w:b w:val="0"/>
        </w:rPr>
        <w:br w:type="textWrapping"/>
      </w:r>
      <w:r>
        <w:rPr>
          <w:rFonts w:ascii="宋体" w:hAnsi="宋体" w:eastAsia="宋体" w:cs="宋体"/>
          <w:b w:val="0"/>
        </w:rPr>
        <w:t xml:space="preserve">    本基金的基金管理人奉行全面风险管理体系的建设，建立了以风险控制委员会为核心的三级风险防控体系。一级风险防范指基金管理人在董事会下设立风险控制委员会，负责制定风险管理的宏观政策，审议通过风险控制的总体措施等。二级风险防范指在公司投资决策委员会和监察稽核部层次对公司的风险进行的预防和控制。公司经理层设投资决策委员会，对涉及基金投资的重大问题进行决策，对基金的总体投资情况提出指导性意见，从而达到分散投资风险，提高基金资产的安全性的目的。监察稽核部在督察长的领导下，独立于公司各业务部门，对各岗位、各部门、各项业务中的风险控制情况实施监督。三级风险防范是公司各部门对自身业务工作中的风险进行的自我检查和控制。</w:t>
      </w:r>
      <w:r>
        <w:rPr>
          <w:rFonts w:ascii="宋体" w:hAnsi="宋体" w:eastAsia="宋体" w:cs="宋体"/>
          <w:b w:val="0"/>
        </w:rPr>
        <w:br w:type="textWrapping"/>
      </w:r>
      <w:r>
        <w:rPr>
          <w:rFonts w:ascii="宋体" w:hAnsi="宋体" w:eastAsia="宋体" w:cs="宋体"/>
          <w:b w:val="0"/>
        </w:rPr>
        <w:t xml:space="preserve">    本基金的基金管理人对于金融工具的风险管理方法主要是通过定性分析和定量分析的方法去估测各种风险产生的可能损失。从定性分析的角度出发，判断风险损失的严重程度和出现同类风险损失的频度。而从定量分析的角度出发，根据本基金的投资目标，结合基金资产所运用金融工具特征，及时可靠地对各种风险进行监督、检查和评估，并通过相应决策，将风险控制在可承受的范围内。</w:t>
      </w:r>
    </w:p>
    <w:p w14:paraId="5185C7D4"/>
    <w:p w14:paraId="4167994F">
      <w:pPr>
        <w:pStyle w:val="58"/>
      </w:pPr>
      <w:r>
        <w:rPr>
          <w:rFonts w:ascii="宋体" w:hAnsi="宋体" w:eastAsia="宋体" w:cs="宋体"/>
          <w:b/>
        </w:rPr>
        <w:t>6.4.13.2 信用风险</w:t>
      </w:r>
    </w:p>
    <w:p w14:paraId="6A3021F3">
      <w:r>
        <w:rPr>
          <w:rFonts w:ascii="宋体" w:hAnsi="宋体" w:eastAsia="宋体" w:cs="宋体"/>
          <w:b w:val="0"/>
        </w:rPr>
        <w:t xml:space="preserve">    信用风险是指基金在交易过程中因交易对手未履行合约责任，或者基金所投资证券之发行人出现违约、拒绝支付到期本息等情况，导致基金资产损失和收益变化的风险。</w:t>
      </w:r>
      <w:r>
        <w:rPr>
          <w:rFonts w:ascii="宋体" w:hAnsi="宋体" w:eastAsia="宋体" w:cs="宋体"/>
          <w:b w:val="0"/>
        </w:rPr>
        <w:br w:type="textWrapping"/>
      </w:r>
      <w:r>
        <w:rPr>
          <w:rFonts w:ascii="宋体" w:hAnsi="宋体" w:eastAsia="宋体" w:cs="宋体"/>
          <w:b w:val="0"/>
        </w:rPr>
        <w:t xml:space="preserve">    本基金的基金管理人在交易前对交易对手的资信状况进行了充分的评估。本基金的活期银行存款存放在本基金的托管人开立的托管账户或其他大中型商业银行开立的存款账户，因而与银行存款相关的信用风险不重大。本基金在交易所进行的交易均以中国证券登记结算有限责任公司为交易对手完成证券交收和款项清算，违约风险可能性很小。本基金在交易所进行交易前均对交易对手进行信用评估并对证券交割方式进行限制以控制相应的信用风险。本基金目前暂未开展银行间同业市场业务，无此类信用风险。</w:t>
      </w:r>
      <w:r>
        <w:rPr>
          <w:rFonts w:ascii="宋体" w:hAnsi="宋体" w:eastAsia="宋体" w:cs="宋体"/>
          <w:b w:val="0"/>
        </w:rPr>
        <w:br w:type="textWrapping"/>
      </w:r>
      <w:r>
        <w:rPr>
          <w:rFonts w:ascii="宋体" w:hAnsi="宋体" w:eastAsia="宋体" w:cs="宋体"/>
          <w:b w:val="0"/>
        </w:rPr>
        <w:t xml:space="preserve">    本基金的基金管理人建立了信用风险管理流程，通过对投资品种信用等级设置投资最低条件来控制证券发行人的信用风险。信用评估包括公司内部信用评级和外部信用评级。内部债券信用评估主要考察发行人的经营风险、财务风险和流动性风险，以及信用产品的条款和担保人的情况等。此外，本基金的基金管理人根据信用产品的评估结果，对单只信用产品投资占基金资产净值的比例及占发行量的比例进行控制，通过分散化投资以分散信用风险。</w:t>
      </w:r>
      <w:r>
        <w:rPr>
          <w:rFonts w:ascii="宋体" w:hAnsi="宋体" w:eastAsia="宋体" w:cs="宋体"/>
          <w:b w:val="0"/>
        </w:rPr>
        <w:br w:type="textWrapping"/>
      </w:r>
      <w:r>
        <w:rPr>
          <w:rFonts w:ascii="宋体" w:hAnsi="宋体" w:eastAsia="宋体" w:cs="宋体"/>
          <w:b w:val="0"/>
        </w:rPr>
        <w:t xml:space="preserve">    于2026年06月30日，本基金未持有除国债、央行票据和政策性金融债以外的债券(2025年12月31日：同)。</w:t>
      </w:r>
    </w:p>
    <w:p w14:paraId="542B383C"/>
    <w:p w14:paraId="3841CE13">
      <w:pPr>
        <w:pStyle w:val="58"/>
      </w:pPr>
      <w:r>
        <w:rPr>
          <w:rFonts w:ascii="宋体" w:hAnsi="宋体" w:eastAsia="宋体" w:cs="宋体"/>
          <w:b/>
        </w:rPr>
        <w:t>6.4.13.3 流动性风险</w:t>
      </w:r>
    </w:p>
    <w:p w14:paraId="1CD29ACA">
      <w:pPr>
        <w:jc w:val="left"/>
      </w:pPr>
      <w:r>
        <w:rPr>
          <w:rFonts w:ascii="宋体" w:hAnsi="宋体" w:eastAsia="宋体" w:cs="宋体"/>
          <w:b w:val="0"/>
        </w:rPr>
        <w:t xml:space="preserve">    流动性风险是指基金在履行与金融负债有关的义务时遇到资金短缺的风险。本基金的流动性风险一方面来自于基金份额持有人可随时要求赎回其持有的基金份额，另一方面来自于投资品种所处的交易市场不活跃而带来的变现困难或因投资集中而无法在市场出现剧烈波动的情况下以合理的价格变现。</w:t>
      </w:r>
      <w:r>
        <w:rPr>
          <w:rFonts w:ascii="宋体" w:hAnsi="宋体" w:eastAsia="宋体" w:cs="宋体"/>
          <w:b w:val="0"/>
        </w:rPr>
        <w:br w:type="textWrapping"/>
      </w:r>
      <w:r>
        <w:rPr>
          <w:rFonts w:ascii="宋体" w:hAnsi="宋体" w:eastAsia="宋体" w:cs="宋体"/>
          <w:b w:val="0"/>
        </w:rPr>
        <w:t xml:space="preserve">    针对兑付赎回资金的流动性风险，本基金的基金管理人每日对本基金的申购赎回情况进行严密监控并预测流动性需求，保持基金投资组合中的可用现金头寸与之相匹配。本基金的基金管理人在基金合同中设计了巨额赎回条款，约定在非常情况下赎回申请的处理方式，控制因开放申购赎回模式带来的流动性风险，有效保障基金持有人利益。</w:t>
      </w:r>
      <w:r>
        <w:rPr>
          <w:rFonts w:ascii="宋体" w:hAnsi="宋体" w:eastAsia="宋体" w:cs="宋体"/>
          <w:b w:val="0"/>
        </w:rPr>
        <w:br w:type="textWrapping"/>
      </w:r>
      <w:r>
        <w:rPr>
          <w:rFonts w:ascii="宋体" w:hAnsi="宋体" w:eastAsia="宋体" w:cs="宋体"/>
          <w:b w:val="0"/>
        </w:rPr>
        <w:t xml:space="preserve">    针对投资品种变现的流动性风险，本基金采用分散投资、控制流通受限证券比例等方式防范流动性风险，同时公司已经建立全覆盖、多维度以压力测试为核心的开放式基金流动性风险监测与预警制度，监察稽核部独立于投资部门负责流动性压力测试的实施与评估。</w:t>
      </w:r>
      <w:r>
        <w:rPr>
          <w:rFonts w:ascii="宋体" w:hAnsi="宋体" w:eastAsia="宋体" w:cs="宋体"/>
          <w:b w:val="0"/>
        </w:rPr>
        <w:br w:type="textWrapping"/>
      </w:r>
      <w:r>
        <w:rPr>
          <w:rFonts w:ascii="宋体" w:hAnsi="宋体" w:eastAsia="宋体" w:cs="宋体"/>
          <w:b w:val="0"/>
        </w:rPr>
        <w:t xml:space="preserve">    于2026年06月30日，本基金所承担的全部金融负债的合约约定到期日均为一个月以内且不计息，可赎回基金份额净值(净资产)无固定到期日且不计息，因此账面余额即为未折现的合约到期现金流量。</w:t>
      </w:r>
    </w:p>
    <w:p w14:paraId="42B357D1"/>
    <w:p w14:paraId="3E0FEF33">
      <w:pPr>
        <w:pStyle w:val="58"/>
      </w:pPr>
      <w:r>
        <w:rPr>
          <w:rFonts w:ascii="宋体" w:hAnsi="宋体" w:eastAsia="宋体" w:cs="宋体"/>
          <w:b/>
        </w:rPr>
        <w:t>6.4.13.3.1 报告期内本基金组合资产的流动性风险分析</w:t>
      </w:r>
    </w:p>
    <w:p w14:paraId="52262D2B">
      <w:pPr>
        <w:jc w:val="left"/>
      </w:pPr>
      <w:r>
        <w:rPr>
          <w:rFonts w:ascii="宋体" w:hAnsi="宋体" w:eastAsia="宋体" w:cs="宋体"/>
          <w:b w:val="0"/>
        </w:rPr>
        <w:t xml:space="preserve">    本基金的基金管理人在基金运作过程中严格按照《公开募集证券投资基金运作管理办法》及《公开募集开放式证券投资基金流动性风险管理规定》等法规的要求对本基金组合资产的流动性风险进行管理，通过监察稽核部对本基金的组合持仓集中度指标、流通受限制的投资品种比例以及组合在短时间内变现能力的综合指标等流动性指标进行持续的监测和分析。</w:t>
      </w:r>
      <w:r>
        <w:rPr>
          <w:rFonts w:ascii="宋体" w:hAnsi="宋体" w:eastAsia="宋体" w:cs="宋体"/>
          <w:b w:val="0"/>
        </w:rPr>
        <w:br w:type="textWrapping"/>
      </w:r>
      <w:r>
        <w:rPr>
          <w:rFonts w:ascii="宋体" w:hAnsi="宋体" w:eastAsia="宋体" w:cs="宋体"/>
          <w:b w:val="0"/>
        </w:rPr>
        <w:t xml:space="preserve">    本基金投资于一家公司发行的证券市值不超过基金资产净值的10%，且本基金与由本基金的基金管理人管理的其他基金共同持有一家公司发行的证券不得超过该证券的10%，本基金与由本基金的基金管理人管理的其他开放式基金共同持有一家上市公司发行的可流通股票不得超过该上市公司可流通股票的15%，本基金与由本基金的基金管理人管理的全部投资组合持有一家上市公司发行的可流通股票，不得超过该上市公司可流通股票的30%(完全按照有关指数构成比例进行证券投资的开放式基金及中国证监会认定的特殊投资组合不受上述比例限制)。</w:t>
      </w:r>
      <w:r>
        <w:rPr>
          <w:rFonts w:ascii="宋体" w:hAnsi="宋体" w:eastAsia="宋体" w:cs="宋体"/>
          <w:b w:val="0"/>
        </w:rPr>
        <w:br w:type="textWrapping"/>
      </w:r>
      <w:r>
        <w:rPr>
          <w:rFonts w:ascii="宋体" w:hAnsi="宋体" w:eastAsia="宋体" w:cs="宋体"/>
          <w:b w:val="0"/>
        </w:rPr>
        <w:t xml:space="preserve">    本基金所持部分证券在证券交易所上市，部分基金资产流通暂时受限制不能自由转让的情况参见附注6.4.12。此外，本基金可通过卖出回购金融资产方式借入短期资金应对流动性需求，其上限一般不超过基金持有的债券投资的公允价值。本基金主动投资于流动性受限资产的市值合计不得超过基金资产净值的15%。 于2026年06月30日，本基金主动投资于流动性受限资产的市值合计未超过基金资产净值的 15%。</w:t>
      </w:r>
      <w:r>
        <w:rPr>
          <w:rFonts w:ascii="宋体" w:hAnsi="宋体" w:eastAsia="宋体" w:cs="宋体"/>
          <w:b w:val="0"/>
        </w:rPr>
        <w:br w:type="textWrapping"/>
      </w:r>
      <w:r>
        <w:rPr>
          <w:rFonts w:ascii="宋体" w:hAnsi="宋体" w:eastAsia="宋体" w:cs="宋体"/>
          <w:b w:val="0"/>
        </w:rPr>
        <w:t xml:space="preserve">    本基金的基金管理人每日对基金组合资产中7个工作日可变现资产的可变现价值进行审慎评估与测算，确保每日确认的净赎回申请不得超过7个工作日可变现资产的可变现价值。于2026年06月30日，本基金确认的净赎回申请未超过7个工作日可变现资产的可变现价值。</w:t>
      </w:r>
      <w:r>
        <w:rPr>
          <w:rFonts w:ascii="宋体" w:hAnsi="宋体" w:eastAsia="宋体" w:cs="宋体"/>
          <w:b w:val="0"/>
        </w:rPr>
        <w:br w:type="textWrapping"/>
      </w:r>
      <w:r>
        <w:rPr>
          <w:rFonts w:ascii="宋体" w:hAnsi="宋体" w:eastAsia="宋体" w:cs="宋体"/>
          <w:b w:val="0"/>
        </w:rPr>
        <w:t xml:space="preserve">    同时，本基金的基金管理人通过合理分散逆回购交易的到期日与交易对手的集中度；按照穿透原则对交易对手的财务状况、偿付能力及杠杆水平等进行必要的尽职调查与严格的准入管理，以及对不同的交易对手实施交易额度管理并进行动态调整等措施严格管理本基金从事逆回购交易的流动性风险和交易对手风险。此外，本基金的基金管理人建立了逆回购交易质押品管理制度：根据质押品的资质确定质押率水平；持续监测质押品的风险状况与价值变动以确保质押品按公允价值计算足额；并在与私募类证券资管产品及中国证监会认定的其他主体为交易对手开展逆回购交易时，可接受质押品的资质要求与基金合同约定的投资范围保持一致。</w:t>
      </w:r>
    </w:p>
    <w:p w14:paraId="388C33C1"/>
    <w:p w14:paraId="464C2306">
      <w:pPr>
        <w:pStyle w:val="58"/>
      </w:pPr>
      <w:r>
        <w:rPr>
          <w:rFonts w:ascii="宋体" w:hAnsi="宋体" w:eastAsia="宋体" w:cs="宋体"/>
          <w:b/>
        </w:rPr>
        <w:t>6.4.13.4 市场风险</w:t>
      </w:r>
    </w:p>
    <w:p w14:paraId="387571F2">
      <w:pPr>
        <w:jc w:val="left"/>
      </w:pPr>
      <w:r>
        <w:rPr>
          <w:rFonts w:ascii="宋体" w:hAnsi="宋体" w:eastAsia="宋体" w:cs="宋体"/>
          <w:b w:val="0"/>
        </w:rPr>
        <w:t xml:space="preserve">    市场风险是指基金所持金融工具的公允价值或未来现金流量因所处市场各类价格因素的变动而发生波动的风险，包括利率风险、外汇风险和其他价格风险。</w:t>
      </w:r>
    </w:p>
    <w:p w14:paraId="33232327"/>
    <w:p w14:paraId="56B9598B">
      <w:pPr>
        <w:pStyle w:val="58"/>
      </w:pPr>
      <w:r>
        <w:rPr>
          <w:rFonts w:ascii="宋体" w:hAnsi="宋体" w:eastAsia="宋体" w:cs="宋体"/>
          <w:b/>
        </w:rPr>
        <w:t>6.4.13.4.1 利率风险</w:t>
      </w:r>
    </w:p>
    <w:p w14:paraId="4B761E60">
      <w:pPr>
        <w:jc w:val="left"/>
      </w:pPr>
      <w:r>
        <w:rPr>
          <w:rFonts w:ascii="宋体" w:hAnsi="宋体" w:eastAsia="宋体" w:cs="宋体"/>
          <w:b w:val="0"/>
        </w:rPr>
        <w:t xml:space="preserve">    利率风险是指金融工具的公允价值或未来现金流量受市场利率变动而发生波动的风险。利率敏感性金融工具均面临由于市场利率上升而导致公允价值下降的风险，其中浮动利率类金融工具还面临每个付息期间结束根据市场利率重新定价时对于未来现金流影响的风险。</w:t>
      </w:r>
      <w:r>
        <w:rPr>
          <w:rFonts w:ascii="宋体" w:hAnsi="宋体" w:eastAsia="宋体" w:cs="宋体"/>
          <w:b w:val="0"/>
        </w:rPr>
        <w:br w:type="textWrapping"/>
      </w:r>
      <w:r>
        <w:rPr>
          <w:rFonts w:ascii="宋体" w:hAnsi="宋体" w:eastAsia="宋体" w:cs="宋体"/>
          <w:b w:val="0"/>
        </w:rPr>
        <w:t xml:space="preserve">    本基金的基金管理人定期对本基金面临的利率敏感性缺口进行监控，并通过调整投资组合的久期等方法对上述利率风险进行管理。</w:t>
      </w:r>
      <w:r>
        <w:rPr>
          <w:rFonts w:ascii="宋体" w:hAnsi="宋体" w:eastAsia="宋体" w:cs="宋体"/>
          <w:b w:val="0"/>
        </w:rPr>
        <w:br w:type="textWrapping"/>
      </w:r>
      <w:r>
        <w:rPr>
          <w:rFonts w:ascii="宋体" w:hAnsi="宋体" w:eastAsia="宋体" w:cs="宋体"/>
          <w:b w:val="0"/>
        </w:rPr>
        <w:t xml:space="preserve">    本基金持有及承担的大部分金融资产和金融负债不计息，因此本基金的收入及经营活动的现金流量在很大程度上独立于市场利率变化。本基金持有的利率敏感性资产主要为银行存款和债券投资等。</w:t>
      </w:r>
    </w:p>
    <w:p w14:paraId="12B1B83C"/>
    <w:p w14:paraId="0B27A0A9">
      <w:pPr>
        <w:pStyle w:val="58"/>
      </w:pPr>
      <w:r>
        <w:rPr>
          <w:rFonts w:ascii="宋体" w:hAnsi="宋体" w:eastAsia="宋体" w:cs="宋体"/>
          <w:b/>
        </w:rPr>
        <w:t>6.4.13.4.1.1 利率风险敞口</w:t>
      </w:r>
    </w:p>
    <w:p w14:paraId="001EADFA">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1"/>
        <w:gridCol w:w="1161"/>
        <w:gridCol w:w="1161"/>
        <w:gridCol w:w="1161"/>
        <w:gridCol w:w="1161"/>
        <w:gridCol w:w="1161"/>
      </w:tblGrid>
      <w:tr w14:paraId="74E975EA">
        <w:tblPrEx>
          <w:tblCellMar>
            <w:top w:w="0" w:type="dxa"/>
            <w:left w:w="108" w:type="dxa"/>
            <w:bottom w:w="0" w:type="dxa"/>
            <w:right w:w="108" w:type="dxa"/>
          </w:tblCellMar>
        </w:tblPrEx>
        <w:tc>
          <w:tcPr>
            <w:tcW w:w="769" w:type="pct"/>
            <w:shd w:val="clear" w:color="auto" w:fill="D9D9D9"/>
            <w:vAlign w:val="center"/>
          </w:tcPr>
          <w:p w14:paraId="52C5C265">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769" w:type="pct"/>
            <w:shd w:val="clear" w:color="auto" w:fill="D9D9D9"/>
            <w:vAlign w:val="center"/>
          </w:tcPr>
          <w:p w14:paraId="0359FBF0">
            <w:pPr>
              <w:spacing w:line="240" w:lineRule="auto"/>
              <w:jc w:val="center"/>
            </w:pPr>
            <w:r>
              <w:rPr>
                <w:rFonts w:ascii="宋体" w:hAnsi="宋体" w:eastAsia="宋体" w:cs="宋体"/>
                <w:b w:val="0"/>
              </w:rPr>
              <w:t>1个月以内</w:t>
            </w:r>
          </w:p>
        </w:tc>
        <w:tc>
          <w:tcPr>
            <w:tcW w:w="615" w:type="pct"/>
            <w:shd w:val="clear" w:color="auto" w:fill="D9D9D9"/>
            <w:vAlign w:val="center"/>
          </w:tcPr>
          <w:p w14:paraId="2B9EEE41">
            <w:pPr>
              <w:spacing w:line="240" w:lineRule="auto"/>
              <w:jc w:val="center"/>
            </w:pPr>
            <w:r>
              <w:rPr>
                <w:rFonts w:ascii="宋体" w:hAnsi="宋体" w:eastAsia="宋体" w:cs="宋体"/>
                <w:b w:val="0"/>
              </w:rPr>
              <w:t>1-3个月</w:t>
            </w:r>
          </w:p>
        </w:tc>
        <w:tc>
          <w:tcPr>
            <w:tcW w:w="769" w:type="pct"/>
            <w:shd w:val="clear" w:color="auto" w:fill="D9D9D9"/>
            <w:vAlign w:val="center"/>
          </w:tcPr>
          <w:p w14:paraId="782B4CD0">
            <w:pPr>
              <w:spacing w:line="240" w:lineRule="auto"/>
              <w:jc w:val="center"/>
            </w:pPr>
            <w:r>
              <w:rPr>
                <w:rFonts w:ascii="宋体" w:hAnsi="宋体" w:eastAsia="宋体" w:cs="宋体"/>
                <w:b w:val="0"/>
              </w:rPr>
              <w:t>3个月-1年</w:t>
            </w:r>
          </w:p>
        </w:tc>
        <w:tc>
          <w:tcPr>
            <w:tcW w:w="615" w:type="pct"/>
            <w:shd w:val="clear" w:color="auto" w:fill="D9D9D9"/>
            <w:vAlign w:val="center"/>
          </w:tcPr>
          <w:p w14:paraId="33B55D63">
            <w:pPr>
              <w:spacing w:line="240" w:lineRule="auto"/>
              <w:jc w:val="center"/>
            </w:pPr>
            <w:r>
              <w:rPr>
                <w:rFonts w:ascii="宋体" w:hAnsi="宋体" w:eastAsia="宋体" w:cs="宋体"/>
                <w:b w:val="0"/>
              </w:rPr>
              <w:t>1-5年</w:t>
            </w:r>
          </w:p>
        </w:tc>
        <w:tc>
          <w:tcPr>
            <w:tcW w:w="615" w:type="pct"/>
            <w:shd w:val="clear" w:color="auto" w:fill="D9D9D9"/>
            <w:vAlign w:val="center"/>
          </w:tcPr>
          <w:p w14:paraId="6CD100FA">
            <w:pPr>
              <w:spacing w:line="240" w:lineRule="auto"/>
              <w:jc w:val="center"/>
            </w:pPr>
            <w:r>
              <w:rPr>
                <w:rFonts w:ascii="宋体" w:hAnsi="宋体" w:eastAsia="宋体" w:cs="宋体"/>
                <w:b w:val="0"/>
              </w:rPr>
              <w:t>5年以上</w:t>
            </w:r>
          </w:p>
        </w:tc>
        <w:tc>
          <w:tcPr>
            <w:tcW w:w="615" w:type="pct"/>
            <w:shd w:val="clear" w:color="auto" w:fill="D9D9D9"/>
            <w:vAlign w:val="center"/>
          </w:tcPr>
          <w:p w14:paraId="331DB5F2">
            <w:pPr>
              <w:spacing w:line="240" w:lineRule="auto"/>
              <w:jc w:val="center"/>
            </w:pPr>
            <w:r>
              <w:rPr>
                <w:rFonts w:ascii="宋体" w:hAnsi="宋体" w:eastAsia="宋体" w:cs="宋体"/>
                <w:b w:val="0"/>
              </w:rPr>
              <w:t>不计息</w:t>
            </w:r>
          </w:p>
        </w:tc>
        <w:tc>
          <w:tcPr>
            <w:tcW w:w="615" w:type="pct"/>
            <w:shd w:val="clear" w:color="auto" w:fill="D9D9D9"/>
            <w:vAlign w:val="center"/>
          </w:tcPr>
          <w:p w14:paraId="530B8BCF">
            <w:pPr>
              <w:spacing w:line="240" w:lineRule="auto"/>
              <w:jc w:val="center"/>
            </w:pPr>
            <w:r>
              <w:rPr>
                <w:rFonts w:ascii="宋体" w:hAnsi="宋体" w:eastAsia="宋体" w:cs="宋体"/>
                <w:b w:val="0"/>
              </w:rPr>
              <w:t>合计</w:t>
            </w:r>
          </w:p>
        </w:tc>
      </w:tr>
      <w:tr w14:paraId="4F39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ADE8BB">
            <w:pPr>
              <w:spacing w:line="240" w:lineRule="auto"/>
              <w:jc w:val="center"/>
            </w:pPr>
            <w:r>
              <w:rPr>
                <w:rFonts w:ascii="宋体" w:hAnsi="宋体" w:eastAsia="宋体" w:cs="宋体"/>
                <w:b w:val="0"/>
              </w:rPr>
              <w:t>资产</w:t>
            </w:r>
          </w:p>
        </w:tc>
        <w:tc>
          <w:tcPr>
            <w:tcW w:w="0" w:type="dxa"/>
            <w:vAlign w:val="center"/>
          </w:tcPr>
          <w:p w14:paraId="0E315511">
            <w:pPr>
              <w:spacing w:line="240" w:lineRule="auto"/>
              <w:jc w:val="right"/>
            </w:pPr>
          </w:p>
        </w:tc>
        <w:tc>
          <w:tcPr>
            <w:tcW w:w="0" w:type="dxa"/>
            <w:vAlign w:val="center"/>
          </w:tcPr>
          <w:p w14:paraId="1B8D9BAD">
            <w:pPr>
              <w:spacing w:line="240" w:lineRule="auto"/>
              <w:jc w:val="right"/>
            </w:pPr>
          </w:p>
        </w:tc>
        <w:tc>
          <w:tcPr>
            <w:tcW w:w="0" w:type="dxa"/>
            <w:vAlign w:val="center"/>
          </w:tcPr>
          <w:p w14:paraId="6051A975">
            <w:pPr>
              <w:spacing w:line="240" w:lineRule="auto"/>
              <w:jc w:val="right"/>
            </w:pPr>
          </w:p>
        </w:tc>
        <w:tc>
          <w:tcPr>
            <w:tcW w:w="0" w:type="dxa"/>
            <w:vAlign w:val="center"/>
          </w:tcPr>
          <w:p w14:paraId="39439650">
            <w:pPr>
              <w:spacing w:line="240" w:lineRule="auto"/>
              <w:jc w:val="right"/>
            </w:pPr>
          </w:p>
        </w:tc>
        <w:tc>
          <w:tcPr>
            <w:tcW w:w="0" w:type="dxa"/>
            <w:vAlign w:val="center"/>
          </w:tcPr>
          <w:p w14:paraId="4355DD1A">
            <w:pPr>
              <w:spacing w:line="240" w:lineRule="auto"/>
              <w:jc w:val="right"/>
            </w:pPr>
          </w:p>
        </w:tc>
        <w:tc>
          <w:tcPr>
            <w:tcW w:w="0" w:type="dxa"/>
            <w:vAlign w:val="center"/>
          </w:tcPr>
          <w:p w14:paraId="61D2E51F">
            <w:pPr>
              <w:spacing w:line="240" w:lineRule="auto"/>
              <w:jc w:val="right"/>
            </w:pPr>
          </w:p>
        </w:tc>
        <w:tc>
          <w:tcPr>
            <w:tcW w:w="0" w:type="dxa"/>
            <w:vAlign w:val="center"/>
          </w:tcPr>
          <w:p w14:paraId="4B09699F">
            <w:pPr>
              <w:spacing w:line="240" w:lineRule="auto"/>
              <w:jc w:val="right"/>
            </w:pPr>
          </w:p>
        </w:tc>
      </w:tr>
      <w:tr w14:paraId="7BBC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C0235FF">
            <w:pPr>
              <w:spacing w:line="240" w:lineRule="auto"/>
              <w:jc w:val="center"/>
            </w:pPr>
            <w:r>
              <w:rPr>
                <w:rFonts w:ascii="宋体" w:hAnsi="宋体" w:eastAsia="宋体" w:cs="宋体"/>
                <w:b w:val="0"/>
              </w:rPr>
              <w:t>货币资金</w:t>
            </w:r>
          </w:p>
        </w:tc>
        <w:tc>
          <w:tcPr>
            <w:tcW w:w="0" w:type="dxa"/>
            <w:vAlign w:val="center"/>
          </w:tcPr>
          <w:p w14:paraId="4FBBC65A">
            <w:pPr>
              <w:spacing w:line="240" w:lineRule="auto"/>
              <w:jc w:val="right"/>
            </w:pPr>
            <w:r>
              <w:rPr>
                <w:rFonts w:ascii="宋体" w:hAnsi="宋体" w:eastAsia="宋体" w:cs="宋体"/>
                <w:b w:val="0"/>
              </w:rPr>
              <w:t>49,764,334.44</w:t>
            </w:r>
          </w:p>
        </w:tc>
        <w:tc>
          <w:tcPr>
            <w:tcW w:w="0" w:type="dxa"/>
            <w:vAlign w:val="center"/>
          </w:tcPr>
          <w:p w14:paraId="24477B82">
            <w:pPr>
              <w:spacing w:line="240" w:lineRule="auto"/>
              <w:jc w:val="right"/>
            </w:pPr>
            <w:r>
              <w:rPr>
                <w:rFonts w:ascii="宋体" w:hAnsi="宋体" w:eastAsia="宋体" w:cs="宋体"/>
                <w:b w:val="0"/>
              </w:rPr>
              <w:t>-</w:t>
            </w:r>
          </w:p>
        </w:tc>
        <w:tc>
          <w:tcPr>
            <w:tcW w:w="0" w:type="dxa"/>
            <w:vAlign w:val="center"/>
          </w:tcPr>
          <w:p w14:paraId="069ECFF1">
            <w:pPr>
              <w:spacing w:line="240" w:lineRule="auto"/>
              <w:jc w:val="right"/>
            </w:pPr>
            <w:r>
              <w:rPr>
                <w:rFonts w:ascii="宋体" w:hAnsi="宋体" w:eastAsia="宋体" w:cs="宋体"/>
                <w:b w:val="0"/>
              </w:rPr>
              <w:t>-</w:t>
            </w:r>
          </w:p>
        </w:tc>
        <w:tc>
          <w:tcPr>
            <w:tcW w:w="0" w:type="dxa"/>
            <w:vAlign w:val="center"/>
          </w:tcPr>
          <w:p w14:paraId="6E39F273">
            <w:pPr>
              <w:spacing w:line="240" w:lineRule="auto"/>
              <w:jc w:val="right"/>
            </w:pPr>
            <w:r>
              <w:rPr>
                <w:rFonts w:ascii="宋体" w:hAnsi="宋体" w:eastAsia="宋体" w:cs="宋体"/>
                <w:b w:val="0"/>
              </w:rPr>
              <w:t>-</w:t>
            </w:r>
          </w:p>
        </w:tc>
        <w:tc>
          <w:tcPr>
            <w:tcW w:w="0" w:type="dxa"/>
            <w:vAlign w:val="center"/>
          </w:tcPr>
          <w:p w14:paraId="505EA014">
            <w:pPr>
              <w:spacing w:line="240" w:lineRule="auto"/>
              <w:jc w:val="right"/>
            </w:pPr>
            <w:r>
              <w:rPr>
                <w:rFonts w:ascii="宋体" w:hAnsi="宋体" w:eastAsia="宋体" w:cs="宋体"/>
                <w:b w:val="0"/>
              </w:rPr>
              <w:t>-</w:t>
            </w:r>
          </w:p>
        </w:tc>
        <w:tc>
          <w:tcPr>
            <w:tcW w:w="0" w:type="dxa"/>
            <w:vAlign w:val="center"/>
          </w:tcPr>
          <w:p w14:paraId="27F20B98">
            <w:pPr>
              <w:spacing w:line="240" w:lineRule="auto"/>
              <w:jc w:val="right"/>
            </w:pPr>
            <w:r>
              <w:rPr>
                <w:rFonts w:ascii="宋体" w:hAnsi="宋体" w:eastAsia="宋体" w:cs="宋体"/>
                <w:b w:val="0"/>
              </w:rPr>
              <w:t>-</w:t>
            </w:r>
          </w:p>
        </w:tc>
        <w:tc>
          <w:tcPr>
            <w:tcW w:w="0" w:type="dxa"/>
            <w:vAlign w:val="center"/>
          </w:tcPr>
          <w:p w14:paraId="23BA85F6">
            <w:pPr>
              <w:spacing w:line="240" w:lineRule="auto"/>
              <w:jc w:val="right"/>
            </w:pPr>
            <w:r>
              <w:rPr>
                <w:rFonts w:ascii="宋体" w:hAnsi="宋体" w:eastAsia="宋体" w:cs="宋体"/>
                <w:b w:val="0"/>
              </w:rPr>
              <w:t>49,764,334.44</w:t>
            </w:r>
          </w:p>
        </w:tc>
      </w:tr>
      <w:tr w14:paraId="7BF3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827D17">
            <w:pPr>
              <w:spacing w:line="240" w:lineRule="auto"/>
              <w:jc w:val="center"/>
            </w:pPr>
            <w:r>
              <w:rPr>
                <w:rFonts w:ascii="宋体" w:hAnsi="宋体" w:eastAsia="宋体" w:cs="宋体"/>
                <w:b w:val="0"/>
              </w:rPr>
              <w:t>交易性金融资产</w:t>
            </w:r>
          </w:p>
        </w:tc>
        <w:tc>
          <w:tcPr>
            <w:tcW w:w="0" w:type="dxa"/>
            <w:vAlign w:val="center"/>
          </w:tcPr>
          <w:p w14:paraId="30CFF7BE">
            <w:pPr>
              <w:spacing w:line="240" w:lineRule="auto"/>
              <w:jc w:val="right"/>
            </w:pPr>
            <w:r>
              <w:rPr>
                <w:rFonts w:ascii="宋体" w:hAnsi="宋体" w:eastAsia="宋体" w:cs="宋体"/>
                <w:b w:val="0"/>
              </w:rPr>
              <w:t>-</w:t>
            </w:r>
          </w:p>
        </w:tc>
        <w:tc>
          <w:tcPr>
            <w:tcW w:w="0" w:type="dxa"/>
            <w:vAlign w:val="center"/>
          </w:tcPr>
          <w:p w14:paraId="26E8D0B3">
            <w:pPr>
              <w:spacing w:line="240" w:lineRule="auto"/>
              <w:jc w:val="right"/>
            </w:pPr>
            <w:r>
              <w:rPr>
                <w:rFonts w:ascii="宋体" w:hAnsi="宋体" w:eastAsia="宋体" w:cs="宋体"/>
                <w:b w:val="0"/>
              </w:rPr>
              <w:t>-</w:t>
            </w:r>
          </w:p>
        </w:tc>
        <w:tc>
          <w:tcPr>
            <w:tcW w:w="0" w:type="dxa"/>
            <w:vAlign w:val="center"/>
          </w:tcPr>
          <w:p w14:paraId="58C7B741">
            <w:pPr>
              <w:spacing w:line="240" w:lineRule="auto"/>
              <w:jc w:val="right"/>
            </w:pPr>
            <w:r>
              <w:rPr>
                <w:rFonts w:ascii="宋体" w:hAnsi="宋体" w:eastAsia="宋体" w:cs="宋体"/>
                <w:b w:val="0"/>
              </w:rPr>
              <w:t>19,547,131.37</w:t>
            </w:r>
          </w:p>
        </w:tc>
        <w:tc>
          <w:tcPr>
            <w:tcW w:w="0" w:type="dxa"/>
            <w:vAlign w:val="center"/>
          </w:tcPr>
          <w:p w14:paraId="3F98577C">
            <w:pPr>
              <w:spacing w:line="240" w:lineRule="auto"/>
              <w:jc w:val="right"/>
            </w:pPr>
            <w:r>
              <w:rPr>
                <w:rFonts w:ascii="宋体" w:hAnsi="宋体" w:eastAsia="宋体" w:cs="宋体"/>
                <w:b w:val="0"/>
              </w:rPr>
              <w:t>-</w:t>
            </w:r>
          </w:p>
        </w:tc>
        <w:tc>
          <w:tcPr>
            <w:tcW w:w="0" w:type="dxa"/>
            <w:vAlign w:val="center"/>
          </w:tcPr>
          <w:p w14:paraId="20F1076A">
            <w:pPr>
              <w:spacing w:line="240" w:lineRule="auto"/>
              <w:jc w:val="right"/>
            </w:pPr>
            <w:r>
              <w:rPr>
                <w:rFonts w:ascii="宋体" w:hAnsi="宋体" w:eastAsia="宋体" w:cs="宋体"/>
                <w:b w:val="0"/>
              </w:rPr>
              <w:t>-</w:t>
            </w:r>
          </w:p>
        </w:tc>
        <w:tc>
          <w:tcPr>
            <w:tcW w:w="0" w:type="dxa"/>
            <w:vAlign w:val="center"/>
          </w:tcPr>
          <w:p w14:paraId="35E57E40">
            <w:pPr>
              <w:spacing w:line="240" w:lineRule="auto"/>
              <w:jc w:val="right"/>
            </w:pPr>
            <w:r>
              <w:rPr>
                <w:rFonts w:ascii="宋体" w:hAnsi="宋体" w:eastAsia="宋体" w:cs="宋体"/>
                <w:b w:val="0"/>
              </w:rPr>
              <w:t>726,911,909.88</w:t>
            </w:r>
          </w:p>
        </w:tc>
        <w:tc>
          <w:tcPr>
            <w:tcW w:w="0" w:type="dxa"/>
            <w:vAlign w:val="center"/>
          </w:tcPr>
          <w:p w14:paraId="33E49CEF">
            <w:pPr>
              <w:spacing w:line="240" w:lineRule="auto"/>
              <w:jc w:val="right"/>
            </w:pPr>
            <w:r>
              <w:rPr>
                <w:rFonts w:ascii="宋体" w:hAnsi="宋体" w:eastAsia="宋体" w:cs="宋体"/>
                <w:b w:val="0"/>
              </w:rPr>
              <w:t>746,459,041.25</w:t>
            </w:r>
          </w:p>
        </w:tc>
      </w:tr>
      <w:tr w14:paraId="401F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933AA6">
            <w:pPr>
              <w:spacing w:line="240" w:lineRule="auto"/>
              <w:jc w:val="center"/>
            </w:pPr>
            <w:r>
              <w:rPr>
                <w:rFonts w:ascii="宋体" w:hAnsi="宋体" w:eastAsia="宋体" w:cs="宋体"/>
                <w:b w:val="0"/>
              </w:rPr>
              <w:t>应收申购款</w:t>
            </w:r>
          </w:p>
        </w:tc>
        <w:tc>
          <w:tcPr>
            <w:tcW w:w="0" w:type="dxa"/>
            <w:vAlign w:val="center"/>
          </w:tcPr>
          <w:p w14:paraId="11106EB9">
            <w:pPr>
              <w:spacing w:line="240" w:lineRule="auto"/>
              <w:jc w:val="right"/>
            </w:pPr>
            <w:r>
              <w:rPr>
                <w:rFonts w:ascii="宋体" w:hAnsi="宋体" w:eastAsia="宋体" w:cs="宋体"/>
                <w:b w:val="0"/>
              </w:rPr>
              <w:t>-</w:t>
            </w:r>
          </w:p>
        </w:tc>
        <w:tc>
          <w:tcPr>
            <w:tcW w:w="0" w:type="dxa"/>
            <w:vAlign w:val="center"/>
          </w:tcPr>
          <w:p w14:paraId="7B779A8D">
            <w:pPr>
              <w:spacing w:line="240" w:lineRule="auto"/>
              <w:jc w:val="right"/>
            </w:pPr>
            <w:r>
              <w:rPr>
                <w:rFonts w:ascii="宋体" w:hAnsi="宋体" w:eastAsia="宋体" w:cs="宋体"/>
                <w:b w:val="0"/>
              </w:rPr>
              <w:t>-</w:t>
            </w:r>
          </w:p>
        </w:tc>
        <w:tc>
          <w:tcPr>
            <w:tcW w:w="0" w:type="dxa"/>
            <w:vAlign w:val="center"/>
          </w:tcPr>
          <w:p w14:paraId="161BE3F2">
            <w:pPr>
              <w:spacing w:line="240" w:lineRule="auto"/>
              <w:jc w:val="right"/>
            </w:pPr>
            <w:r>
              <w:rPr>
                <w:rFonts w:ascii="宋体" w:hAnsi="宋体" w:eastAsia="宋体" w:cs="宋体"/>
                <w:b w:val="0"/>
              </w:rPr>
              <w:t>-</w:t>
            </w:r>
          </w:p>
        </w:tc>
        <w:tc>
          <w:tcPr>
            <w:tcW w:w="0" w:type="dxa"/>
            <w:vAlign w:val="center"/>
          </w:tcPr>
          <w:p w14:paraId="5C0E93D1">
            <w:pPr>
              <w:spacing w:line="240" w:lineRule="auto"/>
              <w:jc w:val="right"/>
            </w:pPr>
            <w:r>
              <w:rPr>
                <w:rFonts w:ascii="宋体" w:hAnsi="宋体" w:eastAsia="宋体" w:cs="宋体"/>
                <w:b w:val="0"/>
              </w:rPr>
              <w:t>-</w:t>
            </w:r>
          </w:p>
        </w:tc>
        <w:tc>
          <w:tcPr>
            <w:tcW w:w="0" w:type="dxa"/>
            <w:vAlign w:val="center"/>
          </w:tcPr>
          <w:p w14:paraId="4D3BCA22">
            <w:pPr>
              <w:spacing w:line="240" w:lineRule="auto"/>
              <w:jc w:val="right"/>
            </w:pPr>
            <w:r>
              <w:rPr>
                <w:rFonts w:ascii="宋体" w:hAnsi="宋体" w:eastAsia="宋体" w:cs="宋体"/>
                <w:b w:val="0"/>
              </w:rPr>
              <w:t>-</w:t>
            </w:r>
          </w:p>
        </w:tc>
        <w:tc>
          <w:tcPr>
            <w:tcW w:w="0" w:type="dxa"/>
            <w:vAlign w:val="center"/>
          </w:tcPr>
          <w:p w14:paraId="4CAC49F8">
            <w:pPr>
              <w:spacing w:line="240" w:lineRule="auto"/>
              <w:jc w:val="right"/>
            </w:pPr>
            <w:r>
              <w:rPr>
                <w:rFonts w:ascii="宋体" w:hAnsi="宋体" w:eastAsia="宋体" w:cs="宋体"/>
                <w:b w:val="0"/>
              </w:rPr>
              <w:t>145,148,778.30</w:t>
            </w:r>
          </w:p>
        </w:tc>
        <w:tc>
          <w:tcPr>
            <w:tcW w:w="0" w:type="dxa"/>
            <w:vAlign w:val="center"/>
          </w:tcPr>
          <w:p w14:paraId="44C1784C">
            <w:pPr>
              <w:spacing w:line="240" w:lineRule="auto"/>
              <w:jc w:val="right"/>
            </w:pPr>
            <w:r>
              <w:rPr>
                <w:rFonts w:ascii="宋体" w:hAnsi="宋体" w:eastAsia="宋体" w:cs="宋体"/>
                <w:b w:val="0"/>
              </w:rPr>
              <w:t>145,148,778.30</w:t>
            </w:r>
          </w:p>
        </w:tc>
      </w:tr>
      <w:tr w14:paraId="0B24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C876DD">
            <w:pPr>
              <w:spacing w:line="240" w:lineRule="auto"/>
              <w:jc w:val="center"/>
            </w:pPr>
            <w:r>
              <w:rPr>
                <w:rFonts w:ascii="宋体" w:hAnsi="宋体" w:eastAsia="宋体" w:cs="宋体"/>
                <w:b w:val="0"/>
              </w:rPr>
              <w:t>资产总计</w:t>
            </w:r>
          </w:p>
        </w:tc>
        <w:tc>
          <w:tcPr>
            <w:tcW w:w="0" w:type="dxa"/>
            <w:vAlign w:val="center"/>
          </w:tcPr>
          <w:p w14:paraId="2194A288">
            <w:pPr>
              <w:spacing w:line="240" w:lineRule="auto"/>
              <w:jc w:val="right"/>
            </w:pPr>
            <w:r>
              <w:rPr>
                <w:rFonts w:ascii="宋体" w:hAnsi="宋体" w:eastAsia="宋体" w:cs="宋体"/>
                <w:b w:val="0"/>
              </w:rPr>
              <w:t>49,764,334.44</w:t>
            </w:r>
          </w:p>
        </w:tc>
        <w:tc>
          <w:tcPr>
            <w:tcW w:w="0" w:type="dxa"/>
            <w:vAlign w:val="center"/>
          </w:tcPr>
          <w:p w14:paraId="51D8A5F8">
            <w:pPr>
              <w:spacing w:line="240" w:lineRule="auto"/>
              <w:jc w:val="right"/>
            </w:pPr>
            <w:r>
              <w:rPr>
                <w:rFonts w:ascii="宋体" w:hAnsi="宋体" w:eastAsia="宋体" w:cs="宋体"/>
                <w:b w:val="0"/>
              </w:rPr>
              <w:t>-</w:t>
            </w:r>
          </w:p>
        </w:tc>
        <w:tc>
          <w:tcPr>
            <w:tcW w:w="0" w:type="dxa"/>
            <w:vAlign w:val="center"/>
          </w:tcPr>
          <w:p w14:paraId="4235F76F">
            <w:pPr>
              <w:spacing w:line="240" w:lineRule="auto"/>
              <w:jc w:val="right"/>
            </w:pPr>
            <w:r>
              <w:rPr>
                <w:rFonts w:ascii="宋体" w:hAnsi="宋体" w:eastAsia="宋体" w:cs="宋体"/>
                <w:b w:val="0"/>
              </w:rPr>
              <w:t>19,547,131.37</w:t>
            </w:r>
          </w:p>
        </w:tc>
        <w:tc>
          <w:tcPr>
            <w:tcW w:w="0" w:type="dxa"/>
            <w:vAlign w:val="center"/>
          </w:tcPr>
          <w:p w14:paraId="051FDED7">
            <w:pPr>
              <w:spacing w:line="240" w:lineRule="auto"/>
              <w:jc w:val="right"/>
            </w:pPr>
            <w:r>
              <w:rPr>
                <w:rFonts w:ascii="宋体" w:hAnsi="宋体" w:eastAsia="宋体" w:cs="宋体"/>
                <w:b w:val="0"/>
              </w:rPr>
              <w:t>-</w:t>
            </w:r>
          </w:p>
        </w:tc>
        <w:tc>
          <w:tcPr>
            <w:tcW w:w="0" w:type="dxa"/>
            <w:vAlign w:val="center"/>
          </w:tcPr>
          <w:p w14:paraId="00FC7BDF">
            <w:pPr>
              <w:spacing w:line="240" w:lineRule="auto"/>
              <w:jc w:val="right"/>
            </w:pPr>
            <w:r>
              <w:rPr>
                <w:rFonts w:ascii="宋体" w:hAnsi="宋体" w:eastAsia="宋体" w:cs="宋体"/>
                <w:b w:val="0"/>
              </w:rPr>
              <w:t>-</w:t>
            </w:r>
          </w:p>
        </w:tc>
        <w:tc>
          <w:tcPr>
            <w:tcW w:w="0" w:type="dxa"/>
            <w:vAlign w:val="center"/>
          </w:tcPr>
          <w:p w14:paraId="3EF0F340">
            <w:pPr>
              <w:spacing w:line="240" w:lineRule="auto"/>
              <w:jc w:val="right"/>
            </w:pPr>
            <w:r>
              <w:rPr>
                <w:rFonts w:ascii="宋体" w:hAnsi="宋体" w:eastAsia="宋体" w:cs="宋体"/>
                <w:b w:val="0"/>
              </w:rPr>
              <w:t>872,060,688.18</w:t>
            </w:r>
          </w:p>
        </w:tc>
        <w:tc>
          <w:tcPr>
            <w:tcW w:w="0" w:type="dxa"/>
            <w:vAlign w:val="center"/>
          </w:tcPr>
          <w:p w14:paraId="58BC8335">
            <w:pPr>
              <w:spacing w:line="240" w:lineRule="auto"/>
              <w:jc w:val="right"/>
            </w:pPr>
            <w:r>
              <w:rPr>
                <w:rFonts w:ascii="宋体" w:hAnsi="宋体" w:eastAsia="宋体" w:cs="宋体"/>
                <w:b w:val="0"/>
              </w:rPr>
              <w:t>941,372,153.99</w:t>
            </w:r>
          </w:p>
        </w:tc>
      </w:tr>
      <w:tr w14:paraId="711F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8815ACF">
            <w:pPr>
              <w:spacing w:line="240" w:lineRule="auto"/>
              <w:jc w:val="center"/>
            </w:pPr>
            <w:r>
              <w:rPr>
                <w:rFonts w:ascii="宋体" w:hAnsi="宋体" w:eastAsia="宋体" w:cs="宋体"/>
                <w:b w:val="0"/>
              </w:rPr>
              <w:t>负债</w:t>
            </w:r>
          </w:p>
        </w:tc>
        <w:tc>
          <w:tcPr>
            <w:tcW w:w="0" w:type="dxa"/>
            <w:vAlign w:val="center"/>
          </w:tcPr>
          <w:p w14:paraId="6226C8B2">
            <w:pPr>
              <w:spacing w:line="240" w:lineRule="auto"/>
              <w:jc w:val="right"/>
            </w:pPr>
          </w:p>
        </w:tc>
        <w:tc>
          <w:tcPr>
            <w:tcW w:w="0" w:type="dxa"/>
            <w:vAlign w:val="center"/>
          </w:tcPr>
          <w:p w14:paraId="00C5DFEB">
            <w:pPr>
              <w:spacing w:line="240" w:lineRule="auto"/>
              <w:jc w:val="right"/>
            </w:pPr>
          </w:p>
        </w:tc>
        <w:tc>
          <w:tcPr>
            <w:tcW w:w="0" w:type="dxa"/>
            <w:vAlign w:val="center"/>
          </w:tcPr>
          <w:p w14:paraId="6229FCEA">
            <w:pPr>
              <w:spacing w:line="240" w:lineRule="auto"/>
              <w:jc w:val="right"/>
            </w:pPr>
          </w:p>
        </w:tc>
        <w:tc>
          <w:tcPr>
            <w:tcW w:w="0" w:type="dxa"/>
            <w:vAlign w:val="center"/>
          </w:tcPr>
          <w:p w14:paraId="2835C2ED">
            <w:pPr>
              <w:spacing w:line="240" w:lineRule="auto"/>
              <w:jc w:val="right"/>
            </w:pPr>
          </w:p>
        </w:tc>
        <w:tc>
          <w:tcPr>
            <w:tcW w:w="0" w:type="dxa"/>
            <w:vAlign w:val="center"/>
          </w:tcPr>
          <w:p w14:paraId="76F9E8C9">
            <w:pPr>
              <w:spacing w:line="240" w:lineRule="auto"/>
              <w:jc w:val="right"/>
            </w:pPr>
          </w:p>
        </w:tc>
        <w:tc>
          <w:tcPr>
            <w:tcW w:w="0" w:type="dxa"/>
            <w:vAlign w:val="center"/>
          </w:tcPr>
          <w:p w14:paraId="5A00D62E">
            <w:pPr>
              <w:spacing w:line="240" w:lineRule="auto"/>
              <w:jc w:val="right"/>
            </w:pPr>
          </w:p>
        </w:tc>
        <w:tc>
          <w:tcPr>
            <w:tcW w:w="0" w:type="dxa"/>
            <w:vAlign w:val="center"/>
          </w:tcPr>
          <w:p w14:paraId="44113924">
            <w:pPr>
              <w:spacing w:line="240" w:lineRule="auto"/>
              <w:jc w:val="right"/>
            </w:pPr>
          </w:p>
        </w:tc>
      </w:tr>
      <w:tr w14:paraId="4846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20C3EA">
            <w:pPr>
              <w:spacing w:line="240" w:lineRule="auto"/>
              <w:jc w:val="center"/>
            </w:pPr>
            <w:r>
              <w:rPr>
                <w:rFonts w:ascii="宋体" w:hAnsi="宋体" w:eastAsia="宋体" w:cs="宋体"/>
                <w:b w:val="0"/>
              </w:rPr>
              <w:t>应付赎回款</w:t>
            </w:r>
          </w:p>
        </w:tc>
        <w:tc>
          <w:tcPr>
            <w:tcW w:w="0" w:type="dxa"/>
            <w:vAlign w:val="center"/>
          </w:tcPr>
          <w:p w14:paraId="7899C997">
            <w:pPr>
              <w:spacing w:line="240" w:lineRule="auto"/>
              <w:jc w:val="right"/>
            </w:pPr>
            <w:r>
              <w:rPr>
                <w:rFonts w:ascii="宋体" w:hAnsi="宋体" w:eastAsia="宋体" w:cs="宋体"/>
                <w:b w:val="0"/>
              </w:rPr>
              <w:t>-</w:t>
            </w:r>
          </w:p>
        </w:tc>
        <w:tc>
          <w:tcPr>
            <w:tcW w:w="0" w:type="dxa"/>
            <w:vAlign w:val="center"/>
          </w:tcPr>
          <w:p w14:paraId="7622B413">
            <w:pPr>
              <w:spacing w:line="240" w:lineRule="auto"/>
              <w:jc w:val="right"/>
            </w:pPr>
            <w:r>
              <w:rPr>
                <w:rFonts w:ascii="宋体" w:hAnsi="宋体" w:eastAsia="宋体" w:cs="宋体"/>
                <w:b w:val="0"/>
              </w:rPr>
              <w:t>-</w:t>
            </w:r>
          </w:p>
        </w:tc>
        <w:tc>
          <w:tcPr>
            <w:tcW w:w="0" w:type="dxa"/>
            <w:vAlign w:val="center"/>
          </w:tcPr>
          <w:p w14:paraId="6E3851C7">
            <w:pPr>
              <w:spacing w:line="240" w:lineRule="auto"/>
              <w:jc w:val="right"/>
            </w:pPr>
            <w:r>
              <w:rPr>
                <w:rFonts w:ascii="宋体" w:hAnsi="宋体" w:eastAsia="宋体" w:cs="宋体"/>
                <w:b w:val="0"/>
              </w:rPr>
              <w:t>-</w:t>
            </w:r>
          </w:p>
        </w:tc>
        <w:tc>
          <w:tcPr>
            <w:tcW w:w="0" w:type="dxa"/>
            <w:vAlign w:val="center"/>
          </w:tcPr>
          <w:p w14:paraId="68051769">
            <w:pPr>
              <w:spacing w:line="240" w:lineRule="auto"/>
              <w:jc w:val="right"/>
            </w:pPr>
            <w:r>
              <w:rPr>
                <w:rFonts w:ascii="宋体" w:hAnsi="宋体" w:eastAsia="宋体" w:cs="宋体"/>
                <w:b w:val="0"/>
              </w:rPr>
              <w:t>-</w:t>
            </w:r>
          </w:p>
        </w:tc>
        <w:tc>
          <w:tcPr>
            <w:tcW w:w="0" w:type="dxa"/>
            <w:vAlign w:val="center"/>
          </w:tcPr>
          <w:p w14:paraId="2D0EBFF4">
            <w:pPr>
              <w:spacing w:line="240" w:lineRule="auto"/>
              <w:jc w:val="right"/>
            </w:pPr>
            <w:r>
              <w:rPr>
                <w:rFonts w:ascii="宋体" w:hAnsi="宋体" w:eastAsia="宋体" w:cs="宋体"/>
                <w:b w:val="0"/>
              </w:rPr>
              <w:t>-</w:t>
            </w:r>
          </w:p>
        </w:tc>
        <w:tc>
          <w:tcPr>
            <w:tcW w:w="0" w:type="dxa"/>
            <w:vAlign w:val="center"/>
          </w:tcPr>
          <w:p w14:paraId="14C817B2">
            <w:pPr>
              <w:spacing w:line="240" w:lineRule="auto"/>
              <w:jc w:val="right"/>
            </w:pPr>
            <w:r>
              <w:rPr>
                <w:rFonts w:ascii="宋体" w:hAnsi="宋体" w:eastAsia="宋体" w:cs="宋体"/>
                <w:b w:val="0"/>
              </w:rPr>
              <w:t>6,989,364.34</w:t>
            </w:r>
          </w:p>
        </w:tc>
        <w:tc>
          <w:tcPr>
            <w:tcW w:w="0" w:type="dxa"/>
            <w:vAlign w:val="center"/>
          </w:tcPr>
          <w:p w14:paraId="37C462CA">
            <w:pPr>
              <w:spacing w:line="240" w:lineRule="auto"/>
              <w:jc w:val="right"/>
            </w:pPr>
            <w:r>
              <w:rPr>
                <w:rFonts w:ascii="宋体" w:hAnsi="宋体" w:eastAsia="宋体" w:cs="宋体"/>
                <w:b w:val="0"/>
              </w:rPr>
              <w:t>6,989,364.34</w:t>
            </w:r>
          </w:p>
        </w:tc>
      </w:tr>
      <w:tr w14:paraId="545F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ADFB5D">
            <w:pPr>
              <w:spacing w:line="240" w:lineRule="auto"/>
              <w:jc w:val="center"/>
            </w:pPr>
            <w:r>
              <w:rPr>
                <w:rFonts w:ascii="宋体" w:hAnsi="宋体" w:eastAsia="宋体" w:cs="宋体"/>
                <w:b w:val="0"/>
              </w:rPr>
              <w:t>应付管理人报酬</w:t>
            </w:r>
          </w:p>
        </w:tc>
        <w:tc>
          <w:tcPr>
            <w:tcW w:w="0" w:type="dxa"/>
            <w:vAlign w:val="center"/>
          </w:tcPr>
          <w:p w14:paraId="4EC58845">
            <w:pPr>
              <w:spacing w:line="240" w:lineRule="auto"/>
              <w:jc w:val="right"/>
            </w:pPr>
            <w:r>
              <w:rPr>
                <w:rFonts w:ascii="宋体" w:hAnsi="宋体" w:eastAsia="宋体" w:cs="宋体"/>
                <w:b w:val="0"/>
              </w:rPr>
              <w:t>-</w:t>
            </w:r>
          </w:p>
        </w:tc>
        <w:tc>
          <w:tcPr>
            <w:tcW w:w="0" w:type="dxa"/>
            <w:vAlign w:val="center"/>
          </w:tcPr>
          <w:p w14:paraId="76ADF7D8">
            <w:pPr>
              <w:spacing w:line="240" w:lineRule="auto"/>
              <w:jc w:val="right"/>
            </w:pPr>
            <w:r>
              <w:rPr>
                <w:rFonts w:ascii="宋体" w:hAnsi="宋体" w:eastAsia="宋体" w:cs="宋体"/>
                <w:b w:val="0"/>
              </w:rPr>
              <w:t>-</w:t>
            </w:r>
          </w:p>
        </w:tc>
        <w:tc>
          <w:tcPr>
            <w:tcW w:w="0" w:type="dxa"/>
            <w:vAlign w:val="center"/>
          </w:tcPr>
          <w:p w14:paraId="771F0326">
            <w:pPr>
              <w:spacing w:line="240" w:lineRule="auto"/>
              <w:jc w:val="right"/>
            </w:pPr>
            <w:r>
              <w:rPr>
                <w:rFonts w:ascii="宋体" w:hAnsi="宋体" w:eastAsia="宋体" w:cs="宋体"/>
                <w:b w:val="0"/>
              </w:rPr>
              <w:t>-</w:t>
            </w:r>
          </w:p>
        </w:tc>
        <w:tc>
          <w:tcPr>
            <w:tcW w:w="0" w:type="dxa"/>
            <w:vAlign w:val="center"/>
          </w:tcPr>
          <w:p w14:paraId="5AE297F9">
            <w:pPr>
              <w:spacing w:line="240" w:lineRule="auto"/>
              <w:jc w:val="right"/>
            </w:pPr>
            <w:r>
              <w:rPr>
                <w:rFonts w:ascii="宋体" w:hAnsi="宋体" w:eastAsia="宋体" w:cs="宋体"/>
                <w:b w:val="0"/>
              </w:rPr>
              <w:t>-</w:t>
            </w:r>
          </w:p>
        </w:tc>
        <w:tc>
          <w:tcPr>
            <w:tcW w:w="0" w:type="dxa"/>
            <w:vAlign w:val="center"/>
          </w:tcPr>
          <w:p w14:paraId="4B68B110">
            <w:pPr>
              <w:spacing w:line="240" w:lineRule="auto"/>
              <w:jc w:val="right"/>
            </w:pPr>
            <w:r>
              <w:rPr>
                <w:rFonts w:ascii="宋体" w:hAnsi="宋体" w:eastAsia="宋体" w:cs="宋体"/>
                <w:b w:val="0"/>
              </w:rPr>
              <w:t>-</w:t>
            </w:r>
          </w:p>
        </w:tc>
        <w:tc>
          <w:tcPr>
            <w:tcW w:w="0" w:type="dxa"/>
            <w:vAlign w:val="center"/>
          </w:tcPr>
          <w:p w14:paraId="3F0D13EA">
            <w:pPr>
              <w:spacing w:line="240" w:lineRule="auto"/>
              <w:jc w:val="right"/>
            </w:pPr>
            <w:r>
              <w:rPr>
                <w:rFonts w:ascii="宋体" w:hAnsi="宋体" w:eastAsia="宋体" w:cs="宋体"/>
                <w:b w:val="0"/>
              </w:rPr>
              <w:t>338,794.33</w:t>
            </w:r>
          </w:p>
        </w:tc>
        <w:tc>
          <w:tcPr>
            <w:tcW w:w="0" w:type="dxa"/>
            <w:vAlign w:val="center"/>
          </w:tcPr>
          <w:p w14:paraId="0551D1FE">
            <w:pPr>
              <w:spacing w:line="240" w:lineRule="auto"/>
              <w:jc w:val="right"/>
            </w:pPr>
            <w:r>
              <w:rPr>
                <w:rFonts w:ascii="宋体" w:hAnsi="宋体" w:eastAsia="宋体" w:cs="宋体"/>
                <w:b w:val="0"/>
              </w:rPr>
              <w:t>338,794.33</w:t>
            </w:r>
          </w:p>
        </w:tc>
      </w:tr>
      <w:tr w14:paraId="6978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3CE361">
            <w:pPr>
              <w:spacing w:line="240" w:lineRule="auto"/>
              <w:jc w:val="center"/>
            </w:pPr>
            <w:r>
              <w:rPr>
                <w:rFonts w:ascii="宋体" w:hAnsi="宋体" w:eastAsia="宋体" w:cs="宋体"/>
                <w:b w:val="0"/>
              </w:rPr>
              <w:t>应付托管费</w:t>
            </w:r>
          </w:p>
        </w:tc>
        <w:tc>
          <w:tcPr>
            <w:tcW w:w="0" w:type="dxa"/>
            <w:vAlign w:val="center"/>
          </w:tcPr>
          <w:p w14:paraId="657A432B">
            <w:pPr>
              <w:spacing w:line="240" w:lineRule="auto"/>
              <w:jc w:val="right"/>
            </w:pPr>
            <w:r>
              <w:rPr>
                <w:rFonts w:ascii="宋体" w:hAnsi="宋体" w:eastAsia="宋体" w:cs="宋体"/>
                <w:b w:val="0"/>
              </w:rPr>
              <w:t>-</w:t>
            </w:r>
          </w:p>
        </w:tc>
        <w:tc>
          <w:tcPr>
            <w:tcW w:w="0" w:type="dxa"/>
            <w:vAlign w:val="center"/>
          </w:tcPr>
          <w:p w14:paraId="68BDC13E">
            <w:pPr>
              <w:spacing w:line="240" w:lineRule="auto"/>
              <w:jc w:val="right"/>
            </w:pPr>
            <w:r>
              <w:rPr>
                <w:rFonts w:ascii="宋体" w:hAnsi="宋体" w:eastAsia="宋体" w:cs="宋体"/>
                <w:b w:val="0"/>
              </w:rPr>
              <w:t>-</w:t>
            </w:r>
          </w:p>
        </w:tc>
        <w:tc>
          <w:tcPr>
            <w:tcW w:w="0" w:type="dxa"/>
            <w:vAlign w:val="center"/>
          </w:tcPr>
          <w:p w14:paraId="781842F3">
            <w:pPr>
              <w:spacing w:line="240" w:lineRule="auto"/>
              <w:jc w:val="right"/>
            </w:pPr>
            <w:r>
              <w:rPr>
                <w:rFonts w:ascii="宋体" w:hAnsi="宋体" w:eastAsia="宋体" w:cs="宋体"/>
                <w:b w:val="0"/>
              </w:rPr>
              <w:t>-</w:t>
            </w:r>
          </w:p>
        </w:tc>
        <w:tc>
          <w:tcPr>
            <w:tcW w:w="0" w:type="dxa"/>
            <w:vAlign w:val="center"/>
          </w:tcPr>
          <w:p w14:paraId="5F57A74B">
            <w:pPr>
              <w:spacing w:line="240" w:lineRule="auto"/>
              <w:jc w:val="right"/>
            </w:pPr>
            <w:r>
              <w:rPr>
                <w:rFonts w:ascii="宋体" w:hAnsi="宋体" w:eastAsia="宋体" w:cs="宋体"/>
                <w:b w:val="0"/>
              </w:rPr>
              <w:t>-</w:t>
            </w:r>
          </w:p>
        </w:tc>
        <w:tc>
          <w:tcPr>
            <w:tcW w:w="0" w:type="dxa"/>
            <w:vAlign w:val="center"/>
          </w:tcPr>
          <w:p w14:paraId="1FFA698D">
            <w:pPr>
              <w:spacing w:line="240" w:lineRule="auto"/>
              <w:jc w:val="right"/>
            </w:pPr>
            <w:r>
              <w:rPr>
                <w:rFonts w:ascii="宋体" w:hAnsi="宋体" w:eastAsia="宋体" w:cs="宋体"/>
                <w:b w:val="0"/>
              </w:rPr>
              <w:t>-</w:t>
            </w:r>
          </w:p>
        </w:tc>
        <w:tc>
          <w:tcPr>
            <w:tcW w:w="0" w:type="dxa"/>
            <w:vAlign w:val="center"/>
          </w:tcPr>
          <w:p w14:paraId="2B821CF3">
            <w:pPr>
              <w:spacing w:line="240" w:lineRule="auto"/>
              <w:jc w:val="right"/>
            </w:pPr>
            <w:r>
              <w:rPr>
                <w:rFonts w:ascii="宋体" w:hAnsi="宋体" w:eastAsia="宋体" w:cs="宋体"/>
                <w:b w:val="0"/>
              </w:rPr>
              <w:t>56,465.73</w:t>
            </w:r>
          </w:p>
        </w:tc>
        <w:tc>
          <w:tcPr>
            <w:tcW w:w="0" w:type="dxa"/>
            <w:vAlign w:val="center"/>
          </w:tcPr>
          <w:p w14:paraId="725A8C6C">
            <w:pPr>
              <w:spacing w:line="240" w:lineRule="auto"/>
              <w:jc w:val="right"/>
            </w:pPr>
            <w:r>
              <w:rPr>
                <w:rFonts w:ascii="宋体" w:hAnsi="宋体" w:eastAsia="宋体" w:cs="宋体"/>
                <w:b w:val="0"/>
              </w:rPr>
              <w:t>56,465.73</w:t>
            </w:r>
          </w:p>
        </w:tc>
      </w:tr>
      <w:tr w14:paraId="1927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68050A">
            <w:pPr>
              <w:spacing w:line="240" w:lineRule="auto"/>
              <w:jc w:val="center"/>
            </w:pPr>
            <w:r>
              <w:rPr>
                <w:rFonts w:ascii="宋体" w:hAnsi="宋体" w:eastAsia="宋体" w:cs="宋体"/>
                <w:b w:val="0"/>
              </w:rPr>
              <w:t>应付销售服务费</w:t>
            </w:r>
          </w:p>
        </w:tc>
        <w:tc>
          <w:tcPr>
            <w:tcW w:w="0" w:type="dxa"/>
            <w:vAlign w:val="center"/>
          </w:tcPr>
          <w:p w14:paraId="74DC6AEF">
            <w:pPr>
              <w:spacing w:line="240" w:lineRule="auto"/>
              <w:jc w:val="right"/>
            </w:pPr>
            <w:r>
              <w:rPr>
                <w:rFonts w:ascii="宋体" w:hAnsi="宋体" w:eastAsia="宋体" w:cs="宋体"/>
                <w:b w:val="0"/>
              </w:rPr>
              <w:t>-</w:t>
            </w:r>
          </w:p>
        </w:tc>
        <w:tc>
          <w:tcPr>
            <w:tcW w:w="0" w:type="dxa"/>
            <w:vAlign w:val="center"/>
          </w:tcPr>
          <w:p w14:paraId="78ADCD9A">
            <w:pPr>
              <w:spacing w:line="240" w:lineRule="auto"/>
              <w:jc w:val="right"/>
            </w:pPr>
            <w:r>
              <w:rPr>
                <w:rFonts w:ascii="宋体" w:hAnsi="宋体" w:eastAsia="宋体" w:cs="宋体"/>
                <w:b w:val="0"/>
              </w:rPr>
              <w:t>-</w:t>
            </w:r>
          </w:p>
        </w:tc>
        <w:tc>
          <w:tcPr>
            <w:tcW w:w="0" w:type="dxa"/>
            <w:vAlign w:val="center"/>
          </w:tcPr>
          <w:p w14:paraId="6FF2D165">
            <w:pPr>
              <w:spacing w:line="240" w:lineRule="auto"/>
              <w:jc w:val="right"/>
            </w:pPr>
            <w:r>
              <w:rPr>
                <w:rFonts w:ascii="宋体" w:hAnsi="宋体" w:eastAsia="宋体" w:cs="宋体"/>
                <w:b w:val="0"/>
              </w:rPr>
              <w:t>-</w:t>
            </w:r>
          </w:p>
        </w:tc>
        <w:tc>
          <w:tcPr>
            <w:tcW w:w="0" w:type="dxa"/>
            <w:vAlign w:val="center"/>
          </w:tcPr>
          <w:p w14:paraId="722B2E1B">
            <w:pPr>
              <w:spacing w:line="240" w:lineRule="auto"/>
              <w:jc w:val="right"/>
            </w:pPr>
            <w:r>
              <w:rPr>
                <w:rFonts w:ascii="宋体" w:hAnsi="宋体" w:eastAsia="宋体" w:cs="宋体"/>
                <w:b w:val="0"/>
              </w:rPr>
              <w:t>-</w:t>
            </w:r>
          </w:p>
        </w:tc>
        <w:tc>
          <w:tcPr>
            <w:tcW w:w="0" w:type="dxa"/>
            <w:vAlign w:val="center"/>
          </w:tcPr>
          <w:p w14:paraId="2D9F08E7">
            <w:pPr>
              <w:spacing w:line="240" w:lineRule="auto"/>
              <w:jc w:val="right"/>
            </w:pPr>
            <w:r>
              <w:rPr>
                <w:rFonts w:ascii="宋体" w:hAnsi="宋体" w:eastAsia="宋体" w:cs="宋体"/>
                <w:b w:val="0"/>
              </w:rPr>
              <w:t>-</w:t>
            </w:r>
          </w:p>
        </w:tc>
        <w:tc>
          <w:tcPr>
            <w:tcW w:w="0" w:type="dxa"/>
            <w:vAlign w:val="center"/>
          </w:tcPr>
          <w:p w14:paraId="5B83586F">
            <w:pPr>
              <w:spacing w:line="240" w:lineRule="auto"/>
              <w:jc w:val="right"/>
            </w:pPr>
            <w:r>
              <w:rPr>
                <w:rFonts w:ascii="宋体" w:hAnsi="宋体" w:eastAsia="宋体" w:cs="宋体"/>
                <w:b w:val="0"/>
              </w:rPr>
              <w:t>96,314.65</w:t>
            </w:r>
          </w:p>
        </w:tc>
        <w:tc>
          <w:tcPr>
            <w:tcW w:w="0" w:type="dxa"/>
            <w:vAlign w:val="center"/>
          </w:tcPr>
          <w:p w14:paraId="7570C832">
            <w:pPr>
              <w:spacing w:line="240" w:lineRule="auto"/>
              <w:jc w:val="right"/>
            </w:pPr>
            <w:r>
              <w:rPr>
                <w:rFonts w:ascii="宋体" w:hAnsi="宋体" w:eastAsia="宋体" w:cs="宋体"/>
                <w:b w:val="0"/>
              </w:rPr>
              <w:t>96,314.65</w:t>
            </w:r>
          </w:p>
        </w:tc>
      </w:tr>
      <w:tr w14:paraId="7546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609AFC9">
            <w:pPr>
              <w:spacing w:line="240" w:lineRule="auto"/>
              <w:jc w:val="center"/>
            </w:pPr>
            <w:r>
              <w:rPr>
                <w:rFonts w:ascii="宋体" w:hAnsi="宋体" w:eastAsia="宋体" w:cs="宋体"/>
                <w:b w:val="0"/>
              </w:rPr>
              <w:t>应交税费</w:t>
            </w:r>
          </w:p>
        </w:tc>
        <w:tc>
          <w:tcPr>
            <w:tcW w:w="0" w:type="dxa"/>
            <w:vAlign w:val="center"/>
          </w:tcPr>
          <w:p w14:paraId="30052728">
            <w:pPr>
              <w:spacing w:line="240" w:lineRule="auto"/>
              <w:jc w:val="right"/>
            </w:pPr>
            <w:r>
              <w:rPr>
                <w:rFonts w:ascii="宋体" w:hAnsi="宋体" w:eastAsia="宋体" w:cs="宋体"/>
                <w:b w:val="0"/>
              </w:rPr>
              <w:t>-</w:t>
            </w:r>
          </w:p>
        </w:tc>
        <w:tc>
          <w:tcPr>
            <w:tcW w:w="0" w:type="dxa"/>
            <w:vAlign w:val="center"/>
          </w:tcPr>
          <w:p w14:paraId="44311998">
            <w:pPr>
              <w:spacing w:line="240" w:lineRule="auto"/>
              <w:jc w:val="right"/>
            </w:pPr>
            <w:r>
              <w:rPr>
                <w:rFonts w:ascii="宋体" w:hAnsi="宋体" w:eastAsia="宋体" w:cs="宋体"/>
                <w:b w:val="0"/>
              </w:rPr>
              <w:t>-</w:t>
            </w:r>
          </w:p>
        </w:tc>
        <w:tc>
          <w:tcPr>
            <w:tcW w:w="0" w:type="dxa"/>
            <w:vAlign w:val="center"/>
          </w:tcPr>
          <w:p w14:paraId="206302A3">
            <w:pPr>
              <w:spacing w:line="240" w:lineRule="auto"/>
              <w:jc w:val="right"/>
            </w:pPr>
            <w:r>
              <w:rPr>
                <w:rFonts w:ascii="宋体" w:hAnsi="宋体" w:eastAsia="宋体" w:cs="宋体"/>
                <w:b w:val="0"/>
              </w:rPr>
              <w:t>-</w:t>
            </w:r>
          </w:p>
        </w:tc>
        <w:tc>
          <w:tcPr>
            <w:tcW w:w="0" w:type="dxa"/>
            <w:vAlign w:val="center"/>
          </w:tcPr>
          <w:p w14:paraId="0398366E">
            <w:pPr>
              <w:spacing w:line="240" w:lineRule="auto"/>
              <w:jc w:val="right"/>
            </w:pPr>
            <w:r>
              <w:rPr>
                <w:rFonts w:ascii="宋体" w:hAnsi="宋体" w:eastAsia="宋体" w:cs="宋体"/>
                <w:b w:val="0"/>
              </w:rPr>
              <w:t>-</w:t>
            </w:r>
          </w:p>
        </w:tc>
        <w:tc>
          <w:tcPr>
            <w:tcW w:w="0" w:type="dxa"/>
            <w:vAlign w:val="center"/>
          </w:tcPr>
          <w:p w14:paraId="2DEE4CD7">
            <w:pPr>
              <w:spacing w:line="240" w:lineRule="auto"/>
              <w:jc w:val="right"/>
            </w:pPr>
            <w:r>
              <w:rPr>
                <w:rFonts w:ascii="宋体" w:hAnsi="宋体" w:eastAsia="宋体" w:cs="宋体"/>
                <w:b w:val="0"/>
              </w:rPr>
              <w:t>-</w:t>
            </w:r>
          </w:p>
        </w:tc>
        <w:tc>
          <w:tcPr>
            <w:tcW w:w="0" w:type="dxa"/>
            <w:vAlign w:val="center"/>
          </w:tcPr>
          <w:p w14:paraId="48A4B427">
            <w:pPr>
              <w:spacing w:line="240" w:lineRule="auto"/>
              <w:jc w:val="right"/>
            </w:pPr>
            <w:r>
              <w:rPr>
                <w:rFonts w:ascii="宋体" w:hAnsi="宋体" w:eastAsia="宋体" w:cs="宋体"/>
                <w:b w:val="0"/>
              </w:rPr>
              <w:t>479.20</w:t>
            </w:r>
          </w:p>
        </w:tc>
        <w:tc>
          <w:tcPr>
            <w:tcW w:w="0" w:type="dxa"/>
            <w:vAlign w:val="center"/>
          </w:tcPr>
          <w:p w14:paraId="11A164B6">
            <w:pPr>
              <w:spacing w:line="240" w:lineRule="auto"/>
              <w:jc w:val="right"/>
            </w:pPr>
            <w:r>
              <w:rPr>
                <w:rFonts w:ascii="宋体" w:hAnsi="宋体" w:eastAsia="宋体" w:cs="宋体"/>
                <w:b w:val="0"/>
              </w:rPr>
              <w:t>479.20</w:t>
            </w:r>
          </w:p>
        </w:tc>
      </w:tr>
      <w:tr w14:paraId="05BA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BF43FE">
            <w:pPr>
              <w:spacing w:line="240" w:lineRule="auto"/>
              <w:jc w:val="center"/>
            </w:pPr>
            <w:r>
              <w:rPr>
                <w:rFonts w:ascii="宋体" w:hAnsi="宋体" w:eastAsia="宋体" w:cs="宋体"/>
                <w:b w:val="0"/>
              </w:rPr>
              <w:t>其他负债</w:t>
            </w:r>
          </w:p>
        </w:tc>
        <w:tc>
          <w:tcPr>
            <w:tcW w:w="0" w:type="dxa"/>
            <w:vAlign w:val="center"/>
          </w:tcPr>
          <w:p w14:paraId="6C9CB0F1">
            <w:pPr>
              <w:spacing w:line="240" w:lineRule="auto"/>
              <w:jc w:val="right"/>
            </w:pPr>
            <w:r>
              <w:rPr>
                <w:rFonts w:ascii="宋体" w:hAnsi="宋体" w:eastAsia="宋体" w:cs="宋体"/>
                <w:b w:val="0"/>
              </w:rPr>
              <w:t>-</w:t>
            </w:r>
          </w:p>
        </w:tc>
        <w:tc>
          <w:tcPr>
            <w:tcW w:w="0" w:type="dxa"/>
            <w:vAlign w:val="center"/>
          </w:tcPr>
          <w:p w14:paraId="0CC9CB0F">
            <w:pPr>
              <w:spacing w:line="240" w:lineRule="auto"/>
              <w:jc w:val="right"/>
            </w:pPr>
            <w:r>
              <w:rPr>
                <w:rFonts w:ascii="宋体" w:hAnsi="宋体" w:eastAsia="宋体" w:cs="宋体"/>
                <w:b w:val="0"/>
              </w:rPr>
              <w:t>-</w:t>
            </w:r>
          </w:p>
        </w:tc>
        <w:tc>
          <w:tcPr>
            <w:tcW w:w="0" w:type="dxa"/>
            <w:vAlign w:val="center"/>
          </w:tcPr>
          <w:p w14:paraId="5AAE1261">
            <w:pPr>
              <w:spacing w:line="240" w:lineRule="auto"/>
              <w:jc w:val="right"/>
            </w:pPr>
            <w:r>
              <w:rPr>
                <w:rFonts w:ascii="宋体" w:hAnsi="宋体" w:eastAsia="宋体" w:cs="宋体"/>
                <w:b w:val="0"/>
              </w:rPr>
              <w:t>-</w:t>
            </w:r>
          </w:p>
        </w:tc>
        <w:tc>
          <w:tcPr>
            <w:tcW w:w="0" w:type="dxa"/>
            <w:vAlign w:val="center"/>
          </w:tcPr>
          <w:p w14:paraId="70B96F3D">
            <w:pPr>
              <w:spacing w:line="240" w:lineRule="auto"/>
              <w:jc w:val="right"/>
            </w:pPr>
            <w:r>
              <w:rPr>
                <w:rFonts w:ascii="宋体" w:hAnsi="宋体" w:eastAsia="宋体" w:cs="宋体"/>
                <w:b w:val="0"/>
              </w:rPr>
              <w:t>-</w:t>
            </w:r>
          </w:p>
        </w:tc>
        <w:tc>
          <w:tcPr>
            <w:tcW w:w="0" w:type="dxa"/>
            <w:vAlign w:val="center"/>
          </w:tcPr>
          <w:p w14:paraId="53C57279">
            <w:pPr>
              <w:spacing w:line="240" w:lineRule="auto"/>
              <w:jc w:val="right"/>
            </w:pPr>
            <w:r>
              <w:rPr>
                <w:rFonts w:ascii="宋体" w:hAnsi="宋体" w:eastAsia="宋体" w:cs="宋体"/>
                <w:b w:val="0"/>
              </w:rPr>
              <w:t>-</w:t>
            </w:r>
          </w:p>
        </w:tc>
        <w:tc>
          <w:tcPr>
            <w:tcW w:w="0" w:type="dxa"/>
            <w:vAlign w:val="center"/>
          </w:tcPr>
          <w:p w14:paraId="35CBCB50">
            <w:pPr>
              <w:spacing w:line="240" w:lineRule="auto"/>
              <w:jc w:val="right"/>
            </w:pPr>
            <w:r>
              <w:rPr>
                <w:rFonts w:ascii="宋体" w:hAnsi="宋体" w:eastAsia="宋体" w:cs="宋体"/>
                <w:b w:val="0"/>
              </w:rPr>
              <w:t>44,709.94</w:t>
            </w:r>
          </w:p>
        </w:tc>
        <w:tc>
          <w:tcPr>
            <w:tcW w:w="0" w:type="dxa"/>
            <w:vAlign w:val="center"/>
          </w:tcPr>
          <w:p w14:paraId="10B87CCE">
            <w:pPr>
              <w:spacing w:line="240" w:lineRule="auto"/>
              <w:jc w:val="right"/>
            </w:pPr>
            <w:r>
              <w:rPr>
                <w:rFonts w:ascii="宋体" w:hAnsi="宋体" w:eastAsia="宋体" w:cs="宋体"/>
                <w:b w:val="0"/>
              </w:rPr>
              <w:t>44,709.94</w:t>
            </w:r>
          </w:p>
        </w:tc>
      </w:tr>
      <w:tr w14:paraId="0CFD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6E7B71">
            <w:pPr>
              <w:spacing w:line="240" w:lineRule="auto"/>
              <w:jc w:val="center"/>
            </w:pPr>
            <w:r>
              <w:rPr>
                <w:rFonts w:ascii="宋体" w:hAnsi="宋体" w:eastAsia="宋体" w:cs="宋体"/>
                <w:b w:val="0"/>
              </w:rPr>
              <w:t>负债总计</w:t>
            </w:r>
          </w:p>
        </w:tc>
        <w:tc>
          <w:tcPr>
            <w:tcW w:w="0" w:type="dxa"/>
            <w:vAlign w:val="center"/>
          </w:tcPr>
          <w:p w14:paraId="5E4E6499">
            <w:pPr>
              <w:spacing w:line="240" w:lineRule="auto"/>
              <w:jc w:val="right"/>
            </w:pPr>
            <w:r>
              <w:rPr>
                <w:rFonts w:ascii="宋体" w:hAnsi="宋体" w:eastAsia="宋体" w:cs="宋体"/>
                <w:b w:val="0"/>
              </w:rPr>
              <w:t>-</w:t>
            </w:r>
          </w:p>
        </w:tc>
        <w:tc>
          <w:tcPr>
            <w:tcW w:w="0" w:type="dxa"/>
            <w:vAlign w:val="center"/>
          </w:tcPr>
          <w:p w14:paraId="02BDC9FE">
            <w:pPr>
              <w:spacing w:line="240" w:lineRule="auto"/>
              <w:jc w:val="right"/>
            </w:pPr>
            <w:r>
              <w:rPr>
                <w:rFonts w:ascii="宋体" w:hAnsi="宋体" w:eastAsia="宋体" w:cs="宋体"/>
                <w:b w:val="0"/>
              </w:rPr>
              <w:t>-</w:t>
            </w:r>
          </w:p>
        </w:tc>
        <w:tc>
          <w:tcPr>
            <w:tcW w:w="0" w:type="dxa"/>
            <w:vAlign w:val="center"/>
          </w:tcPr>
          <w:p w14:paraId="668EAAB2">
            <w:pPr>
              <w:spacing w:line="240" w:lineRule="auto"/>
              <w:jc w:val="right"/>
            </w:pPr>
            <w:r>
              <w:rPr>
                <w:rFonts w:ascii="宋体" w:hAnsi="宋体" w:eastAsia="宋体" w:cs="宋体"/>
                <w:b w:val="0"/>
              </w:rPr>
              <w:t>-</w:t>
            </w:r>
          </w:p>
        </w:tc>
        <w:tc>
          <w:tcPr>
            <w:tcW w:w="0" w:type="dxa"/>
            <w:vAlign w:val="center"/>
          </w:tcPr>
          <w:p w14:paraId="6FBD8307">
            <w:pPr>
              <w:spacing w:line="240" w:lineRule="auto"/>
              <w:jc w:val="right"/>
            </w:pPr>
            <w:r>
              <w:rPr>
                <w:rFonts w:ascii="宋体" w:hAnsi="宋体" w:eastAsia="宋体" w:cs="宋体"/>
                <w:b w:val="0"/>
              </w:rPr>
              <w:t>-</w:t>
            </w:r>
          </w:p>
        </w:tc>
        <w:tc>
          <w:tcPr>
            <w:tcW w:w="0" w:type="dxa"/>
            <w:vAlign w:val="center"/>
          </w:tcPr>
          <w:p w14:paraId="52093F24">
            <w:pPr>
              <w:spacing w:line="240" w:lineRule="auto"/>
              <w:jc w:val="right"/>
            </w:pPr>
            <w:r>
              <w:rPr>
                <w:rFonts w:ascii="宋体" w:hAnsi="宋体" w:eastAsia="宋体" w:cs="宋体"/>
                <w:b w:val="0"/>
              </w:rPr>
              <w:t>-</w:t>
            </w:r>
          </w:p>
        </w:tc>
        <w:tc>
          <w:tcPr>
            <w:tcW w:w="0" w:type="dxa"/>
            <w:vAlign w:val="center"/>
          </w:tcPr>
          <w:p w14:paraId="38599F7E">
            <w:pPr>
              <w:spacing w:line="240" w:lineRule="auto"/>
              <w:jc w:val="right"/>
            </w:pPr>
            <w:r>
              <w:rPr>
                <w:rFonts w:ascii="宋体" w:hAnsi="宋体" w:eastAsia="宋体" w:cs="宋体"/>
                <w:b w:val="0"/>
              </w:rPr>
              <w:t>7,526,128.19</w:t>
            </w:r>
          </w:p>
        </w:tc>
        <w:tc>
          <w:tcPr>
            <w:tcW w:w="0" w:type="dxa"/>
            <w:vAlign w:val="center"/>
          </w:tcPr>
          <w:p w14:paraId="7BAC5A09">
            <w:pPr>
              <w:spacing w:line="240" w:lineRule="auto"/>
              <w:jc w:val="right"/>
            </w:pPr>
            <w:r>
              <w:rPr>
                <w:rFonts w:ascii="宋体" w:hAnsi="宋体" w:eastAsia="宋体" w:cs="宋体"/>
                <w:b w:val="0"/>
              </w:rPr>
              <w:t>7,526,128.19</w:t>
            </w:r>
          </w:p>
        </w:tc>
      </w:tr>
      <w:tr w14:paraId="2B61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009828">
            <w:pPr>
              <w:spacing w:line="240" w:lineRule="auto"/>
              <w:jc w:val="center"/>
            </w:pPr>
            <w:r>
              <w:rPr>
                <w:rFonts w:ascii="宋体" w:hAnsi="宋体" w:eastAsia="宋体" w:cs="宋体"/>
                <w:b w:val="0"/>
              </w:rPr>
              <w:t>利率敏感度缺口</w:t>
            </w:r>
          </w:p>
        </w:tc>
        <w:tc>
          <w:tcPr>
            <w:tcW w:w="0" w:type="dxa"/>
            <w:vAlign w:val="center"/>
          </w:tcPr>
          <w:p w14:paraId="58787006">
            <w:pPr>
              <w:spacing w:line="240" w:lineRule="auto"/>
              <w:jc w:val="right"/>
            </w:pPr>
            <w:r>
              <w:rPr>
                <w:rFonts w:ascii="宋体" w:hAnsi="宋体" w:eastAsia="宋体" w:cs="宋体"/>
                <w:b w:val="0"/>
              </w:rPr>
              <w:t>49,764,334.44</w:t>
            </w:r>
          </w:p>
        </w:tc>
        <w:tc>
          <w:tcPr>
            <w:tcW w:w="0" w:type="dxa"/>
            <w:vAlign w:val="center"/>
          </w:tcPr>
          <w:p w14:paraId="57EED161">
            <w:pPr>
              <w:spacing w:line="240" w:lineRule="auto"/>
              <w:jc w:val="right"/>
            </w:pPr>
            <w:r>
              <w:rPr>
                <w:rFonts w:ascii="宋体" w:hAnsi="宋体" w:eastAsia="宋体" w:cs="宋体"/>
                <w:b w:val="0"/>
              </w:rPr>
              <w:t>-</w:t>
            </w:r>
          </w:p>
        </w:tc>
        <w:tc>
          <w:tcPr>
            <w:tcW w:w="0" w:type="dxa"/>
            <w:vAlign w:val="center"/>
          </w:tcPr>
          <w:p w14:paraId="3E7A4C71">
            <w:pPr>
              <w:spacing w:line="240" w:lineRule="auto"/>
              <w:jc w:val="right"/>
            </w:pPr>
            <w:r>
              <w:rPr>
                <w:rFonts w:ascii="宋体" w:hAnsi="宋体" w:eastAsia="宋体" w:cs="宋体"/>
                <w:b w:val="0"/>
              </w:rPr>
              <w:t>19,547,131.37</w:t>
            </w:r>
          </w:p>
        </w:tc>
        <w:tc>
          <w:tcPr>
            <w:tcW w:w="0" w:type="dxa"/>
            <w:vAlign w:val="center"/>
          </w:tcPr>
          <w:p w14:paraId="158A98E4">
            <w:pPr>
              <w:spacing w:line="240" w:lineRule="auto"/>
              <w:jc w:val="right"/>
            </w:pPr>
            <w:r>
              <w:rPr>
                <w:rFonts w:ascii="宋体" w:hAnsi="宋体" w:eastAsia="宋体" w:cs="宋体"/>
                <w:b w:val="0"/>
              </w:rPr>
              <w:t>-</w:t>
            </w:r>
          </w:p>
        </w:tc>
        <w:tc>
          <w:tcPr>
            <w:tcW w:w="0" w:type="dxa"/>
            <w:vAlign w:val="center"/>
          </w:tcPr>
          <w:p w14:paraId="7A88DB39">
            <w:pPr>
              <w:spacing w:line="240" w:lineRule="auto"/>
              <w:jc w:val="right"/>
            </w:pPr>
            <w:r>
              <w:rPr>
                <w:rFonts w:ascii="宋体" w:hAnsi="宋体" w:eastAsia="宋体" w:cs="宋体"/>
                <w:b w:val="0"/>
              </w:rPr>
              <w:t>-</w:t>
            </w:r>
          </w:p>
        </w:tc>
        <w:tc>
          <w:tcPr>
            <w:tcW w:w="0" w:type="dxa"/>
            <w:vAlign w:val="center"/>
          </w:tcPr>
          <w:p w14:paraId="0E1CCFB1">
            <w:pPr>
              <w:spacing w:line="240" w:lineRule="auto"/>
              <w:jc w:val="right"/>
            </w:pPr>
            <w:r>
              <w:rPr>
                <w:rFonts w:ascii="宋体" w:hAnsi="宋体" w:eastAsia="宋体" w:cs="宋体"/>
                <w:b w:val="0"/>
              </w:rPr>
              <w:t>864,534,559.99</w:t>
            </w:r>
          </w:p>
        </w:tc>
        <w:tc>
          <w:tcPr>
            <w:tcW w:w="0" w:type="dxa"/>
            <w:vAlign w:val="center"/>
          </w:tcPr>
          <w:p w14:paraId="3BFF87A2">
            <w:pPr>
              <w:spacing w:line="240" w:lineRule="auto"/>
              <w:jc w:val="right"/>
            </w:pPr>
            <w:r>
              <w:rPr>
                <w:rFonts w:ascii="宋体" w:hAnsi="宋体" w:eastAsia="宋体" w:cs="宋体"/>
                <w:b w:val="0"/>
              </w:rPr>
              <w:t>933,846,025.80</w:t>
            </w:r>
          </w:p>
        </w:tc>
      </w:tr>
      <w:tr w14:paraId="20B2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7E41BDE4">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c>
          <w:tcPr>
            <w:tcW w:w="0" w:type="dxa"/>
            <w:shd w:val="clear" w:color="auto" w:fill="D9D9D9"/>
            <w:vAlign w:val="center"/>
          </w:tcPr>
          <w:p w14:paraId="2931142E">
            <w:pPr>
              <w:spacing w:line="240" w:lineRule="auto"/>
              <w:jc w:val="center"/>
            </w:pPr>
            <w:r>
              <w:rPr>
                <w:rFonts w:ascii="宋体" w:hAnsi="宋体" w:eastAsia="宋体" w:cs="宋体"/>
                <w:b w:val="0"/>
              </w:rPr>
              <w:t>1个月以内</w:t>
            </w:r>
          </w:p>
        </w:tc>
        <w:tc>
          <w:tcPr>
            <w:tcW w:w="0" w:type="dxa"/>
            <w:shd w:val="clear" w:color="auto" w:fill="D9D9D9"/>
            <w:vAlign w:val="center"/>
          </w:tcPr>
          <w:p w14:paraId="21C5BA9D">
            <w:pPr>
              <w:spacing w:line="240" w:lineRule="auto"/>
              <w:jc w:val="center"/>
            </w:pPr>
            <w:r>
              <w:rPr>
                <w:rFonts w:ascii="宋体" w:hAnsi="宋体" w:eastAsia="宋体" w:cs="宋体"/>
                <w:b w:val="0"/>
              </w:rPr>
              <w:t>1-3个月</w:t>
            </w:r>
          </w:p>
        </w:tc>
        <w:tc>
          <w:tcPr>
            <w:tcW w:w="0" w:type="dxa"/>
            <w:shd w:val="clear" w:color="auto" w:fill="D9D9D9"/>
            <w:vAlign w:val="center"/>
          </w:tcPr>
          <w:p w14:paraId="726A718B">
            <w:pPr>
              <w:spacing w:line="240" w:lineRule="auto"/>
              <w:jc w:val="center"/>
            </w:pPr>
            <w:r>
              <w:rPr>
                <w:rFonts w:ascii="宋体" w:hAnsi="宋体" w:eastAsia="宋体" w:cs="宋体"/>
                <w:b w:val="0"/>
              </w:rPr>
              <w:t>3个月-1年</w:t>
            </w:r>
          </w:p>
        </w:tc>
        <w:tc>
          <w:tcPr>
            <w:tcW w:w="0" w:type="dxa"/>
            <w:shd w:val="clear" w:color="auto" w:fill="D9D9D9"/>
            <w:vAlign w:val="center"/>
          </w:tcPr>
          <w:p w14:paraId="7C4A1346">
            <w:pPr>
              <w:spacing w:line="240" w:lineRule="auto"/>
              <w:jc w:val="center"/>
            </w:pPr>
            <w:r>
              <w:rPr>
                <w:rFonts w:ascii="宋体" w:hAnsi="宋体" w:eastAsia="宋体" w:cs="宋体"/>
                <w:b w:val="0"/>
              </w:rPr>
              <w:t>1-5年</w:t>
            </w:r>
          </w:p>
        </w:tc>
        <w:tc>
          <w:tcPr>
            <w:tcW w:w="0" w:type="dxa"/>
            <w:shd w:val="clear" w:color="auto" w:fill="D9D9D9"/>
            <w:vAlign w:val="center"/>
          </w:tcPr>
          <w:p w14:paraId="227B7C41">
            <w:pPr>
              <w:spacing w:line="240" w:lineRule="auto"/>
              <w:jc w:val="center"/>
            </w:pPr>
            <w:r>
              <w:rPr>
                <w:rFonts w:ascii="宋体" w:hAnsi="宋体" w:eastAsia="宋体" w:cs="宋体"/>
                <w:b w:val="0"/>
              </w:rPr>
              <w:t>5年以上</w:t>
            </w:r>
          </w:p>
        </w:tc>
        <w:tc>
          <w:tcPr>
            <w:tcW w:w="0" w:type="dxa"/>
            <w:shd w:val="clear" w:color="auto" w:fill="D9D9D9"/>
            <w:vAlign w:val="center"/>
          </w:tcPr>
          <w:p w14:paraId="59248E94">
            <w:pPr>
              <w:spacing w:line="240" w:lineRule="auto"/>
              <w:jc w:val="center"/>
            </w:pPr>
            <w:r>
              <w:rPr>
                <w:rFonts w:ascii="宋体" w:hAnsi="宋体" w:eastAsia="宋体" w:cs="宋体"/>
                <w:b w:val="0"/>
              </w:rPr>
              <w:t>不计息</w:t>
            </w:r>
          </w:p>
        </w:tc>
        <w:tc>
          <w:tcPr>
            <w:tcW w:w="0" w:type="dxa"/>
            <w:shd w:val="clear" w:color="auto" w:fill="D9D9D9"/>
            <w:vAlign w:val="center"/>
          </w:tcPr>
          <w:p w14:paraId="055A6357">
            <w:pPr>
              <w:spacing w:line="240" w:lineRule="auto"/>
              <w:jc w:val="center"/>
            </w:pPr>
            <w:r>
              <w:rPr>
                <w:rFonts w:ascii="宋体" w:hAnsi="宋体" w:eastAsia="宋体" w:cs="宋体"/>
                <w:b w:val="0"/>
              </w:rPr>
              <w:t>合计</w:t>
            </w:r>
          </w:p>
        </w:tc>
      </w:tr>
      <w:tr w14:paraId="3751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5B85B8">
            <w:pPr>
              <w:spacing w:line="240" w:lineRule="auto"/>
              <w:jc w:val="center"/>
            </w:pPr>
            <w:r>
              <w:rPr>
                <w:rFonts w:ascii="宋体" w:hAnsi="宋体" w:eastAsia="宋体" w:cs="宋体"/>
                <w:b w:val="0"/>
              </w:rPr>
              <w:t>资产</w:t>
            </w:r>
          </w:p>
        </w:tc>
        <w:tc>
          <w:tcPr>
            <w:tcW w:w="0" w:type="dxa"/>
            <w:vAlign w:val="center"/>
          </w:tcPr>
          <w:p w14:paraId="3F8A6A31">
            <w:pPr>
              <w:spacing w:line="240" w:lineRule="auto"/>
              <w:jc w:val="right"/>
            </w:pPr>
          </w:p>
        </w:tc>
        <w:tc>
          <w:tcPr>
            <w:tcW w:w="0" w:type="dxa"/>
            <w:vAlign w:val="center"/>
          </w:tcPr>
          <w:p w14:paraId="2E839B63">
            <w:pPr>
              <w:spacing w:line="240" w:lineRule="auto"/>
              <w:jc w:val="right"/>
            </w:pPr>
          </w:p>
        </w:tc>
        <w:tc>
          <w:tcPr>
            <w:tcW w:w="0" w:type="dxa"/>
            <w:vAlign w:val="center"/>
          </w:tcPr>
          <w:p w14:paraId="0B3238E6">
            <w:pPr>
              <w:spacing w:line="240" w:lineRule="auto"/>
              <w:jc w:val="right"/>
            </w:pPr>
          </w:p>
        </w:tc>
        <w:tc>
          <w:tcPr>
            <w:tcW w:w="0" w:type="dxa"/>
            <w:vAlign w:val="center"/>
          </w:tcPr>
          <w:p w14:paraId="3EACDEDE">
            <w:pPr>
              <w:spacing w:line="240" w:lineRule="auto"/>
              <w:jc w:val="right"/>
            </w:pPr>
          </w:p>
        </w:tc>
        <w:tc>
          <w:tcPr>
            <w:tcW w:w="0" w:type="dxa"/>
            <w:vAlign w:val="center"/>
          </w:tcPr>
          <w:p w14:paraId="6B78FDE0">
            <w:pPr>
              <w:spacing w:line="240" w:lineRule="auto"/>
              <w:jc w:val="right"/>
            </w:pPr>
          </w:p>
        </w:tc>
        <w:tc>
          <w:tcPr>
            <w:tcW w:w="0" w:type="dxa"/>
            <w:vAlign w:val="center"/>
          </w:tcPr>
          <w:p w14:paraId="4207E2CC">
            <w:pPr>
              <w:spacing w:line="240" w:lineRule="auto"/>
              <w:jc w:val="right"/>
            </w:pPr>
          </w:p>
        </w:tc>
        <w:tc>
          <w:tcPr>
            <w:tcW w:w="0" w:type="dxa"/>
            <w:vAlign w:val="center"/>
          </w:tcPr>
          <w:p w14:paraId="0E5B4FC8">
            <w:pPr>
              <w:spacing w:line="240" w:lineRule="auto"/>
              <w:jc w:val="right"/>
            </w:pPr>
          </w:p>
        </w:tc>
      </w:tr>
      <w:tr w14:paraId="0579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7AB3CE">
            <w:pPr>
              <w:spacing w:line="240" w:lineRule="auto"/>
              <w:jc w:val="center"/>
            </w:pPr>
            <w:r>
              <w:rPr>
                <w:rFonts w:ascii="宋体" w:hAnsi="宋体" w:eastAsia="宋体" w:cs="宋体"/>
                <w:b w:val="0"/>
              </w:rPr>
              <w:t>货币资金</w:t>
            </w:r>
          </w:p>
        </w:tc>
        <w:tc>
          <w:tcPr>
            <w:tcW w:w="0" w:type="dxa"/>
            <w:vAlign w:val="center"/>
          </w:tcPr>
          <w:p w14:paraId="2225BD5B">
            <w:pPr>
              <w:spacing w:line="240" w:lineRule="auto"/>
              <w:jc w:val="right"/>
            </w:pPr>
            <w:r>
              <w:rPr>
                <w:rFonts w:ascii="宋体" w:hAnsi="宋体" w:eastAsia="宋体" w:cs="宋体"/>
                <w:b w:val="0"/>
              </w:rPr>
              <w:t>1,611,138.21</w:t>
            </w:r>
          </w:p>
        </w:tc>
        <w:tc>
          <w:tcPr>
            <w:tcW w:w="0" w:type="dxa"/>
            <w:vAlign w:val="center"/>
          </w:tcPr>
          <w:p w14:paraId="63F47D6F">
            <w:pPr>
              <w:spacing w:line="240" w:lineRule="auto"/>
              <w:jc w:val="right"/>
            </w:pPr>
            <w:r>
              <w:rPr>
                <w:rFonts w:ascii="宋体" w:hAnsi="宋体" w:eastAsia="宋体" w:cs="宋体"/>
                <w:b w:val="0"/>
              </w:rPr>
              <w:t>-</w:t>
            </w:r>
          </w:p>
        </w:tc>
        <w:tc>
          <w:tcPr>
            <w:tcW w:w="0" w:type="dxa"/>
            <w:vAlign w:val="center"/>
          </w:tcPr>
          <w:p w14:paraId="2A8DB2CC">
            <w:pPr>
              <w:spacing w:line="240" w:lineRule="auto"/>
              <w:jc w:val="right"/>
            </w:pPr>
            <w:r>
              <w:rPr>
                <w:rFonts w:ascii="宋体" w:hAnsi="宋体" w:eastAsia="宋体" w:cs="宋体"/>
                <w:b w:val="0"/>
              </w:rPr>
              <w:t>-</w:t>
            </w:r>
          </w:p>
        </w:tc>
        <w:tc>
          <w:tcPr>
            <w:tcW w:w="0" w:type="dxa"/>
            <w:vAlign w:val="center"/>
          </w:tcPr>
          <w:p w14:paraId="6AEC411D">
            <w:pPr>
              <w:spacing w:line="240" w:lineRule="auto"/>
              <w:jc w:val="right"/>
            </w:pPr>
            <w:r>
              <w:rPr>
                <w:rFonts w:ascii="宋体" w:hAnsi="宋体" w:eastAsia="宋体" w:cs="宋体"/>
                <w:b w:val="0"/>
              </w:rPr>
              <w:t>-</w:t>
            </w:r>
          </w:p>
        </w:tc>
        <w:tc>
          <w:tcPr>
            <w:tcW w:w="0" w:type="dxa"/>
            <w:vAlign w:val="center"/>
          </w:tcPr>
          <w:p w14:paraId="3D9E4D96">
            <w:pPr>
              <w:spacing w:line="240" w:lineRule="auto"/>
              <w:jc w:val="right"/>
            </w:pPr>
            <w:r>
              <w:rPr>
                <w:rFonts w:ascii="宋体" w:hAnsi="宋体" w:eastAsia="宋体" w:cs="宋体"/>
                <w:b w:val="0"/>
              </w:rPr>
              <w:t>-</w:t>
            </w:r>
          </w:p>
        </w:tc>
        <w:tc>
          <w:tcPr>
            <w:tcW w:w="0" w:type="dxa"/>
            <w:vAlign w:val="center"/>
          </w:tcPr>
          <w:p w14:paraId="52032DD2">
            <w:pPr>
              <w:spacing w:line="240" w:lineRule="auto"/>
              <w:jc w:val="right"/>
            </w:pPr>
            <w:r>
              <w:rPr>
                <w:rFonts w:ascii="宋体" w:hAnsi="宋体" w:eastAsia="宋体" w:cs="宋体"/>
                <w:b w:val="0"/>
              </w:rPr>
              <w:t>-</w:t>
            </w:r>
          </w:p>
        </w:tc>
        <w:tc>
          <w:tcPr>
            <w:tcW w:w="0" w:type="dxa"/>
            <w:vAlign w:val="center"/>
          </w:tcPr>
          <w:p w14:paraId="51A0596F">
            <w:pPr>
              <w:spacing w:line="240" w:lineRule="auto"/>
              <w:jc w:val="right"/>
            </w:pPr>
            <w:r>
              <w:rPr>
                <w:rFonts w:ascii="宋体" w:hAnsi="宋体" w:eastAsia="宋体" w:cs="宋体"/>
                <w:b w:val="0"/>
              </w:rPr>
              <w:t>1,611,138.21</w:t>
            </w:r>
          </w:p>
        </w:tc>
      </w:tr>
      <w:tr w14:paraId="2331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8F68F6">
            <w:pPr>
              <w:spacing w:line="240" w:lineRule="auto"/>
              <w:jc w:val="center"/>
            </w:pPr>
            <w:r>
              <w:rPr>
                <w:rFonts w:ascii="宋体" w:hAnsi="宋体" w:eastAsia="宋体" w:cs="宋体"/>
                <w:b w:val="0"/>
              </w:rPr>
              <w:t>交易性金融资产</w:t>
            </w:r>
          </w:p>
        </w:tc>
        <w:tc>
          <w:tcPr>
            <w:tcW w:w="0" w:type="dxa"/>
            <w:vAlign w:val="center"/>
          </w:tcPr>
          <w:p w14:paraId="3CD521DB">
            <w:pPr>
              <w:spacing w:line="240" w:lineRule="auto"/>
              <w:jc w:val="right"/>
            </w:pPr>
            <w:r>
              <w:rPr>
                <w:rFonts w:ascii="宋体" w:hAnsi="宋体" w:eastAsia="宋体" w:cs="宋体"/>
                <w:b w:val="0"/>
              </w:rPr>
              <w:t>1,196,196.45</w:t>
            </w:r>
          </w:p>
        </w:tc>
        <w:tc>
          <w:tcPr>
            <w:tcW w:w="0" w:type="dxa"/>
            <w:vAlign w:val="center"/>
          </w:tcPr>
          <w:p w14:paraId="049FE35A">
            <w:pPr>
              <w:spacing w:line="240" w:lineRule="auto"/>
              <w:jc w:val="right"/>
            </w:pPr>
            <w:r>
              <w:rPr>
                <w:rFonts w:ascii="宋体" w:hAnsi="宋体" w:eastAsia="宋体" w:cs="宋体"/>
                <w:b w:val="0"/>
              </w:rPr>
              <w:t>-</w:t>
            </w:r>
          </w:p>
        </w:tc>
        <w:tc>
          <w:tcPr>
            <w:tcW w:w="0" w:type="dxa"/>
            <w:vAlign w:val="center"/>
          </w:tcPr>
          <w:p w14:paraId="52D1C077">
            <w:pPr>
              <w:spacing w:line="240" w:lineRule="auto"/>
              <w:jc w:val="right"/>
            </w:pPr>
            <w:r>
              <w:rPr>
                <w:rFonts w:ascii="宋体" w:hAnsi="宋体" w:eastAsia="宋体" w:cs="宋体"/>
                <w:b w:val="0"/>
              </w:rPr>
              <w:t>2,006,498.08</w:t>
            </w:r>
          </w:p>
        </w:tc>
        <w:tc>
          <w:tcPr>
            <w:tcW w:w="0" w:type="dxa"/>
            <w:vAlign w:val="center"/>
          </w:tcPr>
          <w:p w14:paraId="72DF36FA">
            <w:pPr>
              <w:spacing w:line="240" w:lineRule="auto"/>
              <w:jc w:val="right"/>
            </w:pPr>
            <w:r>
              <w:rPr>
                <w:rFonts w:ascii="宋体" w:hAnsi="宋体" w:eastAsia="宋体" w:cs="宋体"/>
                <w:b w:val="0"/>
              </w:rPr>
              <w:t>-</w:t>
            </w:r>
          </w:p>
        </w:tc>
        <w:tc>
          <w:tcPr>
            <w:tcW w:w="0" w:type="dxa"/>
            <w:vAlign w:val="center"/>
          </w:tcPr>
          <w:p w14:paraId="5CBDD62F">
            <w:pPr>
              <w:spacing w:line="240" w:lineRule="auto"/>
              <w:jc w:val="right"/>
            </w:pPr>
            <w:r>
              <w:rPr>
                <w:rFonts w:ascii="宋体" w:hAnsi="宋体" w:eastAsia="宋体" w:cs="宋体"/>
                <w:b w:val="0"/>
              </w:rPr>
              <w:t>-</w:t>
            </w:r>
          </w:p>
        </w:tc>
        <w:tc>
          <w:tcPr>
            <w:tcW w:w="0" w:type="dxa"/>
            <w:vAlign w:val="center"/>
          </w:tcPr>
          <w:p w14:paraId="45CE63E5">
            <w:pPr>
              <w:spacing w:line="240" w:lineRule="auto"/>
              <w:jc w:val="right"/>
            </w:pPr>
            <w:r>
              <w:rPr>
                <w:rFonts w:ascii="宋体" w:hAnsi="宋体" w:eastAsia="宋体" w:cs="宋体"/>
                <w:b w:val="0"/>
              </w:rPr>
              <w:t>55,604,897.97</w:t>
            </w:r>
          </w:p>
        </w:tc>
        <w:tc>
          <w:tcPr>
            <w:tcW w:w="0" w:type="dxa"/>
            <w:vAlign w:val="center"/>
          </w:tcPr>
          <w:p w14:paraId="621B7EA6">
            <w:pPr>
              <w:spacing w:line="240" w:lineRule="auto"/>
              <w:jc w:val="right"/>
            </w:pPr>
            <w:r>
              <w:rPr>
                <w:rFonts w:ascii="宋体" w:hAnsi="宋体" w:eastAsia="宋体" w:cs="宋体"/>
                <w:b w:val="0"/>
              </w:rPr>
              <w:t>58,807,592.50</w:t>
            </w:r>
          </w:p>
        </w:tc>
      </w:tr>
      <w:tr w14:paraId="0E7D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ADA6E0">
            <w:pPr>
              <w:spacing w:line="240" w:lineRule="auto"/>
              <w:jc w:val="center"/>
            </w:pPr>
            <w:r>
              <w:rPr>
                <w:rFonts w:ascii="宋体" w:hAnsi="宋体" w:eastAsia="宋体" w:cs="宋体"/>
                <w:b w:val="0"/>
              </w:rPr>
              <w:t>应收申购款</w:t>
            </w:r>
          </w:p>
        </w:tc>
        <w:tc>
          <w:tcPr>
            <w:tcW w:w="0" w:type="dxa"/>
            <w:vAlign w:val="center"/>
          </w:tcPr>
          <w:p w14:paraId="3EB1D4B0">
            <w:pPr>
              <w:spacing w:line="240" w:lineRule="auto"/>
              <w:jc w:val="right"/>
            </w:pPr>
            <w:r>
              <w:rPr>
                <w:rFonts w:ascii="宋体" w:hAnsi="宋体" w:eastAsia="宋体" w:cs="宋体"/>
                <w:b w:val="0"/>
              </w:rPr>
              <w:t>-</w:t>
            </w:r>
          </w:p>
        </w:tc>
        <w:tc>
          <w:tcPr>
            <w:tcW w:w="0" w:type="dxa"/>
            <w:vAlign w:val="center"/>
          </w:tcPr>
          <w:p w14:paraId="75DBE8D0">
            <w:pPr>
              <w:spacing w:line="240" w:lineRule="auto"/>
              <w:jc w:val="right"/>
            </w:pPr>
            <w:r>
              <w:rPr>
                <w:rFonts w:ascii="宋体" w:hAnsi="宋体" w:eastAsia="宋体" w:cs="宋体"/>
                <w:b w:val="0"/>
              </w:rPr>
              <w:t>-</w:t>
            </w:r>
          </w:p>
        </w:tc>
        <w:tc>
          <w:tcPr>
            <w:tcW w:w="0" w:type="dxa"/>
            <w:vAlign w:val="center"/>
          </w:tcPr>
          <w:p w14:paraId="4B983A75">
            <w:pPr>
              <w:spacing w:line="240" w:lineRule="auto"/>
              <w:jc w:val="right"/>
            </w:pPr>
            <w:r>
              <w:rPr>
                <w:rFonts w:ascii="宋体" w:hAnsi="宋体" w:eastAsia="宋体" w:cs="宋体"/>
                <w:b w:val="0"/>
              </w:rPr>
              <w:t>-</w:t>
            </w:r>
          </w:p>
        </w:tc>
        <w:tc>
          <w:tcPr>
            <w:tcW w:w="0" w:type="dxa"/>
            <w:vAlign w:val="center"/>
          </w:tcPr>
          <w:p w14:paraId="657C63E7">
            <w:pPr>
              <w:spacing w:line="240" w:lineRule="auto"/>
              <w:jc w:val="right"/>
            </w:pPr>
            <w:r>
              <w:rPr>
                <w:rFonts w:ascii="宋体" w:hAnsi="宋体" w:eastAsia="宋体" w:cs="宋体"/>
                <w:b w:val="0"/>
              </w:rPr>
              <w:t>-</w:t>
            </w:r>
          </w:p>
        </w:tc>
        <w:tc>
          <w:tcPr>
            <w:tcW w:w="0" w:type="dxa"/>
            <w:vAlign w:val="center"/>
          </w:tcPr>
          <w:p w14:paraId="467AA079">
            <w:pPr>
              <w:spacing w:line="240" w:lineRule="auto"/>
              <w:jc w:val="right"/>
            </w:pPr>
            <w:r>
              <w:rPr>
                <w:rFonts w:ascii="宋体" w:hAnsi="宋体" w:eastAsia="宋体" w:cs="宋体"/>
                <w:b w:val="0"/>
              </w:rPr>
              <w:t>-</w:t>
            </w:r>
          </w:p>
        </w:tc>
        <w:tc>
          <w:tcPr>
            <w:tcW w:w="0" w:type="dxa"/>
            <w:vAlign w:val="center"/>
          </w:tcPr>
          <w:p w14:paraId="5841084B">
            <w:pPr>
              <w:spacing w:line="240" w:lineRule="auto"/>
              <w:jc w:val="right"/>
            </w:pPr>
            <w:r>
              <w:rPr>
                <w:rFonts w:ascii="宋体" w:hAnsi="宋体" w:eastAsia="宋体" w:cs="宋体"/>
                <w:b w:val="0"/>
              </w:rPr>
              <w:t>2,735,430.87</w:t>
            </w:r>
          </w:p>
        </w:tc>
        <w:tc>
          <w:tcPr>
            <w:tcW w:w="0" w:type="dxa"/>
            <w:vAlign w:val="center"/>
          </w:tcPr>
          <w:p w14:paraId="31B280F4">
            <w:pPr>
              <w:spacing w:line="240" w:lineRule="auto"/>
              <w:jc w:val="right"/>
            </w:pPr>
            <w:r>
              <w:rPr>
                <w:rFonts w:ascii="宋体" w:hAnsi="宋体" w:eastAsia="宋体" w:cs="宋体"/>
                <w:b w:val="0"/>
              </w:rPr>
              <w:t>2,735,430.87</w:t>
            </w:r>
          </w:p>
        </w:tc>
      </w:tr>
      <w:tr w14:paraId="75DE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63B5FF">
            <w:pPr>
              <w:spacing w:line="240" w:lineRule="auto"/>
              <w:jc w:val="center"/>
            </w:pPr>
            <w:r>
              <w:rPr>
                <w:rFonts w:ascii="宋体" w:hAnsi="宋体" w:eastAsia="宋体" w:cs="宋体"/>
                <w:b w:val="0"/>
              </w:rPr>
              <w:t>资产总计</w:t>
            </w:r>
          </w:p>
        </w:tc>
        <w:tc>
          <w:tcPr>
            <w:tcW w:w="0" w:type="dxa"/>
            <w:vAlign w:val="center"/>
          </w:tcPr>
          <w:p w14:paraId="15DBB6A6">
            <w:pPr>
              <w:spacing w:line="240" w:lineRule="auto"/>
              <w:jc w:val="right"/>
            </w:pPr>
            <w:r>
              <w:rPr>
                <w:rFonts w:ascii="宋体" w:hAnsi="宋体" w:eastAsia="宋体" w:cs="宋体"/>
                <w:b w:val="0"/>
              </w:rPr>
              <w:t>2,807,334.66</w:t>
            </w:r>
          </w:p>
        </w:tc>
        <w:tc>
          <w:tcPr>
            <w:tcW w:w="0" w:type="dxa"/>
            <w:vAlign w:val="center"/>
          </w:tcPr>
          <w:p w14:paraId="6A883070">
            <w:pPr>
              <w:spacing w:line="240" w:lineRule="auto"/>
              <w:jc w:val="right"/>
            </w:pPr>
            <w:r>
              <w:rPr>
                <w:rFonts w:ascii="宋体" w:hAnsi="宋体" w:eastAsia="宋体" w:cs="宋体"/>
                <w:b w:val="0"/>
              </w:rPr>
              <w:t>-</w:t>
            </w:r>
          </w:p>
        </w:tc>
        <w:tc>
          <w:tcPr>
            <w:tcW w:w="0" w:type="dxa"/>
            <w:vAlign w:val="center"/>
          </w:tcPr>
          <w:p w14:paraId="36B007C0">
            <w:pPr>
              <w:spacing w:line="240" w:lineRule="auto"/>
              <w:jc w:val="right"/>
            </w:pPr>
            <w:r>
              <w:rPr>
                <w:rFonts w:ascii="宋体" w:hAnsi="宋体" w:eastAsia="宋体" w:cs="宋体"/>
                <w:b w:val="0"/>
              </w:rPr>
              <w:t>2,006,498.08</w:t>
            </w:r>
          </w:p>
        </w:tc>
        <w:tc>
          <w:tcPr>
            <w:tcW w:w="0" w:type="dxa"/>
            <w:vAlign w:val="center"/>
          </w:tcPr>
          <w:p w14:paraId="7A728AA4">
            <w:pPr>
              <w:spacing w:line="240" w:lineRule="auto"/>
              <w:jc w:val="right"/>
            </w:pPr>
            <w:r>
              <w:rPr>
                <w:rFonts w:ascii="宋体" w:hAnsi="宋体" w:eastAsia="宋体" w:cs="宋体"/>
                <w:b w:val="0"/>
              </w:rPr>
              <w:t>-</w:t>
            </w:r>
          </w:p>
        </w:tc>
        <w:tc>
          <w:tcPr>
            <w:tcW w:w="0" w:type="dxa"/>
            <w:vAlign w:val="center"/>
          </w:tcPr>
          <w:p w14:paraId="24813A3B">
            <w:pPr>
              <w:spacing w:line="240" w:lineRule="auto"/>
              <w:jc w:val="right"/>
            </w:pPr>
            <w:r>
              <w:rPr>
                <w:rFonts w:ascii="宋体" w:hAnsi="宋体" w:eastAsia="宋体" w:cs="宋体"/>
                <w:b w:val="0"/>
              </w:rPr>
              <w:t>-</w:t>
            </w:r>
          </w:p>
        </w:tc>
        <w:tc>
          <w:tcPr>
            <w:tcW w:w="0" w:type="dxa"/>
            <w:vAlign w:val="center"/>
          </w:tcPr>
          <w:p w14:paraId="7D97091D">
            <w:pPr>
              <w:spacing w:line="240" w:lineRule="auto"/>
              <w:jc w:val="right"/>
            </w:pPr>
            <w:r>
              <w:rPr>
                <w:rFonts w:ascii="宋体" w:hAnsi="宋体" w:eastAsia="宋体" w:cs="宋体"/>
                <w:b w:val="0"/>
              </w:rPr>
              <w:t>58,340,328.84</w:t>
            </w:r>
          </w:p>
        </w:tc>
        <w:tc>
          <w:tcPr>
            <w:tcW w:w="0" w:type="dxa"/>
            <w:vAlign w:val="center"/>
          </w:tcPr>
          <w:p w14:paraId="543EF462">
            <w:pPr>
              <w:spacing w:line="240" w:lineRule="auto"/>
              <w:jc w:val="right"/>
            </w:pPr>
            <w:r>
              <w:rPr>
                <w:rFonts w:ascii="宋体" w:hAnsi="宋体" w:eastAsia="宋体" w:cs="宋体"/>
                <w:b w:val="0"/>
              </w:rPr>
              <w:t>63,154,161.58</w:t>
            </w:r>
          </w:p>
        </w:tc>
      </w:tr>
      <w:tr w14:paraId="2557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FB95F8">
            <w:pPr>
              <w:spacing w:line="240" w:lineRule="auto"/>
              <w:jc w:val="center"/>
            </w:pPr>
            <w:r>
              <w:rPr>
                <w:rFonts w:ascii="宋体" w:hAnsi="宋体" w:eastAsia="宋体" w:cs="宋体"/>
                <w:b w:val="0"/>
              </w:rPr>
              <w:t>负债</w:t>
            </w:r>
          </w:p>
        </w:tc>
        <w:tc>
          <w:tcPr>
            <w:tcW w:w="0" w:type="dxa"/>
            <w:vAlign w:val="center"/>
          </w:tcPr>
          <w:p w14:paraId="3C6BD0E5">
            <w:pPr>
              <w:spacing w:line="240" w:lineRule="auto"/>
              <w:jc w:val="right"/>
            </w:pPr>
          </w:p>
        </w:tc>
        <w:tc>
          <w:tcPr>
            <w:tcW w:w="0" w:type="dxa"/>
            <w:vAlign w:val="center"/>
          </w:tcPr>
          <w:p w14:paraId="26FC5AAC">
            <w:pPr>
              <w:spacing w:line="240" w:lineRule="auto"/>
              <w:jc w:val="right"/>
            </w:pPr>
          </w:p>
        </w:tc>
        <w:tc>
          <w:tcPr>
            <w:tcW w:w="0" w:type="dxa"/>
            <w:vAlign w:val="center"/>
          </w:tcPr>
          <w:p w14:paraId="4F1A923C">
            <w:pPr>
              <w:spacing w:line="240" w:lineRule="auto"/>
              <w:jc w:val="right"/>
            </w:pPr>
          </w:p>
        </w:tc>
        <w:tc>
          <w:tcPr>
            <w:tcW w:w="0" w:type="dxa"/>
            <w:vAlign w:val="center"/>
          </w:tcPr>
          <w:p w14:paraId="06FD6692">
            <w:pPr>
              <w:spacing w:line="240" w:lineRule="auto"/>
              <w:jc w:val="right"/>
            </w:pPr>
          </w:p>
        </w:tc>
        <w:tc>
          <w:tcPr>
            <w:tcW w:w="0" w:type="dxa"/>
            <w:vAlign w:val="center"/>
          </w:tcPr>
          <w:p w14:paraId="4A82C529">
            <w:pPr>
              <w:spacing w:line="240" w:lineRule="auto"/>
              <w:jc w:val="right"/>
            </w:pPr>
          </w:p>
        </w:tc>
        <w:tc>
          <w:tcPr>
            <w:tcW w:w="0" w:type="dxa"/>
            <w:vAlign w:val="center"/>
          </w:tcPr>
          <w:p w14:paraId="68A2C1C5">
            <w:pPr>
              <w:spacing w:line="240" w:lineRule="auto"/>
              <w:jc w:val="right"/>
            </w:pPr>
          </w:p>
        </w:tc>
        <w:tc>
          <w:tcPr>
            <w:tcW w:w="0" w:type="dxa"/>
            <w:vAlign w:val="center"/>
          </w:tcPr>
          <w:p w14:paraId="125CE21A">
            <w:pPr>
              <w:spacing w:line="240" w:lineRule="auto"/>
              <w:jc w:val="right"/>
            </w:pPr>
          </w:p>
        </w:tc>
      </w:tr>
      <w:tr w14:paraId="4D5A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5399AE">
            <w:pPr>
              <w:spacing w:line="240" w:lineRule="auto"/>
              <w:jc w:val="center"/>
            </w:pPr>
            <w:r>
              <w:rPr>
                <w:rFonts w:ascii="宋体" w:hAnsi="宋体" w:eastAsia="宋体" w:cs="宋体"/>
                <w:b w:val="0"/>
              </w:rPr>
              <w:t>卖出回购金融资产款</w:t>
            </w:r>
          </w:p>
        </w:tc>
        <w:tc>
          <w:tcPr>
            <w:tcW w:w="0" w:type="dxa"/>
            <w:vAlign w:val="center"/>
          </w:tcPr>
          <w:p w14:paraId="5ECDB0AF">
            <w:pPr>
              <w:spacing w:line="240" w:lineRule="auto"/>
              <w:jc w:val="right"/>
            </w:pPr>
            <w:r>
              <w:rPr>
                <w:rFonts w:ascii="宋体" w:hAnsi="宋体" w:eastAsia="宋体" w:cs="宋体"/>
                <w:b w:val="0"/>
              </w:rPr>
              <w:t>-376.82</w:t>
            </w:r>
          </w:p>
        </w:tc>
        <w:tc>
          <w:tcPr>
            <w:tcW w:w="0" w:type="dxa"/>
            <w:vAlign w:val="center"/>
          </w:tcPr>
          <w:p w14:paraId="43038527">
            <w:pPr>
              <w:spacing w:line="240" w:lineRule="auto"/>
              <w:jc w:val="right"/>
            </w:pPr>
            <w:r>
              <w:rPr>
                <w:rFonts w:ascii="宋体" w:hAnsi="宋体" w:eastAsia="宋体" w:cs="宋体"/>
                <w:b w:val="0"/>
              </w:rPr>
              <w:t>-</w:t>
            </w:r>
          </w:p>
        </w:tc>
        <w:tc>
          <w:tcPr>
            <w:tcW w:w="0" w:type="dxa"/>
            <w:vAlign w:val="center"/>
          </w:tcPr>
          <w:p w14:paraId="0EF933A9">
            <w:pPr>
              <w:spacing w:line="240" w:lineRule="auto"/>
              <w:jc w:val="right"/>
            </w:pPr>
            <w:r>
              <w:rPr>
                <w:rFonts w:ascii="宋体" w:hAnsi="宋体" w:eastAsia="宋体" w:cs="宋体"/>
                <w:b w:val="0"/>
              </w:rPr>
              <w:t>-</w:t>
            </w:r>
          </w:p>
        </w:tc>
        <w:tc>
          <w:tcPr>
            <w:tcW w:w="0" w:type="dxa"/>
            <w:vAlign w:val="center"/>
          </w:tcPr>
          <w:p w14:paraId="0B294776">
            <w:pPr>
              <w:spacing w:line="240" w:lineRule="auto"/>
              <w:jc w:val="right"/>
            </w:pPr>
            <w:r>
              <w:rPr>
                <w:rFonts w:ascii="宋体" w:hAnsi="宋体" w:eastAsia="宋体" w:cs="宋体"/>
                <w:b w:val="0"/>
              </w:rPr>
              <w:t>-</w:t>
            </w:r>
          </w:p>
        </w:tc>
        <w:tc>
          <w:tcPr>
            <w:tcW w:w="0" w:type="dxa"/>
            <w:vAlign w:val="center"/>
          </w:tcPr>
          <w:p w14:paraId="0777CFB0">
            <w:pPr>
              <w:spacing w:line="240" w:lineRule="auto"/>
              <w:jc w:val="right"/>
            </w:pPr>
            <w:r>
              <w:rPr>
                <w:rFonts w:ascii="宋体" w:hAnsi="宋体" w:eastAsia="宋体" w:cs="宋体"/>
                <w:b w:val="0"/>
              </w:rPr>
              <w:t>-</w:t>
            </w:r>
          </w:p>
        </w:tc>
        <w:tc>
          <w:tcPr>
            <w:tcW w:w="0" w:type="dxa"/>
            <w:vAlign w:val="center"/>
          </w:tcPr>
          <w:p w14:paraId="088C5CEB">
            <w:pPr>
              <w:spacing w:line="240" w:lineRule="auto"/>
              <w:jc w:val="right"/>
            </w:pPr>
            <w:r>
              <w:rPr>
                <w:rFonts w:ascii="宋体" w:hAnsi="宋体" w:eastAsia="宋体" w:cs="宋体"/>
                <w:b w:val="0"/>
              </w:rPr>
              <w:t>-</w:t>
            </w:r>
          </w:p>
        </w:tc>
        <w:tc>
          <w:tcPr>
            <w:tcW w:w="0" w:type="dxa"/>
            <w:vAlign w:val="center"/>
          </w:tcPr>
          <w:p w14:paraId="0DEAD66D">
            <w:pPr>
              <w:spacing w:line="240" w:lineRule="auto"/>
              <w:jc w:val="right"/>
            </w:pPr>
            <w:r>
              <w:rPr>
                <w:rFonts w:ascii="宋体" w:hAnsi="宋体" w:eastAsia="宋体" w:cs="宋体"/>
                <w:b w:val="0"/>
              </w:rPr>
              <w:t>-376.82</w:t>
            </w:r>
          </w:p>
        </w:tc>
      </w:tr>
      <w:tr w14:paraId="3062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1479E63">
            <w:pPr>
              <w:spacing w:line="240" w:lineRule="auto"/>
              <w:jc w:val="center"/>
            </w:pPr>
            <w:r>
              <w:rPr>
                <w:rFonts w:ascii="宋体" w:hAnsi="宋体" w:eastAsia="宋体" w:cs="宋体"/>
                <w:b w:val="0"/>
              </w:rPr>
              <w:t>应付赎回款</w:t>
            </w:r>
          </w:p>
        </w:tc>
        <w:tc>
          <w:tcPr>
            <w:tcW w:w="0" w:type="dxa"/>
            <w:vAlign w:val="center"/>
          </w:tcPr>
          <w:p w14:paraId="18410F51">
            <w:pPr>
              <w:spacing w:line="240" w:lineRule="auto"/>
              <w:jc w:val="right"/>
            </w:pPr>
            <w:r>
              <w:rPr>
                <w:rFonts w:ascii="宋体" w:hAnsi="宋体" w:eastAsia="宋体" w:cs="宋体"/>
                <w:b w:val="0"/>
              </w:rPr>
              <w:t>-</w:t>
            </w:r>
          </w:p>
        </w:tc>
        <w:tc>
          <w:tcPr>
            <w:tcW w:w="0" w:type="dxa"/>
            <w:vAlign w:val="center"/>
          </w:tcPr>
          <w:p w14:paraId="7981F4A1">
            <w:pPr>
              <w:spacing w:line="240" w:lineRule="auto"/>
              <w:jc w:val="right"/>
            </w:pPr>
            <w:r>
              <w:rPr>
                <w:rFonts w:ascii="宋体" w:hAnsi="宋体" w:eastAsia="宋体" w:cs="宋体"/>
                <w:b w:val="0"/>
              </w:rPr>
              <w:t>-</w:t>
            </w:r>
          </w:p>
        </w:tc>
        <w:tc>
          <w:tcPr>
            <w:tcW w:w="0" w:type="dxa"/>
            <w:vAlign w:val="center"/>
          </w:tcPr>
          <w:p w14:paraId="77A2D473">
            <w:pPr>
              <w:spacing w:line="240" w:lineRule="auto"/>
              <w:jc w:val="right"/>
            </w:pPr>
            <w:r>
              <w:rPr>
                <w:rFonts w:ascii="宋体" w:hAnsi="宋体" w:eastAsia="宋体" w:cs="宋体"/>
                <w:b w:val="0"/>
              </w:rPr>
              <w:t>-</w:t>
            </w:r>
          </w:p>
        </w:tc>
        <w:tc>
          <w:tcPr>
            <w:tcW w:w="0" w:type="dxa"/>
            <w:vAlign w:val="center"/>
          </w:tcPr>
          <w:p w14:paraId="5FD2D5EE">
            <w:pPr>
              <w:spacing w:line="240" w:lineRule="auto"/>
              <w:jc w:val="right"/>
            </w:pPr>
            <w:r>
              <w:rPr>
                <w:rFonts w:ascii="宋体" w:hAnsi="宋体" w:eastAsia="宋体" w:cs="宋体"/>
                <w:b w:val="0"/>
              </w:rPr>
              <w:t>-</w:t>
            </w:r>
          </w:p>
        </w:tc>
        <w:tc>
          <w:tcPr>
            <w:tcW w:w="0" w:type="dxa"/>
            <w:vAlign w:val="center"/>
          </w:tcPr>
          <w:p w14:paraId="4B6DBBB8">
            <w:pPr>
              <w:spacing w:line="240" w:lineRule="auto"/>
              <w:jc w:val="right"/>
            </w:pPr>
            <w:r>
              <w:rPr>
                <w:rFonts w:ascii="宋体" w:hAnsi="宋体" w:eastAsia="宋体" w:cs="宋体"/>
                <w:b w:val="0"/>
              </w:rPr>
              <w:t>-</w:t>
            </w:r>
          </w:p>
        </w:tc>
        <w:tc>
          <w:tcPr>
            <w:tcW w:w="0" w:type="dxa"/>
            <w:vAlign w:val="center"/>
          </w:tcPr>
          <w:p w14:paraId="2C2EC3CA">
            <w:pPr>
              <w:spacing w:line="240" w:lineRule="auto"/>
              <w:jc w:val="right"/>
            </w:pPr>
            <w:r>
              <w:rPr>
                <w:rFonts w:ascii="宋体" w:hAnsi="宋体" w:eastAsia="宋体" w:cs="宋体"/>
                <w:b w:val="0"/>
              </w:rPr>
              <w:t>3,924,699.06</w:t>
            </w:r>
          </w:p>
        </w:tc>
        <w:tc>
          <w:tcPr>
            <w:tcW w:w="0" w:type="dxa"/>
            <w:vAlign w:val="center"/>
          </w:tcPr>
          <w:p w14:paraId="4A86C1D3">
            <w:pPr>
              <w:spacing w:line="240" w:lineRule="auto"/>
              <w:jc w:val="right"/>
            </w:pPr>
            <w:r>
              <w:rPr>
                <w:rFonts w:ascii="宋体" w:hAnsi="宋体" w:eastAsia="宋体" w:cs="宋体"/>
                <w:b w:val="0"/>
              </w:rPr>
              <w:t>3,924,699.06</w:t>
            </w:r>
          </w:p>
        </w:tc>
      </w:tr>
      <w:tr w14:paraId="5C6B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9778812">
            <w:pPr>
              <w:spacing w:line="240" w:lineRule="auto"/>
              <w:jc w:val="center"/>
            </w:pPr>
            <w:r>
              <w:rPr>
                <w:rFonts w:ascii="宋体" w:hAnsi="宋体" w:eastAsia="宋体" w:cs="宋体"/>
                <w:b w:val="0"/>
              </w:rPr>
              <w:t>应付管理人报酬</w:t>
            </w:r>
          </w:p>
        </w:tc>
        <w:tc>
          <w:tcPr>
            <w:tcW w:w="0" w:type="dxa"/>
            <w:vAlign w:val="center"/>
          </w:tcPr>
          <w:p w14:paraId="57BB36F6">
            <w:pPr>
              <w:spacing w:line="240" w:lineRule="auto"/>
              <w:jc w:val="right"/>
            </w:pPr>
            <w:r>
              <w:rPr>
                <w:rFonts w:ascii="宋体" w:hAnsi="宋体" w:eastAsia="宋体" w:cs="宋体"/>
                <w:b w:val="0"/>
              </w:rPr>
              <w:t>-</w:t>
            </w:r>
          </w:p>
        </w:tc>
        <w:tc>
          <w:tcPr>
            <w:tcW w:w="0" w:type="dxa"/>
            <w:vAlign w:val="center"/>
          </w:tcPr>
          <w:p w14:paraId="2783977F">
            <w:pPr>
              <w:spacing w:line="240" w:lineRule="auto"/>
              <w:jc w:val="right"/>
            </w:pPr>
            <w:r>
              <w:rPr>
                <w:rFonts w:ascii="宋体" w:hAnsi="宋体" w:eastAsia="宋体" w:cs="宋体"/>
                <w:b w:val="0"/>
              </w:rPr>
              <w:t>-</w:t>
            </w:r>
          </w:p>
        </w:tc>
        <w:tc>
          <w:tcPr>
            <w:tcW w:w="0" w:type="dxa"/>
            <w:vAlign w:val="center"/>
          </w:tcPr>
          <w:p w14:paraId="6839C3E2">
            <w:pPr>
              <w:spacing w:line="240" w:lineRule="auto"/>
              <w:jc w:val="right"/>
            </w:pPr>
            <w:r>
              <w:rPr>
                <w:rFonts w:ascii="宋体" w:hAnsi="宋体" w:eastAsia="宋体" w:cs="宋体"/>
                <w:b w:val="0"/>
              </w:rPr>
              <w:t>-</w:t>
            </w:r>
          </w:p>
        </w:tc>
        <w:tc>
          <w:tcPr>
            <w:tcW w:w="0" w:type="dxa"/>
            <w:vAlign w:val="center"/>
          </w:tcPr>
          <w:p w14:paraId="2AA22D1D">
            <w:pPr>
              <w:spacing w:line="240" w:lineRule="auto"/>
              <w:jc w:val="right"/>
            </w:pPr>
            <w:r>
              <w:rPr>
                <w:rFonts w:ascii="宋体" w:hAnsi="宋体" w:eastAsia="宋体" w:cs="宋体"/>
                <w:b w:val="0"/>
              </w:rPr>
              <w:t>-</w:t>
            </w:r>
          </w:p>
        </w:tc>
        <w:tc>
          <w:tcPr>
            <w:tcW w:w="0" w:type="dxa"/>
            <w:vAlign w:val="center"/>
          </w:tcPr>
          <w:p w14:paraId="7FA3274E">
            <w:pPr>
              <w:spacing w:line="240" w:lineRule="auto"/>
              <w:jc w:val="right"/>
            </w:pPr>
            <w:r>
              <w:rPr>
                <w:rFonts w:ascii="宋体" w:hAnsi="宋体" w:eastAsia="宋体" w:cs="宋体"/>
                <w:b w:val="0"/>
              </w:rPr>
              <w:t>-</w:t>
            </w:r>
          </w:p>
        </w:tc>
        <w:tc>
          <w:tcPr>
            <w:tcW w:w="0" w:type="dxa"/>
            <w:vAlign w:val="center"/>
          </w:tcPr>
          <w:p w14:paraId="36F84F5D">
            <w:pPr>
              <w:spacing w:line="240" w:lineRule="auto"/>
              <w:jc w:val="right"/>
            </w:pPr>
            <w:r>
              <w:rPr>
                <w:rFonts w:ascii="宋体" w:hAnsi="宋体" w:eastAsia="宋体" w:cs="宋体"/>
                <w:b w:val="0"/>
              </w:rPr>
              <w:t>37,737.10</w:t>
            </w:r>
          </w:p>
        </w:tc>
        <w:tc>
          <w:tcPr>
            <w:tcW w:w="0" w:type="dxa"/>
            <w:vAlign w:val="center"/>
          </w:tcPr>
          <w:p w14:paraId="6F0B2DF7">
            <w:pPr>
              <w:spacing w:line="240" w:lineRule="auto"/>
              <w:jc w:val="right"/>
            </w:pPr>
            <w:r>
              <w:rPr>
                <w:rFonts w:ascii="宋体" w:hAnsi="宋体" w:eastAsia="宋体" w:cs="宋体"/>
                <w:b w:val="0"/>
              </w:rPr>
              <w:t>37,737.10</w:t>
            </w:r>
          </w:p>
        </w:tc>
      </w:tr>
      <w:tr w14:paraId="6D10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5E034F">
            <w:pPr>
              <w:spacing w:line="240" w:lineRule="auto"/>
              <w:jc w:val="center"/>
            </w:pPr>
            <w:r>
              <w:rPr>
                <w:rFonts w:ascii="宋体" w:hAnsi="宋体" w:eastAsia="宋体" w:cs="宋体"/>
                <w:b w:val="0"/>
              </w:rPr>
              <w:t>应付托管费</w:t>
            </w:r>
          </w:p>
        </w:tc>
        <w:tc>
          <w:tcPr>
            <w:tcW w:w="0" w:type="dxa"/>
            <w:vAlign w:val="center"/>
          </w:tcPr>
          <w:p w14:paraId="7CD1DE48">
            <w:pPr>
              <w:spacing w:line="240" w:lineRule="auto"/>
              <w:jc w:val="right"/>
            </w:pPr>
            <w:r>
              <w:rPr>
                <w:rFonts w:ascii="宋体" w:hAnsi="宋体" w:eastAsia="宋体" w:cs="宋体"/>
                <w:b w:val="0"/>
              </w:rPr>
              <w:t>-</w:t>
            </w:r>
          </w:p>
        </w:tc>
        <w:tc>
          <w:tcPr>
            <w:tcW w:w="0" w:type="dxa"/>
            <w:vAlign w:val="center"/>
          </w:tcPr>
          <w:p w14:paraId="7E48FA30">
            <w:pPr>
              <w:spacing w:line="240" w:lineRule="auto"/>
              <w:jc w:val="right"/>
            </w:pPr>
            <w:r>
              <w:rPr>
                <w:rFonts w:ascii="宋体" w:hAnsi="宋体" w:eastAsia="宋体" w:cs="宋体"/>
                <w:b w:val="0"/>
              </w:rPr>
              <w:t>-</w:t>
            </w:r>
          </w:p>
        </w:tc>
        <w:tc>
          <w:tcPr>
            <w:tcW w:w="0" w:type="dxa"/>
            <w:vAlign w:val="center"/>
          </w:tcPr>
          <w:p w14:paraId="11E636C7">
            <w:pPr>
              <w:spacing w:line="240" w:lineRule="auto"/>
              <w:jc w:val="right"/>
            </w:pPr>
            <w:r>
              <w:rPr>
                <w:rFonts w:ascii="宋体" w:hAnsi="宋体" w:eastAsia="宋体" w:cs="宋体"/>
                <w:b w:val="0"/>
              </w:rPr>
              <w:t>-</w:t>
            </w:r>
          </w:p>
        </w:tc>
        <w:tc>
          <w:tcPr>
            <w:tcW w:w="0" w:type="dxa"/>
            <w:vAlign w:val="center"/>
          </w:tcPr>
          <w:p w14:paraId="113AC1B6">
            <w:pPr>
              <w:spacing w:line="240" w:lineRule="auto"/>
              <w:jc w:val="right"/>
            </w:pPr>
            <w:r>
              <w:rPr>
                <w:rFonts w:ascii="宋体" w:hAnsi="宋体" w:eastAsia="宋体" w:cs="宋体"/>
                <w:b w:val="0"/>
              </w:rPr>
              <w:t>-</w:t>
            </w:r>
          </w:p>
        </w:tc>
        <w:tc>
          <w:tcPr>
            <w:tcW w:w="0" w:type="dxa"/>
            <w:vAlign w:val="center"/>
          </w:tcPr>
          <w:p w14:paraId="55D14472">
            <w:pPr>
              <w:spacing w:line="240" w:lineRule="auto"/>
              <w:jc w:val="right"/>
            </w:pPr>
            <w:r>
              <w:rPr>
                <w:rFonts w:ascii="宋体" w:hAnsi="宋体" w:eastAsia="宋体" w:cs="宋体"/>
                <w:b w:val="0"/>
              </w:rPr>
              <w:t>-</w:t>
            </w:r>
          </w:p>
        </w:tc>
        <w:tc>
          <w:tcPr>
            <w:tcW w:w="0" w:type="dxa"/>
            <w:vAlign w:val="center"/>
          </w:tcPr>
          <w:p w14:paraId="189D4574">
            <w:pPr>
              <w:spacing w:line="240" w:lineRule="auto"/>
              <w:jc w:val="right"/>
            </w:pPr>
            <w:r>
              <w:rPr>
                <w:rFonts w:ascii="宋体" w:hAnsi="宋体" w:eastAsia="宋体" w:cs="宋体"/>
                <w:b w:val="0"/>
              </w:rPr>
              <w:t>6,289.51</w:t>
            </w:r>
          </w:p>
        </w:tc>
        <w:tc>
          <w:tcPr>
            <w:tcW w:w="0" w:type="dxa"/>
            <w:vAlign w:val="center"/>
          </w:tcPr>
          <w:p w14:paraId="56B43C43">
            <w:pPr>
              <w:spacing w:line="240" w:lineRule="auto"/>
              <w:jc w:val="right"/>
            </w:pPr>
            <w:r>
              <w:rPr>
                <w:rFonts w:ascii="宋体" w:hAnsi="宋体" w:eastAsia="宋体" w:cs="宋体"/>
                <w:b w:val="0"/>
              </w:rPr>
              <w:t>6,289.51</w:t>
            </w:r>
          </w:p>
        </w:tc>
      </w:tr>
      <w:tr w14:paraId="3C98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54B0E7">
            <w:pPr>
              <w:spacing w:line="240" w:lineRule="auto"/>
              <w:jc w:val="center"/>
            </w:pPr>
            <w:r>
              <w:rPr>
                <w:rFonts w:ascii="宋体" w:hAnsi="宋体" w:eastAsia="宋体" w:cs="宋体"/>
                <w:b w:val="0"/>
              </w:rPr>
              <w:t>应付销售服务费</w:t>
            </w:r>
          </w:p>
        </w:tc>
        <w:tc>
          <w:tcPr>
            <w:tcW w:w="0" w:type="dxa"/>
            <w:vAlign w:val="center"/>
          </w:tcPr>
          <w:p w14:paraId="38EA6E6F">
            <w:pPr>
              <w:spacing w:line="240" w:lineRule="auto"/>
              <w:jc w:val="right"/>
            </w:pPr>
            <w:r>
              <w:rPr>
                <w:rFonts w:ascii="宋体" w:hAnsi="宋体" w:eastAsia="宋体" w:cs="宋体"/>
                <w:b w:val="0"/>
              </w:rPr>
              <w:t>-</w:t>
            </w:r>
          </w:p>
        </w:tc>
        <w:tc>
          <w:tcPr>
            <w:tcW w:w="0" w:type="dxa"/>
            <w:vAlign w:val="center"/>
          </w:tcPr>
          <w:p w14:paraId="009BE3AA">
            <w:pPr>
              <w:spacing w:line="240" w:lineRule="auto"/>
              <w:jc w:val="right"/>
            </w:pPr>
            <w:r>
              <w:rPr>
                <w:rFonts w:ascii="宋体" w:hAnsi="宋体" w:eastAsia="宋体" w:cs="宋体"/>
                <w:b w:val="0"/>
              </w:rPr>
              <w:t>-</w:t>
            </w:r>
          </w:p>
        </w:tc>
        <w:tc>
          <w:tcPr>
            <w:tcW w:w="0" w:type="dxa"/>
            <w:vAlign w:val="center"/>
          </w:tcPr>
          <w:p w14:paraId="6FF7A156">
            <w:pPr>
              <w:spacing w:line="240" w:lineRule="auto"/>
              <w:jc w:val="right"/>
            </w:pPr>
            <w:r>
              <w:rPr>
                <w:rFonts w:ascii="宋体" w:hAnsi="宋体" w:eastAsia="宋体" w:cs="宋体"/>
                <w:b w:val="0"/>
              </w:rPr>
              <w:t>-</w:t>
            </w:r>
          </w:p>
        </w:tc>
        <w:tc>
          <w:tcPr>
            <w:tcW w:w="0" w:type="dxa"/>
            <w:vAlign w:val="center"/>
          </w:tcPr>
          <w:p w14:paraId="55651C3B">
            <w:pPr>
              <w:spacing w:line="240" w:lineRule="auto"/>
              <w:jc w:val="right"/>
            </w:pPr>
            <w:r>
              <w:rPr>
                <w:rFonts w:ascii="宋体" w:hAnsi="宋体" w:eastAsia="宋体" w:cs="宋体"/>
                <w:b w:val="0"/>
              </w:rPr>
              <w:t>-</w:t>
            </w:r>
          </w:p>
        </w:tc>
        <w:tc>
          <w:tcPr>
            <w:tcW w:w="0" w:type="dxa"/>
            <w:vAlign w:val="center"/>
          </w:tcPr>
          <w:p w14:paraId="4F7360FD">
            <w:pPr>
              <w:spacing w:line="240" w:lineRule="auto"/>
              <w:jc w:val="right"/>
            </w:pPr>
            <w:r>
              <w:rPr>
                <w:rFonts w:ascii="宋体" w:hAnsi="宋体" w:eastAsia="宋体" w:cs="宋体"/>
                <w:b w:val="0"/>
              </w:rPr>
              <w:t>-</w:t>
            </w:r>
          </w:p>
        </w:tc>
        <w:tc>
          <w:tcPr>
            <w:tcW w:w="0" w:type="dxa"/>
            <w:vAlign w:val="center"/>
          </w:tcPr>
          <w:p w14:paraId="64306EB8">
            <w:pPr>
              <w:spacing w:line="240" w:lineRule="auto"/>
              <w:jc w:val="right"/>
            </w:pPr>
            <w:r>
              <w:rPr>
                <w:rFonts w:ascii="宋体" w:hAnsi="宋体" w:eastAsia="宋体" w:cs="宋体"/>
                <w:b w:val="0"/>
              </w:rPr>
              <w:t>8,000.40</w:t>
            </w:r>
          </w:p>
        </w:tc>
        <w:tc>
          <w:tcPr>
            <w:tcW w:w="0" w:type="dxa"/>
            <w:vAlign w:val="center"/>
          </w:tcPr>
          <w:p w14:paraId="3642505C">
            <w:pPr>
              <w:spacing w:line="240" w:lineRule="auto"/>
              <w:jc w:val="right"/>
            </w:pPr>
            <w:r>
              <w:rPr>
                <w:rFonts w:ascii="宋体" w:hAnsi="宋体" w:eastAsia="宋体" w:cs="宋体"/>
                <w:b w:val="0"/>
              </w:rPr>
              <w:t>8,000.40</w:t>
            </w:r>
          </w:p>
        </w:tc>
      </w:tr>
      <w:tr w14:paraId="146F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8D2F14">
            <w:pPr>
              <w:spacing w:line="240" w:lineRule="auto"/>
              <w:jc w:val="center"/>
            </w:pPr>
            <w:r>
              <w:rPr>
                <w:rFonts w:ascii="宋体" w:hAnsi="宋体" w:eastAsia="宋体" w:cs="宋体"/>
                <w:b w:val="0"/>
              </w:rPr>
              <w:t>应交税费</w:t>
            </w:r>
          </w:p>
        </w:tc>
        <w:tc>
          <w:tcPr>
            <w:tcW w:w="0" w:type="dxa"/>
            <w:vAlign w:val="center"/>
          </w:tcPr>
          <w:p w14:paraId="608BA996">
            <w:pPr>
              <w:spacing w:line="240" w:lineRule="auto"/>
              <w:jc w:val="right"/>
            </w:pPr>
            <w:r>
              <w:rPr>
                <w:rFonts w:ascii="宋体" w:hAnsi="宋体" w:eastAsia="宋体" w:cs="宋体"/>
                <w:b w:val="0"/>
              </w:rPr>
              <w:t>-</w:t>
            </w:r>
          </w:p>
        </w:tc>
        <w:tc>
          <w:tcPr>
            <w:tcW w:w="0" w:type="dxa"/>
            <w:vAlign w:val="center"/>
          </w:tcPr>
          <w:p w14:paraId="71E48F49">
            <w:pPr>
              <w:spacing w:line="240" w:lineRule="auto"/>
              <w:jc w:val="right"/>
            </w:pPr>
            <w:r>
              <w:rPr>
                <w:rFonts w:ascii="宋体" w:hAnsi="宋体" w:eastAsia="宋体" w:cs="宋体"/>
                <w:b w:val="0"/>
              </w:rPr>
              <w:t>-</w:t>
            </w:r>
          </w:p>
        </w:tc>
        <w:tc>
          <w:tcPr>
            <w:tcW w:w="0" w:type="dxa"/>
            <w:vAlign w:val="center"/>
          </w:tcPr>
          <w:p w14:paraId="7112DDDB">
            <w:pPr>
              <w:spacing w:line="240" w:lineRule="auto"/>
              <w:jc w:val="right"/>
            </w:pPr>
            <w:r>
              <w:rPr>
                <w:rFonts w:ascii="宋体" w:hAnsi="宋体" w:eastAsia="宋体" w:cs="宋体"/>
                <w:b w:val="0"/>
              </w:rPr>
              <w:t>-</w:t>
            </w:r>
          </w:p>
        </w:tc>
        <w:tc>
          <w:tcPr>
            <w:tcW w:w="0" w:type="dxa"/>
            <w:vAlign w:val="center"/>
          </w:tcPr>
          <w:p w14:paraId="55ACF349">
            <w:pPr>
              <w:spacing w:line="240" w:lineRule="auto"/>
              <w:jc w:val="right"/>
            </w:pPr>
            <w:r>
              <w:rPr>
                <w:rFonts w:ascii="宋体" w:hAnsi="宋体" w:eastAsia="宋体" w:cs="宋体"/>
                <w:b w:val="0"/>
              </w:rPr>
              <w:t>-</w:t>
            </w:r>
          </w:p>
        </w:tc>
        <w:tc>
          <w:tcPr>
            <w:tcW w:w="0" w:type="dxa"/>
            <w:vAlign w:val="center"/>
          </w:tcPr>
          <w:p w14:paraId="57231F19">
            <w:pPr>
              <w:spacing w:line="240" w:lineRule="auto"/>
              <w:jc w:val="right"/>
            </w:pPr>
            <w:r>
              <w:rPr>
                <w:rFonts w:ascii="宋体" w:hAnsi="宋体" w:eastAsia="宋体" w:cs="宋体"/>
                <w:b w:val="0"/>
              </w:rPr>
              <w:t>-</w:t>
            </w:r>
          </w:p>
        </w:tc>
        <w:tc>
          <w:tcPr>
            <w:tcW w:w="0" w:type="dxa"/>
            <w:vAlign w:val="center"/>
          </w:tcPr>
          <w:p w14:paraId="6091A7A5">
            <w:pPr>
              <w:spacing w:line="240" w:lineRule="auto"/>
              <w:jc w:val="right"/>
            </w:pPr>
            <w:r>
              <w:rPr>
                <w:rFonts w:ascii="宋体" w:hAnsi="宋体" w:eastAsia="宋体" w:cs="宋体"/>
                <w:b w:val="0"/>
              </w:rPr>
              <w:t>29.81</w:t>
            </w:r>
          </w:p>
        </w:tc>
        <w:tc>
          <w:tcPr>
            <w:tcW w:w="0" w:type="dxa"/>
            <w:vAlign w:val="center"/>
          </w:tcPr>
          <w:p w14:paraId="64C02C6A">
            <w:pPr>
              <w:spacing w:line="240" w:lineRule="auto"/>
              <w:jc w:val="right"/>
            </w:pPr>
            <w:r>
              <w:rPr>
                <w:rFonts w:ascii="宋体" w:hAnsi="宋体" w:eastAsia="宋体" w:cs="宋体"/>
                <w:b w:val="0"/>
              </w:rPr>
              <w:t>29.81</w:t>
            </w:r>
          </w:p>
        </w:tc>
      </w:tr>
      <w:tr w14:paraId="4CBC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A95F39">
            <w:pPr>
              <w:spacing w:line="240" w:lineRule="auto"/>
              <w:jc w:val="center"/>
            </w:pPr>
            <w:r>
              <w:rPr>
                <w:rFonts w:ascii="宋体" w:hAnsi="宋体" w:eastAsia="宋体" w:cs="宋体"/>
                <w:b w:val="0"/>
              </w:rPr>
              <w:t>其他负债</w:t>
            </w:r>
          </w:p>
        </w:tc>
        <w:tc>
          <w:tcPr>
            <w:tcW w:w="0" w:type="dxa"/>
            <w:vAlign w:val="center"/>
          </w:tcPr>
          <w:p w14:paraId="5F348CF8">
            <w:pPr>
              <w:spacing w:line="240" w:lineRule="auto"/>
              <w:jc w:val="right"/>
            </w:pPr>
            <w:r>
              <w:rPr>
                <w:rFonts w:ascii="宋体" w:hAnsi="宋体" w:eastAsia="宋体" w:cs="宋体"/>
                <w:b w:val="0"/>
              </w:rPr>
              <w:t>-</w:t>
            </w:r>
          </w:p>
        </w:tc>
        <w:tc>
          <w:tcPr>
            <w:tcW w:w="0" w:type="dxa"/>
            <w:vAlign w:val="center"/>
          </w:tcPr>
          <w:p w14:paraId="0815FBA6">
            <w:pPr>
              <w:spacing w:line="240" w:lineRule="auto"/>
              <w:jc w:val="right"/>
            </w:pPr>
            <w:r>
              <w:rPr>
                <w:rFonts w:ascii="宋体" w:hAnsi="宋体" w:eastAsia="宋体" w:cs="宋体"/>
                <w:b w:val="0"/>
              </w:rPr>
              <w:t>-</w:t>
            </w:r>
          </w:p>
        </w:tc>
        <w:tc>
          <w:tcPr>
            <w:tcW w:w="0" w:type="dxa"/>
            <w:vAlign w:val="center"/>
          </w:tcPr>
          <w:p w14:paraId="2A915589">
            <w:pPr>
              <w:spacing w:line="240" w:lineRule="auto"/>
              <w:jc w:val="right"/>
            </w:pPr>
            <w:r>
              <w:rPr>
                <w:rFonts w:ascii="宋体" w:hAnsi="宋体" w:eastAsia="宋体" w:cs="宋体"/>
                <w:b w:val="0"/>
              </w:rPr>
              <w:t>-</w:t>
            </w:r>
          </w:p>
        </w:tc>
        <w:tc>
          <w:tcPr>
            <w:tcW w:w="0" w:type="dxa"/>
            <w:vAlign w:val="center"/>
          </w:tcPr>
          <w:p w14:paraId="5E47776F">
            <w:pPr>
              <w:spacing w:line="240" w:lineRule="auto"/>
              <w:jc w:val="right"/>
            </w:pPr>
            <w:r>
              <w:rPr>
                <w:rFonts w:ascii="宋体" w:hAnsi="宋体" w:eastAsia="宋体" w:cs="宋体"/>
                <w:b w:val="0"/>
              </w:rPr>
              <w:t>-</w:t>
            </w:r>
          </w:p>
        </w:tc>
        <w:tc>
          <w:tcPr>
            <w:tcW w:w="0" w:type="dxa"/>
            <w:vAlign w:val="center"/>
          </w:tcPr>
          <w:p w14:paraId="705CBBA8">
            <w:pPr>
              <w:spacing w:line="240" w:lineRule="auto"/>
              <w:jc w:val="right"/>
            </w:pPr>
            <w:r>
              <w:rPr>
                <w:rFonts w:ascii="宋体" w:hAnsi="宋体" w:eastAsia="宋体" w:cs="宋体"/>
                <w:b w:val="0"/>
              </w:rPr>
              <w:t>-</w:t>
            </w:r>
          </w:p>
        </w:tc>
        <w:tc>
          <w:tcPr>
            <w:tcW w:w="0" w:type="dxa"/>
            <w:vAlign w:val="center"/>
          </w:tcPr>
          <w:p w14:paraId="51DDC767">
            <w:pPr>
              <w:spacing w:line="240" w:lineRule="auto"/>
              <w:jc w:val="right"/>
            </w:pPr>
            <w:r>
              <w:rPr>
                <w:rFonts w:ascii="宋体" w:hAnsi="宋体" w:eastAsia="宋体" w:cs="宋体"/>
                <w:b w:val="0"/>
              </w:rPr>
              <w:t>5,012.21</w:t>
            </w:r>
          </w:p>
        </w:tc>
        <w:tc>
          <w:tcPr>
            <w:tcW w:w="0" w:type="dxa"/>
            <w:vAlign w:val="center"/>
          </w:tcPr>
          <w:p w14:paraId="7E66504B">
            <w:pPr>
              <w:spacing w:line="240" w:lineRule="auto"/>
              <w:jc w:val="right"/>
            </w:pPr>
            <w:r>
              <w:rPr>
                <w:rFonts w:ascii="宋体" w:hAnsi="宋体" w:eastAsia="宋体" w:cs="宋体"/>
                <w:b w:val="0"/>
              </w:rPr>
              <w:t>5,012.21</w:t>
            </w:r>
          </w:p>
        </w:tc>
      </w:tr>
      <w:tr w14:paraId="7EBF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6960CD">
            <w:pPr>
              <w:spacing w:line="240" w:lineRule="auto"/>
              <w:jc w:val="center"/>
            </w:pPr>
            <w:r>
              <w:rPr>
                <w:rFonts w:ascii="宋体" w:hAnsi="宋体" w:eastAsia="宋体" w:cs="宋体"/>
                <w:b w:val="0"/>
              </w:rPr>
              <w:t>负债总计</w:t>
            </w:r>
          </w:p>
        </w:tc>
        <w:tc>
          <w:tcPr>
            <w:tcW w:w="0" w:type="dxa"/>
            <w:vAlign w:val="center"/>
          </w:tcPr>
          <w:p w14:paraId="4ABBDD6A">
            <w:pPr>
              <w:spacing w:line="240" w:lineRule="auto"/>
              <w:jc w:val="right"/>
            </w:pPr>
            <w:r>
              <w:rPr>
                <w:rFonts w:ascii="宋体" w:hAnsi="宋体" w:eastAsia="宋体" w:cs="宋体"/>
                <w:b w:val="0"/>
              </w:rPr>
              <w:t>-376.82</w:t>
            </w:r>
          </w:p>
        </w:tc>
        <w:tc>
          <w:tcPr>
            <w:tcW w:w="0" w:type="dxa"/>
            <w:vAlign w:val="center"/>
          </w:tcPr>
          <w:p w14:paraId="4BA93D38">
            <w:pPr>
              <w:spacing w:line="240" w:lineRule="auto"/>
              <w:jc w:val="right"/>
            </w:pPr>
            <w:r>
              <w:rPr>
                <w:rFonts w:ascii="宋体" w:hAnsi="宋体" w:eastAsia="宋体" w:cs="宋体"/>
                <w:b w:val="0"/>
              </w:rPr>
              <w:t>-</w:t>
            </w:r>
          </w:p>
        </w:tc>
        <w:tc>
          <w:tcPr>
            <w:tcW w:w="0" w:type="dxa"/>
            <w:vAlign w:val="center"/>
          </w:tcPr>
          <w:p w14:paraId="606888F7">
            <w:pPr>
              <w:spacing w:line="240" w:lineRule="auto"/>
              <w:jc w:val="right"/>
            </w:pPr>
            <w:r>
              <w:rPr>
                <w:rFonts w:ascii="宋体" w:hAnsi="宋体" w:eastAsia="宋体" w:cs="宋体"/>
                <w:b w:val="0"/>
              </w:rPr>
              <w:t>-</w:t>
            </w:r>
          </w:p>
        </w:tc>
        <w:tc>
          <w:tcPr>
            <w:tcW w:w="0" w:type="dxa"/>
            <w:vAlign w:val="center"/>
          </w:tcPr>
          <w:p w14:paraId="3FFC61C6">
            <w:pPr>
              <w:spacing w:line="240" w:lineRule="auto"/>
              <w:jc w:val="right"/>
            </w:pPr>
            <w:r>
              <w:rPr>
                <w:rFonts w:ascii="宋体" w:hAnsi="宋体" w:eastAsia="宋体" w:cs="宋体"/>
                <w:b w:val="0"/>
              </w:rPr>
              <w:t>-</w:t>
            </w:r>
          </w:p>
        </w:tc>
        <w:tc>
          <w:tcPr>
            <w:tcW w:w="0" w:type="dxa"/>
            <w:vAlign w:val="center"/>
          </w:tcPr>
          <w:p w14:paraId="61E99181">
            <w:pPr>
              <w:spacing w:line="240" w:lineRule="auto"/>
              <w:jc w:val="right"/>
            </w:pPr>
            <w:r>
              <w:rPr>
                <w:rFonts w:ascii="宋体" w:hAnsi="宋体" w:eastAsia="宋体" w:cs="宋体"/>
                <w:b w:val="0"/>
              </w:rPr>
              <w:t>-</w:t>
            </w:r>
          </w:p>
        </w:tc>
        <w:tc>
          <w:tcPr>
            <w:tcW w:w="0" w:type="dxa"/>
            <w:vAlign w:val="center"/>
          </w:tcPr>
          <w:p w14:paraId="43321BE6">
            <w:pPr>
              <w:spacing w:line="240" w:lineRule="auto"/>
              <w:jc w:val="right"/>
            </w:pPr>
            <w:r>
              <w:rPr>
                <w:rFonts w:ascii="宋体" w:hAnsi="宋体" w:eastAsia="宋体" w:cs="宋体"/>
                <w:b w:val="0"/>
              </w:rPr>
              <w:t>3,981,768.09</w:t>
            </w:r>
          </w:p>
        </w:tc>
        <w:tc>
          <w:tcPr>
            <w:tcW w:w="0" w:type="dxa"/>
            <w:vAlign w:val="center"/>
          </w:tcPr>
          <w:p w14:paraId="166EC630">
            <w:pPr>
              <w:spacing w:line="240" w:lineRule="auto"/>
              <w:jc w:val="right"/>
            </w:pPr>
            <w:r>
              <w:rPr>
                <w:rFonts w:ascii="宋体" w:hAnsi="宋体" w:eastAsia="宋体" w:cs="宋体"/>
                <w:b w:val="0"/>
              </w:rPr>
              <w:t>3,981,391.27</w:t>
            </w:r>
          </w:p>
        </w:tc>
      </w:tr>
      <w:tr w14:paraId="33B2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256CE0">
            <w:pPr>
              <w:spacing w:line="240" w:lineRule="auto"/>
              <w:jc w:val="center"/>
            </w:pPr>
            <w:r>
              <w:rPr>
                <w:rFonts w:ascii="宋体" w:hAnsi="宋体" w:eastAsia="宋体" w:cs="宋体"/>
                <w:b w:val="0"/>
              </w:rPr>
              <w:t>利率敏感度缺口</w:t>
            </w:r>
          </w:p>
        </w:tc>
        <w:tc>
          <w:tcPr>
            <w:tcW w:w="0" w:type="dxa"/>
            <w:vAlign w:val="center"/>
          </w:tcPr>
          <w:p w14:paraId="3E36422D">
            <w:pPr>
              <w:spacing w:line="240" w:lineRule="auto"/>
              <w:jc w:val="right"/>
            </w:pPr>
            <w:r>
              <w:rPr>
                <w:rFonts w:ascii="宋体" w:hAnsi="宋体" w:eastAsia="宋体" w:cs="宋体"/>
                <w:b w:val="0"/>
              </w:rPr>
              <w:t>2,807,711.48</w:t>
            </w:r>
          </w:p>
        </w:tc>
        <w:tc>
          <w:tcPr>
            <w:tcW w:w="0" w:type="dxa"/>
            <w:vAlign w:val="center"/>
          </w:tcPr>
          <w:p w14:paraId="2EA8CE05">
            <w:pPr>
              <w:spacing w:line="240" w:lineRule="auto"/>
              <w:jc w:val="right"/>
            </w:pPr>
            <w:r>
              <w:rPr>
                <w:rFonts w:ascii="宋体" w:hAnsi="宋体" w:eastAsia="宋体" w:cs="宋体"/>
                <w:b w:val="0"/>
              </w:rPr>
              <w:t>-</w:t>
            </w:r>
          </w:p>
        </w:tc>
        <w:tc>
          <w:tcPr>
            <w:tcW w:w="0" w:type="dxa"/>
            <w:vAlign w:val="center"/>
          </w:tcPr>
          <w:p w14:paraId="56B21AB8">
            <w:pPr>
              <w:spacing w:line="240" w:lineRule="auto"/>
              <w:jc w:val="right"/>
            </w:pPr>
            <w:r>
              <w:rPr>
                <w:rFonts w:ascii="宋体" w:hAnsi="宋体" w:eastAsia="宋体" w:cs="宋体"/>
                <w:b w:val="0"/>
              </w:rPr>
              <w:t>2,006,498.08</w:t>
            </w:r>
          </w:p>
        </w:tc>
        <w:tc>
          <w:tcPr>
            <w:tcW w:w="0" w:type="dxa"/>
            <w:vAlign w:val="center"/>
          </w:tcPr>
          <w:p w14:paraId="655428F4">
            <w:pPr>
              <w:spacing w:line="240" w:lineRule="auto"/>
              <w:jc w:val="right"/>
            </w:pPr>
            <w:r>
              <w:rPr>
                <w:rFonts w:ascii="宋体" w:hAnsi="宋体" w:eastAsia="宋体" w:cs="宋体"/>
                <w:b w:val="0"/>
              </w:rPr>
              <w:t>-</w:t>
            </w:r>
          </w:p>
        </w:tc>
        <w:tc>
          <w:tcPr>
            <w:tcW w:w="0" w:type="dxa"/>
            <w:vAlign w:val="center"/>
          </w:tcPr>
          <w:p w14:paraId="37DA80E9">
            <w:pPr>
              <w:spacing w:line="240" w:lineRule="auto"/>
              <w:jc w:val="right"/>
            </w:pPr>
            <w:r>
              <w:rPr>
                <w:rFonts w:ascii="宋体" w:hAnsi="宋体" w:eastAsia="宋体" w:cs="宋体"/>
                <w:b w:val="0"/>
              </w:rPr>
              <w:t>-</w:t>
            </w:r>
          </w:p>
        </w:tc>
        <w:tc>
          <w:tcPr>
            <w:tcW w:w="0" w:type="dxa"/>
            <w:vAlign w:val="center"/>
          </w:tcPr>
          <w:p w14:paraId="7F2C6BD2">
            <w:pPr>
              <w:spacing w:line="240" w:lineRule="auto"/>
              <w:jc w:val="right"/>
            </w:pPr>
            <w:r>
              <w:rPr>
                <w:rFonts w:ascii="宋体" w:hAnsi="宋体" w:eastAsia="宋体" w:cs="宋体"/>
                <w:b w:val="0"/>
              </w:rPr>
              <w:t>54,358,560.75</w:t>
            </w:r>
          </w:p>
        </w:tc>
        <w:tc>
          <w:tcPr>
            <w:tcW w:w="0" w:type="dxa"/>
            <w:vAlign w:val="center"/>
          </w:tcPr>
          <w:p w14:paraId="795D1E63">
            <w:pPr>
              <w:spacing w:line="240" w:lineRule="auto"/>
              <w:jc w:val="right"/>
            </w:pPr>
            <w:r>
              <w:rPr>
                <w:rFonts w:ascii="宋体" w:hAnsi="宋体" w:eastAsia="宋体" w:cs="宋体"/>
                <w:b w:val="0"/>
              </w:rPr>
              <w:t>59,172,770.31</w:t>
            </w:r>
          </w:p>
        </w:tc>
      </w:tr>
    </w:tbl>
    <w:p w14:paraId="162DA66C">
      <w:r>
        <w:rPr>
          <w:rFonts w:ascii="宋体" w:hAnsi="宋体" w:eastAsia="宋体" w:cs="宋体"/>
          <w:b w:val="0"/>
        </w:rPr>
        <w:t>注：表中所示为本基金资产及负债的账面价值，并按照合约规定的利率重新定价日或到期日孰早者予以分类。</w:t>
      </w:r>
    </w:p>
    <w:p w14:paraId="7EDE2AC2"/>
    <w:p w14:paraId="560F3F80">
      <w:pPr>
        <w:pStyle w:val="58"/>
      </w:pPr>
      <w:r>
        <w:rPr>
          <w:rFonts w:ascii="宋体" w:hAnsi="宋体" w:eastAsia="宋体" w:cs="宋体"/>
          <w:b/>
        </w:rPr>
        <w:t>6.4.13.4.1.2 利率风险的敏感性分析</w:t>
      </w:r>
    </w:p>
    <w:p w14:paraId="0B5CA704">
      <w:r>
        <w:rPr>
          <w:rFonts w:ascii="宋体" w:hAnsi="宋体" w:eastAsia="宋体" w:cs="宋体"/>
          <w:b w:val="0"/>
        </w:rPr>
        <w:t xml:space="preserve">    于2026年06月30日，本基金持有的交易性债券投资公允价值占基金资产净值的比例为2.09%(2025年12月31日：5.41%），因此市场利率的变动对于本基金净资产无重大影响(2025年12月31日：同)。</w:t>
      </w:r>
    </w:p>
    <w:p w14:paraId="0390D644"/>
    <w:p w14:paraId="7A948FF9">
      <w:pPr>
        <w:pStyle w:val="58"/>
      </w:pPr>
      <w:r>
        <w:rPr>
          <w:rFonts w:ascii="宋体" w:hAnsi="宋体" w:eastAsia="宋体" w:cs="宋体"/>
          <w:b/>
        </w:rPr>
        <w:t>6.4.13.4.2 外汇风险</w:t>
      </w:r>
    </w:p>
    <w:p w14:paraId="76C5C37A">
      <w:pPr>
        <w:jc w:val="left"/>
      </w:pPr>
      <w:r>
        <w:rPr>
          <w:rFonts w:ascii="宋体" w:hAnsi="宋体" w:eastAsia="宋体" w:cs="宋体"/>
          <w:b w:val="0"/>
        </w:rPr>
        <w:t xml:space="preserve">    外汇风险是指金融工具的公允价值或未来现金流量因外汇汇率变动而发生波动的风险。本基金的所有资产及负债以人民币计价，因此无重大外汇风险。</w:t>
      </w:r>
    </w:p>
    <w:p w14:paraId="50077014"/>
    <w:p w14:paraId="56C4682A">
      <w:pPr>
        <w:pStyle w:val="58"/>
      </w:pPr>
      <w:r>
        <w:rPr>
          <w:rFonts w:ascii="宋体" w:hAnsi="宋体" w:eastAsia="宋体" w:cs="宋体"/>
          <w:b/>
        </w:rPr>
        <w:t>6.4.13.4.3 其他价格风险</w:t>
      </w:r>
    </w:p>
    <w:p w14:paraId="52063C10">
      <w:pPr>
        <w:jc w:val="left"/>
      </w:pPr>
      <w:r>
        <w:rPr>
          <w:rFonts w:ascii="宋体" w:hAnsi="宋体" w:eastAsia="宋体" w:cs="宋体"/>
          <w:b w:val="0"/>
        </w:rPr>
        <w:t xml:space="preserve">    其他价格风险是指基金所持金融工具的公允价值或未来现金流量因除市场利率和外汇汇率以外的市场价格因素变动而发生波动的风险。本基金主要投资于证券交易所上市的股票和债券，所面临的其他价格风险来源于单个证券发行主体自身经营情况或特殊事项的影响，也可能来源于证券市场整体波动的影响。</w:t>
      </w:r>
      <w:r>
        <w:rPr>
          <w:rFonts w:ascii="宋体" w:hAnsi="宋体" w:eastAsia="宋体" w:cs="宋体"/>
          <w:b w:val="0"/>
        </w:rPr>
        <w:br w:type="textWrapping"/>
      </w:r>
      <w:r>
        <w:rPr>
          <w:rFonts w:ascii="宋体" w:hAnsi="宋体" w:eastAsia="宋体" w:cs="宋体"/>
          <w:b w:val="0"/>
        </w:rPr>
        <w:t xml:space="preserve">    本基金的基金管理人在构建和管理投资组合的过程中，通过对宏观经济情况及政策的分析，结合证券市场运行情况，做出资产配置及组合构建的决定；通过对单个证券的定性分析及定量分析，选择符合基金合同约定范围的投资品种进行投资。本基金的基金管理人定期结合宏观及微观环境的变化，对投资策略、资产配置、投资组合进行修正，来主动应对可能发生的市场价格风险。</w:t>
      </w:r>
      <w:r>
        <w:rPr>
          <w:rFonts w:ascii="宋体" w:hAnsi="宋体" w:eastAsia="宋体" w:cs="宋体"/>
          <w:b w:val="0"/>
        </w:rPr>
        <w:br w:type="textWrapping"/>
      </w:r>
      <w:r>
        <w:rPr>
          <w:rFonts w:ascii="宋体" w:hAnsi="宋体" w:eastAsia="宋体" w:cs="宋体"/>
          <w:b w:val="0"/>
        </w:rPr>
        <w:t xml:space="preserve">    本基金通过投资组合的分散化降低其他价格风险。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14:paraId="5A0D299B"/>
    <w:p w14:paraId="13189D9A">
      <w:pPr>
        <w:pStyle w:val="58"/>
      </w:pPr>
      <w:r>
        <w:rPr>
          <w:rFonts w:ascii="宋体" w:hAnsi="宋体" w:eastAsia="宋体" w:cs="宋体"/>
          <w:b/>
        </w:rPr>
        <w:t>6.4.13.4.3.1 其他价格风险敞口</w:t>
      </w:r>
    </w:p>
    <w:p w14:paraId="59169BB3">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1686"/>
        <w:gridCol w:w="1594"/>
        <w:gridCol w:w="1581"/>
        <w:gridCol w:w="1594"/>
      </w:tblGrid>
      <w:tr w14:paraId="3898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6ED0CE8D">
            <w:pPr>
              <w:spacing w:line="240" w:lineRule="auto"/>
              <w:jc w:val="center"/>
            </w:pPr>
            <w:r>
              <w:rPr>
                <w:rFonts w:ascii="宋体" w:hAnsi="宋体" w:eastAsia="宋体" w:cs="宋体"/>
                <w:b w:val="0"/>
              </w:rPr>
              <w:t>项目</w:t>
            </w:r>
          </w:p>
        </w:tc>
        <w:tc>
          <w:tcPr>
            <w:tcW w:w="1538" w:type="pct"/>
            <w:gridSpan w:val="2"/>
            <w:shd w:val="clear" w:color="auto" w:fill="D9D9D9"/>
            <w:vAlign w:val="center"/>
          </w:tcPr>
          <w:p w14:paraId="3821AF60">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14:paraId="27D06141">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1C4D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55B9FC1"/>
        </w:tc>
        <w:tc>
          <w:tcPr>
            <w:tcW w:w="615" w:type="pct"/>
            <w:shd w:val="clear" w:color="auto" w:fill="D9D9D9"/>
            <w:vAlign w:val="center"/>
          </w:tcPr>
          <w:p w14:paraId="688074BA">
            <w:pPr>
              <w:spacing w:line="240" w:lineRule="auto"/>
              <w:jc w:val="center"/>
            </w:pPr>
            <w:r>
              <w:rPr>
                <w:rFonts w:ascii="宋体" w:hAnsi="宋体" w:eastAsia="宋体" w:cs="宋体"/>
                <w:b w:val="0"/>
              </w:rPr>
              <w:t>公允价值</w:t>
            </w:r>
          </w:p>
        </w:tc>
        <w:tc>
          <w:tcPr>
            <w:tcW w:w="923" w:type="pct"/>
            <w:shd w:val="clear" w:color="auto" w:fill="D9D9D9"/>
            <w:vAlign w:val="center"/>
          </w:tcPr>
          <w:p w14:paraId="45B24EEA">
            <w:pPr>
              <w:spacing w:line="240" w:lineRule="auto"/>
              <w:jc w:val="center"/>
            </w:pPr>
            <w:r>
              <w:rPr>
                <w:rFonts w:ascii="宋体" w:hAnsi="宋体" w:eastAsia="宋体" w:cs="宋体"/>
                <w:b w:val="0"/>
              </w:rPr>
              <w:t>占基金资产净值比例(%)</w:t>
            </w:r>
          </w:p>
        </w:tc>
        <w:tc>
          <w:tcPr>
            <w:tcW w:w="615" w:type="pct"/>
            <w:shd w:val="clear" w:color="auto" w:fill="D9D9D9"/>
            <w:vAlign w:val="center"/>
          </w:tcPr>
          <w:p w14:paraId="67A9400E">
            <w:pPr>
              <w:spacing w:line="240" w:lineRule="auto"/>
              <w:jc w:val="center"/>
            </w:pPr>
            <w:r>
              <w:rPr>
                <w:rFonts w:ascii="宋体" w:hAnsi="宋体" w:eastAsia="宋体" w:cs="宋体"/>
                <w:b w:val="0"/>
              </w:rPr>
              <w:t>公允价值</w:t>
            </w:r>
          </w:p>
        </w:tc>
        <w:tc>
          <w:tcPr>
            <w:tcW w:w="923" w:type="pct"/>
            <w:shd w:val="clear" w:color="auto" w:fill="D9D9D9"/>
            <w:vAlign w:val="center"/>
          </w:tcPr>
          <w:p w14:paraId="0EDB7907">
            <w:pPr>
              <w:spacing w:line="240" w:lineRule="auto"/>
              <w:jc w:val="center"/>
            </w:pPr>
            <w:r>
              <w:rPr>
                <w:rFonts w:ascii="宋体" w:hAnsi="宋体" w:eastAsia="宋体" w:cs="宋体"/>
                <w:b w:val="0"/>
              </w:rPr>
              <w:t>占基金资产净值比例(%)</w:t>
            </w:r>
          </w:p>
        </w:tc>
      </w:tr>
      <w:tr w14:paraId="4F6D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6DD658">
            <w:pPr>
              <w:spacing w:line="240" w:lineRule="auto"/>
              <w:jc w:val="left"/>
            </w:pPr>
            <w:r>
              <w:rPr>
                <w:rFonts w:ascii="宋体" w:hAnsi="宋体" w:eastAsia="宋体" w:cs="宋体"/>
                <w:b w:val="0"/>
              </w:rPr>
              <w:t>交易性金融资产－股票投资</w:t>
            </w:r>
          </w:p>
        </w:tc>
        <w:tc>
          <w:tcPr>
            <w:tcW w:w="0" w:type="dxa"/>
            <w:vAlign w:val="center"/>
          </w:tcPr>
          <w:p w14:paraId="6E4A0A2D">
            <w:pPr>
              <w:spacing w:line="240" w:lineRule="auto"/>
              <w:jc w:val="right"/>
            </w:pPr>
            <w:r>
              <w:rPr>
                <w:rFonts w:ascii="宋体" w:hAnsi="宋体" w:eastAsia="宋体" w:cs="宋体"/>
                <w:b w:val="0"/>
              </w:rPr>
              <w:t>726,911,909.88</w:t>
            </w:r>
          </w:p>
        </w:tc>
        <w:tc>
          <w:tcPr>
            <w:tcW w:w="0" w:type="dxa"/>
            <w:vAlign w:val="center"/>
          </w:tcPr>
          <w:p w14:paraId="0E248486">
            <w:pPr>
              <w:spacing w:line="240" w:lineRule="auto"/>
              <w:jc w:val="right"/>
            </w:pPr>
            <w:r>
              <w:rPr>
                <w:rFonts w:ascii="宋体" w:hAnsi="宋体" w:eastAsia="宋体" w:cs="宋体"/>
                <w:b w:val="0"/>
              </w:rPr>
              <w:t>77.84</w:t>
            </w:r>
          </w:p>
        </w:tc>
        <w:tc>
          <w:tcPr>
            <w:tcW w:w="0" w:type="dxa"/>
            <w:vAlign w:val="center"/>
          </w:tcPr>
          <w:p w14:paraId="7F1F3397">
            <w:pPr>
              <w:spacing w:line="240" w:lineRule="auto"/>
              <w:jc w:val="right"/>
            </w:pPr>
            <w:r>
              <w:rPr>
                <w:rFonts w:ascii="宋体" w:hAnsi="宋体" w:eastAsia="宋体" w:cs="宋体"/>
                <w:b w:val="0"/>
              </w:rPr>
              <w:t>55,604,897.97</w:t>
            </w:r>
          </w:p>
        </w:tc>
        <w:tc>
          <w:tcPr>
            <w:tcW w:w="0" w:type="dxa"/>
            <w:vAlign w:val="center"/>
          </w:tcPr>
          <w:p w14:paraId="56863D50">
            <w:pPr>
              <w:spacing w:line="240" w:lineRule="auto"/>
              <w:jc w:val="right"/>
            </w:pPr>
            <w:r>
              <w:rPr>
                <w:rFonts w:ascii="宋体" w:hAnsi="宋体" w:eastAsia="宋体" w:cs="宋体"/>
                <w:b w:val="0"/>
              </w:rPr>
              <w:t>93.97</w:t>
            </w:r>
          </w:p>
        </w:tc>
      </w:tr>
      <w:tr w14:paraId="12F8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DDBD35B">
            <w:pPr>
              <w:spacing w:line="240" w:lineRule="auto"/>
              <w:jc w:val="left"/>
            </w:pPr>
            <w:r>
              <w:rPr>
                <w:rFonts w:ascii="宋体" w:hAnsi="宋体" w:eastAsia="宋体" w:cs="宋体"/>
                <w:b w:val="0"/>
              </w:rPr>
              <w:t>交易性金融资产－基金投资</w:t>
            </w:r>
          </w:p>
        </w:tc>
        <w:tc>
          <w:tcPr>
            <w:tcW w:w="0" w:type="dxa"/>
            <w:vAlign w:val="center"/>
          </w:tcPr>
          <w:p w14:paraId="28D8AA53">
            <w:pPr>
              <w:spacing w:line="240" w:lineRule="auto"/>
              <w:jc w:val="right"/>
            </w:pPr>
            <w:r>
              <w:rPr>
                <w:rFonts w:ascii="宋体" w:hAnsi="宋体" w:eastAsia="宋体" w:cs="宋体"/>
                <w:b w:val="0"/>
              </w:rPr>
              <w:t>-</w:t>
            </w:r>
          </w:p>
        </w:tc>
        <w:tc>
          <w:tcPr>
            <w:tcW w:w="0" w:type="dxa"/>
            <w:vAlign w:val="center"/>
          </w:tcPr>
          <w:p w14:paraId="4152865C">
            <w:pPr>
              <w:spacing w:line="240" w:lineRule="auto"/>
              <w:jc w:val="right"/>
            </w:pPr>
            <w:r>
              <w:rPr>
                <w:rFonts w:ascii="宋体" w:hAnsi="宋体" w:eastAsia="宋体" w:cs="宋体"/>
                <w:b w:val="0"/>
              </w:rPr>
              <w:t>-</w:t>
            </w:r>
          </w:p>
        </w:tc>
        <w:tc>
          <w:tcPr>
            <w:tcW w:w="0" w:type="dxa"/>
            <w:vAlign w:val="center"/>
          </w:tcPr>
          <w:p w14:paraId="0A02722F">
            <w:pPr>
              <w:spacing w:line="240" w:lineRule="auto"/>
              <w:jc w:val="right"/>
            </w:pPr>
            <w:r>
              <w:rPr>
                <w:rFonts w:ascii="宋体" w:hAnsi="宋体" w:eastAsia="宋体" w:cs="宋体"/>
                <w:b w:val="0"/>
              </w:rPr>
              <w:t>-</w:t>
            </w:r>
          </w:p>
        </w:tc>
        <w:tc>
          <w:tcPr>
            <w:tcW w:w="0" w:type="dxa"/>
            <w:vAlign w:val="center"/>
          </w:tcPr>
          <w:p w14:paraId="45631FAD">
            <w:pPr>
              <w:spacing w:line="240" w:lineRule="auto"/>
              <w:jc w:val="right"/>
            </w:pPr>
            <w:r>
              <w:rPr>
                <w:rFonts w:ascii="宋体" w:hAnsi="宋体" w:eastAsia="宋体" w:cs="宋体"/>
                <w:b w:val="0"/>
              </w:rPr>
              <w:t>-</w:t>
            </w:r>
          </w:p>
        </w:tc>
      </w:tr>
      <w:tr w14:paraId="6F37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771224">
            <w:pPr>
              <w:spacing w:line="240" w:lineRule="auto"/>
              <w:jc w:val="left"/>
            </w:pPr>
            <w:r>
              <w:rPr>
                <w:rFonts w:ascii="宋体" w:hAnsi="宋体" w:eastAsia="宋体" w:cs="宋体"/>
                <w:b w:val="0"/>
              </w:rPr>
              <w:t>交易性金融资产－贵金属投资</w:t>
            </w:r>
          </w:p>
        </w:tc>
        <w:tc>
          <w:tcPr>
            <w:tcW w:w="0" w:type="dxa"/>
            <w:vAlign w:val="center"/>
          </w:tcPr>
          <w:p w14:paraId="6EB15E0A">
            <w:pPr>
              <w:spacing w:line="240" w:lineRule="auto"/>
              <w:jc w:val="right"/>
            </w:pPr>
            <w:r>
              <w:rPr>
                <w:rFonts w:ascii="宋体" w:hAnsi="宋体" w:eastAsia="宋体" w:cs="宋体"/>
                <w:b w:val="0"/>
              </w:rPr>
              <w:t>-</w:t>
            </w:r>
          </w:p>
        </w:tc>
        <w:tc>
          <w:tcPr>
            <w:tcW w:w="0" w:type="dxa"/>
            <w:vAlign w:val="center"/>
          </w:tcPr>
          <w:p w14:paraId="27E4A390">
            <w:pPr>
              <w:spacing w:line="240" w:lineRule="auto"/>
              <w:jc w:val="right"/>
            </w:pPr>
            <w:r>
              <w:rPr>
                <w:rFonts w:ascii="宋体" w:hAnsi="宋体" w:eastAsia="宋体" w:cs="宋体"/>
                <w:b w:val="0"/>
              </w:rPr>
              <w:t>-</w:t>
            </w:r>
          </w:p>
        </w:tc>
        <w:tc>
          <w:tcPr>
            <w:tcW w:w="0" w:type="dxa"/>
            <w:vAlign w:val="center"/>
          </w:tcPr>
          <w:p w14:paraId="331EDC60">
            <w:pPr>
              <w:spacing w:line="240" w:lineRule="auto"/>
              <w:jc w:val="right"/>
            </w:pPr>
            <w:r>
              <w:rPr>
                <w:rFonts w:ascii="宋体" w:hAnsi="宋体" w:eastAsia="宋体" w:cs="宋体"/>
                <w:b w:val="0"/>
              </w:rPr>
              <w:t>-</w:t>
            </w:r>
          </w:p>
        </w:tc>
        <w:tc>
          <w:tcPr>
            <w:tcW w:w="0" w:type="dxa"/>
            <w:vAlign w:val="center"/>
          </w:tcPr>
          <w:p w14:paraId="639290E9">
            <w:pPr>
              <w:spacing w:line="240" w:lineRule="auto"/>
              <w:jc w:val="right"/>
            </w:pPr>
            <w:r>
              <w:rPr>
                <w:rFonts w:ascii="宋体" w:hAnsi="宋体" w:eastAsia="宋体" w:cs="宋体"/>
                <w:b w:val="0"/>
              </w:rPr>
              <w:t>-</w:t>
            </w:r>
          </w:p>
        </w:tc>
      </w:tr>
      <w:tr w14:paraId="7E28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CDA6B4">
            <w:pPr>
              <w:spacing w:line="240" w:lineRule="auto"/>
              <w:jc w:val="left"/>
            </w:pPr>
            <w:r>
              <w:rPr>
                <w:rFonts w:ascii="宋体" w:hAnsi="宋体" w:eastAsia="宋体" w:cs="宋体"/>
                <w:b w:val="0"/>
              </w:rPr>
              <w:t>衍生金融资产－权证投资</w:t>
            </w:r>
          </w:p>
        </w:tc>
        <w:tc>
          <w:tcPr>
            <w:tcW w:w="0" w:type="dxa"/>
            <w:vAlign w:val="center"/>
          </w:tcPr>
          <w:p w14:paraId="568012EF">
            <w:pPr>
              <w:spacing w:line="240" w:lineRule="auto"/>
              <w:jc w:val="right"/>
            </w:pPr>
            <w:r>
              <w:rPr>
                <w:rFonts w:ascii="宋体" w:hAnsi="宋体" w:eastAsia="宋体" w:cs="宋体"/>
                <w:b w:val="0"/>
              </w:rPr>
              <w:t>-</w:t>
            </w:r>
          </w:p>
        </w:tc>
        <w:tc>
          <w:tcPr>
            <w:tcW w:w="0" w:type="dxa"/>
            <w:vAlign w:val="center"/>
          </w:tcPr>
          <w:p w14:paraId="3553F01F">
            <w:pPr>
              <w:spacing w:line="240" w:lineRule="auto"/>
              <w:jc w:val="right"/>
            </w:pPr>
            <w:r>
              <w:rPr>
                <w:rFonts w:ascii="宋体" w:hAnsi="宋体" w:eastAsia="宋体" w:cs="宋体"/>
                <w:b w:val="0"/>
              </w:rPr>
              <w:t>-</w:t>
            </w:r>
          </w:p>
        </w:tc>
        <w:tc>
          <w:tcPr>
            <w:tcW w:w="0" w:type="dxa"/>
            <w:vAlign w:val="center"/>
          </w:tcPr>
          <w:p w14:paraId="33EC5829">
            <w:pPr>
              <w:spacing w:line="240" w:lineRule="auto"/>
              <w:jc w:val="right"/>
            </w:pPr>
            <w:r>
              <w:rPr>
                <w:rFonts w:ascii="宋体" w:hAnsi="宋体" w:eastAsia="宋体" w:cs="宋体"/>
                <w:b w:val="0"/>
              </w:rPr>
              <w:t>-</w:t>
            </w:r>
          </w:p>
        </w:tc>
        <w:tc>
          <w:tcPr>
            <w:tcW w:w="0" w:type="dxa"/>
            <w:vAlign w:val="center"/>
          </w:tcPr>
          <w:p w14:paraId="58D61D22">
            <w:pPr>
              <w:spacing w:line="240" w:lineRule="auto"/>
              <w:jc w:val="right"/>
            </w:pPr>
            <w:r>
              <w:rPr>
                <w:rFonts w:ascii="宋体" w:hAnsi="宋体" w:eastAsia="宋体" w:cs="宋体"/>
                <w:b w:val="0"/>
              </w:rPr>
              <w:t>-</w:t>
            </w:r>
          </w:p>
        </w:tc>
      </w:tr>
      <w:tr w14:paraId="1ED4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EE9081">
            <w:pPr>
              <w:spacing w:line="240" w:lineRule="auto"/>
              <w:jc w:val="left"/>
            </w:pPr>
            <w:r>
              <w:rPr>
                <w:rFonts w:ascii="宋体" w:hAnsi="宋体" w:eastAsia="宋体" w:cs="宋体"/>
                <w:b w:val="0"/>
              </w:rPr>
              <w:t>其他</w:t>
            </w:r>
          </w:p>
        </w:tc>
        <w:tc>
          <w:tcPr>
            <w:tcW w:w="0" w:type="dxa"/>
            <w:vAlign w:val="center"/>
          </w:tcPr>
          <w:p w14:paraId="4C4CF638">
            <w:pPr>
              <w:spacing w:line="240" w:lineRule="auto"/>
              <w:jc w:val="right"/>
            </w:pPr>
            <w:r>
              <w:rPr>
                <w:rFonts w:ascii="宋体" w:hAnsi="宋体" w:eastAsia="宋体" w:cs="宋体"/>
                <w:b w:val="0"/>
              </w:rPr>
              <w:t>-</w:t>
            </w:r>
          </w:p>
        </w:tc>
        <w:tc>
          <w:tcPr>
            <w:tcW w:w="0" w:type="dxa"/>
            <w:vAlign w:val="center"/>
          </w:tcPr>
          <w:p w14:paraId="6D3369A6">
            <w:pPr>
              <w:spacing w:line="240" w:lineRule="auto"/>
              <w:jc w:val="right"/>
            </w:pPr>
            <w:r>
              <w:rPr>
                <w:rFonts w:ascii="宋体" w:hAnsi="宋体" w:eastAsia="宋体" w:cs="宋体"/>
                <w:b w:val="0"/>
              </w:rPr>
              <w:t>-</w:t>
            </w:r>
          </w:p>
        </w:tc>
        <w:tc>
          <w:tcPr>
            <w:tcW w:w="0" w:type="dxa"/>
            <w:vAlign w:val="center"/>
          </w:tcPr>
          <w:p w14:paraId="1F954FC7">
            <w:pPr>
              <w:spacing w:line="240" w:lineRule="auto"/>
              <w:jc w:val="right"/>
            </w:pPr>
            <w:r>
              <w:rPr>
                <w:rFonts w:ascii="宋体" w:hAnsi="宋体" w:eastAsia="宋体" w:cs="宋体"/>
                <w:b w:val="0"/>
              </w:rPr>
              <w:t>-</w:t>
            </w:r>
          </w:p>
        </w:tc>
        <w:tc>
          <w:tcPr>
            <w:tcW w:w="0" w:type="dxa"/>
            <w:vAlign w:val="center"/>
          </w:tcPr>
          <w:p w14:paraId="5B2D4C1B">
            <w:pPr>
              <w:spacing w:line="240" w:lineRule="auto"/>
              <w:jc w:val="right"/>
            </w:pPr>
            <w:r>
              <w:rPr>
                <w:rFonts w:ascii="宋体" w:hAnsi="宋体" w:eastAsia="宋体" w:cs="宋体"/>
                <w:b w:val="0"/>
              </w:rPr>
              <w:t>-</w:t>
            </w:r>
          </w:p>
        </w:tc>
      </w:tr>
      <w:tr w14:paraId="6D93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F6895E">
            <w:pPr>
              <w:spacing w:line="240" w:lineRule="auto"/>
              <w:jc w:val="center"/>
            </w:pPr>
            <w:r>
              <w:rPr>
                <w:rFonts w:ascii="宋体" w:hAnsi="宋体" w:eastAsia="宋体" w:cs="宋体"/>
                <w:b w:val="0"/>
              </w:rPr>
              <w:t>合计</w:t>
            </w:r>
          </w:p>
        </w:tc>
        <w:tc>
          <w:tcPr>
            <w:tcW w:w="0" w:type="dxa"/>
            <w:vAlign w:val="center"/>
          </w:tcPr>
          <w:p w14:paraId="21455380">
            <w:pPr>
              <w:spacing w:line="240" w:lineRule="auto"/>
              <w:jc w:val="right"/>
            </w:pPr>
            <w:r>
              <w:rPr>
                <w:rFonts w:ascii="宋体" w:hAnsi="宋体" w:eastAsia="宋体" w:cs="宋体"/>
                <w:b w:val="0"/>
              </w:rPr>
              <w:t>726,911,909.88</w:t>
            </w:r>
          </w:p>
        </w:tc>
        <w:tc>
          <w:tcPr>
            <w:tcW w:w="0" w:type="dxa"/>
            <w:vAlign w:val="center"/>
          </w:tcPr>
          <w:p w14:paraId="6B6DD0CB">
            <w:pPr>
              <w:spacing w:line="240" w:lineRule="auto"/>
              <w:jc w:val="right"/>
            </w:pPr>
            <w:r>
              <w:rPr>
                <w:rFonts w:ascii="宋体" w:hAnsi="宋体" w:eastAsia="宋体" w:cs="宋体"/>
                <w:b w:val="0"/>
              </w:rPr>
              <w:t>77.84</w:t>
            </w:r>
          </w:p>
        </w:tc>
        <w:tc>
          <w:tcPr>
            <w:tcW w:w="0" w:type="dxa"/>
            <w:vAlign w:val="center"/>
          </w:tcPr>
          <w:p w14:paraId="72F68659">
            <w:pPr>
              <w:spacing w:line="240" w:lineRule="auto"/>
              <w:jc w:val="right"/>
            </w:pPr>
            <w:r>
              <w:rPr>
                <w:rFonts w:ascii="宋体" w:hAnsi="宋体" w:eastAsia="宋体" w:cs="宋体"/>
                <w:b w:val="0"/>
              </w:rPr>
              <w:t>55,604,897.97</w:t>
            </w:r>
          </w:p>
        </w:tc>
        <w:tc>
          <w:tcPr>
            <w:tcW w:w="0" w:type="dxa"/>
            <w:vAlign w:val="center"/>
          </w:tcPr>
          <w:p w14:paraId="52C7D4ED">
            <w:pPr>
              <w:spacing w:line="240" w:lineRule="auto"/>
              <w:jc w:val="right"/>
            </w:pPr>
            <w:r>
              <w:rPr>
                <w:rFonts w:ascii="宋体" w:hAnsi="宋体" w:eastAsia="宋体" w:cs="宋体"/>
                <w:b w:val="0"/>
              </w:rPr>
              <w:t>93.97</w:t>
            </w:r>
          </w:p>
        </w:tc>
      </w:tr>
    </w:tbl>
    <w:p w14:paraId="0249ED3E"/>
    <w:p w14:paraId="05C94043">
      <w:pPr>
        <w:pStyle w:val="58"/>
      </w:pPr>
      <w:r>
        <w:rPr>
          <w:rFonts w:ascii="宋体" w:hAnsi="宋体" w:eastAsia="宋体" w:cs="宋体"/>
          <w:b/>
        </w:rPr>
        <w:t>6.4.13.4.3.2 其他价格风险的敏感性分析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56"/>
        <w:gridCol w:w="2856"/>
        <w:gridCol w:w="2859"/>
      </w:tblGrid>
      <w:tr w14:paraId="5C9B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075C8570">
            <w:pPr>
              <w:spacing w:line="240" w:lineRule="auto"/>
              <w:jc w:val="center"/>
            </w:pPr>
            <w:r>
              <w:rPr>
                <w:rFonts w:ascii="宋体" w:hAnsi="宋体" w:eastAsia="宋体" w:cs="宋体"/>
                <w:b w:val="0"/>
              </w:rPr>
              <w:t>假设</w:t>
            </w:r>
          </w:p>
        </w:tc>
        <w:tc>
          <w:tcPr>
            <w:tcW w:w="4615" w:type="pct"/>
            <w:gridSpan w:val="3"/>
            <w:vAlign w:val="center"/>
          </w:tcPr>
          <w:p w14:paraId="2D6D66A0">
            <w:pPr>
              <w:spacing w:line="240" w:lineRule="auto"/>
              <w:jc w:val="left"/>
            </w:pPr>
            <w:r>
              <w:rPr>
                <w:rFonts w:ascii="宋体" w:hAnsi="宋体" w:eastAsia="宋体" w:cs="宋体"/>
                <w:b w:val="0"/>
              </w:rPr>
              <w:t>除沪深300指数以外的其他市场变量保持不变</w:t>
            </w:r>
          </w:p>
        </w:tc>
      </w:tr>
      <w:tr w14:paraId="4963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353F5997">
            <w:pPr>
              <w:spacing w:line="240" w:lineRule="auto"/>
              <w:jc w:val="center"/>
            </w:pPr>
            <w:r>
              <w:rPr>
                <w:rFonts w:ascii="宋体" w:hAnsi="宋体" w:eastAsia="宋体" w:cs="宋体"/>
                <w:b w:val="0"/>
              </w:rPr>
              <w:t>分析</w:t>
            </w:r>
          </w:p>
        </w:tc>
        <w:tc>
          <w:tcPr>
            <w:tcW w:w="1538" w:type="pct"/>
            <w:vMerge w:val="restart"/>
            <w:vAlign w:val="center"/>
          </w:tcPr>
          <w:p w14:paraId="3694DF97">
            <w:pPr>
              <w:spacing w:line="240" w:lineRule="auto"/>
              <w:jc w:val="center"/>
            </w:pPr>
            <w:r>
              <w:rPr>
                <w:rFonts w:ascii="宋体" w:hAnsi="宋体" w:eastAsia="宋体" w:cs="宋体"/>
                <w:b w:val="0"/>
              </w:rPr>
              <w:t>相关风险变量的变动</w:t>
            </w:r>
          </w:p>
        </w:tc>
        <w:tc>
          <w:tcPr>
            <w:tcW w:w="3077" w:type="pct"/>
            <w:gridSpan w:val="2"/>
            <w:vAlign w:val="center"/>
          </w:tcPr>
          <w:p w14:paraId="740E45D9">
            <w:pPr>
              <w:spacing w:line="240" w:lineRule="auto"/>
              <w:jc w:val="center"/>
            </w:pPr>
            <w:r>
              <w:rPr>
                <w:rFonts w:ascii="宋体" w:hAnsi="宋体" w:eastAsia="宋体" w:cs="宋体"/>
                <w:b w:val="0"/>
              </w:rPr>
              <w:t>对资产负债表日基金资产净值的影响金额</w:t>
            </w:r>
            <w:r>
              <w:br w:type="textWrapping"/>
            </w:r>
            <w:r>
              <w:rPr>
                <w:rFonts w:ascii="宋体" w:hAnsi="宋体" w:eastAsia="宋体" w:cs="宋体"/>
                <w:b w:val="0"/>
              </w:rPr>
              <w:t>（单位：人民币元）</w:t>
            </w:r>
          </w:p>
        </w:tc>
      </w:tr>
      <w:tr w14:paraId="2FF1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6FA5B87"/>
        </w:tc>
        <w:tc>
          <w:tcPr>
            <w:vMerge w:val="continue"/>
          </w:tcPr>
          <w:p w14:paraId="5CD88DC1"/>
        </w:tc>
        <w:tc>
          <w:tcPr>
            <w:tcW w:w="1538" w:type="pct"/>
            <w:vAlign w:val="center"/>
          </w:tcPr>
          <w:p w14:paraId="59C7F1EE">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vAlign w:val="center"/>
          </w:tcPr>
          <w:p w14:paraId="5958B192">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4FF8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395ECEA"/>
        </w:tc>
        <w:tc>
          <w:tcPr>
            <w:tcW w:w="0" w:type="dxa"/>
            <w:vAlign w:val="center"/>
          </w:tcPr>
          <w:p w14:paraId="44BCA0A7">
            <w:pPr>
              <w:spacing w:line="240" w:lineRule="auto"/>
              <w:jc w:val="left"/>
            </w:pPr>
            <w:r>
              <w:rPr>
                <w:rFonts w:ascii="宋体" w:hAnsi="宋体" w:eastAsia="宋体" w:cs="宋体"/>
                <w:b w:val="0"/>
              </w:rPr>
              <w:t>1.沪深300指数上升5%</w:t>
            </w:r>
          </w:p>
        </w:tc>
        <w:tc>
          <w:tcPr>
            <w:tcW w:w="0" w:type="dxa"/>
            <w:vAlign w:val="center"/>
          </w:tcPr>
          <w:p w14:paraId="03E8284F">
            <w:pPr>
              <w:spacing w:line="240" w:lineRule="auto"/>
              <w:jc w:val="right"/>
            </w:pPr>
            <w:r>
              <w:rPr>
                <w:rFonts w:ascii="宋体" w:hAnsi="宋体" w:eastAsia="宋体" w:cs="宋体"/>
                <w:b w:val="0"/>
              </w:rPr>
              <w:t>58,981,605.76</w:t>
            </w:r>
          </w:p>
        </w:tc>
        <w:tc>
          <w:tcPr>
            <w:tcW w:w="0" w:type="dxa"/>
            <w:vAlign w:val="center"/>
          </w:tcPr>
          <w:p w14:paraId="60279D1A">
            <w:pPr>
              <w:spacing w:line="240" w:lineRule="auto"/>
              <w:jc w:val="right"/>
            </w:pPr>
            <w:r>
              <w:rPr>
                <w:rFonts w:ascii="宋体" w:hAnsi="宋体" w:eastAsia="宋体" w:cs="宋体"/>
                <w:b w:val="0"/>
              </w:rPr>
              <w:t>5,172,985.67</w:t>
            </w:r>
          </w:p>
        </w:tc>
      </w:tr>
      <w:tr w14:paraId="6782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02C250C"/>
        </w:tc>
        <w:tc>
          <w:tcPr>
            <w:tcW w:w="0" w:type="dxa"/>
            <w:vAlign w:val="center"/>
          </w:tcPr>
          <w:p w14:paraId="421DAB7C">
            <w:pPr>
              <w:spacing w:line="240" w:lineRule="auto"/>
              <w:jc w:val="left"/>
            </w:pPr>
            <w:r>
              <w:rPr>
                <w:rFonts w:ascii="宋体" w:hAnsi="宋体" w:eastAsia="宋体" w:cs="宋体"/>
                <w:b w:val="0"/>
              </w:rPr>
              <w:t>2.沪深300指数下降5%</w:t>
            </w:r>
          </w:p>
        </w:tc>
        <w:tc>
          <w:tcPr>
            <w:tcW w:w="0" w:type="dxa"/>
            <w:vAlign w:val="center"/>
          </w:tcPr>
          <w:p w14:paraId="3FD9EC9E">
            <w:pPr>
              <w:spacing w:line="240" w:lineRule="auto"/>
              <w:jc w:val="right"/>
            </w:pPr>
            <w:r>
              <w:rPr>
                <w:rFonts w:ascii="宋体" w:hAnsi="宋体" w:eastAsia="宋体" w:cs="宋体"/>
                <w:b w:val="0"/>
              </w:rPr>
              <w:t>-58,981,605.76</w:t>
            </w:r>
          </w:p>
        </w:tc>
        <w:tc>
          <w:tcPr>
            <w:tcW w:w="0" w:type="dxa"/>
            <w:vAlign w:val="center"/>
          </w:tcPr>
          <w:p w14:paraId="4A84F22E">
            <w:pPr>
              <w:spacing w:line="240" w:lineRule="auto"/>
              <w:jc w:val="right"/>
            </w:pPr>
            <w:r>
              <w:rPr>
                <w:rFonts w:ascii="宋体" w:hAnsi="宋体" w:eastAsia="宋体" w:cs="宋体"/>
                <w:b w:val="0"/>
              </w:rPr>
              <w:t>-5,172,985.67</w:t>
            </w:r>
          </w:p>
        </w:tc>
      </w:tr>
    </w:tbl>
    <w:p w14:paraId="5618AE7E"/>
    <w:p w14:paraId="702C89BC">
      <w:pPr>
        <w:pStyle w:val="58"/>
      </w:pPr>
      <w:r>
        <w:rPr>
          <w:rFonts w:ascii="宋体" w:hAnsi="宋体" w:eastAsia="宋体" w:cs="宋体"/>
          <w:b/>
        </w:rPr>
        <w:t>6.4.14 公允价值</w:t>
      </w:r>
    </w:p>
    <w:p w14:paraId="7B432AC4">
      <w:pPr>
        <w:pStyle w:val="58"/>
      </w:pPr>
      <w:r>
        <w:rPr>
          <w:rFonts w:ascii="宋体" w:hAnsi="宋体" w:eastAsia="宋体" w:cs="宋体"/>
          <w:b/>
        </w:rPr>
        <w:t>6.4.14.1 金融工具公允价值计量的方法</w:t>
      </w:r>
    </w:p>
    <w:p w14:paraId="05066D7E">
      <w:r>
        <w:rPr>
          <w:rFonts w:ascii="宋体" w:hAnsi="宋体" w:eastAsia="宋体" w:cs="宋体"/>
          <w:b w:val="0"/>
        </w:rPr>
        <w:t xml:space="preserve">    公允价值计量结果所属的层次，由对公允价值计量整体而言具有重要意义的输入值所属的最低层次决定：</w:t>
      </w:r>
      <w:r>
        <w:rPr>
          <w:rFonts w:ascii="宋体" w:hAnsi="宋体" w:eastAsia="宋体" w:cs="宋体"/>
          <w:b w:val="0"/>
        </w:rPr>
        <w:br w:type="textWrapping"/>
      </w:r>
      <w:r>
        <w:rPr>
          <w:rFonts w:ascii="宋体" w:hAnsi="宋体" w:eastAsia="宋体" w:cs="宋体"/>
          <w:b w:val="0"/>
        </w:rPr>
        <w:t xml:space="preserve">    第一层次：相同资产或负债在活跃市场上未经调整的报价。</w:t>
      </w:r>
      <w:r>
        <w:rPr>
          <w:rFonts w:ascii="宋体" w:hAnsi="宋体" w:eastAsia="宋体" w:cs="宋体"/>
          <w:b w:val="0"/>
        </w:rPr>
        <w:br w:type="textWrapping"/>
      </w:r>
      <w:r>
        <w:rPr>
          <w:rFonts w:ascii="宋体" w:hAnsi="宋体" w:eastAsia="宋体" w:cs="宋体"/>
          <w:b w:val="0"/>
        </w:rPr>
        <w:t xml:space="preserve">    第二层次：除第一层次输入值外相关资产或负债直接或间接可观察的输入值。</w:t>
      </w:r>
      <w:r>
        <w:rPr>
          <w:rFonts w:ascii="宋体" w:hAnsi="宋体" w:eastAsia="宋体" w:cs="宋体"/>
          <w:b w:val="0"/>
        </w:rPr>
        <w:br w:type="textWrapping"/>
      </w:r>
      <w:r>
        <w:rPr>
          <w:rFonts w:ascii="宋体" w:hAnsi="宋体" w:eastAsia="宋体" w:cs="宋体"/>
          <w:b w:val="0"/>
        </w:rPr>
        <w:t xml:space="preserve">    第三层次：相关资产或负债的不可观察输入值。</w:t>
      </w:r>
    </w:p>
    <w:p w14:paraId="7752FBE7"/>
    <w:p w14:paraId="4067F878">
      <w:pPr>
        <w:pStyle w:val="58"/>
      </w:pPr>
      <w:r>
        <w:rPr>
          <w:rFonts w:ascii="宋体" w:hAnsi="宋体" w:eastAsia="宋体" w:cs="宋体"/>
          <w:b/>
        </w:rPr>
        <w:t>6.4.14.2 持续的以公允价值计量的金融工具</w:t>
      </w:r>
    </w:p>
    <w:p w14:paraId="259EACA6">
      <w:pPr>
        <w:pStyle w:val="58"/>
      </w:pPr>
      <w:r>
        <w:rPr>
          <w:rFonts w:ascii="宋体" w:hAnsi="宋体" w:eastAsia="宋体" w:cs="宋体"/>
          <w:b/>
        </w:rPr>
        <w:t>6.4.14.2.1 各层次金融工具的公允价值</w:t>
      </w:r>
    </w:p>
    <w:p w14:paraId="2652CC32">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2"/>
        <w:gridCol w:w="2857"/>
        <w:gridCol w:w="2857"/>
      </w:tblGrid>
      <w:tr w14:paraId="1704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shd w:val="clear" w:color="auto" w:fill="D9D9D9"/>
            <w:vAlign w:val="center"/>
          </w:tcPr>
          <w:p w14:paraId="5D9515F5">
            <w:pPr>
              <w:spacing w:line="240" w:lineRule="auto"/>
              <w:jc w:val="center"/>
            </w:pPr>
            <w:r>
              <w:rPr>
                <w:rFonts w:ascii="宋体" w:hAnsi="宋体" w:eastAsia="宋体" w:cs="宋体"/>
                <w:b w:val="0"/>
              </w:rPr>
              <w:t>公允价值计量结果所属的层次</w:t>
            </w:r>
          </w:p>
        </w:tc>
        <w:tc>
          <w:tcPr>
            <w:tcW w:w="1538" w:type="pct"/>
            <w:shd w:val="clear" w:color="auto" w:fill="D9D9D9"/>
            <w:vAlign w:val="center"/>
          </w:tcPr>
          <w:p w14:paraId="5E9E2BCD">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shd w:val="clear" w:color="auto" w:fill="D9D9D9"/>
            <w:vAlign w:val="center"/>
          </w:tcPr>
          <w:p w14:paraId="79923CEC">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6F60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20869BE3">
            <w:pPr>
              <w:spacing w:line="240" w:lineRule="auto"/>
              <w:jc w:val="left"/>
            </w:pPr>
            <w:r>
              <w:rPr>
                <w:rFonts w:ascii="宋体" w:hAnsi="宋体" w:eastAsia="宋体" w:cs="宋体"/>
                <w:b w:val="0"/>
              </w:rPr>
              <w:t>第一层次</w:t>
            </w:r>
          </w:p>
        </w:tc>
        <w:tc>
          <w:tcPr>
            <w:tcW w:w="1538" w:type="pct"/>
            <w:vAlign w:val="center"/>
          </w:tcPr>
          <w:p w14:paraId="472D8718">
            <w:pPr>
              <w:spacing w:line="240" w:lineRule="auto"/>
              <w:jc w:val="right"/>
            </w:pPr>
            <w:r>
              <w:rPr>
                <w:rFonts w:ascii="宋体" w:hAnsi="宋体" w:eastAsia="宋体" w:cs="宋体"/>
                <w:b w:val="0"/>
              </w:rPr>
              <w:t>675,576,074.64</w:t>
            </w:r>
          </w:p>
        </w:tc>
        <w:tc>
          <w:tcPr>
            <w:tcW w:w="1538" w:type="pct"/>
            <w:vAlign w:val="center"/>
          </w:tcPr>
          <w:p w14:paraId="07171FB2">
            <w:pPr>
              <w:spacing w:line="240" w:lineRule="auto"/>
              <w:jc w:val="right"/>
            </w:pPr>
            <w:r>
              <w:rPr>
                <w:rFonts w:ascii="宋体" w:hAnsi="宋体" w:eastAsia="宋体" w:cs="宋体"/>
                <w:b w:val="0"/>
              </w:rPr>
              <w:t>52,867,277.97</w:t>
            </w:r>
          </w:p>
        </w:tc>
      </w:tr>
      <w:tr w14:paraId="70A2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26F57BA0">
            <w:pPr>
              <w:spacing w:line="240" w:lineRule="auto"/>
              <w:jc w:val="left"/>
            </w:pPr>
            <w:r>
              <w:rPr>
                <w:rFonts w:ascii="宋体" w:hAnsi="宋体" w:eastAsia="宋体" w:cs="宋体"/>
                <w:b w:val="0"/>
              </w:rPr>
              <w:t>第二层次</w:t>
            </w:r>
          </w:p>
        </w:tc>
        <w:tc>
          <w:tcPr>
            <w:tcW w:w="1538" w:type="pct"/>
            <w:vAlign w:val="center"/>
          </w:tcPr>
          <w:p w14:paraId="48B77567">
            <w:pPr>
              <w:spacing w:line="240" w:lineRule="auto"/>
              <w:jc w:val="right"/>
            </w:pPr>
            <w:r>
              <w:rPr>
                <w:rFonts w:ascii="宋体" w:hAnsi="宋体" w:eastAsia="宋体" w:cs="宋体"/>
                <w:b w:val="0"/>
              </w:rPr>
              <w:t>70,759,524.68</w:t>
            </w:r>
          </w:p>
        </w:tc>
        <w:tc>
          <w:tcPr>
            <w:tcW w:w="1538" w:type="pct"/>
            <w:vAlign w:val="center"/>
          </w:tcPr>
          <w:p w14:paraId="48FC2148">
            <w:pPr>
              <w:spacing w:line="240" w:lineRule="auto"/>
              <w:jc w:val="right"/>
            </w:pPr>
            <w:r>
              <w:rPr>
                <w:rFonts w:ascii="宋体" w:hAnsi="宋体" w:eastAsia="宋体" w:cs="宋体"/>
                <w:b w:val="0"/>
              </w:rPr>
              <w:t>5,940,314.53</w:t>
            </w:r>
          </w:p>
        </w:tc>
      </w:tr>
      <w:tr w14:paraId="3064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70C240DB">
            <w:pPr>
              <w:spacing w:line="240" w:lineRule="auto"/>
              <w:jc w:val="left"/>
            </w:pPr>
            <w:r>
              <w:rPr>
                <w:rFonts w:ascii="宋体" w:hAnsi="宋体" w:eastAsia="宋体" w:cs="宋体"/>
                <w:b w:val="0"/>
              </w:rPr>
              <w:t>第三层次</w:t>
            </w:r>
          </w:p>
        </w:tc>
        <w:tc>
          <w:tcPr>
            <w:tcW w:w="1538" w:type="pct"/>
            <w:vAlign w:val="center"/>
          </w:tcPr>
          <w:p w14:paraId="6B70BA6C">
            <w:pPr>
              <w:spacing w:line="240" w:lineRule="auto"/>
              <w:jc w:val="right"/>
            </w:pPr>
            <w:r>
              <w:rPr>
                <w:rFonts w:ascii="宋体" w:hAnsi="宋体" w:eastAsia="宋体" w:cs="宋体"/>
                <w:b w:val="0"/>
              </w:rPr>
              <w:t>123,441.93</w:t>
            </w:r>
          </w:p>
        </w:tc>
        <w:tc>
          <w:tcPr>
            <w:tcW w:w="1538" w:type="pct"/>
            <w:vAlign w:val="center"/>
          </w:tcPr>
          <w:p w14:paraId="19439585">
            <w:pPr>
              <w:spacing w:line="240" w:lineRule="auto"/>
              <w:jc w:val="right"/>
            </w:pPr>
            <w:r>
              <w:rPr>
                <w:rFonts w:ascii="宋体" w:hAnsi="宋体" w:eastAsia="宋体" w:cs="宋体"/>
                <w:b w:val="0"/>
              </w:rPr>
              <w:t>-</w:t>
            </w:r>
          </w:p>
        </w:tc>
      </w:tr>
      <w:tr w14:paraId="28B1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7FCFB6C7">
            <w:pPr>
              <w:spacing w:line="240" w:lineRule="auto"/>
              <w:jc w:val="center"/>
            </w:pPr>
            <w:r>
              <w:rPr>
                <w:rFonts w:ascii="宋体" w:hAnsi="宋体" w:eastAsia="宋体" w:cs="宋体"/>
                <w:b w:val="0"/>
              </w:rPr>
              <w:t>合计</w:t>
            </w:r>
          </w:p>
        </w:tc>
        <w:tc>
          <w:tcPr>
            <w:tcW w:w="1538" w:type="pct"/>
            <w:vAlign w:val="center"/>
          </w:tcPr>
          <w:p w14:paraId="6A7D1FC1">
            <w:pPr>
              <w:spacing w:line="240" w:lineRule="auto"/>
              <w:jc w:val="right"/>
            </w:pPr>
            <w:r>
              <w:rPr>
                <w:rFonts w:ascii="宋体" w:hAnsi="宋体" w:eastAsia="宋体" w:cs="宋体"/>
                <w:b w:val="0"/>
              </w:rPr>
              <w:t>746,459,041.25</w:t>
            </w:r>
          </w:p>
        </w:tc>
        <w:tc>
          <w:tcPr>
            <w:tcW w:w="1538" w:type="pct"/>
            <w:vAlign w:val="center"/>
          </w:tcPr>
          <w:p w14:paraId="760A0077">
            <w:pPr>
              <w:spacing w:line="240" w:lineRule="auto"/>
              <w:jc w:val="right"/>
            </w:pPr>
            <w:r>
              <w:rPr>
                <w:rFonts w:ascii="宋体" w:hAnsi="宋体" w:eastAsia="宋体" w:cs="宋体"/>
                <w:b w:val="0"/>
              </w:rPr>
              <w:t>58,807,592.50</w:t>
            </w:r>
          </w:p>
        </w:tc>
      </w:tr>
    </w:tbl>
    <w:p w14:paraId="5223DFE2"/>
    <w:p w14:paraId="6C651248">
      <w:pPr>
        <w:pStyle w:val="58"/>
      </w:pPr>
      <w:r>
        <w:rPr>
          <w:rFonts w:ascii="宋体" w:hAnsi="宋体" w:eastAsia="宋体" w:cs="宋体"/>
          <w:b/>
        </w:rPr>
        <w:t>6.4.14.2.2 公允价值所属层次间的重大变动</w:t>
      </w:r>
    </w:p>
    <w:p w14:paraId="28B7EEF8">
      <w:r>
        <w:rPr>
          <w:rFonts w:ascii="宋体" w:hAnsi="宋体" w:eastAsia="宋体" w:cs="宋体"/>
          <w:b w:val="0"/>
        </w:rPr>
        <w:t xml:space="preserve">    本基金以导致各层次之间转换的事项发生日为确认各层次之间转换的时点。</w:t>
      </w:r>
      <w:r>
        <w:rPr>
          <w:rFonts w:ascii="宋体" w:hAnsi="宋体" w:eastAsia="宋体" w:cs="宋体"/>
          <w:b w:val="0"/>
        </w:rPr>
        <w:br w:type="textWrapping"/>
      </w:r>
      <w:r>
        <w:rPr>
          <w:rFonts w:ascii="宋体" w:hAnsi="宋体" w:eastAsia="宋体" w:cs="宋体"/>
          <w:b w:val="0"/>
        </w:rPr>
        <w:t xml:space="preserve">    对于证券交易所上市的股票和债券，若出现重大事项停牌、交易不活跃(包括涨跌停时的交易不活跃)、或属于非公开发行等情况，本基金不会于停牌日至交易恢复活跃日期间、交易不活跃期间及限售期间将相关股票和债券的公允价值列入第一层次；并根据估值调整中采用的不可观察输入值对于公允价值的影响程度，确定相关股票和债券公允价值应属第二层次还是第三层次。</w:t>
      </w:r>
    </w:p>
    <w:p w14:paraId="17EA1F5D"/>
    <w:p w14:paraId="2620900F">
      <w:pPr>
        <w:pStyle w:val="58"/>
      </w:pPr>
      <w:r>
        <w:rPr>
          <w:rFonts w:ascii="宋体" w:hAnsi="宋体" w:eastAsia="宋体" w:cs="宋体"/>
          <w:b/>
        </w:rPr>
        <w:t>6.4.14.3 非持续的以公允价值计量的金融工具的说明</w:t>
      </w:r>
    </w:p>
    <w:p w14:paraId="7D59B70B">
      <w:r>
        <w:rPr>
          <w:rFonts w:ascii="宋体" w:hAnsi="宋体" w:eastAsia="宋体" w:cs="宋体"/>
          <w:b w:val="0"/>
        </w:rPr>
        <w:t xml:space="preserve">    于2026年06月30日，本基金未持有非持续的以公允价值计量的金融资产（2025年12月31日：同）。</w:t>
      </w:r>
    </w:p>
    <w:p w14:paraId="13D49DB8"/>
    <w:p w14:paraId="6D669918">
      <w:pPr>
        <w:pStyle w:val="58"/>
      </w:pPr>
      <w:r>
        <w:rPr>
          <w:rFonts w:ascii="宋体" w:hAnsi="宋体" w:eastAsia="宋体" w:cs="宋体"/>
          <w:b/>
        </w:rPr>
        <w:t>6.4.14.4 不以公允价值计量的金融工具的相关说明</w:t>
      </w:r>
    </w:p>
    <w:p w14:paraId="2AE3DE21">
      <w:r>
        <w:rPr>
          <w:rFonts w:ascii="宋体" w:hAnsi="宋体" w:eastAsia="宋体" w:cs="宋体"/>
          <w:b w:val="0"/>
        </w:rPr>
        <w:t xml:space="preserve">    不以公允价值计量的金融资产和负债主要包括应收款项和其他金融负债，其账面价值与公允价值相差很小。</w:t>
      </w:r>
    </w:p>
    <w:p w14:paraId="699A3DCF"/>
    <w:p w14:paraId="0CFCC039">
      <w:pPr>
        <w:pStyle w:val="58"/>
      </w:pPr>
      <w:r>
        <w:rPr>
          <w:rFonts w:ascii="宋体" w:hAnsi="宋体" w:eastAsia="宋体" w:cs="宋体"/>
          <w:b/>
        </w:rPr>
        <w:t>6.4.15 有助于理解和分析会计报表需要说明的其他事项</w:t>
      </w:r>
    </w:p>
    <w:p w14:paraId="51FE6873">
      <w:pPr>
        <w:jc w:val="left"/>
      </w:pPr>
      <w:r>
        <w:rPr>
          <w:rFonts w:ascii="宋体" w:hAnsi="宋体" w:eastAsia="宋体" w:cs="宋体"/>
          <w:b w:val="0"/>
        </w:rPr>
        <w:t xml:space="preserve">    截至资产负债表日本基金无需要说明的其他重要事项。</w:t>
      </w:r>
    </w:p>
    <w:p w14:paraId="6B138FD5">
      <w:pPr>
        <w:pStyle w:val="2"/>
        <w:jc w:val="center"/>
      </w:pPr>
      <w:bookmarkStart w:id="32" w:name="_Toc18975"/>
      <w:r>
        <w:rPr>
          <w:rFonts w:ascii="宋体" w:hAnsi="宋体" w:eastAsia="宋体" w:cs="宋体"/>
        </w:rPr>
        <w:t>§7 投资组合报告</w:t>
      </w:r>
      <w:bookmarkEnd w:id="32"/>
    </w:p>
    <w:p w14:paraId="7CF9397A">
      <w:pPr>
        <w:pStyle w:val="3"/>
        <w:jc w:val="left"/>
      </w:pPr>
      <w:bookmarkStart w:id="33" w:name="_Toc31434"/>
      <w:r>
        <w:rPr>
          <w:rFonts w:ascii="宋体" w:hAnsi="宋体" w:eastAsia="宋体" w:cs="宋体"/>
        </w:rPr>
        <w:t>7.1 期末基金资产组合情况</w:t>
      </w:r>
      <w:bookmarkEnd w:id="33"/>
    </w:p>
    <w:p w14:paraId="4E86FD90">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3307"/>
        <w:gridCol w:w="1686"/>
        <w:gridCol w:w="3307"/>
      </w:tblGrid>
      <w:tr w14:paraId="6129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14:paraId="2D184424">
            <w:pPr>
              <w:spacing w:line="240" w:lineRule="auto"/>
              <w:jc w:val="center"/>
            </w:pPr>
            <w:r>
              <w:rPr>
                <w:rFonts w:ascii="宋体" w:hAnsi="宋体" w:eastAsia="宋体" w:cs="宋体"/>
                <w:b w:val="0"/>
              </w:rPr>
              <w:t>序号</w:t>
            </w:r>
          </w:p>
        </w:tc>
        <w:tc>
          <w:tcPr>
            <w:tcW w:w="1538" w:type="pct"/>
            <w:shd w:val="clear" w:color="auto" w:fill="D9D9D9"/>
            <w:vAlign w:val="center"/>
          </w:tcPr>
          <w:p w14:paraId="6BF28811">
            <w:pPr>
              <w:spacing w:line="240" w:lineRule="auto"/>
              <w:jc w:val="center"/>
            </w:pPr>
            <w:r>
              <w:rPr>
                <w:rFonts w:ascii="宋体" w:hAnsi="宋体" w:eastAsia="宋体" w:cs="宋体"/>
                <w:b w:val="0"/>
              </w:rPr>
              <w:t>项目</w:t>
            </w:r>
          </w:p>
        </w:tc>
        <w:tc>
          <w:tcPr>
            <w:tcW w:w="769" w:type="pct"/>
            <w:shd w:val="clear" w:color="auto" w:fill="D9D9D9"/>
            <w:vAlign w:val="center"/>
          </w:tcPr>
          <w:p w14:paraId="63DA6D81">
            <w:pPr>
              <w:spacing w:line="240" w:lineRule="auto"/>
              <w:jc w:val="center"/>
            </w:pPr>
            <w:r>
              <w:rPr>
                <w:rFonts w:ascii="宋体" w:hAnsi="宋体" w:eastAsia="宋体" w:cs="宋体"/>
                <w:b w:val="0"/>
              </w:rPr>
              <w:t>金额</w:t>
            </w:r>
          </w:p>
        </w:tc>
        <w:tc>
          <w:tcPr>
            <w:tcW w:w="1538" w:type="pct"/>
            <w:shd w:val="clear" w:color="auto" w:fill="D9D9D9"/>
            <w:vAlign w:val="center"/>
          </w:tcPr>
          <w:p w14:paraId="144F1934">
            <w:pPr>
              <w:spacing w:line="240" w:lineRule="auto"/>
              <w:jc w:val="center"/>
            </w:pPr>
            <w:r>
              <w:rPr>
                <w:rFonts w:ascii="宋体" w:hAnsi="宋体" w:eastAsia="宋体" w:cs="宋体"/>
                <w:b w:val="0"/>
              </w:rPr>
              <w:t>占基金总资产的比例(%)</w:t>
            </w:r>
          </w:p>
        </w:tc>
      </w:tr>
      <w:tr w14:paraId="7AED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20445A">
            <w:pPr>
              <w:spacing w:line="240" w:lineRule="auto"/>
              <w:jc w:val="center"/>
            </w:pPr>
            <w:r>
              <w:rPr>
                <w:rFonts w:ascii="宋体" w:hAnsi="宋体" w:eastAsia="宋体" w:cs="宋体"/>
                <w:b w:val="0"/>
              </w:rPr>
              <w:t>1</w:t>
            </w:r>
          </w:p>
        </w:tc>
        <w:tc>
          <w:tcPr>
            <w:tcW w:w="0" w:type="dxa"/>
            <w:vAlign w:val="center"/>
          </w:tcPr>
          <w:p w14:paraId="4C8E4E3B">
            <w:pPr>
              <w:spacing w:line="240" w:lineRule="auto"/>
              <w:jc w:val="left"/>
            </w:pPr>
            <w:r>
              <w:rPr>
                <w:rFonts w:ascii="宋体" w:hAnsi="宋体" w:eastAsia="宋体" w:cs="宋体"/>
                <w:b w:val="0"/>
              </w:rPr>
              <w:t>权益投资</w:t>
            </w:r>
          </w:p>
        </w:tc>
        <w:tc>
          <w:tcPr>
            <w:tcW w:w="0" w:type="dxa"/>
            <w:vAlign w:val="center"/>
          </w:tcPr>
          <w:p w14:paraId="24E6247A">
            <w:pPr>
              <w:spacing w:line="240" w:lineRule="auto"/>
              <w:jc w:val="right"/>
            </w:pPr>
            <w:r>
              <w:rPr>
                <w:rFonts w:ascii="宋体" w:hAnsi="宋体" w:eastAsia="宋体" w:cs="宋体"/>
                <w:b w:val="0"/>
              </w:rPr>
              <w:t>726,911,909.88</w:t>
            </w:r>
          </w:p>
        </w:tc>
        <w:tc>
          <w:tcPr>
            <w:tcW w:w="0" w:type="dxa"/>
            <w:vAlign w:val="center"/>
          </w:tcPr>
          <w:p w14:paraId="61CCCCDB">
            <w:pPr>
              <w:spacing w:line="240" w:lineRule="auto"/>
              <w:jc w:val="right"/>
            </w:pPr>
            <w:r>
              <w:rPr>
                <w:rFonts w:ascii="宋体" w:hAnsi="宋体" w:eastAsia="宋体" w:cs="宋体"/>
                <w:b w:val="0"/>
              </w:rPr>
              <w:t>77.22</w:t>
            </w:r>
          </w:p>
        </w:tc>
      </w:tr>
      <w:tr w14:paraId="4D54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15DDA7">
            <w:pPr>
              <w:spacing w:line="240" w:lineRule="auto"/>
              <w:jc w:val="center"/>
            </w:pPr>
          </w:p>
        </w:tc>
        <w:tc>
          <w:tcPr>
            <w:tcW w:w="0" w:type="dxa"/>
            <w:vAlign w:val="center"/>
          </w:tcPr>
          <w:p w14:paraId="534188F9">
            <w:pPr>
              <w:spacing w:line="240" w:lineRule="auto"/>
              <w:jc w:val="left"/>
            </w:pPr>
            <w:r>
              <w:rPr>
                <w:rFonts w:ascii="宋体" w:hAnsi="宋体" w:eastAsia="宋体" w:cs="宋体"/>
                <w:b w:val="0"/>
              </w:rPr>
              <w:t>其中：股票</w:t>
            </w:r>
          </w:p>
        </w:tc>
        <w:tc>
          <w:tcPr>
            <w:tcW w:w="0" w:type="dxa"/>
            <w:vAlign w:val="center"/>
          </w:tcPr>
          <w:p w14:paraId="4E489CCE">
            <w:pPr>
              <w:spacing w:line="240" w:lineRule="auto"/>
              <w:jc w:val="right"/>
            </w:pPr>
            <w:r>
              <w:rPr>
                <w:rFonts w:ascii="宋体" w:hAnsi="宋体" w:eastAsia="宋体" w:cs="宋体"/>
                <w:b w:val="0"/>
              </w:rPr>
              <w:t>726,911,909.88</w:t>
            </w:r>
          </w:p>
        </w:tc>
        <w:tc>
          <w:tcPr>
            <w:tcW w:w="0" w:type="dxa"/>
            <w:vAlign w:val="center"/>
          </w:tcPr>
          <w:p w14:paraId="274F20DA">
            <w:pPr>
              <w:spacing w:line="240" w:lineRule="auto"/>
              <w:jc w:val="right"/>
            </w:pPr>
            <w:r>
              <w:rPr>
                <w:rFonts w:ascii="宋体" w:hAnsi="宋体" w:eastAsia="宋体" w:cs="宋体"/>
                <w:b w:val="0"/>
              </w:rPr>
              <w:t>77.22</w:t>
            </w:r>
          </w:p>
        </w:tc>
      </w:tr>
      <w:tr w14:paraId="1B17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6D5031F">
            <w:pPr>
              <w:spacing w:line="240" w:lineRule="auto"/>
              <w:jc w:val="center"/>
            </w:pPr>
            <w:r>
              <w:rPr>
                <w:rFonts w:ascii="宋体" w:hAnsi="宋体" w:eastAsia="宋体" w:cs="宋体"/>
                <w:b w:val="0"/>
              </w:rPr>
              <w:t>2</w:t>
            </w:r>
          </w:p>
        </w:tc>
        <w:tc>
          <w:tcPr>
            <w:tcW w:w="0" w:type="dxa"/>
            <w:vAlign w:val="center"/>
          </w:tcPr>
          <w:p w14:paraId="5B28C06F">
            <w:pPr>
              <w:spacing w:line="240" w:lineRule="auto"/>
              <w:jc w:val="left"/>
            </w:pPr>
            <w:r>
              <w:rPr>
                <w:rFonts w:ascii="宋体" w:hAnsi="宋体" w:eastAsia="宋体" w:cs="宋体"/>
                <w:b w:val="0"/>
              </w:rPr>
              <w:t>基金投资</w:t>
            </w:r>
          </w:p>
        </w:tc>
        <w:tc>
          <w:tcPr>
            <w:tcW w:w="0" w:type="dxa"/>
            <w:vAlign w:val="center"/>
          </w:tcPr>
          <w:p w14:paraId="3BE03C10">
            <w:pPr>
              <w:spacing w:line="240" w:lineRule="auto"/>
              <w:jc w:val="right"/>
            </w:pPr>
            <w:r>
              <w:rPr>
                <w:rFonts w:ascii="宋体" w:hAnsi="宋体" w:eastAsia="宋体" w:cs="宋体"/>
                <w:b w:val="0"/>
              </w:rPr>
              <w:t>-</w:t>
            </w:r>
          </w:p>
        </w:tc>
        <w:tc>
          <w:tcPr>
            <w:tcW w:w="0" w:type="dxa"/>
            <w:vAlign w:val="center"/>
          </w:tcPr>
          <w:p w14:paraId="7C8D1867">
            <w:pPr>
              <w:spacing w:line="240" w:lineRule="auto"/>
              <w:jc w:val="right"/>
            </w:pPr>
            <w:r>
              <w:rPr>
                <w:rFonts w:ascii="宋体" w:hAnsi="宋体" w:eastAsia="宋体" w:cs="宋体"/>
                <w:b w:val="0"/>
              </w:rPr>
              <w:t>-</w:t>
            </w:r>
          </w:p>
        </w:tc>
      </w:tr>
      <w:tr w14:paraId="73B8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4D1AC5">
            <w:pPr>
              <w:spacing w:line="240" w:lineRule="auto"/>
              <w:jc w:val="center"/>
            </w:pPr>
            <w:r>
              <w:rPr>
                <w:rFonts w:ascii="宋体" w:hAnsi="宋体" w:eastAsia="宋体" w:cs="宋体"/>
                <w:b w:val="0"/>
              </w:rPr>
              <w:t>3</w:t>
            </w:r>
          </w:p>
        </w:tc>
        <w:tc>
          <w:tcPr>
            <w:tcW w:w="0" w:type="dxa"/>
            <w:vAlign w:val="center"/>
          </w:tcPr>
          <w:p w14:paraId="5B539C8C">
            <w:pPr>
              <w:spacing w:line="240" w:lineRule="auto"/>
              <w:jc w:val="left"/>
            </w:pPr>
            <w:r>
              <w:rPr>
                <w:rFonts w:ascii="宋体" w:hAnsi="宋体" w:eastAsia="宋体" w:cs="宋体"/>
                <w:b w:val="0"/>
              </w:rPr>
              <w:t>固定收益投资</w:t>
            </w:r>
          </w:p>
        </w:tc>
        <w:tc>
          <w:tcPr>
            <w:tcW w:w="0" w:type="dxa"/>
            <w:vAlign w:val="center"/>
          </w:tcPr>
          <w:p w14:paraId="573CD26C">
            <w:pPr>
              <w:spacing w:line="240" w:lineRule="auto"/>
              <w:jc w:val="right"/>
            </w:pPr>
            <w:r>
              <w:rPr>
                <w:rFonts w:ascii="宋体" w:hAnsi="宋体" w:eastAsia="宋体" w:cs="宋体"/>
                <w:b w:val="0"/>
              </w:rPr>
              <w:t>19,547,131.37</w:t>
            </w:r>
          </w:p>
        </w:tc>
        <w:tc>
          <w:tcPr>
            <w:tcW w:w="0" w:type="dxa"/>
            <w:vAlign w:val="center"/>
          </w:tcPr>
          <w:p w14:paraId="117EF425">
            <w:pPr>
              <w:spacing w:line="240" w:lineRule="auto"/>
              <w:jc w:val="right"/>
            </w:pPr>
            <w:r>
              <w:rPr>
                <w:rFonts w:ascii="宋体" w:hAnsi="宋体" w:eastAsia="宋体" w:cs="宋体"/>
                <w:b w:val="0"/>
              </w:rPr>
              <w:t>2.08</w:t>
            </w:r>
          </w:p>
        </w:tc>
      </w:tr>
      <w:tr w14:paraId="32E4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DC9D82">
            <w:pPr>
              <w:spacing w:line="240" w:lineRule="auto"/>
              <w:jc w:val="center"/>
            </w:pPr>
          </w:p>
        </w:tc>
        <w:tc>
          <w:tcPr>
            <w:tcW w:w="0" w:type="dxa"/>
            <w:vAlign w:val="center"/>
          </w:tcPr>
          <w:p w14:paraId="17BAE8D8">
            <w:pPr>
              <w:spacing w:line="240" w:lineRule="auto"/>
              <w:jc w:val="left"/>
            </w:pPr>
            <w:r>
              <w:rPr>
                <w:rFonts w:ascii="宋体" w:hAnsi="宋体" w:eastAsia="宋体" w:cs="宋体"/>
                <w:b w:val="0"/>
              </w:rPr>
              <w:t>其中：债券</w:t>
            </w:r>
          </w:p>
        </w:tc>
        <w:tc>
          <w:tcPr>
            <w:tcW w:w="0" w:type="dxa"/>
            <w:vAlign w:val="center"/>
          </w:tcPr>
          <w:p w14:paraId="341D602C">
            <w:pPr>
              <w:spacing w:line="240" w:lineRule="auto"/>
              <w:jc w:val="right"/>
            </w:pPr>
            <w:r>
              <w:rPr>
                <w:rFonts w:ascii="宋体" w:hAnsi="宋体" w:eastAsia="宋体" w:cs="宋体"/>
                <w:b w:val="0"/>
              </w:rPr>
              <w:t>19,547,131.37</w:t>
            </w:r>
          </w:p>
        </w:tc>
        <w:tc>
          <w:tcPr>
            <w:tcW w:w="0" w:type="dxa"/>
            <w:vAlign w:val="center"/>
          </w:tcPr>
          <w:p w14:paraId="09BD33AA">
            <w:pPr>
              <w:spacing w:line="240" w:lineRule="auto"/>
              <w:jc w:val="right"/>
            </w:pPr>
            <w:r>
              <w:rPr>
                <w:rFonts w:ascii="宋体" w:hAnsi="宋体" w:eastAsia="宋体" w:cs="宋体"/>
                <w:b w:val="0"/>
              </w:rPr>
              <w:t>2.08</w:t>
            </w:r>
          </w:p>
        </w:tc>
      </w:tr>
      <w:tr w14:paraId="15A9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579F9E">
            <w:pPr>
              <w:spacing w:line="240" w:lineRule="auto"/>
              <w:jc w:val="center"/>
            </w:pPr>
          </w:p>
        </w:tc>
        <w:tc>
          <w:tcPr>
            <w:tcW w:w="0" w:type="dxa"/>
            <w:vAlign w:val="center"/>
          </w:tcPr>
          <w:p w14:paraId="1FF3DDB1">
            <w:pPr>
              <w:spacing w:line="240" w:lineRule="auto"/>
              <w:jc w:val="left"/>
            </w:pPr>
            <w:r>
              <w:rPr>
                <w:rFonts w:ascii="宋体" w:hAnsi="宋体" w:eastAsia="宋体" w:cs="宋体"/>
                <w:b w:val="0"/>
              </w:rPr>
              <w:t xml:space="preserve">      资产支持证券</w:t>
            </w:r>
          </w:p>
        </w:tc>
        <w:tc>
          <w:tcPr>
            <w:tcW w:w="0" w:type="dxa"/>
            <w:vAlign w:val="center"/>
          </w:tcPr>
          <w:p w14:paraId="05780952">
            <w:pPr>
              <w:spacing w:line="240" w:lineRule="auto"/>
              <w:jc w:val="right"/>
            </w:pPr>
            <w:r>
              <w:rPr>
                <w:rFonts w:ascii="宋体" w:hAnsi="宋体" w:eastAsia="宋体" w:cs="宋体"/>
                <w:b w:val="0"/>
              </w:rPr>
              <w:t>-</w:t>
            </w:r>
          </w:p>
        </w:tc>
        <w:tc>
          <w:tcPr>
            <w:tcW w:w="0" w:type="dxa"/>
            <w:vAlign w:val="center"/>
          </w:tcPr>
          <w:p w14:paraId="4537AACB">
            <w:pPr>
              <w:spacing w:line="240" w:lineRule="auto"/>
              <w:jc w:val="right"/>
            </w:pPr>
            <w:r>
              <w:rPr>
                <w:rFonts w:ascii="宋体" w:hAnsi="宋体" w:eastAsia="宋体" w:cs="宋体"/>
                <w:b w:val="0"/>
              </w:rPr>
              <w:t>-</w:t>
            </w:r>
          </w:p>
        </w:tc>
      </w:tr>
      <w:tr w14:paraId="74BE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632FB3">
            <w:pPr>
              <w:spacing w:line="240" w:lineRule="auto"/>
              <w:jc w:val="center"/>
            </w:pPr>
            <w:r>
              <w:rPr>
                <w:rFonts w:ascii="宋体" w:hAnsi="宋体" w:eastAsia="宋体" w:cs="宋体"/>
                <w:b w:val="0"/>
              </w:rPr>
              <w:t>4</w:t>
            </w:r>
          </w:p>
        </w:tc>
        <w:tc>
          <w:tcPr>
            <w:tcW w:w="0" w:type="dxa"/>
            <w:vAlign w:val="center"/>
          </w:tcPr>
          <w:p w14:paraId="2B33CD5C">
            <w:pPr>
              <w:spacing w:line="240" w:lineRule="auto"/>
              <w:jc w:val="left"/>
            </w:pPr>
            <w:r>
              <w:rPr>
                <w:rFonts w:ascii="宋体" w:hAnsi="宋体" w:eastAsia="宋体" w:cs="宋体"/>
                <w:b w:val="0"/>
              </w:rPr>
              <w:t>贵金属投资</w:t>
            </w:r>
          </w:p>
        </w:tc>
        <w:tc>
          <w:tcPr>
            <w:tcW w:w="0" w:type="dxa"/>
            <w:vAlign w:val="center"/>
          </w:tcPr>
          <w:p w14:paraId="529D5E01">
            <w:pPr>
              <w:spacing w:line="240" w:lineRule="auto"/>
              <w:jc w:val="right"/>
            </w:pPr>
            <w:r>
              <w:rPr>
                <w:rFonts w:ascii="宋体" w:hAnsi="宋体" w:eastAsia="宋体" w:cs="宋体"/>
                <w:b w:val="0"/>
              </w:rPr>
              <w:t>-</w:t>
            </w:r>
          </w:p>
        </w:tc>
        <w:tc>
          <w:tcPr>
            <w:tcW w:w="0" w:type="dxa"/>
            <w:vAlign w:val="center"/>
          </w:tcPr>
          <w:p w14:paraId="5C00289F">
            <w:pPr>
              <w:spacing w:line="240" w:lineRule="auto"/>
              <w:jc w:val="right"/>
            </w:pPr>
            <w:r>
              <w:rPr>
                <w:rFonts w:ascii="宋体" w:hAnsi="宋体" w:eastAsia="宋体" w:cs="宋体"/>
                <w:b w:val="0"/>
              </w:rPr>
              <w:t>-</w:t>
            </w:r>
          </w:p>
        </w:tc>
      </w:tr>
      <w:tr w14:paraId="7BF2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A8B49A">
            <w:pPr>
              <w:spacing w:line="240" w:lineRule="auto"/>
              <w:jc w:val="center"/>
            </w:pPr>
            <w:r>
              <w:rPr>
                <w:rFonts w:ascii="宋体" w:hAnsi="宋体" w:eastAsia="宋体" w:cs="宋体"/>
                <w:b w:val="0"/>
              </w:rPr>
              <w:t>5</w:t>
            </w:r>
          </w:p>
        </w:tc>
        <w:tc>
          <w:tcPr>
            <w:tcW w:w="0" w:type="dxa"/>
            <w:vAlign w:val="center"/>
          </w:tcPr>
          <w:p w14:paraId="47056E1B">
            <w:pPr>
              <w:spacing w:line="240" w:lineRule="auto"/>
              <w:jc w:val="left"/>
            </w:pPr>
            <w:r>
              <w:rPr>
                <w:rFonts w:ascii="宋体" w:hAnsi="宋体" w:eastAsia="宋体" w:cs="宋体"/>
                <w:b w:val="0"/>
              </w:rPr>
              <w:t>金融衍生品投资</w:t>
            </w:r>
          </w:p>
        </w:tc>
        <w:tc>
          <w:tcPr>
            <w:tcW w:w="0" w:type="dxa"/>
            <w:vAlign w:val="center"/>
          </w:tcPr>
          <w:p w14:paraId="6745E4C3">
            <w:pPr>
              <w:spacing w:line="240" w:lineRule="auto"/>
              <w:jc w:val="right"/>
            </w:pPr>
            <w:r>
              <w:rPr>
                <w:rFonts w:ascii="宋体" w:hAnsi="宋体" w:eastAsia="宋体" w:cs="宋体"/>
                <w:b w:val="0"/>
              </w:rPr>
              <w:t>-</w:t>
            </w:r>
          </w:p>
        </w:tc>
        <w:tc>
          <w:tcPr>
            <w:tcW w:w="0" w:type="dxa"/>
            <w:vAlign w:val="center"/>
          </w:tcPr>
          <w:p w14:paraId="2EF7E07F">
            <w:pPr>
              <w:spacing w:line="240" w:lineRule="auto"/>
              <w:jc w:val="right"/>
            </w:pPr>
            <w:r>
              <w:rPr>
                <w:rFonts w:ascii="宋体" w:hAnsi="宋体" w:eastAsia="宋体" w:cs="宋体"/>
                <w:b w:val="0"/>
              </w:rPr>
              <w:t>-</w:t>
            </w:r>
          </w:p>
        </w:tc>
      </w:tr>
      <w:tr w14:paraId="0A3C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1FC2CA">
            <w:pPr>
              <w:spacing w:line="240" w:lineRule="auto"/>
              <w:jc w:val="center"/>
            </w:pPr>
            <w:r>
              <w:rPr>
                <w:rFonts w:ascii="宋体" w:hAnsi="宋体" w:eastAsia="宋体" w:cs="宋体"/>
                <w:b w:val="0"/>
              </w:rPr>
              <w:t>6</w:t>
            </w:r>
          </w:p>
        </w:tc>
        <w:tc>
          <w:tcPr>
            <w:tcW w:w="0" w:type="dxa"/>
            <w:vAlign w:val="center"/>
          </w:tcPr>
          <w:p w14:paraId="0341B6DB">
            <w:pPr>
              <w:spacing w:line="240" w:lineRule="auto"/>
              <w:jc w:val="left"/>
            </w:pPr>
            <w:r>
              <w:rPr>
                <w:rFonts w:ascii="宋体" w:hAnsi="宋体" w:eastAsia="宋体" w:cs="宋体"/>
                <w:b w:val="0"/>
              </w:rPr>
              <w:t>买入返售金融资产</w:t>
            </w:r>
          </w:p>
        </w:tc>
        <w:tc>
          <w:tcPr>
            <w:tcW w:w="0" w:type="dxa"/>
            <w:vAlign w:val="center"/>
          </w:tcPr>
          <w:p w14:paraId="63EA7F74">
            <w:pPr>
              <w:spacing w:line="240" w:lineRule="auto"/>
              <w:jc w:val="right"/>
            </w:pPr>
            <w:r>
              <w:rPr>
                <w:rFonts w:ascii="宋体" w:hAnsi="宋体" w:eastAsia="宋体" w:cs="宋体"/>
                <w:b w:val="0"/>
              </w:rPr>
              <w:t>-</w:t>
            </w:r>
          </w:p>
        </w:tc>
        <w:tc>
          <w:tcPr>
            <w:tcW w:w="0" w:type="dxa"/>
            <w:vAlign w:val="center"/>
          </w:tcPr>
          <w:p w14:paraId="3014A9A2">
            <w:pPr>
              <w:spacing w:line="240" w:lineRule="auto"/>
              <w:jc w:val="right"/>
            </w:pPr>
            <w:r>
              <w:rPr>
                <w:rFonts w:ascii="宋体" w:hAnsi="宋体" w:eastAsia="宋体" w:cs="宋体"/>
                <w:b w:val="0"/>
              </w:rPr>
              <w:t>-</w:t>
            </w:r>
          </w:p>
        </w:tc>
      </w:tr>
      <w:tr w14:paraId="677F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CE727A">
            <w:pPr>
              <w:spacing w:line="240" w:lineRule="auto"/>
              <w:jc w:val="center"/>
            </w:pPr>
          </w:p>
        </w:tc>
        <w:tc>
          <w:tcPr>
            <w:tcW w:w="0" w:type="dxa"/>
            <w:vAlign w:val="center"/>
          </w:tcPr>
          <w:p w14:paraId="55E67410">
            <w:pPr>
              <w:spacing w:line="240" w:lineRule="auto"/>
              <w:jc w:val="left"/>
            </w:pPr>
            <w:r>
              <w:rPr>
                <w:rFonts w:ascii="宋体" w:hAnsi="宋体" w:eastAsia="宋体" w:cs="宋体"/>
                <w:b w:val="0"/>
              </w:rPr>
              <w:t>其中：买断式回购的买入返售金融资产</w:t>
            </w:r>
          </w:p>
        </w:tc>
        <w:tc>
          <w:tcPr>
            <w:tcW w:w="0" w:type="dxa"/>
            <w:vAlign w:val="center"/>
          </w:tcPr>
          <w:p w14:paraId="2B358213">
            <w:pPr>
              <w:spacing w:line="240" w:lineRule="auto"/>
              <w:jc w:val="right"/>
            </w:pPr>
            <w:r>
              <w:rPr>
                <w:rFonts w:ascii="宋体" w:hAnsi="宋体" w:eastAsia="宋体" w:cs="宋体"/>
                <w:b w:val="0"/>
              </w:rPr>
              <w:t>-</w:t>
            </w:r>
          </w:p>
        </w:tc>
        <w:tc>
          <w:tcPr>
            <w:tcW w:w="0" w:type="dxa"/>
            <w:vAlign w:val="center"/>
          </w:tcPr>
          <w:p w14:paraId="3E516FF9">
            <w:pPr>
              <w:spacing w:line="240" w:lineRule="auto"/>
              <w:jc w:val="right"/>
            </w:pPr>
            <w:r>
              <w:rPr>
                <w:rFonts w:ascii="宋体" w:hAnsi="宋体" w:eastAsia="宋体" w:cs="宋体"/>
                <w:b w:val="0"/>
              </w:rPr>
              <w:t>-</w:t>
            </w:r>
          </w:p>
        </w:tc>
      </w:tr>
      <w:tr w14:paraId="0F3D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300DBF6">
            <w:pPr>
              <w:spacing w:line="240" w:lineRule="auto"/>
              <w:jc w:val="center"/>
            </w:pPr>
            <w:r>
              <w:rPr>
                <w:rFonts w:ascii="宋体" w:hAnsi="宋体" w:eastAsia="宋体" w:cs="宋体"/>
                <w:b w:val="0"/>
              </w:rPr>
              <w:t>7</w:t>
            </w:r>
          </w:p>
        </w:tc>
        <w:tc>
          <w:tcPr>
            <w:tcW w:w="0" w:type="dxa"/>
            <w:vAlign w:val="center"/>
          </w:tcPr>
          <w:p w14:paraId="3B7F97E4">
            <w:pPr>
              <w:spacing w:line="240" w:lineRule="auto"/>
              <w:jc w:val="left"/>
            </w:pPr>
            <w:r>
              <w:rPr>
                <w:rFonts w:ascii="宋体" w:hAnsi="宋体" w:eastAsia="宋体" w:cs="宋体"/>
                <w:b w:val="0"/>
              </w:rPr>
              <w:t>银行存款和结算备付金合计</w:t>
            </w:r>
          </w:p>
        </w:tc>
        <w:tc>
          <w:tcPr>
            <w:tcW w:w="0" w:type="dxa"/>
            <w:vAlign w:val="center"/>
          </w:tcPr>
          <w:p w14:paraId="760F5C9C">
            <w:pPr>
              <w:spacing w:line="240" w:lineRule="auto"/>
              <w:jc w:val="right"/>
            </w:pPr>
            <w:r>
              <w:rPr>
                <w:rFonts w:ascii="宋体" w:hAnsi="宋体" w:eastAsia="宋体" w:cs="宋体"/>
                <w:b w:val="0"/>
              </w:rPr>
              <w:t>49,764,334.44</w:t>
            </w:r>
          </w:p>
        </w:tc>
        <w:tc>
          <w:tcPr>
            <w:tcW w:w="0" w:type="dxa"/>
            <w:vAlign w:val="center"/>
          </w:tcPr>
          <w:p w14:paraId="6F58762B">
            <w:pPr>
              <w:spacing w:line="240" w:lineRule="auto"/>
              <w:jc w:val="right"/>
            </w:pPr>
            <w:r>
              <w:rPr>
                <w:rFonts w:ascii="宋体" w:hAnsi="宋体" w:eastAsia="宋体" w:cs="宋体"/>
                <w:b w:val="0"/>
              </w:rPr>
              <w:t>5.29</w:t>
            </w:r>
          </w:p>
        </w:tc>
      </w:tr>
      <w:tr w14:paraId="3D0B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C2D7BE">
            <w:pPr>
              <w:spacing w:line="240" w:lineRule="auto"/>
              <w:jc w:val="center"/>
            </w:pPr>
            <w:r>
              <w:rPr>
                <w:rFonts w:ascii="宋体" w:hAnsi="宋体" w:eastAsia="宋体" w:cs="宋体"/>
                <w:b w:val="0"/>
              </w:rPr>
              <w:t>8</w:t>
            </w:r>
          </w:p>
        </w:tc>
        <w:tc>
          <w:tcPr>
            <w:tcW w:w="0" w:type="dxa"/>
            <w:vAlign w:val="center"/>
          </w:tcPr>
          <w:p w14:paraId="7AA668B6">
            <w:pPr>
              <w:spacing w:line="240" w:lineRule="auto"/>
              <w:jc w:val="left"/>
            </w:pPr>
            <w:r>
              <w:rPr>
                <w:rFonts w:ascii="宋体" w:hAnsi="宋体" w:eastAsia="宋体" w:cs="宋体"/>
                <w:b w:val="0"/>
              </w:rPr>
              <w:t>其他各项资产</w:t>
            </w:r>
          </w:p>
        </w:tc>
        <w:tc>
          <w:tcPr>
            <w:tcW w:w="0" w:type="dxa"/>
            <w:vAlign w:val="center"/>
          </w:tcPr>
          <w:p w14:paraId="014B6C59">
            <w:pPr>
              <w:spacing w:line="240" w:lineRule="auto"/>
              <w:jc w:val="right"/>
            </w:pPr>
            <w:r>
              <w:rPr>
                <w:rFonts w:ascii="宋体" w:hAnsi="宋体" w:eastAsia="宋体" w:cs="宋体"/>
                <w:b w:val="0"/>
              </w:rPr>
              <w:t>145,148,778.30</w:t>
            </w:r>
          </w:p>
        </w:tc>
        <w:tc>
          <w:tcPr>
            <w:tcW w:w="0" w:type="dxa"/>
            <w:vAlign w:val="center"/>
          </w:tcPr>
          <w:p w14:paraId="51B151E6">
            <w:pPr>
              <w:spacing w:line="240" w:lineRule="auto"/>
              <w:jc w:val="right"/>
            </w:pPr>
            <w:r>
              <w:rPr>
                <w:rFonts w:ascii="宋体" w:hAnsi="宋体" w:eastAsia="宋体" w:cs="宋体"/>
                <w:b w:val="0"/>
              </w:rPr>
              <w:t>15.42</w:t>
            </w:r>
          </w:p>
        </w:tc>
      </w:tr>
      <w:tr w14:paraId="60E7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771DDB">
            <w:pPr>
              <w:spacing w:line="240" w:lineRule="auto"/>
              <w:jc w:val="center"/>
            </w:pPr>
            <w:r>
              <w:rPr>
                <w:rFonts w:ascii="宋体" w:hAnsi="宋体" w:eastAsia="宋体" w:cs="宋体"/>
                <w:b w:val="0"/>
              </w:rPr>
              <w:t>9</w:t>
            </w:r>
          </w:p>
        </w:tc>
        <w:tc>
          <w:tcPr>
            <w:tcW w:w="0" w:type="dxa"/>
            <w:vAlign w:val="center"/>
          </w:tcPr>
          <w:p w14:paraId="33D906B3">
            <w:pPr>
              <w:spacing w:line="240" w:lineRule="auto"/>
              <w:jc w:val="left"/>
            </w:pPr>
            <w:r>
              <w:rPr>
                <w:rFonts w:ascii="宋体" w:hAnsi="宋体" w:eastAsia="宋体" w:cs="宋体"/>
                <w:b w:val="0"/>
              </w:rPr>
              <w:t>合计</w:t>
            </w:r>
          </w:p>
        </w:tc>
        <w:tc>
          <w:tcPr>
            <w:tcW w:w="0" w:type="dxa"/>
            <w:vAlign w:val="center"/>
          </w:tcPr>
          <w:p w14:paraId="1E60063A">
            <w:pPr>
              <w:spacing w:line="240" w:lineRule="auto"/>
              <w:jc w:val="right"/>
            </w:pPr>
            <w:r>
              <w:rPr>
                <w:rFonts w:ascii="宋体" w:hAnsi="宋体" w:eastAsia="宋体" w:cs="宋体"/>
                <w:b w:val="0"/>
              </w:rPr>
              <w:t>941,372,153.99</w:t>
            </w:r>
          </w:p>
        </w:tc>
        <w:tc>
          <w:tcPr>
            <w:tcW w:w="0" w:type="dxa"/>
            <w:vAlign w:val="center"/>
          </w:tcPr>
          <w:p w14:paraId="3461AB8D">
            <w:pPr>
              <w:spacing w:line="240" w:lineRule="auto"/>
              <w:jc w:val="right"/>
            </w:pPr>
            <w:r>
              <w:rPr>
                <w:rFonts w:ascii="宋体" w:hAnsi="宋体" w:eastAsia="宋体" w:cs="宋体"/>
                <w:b w:val="0"/>
              </w:rPr>
              <w:t>100.00</w:t>
            </w:r>
          </w:p>
        </w:tc>
      </w:tr>
    </w:tbl>
    <w:p w14:paraId="53F784E6"/>
    <w:p w14:paraId="4FEEACF3">
      <w:pPr>
        <w:pStyle w:val="3"/>
        <w:jc w:val="left"/>
      </w:pPr>
      <w:bookmarkStart w:id="34" w:name="_Toc3045"/>
      <w:r>
        <w:rPr>
          <w:rFonts w:ascii="宋体" w:hAnsi="宋体" w:eastAsia="宋体" w:cs="宋体"/>
        </w:rPr>
        <w:t>7.2 报告期末按行业分类的股票投资组合</w:t>
      </w:r>
      <w:bookmarkEnd w:id="34"/>
    </w:p>
    <w:p w14:paraId="61828BD9">
      <w:pPr>
        <w:pStyle w:val="58"/>
      </w:pPr>
      <w:r>
        <w:rPr>
          <w:rFonts w:ascii="宋体" w:hAnsi="宋体" w:eastAsia="宋体" w:cs="宋体"/>
          <w:b/>
        </w:rPr>
        <w:t>7.2.1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714"/>
        <w:gridCol w:w="2856"/>
        <w:gridCol w:w="1858"/>
      </w:tblGrid>
      <w:tr w14:paraId="7B96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14:paraId="05B28896">
            <w:pPr>
              <w:spacing w:line="240" w:lineRule="auto"/>
              <w:jc w:val="center"/>
            </w:pPr>
            <w:r>
              <w:rPr>
                <w:rFonts w:ascii="宋体" w:hAnsi="宋体" w:eastAsia="宋体" w:cs="宋体"/>
                <w:b w:val="0"/>
              </w:rPr>
              <w:t>代码</w:t>
            </w:r>
          </w:p>
        </w:tc>
        <w:tc>
          <w:tcPr>
            <w:tcW w:w="2000" w:type="pct"/>
            <w:shd w:val="clear" w:color="auto" w:fill="D9D9D9"/>
            <w:vAlign w:val="center"/>
          </w:tcPr>
          <w:p w14:paraId="5715B0F3">
            <w:pPr>
              <w:spacing w:line="240" w:lineRule="auto"/>
              <w:jc w:val="center"/>
            </w:pPr>
            <w:r>
              <w:rPr>
                <w:rFonts w:ascii="宋体" w:hAnsi="宋体" w:eastAsia="宋体" w:cs="宋体"/>
                <w:b w:val="0"/>
              </w:rPr>
              <w:t>行业类别</w:t>
            </w:r>
          </w:p>
        </w:tc>
        <w:tc>
          <w:tcPr>
            <w:tcW w:w="1538" w:type="pct"/>
            <w:shd w:val="clear" w:color="auto" w:fill="D9D9D9"/>
            <w:vAlign w:val="center"/>
          </w:tcPr>
          <w:p w14:paraId="71437B57">
            <w:pPr>
              <w:spacing w:line="240" w:lineRule="auto"/>
              <w:jc w:val="center"/>
            </w:pPr>
            <w:r>
              <w:rPr>
                <w:rFonts w:ascii="宋体" w:hAnsi="宋体" w:eastAsia="宋体" w:cs="宋体"/>
                <w:b w:val="0"/>
              </w:rPr>
              <w:t>公允价值（元）</w:t>
            </w:r>
          </w:p>
        </w:tc>
        <w:tc>
          <w:tcPr>
            <w:tcW w:w="1385" w:type="pct"/>
            <w:shd w:val="clear" w:color="auto" w:fill="D9D9D9"/>
            <w:vAlign w:val="center"/>
          </w:tcPr>
          <w:p w14:paraId="279E96DC">
            <w:pPr>
              <w:spacing w:line="240" w:lineRule="auto"/>
              <w:jc w:val="center"/>
            </w:pPr>
            <w:r>
              <w:rPr>
                <w:rFonts w:ascii="宋体" w:hAnsi="宋体" w:eastAsia="宋体" w:cs="宋体"/>
                <w:b w:val="0"/>
              </w:rPr>
              <w:t>占基金资产净值比例(%)</w:t>
            </w:r>
          </w:p>
        </w:tc>
      </w:tr>
      <w:tr w14:paraId="3574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030B1F">
            <w:pPr>
              <w:spacing w:line="240" w:lineRule="auto"/>
              <w:jc w:val="center"/>
            </w:pPr>
            <w:r>
              <w:rPr>
                <w:rFonts w:ascii="宋体" w:hAnsi="宋体" w:eastAsia="宋体" w:cs="宋体"/>
                <w:b w:val="0"/>
              </w:rPr>
              <w:t>A</w:t>
            </w:r>
          </w:p>
        </w:tc>
        <w:tc>
          <w:tcPr>
            <w:tcW w:w="0" w:type="dxa"/>
            <w:vAlign w:val="center"/>
          </w:tcPr>
          <w:p w14:paraId="0210CBBD">
            <w:pPr>
              <w:spacing w:line="240" w:lineRule="auto"/>
              <w:jc w:val="left"/>
            </w:pPr>
            <w:r>
              <w:rPr>
                <w:rFonts w:ascii="宋体" w:hAnsi="宋体" w:eastAsia="宋体" w:cs="宋体"/>
                <w:b w:val="0"/>
              </w:rPr>
              <w:t>农、林、牧、渔业</w:t>
            </w:r>
          </w:p>
        </w:tc>
        <w:tc>
          <w:tcPr>
            <w:tcW w:w="0" w:type="dxa"/>
            <w:vAlign w:val="center"/>
          </w:tcPr>
          <w:p w14:paraId="136CE557">
            <w:pPr>
              <w:spacing w:line="240" w:lineRule="auto"/>
              <w:jc w:val="right"/>
            </w:pPr>
            <w:r>
              <w:rPr>
                <w:rFonts w:ascii="宋体" w:hAnsi="宋体" w:eastAsia="宋体" w:cs="宋体"/>
                <w:b w:val="0"/>
              </w:rPr>
              <w:t>-</w:t>
            </w:r>
          </w:p>
        </w:tc>
        <w:tc>
          <w:tcPr>
            <w:tcW w:w="0" w:type="dxa"/>
            <w:vAlign w:val="center"/>
          </w:tcPr>
          <w:p w14:paraId="59C6C50A">
            <w:pPr>
              <w:spacing w:line="240" w:lineRule="auto"/>
              <w:jc w:val="right"/>
            </w:pPr>
            <w:r>
              <w:rPr>
                <w:rFonts w:ascii="宋体" w:hAnsi="宋体" w:eastAsia="宋体" w:cs="宋体"/>
                <w:b w:val="0"/>
              </w:rPr>
              <w:t>-</w:t>
            </w:r>
          </w:p>
        </w:tc>
      </w:tr>
      <w:tr w14:paraId="3474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541D65">
            <w:pPr>
              <w:spacing w:line="240" w:lineRule="auto"/>
              <w:jc w:val="center"/>
            </w:pPr>
            <w:r>
              <w:rPr>
                <w:rFonts w:ascii="宋体" w:hAnsi="宋体" w:eastAsia="宋体" w:cs="宋体"/>
                <w:b w:val="0"/>
              </w:rPr>
              <w:t>B</w:t>
            </w:r>
          </w:p>
        </w:tc>
        <w:tc>
          <w:tcPr>
            <w:tcW w:w="0" w:type="dxa"/>
            <w:vAlign w:val="center"/>
          </w:tcPr>
          <w:p w14:paraId="0EE4052B">
            <w:pPr>
              <w:spacing w:line="240" w:lineRule="auto"/>
              <w:jc w:val="left"/>
            </w:pPr>
            <w:r>
              <w:rPr>
                <w:rFonts w:ascii="宋体" w:hAnsi="宋体" w:eastAsia="宋体" w:cs="宋体"/>
                <w:b w:val="0"/>
              </w:rPr>
              <w:t>采矿业</w:t>
            </w:r>
          </w:p>
        </w:tc>
        <w:tc>
          <w:tcPr>
            <w:tcW w:w="0" w:type="dxa"/>
            <w:vAlign w:val="center"/>
          </w:tcPr>
          <w:p w14:paraId="623E3016">
            <w:pPr>
              <w:spacing w:line="240" w:lineRule="auto"/>
              <w:jc w:val="right"/>
            </w:pPr>
            <w:r>
              <w:rPr>
                <w:rFonts w:ascii="宋体" w:hAnsi="宋体" w:eastAsia="宋体" w:cs="宋体"/>
                <w:b w:val="0"/>
              </w:rPr>
              <w:t>-</w:t>
            </w:r>
          </w:p>
        </w:tc>
        <w:tc>
          <w:tcPr>
            <w:tcW w:w="0" w:type="dxa"/>
            <w:vAlign w:val="center"/>
          </w:tcPr>
          <w:p w14:paraId="13EABBFC">
            <w:pPr>
              <w:spacing w:line="240" w:lineRule="auto"/>
              <w:jc w:val="right"/>
            </w:pPr>
            <w:r>
              <w:rPr>
                <w:rFonts w:ascii="宋体" w:hAnsi="宋体" w:eastAsia="宋体" w:cs="宋体"/>
                <w:b w:val="0"/>
              </w:rPr>
              <w:t>-</w:t>
            </w:r>
          </w:p>
        </w:tc>
      </w:tr>
      <w:tr w14:paraId="6883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382ABC">
            <w:pPr>
              <w:spacing w:line="240" w:lineRule="auto"/>
              <w:jc w:val="center"/>
            </w:pPr>
            <w:r>
              <w:rPr>
                <w:rFonts w:ascii="宋体" w:hAnsi="宋体" w:eastAsia="宋体" w:cs="宋体"/>
                <w:b w:val="0"/>
              </w:rPr>
              <w:t>C</w:t>
            </w:r>
          </w:p>
        </w:tc>
        <w:tc>
          <w:tcPr>
            <w:tcW w:w="0" w:type="dxa"/>
            <w:vAlign w:val="center"/>
          </w:tcPr>
          <w:p w14:paraId="55BAD35E">
            <w:pPr>
              <w:spacing w:line="240" w:lineRule="auto"/>
              <w:jc w:val="left"/>
            </w:pPr>
            <w:r>
              <w:rPr>
                <w:rFonts w:ascii="宋体" w:hAnsi="宋体" w:eastAsia="宋体" w:cs="宋体"/>
                <w:b w:val="0"/>
              </w:rPr>
              <w:t>制造业</w:t>
            </w:r>
          </w:p>
        </w:tc>
        <w:tc>
          <w:tcPr>
            <w:tcW w:w="0" w:type="dxa"/>
            <w:vAlign w:val="center"/>
          </w:tcPr>
          <w:p w14:paraId="17EE0234">
            <w:pPr>
              <w:spacing w:line="240" w:lineRule="auto"/>
              <w:jc w:val="right"/>
            </w:pPr>
            <w:r>
              <w:rPr>
                <w:rFonts w:ascii="宋体" w:hAnsi="宋体" w:eastAsia="宋体" w:cs="宋体"/>
                <w:b w:val="0"/>
              </w:rPr>
              <w:t>726,911,909.88</w:t>
            </w:r>
          </w:p>
        </w:tc>
        <w:tc>
          <w:tcPr>
            <w:tcW w:w="0" w:type="dxa"/>
            <w:vAlign w:val="center"/>
          </w:tcPr>
          <w:p w14:paraId="24E0276D">
            <w:pPr>
              <w:spacing w:line="240" w:lineRule="auto"/>
              <w:jc w:val="right"/>
            </w:pPr>
            <w:r>
              <w:rPr>
                <w:rFonts w:ascii="宋体" w:hAnsi="宋体" w:eastAsia="宋体" w:cs="宋体"/>
                <w:b w:val="0"/>
              </w:rPr>
              <w:t>77.84</w:t>
            </w:r>
          </w:p>
        </w:tc>
      </w:tr>
      <w:tr w14:paraId="2723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70ABA9">
            <w:pPr>
              <w:spacing w:line="240" w:lineRule="auto"/>
              <w:jc w:val="center"/>
            </w:pPr>
            <w:r>
              <w:rPr>
                <w:rFonts w:ascii="宋体" w:hAnsi="宋体" w:eastAsia="宋体" w:cs="宋体"/>
                <w:b w:val="0"/>
              </w:rPr>
              <w:t>D</w:t>
            </w:r>
          </w:p>
        </w:tc>
        <w:tc>
          <w:tcPr>
            <w:tcW w:w="0" w:type="dxa"/>
            <w:vAlign w:val="center"/>
          </w:tcPr>
          <w:p w14:paraId="4ACAFE48">
            <w:pPr>
              <w:spacing w:line="240" w:lineRule="auto"/>
              <w:jc w:val="left"/>
            </w:pPr>
            <w:r>
              <w:rPr>
                <w:rFonts w:ascii="宋体" w:hAnsi="宋体" w:eastAsia="宋体" w:cs="宋体"/>
                <w:b w:val="0"/>
              </w:rPr>
              <w:t>电力、热力、燃气及水生产和供应业</w:t>
            </w:r>
          </w:p>
        </w:tc>
        <w:tc>
          <w:tcPr>
            <w:tcW w:w="0" w:type="dxa"/>
            <w:vAlign w:val="center"/>
          </w:tcPr>
          <w:p w14:paraId="13E833BF">
            <w:pPr>
              <w:spacing w:line="240" w:lineRule="auto"/>
              <w:jc w:val="right"/>
            </w:pPr>
            <w:r>
              <w:rPr>
                <w:rFonts w:ascii="宋体" w:hAnsi="宋体" w:eastAsia="宋体" w:cs="宋体"/>
                <w:b w:val="0"/>
              </w:rPr>
              <w:t>-</w:t>
            </w:r>
          </w:p>
        </w:tc>
        <w:tc>
          <w:tcPr>
            <w:tcW w:w="0" w:type="dxa"/>
            <w:vAlign w:val="center"/>
          </w:tcPr>
          <w:p w14:paraId="29336C67">
            <w:pPr>
              <w:spacing w:line="240" w:lineRule="auto"/>
              <w:jc w:val="right"/>
            </w:pPr>
            <w:r>
              <w:rPr>
                <w:rFonts w:ascii="宋体" w:hAnsi="宋体" w:eastAsia="宋体" w:cs="宋体"/>
                <w:b w:val="0"/>
              </w:rPr>
              <w:t>-</w:t>
            </w:r>
          </w:p>
        </w:tc>
      </w:tr>
      <w:tr w14:paraId="7131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58F9D3">
            <w:pPr>
              <w:spacing w:line="240" w:lineRule="auto"/>
              <w:jc w:val="center"/>
            </w:pPr>
            <w:r>
              <w:rPr>
                <w:rFonts w:ascii="宋体" w:hAnsi="宋体" w:eastAsia="宋体" w:cs="宋体"/>
                <w:b w:val="0"/>
              </w:rPr>
              <w:t>E</w:t>
            </w:r>
          </w:p>
        </w:tc>
        <w:tc>
          <w:tcPr>
            <w:tcW w:w="0" w:type="dxa"/>
            <w:vAlign w:val="center"/>
          </w:tcPr>
          <w:p w14:paraId="344EFDF3">
            <w:pPr>
              <w:spacing w:line="240" w:lineRule="auto"/>
              <w:jc w:val="left"/>
            </w:pPr>
            <w:r>
              <w:rPr>
                <w:rFonts w:ascii="宋体" w:hAnsi="宋体" w:eastAsia="宋体" w:cs="宋体"/>
                <w:b w:val="0"/>
              </w:rPr>
              <w:t>建筑业</w:t>
            </w:r>
          </w:p>
        </w:tc>
        <w:tc>
          <w:tcPr>
            <w:tcW w:w="0" w:type="dxa"/>
            <w:vAlign w:val="center"/>
          </w:tcPr>
          <w:p w14:paraId="6BEF71E1">
            <w:pPr>
              <w:spacing w:line="240" w:lineRule="auto"/>
              <w:jc w:val="right"/>
            </w:pPr>
            <w:r>
              <w:rPr>
                <w:rFonts w:ascii="宋体" w:hAnsi="宋体" w:eastAsia="宋体" w:cs="宋体"/>
                <w:b w:val="0"/>
              </w:rPr>
              <w:t>-</w:t>
            </w:r>
          </w:p>
        </w:tc>
        <w:tc>
          <w:tcPr>
            <w:tcW w:w="0" w:type="dxa"/>
            <w:vAlign w:val="center"/>
          </w:tcPr>
          <w:p w14:paraId="46B5A94C">
            <w:pPr>
              <w:spacing w:line="240" w:lineRule="auto"/>
              <w:jc w:val="right"/>
            </w:pPr>
            <w:r>
              <w:rPr>
                <w:rFonts w:ascii="宋体" w:hAnsi="宋体" w:eastAsia="宋体" w:cs="宋体"/>
                <w:b w:val="0"/>
              </w:rPr>
              <w:t>-</w:t>
            </w:r>
          </w:p>
        </w:tc>
      </w:tr>
      <w:tr w14:paraId="25C9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CFEE3CE">
            <w:pPr>
              <w:spacing w:line="240" w:lineRule="auto"/>
              <w:jc w:val="center"/>
            </w:pPr>
            <w:r>
              <w:rPr>
                <w:rFonts w:ascii="宋体" w:hAnsi="宋体" w:eastAsia="宋体" w:cs="宋体"/>
                <w:b w:val="0"/>
              </w:rPr>
              <w:t>F</w:t>
            </w:r>
          </w:p>
        </w:tc>
        <w:tc>
          <w:tcPr>
            <w:tcW w:w="0" w:type="dxa"/>
            <w:vAlign w:val="center"/>
          </w:tcPr>
          <w:p w14:paraId="64397F03">
            <w:pPr>
              <w:spacing w:line="240" w:lineRule="auto"/>
              <w:jc w:val="left"/>
            </w:pPr>
            <w:r>
              <w:rPr>
                <w:rFonts w:ascii="宋体" w:hAnsi="宋体" w:eastAsia="宋体" w:cs="宋体"/>
                <w:b w:val="0"/>
              </w:rPr>
              <w:t>批发和零售业</w:t>
            </w:r>
          </w:p>
        </w:tc>
        <w:tc>
          <w:tcPr>
            <w:tcW w:w="0" w:type="dxa"/>
            <w:vAlign w:val="center"/>
          </w:tcPr>
          <w:p w14:paraId="56106967">
            <w:pPr>
              <w:spacing w:line="240" w:lineRule="auto"/>
              <w:jc w:val="right"/>
            </w:pPr>
            <w:r>
              <w:rPr>
                <w:rFonts w:ascii="宋体" w:hAnsi="宋体" w:eastAsia="宋体" w:cs="宋体"/>
                <w:b w:val="0"/>
              </w:rPr>
              <w:t>-</w:t>
            </w:r>
          </w:p>
        </w:tc>
        <w:tc>
          <w:tcPr>
            <w:tcW w:w="0" w:type="dxa"/>
            <w:vAlign w:val="center"/>
          </w:tcPr>
          <w:p w14:paraId="070D6B86">
            <w:pPr>
              <w:spacing w:line="240" w:lineRule="auto"/>
              <w:jc w:val="right"/>
            </w:pPr>
            <w:r>
              <w:rPr>
                <w:rFonts w:ascii="宋体" w:hAnsi="宋体" w:eastAsia="宋体" w:cs="宋体"/>
                <w:b w:val="0"/>
              </w:rPr>
              <w:t>-</w:t>
            </w:r>
          </w:p>
        </w:tc>
      </w:tr>
      <w:tr w14:paraId="6064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BD6F27">
            <w:pPr>
              <w:spacing w:line="240" w:lineRule="auto"/>
              <w:jc w:val="center"/>
            </w:pPr>
            <w:r>
              <w:rPr>
                <w:rFonts w:ascii="宋体" w:hAnsi="宋体" w:eastAsia="宋体" w:cs="宋体"/>
                <w:b w:val="0"/>
              </w:rPr>
              <w:t>G</w:t>
            </w:r>
          </w:p>
        </w:tc>
        <w:tc>
          <w:tcPr>
            <w:tcW w:w="0" w:type="dxa"/>
            <w:vAlign w:val="center"/>
          </w:tcPr>
          <w:p w14:paraId="5F925894">
            <w:pPr>
              <w:spacing w:line="240" w:lineRule="auto"/>
              <w:jc w:val="left"/>
            </w:pPr>
            <w:r>
              <w:rPr>
                <w:rFonts w:ascii="宋体" w:hAnsi="宋体" w:eastAsia="宋体" w:cs="宋体"/>
                <w:b w:val="0"/>
              </w:rPr>
              <w:t>交通运输、仓储和邮政业</w:t>
            </w:r>
          </w:p>
        </w:tc>
        <w:tc>
          <w:tcPr>
            <w:tcW w:w="0" w:type="dxa"/>
            <w:vAlign w:val="center"/>
          </w:tcPr>
          <w:p w14:paraId="448B1286">
            <w:pPr>
              <w:spacing w:line="240" w:lineRule="auto"/>
              <w:jc w:val="right"/>
            </w:pPr>
            <w:r>
              <w:rPr>
                <w:rFonts w:ascii="宋体" w:hAnsi="宋体" w:eastAsia="宋体" w:cs="宋体"/>
                <w:b w:val="0"/>
              </w:rPr>
              <w:t>-</w:t>
            </w:r>
          </w:p>
        </w:tc>
        <w:tc>
          <w:tcPr>
            <w:tcW w:w="0" w:type="dxa"/>
            <w:vAlign w:val="center"/>
          </w:tcPr>
          <w:p w14:paraId="305E7258">
            <w:pPr>
              <w:spacing w:line="240" w:lineRule="auto"/>
              <w:jc w:val="right"/>
            </w:pPr>
            <w:r>
              <w:rPr>
                <w:rFonts w:ascii="宋体" w:hAnsi="宋体" w:eastAsia="宋体" w:cs="宋体"/>
                <w:b w:val="0"/>
              </w:rPr>
              <w:t>-</w:t>
            </w:r>
          </w:p>
        </w:tc>
      </w:tr>
      <w:tr w14:paraId="4348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F54DB7">
            <w:pPr>
              <w:spacing w:line="240" w:lineRule="auto"/>
              <w:jc w:val="center"/>
            </w:pPr>
            <w:r>
              <w:rPr>
                <w:rFonts w:ascii="宋体" w:hAnsi="宋体" w:eastAsia="宋体" w:cs="宋体"/>
                <w:b w:val="0"/>
              </w:rPr>
              <w:t>H</w:t>
            </w:r>
          </w:p>
        </w:tc>
        <w:tc>
          <w:tcPr>
            <w:tcW w:w="0" w:type="dxa"/>
            <w:vAlign w:val="center"/>
          </w:tcPr>
          <w:p w14:paraId="55D2CBD0">
            <w:pPr>
              <w:spacing w:line="240" w:lineRule="auto"/>
              <w:jc w:val="left"/>
            </w:pPr>
            <w:r>
              <w:rPr>
                <w:rFonts w:ascii="宋体" w:hAnsi="宋体" w:eastAsia="宋体" w:cs="宋体"/>
                <w:b w:val="0"/>
              </w:rPr>
              <w:t>住宿和餐饮业</w:t>
            </w:r>
          </w:p>
        </w:tc>
        <w:tc>
          <w:tcPr>
            <w:tcW w:w="0" w:type="dxa"/>
            <w:vAlign w:val="center"/>
          </w:tcPr>
          <w:p w14:paraId="49E98272">
            <w:pPr>
              <w:spacing w:line="240" w:lineRule="auto"/>
              <w:jc w:val="right"/>
            </w:pPr>
            <w:r>
              <w:rPr>
                <w:rFonts w:ascii="宋体" w:hAnsi="宋体" w:eastAsia="宋体" w:cs="宋体"/>
                <w:b w:val="0"/>
              </w:rPr>
              <w:t>-</w:t>
            </w:r>
          </w:p>
        </w:tc>
        <w:tc>
          <w:tcPr>
            <w:tcW w:w="0" w:type="dxa"/>
            <w:vAlign w:val="center"/>
          </w:tcPr>
          <w:p w14:paraId="0AC46FB7">
            <w:pPr>
              <w:spacing w:line="240" w:lineRule="auto"/>
              <w:jc w:val="right"/>
            </w:pPr>
            <w:r>
              <w:rPr>
                <w:rFonts w:ascii="宋体" w:hAnsi="宋体" w:eastAsia="宋体" w:cs="宋体"/>
                <w:b w:val="0"/>
              </w:rPr>
              <w:t>-</w:t>
            </w:r>
          </w:p>
        </w:tc>
      </w:tr>
      <w:tr w14:paraId="2A65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50CD42">
            <w:pPr>
              <w:spacing w:line="240" w:lineRule="auto"/>
              <w:jc w:val="center"/>
            </w:pPr>
            <w:r>
              <w:rPr>
                <w:rFonts w:ascii="宋体" w:hAnsi="宋体" w:eastAsia="宋体" w:cs="宋体"/>
                <w:b w:val="0"/>
              </w:rPr>
              <w:t>I</w:t>
            </w:r>
          </w:p>
        </w:tc>
        <w:tc>
          <w:tcPr>
            <w:tcW w:w="0" w:type="dxa"/>
            <w:vAlign w:val="center"/>
          </w:tcPr>
          <w:p w14:paraId="22749546">
            <w:pPr>
              <w:spacing w:line="240" w:lineRule="auto"/>
              <w:jc w:val="left"/>
            </w:pPr>
            <w:r>
              <w:rPr>
                <w:rFonts w:ascii="宋体" w:hAnsi="宋体" w:eastAsia="宋体" w:cs="宋体"/>
                <w:b w:val="0"/>
              </w:rPr>
              <w:t>信息传输、软件和信息技术服务业</w:t>
            </w:r>
          </w:p>
        </w:tc>
        <w:tc>
          <w:tcPr>
            <w:tcW w:w="0" w:type="dxa"/>
            <w:vAlign w:val="center"/>
          </w:tcPr>
          <w:p w14:paraId="2327BFEB">
            <w:pPr>
              <w:spacing w:line="240" w:lineRule="auto"/>
              <w:jc w:val="right"/>
            </w:pPr>
            <w:r>
              <w:rPr>
                <w:rFonts w:ascii="宋体" w:hAnsi="宋体" w:eastAsia="宋体" w:cs="宋体"/>
                <w:b w:val="0"/>
              </w:rPr>
              <w:t>-</w:t>
            </w:r>
          </w:p>
        </w:tc>
        <w:tc>
          <w:tcPr>
            <w:tcW w:w="0" w:type="dxa"/>
            <w:vAlign w:val="center"/>
          </w:tcPr>
          <w:p w14:paraId="52A08621">
            <w:pPr>
              <w:spacing w:line="240" w:lineRule="auto"/>
              <w:jc w:val="right"/>
            </w:pPr>
            <w:r>
              <w:rPr>
                <w:rFonts w:ascii="宋体" w:hAnsi="宋体" w:eastAsia="宋体" w:cs="宋体"/>
                <w:b w:val="0"/>
              </w:rPr>
              <w:t>-</w:t>
            </w:r>
          </w:p>
        </w:tc>
      </w:tr>
      <w:tr w14:paraId="4B29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5507E0">
            <w:pPr>
              <w:spacing w:line="240" w:lineRule="auto"/>
              <w:jc w:val="center"/>
            </w:pPr>
            <w:r>
              <w:rPr>
                <w:rFonts w:ascii="宋体" w:hAnsi="宋体" w:eastAsia="宋体" w:cs="宋体"/>
                <w:b w:val="0"/>
              </w:rPr>
              <w:t>J</w:t>
            </w:r>
          </w:p>
        </w:tc>
        <w:tc>
          <w:tcPr>
            <w:tcW w:w="0" w:type="dxa"/>
            <w:vAlign w:val="center"/>
          </w:tcPr>
          <w:p w14:paraId="30D10A01">
            <w:pPr>
              <w:spacing w:line="240" w:lineRule="auto"/>
              <w:jc w:val="left"/>
            </w:pPr>
            <w:r>
              <w:rPr>
                <w:rFonts w:ascii="宋体" w:hAnsi="宋体" w:eastAsia="宋体" w:cs="宋体"/>
                <w:b w:val="0"/>
              </w:rPr>
              <w:t>金融业</w:t>
            </w:r>
          </w:p>
        </w:tc>
        <w:tc>
          <w:tcPr>
            <w:tcW w:w="0" w:type="dxa"/>
            <w:vAlign w:val="center"/>
          </w:tcPr>
          <w:p w14:paraId="226C5781">
            <w:pPr>
              <w:spacing w:line="240" w:lineRule="auto"/>
              <w:jc w:val="right"/>
            </w:pPr>
            <w:r>
              <w:rPr>
                <w:rFonts w:ascii="宋体" w:hAnsi="宋体" w:eastAsia="宋体" w:cs="宋体"/>
                <w:b w:val="0"/>
              </w:rPr>
              <w:t>-</w:t>
            </w:r>
          </w:p>
        </w:tc>
        <w:tc>
          <w:tcPr>
            <w:tcW w:w="0" w:type="dxa"/>
            <w:vAlign w:val="center"/>
          </w:tcPr>
          <w:p w14:paraId="2894D41A">
            <w:pPr>
              <w:spacing w:line="240" w:lineRule="auto"/>
              <w:jc w:val="right"/>
            </w:pPr>
            <w:r>
              <w:rPr>
                <w:rFonts w:ascii="宋体" w:hAnsi="宋体" w:eastAsia="宋体" w:cs="宋体"/>
                <w:b w:val="0"/>
              </w:rPr>
              <w:t>-</w:t>
            </w:r>
          </w:p>
        </w:tc>
      </w:tr>
      <w:tr w14:paraId="6FC4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C31D71">
            <w:pPr>
              <w:spacing w:line="240" w:lineRule="auto"/>
              <w:jc w:val="center"/>
            </w:pPr>
            <w:r>
              <w:rPr>
                <w:rFonts w:ascii="宋体" w:hAnsi="宋体" w:eastAsia="宋体" w:cs="宋体"/>
                <w:b w:val="0"/>
              </w:rPr>
              <w:t>K</w:t>
            </w:r>
          </w:p>
        </w:tc>
        <w:tc>
          <w:tcPr>
            <w:tcW w:w="0" w:type="dxa"/>
            <w:vAlign w:val="center"/>
          </w:tcPr>
          <w:p w14:paraId="7A2F5C56">
            <w:pPr>
              <w:spacing w:line="240" w:lineRule="auto"/>
              <w:jc w:val="left"/>
            </w:pPr>
            <w:r>
              <w:rPr>
                <w:rFonts w:ascii="宋体" w:hAnsi="宋体" w:eastAsia="宋体" w:cs="宋体"/>
                <w:b w:val="0"/>
              </w:rPr>
              <w:t>房地产业</w:t>
            </w:r>
          </w:p>
        </w:tc>
        <w:tc>
          <w:tcPr>
            <w:tcW w:w="0" w:type="dxa"/>
            <w:vAlign w:val="center"/>
          </w:tcPr>
          <w:p w14:paraId="50D420CB">
            <w:pPr>
              <w:spacing w:line="240" w:lineRule="auto"/>
              <w:jc w:val="right"/>
            </w:pPr>
            <w:r>
              <w:rPr>
                <w:rFonts w:ascii="宋体" w:hAnsi="宋体" w:eastAsia="宋体" w:cs="宋体"/>
                <w:b w:val="0"/>
              </w:rPr>
              <w:t>-</w:t>
            </w:r>
          </w:p>
        </w:tc>
        <w:tc>
          <w:tcPr>
            <w:tcW w:w="0" w:type="dxa"/>
            <w:vAlign w:val="center"/>
          </w:tcPr>
          <w:p w14:paraId="11597209">
            <w:pPr>
              <w:spacing w:line="240" w:lineRule="auto"/>
              <w:jc w:val="right"/>
            </w:pPr>
            <w:r>
              <w:rPr>
                <w:rFonts w:ascii="宋体" w:hAnsi="宋体" w:eastAsia="宋体" w:cs="宋体"/>
                <w:b w:val="0"/>
              </w:rPr>
              <w:t>-</w:t>
            </w:r>
          </w:p>
        </w:tc>
      </w:tr>
      <w:tr w14:paraId="4E3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D0AF71">
            <w:pPr>
              <w:spacing w:line="240" w:lineRule="auto"/>
              <w:jc w:val="center"/>
            </w:pPr>
            <w:r>
              <w:rPr>
                <w:rFonts w:ascii="宋体" w:hAnsi="宋体" w:eastAsia="宋体" w:cs="宋体"/>
                <w:b w:val="0"/>
              </w:rPr>
              <w:t>L</w:t>
            </w:r>
          </w:p>
        </w:tc>
        <w:tc>
          <w:tcPr>
            <w:tcW w:w="0" w:type="dxa"/>
            <w:vAlign w:val="center"/>
          </w:tcPr>
          <w:p w14:paraId="567A05F6">
            <w:pPr>
              <w:spacing w:line="240" w:lineRule="auto"/>
              <w:jc w:val="left"/>
            </w:pPr>
            <w:r>
              <w:rPr>
                <w:rFonts w:ascii="宋体" w:hAnsi="宋体" w:eastAsia="宋体" w:cs="宋体"/>
                <w:b w:val="0"/>
              </w:rPr>
              <w:t>租赁和商务服务业</w:t>
            </w:r>
          </w:p>
        </w:tc>
        <w:tc>
          <w:tcPr>
            <w:tcW w:w="0" w:type="dxa"/>
            <w:vAlign w:val="center"/>
          </w:tcPr>
          <w:p w14:paraId="08090129">
            <w:pPr>
              <w:spacing w:line="240" w:lineRule="auto"/>
              <w:jc w:val="right"/>
            </w:pPr>
            <w:r>
              <w:rPr>
                <w:rFonts w:ascii="宋体" w:hAnsi="宋体" w:eastAsia="宋体" w:cs="宋体"/>
                <w:b w:val="0"/>
              </w:rPr>
              <w:t>-</w:t>
            </w:r>
          </w:p>
        </w:tc>
        <w:tc>
          <w:tcPr>
            <w:tcW w:w="0" w:type="dxa"/>
            <w:vAlign w:val="center"/>
          </w:tcPr>
          <w:p w14:paraId="26119B66">
            <w:pPr>
              <w:spacing w:line="240" w:lineRule="auto"/>
              <w:jc w:val="right"/>
            </w:pPr>
            <w:r>
              <w:rPr>
                <w:rFonts w:ascii="宋体" w:hAnsi="宋体" w:eastAsia="宋体" w:cs="宋体"/>
                <w:b w:val="0"/>
              </w:rPr>
              <w:t>-</w:t>
            </w:r>
          </w:p>
        </w:tc>
      </w:tr>
      <w:tr w14:paraId="7252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929F79">
            <w:pPr>
              <w:spacing w:line="240" w:lineRule="auto"/>
              <w:jc w:val="center"/>
            </w:pPr>
            <w:r>
              <w:rPr>
                <w:rFonts w:ascii="宋体" w:hAnsi="宋体" w:eastAsia="宋体" w:cs="宋体"/>
                <w:b w:val="0"/>
              </w:rPr>
              <w:t>M</w:t>
            </w:r>
          </w:p>
        </w:tc>
        <w:tc>
          <w:tcPr>
            <w:tcW w:w="0" w:type="dxa"/>
            <w:vAlign w:val="center"/>
          </w:tcPr>
          <w:p w14:paraId="041433B1">
            <w:pPr>
              <w:spacing w:line="240" w:lineRule="auto"/>
              <w:jc w:val="left"/>
            </w:pPr>
            <w:r>
              <w:rPr>
                <w:rFonts w:ascii="宋体" w:hAnsi="宋体" w:eastAsia="宋体" w:cs="宋体"/>
                <w:b w:val="0"/>
              </w:rPr>
              <w:t>科学研究和技术服务业</w:t>
            </w:r>
          </w:p>
        </w:tc>
        <w:tc>
          <w:tcPr>
            <w:tcW w:w="0" w:type="dxa"/>
            <w:vAlign w:val="center"/>
          </w:tcPr>
          <w:p w14:paraId="755FDF61">
            <w:pPr>
              <w:spacing w:line="240" w:lineRule="auto"/>
              <w:jc w:val="right"/>
            </w:pPr>
            <w:r>
              <w:rPr>
                <w:rFonts w:ascii="宋体" w:hAnsi="宋体" w:eastAsia="宋体" w:cs="宋体"/>
                <w:b w:val="0"/>
              </w:rPr>
              <w:t>-</w:t>
            </w:r>
          </w:p>
        </w:tc>
        <w:tc>
          <w:tcPr>
            <w:tcW w:w="0" w:type="dxa"/>
            <w:vAlign w:val="center"/>
          </w:tcPr>
          <w:p w14:paraId="5142CFBA">
            <w:pPr>
              <w:spacing w:line="240" w:lineRule="auto"/>
              <w:jc w:val="right"/>
            </w:pPr>
            <w:r>
              <w:rPr>
                <w:rFonts w:ascii="宋体" w:hAnsi="宋体" w:eastAsia="宋体" w:cs="宋体"/>
                <w:b w:val="0"/>
              </w:rPr>
              <w:t>-</w:t>
            </w:r>
          </w:p>
        </w:tc>
      </w:tr>
      <w:tr w14:paraId="1B25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45A76C">
            <w:pPr>
              <w:spacing w:line="240" w:lineRule="auto"/>
              <w:jc w:val="center"/>
            </w:pPr>
            <w:r>
              <w:rPr>
                <w:rFonts w:ascii="宋体" w:hAnsi="宋体" w:eastAsia="宋体" w:cs="宋体"/>
                <w:b w:val="0"/>
              </w:rPr>
              <w:t>N</w:t>
            </w:r>
          </w:p>
        </w:tc>
        <w:tc>
          <w:tcPr>
            <w:tcW w:w="0" w:type="dxa"/>
            <w:vAlign w:val="center"/>
          </w:tcPr>
          <w:p w14:paraId="0411B5C7">
            <w:pPr>
              <w:spacing w:line="240" w:lineRule="auto"/>
              <w:jc w:val="left"/>
            </w:pPr>
            <w:r>
              <w:rPr>
                <w:rFonts w:ascii="宋体" w:hAnsi="宋体" w:eastAsia="宋体" w:cs="宋体"/>
                <w:b w:val="0"/>
              </w:rPr>
              <w:t>水利、环境和公共设施管理业</w:t>
            </w:r>
          </w:p>
        </w:tc>
        <w:tc>
          <w:tcPr>
            <w:tcW w:w="0" w:type="dxa"/>
            <w:vAlign w:val="center"/>
          </w:tcPr>
          <w:p w14:paraId="2DB9B078">
            <w:pPr>
              <w:spacing w:line="240" w:lineRule="auto"/>
              <w:jc w:val="right"/>
            </w:pPr>
            <w:r>
              <w:rPr>
                <w:rFonts w:ascii="宋体" w:hAnsi="宋体" w:eastAsia="宋体" w:cs="宋体"/>
                <w:b w:val="0"/>
              </w:rPr>
              <w:t>-</w:t>
            </w:r>
          </w:p>
        </w:tc>
        <w:tc>
          <w:tcPr>
            <w:tcW w:w="0" w:type="dxa"/>
            <w:vAlign w:val="center"/>
          </w:tcPr>
          <w:p w14:paraId="5E29D021">
            <w:pPr>
              <w:spacing w:line="240" w:lineRule="auto"/>
              <w:jc w:val="right"/>
            </w:pPr>
            <w:r>
              <w:rPr>
                <w:rFonts w:ascii="宋体" w:hAnsi="宋体" w:eastAsia="宋体" w:cs="宋体"/>
                <w:b w:val="0"/>
              </w:rPr>
              <w:t>-</w:t>
            </w:r>
          </w:p>
        </w:tc>
      </w:tr>
      <w:tr w14:paraId="43B6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3ADA20">
            <w:pPr>
              <w:spacing w:line="240" w:lineRule="auto"/>
              <w:jc w:val="center"/>
            </w:pPr>
            <w:r>
              <w:rPr>
                <w:rFonts w:ascii="宋体" w:hAnsi="宋体" w:eastAsia="宋体" w:cs="宋体"/>
                <w:b w:val="0"/>
              </w:rPr>
              <w:t>O</w:t>
            </w:r>
          </w:p>
        </w:tc>
        <w:tc>
          <w:tcPr>
            <w:tcW w:w="0" w:type="dxa"/>
            <w:vAlign w:val="center"/>
          </w:tcPr>
          <w:p w14:paraId="2CCB2FC9">
            <w:pPr>
              <w:spacing w:line="240" w:lineRule="auto"/>
              <w:jc w:val="left"/>
            </w:pPr>
            <w:r>
              <w:rPr>
                <w:rFonts w:ascii="宋体" w:hAnsi="宋体" w:eastAsia="宋体" w:cs="宋体"/>
                <w:b w:val="0"/>
              </w:rPr>
              <w:t>居民服务、修理和其他服务业</w:t>
            </w:r>
          </w:p>
        </w:tc>
        <w:tc>
          <w:tcPr>
            <w:tcW w:w="0" w:type="dxa"/>
            <w:vAlign w:val="center"/>
          </w:tcPr>
          <w:p w14:paraId="5ACD7B84">
            <w:pPr>
              <w:spacing w:line="240" w:lineRule="auto"/>
              <w:jc w:val="right"/>
            </w:pPr>
            <w:r>
              <w:rPr>
                <w:rFonts w:ascii="宋体" w:hAnsi="宋体" w:eastAsia="宋体" w:cs="宋体"/>
                <w:b w:val="0"/>
              </w:rPr>
              <w:t>-</w:t>
            </w:r>
          </w:p>
        </w:tc>
        <w:tc>
          <w:tcPr>
            <w:tcW w:w="0" w:type="dxa"/>
            <w:vAlign w:val="center"/>
          </w:tcPr>
          <w:p w14:paraId="7F377C27">
            <w:pPr>
              <w:spacing w:line="240" w:lineRule="auto"/>
              <w:jc w:val="right"/>
            </w:pPr>
            <w:r>
              <w:rPr>
                <w:rFonts w:ascii="宋体" w:hAnsi="宋体" w:eastAsia="宋体" w:cs="宋体"/>
                <w:b w:val="0"/>
              </w:rPr>
              <w:t>-</w:t>
            </w:r>
          </w:p>
        </w:tc>
      </w:tr>
      <w:tr w14:paraId="60EC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2BF821">
            <w:pPr>
              <w:spacing w:line="240" w:lineRule="auto"/>
              <w:jc w:val="center"/>
            </w:pPr>
            <w:r>
              <w:rPr>
                <w:rFonts w:ascii="宋体" w:hAnsi="宋体" w:eastAsia="宋体" w:cs="宋体"/>
                <w:b w:val="0"/>
              </w:rPr>
              <w:t>P</w:t>
            </w:r>
          </w:p>
        </w:tc>
        <w:tc>
          <w:tcPr>
            <w:tcW w:w="0" w:type="dxa"/>
            <w:vAlign w:val="center"/>
          </w:tcPr>
          <w:p w14:paraId="7170A51C">
            <w:pPr>
              <w:spacing w:line="240" w:lineRule="auto"/>
              <w:jc w:val="left"/>
            </w:pPr>
            <w:r>
              <w:rPr>
                <w:rFonts w:ascii="宋体" w:hAnsi="宋体" w:eastAsia="宋体" w:cs="宋体"/>
                <w:b w:val="0"/>
              </w:rPr>
              <w:t>教育</w:t>
            </w:r>
          </w:p>
        </w:tc>
        <w:tc>
          <w:tcPr>
            <w:tcW w:w="0" w:type="dxa"/>
            <w:vAlign w:val="center"/>
          </w:tcPr>
          <w:p w14:paraId="630584DF">
            <w:pPr>
              <w:spacing w:line="240" w:lineRule="auto"/>
              <w:jc w:val="right"/>
            </w:pPr>
            <w:r>
              <w:rPr>
                <w:rFonts w:ascii="宋体" w:hAnsi="宋体" w:eastAsia="宋体" w:cs="宋体"/>
                <w:b w:val="0"/>
              </w:rPr>
              <w:t>-</w:t>
            </w:r>
          </w:p>
        </w:tc>
        <w:tc>
          <w:tcPr>
            <w:tcW w:w="0" w:type="dxa"/>
            <w:vAlign w:val="center"/>
          </w:tcPr>
          <w:p w14:paraId="56FAB604">
            <w:pPr>
              <w:spacing w:line="240" w:lineRule="auto"/>
              <w:jc w:val="right"/>
            </w:pPr>
            <w:r>
              <w:rPr>
                <w:rFonts w:ascii="宋体" w:hAnsi="宋体" w:eastAsia="宋体" w:cs="宋体"/>
                <w:b w:val="0"/>
              </w:rPr>
              <w:t>-</w:t>
            </w:r>
          </w:p>
        </w:tc>
      </w:tr>
      <w:tr w14:paraId="4971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6F1A7A">
            <w:pPr>
              <w:spacing w:line="240" w:lineRule="auto"/>
              <w:jc w:val="center"/>
            </w:pPr>
            <w:r>
              <w:rPr>
                <w:rFonts w:ascii="宋体" w:hAnsi="宋体" w:eastAsia="宋体" w:cs="宋体"/>
                <w:b w:val="0"/>
              </w:rPr>
              <w:t>Q</w:t>
            </w:r>
          </w:p>
        </w:tc>
        <w:tc>
          <w:tcPr>
            <w:tcW w:w="0" w:type="dxa"/>
            <w:vAlign w:val="center"/>
          </w:tcPr>
          <w:p w14:paraId="083E3F47">
            <w:pPr>
              <w:spacing w:line="240" w:lineRule="auto"/>
              <w:jc w:val="left"/>
            </w:pPr>
            <w:r>
              <w:rPr>
                <w:rFonts w:ascii="宋体" w:hAnsi="宋体" w:eastAsia="宋体" w:cs="宋体"/>
                <w:b w:val="0"/>
              </w:rPr>
              <w:t>卫生和社会工作</w:t>
            </w:r>
          </w:p>
        </w:tc>
        <w:tc>
          <w:tcPr>
            <w:tcW w:w="0" w:type="dxa"/>
            <w:vAlign w:val="center"/>
          </w:tcPr>
          <w:p w14:paraId="468BAC5C">
            <w:pPr>
              <w:spacing w:line="240" w:lineRule="auto"/>
              <w:jc w:val="right"/>
            </w:pPr>
            <w:r>
              <w:rPr>
                <w:rFonts w:ascii="宋体" w:hAnsi="宋体" w:eastAsia="宋体" w:cs="宋体"/>
                <w:b w:val="0"/>
              </w:rPr>
              <w:t>-</w:t>
            </w:r>
          </w:p>
        </w:tc>
        <w:tc>
          <w:tcPr>
            <w:tcW w:w="0" w:type="dxa"/>
            <w:vAlign w:val="center"/>
          </w:tcPr>
          <w:p w14:paraId="20CBC83F">
            <w:pPr>
              <w:spacing w:line="240" w:lineRule="auto"/>
              <w:jc w:val="right"/>
            </w:pPr>
            <w:r>
              <w:rPr>
                <w:rFonts w:ascii="宋体" w:hAnsi="宋体" w:eastAsia="宋体" w:cs="宋体"/>
                <w:b w:val="0"/>
              </w:rPr>
              <w:t>-</w:t>
            </w:r>
          </w:p>
        </w:tc>
      </w:tr>
      <w:tr w14:paraId="7224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600F16">
            <w:pPr>
              <w:spacing w:line="240" w:lineRule="auto"/>
              <w:jc w:val="center"/>
            </w:pPr>
            <w:r>
              <w:rPr>
                <w:rFonts w:ascii="宋体" w:hAnsi="宋体" w:eastAsia="宋体" w:cs="宋体"/>
                <w:b w:val="0"/>
              </w:rPr>
              <w:t>R</w:t>
            </w:r>
          </w:p>
        </w:tc>
        <w:tc>
          <w:tcPr>
            <w:tcW w:w="0" w:type="dxa"/>
            <w:vAlign w:val="center"/>
          </w:tcPr>
          <w:p w14:paraId="62A386CB">
            <w:pPr>
              <w:spacing w:line="240" w:lineRule="auto"/>
              <w:jc w:val="left"/>
            </w:pPr>
            <w:r>
              <w:rPr>
                <w:rFonts w:ascii="宋体" w:hAnsi="宋体" w:eastAsia="宋体" w:cs="宋体"/>
                <w:b w:val="0"/>
              </w:rPr>
              <w:t>文化、体育和娱乐业</w:t>
            </w:r>
          </w:p>
        </w:tc>
        <w:tc>
          <w:tcPr>
            <w:tcW w:w="0" w:type="dxa"/>
            <w:vAlign w:val="center"/>
          </w:tcPr>
          <w:p w14:paraId="1811B40D">
            <w:pPr>
              <w:spacing w:line="240" w:lineRule="auto"/>
              <w:jc w:val="right"/>
            </w:pPr>
            <w:r>
              <w:rPr>
                <w:rFonts w:ascii="宋体" w:hAnsi="宋体" w:eastAsia="宋体" w:cs="宋体"/>
                <w:b w:val="0"/>
              </w:rPr>
              <w:t>-</w:t>
            </w:r>
          </w:p>
        </w:tc>
        <w:tc>
          <w:tcPr>
            <w:tcW w:w="0" w:type="dxa"/>
            <w:vAlign w:val="center"/>
          </w:tcPr>
          <w:p w14:paraId="25C7D0A0">
            <w:pPr>
              <w:spacing w:line="240" w:lineRule="auto"/>
              <w:jc w:val="right"/>
            </w:pPr>
            <w:r>
              <w:rPr>
                <w:rFonts w:ascii="宋体" w:hAnsi="宋体" w:eastAsia="宋体" w:cs="宋体"/>
                <w:b w:val="0"/>
              </w:rPr>
              <w:t>-</w:t>
            </w:r>
          </w:p>
        </w:tc>
      </w:tr>
      <w:tr w14:paraId="2BBF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8792A5">
            <w:pPr>
              <w:spacing w:line="240" w:lineRule="auto"/>
              <w:jc w:val="center"/>
            </w:pPr>
            <w:r>
              <w:rPr>
                <w:rFonts w:ascii="宋体" w:hAnsi="宋体" w:eastAsia="宋体" w:cs="宋体"/>
                <w:b w:val="0"/>
              </w:rPr>
              <w:t>S</w:t>
            </w:r>
          </w:p>
        </w:tc>
        <w:tc>
          <w:tcPr>
            <w:tcW w:w="0" w:type="dxa"/>
            <w:vAlign w:val="center"/>
          </w:tcPr>
          <w:p w14:paraId="7EADF277">
            <w:pPr>
              <w:spacing w:line="240" w:lineRule="auto"/>
              <w:jc w:val="left"/>
            </w:pPr>
            <w:r>
              <w:rPr>
                <w:rFonts w:ascii="宋体" w:hAnsi="宋体" w:eastAsia="宋体" w:cs="宋体"/>
                <w:b w:val="0"/>
              </w:rPr>
              <w:t>综合</w:t>
            </w:r>
          </w:p>
        </w:tc>
        <w:tc>
          <w:tcPr>
            <w:tcW w:w="0" w:type="dxa"/>
            <w:vAlign w:val="center"/>
          </w:tcPr>
          <w:p w14:paraId="1030DCA9">
            <w:pPr>
              <w:spacing w:line="240" w:lineRule="auto"/>
              <w:jc w:val="right"/>
            </w:pPr>
            <w:r>
              <w:rPr>
                <w:rFonts w:ascii="宋体" w:hAnsi="宋体" w:eastAsia="宋体" w:cs="宋体"/>
                <w:b w:val="0"/>
              </w:rPr>
              <w:t>-</w:t>
            </w:r>
          </w:p>
        </w:tc>
        <w:tc>
          <w:tcPr>
            <w:tcW w:w="0" w:type="dxa"/>
            <w:vAlign w:val="center"/>
          </w:tcPr>
          <w:p w14:paraId="4073E700">
            <w:pPr>
              <w:spacing w:line="240" w:lineRule="auto"/>
              <w:jc w:val="right"/>
            </w:pPr>
            <w:r>
              <w:rPr>
                <w:rFonts w:ascii="宋体" w:hAnsi="宋体" w:eastAsia="宋体" w:cs="宋体"/>
                <w:b w:val="0"/>
              </w:rPr>
              <w:t>-</w:t>
            </w:r>
          </w:p>
        </w:tc>
      </w:tr>
      <w:tr w14:paraId="576F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D87327">
            <w:pPr>
              <w:spacing w:line="240" w:lineRule="auto"/>
              <w:jc w:val="center"/>
            </w:pPr>
          </w:p>
        </w:tc>
        <w:tc>
          <w:tcPr>
            <w:tcW w:w="0" w:type="dxa"/>
            <w:vAlign w:val="center"/>
          </w:tcPr>
          <w:p w14:paraId="4E933DA7">
            <w:pPr>
              <w:spacing w:line="240" w:lineRule="auto"/>
              <w:jc w:val="left"/>
            </w:pPr>
            <w:r>
              <w:rPr>
                <w:rFonts w:ascii="宋体" w:hAnsi="宋体" w:eastAsia="宋体" w:cs="宋体"/>
                <w:b w:val="0"/>
              </w:rPr>
              <w:t>合计</w:t>
            </w:r>
          </w:p>
        </w:tc>
        <w:tc>
          <w:tcPr>
            <w:tcW w:w="0" w:type="dxa"/>
            <w:vAlign w:val="center"/>
          </w:tcPr>
          <w:p w14:paraId="560F1F64">
            <w:pPr>
              <w:spacing w:line="240" w:lineRule="auto"/>
              <w:jc w:val="right"/>
            </w:pPr>
            <w:r>
              <w:rPr>
                <w:rFonts w:ascii="宋体" w:hAnsi="宋体" w:eastAsia="宋体" w:cs="宋体"/>
                <w:b w:val="0"/>
              </w:rPr>
              <w:t>726,911,909.88</w:t>
            </w:r>
          </w:p>
        </w:tc>
        <w:tc>
          <w:tcPr>
            <w:tcW w:w="0" w:type="dxa"/>
            <w:vAlign w:val="center"/>
          </w:tcPr>
          <w:p w14:paraId="24F54A3A">
            <w:pPr>
              <w:spacing w:line="240" w:lineRule="auto"/>
              <w:jc w:val="right"/>
            </w:pPr>
            <w:r>
              <w:rPr>
                <w:rFonts w:ascii="宋体" w:hAnsi="宋体" w:eastAsia="宋体" w:cs="宋体"/>
                <w:b w:val="0"/>
              </w:rPr>
              <w:t>77.84</w:t>
            </w:r>
          </w:p>
        </w:tc>
      </w:tr>
    </w:tbl>
    <w:p w14:paraId="03B43DB3"/>
    <w:p w14:paraId="1D8BBB4D">
      <w:pPr>
        <w:pStyle w:val="58"/>
      </w:pPr>
      <w:r>
        <w:rPr>
          <w:rFonts w:ascii="宋体" w:hAnsi="宋体" w:eastAsia="宋体" w:cs="宋体"/>
          <w:b/>
        </w:rPr>
        <w:t>7.2.2 报告期末按行业分类的港股通投资股票投资组合</w:t>
      </w:r>
    </w:p>
    <w:p w14:paraId="2CF7F008">
      <w:r>
        <w:rPr>
          <w:rFonts w:ascii="宋体" w:hAnsi="宋体" w:eastAsia="宋体" w:cs="宋体"/>
          <w:b w:val="0"/>
        </w:rPr>
        <w:t xml:space="preserve">    本基金本报告期末未持有港股通投资股票投资组合。</w:t>
      </w:r>
    </w:p>
    <w:p w14:paraId="636666D2"/>
    <w:p w14:paraId="49203C8E">
      <w:pPr>
        <w:pStyle w:val="3"/>
        <w:jc w:val="left"/>
      </w:pPr>
      <w:bookmarkStart w:id="35" w:name="_Toc30385"/>
      <w:r>
        <w:rPr>
          <w:rFonts w:ascii="宋体" w:hAnsi="宋体" w:eastAsia="宋体" w:cs="宋体"/>
        </w:rPr>
        <w:t>7.3 期末按公允价值占基金资产净值比例大小排序的所有股票投资明细</w:t>
      </w:r>
      <w:bookmarkEnd w:id="35"/>
    </w:p>
    <w:p w14:paraId="5D421D6B">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231"/>
        <w:gridCol w:w="1581"/>
        <w:gridCol w:w="2161"/>
      </w:tblGrid>
      <w:tr w14:paraId="3C15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57FEBAC3">
            <w:pPr>
              <w:spacing w:line="240" w:lineRule="auto"/>
              <w:jc w:val="center"/>
            </w:pPr>
            <w:r>
              <w:rPr>
                <w:rFonts w:ascii="宋体" w:hAnsi="宋体" w:eastAsia="宋体" w:cs="宋体"/>
                <w:b w:val="0"/>
              </w:rPr>
              <w:t>序号</w:t>
            </w:r>
          </w:p>
        </w:tc>
        <w:tc>
          <w:tcPr>
            <w:tcW w:w="769" w:type="pct"/>
            <w:shd w:val="clear" w:color="auto" w:fill="D9D9D9"/>
            <w:vAlign w:val="center"/>
          </w:tcPr>
          <w:p w14:paraId="17C5996A">
            <w:pPr>
              <w:spacing w:line="240" w:lineRule="auto"/>
              <w:jc w:val="center"/>
            </w:pPr>
            <w:r>
              <w:rPr>
                <w:rFonts w:ascii="宋体" w:hAnsi="宋体" w:eastAsia="宋体" w:cs="宋体"/>
                <w:b w:val="0"/>
              </w:rPr>
              <w:t>股票代码</w:t>
            </w:r>
          </w:p>
        </w:tc>
        <w:tc>
          <w:tcPr>
            <w:tcW w:w="769" w:type="pct"/>
            <w:shd w:val="clear" w:color="auto" w:fill="D9D9D9"/>
            <w:vAlign w:val="center"/>
          </w:tcPr>
          <w:p w14:paraId="614D8299">
            <w:pPr>
              <w:spacing w:line="240" w:lineRule="auto"/>
              <w:jc w:val="center"/>
            </w:pPr>
            <w:r>
              <w:rPr>
                <w:rFonts w:ascii="宋体" w:hAnsi="宋体" w:eastAsia="宋体" w:cs="宋体"/>
                <w:b w:val="0"/>
              </w:rPr>
              <w:t>股票名称</w:t>
            </w:r>
          </w:p>
        </w:tc>
        <w:tc>
          <w:tcPr>
            <w:tcW w:w="615" w:type="pct"/>
            <w:shd w:val="clear" w:color="auto" w:fill="D9D9D9"/>
            <w:vAlign w:val="center"/>
          </w:tcPr>
          <w:p w14:paraId="5AEC0388">
            <w:pPr>
              <w:spacing w:line="240" w:lineRule="auto"/>
              <w:jc w:val="center"/>
            </w:pPr>
            <w:r>
              <w:rPr>
                <w:rFonts w:ascii="宋体" w:hAnsi="宋体" w:eastAsia="宋体" w:cs="宋体"/>
                <w:b w:val="0"/>
              </w:rPr>
              <w:t>数量(股)</w:t>
            </w:r>
          </w:p>
        </w:tc>
        <w:tc>
          <w:tcPr>
            <w:tcW w:w="769" w:type="pct"/>
            <w:shd w:val="clear" w:color="auto" w:fill="D9D9D9"/>
            <w:vAlign w:val="center"/>
          </w:tcPr>
          <w:p w14:paraId="5C96FBC8">
            <w:pPr>
              <w:spacing w:line="240" w:lineRule="auto"/>
              <w:jc w:val="center"/>
            </w:pPr>
            <w:r>
              <w:rPr>
                <w:rFonts w:ascii="宋体" w:hAnsi="宋体" w:eastAsia="宋体" w:cs="宋体"/>
                <w:b w:val="0"/>
              </w:rPr>
              <w:t>公允价值</w:t>
            </w:r>
          </w:p>
        </w:tc>
        <w:tc>
          <w:tcPr>
            <w:tcW w:w="1077" w:type="pct"/>
            <w:shd w:val="clear" w:color="auto" w:fill="D9D9D9"/>
            <w:vAlign w:val="center"/>
          </w:tcPr>
          <w:p w14:paraId="3E12C94D">
            <w:pPr>
              <w:spacing w:line="240" w:lineRule="auto"/>
              <w:jc w:val="center"/>
            </w:pPr>
            <w:r>
              <w:rPr>
                <w:rFonts w:ascii="宋体" w:hAnsi="宋体" w:eastAsia="宋体" w:cs="宋体"/>
                <w:b w:val="0"/>
              </w:rPr>
              <w:t>占基金资产净值比例(%)</w:t>
            </w:r>
          </w:p>
        </w:tc>
      </w:tr>
      <w:tr w14:paraId="069D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E12641">
            <w:pPr>
              <w:spacing w:line="240" w:lineRule="auto"/>
              <w:jc w:val="center"/>
            </w:pPr>
            <w:r>
              <w:rPr>
                <w:rFonts w:ascii="宋体" w:hAnsi="宋体" w:eastAsia="宋体" w:cs="宋体"/>
                <w:b w:val="0"/>
              </w:rPr>
              <w:t>1</w:t>
            </w:r>
          </w:p>
        </w:tc>
        <w:tc>
          <w:tcPr>
            <w:tcW w:w="0" w:type="dxa"/>
            <w:vAlign w:val="center"/>
          </w:tcPr>
          <w:p w14:paraId="395C45AA">
            <w:pPr>
              <w:spacing w:line="240" w:lineRule="auto"/>
              <w:jc w:val="left"/>
            </w:pPr>
            <w:r>
              <w:rPr>
                <w:rFonts w:ascii="宋体" w:hAnsi="宋体" w:eastAsia="宋体" w:cs="宋体"/>
                <w:b w:val="0"/>
              </w:rPr>
              <w:t>688361</w:t>
            </w:r>
          </w:p>
        </w:tc>
        <w:tc>
          <w:tcPr>
            <w:tcW w:w="0" w:type="dxa"/>
            <w:vAlign w:val="center"/>
          </w:tcPr>
          <w:p w14:paraId="352A250A">
            <w:pPr>
              <w:spacing w:line="240" w:lineRule="auto"/>
              <w:jc w:val="left"/>
            </w:pPr>
            <w:r>
              <w:rPr>
                <w:rFonts w:ascii="宋体" w:hAnsi="宋体" w:eastAsia="宋体" w:cs="宋体"/>
                <w:b w:val="0"/>
              </w:rPr>
              <w:t>中科飞测</w:t>
            </w:r>
          </w:p>
        </w:tc>
        <w:tc>
          <w:tcPr>
            <w:tcW w:w="0" w:type="dxa"/>
            <w:vAlign w:val="center"/>
          </w:tcPr>
          <w:p w14:paraId="72438DC6">
            <w:pPr>
              <w:spacing w:line="240" w:lineRule="auto"/>
              <w:jc w:val="right"/>
            </w:pPr>
            <w:r>
              <w:rPr>
                <w:rFonts w:ascii="宋体" w:hAnsi="宋体" w:eastAsia="宋体" w:cs="宋体"/>
                <w:b w:val="0"/>
              </w:rPr>
              <w:t>171,101</w:t>
            </w:r>
          </w:p>
        </w:tc>
        <w:tc>
          <w:tcPr>
            <w:tcW w:w="0" w:type="dxa"/>
            <w:vAlign w:val="center"/>
          </w:tcPr>
          <w:p w14:paraId="6049BED5">
            <w:pPr>
              <w:spacing w:line="240" w:lineRule="auto"/>
              <w:jc w:val="right"/>
            </w:pPr>
            <w:r>
              <w:rPr>
                <w:rFonts w:ascii="宋体" w:hAnsi="宋体" w:eastAsia="宋体" w:cs="宋体"/>
                <w:b w:val="0"/>
              </w:rPr>
              <w:t>73,573,430.00</w:t>
            </w:r>
          </w:p>
        </w:tc>
        <w:tc>
          <w:tcPr>
            <w:tcW w:w="0" w:type="dxa"/>
            <w:vAlign w:val="center"/>
          </w:tcPr>
          <w:p w14:paraId="4711990A">
            <w:pPr>
              <w:spacing w:line="240" w:lineRule="auto"/>
              <w:jc w:val="right"/>
            </w:pPr>
            <w:r>
              <w:rPr>
                <w:rFonts w:ascii="宋体" w:hAnsi="宋体" w:eastAsia="宋体" w:cs="宋体"/>
                <w:b w:val="0"/>
              </w:rPr>
              <w:t>7.88</w:t>
            </w:r>
          </w:p>
        </w:tc>
      </w:tr>
      <w:tr w14:paraId="756C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195303">
            <w:pPr>
              <w:spacing w:line="240" w:lineRule="auto"/>
              <w:jc w:val="center"/>
            </w:pPr>
            <w:r>
              <w:rPr>
                <w:rFonts w:ascii="宋体" w:hAnsi="宋体" w:eastAsia="宋体" w:cs="宋体"/>
                <w:b w:val="0"/>
              </w:rPr>
              <w:t>2</w:t>
            </w:r>
          </w:p>
        </w:tc>
        <w:tc>
          <w:tcPr>
            <w:tcW w:w="0" w:type="dxa"/>
            <w:vAlign w:val="center"/>
          </w:tcPr>
          <w:p w14:paraId="455FD250">
            <w:pPr>
              <w:spacing w:line="240" w:lineRule="auto"/>
              <w:jc w:val="left"/>
            </w:pPr>
            <w:r>
              <w:rPr>
                <w:rFonts w:ascii="宋体" w:hAnsi="宋体" w:eastAsia="宋体" w:cs="宋体"/>
                <w:b w:val="0"/>
              </w:rPr>
              <w:t>688012</w:t>
            </w:r>
          </w:p>
        </w:tc>
        <w:tc>
          <w:tcPr>
            <w:tcW w:w="0" w:type="dxa"/>
            <w:vAlign w:val="center"/>
          </w:tcPr>
          <w:p w14:paraId="29B463C9">
            <w:pPr>
              <w:spacing w:line="240" w:lineRule="auto"/>
              <w:jc w:val="left"/>
            </w:pPr>
            <w:r>
              <w:rPr>
                <w:rFonts w:ascii="宋体" w:hAnsi="宋体" w:eastAsia="宋体" w:cs="宋体"/>
                <w:b w:val="0"/>
              </w:rPr>
              <w:t>中微公司</w:t>
            </w:r>
          </w:p>
        </w:tc>
        <w:tc>
          <w:tcPr>
            <w:tcW w:w="0" w:type="dxa"/>
            <w:vAlign w:val="center"/>
          </w:tcPr>
          <w:p w14:paraId="41A7EDF3">
            <w:pPr>
              <w:spacing w:line="240" w:lineRule="auto"/>
              <w:jc w:val="right"/>
            </w:pPr>
            <w:r>
              <w:rPr>
                <w:rFonts w:ascii="宋体" w:hAnsi="宋体" w:eastAsia="宋体" w:cs="宋体"/>
                <w:b w:val="0"/>
              </w:rPr>
              <w:t>147,631</w:t>
            </w:r>
          </w:p>
        </w:tc>
        <w:tc>
          <w:tcPr>
            <w:tcW w:w="0" w:type="dxa"/>
            <w:vAlign w:val="center"/>
          </w:tcPr>
          <w:p w14:paraId="7CFD2821">
            <w:pPr>
              <w:spacing w:line="240" w:lineRule="auto"/>
              <w:jc w:val="right"/>
            </w:pPr>
            <w:r>
              <w:rPr>
                <w:rFonts w:ascii="宋体" w:hAnsi="宋体" w:eastAsia="宋体" w:cs="宋体"/>
                <w:b w:val="0"/>
              </w:rPr>
              <w:t>69,165,123.50</w:t>
            </w:r>
          </w:p>
        </w:tc>
        <w:tc>
          <w:tcPr>
            <w:tcW w:w="0" w:type="dxa"/>
            <w:vAlign w:val="center"/>
          </w:tcPr>
          <w:p w14:paraId="67E95814">
            <w:pPr>
              <w:spacing w:line="240" w:lineRule="auto"/>
              <w:jc w:val="right"/>
            </w:pPr>
            <w:r>
              <w:rPr>
                <w:rFonts w:ascii="宋体" w:hAnsi="宋体" w:eastAsia="宋体" w:cs="宋体"/>
                <w:b w:val="0"/>
              </w:rPr>
              <w:t>7.41</w:t>
            </w:r>
          </w:p>
        </w:tc>
      </w:tr>
      <w:tr w14:paraId="045A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6BFF08">
            <w:pPr>
              <w:spacing w:line="240" w:lineRule="auto"/>
              <w:jc w:val="center"/>
            </w:pPr>
            <w:r>
              <w:rPr>
                <w:rFonts w:ascii="宋体" w:hAnsi="宋体" w:eastAsia="宋体" w:cs="宋体"/>
                <w:b w:val="0"/>
              </w:rPr>
              <w:t>3</w:t>
            </w:r>
          </w:p>
        </w:tc>
        <w:tc>
          <w:tcPr>
            <w:tcW w:w="0" w:type="dxa"/>
            <w:vAlign w:val="center"/>
          </w:tcPr>
          <w:p w14:paraId="022163AA">
            <w:pPr>
              <w:spacing w:line="240" w:lineRule="auto"/>
              <w:jc w:val="left"/>
            </w:pPr>
            <w:r>
              <w:rPr>
                <w:rFonts w:ascii="宋体" w:hAnsi="宋体" w:eastAsia="宋体" w:cs="宋体"/>
                <w:b w:val="0"/>
              </w:rPr>
              <w:t>688037</w:t>
            </w:r>
          </w:p>
        </w:tc>
        <w:tc>
          <w:tcPr>
            <w:tcW w:w="0" w:type="dxa"/>
            <w:vAlign w:val="center"/>
          </w:tcPr>
          <w:p w14:paraId="4B413EAB">
            <w:pPr>
              <w:spacing w:line="240" w:lineRule="auto"/>
              <w:jc w:val="left"/>
            </w:pPr>
            <w:r>
              <w:rPr>
                <w:rFonts w:ascii="宋体" w:hAnsi="宋体" w:eastAsia="宋体" w:cs="宋体"/>
                <w:b w:val="0"/>
              </w:rPr>
              <w:t>芯源微</w:t>
            </w:r>
          </w:p>
        </w:tc>
        <w:tc>
          <w:tcPr>
            <w:tcW w:w="0" w:type="dxa"/>
            <w:vAlign w:val="center"/>
          </w:tcPr>
          <w:p w14:paraId="141798E0">
            <w:pPr>
              <w:spacing w:line="240" w:lineRule="auto"/>
              <w:jc w:val="right"/>
            </w:pPr>
            <w:r>
              <w:rPr>
                <w:rFonts w:ascii="宋体" w:hAnsi="宋体" w:eastAsia="宋体" w:cs="宋体"/>
                <w:b w:val="0"/>
              </w:rPr>
              <w:t>155,063</w:t>
            </w:r>
          </w:p>
        </w:tc>
        <w:tc>
          <w:tcPr>
            <w:tcW w:w="0" w:type="dxa"/>
            <w:vAlign w:val="center"/>
          </w:tcPr>
          <w:p w14:paraId="5565D26A">
            <w:pPr>
              <w:spacing w:line="240" w:lineRule="auto"/>
              <w:jc w:val="right"/>
            </w:pPr>
            <w:r>
              <w:rPr>
                <w:rFonts w:ascii="宋体" w:hAnsi="宋体" w:eastAsia="宋体" w:cs="宋体"/>
                <w:b w:val="0"/>
              </w:rPr>
              <w:t>68,080,410.15</w:t>
            </w:r>
          </w:p>
        </w:tc>
        <w:tc>
          <w:tcPr>
            <w:tcW w:w="0" w:type="dxa"/>
            <w:vAlign w:val="center"/>
          </w:tcPr>
          <w:p w14:paraId="4002C4B7">
            <w:pPr>
              <w:spacing w:line="240" w:lineRule="auto"/>
              <w:jc w:val="right"/>
            </w:pPr>
            <w:r>
              <w:rPr>
                <w:rFonts w:ascii="宋体" w:hAnsi="宋体" w:eastAsia="宋体" w:cs="宋体"/>
                <w:b w:val="0"/>
              </w:rPr>
              <w:t>7.29</w:t>
            </w:r>
          </w:p>
        </w:tc>
      </w:tr>
      <w:tr w14:paraId="6256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6580F5">
            <w:pPr>
              <w:spacing w:line="240" w:lineRule="auto"/>
              <w:jc w:val="center"/>
            </w:pPr>
            <w:r>
              <w:rPr>
                <w:rFonts w:ascii="宋体" w:hAnsi="宋体" w:eastAsia="宋体" w:cs="宋体"/>
                <w:b w:val="0"/>
              </w:rPr>
              <w:t>4</w:t>
            </w:r>
          </w:p>
        </w:tc>
        <w:tc>
          <w:tcPr>
            <w:tcW w:w="0" w:type="dxa"/>
            <w:vAlign w:val="center"/>
          </w:tcPr>
          <w:p w14:paraId="6658CE36">
            <w:pPr>
              <w:spacing w:line="240" w:lineRule="auto"/>
              <w:jc w:val="left"/>
            </w:pPr>
            <w:r>
              <w:rPr>
                <w:rFonts w:ascii="宋体" w:hAnsi="宋体" w:eastAsia="宋体" w:cs="宋体"/>
                <w:b w:val="0"/>
              </w:rPr>
              <w:t>300567</w:t>
            </w:r>
          </w:p>
        </w:tc>
        <w:tc>
          <w:tcPr>
            <w:tcW w:w="0" w:type="dxa"/>
            <w:vAlign w:val="center"/>
          </w:tcPr>
          <w:p w14:paraId="15059394">
            <w:pPr>
              <w:spacing w:line="240" w:lineRule="auto"/>
              <w:jc w:val="left"/>
            </w:pPr>
            <w:r>
              <w:rPr>
                <w:rFonts w:ascii="宋体" w:hAnsi="宋体" w:eastAsia="宋体" w:cs="宋体"/>
                <w:b w:val="0"/>
              </w:rPr>
              <w:t>精测电子</w:t>
            </w:r>
          </w:p>
        </w:tc>
        <w:tc>
          <w:tcPr>
            <w:tcW w:w="0" w:type="dxa"/>
            <w:vAlign w:val="center"/>
          </w:tcPr>
          <w:p w14:paraId="3AD57A7A">
            <w:pPr>
              <w:spacing w:line="240" w:lineRule="auto"/>
              <w:jc w:val="right"/>
            </w:pPr>
            <w:r>
              <w:rPr>
                <w:rFonts w:ascii="宋体" w:hAnsi="宋体" w:eastAsia="宋体" w:cs="宋体"/>
                <w:b w:val="0"/>
              </w:rPr>
              <w:t>200,700</w:t>
            </w:r>
          </w:p>
        </w:tc>
        <w:tc>
          <w:tcPr>
            <w:tcW w:w="0" w:type="dxa"/>
            <w:vAlign w:val="center"/>
          </w:tcPr>
          <w:p w14:paraId="18DAAC17">
            <w:pPr>
              <w:spacing w:line="240" w:lineRule="auto"/>
              <w:jc w:val="right"/>
            </w:pPr>
            <w:r>
              <w:rPr>
                <w:rFonts w:ascii="宋体" w:hAnsi="宋体" w:eastAsia="宋体" w:cs="宋体"/>
                <w:b w:val="0"/>
              </w:rPr>
              <w:t>63,742,320.00</w:t>
            </w:r>
          </w:p>
        </w:tc>
        <w:tc>
          <w:tcPr>
            <w:tcW w:w="0" w:type="dxa"/>
            <w:vAlign w:val="center"/>
          </w:tcPr>
          <w:p w14:paraId="28BACD35">
            <w:pPr>
              <w:spacing w:line="240" w:lineRule="auto"/>
              <w:jc w:val="right"/>
            </w:pPr>
            <w:r>
              <w:rPr>
                <w:rFonts w:ascii="宋体" w:hAnsi="宋体" w:eastAsia="宋体" w:cs="宋体"/>
                <w:b w:val="0"/>
              </w:rPr>
              <w:t>6.83</w:t>
            </w:r>
          </w:p>
        </w:tc>
      </w:tr>
      <w:tr w14:paraId="6CA9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D8666B">
            <w:pPr>
              <w:spacing w:line="240" w:lineRule="auto"/>
              <w:jc w:val="center"/>
            </w:pPr>
            <w:r>
              <w:rPr>
                <w:rFonts w:ascii="宋体" w:hAnsi="宋体" w:eastAsia="宋体" w:cs="宋体"/>
                <w:b w:val="0"/>
              </w:rPr>
              <w:t>5</w:t>
            </w:r>
          </w:p>
        </w:tc>
        <w:tc>
          <w:tcPr>
            <w:tcW w:w="0" w:type="dxa"/>
            <w:vAlign w:val="center"/>
          </w:tcPr>
          <w:p w14:paraId="639D76CC">
            <w:pPr>
              <w:spacing w:line="240" w:lineRule="auto"/>
              <w:jc w:val="left"/>
            </w:pPr>
            <w:r>
              <w:rPr>
                <w:rFonts w:ascii="宋体" w:hAnsi="宋体" w:eastAsia="宋体" w:cs="宋体"/>
                <w:b w:val="0"/>
              </w:rPr>
              <w:t>688147</w:t>
            </w:r>
          </w:p>
        </w:tc>
        <w:tc>
          <w:tcPr>
            <w:tcW w:w="0" w:type="dxa"/>
            <w:vAlign w:val="center"/>
          </w:tcPr>
          <w:p w14:paraId="6E6C8740">
            <w:pPr>
              <w:spacing w:line="240" w:lineRule="auto"/>
              <w:jc w:val="left"/>
            </w:pPr>
            <w:r>
              <w:rPr>
                <w:rFonts w:ascii="宋体" w:hAnsi="宋体" w:eastAsia="宋体" w:cs="宋体"/>
                <w:b w:val="0"/>
              </w:rPr>
              <w:t>微导纳米</w:t>
            </w:r>
          </w:p>
        </w:tc>
        <w:tc>
          <w:tcPr>
            <w:tcW w:w="0" w:type="dxa"/>
            <w:vAlign w:val="center"/>
          </w:tcPr>
          <w:p w14:paraId="610D59E7">
            <w:pPr>
              <w:spacing w:line="240" w:lineRule="auto"/>
              <w:jc w:val="right"/>
            </w:pPr>
            <w:r>
              <w:rPr>
                <w:rFonts w:ascii="宋体" w:hAnsi="宋体" w:eastAsia="宋体" w:cs="宋体"/>
                <w:b w:val="0"/>
              </w:rPr>
              <w:t>328,291</w:t>
            </w:r>
          </w:p>
        </w:tc>
        <w:tc>
          <w:tcPr>
            <w:tcW w:w="0" w:type="dxa"/>
            <w:vAlign w:val="center"/>
          </w:tcPr>
          <w:p w14:paraId="72F079B7">
            <w:pPr>
              <w:spacing w:line="240" w:lineRule="auto"/>
              <w:jc w:val="right"/>
            </w:pPr>
            <w:r>
              <w:rPr>
                <w:rFonts w:ascii="宋体" w:hAnsi="宋体" w:eastAsia="宋体" w:cs="宋体"/>
                <w:b w:val="0"/>
              </w:rPr>
              <w:t>53,143,747.08</w:t>
            </w:r>
          </w:p>
        </w:tc>
        <w:tc>
          <w:tcPr>
            <w:tcW w:w="0" w:type="dxa"/>
            <w:vAlign w:val="center"/>
          </w:tcPr>
          <w:p w14:paraId="4F431896">
            <w:pPr>
              <w:spacing w:line="240" w:lineRule="auto"/>
              <w:jc w:val="right"/>
            </w:pPr>
            <w:r>
              <w:rPr>
                <w:rFonts w:ascii="宋体" w:hAnsi="宋体" w:eastAsia="宋体" w:cs="宋体"/>
                <w:b w:val="0"/>
              </w:rPr>
              <w:t>5.69</w:t>
            </w:r>
          </w:p>
        </w:tc>
      </w:tr>
      <w:tr w14:paraId="7885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A97A58">
            <w:pPr>
              <w:spacing w:line="240" w:lineRule="auto"/>
              <w:jc w:val="center"/>
            </w:pPr>
            <w:r>
              <w:rPr>
                <w:rFonts w:ascii="宋体" w:hAnsi="宋体" w:eastAsia="宋体" w:cs="宋体"/>
                <w:b w:val="0"/>
              </w:rPr>
              <w:t>6</w:t>
            </w:r>
          </w:p>
        </w:tc>
        <w:tc>
          <w:tcPr>
            <w:tcW w:w="0" w:type="dxa"/>
            <w:vAlign w:val="center"/>
          </w:tcPr>
          <w:p w14:paraId="1B65D7DB">
            <w:pPr>
              <w:spacing w:line="240" w:lineRule="auto"/>
              <w:jc w:val="left"/>
            </w:pPr>
            <w:r>
              <w:rPr>
                <w:rFonts w:ascii="宋体" w:hAnsi="宋体" w:eastAsia="宋体" w:cs="宋体"/>
                <w:b w:val="0"/>
              </w:rPr>
              <w:t>688120</w:t>
            </w:r>
          </w:p>
        </w:tc>
        <w:tc>
          <w:tcPr>
            <w:tcW w:w="0" w:type="dxa"/>
            <w:vAlign w:val="center"/>
          </w:tcPr>
          <w:p w14:paraId="5CECB300">
            <w:pPr>
              <w:spacing w:line="240" w:lineRule="auto"/>
              <w:jc w:val="left"/>
            </w:pPr>
            <w:r>
              <w:rPr>
                <w:rFonts w:ascii="宋体" w:hAnsi="宋体" w:eastAsia="宋体" w:cs="宋体"/>
                <w:b w:val="0"/>
              </w:rPr>
              <w:t>华海清科</w:t>
            </w:r>
          </w:p>
        </w:tc>
        <w:tc>
          <w:tcPr>
            <w:tcW w:w="0" w:type="dxa"/>
            <w:vAlign w:val="center"/>
          </w:tcPr>
          <w:p w14:paraId="62E0DEF0">
            <w:pPr>
              <w:spacing w:line="240" w:lineRule="auto"/>
              <w:jc w:val="right"/>
            </w:pPr>
            <w:r>
              <w:rPr>
                <w:rFonts w:ascii="宋体" w:hAnsi="宋体" w:eastAsia="宋体" w:cs="宋体"/>
                <w:b w:val="0"/>
              </w:rPr>
              <w:t>163,298</w:t>
            </w:r>
          </w:p>
        </w:tc>
        <w:tc>
          <w:tcPr>
            <w:tcW w:w="0" w:type="dxa"/>
            <w:vAlign w:val="center"/>
          </w:tcPr>
          <w:p w14:paraId="5037275E">
            <w:pPr>
              <w:spacing w:line="240" w:lineRule="auto"/>
              <w:jc w:val="right"/>
            </w:pPr>
            <w:r>
              <w:rPr>
                <w:rFonts w:ascii="宋体" w:hAnsi="宋体" w:eastAsia="宋体" w:cs="宋体"/>
                <w:b w:val="0"/>
              </w:rPr>
              <w:t>52,611,349.64</w:t>
            </w:r>
          </w:p>
        </w:tc>
        <w:tc>
          <w:tcPr>
            <w:tcW w:w="0" w:type="dxa"/>
            <w:vAlign w:val="center"/>
          </w:tcPr>
          <w:p w14:paraId="57151100">
            <w:pPr>
              <w:spacing w:line="240" w:lineRule="auto"/>
              <w:jc w:val="right"/>
            </w:pPr>
            <w:r>
              <w:rPr>
                <w:rFonts w:ascii="宋体" w:hAnsi="宋体" w:eastAsia="宋体" w:cs="宋体"/>
                <w:b w:val="0"/>
              </w:rPr>
              <w:t>5.63</w:t>
            </w:r>
          </w:p>
        </w:tc>
      </w:tr>
      <w:tr w14:paraId="55E3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9AF153">
            <w:pPr>
              <w:spacing w:line="240" w:lineRule="auto"/>
              <w:jc w:val="center"/>
            </w:pPr>
            <w:r>
              <w:rPr>
                <w:rFonts w:ascii="宋体" w:hAnsi="宋体" w:eastAsia="宋体" w:cs="宋体"/>
                <w:b w:val="0"/>
              </w:rPr>
              <w:t>7</w:t>
            </w:r>
          </w:p>
        </w:tc>
        <w:tc>
          <w:tcPr>
            <w:tcW w:w="0" w:type="dxa"/>
            <w:vAlign w:val="center"/>
          </w:tcPr>
          <w:p w14:paraId="57509B77">
            <w:pPr>
              <w:spacing w:line="240" w:lineRule="auto"/>
              <w:jc w:val="left"/>
            </w:pPr>
            <w:r>
              <w:rPr>
                <w:rFonts w:ascii="宋体" w:hAnsi="宋体" w:eastAsia="宋体" w:cs="宋体"/>
                <w:b w:val="0"/>
              </w:rPr>
              <w:t>688072</w:t>
            </w:r>
          </w:p>
        </w:tc>
        <w:tc>
          <w:tcPr>
            <w:tcW w:w="0" w:type="dxa"/>
            <w:vAlign w:val="center"/>
          </w:tcPr>
          <w:p w14:paraId="36B885FE">
            <w:pPr>
              <w:spacing w:line="240" w:lineRule="auto"/>
              <w:jc w:val="left"/>
            </w:pPr>
            <w:r>
              <w:rPr>
                <w:rFonts w:ascii="宋体" w:hAnsi="宋体" w:eastAsia="宋体" w:cs="宋体"/>
                <w:b w:val="0"/>
              </w:rPr>
              <w:t>拓荆科技</w:t>
            </w:r>
          </w:p>
        </w:tc>
        <w:tc>
          <w:tcPr>
            <w:tcW w:w="0" w:type="dxa"/>
            <w:vAlign w:val="center"/>
          </w:tcPr>
          <w:p w14:paraId="43CA54A2">
            <w:pPr>
              <w:spacing w:line="240" w:lineRule="auto"/>
              <w:jc w:val="right"/>
            </w:pPr>
            <w:r>
              <w:rPr>
                <w:rFonts w:ascii="宋体" w:hAnsi="宋体" w:eastAsia="宋体" w:cs="宋体"/>
                <w:b w:val="0"/>
              </w:rPr>
              <w:t>58,227</w:t>
            </w:r>
          </w:p>
        </w:tc>
        <w:tc>
          <w:tcPr>
            <w:tcW w:w="0" w:type="dxa"/>
            <w:vAlign w:val="center"/>
          </w:tcPr>
          <w:p w14:paraId="220BD930">
            <w:pPr>
              <w:spacing w:line="240" w:lineRule="auto"/>
              <w:jc w:val="right"/>
            </w:pPr>
            <w:r>
              <w:rPr>
                <w:rFonts w:ascii="宋体" w:hAnsi="宋体" w:eastAsia="宋体" w:cs="宋体"/>
                <w:b w:val="0"/>
              </w:rPr>
              <w:t>51,212,393.31</w:t>
            </w:r>
          </w:p>
        </w:tc>
        <w:tc>
          <w:tcPr>
            <w:tcW w:w="0" w:type="dxa"/>
            <w:vAlign w:val="center"/>
          </w:tcPr>
          <w:p w14:paraId="4072844E">
            <w:pPr>
              <w:spacing w:line="240" w:lineRule="auto"/>
              <w:jc w:val="right"/>
            </w:pPr>
            <w:r>
              <w:rPr>
                <w:rFonts w:ascii="宋体" w:hAnsi="宋体" w:eastAsia="宋体" w:cs="宋体"/>
                <w:b w:val="0"/>
              </w:rPr>
              <w:t>5.48</w:t>
            </w:r>
          </w:p>
        </w:tc>
      </w:tr>
      <w:tr w14:paraId="4EA1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D9468B">
            <w:pPr>
              <w:spacing w:line="240" w:lineRule="auto"/>
              <w:jc w:val="center"/>
            </w:pPr>
            <w:r>
              <w:rPr>
                <w:rFonts w:ascii="宋体" w:hAnsi="宋体" w:eastAsia="宋体" w:cs="宋体"/>
                <w:b w:val="0"/>
              </w:rPr>
              <w:t>8</w:t>
            </w:r>
          </w:p>
        </w:tc>
        <w:tc>
          <w:tcPr>
            <w:tcW w:w="0" w:type="dxa"/>
            <w:vAlign w:val="center"/>
          </w:tcPr>
          <w:p w14:paraId="7077B806">
            <w:pPr>
              <w:spacing w:line="240" w:lineRule="auto"/>
              <w:jc w:val="left"/>
            </w:pPr>
            <w:r>
              <w:rPr>
                <w:rFonts w:ascii="宋体" w:hAnsi="宋体" w:eastAsia="宋体" w:cs="宋体"/>
                <w:b w:val="0"/>
              </w:rPr>
              <w:t>688409</w:t>
            </w:r>
          </w:p>
        </w:tc>
        <w:tc>
          <w:tcPr>
            <w:tcW w:w="0" w:type="dxa"/>
            <w:vAlign w:val="center"/>
          </w:tcPr>
          <w:p w14:paraId="60203A4C">
            <w:pPr>
              <w:spacing w:line="240" w:lineRule="auto"/>
              <w:jc w:val="left"/>
            </w:pPr>
            <w:r>
              <w:rPr>
                <w:rFonts w:ascii="宋体" w:hAnsi="宋体" w:eastAsia="宋体" w:cs="宋体"/>
                <w:b w:val="0"/>
              </w:rPr>
              <w:t>富创精密</w:t>
            </w:r>
          </w:p>
        </w:tc>
        <w:tc>
          <w:tcPr>
            <w:tcW w:w="0" w:type="dxa"/>
            <w:vAlign w:val="center"/>
          </w:tcPr>
          <w:p w14:paraId="7FE531B4">
            <w:pPr>
              <w:spacing w:line="240" w:lineRule="auto"/>
              <w:jc w:val="right"/>
            </w:pPr>
            <w:r>
              <w:rPr>
                <w:rFonts w:ascii="宋体" w:hAnsi="宋体" w:eastAsia="宋体" w:cs="宋体"/>
                <w:b w:val="0"/>
              </w:rPr>
              <w:t>132,065</w:t>
            </w:r>
          </w:p>
        </w:tc>
        <w:tc>
          <w:tcPr>
            <w:tcW w:w="0" w:type="dxa"/>
            <w:vAlign w:val="center"/>
          </w:tcPr>
          <w:p w14:paraId="7BD94A78">
            <w:pPr>
              <w:spacing w:line="240" w:lineRule="auto"/>
              <w:jc w:val="right"/>
            </w:pPr>
            <w:r>
              <w:rPr>
                <w:rFonts w:ascii="宋体" w:hAnsi="宋体" w:eastAsia="宋体" w:cs="宋体"/>
                <w:b w:val="0"/>
              </w:rPr>
              <w:t>40,444,906.25</w:t>
            </w:r>
          </w:p>
        </w:tc>
        <w:tc>
          <w:tcPr>
            <w:tcW w:w="0" w:type="dxa"/>
            <w:vAlign w:val="center"/>
          </w:tcPr>
          <w:p w14:paraId="4AC74330">
            <w:pPr>
              <w:spacing w:line="240" w:lineRule="auto"/>
              <w:jc w:val="right"/>
            </w:pPr>
            <w:r>
              <w:rPr>
                <w:rFonts w:ascii="宋体" w:hAnsi="宋体" w:eastAsia="宋体" w:cs="宋体"/>
                <w:b w:val="0"/>
              </w:rPr>
              <w:t>4.33</w:t>
            </w:r>
          </w:p>
        </w:tc>
      </w:tr>
      <w:tr w14:paraId="1902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7EFB38">
            <w:pPr>
              <w:spacing w:line="240" w:lineRule="auto"/>
              <w:jc w:val="center"/>
            </w:pPr>
            <w:r>
              <w:rPr>
                <w:rFonts w:ascii="宋体" w:hAnsi="宋体" w:eastAsia="宋体" w:cs="宋体"/>
                <w:b w:val="0"/>
              </w:rPr>
              <w:t>9</w:t>
            </w:r>
          </w:p>
        </w:tc>
        <w:tc>
          <w:tcPr>
            <w:tcW w:w="0" w:type="dxa"/>
            <w:vAlign w:val="center"/>
          </w:tcPr>
          <w:p w14:paraId="6ADAB559">
            <w:pPr>
              <w:spacing w:line="240" w:lineRule="auto"/>
              <w:jc w:val="left"/>
            </w:pPr>
            <w:r>
              <w:rPr>
                <w:rFonts w:ascii="宋体" w:hAnsi="宋体" w:eastAsia="宋体" w:cs="宋体"/>
                <w:b w:val="0"/>
              </w:rPr>
              <w:t>688200</w:t>
            </w:r>
          </w:p>
        </w:tc>
        <w:tc>
          <w:tcPr>
            <w:tcW w:w="0" w:type="dxa"/>
            <w:vAlign w:val="center"/>
          </w:tcPr>
          <w:p w14:paraId="6776F724">
            <w:pPr>
              <w:spacing w:line="240" w:lineRule="auto"/>
              <w:jc w:val="left"/>
            </w:pPr>
            <w:r>
              <w:rPr>
                <w:rFonts w:ascii="宋体" w:hAnsi="宋体" w:eastAsia="宋体" w:cs="宋体"/>
                <w:b w:val="0"/>
              </w:rPr>
              <w:t>华峰测控</w:t>
            </w:r>
          </w:p>
        </w:tc>
        <w:tc>
          <w:tcPr>
            <w:tcW w:w="0" w:type="dxa"/>
            <w:vAlign w:val="center"/>
          </w:tcPr>
          <w:p w14:paraId="5C44037B">
            <w:pPr>
              <w:spacing w:line="240" w:lineRule="auto"/>
              <w:jc w:val="right"/>
            </w:pPr>
            <w:r>
              <w:rPr>
                <w:rFonts w:ascii="宋体" w:hAnsi="宋体" w:eastAsia="宋体" w:cs="宋体"/>
                <w:b w:val="0"/>
              </w:rPr>
              <w:t>75,463</w:t>
            </w:r>
          </w:p>
        </w:tc>
        <w:tc>
          <w:tcPr>
            <w:tcW w:w="0" w:type="dxa"/>
            <w:vAlign w:val="center"/>
          </w:tcPr>
          <w:p w14:paraId="501E0CB5">
            <w:pPr>
              <w:spacing w:line="240" w:lineRule="auto"/>
              <w:jc w:val="right"/>
            </w:pPr>
            <w:r>
              <w:rPr>
                <w:rFonts w:ascii="宋体" w:hAnsi="宋体" w:eastAsia="宋体" w:cs="宋体"/>
                <w:b w:val="0"/>
              </w:rPr>
              <w:t>39,625,621.30</w:t>
            </w:r>
          </w:p>
        </w:tc>
        <w:tc>
          <w:tcPr>
            <w:tcW w:w="0" w:type="dxa"/>
            <w:vAlign w:val="center"/>
          </w:tcPr>
          <w:p w14:paraId="5FB04E78">
            <w:pPr>
              <w:spacing w:line="240" w:lineRule="auto"/>
              <w:jc w:val="right"/>
            </w:pPr>
            <w:r>
              <w:rPr>
                <w:rFonts w:ascii="宋体" w:hAnsi="宋体" w:eastAsia="宋体" w:cs="宋体"/>
                <w:b w:val="0"/>
              </w:rPr>
              <w:t>4.24</w:t>
            </w:r>
          </w:p>
        </w:tc>
      </w:tr>
      <w:tr w14:paraId="4539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43A3F3">
            <w:pPr>
              <w:spacing w:line="240" w:lineRule="auto"/>
              <w:jc w:val="center"/>
            </w:pPr>
            <w:r>
              <w:rPr>
                <w:rFonts w:ascii="宋体" w:hAnsi="宋体" w:eastAsia="宋体" w:cs="宋体"/>
                <w:b w:val="0"/>
              </w:rPr>
              <w:t>10</w:t>
            </w:r>
          </w:p>
        </w:tc>
        <w:tc>
          <w:tcPr>
            <w:tcW w:w="0" w:type="dxa"/>
            <w:vAlign w:val="center"/>
          </w:tcPr>
          <w:p w14:paraId="3AA98242">
            <w:pPr>
              <w:spacing w:line="240" w:lineRule="auto"/>
              <w:jc w:val="left"/>
            </w:pPr>
            <w:r>
              <w:rPr>
                <w:rFonts w:ascii="宋体" w:hAnsi="宋体" w:eastAsia="宋体" w:cs="宋体"/>
                <w:b w:val="0"/>
              </w:rPr>
              <w:t>688082</w:t>
            </w:r>
          </w:p>
        </w:tc>
        <w:tc>
          <w:tcPr>
            <w:tcW w:w="0" w:type="dxa"/>
            <w:vAlign w:val="center"/>
          </w:tcPr>
          <w:p w14:paraId="379550C8">
            <w:pPr>
              <w:spacing w:line="240" w:lineRule="auto"/>
              <w:jc w:val="left"/>
            </w:pPr>
            <w:r>
              <w:rPr>
                <w:rFonts w:ascii="宋体" w:hAnsi="宋体" w:eastAsia="宋体" w:cs="宋体"/>
                <w:b w:val="0"/>
              </w:rPr>
              <w:t>盛美上海</w:t>
            </w:r>
          </w:p>
        </w:tc>
        <w:tc>
          <w:tcPr>
            <w:tcW w:w="0" w:type="dxa"/>
            <w:vAlign w:val="center"/>
          </w:tcPr>
          <w:p w14:paraId="010BF897">
            <w:pPr>
              <w:spacing w:line="240" w:lineRule="auto"/>
              <w:jc w:val="right"/>
            </w:pPr>
            <w:r>
              <w:rPr>
                <w:rFonts w:ascii="宋体" w:hAnsi="宋体" w:eastAsia="宋体" w:cs="宋体"/>
                <w:b w:val="0"/>
              </w:rPr>
              <w:t>86,838</w:t>
            </w:r>
          </w:p>
        </w:tc>
        <w:tc>
          <w:tcPr>
            <w:tcW w:w="0" w:type="dxa"/>
            <w:vAlign w:val="center"/>
          </w:tcPr>
          <w:p w14:paraId="5AC8A41C">
            <w:pPr>
              <w:spacing w:line="240" w:lineRule="auto"/>
              <w:jc w:val="right"/>
            </w:pPr>
            <w:r>
              <w:rPr>
                <w:rFonts w:ascii="宋体" w:hAnsi="宋体" w:eastAsia="宋体" w:cs="宋体"/>
                <w:b w:val="0"/>
              </w:rPr>
              <w:t>37,514,016.00</w:t>
            </w:r>
          </w:p>
        </w:tc>
        <w:tc>
          <w:tcPr>
            <w:tcW w:w="0" w:type="dxa"/>
            <w:vAlign w:val="center"/>
          </w:tcPr>
          <w:p w14:paraId="271A1FC9">
            <w:pPr>
              <w:spacing w:line="240" w:lineRule="auto"/>
              <w:jc w:val="right"/>
            </w:pPr>
            <w:r>
              <w:rPr>
                <w:rFonts w:ascii="宋体" w:hAnsi="宋体" w:eastAsia="宋体" w:cs="宋体"/>
                <w:b w:val="0"/>
              </w:rPr>
              <w:t>4.02</w:t>
            </w:r>
          </w:p>
        </w:tc>
      </w:tr>
      <w:tr w14:paraId="51BB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51EC4C">
            <w:pPr>
              <w:spacing w:line="240" w:lineRule="auto"/>
              <w:jc w:val="center"/>
            </w:pPr>
            <w:r>
              <w:rPr>
                <w:rFonts w:ascii="宋体" w:hAnsi="宋体" w:eastAsia="宋体" w:cs="宋体"/>
                <w:b w:val="0"/>
              </w:rPr>
              <w:t>11</w:t>
            </w:r>
          </w:p>
        </w:tc>
        <w:tc>
          <w:tcPr>
            <w:tcW w:w="0" w:type="dxa"/>
            <w:vAlign w:val="center"/>
          </w:tcPr>
          <w:p w14:paraId="59CDDE08">
            <w:pPr>
              <w:spacing w:line="240" w:lineRule="auto"/>
              <w:jc w:val="left"/>
            </w:pPr>
            <w:r>
              <w:rPr>
                <w:rFonts w:ascii="宋体" w:hAnsi="宋体" w:eastAsia="宋体" w:cs="宋体"/>
                <w:b w:val="0"/>
              </w:rPr>
              <w:t>688652</w:t>
            </w:r>
          </w:p>
        </w:tc>
        <w:tc>
          <w:tcPr>
            <w:tcW w:w="0" w:type="dxa"/>
            <w:vAlign w:val="center"/>
          </w:tcPr>
          <w:p w14:paraId="54A673DB">
            <w:pPr>
              <w:spacing w:line="240" w:lineRule="auto"/>
              <w:jc w:val="left"/>
            </w:pPr>
            <w:r>
              <w:rPr>
                <w:rFonts w:ascii="宋体" w:hAnsi="宋体" w:eastAsia="宋体" w:cs="宋体"/>
                <w:b w:val="0"/>
              </w:rPr>
              <w:t>京仪装备</w:t>
            </w:r>
          </w:p>
        </w:tc>
        <w:tc>
          <w:tcPr>
            <w:tcW w:w="0" w:type="dxa"/>
            <w:vAlign w:val="center"/>
          </w:tcPr>
          <w:p w14:paraId="29EFCCA8">
            <w:pPr>
              <w:spacing w:line="240" w:lineRule="auto"/>
              <w:jc w:val="right"/>
            </w:pPr>
            <w:r>
              <w:rPr>
                <w:rFonts w:ascii="宋体" w:hAnsi="宋体" w:eastAsia="宋体" w:cs="宋体"/>
                <w:b w:val="0"/>
              </w:rPr>
              <w:t>158,938</w:t>
            </w:r>
          </w:p>
        </w:tc>
        <w:tc>
          <w:tcPr>
            <w:tcW w:w="0" w:type="dxa"/>
            <w:vAlign w:val="center"/>
          </w:tcPr>
          <w:p w14:paraId="7FFC3874">
            <w:pPr>
              <w:spacing w:line="240" w:lineRule="auto"/>
              <w:jc w:val="right"/>
            </w:pPr>
            <w:r>
              <w:rPr>
                <w:rFonts w:ascii="宋体" w:hAnsi="宋体" w:eastAsia="宋体" w:cs="宋体"/>
                <w:b w:val="0"/>
              </w:rPr>
              <w:t>31,814,619.46</w:t>
            </w:r>
          </w:p>
        </w:tc>
        <w:tc>
          <w:tcPr>
            <w:tcW w:w="0" w:type="dxa"/>
            <w:vAlign w:val="center"/>
          </w:tcPr>
          <w:p w14:paraId="50EEE031">
            <w:pPr>
              <w:spacing w:line="240" w:lineRule="auto"/>
              <w:jc w:val="right"/>
            </w:pPr>
            <w:r>
              <w:rPr>
                <w:rFonts w:ascii="宋体" w:hAnsi="宋体" w:eastAsia="宋体" w:cs="宋体"/>
                <w:b w:val="0"/>
              </w:rPr>
              <w:t>3.41</w:t>
            </w:r>
          </w:p>
        </w:tc>
      </w:tr>
      <w:tr w14:paraId="0C78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8DFABF">
            <w:pPr>
              <w:spacing w:line="240" w:lineRule="auto"/>
              <w:jc w:val="center"/>
            </w:pPr>
            <w:r>
              <w:rPr>
                <w:rFonts w:ascii="宋体" w:hAnsi="宋体" w:eastAsia="宋体" w:cs="宋体"/>
                <w:b w:val="0"/>
              </w:rPr>
              <w:t>12</w:t>
            </w:r>
          </w:p>
        </w:tc>
        <w:tc>
          <w:tcPr>
            <w:tcW w:w="0" w:type="dxa"/>
            <w:vAlign w:val="center"/>
          </w:tcPr>
          <w:p w14:paraId="4A5E2A7C">
            <w:pPr>
              <w:spacing w:line="240" w:lineRule="auto"/>
              <w:jc w:val="left"/>
            </w:pPr>
            <w:r>
              <w:rPr>
                <w:rFonts w:ascii="宋体" w:hAnsi="宋体" w:eastAsia="宋体" w:cs="宋体"/>
                <w:b w:val="0"/>
              </w:rPr>
              <w:t>688347</w:t>
            </w:r>
          </w:p>
        </w:tc>
        <w:tc>
          <w:tcPr>
            <w:tcW w:w="0" w:type="dxa"/>
            <w:vAlign w:val="center"/>
          </w:tcPr>
          <w:p w14:paraId="5D6D6679">
            <w:pPr>
              <w:spacing w:line="240" w:lineRule="auto"/>
              <w:jc w:val="left"/>
            </w:pPr>
            <w:r>
              <w:rPr>
                <w:rFonts w:ascii="宋体" w:hAnsi="宋体" w:eastAsia="宋体" w:cs="宋体"/>
                <w:b w:val="0"/>
              </w:rPr>
              <w:t>华虹宏力</w:t>
            </w:r>
          </w:p>
        </w:tc>
        <w:tc>
          <w:tcPr>
            <w:tcW w:w="0" w:type="dxa"/>
            <w:vAlign w:val="center"/>
          </w:tcPr>
          <w:p w14:paraId="7DC77AFC">
            <w:pPr>
              <w:spacing w:line="240" w:lineRule="auto"/>
              <w:jc w:val="right"/>
            </w:pPr>
            <w:r>
              <w:rPr>
                <w:rFonts w:ascii="宋体" w:hAnsi="宋体" w:eastAsia="宋体" w:cs="宋体"/>
                <w:b w:val="0"/>
              </w:rPr>
              <w:t>81,983</w:t>
            </w:r>
          </w:p>
        </w:tc>
        <w:tc>
          <w:tcPr>
            <w:tcW w:w="0" w:type="dxa"/>
            <w:vAlign w:val="center"/>
          </w:tcPr>
          <w:p w14:paraId="7F419D81">
            <w:pPr>
              <w:spacing w:line="240" w:lineRule="auto"/>
              <w:jc w:val="right"/>
            </w:pPr>
            <w:r>
              <w:rPr>
                <w:rFonts w:ascii="宋体" w:hAnsi="宋体" w:eastAsia="宋体" w:cs="宋体"/>
                <w:b w:val="0"/>
              </w:rPr>
              <w:t>27,570,882.90</w:t>
            </w:r>
          </w:p>
        </w:tc>
        <w:tc>
          <w:tcPr>
            <w:tcW w:w="0" w:type="dxa"/>
            <w:vAlign w:val="center"/>
          </w:tcPr>
          <w:p w14:paraId="39F9F235">
            <w:pPr>
              <w:spacing w:line="240" w:lineRule="auto"/>
              <w:jc w:val="right"/>
            </w:pPr>
            <w:r>
              <w:rPr>
                <w:rFonts w:ascii="宋体" w:hAnsi="宋体" w:eastAsia="宋体" w:cs="宋体"/>
                <w:b w:val="0"/>
              </w:rPr>
              <w:t>2.95</w:t>
            </w:r>
          </w:p>
        </w:tc>
      </w:tr>
      <w:tr w14:paraId="340A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E5E205">
            <w:pPr>
              <w:spacing w:line="240" w:lineRule="auto"/>
              <w:jc w:val="center"/>
            </w:pPr>
            <w:r>
              <w:rPr>
                <w:rFonts w:ascii="宋体" w:hAnsi="宋体" w:eastAsia="宋体" w:cs="宋体"/>
                <w:b w:val="0"/>
              </w:rPr>
              <w:t>13</w:t>
            </w:r>
          </w:p>
        </w:tc>
        <w:tc>
          <w:tcPr>
            <w:tcW w:w="0" w:type="dxa"/>
            <w:vAlign w:val="center"/>
          </w:tcPr>
          <w:p w14:paraId="1AE2502B">
            <w:pPr>
              <w:spacing w:line="240" w:lineRule="auto"/>
              <w:jc w:val="left"/>
            </w:pPr>
            <w:r>
              <w:rPr>
                <w:rFonts w:ascii="宋体" w:hAnsi="宋体" w:eastAsia="宋体" w:cs="宋体"/>
                <w:b w:val="0"/>
              </w:rPr>
              <w:t>688627</w:t>
            </w:r>
          </w:p>
        </w:tc>
        <w:tc>
          <w:tcPr>
            <w:tcW w:w="0" w:type="dxa"/>
            <w:vAlign w:val="center"/>
          </w:tcPr>
          <w:p w14:paraId="0633E6B1">
            <w:pPr>
              <w:spacing w:line="240" w:lineRule="auto"/>
              <w:jc w:val="left"/>
            </w:pPr>
            <w:r>
              <w:rPr>
                <w:rFonts w:ascii="宋体" w:hAnsi="宋体" w:eastAsia="宋体" w:cs="宋体"/>
                <w:b w:val="0"/>
              </w:rPr>
              <w:t>精智达</w:t>
            </w:r>
          </w:p>
        </w:tc>
        <w:tc>
          <w:tcPr>
            <w:tcW w:w="0" w:type="dxa"/>
            <w:vAlign w:val="center"/>
          </w:tcPr>
          <w:p w14:paraId="0BADA93B">
            <w:pPr>
              <w:spacing w:line="240" w:lineRule="auto"/>
              <w:jc w:val="right"/>
            </w:pPr>
            <w:r>
              <w:rPr>
                <w:rFonts w:ascii="宋体" w:hAnsi="宋体" w:eastAsia="宋体" w:cs="宋体"/>
                <w:b w:val="0"/>
              </w:rPr>
              <w:t>34,626</w:t>
            </w:r>
          </w:p>
        </w:tc>
        <w:tc>
          <w:tcPr>
            <w:tcW w:w="0" w:type="dxa"/>
            <w:vAlign w:val="center"/>
          </w:tcPr>
          <w:p w14:paraId="049C5BA0">
            <w:pPr>
              <w:spacing w:line="240" w:lineRule="auto"/>
              <w:jc w:val="right"/>
            </w:pPr>
            <w:r>
              <w:rPr>
                <w:rFonts w:ascii="宋体" w:hAnsi="宋体" w:eastAsia="宋体" w:cs="宋体"/>
                <w:b w:val="0"/>
              </w:rPr>
              <w:t>24,757,590.00</w:t>
            </w:r>
          </w:p>
        </w:tc>
        <w:tc>
          <w:tcPr>
            <w:tcW w:w="0" w:type="dxa"/>
            <w:vAlign w:val="center"/>
          </w:tcPr>
          <w:p w14:paraId="00C5B51F">
            <w:pPr>
              <w:spacing w:line="240" w:lineRule="auto"/>
              <w:jc w:val="right"/>
            </w:pPr>
            <w:r>
              <w:rPr>
                <w:rFonts w:ascii="宋体" w:hAnsi="宋体" w:eastAsia="宋体" w:cs="宋体"/>
                <w:b w:val="0"/>
              </w:rPr>
              <w:t>2.65</w:t>
            </w:r>
          </w:p>
        </w:tc>
      </w:tr>
      <w:tr w14:paraId="3BBA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6EC32B9">
            <w:pPr>
              <w:spacing w:line="240" w:lineRule="auto"/>
              <w:jc w:val="center"/>
            </w:pPr>
            <w:r>
              <w:rPr>
                <w:rFonts w:ascii="宋体" w:hAnsi="宋体" w:eastAsia="宋体" w:cs="宋体"/>
                <w:b w:val="0"/>
              </w:rPr>
              <w:t>14</w:t>
            </w:r>
          </w:p>
        </w:tc>
        <w:tc>
          <w:tcPr>
            <w:tcW w:w="0" w:type="dxa"/>
            <w:vAlign w:val="center"/>
          </w:tcPr>
          <w:p w14:paraId="7B81AFBF">
            <w:pPr>
              <w:spacing w:line="240" w:lineRule="auto"/>
              <w:jc w:val="left"/>
            </w:pPr>
            <w:r>
              <w:rPr>
                <w:rFonts w:ascii="宋体" w:hAnsi="宋体" w:eastAsia="宋体" w:cs="宋体"/>
                <w:b w:val="0"/>
              </w:rPr>
              <w:t>300666</w:t>
            </w:r>
          </w:p>
        </w:tc>
        <w:tc>
          <w:tcPr>
            <w:tcW w:w="0" w:type="dxa"/>
            <w:vAlign w:val="center"/>
          </w:tcPr>
          <w:p w14:paraId="6398E51A">
            <w:pPr>
              <w:spacing w:line="240" w:lineRule="auto"/>
              <w:jc w:val="left"/>
            </w:pPr>
            <w:r>
              <w:rPr>
                <w:rFonts w:ascii="宋体" w:hAnsi="宋体" w:eastAsia="宋体" w:cs="宋体"/>
                <w:b w:val="0"/>
              </w:rPr>
              <w:t>江丰电子</w:t>
            </w:r>
          </w:p>
        </w:tc>
        <w:tc>
          <w:tcPr>
            <w:tcW w:w="0" w:type="dxa"/>
            <w:vAlign w:val="center"/>
          </w:tcPr>
          <w:p w14:paraId="2701EF22">
            <w:pPr>
              <w:spacing w:line="240" w:lineRule="auto"/>
              <w:jc w:val="right"/>
            </w:pPr>
            <w:r>
              <w:rPr>
                <w:rFonts w:ascii="宋体" w:hAnsi="宋体" w:eastAsia="宋体" w:cs="宋体"/>
                <w:b w:val="0"/>
              </w:rPr>
              <w:t>65,900</w:t>
            </w:r>
          </w:p>
        </w:tc>
        <w:tc>
          <w:tcPr>
            <w:tcW w:w="0" w:type="dxa"/>
            <w:vAlign w:val="center"/>
          </w:tcPr>
          <w:p w14:paraId="0A85E183">
            <w:pPr>
              <w:spacing w:line="240" w:lineRule="auto"/>
              <w:jc w:val="right"/>
            </w:pPr>
            <w:r>
              <w:rPr>
                <w:rFonts w:ascii="宋体" w:hAnsi="宋体" w:eastAsia="宋体" w:cs="宋体"/>
                <w:b w:val="0"/>
              </w:rPr>
              <w:t>24,290,740.00</w:t>
            </w:r>
          </w:p>
        </w:tc>
        <w:tc>
          <w:tcPr>
            <w:tcW w:w="0" w:type="dxa"/>
            <w:vAlign w:val="center"/>
          </w:tcPr>
          <w:p w14:paraId="1C5DD732">
            <w:pPr>
              <w:spacing w:line="240" w:lineRule="auto"/>
              <w:jc w:val="right"/>
            </w:pPr>
            <w:r>
              <w:rPr>
                <w:rFonts w:ascii="宋体" w:hAnsi="宋体" w:eastAsia="宋体" w:cs="宋体"/>
                <w:b w:val="0"/>
              </w:rPr>
              <w:t>2.60</w:t>
            </w:r>
          </w:p>
        </w:tc>
      </w:tr>
      <w:tr w14:paraId="60A2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E75730">
            <w:pPr>
              <w:spacing w:line="240" w:lineRule="auto"/>
              <w:jc w:val="center"/>
            </w:pPr>
            <w:r>
              <w:rPr>
                <w:rFonts w:ascii="宋体" w:hAnsi="宋体" w:eastAsia="宋体" w:cs="宋体"/>
                <w:b w:val="0"/>
              </w:rPr>
              <w:t>15</w:t>
            </w:r>
          </w:p>
        </w:tc>
        <w:tc>
          <w:tcPr>
            <w:tcW w:w="0" w:type="dxa"/>
            <w:vAlign w:val="center"/>
          </w:tcPr>
          <w:p w14:paraId="3E410DBA">
            <w:pPr>
              <w:spacing w:line="240" w:lineRule="auto"/>
              <w:jc w:val="left"/>
            </w:pPr>
            <w:r>
              <w:rPr>
                <w:rFonts w:ascii="宋体" w:hAnsi="宋体" w:eastAsia="宋体" w:cs="宋体"/>
                <w:b w:val="0"/>
              </w:rPr>
              <w:t>300604</w:t>
            </w:r>
          </w:p>
        </w:tc>
        <w:tc>
          <w:tcPr>
            <w:tcW w:w="0" w:type="dxa"/>
            <w:vAlign w:val="center"/>
          </w:tcPr>
          <w:p w14:paraId="6F510F08">
            <w:pPr>
              <w:spacing w:line="240" w:lineRule="auto"/>
              <w:jc w:val="left"/>
            </w:pPr>
            <w:r>
              <w:rPr>
                <w:rFonts w:ascii="宋体" w:hAnsi="宋体" w:eastAsia="宋体" w:cs="宋体"/>
                <w:b w:val="0"/>
              </w:rPr>
              <w:t>长川科技</w:t>
            </w:r>
          </w:p>
        </w:tc>
        <w:tc>
          <w:tcPr>
            <w:tcW w:w="0" w:type="dxa"/>
            <w:vAlign w:val="center"/>
          </w:tcPr>
          <w:p w14:paraId="3257635F">
            <w:pPr>
              <w:spacing w:line="240" w:lineRule="auto"/>
              <w:jc w:val="right"/>
            </w:pPr>
            <w:r>
              <w:rPr>
                <w:rFonts w:ascii="宋体" w:hAnsi="宋体" w:eastAsia="宋体" w:cs="宋体"/>
                <w:b w:val="0"/>
              </w:rPr>
              <w:t>62,900</w:t>
            </w:r>
          </w:p>
        </w:tc>
        <w:tc>
          <w:tcPr>
            <w:tcW w:w="0" w:type="dxa"/>
            <w:vAlign w:val="center"/>
          </w:tcPr>
          <w:p w14:paraId="7FE29120">
            <w:pPr>
              <w:spacing w:line="240" w:lineRule="auto"/>
              <w:jc w:val="right"/>
            </w:pPr>
            <w:r>
              <w:rPr>
                <w:rFonts w:ascii="宋体" w:hAnsi="宋体" w:eastAsia="宋体" w:cs="宋体"/>
                <w:b w:val="0"/>
              </w:rPr>
              <w:t>21,475,318.00</w:t>
            </w:r>
          </w:p>
        </w:tc>
        <w:tc>
          <w:tcPr>
            <w:tcW w:w="0" w:type="dxa"/>
            <w:vAlign w:val="center"/>
          </w:tcPr>
          <w:p w14:paraId="1472253B">
            <w:pPr>
              <w:spacing w:line="240" w:lineRule="auto"/>
              <w:jc w:val="right"/>
            </w:pPr>
            <w:r>
              <w:rPr>
                <w:rFonts w:ascii="宋体" w:hAnsi="宋体" w:eastAsia="宋体" w:cs="宋体"/>
                <w:b w:val="0"/>
              </w:rPr>
              <w:t>2.30</w:t>
            </w:r>
          </w:p>
        </w:tc>
      </w:tr>
      <w:tr w14:paraId="2A3F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FC22C2">
            <w:pPr>
              <w:spacing w:line="240" w:lineRule="auto"/>
              <w:jc w:val="center"/>
            </w:pPr>
            <w:r>
              <w:rPr>
                <w:rFonts w:ascii="宋体" w:hAnsi="宋体" w:eastAsia="宋体" w:cs="宋体"/>
                <w:b w:val="0"/>
              </w:rPr>
              <w:t>16</w:t>
            </w:r>
          </w:p>
        </w:tc>
        <w:tc>
          <w:tcPr>
            <w:tcW w:w="0" w:type="dxa"/>
            <w:vAlign w:val="center"/>
          </w:tcPr>
          <w:p w14:paraId="628B9C24">
            <w:pPr>
              <w:spacing w:line="240" w:lineRule="auto"/>
              <w:jc w:val="left"/>
            </w:pPr>
            <w:r>
              <w:rPr>
                <w:rFonts w:ascii="宋体" w:hAnsi="宋体" w:eastAsia="宋体" w:cs="宋体"/>
                <w:b w:val="0"/>
              </w:rPr>
              <w:t>688630</w:t>
            </w:r>
          </w:p>
        </w:tc>
        <w:tc>
          <w:tcPr>
            <w:tcW w:w="0" w:type="dxa"/>
            <w:vAlign w:val="center"/>
          </w:tcPr>
          <w:p w14:paraId="4A6613E0">
            <w:pPr>
              <w:spacing w:line="240" w:lineRule="auto"/>
              <w:jc w:val="left"/>
            </w:pPr>
            <w:r>
              <w:rPr>
                <w:rFonts w:ascii="宋体" w:hAnsi="宋体" w:eastAsia="宋体" w:cs="宋体"/>
                <w:b w:val="0"/>
              </w:rPr>
              <w:t>芯碁微装</w:t>
            </w:r>
          </w:p>
        </w:tc>
        <w:tc>
          <w:tcPr>
            <w:tcW w:w="0" w:type="dxa"/>
            <w:vAlign w:val="center"/>
          </w:tcPr>
          <w:p w14:paraId="57308003">
            <w:pPr>
              <w:spacing w:line="240" w:lineRule="auto"/>
              <w:jc w:val="right"/>
            </w:pPr>
            <w:r>
              <w:rPr>
                <w:rFonts w:ascii="宋体" w:hAnsi="宋体" w:eastAsia="宋体" w:cs="宋体"/>
                <w:b w:val="0"/>
              </w:rPr>
              <w:t>28,352</w:t>
            </w:r>
          </w:p>
        </w:tc>
        <w:tc>
          <w:tcPr>
            <w:tcW w:w="0" w:type="dxa"/>
            <w:vAlign w:val="center"/>
          </w:tcPr>
          <w:p w14:paraId="231F1C0F">
            <w:pPr>
              <w:spacing w:line="240" w:lineRule="auto"/>
              <w:jc w:val="right"/>
            </w:pPr>
            <w:r>
              <w:rPr>
                <w:rFonts w:ascii="宋体" w:hAnsi="宋体" w:eastAsia="宋体" w:cs="宋体"/>
                <w:b w:val="0"/>
              </w:rPr>
              <w:t>15,576,305.28</w:t>
            </w:r>
          </w:p>
        </w:tc>
        <w:tc>
          <w:tcPr>
            <w:tcW w:w="0" w:type="dxa"/>
            <w:vAlign w:val="center"/>
          </w:tcPr>
          <w:p w14:paraId="2F57AB0D">
            <w:pPr>
              <w:spacing w:line="240" w:lineRule="auto"/>
              <w:jc w:val="right"/>
            </w:pPr>
            <w:r>
              <w:rPr>
                <w:rFonts w:ascii="宋体" w:hAnsi="宋体" w:eastAsia="宋体" w:cs="宋体"/>
                <w:b w:val="0"/>
              </w:rPr>
              <w:t>1.67</w:t>
            </w:r>
          </w:p>
        </w:tc>
      </w:tr>
      <w:tr w14:paraId="40F1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87F2BE">
            <w:pPr>
              <w:spacing w:line="240" w:lineRule="auto"/>
              <w:jc w:val="center"/>
            </w:pPr>
            <w:r>
              <w:rPr>
                <w:rFonts w:ascii="宋体" w:hAnsi="宋体" w:eastAsia="宋体" w:cs="宋体"/>
                <w:b w:val="0"/>
              </w:rPr>
              <w:t>17</w:t>
            </w:r>
          </w:p>
        </w:tc>
        <w:tc>
          <w:tcPr>
            <w:tcW w:w="0" w:type="dxa"/>
            <w:vAlign w:val="center"/>
          </w:tcPr>
          <w:p w14:paraId="017BAC7B">
            <w:pPr>
              <w:spacing w:line="240" w:lineRule="auto"/>
              <w:jc w:val="left"/>
            </w:pPr>
            <w:r>
              <w:rPr>
                <w:rFonts w:ascii="宋体" w:hAnsi="宋体" w:eastAsia="宋体" w:cs="宋体"/>
                <w:b w:val="0"/>
              </w:rPr>
              <w:t>300054</w:t>
            </w:r>
          </w:p>
        </w:tc>
        <w:tc>
          <w:tcPr>
            <w:tcW w:w="0" w:type="dxa"/>
            <w:vAlign w:val="center"/>
          </w:tcPr>
          <w:p w14:paraId="18FB09AE">
            <w:pPr>
              <w:spacing w:line="240" w:lineRule="auto"/>
              <w:jc w:val="left"/>
            </w:pPr>
            <w:r>
              <w:rPr>
                <w:rFonts w:ascii="宋体" w:hAnsi="宋体" w:eastAsia="宋体" w:cs="宋体"/>
                <w:b w:val="0"/>
              </w:rPr>
              <w:t>鼎龙股份</w:t>
            </w:r>
          </w:p>
        </w:tc>
        <w:tc>
          <w:tcPr>
            <w:tcW w:w="0" w:type="dxa"/>
            <w:vAlign w:val="center"/>
          </w:tcPr>
          <w:p w14:paraId="2B18C4D7">
            <w:pPr>
              <w:spacing w:line="240" w:lineRule="auto"/>
              <w:jc w:val="right"/>
            </w:pPr>
            <w:r>
              <w:rPr>
                <w:rFonts w:ascii="宋体" w:hAnsi="宋体" w:eastAsia="宋体" w:cs="宋体"/>
                <w:b w:val="0"/>
              </w:rPr>
              <w:t>87,000</w:t>
            </w:r>
          </w:p>
        </w:tc>
        <w:tc>
          <w:tcPr>
            <w:tcW w:w="0" w:type="dxa"/>
            <w:vAlign w:val="center"/>
          </w:tcPr>
          <w:p w14:paraId="3CC7426F">
            <w:pPr>
              <w:spacing w:line="240" w:lineRule="auto"/>
              <w:jc w:val="right"/>
            </w:pPr>
            <w:r>
              <w:rPr>
                <w:rFonts w:ascii="宋体" w:hAnsi="宋体" w:eastAsia="宋体" w:cs="宋体"/>
                <w:b w:val="0"/>
              </w:rPr>
              <w:t>9,219,390.00</w:t>
            </w:r>
          </w:p>
        </w:tc>
        <w:tc>
          <w:tcPr>
            <w:tcW w:w="0" w:type="dxa"/>
            <w:vAlign w:val="center"/>
          </w:tcPr>
          <w:p w14:paraId="7149E9DB">
            <w:pPr>
              <w:spacing w:line="240" w:lineRule="auto"/>
              <w:jc w:val="right"/>
            </w:pPr>
            <w:r>
              <w:rPr>
                <w:rFonts w:ascii="宋体" w:hAnsi="宋体" w:eastAsia="宋体" w:cs="宋体"/>
                <w:b w:val="0"/>
              </w:rPr>
              <w:t>0.99</w:t>
            </w:r>
          </w:p>
        </w:tc>
      </w:tr>
      <w:tr w14:paraId="3058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23D4258">
            <w:pPr>
              <w:spacing w:line="240" w:lineRule="auto"/>
              <w:jc w:val="center"/>
            </w:pPr>
            <w:r>
              <w:rPr>
                <w:rFonts w:ascii="宋体" w:hAnsi="宋体" w:eastAsia="宋体" w:cs="宋体"/>
                <w:b w:val="0"/>
              </w:rPr>
              <w:t>18</w:t>
            </w:r>
          </w:p>
        </w:tc>
        <w:tc>
          <w:tcPr>
            <w:tcW w:w="0" w:type="dxa"/>
            <w:vAlign w:val="center"/>
          </w:tcPr>
          <w:p w14:paraId="1F9229DE">
            <w:pPr>
              <w:spacing w:line="240" w:lineRule="auto"/>
              <w:jc w:val="left"/>
            </w:pPr>
            <w:r>
              <w:rPr>
                <w:rFonts w:ascii="宋体" w:hAnsi="宋体" w:eastAsia="宋体" w:cs="宋体"/>
                <w:b w:val="0"/>
              </w:rPr>
              <w:t>300820</w:t>
            </w:r>
          </w:p>
        </w:tc>
        <w:tc>
          <w:tcPr>
            <w:tcW w:w="0" w:type="dxa"/>
            <w:vAlign w:val="center"/>
          </w:tcPr>
          <w:p w14:paraId="20EDEF58">
            <w:pPr>
              <w:spacing w:line="240" w:lineRule="auto"/>
              <w:jc w:val="left"/>
            </w:pPr>
            <w:r>
              <w:rPr>
                <w:rFonts w:ascii="宋体" w:hAnsi="宋体" w:eastAsia="宋体" w:cs="宋体"/>
                <w:b w:val="0"/>
              </w:rPr>
              <w:t>英杰电气</w:t>
            </w:r>
          </w:p>
        </w:tc>
        <w:tc>
          <w:tcPr>
            <w:tcW w:w="0" w:type="dxa"/>
            <w:vAlign w:val="center"/>
          </w:tcPr>
          <w:p w14:paraId="01735F90">
            <w:pPr>
              <w:spacing w:line="240" w:lineRule="auto"/>
              <w:jc w:val="right"/>
            </w:pPr>
            <w:r>
              <w:rPr>
                <w:rFonts w:ascii="宋体" w:hAnsi="宋体" w:eastAsia="宋体" w:cs="宋体"/>
                <w:b w:val="0"/>
              </w:rPr>
              <w:t>89,100</w:t>
            </w:r>
          </w:p>
        </w:tc>
        <w:tc>
          <w:tcPr>
            <w:tcW w:w="0" w:type="dxa"/>
            <w:vAlign w:val="center"/>
          </w:tcPr>
          <w:p w14:paraId="734F1C1E">
            <w:pPr>
              <w:spacing w:line="240" w:lineRule="auto"/>
              <w:jc w:val="right"/>
            </w:pPr>
            <w:r>
              <w:rPr>
                <w:rFonts w:ascii="宋体" w:hAnsi="宋体" w:eastAsia="宋体" w:cs="宋体"/>
                <w:b w:val="0"/>
              </w:rPr>
              <w:t>8,039,493.00</w:t>
            </w:r>
          </w:p>
        </w:tc>
        <w:tc>
          <w:tcPr>
            <w:tcW w:w="0" w:type="dxa"/>
            <w:vAlign w:val="center"/>
          </w:tcPr>
          <w:p w14:paraId="224DF514">
            <w:pPr>
              <w:spacing w:line="240" w:lineRule="auto"/>
              <w:jc w:val="right"/>
            </w:pPr>
            <w:r>
              <w:rPr>
                <w:rFonts w:ascii="宋体" w:hAnsi="宋体" w:eastAsia="宋体" w:cs="宋体"/>
                <w:b w:val="0"/>
              </w:rPr>
              <w:t>0.86</w:t>
            </w:r>
          </w:p>
        </w:tc>
      </w:tr>
      <w:tr w14:paraId="3BA0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CF97F4">
            <w:pPr>
              <w:spacing w:line="240" w:lineRule="auto"/>
              <w:jc w:val="center"/>
            </w:pPr>
            <w:r>
              <w:rPr>
                <w:rFonts w:ascii="宋体" w:hAnsi="宋体" w:eastAsia="宋体" w:cs="宋体"/>
                <w:b w:val="0"/>
              </w:rPr>
              <w:t>19</w:t>
            </w:r>
          </w:p>
        </w:tc>
        <w:tc>
          <w:tcPr>
            <w:tcW w:w="0" w:type="dxa"/>
            <w:vAlign w:val="center"/>
          </w:tcPr>
          <w:p w14:paraId="2FE1F123">
            <w:pPr>
              <w:spacing w:line="240" w:lineRule="auto"/>
              <w:jc w:val="left"/>
            </w:pPr>
            <w:r>
              <w:rPr>
                <w:rFonts w:ascii="宋体" w:hAnsi="宋体" w:eastAsia="宋体" w:cs="宋体"/>
                <w:b w:val="0"/>
              </w:rPr>
              <w:t>002371</w:t>
            </w:r>
          </w:p>
        </w:tc>
        <w:tc>
          <w:tcPr>
            <w:tcW w:w="0" w:type="dxa"/>
            <w:vAlign w:val="center"/>
          </w:tcPr>
          <w:p w14:paraId="6FAD7854">
            <w:pPr>
              <w:spacing w:line="240" w:lineRule="auto"/>
              <w:jc w:val="left"/>
            </w:pPr>
            <w:r>
              <w:rPr>
                <w:rFonts w:ascii="宋体" w:hAnsi="宋体" w:eastAsia="宋体" w:cs="宋体"/>
                <w:b w:val="0"/>
              </w:rPr>
              <w:t>北方华创</w:t>
            </w:r>
          </w:p>
        </w:tc>
        <w:tc>
          <w:tcPr>
            <w:tcW w:w="0" w:type="dxa"/>
            <w:vAlign w:val="center"/>
          </w:tcPr>
          <w:p w14:paraId="5C2A01C9">
            <w:pPr>
              <w:spacing w:line="240" w:lineRule="auto"/>
              <w:jc w:val="right"/>
            </w:pPr>
            <w:r>
              <w:rPr>
                <w:rFonts w:ascii="宋体" w:hAnsi="宋体" w:eastAsia="宋体" w:cs="宋体"/>
                <w:b w:val="0"/>
              </w:rPr>
              <w:t>8,900</w:t>
            </w:r>
          </w:p>
        </w:tc>
        <w:tc>
          <w:tcPr>
            <w:tcW w:w="0" w:type="dxa"/>
            <w:vAlign w:val="center"/>
          </w:tcPr>
          <w:p w14:paraId="600911EA">
            <w:pPr>
              <w:spacing w:line="240" w:lineRule="auto"/>
              <w:jc w:val="right"/>
            </w:pPr>
            <w:r>
              <w:rPr>
                <w:rFonts w:ascii="宋体" w:hAnsi="宋体" w:eastAsia="宋体" w:cs="宋体"/>
                <w:b w:val="0"/>
              </w:rPr>
              <w:t>7,872,584.00</w:t>
            </w:r>
          </w:p>
        </w:tc>
        <w:tc>
          <w:tcPr>
            <w:tcW w:w="0" w:type="dxa"/>
            <w:vAlign w:val="center"/>
          </w:tcPr>
          <w:p w14:paraId="4952DA17">
            <w:pPr>
              <w:spacing w:line="240" w:lineRule="auto"/>
              <w:jc w:val="right"/>
            </w:pPr>
            <w:r>
              <w:rPr>
                <w:rFonts w:ascii="宋体" w:hAnsi="宋体" w:eastAsia="宋体" w:cs="宋体"/>
                <w:b w:val="0"/>
              </w:rPr>
              <w:t>0.84</w:t>
            </w:r>
          </w:p>
        </w:tc>
      </w:tr>
      <w:tr w14:paraId="2D38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1E9DBD">
            <w:pPr>
              <w:spacing w:line="240" w:lineRule="auto"/>
              <w:jc w:val="center"/>
            </w:pPr>
            <w:r>
              <w:rPr>
                <w:rFonts w:ascii="宋体" w:hAnsi="宋体" w:eastAsia="宋体" w:cs="宋体"/>
                <w:b w:val="0"/>
              </w:rPr>
              <w:t>20</w:t>
            </w:r>
          </w:p>
        </w:tc>
        <w:tc>
          <w:tcPr>
            <w:tcW w:w="0" w:type="dxa"/>
            <w:vAlign w:val="center"/>
          </w:tcPr>
          <w:p w14:paraId="320AB14B">
            <w:pPr>
              <w:spacing w:line="240" w:lineRule="auto"/>
              <w:jc w:val="left"/>
            </w:pPr>
            <w:r>
              <w:rPr>
                <w:rFonts w:ascii="宋体" w:hAnsi="宋体" w:eastAsia="宋体" w:cs="宋体"/>
                <w:b w:val="0"/>
              </w:rPr>
              <w:t>688981</w:t>
            </w:r>
          </w:p>
        </w:tc>
        <w:tc>
          <w:tcPr>
            <w:tcW w:w="0" w:type="dxa"/>
            <w:vAlign w:val="center"/>
          </w:tcPr>
          <w:p w14:paraId="0284EB05">
            <w:pPr>
              <w:spacing w:line="240" w:lineRule="auto"/>
              <w:jc w:val="left"/>
            </w:pPr>
            <w:r>
              <w:rPr>
                <w:rFonts w:ascii="宋体" w:hAnsi="宋体" w:eastAsia="宋体" w:cs="宋体"/>
                <w:b w:val="0"/>
              </w:rPr>
              <w:t>中芯国际</w:t>
            </w:r>
          </w:p>
        </w:tc>
        <w:tc>
          <w:tcPr>
            <w:tcW w:w="0" w:type="dxa"/>
            <w:vAlign w:val="center"/>
          </w:tcPr>
          <w:p w14:paraId="37401389">
            <w:pPr>
              <w:spacing w:line="240" w:lineRule="auto"/>
              <w:jc w:val="right"/>
            </w:pPr>
            <w:r>
              <w:rPr>
                <w:rFonts w:ascii="宋体" w:hAnsi="宋体" w:eastAsia="宋体" w:cs="宋体"/>
                <w:b w:val="0"/>
              </w:rPr>
              <w:t>42,711</w:t>
            </w:r>
          </w:p>
        </w:tc>
        <w:tc>
          <w:tcPr>
            <w:tcW w:w="0" w:type="dxa"/>
            <w:vAlign w:val="center"/>
          </w:tcPr>
          <w:p w14:paraId="483AD983">
            <w:pPr>
              <w:spacing w:line="240" w:lineRule="auto"/>
              <w:jc w:val="right"/>
            </w:pPr>
            <w:r>
              <w:rPr>
                <w:rFonts w:ascii="宋体" w:hAnsi="宋体" w:eastAsia="宋体" w:cs="宋体"/>
                <w:b w:val="0"/>
              </w:rPr>
              <w:t>6,783,361.02</w:t>
            </w:r>
          </w:p>
        </w:tc>
        <w:tc>
          <w:tcPr>
            <w:tcW w:w="0" w:type="dxa"/>
            <w:vAlign w:val="center"/>
          </w:tcPr>
          <w:p w14:paraId="5F619E0A">
            <w:pPr>
              <w:spacing w:line="240" w:lineRule="auto"/>
              <w:jc w:val="right"/>
            </w:pPr>
            <w:r>
              <w:rPr>
                <w:rFonts w:ascii="宋体" w:hAnsi="宋体" w:eastAsia="宋体" w:cs="宋体"/>
                <w:b w:val="0"/>
              </w:rPr>
              <w:t>0.73</w:t>
            </w:r>
          </w:p>
        </w:tc>
      </w:tr>
      <w:tr w14:paraId="5DD5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19B93E">
            <w:pPr>
              <w:spacing w:line="240" w:lineRule="auto"/>
              <w:jc w:val="center"/>
            </w:pPr>
            <w:r>
              <w:rPr>
                <w:rFonts w:ascii="宋体" w:hAnsi="宋体" w:eastAsia="宋体" w:cs="宋体"/>
                <w:b w:val="0"/>
              </w:rPr>
              <w:t>21</w:t>
            </w:r>
          </w:p>
        </w:tc>
        <w:tc>
          <w:tcPr>
            <w:tcW w:w="0" w:type="dxa"/>
            <w:vAlign w:val="center"/>
          </w:tcPr>
          <w:p w14:paraId="73B3A079">
            <w:pPr>
              <w:spacing w:line="240" w:lineRule="auto"/>
              <w:jc w:val="left"/>
            </w:pPr>
            <w:r>
              <w:rPr>
                <w:rFonts w:ascii="宋体" w:hAnsi="宋体" w:eastAsia="宋体" w:cs="宋体"/>
                <w:b w:val="0"/>
              </w:rPr>
              <w:t>688808</w:t>
            </w:r>
          </w:p>
        </w:tc>
        <w:tc>
          <w:tcPr>
            <w:tcW w:w="0" w:type="dxa"/>
            <w:vAlign w:val="center"/>
          </w:tcPr>
          <w:p w14:paraId="10D7CA09">
            <w:pPr>
              <w:spacing w:line="240" w:lineRule="auto"/>
              <w:jc w:val="left"/>
            </w:pPr>
            <w:r>
              <w:rPr>
                <w:rFonts w:ascii="宋体" w:hAnsi="宋体" w:eastAsia="宋体" w:cs="宋体"/>
                <w:b w:val="0"/>
              </w:rPr>
              <w:t>联讯仪器</w:t>
            </w:r>
          </w:p>
        </w:tc>
        <w:tc>
          <w:tcPr>
            <w:tcW w:w="0" w:type="dxa"/>
            <w:vAlign w:val="center"/>
          </w:tcPr>
          <w:p w14:paraId="2E77238A">
            <w:pPr>
              <w:spacing w:line="240" w:lineRule="auto"/>
              <w:jc w:val="right"/>
            </w:pPr>
            <w:r>
              <w:rPr>
                <w:rFonts w:ascii="宋体" w:hAnsi="宋体" w:eastAsia="宋体" w:cs="宋体"/>
                <w:b w:val="0"/>
              </w:rPr>
              <w:t>89</w:t>
            </w:r>
          </w:p>
        </w:tc>
        <w:tc>
          <w:tcPr>
            <w:tcW w:w="0" w:type="dxa"/>
            <w:vAlign w:val="center"/>
          </w:tcPr>
          <w:p w14:paraId="1D018786">
            <w:pPr>
              <w:spacing w:line="240" w:lineRule="auto"/>
              <w:jc w:val="right"/>
            </w:pPr>
            <w:r>
              <w:rPr>
                <w:rFonts w:ascii="宋体" w:hAnsi="宋体" w:eastAsia="宋体" w:cs="宋体"/>
                <w:b w:val="0"/>
              </w:rPr>
              <w:t>182,333.37</w:t>
            </w:r>
          </w:p>
        </w:tc>
        <w:tc>
          <w:tcPr>
            <w:tcW w:w="0" w:type="dxa"/>
            <w:vAlign w:val="center"/>
          </w:tcPr>
          <w:p w14:paraId="07D8F9FA">
            <w:pPr>
              <w:spacing w:line="240" w:lineRule="auto"/>
              <w:jc w:val="right"/>
            </w:pPr>
            <w:r>
              <w:rPr>
                <w:rFonts w:ascii="宋体" w:hAnsi="宋体" w:eastAsia="宋体" w:cs="宋体"/>
                <w:b w:val="0"/>
              </w:rPr>
              <w:t>0.02</w:t>
            </w:r>
          </w:p>
        </w:tc>
      </w:tr>
      <w:tr w14:paraId="6A7F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BAD5C8">
            <w:pPr>
              <w:spacing w:line="240" w:lineRule="auto"/>
              <w:jc w:val="center"/>
            </w:pPr>
            <w:r>
              <w:rPr>
                <w:rFonts w:ascii="宋体" w:hAnsi="宋体" w:eastAsia="宋体" w:cs="宋体"/>
                <w:b w:val="0"/>
              </w:rPr>
              <w:t>22</w:t>
            </w:r>
          </w:p>
        </w:tc>
        <w:tc>
          <w:tcPr>
            <w:tcW w:w="0" w:type="dxa"/>
            <w:vAlign w:val="center"/>
          </w:tcPr>
          <w:p w14:paraId="6730A091">
            <w:pPr>
              <w:spacing w:line="240" w:lineRule="auto"/>
              <w:jc w:val="left"/>
            </w:pPr>
            <w:r>
              <w:rPr>
                <w:rFonts w:ascii="宋体" w:hAnsi="宋体" w:eastAsia="宋体" w:cs="宋体"/>
                <w:b w:val="0"/>
              </w:rPr>
              <w:t>301421</w:t>
            </w:r>
          </w:p>
        </w:tc>
        <w:tc>
          <w:tcPr>
            <w:tcW w:w="0" w:type="dxa"/>
            <w:vAlign w:val="center"/>
          </w:tcPr>
          <w:p w14:paraId="141199E6">
            <w:pPr>
              <w:spacing w:line="240" w:lineRule="auto"/>
              <w:jc w:val="left"/>
            </w:pPr>
            <w:r>
              <w:rPr>
                <w:rFonts w:ascii="宋体" w:hAnsi="宋体" w:eastAsia="宋体" w:cs="宋体"/>
                <w:b w:val="0"/>
              </w:rPr>
              <w:t>波长光电</w:t>
            </w:r>
          </w:p>
        </w:tc>
        <w:tc>
          <w:tcPr>
            <w:tcW w:w="0" w:type="dxa"/>
            <w:vAlign w:val="center"/>
          </w:tcPr>
          <w:p w14:paraId="18EEA98C">
            <w:pPr>
              <w:spacing w:line="240" w:lineRule="auto"/>
              <w:jc w:val="right"/>
            </w:pPr>
            <w:r>
              <w:rPr>
                <w:rFonts w:ascii="宋体" w:hAnsi="宋体" w:eastAsia="宋体" w:cs="宋体"/>
                <w:b w:val="0"/>
              </w:rPr>
              <w:t>1,000</w:t>
            </w:r>
          </w:p>
        </w:tc>
        <w:tc>
          <w:tcPr>
            <w:tcW w:w="0" w:type="dxa"/>
            <w:vAlign w:val="center"/>
          </w:tcPr>
          <w:p w14:paraId="010273EF">
            <w:pPr>
              <w:spacing w:line="240" w:lineRule="auto"/>
              <w:jc w:val="right"/>
            </w:pPr>
            <w:r>
              <w:rPr>
                <w:rFonts w:ascii="宋体" w:hAnsi="宋体" w:eastAsia="宋体" w:cs="宋体"/>
                <w:b w:val="0"/>
              </w:rPr>
              <w:t>103,550.00</w:t>
            </w:r>
          </w:p>
        </w:tc>
        <w:tc>
          <w:tcPr>
            <w:tcW w:w="0" w:type="dxa"/>
            <w:vAlign w:val="center"/>
          </w:tcPr>
          <w:p w14:paraId="5575E182">
            <w:pPr>
              <w:spacing w:line="240" w:lineRule="auto"/>
              <w:jc w:val="right"/>
            </w:pPr>
            <w:r>
              <w:rPr>
                <w:rFonts w:ascii="宋体" w:hAnsi="宋体" w:eastAsia="宋体" w:cs="宋体"/>
                <w:b w:val="0"/>
              </w:rPr>
              <w:t>0.01</w:t>
            </w:r>
          </w:p>
        </w:tc>
      </w:tr>
      <w:tr w14:paraId="2CFE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18F611">
            <w:pPr>
              <w:spacing w:line="240" w:lineRule="auto"/>
              <w:jc w:val="center"/>
            </w:pPr>
            <w:r>
              <w:rPr>
                <w:rFonts w:ascii="宋体" w:hAnsi="宋体" w:eastAsia="宋体" w:cs="宋体"/>
                <w:b w:val="0"/>
              </w:rPr>
              <w:t>23</w:t>
            </w:r>
          </w:p>
        </w:tc>
        <w:tc>
          <w:tcPr>
            <w:tcW w:w="0" w:type="dxa"/>
            <w:vAlign w:val="center"/>
          </w:tcPr>
          <w:p w14:paraId="5C8E8635">
            <w:pPr>
              <w:spacing w:line="240" w:lineRule="auto"/>
              <w:jc w:val="left"/>
            </w:pPr>
            <w:r>
              <w:rPr>
                <w:rFonts w:ascii="宋体" w:hAnsi="宋体" w:eastAsia="宋体" w:cs="宋体"/>
                <w:b w:val="0"/>
              </w:rPr>
              <w:t>688797</w:t>
            </w:r>
          </w:p>
        </w:tc>
        <w:tc>
          <w:tcPr>
            <w:tcW w:w="0" w:type="dxa"/>
            <w:vAlign w:val="center"/>
          </w:tcPr>
          <w:p w14:paraId="520420BA">
            <w:pPr>
              <w:spacing w:line="240" w:lineRule="auto"/>
              <w:jc w:val="left"/>
            </w:pPr>
            <w:r>
              <w:rPr>
                <w:rFonts w:ascii="宋体" w:hAnsi="宋体" w:eastAsia="宋体" w:cs="宋体"/>
                <w:b w:val="0"/>
              </w:rPr>
              <w:t>臻宝科技</w:t>
            </w:r>
          </w:p>
        </w:tc>
        <w:tc>
          <w:tcPr>
            <w:tcW w:w="0" w:type="dxa"/>
            <w:vAlign w:val="center"/>
          </w:tcPr>
          <w:p w14:paraId="6B6954FA">
            <w:pPr>
              <w:spacing w:line="240" w:lineRule="auto"/>
              <w:jc w:val="right"/>
            </w:pPr>
            <w:r>
              <w:rPr>
                <w:rFonts w:ascii="宋体" w:hAnsi="宋体" w:eastAsia="宋体" w:cs="宋体"/>
                <w:b w:val="0"/>
              </w:rPr>
              <w:t>111</w:t>
            </w:r>
          </w:p>
        </w:tc>
        <w:tc>
          <w:tcPr>
            <w:tcW w:w="0" w:type="dxa"/>
            <w:vAlign w:val="center"/>
          </w:tcPr>
          <w:p w14:paraId="7F05E5B0">
            <w:pPr>
              <w:spacing w:line="240" w:lineRule="auto"/>
              <w:jc w:val="right"/>
            </w:pPr>
            <w:r>
              <w:rPr>
                <w:rFonts w:ascii="宋体" w:hAnsi="宋体" w:eastAsia="宋体" w:cs="宋体"/>
                <w:b w:val="0"/>
              </w:rPr>
              <w:t>52,022.37</w:t>
            </w:r>
          </w:p>
        </w:tc>
        <w:tc>
          <w:tcPr>
            <w:tcW w:w="0" w:type="dxa"/>
            <w:vAlign w:val="center"/>
          </w:tcPr>
          <w:p w14:paraId="40138E35">
            <w:pPr>
              <w:spacing w:line="240" w:lineRule="auto"/>
              <w:jc w:val="right"/>
            </w:pPr>
            <w:r>
              <w:rPr>
                <w:rFonts w:ascii="宋体" w:hAnsi="宋体" w:eastAsia="宋体" w:cs="宋体"/>
                <w:b w:val="0"/>
              </w:rPr>
              <w:t>0.01</w:t>
            </w:r>
          </w:p>
        </w:tc>
      </w:tr>
      <w:tr w14:paraId="7AA3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F3E02A">
            <w:pPr>
              <w:spacing w:line="240" w:lineRule="auto"/>
              <w:jc w:val="center"/>
            </w:pPr>
            <w:r>
              <w:rPr>
                <w:rFonts w:ascii="宋体" w:hAnsi="宋体" w:eastAsia="宋体" w:cs="宋体"/>
                <w:b w:val="0"/>
              </w:rPr>
              <w:t>24</w:t>
            </w:r>
          </w:p>
        </w:tc>
        <w:tc>
          <w:tcPr>
            <w:tcW w:w="0" w:type="dxa"/>
            <w:vAlign w:val="center"/>
          </w:tcPr>
          <w:p w14:paraId="3EBA8AEA">
            <w:pPr>
              <w:spacing w:line="240" w:lineRule="auto"/>
              <w:jc w:val="left"/>
            </w:pPr>
            <w:r>
              <w:rPr>
                <w:rFonts w:ascii="宋体" w:hAnsi="宋体" w:eastAsia="宋体" w:cs="宋体"/>
                <w:b w:val="0"/>
              </w:rPr>
              <w:t>603435</w:t>
            </w:r>
          </w:p>
        </w:tc>
        <w:tc>
          <w:tcPr>
            <w:tcW w:w="0" w:type="dxa"/>
            <w:vAlign w:val="center"/>
          </w:tcPr>
          <w:p w14:paraId="76537291">
            <w:pPr>
              <w:spacing w:line="240" w:lineRule="auto"/>
              <w:jc w:val="left"/>
            </w:pPr>
            <w:r>
              <w:rPr>
                <w:rFonts w:ascii="宋体" w:hAnsi="宋体" w:eastAsia="宋体" w:cs="宋体"/>
                <w:b w:val="0"/>
              </w:rPr>
              <w:t>嘉德利</w:t>
            </w:r>
          </w:p>
        </w:tc>
        <w:tc>
          <w:tcPr>
            <w:tcW w:w="0" w:type="dxa"/>
            <w:vAlign w:val="center"/>
          </w:tcPr>
          <w:p w14:paraId="028EDB4A">
            <w:pPr>
              <w:spacing w:line="240" w:lineRule="auto"/>
              <w:jc w:val="right"/>
            </w:pPr>
            <w:r>
              <w:rPr>
                <w:rFonts w:ascii="宋体" w:hAnsi="宋体" w:eastAsia="宋体" w:cs="宋体"/>
                <w:b w:val="0"/>
              </w:rPr>
              <w:t>593</w:t>
            </w:r>
          </w:p>
        </w:tc>
        <w:tc>
          <w:tcPr>
            <w:tcW w:w="0" w:type="dxa"/>
            <w:vAlign w:val="center"/>
          </w:tcPr>
          <w:p w14:paraId="5591A856">
            <w:pPr>
              <w:spacing w:line="240" w:lineRule="auto"/>
              <w:jc w:val="right"/>
            </w:pPr>
            <w:r>
              <w:rPr>
                <w:rFonts w:ascii="宋体" w:hAnsi="宋体" w:eastAsia="宋体" w:cs="宋体"/>
                <w:b w:val="0"/>
              </w:rPr>
              <w:t>39,185.18</w:t>
            </w:r>
          </w:p>
        </w:tc>
        <w:tc>
          <w:tcPr>
            <w:tcW w:w="0" w:type="dxa"/>
            <w:vAlign w:val="center"/>
          </w:tcPr>
          <w:p w14:paraId="46C440AA">
            <w:pPr>
              <w:spacing w:line="240" w:lineRule="auto"/>
              <w:jc w:val="right"/>
            </w:pPr>
            <w:r>
              <w:rPr>
                <w:rFonts w:ascii="宋体" w:hAnsi="宋体" w:eastAsia="宋体" w:cs="宋体"/>
                <w:b w:val="0"/>
              </w:rPr>
              <w:t>0.00</w:t>
            </w:r>
          </w:p>
        </w:tc>
      </w:tr>
      <w:tr w14:paraId="18D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FD58EC">
            <w:pPr>
              <w:spacing w:line="240" w:lineRule="auto"/>
              <w:jc w:val="center"/>
            </w:pPr>
            <w:r>
              <w:rPr>
                <w:rFonts w:ascii="宋体" w:hAnsi="宋体" w:eastAsia="宋体" w:cs="宋体"/>
                <w:b w:val="0"/>
              </w:rPr>
              <w:t>25</w:t>
            </w:r>
          </w:p>
        </w:tc>
        <w:tc>
          <w:tcPr>
            <w:tcW w:w="0" w:type="dxa"/>
            <w:vAlign w:val="center"/>
          </w:tcPr>
          <w:p w14:paraId="13B6D5E6">
            <w:pPr>
              <w:spacing w:line="240" w:lineRule="auto"/>
              <w:jc w:val="left"/>
            </w:pPr>
            <w:r>
              <w:rPr>
                <w:rFonts w:ascii="宋体" w:hAnsi="宋体" w:eastAsia="宋体" w:cs="宋体"/>
                <w:b w:val="0"/>
              </w:rPr>
              <w:t>688635</w:t>
            </w:r>
          </w:p>
        </w:tc>
        <w:tc>
          <w:tcPr>
            <w:tcW w:w="0" w:type="dxa"/>
            <w:vAlign w:val="center"/>
          </w:tcPr>
          <w:p w14:paraId="5476ABC7">
            <w:pPr>
              <w:spacing w:line="240" w:lineRule="auto"/>
              <w:jc w:val="left"/>
            </w:pPr>
            <w:r>
              <w:rPr>
                <w:rFonts w:ascii="宋体" w:hAnsi="宋体" w:eastAsia="宋体" w:cs="宋体"/>
                <w:b w:val="0"/>
              </w:rPr>
              <w:t>长进光子</w:t>
            </w:r>
          </w:p>
        </w:tc>
        <w:tc>
          <w:tcPr>
            <w:tcW w:w="0" w:type="dxa"/>
            <w:vAlign w:val="center"/>
          </w:tcPr>
          <w:p w14:paraId="53F24B84">
            <w:pPr>
              <w:spacing w:line="240" w:lineRule="auto"/>
              <w:jc w:val="right"/>
            </w:pPr>
            <w:r>
              <w:rPr>
                <w:rFonts w:ascii="宋体" w:hAnsi="宋体" w:eastAsia="宋体" w:cs="宋体"/>
                <w:b w:val="0"/>
              </w:rPr>
              <w:t>53</w:t>
            </w:r>
          </w:p>
        </w:tc>
        <w:tc>
          <w:tcPr>
            <w:tcW w:w="0" w:type="dxa"/>
            <w:vAlign w:val="center"/>
          </w:tcPr>
          <w:p w14:paraId="3A7373B4">
            <w:pPr>
              <w:spacing w:line="240" w:lineRule="auto"/>
              <w:jc w:val="right"/>
            </w:pPr>
            <w:r>
              <w:rPr>
                <w:rFonts w:ascii="宋体" w:hAnsi="宋体" w:eastAsia="宋体" w:cs="宋体"/>
                <w:b w:val="0"/>
              </w:rPr>
              <w:t>16,334.07</w:t>
            </w:r>
          </w:p>
        </w:tc>
        <w:tc>
          <w:tcPr>
            <w:tcW w:w="0" w:type="dxa"/>
            <w:vAlign w:val="center"/>
          </w:tcPr>
          <w:p w14:paraId="74B1F313">
            <w:pPr>
              <w:spacing w:line="240" w:lineRule="auto"/>
              <w:jc w:val="right"/>
            </w:pPr>
            <w:r>
              <w:rPr>
                <w:rFonts w:ascii="宋体" w:hAnsi="宋体" w:eastAsia="宋体" w:cs="宋体"/>
                <w:b w:val="0"/>
              </w:rPr>
              <w:t>0.00</w:t>
            </w:r>
          </w:p>
        </w:tc>
      </w:tr>
      <w:tr w14:paraId="1030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6F47FD">
            <w:pPr>
              <w:spacing w:line="240" w:lineRule="auto"/>
              <w:jc w:val="center"/>
            </w:pPr>
            <w:r>
              <w:rPr>
                <w:rFonts w:ascii="宋体" w:hAnsi="宋体" w:eastAsia="宋体" w:cs="宋体"/>
                <w:b w:val="0"/>
              </w:rPr>
              <w:t>26</w:t>
            </w:r>
          </w:p>
        </w:tc>
        <w:tc>
          <w:tcPr>
            <w:tcW w:w="0" w:type="dxa"/>
            <w:vAlign w:val="center"/>
          </w:tcPr>
          <w:p w14:paraId="2EA8EB4C">
            <w:pPr>
              <w:spacing w:line="240" w:lineRule="auto"/>
              <w:jc w:val="left"/>
            </w:pPr>
            <w:r>
              <w:rPr>
                <w:rFonts w:ascii="宋体" w:hAnsi="宋体" w:eastAsia="宋体" w:cs="宋体"/>
                <w:b w:val="0"/>
              </w:rPr>
              <w:t>603360</w:t>
            </w:r>
          </w:p>
        </w:tc>
        <w:tc>
          <w:tcPr>
            <w:tcW w:w="0" w:type="dxa"/>
            <w:vAlign w:val="center"/>
          </w:tcPr>
          <w:p w14:paraId="33FC48F0">
            <w:pPr>
              <w:spacing w:line="240" w:lineRule="auto"/>
              <w:jc w:val="left"/>
            </w:pPr>
            <w:r>
              <w:rPr>
                <w:rFonts w:ascii="宋体" w:hAnsi="宋体" w:eastAsia="宋体" w:cs="宋体"/>
                <w:b w:val="0"/>
              </w:rPr>
              <w:t>百傲化学</w:t>
            </w:r>
          </w:p>
        </w:tc>
        <w:tc>
          <w:tcPr>
            <w:tcW w:w="0" w:type="dxa"/>
            <w:vAlign w:val="center"/>
          </w:tcPr>
          <w:p w14:paraId="75B72A8C">
            <w:pPr>
              <w:spacing w:line="240" w:lineRule="auto"/>
              <w:jc w:val="right"/>
            </w:pPr>
            <w:r>
              <w:rPr>
                <w:rFonts w:ascii="宋体" w:hAnsi="宋体" w:eastAsia="宋体" w:cs="宋体"/>
                <w:b w:val="0"/>
              </w:rPr>
              <w:t>300</w:t>
            </w:r>
          </w:p>
        </w:tc>
        <w:tc>
          <w:tcPr>
            <w:tcW w:w="0" w:type="dxa"/>
            <w:vAlign w:val="center"/>
          </w:tcPr>
          <w:p w14:paraId="49E132D9">
            <w:pPr>
              <w:spacing w:line="240" w:lineRule="auto"/>
              <w:jc w:val="right"/>
            </w:pPr>
            <w:r>
              <w:rPr>
                <w:rFonts w:ascii="宋体" w:hAnsi="宋体" w:eastAsia="宋体" w:cs="宋体"/>
                <w:b w:val="0"/>
              </w:rPr>
              <w:t>4,884.00</w:t>
            </w:r>
          </w:p>
        </w:tc>
        <w:tc>
          <w:tcPr>
            <w:tcW w:w="0" w:type="dxa"/>
            <w:vAlign w:val="center"/>
          </w:tcPr>
          <w:p w14:paraId="152E5006">
            <w:pPr>
              <w:spacing w:line="240" w:lineRule="auto"/>
              <w:jc w:val="right"/>
            </w:pPr>
            <w:r>
              <w:rPr>
                <w:rFonts w:ascii="宋体" w:hAnsi="宋体" w:eastAsia="宋体" w:cs="宋体"/>
                <w:b w:val="0"/>
              </w:rPr>
              <w:t>0.00</w:t>
            </w:r>
          </w:p>
        </w:tc>
      </w:tr>
    </w:tbl>
    <w:p w14:paraId="22B8DDFF"/>
    <w:p w14:paraId="1EF2B96D">
      <w:pPr>
        <w:pStyle w:val="3"/>
        <w:jc w:val="left"/>
      </w:pPr>
      <w:bookmarkStart w:id="36" w:name="_Toc1442"/>
      <w:r>
        <w:rPr>
          <w:rFonts w:ascii="宋体" w:hAnsi="宋体" w:eastAsia="宋体" w:cs="宋体"/>
        </w:rPr>
        <w:t>7.4 报告期内股票投资组合的重大变动</w:t>
      </w:r>
      <w:bookmarkEnd w:id="36"/>
    </w:p>
    <w:p w14:paraId="5E2D261C">
      <w:pPr>
        <w:pStyle w:val="58"/>
      </w:pPr>
      <w:r>
        <w:rPr>
          <w:rFonts w:ascii="宋体" w:hAnsi="宋体" w:eastAsia="宋体" w:cs="宋体"/>
          <w:b/>
        </w:rPr>
        <w:t>7.4.1 累计买入金额超出期初基金资产净值2%或前20名的股票明细</w:t>
      </w:r>
    </w:p>
    <w:p w14:paraId="75CB2C4B">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14:paraId="47ED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54067DA4">
            <w:pPr>
              <w:spacing w:line="240" w:lineRule="auto"/>
              <w:jc w:val="center"/>
            </w:pPr>
            <w:r>
              <w:rPr>
                <w:rFonts w:ascii="宋体" w:hAnsi="宋体" w:eastAsia="宋体" w:cs="宋体"/>
                <w:b w:val="0"/>
              </w:rPr>
              <w:t>序号</w:t>
            </w:r>
          </w:p>
        </w:tc>
        <w:tc>
          <w:tcPr>
            <w:tcW w:w="769" w:type="pct"/>
            <w:shd w:val="clear" w:color="auto" w:fill="D9D9D9"/>
            <w:vAlign w:val="center"/>
          </w:tcPr>
          <w:p w14:paraId="138EEDB5">
            <w:pPr>
              <w:spacing w:line="240" w:lineRule="auto"/>
              <w:jc w:val="center"/>
            </w:pPr>
            <w:r>
              <w:rPr>
                <w:rFonts w:ascii="宋体" w:hAnsi="宋体" w:eastAsia="宋体" w:cs="宋体"/>
                <w:b w:val="0"/>
              </w:rPr>
              <w:t>股票代码</w:t>
            </w:r>
          </w:p>
        </w:tc>
        <w:tc>
          <w:tcPr>
            <w:tcW w:w="769" w:type="pct"/>
            <w:shd w:val="clear" w:color="auto" w:fill="D9D9D9"/>
            <w:vAlign w:val="center"/>
          </w:tcPr>
          <w:p w14:paraId="49469582">
            <w:pPr>
              <w:spacing w:line="240" w:lineRule="auto"/>
              <w:jc w:val="center"/>
            </w:pPr>
            <w:r>
              <w:rPr>
                <w:rFonts w:ascii="宋体" w:hAnsi="宋体" w:eastAsia="宋体" w:cs="宋体"/>
                <w:b w:val="0"/>
              </w:rPr>
              <w:t>股票名称</w:t>
            </w:r>
          </w:p>
        </w:tc>
        <w:tc>
          <w:tcPr>
            <w:tcW w:w="769" w:type="pct"/>
            <w:shd w:val="clear" w:color="auto" w:fill="D9D9D9"/>
            <w:vAlign w:val="center"/>
          </w:tcPr>
          <w:p w14:paraId="0BE620D1">
            <w:pPr>
              <w:spacing w:line="240" w:lineRule="auto"/>
              <w:jc w:val="center"/>
            </w:pPr>
            <w:r>
              <w:rPr>
                <w:rFonts w:ascii="宋体" w:hAnsi="宋体" w:eastAsia="宋体" w:cs="宋体"/>
                <w:b w:val="0"/>
              </w:rPr>
              <w:t>本期累计买入金额</w:t>
            </w:r>
          </w:p>
        </w:tc>
        <w:tc>
          <w:tcPr>
            <w:tcW w:w="1538" w:type="pct"/>
            <w:shd w:val="clear" w:color="auto" w:fill="D9D9D9"/>
            <w:vAlign w:val="center"/>
          </w:tcPr>
          <w:p w14:paraId="1D42BB1C">
            <w:pPr>
              <w:spacing w:line="240" w:lineRule="auto"/>
              <w:jc w:val="center"/>
            </w:pPr>
            <w:r>
              <w:rPr>
                <w:rFonts w:ascii="宋体" w:hAnsi="宋体" w:eastAsia="宋体" w:cs="宋体"/>
                <w:b w:val="0"/>
              </w:rPr>
              <w:t>占期初基金资产净值比例（％）</w:t>
            </w:r>
          </w:p>
        </w:tc>
      </w:tr>
      <w:tr w14:paraId="1D0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BF9B31">
            <w:pPr>
              <w:spacing w:line="240" w:lineRule="auto"/>
              <w:jc w:val="center"/>
            </w:pPr>
            <w:r>
              <w:rPr>
                <w:rFonts w:ascii="宋体" w:hAnsi="宋体" w:eastAsia="宋体" w:cs="宋体"/>
                <w:b w:val="0"/>
              </w:rPr>
              <w:t>1</w:t>
            </w:r>
          </w:p>
        </w:tc>
        <w:tc>
          <w:tcPr>
            <w:tcW w:w="0" w:type="dxa"/>
            <w:vAlign w:val="center"/>
          </w:tcPr>
          <w:p w14:paraId="701699D2">
            <w:pPr>
              <w:spacing w:line="240" w:lineRule="auto"/>
              <w:jc w:val="left"/>
            </w:pPr>
            <w:r>
              <w:rPr>
                <w:rFonts w:ascii="宋体" w:hAnsi="宋体" w:eastAsia="宋体" w:cs="宋体"/>
                <w:b w:val="0"/>
              </w:rPr>
              <w:t>688012</w:t>
            </w:r>
          </w:p>
        </w:tc>
        <w:tc>
          <w:tcPr>
            <w:tcW w:w="0" w:type="dxa"/>
            <w:vAlign w:val="center"/>
          </w:tcPr>
          <w:p w14:paraId="1EEE58F3">
            <w:pPr>
              <w:spacing w:line="240" w:lineRule="auto"/>
              <w:jc w:val="left"/>
            </w:pPr>
            <w:r>
              <w:rPr>
                <w:rFonts w:ascii="宋体" w:hAnsi="宋体" w:eastAsia="宋体" w:cs="宋体"/>
                <w:b w:val="0"/>
              </w:rPr>
              <w:t>中微公司</w:t>
            </w:r>
          </w:p>
        </w:tc>
        <w:tc>
          <w:tcPr>
            <w:tcW w:w="0" w:type="dxa"/>
            <w:vAlign w:val="center"/>
          </w:tcPr>
          <w:p w14:paraId="603DD886">
            <w:pPr>
              <w:spacing w:line="240" w:lineRule="auto"/>
              <w:jc w:val="right"/>
            </w:pPr>
            <w:r>
              <w:rPr>
                <w:rFonts w:ascii="宋体" w:hAnsi="宋体" w:eastAsia="宋体" w:cs="宋体"/>
                <w:b w:val="0"/>
              </w:rPr>
              <w:t>77,617,569.81</w:t>
            </w:r>
          </w:p>
        </w:tc>
        <w:tc>
          <w:tcPr>
            <w:tcW w:w="0" w:type="dxa"/>
            <w:vAlign w:val="center"/>
          </w:tcPr>
          <w:p w14:paraId="2F0C71F7">
            <w:pPr>
              <w:spacing w:line="240" w:lineRule="auto"/>
              <w:jc w:val="right"/>
            </w:pPr>
            <w:r>
              <w:rPr>
                <w:rFonts w:ascii="宋体" w:hAnsi="宋体" w:eastAsia="宋体" w:cs="宋体"/>
                <w:b w:val="0"/>
              </w:rPr>
              <w:t>131.17</w:t>
            </w:r>
          </w:p>
        </w:tc>
      </w:tr>
      <w:tr w14:paraId="1666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F7F13C">
            <w:pPr>
              <w:spacing w:line="240" w:lineRule="auto"/>
              <w:jc w:val="center"/>
            </w:pPr>
            <w:r>
              <w:rPr>
                <w:rFonts w:ascii="宋体" w:hAnsi="宋体" w:eastAsia="宋体" w:cs="宋体"/>
                <w:b w:val="0"/>
              </w:rPr>
              <w:t>2</w:t>
            </w:r>
          </w:p>
        </w:tc>
        <w:tc>
          <w:tcPr>
            <w:tcW w:w="0" w:type="dxa"/>
            <w:vAlign w:val="center"/>
          </w:tcPr>
          <w:p w14:paraId="7071E231">
            <w:pPr>
              <w:spacing w:line="240" w:lineRule="auto"/>
              <w:jc w:val="left"/>
            </w:pPr>
            <w:r>
              <w:rPr>
                <w:rFonts w:ascii="宋体" w:hAnsi="宋体" w:eastAsia="宋体" w:cs="宋体"/>
                <w:b w:val="0"/>
              </w:rPr>
              <w:t>688037</w:t>
            </w:r>
          </w:p>
        </w:tc>
        <w:tc>
          <w:tcPr>
            <w:tcW w:w="0" w:type="dxa"/>
            <w:vAlign w:val="center"/>
          </w:tcPr>
          <w:p w14:paraId="0228E882">
            <w:pPr>
              <w:spacing w:line="240" w:lineRule="auto"/>
              <w:jc w:val="left"/>
            </w:pPr>
            <w:r>
              <w:rPr>
                <w:rFonts w:ascii="宋体" w:hAnsi="宋体" w:eastAsia="宋体" w:cs="宋体"/>
                <w:b w:val="0"/>
              </w:rPr>
              <w:t>芯源微</w:t>
            </w:r>
          </w:p>
        </w:tc>
        <w:tc>
          <w:tcPr>
            <w:tcW w:w="0" w:type="dxa"/>
            <w:vAlign w:val="center"/>
          </w:tcPr>
          <w:p w14:paraId="623C0A40">
            <w:pPr>
              <w:spacing w:line="240" w:lineRule="auto"/>
              <w:jc w:val="right"/>
            </w:pPr>
            <w:r>
              <w:rPr>
                <w:rFonts w:ascii="宋体" w:hAnsi="宋体" w:eastAsia="宋体" w:cs="宋体"/>
                <w:b w:val="0"/>
              </w:rPr>
              <w:t>71,663,416.74</w:t>
            </w:r>
          </w:p>
        </w:tc>
        <w:tc>
          <w:tcPr>
            <w:tcW w:w="0" w:type="dxa"/>
            <w:vAlign w:val="center"/>
          </w:tcPr>
          <w:p w14:paraId="1D155F30">
            <w:pPr>
              <w:spacing w:line="240" w:lineRule="auto"/>
              <w:jc w:val="right"/>
            </w:pPr>
            <w:r>
              <w:rPr>
                <w:rFonts w:ascii="宋体" w:hAnsi="宋体" w:eastAsia="宋体" w:cs="宋体"/>
                <w:b w:val="0"/>
              </w:rPr>
              <w:t>121.11</w:t>
            </w:r>
          </w:p>
        </w:tc>
      </w:tr>
      <w:tr w14:paraId="435A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F5720E">
            <w:pPr>
              <w:spacing w:line="240" w:lineRule="auto"/>
              <w:jc w:val="center"/>
            </w:pPr>
            <w:r>
              <w:rPr>
                <w:rFonts w:ascii="宋体" w:hAnsi="宋体" w:eastAsia="宋体" w:cs="宋体"/>
                <w:b w:val="0"/>
              </w:rPr>
              <w:t>3</w:t>
            </w:r>
          </w:p>
        </w:tc>
        <w:tc>
          <w:tcPr>
            <w:tcW w:w="0" w:type="dxa"/>
            <w:vAlign w:val="center"/>
          </w:tcPr>
          <w:p w14:paraId="61B1DF7E">
            <w:pPr>
              <w:spacing w:line="240" w:lineRule="auto"/>
              <w:jc w:val="left"/>
            </w:pPr>
            <w:r>
              <w:rPr>
                <w:rFonts w:ascii="宋体" w:hAnsi="宋体" w:eastAsia="宋体" w:cs="宋体"/>
                <w:b w:val="0"/>
              </w:rPr>
              <w:t>300567</w:t>
            </w:r>
          </w:p>
        </w:tc>
        <w:tc>
          <w:tcPr>
            <w:tcW w:w="0" w:type="dxa"/>
            <w:vAlign w:val="center"/>
          </w:tcPr>
          <w:p w14:paraId="6CD74DB3">
            <w:pPr>
              <w:spacing w:line="240" w:lineRule="auto"/>
              <w:jc w:val="left"/>
            </w:pPr>
            <w:r>
              <w:rPr>
                <w:rFonts w:ascii="宋体" w:hAnsi="宋体" w:eastAsia="宋体" w:cs="宋体"/>
                <w:b w:val="0"/>
              </w:rPr>
              <w:t>精测电子</w:t>
            </w:r>
          </w:p>
        </w:tc>
        <w:tc>
          <w:tcPr>
            <w:tcW w:w="0" w:type="dxa"/>
            <w:vAlign w:val="center"/>
          </w:tcPr>
          <w:p w14:paraId="259F7961">
            <w:pPr>
              <w:spacing w:line="240" w:lineRule="auto"/>
              <w:jc w:val="right"/>
            </w:pPr>
            <w:r>
              <w:rPr>
                <w:rFonts w:ascii="宋体" w:hAnsi="宋体" w:eastAsia="宋体" w:cs="宋体"/>
                <w:b w:val="0"/>
              </w:rPr>
              <w:t>70,172,867.00</w:t>
            </w:r>
          </w:p>
        </w:tc>
        <w:tc>
          <w:tcPr>
            <w:tcW w:w="0" w:type="dxa"/>
            <w:vAlign w:val="center"/>
          </w:tcPr>
          <w:p w14:paraId="2859B740">
            <w:pPr>
              <w:spacing w:line="240" w:lineRule="auto"/>
              <w:jc w:val="right"/>
            </w:pPr>
            <w:r>
              <w:rPr>
                <w:rFonts w:ascii="宋体" w:hAnsi="宋体" w:eastAsia="宋体" w:cs="宋体"/>
                <w:b w:val="0"/>
              </w:rPr>
              <w:t>118.59</w:t>
            </w:r>
          </w:p>
        </w:tc>
      </w:tr>
      <w:tr w14:paraId="3B62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8CDAAC3">
            <w:pPr>
              <w:spacing w:line="240" w:lineRule="auto"/>
              <w:jc w:val="center"/>
            </w:pPr>
            <w:r>
              <w:rPr>
                <w:rFonts w:ascii="宋体" w:hAnsi="宋体" w:eastAsia="宋体" w:cs="宋体"/>
                <w:b w:val="0"/>
              </w:rPr>
              <w:t>4</w:t>
            </w:r>
          </w:p>
        </w:tc>
        <w:tc>
          <w:tcPr>
            <w:tcW w:w="0" w:type="dxa"/>
            <w:vAlign w:val="center"/>
          </w:tcPr>
          <w:p w14:paraId="10D3F085">
            <w:pPr>
              <w:spacing w:line="240" w:lineRule="auto"/>
              <w:jc w:val="left"/>
            </w:pPr>
            <w:r>
              <w:rPr>
                <w:rFonts w:ascii="宋体" w:hAnsi="宋体" w:eastAsia="宋体" w:cs="宋体"/>
                <w:b w:val="0"/>
              </w:rPr>
              <w:t>688072</w:t>
            </w:r>
          </w:p>
        </w:tc>
        <w:tc>
          <w:tcPr>
            <w:tcW w:w="0" w:type="dxa"/>
            <w:vAlign w:val="center"/>
          </w:tcPr>
          <w:p w14:paraId="75217DDA">
            <w:pPr>
              <w:spacing w:line="240" w:lineRule="auto"/>
              <w:jc w:val="left"/>
            </w:pPr>
            <w:r>
              <w:rPr>
                <w:rFonts w:ascii="宋体" w:hAnsi="宋体" w:eastAsia="宋体" w:cs="宋体"/>
                <w:b w:val="0"/>
              </w:rPr>
              <w:t>拓荆科技</w:t>
            </w:r>
          </w:p>
        </w:tc>
        <w:tc>
          <w:tcPr>
            <w:tcW w:w="0" w:type="dxa"/>
            <w:vAlign w:val="center"/>
          </w:tcPr>
          <w:p w14:paraId="30367561">
            <w:pPr>
              <w:spacing w:line="240" w:lineRule="auto"/>
              <w:jc w:val="right"/>
            </w:pPr>
            <w:r>
              <w:rPr>
                <w:rFonts w:ascii="宋体" w:hAnsi="宋体" w:eastAsia="宋体" w:cs="宋体"/>
                <w:b w:val="0"/>
              </w:rPr>
              <w:t>69,372,887.40</w:t>
            </w:r>
          </w:p>
        </w:tc>
        <w:tc>
          <w:tcPr>
            <w:tcW w:w="0" w:type="dxa"/>
            <w:vAlign w:val="center"/>
          </w:tcPr>
          <w:p w14:paraId="2389354B">
            <w:pPr>
              <w:spacing w:line="240" w:lineRule="auto"/>
              <w:jc w:val="right"/>
            </w:pPr>
            <w:r>
              <w:rPr>
                <w:rFonts w:ascii="宋体" w:hAnsi="宋体" w:eastAsia="宋体" w:cs="宋体"/>
                <w:b w:val="0"/>
              </w:rPr>
              <w:t>117.24</w:t>
            </w:r>
          </w:p>
        </w:tc>
      </w:tr>
      <w:tr w14:paraId="5631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225DAC">
            <w:pPr>
              <w:spacing w:line="240" w:lineRule="auto"/>
              <w:jc w:val="center"/>
            </w:pPr>
            <w:r>
              <w:rPr>
                <w:rFonts w:ascii="宋体" w:hAnsi="宋体" w:eastAsia="宋体" w:cs="宋体"/>
                <w:b w:val="0"/>
              </w:rPr>
              <w:t>5</w:t>
            </w:r>
          </w:p>
        </w:tc>
        <w:tc>
          <w:tcPr>
            <w:tcW w:w="0" w:type="dxa"/>
            <w:vAlign w:val="center"/>
          </w:tcPr>
          <w:p w14:paraId="6F2C58A7">
            <w:pPr>
              <w:spacing w:line="240" w:lineRule="auto"/>
              <w:jc w:val="left"/>
            </w:pPr>
            <w:r>
              <w:rPr>
                <w:rFonts w:ascii="宋体" w:hAnsi="宋体" w:eastAsia="宋体" w:cs="宋体"/>
                <w:b w:val="0"/>
              </w:rPr>
              <w:t>688361</w:t>
            </w:r>
          </w:p>
        </w:tc>
        <w:tc>
          <w:tcPr>
            <w:tcW w:w="0" w:type="dxa"/>
            <w:vAlign w:val="center"/>
          </w:tcPr>
          <w:p w14:paraId="4D28E899">
            <w:pPr>
              <w:spacing w:line="240" w:lineRule="auto"/>
              <w:jc w:val="left"/>
            </w:pPr>
            <w:r>
              <w:rPr>
                <w:rFonts w:ascii="宋体" w:hAnsi="宋体" w:eastAsia="宋体" w:cs="宋体"/>
                <w:b w:val="0"/>
              </w:rPr>
              <w:t>中科飞测</w:t>
            </w:r>
          </w:p>
        </w:tc>
        <w:tc>
          <w:tcPr>
            <w:tcW w:w="0" w:type="dxa"/>
            <w:vAlign w:val="center"/>
          </w:tcPr>
          <w:p w14:paraId="599C376F">
            <w:pPr>
              <w:spacing w:line="240" w:lineRule="auto"/>
              <w:jc w:val="right"/>
            </w:pPr>
            <w:r>
              <w:rPr>
                <w:rFonts w:ascii="宋体" w:hAnsi="宋体" w:eastAsia="宋体" w:cs="宋体"/>
                <w:b w:val="0"/>
              </w:rPr>
              <w:t>67,052,728.64</w:t>
            </w:r>
          </w:p>
        </w:tc>
        <w:tc>
          <w:tcPr>
            <w:tcW w:w="0" w:type="dxa"/>
            <w:vAlign w:val="center"/>
          </w:tcPr>
          <w:p w14:paraId="6C61ED1F">
            <w:pPr>
              <w:spacing w:line="240" w:lineRule="auto"/>
              <w:jc w:val="right"/>
            </w:pPr>
            <w:r>
              <w:rPr>
                <w:rFonts w:ascii="宋体" w:hAnsi="宋体" w:eastAsia="宋体" w:cs="宋体"/>
                <w:b w:val="0"/>
              </w:rPr>
              <w:t>113.32</w:t>
            </w:r>
          </w:p>
        </w:tc>
      </w:tr>
      <w:tr w14:paraId="5513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3D4EFE6">
            <w:pPr>
              <w:spacing w:line="240" w:lineRule="auto"/>
              <w:jc w:val="center"/>
            </w:pPr>
            <w:r>
              <w:rPr>
                <w:rFonts w:ascii="宋体" w:hAnsi="宋体" w:eastAsia="宋体" w:cs="宋体"/>
                <w:b w:val="0"/>
              </w:rPr>
              <w:t>6</w:t>
            </w:r>
          </w:p>
        </w:tc>
        <w:tc>
          <w:tcPr>
            <w:tcW w:w="0" w:type="dxa"/>
            <w:vAlign w:val="center"/>
          </w:tcPr>
          <w:p w14:paraId="1CED2E9A">
            <w:pPr>
              <w:spacing w:line="240" w:lineRule="auto"/>
              <w:jc w:val="left"/>
            </w:pPr>
            <w:r>
              <w:rPr>
                <w:rFonts w:ascii="宋体" w:hAnsi="宋体" w:eastAsia="宋体" w:cs="宋体"/>
                <w:b w:val="0"/>
              </w:rPr>
              <w:t>688147</w:t>
            </w:r>
          </w:p>
        </w:tc>
        <w:tc>
          <w:tcPr>
            <w:tcW w:w="0" w:type="dxa"/>
            <w:vAlign w:val="center"/>
          </w:tcPr>
          <w:p w14:paraId="3F2A503C">
            <w:pPr>
              <w:spacing w:line="240" w:lineRule="auto"/>
              <w:jc w:val="left"/>
            </w:pPr>
            <w:r>
              <w:rPr>
                <w:rFonts w:ascii="宋体" w:hAnsi="宋体" w:eastAsia="宋体" w:cs="宋体"/>
                <w:b w:val="0"/>
              </w:rPr>
              <w:t>微导纳米</w:t>
            </w:r>
          </w:p>
        </w:tc>
        <w:tc>
          <w:tcPr>
            <w:tcW w:w="0" w:type="dxa"/>
            <w:vAlign w:val="center"/>
          </w:tcPr>
          <w:p w14:paraId="0B09ED96">
            <w:pPr>
              <w:spacing w:line="240" w:lineRule="auto"/>
              <w:jc w:val="right"/>
            </w:pPr>
            <w:r>
              <w:rPr>
                <w:rFonts w:ascii="宋体" w:hAnsi="宋体" w:eastAsia="宋体" w:cs="宋体"/>
                <w:b w:val="0"/>
              </w:rPr>
              <w:t>61,426,156.41</w:t>
            </w:r>
          </w:p>
        </w:tc>
        <w:tc>
          <w:tcPr>
            <w:tcW w:w="0" w:type="dxa"/>
            <w:vAlign w:val="center"/>
          </w:tcPr>
          <w:p w14:paraId="1FCAF761">
            <w:pPr>
              <w:spacing w:line="240" w:lineRule="auto"/>
              <w:jc w:val="right"/>
            </w:pPr>
            <w:r>
              <w:rPr>
                <w:rFonts w:ascii="宋体" w:hAnsi="宋体" w:eastAsia="宋体" w:cs="宋体"/>
                <w:b w:val="0"/>
              </w:rPr>
              <w:t>103.81</w:t>
            </w:r>
          </w:p>
        </w:tc>
      </w:tr>
      <w:tr w14:paraId="00DD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05FC95">
            <w:pPr>
              <w:spacing w:line="240" w:lineRule="auto"/>
              <w:jc w:val="center"/>
            </w:pPr>
            <w:r>
              <w:rPr>
                <w:rFonts w:ascii="宋体" w:hAnsi="宋体" w:eastAsia="宋体" w:cs="宋体"/>
                <w:b w:val="0"/>
              </w:rPr>
              <w:t>7</w:t>
            </w:r>
          </w:p>
        </w:tc>
        <w:tc>
          <w:tcPr>
            <w:tcW w:w="0" w:type="dxa"/>
            <w:vAlign w:val="center"/>
          </w:tcPr>
          <w:p w14:paraId="0BA30DB2">
            <w:pPr>
              <w:spacing w:line="240" w:lineRule="auto"/>
              <w:jc w:val="left"/>
            </w:pPr>
            <w:r>
              <w:rPr>
                <w:rFonts w:ascii="宋体" w:hAnsi="宋体" w:eastAsia="宋体" w:cs="宋体"/>
                <w:b w:val="0"/>
              </w:rPr>
              <w:t>688200</w:t>
            </w:r>
          </w:p>
        </w:tc>
        <w:tc>
          <w:tcPr>
            <w:tcW w:w="0" w:type="dxa"/>
            <w:vAlign w:val="center"/>
          </w:tcPr>
          <w:p w14:paraId="215212FA">
            <w:pPr>
              <w:spacing w:line="240" w:lineRule="auto"/>
              <w:jc w:val="left"/>
            </w:pPr>
            <w:r>
              <w:rPr>
                <w:rFonts w:ascii="宋体" w:hAnsi="宋体" w:eastAsia="宋体" w:cs="宋体"/>
                <w:b w:val="0"/>
              </w:rPr>
              <w:t>华峰测控</w:t>
            </w:r>
          </w:p>
        </w:tc>
        <w:tc>
          <w:tcPr>
            <w:tcW w:w="0" w:type="dxa"/>
            <w:vAlign w:val="center"/>
          </w:tcPr>
          <w:p w14:paraId="506E6D48">
            <w:pPr>
              <w:spacing w:line="240" w:lineRule="auto"/>
              <w:jc w:val="right"/>
            </w:pPr>
            <w:r>
              <w:rPr>
                <w:rFonts w:ascii="宋体" w:hAnsi="宋体" w:eastAsia="宋体" w:cs="宋体"/>
                <w:b w:val="0"/>
              </w:rPr>
              <w:t>60,708,703.42</w:t>
            </w:r>
          </w:p>
        </w:tc>
        <w:tc>
          <w:tcPr>
            <w:tcW w:w="0" w:type="dxa"/>
            <w:vAlign w:val="center"/>
          </w:tcPr>
          <w:p w14:paraId="229D1911">
            <w:pPr>
              <w:spacing w:line="240" w:lineRule="auto"/>
              <w:jc w:val="right"/>
            </w:pPr>
            <w:r>
              <w:rPr>
                <w:rFonts w:ascii="宋体" w:hAnsi="宋体" w:eastAsia="宋体" w:cs="宋体"/>
                <w:b w:val="0"/>
              </w:rPr>
              <w:t>102.60</w:t>
            </w:r>
          </w:p>
        </w:tc>
      </w:tr>
      <w:tr w14:paraId="5BD0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D38C3F">
            <w:pPr>
              <w:spacing w:line="240" w:lineRule="auto"/>
              <w:jc w:val="center"/>
            </w:pPr>
            <w:r>
              <w:rPr>
                <w:rFonts w:ascii="宋体" w:hAnsi="宋体" w:eastAsia="宋体" w:cs="宋体"/>
                <w:b w:val="0"/>
              </w:rPr>
              <w:t>8</w:t>
            </w:r>
          </w:p>
        </w:tc>
        <w:tc>
          <w:tcPr>
            <w:tcW w:w="0" w:type="dxa"/>
            <w:vAlign w:val="center"/>
          </w:tcPr>
          <w:p w14:paraId="257928DE">
            <w:pPr>
              <w:spacing w:line="240" w:lineRule="auto"/>
              <w:jc w:val="left"/>
            </w:pPr>
            <w:r>
              <w:rPr>
                <w:rFonts w:ascii="宋体" w:hAnsi="宋体" w:eastAsia="宋体" w:cs="宋体"/>
                <w:b w:val="0"/>
              </w:rPr>
              <w:t>688652</w:t>
            </w:r>
          </w:p>
        </w:tc>
        <w:tc>
          <w:tcPr>
            <w:tcW w:w="0" w:type="dxa"/>
            <w:vAlign w:val="center"/>
          </w:tcPr>
          <w:p w14:paraId="038249E8">
            <w:pPr>
              <w:spacing w:line="240" w:lineRule="auto"/>
              <w:jc w:val="left"/>
            </w:pPr>
            <w:r>
              <w:rPr>
                <w:rFonts w:ascii="宋体" w:hAnsi="宋体" w:eastAsia="宋体" w:cs="宋体"/>
                <w:b w:val="0"/>
              </w:rPr>
              <w:t>京仪装备</w:t>
            </w:r>
          </w:p>
        </w:tc>
        <w:tc>
          <w:tcPr>
            <w:tcW w:w="0" w:type="dxa"/>
            <w:vAlign w:val="center"/>
          </w:tcPr>
          <w:p w14:paraId="00216AE9">
            <w:pPr>
              <w:spacing w:line="240" w:lineRule="auto"/>
              <w:jc w:val="right"/>
            </w:pPr>
            <w:r>
              <w:rPr>
                <w:rFonts w:ascii="宋体" w:hAnsi="宋体" w:eastAsia="宋体" w:cs="宋体"/>
                <w:b w:val="0"/>
              </w:rPr>
              <w:t>56,979,150.54</w:t>
            </w:r>
          </w:p>
        </w:tc>
        <w:tc>
          <w:tcPr>
            <w:tcW w:w="0" w:type="dxa"/>
            <w:vAlign w:val="center"/>
          </w:tcPr>
          <w:p w14:paraId="34D09DA3">
            <w:pPr>
              <w:spacing w:line="240" w:lineRule="auto"/>
              <w:jc w:val="right"/>
            </w:pPr>
            <w:r>
              <w:rPr>
                <w:rFonts w:ascii="宋体" w:hAnsi="宋体" w:eastAsia="宋体" w:cs="宋体"/>
                <w:b w:val="0"/>
              </w:rPr>
              <w:t>96.29</w:t>
            </w:r>
          </w:p>
        </w:tc>
      </w:tr>
      <w:tr w14:paraId="1A4A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C7E734">
            <w:pPr>
              <w:spacing w:line="240" w:lineRule="auto"/>
              <w:jc w:val="center"/>
            </w:pPr>
            <w:r>
              <w:rPr>
                <w:rFonts w:ascii="宋体" w:hAnsi="宋体" w:eastAsia="宋体" w:cs="宋体"/>
                <w:b w:val="0"/>
              </w:rPr>
              <w:t>9</w:t>
            </w:r>
          </w:p>
        </w:tc>
        <w:tc>
          <w:tcPr>
            <w:tcW w:w="0" w:type="dxa"/>
            <w:vAlign w:val="center"/>
          </w:tcPr>
          <w:p w14:paraId="68825A49">
            <w:pPr>
              <w:spacing w:line="240" w:lineRule="auto"/>
              <w:jc w:val="left"/>
            </w:pPr>
            <w:r>
              <w:rPr>
                <w:rFonts w:ascii="宋体" w:hAnsi="宋体" w:eastAsia="宋体" w:cs="宋体"/>
                <w:b w:val="0"/>
              </w:rPr>
              <w:t>300604</w:t>
            </w:r>
          </w:p>
        </w:tc>
        <w:tc>
          <w:tcPr>
            <w:tcW w:w="0" w:type="dxa"/>
            <w:vAlign w:val="center"/>
          </w:tcPr>
          <w:p w14:paraId="2189C633">
            <w:pPr>
              <w:spacing w:line="240" w:lineRule="auto"/>
              <w:jc w:val="left"/>
            </w:pPr>
            <w:r>
              <w:rPr>
                <w:rFonts w:ascii="宋体" w:hAnsi="宋体" w:eastAsia="宋体" w:cs="宋体"/>
                <w:b w:val="0"/>
              </w:rPr>
              <w:t>长川科技</w:t>
            </w:r>
          </w:p>
        </w:tc>
        <w:tc>
          <w:tcPr>
            <w:tcW w:w="0" w:type="dxa"/>
            <w:vAlign w:val="center"/>
          </w:tcPr>
          <w:p w14:paraId="55F6463B">
            <w:pPr>
              <w:spacing w:line="240" w:lineRule="auto"/>
              <w:jc w:val="right"/>
            </w:pPr>
            <w:r>
              <w:rPr>
                <w:rFonts w:ascii="宋体" w:hAnsi="宋体" w:eastAsia="宋体" w:cs="宋体"/>
                <w:b w:val="0"/>
              </w:rPr>
              <w:t>55,576,327.54</w:t>
            </w:r>
          </w:p>
        </w:tc>
        <w:tc>
          <w:tcPr>
            <w:tcW w:w="0" w:type="dxa"/>
            <w:vAlign w:val="center"/>
          </w:tcPr>
          <w:p w14:paraId="1499B489">
            <w:pPr>
              <w:spacing w:line="240" w:lineRule="auto"/>
              <w:jc w:val="right"/>
            </w:pPr>
            <w:r>
              <w:rPr>
                <w:rFonts w:ascii="宋体" w:hAnsi="宋体" w:eastAsia="宋体" w:cs="宋体"/>
                <w:b w:val="0"/>
              </w:rPr>
              <w:t>93.92</w:t>
            </w:r>
          </w:p>
        </w:tc>
      </w:tr>
      <w:tr w14:paraId="7FC7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60B8B5">
            <w:pPr>
              <w:spacing w:line="240" w:lineRule="auto"/>
              <w:jc w:val="center"/>
            </w:pPr>
            <w:r>
              <w:rPr>
                <w:rFonts w:ascii="宋体" w:hAnsi="宋体" w:eastAsia="宋体" w:cs="宋体"/>
                <w:b w:val="0"/>
              </w:rPr>
              <w:t>10</w:t>
            </w:r>
          </w:p>
        </w:tc>
        <w:tc>
          <w:tcPr>
            <w:tcW w:w="0" w:type="dxa"/>
            <w:vAlign w:val="center"/>
          </w:tcPr>
          <w:p w14:paraId="520EC340">
            <w:pPr>
              <w:spacing w:line="240" w:lineRule="auto"/>
              <w:jc w:val="left"/>
            </w:pPr>
            <w:r>
              <w:rPr>
                <w:rFonts w:ascii="宋体" w:hAnsi="宋体" w:eastAsia="宋体" w:cs="宋体"/>
                <w:b w:val="0"/>
              </w:rPr>
              <w:t>002371</w:t>
            </w:r>
          </w:p>
        </w:tc>
        <w:tc>
          <w:tcPr>
            <w:tcW w:w="0" w:type="dxa"/>
            <w:vAlign w:val="center"/>
          </w:tcPr>
          <w:p w14:paraId="6B5871A5">
            <w:pPr>
              <w:spacing w:line="240" w:lineRule="auto"/>
              <w:jc w:val="left"/>
            </w:pPr>
            <w:r>
              <w:rPr>
                <w:rFonts w:ascii="宋体" w:hAnsi="宋体" w:eastAsia="宋体" w:cs="宋体"/>
                <w:b w:val="0"/>
              </w:rPr>
              <w:t>北方华创</w:t>
            </w:r>
          </w:p>
        </w:tc>
        <w:tc>
          <w:tcPr>
            <w:tcW w:w="0" w:type="dxa"/>
            <w:vAlign w:val="center"/>
          </w:tcPr>
          <w:p w14:paraId="55E8B213">
            <w:pPr>
              <w:spacing w:line="240" w:lineRule="auto"/>
              <w:jc w:val="right"/>
            </w:pPr>
            <w:r>
              <w:rPr>
                <w:rFonts w:ascii="宋体" w:hAnsi="宋体" w:eastAsia="宋体" w:cs="宋体"/>
                <w:b w:val="0"/>
              </w:rPr>
              <w:t>46,895,402.50</w:t>
            </w:r>
          </w:p>
        </w:tc>
        <w:tc>
          <w:tcPr>
            <w:tcW w:w="0" w:type="dxa"/>
            <w:vAlign w:val="center"/>
          </w:tcPr>
          <w:p w14:paraId="4435D3FB">
            <w:pPr>
              <w:spacing w:line="240" w:lineRule="auto"/>
              <w:jc w:val="right"/>
            </w:pPr>
            <w:r>
              <w:rPr>
                <w:rFonts w:ascii="宋体" w:hAnsi="宋体" w:eastAsia="宋体" w:cs="宋体"/>
                <w:b w:val="0"/>
              </w:rPr>
              <w:t>79.25</w:t>
            </w:r>
          </w:p>
        </w:tc>
      </w:tr>
      <w:tr w14:paraId="3D7D8EA9">
        <w:tblPrEx>
          <w:tblCellMar>
            <w:top w:w="0" w:type="dxa"/>
            <w:left w:w="108" w:type="dxa"/>
            <w:bottom w:w="0" w:type="dxa"/>
            <w:right w:w="108" w:type="dxa"/>
          </w:tblCellMar>
        </w:tblPrEx>
        <w:tc>
          <w:tcPr>
            <w:tcW w:w="0" w:type="dxa"/>
            <w:vAlign w:val="center"/>
          </w:tcPr>
          <w:p w14:paraId="7C2D9F70">
            <w:pPr>
              <w:spacing w:line="240" w:lineRule="auto"/>
              <w:jc w:val="center"/>
            </w:pPr>
            <w:r>
              <w:rPr>
                <w:rFonts w:ascii="宋体" w:hAnsi="宋体" w:eastAsia="宋体" w:cs="宋体"/>
                <w:b w:val="0"/>
              </w:rPr>
              <w:t>11</w:t>
            </w:r>
          </w:p>
        </w:tc>
        <w:tc>
          <w:tcPr>
            <w:tcW w:w="0" w:type="dxa"/>
            <w:vAlign w:val="center"/>
          </w:tcPr>
          <w:p w14:paraId="68461977">
            <w:pPr>
              <w:spacing w:line="240" w:lineRule="auto"/>
              <w:jc w:val="left"/>
            </w:pPr>
            <w:r>
              <w:rPr>
                <w:rFonts w:ascii="宋体" w:hAnsi="宋体" w:eastAsia="宋体" w:cs="宋体"/>
                <w:b w:val="0"/>
              </w:rPr>
              <w:t>688627</w:t>
            </w:r>
          </w:p>
        </w:tc>
        <w:tc>
          <w:tcPr>
            <w:tcW w:w="0" w:type="dxa"/>
            <w:vAlign w:val="center"/>
          </w:tcPr>
          <w:p w14:paraId="7E7AA931">
            <w:pPr>
              <w:spacing w:line="240" w:lineRule="auto"/>
              <w:jc w:val="left"/>
            </w:pPr>
            <w:r>
              <w:rPr>
                <w:rFonts w:ascii="宋体" w:hAnsi="宋体" w:eastAsia="宋体" w:cs="宋体"/>
                <w:b w:val="0"/>
              </w:rPr>
              <w:t>精智达</w:t>
            </w:r>
          </w:p>
        </w:tc>
        <w:tc>
          <w:tcPr>
            <w:tcW w:w="0" w:type="dxa"/>
            <w:vAlign w:val="center"/>
          </w:tcPr>
          <w:p w14:paraId="54C418BC">
            <w:pPr>
              <w:spacing w:line="240" w:lineRule="auto"/>
              <w:jc w:val="right"/>
            </w:pPr>
            <w:r>
              <w:rPr>
                <w:rFonts w:ascii="宋体" w:hAnsi="宋体" w:eastAsia="宋体" w:cs="宋体"/>
                <w:b w:val="0"/>
              </w:rPr>
              <w:t>44,680,278.74</w:t>
            </w:r>
          </w:p>
        </w:tc>
        <w:tc>
          <w:tcPr>
            <w:tcW w:w="0" w:type="dxa"/>
            <w:vAlign w:val="center"/>
          </w:tcPr>
          <w:p w14:paraId="4CD727F8">
            <w:pPr>
              <w:spacing w:line="240" w:lineRule="auto"/>
              <w:jc w:val="right"/>
            </w:pPr>
            <w:r>
              <w:rPr>
                <w:rFonts w:ascii="宋体" w:hAnsi="宋体" w:eastAsia="宋体" w:cs="宋体"/>
                <w:b w:val="0"/>
              </w:rPr>
              <w:t>75.51</w:t>
            </w:r>
          </w:p>
        </w:tc>
      </w:tr>
      <w:tr w14:paraId="4B88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04A808">
            <w:pPr>
              <w:spacing w:line="240" w:lineRule="auto"/>
              <w:jc w:val="center"/>
            </w:pPr>
            <w:r>
              <w:rPr>
                <w:rFonts w:ascii="宋体" w:hAnsi="宋体" w:eastAsia="宋体" w:cs="宋体"/>
                <w:b w:val="0"/>
              </w:rPr>
              <w:t>12</w:t>
            </w:r>
          </w:p>
        </w:tc>
        <w:tc>
          <w:tcPr>
            <w:tcW w:w="0" w:type="dxa"/>
            <w:vAlign w:val="center"/>
          </w:tcPr>
          <w:p w14:paraId="74063AFE">
            <w:pPr>
              <w:spacing w:line="240" w:lineRule="auto"/>
              <w:jc w:val="left"/>
            </w:pPr>
            <w:r>
              <w:rPr>
                <w:rFonts w:ascii="宋体" w:hAnsi="宋体" w:eastAsia="宋体" w:cs="宋体"/>
                <w:b w:val="0"/>
              </w:rPr>
              <w:t>688120</w:t>
            </w:r>
          </w:p>
        </w:tc>
        <w:tc>
          <w:tcPr>
            <w:tcW w:w="0" w:type="dxa"/>
            <w:vAlign w:val="center"/>
          </w:tcPr>
          <w:p w14:paraId="17B789C0">
            <w:pPr>
              <w:spacing w:line="240" w:lineRule="auto"/>
              <w:jc w:val="left"/>
            </w:pPr>
            <w:r>
              <w:rPr>
                <w:rFonts w:ascii="宋体" w:hAnsi="宋体" w:eastAsia="宋体" w:cs="宋体"/>
                <w:b w:val="0"/>
              </w:rPr>
              <w:t>华海清科</w:t>
            </w:r>
          </w:p>
        </w:tc>
        <w:tc>
          <w:tcPr>
            <w:tcW w:w="0" w:type="dxa"/>
            <w:vAlign w:val="center"/>
          </w:tcPr>
          <w:p w14:paraId="10DEC7C2">
            <w:pPr>
              <w:spacing w:line="240" w:lineRule="auto"/>
              <w:jc w:val="right"/>
            </w:pPr>
            <w:r>
              <w:rPr>
                <w:rFonts w:ascii="宋体" w:hAnsi="宋体" w:eastAsia="宋体" w:cs="宋体"/>
                <w:b w:val="0"/>
              </w:rPr>
              <w:t>42,123,681.43</w:t>
            </w:r>
          </w:p>
        </w:tc>
        <w:tc>
          <w:tcPr>
            <w:tcW w:w="0" w:type="dxa"/>
            <w:vAlign w:val="center"/>
          </w:tcPr>
          <w:p w14:paraId="6E366806">
            <w:pPr>
              <w:spacing w:line="240" w:lineRule="auto"/>
              <w:jc w:val="right"/>
            </w:pPr>
            <w:r>
              <w:rPr>
                <w:rFonts w:ascii="宋体" w:hAnsi="宋体" w:eastAsia="宋体" w:cs="宋体"/>
                <w:b w:val="0"/>
              </w:rPr>
              <w:t>71.19</w:t>
            </w:r>
          </w:p>
        </w:tc>
      </w:tr>
      <w:tr w14:paraId="04B4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C554A3B">
            <w:pPr>
              <w:spacing w:line="240" w:lineRule="auto"/>
              <w:jc w:val="center"/>
            </w:pPr>
            <w:r>
              <w:rPr>
                <w:rFonts w:ascii="宋体" w:hAnsi="宋体" w:eastAsia="宋体" w:cs="宋体"/>
                <w:b w:val="0"/>
              </w:rPr>
              <w:t>13</w:t>
            </w:r>
          </w:p>
        </w:tc>
        <w:tc>
          <w:tcPr>
            <w:tcW w:w="0" w:type="dxa"/>
            <w:vAlign w:val="center"/>
          </w:tcPr>
          <w:p w14:paraId="3814BFE9">
            <w:pPr>
              <w:spacing w:line="240" w:lineRule="auto"/>
              <w:jc w:val="left"/>
            </w:pPr>
            <w:r>
              <w:rPr>
                <w:rFonts w:ascii="宋体" w:hAnsi="宋体" w:eastAsia="宋体" w:cs="宋体"/>
                <w:b w:val="0"/>
              </w:rPr>
              <w:t>688347</w:t>
            </w:r>
          </w:p>
        </w:tc>
        <w:tc>
          <w:tcPr>
            <w:tcW w:w="0" w:type="dxa"/>
            <w:vAlign w:val="center"/>
          </w:tcPr>
          <w:p w14:paraId="3E421C03">
            <w:pPr>
              <w:spacing w:line="240" w:lineRule="auto"/>
              <w:jc w:val="left"/>
            </w:pPr>
            <w:r>
              <w:rPr>
                <w:rFonts w:ascii="宋体" w:hAnsi="宋体" w:eastAsia="宋体" w:cs="宋体"/>
                <w:b w:val="0"/>
              </w:rPr>
              <w:t>华虹宏力</w:t>
            </w:r>
          </w:p>
        </w:tc>
        <w:tc>
          <w:tcPr>
            <w:tcW w:w="0" w:type="dxa"/>
            <w:vAlign w:val="center"/>
          </w:tcPr>
          <w:p w14:paraId="7A2524D8">
            <w:pPr>
              <w:spacing w:line="240" w:lineRule="auto"/>
              <w:jc w:val="right"/>
            </w:pPr>
            <w:r>
              <w:rPr>
                <w:rFonts w:ascii="宋体" w:hAnsi="宋体" w:eastAsia="宋体" w:cs="宋体"/>
                <w:b w:val="0"/>
              </w:rPr>
              <w:t>35,409,643.24</w:t>
            </w:r>
          </w:p>
        </w:tc>
        <w:tc>
          <w:tcPr>
            <w:tcW w:w="0" w:type="dxa"/>
            <w:vAlign w:val="center"/>
          </w:tcPr>
          <w:p w14:paraId="7F0835F0">
            <w:pPr>
              <w:spacing w:line="240" w:lineRule="auto"/>
              <w:jc w:val="right"/>
            </w:pPr>
            <w:r>
              <w:rPr>
                <w:rFonts w:ascii="宋体" w:hAnsi="宋体" w:eastAsia="宋体" w:cs="宋体"/>
                <w:b w:val="0"/>
              </w:rPr>
              <w:t>59.84</w:t>
            </w:r>
          </w:p>
        </w:tc>
      </w:tr>
      <w:tr w14:paraId="1442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B4081C8">
            <w:pPr>
              <w:spacing w:line="240" w:lineRule="auto"/>
              <w:jc w:val="center"/>
            </w:pPr>
            <w:r>
              <w:rPr>
                <w:rFonts w:ascii="宋体" w:hAnsi="宋体" w:eastAsia="宋体" w:cs="宋体"/>
                <w:b w:val="0"/>
              </w:rPr>
              <w:t>14</w:t>
            </w:r>
          </w:p>
        </w:tc>
        <w:tc>
          <w:tcPr>
            <w:tcW w:w="0" w:type="dxa"/>
            <w:vAlign w:val="center"/>
          </w:tcPr>
          <w:p w14:paraId="0CCA7312">
            <w:pPr>
              <w:spacing w:line="240" w:lineRule="auto"/>
              <w:jc w:val="left"/>
            </w:pPr>
            <w:r>
              <w:rPr>
                <w:rFonts w:ascii="宋体" w:hAnsi="宋体" w:eastAsia="宋体" w:cs="宋体"/>
                <w:b w:val="0"/>
              </w:rPr>
              <w:t>688630</w:t>
            </w:r>
          </w:p>
        </w:tc>
        <w:tc>
          <w:tcPr>
            <w:tcW w:w="0" w:type="dxa"/>
            <w:vAlign w:val="center"/>
          </w:tcPr>
          <w:p w14:paraId="779D21FD">
            <w:pPr>
              <w:spacing w:line="240" w:lineRule="auto"/>
              <w:jc w:val="left"/>
            </w:pPr>
            <w:r>
              <w:rPr>
                <w:rFonts w:ascii="宋体" w:hAnsi="宋体" w:eastAsia="宋体" w:cs="宋体"/>
                <w:b w:val="0"/>
              </w:rPr>
              <w:t>芯碁微装</w:t>
            </w:r>
          </w:p>
        </w:tc>
        <w:tc>
          <w:tcPr>
            <w:tcW w:w="0" w:type="dxa"/>
            <w:vAlign w:val="center"/>
          </w:tcPr>
          <w:p w14:paraId="49B3B04C">
            <w:pPr>
              <w:spacing w:line="240" w:lineRule="auto"/>
              <w:jc w:val="right"/>
            </w:pPr>
            <w:r>
              <w:rPr>
                <w:rFonts w:ascii="宋体" w:hAnsi="宋体" w:eastAsia="宋体" w:cs="宋体"/>
                <w:b w:val="0"/>
              </w:rPr>
              <w:t>33,963,770.28</w:t>
            </w:r>
          </w:p>
        </w:tc>
        <w:tc>
          <w:tcPr>
            <w:tcW w:w="0" w:type="dxa"/>
            <w:vAlign w:val="center"/>
          </w:tcPr>
          <w:p w14:paraId="682811D4">
            <w:pPr>
              <w:spacing w:line="240" w:lineRule="auto"/>
              <w:jc w:val="right"/>
            </w:pPr>
            <w:r>
              <w:rPr>
                <w:rFonts w:ascii="宋体" w:hAnsi="宋体" w:eastAsia="宋体" w:cs="宋体"/>
                <w:b w:val="0"/>
              </w:rPr>
              <w:t>57.40</w:t>
            </w:r>
          </w:p>
        </w:tc>
      </w:tr>
      <w:tr w14:paraId="78A1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DA2C9B5">
            <w:pPr>
              <w:spacing w:line="240" w:lineRule="auto"/>
              <w:jc w:val="center"/>
            </w:pPr>
            <w:r>
              <w:rPr>
                <w:rFonts w:ascii="宋体" w:hAnsi="宋体" w:eastAsia="宋体" w:cs="宋体"/>
                <w:b w:val="0"/>
              </w:rPr>
              <w:t>15</w:t>
            </w:r>
          </w:p>
        </w:tc>
        <w:tc>
          <w:tcPr>
            <w:tcW w:w="0" w:type="dxa"/>
            <w:vAlign w:val="center"/>
          </w:tcPr>
          <w:p w14:paraId="00DD3009">
            <w:pPr>
              <w:spacing w:line="240" w:lineRule="auto"/>
              <w:jc w:val="left"/>
            </w:pPr>
            <w:r>
              <w:rPr>
                <w:rFonts w:ascii="宋体" w:hAnsi="宋体" w:eastAsia="宋体" w:cs="宋体"/>
                <w:b w:val="0"/>
              </w:rPr>
              <w:t>688409</w:t>
            </w:r>
          </w:p>
        </w:tc>
        <w:tc>
          <w:tcPr>
            <w:tcW w:w="0" w:type="dxa"/>
            <w:vAlign w:val="center"/>
          </w:tcPr>
          <w:p w14:paraId="24BF2BF9">
            <w:pPr>
              <w:spacing w:line="240" w:lineRule="auto"/>
              <w:jc w:val="left"/>
            </w:pPr>
            <w:r>
              <w:rPr>
                <w:rFonts w:ascii="宋体" w:hAnsi="宋体" w:eastAsia="宋体" w:cs="宋体"/>
                <w:b w:val="0"/>
              </w:rPr>
              <w:t>富创精密</w:t>
            </w:r>
          </w:p>
        </w:tc>
        <w:tc>
          <w:tcPr>
            <w:tcW w:w="0" w:type="dxa"/>
            <w:vAlign w:val="center"/>
          </w:tcPr>
          <w:p w14:paraId="601CE87C">
            <w:pPr>
              <w:spacing w:line="240" w:lineRule="auto"/>
              <w:jc w:val="right"/>
            </w:pPr>
            <w:r>
              <w:rPr>
                <w:rFonts w:ascii="宋体" w:hAnsi="宋体" w:eastAsia="宋体" w:cs="宋体"/>
                <w:b w:val="0"/>
              </w:rPr>
              <w:t>29,281,622.94</w:t>
            </w:r>
          </w:p>
        </w:tc>
        <w:tc>
          <w:tcPr>
            <w:tcW w:w="0" w:type="dxa"/>
            <w:vAlign w:val="center"/>
          </w:tcPr>
          <w:p w14:paraId="3293204D">
            <w:pPr>
              <w:spacing w:line="240" w:lineRule="auto"/>
              <w:jc w:val="right"/>
            </w:pPr>
            <w:r>
              <w:rPr>
                <w:rFonts w:ascii="宋体" w:hAnsi="宋体" w:eastAsia="宋体" w:cs="宋体"/>
                <w:b w:val="0"/>
              </w:rPr>
              <w:t>49.48</w:t>
            </w:r>
          </w:p>
        </w:tc>
      </w:tr>
      <w:tr w14:paraId="4E4B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E641AD">
            <w:pPr>
              <w:spacing w:line="240" w:lineRule="auto"/>
              <w:jc w:val="center"/>
            </w:pPr>
            <w:r>
              <w:rPr>
                <w:rFonts w:ascii="宋体" w:hAnsi="宋体" w:eastAsia="宋体" w:cs="宋体"/>
                <w:b w:val="0"/>
              </w:rPr>
              <w:t>16</w:t>
            </w:r>
          </w:p>
        </w:tc>
        <w:tc>
          <w:tcPr>
            <w:tcW w:w="0" w:type="dxa"/>
            <w:vAlign w:val="center"/>
          </w:tcPr>
          <w:p w14:paraId="64C35E84">
            <w:pPr>
              <w:spacing w:line="240" w:lineRule="auto"/>
              <w:jc w:val="left"/>
            </w:pPr>
            <w:r>
              <w:rPr>
                <w:rFonts w:ascii="宋体" w:hAnsi="宋体" w:eastAsia="宋体" w:cs="宋体"/>
                <w:b w:val="0"/>
              </w:rPr>
              <w:t>688082</w:t>
            </w:r>
          </w:p>
        </w:tc>
        <w:tc>
          <w:tcPr>
            <w:tcW w:w="0" w:type="dxa"/>
            <w:vAlign w:val="center"/>
          </w:tcPr>
          <w:p w14:paraId="4A46646E">
            <w:pPr>
              <w:spacing w:line="240" w:lineRule="auto"/>
              <w:jc w:val="left"/>
            </w:pPr>
            <w:r>
              <w:rPr>
                <w:rFonts w:ascii="宋体" w:hAnsi="宋体" w:eastAsia="宋体" w:cs="宋体"/>
                <w:b w:val="0"/>
              </w:rPr>
              <w:t>盛美上海</w:t>
            </w:r>
          </w:p>
        </w:tc>
        <w:tc>
          <w:tcPr>
            <w:tcW w:w="0" w:type="dxa"/>
            <w:vAlign w:val="center"/>
          </w:tcPr>
          <w:p w14:paraId="25144973">
            <w:pPr>
              <w:spacing w:line="240" w:lineRule="auto"/>
              <w:jc w:val="right"/>
            </w:pPr>
            <w:r>
              <w:rPr>
                <w:rFonts w:ascii="宋体" w:hAnsi="宋体" w:eastAsia="宋体" w:cs="宋体"/>
                <w:b w:val="0"/>
              </w:rPr>
              <w:t>28,750,229.26</w:t>
            </w:r>
          </w:p>
        </w:tc>
        <w:tc>
          <w:tcPr>
            <w:tcW w:w="0" w:type="dxa"/>
            <w:vAlign w:val="center"/>
          </w:tcPr>
          <w:p w14:paraId="60145D6D">
            <w:pPr>
              <w:spacing w:line="240" w:lineRule="auto"/>
              <w:jc w:val="right"/>
            </w:pPr>
            <w:r>
              <w:rPr>
                <w:rFonts w:ascii="宋体" w:hAnsi="宋体" w:eastAsia="宋体" w:cs="宋体"/>
                <w:b w:val="0"/>
              </w:rPr>
              <w:t>48.59</w:t>
            </w:r>
          </w:p>
        </w:tc>
      </w:tr>
      <w:tr w14:paraId="429B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E85BBB">
            <w:pPr>
              <w:spacing w:line="240" w:lineRule="auto"/>
              <w:jc w:val="center"/>
            </w:pPr>
            <w:r>
              <w:rPr>
                <w:rFonts w:ascii="宋体" w:hAnsi="宋体" w:eastAsia="宋体" w:cs="宋体"/>
                <w:b w:val="0"/>
              </w:rPr>
              <w:t>17</w:t>
            </w:r>
          </w:p>
        </w:tc>
        <w:tc>
          <w:tcPr>
            <w:tcW w:w="0" w:type="dxa"/>
            <w:vAlign w:val="center"/>
          </w:tcPr>
          <w:p w14:paraId="2401C473">
            <w:pPr>
              <w:spacing w:line="240" w:lineRule="auto"/>
              <w:jc w:val="left"/>
            </w:pPr>
            <w:r>
              <w:rPr>
                <w:rFonts w:ascii="宋体" w:hAnsi="宋体" w:eastAsia="宋体" w:cs="宋体"/>
                <w:b w:val="0"/>
              </w:rPr>
              <w:t>301611</w:t>
            </w:r>
          </w:p>
        </w:tc>
        <w:tc>
          <w:tcPr>
            <w:tcW w:w="0" w:type="dxa"/>
            <w:vAlign w:val="center"/>
          </w:tcPr>
          <w:p w14:paraId="64C35B41">
            <w:pPr>
              <w:spacing w:line="240" w:lineRule="auto"/>
              <w:jc w:val="left"/>
            </w:pPr>
            <w:r>
              <w:rPr>
                <w:rFonts w:ascii="宋体" w:hAnsi="宋体" w:eastAsia="宋体" w:cs="宋体"/>
                <w:b w:val="0"/>
              </w:rPr>
              <w:t>珂玛科技</w:t>
            </w:r>
          </w:p>
        </w:tc>
        <w:tc>
          <w:tcPr>
            <w:tcW w:w="0" w:type="dxa"/>
            <w:vAlign w:val="center"/>
          </w:tcPr>
          <w:p w14:paraId="00AACF7B">
            <w:pPr>
              <w:spacing w:line="240" w:lineRule="auto"/>
              <w:jc w:val="right"/>
            </w:pPr>
            <w:r>
              <w:rPr>
                <w:rFonts w:ascii="宋体" w:hAnsi="宋体" w:eastAsia="宋体" w:cs="宋体"/>
                <w:b w:val="0"/>
              </w:rPr>
              <w:t>27,664,678.60</w:t>
            </w:r>
          </w:p>
        </w:tc>
        <w:tc>
          <w:tcPr>
            <w:tcW w:w="0" w:type="dxa"/>
            <w:vAlign w:val="center"/>
          </w:tcPr>
          <w:p w14:paraId="3290FA83">
            <w:pPr>
              <w:spacing w:line="240" w:lineRule="auto"/>
              <w:jc w:val="right"/>
            </w:pPr>
            <w:r>
              <w:rPr>
                <w:rFonts w:ascii="宋体" w:hAnsi="宋体" w:eastAsia="宋体" w:cs="宋体"/>
                <w:b w:val="0"/>
              </w:rPr>
              <w:t>46.75</w:t>
            </w:r>
          </w:p>
        </w:tc>
      </w:tr>
      <w:tr w14:paraId="7A84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FABABC">
            <w:pPr>
              <w:spacing w:line="240" w:lineRule="auto"/>
              <w:jc w:val="center"/>
            </w:pPr>
            <w:r>
              <w:rPr>
                <w:rFonts w:ascii="宋体" w:hAnsi="宋体" w:eastAsia="宋体" w:cs="宋体"/>
                <w:b w:val="0"/>
              </w:rPr>
              <w:t>18</w:t>
            </w:r>
          </w:p>
        </w:tc>
        <w:tc>
          <w:tcPr>
            <w:tcW w:w="0" w:type="dxa"/>
            <w:vAlign w:val="center"/>
          </w:tcPr>
          <w:p w14:paraId="5215C583">
            <w:pPr>
              <w:spacing w:line="240" w:lineRule="auto"/>
              <w:jc w:val="left"/>
            </w:pPr>
            <w:r>
              <w:rPr>
                <w:rFonts w:ascii="宋体" w:hAnsi="宋体" w:eastAsia="宋体" w:cs="宋体"/>
                <w:b w:val="0"/>
              </w:rPr>
              <w:t>300820</w:t>
            </w:r>
          </w:p>
        </w:tc>
        <w:tc>
          <w:tcPr>
            <w:tcW w:w="0" w:type="dxa"/>
            <w:vAlign w:val="center"/>
          </w:tcPr>
          <w:p w14:paraId="66ECB0B8">
            <w:pPr>
              <w:spacing w:line="240" w:lineRule="auto"/>
              <w:jc w:val="left"/>
            </w:pPr>
            <w:r>
              <w:rPr>
                <w:rFonts w:ascii="宋体" w:hAnsi="宋体" w:eastAsia="宋体" w:cs="宋体"/>
                <w:b w:val="0"/>
              </w:rPr>
              <w:t>英杰电气</w:t>
            </w:r>
          </w:p>
        </w:tc>
        <w:tc>
          <w:tcPr>
            <w:tcW w:w="0" w:type="dxa"/>
            <w:vAlign w:val="center"/>
          </w:tcPr>
          <w:p w14:paraId="5664053F">
            <w:pPr>
              <w:spacing w:line="240" w:lineRule="auto"/>
              <w:jc w:val="right"/>
            </w:pPr>
            <w:r>
              <w:rPr>
                <w:rFonts w:ascii="宋体" w:hAnsi="宋体" w:eastAsia="宋体" w:cs="宋体"/>
                <w:b w:val="0"/>
              </w:rPr>
              <w:t>24,954,628.00</w:t>
            </w:r>
          </w:p>
        </w:tc>
        <w:tc>
          <w:tcPr>
            <w:tcW w:w="0" w:type="dxa"/>
            <w:vAlign w:val="center"/>
          </w:tcPr>
          <w:p w14:paraId="7EAE12C5">
            <w:pPr>
              <w:spacing w:line="240" w:lineRule="auto"/>
              <w:jc w:val="right"/>
            </w:pPr>
            <w:r>
              <w:rPr>
                <w:rFonts w:ascii="宋体" w:hAnsi="宋体" w:eastAsia="宋体" w:cs="宋体"/>
                <w:b w:val="0"/>
              </w:rPr>
              <w:t>42.17</w:t>
            </w:r>
          </w:p>
        </w:tc>
      </w:tr>
      <w:tr w14:paraId="5493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CAB93D">
            <w:pPr>
              <w:spacing w:line="240" w:lineRule="auto"/>
              <w:jc w:val="center"/>
            </w:pPr>
            <w:r>
              <w:rPr>
                <w:rFonts w:ascii="宋体" w:hAnsi="宋体" w:eastAsia="宋体" w:cs="宋体"/>
                <w:b w:val="0"/>
              </w:rPr>
              <w:t>19</w:t>
            </w:r>
          </w:p>
        </w:tc>
        <w:tc>
          <w:tcPr>
            <w:tcW w:w="0" w:type="dxa"/>
            <w:vAlign w:val="center"/>
          </w:tcPr>
          <w:p w14:paraId="6B66C4CE">
            <w:pPr>
              <w:spacing w:line="240" w:lineRule="auto"/>
              <w:jc w:val="left"/>
            </w:pPr>
            <w:r>
              <w:rPr>
                <w:rFonts w:ascii="宋体" w:hAnsi="宋体" w:eastAsia="宋体" w:cs="宋体"/>
                <w:b w:val="0"/>
              </w:rPr>
              <w:t>300666</w:t>
            </w:r>
          </w:p>
        </w:tc>
        <w:tc>
          <w:tcPr>
            <w:tcW w:w="0" w:type="dxa"/>
            <w:vAlign w:val="center"/>
          </w:tcPr>
          <w:p w14:paraId="5AAF9152">
            <w:pPr>
              <w:spacing w:line="240" w:lineRule="auto"/>
              <w:jc w:val="left"/>
            </w:pPr>
            <w:r>
              <w:rPr>
                <w:rFonts w:ascii="宋体" w:hAnsi="宋体" w:eastAsia="宋体" w:cs="宋体"/>
                <w:b w:val="0"/>
              </w:rPr>
              <w:t>江丰电子</w:t>
            </w:r>
          </w:p>
        </w:tc>
        <w:tc>
          <w:tcPr>
            <w:tcW w:w="0" w:type="dxa"/>
            <w:vAlign w:val="center"/>
          </w:tcPr>
          <w:p w14:paraId="09257A98">
            <w:pPr>
              <w:spacing w:line="240" w:lineRule="auto"/>
              <w:jc w:val="right"/>
            </w:pPr>
            <w:r>
              <w:rPr>
                <w:rFonts w:ascii="宋体" w:hAnsi="宋体" w:eastAsia="宋体" w:cs="宋体"/>
                <w:b w:val="0"/>
              </w:rPr>
              <w:t>23,174,811.00</w:t>
            </w:r>
          </w:p>
        </w:tc>
        <w:tc>
          <w:tcPr>
            <w:tcW w:w="0" w:type="dxa"/>
            <w:vAlign w:val="center"/>
          </w:tcPr>
          <w:p w14:paraId="54AFAC99">
            <w:pPr>
              <w:spacing w:line="240" w:lineRule="auto"/>
              <w:jc w:val="right"/>
            </w:pPr>
            <w:r>
              <w:rPr>
                <w:rFonts w:ascii="宋体" w:hAnsi="宋体" w:eastAsia="宋体" w:cs="宋体"/>
                <w:b w:val="0"/>
              </w:rPr>
              <w:t>39.16</w:t>
            </w:r>
          </w:p>
        </w:tc>
      </w:tr>
      <w:tr w14:paraId="7B6D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2AAA70">
            <w:pPr>
              <w:spacing w:line="240" w:lineRule="auto"/>
              <w:jc w:val="center"/>
            </w:pPr>
            <w:r>
              <w:rPr>
                <w:rFonts w:ascii="宋体" w:hAnsi="宋体" w:eastAsia="宋体" w:cs="宋体"/>
                <w:b w:val="0"/>
              </w:rPr>
              <w:t>20</w:t>
            </w:r>
          </w:p>
        </w:tc>
        <w:tc>
          <w:tcPr>
            <w:tcW w:w="0" w:type="dxa"/>
            <w:vAlign w:val="center"/>
          </w:tcPr>
          <w:p w14:paraId="7CA0957A">
            <w:pPr>
              <w:spacing w:line="240" w:lineRule="auto"/>
              <w:jc w:val="left"/>
            </w:pPr>
            <w:r>
              <w:rPr>
                <w:rFonts w:ascii="宋体" w:hAnsi="宋体" w:eastAsia="宋体" w:cs="宋体"/>
                <w:b w:val="0"/>
              </w:rPr>
              <w:t>300236</w:t>
            </w:r>
          </w:p>
        </w:tc>
        <w:tc>
          <w:tcPr>
            <w:tcW w:w="0" w:type="dxa"/>
            <w:vAlign w:val="center"/>
          </w:tcPr>
          <w:p w14:paraId="20206ADB">
            <w:pPr>
              <w:spacing w:line="240" w:lineRule="auto"/>
              <w:jc w:val="left"/>
            </w:pPr>
            <w:r>
              <w:rPr>
                <w:rFonts w:ascii="宋体" w:hAnsi="宋体" w:eastAsia="宋体" w:cs="宋体"/>
                <w:b w:val="0"/>
              </w:rPr>
              <w:t>上海新阳</w:t>
            </w:r>
          </w:p>
        </w:tc>
        <w:tc>
          <w:tcPr>
            <w:tcW w:w="0" w:type="dxa"/>
            <w:vAlign w:val="center"/>
          </w:tcPr>
          <w:p w14:paraId="347D05D4">
            <w:pPr>
              <w:spacing w:line="240" w:lineRule="auto"/>
              <w:jc w:val="right"/>
            </w:pPr>
            <w:r>
              <w:rPr>
                <w:rFonts w:ascii="宋体" w:hAnsi="宋体" w:eastAsia="宋体" w:cs="宋体"/>
                <w:b w:val="0"/>
              </w:rPr>
              <w:t>22,347,748.00</w:t>
            </w:r>
          </w:p>
        </w:tc>
        <w:tc>
          <w:tcPr>
            <w:tcW w:w="0" w:type="dxa"/>
            <w:vAlign w:val="center"/>
          </w:tcPr>
          <w:p w14:paraId="3B73E296">
            <w:pPr>
              <w:spacing w:line="240" w:lineRule="auto"/>
              <w:jc w:val="right"/>
            </w:pPr>
            <w:r>
              <w:rPr>
                <w:rFonts w:ascii="宋体" w:hAnsi="宋体" w:eastAsia="宋体" w:cs="宋体"/>
                <w:b w:val="0"/>
              </w:rPr>
              <w:t>37.77</w:t>
            </w:r>
          </w:p>
        </w:tc>
      </w:tr>
      <w:tr w14:paraId="5156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0059F4">
            <w:pPr>
              <w:spacing w:line="240" w:lineRule="auto"/>
              <w:jc w:val="center"/>
            </w:pPr>
            <w:r>
              <w:rPr>
                <w:rFonts w:ascii="宋体" w:hAnsi="宋体" w:eastAsia="宋体" w:cs="宋体"/>
                <w:b w:val="0"/>
              </w:rPr>
              <w:t>21</w:t>
            </w:r>
          </w:p>
        </w:tc>
        <w:tc>
          <w:tcPr>
            <w:tcW w:w="0" w:type="dxa"/>
            <w:vAlign w:val="center"/>
          </w:tcPr>
          <w:p w14:paraId="0F3BB681">
            <w:pPr>
              <w:spacing w:line="240" w:lineRule="auto"/>
              <w:jc w:val="left"/>
            </w:pPr>
            <w:r>
              <w:rPr>
                <w:rFonts w:ascii="宋体" w:hAnsi="宋体" w:eastAsia="宋体" w:cs="宋体"/>
                <w:b w:val="0"/>
              </w:rPr>
              <w:t>688981</w:t>
            </w:r>
          </w:p>
        </w:tc>
        <w:tc>
          <w:tcPr>
            <w:tcW w:w="0" w:type="dxa"/>
            <w:vAlign w:val="center"/>
          </w:tcPr>
          <w:p w14:paraId="76E1F68D">
            <w:pPr>
              <w:spacing w:line="240" w:lineRule="auto"/>
              <w:jc w:val="left"/>
            </w:pPr>
            <w:r>
              <w:rPr>
                <w:rFonts w:ascii="宋体" w:hAnsi="宋体" w:eastAsia="宋体" w:cs="宋体"/>
                <w:b w:val="0"/>
              </w:rPr>
              <w:t>中芯国际</w:t>
            </w:r>
          </w:p>
        </w:tc>
        <w:tc>
          <w:tcPr>
            <w:tcW w:w="0" w:type="dxa"/>
            <w:vAlign w:val="center"/>
          </w:tcPr>
          <w:p w14:paraId="0EDC1E7A">
            <w:pPr>
              <w:spacing w:line="240" w:lineRule="auto"/>
              <w:jc w:val="right"/>
            </w:pPr>
            <w:r>
              <w:rPr>
                <w:rFonts w:ascii="宋体" w:hAnsi="宋体" w:eastAsia="宋体" w:cs="宋体"/>
                <w:b w:val="0"/>
              </w:rPr>
              <w:t>15,692,776.33</w:t>
            </w:r>
          </w:p>
        </w:tc>
        <w:tc>
          <w:tcPr>
            <w:tcW w:w="0" w:type="dxa"/>
            <w:vAlign w:val="center"/>
          </w:tcPr>
          <w:p w14:paraId="7D0A95CB">
            <w:pPr>
              <w:spacing w:line="240" w:lineRule="auto"/>
              <w:jc w:val="right"/>
            </w:pPr>
            <w:r>
              <w:rPr>
                <w:rFonts w:ascii="宋体" w:hAnsi="宋体" w:eastAsia="宋体" w:cs="宋体"/>
                <w:b w:val="0"/>
              </w:rPr>
              <w:t>26.52</w:t>
            </w:r>
          </w:p>
        </w:tc>
      </w:tr>
      <w:tr w14:paraId="1587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9BC1A3">
            <w:pPr>
              <w:spacing w:line="240" w:lineRule="auto"/>
              <w:jc w:val="center"/>
            </w:pPr>
            <w:r>
              <w:rPr>
                <w:rFonts w:ascii="宋体" w:hAnsi="宋体" w:eastAsia="宋体" w:cs="宋体"/>
                <w:b w:val="0"/>
              </w:rPr>
              <w:t>22</w:t>
            </w:r>
          </w:p>
        </w:tc>
        <w:tc>
          <w:tcPr>
            <w:tcW w:w="0" w:type="dxa"/>
            <w:vAlign w:val="center"/>
          </w:tcPr>
          <w:p w14:paraId="5DEA4690">
            <w:pPr>
              <w:spacing w:line="240" w:lineRule="auto"/>
              <w:jc w:val="left"/>
            </w:pPr>
            <w:r>
              <w:rPr>
                <w:rFonts w:ascii="宋体" w:hAnsi="宋体" w:eastAsia="宋体" w:cs="宋体"/>
                <w:b w:val="0"/>
              </w:rPr>
              <w:t>688502</w:t>
            </w:r>
          </w:p>
        </w:tc>
        <w:tc>
          <w:tcPr>
            <w:tcW w:w="0" w:type="dxa"/>
            <w:vAlign w:val="center"/>
          </w:tcPr>
          <w:p w14:paraId="38DEA766">
            <w:pPr>
              <w:spacing w:line="240" w:lineRule="auto"/>
              <w:jc w:val="left"/>
            </w:pPr>
            <w:r>
              <w:rPr>
                <w:rFonts w:ascii="宋体" w:hAnsi="宋体" w:eastAsia="宋体" w:cs="宋体"/>
                <w:b w:val="0"/>
              </w:rPr>
              <w:t>茂莱光学</w:t>
            </w:r>
          </w:p>
        </w:tc>
        <w:tc>
          <w:tcPr>
            <w:tcW w:w="0" w:type="dxa"/>
            <w:vAlign w:val="center"/>
          </w:tcPr>
          <w:p w14:paraId="6AB869A6">
            <w:pPr>
              <w:spacing w:line="240" w:lineRule="auto"/>
              <w:jc w:val="right"/>
            </w:pPr>
            <w:r>
              <w:rPr>
                <w:rFonts w:ascii="宋体" w:hAnsi="宋体" w:eastAsia="宋体" w:cs="宋体"/>
                <w:b w:val="0"/>
              </w:rPr>
              <w:t>11,283,240.18</w:t>
            </w:r>
          </w:p>
        </w:tc>
        <w:tc>
          <w:tcPr>
            <w:tcW w:w="0" w:type="dxa"/>
            <w:vAlign w:val="center"/>
          </w:tcPr>
          <w:p w14:paraId="4CED4C2B">
            <w:pPr>
              <w:spacing w:line="240" w:lineRule="auto"/>
              <w:jc w:val="right"/>
            </w:pPr>
            <w:r>
              <w:rPr>
                <w:rFonts w:ascii="宋体" w:hAnsi="宋体" w:eastAsia="宋体" w:cs="宋体"/>
                <w:b w:val="0"/>
              </w:rPr>
              <w:t>19.07</w:t>
            </w:r>
          </w:p>
        </w:tc>
      </w:tr>
      <w:tr w14:paraId="3935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A1C83F">
            <w:pPr>
              <w:spacing w:line="240" w:lineRule="auto"/>
              <w:jc w:val="center"/>
            </w:pPr>
            <w:r>
              <w:rPr>
                <w:rFonts w:ascii="宋体" w:hAnsi="宋体" w:eastAsia="宋体" w:cs="宋体"/>
                <w:b w:val="0"/>
              </w:rPr>
              <w:t>23</w:t>
            </w:r>
          </w:p>
        </w:tc>
        <w:tc>
          <w:tcPr>
            <w:tcW w:w="0" w:type="dxa"/>
            <w:vAlign w:val="center"/>
          </w:tcPr>
          <w:p w14:paraId="1438AC2F">
            <w:pPr>
              <w:spacing w:line="240" w:lineRule="auto"/>
              <w:jc w:val="left"/>
            </w:pPr>
            <w:r>
              <w:rPr>
                <w:rFonts w:ascii="宋体" w:hAnsi="宋体" w:eastAsia="宋体" w:cs="宋体"/>
                <w:b w:val="0"/>
              </w:rPr>
              <w:t>688785</w:t>
            </w:r>
          </w:p>
        </w:tc>
        <w:tc>
          <w:tcPr>
            <w:tcW w:w="0" w:type="dxa"/>
            <w:vAlign w:val="center"/>
          </w:tcPr>
          <w:p w14:paraId="1A528699">
            <w:pPr>
              <w:spacing w:line="240" w:lineRule="auto"/>
              <w:jc w:val="left"/>
            </w:pPr>
            <w:r>
              <w:rPr>
                <w:rFonts w:ascii="宋体" w:hAnsi="宋体" w:eastAsia="宋体" w:cs="宋体"/>
                <w:b w:val="0"/>
              </w:rPr>
              <w:t>恒运昌</w:t>
            </w:r>
          </w:p>
        </w:tc>
        <w:tc>
          <w:tcPr>
            <w:tcW w:w="0" w:type="dxa"/>
            <w:vAlign w:val="center"/>
          </w:tcPr>
          <w:p w14:paraId="002F8A4B">
            <w:pPr>
              <w:spacing w:line="240" w:lineRule="auto"/>
              <w:jc w:val="right"/>
            </w:pPr>
            <w:r>
              <w:rPr>
                <w:rFonts w:ascii="宋体" w:hAnsi="宋体" w:eastAsia="宋体" w:cs="宋体"/>
                <w:b w:val="0"/>
              </w:rPr>
              <w:t>10,132,055.40</w:t>
            </w:r>
          </w:p>
        </w:tc>
        <w:tc>
          <w:tcPr>
            <w:tcW w:w="0" w:type="dxa"/>
            <w:vAlign w:val="center"/>
          </w:tcPr>
          <w:p w14:paraId="7FC8E832">
            <w:pPr>
              <w:spacing w:line="240" w:lineRule="auto"/>
              <w:jc w:val="right"/>
            </w:pPr>
            <w:r>
              <w:rPr>
                <w:rFonts w:ascii="宋体" w:hAnsi="宋体" w:eastAsia="宋体" w:cs="宋体"/>
                <w:b w:val="0"/>
              </w:rPr>
              <w:t>17.12</w:t>
            </w:r>
          </w:p>
        </w:tc>
      </w:tr>
      <w:tr w14:paraId="6796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67130E">
            <w:pPr>
              <w:spacing w:line="240" w:lineRule="auto"/>
              <w:jc w:val="center"/>
            </w:pPr>
            <w:r>
              <w:rPr>
                <w:rFonts w:ascii="宋体" w:hAnsi="宋体" w:eastAsia="宋体" w:cs="宋体"/>
                <w:b w:val="0"/>
              </w:rPr>
              <w:t>24</w:t>
            </w:r>
          </w:p>
        </w:tc>
        <w:tc>
          <w:tcPr>
            <w:tcW w:w="0" w:type="dxa"/>
            <w:vAlign w:val="center"/>
          </w:tcPr>
          <w:p w14:paraId="099D3CF7">
            <w:pPr>
              <w:spacing w:line="240" w:lineRule="auto"/>
              <w:jc w:val="left"/>
            </w:pPr>
            <w:r>
              <w:rPr>
                <w:rFonts w:ascii="宋体" w:hAnsi="宋体" w:eastAsia="宋体" w:cs="宋体"/>
                <w:b w:val="0"/>
              </w:rPr>
              <w:t>300054</w:t>
            </w:r>
          </w:p>
        </w:tc>
        <w:tc>
          <w:tcPr>
            <w:tcW w:w="0" w:type="dxa"/>
            <w:vAlign w:val="center"/>
          </w:tcPr>
          <w:p w14:paraId="73B65B43">
            <w:pPr>
              <w:spacing w:line="240" w:lineRule="auto"/>
              <w:jc w:val="left"/>
            </w:pPr>
            <w:r>
              <w:rPr>
                <w:rFonts w:ascii="宋体" w:hAnsi="宋体" w:eastAsia="宋体" w:cs="宋体"/>
                <w:b w:val="0"/>
              </w:rPr>
              <w:t>鼎龙股份</w:t>
            </w:r>
          </w:p>
        </w:tc>
        <w:tc>
          <w:tcPr>
            <w:tcW w:w="0" w:type="dxa"/>
            <w:vAlign w:val="center"/>
          </w:tcPr>
          <w:p w14:paraId="04A6AE19">
            <w:pPr>
              <w:spacing w:line="240" w:lineRule="auto"/>
              <w:jc w:val="right"/>
            </w:pPr>
            <w:r>
              <w:rPr>
                <w:rFonts w:ascii="宋体" w:hAnsi="宋体" w:eastAsia="宋体" w:cs="宋体"/>
                <w:b w:val="0"/>
              </w:rPr>
              <w:t>9,102,495.00</w:t>
            </w:r>
          </w:p>
        </w:tc>
        <w:tc>
          <w:tcPr>
            <w:tcW w:w="0" w:type="dxa"/>
            <w:vAlign w:val="center"/>
          </w:tcPr>
          <w:p w14:paraId="0CA1A4B4">
            <w:pPr>
              <w:spacing w:line="240" w:lineRule="auto"/>
              <w:jc w:val="right"/>
            </w:pPr>
            <w:r>
              <w:rPr>
                <w:rFonts w:ascii="宋体" w:hAnsi="宋体" w:eastAsia="宋体" w:cs="宋体"/>
                <w:b w:val="0"/>
              </w:rPr>
              <w:t>15.38</w:t>
            </w:r>
          </w:p>
        </w:tc>
      </w:tr>
      <w:tr w14:paraId="7058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2037E5A">
            <w:pPr>
              <w:spacing w:line="240" w:lineRule="auto"/>
              <w:jc w:val="center"/>
            </w:pPr>
            <w:r>
              <w:rPr>
                <w:rFonts w:ascii="宋体" w:hAnsi="宋体" w:eastAsia="宋体" w:cs="宋体"/>
                <w:b w:val="0"/>
              </w:rPr>
              <w:t>25</w:t>
            </w:r>
          </w:p>
        </w:tc>
        <w:tc>
          <w:tcPr>
            <w:tcW w:w="0" w:type="dxa"/>
            <w:vAlign w:val="center"/>
          </w:tcPr>
          <w:p w14:paraId="0D032183">
            <w:pPr>
              <w:spacing w:line="240" w:lineRule="auto"/>
              <w:jc w:val="left"/>
            </w:pPr>
            <w:r>
              <w:rPr>
                <w:rFonts w:ascii="宋体" w:hAnsi="宋体" w:eastAsia="宋体" w:cs="宋体"/>
                <w:b w:val="0"/>
              </w:rPr>
              <w:t>688809</w:t>
            </w:r>
          </w:p>
        </w:tc>
        <w:tc>
          <w:tcPr>
            <w:tcW w:w="0" w:type="dxa"/>
            <w:vAlign w:val="center"/>
          </w:tcPr>
          <w:p w14:paraId="6136786D">
            <w:pPr>
              <w:spacing w:line="240" w:lineRule="auto"/>
              <w:jc w:val="left"/>
            </w:pPr>
            <w:r>
              <w:rPr>
                <w:rFonts w:ascii="宋体" w:hAnsi="宋体" w:eastAsia="宋体" w:cs="宋体"/>
                <w:b w:val="0"/>
              </w:rPr>
              <w:t>强一股份</w:t>
            </w:r>
          </w:p>
        </w:tc>
        <w:tc>
          <w:tcPr>
            <w:tcW w:w="0" w:type="dxa"/>
            <w:vAlign w:val="center"/>
          </w:tcPr>
          <w:p w14:paraId="3FC478CF">
            <w:pPr>
              <w:spacing w:line="240" w:lineRule="auto"/>
              <w:jc w:val="right"/>
            </w:pPr>
            <w:r>
              <w:rPr>
                <w:rFonts w:ascii="宋体" w:hAnsi="宋体" w:eastAsia="宋体" w:cs="宋体"/>
                <w:b w:val="0"/>
              </w:rPr>
              <w:t>8,428,323.80</w:t>
            </w:r>
          </w:p>
        </w:tc>
        <w:tc>
          <w:tcPr>
            <w:tcW w:w="0" w:type="dxa"/>
            <w:vAlign w:val="center"/>
          </w:tcPr>
          <w:p w14:paraId="76216B95">
            <w:pPr>
              <w:spacing w:line="240" w:lineRule="auto"/>
              <w:jc w:val="right"/>
            </w:pPr>
            <w:r>
              <w:rPr>
                <w:rFonts w:ascii="宋体" w:hAnsi="宋体" w:eastAsia="宋体" w:cs="宋体"/>
                <w:b w:val="0"/>
              </w:rPr>
              <w:t>14.24</w:t>
            </w:r>
          </w:p>
        </w:tc>
      </w:tr>
      <w:tr w14:paraId="57B1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6EA801">
            <w:pPr>
              <w:spacing w:line="240" w:lineRule="auto"/>
              <w:jc w:val="center"/>
            </w:pPr>
            <w:r>
              <w:rPr>
                <w:rFonts w:ascii="宋体" w:hAnsi="宋体" w:eastAsia="宋体" w:cs="宋体"/>
                <w:b w:val="0"/>
              </w:rPr>
              <w:t>26</w:t>
            </w:r>
          </w:p>
        </w:tc>
        <w:tc>
          <w:tcPr>
            <w:tcW w:w="0" w:type="dxa"/>
            <w:vAlign w:val="center"/>
          </w:tcPr>
          <w:p w14:paraId="38D95FA7">
            <w:pPr>
              <w:spacing w:line="240" w:lineRule="auto"/>
              <w:jc w:val="left"/>
            </w:pPr>
            <w:r>
              <w:rPr>
                <w:rFonts w:ascii="宋体" w:hAnsi="宋体" w:eastAsia="宋体" w:cs="宋体"/>
                <w:b w:val="0"/>
              </w:rPr>
              <w:t>603061</w:t>
            </w:r>
          </w:p>
        </w:tc>
        <w:tc>
          <w:tcPr>
            <w:tcW w:w="0" w:type="dxa"/>
            <w:vAlign w:val="center"/>
          </w:tcPr>
          <w:p w14:paraId="1DB6D997">
            <w:pPr>
              <w:spacing w:line="240" w:lineRule="auto"/>
              <w:jc w:val="left"/>
            </w:pPr>
            <w:r>
              <w:rPr>
                <w:rFonts w:ascii="宋体" w:hAnsi="宋体" w:eastAsia="宋体" w:cs="宋体"/>
                <w:b w:val="0"/>
              </w:rPr>
              <w:t>金海通</w:t>
            </w:r>
          </w:p>
        </w:tc>
        <w:tc>
          <w:tcPr>
            <w:tcW w:w="0" w:type="dxa"/>
            <w:vAlign w:val="center"/>
          </w:tcPr>
          <w:p w14:paraId="231469F2">
            <w:pPr>
              <w:spacing w:line="240" w:lineRule="auto"/>
              <w:jc w:val="right"/>
            </w:pPr>
            <w:r>
              <w:rPr>
                <w:rFonts w:ascii="宋体" w:hAnsi="宋体" w:eastAsia="宋体" w:cs="宋体"/>
                <w:b w:val="0"/>
              </w:rPr>
              <w:t>7,331,083.00</w:t>
            </w:r>
          </w:p>
        </w:tc>
        <w:tc>
          <w:tcPr>
            <w:tcW w:w="0" w:type="dxa"/>
            <w:vAlign w:val="center"/>
          </w:tcPr>
          <w:p w14:paraId="26B504EA">
            <w:pPr>
              <w:spacing w:line="240" w:lineRule="auto"/>
              <w:jc w:val="right"/>
            </w:pPr>
            <w:r>
              <w:rPr>
                <w:rFonts w:ascii="宋体" w:hAnsi="宋体" w:eastAsia="宋体" w:cs="宋体"/>
                <w:b w:val="0"/>
              </w:rPr>
              <w:t>12.39</w:t>
            </w:r>
          </w:p>
        </w:tc>
      </w:tr>
      <w:tr w14:paraId="66E8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649B8F">
            <w:pPr>
              <w:spacing w:line="240" w:lineRule="auto"/>
              <w:jc w:val="center"/>
            </w:pPr>
            <w:r>
              <w:rPr>
                <w:rFonts w:ascii="宋体" w:hAnsi="宋体" w:eastAsia="宋体" w:cs="宋体"/>
                <w:b w:val="0"/>
              </w:rPr>
              <w:t>27</w:t>
            </w:r>
          </w:p>
        </w:tc>
        <w:tc>
          <w:tcPr>
            <w:tcW w:w="0" w:type="dxa"/>
            <w:vAlign w:val="center"/>
          </w:tcPr>
          <w:p w14:paraId="39BBB47D">
            <w:pPr>
              <w:spacing w:line="240" w:lineRule="auto"/>
              <w:jc w:val="left"/>
            </w:pPr>
            <w:r>
              <w:rPr>
                <w:rFonts w:ascii="宋体" w:hAnsi="宋体" w:eastAsia="宋体" w:cs="宋体"/>
                <w:b w:val="0"/>
              </w:rPr>
              <w:t>688392</w:t>
            </w:r>
          </w:p>
        </w:tc>
        <w:tc>
          <w:tcPr>
            <w:tcW w:w="0" w:type="dxa"/>
            <w:vAlign w:val="center"/>
          </w:tcPr>
          <w:p w14:paraId="3BC6310F">
            <w:pPr>
              <w:spacing w:line="240" w:lineRule="auto"/>
              <w:jc w:val="left"/>
            </w:pPr>
            <w:r>
              <w:rPr>
                <w:rFonts w:ascii="宋体" w:hAnsi="宋体" w:eastAsia="宋体" w:cs="宋体"/>
                <w:b w:val="0"/>
              </w:rPr>
              <w:t>骄成超声</w:t>
            </w:r>
          </w:p>
        </w:tc>
        <w:tc>
          <w:tcPr>
            <w:tcW w:w="0" w:type="dxa"/>
            <w:vAlign w:val="center"/>
          </w:tcPr>
          <w:p w14:paraId="6594AF61">
            <w:pPr>
              <w:spacing w:line="240" w:lineRule="auto"/>
              <w:jc w:val="right"/>
            </w:pPr>
            <w:r>
              <w:rPr>
                <w:rFonts w:ascii="宋体" w:hAnsi="宋体" w:eastAsia="宋体" w:cs="宋体"/>
                <w:b w:val="0"/>
              </w:rPr>
              <w:t>5,466,382.16</w:t>
            </w:r>
          </w:p>
        </w:tc>
        <w:tc>
          <w:tcPr>
            <w:tcW w:w="0" w:type="dxa"/>
            <w:vAlign w:val="center"/>
          </w:tcPr>
          <w:p w14:paraId="2C91A8F4">
            <w:pPr>
              <w:spacing w:line="240" w:lineRule="auto"/>
              <w:jc w:val="right"/>
            </w:pPr>
            <w:r>
              <w:rPr>
                <w:rFonts w:ascii="宋体" w:hAnsi="宋体" w:eastAsia="宋体" w:cs="宋体"/>
                <w:b w:val="0"/>
              </w:rPr>
              <w:t>9.24</w:t>
            </w:r>
          </w:p>
        </w:tc>
      </w:tr>
      <w:tr w14:paraId="5CAF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37FE25">
            <w:pPr>
              <w:spacing w:line="240" w:lineRule="auto"/>
              <w:jc w:val="center"/>
            </w:pPr>
            <w:r>
              <w:rPr>
                <w:rFonts w:ascii="宋体" w:hAnsi="宋体" w:eastAsia="宋体" w:cs="宋体"/>
                <w:b w:val="0"/>
              </w:rPr>
              <w:t>28</w:t>
            </w:r>
          </w:p>
        </w:tc>
        <w:tc>
          <w:tcPr>
            <w:tcW w:w="0" w:type="dxa"/>
            <w:vAlign w:val="center"/>
          </w:tcPr>
          <w:p w14:paraId="04E9EAE6">
            <w:pPr>
              <w:spacing w:line="240" w:lineRule="auto"/>
              <w:jc w:val="left"/>
            </w:pPr>
            <w:r>
              <w:rPr>
                <w:rFonts w:ascii="宋体" w:hAnsi="宋体" w:eastAsia="宋体" w:cs="宋体"/>
                <w:b w:val="0"/>
              </w:rPr>
              <w:t>688596</w:t>
            </w:r>
          </w:p>
        </w:tc>
        <w:tc>
          <w:tcPr>
            <w:tcW w:w="0" w:type="dxa"/>
            <w:vAlign w:val="center"/>
          </w:tcPr>
          <w:p w14:paraId="7CCB20A7">
            <w:pPr>
              <w:spacing w:line="240" w:lineRule="auto"/>
              <w:jc w:val="left"/>
            </w:pPr>
            <w:r>
              <w:rPr>
                <w:rFonts w:ascii="宋体" w:hAnsi="宋体" w:eastAsia="宋体" w:cs="宋体"/>
                <w:b w:val="0"/>
              </w:rPr>
              <w:t>正帆科技</w:t>
            </w:r>
          </w:p>
        </w:tc>
        <w:tc>
          <w:tcPr>
            <w:tcW w:w="0" w:type="dxa"/>
            <w:vAlign w:val="center"/>
          </w:tcPr>
          <w:p w14:paraId="1D980B1C">
            <w:pPr>
              <w:spacing w:line="240" w:lineRule="auto"/>
              <w:jc w:val="right"/>
            </w:pPr>
            <w:r>
              <w:rPr>
                <w:rFonts w:ascii="宋体" w:hAnsi="宋体" w:eastAsia="宋体" w:cs="宋体"/>
                <w:b w:val="0"/>
              </w:rPr>
              <w:t>5,393,972.27</w:t>
            </w:r>
          </w:p>
        </w:tc>
        <w:tc>
          <w:tcPr>
            <w:tcW w:w="0" w:type="dxa"/>
            <w:vAlign w:val="center"/>
          </w:tcPr>
          <w:p w14:paraId="04A42B6B">
            <w:pPr>
              <w:spacing w:line="240" w:lineRule="auto"/>
              <w:jc w:val="right"/>
            </w:pPr>
            <w:r>
              <w:rPr>
                <w:rFonts w:ascii="宋体" w:hAnsi="宋体" w:eastAsia="宋体" w:cs="宋体"/>
                <w:b w:val="0"/>
              </w:rPr>
              <w:t>9.12</w:t>
            </w:r>
          </w:p>
        </w:tc>
      </w:tr>
      <w:tr w14:paraId="68C5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FAC697">
            <w:pPr>
              <w:spacing w:line="240" w:lineRule="auto"/>
              <w:jc w:val="center"/>
            </w:pPr>
            <w:r>
              <w:rPr>
                <w:rFonts w:ascii="宋体" w:hAnsi="宋体" w:eastAsia="宋体" w:cs="宋体"/>
                <w:b w:val="0"/>
              </w:rPr>
              <w:t>29</w:t>
            </w:r>
          </w:p>
        </w:tc>
        <w:tc>
          <w:tcPr>
            <w:tcW w:w="0" w:type="dxa"/>
            <w:vAlign w:val="center"/>
          </w:tcPr>
          <w:p w14:paraId="391CF2EA">
            <w:pPr>
              <w:spacing w:line="240" w:lineRule="auto"/>
              <w:jc w:val="left"/>
            </w:pPr>
            <w:r>
              <w:rPr>
                <w:rFonts w:ascii="宋体" w:hAnsi="宋体" w:eastAsia="宋体" w:cs="宋体"/>
                <w:b w:val="0"/>
              </w:rPr>
              <w:t>688172</w:t>
            </w:r>
          </w:p>
        </w:tc>
        <w:tc>
          <w:tcPr>
            <w:tcW w:w="0" w:type="dxa"/>
            <w:vAlign w:val="center"/>
          </w:tcPr>
          <w:p w14:paraId="44B93DD6">
            <w:pPr>
              <w:spacing w:line="240" w:lineRule="auto"/>
              <w:jc w:val="left"/>
            </w:pPr>
            <w:r>
              <w:rPr>
                <w:rFonts w:ascii="宋体" w:hAnsi="宋体" w:eastAsia="宋体" w:cs="宋体"/>
                <w:b w:val="0"/>
              </w:rPr>
              <w:t>燕东微</w:t>
            </w:r>
          </w:p>
        </w:tc>
        <w:tc>
          <w:tcPr>
            <w:tcW w:w="0" w:type="dxa"/>
            <w:vAlign w:val="center"/>
          </w:tcPr>
          <w:p w14:paraId="44312BBB">
            <w:pPr>
              <w:spacing w:line="240" w:lineRule="auto"/>
              <w:jc w:val="right"/>
            </w:pPr>
            <w:r>
              <w:rPr>
                <w:rFonts w:ascii="宋体" w:hAnsi="宋体" w:eastAsia="宋体" w:cs="宋体"/>
                <w:b w:val="0"/>
              </w:rPr>
              <w:t>5,058,327.04</w:t>
            </w:r>
          </w:p>
        </w:tc>
        <w:tc>
          <w:tcPr>
            <w:tcW w:w="0" w:type="dxa"/>
            <w:vAlign w:val="center"/>
          </w:tcPr>
          <w:p w14:paraId="7871EC1B">
            <w:pPr>
              <w:spacing w:line="240" w:lineRule="auto"/>
              <w:jc w:val="right"/>
            </w:pPr>
            <w:r>
              <w:rPr>
                <w:rFonts w:ascii="宋体" w:hAnsi="宋体" w:eastAsia="宋体" w:cs="宋体"/>
                <w:b w:val="0"/>
              </w:rPr>
              <w:t>8.55</w:t>
            </w:r>
          </w:p>
        </w:tc>
      </w:tr>
      <w:tr w14:paraId="5355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25628A">
            <w:pPr>
              <w:spacing w:line="240" w:lineRule="auto"/>
              <w:jc w:val="center"/>
            </w:pPr>
            <w:r>
              <w:rPr>
                <w:rFonts w:ascii="宋体" w:hAnsi="宋体" w:eastAsia="宋体" w:cs="宋体"/>
                <w:b w:val="0"/>
              </w:rPr>
              <w:t>30</w:t>
            </w:r>
          </w:p>
        </w:tc>
        <w:tc>
          <w:tcPr>
            <w:tcW w:w="0" w:type="dxa"/>
            <w:vAlign w:val="center"/>
          </w:tcPr>
          <w:p w14:paraId="46ED285C">
            <w:pPr>
              <w:spacing w:line="240" w:lineRule="auto"/>
              <w:jc w:val="left"/>
            </w:pPr>
            <w:r>
              <w:rPr>
                <w:rFonts w:ascii="宋体" w:hAnsi="宋体" w:eastAsia="宋体" w:cs="宋体"/>
                <w:b w:val="0"/>
              </w:rPr>
              <w:t>301629</w:t>
            </w:r>
          </w:p>
        </w:tc>
        <w:tc>
          <w:tcPr>
            <w:tcW w:w="0" w:type="dxa"/>
            <w:vAlign w:val="center"/>
          </w:tcPr>
          <w:p w14:paraId="021B04EC">
            <w:pPr>
              <w:spacing w:line="240" w:lineRule="auto"/>
              <w:jc w:val="left"/>
            </w:pPr>
            <w:r>
              <w:rPr>
                <w:rFonts w:ascii="宋体" w:hAnsi="宋体" w:eastAsia="宋体" w:cs="宋体"/>
                <w:b w:val="0"/>
              </w:rPr>
              <w:t>矽电股份</w:t>
            </w:r>
          </w:p>
        </w:tc>
        <w:tc>
          <w:tcPr>
            <w:tcW w:w="0" w:type="dxa"/>
            <w:vAlign w:val="center"/>
          </w:tcPr>
          <w:p w14:paraId="2641D75B">
            <w:pPr>
              <w:spacing w:line="240" w:lineRule="auto"/>
              <w:jc w:val="right"/>
            </w:pPr>
            <w:r>
              <w:rPr>
                <w:rFonts w:ascii="宋体" w:hAnsi="宋体" w:eastAsia="宋体" w:cs="宋体"/>
                <w:b w:val="0"/>
              </w:rPr>
              <w:t>3,209,962.00</w:t>
            </w:r>
          </w:p>
        </w:tc>
        <w:tc>
          <w:tcPr>
            <w:tcW w:w="0" w:type="dxa"/>
            <w:vAlign w:val="center"/>
          </w:tcPr>
          <w:p w14:paraId="0F9315EF">
            <w:pPr>
              <w:spacing w:line="240" w:lineRule="auto"/>
              <w:jc w:val="right"/>
            </w:pPr>
            <w:r>
              <w:rPr>
                <w:rFonts w:ascii="宋体" w:hAnsi="宋体" w:eastAsia="宋体" w:cs="宋体"/>
                <w:b w:val="0"/>
              </w:rPr>
              <w:t>5.42</w:t>
            </w:r>
          </w:p>
        </w:tc>
      </w:tr>
      <w:tr w14:paraId="6EC0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5DA608">
            <w:pPr>
              <w:spacing w:line="240" w:lineRule="auto"/>
              <w:jc w:val="center"/>
            </w:pPr>
            <w:r>
              <w:rPr>
                <w:rFonts w:ascii="宋体" w:hAnsi="宋体" w:eastAsia="宋体" w:cs="宋体"/>
                <w:b w:val="0"/>
              </w:rPr>
              <w:t>31</w:t>
            </w:r>
          </w:p>
        </w:tc>
        <w:tc>
          <w:tcPr>
            <w:tcW w:w="0" w:type="dxa"/>
            <w:vAlign w:val="center"/>
          </w:tcPr>
          <w:p w14:paraId="40A6648E">
            <w:pPr>
              <w:spacing w:line="240" w:lineRule="auto"/>
              <w:jc w:val="left"/>
            </w:pPr>
            <w:r>
              <w:rPr>
                <w:rFonts w:ascii="宋体" w:hAnsi="宋体" w:eastAsia="宋体" w:cs="宋体"/>
                <w:b w:val="0"/>
              </w:rPr>
              <w:t>301392</w:t>
            </w:r>
          </w:p>
        </w:tc>
        <w:tc>
          <w:tcPr>
            <w:tcW w:w="0" w:type="dxa"/>
            <w:vAlign w:val="center"/>
          </w:tcPr>
          <w:p w14:paraId="4B0B0EB5">
            <w:pPr>
              <w:spacing w:line="240" w:lineRule="auto"/>
              <w:jc w:val="left"/>
            </w:pPr>
            <w:r>
              <w:rPr>
                <w:rFonts w:ascii="宋体" w:hAnsi="宋体" w:eastAsia="宋体" w:cs="宋体"/>
                <w:b w:val="0"/>
              </w:rPr>
              <w:t>汇成真空</w:t>
            </w:r>
          </w:p>
        </w:tc>
        <w:tc>
          <w:tcPr>
            <w:tcW w:w="0" w:type="dxa"/>
            <w:vAlign w:val="center"/>
          </w:tcPr>
          <w:p w14:paraId="387A0DE0">
            <w:pPr>
              <w:spacing w:line="240" w:lineRule="auto"/>
              <w:jc w:val="right"/>
            </w:pPr>
            <w:r>
              <w:rPr>
                <w:rFonts w:ascii="宋体" w:hAnsi="宋体" w:eastAsia="宋体" w:cs="宋体"/>
                <w:b w:val="0"/>
              </w:rPr>
              <w:t>2,810,070.10</w:t>
            </w:r>
          </w:p>
        </w:tc>
        <w:tc>
          <w:tcPr>
            <w:tcW w:w="0" w:type="dxa"/>
            <w:vAlign w:val="center"/>
          </w:tcPr>
          <w:p w14:paraId="3888B042">
            <w:pPr>
              <w:spacing w:line="240" w:lineRule="auto"/>
              <w:jc w:val="right"/>
            </w:pPr>
            <w:r>
              <w:rPr>
                <w:rFonts w:ascii="宋体" w:hAnsi="宋体" w:eastAsia="宋体" w:cs="宋体"/>
                <w:b w:val="0"/>
              </w:rPr>
              <w:t>4.75</w:t>
            </w:r>
          </w:p>
        </w:tc>
      </w:tr>
      <w:tr w14:paraId="4EF2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FDD5C5">
            <w:pPr>
              <w:spacing w:line="240" w:lineRule="auto"/>
              <w:jc w:val="center"/>
            </w:pPr>
            <w:r>
              <w:rPr>
                <w:rFonts w:ascii="宋体" w:hAnsi="宋体" w:eastAsia="宋体" w:cs="宋体"/>
                <w:b w:val="0"/>
              </w:rPr>
              <w:t>32</w:t>
            </w:r>
          </w:p>
        </w:tc>
        <w:tc>
          <w:tcPr>
            <w:tcW w:w="0" w:type="dxa"/>
            <w:vAlign w:val="center"/>
          </w:tcPr>
          <w:p w14:paraId="3B0BA5A5">
            <w:pPr>
              <w:spacing w:line="240" w:lineRule="auto"/>
              <w:jc w:val="left"/>
            </w:pPr>
            <w:r>
              <w:rPr>
                <w:rFonts w:ascii="宋体" w:hAnsi="宋体" w:eastAsia="宋体" w:cs="宋体"/>
                <w:b w:val="0"/>
              </w:rPr>
              <w:t>688720</w:t>
            </w:r>
          </w:p>
        </w:tc>
        <w:tc>
          <w:tcPr>
            <w:tcW w:w="0" w:type="dxa"/>
            <w:vAlign w:val="center"/>
          </w:tcPr>
          <w:p w14:paraId="76279209">
            <w:pPr>
              <w:spacing w:line="240" w:lineRule="auto"/>
              <w:jc w:val="left"/>
            </w:pPr>
            <w:r>
              <w:rPr>
                <w:rFonts w:ascii="宋体" w:hAnsi="宋体" w:eastAsia="宋体" w:cs="宋体"/>
                <w:b w:val="0"/>
              </w:rPr>
              <w:t>艾森股份</w:t>
            </w:r>
          </w:p>
        </w:tc>
        <w:tc>
          <w:tcPr>
            <w:tcW w:w="0" w:type="dxa"/>
            <w:vAlign w:val="center"/>
          </w:tcPr>
          <w:p w14:paraId="01D26BDC">
            <w:pPr>
              <w:spacing w:line="240" w:lineRule="auto"/>
              <w:jc w:val="right"/>
            </w:pPr>
            <w:r>
              <w:rPr>
                <w:rFonts w:ascii="宋体" w:hAnsi="宋体" w:eastAsia="宋体" w:cs="宋体"/>
                <w:b w:val="0"/>
              </w:rPr>
              <w:t>2,769,211.55</w:t>
            </w:r>
          </w:p>
        </w:tc>
        <w:tc>
          <w:tcPr>
            <w:tcW w:w="0" w:type="dxa"/>
            <w:vAlign w:val="center"/>
          </w:tcPr>
          <w:p w14:paraId="2A51624B">
            <w:pPr>
              <w:spacing w:line="240" w:lineRule="auto"/>
              <w:jc w:val="right"/>
            </w:pPr>
            <w:r>
              <w:rPr>
                <w:rFonts w:ascii="宋体" w:hAnsi="宋体" w:eastAsia="宋体" w:cs="宋体"/>
                <w:b w:val="0"/>
              </w:rPr>
              <w:t>4.68</w:t>
            </w:r>
          </w:p>
        </w:tc>
      </w:tr>
    </w:tbl>
    <w:p w14:paraId="6B6A13E0">
      <w:r>
        <w:rPr>
          <w:rFonts w:ascii="宋体" w:hAnsi="宋体" w:eastAsia="宋体" w:cs="宋体"/>
          <w:b w:val="0"/>
        </w:rPr>
        <w:t>注："买入"包括二级市场上主动的买入、新股、配股、债转股、换股及行权等获得的股票。"买入金额"均按买入成交金额（成交单价乘以成交数量）填列，不考虑相关交易费用。</w:t>
      </w:r>
    </w:p>
    <w:p w14:paraId="779DAC3E"/>
    <w:p w14:paraId="5AEC2626">
      <w:pPr>
        <w:pStyle w:val="58"/>
      </w:pPr>
      <w:r>
        <w:rPr>
          <w:rFonts w:ascii="宋体" w:hAnsi="宋体" w:eastAsia="宋体" w:cs="宋体"/>
          <w:b/>
        </w:rPr>
        <w:t>7.4.2 累计卖出金额超出期初基金资产净值2%或前20名的股票明细</w:t>
      </w:r>
    </w:p>
    <w:p w14:paraId="2B08F84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14:paraId="379A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01B956F2">
            <w:pPr>
              <w:spacing w:line="240" w:lineRule="auto"/>
              <w:jc w:val="center"/>
            </w:pPr>
            <w:r>
              <w:rPr>
                <w:rFonts w:ascii="宋体" w:hAnsi="宋体" w:eastAsia="宋体" w:cs="宋体"/>
                <w:b w:val="0"/>
              </w:rPr>
              <w:t>序号</w:t>
            </w:r>
          </w:p>
        </w:tc>
        <w:tc>
          <w:tcPr>
            <w:tcW w:w="769" w:type="pct"/>
            <w:shd w:val="clear" w:color="auto" w:fill="D9D9D9"/>
            <w:vAlign w:val="center"/>
          </w:tcPr>
          <w:p w14:paraId="79DA7C4F">
            <w:pPr>
              <w:spacing w:line="240" w:lineRule="auto"/>
              <w:jc w:val="center"/>
            </w:pPr>
            <w:r>
              <w:rPr>
                <w:rFonts w:ascii="宋体" w:hAnsi="宋体" w:eastAsia="宋体" w:cs="宋体"/>
                <w:b w:val="0"/>
              </w:rPr>
              <w:t>股票代码</w:t>
            </w:r>
          </w:p>
        </w:tc>
        <w:tc>
          <w:tcPr>
            <w:tcW w:w="769" w:type="pct"/>
            <w:shd w:val="clear" w:color="auto" w:fill="D9D9D9"/>
            <w:vAlign w:val="center"/>
          </w:tcPr>
          <w:p w14:paraId="28F9BE7D">
            <w:pPr>
              <w:spacing w:line="240" w:lineRule="auto"/>
              <w:jc w:val="center"/>
            </w:pPr>
            <w:r>
              <w:rPr>
                <w:rFonts w:ascii="宋体" w:hAnsi="宋体" w:eastAsia="宋体" w:cs="宋体"/>
                <w:b w:val="0"/>
              </w:rPr>
              <w:t>股票名称</w:t>
            </w:r>
          </w:p>
        </w:tc>
        <w:tc>
          <w:tcPr>
            <w:tcW w:w="769" w:type="pct"/>
            <w:shd w:val="clear" w:color="auto" w:fill="D9D9D9"/>
            <w:vAlign w:val="center"/>
          </w:tcPr>
          <w:p w14:paraId="643A0E48">
            <w:pPr>
              <w:spacing w:line="240" w:lineRule="auto"/>
              <w:jc w:val="center"/>
            </w:pPr>
            <w:r>
              <w:rPr>
                <w:rFonts w:ascii="宋体" w:hAnsi="宋体" w:eastAsia="宋体" w:cs="宋体"/>
                <w:b w:val="0"/>
              </w:rPr>
              <w:t>本期累计卖出金额</w:t>
            </w:r>
          </w:p>
        </w:tc>
        <w:tc>
          <w:tcPr>
            <w:tcW w:w="1538" w:type="pct"/>
            <w:shd w:val="clear" w:color="auto" w:fill="D9D9D9"/>
            <w:vAlign w:val="center"/>
          </w:tcPr>
          <w:p w14:paraId="4F33C749">
            <w:pPr>
              <w:spacing w:line="240" w:lineRule="auto"/>
              <w:jc w:val="center"/>
            </w:pPr>
            <w:r>
              <w:rPr>
                <w:rFonts w:ascii="宋体" w:hAnsi="宋体" w:eastAsia="宋体" w:cs="宋体"/>
                <w:b w:val="0"/>
              </w:rPr>
              <w:t>占期初基金资产净值比例（％）</w:t>
            </w:r>
          </w:p>
        </w:tc>
      </w:tr>
      <w:tr w14:paraId="0344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839B17">
            <w:pPr>
              <w:spacing w:line="240" w:lineRule="auto"/>
              <w:jc w:val="center"/>
            </w:pPr>
            <w:r>
              <w:rPr>
                <w:rFonts w:ascii="宋体" w:hAnsi="宋体" w:eastAsia="宋体" w:cs="宋体"/>
                <w:b w:val="0"/>
              </w:rPr>
              <w:t>1</w:t>
            </w:r>
          </w:p>
        </w:tc>
        <w:tc>
          <w:tcPr>
            <w:tcW w:w="0" w:type="dxa"/>
            <w:vAlign w:val="center"/>
          </w:tcPr>
          <w:p w14:paraId="3ADEB35D">
            <w:pPr>
              <w:spacing w:line="240" w:lineRule="auto"/>
              <w:jc w:val="left"/>
            </w:pPr>
            <w:r>
              <w:rPr>
                <w:rFonts w:ascii="宋体" w:hAnsi="宋体" w:eastAsia="宋体" w:cs="宋体"/>
                <w:b w:val="0"/>
              </w:rPr>
              <w:t>688627</w:t>
            </w:r>
          </w:p>
        </w:tc>
        <w:tc>
          <w:tcPr>
            <w:tcW w:w="0" w:type="dxa"/>
            <w:vAlign w:val="center"/>
          </w:tcPr>
          <w:p w14:paraId="6E12BDC6">
            <w:pPr>
              <w:spacing w:line="240" w:lineRule="auto"/>
              <w:jc w:val="left"/>
            </w:pPr>
            <w:r>
              <w:rPr>
                <w:rFonts w:ascii="宋体" w:hAnsi="宋体" w:eastAsia="宋体" w:cs="宋体"/>
                <w:b w:val="0"/>
              </w:rPr>
              <w:t>精智达</w:t>
            </w:r>
          </w:p>
        </w:tc>
        <w:tc>
          <w:tcPr>
            <w:tcW w:w="0" w:type="dxa"/>
            <w:vAlign w:val="center"/>
          </w:tcPr>
          <w:p w14:paraId="1001CE6F">
            <w:pPr>
              <w:spacing w:line="240" w:lineRule="auto"/>
              <w:jc w:val="right"/>
            </w:pPr>
            <w:r>
              <w:rPr>
                <w:rFonts w:ascii="宋体" w:hAnsi="宋体" w:eastAsia="宋体" w:cs="宋体"/>
                <w:b w:val="0"/>
              </w:rPr>
              <w:t>46,656,379.11</w:t>
            </w:r>
          </w:p>
        </w:tc>
        <w:tc>
          <w:tcPr>
            <w:tcW w:w="0" w:type="dxa"/>
            <w:vAlign w:val="center"/>
          </w:tcPr>
          <w:p w14:paraId="4758823C">
            <w:pPr>
              <w:spacing w:line="240" w:lineRule="auto"/>
              <w:jc w:val="right"/>
            </w:pPr>
            <w:r>
              <w:rPr>
                <w:rFonts w:ascii="宋体" w:hAnsi="宋体" w:eastAsia="宋体" w:cs="宋体"/>
                <w:b w:val="0"/>
              </w:rPr>
              <w:t>78.85</w:t>
            </w:r>
          </w:p>
        </w:tc>
      </w:tr>
      <w:tr w14:paraId="70DB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D4C4DB8">
            <w:pPr>
              <w:spacing w:line="240" w:lineRule="auto"/>
              <w:jc w:val="center"/>
            </w:pPr>
            <w:r>
              <w:rPr>
                <w:rFonts w:ascii="宋体" w:hAnsi="宋体" w:eastAsia="宋体" w:cs="宋体"/>
                <w:b w:val="0"/>
              </w:rPr>
              <w:t>2</w:t>
            </w:r>
          </w:p>
        </w:tc>
        <w:tc>
          <w:tcPr>
            <w:tcW w:w="0" w:type="dxa"/>
            <w:vAlign w:val="center"/>
          </w:tcPr>
          <w:p w14:paraId="00CFD131">
            <w:pPr>
              <w:spacing w:line="240" w:lineRule="auto"/>
              <w:jc w:val="left"/>
            </w:pPr>
            <w:r>
              <w:rPr>
                <w:rFonts w:ascii="宋体" w:hAnsi="宋体" w:eastAsia="宋体" w:cs="宋体"/>
                <w:b w:val="0"/>
              </w:rPr>
              <w:t>002371</w:t>
            </w:r>
          </w:p>
        </w:tc>
        <w:tc>
          <w:tcPr>
            <w:tcW w:w="0" w:type="dxa"/>
            <w:vAlign w:val="center"/>
          </w:tcPr>
          <w:p w14:paraId="65FDF2BF">
            <w:pPr>
              <w:spacing w:line="240" w:lineRule="auto"/>
              <w:jc w:val="left"/>
            </w:pPr>
            <w:r>
              <w:rPr>
                <w:rFonts w:ascii="宋体" w:hAnsi="宋体" w:eastAsia="宋体" w:cs="宋体"/>
                <w:b w:val="0"/>
              </w:rPr>
              <w:t>北方华创</w:t>
            </w:r>
          </w:p>
        </w:tc>
        <w:tc>
          <w:tcPr>
            <w:tcW w:w="0" w:type="dxa"/>
            <w:vAlign w:val="center"/>
          </w:tcPr>
          <w:p w14:paraId="6BCA76B3">
            <w:pPr>
              <w:spacing w:line="240" w:lineRule="auto"/>
              <w:jc w:val="right"/>
            </w:pPr>
            <w:r>
              <w:rPr>
                <w:rFonts w:ascii="宋体" w:hAnsi="宋体" w:eastAsia="宋体" w:cs="宋体"/>
                <w:b w:val="0"/>
              </w:rPr>
              <w:t>45,791,113.60</w:t>
            </w:r>
          </w:p>
        </w:tc>
        <w:tc>
          <w:tcPr>
            <w:tcW w:w="0" w:type="dxa"/>
            <w:vAlign w:val="center"/>
          </w:tcPr>
          <w:p w14:paraId="361961F6">
            <w:pPr>
              <w:spacing w:line="240" w:lineRule="auto"/>
              <w:jc w:val="right"/>
            </w:pPr>
            <w:r>
              <w:rPr>
                <w:rFonts w:ascii="宋体" w:hAnsi="宋体" w:eastAsia="宋体" w:cs="宋体"/>
                <w:b w:val="0"/>
              </w:rPr>
              <w:t>77.39</w:t>
            </w:r>
          </w:p>
        </w:tc>
      </w:tr>
      <w:tr w14:paraId="1B1D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840066">
            <w:pPr>
              <w:spacing w:line="240" w:lineRule="auto"/>
              <w:jc w:val="center"/>
            </w:pPr>
            <w:r>
              <w:rPr>
                <w:rFonts w:ascii="宋体" w:hAnsi="宋体" w:eastAsia="宋体" w:cs="宋体"/>
                <w:b w:val="0"/>
              </w:rPr>
              <w:t>3</w:t>
            </w:r>
          </w:p>
        </w:tc>
        <w:tc>
          <w:tcPr>
            <w:tcW w:w="0" w:type="dxa"/>
            <w:vAlign w:val="center"/>
          </w:tcPr>
          <w:p w14:paraId="2E5FB5C8">
            <w:pPr>
              <w:spacing w:line="240" w:lineRule="auto"/>
              <w:jc w:val="left"/>
            </w:pPr>
            <w:r>
              <w:rPr>
                <w:rFonts w:ascii="宋体" w:hAnsi="宋体" w:eastAsia="宋体" w:cs="宋体"/>
                <w:b w:val="0"/>
              </w:rPr>
              <w:t>300604</w:t>
            </w:r>
          </w:p>
        </w:tc>
        <w:tc>
          <w:tcPr>
            <w:tcW w:w="0" w:type="dxa"/>
            <w:vAlign w:val="center"/>
          </w:tcPr>
          <w:p w14:paraId="3F0D7910">
            <w:pPr>
              <w:spacing w:line="240" w:lineRule="auto"/>
              <w:jc w:val="left"/>
            </w:pPr>
            <w:r>
              <w:rPr>
                <w:rFonts w:ascii="宋体" w:hAnsi="宋体" w:eastAsia="宋体" w:cs="宋体"/>
                <w:b w:val="0"/>
              </w:rPr>
              <w:t>长川科技</w:t>
            </w:r>
          </w:p>
        </w:tc>
        <w:tc>
          <w:tcPr>
            <w:tcW w:w="0" w:type="dxa"/>
            <w:vAlign w:val="center"/>
          </w:tcPr>
          <w:p w14:paraId="214EB321">
            <w:pPr>
              <w:spacing w:line="240" w:lineRule="auto"/>
              <w:jc w:val="right"/>
            </w:pPr>
            <w:r>
              <w:rPr>
                <w:rFonts w:ascii="宋体" w:hAnsi="宋体" w:eastAsia="宋体" w:cs="宋体"/>
                <w:b w:val="0"/>
              </w:rPr>
              <w:t>44,384,478.00</w:t>
            </w:r>
          </w:p>
        </w:tc>
        <w:tc>
          <w:tcPr>
            <w:tcW w:w="0" w:type="dxa"/>
            <w:vAlign w:val="center"/>
          </w:tcPr>
          <w:p w14:paraId="627012F3">
            <w:pPr>
              <w:spacing w:line="240" w:lineRule="auto"/>
              <w:jc w:val="right"/>
            </w:pPr>
            <w:r>
              <w:rPr>
                <w:rFonts w:ascii="宋体" w:hAnsi="宋体" w:eastAsia="宋体" w:cs="宋体"/>
                <w:b w:val="0"/>
              </w:rPr>
              <w:t>75.01</w:t>
            </w:r>
          </w:p>
        </w:tc>
      </w:tr>
      <w:tr w14:paraId="5163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005AA7">
            <w:pPr>
              <w:spacing w:line="240" w:lineRule="auto"/>
              <w:jc w:val="center"/>
            </w:pPr>
            <w:r>
              <w:rPr>
                <w:rFonts w:ascii="宋体" w:hAnsi="宋体" w:eastAsia="宋体" w:cs="宋体"/>
                <w:b w:val="0"/>
              </w:rPr>
              <w:t>4</w:t>
            </w:r>
          </w:p>
        </w:tc>
        <w:tc>
          <w:tcPr>
            <w:tcW w:w="0" w:type="dxa"/>
            <w:vAlign w:val="center"/>
          </w:tcPr>
          <w:p w14:paraId="5DDD8AD0">
            <w:pPr>
              <w:spacing w:line="240" w:lineRule="auto"/>
              <w:jc w:val="left"/>
            </w:pPr>
            <w:r>
              <w:rPr>
                <w:rFonts w:ascii="宋体" w:hAnsi="宋体" w:eastAsia="宋体" w:cs="宋体"/>
                <w:b w:val="0"/>
              </w:rPr>
              <w:t>688072</w:t>
            </w:r>
          </w:p>
        </w:tc>
        <w:tc>
          <w:tcPr>
            <w:tcW w:w="0" w:type="dxa"/>
            <w:vAlign w:val="center"/>
          </w:tcPr>
          <w:p w14:paraId="66972E9A">
            <w:pPr>
              <w:spacing w:line="240" w:lineRule="auto"/>
              <w:jc w:val="left"/>
            </w:pPr>
            <w:r>
              <w:rPr>
                <w:rFonts w:ascii="宋体" w:hAnsi="宋体" w:eastAsia="宋体" w:cs="宋体"/>
                <w:b w:val="0"/>
              </w:rPr>
              <w:t>拓荆科技</w:t>
            </w:r>
          </w:p>
        </w:tc>
        <w:tc>
          <w:tcPr>
            <w:tcW w:w="0" w:type="dxa"/>
            <w:vAlign w:val="center"/>
          </w:tcPr>
          <w:p w14:paraId="20AEB258">
            <w:pPr>
              <w:spacing w:line="240" w:lineRule="auto"/>
              <w:jc w:val="right"/>
            </w:pPr>
            <w:r>
              <w:rPr>
                <w:rFonts w:ascii="宋体" w:hAnsi="宋体" w:eastAsia="宋体" w:cs="宋体"/>
                <w:b w:val="0"/>
              </w:rPr>
              <w:t>41,704,943.93</w:t>
            </w:r>
          </w:p>
        </w:tc>
        <w:tc>
          <w:tcPr>
            <w:tcW w:w="0" w:type="dxa"/>
            <w:vAlign w:val="center"/>
          </w:tcPr>
          <w:p w14:paraId="1AB2583E">
            <w:pPr>
              <w:spacing w:line="240" w:lineRule="auto"/>
              <w:jc w:val="right"/>
            </w:pPr>
            <w:r>
              <w:rPr>
                <w:rFonts w:ascii="宋体" w:hAnsi="宋体" w:eastAsia="宋体" w:cs="宋体"/>
                <w:b w:val="0"/>
              </w:rPr>
              <w:t>70.48</w:t>
            </w:r>
          </w:p>
        </w:tc>
      </w:tr>
      <w:tr w14:paraId="5C03760D">
        <w:tblPrEx>
          <w:tblCellMar>
            <w:top w:w="0" w:type="dxa"/>
            <w:left w:w="108" w:type="dxa"/>
            <w:bottom w:w="0" w:type="dxa"/>
            <w:right w:w="108" w:type="dxa"/>
          </w:tblCellMar>
        </w:tblPrEx>
        <w:tc>
          <w:tcPr>
            <w:tcW w:w="0" w:type="dxa"/>
            <w:vAlign w:val="center"/>
          </w:tcPr>
          <w:p w14:paraId="35B202E1">
            <w:pPr>
              <w:spacing w:line="240" w:lineRule="auto"/>
              <w:jc w:val="center"/>
            </w:pPr>
            <w:r>
              <w:rPr>
                <w:rFonts w:ascii="宋体" w:hAnsi="宋体" w:eastAsia="宋体" w:cs="宋体"/>
                <w:b w:val="0"/>
              </w:rPr>
              <w:t>5</w:t>
            </w:r>
          </w:p>
        </w:tc>
        <w:tc>
          <w:tcPr>
            <w:tcW w:w="0" w:type="dxa"/>
            <w:vAlign w:val="center"/>
          </w:tcPr>
          <w:p w14:paraId="263802A1">
            <w:pPr>
              <w:spacing w:line="240" w:lineRule="auto"/>
              <w:jc w:val="left"/>
            </w:pPr>
            <w:r>
              <w:rPr>
                <w:rFonts w:ascii="宋体" w:hAnsi="宋体" w:eastAsia="宋体" w:cs="宋体"/>
                <w:b w:val="0"/>
              </w:rPr>
              <w:t>300567</w:t>
            </w:r>
          </w:p>
        </w:tc>
        <w:tc>
          <w:tcPr>
            <w:tcW w:w="0" w:type="dxa"/>
            <w:vAlign w:val="center"/>
          </w:tcPr>
          <w:p w14:paraId="257A564D">
            <w:pPr>
              <w:spacing w:line="240" w:lineRule="auto"/>
              <w:jc w:val="left"/>
            </w:pPr>
            <w:r>
              <w:rPr>
                <w:rFonts w:ascii="宋体" w:hAnsi="宋体" w:eastAsia="宋体" w:cs="宋体"/>
                <w:b w:val="0"/>
              </w:rPr>
              <w:t>精测电子</w:t>
            </w:r>
          </w:p>
        </w:tc>
        <w:tc>
          <w:tcPr>
            <w:tcW w:w="0" w:type="dxa"/>
            <w:vAlign w:val="center"/>
          </w:tcPr>
          <w:p w14:paraId="4FD7D131">
            <w:pPr>
              <w:spacing w:line="240" w:lineRule="auto"/>
              <w:jc w:val="right"/>
            </w:pPr>
            <w:r>
              <w:rPr>
                <w:rFonts w:ascii="宋体" w:hAnsi="宋体" w:eastAsia="宋体" w:cs="宋体"/>
                <w:b w:val="0"/>
              </w:rPr>
              <w:t>39,972,875.24</w:t>
            </w:r>
          </w:p>
        </w:tc>
        <w:tc>
          <w:tcPr>
            <w:tcW w:w="0" w:type="dxa"/>
            <w:vAlign w:val="center"/>
          </w:tcPr>
          <w:p w14:paraId="41397056">
            <w:pPr>
              <w:spacing w:line="240" w:lineRule="auto"/>
              <w:jc w:val="right"/>
            </w:pPr>
            <w:r>
              <w:rPr>
                <w:rFonts w:ascii="宋体" w:hAnsi="宋体" w:eastAsia="宋体" w:cs="宋体"/>
                <w:b w:val="0"/>
              </w:rPr>
              <w:t>67.55</w:t>
            </w:r>
          </w:p>
        </w:tc>
      </w:tr>
      <w:tr w14:paraId="62EA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2CED2A">
            <w:pPr>
              <w:spacing w:line="240" w:lineRule="auto"/>
              <w:jc w:val="center"/>
            </w:pPr>
            <w:r>
              <w:rPr>
                <w:rFonts w:ascii="宋体" w:hAnsi="宋体" w:eastAsia="宋体" w:cs="宋体"/>
                <w:b w:val="0"/>
              </w:rPr>
              <w:t>6</w:t>
            </w:r>
          </w:p>
        </w:tc>
        <w:tc>
          <w:tcPr>
            <w:tcW w:w="0" w:type="dxa"/>
            <w:vAlign w:val="center"/>
          </w:tcPr>
          <w:p w14:paraId="0BA21F2C">
            <w:pPr>
              <w:spacing w:line="240" w:lineRule="auto"/>
              <w:jc w:val="left"/>
            </w:pPr>
            <w:r>
              <w:rPr>
                <w:rFonts w:ascii="宋体" w:hAnsi="宋体" w:eastAsia="宋体" w:cs="宋体"/>
                <w:b w:val="0"/>
              </w:rPr>
              <w:t>688652</w:t>
            </w:r>
          </w:p>
        </w:tc>
        <w:tc>
          <w:tcPr>
            <w:tcW w:w="0" w:type="dxa"/>
            <w:vAlign w:val="center"/>
          </w:tcPr>
          <w:p w14:paraId="41E5782F">
            <w:pPr>
              <w:spacing w:line="240" w:lineRule="auto"/>
              <w:jc w:val="left"/>
            </w:pPr>
            <w:r>
              <w:rPr>
                <w:rFonts w:ascii="宋体" w:hAnsi="宋体" w:eastAsia="宋体" w:cs="宋体"/>
                <w:b w:val="0"/>
              </w:rPr>
              <w:t>京仪装备</w:t>
            </w:r>
          </w:p>
        </w:tc>
        <w:tc>
          <w:tcPr>
            <w:tcW w:w="0" w:type="dxa"/>
            <w:vAlign w:val="center"/>
          </w:tcPr>
          <w:p w14:paraId="6E5495F6">
            <w:pPr>
              <w:spacing w:line="240" w:lineRule="auto"/>
              <w:jc w:val="right"/>
            </w:pPr>
            <w:r>
              <w:rPr>
                <w:rFonts w:ascii="宋体" w:hAnsi="宋体" w:eastAsia="宋体" w:cs="宋体"/>
                <w:b w:val="0"/>
              </w:rPr>
              <w:t>36,566,874.47</w:t>
            </w:r>
          </w:p>
        </w:tc>
        <w:tc>
          <w:tcPr>
            <w:tcW w:w="0" w:type="dxa"/>
            <w:vAlign w:val="center"/>
          </w:tcPr>
          <w:p w14:paraId="725B0A70">
            <w:pPr>
              <w:spacing w:line="240" w:lineRule="auto"/>
              <w:jc w:val="right"/>
            </w:pPr>
            <w:r>
              <w:rPr>
                <w:rFonts w:ascii="宋体" w:hAnsi="宋体" w:eastAsia="宋体" w:cs="宋体"/>
                <w:b w:val="0"/>
              </w:rPr>
              <w:t>61.80</w:t>
            </w:r>
          </w:p>
        </w:tc>
      </w:tr>
      <w:tr w14:paraId="776B8EDD">
        <w:tblPrEx>
          <w:tblCellMar>
            <w:top w:w="0" w:type="dxa"/>
            <w:left w:w="108" w:type="dxa"/>
            <w:bottom w:w="0" w:type="dxa"/>
            <w:right w:w="108" w:type="dxa"/>
          </w:tblCellMar>
        </w:tblPrEx>
        <w:tc>
          <w:tcPr>
            <w:tcW w:w="0" w:type="dxa"/>
            <w:vAlign w:val="center"/>
          </w:tcPr>
          <w:p w14:paraId="50B7D6CC">
            <w:pPr>
              <w:spacing w:line="240" w:lineRule="auto"/>
              <w:jc w:val="center"/>
            </w:pPr>
            <w:r>
              <w:rPr>
                <w:rFonts w:ascii="宋体" w:hAnsi="宋体" w:eastAsia="宋体" w:cs="宋体"/>
                <w:b w:val="0"/>
              </w:rPr>
              <w:t>7</w:t>
            </w:r>
          </w:p>
        </w:tc>
        <w:tc>
          <w:tcPr>
            <w:tcW w:w="0" w:type="dxa"/>
            <w:vAlign w:val="center"/>
          </w:tcPr>
          <w:p w14:paraId="074F320A">
            <w:pPr>
              <w:spacing w:line="240" w:lineRule="auto"/>
              <w:jc w:val="left"/>
            </w:pPr>
            <w:r>
              <w:rPr>
                <w:rFonts w:ascii="宋体" w:hAnsi="宋体" w:eastAsia="宋体" w:cs="宋体"/>
                <w:b w:val="0"/>
              </w:rPr>
              <w:t>688200</w:t>
            </w:r>
          </w:p>
        </w:tc>
        <w:tc>
          <w:tcPr>
            <w:tcW w:w="0" w:type="dxa"/>
            <w:vAlign w:val="center"/>
          </w:tcPr>
          <w:p w14:paraId="46B653B5">
            <w:pPr>
              <w:spacing w:line="240" w:lineRule="auto"/>
              <w:jc w:val="left"/>
            </w:pPr>
            <w:r>
              <w:rPr>
                <w:rFonts w:ascii="宋体" w:hAnsi="宋体" w:eastAsia="宋体" w:cs="宋体"/>
                <w:b w:val="0"/>
              </w:rPr>
              <w:t>华峰测控</w:t>
            </w:r>
          </w:p>
        </w:tc>
        <w:tc>
          <w:tcPr>
            <w:tcW w:w="0" w:type="dxa"/>
            <w:vAlign w:val="center"/>
          </w:tcPr>
          <w:p w14:paraId="1081D9B4">
            <w:pPr>
              <w:spacing w:line="240" w:lineRule="auto"/>
              <w:jc w:val="right"/>
            </w:pPr>
            <w:r>
              <w:rPr>
                <w:rFonts w:ascii="宋体" w:hAnsi="宋体" w:eastAsia="宋体" w:cs="宋体"/>
                <w:b w:val="0"/>
              </w:rPr>
              <w:t>35,928,085.93</w:t>
            </w:r>
          </w:p>
        </w:tc>
        <w:tc>
          <w:tcPr>
            <w:tcW w:w="0" w:type="dxa"/>
            <w:vAlign w:val="center"/>
          </w:tcPr>
          <w:p w14:paraId="1A435C19">
            <w:pPr>
              <w:spacing w:line="240" w:lineRule="auto"/>
              <w:jc w:val="right"/>
            </w:pPr>
            <w:r>
              <w:rPr>
                <w:rFonts w:ascii="宋体" w:hAnsi="宋体" w:eastAsia="宋体" w:cs="宋体"/>
                <w:b w:val="0"/>
              </w:rPr>
              <w:t>60.72</w:t>
            </w:r>
          </w:p>
        </w:tc>
      </w:tr>
      <w:tr w14:paraId="32F5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178A9B">
            <w:pPr>
              <w:spacing w:line="240" w:lineRule="auto"/>
              <w:jc w:val="center"/>
            </w:pPr>
            <w:r>
              <w:rPr>
                <w:rFonts w:ascii="宋体" w:hAnsi="宋体" w:eastAsia="宋体" w:cs="宋体"/>
                <w:b w:val="0"/>
              </w:rPr>
              <w:t>8</w:t>
            </w:r>
          </w:p>
        </w:tc>
        <w:tc>
          <w:tcPr>
            <w:tcW w:w="0" w:type="dxa"/>
            <w:vAlign w:val="center"/>
          </w:tcPr>
          <w:p w14:paraId="1F6B1A49">
            <w:pPr>
              <w:spacing w:line="240" w:lineRule="auto"/>
              <w:jc w:val="left"/>
            </w:pPr>
            <w:r>
              <w:rPr>
                <w:rFonts w:ascii="宋体" w:hAnsi="宋体" w:eastAsia="宋体" w:cs="宋体"/>
                <w:b w:val="0"/>
              </w:rPr>
              <w:t>688147</w:t>
            </w:r>
          </w:p>
        </w:tc>
        <w:tc>
          <w:tcPr>
            <w:tcW w:w="0" w:type="dxa"/>
            <w:vAlign w:val="center"/>
          </w:tcPr>
          <w:p w14:paraId="0A00D4B3">
            <w:pPr>
              <w:spacing w:line="240" w:lineRule="auto"/>
              <w:jc w:val="left"/>
            </w:pPr>
            <w:r>
              <w:rPr>
                <w:rFonts w:ascii="宋体" w:hAnsi="宋体" w:eastAsia="宋体" w:cs="宋体"/>
                <w:b w:val="0"/>
              </w:rPr>
              <w:t>微导纳米</w:t>
            </w:r>
          </w:p>
        </w:tc>
        <w:tc>
          <w:tcPr>
            <w:tcW w:w="0" w:type="dxa"/>
            <w:vAlign w:val="center"/>
          </w:tcPr>
          <w:p w14:paraId="726C9175">
            <w:pPr>
              <w:spacing w:line="240" w:lineRule="auto"/>
              <w:jc w:val="right"/>
            </w:pPr>
            <w:r>
              <w:rPr>
                <w:rFonts w:ascii="宋体" w:hAnsi="宋体" w:eastAsia="宋体" w:cs="宋体"/>
                <w:b w:val="0"/>
              </w:rPr>
              <w:t>33,215,995.43</w:t>
            </w:r>
          </w:p>
        </w:tc>
        <w:tc>
          <w:tcPr>
            <w:tcW w:w="0" w:type="dxa"/>
            <w:vAlign w:val="center"/>
          </w:tcPr>
          <w:p w14:paraId="6D52F997">
            <w:pPr>
              <w:spacing w:line="240" w:lineRule="auto"/>
              <w:jc w:val="right"/>
            </w:pPr>
            <w:r>
              <w:rPr>
                <w:rFonts w:ascii="宋体" w:hAnsi="宋体" w:eastAsia="宋体" w:cs="宋体"/>
                <w:b w:val="0"/>
              </w:rPr>
              <w:t>56.13</w:t>
            </w:r>
          </w:p>
        </w:tc>
      </w:tr>
      <w:tr w14:paraId="2ACBC95D">
        <w:tblPrEx>
          <w:tblCellMar>
            <w:top w:w="0" w:type="dxa"/>
            <w:left w:w="108" w:type="dxa"/>
            <w:bottom w:w="0" w:type="dxa"/>
            <w:right w:w="108" w:type="dxa"/>
          </w:tblCellMar>
        </w:tblPrEx>
        <w:tc>
          <w:tcPr>
            <w:tcW w:w="0" w:type="dxa"/>
            <w:vAlign w:val="center"/>
          </w:tcPr>
          <w:p w14:paraId="68A5D095">
            <w:pPr>
              <w:spacing w:line="240" w:lineRule="auto"/>
              <w:jc w:val="center"/>
            </w:pPr>
            <w:r>
              <w:rPr>
                <w:rFonts w:ascii="宋体" w:hAnsi="宋体" w:eastAsia="宋体" w:cs="宋体"/>
                <w:b w:val="0"/>
              </w:rPr>
              <w:t>9</w:t>
            </w:r>
          </w:p>
        </w:tc>
        <w:tc>
          <w:tcPr>
            <w:tcW w:w="0" w:type="dxa"/>
            <w:vAlign w:val="center"/>
          </w:tcPr>
          <w:p w14:paraId="3BA2AA3A">
            <w:pPr>
              <w:spacing w:line="240" w:lineRule="auto"/>
              <w:jc w:val="left"/>
            </w:pPr>
            <w:r>
              <w:rPr>
                <w:rFonts w:ascii="宋体" w:hAnsi="宋体" w:eastAsia="宋体" w:cs="宋体"/>
                <w:b w:val="0"/>
              </w:rPr>
              <w:t>688037</w:t>
            </w:r>
          </w:p>
        </w:tc>
        <w:tc>
          <w:tcPr>
            <w:tcW w:w="0" w:type="dxa"/>
            <w:vAlign w:val="center"/>
          </w:tcPr>
          <w:p w14:paraId="6BD96965">
            <w:pPr>
              <w:spacing w:line="240" w:lineRule="auto"/>
              <w:jc w:val="left"/>
            </w:pPr>
            <w:r>
              <w:rPr>
                <w:rFonts w:ascii="宋体" w:hAnsi="宋体" w:eastAsia="宋体" w:cs="宋体"/>
                <w:b w:val="0"/>
              </w:rPr>
              <w:t>芯源微</w:t>
            </w:r>
          </w:p>
        </w:tc>
        <w:tc>
          <w:tcPr>
            <w:tcW w:w="0" w:type="dxa"/>
            <w:vAlign w:val="center"/>
          </w:tcPr>
          <w:p w14:paraId="0F19CDF6">
            <w:pPr>
              <w:spacing w:line="240" w:lineRule="auto"/>
              <w:jc w:val="right"/>
            </w:pPr>
            <w:r>
              <w:rPr>
                <w:rFonts w:ascii="宋体" w:hAnsi="宋体" w:eastAsia="宋体" w:cs="宋体"/>
                <w:b w:val="0"/>
              </w:rPr>
              <w:t>32,392,908.48</w:t>
            </w:r>
          </w:p>
        </w:tc>
        <w:tc>
          <w:tcPr>
            <w:tcW w:w="0" w:type="dxa"/>
            <w:vAlign w:val="center"/>
          </w:tcPr>
          <w:p w14:paraId="36E4EC59">
            <w:pPr>
              <w:spacing w:line="240" w:lineRule="auto"/>
              <w:jc w:val="right"/>
            </w:pPr>
            <w:r>
              <w:rPr>
                <w:rFonts w:ascii="宋体" w:hAnsi="宋体" w:eastAsia="宋体" w:cs="宋体"/>
                <w:b w:val="0"/>
              </w:rPr>
              <w:t>54.74</w:t>
            </w:r>
          </w:p>
        </w:tc>
      </w:tr>
      <w:tr w14:paraId="6E1D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A266ED">
            <w:pPr>
              <w:spacing w:line="240" w:lineRule="auto"/>
              <w:jc w:val="center"/>
            </w:pPr>
            <w:r>
              <w:rPr>
                <w:rFonts w:ascii="宋体" w:hAnsi="宋体" w:eastAsia="宋体" w:cs="宋体"/>
                <w:b w:val="0"/>
              </w:rPr>
              <w:t>10</w:t>
            </w:r>
          </w:p>
        </w:tc>
        <w:tc>
          <w:tcPr>
            <w:tcW w:w="0" w:type="dxa"/>
            <w:vAlign w:val="center"/>
          </w:tcPr>
          <w:p w14:paraId="11E0493A">
            <w:pPr>
              <w:spacing w:line="240" w:lineRule="auto"/>
              <w:jc w:val="left"/>
            </w:pPr>
            <w:r>
              <w:rPr>
                <w:rFonts w:ascii="宋体" w:hAnsi="宋体" w:eastAsia="宋体" w:cs="宋体"/>
                <w:b w:val="0"/>
              </w:rPr>
              <w:t>688012</w:t>
            </w:r>
          </w:p>
        </w:tc>
        <w:tc>
          <w:tcPr>
            <w:tcW w:w="0" w:type="dxa"/>
            <w:vAlign w:val="center"/>
          </w:tcPr>
          <w:p w14:paraId="33110EE7">
            <w:pPr>
              <w:spacing w:line="240" w:lineRule="auto"/>
              <w:jc w:val="left"/>
            </w:pPr>
            <w:r>
              <w:rPr>
                <w:rFonts w:ascii="宋体" w:hAnsi="宋体" w:eastAsia="宋体" w:cs="宋体"/>
                <w:b w:val="0"/>
              </w:rPr>
              <w:t>中微公司</w:t>
            </w:r>
          </w:p>
        </w:tc>
        <w:tc>
          <w:tcPr>
            <w:tcW w:w="0" w:type="dxa"/>
            <w:vAlign w:val="center"/>
          </w:tcPr>
          <w:p w14:paraId="7D7373D8">
            <w:pPr>
              <w:spacing w:line="240" w:lineRule="auto"/>
              <w:jc w:val="right"/>
            </w:pPr>
            <w:r>
              <w:rPr>
                <w:rFonts w:ascii="宋体" w:hAnsi="宋体" w:eastAsia="宋体" w:cs="宋体"/>
                <w:b w:val="0"/>
              </w:rPr>
              <w:t>27,203,826.04</w:t>
            </w:r>
          </w:p>
        </w:tc>
        <w:tc>
          <w:tcPr>
            <w:tcW w:w="0" w:type="dxa"/>
            <w:vAlign w:val="center"/>
          </w:tcPr>
          <w:p w14:paraId="760B058C">
            <w:pPr>
              <w:spacing w:line="240" w:lineRule="auto"/>
              <w:jc w:val="right"/>
            </w:pPr>
            <w:r>
              <w:rPr>
                <w:rFonts w:ascii="宋体" w:hAnsi="宋体" w:eastAsia="宋体" w:cs="宋体"/>
                <w:b w:val="0"/>
              </w:rPr>
              <w:t>45.97</w:t>
            </w:r>
          </w:p>
        </w:tc>
      </w:tr>
      <w:tr w14:paraId="0220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13AAF9">
            <w:pPr>
              <w:spacing w:line="240" w:lineRule="auto"/>
              <w:jc w:val="center"/>
            </w:pPr>
            <w:r>
              <w:rPr>
                <w:rFonts w:ascii="宋体" w:hAnsi="宋体" w:eastAsia="宋体" w:cs="宋体"/>
                <w:b w:val="0"/>
              </w:rPr>
              <w:t>11</w:t>
            </w:r>
          </w:p>
        </w:tc>
        <w:tc>
          <w:tcPr>
            <w:tcW w:w="0" w:type="dxa"/>
            <w:vAlign w:val="center"/>
          </w:tcPr>
          <w:p w14:paraId="273E3974">
            <w:pPr>
              <w:spacing w:line="240" w:lineRule="auto"/>
              <w:jc w:val="left"/>
            </w:pPr>
            <w:r>
              <w:rPr>
                <w:rFonts w:ascii="宋体" w:hAnsi="宋体" w:eastAsia="宋体" w:cs="宋体"/>
                <w:b w:val="0"/>
              </w:rPr>
              <w:t>688361</w:t>
            </w:r>
          </w:p>
        </w:tc>
        <w:tc>
          <w:tcPr>
            <w:tcW w:w="0" w:type="dxa"/>
            <w:vAlign w:val="center"/>
          </w:tcPr>
          <w:p w14:paraId="05283839">
            <w:pPr>
              <w:spacing w:line="240" w:lineRule="auto"/>
              <w:jc w:val="left"/>
            </w:pPr>
            <w:r>
              <w:rPr>
                <w:rFonts w:ascii="宋体" w:hAnsi="宋体" w:eastAsia="宋体" w:cs="宋体"/>
                <w:b w:val="0"/>
              </w:rPr>
              <w:t>中科飞测</w:t>
            </w:r>
          </w:p>
        </w:tc>
        <w:tc>
          <w:tcPr>
            <w:tcW w:w="0" w:type="dxa"/>
            <w:vAlign w:val="center"/>
          </w:tcPr>
          <w:p w14:paraId="7A55159F">
            <w:pPr>
              <w:spacing w:line="240" w:lineRule="auto"/>
              <w:jc w:val="right"/>
            </w:pPr>
            <w:r>
              <w:rPr>
                <w:rFonts w:ascii="宋体" w:hAnsi="宋体" w:eastAsia="宋体" w:cs="宋体"/>
                <w:b w:val="0"/>
              </w:rPr>
              <w:t>25,838,531.37</w:t>
            </w:r>
          </w:p>
        </w:tc>
        <w:tc>
          <w:tcPr>
            <w:tcW w:w="0" w:type="dxa"/>
            <w:vAlign w:val="center"/>
          </w:tcPr>
          <w:p w14:paraId="1A12148C">
            <w:pPr>
              <w:spacing w:line="240" w:lineRule="auto"/>
              <w:jc w:val="right"/>
            </w:pPr>
            <w:r>
              <w:rPr>
                <w:rFonts w:ascii="宋体" w:hAnsi="宋体" w:eastAsia="宋体" w:cs="宋体"/>
                <w:b w:val="0"/>
              </w:rPr>
              <w:t>43.67</w:t>
            </w:r>
          </w:p>
        </w:tc>
      </w:tr>
      <w:tr w14:paraId="275D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A0FD37">
            <w:pPr>
              <w:spacing w:line="240" w:lineRule="auto"/>
              <w:jc w:val="center"/>
            </w:pPr>
            <w:r>
              <w:rPr>
                <w:rFonts w:ascii="宋体" w:hAnsi="宋体" w:eastAsia="宋体" w:cs="宋体"/>
                <w:b w:val="0"/>
              </w:rPr>
              <w:t>12</w:t>
            </w:r>
          </w:p>
        </w:tc>
        <w:tc>
          <w:tcPr>
            <w:tcW w:w="0" w:type="dxa"/>
            <w:vAlign w:val="center"/>
          </w:tcPr>
          <w:p w14:paraId="32E4EF02">
            <w:pPr>
              <w:spacing w:line="240" w:lineRule="auto"/>
              <w:jc w:val="left"/>
            </w:pPr>
            <w:r>
              <w:rPr>
                <w:rFonts w:ascii="宋体" w:hAnsi="宋体" w:eastAsia="宋体" w:cs="宋体"/>
                <w:b w:val="0"/>
              </w:rPr>
              <w:t>300236</w:t>
            </w:r>
          </w:p>
        </w:tc>
        <w:tc>
          <w:tcPr>
            <w:tcW w:w="0" w:type="dxa"/>
            <w:vAlign w:val="center"/>
          </w:tcPr>
          <w:p w14:paraId="17DAA751">
            <w:pPr>
              <w:spacing w:line="240" w:lineRule="auto"/>
              <w:jc w:val="left"/>
            </w:pPr>
            <w:r>
              <w:rPr>
                <w:rFonts w:ascii="宋体" w:hAnsi="宋体" w:eastAsia="宋体" w:cs="宋体"/>
                <w:b w:val="0"/>
              </w:rPr>
              <w:t>上海新阳</w:t>
            </w:r>
          </w:p>
        </w:tc>
        <w:tc>
          <w:tcPr>
            <w:tcW w:w="0" w:type="dxa"/>
            <w:vAlign w:val="center"/>
          </w:tcPr>
          <w:p w14:paraId="7527D7B9">
            <w:pPr>
              <w:spacing w:line="240" w:lineRule="auto"/>
              <w:jc w:val="right"/>
            </w:pPr>
            <w:r>
              <w:rPr>
                <w:rFonts w:ascii="宋体" w:hAnsi="宋体" w:eastAsia="宋体" w:cs="宋体"/>
                <w:b w:val="0"/>
              </w:rPr>
              <w:t>23,344,938.76</w:t>
            </w:r>
          </w:p>
        </w:tc>
        <w:tc>
          <w:tcPr>
            <w:tcW w:w="0" w:type="dxa"/>
            <w:vAlign w:val="center"/>
          </w:tcPr>
          <w:p w14:paraId="326E171F">
            <w:pPr>
              <w:spacing w:line="240" w:lineRule="auto"/>
              <w:jc w:val="right"/>
            </w:pPr>
            <w:r>
              <w:rPr>
                <w:rFonts w:ascii="宋体" w:hAnsi="宋体" w:eastAsia="宋体" w:cs="宋体"/>
                <w:b w:val="0"/>
              </w:rPr>
              <w:t>39.45</w:t>
            </w:r>
          </w:p>
        </w:tc>
      </w:tr>
      <w:tr w14:paraId="2379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50C066">
            <w:pPr>
              <w:spacing w:line="240" w:lineRule="auto"/>
              <w:jc w:val="center"/>
            </w:pPr>
            <w:r>
              <w:rPr>
                <w:rFonts w:ascii="宋体" w:hAnsi="宋体" w:eastAsia="宋体" w:cs="宋体"/>
                <w:b w:val="0"/>
              </w:rPr>
              <w:t>13</w:t>
            </w:r>
          </w:p>
        </w:tc>
        <w:tc>
          <w:tcPr>
            <w:tcW w:w="0" w:type="dxa"/>
            <w:vAlign w:val="center"/>
          </w:tcPr>
          <w:p w14:paraId="25AA457F">
            <w:pPr>
              <w:spacing w:line="240" w:lineRule="auto"/>
              <w:jc w:val="left"/>
            </w:pPr>
            <w:r>
              <w:rPr>
                <w:rFonts w:ascii="宋体" w:hAnsi="宋体" w:eastAsia="宋体" w:cs="宋体"/>
                <w:b w:val="0"/>
              </w:rPr>
              <w:t>301611</w:t>
            </w:r>
          </w:p>
        </w:tc>
        <w:tc>
          <w:tcPr>
            <w:tcW w:w="0" w:type="dxa"/>
            <w:vAlign w:val="center"/>
          </w:tcPr>
          <w:p w14:paraId="61C28889">
            <w:pPr>
              <w:spacing w:line="240" w:lineRule="auto"/>
              <w:jc w:val="left"/>
            </w:pPr>
            <w:r>
              <w:rPr>
                <w:rFonts w:ascii="宋体" w:hAnsi="宋体" w:eastAsia="宋体" w:cs="宋体"/>
                <w:b w:val="0"/>
              </w:rPr>
              <w:t>珂玛科技</w:t>
            </w:r>
          </w:p>
        </w:tc>
        <w:tc>
          <w:tcPr>
            <w:tcW w:w="0" w:type="dxa"/>
            <w:vAlign w:val="center"/>
          </w:tcPr>
          <w:p w14:paraId="2D5D6F74">
            <w:pPr>
              <w:spacing w:line="240" w:lineRule="auto"/>
              <w:jc w:val="right"/>
            </w:pPr>
            <w:r>
              <w:rPr>
                <w:rFonts w:ascii="宋体" w:hAnsi="宋体" w:eastAsia="宋体" w:cs="宋体"/>
                <w:b w:val="0"/>
              </w:rPr>
              <w:t>23,264,711.00</w:t>
            </w:r>
          </w:p>
        </w:tc>
        <w:tc>
          <w:tcPr>
            <w:tcW w:w="0" w:type="dxa"/>
            <w:vAlign w:val="center"/>
          </w:tcPr>
          <w:p w14:paraId="043ABDF8">
            <w:pPr>
              <w:spacing w:line="240" w:lineRule="auto"/>
              <w:jc w:val="right"/>
            </w:pPr>
            <w:r>
              <w:rPr>
                <w:rFonts w:ascii="宋体" w:hAnsi="宋体" w:eastAsia="宋体" w:cs="宋体"/>
                <w:b w:val="0"/>
              </w:rPr>
              <w:t>39.32</w:t>
            </w:r>
          </w:p>
        </w:tc>
      </w:tr>
      <w:tr w14:paraId="2978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DD47D4">
            <w:pPr>
              <w:spacing w:line="240" w:lineRule="auto"/>
              <w:jc w:val="center"/>
            </w:pPr>
            <w:r>
              <w:rPr>
                <w:rFonts w:ascii="宋体" w:hAnsi="宋体" w:eastAsia="宋体" w:cs="宋体"/>
                <w:b w:val="0"/>
              </w:rPr>
              <w:t>14</w:t>
            </w:r>
          </w:p>
        </w:tc>
        <w:tc>
          <w:tcPr>
            <w:tcW w:w="0" w:type="dxa"/>
            <w:vAlign w:val="center"/>
          </w:tcPr>
          <w:p w14:paraId="3347F86B">
            <w:pPr>
              <w:spacing w:line="240" w:lineRule="auto"/>
              <w:jc w:val="left"/>
            </w:pPr>
            <w:r>
              <w:rPr>
                <w:rFonts w:ascii="宋体" w:hAnsi="宋体" w:eastAsia="宋体" w:cs="宋体"/>
                <w:b w:val="0"/>
              </w:rPr>
              <w:t>688630</w:t>
            </w:r>
          </w:p>
        </w:tc>
        <w:tc>
          <w:tcPr>
            <w:tcW w:w="0" w:type="dxa"/>
            <w:vAlign w:val="center"/>
          </w:tcPr>
          <w:p w14:paraId="598F33E7">
            <w:pPr>
              <w:spacing w:line="240" w:lineRule="auto"/>
              <w:jc w:val="left"/>
            </w:pPr>
            <w:r>
              <w:rPr>
                <w:rFonts w:ascii="宋体" w:hAnsi="宋体" w:eastAsia="宋体" w:cs="宋体"/>
                <w:b w:val="0"/>
              </w:rPr>
              <w:t>芯碁微装</w:t>
            </w:r>
          </w:p>
        </w:tc>
        <w:tc>
          <w:tcPr>
            <w:tcW w:w="0" w:type="dxa"/>
            <w:vAlign w:val="center"/>
          </w:tcPr>
          <w:p w14:paraId="6814DB34">
            <w:pPr>
              <w:spacing w:line="240" w:lineRule="auto"/>
              <w:jc w:val="right"/>
            </w:pPr>
            <w:r>
              <w:rPr>
                <w:rFonts w:ascii="宋体" w:hAnsi="宋体" w:eastAsia="宋体" w:cs="宋体"/>
                <w:b w:val="0"/>
              </w:rPr>
              <w:t>22,773,965.43</w:t>
            </w:r>
          </w:p>
        </w:tc>
        <w:tc>
          <w:tcPr>
            <w:tcW w:w="0" w:type="dxa"/>
            <w:vAlign w:val="center"/>
          </w:tcPr>
          <w:p w14:paraId="2F24D44C">
            <w:pPr>
              <w:spacing w:line="240" w:lineRule="auto"/>
              <w:jc w:val="right"/>
            </w:pPr>
            <w:r>
              <w:rPr>
                <w:rFonts w:ascii="宋体" w:hAnsi="宋体" w:eastAsia="宋体" w:cs="宋体"/>
                <w:b w:val="0"/>
              </w:rPr>
              <w:t>38.49</w:t>
            </w:r>
          </w:p>
        </w:tc>
      </w:tr>
      <w:tr w14:paraId="640F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6D5FBA">
            <w:pPr>
              <w:spacing w:line="240" w:lineRule="auto"/>
              <w:jc w:val="center"/>
            </w:pPr>
            <w:r>
              <w:rPr>
                <w:rFonts w:ascii="宋体" w:hAnsi="宋体" w:eastAsia="宋体" w:cs="宋体"/>
                <w:b w:val="0"/>
              </w:rPr>
              <w:t>15</w:t>
            </w:r>
          </w:p>
        </w:tc>
        <w:tc>
          <w:tcPr>
            <w:tcW w:w="0" w:type="dxa"/>
            <w:vAlign w:val="center"/>
          </w:tcPr>
          <w:p w14:paraId="059CA615">
            <w:pPr>
              <w:spacing w:line="240" w:lineRule="auto"/>
              <w:jc w:val="left"/>
            </w:pPr>
            <w:r>
              <w:rPr>
                <w:rFonts w:ascii="宋体" w:hAnsi="宋体" w:eastAsia="宋体" w:cs="宋体"/>
                <w:b w:val="0"/>
              </w:rPr>
              <w:t>300820</w:t>
            </w:r>
          </w:p>
        </w:tc>
        <w:tc>
          <w:tcPr>
            <w:tcW w:w="0" w:type="dxa"/>
            <w:vAlign w:val="center"/>
          </w:tcPr>
          <w:p w14:paraId="5238494E">
            <w:pPr>
              <w:spacing w:line="240" w:lineRule="auto"/>
              <w:jc w:val="left"/>
            </w:pPr>
            <w:r>
              <w:rPr>
                <w:rFonts w:ascii="宋体" w:hAnsi="宋体" w:eastAsia="宋体" w:cs="宋体"/>
                <w:b w:val="0"/>
              </w:rPr>
              <w:t>英杰电气</w:t>
            </w:r>
          </w:p>
        </w:tc>
        <w:tc>
          <w:tcPr>
            <w:tcW w:w="0" w:type="dxa"/>
            <w:vAlign w:val="center"/>
          </w:tcPr>
          <w:p w14:paraId="01BFDC54">
            <w:pPr>
              <w:spacing w:line="240" w:lineRule="auto"/>
              <w:jc w:val="right"/>
            </w:pPr>
            <w:r>
              <w:rPr>
                <w:rFonts w:ascii="宋体" w:hAnsi="宋体" w:eastAsia="宋体" w:cs="宋体"/>
                <w:b w:val="0"/>
              </w:rPr>
              <w:t>17,740,745.00</w:t>
            </w:r>
          </w:p>
        </w:tc>
        <w:tc>
          <w:tcPr>
            <w:tcW w:w="0" w:type="dxa"/>
            <w:vAlign w:val="center"/>
          </w:tcPr>
          <w:p w14:paraId="1FA6A89B">
            <w:pPr>
              <w:spacing w:line="240" w:lineRule="auto"/>
              <w:jc w:val="right"/>
            </w:pPr>
            <w:r>
              <w:rPr>
                <w:rFonts w:ascii="宋体" w:hAnsi="宋体" w:eastAsia="宋体" w:cs="宋体"/>
                <w:b w:val="0"/>
              </w:rPr>
              <w:t>29.98</w:t>
            </w:r>
          </w:p>
        </w:tc>
      </w:tr>
      <w:tr w14:paraId="319A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66B93E">
            <w:pPr>
              <w:spacing w:line="240" w:lineRule="auto"/>
              <w:jc w:val="center"/>
            </w:pPr>
            <w:r>
              <w:rPr>
                <w:rFonts w:ascii="宋体" w:hAnsi="宋体" w:eastAsia="宋体" w:cs="宋体"/>
                <w:b w:val="0"/>
              </w:rPr>
              <w:t>16</w:t>
            </w:r>
          </w:p>
        </w:tc>
        <w:tc>
          <w:tcPr>
            <w:tcW w:w="0" w:type="dxa"/>
            <w:vAlign w:val="center"/>
          </w:tcPr>
          <w:p w14:paraId="0423BD8A">
            <w:pPr>
              <w:spacing w:line="240" w:lineRule="auto"/>
              <w:jc w:val="left"/>
            </w:pPr>
            <w:r>
              <w:rPr>
                <w:rFonts w:ascii="宋体" w:hAnsi="宋体" w:eastAsia="宋体" w:cs="宋体"/>
                <w:b w:val="0"/>
              </w:rPr>
              <w:t>688502</w:t>
            </w:r>
          </w:p>
        </w:tc>
        <w:tc>
          <w:tcPr>
            <w:tcW w:w="0" w:type="dxa"/>
            <w:vAlign w:val="center"/>
          </w:tcPr>
          <w:p w14:paraId="1BEA241A">
            <w:pPr>
              <w:spacing w:line="240" w:lineRule="auto"/>
              <w:jc w:val="left"/>
            </w:pPr>
            <w:r>
              <w:rPr>
                <w:rFonts w:ascii="宋体" w:hAnsi="宋体" w:eastAsia="宋体" w:cs="宋体"/>
                <w:b w:val="0"/>
              </w:rPr>
              <w:t>茂莱光学</w:t>
            </w:r>
          </w:p>
        </w:tc>
        <w:tc>
          <w:tcPr>
            <w:tcW w:w="0" w:type="dxa"/>
            <w:vAlign w:val="center"/>
          </w:tcPr>
          <w:p w14:paraId="02C65968">
            <w:pPr>
              <w:spacing w:line="240" w:lineRule="auto"/>
              <w:jc w:val="right"/>
            </w:pPr>
            <w:r>
              <w:rPr>
                <w:rFonts w:ascii="宋体" w:hAnsi="宋体" w:eastAsia="宋体" w:cs="宋体"/>
                <w:b w:val="0"/>
              </w:rPr>
              <w:t>12,899,265.52</w:t>
            </w:r>
          </w:p>
        </w:tc>
        <w:tc>
          <w:tcPr>
            <w:tcW w:w="0" w:type="dxa"/>
            <w:vAlign w:val="center"/>
          </w:tcPr>
          <w:p w14:paraId="380E8114">
            <w:pPr>
              <w:spacing w:line="240" w:lineRule="auto"/>
              <w:jc w:val="right"/>
            </w:pPr>
            <w:r>
              <w:rPr>
                <w:rFonts w:ascii="宋体" w:hAnsi="宋体" w:eastAsia="宋体" w:cs="宋体"/>
                <w:b w:val="0"/>
              </w:rPr>
              <w:t>21.80</w:t>
            </w:r>
          </w:p>
        </w:tc>
      </w:tr>
      <w:tr w14:paraId="495C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22FC82">
            <w:pPr>
              <w:spacing w:line="240" w:lineRule="auto"/>
              <w:jc w:val="center"/>
            </w:pPr>
            <w:r>
              <w:rPr>
                <w:rFonts w:ascii="宋体" w:hAnsi="宋体" w:eastAsia="宋体" w:cs="宋体"/>
                <w:b w:val="0"/>
              </w:rPr>
              <w:t>17</w:t>
            </w:r>
          </w:p>
        </w:tc>
        <w:tc>
          <w:tcPr>
            <w:tcW w:w="0" w:type="dxa"/>
            <w:vAlign w:val="center"/>
          </w:tcPr>
          <w:p w14:paraId="0585BA73">
            <w:pPr>
              <w:spacing w:line="240" w:lineRule="auto"/>
              <w:jc w:val="left"/>
            </w:pPr>
            <w:r>
              <w:rPr>
                <w:rFonts w:ascii="宋体" w:hAnsi="宋体" w:eastAsia="宋体" w:cs="宋体"/>
                <w:b w:val="0"/>
              </w:rPr>
              <w:t>688347</w:t>
            </w:r>
          </w:p>
        </w:tc>
        <w:tc>
          <w:tcPr>
            <w:tcW w:w="0" w:type="dxa"/>
            <w:vAlign w:val="center"/>
          </w:tcPr>
          <w:p w14:paraId="0BBD9594">
            <w:pPr>
              <w:spacing w:line="240" w:lineRule="auto"/>
              <w:jc w:val="left"/>
            </w:pPr>
            <w:r>
              <w:rPr>
                <w:rFonts w:ascii="宋体" w:hAnsi="宋体" w:eastAsia="宋体" w:cs="宋体"/>
                <w:b w:val="0"/>
              </w:rPr>
              <w:t>华虹宏力</w:t>
            </w:r>
          </w:p>
        </w:tc>
        <w:tc>
          <w:tcPr>
            <w:tcW w:w="0" w:type="dxa"/>
            <w:vAlign w:val="center"/>
          </w:tcPr>
          <w:p w14:paraId="0E23FFE2">
            <w:pPr>
              <w:spacing w:line="240" w:lineRule="auto"/>
              <w:jc w:val="right"/>
            </w:pPr>
            <w:r>
              <w:rPr>
                <w:rFonts w:ascii="宋体" w:hAnsi="宋体" w:eastAsia="宋体" w:cs="宋体"/>
                <w:b w:val="0"/>
              </w:rPr>
              <w:t>12,715,638.37</w:t>
            </w:r>
          </w:p>
        </w:tc>
        <w:tc>
          <w:tcPr>
            <w:tcW w:w="0" w:type="dxa"/>
            <w:vAlign w:val="center"/>
          </w:tcPr>
          <w:p w14:paraId="2D3FA687">
            <w:pPr>
              <w:spacing w:line="240" w:lineRule="auto"/>
              <w:jc w:val="right"/>
            </w:pPr>
            <w:r>
              <w:rPr>
                <w:rFonts w:ascii="宋体" w:hAnsi="宋体" w:eastAsia="宋体" w:cs="宋体"/>
                <w:b w:val="0"/>
              </w:rPr>
              <w:t>21.49</w:t>
            </w:r>
          </w:p>
        </w:tc>
      </w:tr>
      <w:tr w14:paraId="34F6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33CC37">
            <w:pPr>
              <w:spacing w:line="240" w:lineRule="auto"/>
              <w:jc w:val="center"/>
            </w:pPr>
            <w:r>
              <w:rPr>
                <w:rFonts w:ascii="宋体" w:hAnsi="宋体" w:eastAsia="宋体" w:cs="宋体"/>
                <w:b w:val="0"/>
              </w:rPr>
              <w:t>18</w:t>
            </w:r>
          </w:p>
        </w:tc>
        <w:tc>
          <w:tcPr>
            <w:tcW w:w="0" w:type="dxa"/>
            <w:vAlign w:val="center"/>
          </w:tcPr>
          <w:p w14:paraId="7D83610F">
            <w:pPr>
              <w:spacing w:line="240" w:lineRule="auto"/>
              <w:jc w:val="left"/>
            </w:pPr>
            <w:r>
              <w:rPr>
                <w:rFonts w:ascii="宋体" w:hAnsi="宋体" w:eastAsia="宋体" w:cs="宋体"/>
                <w:b w:val="0"/>
              </w:rPr>
              <w:t>688809</w:t>
            </w:r>
          </w:p>
        </w:tc>
        <w:tc>
          <w:tcPr>
            <w:tcW w:w="0" w:type="dxa"/>
            <w:vAlign w:val="center"/>
          </w:tcPr>
          <w:p w14:paraId="517A20C0">
            <w:pPr>
              <w:spacing w:line="240" w:lineRule="auto"/>
              <w:jc w:val="left"/>
            </w:pPr>
            <w:r>
              <w:rPr>
                <w:rFonts w:ascii="宋体" w:hAnsi="宋体" w:eastAsia="宋体" w:cs="宋体"/>
                <w:b w:val="0"/>
              </w:rPr>
              <w:t>强一股份</w:t>
            </w:r>
          </w:p>
        </w:tc>
        <w:tc>
          <w:tcPr>
            <w:tcW w:w="0" w:type="dxa"/>
            <w:vAlign w:val="center"/>
          </w:tcPr>
          <w:p w14:paraId="7DEAB493">
            <w:pPr>
              <w:spacing w:line="240" w:lineRule="auto"/>
              <w:jc w:val="right"/>
            </w:pPr>
            <w:r>
              <w:rPr>
                <w:rFonts w:ascii="宋体" w:hAnsi="宋体" w:eastAsia="宋体" w:cs="宋体"/>
                <w:b w:val="0"/>
              </w:rPr>
              <w:t>9,747,176.53</w:t>
            </w:r>
          </w:p>
        </w:tc>
        <w:tc>
          <w:tcPr>
            <w:tcW w:w="0" w:type="dxa"/>
            <w:vAlign w:val="center"/>
          </w:tcPr>
          <w:p w14:paraId="69F85D76">
            <w:pPr>
              <w:spacing w:line="240" w:lineRule="auto"/>
              <w:jc w:val="right"/>
            </w:pPr>
            <w:r>
              <w:rPr>
                <w:rFonts w:ascii="宋体" w:hAnsi="宋体" w:eastAsia="宋体" w:cs="宋体"/>
                <w:b w:val="0"/>
              </w:rPr>
              <w:t>16.47</w:t>
            </w:r>
          </w:p>
        </w:tc>
      </w:tr>
      <w:tr w14:paraId="414E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96173D2">
            <w:pPr>
              <w:spacing w:line="240" w:lineRule="auto"/>
              <w:jc w:val="center"/>
            </w:pPr>
            <w:r>
              <w:rPr>
                <w:rFonts w:ascii="宋体" w:hAnsi="宋体" w:eastAsia="宋体" w:cs="宋体"/>
                <w:b w:val="0"/>
              </w:rPr>
              <w:t>19</w:t>
            </w:r>
          </w:p>
        </w:tc>
        <w:tc>
          <w:tcPr>
            <w:tcW w:w="0" w:type="dxa"/>
            <w:vAlign w:val="center"/>
          </w:tcPr>
          <w:p w14:paraId="69703CFF">
            <w:pPr>
              <w:spacing w:line="240" w:lineRule="auto"/>
              <w:jc w:val="left"/>
            </w:pPr>
            <w:r>
              <w:rPr>
                <w:rFonts w:ascii="宋体" w:hAnsi="宋体" w:eastAsia="宋体" w:cs="宋体"/>
                <w:b w:val="0"/>
              </w:rPr>
              <w:t>603061</w:t>
            </w:r>
          </w:p>
        </w:tc>
        <w:tc>
          <w:tcPr>
            <w:tcW w:w="0" w:type="dxa"/>
            <w:vAlign w:val="center"/>
          </w:tcPr>
          <w:p w14:paraId="0AA21AF2">
            <w:pPr>
              <w:spacing w:line="240" w:lineRule="auto"/>
              <w:jc w:val="left"/>
            </w:pPr>
            <w:r>
              <w:rPr>
                <w:rFonts w:ascii="宋体" w:hAnsi="宋体" w:eastAsia="宋体" w:cs="宋体"/>
                <w:b w:val="0"/>
              </w:rPr>
              <w:t>金海通</w:t>
            </w:r>
          </w:p>
        </w:tc>
        <w:tc>
          <w:tcPr>
            <w:tcW w:w="0" w:type="dxa"/>
            <w:vAlign w:val="center"/>
          </w:tcPr>
          <w:p w14:paraId="3D8C2C14">
            <w:pPr>
              <w:spacing w:line="240" w:lineRule="auto"/>
              <w:jc w:val="right"/>
            </w:pPr>
            <w:r>
              <w:rPr>
                <w:rFonts w:ascii="宋体" w:hAnsi="宋体" w:eastAsia="宋体" w:cs="宋体"/>
                <w:b w:val="0"/>
              </w:rPr>
              <w:t>9,389,500.80</w:t>
            </w:r>
          </w:p>
        </w:tc>
        <w:tc>
          <w:tcPr>
            <w:tcW w:w="0" w:type="dxa"/>
            <w:vAlign w:val="center"/>
          </w:tcPr>
          <w:p w14:paraId="7C9DE39E">
            <w:pPr>
              <w:spacing w:line="240" w:lineRule="auto"/>
              <w:jc w:val="right"/>
            </w:pPr>
            <w:r>
              <w:rPr>
                <w:rFonts w:ascii="宋体" w:hAnsi="宋体" w:eastAsia="宋体" w:cs="宋体"/>
                <w:b w:val="0"/>
              </w:rPr>
              <w:t>15.87</w:t>
            </w:r>
          </w:p>
        </w:tc>
      </w:tr>
      <w:tr w14:paraId="391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62DB5B">
            <w:pPr>
              <w:spacing w:line="240" w:lineRule="auto"/>
              <w:jc w:val="center"/>
            </w:pPr>
            <w:r>
              <w:rPr>
                <w:rFonts w:ascii="宋体" w:hAnsi="宋体" w:eastAsia="宋体" w:cs="宋体"/>
                <w:b w:val="0"/>
              </w:rPr>
              <w:t>20</w:t>
            </w:r>
          </w:p>
        </w:tc>
        <w:tc>
          <w:tcPr>
            <w:tcW w:w="0" w:type="dxa"/>
            <w:vAlign w:val="center"/>
          </w:tcPr>
          <w:p w14:paraId="7D1E5821">
            <w:pPr>
              <w:spacing w:line="240" w:lineRule="auto"/>
              <w:jc w:val="left"/>
            </w:pPr>
            <w:r>
              <w:rPr>
                <w:rFonts w:ascii="宋体" w:hAnsi="宋体" w:eastAsia="宋体" w:cs="宋体"/>
                <w:b w:val="0"/>
              </w:rPr>
              <w:t>688392</w:t>
            </w:r>
          </w:p>
        </w:tc>
        <w:tc>
          <w:tcPr>
            <w:tcW w:w="0" w:type="dxa"/>
            <w:vAlign w:val="center"/>
          </w:tcPr>
          <w:p w14:paraId="409E0373">
            <w:pPr>
              <w:spacing w:line="240" w:lineRule="auto"/>
              <w:jc w:val="left"/>
            </w:pPr>
            <w:r>
              <w:rPr>
                <w:rFonts w:ascii="宋体" w:hAnsi="宋体" w:eastAsia="宋体" w:cs="宋体"/>
                <w:b w:val="0"/>
              </w:rPr>
              <w:t>骄成超声</w:t>
            </w:r>
          </w:p>
        </w:tc>
        <w:tc>
          <w:tcPr>
            <w:tcW w:w="0" w:type="dxa"/>
            <w:vAlign w:val="center"/>
          </w:tcPr>
          <w:p w14:paraId="59917AC5">
            <w:pPr>
              <w:spacing w:line="240" w:lineRule="auto"/>
              <w:jc w:val="right"/>
            </w:pPr>
            <w:r>
              <w:rPr>
                <w:rFonts w:ascii="宋体" w:hAnsi="宋体" w:eastAsia="宋体" w:cs="宋体"/>
                <w:b w:val="0"/>
              </w:rPr>
              <w:t>8,644,097.98</w:t>
            </w:r>
          </w:p>
        </w:tc>
        <w:tc>
          <w:tcPr>
            <w:tcW w:w="0" w:type="dxa"/>
            <w:vAlign w:val="center"/>
          </w:tcPr>
          <w:p w14:paraId="2D4D4D2F">
            <w:pPr>
              <w:spacing w:line="240" w:lineRule="auto"/>
              <w:jc w:val="right"/>
            </w:pPr>
            <w:r>
              <w:rPr>
                <w:rFonts w:ascii="宋体" w:hAnsi="宋体" w:eastAsia="宋体" w:cs="宋体"/>
                <w:b w:val="0"/>
              </w:rPr>
              <w:t>14.61</w:t>
            </w:r>
          </w:p>
        </w:tc>
      </w:tr>
      <w:tr w14:paraId="33A4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59D3C0">
            <w:pPr>
              <w:spacing w:line="240" w:lineRule="auto"/>
              <w:jc w:val="center"/>
            </w:pPr>
            <w:r>
              <w:rPr>
                <w:rFonts w:ascii="宋体" w:hAnsi="宋体" w:eastAsia="宋体" w:cs="宋体"/>
                <w:b w:val="0"/>
              </w:rPr>
              <w:t>21</w:t>
            </w:r>
          </w:p>
        </w:tc>
        <w:tc>
          <w:tcPr>
            <w:tcW w:w="0" w:type="dxa"/>
            <w:vAlign w:val="center"/>
          </w:tcPr>
          <w:p w14:paraId="6F38BECE">
            <w:pPr>
              <w:spacing w:line="240" w:lineRule="auto"/>
              <w:jc w:val="left"/>
            </w:pPr>
            <w:r>
              <w:rPr>
                <w:rFonts w:ascii="宋体" w:hAnsi="宋体" w:eastAsia="宋体" w:cs="宋体"/>
                <w:b w:val="0"/>
              </w:rPr>
              <w:t>688785</w:t>
            </w:r>
          </w:p>
        </w:tc>
        <w:tc>
          <w:tcPr>
            <w:tcW w:w="0" w:type="dxa"/>
            <w:vAlign w:val="center"/>
          </w:tcPr>
          <w:p w14:paraId="0C54E1AA">
            <w:pPr>
              <w:spacing w:line="240" w:lineRule="auto"/>
              <w:jc w:val="left"/>
            </w:pPr>
            <w:r>
              <w:rPr>
                <w:rFonts w:ascii="宋体" w:hAnsi="宋体" w:eastAsia="宋体" w:cs="宋体"/>
                <w:b w:val="0"/>
              </w:rPr>
              <w:t>恒运昌</w:t>
            </w:r>
          </w:p>
        </w:tc>
        <w:tc>
          <w:tcPr>
            <w:tcW w:w="0" w:type="dxa"/>
            <w:vAlign w:val="center"/>
          </w:tcPr>
          <w:p w14:paraId="2D2B439B">
            <w:pPr>
              <w:spacing w:line="240" w:lineRule="auto"/>
              <w:jc w:val="right"/>
            </w:pPr>
            <w:r>
              <w:rPr>
                <w:rFonts w:ascii="宋体" w:hAnsi="宋体" w:eastAsia="宋体" w:cs="宋体"/>
                <w:b w:val="0"/>
              </w:rPr>
              <w:t>8,387,027.07</w:t>
            </w:r>
          </w:p>
        </w:tc>
        <w:tc>
          <w:tcPr>
            <w:tcW w:w="0" w:type="dxa"/>
            <w:vAlign w:val="center"/>
          </w:tcPr>
          <w:p w14:paraId="4328C6E3">
            <w:pPr>
              <w:spacing w:line="240" w:lineRule="auto"/>
              <w:jc w:val="right"/>
            </w:pPr>
            <w:r>
              <w:rPr>
                <w:rFonts w:ascii="宋体" w:hAnsi="宋体" w:eastAsia="宋体" w:cs="宋体"/>
                <w:b w:val="0"/>
              </w:rPr>
              <w:t>14.17</w:t>
            </w:r>
          </w:p>
        </w:tc>
      </w:tr>
      <w:tr w14:paraId="7433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C4CAE84">
            <w:pPr>
              <w:spacing w:line="240" w:lineRule="auto"/>
              <w:jc w:val="center"/>
            </w:pPr>
            <w:r>
              <w:rPr>
                <w:rFonts w:ascii="宋体" w:hAnsi="宋体" w:eastAsia="宋体" w:cs="宋体"/>
                <w:b w:val="0"/>
              </w:rPr>
              <w:t>22</w:t>
            </w:r>
          </w:p>
        </w:tc>
        <w:tc>
          <w:tcPr>
            <w:tcW w:w="0" w:type="dxa"/>
            <w:vAlign w:val="center"/>
          </w:tcPr>
          <w:p w14:paraId="0E7BAF2F">
            <w:pPr>
              <w:spacing w:line="240" w:lineRule="auto"/>
              <w:jc w:val="left"/>
            </w:pPr>
            <w:r>
              <w:rPr>
                <w:rFonts w:ascii="宋体" w:hAnsi="宋体" w:eastAsia="宋体" w:cs="宋体"/>
                <w:b w:val="0"/>
              </w:rPr>
              <w:t>688981</w:t>
            </w:r>
          </w:p>
        </w:tc>
        <w:tc>
          <w:tcPr>
            <w:tcW w:w="0" w:type="dxa"/>
            <w:vAlign w:val="center"/>
          </w:tcPr>
          <w:p w14:paraId="5C3EA7D7">
            <w:pPr>
              <w:spacing w:line="240" w:lineRule="auto"/>
              <w:jc w:val="left"/>
            </w:pPr>
            <w:r>
              <w:rPr>
                <w:rFonts w:ascii="宋体" w:hAnsi="宋体" w:eastAsia="宋体" w:cs="宋体"/>
                <w:b w:val="0"/>
              </w:rPr>
              <w:t>中芯国际</w:t>
            </w:r>
          </w:p>
        </w:tc>
        <w:tc>
          <w:tcPr>
            <w:tcW w:w="0" w:type="dxa"/>
            <w:vAlign w:val="center"/>
          </w:tcPr>
          <w:p w14:paraId="366114ED">
            <w:pPr>
              <w:spacing w:line="240" w:lineRule="auto"/>
              <w:jc w:val="right"/>
            </w:pPr>
            <w:r>
              <w:rPr>
                <w:rFonts w:ascii="宋体" w:hAnsi="宋体" w:eastAsia="宋体" w:cs="宋体"/>
                <w:b w:val="0"/>
              </w:rPr>
              <w:t>8,357,294.31</w:t>
            </w:r>
          </w:p>
        </w:tc>
        <w:tc>
          <w:tcPr>
            <w:tcW w:w="0" w:type="dxa"/>
            <w:vAlign w:val="center"/>
          </w:tcPr>
          <w:p w14:paraId="6B0214C3">
            <w:pPr>
              <w:spacing w:line="240" w:lineRule="auto"/>
              <w:jc w:val="right"/>
            </w:pPr>
            <w:r>
              <w:rPr>
                <w:rFonts w:ascii="宋体" w:hAnsi="宋体" w:eastAsia="宋体" w:cs="宋体"/>
                <w:b w:val="0"/>
              </w:rPr>
              <w:t>14.12</w:t>
            </w:r>
          </w:p>
        </w:tc>
      </w:tr>
      <w:tr w14:paraId="0C07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C72222C">
            <w:pPr>
              <w:spacing w:line="240" w:lineRule="auto"/>
              <w:jc w:val="center"/>
            </w:pPr>
            <w:r>
              <w:rPr>
                <w:rFonts w:ascii="宋体" w:hAnsi="宋体" w:eastAsia="宋体" w:cs="宋体"/>
                <w:b w:val="0"/>
              </w:rPr>
              <w:t>23</w:t>
            </w:r>
          </w:p>
        </w:tc>
        <w:tc>
          <w:tcPr>
            <w:tcW w:w="0" w:type="dxa"/>
            <w:vAlign w:val="center"/>
          </w:tcPr>
          <w:p w14:paraId="49F4D4A9">
            <w:pPr>
              <w:spacing w:line="240" w:lineRule="auto"/>
              <w:jc w:val="left"/>
            </w:pPr>
            <w:r>
              <w:rPr>
                <w:rFonts w:ascii="宋体" w:hAnsi="宋体" w:eastAsia="宋体" w:cs="宋体"/>
                <w:b w:val="0"/>
              </w:rPr>
              <w:t>688120</w:t>
            </w:r>
          </w:p>
        </w:tc>
        <w:tc>
          <w:tcPr>
            <w:tcW w:w="0" w:type="dxa"/>
            <w:vAlign w:val="center"/>
          </w:tcPr>
          <w:p w14:paraId="17A9EF39">
            <w:pPr>
              <w:spacing w:line="240" w:lineRule="auto"/>
              <w:jc w:val="left"/>
            </w:pPr>
            <w:r>
              <w:rPr>
                <w:rFonts w:ascii="宋体" w:hAnsi="宋体" w:eastAsia="宋体" w:cs="宋体"/>
                <w:b w:val="0"/>
              </w:rPr>
              <w:t>华海清科</w:t>
            </w:r>
          </w:p>
        </w:tc>
        <w:tc>
          <w:tcPr>
            <w:tcW w:w="0" w:type="dxa"/>
            <w:vAlign w:val="center"/>
          </w:tcPr>
          <w:p w14:paraId="777BC64D">
            <w:pPr>
              <w:spacing w:line="240" w:lineRule="auto"/>
              <w:jc w:val="right"/>
            </w:pPr>
            <w:r>
              <w:rPr>
                <w:rFonts w:ascii="宋体" w:hAnsi="宋体" w:eastAsia="宋体" w:cs="宋体"/>
                <w:b w:val="0"/>
              </w:rPr>
              <w:t>5,717,306.48</w:t>
            </w:r>
          </w:p>
        </w:tc>
        <w:tc>
          <w:tcPr>
            <w:tcW w:w="0" w:type="dxa"/>
            <w:vAlign w:val="center"/>
          </w:tcPr>
          <w:p w14:paraId="7B35E664">
            <w:pPr>
              <w:spacing w:line="240" w:lineRule="auto"/>
              <w:jc w:val="right"/>
            </w:pPr>
            <w:r>
              <w:rPr>
                <w:rFonts w:ascii="宋体" w:hAnsi="宋体" w:eastAsia="宋体" w:cs="宋体"/>
                <w:b w:val="0"/>
              </w:rPr>
              <w:t>9.66</w:t>
            </w:r>
          </w:p>
        </w:tc>
      </w:tr>
      <w:tr w14:paraId="10E9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30445F1">
            <w:pPr>
              <w:spacing w:line="240" w:lineRule="auto"/>
              <w:jc w:val="center"/>
            </w:pPr>
            <w:r>
              <w:rPr>
                <w:rFonts w:ascii="宋体" w:hAnsi="宋体" w:eastAsia="宋体" w:cs="宋体"/>
                <w:b w:val="0"/>
              </w:rPr>
              <w:t>24</w:t>
            </w:r>
          </w:p>
        </w:tc>
        <w:tc>
          <w:tcPr>
            <w:tcW w:w="0" w:type="dxa"/>
            <w:vAlign w:val="center"/>
          </w:tcPr>
          <w:p w14:paraId="5E92E33D">
            <w:pPr>
              <w:spacing w:line="240" w:lineRule="auto"/>
              <w:jc w:val="left"/>
            </w:pPr>
            <w:r>
              <w:rPr>
                <w:rFonts w:ascii="宋体" w:hAnsi="宋体" w:eastAsia="宋体" w:cs="宋体"/>
                <w:b w:val="0"/>
              </w:rPr>
              <w:t>688172</w:t>
            </w:r>
          </w:p>
        </w:tc>
        <w:tc>
          <w:tcPr>
            <w:tcW w:w="0" w:type="dxa"/>
            <w:vAlign w:val="center"/>
          </w:tcPr>
          <w:p w14:paraId="05C06A99">
            <w:pPr>
              <w:spacing w:line="240" w:lineRule="auto"/>
              <w:jc w:val="left"/>
            </w:pPr>
            <w:r>
              <w:rPr>
                <w:rFonts w:ascii="宋体" w:hAnsi="宋体" w:eastAsia="宋体" w:cs="宋体"/>
                <w:b w:val="0"/>
              </w:rPr>
              <w:t>燕东微</w:t>
            </w:r>
          </w:p>
        </w:tc>
        <w:tc>
          <w:tcPr>
            <w:tcW w:w="0" w:type="dxa"/>
            <w:vAlign w:val="center"/>
          </w:tcPr>
          <w:p w14:paraId="38CEF6EB">
            <w:pPr>
              <w:spacing w:line="240" w:lineRule="auto"/>
              <w:jc w:val="right"/>
            </w:pPr>
            <w:r>
              <w:rPr>
                <w:rFonts w:ascii="宋体" w:hAnsi="宋体" w:eastAsia="宋体" w:cs="宋体"/>
                <w:b w:val="0"/>
              </w:rPr>
              <w:t>4,727,132.45</w:t>
            </w:r>
          </w:p>
        </w:tc>
        <w:tc>
          <w:tcPr>
            <w:tcW w:w="0" w:type="dxa"/>
            <w:vAlign w:val="center"/>
          </w:tcPr>
          <w:p w14:paraId="37476080">
            <w:pPr>
              <w:spacing w:line="240" w:lineRule="auto"/>
              <w:jc w:val="right"/>
            </w:pPr>
            <w:r>
              <w:rPr>
                <w:rFonts w:ascii="宋体" w:hAnsi="宋体" w:eastAsia="宋体" w:cs="宋体"/>
                <w:b w:val="0"/>
              </w:rPr>
              <w:t>7.99</w:t>
            </w:r>
          </w:p>
        </w:tc>
      </w:tr>
      <w:tr w14:paraId="7DCB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817D6C">
            <w:pPr>
              <w:spacing w:line="240" w:lineRule="auto"/>
              <w:jc w:val="center"/>
            </w:pPr>
            <w:r>
              <w:rPr>
                <w:rFonts w:ascii="宋体" w:hAnsi="宋体" w:eastAsia="宋体" w:cs="宋体"/>
                <w:b w:val="0"/>
              </w:rPr>
              <w:t>25</w:t>
            </w:r>
          </w:p>
        </w:tc>
        <w:tc>
          <w:tcPr>
            <w:tcW w:w="0" w:type="dxa"/>
            <w:vAlign w:val="center"/>
          </w:tcPr>
          <w:p w14:paraId="32D976F6">
            <w:pPr>
              <w:spacing w:line="240" w:lineRule="auto"/>
              <w:jc w:val="left"/>
            </w:pPr>
            <w:r>
              <w:rPr>
                <w:rFonts w:ascii="宋体" w:hAnsi="宋体" w:eastAsia="宋体" w:cs="宋体"/>
                <w:b w:val="0"/>
              </w:rPr>
              <w:t>688596</w:t>
            </w:r>
          </w:p>
        </w:tc>
        <w:tc>
          <w:tcPr>
            <w:tcW w:w="0" w:type="dxa"/>
            <w:vAlign w:val="center"/>
          </w:tcPr>
          <w:p w14:paraId="6AF40AEB">
            <w:pPr>
              <w:spacing w:line="240" w:lineRule="auto"/>
              <w:jc w:val="left"/>
            </w:pPr>
            <w:r>
              <w:rPr>
                <w:rFonts w:ascii="宋体" w:hAnsi="宋体" w:eastAsia="宋体" w:cs="宋体"/>
                <w:b w:val="0"/>
              </w:rPr>
              <w:t>正帆科技</w:t>
            </w:r>
          </w:p>
        </w:tc>
        <w:tc>
          <w:tcPr>
            <w:tcW w:w="0" w:type="dxa"/>
            <w:vAlign w:val="center"/>
          </w:tcPr>
          <w:p w14:paraId="6312E490">
            <w:pPr>
              <w:spacing w:line="240" w:lineRule="auto"/>
              <w:jc w:val="right"/>
            </w:pPr>
            <w:r>
              <w:rPr>
                <w:rFonts w:ascii="宋体" w:hAnsi="宋体" w:eastAsia="宋体" w:cs="宋体"/>
                <w:b w:val="0"/>
              </w:rPr>
              <w:t>4,719,013.36</w:t>
            </w:r>
          </w:p>
        </w:tc>
        <w:tc>
          <w:tcPr>
            <w:tcW w:w="0" w:type="dxa"/>
            <w:vAlign w:val="center"/>
          </w:tcPr>
          <w:p w14:paraId="2746EE9A">
            <w:pPr>
              <w:spacing w:line="240" w:lineRule="auto"/>
              <w:jc w:val="right"/>
            </w:pPr>
            <w:r>
              <w:rPr>
                <w:rFonts w:ascii="宋体" w:hAnsi="宋体" w:eastAsia="宋体" w:cs="宋体"/>
                <w:b w:val="0"/>
              </w:rPr>
              <w:t>7.97</w:t>
            </w:r>
          </w:p>
        </w:tc>
      </w:tr>
      <w:tr w14:paraId="76D3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28E47E">
            <w:pPr>
              <w:spacing w:line="240" w:lineRule="auto"/>
              <w:jc w:val="center"/>
            </w:pPr>
            <w:r>
              <w:rPr>
                <w:rFonts w:ascii="宋体" w:hAnsi="宋体" w:eastAsia="宋体" w:cs="宋体"/>
                <w:b w:val="0"/>
              </w:rPr>
              <w:t>26</w:t>
            </w:r>
          </w:p>
        </w:tc>
        <w:tc>
          <w:tcPr>
            <w:tcW w:w="0" w:type="dxa"/>
            <w:vAlign w:val="center"/>
          </w:tcPr>
          <w:p w14:paraId="2B3BA4A3">
            <w:pPr>
              <w:spacing w:line="240" w:lineRule="auto"/>
              <w:jc w:val="left"/>
            </w:pPr>
            <w:r>
              <w:rPr>
                <w:rFonts w:ascii="宋体" w:hAnsi="宋体" w:eastAsia="宋体" w:cs="宋体"/>
                <w:b w:val="0"/>
              </w:rPr>
              <w:t>301629</w:t>
            </w:r>
          </w:p>
        </w:tc>
        <w:tc>
          <w:tcPr>
            <w:tcW w:w="0" w:type="dxa"/>
            <w:vAlign w:val="center"/>
          </w:tcPr>
          <w:p w14:paraId="23CB201C">
            <w:pPr>
              <w:spacing w:line="240" w:lineRule="auto"/>
              <w:jc w:val="left"/>
            </w:pPr>
            <w:r>
              <w:rPr>
                <w:rFonts w:ascii="宋体" w:hAnsi="宋体" w:eastAsia="宋体" w:cs="宋体"/>
                <w:b w:val="0"/>
              </w:rPr>
              <w:t>矽电股份</w:t>
            </w:r>
          </w:p>
        </w:tc>
        <w:tc>
          <w:tcPr>
            <w:tcW w:w="0" w:type="dxa"/>
            <w:vAlign w:val="center"/>
          </w:tcPr>
          <w:p w14:paraId="2EB59049">
            <w:pPr>
              <w:spacing w:line="240" w:lineRule="auto"/>
              <w:jc w:val="right"/>
            </w:pPr>
            <w:r>
              <w:rPr>
                <w:rFonts w:ascii="宋体" w:hAnsi="宋体" w:eastAsia="宋体" w:cs="宋体"/>
                <w:b w:val="0"/>
              </w:rPr>
              <w:t>3,282,262.00</w:t>
            </w:r>
          </w:p>
        </w:tc>
        <w:tc>
          <w:tcPr>
            <w:tcW w:w="0" w:type="dxa"/>
            <w:vAlign w:val="center"/>
          </w:tcPr>
          <w:p w14:paraId="360F8C47">
            <w:pPr>
              <w:spacing w:line="240" w:lineRule="auto"/>
              <w:jc w:val="right"/>
            </w:pPr>
            <w:r>
              <w:rPr>
                <w:rFonts w:ascii="宋体" w:hAnsi="宋体" w:eastAsia="宋体" w:cs="宋体"/>
                <w:b w:val="0"/>
              </w:rPr>
              <w:t>5.55</w:t>
            </w:r>
          </w:p>
        </w:tc>
      </w:tr>
      <w:tr w14:paraId="1203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5B93B9">
            <w:pPr>
              <w:spacing w:line="240" w:lineRule="auto"/>
              <w:jc w:val="center"/>
            </w:pPr>
            <w:r>
              <w:rPr>
                <w:rFonts w:ascii="宋体" w:hAnsi="宋体" w:eastAsia="宋体" w:cs="宋体"/>
                <w:b w:val="0"/>
              </w:rPr>
              <w:t>27</w:t>
            </w:r>
          </w:p>
        </w:tc>
        <w:tc>
          <w:tcPr>
            <w:tcW w:w="0" w:type="dxa"/>
            <w:vAlign w:val="center"/>
          </w:tcPr>
          <w:p w14:paraId="41D08D46">
            <w:pPr>
              <w:spacing w:line="240" w:lineRule="auto"/>
              <w:jc w:val="left"/>
            </w:pPr>
            <w:r>
              <w:rPr>
                <w:rFonts w:ascii="宋体" w:hAnsi="宋体" w:eastAsia="宋体" w:cs="宋体"/>
                <w:b w:val="0"/>
              </w:rPr>
              <w:t>301392</w:t>
            </w:r>
          </w:p>
        </w:tc>
        <w:tc>
          <w:tcPr>
            <w:tcW w:w="0" w:type="dxa"/>
            <w:vAlign w:val="center"/>
          </w:tcPr>
          <w:p w14:paraId="1E9FB23F">
            <w:pPr>
              <w:spacing w:line="240" w:lineRule="auto"/>
              <w:jc w:val="left"/>
            </w:pPr>
            <w:r>
              <w:rPr>
                <w:rFonts w:ascii="宋体" w:hAnsi="宋体" w:eastAsia="宋体" w:cs="宋体"/>
                <w:b w:val="0"/>
              </w:rPr>
              <w:t>汇成真空</w:t>
            </w:r>
          </w:p>
        </w:tc>
        <w:tc>
          <w:tcPr>
            <w:tcW w:w="0" w:type="dxa"/>
            <w:vAlign w:val="center"/>
          </w:tcPr>
          <w:p w14:paraId="0DC40B78">
            <w:pPr>
              <w:spacing w:line="240" w:lineRule="auto"/>
              <w:jc w:val="right"/>
            </w:pPr>
            <w:r>
              <w:rPr>
                <w:rFonts w:ascii="宋体" w:hAnsi="宋体" w:eastAsia="宋体" w:cs="宋体"/>
                <w:b w:val="0"/>
              </w:rPr>
              <w:t>2,913,733.70</w:t>
            </w:r>
          </w:p>
        </w:tc>
        <w:tc>
          <w:tcPr>
            <w:tcW w:w="0" w:type="dxa"/>
            <w:vAlign w:val="center"/>
          </w:tcPr>
          <w:p w14:paraId="1F578312">
            <w:pPr>
              <w:spacing w:line="240" w:lineRule="auto"/>
              <w:jc w:val="right"/>
            </w:pPr>
            <w:r>
              <w:rPr>
                <w:rFonts w:ascii="宋体" w:hAnsi="宋体" w:eastAsia="宋体" w:cs="宋体"/>
                <w:b w:val="0"/>
              </w:rPr>
              <w:t>4.92</w:t>
            </w:r>
          </w:p>
        </w:tc>
      </w:tr>
      <w:tr w14:paraId="70EB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14A75B">
            <w:pPr>
              <w:spacing w:line="240" w:lineRule="auto"/>
              <w:jc w:val="center"/>
            </w:pPr>
            <w:r>
              <w:rPr>
                <w:rFonts w:ascii="宋体" w:hAnsi="宋体" w:eastAsia="宋体" w:cs="宋体"/>
                <w:b w:val="0"/>
              </w:rPr>
              <w:t>28</w:t>
            </w:r>
          </w:p>
        </w:tc>
        <w:tc>
          <w:tcPr>
            <w:tcW w:w="0" w:type="dxa"/>
            <w:vAlign w:val="center"/>
          </w:tcPr>
          <w:p w14:paraId="6D1C8DDC">
            <w:pPr>
              <w:spacing w:line="240" w:lineRule="auto"/>
              <w:jc w:val="left"/>
            </w:pPr>
            <w:r>
              <w:rPr>
                <w:rFonts w:ascii="宋体" w:hAnsi="宋体" w:eastAsia="宋体" w:cs="宋体"/>
                <w:b w:val="0"/>
              </w:rPr>
              <w:t>688720</w:t>
            </w:r>
          </w:p>
        </w:tc>
        <w:tc>
          <w:tcPr>
            <w:tcW w:w="0" w:type="dxa"/>
            <w:vAlign w:val="center"/>
          </w:tcPr>
          <w:p w14:paraId="236DF483">
            <w:pPr>
              <w:spacing w:line="240" w:lineRule="auto"/>
              <w:jc w:val="left"/>
            </w:pPr>
            <w:r>
              <w:rPr>
                <w:rFonts w:ascii="宋体" w:hAnsi="宋体" w:eastAsia="宋体" w:cs="宋体"/>
                <w:b w:val="0"/>
              </w:rPr>
              <w:t>艾森股份</w:t>
            </w:r>
          </w:p>
        </w:tc>
        <w:tc>
          <w:tcPr>
            <w:tcW w:w="0" w:type="dxa"/>
            <w:vAlign w:val="center"/>
          </w:tcPr>
          <w:p w14:paraId="2BDC67E9">
            <w:pPr>
              <w:spacing w:line="240" w:lineRule="auto"/>
              <w:jc w:val="right"/>
            </w:pPr>
            <w:r>
              <w:rPr>
                <w:rFonts w:ascii="宋体" w:hAnsi="宋体" w:eastAsia="宋体" w:cs="宋体"/>
                <w:b w:val="0"/>
              </w:rPr>
              <w:t>2,652,588.77</w:t>
            </w:r>
          </w:p>
        </w:tc>
        <w:tc>
          <w:tcPr>
            <w:tcW w:w="0" w:type="dxa"/>
            <w:vAlign w:val="center"/>
          </w:tcPr>
          <w:p w14:paraId="71F211BF">
            <w:pPr>
              <w:spacing w:line="240" w:lineRule="auto"/>
              <w:jc w:val="right"/>
            </w:pPr>
            <w:r>
              <w:rPr>
                <w:rFonts w:ascii="宋体" w:hAnsi="宋体" w:eastAsia="宋体" w:cs="宋体"/>
                <w:b w:val="0"/>
              </w:rPr>
              <w:t>4.48</w:t>
            </w:r>
          </w:p>
        </w:tc>
      </w:tr>
      <w:tr w14:paraId="075FE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E7460A">
            <w:pPr>
              <w:spacing w:line="240" w:lineRule="auto"/>
              <w:jc w:val="center"/>
            </w:pPr>
            <w:r>
              <w:rPr>
                <w:rFonts w:ascii="宋体" w:hAnsi="宋体" w:eastAsia="宋体" w:cs="宋体"/>
                <w:b w:val="0"/>
              </w:rPr>
              <w:t>29</w:t>
            </w:r>
          </w:p>
        </w:tc>
        <w:tc>
          <w:tcPr>
            <w:tcW w:w="0" w:type="dxa"/>
            <w:vAlign w:val="center"/>
          </w:tcPr>
          <w:p w14:paraId="6C8EA172">
            <w:pPr>
              <w:spacing w:line="240" w:lineRule="auto"/>
              <w:jc w:val="left"/>
            </w:pPr>
            <w:r>
              <w:rPr>
                <w:rFonts w:ascii="宋体" w:hAnsi="宋体" w:eastAsia="宋体" w:cs="宋体"/>
                <w:b w:val="0"/>
              </w:rPr>
              <w:t>688409</w:t>
            </w:r>
          </w:p>
        </w:tc>
        <w:tc>
          <w:tcPr>
            <w:tcW w:w="0" w:type="dxa"/>
            <w:vAlign w:val="center"/>
          </w:tcPr>
          <w:p w14:paraId="20972975">
            <w:pPr>
              <w:spacing w:line="240" w:lineRule="auto"/>
              <w:jc w:val="left"/>
            </w:pPr>
            <w:r>
              <w:rPr>
                <w:rFonts w:ascii="宋体" w:hAnsi="宋体" w:eastAsia="宋体" w:cs="宋体"/>
                <w:b w:val="0"/>
              </w:rPr>
              <w:t>富创精密</w:t>
            </w:r>
          </w:p>
        </w:tc>
        <w:tc>
          <w:tcPr>
            <w:tcW w:w="0" w:type="dxa"/>
            <w:vAlign w:val="center"/>
          </w:tcPr>
          <w:p w14:paraId="7C0A41B5">
            <w:pPr>
              <w:spacing w:line="240" w:lineRule="auto"/>
              <w:jc w:val="right"/>
            </w:pPr>
            <w:r>
              <w:rPr>
                <w:rFonts w:ascii="宋体" w:hAnsi="宋体" w:eastAsia="宋体" w:cs="宋体"/>
                <w:b w:val="0"/>
              </w:rPr>
              <w:t>1,623,749.56</w:t>
            </w:r>
          </w:p>
        </w:tc>
        <w:tc>
          <w:tcPr>
            <w:tcW w:w="0" w:type="dxa"/>
            <w:vAlign w:val="center"/>
          </w:tcPr>
          <w:p w14:paraId="6D87055A">
            <w:pPr>
              <w:spacing w:line="240" w:lineRule="auto"/>
              <w:jc w:val="right"/>
            </w:pPr>
            <w:r>
              <w:rPr>
                <w:rFonts w:ascii="宋体" w:hAnsi="宋体" w:eastAsia="宋体" w:cs="宋体"/>
                <w:b w:val="0"/>
              </w:rPr>
              <w:t>2.74</w:t>
            </w:r>
          </w:p>
        </w:tc>
      </w:tr>
    </w:tbl>
    <w:p w14:paraId="637258EF">
      <w:r>
        <w:rPr>
          <w:rFonts w:ascii="宋体" w:hAnsi="宋体" w:eastAsia="宋体" w:cs="宋体"/>
          <w:b w:val="0"/>
        </w:rPr>
        <w:t>注："卖出"包括二级市场上主动的卖出、换股、要约收购、发行人回购及行权等减少的股票。"卖出金额"均按卖出成交金额（成交单价乘以成交数量）填列，不考虑相关交易费用。</w:t>
      </w:r>
    </w:p>
    <w:p w14:paraId="5598211B"/>
    <w:p w14:paraId="53DBDA49">
      <w:pPr>
        <w:pStyle w:val="58"/>
      </w:pPr>
      <w:r>
        <w:rPr>
          <w:rFonts w:ascii="宋体" w:hAnsi="宋体" w:eastAsia="宋体" w:cs="宋体"/>
          <w:b/>
        </w:rPr>
        <w:t>7.4.3 买入股票的成本总额及卖出股票的收入总额</w:t>
      </w:r>
    </w:p>
    <w:p w14:paraId="19C1CD8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AFD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14:paraId="0966677B">
            <w:pPr>
              <w:spacing w:line="240" w:lineRule="auto"/>
              <w:jc w:val="left"/>
            </w:pPr>
            <w:r>
              <w:rPr>
                <w:rFonts w:ascii="宋体" w:hAnsi="宋体" w:eastAsia="宋体" w:cs="宋体"/>
                <w:b w:val="0"/>
              </w:rPr>
              <w:t>买入股票成本（成交）总额</w:t>
            </w:r>
          </w:p>
        </w:tc>
        <w:tc>
          <w:tcPr>
            <w:tcW w:w="2308" w:type="pct"/>
            <w:vAlign w:val="center"/>
          </w:tcPr>
          <w:p w14:paraId="3F210A8C">
            <w:pPr>
              <w:spacing w:line="240" w:lineRule="auto"/>
              <w:jc w:val="right"/>
            </w:pPr>
            <w:r>
              <w:rPr>
                <w:rFonts w:ascii="宋体" w:hAnsi="宋体" w:eastAsia="宋体" w:cs="宋体"/>
                <w:b w:val="0"/>
              </w:rPr>
              <w:t>1,036,600,906.80</w:t>
            </w:r>
          </w:p>
        </w:tc>
      </w:tr>
      <w:tr w14:paraId="4C36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DAFAFF">
            <w:pPr>
              <w:spacing w:line="240" w:lineRule="auto"/>
              <w:jc w:val="left"/>
            </w:pPr>
            <w:r>
              <w:rPr>
                <w:rFonts w:ascii="宋体" w:hAnsi="宋体" w:eastAsia="宋体" w:cs="宋体"/>
                <w:b w:val="0"/>
              </w:rPr>
              <w:t>卖出股票收入（成交）总额</w:t>
            </w:r>
          </w:p>
        </w:tc>
        <w:tc>
          <w:tcPr>
            <w:tcW w:w="0" w:type="dxa"/>
            <w:vAlign w:val="center"/>
          </w:tcPr>
          <w:p w14:paraId="1F1CE35B">
            <w:pPr>
              <w:spacing w:line="240" w:lineRule="auto"/>
              <w:jc w:val="right"/>
            </w:pPr>
            <w:r>
              <w:rPr>
                <w:rFonts w:ascii="宋体" w:hAnsi="宋体" w:eastAsia="宋体" w:cs="宋体"/>
                <w:b w:val="0"/>
              </w:rPr>
              <w:t>594,350,364.39</w:t>
            </w:r>
          </w:p>
        </w:tc>
      </w:tr>
    </w:tbl>
    <w:p w14:paraId="5D9A6439">
      <w:r>
        <w:rPr>
          <w:rFonts w:ascii="宋体" w:hAnsi="宋体" w:eastAsia="宋体" w:cs="宋体"/>
          <w:b w:val="0"/>
        </w:rPr>
        <w:t>注：本项 "买入股票成本"、 "卖出股票收入"均按买卖成交金额（成交单价乘以成交数量）填列，不考虑相关交易费用。</w:t>
      </w:r>
    </w:p>
    <w:p w14:paraId="50138B3F"/>
    <w:p w14:paraId="61198DEF">
      <w:pPr>
        <w:pStyle w:val="3"/>
        <w:jc w:val="left"/>
      </w:pPr>
      <w:bookmarkStart w:id="37" w:name="_Toc11713"/>
      <w:r>
        <w:rPr>
          <w:rFonts w:ascii="宋体" w:hAnsi="宋体" w:eastAsia="宋体" w:cs="宋体"/>
        </w:rPr>
        <w:t>7.5 期末按债券品种分类的债券投资组合</w:t>
      </w:r>
      <w:bookmarkEnd w:id="37"/>
    </w:p>
    <w:p w14:paraId="1E1E8C37">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2786"/>
        <w:gridCol w:w="1857"/>
        <w:gridCol w:w="2786"/>
      </w:tblGrid>
      <w:tr w14:paraId="6C9F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9" w:type="pct"/>
            <w:shd w:val="clear" w:color="auto" w:fill="D9D9D9"/>
            <w:vAlign w:val="center"/>
          </w:tcPr>
          <w:p w14:paraId="32E43B9D">
            <w:pPr>
              <w:spacing w:line="240" w:lineRule="auto"/>
              <w:jc w:val="center"/>
            </w:pPr>
            <w:r>
              <w:rPr>
                <w:rFonts w:ascii="宋体" w:hAnsi="宋体" w:eastAsia="宋体" w:cs="宋体"/>
                <w:b w:val="0"/>
              </w:rPr>
              <w:t>序号</w:t>
            </w:r>
          </w:p>
        </w:tc>
        <w:tc>
          <w:tcPr>
            <w:tcW w:w="1154" w:type="pct"/>
            <w:shd w:val="clear" w:color="auto" w:fill="D9D9D9"/>
            <w:vAlign w:val="center"/>
          </w:tcPr>
          <w:p w14:paraId="4C0EE47E">
            <w:pPr>
              <w:spacing w:line="240" w:lineRule="auto"/>
              <w:jc w:val="center"/>
            </w:pPr>
            <w:r>
              <w:rPr>
                <w:rFonts w:ascii="宋体" w:hAnsi="宋体" w:eastAsia="宋体" w:cs="宋体"/>
                <w:b w:val="0"/>
              </w:rPr>
              <w:t>债券品种</w:t>
            </w:r>
          </w:p>
        </w:tc>
        <w:tc>
          <w:tcPr>
            <w:tcW w:w="769" w:type="pct"/>
            <w:shd w:val="clear" w:color="auto" w:fill="D9D9D9"/>
            <w:vAlign w:val="center"/>
          </w:tcPr>
          <w:p w14:paraId="1949CC20">
            <w:pPr>
              <w:spacing w:line="240" w:lineRule="auto"/>
              <w:jc w:val="center"/>
            </w:pPr>
            <w:r>
              <w:rPr>
                <w:rFonts w:ascii="宋体" w:hAnsi="宋体" w:eastAsia="宋体" w:cs="宋体"/>
                <w:b w:val="0"/>
              </w:rPr>
              <w:t>公允价值</w:t>
            </w:r>
          </w:p>
        </w:tc>
        <w:tc>
          <w:tcPr>
            <w:tcW w:w="1154" w:type="pct"/>
            <w:shd w:val="clear" w:color="auto" w:fill="D9D9D9"/>
            <w:vAlign w:val="center"/>
          </w:tcPr>
          <w:p w14:paraId="20803F30">
            <w:pPr>
              <w:spacing w:line="240" w:lineRule="auto"/>
              <w:jc w:val="center"/>
            </w:pPr>
            <w:r>
              <w:rPr>
                <w:rFonts w:ascii="宋体" w:hAnsi="宋体" w:eastAsia="宋体" w:cs="宋体"/>
                <w:b w:val="0"/>
              </w:rPr>
              <w:t>占基金资产净值比例(%)</w:t>
            </w:r>
          </w:p>
        </w:tc>
      </w:tr>
      <w:tr w14:paraId="7AE5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3BFCCD">
            <w:pPr>
              <w:spacing w:line="240" w:lineRule="auto"/>
              <w:jc w:val="center"/>
            </w:pPr>
            <w:r>
              <w:rPr>
                <w:rFonts w:ascii="宋体" w:hAnsi="宋体" w:eastAsia="宋体" w:cs="宋体"/>
                <w:b w:val="0"/>
              </w:rPr>
              <w:t>1</w:t>
            </w:r>
          </w:p>
        </w:tc>
        <w:tc>
          <w:tcPr>
            <w:tcW w:w="0" w:type="dxa"/>
            <w:vAlign w:val="center"/>
          </w:tcPr>
          <w:p w14:paraId="02630FB6">
            <w:pPr>
              <w:spacing w:line="240" w:lineRule="auto"/>
              <w:jc w:val="left"/>
            </w:pPr>
            <w:r>
              <w:rPr>
                <w:rFonts w:ascii="宋体" w:hAnsi="宋体" w:eastAsia="宋体" w:cs="宋体"/>
                <w:b w:val="0"/>
              </w:rPr>
              <w:t>国家债券</w:t>
            </w:r>
          </w:p>
        </w:tc>
        <w:tc>
          <w:tcPr>
            <w:tcW w:w="0" w:type="dxa"/>
            <w:vAlign w:val="center"/>
          </w:tcPr>
          <w:p w14:paraId="1517C4A8">
            <w:pPr>
              <w:spacing w:line="240" w:lineRule="auto"/>
              <w:jc w:val="right"/>
            </w:pPr>
            <w:r>
              <w:rPr>
                <w:rFonts w:ascii="宋体" w:hAnsi="宋体" w:eastAsia="宋体" w:cs="宋体"/>
                <w:b w:val="0"/>
              </w:rPr>
              <w:t>19,547,131.37</w:t>
            </w:r>
          </w:p>
        </w:tc>
        <w:tc>
          <w:tcPr>
            <w:tcW w:w="0" w:type="dxa"/>
            <w:vAlign w:val="center"/>
          </w:tcPr>
          <w:p w14:paraId="03D311B8">
            <w:pPr>
              <w:spacing w:line="240" w:lineRule="auto"/>
              <w:jc w:val="right"/>
            </w:pPr>
            <w:r>
              <w:rPr>
                <w:rFonts w:ascii="宋体" w:hAnsi="宋体" w:eastAsia="宋体" w:cs="宋体"/>
                <w:b w:val="0"/>
              </w:rPr>
              <w:t>2.09</w:t>
            </w:r>
          </w:p>
        </w:tc>
      </w:tr>
      <w:tr w14:paraId="3699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92CB59">
            <w:pPr>
              <w:spacing w:line="240" w:lineRule="auto"/>
              <w:jc w:val="center"/>
            </w:pPr>
            <w:r>
              <w:rPr>
                <w:rFonts w:ascii="宋体" w:hAnsi="宋体" w:eastAsia="宋体" w:cs="宋体"/>
                <w:b w:val="0"/>
              </w:rPr>
              <w:t>2</w:t>
            </w:r>
          </w:p>
        </w:tc>
        <w:tc>
          <w:tcPr>
            <w:tcW w:w="0" w:type="dxa"/>
            <w:vAlign w:val="center"/>
          </w:tcPr>
          <w:p w14:paraId="16DFB11A">
            <w:pPr>
              <w:spacing w:line="240" w:lineRule="auto"/>
              <w:jc w:val="left"/>
            </w:pPr>
            <w:r>
              <w:rPr>
                <w:rFonts w:ascii="宋体" w:hAnsi="宋体" w:eastAsia="宋体" w:cs="宋体"/>
                <w:b w:val="0"/>
              </w:rPr>
              <w:t>央行票据</w:t>
            </w:r>
          </w:p>
        </w:tc>
        <w:tc>
          <w:tcPr>
            <w:tcW w:w="0" w:type="dxa"/>
            <w:vAlign w:val="center"/>
          </w:tcPr>
          <w:p w14:paraId="3C8CF658">
            <w:pPr>
              <w:spacing w:line="240" w:lineRule="auto"/>
              <w:jc w:val="right"/>
            </w:pPr>
            <w:r>
              <w:rPr>
                <w:rFonts w:ascii="宋体" w:hAnsi="宋体" w:eastAsia="宋体" w:cs="宋体"/>
                <w:b w:val="0"/>
              </w:rPr>
              <w:t>-</w:t>
            </w:r>
          </w:p>
        </w:tc>
        <w:tc>
          <w:tcPr>
            <w:tcW w:w="0" w:type="dxa"/>
            <w:vAlign w:val="center"/>
          </w:tcPr>
          <w:p w14:paraId="439AB176">
            <w:pPr>
              <w:spacing w:line="240" w:lineRule="auto"/>
              <w:jc w:val="right"/>
            </w:pPr>
            <w:r>
              <w:rPr>
                <w:rFonts w:ascii="宋体" w:hAnsi="宋体" w:eastAsia="宋体" w:cs="宋体"/>
                <w:b w:val="0"/>
              </w:rPr>
              <w:t>-</w:t>
            </w:r>
          </w:p>
        </w:tc>
      </w:tr>
      <w:tr w14:paraId="7CD0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1C856F">
            <w:pPr>
              <w:spacing w:line="240" w:lineRule="auto"/>
              <w:jc w:val="center"/>
            </w:pPr>
            <w:r>
              <w:rPr>
                <w:rFonts w:ascii="宋体" w:hAnsi="宋体" w:eastAsia="宋体" w:cs="宋体"/>
                <w:b w:val="0"/>
              </w:rPr>
              <w:t>3</w:t>
            </w:r>
          </w:p>
        </w:tc>
        <w:tc>
          <w:tcPr>
            <w:tcW w:w="0" w:type="dxa"/>
            <w:vAlign w:val="center"/>
          </w:tcPr>
          <w:p w14:paraId="15673794">
            <w:pPr>
              <w:spacing w:line="240" w:lineRule="auto"/>
              <w:jc w:val="left"/>
            </w:pPr>
            <w:r>
              <w:rPr>
                <w:rFonts w:ascii="宋体" w:hAnsi="宋体" w:eastAsia="宋体" w:cs="宋体"/>
                <w:b w:val="0"/>
              </w:rPr>
              <w:t>金融债券</w:t>
            </w:r>
          </w:p>
        </w:tc>
        <w:tc>
          <w:tcPr>
            <w:tcW w:w="0" w:type="dxa"/>
            <w:vAlign w:val="center"/>
          </w:tcPr>
          <w:p w14:paraId="7057C7E7">
            <w:pPr>
              <w:spacing w:line="240" w:lineRule="auto"/>
              <w:jc w:val="right"/>
            </w:pPr>
            <w:r>
              <w:rPr>
                <w:rFonts w:ascii="宋体" w:hAnsi="宋体" w:eastAsia="宋体" w:cs="宋体"/>
                <w:b w:val="0"/>
              </w:rPr>
              <w:t>-</w:t>
            </w:r>
          </w:p>
        </w:tc>
        <w:tc>
          <w:tcPr>
            <w:tcW w:w="0" w:type="dxa"/>
            <w:vAlign w:val="center"/>
          </w:tcPr>
          <w:p w14:paraId="0D78BBAF">
            <w:pPr>
              <w:spacing w:line="240" w:lineRule="auto"/>
              <w:jc w:val="right"/>
            </w:pPr>
            <w:r>
              <w:rPr>
                <w:rFonts w:ascii="宋体" w:hAnsi="宋体" w:eastAsia="宋体" w:cs="宋体"/>
                <w:b w:val="0"/>
              </w:rPr>
              <w:t>-</w:t>
            </w:r>
          </w:p>
        </w:tc>
      </w:tr>
      <w:tr w14:paraId="3F33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6DE891">
            <w:pPr>
              <w:spacing w:line="240" w:lineRule="auto"/>
              <w:jc w:val="center"/>
            </w:pPr>
          </w:p>
        </w:tc>
        <w:tc>
          <w:tcPr>
            <w:tcW w:w="0" w:type="dxa"/>
            <w:vAlign w:val="center"/>
          </w:tcPr>
          <w:p w14:paraId="7CDD4362">
            <w:pPr>
              <w:spacing w:line="240" w:lineRule="auto"/>
              <w:jc w:val="left"/>
            </w:pPr>
            <w:r>
              <w:rPr>
                <w:rFonts w:ascii="宋体" w:hAnsi="宋体" w:eastAsia="宋体" w:cs="宋体"/>
                <w:b w:val="0"/>
              </w:rPr>
              <w:t>其中：政策性金融债</w:t>
            </w:r>
          </w:p>
        </w:tc>
        <w:tc>
          <w:tcPr>
            <w:tcW w:w="0" w:type="dxa"/>
            <w:vAlign w:val="center"/>
          </w:tcPr>
          <w:p w14:paraId="2380A3E3">
            <w:pPr>
              <w:spacing w:line="240" w:lineRule="auto"/>
              <w:jc w:val="right"/>
            </w:pPr>
            <w:r>
              <w:rPr>
                <w:rFonts w:ascii="宋体" w:hAnsi="宋体" w:eastAsia="宋体" w:cs="宋体"/>
                <w:b w:val="0"/>
              </w:rPr>
              <w:t>-</w:t>
            </w:r>
          </w:p>
        </w:tc>
        <w:tc>
          <w:tcPr>
            <w:tcW w:w="0" w:type="dxa"/>
            <w:vAlign w:val="center"/>
          </w:tcPr>
          <w:p w14:paraId="58D590B1">
            <w:pPr>
              <w:spacing w:line="240" w:lineRule="auto"/>
              <w:jc w:val="right"/>
            </w:pPr>
            <w:r>
              <w:rPr>
                <w:rFonts w:ascii="宋体" w:hAnsi="宋体" w:eastAsia="宋体" w:cs="宋体"/>
                <w:b w:val="0"/>
              </w:rPr>
              <w:t>-</w:t>
            </w:r>
          </w:p>
        </w:tc>
      </w:tr>
      <w:tr w14:paraId="68D7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4E4DBB">
            <w:pPr>
              <w:spacing w:line="240" w:lineRule="auto"/>
              <w:jc w:val="center"/>
            </w:pPr>
            <w:r>
              <w:rPr>
                <w:rFonts w:ascii="宋体" w:hAnsi="宋体" w:eastAsia="宋体" w:cs="宋体"/>
                <w:b w:val="0"/>
              </w:rPr>
              <w:t>4</w:t>
            </w:r>
          </w:p>
        </w:tc>
        <w:tc>
          <w:tcPr>
            <w:tcW w:w="0" w:type="dxa"/>
            <w:vAlign w:val="center"/>
          </w:tcPr>
          <w:p w14:paraId="77ECC732">
            <w:pPr>
              <w:spacing w:line="240" w:lineRule="auto"/>
              <w:jc w:val="left"/>
            </w:pPr>
            <w:r>
              <w:rPr>
                <w:rFonts w:ascii="宋体" w:hAnsi="宋体" w:eastAsia="宋体" w:cs="宋体"/>
                <w:b w:val="0"/>
              </w:rPr>
              <w:t>企业债券</w:t>
            </w:r>
          </w:p>
        </w:tc>
        <w:tc>
          <w:tcPr>
            <w:tcW w:w="0" w:type="dxa"/>
            <w:vAlign w:val="center"/>
          </w:tcPr>
          <w:p w14:paraId="15C115A0">
            <w:pPr>
              <w:spacing w:line="240" w:lineRule="auto"/>
              <w:jc w:val="right"/>
            </w:pPr>
            <w:r>
              <w:rPr>
                <w:rFonts w:ascii="宋体" w:hAnsi="宋体" w:eastAsia="宋体" w:cs="宋体"/>
                <w:b w:val="0"/>
              </w:rPr>
              <w:t>-</w:t>
            </w:r>
          </w:p>
        </w:tc>
        <w:tc>
          <w:tcPr>
            <w:tcW w:w="0" w:type="dxa"/>
            <w:vAlign w:val="center"/>
          </w:tcPr>
          <w:p w14:paraId="177DB5A7">
            <w:pPr>
              <w:spacing w:line="240" w:lineRule="auto"/>
              <w:jc w:val="right"/>
            </w:pPr>
            <w:r>
              <w:rPr>
                <w:rFonts w:ascii="宋体" w:hAnsi="宋体" w:eastAsia="宋体" w:cs="宋体"/>
                <w:b w:val="0"/>
              </w:rPr>
              <w:t>-</w:t>
            </w:r>
          </w:p>
        </w:tc>
      </w:tr>
      <w:tr w14:paraId="78B6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187F5F">
            <w:pPr>
              <w:spacing w:line="240" w:lineRule="auto"/>
              <w:jc w:val="center"/>
            </w:pPr>
            <w:r>
              <w:rPr>
                <w:rFonts w:ascii="宋体" w:hAnsi="宋体" w:eastAsia="宋体" w:cs="宋体"/>
                <w:b w:val="0"/>
              </w:rPr>
              <w:t>5</w:t>
            </w:r>
          </w:p>
        </w:tc>
        <w:tc>
          <w:tcPr>
            <w:tcW w:w="0" w:type="dxa"/>
            <w:vAlign w:val="center"/>
          </w:tcPr>
          <w:p w14:paraId="263D467D">
            <w:pPr>
              <w:spacing w:line="240" w:lineRule="auto"/>
              <w:jc w:val="left"/>
            </w:pPr>
            <w:r>
              <w:rPr>
                <w:rFonts w:ascii="宋体" w:hAnsi="宋体" w:eastAsia="宋体" w:cs="宋体"/>
                <w:b w:val="0"/>
              </w:rPr>
              <w:t>企业短期融资券</w:t>
            </w:r>
          </w:p>
        </w:tc>
        <w:tc>
          <w:tcPr>
            <w:tcW w:w="0" w:type="dxa"/>
            <w:vAlign w:val="center"/>
          </w:tcPr>
          <w:p w14:paraId="60290BDB">
            <w:pPr>
              <w:spacing w:line="240" w:lineRule="auto"/>
              <w:jc w:val="right"/>
            </w:pPr>
            <w:r>
              <w:rPr>
                <w:rFonts w:ascii="宋体" w:hAnsi="宋体" w:eastAsia="宋体" w:cs="宋体"/>
                <w:b w:val="0"/>
              </w:rPr>
              <w:t>-</w:t>
            </w:r>
          </w:p>
        </w:tc>
        <w:tc>
          <w:tcPr>
            <w:tcW w:w="0" w:type="dxa"/>
            <w:vAlign w:val="center"/>
          </w:tcPr>
          <w:p w14:paraId="655A4170">
            <w:pPr>
              <w:spacing w:line="240" w:lineRule="auto"/>
              <w:jc w:val="right"/>
            </w:pPr>
            <w:r>
              <w:rPr>
                <w:rFonts w:ascii="宋体" w:hAnsi="宋体" w:eastAsia="宋体" w:cs="宋体"/>
                <w:b w:val="0"/>
              </w:rPr>
              <w:t>-</w:t>
            </w:r>
          </w:p>
        </w:tc>
      </w:tr>
      <w:tr w14:paraId="1A8F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FDE9A7">
            <w:pPr>
              <w:spacing w:line="240" w:lineRule="auto"/>
              <w:jc w:val="center"/>
            </w:pPr>
            <w:r>
              <w:rPr>
                <w:rFonts w:ascii="宋体" w:hAnsi="宋体" w:eastAsia="宋体" w:cs="宋体"/>
                <w:b w:val="0"/>
              </w:rPr>
              <w:t>6</w:t>
            </w:r>
          </w:p>
        </w:tc>
        <w:tc>
          <w:tcPr>
            <w:tcW w:w="0" w:type="dxa"/>
            <w:vAlign w:val="center"/>
          </w:tcPr>
          <w:p w14:paraId="0752A7D2">
            <w:pPr>
              <w:spacing w:line="240" w:lineRule="auto"/>
              <w:jc w:val="left"/>
            </w:pPr>
            <w:r>
              <w:rPr>
                <w:rFonts w:ascii="宋体" w:hAnsi="宋体" w:eastAsia="宋体" w:cs="宋体"/>
                <w:b w:val="0"/>
              </w:rPr>
              <w:t>中期票据</w:t>
            </w:r>
          </w:p>
        </w:tc>
        <w:tc>
          <w:tcPr>
            <w:tcW w:w="0" w:type="dxa"/>
            <w:vAlign w:val="center"/>
          </w:tcPr>
          <w:p w14:paraId="4D73DE14">
            <w:pPr>
              <w:spacing w:line="240" w:lineRule="auto"/>
              <w:jc w:val="right"/>
            </w:pPr>
            <w:r>
              <w:rPr>
                <w:rFonts w:ascii="宋体" w:hAnsi="宋体" w:eastAsia="宋体" w:cs="宋体"/>
                <w:b w:val="0"/>
              </w:rPr>
              <w:t>-</w:t>
            </w:r>
          </w:p>
        </w:tc>
        <w:tc>
          <w:tcPr>
            <w:tcW w:w="0" w:type="dxa"/>
            <w:vAlign w:val="center"/>
          </w:tcPr>
          <w:p w14:paraId="5315F3CE">
            <w:pPr>
              <w:spacing w:line="240" w:lineRule="auto"/>
              <w:jc w:val="right"/>
            </w:pPr>
            <w:r>
              <w:rPr>
                <w:rFonts w:ascii="宋体" w:hAnsi="宋体" w:eastAsia="宋体" w:cs="宋体"/>
                <w:b w:val="0"/>
              </w:rPr>
              <w:t>-</w:t>
            </w:r>
          </w:p>
        </w:tc>
      </w:tr>
      <w:tr w14:paraId="4AA3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80376C">
            <w:pPr>
              <w:spacing w:line="240" w:lineRule="auto"/>
              <w:jc w:val="center"/>
            </w:pPr>
            <w:r>
              <w:rPr>
                <w:rFonts w:ascii="宋体" w:hAnsi="宋体" w:eastAsia="宋体" w:cs="宋体"/>
                <w:b w:val="0"/>
              </w:rPr>
              <w:t>7</w:t>
            </w:r>
          </w:p>
        </w:tc>
        <w:tc>
          <w:tcPr>
            <w:tcW w:w="0" w:type="dxa"/>
            <w:vAlign w:val="center"/>
          </w:tcPr>
          <w:p w14:paraId="40BD710D">
            <w:pPr>
              <w:spacing w:line="240" w:lineRule="auto"/>
              <w:jc w:val="left"/>
            </w:pPr>
            <w:r>
              <w:rPr>
                <w:rFonts w:ascii="宋体" w:hAnsi="宋体" w:eastAsia="宋体" w:cs="宋体"/>
                <w:b w:val="0"/>
              </w:rPr>
              <w:t>可转债(可交换债)</w:t>
            </w:r>
          </w:p>
        </w:tc>
        <w:tc>
          <w:tcPr>
            <w:tcW w:w="0" w:type="dxa"/>
            <w:vAlign w:val="center"/>
          </w:tcPr>
          <w:p w14:paraId="4357C5ED">
            <w:pPr>
              <w:spacing w:line="240" w:lineRule="auto"/>
              <w:jc w:val="right"/>
            </w:pPr>
            <w:r>
              <w:rPr>
                <w:rFonts w:ascii="宋体" w:hAnsi="宋体" w:eastAsia="宋体" w:cs="宋体"/>
                <w:b w:val="0"/>
              </w:rPr>
              <w:t>-</w:t>
            </w:r>
          </w:p>
        </w:tc>
        <w:tc>
          <w:tcPr>
            <w:tcW w:w="0" w:type="dxa"/>
            <w:vAlign w:val="center"/>
          </w:tcPr>
          <w:p w14:paraId="60B64CE6">
            <w:pPr>
              <w:spacing w:line="240" w:lineRule="auto"/>
              <w:jc w:val="right"/>
            </w:pPr>
            <w:r>
              <w:rPr>
                <w:rFonts w:ascii="宋体" w:hAnsi="宋体" w:eastAsia="宋体" w:cs="宋体"/>
                <w:b w:val="0"/>
              </w:rPr>
              <w:t>-</w:t>
            </w:r>
          </w:p>
        </w:tc>
      </w:tr>
      <w:tr w14:paraId="7BA7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21A126">
            <w:pPr>
              <w:spacing w:line="240" w:lineRule="auto"/>
              <w:jc w:val="center"/>
            </w:pPr>
            <w:r>
              <w:rPr>
                <w:rFonts w:ascii="宋体" w:hAnsi="宋体" w:eastAsia="宋体" w:cs="宋体"/>
                <w:b w:val="0"/>
              </w:rPr>
              <w:t>8</w:t>
            </w:r>
          </w:p>
        </w:tc>
        <w:tc>
          <w:tcPr>
            <w:tcW w:w="0" w:type="dxa"/>
            <w:vAlign w:val="center"/>
          </w:tcPr>
          <w:p w14:paraId="3ABBF4C1">
            <w:pPr>
              <w:spacing w:line="240" w:lineRule="auto"/>
              <w:jc w:val="left"/>
            </w:pPr>
            <w:r>
              <w:rPr>
                <w:rFonts w:ascii="宋体" w:hAnsi="宋体" w:eastAsia="宋体" w:cs="宋体"/>
                <w:b w:val="0"/>
              </w:rPr>
              <w:t>同业存单</w:t>
            </w:r>
          </w:p>
        </w:tc>
        <w:tc>
          <w:tcPr>
            <w:tcW w:w="0" w:type="dxa"/>
            <w:vAlign w:val="center"/>
          </w:tcPr>
          <w:p w14:paraId="20EC8688">
            <w:pPr>
              <w:spacing w:line="240" w:lineRule="auto"/>
              <w:jc w:val="right"/>
            </w:pPr>
            <w:r>
              <w:rPr>
                <w:rFonts w:ascii="宋体" w:hAnsi="宋体" w:eastAsia="宋体" w:cs="宋体"/>
                <w:b w:val="0"/>
              </w:rPr>
              <w:t>-</w:t>
            </w:r>
          </w:p>
        </w:tc>
        <w:tc>
          <w:tcPr>
            <w:tcW w:w="0" w:type="dxa"/>
            <w:vAlign w:val="center"/>
          </w:tcPr>
          <w:p w14:paraId="5946BA21">
            <w:pPr>
              <w:spacing w:line="240" w:lineRule="auto"/>
              <w:jc w:val="right"/>
            </w:pPr>
            <w:r>
              <w:rPr>
                <w:rFonts w:ascii="宋体" w:hAnsi="宋体" w:eastAsia="宋体" w:cs="宋体"/>
                <w:b w:val="0"/>
              </w:rPr>
              <w:t>-</w:t>
            </w:r>
          </w:p>
        </w:tc>
      </w:tr>
      <w:tr w14:paraId="65AF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E4AFEC">
            <w:pPr>
              <w:spacing w:line="240" w:lineRule="auto"/>
              <w:jc w:val="center"/>
            </w:pPr>
            <w:r>
              <w:rPr>
                <w:rFonts w:ascii="宋体" w:hAnsi="宋体" w:eastAsia="宋体" w:cs="宋体"/>
                <w:b w:val="0"/>
              </w:rPr>
              <w:t>9</w:t>
            </w:r>
          </w:p>
        </w:tc>
        <w:tc>
          <w:tcPr>
            <w:tcW w:w="0" w:type="dxa"/>
            <w:vAlign w:val="center"/>
          </w:tcPr>
          <w:p w14:paraId="3A223466">
            <w:pPr>
              <w:spacing w:line="240" w:lineRule="auto"/>
              <w:jc w:val="left"/>
            </w:pPr>
            <w:r>
              <w:rPr>
                <w:rFonts w:ascii="宋体" w:hAnsi="宋体" w:eastAsia="宋体" w:cs="宋体"/>
                <w:b w:val="0"/>
              </w:rPr>
              <w:t>其他</w:t>
            </w:r>
          </w:p>
        </w:tc>
        <w:tc>
          <w:tcPr>
            <w:tcW w:w="0" w:type="dxa"/>
            <w:vAlign w:val="center"/>
          </w:tcPr>
          <w:p w14:paraId="5E2D157E">
            <w:pPr>
              <w:spacing w:line="240" w:lineRule="auto"/>
              <w:jc w:val="right"/>
            </w:pPr>
            <w:r>
              <w:rPr>
                <w:rFonts w:ascii="宋体" w:hAnsi="宋体" w:eastAsia="宋体" w:cs="宋体"/>
                <w:b w:val="0"/>
              </w:rPr>
              <w:t>-</w:t>
            </w:r>
          </w:p>
        </w:tc>
        <w:tc>
          <w:tcPr>
            <w:tcW w:w="0" w:type="dxa"/>
            <w:vAlign w:val="center"/>
          </w:tcPr>
          <w:p w14:paraId="3628D4D5">
            <w:pPr>
              <w:spacing w:line="240" w:lineRule="auto"/>
              <w:jc w:val="right"/>
            </w:pPr>
            <w:r>
              <w:rPr>
                <w:rFonts w:ascii="宋体" w:hAnsi="宋体" w:eastAsia="宋体" w:cs="宋体"/>
                <w:b w:val="0"/>
              </w:rPr>
              <w:t>-</w:t>
            </w:r>
          </w:p>
        </w:tc>
      </w:tr>
      <w:tr w14:paraId="29B4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935759">
            <w:pPr>
              <w:spacing w:line="240" w:lineRule="auto"/>
              <w:jc w:val="center"/>
            </w:pPr>
            <w:r>
              <w:rPr>
                <w:rFonts w:ascii="宋体" w:hAnsi="宋体" w:eastAsia="宋体" w:cs="宋体"/>
                <w:b w:val="0"/>
              </w:rPr>
              <w:t>10</w:t>
            </w:r>
          </w:p>
        </w:tc>
        <w:tc>
          <w:tcPr>
            <w:tcW w:w="0" w:type="dxa"/>
            <w:vAlign w:val="center"/>
          </w:tcPr>
          <w:p w14:paraId="1B1C159A">
            <w:pPr>
              <w:spacing w:line="240" w:lineRule="auto"/>
              <w:jc w:val="left"/>
            </w:pPr>
            <w:r>
              <w:rPr>
                <w:rFonts w:ascii="宋体" w:hAnsi="宋体" w:eastAsia="宋体" w:cs="宋体"/>
                <w:b w:val="0"/>
              </w:rPr>
              <w:t>合计</w:t>
            </w:r>
          </w:p>
        </w:tc>
        <w:tc>
          <w:tcPr>
            <w:tcW w:w="0" w:type="dxa"/>
            <w:vAlign w:val="center"/>
          </w:tcPr>
          <w:p w14:paraId="75C818C3">
            <w:pPr>
              <w:spacing w:line="240" w:lineRule="auto"/>
              <w:jc w:val="right"/>
            </w:pPr>
            <w:r>
              <w:rPr>
                <w:rFonts w:ascii="宋体" w:hAnsi="宋体" w:eastAsia="宋体" w:cs="宋体"/>
                <w:b w:val="0"/>
              </w:rPr>
              <w:t>19,547,131.37</w:t>
            </w:r>
          </w:p>
        </w:tc>
        <w:tc>
          <w:tcPr>
            <w:tcW w:w="0" w:type="dxa"/>
            <w:vAlign w:val="center"/>
          </w:tcPr>
          <w:p w14:paraId="51D04CD9">
            <w:pPr>
              <w:spacing w:line="240" w:lineRule="auto"/>
              <w:jc w:val="right"/>
            </w:pPr>
            <w:r>
              <w:rPr>
                <w:rFonts w:ascii="宋体" w:hAnsi="宋体" w:eastAsia="宋体" w:cs="宋体"/>
                <w:b w:val="0"/>
              </w:rPr>
              <w:t>2.09</w:t>
            </w:r>
          </w:p>
        </w:tc>
      </w:tr>
    </w:tbl>
    <w:p w14:paraId="55985D0E"/>
    <w:p w14:paraId="30BC96A8">
      <w:pPr>
        <w:pStyle w:val="3"/>
        <w:jc w:val="left"/>
      </w:pPr>
      <w:bookmarkStart w:id="38" w:name="_Toc11705"/>
      <w:r>
        <w:rPr>
          <w:rFonts w:ascii="宋体" w:hAnsi="宋体" w:eastAsia="宋体" w:cs="宋体"/>
        </w:rPr>
        <w:t>7.6 期末按公允价值占基金资产净值比例大小排序的前五名债券投资明细</w:t>
      </w:r>
      <w:bookmarkEnd w:id="38"/>
    </w:p>
    <w:p w14:paraId="3EF15D1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231"/>
        <w:gridCol w:w="1581"/>
        <w:gridCol w:w="2161"/>
      </w:tblGrid>
      <w:tr w14:paraId="46A7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3AEF99CF">
            <w:pPr>
              <w:spacing w:line="240" w:lineRule="auto"/>
              <w:jc w:val="center"/>
            </w:pPr>
            <w:r>
              <w:rPr>
                <w:rFonts w:ascii="宋体" w:hAnsi="宋体" w:eastAsia="宋体" w:cs="宋体"/>
                <w:b w:val="0"/>
              </w:rPr>
              <w:t>序号</w:t>
            </w:r>
          </w:p>
        </w:tc>
        <w:tc>
          <w:tcPr>
            <w:tcW w:w="769" w:type="pct"/>
            <w:shd w:val="clear" w:color="auto" w:fill="D9D9D9"/>
            <w:vAlign w:val="center"/>
          </w:tcPr>
          <w:p w14:paraId="659DB045">
            <w:pPr>
              <w:spacing w:line="240" w:lineRule="auto"/>
              <w:jc w:val="center"/>
            </w:pPr>
            <w:r>
              <w:rPr>
                <w:rFonts w:ascii="宋体" w:hAnsi="宋体" w:eastAsia="宋体" w:cs="宋体"/>
                <w:b w:val="0"/>
              </w:rPr>
              <w:t>债券代码</w:t>
            </w:r>
          </w:p>
        </w:tc>
        <w:tc>
          <w:tcPr>
            <w:tcW w:w="769" w:type="pct"/>
            <w:shd w:val="clear" w:color="auto" w:fill="D9D9D9"/>
            <w:vAlign w:val="center"/>
          </w:tcPr>
          <w:p w14:paraId="2971ECAC">
            <w:pPr>
              <w:spacing w:line="240" w:lineRule="auto"/>
              <w:jc w:val="center"/>
            </w:pPr>
            <w:r>
              <w:rPr>
                <w:rFonts w:ascii="宋体" w:hAnsi="宋体" w:eastAsia="宋体" w:cs="宋体"/>
                <w:b w:val="0"/>
              </w:rPr>
              <w:t>债券名称</w:t>
            </w:r>
          </w:p>
        </w:tc>
        <w:tc>
          <w:tcPr>
            <w:tcW w:w="615" w:type="pct"/>
            <w:shd w:val="clear" w:color="auto" w:fill="D9D9D9"/>
            <w:vAlign w:val="center"/>
          </w:tcPr>
          <w:p w14:paraId="500CD33D">
            <w:pPr>
              <w:spacing w:line="240" w:lineRule="auto"/>
              <w:jc w:val="center"/>
            </w:pPr>
            <w:r>
              <w:rPr>
                <w:rFonts w:ascii="宋体" w:hAnsi="宋体" w:eastAsia="宋体" w:cs="宋体"/>
                <w:b w:val="0"/>
              </w:rPr>
              <w:t>数量(张)</w:t>
            </w:r>
          </w:p>
        </w:tc>
        <w:tc>
          <w:tcPr>
            <w:tcW w:w="769" w:type="pct"/>
            <w:shd w:val="clear" w:color="auto" w:fill="D9D9D9"/>
            <w:vAlign w:val="center"/>
          </w:tcPr>
          <w:p w14:paraId="008F1A62">
            <w:pPr>
              <w:spacing w:line="240" w:lineRule="auto"/>
              <w:jc w:val="center"/>
            </w:pPr>
            <w:r>
              <w:rPr>
                <w:rFonts w:ascii="宋体" w:hAnsi="宋体" w:eastAsia="宋体" w:cs="宋体"/>
                <w:b w:val="0"/>
              </w:rPr>
              <w:t>公允价值</w:t>
            </w:r>
          </w:p>
        </w:tc>
        <w:tc>
          <w:tcPr>
            <w:tcW w:w="1077" w:type="pct"/>
            <w:shd w:val="clear" w:color="auto" w:fill="D9D9D9"/>
            <w:vAlign w:val="center"/>
          </w:tcPr>
          <w:p w14:paraId="38F49F4B">
            <w:pPr>
              <w:spacing w:line="240" w:lineRule="auto"/>
              <w:jc w:val="center"/>
            </w:pPr>
            <w:r>
              <w:rPr>
                <w:rFonts w:ascii="宋体" w:hAnsi="宋体" w:eastAsia="宋体" w:cs="宋体"/>
                <w:b w:val="0"/>
              </w:rPr>
              <w:t>占基金资产净值比例(%)</w:t>
            </w:r>
          </w:p>
        </w:tc>
      </w:tr>
      <w:tr w14:paraId="72DD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CB0093">
            <w:pPr>
              <w:spacing w:line="240" w:lineRule="auto"/>
              <w:jc w:val="center"/>
            </w:pPr>
            <w:r>
              <w:rPr>
                <w:rFonts w:ascii="宋体" w:hAnsi="宋体" w:eastAsia="宋体" w:cs="宋体"/>
                <w:b w:val="0"/>
              </w:rPr>
              <w:t>1</w:t>
            </w:r>
          </w:p>
        </w:tc>
        <w:tc>
          <w:tcPr>
            <w:tcW w:w="0" w:type="dxa"/>
            <w:vAlign w:val="center"/>
          </w:tcPr>
          <w:p w14:paraId="70A9DE5D">
            <w:pPr>
              <w:spacing w:line="240" w:lineRule="auto"/>
              <w:jc w:val="left"/>
            </w:pPr>
            <w:r>
              <w:rPr>
                <w:rFonts w:ascii="宋体" w:hAnsi="宋体" w:eastAsia="宋体" w:cs="宋体"/>
                <w:b w:val="0"/>
              </w:rPr>
              <w:t>019835</w:t>
            </w:r>
          </w:p>
        </w:tc>
        <w:tc>
          <w:tcPr>
            <w:tcW w:w="0" w:type="dxa"/>
            <w:vAlign w:val="center"/>
          </w:tcPr>
          <w:p w14:paraId="0C9BE3EC">
            <w:pPr>
              <w:spacing w:line="240" w:lineRule="auto"/>
              <w:jc w:val="left"/>
            </w:pPr>
            <w:r>
              <w:rPr>
                <w:rFonts w:ascii="宋体" w:hAnsi="宋体" w:eastAsia="宋体" w:cs="宋体"/>
                <w:b w:val="0"/>
              </w:rPr>
              <w:t>26国债09</w:t>
            </w:r>
          </w:p>
        </w:tc>
        <w:tc>
          <w:tcPr>
            <w:tcW w:w="0" w:type="dxa"/>
            <w:vAlign w:val="center"/>
          </w:tcPr>
          <w:p w14:paraId="5BF9FC3A">
            <w:pPr>
              <w:spacing w:line="240" w:lineRule="auto"/>
              <w:jc w:val="right"/>
            </w:pPr>
            <w:r>
              <w:rPr>
                <w:rFonts w:ascii="宋体" w:hAnsi="宋体" w:eastAsia="宋体" w:cs="宋体"/>
                <w:b w:val="0"/>
              </w:rPr>
              <w:t>178,000</w:t>
            </w:r>
          </w:p>
        </w:tc>
        <w:tc>
          <w:tcPr>
            <w:tcW w:w="0" w:type="dxa"/>
            <w:vAlign w:val="center"/>
          </w:tcPr>
          <w:p w14:paraId="36103744">
            <w:pPr>
              <w:spacing w:line="240" w:lineRule="auto"/>
              <w:jc w:val="right"/>
            </w:pPr>
            <w:r>
              <w:rPr>
                <w:rFonts w:ascii="宋体" w:hAnsi="宋体" w:eastAsia="宋体" w:cs="宋体"/>
                <w:b w:val="0"/>
              </w:rPr>
              <w:t>17,829,294.41</w:t>
            </w:r>
          </w:p>
        </w:tc>
        <w:tc>
          <w:tcPr>
            <w:tcW w:w="0" w:type="dxa"/>
            <w:vAlign w:val="center"/>
          </w:tcPr>
          <w:p w14:paraId="358BF22F">
            <w:pPr>
              <w:spacing w:line="240" w:lineRule="auto"/>
              <w:jc w:val="right"/>
            </w:pPr>
            <w:r>
              <w:rPr>
                <w:rFonts w:ascii="宋体" w:hAnsi="宋体" w:eastAsia="宋体" w:cs="宋体"/>
                <w:b w:val="0"/>
              </w:rPr>
              <w:t>1.91</w:t>
            </w:r>
          </w:p>
        </w:tc>
      </w:tr>
      <w:tr w14:paraId="75DD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A6D696">
            <w:pPr>
              <w:spacing w:line="240" w:lineRule="auto"/>
              <w:jc w:val="center"/>
            </w:pPr>
            <w:r>
              <w:rPr>
                <w:rFonts w:ascii="宋体" w:hAnsi="宋体" w:eastAsia="宋体" w:cs="宋体"/>
                <w:b w:val="0"/>
              </w:rPr>
              <w:t>2</w:t>
            </w:r>
          </w:p>
        </w:tc>
        <w:tc>
          <w:tcPr>
            <w:tcW w:w="0" w:type="dxa"/>
            <w:vAlign w:val="center"/>
          </w:tcPr>
          <w:p w14:paraId="41B1D3F3">
            <w:pPr>
              <w:spacing w:line="240" w:lineRule="auto"/>
              <w:jc w:val="left"/>
            </w:pPr>
            <w:r>
              <w:rPr>
                <w:rFonts w:ascii="宋体" w:hAnsi="宋体" w:eastAsia="宋体" w:cs="宋体"/>
                <w:b w:val="0"/>
              </w:rPr>
              <w:t>019792</w:t>
            </w:r>
          </w:p>
        </w:tc>
        <w:tc>
          <w:tcPr>
            <w:tcW w:w="0" w:type="dxa"/>
            <w:vAlign w:val="center"/>
          </w:tcPr>
          <w:p w14:paraId="53E5CFAF">
            <w:pPr>
              <w:spacing w:line="240" w:lineRule="auto"/>
              <w:jc w:val="left"/>
            </w:pPr>
            <w:r>
              <w:rPr>
                <w:rFonts w:ascii="宋体" w:hAnsi="宋体" w:eastAsia="宋体" w:cs="宋体"/>
                <w:b w:val="0"/>
              </w:rPr>
              <w:t>25国债19</w:t>
            </w:r>
          </w:p>
        </w:tc>
        <w:tc>
          <w:tcPr>
            <w:tcW w:w="0" w:type="dxa"/>
            <w:vAlign w:val="center"/>
          </w:tcPr>
          <w:p w14:paraId="7F027DE1">
            <w:pPr>
              <w:spacing w:line="240" w:lineRule="auto"/>
              <w:jc w:val="right"/>
            </w:pPr>
            <w:r>
              <w:rPr>
                <w:rFonts w:ascii="宋体" w:hAnsi="宋体" w:eastAsia="宋体" w:cs="宋体"/>
                <w:b w:val="0"/>
              </w:rPr>
              <w:t>17,000</w:t>
            </w:r>
          </w:p>
        </w:tc>
        <w:tc>
          <w:tcPr>
            <w:tcW w:w="0" w:type="dxa"/>
            <w:vAlign w:val="center"/>
          </w:tcPr>
          <w:p w14:paraId="56D3D50D">
            <w:pPr>
              <w:spacing w:line="240" w:lineRule="auto"/>
              <w:jc w:val="right"/>
            </w:pPr>
            <w:r>
              <w:rPr>
                <w:rFonts w:ascii="宋体" w:hAnsi="宋体" w:eastAsia="宋体" w:cs="宋体"/>
                <w:b w:val="0"/>
              </w:rPr>
              <w:t>1,717,836.96</w:t>
            </w:r>
          </w:p>
        </w:tc>
        <w:tc>
          <w:tcPr>
            <w:tcW w:w="0" w:type="dxa"/>
            <w:vAlign w:val="center"/>
          </w:tcPr>
          <w:p w14:paraId="5D89BB58">
            <w:pPr>
              <w:spacing w:line="240" w:lineRule="auto"/>
              <w:jc w:val="right"/>
            </w:pPr>
            <w:r>
              <w:rPr>
                <w:rFonts w:ascii="宋体" w:hAnsi="宋体" w:eastAsia="宋体" w:cs="宋体"/>
                <w:b w:val="0"/>
              </w:rPr>
              <w:t>0.18</w:t>
            </w:r>
          </w:p>
        </w:tc>
      </w:tr>
    </w:tbl>
    <w:p w14:paraId="6C857AAB">
      <w:r>
        <w:rPr>
          <w:rFonts w:ascii="宋体" w:hAnsi="宋体" w:eastAsia="宋体" w:cs="宋体"/>
          <w:b w:val="0"/>
        </w:rPr>
        <w:t>注：截止至报告期末，本基金仅持有上述债券。</w:t>
      </w:r>
    </w:p>
    <w:p w14:paraId="7551EB76"/>
    <w:p w14:paraId="41B9B3E2">
      <w:pPr>
        <w:pStyle w:val="3"/>
        <w:jc w:val="left"/>
      </w:pPr>
      <w:bookmarkStart w:id="39" w:name="_Toc8008"/>
      <w:r>
        <w:rPr>
          <w:rFonts w:ascii="宋体" w:hAnsi="宋体" w:eastAsia="宋体" w:cs="宋体"/>
        </w:rPr>
        <w:t>7.7 期末按公允价值占基金资产净值比例大小排序的所有资产支持证券投资明细</w:t>
      </w:r>
      <w:bookmarkEnd w:id="39"/>
    </w:p>
    <w:p w14:paraId="6EA536B9">
      <w:r>
        <w:rPr>
          <w:rFonts w:ascii="宋体" w:hAnsi="宋体" w:eastAsia="宋体" w:cs="宋体"/>
          <w:b w:val="0"/>
        </w:rPr>
        <w:t xml:space="preserve">    本基金本报告期末未持有资产支持证券。</w:t>
      </w:r>
    </w:p>
    <w:p w14:paraId="0102D95A"/>
    <w:p w14:paraId="28B0BC37">
      <w:pPr>
        <w:pStyle w:val="3"/>
        <w:jc w:val="left"/>
      </w:pPr>
      <w:bookmarkStart w:id="40" w:name="_Toc9965"/>
      <w:r>
        <w:rPr>
          <w:rFonts w:ascii="宋体" w:hAnsi="宋体" w:eastAsia="宋体" w:cs="宋体"/>
        </w:rPr>
        <w:t>7.8 报告期末按公允价值占基金资产净值比例大小排序的前五名贵金属投资明细</w:t>
      </w:r>
      <w:bookmarkEnd w:id="40"/>
    </w:p>
    <w:p w14:paraId="18C0641A">
      <w:r>
        <w:rPr>
          <w:rFonts w:ascii="宋体" w:hAnsi="宋体" w:eastAsia="宋体" w:cs="宋体"/>
          <w:b w:val="0"/>
        </w:rPr>
        <w:t xml:space="preserve">    本基金本报告期末未持有贵金属。</w:t>
      </w:r>
    </w:p>
    <w:p w14:paraId="62EEB3B4"/>
    <w:p w14:paraId="26C88229">
      <w:pPr>
        <w:pStyle w:val="3"/>
        <w:jc w:val="left"/>
      </w:pPr>
      <w:bookmarkStart w:id="41" w:name="_Toc10485"/>
      <w:r>
        <w:rPr>
          <w:rFonts w:ascii="宋体" w:hAnsi="宋体" w:eastAsia="宋体" w:cs="宋体"/>
        </w:rPr>
        <w:t>7.9 期末按公允价值占基金资产净值比例大小排序的前五名权证投资明细</w:t>
      </w:r>
      <w:bookmarkEnd w:id="41"/>
    </w:p>
    <w:p w14:paraId="54EB1A12">
      <w:r>
        <w:rPr>
          <w:rFonts w:ascii="宋体" w:hAnsi="宋体" w:eastAsia="宋体" w:cs="宋体"/>
          <w:b w:val="0"/>
        </w:rPr>
        <w:t xml:space="preserve">    本基金本报告期末未持有权证。</w:t>
      </w:r>
    </w:p>
    <w:p w14:paraId="6C0AA5C2"/>
    <w:p w14:paraId="3BB43F67">
      <w:pPr>
        <w:pStyle w:val="3"/>
        <w:jc w:val="left"/>
      </w:pPr>
      <w:bookmarkStart w:id="42" w:name="_Toc3622"/>
      <w:r>
        <w:rPr>
          <w:rFonts w:ascii="宋体" w:hAnsi="宋体" w:eastAsia="宋体" w:cs="宋体"/>
        </w:rPr>
        <w:t>7.10 本基金投资股指期货的投资政策</w:t>
      </w:r>
      <w:bookmarkEnd w:id="42"/>
    </w:p>
    <w:p w14:paraId="13FDEA35">
      <w:pPr>
        <w:jc w:val="left"/>
      </w:pPr>
      <w:r>
        <w:rPr>
          <w:rFonts w:ascii="宋体" w:hAnsi="宋体" w:eastAsia="宋体" w:cs="宋体"/>
          <w:b w:val="0"/>
        </w:rPr>
        <w:t xml:space="preserve">    本基金本报告期内未参与股指期货投资，报告期末无股指期货持仓。</w:t>
      </w:r>
    </w:p>
    <w:p w14:paraId="0F48F668"/>
    <w:p w14:paraId="0AEF10BB">
      <w:pPr>
        <w:pStyle w:val="3"/>
        <w:jc w:val="left"/>
      </w:pPr>
      <w:bookmarkStart w:id="43" w:name="_Toc14887"/>
      <w:r>
        <w:rPr>
          <w:rFonts w:ascii="宋体" w:hAnsi="宋体" w:eastAsia="宋体" w:cs="宋体"/>
        </w:rPr>
        <w:t>7.11 报告期末本基金投资的国债期货交易情况说明</w:t>
      </w:r>
      <w:bookmarkEnd w:id="43"/>
    </w:p>
    <w:p w14:paraId="2610DE98">
      <w:pPr>
        <w:jc w:val="left"/>
      </w:pPr>
      <w:r>
        <w:rPr>
          <w:rFonts w:ascii="宋体" w:hAnsi="宋体" w:eastAsia="宋体" w:cs="宋体"/>
          <w:b w:val="0"/>
        </w:rPr>
        <w:t xml:space="preserve">    本基金本报告期内未参与国债期货投资，报告期末无国债期货持仓。</w:t>
      </w:r>
    </w:p>
    <w:p w14:paraId="0A4DEE35"/>
    <w:p w14:paraId="65A918D4">
      <w:pPr>
        <w:pStyle w:val="3"/>
        <w:jc w:val="left"/>
      </w:pPr>
      <w:bookmarkStart w:id="44" w:name="_Toc2834"/>
      <w:r>
        <w:rPr>
          <w:rFonts w:ascii="宋体" w:hAnsi="宋体" w:eastAsia="宋体" w:cs="宋体"/>
        </w:rPr>
        <w:t>7.12 投资组合报告附注</w:t>
      </w:r>
      <w:bookmarkEnd w:id="44"/>
    </w:p>
    <w:p w14:paraId="1DCD1752">
      <w:pPr>
        <w:pStyle w:val="58"/>
      </w:pPr>
      <w:r>
        <w:rPr>
          <w:rFonts w:ascii="宋体" w:hAnsi="宋体" w:eastAsia="宋体" w:cs="宋体"/>
          <w:b/>
        </w:rPr>
        <w:t>7.12.1 本基金投资的前十名证券的发行主体本期受到监管部门立案调查或报告编制日前一年内受到公开谴责、处罚的情形说明</w:t>
      </w:r>
    </w:p>
    <w:p w14:paraId="000EB81B">
      <w:pPr>
        <w:jc w:val="left"/>
      </w:pPr>
      <w:r>
        <w:rPr>
          <w:rFonts w:ascii="宋体" w:hAnsi="宋体" w:eastAsia="宋体" w:cs="宋体"/>
          <w:b w:val="0"/>
        </w:rPr>
        <w:t xml:space="preserve">    本基金投资的前十名证券的发行主体本期没有出现被监管部门立案调查，或在报告编制日前一年内受到公开谴责、处罚的情形。</w:t>
      </w:r>
    </w:p>
    <w:p w14:paraId="7E949339"/>
    <w:p w14:paraId="3101B4DC">
      <w:pPr>
        <w:pStyle w:val="58"/>
      </w:pPr>
      <w:r>
        <w:rPr>
          <w:rFonts w:ascii="宋体" w:hAnsi="宋体" w:eastAsia="宋体" w:cs="宋体"/>
          <w:b/>
        </w:rPr>
        <w:t>7.12.2 基金投资的前十名股票超出基金合同约定的备选股票库情况的说明</w:t>
      </w:r>
    </w:p>
    <w:p w14:paraId="369D9FBF">
      <w:pPr>
        <w:jc w:val="left"/>
      </w:pPr>
      <w:r>
        <w:rPr>
          <w:rFonts w:ascii="宋体" w:hAnsi="宋体" w:eastAsia="宋体" w:cs="宋体"/>
          <w:b w:val="0"/>
        </w:rPr>
        <w:t xml:space="preserve">    基金投资的前十名股票，均为基金合同约定备选股票库之内的股票。</w:t>
      </w:r>
    </w:p>
    <w:p w14:paraId="5464B8A6"/>
    <w:p w14:paraId="099C2824">
      <w:pPr>
        <w:pStyle w:val="58"/>
      </w:pPr>
      <w:r>
        <w:rPr>
          <w:rFonts w:ascii="宋体" w:hAnsi="宋体" w:eastAsia="宋体" w:cs="宋体"/>
          <w:b/>
        </w:rPr>
        <w:t>7.12.3 期末其他各项资产构成</w:t>
      </w:r>
    </w:p>
    <w:p w14:paraId="17830CEB">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7"/>
        <w:gridCol w:w="3143"/>
        <w:gridCol w:w="3286"/>
      </w:tblGrid>
      <w:tr w14:paraId="7238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shd w:val="clear" w:color="auto" w:fill="D9D9D9"/>
            <w:vAlign w:val="center"/>
          </w:tcPr>
          <w:p w14:paraId="6DC37EB8">
            <w:pPr>
              <w:spacing w:line="240" w:lineRule="auto"/>
              <w:jc w:val="center"/>
            </w:pPr>
            <w:r>
              <w:rPr>
                <w:rFonts w:ascii="宋体" w:hAnsi="宋体" w:eastAsia="宋体" w:cs="宋体"/>
                <w:b w:val="0"/>
              </w:rPr>
              <w:t>序号</w:t>
            </w:r>
          </w:p>
        </w:tc>
        <w:tc>
          <w:tcPr>
            <w:tcW w:w="1692" w:type="pct"/>
            <w:shd w:val="clear" w:color="auto" w:fill="D9D9D9"/>
            <w:vAlign w:val="center"/>
          </w:tcPr>
          <w:p w14:paraId="25604029">
            <w:pPr>
              <w:spacing w:line="240" w:lineRule="auto"/>
              <w:jc w:val="center"/>
            </w:pPr>
            <w:r>
              <w:rPr>
                <w:rFonts w:ascii="宋体" w:hAnsi="宋体" w:eastAsia="宋体" w:cs="宋体"/>
                <w:b w:val="0"/>
              </w:rPr>
              <w:t>名称</w:t>
            </w:r>
          </w:p>
        </w:tc>
        <w:tc>
          <w:tcPr>
            <w:tcW w:w="1769" w:type="pct"/>
            <w:shd w:val="clear" w:color="auto" w:fill="D9D9D9"/>
            <w:vAlign w:val="center"/>
          </w:tcPr>
          <w:p w14:paraId="2DB8CA33">
            <w:pPr>
              <w:spacing w:line="240" w:lineRule="auto"/>
              <w:jc w:val="center"/>
            </w:pPr>
            <w:r>
              <w:rPr>
                <w:rFonts w:ascii="宋体" w:hAnsi="宋体" w:eastAsia="宋体" w:cs="宋体"/>
                <w:b w:val="0"/>
              </w:rPr>
              <w:t>金额</w:t>
            </w:r>
          </w:p>
        </w:tc>
      </w:tr>
      <w:tr w14:paraId="2629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F4F97B">
            <w:pPr>
              <w:spacing w:line="240" w:lineRule="auto"/>
              <w:jc w:val="center"/>
            </w:pPr>
            <w:r>
              <w:rPr>
                <w:rFonts w:ascii="宋体" w:hAnsi="宋体" w:eastAsia="宋体" w:cs="宋体"/>
                <w:b w:val="0"/>
              </w:rPr>
              <w:t>1</w:t>
            </w:r>
          </w:p>
        </w:tc>
        <w:tc>
          <w:tcPr>
            <w:tcW w:w="0" w:type="dxa"/>
            <w:vAlign w:val="center"/>
          </w:tcPr>
          <w:p w14:paraId="415A3492">
            <w:pPr>
              <w:spacing w:line="240" w:lineRule="auto"/>
              <w:jc w:val="left"/>
            </w:pPr>
            <w:r>
              <w:rPr>
                <w:rFonts w:ascii="宋体" w:hAnsi="宋体" w:eastAsia="宋体" w:cs="宋体"/>
                <w:b w:val="0"/>
              </w:rPr>
              <w:t>存出保证金</w:t>
            </w:r>
          </w:p>
        </w:tc>
        <w:tc>
          <w:tcPr>
            <w:tcW w:w="0" w:type="dxa"/>
            <w:vAlign w:val="center"/>
          </w:tcPr>
          <w:p w14:paraId="2E7C8758">
            <w:pPr>
              <w:spacing w:line="240" w:lineRule="auto"/>
              <w:jc w:val="right"/>
            </w:pPr>
            <w:r>
              <w:rPr>
                <w:rFonts w:ascii="宋体" w:hAnsi="宋体" w:eastAsia="宋体" w:cs="宋体"/>
                <w:b w:val="0"/>
              </w:rPr>
              <w:t>-</w:t>
            </w:r>
          </w:p>
        </w:tc>
      </w:tr>
      <w:tr w14:paraId="6C1A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0ACE99">
            <w:pPr>
              <w:spacing w:line="240" w:lineRule="auto"/>
              <w:jc w:val="center"/>
            </w:pPr>
            <w:r>
              <w:rPr>
                <w:rFonts w:ascii="宋体" w:hAnsi="宋体" w:eastAsia="宋体" w:cs="宋体"/>
                <w:b w:val="0"/>
              </w:rPr>
              <w:t>2</w:t>
            </w:r>
          </w:p>
        </w:tc>
        <w:tc>
          <w:tcPr>
            <w:tcW w:w="0" w:type="dxa"/>
            <w:vAlign w:val="center"/>
          </w:tcPr>
          <w:p w14:paraId="1F47969B">
            <w:pPr>
              <w:spacing w:line="240" w:lineRule="auto"/>
              <w:jc w:val="left"/>
            </w:pPr>
            <w:r>
              <w:rPr>
                <w:rFonts w:ascii="宋体" w:hAnsi="宋体" w:eastAsia="宋体" w:cs="宋体"/>
                <w:b w:val="0"/>
              </w:rPr>
              <w:t>应收清算款</w:t>
            </w:r>
          </w:p>
        </w:tc>
        <w:tc>
          <w:tcPr>
            <w:tcW w:w="0" w:type="dxa"/>
            <w:vAlign w:val="center"/>
          </w:tcPr>
          <w:p w14:paraId="5772C23D">
            <w:pPr>
              <w:spacing w:line="240" w:lineRule="auto"/>
              <w:jc w:val="right"/>
            </w:pPr>
            <w:r>
              <w:rPr>
                <w:rFonts w:ascii="宋体" w:hAnsi="宋体" w:eastAsia="宋体" w:cs="宋体"/>
                <w:b w:val="0"/>
              </w:rPr>
              <w:t>-</w:t>
            </w:r>
          </w:p>
        </w:tc>
      </w:tr>
      <w:tr w14:paraId="7716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C26832D">
            <w:pPr>
              <w:spacing w:line="240" w:lineRule="auto"/>
              <w:jc w:val="center"/>
            </w:pPr>
            <w:r>
              <w:rPr>
                <w:rFonts w:ascii="宋体" w:hAnsi="宋体" w:eastAsia="宋体" w:cs="宋体"/>
                <w:b w:val="0"/>
              </w:rPr>
              <w:t>3</w:t>
            </w:r>
          </w:p>
        </w:tc>
        <w:tc>
          <w:tcPr>
            <w:tcW w:w="0" w:type="dxa"/>
            <w:vAlign w:val="center"/>
          </w:tcPr>
          <w:p w14:paraId="2090CD36">
            <w:pPr>
              <w:spacing w:line="240" w:lineRule="auto"/>
              <w:jc w:val="left"/>
            </w:pPr>
            <w:r>
              <w:rPr>
                <w:rFonts w:ascii="宋体" w:hAnsi="宋体" w:eastAsia="宋体" w:cs="宋体"/>
                <w:b w:val="0"/>
              </w:rPr>
              <w:t>应收股利</w:t>
            </w:r>
          </w:p>
        </w:tc>
        <w:tc>
          <w:tcPr>
            <w:tcW w:w="0" w:type="dxa"/>
            <w:vAlign w:val="center"/>
          </w:tcPr>
          <w:p w14:paraId="476B7912">
            <w:pPr>
              <w:spacing w:line="240" w:lineRule="auto"/>
              <w:jc w:val="right"/>
            </w:pPr>
            <w:r>
              <w:rPr>
                <w:rFonts w:ascii="宋体" w:hAnsi="宋体" w:eastAsia="宋体" w:cs="宋体"/>
                <w:b w:val="0"/>
              </w:rPr>
              <w:t>-</w:t>
            </w:r>
          </w:p>
        </w:tc>
      </w:tr>
      <w:tr w14:paraId="05E6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F6F323">
            <w:pPr>
              <w:spacing w:line="240" w:lineRule="auto"/>
              <w:jc w:val="center"/>
            </w:pPr>
            <w:r>
              <w:rPr>
                <w:rFonts w:ascii="宋体" w:hAnsi="宋体" w:eastAsia="宋体" w:cs="宋体"/>
                <w:b w:val="0"/>
              </w:rPr>
              <w:t>4</w:t>
            </w:r>
          </w:p>
        </w:tc>
        <w:tc>
          <w:tcPr>
            <w:tcW w:w="0" w:type="dxa"/>
            <w:vAlign w:val="center"/>
          </w:tcPr>
          <w:p w14:paraId="1648F6EB">
            <w:pPr>
              <w:spacing w:line="240" w:lineRule="auto"/>
              <w:jc w:val="left"/>
            </w:pPr>
            <w:r>
              <w:rPr>
                <w:rFonts w:ascii="宋体" w:hAnsi="宋体" w:eastAsia="宋体" w:cs="宋体"/>
                <w:b w:val="0"/>
              </w:rPr>
              <w:t>应收利息</w:t>
            </w:r>
          </w:p>
        </w:tc>
        <w:tc>
          <w:tcPr>
            <w:tcW w:w="0" w:type="dxa"/>
            <w:vAlign w:val="center"/>
          </w:tcPr>
          <w:p w14:paraId="1CDF3698">
            <w:pPr>
              <w:spacing w:line="240" w:lineRule="auto"/>
              <w:jc w:val="right"/>
            </w:pPr>
            <w:r>
              <w:rPr>
                <w:rFonts w:ascii="宋体" w:hAnsi="宋体" w:eastAsia="宋体" w:cs="宋体"/>
                <w:b w:val="0"/>
              </w:rPr>
              <w:t>-</w:t>
            </w:r>
          </w:p>
        </w:tc>
      </w:tr>
      <w:tr w14:paraId="3EC7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4536D9">
            <w:pPr>
              <w:spacing w:line="240" w:lineRule="auto"/>
              <w:jc w:val="center"/>
            </w:pPr>
            <w:r>
              <w:rPr>
                <w:rFonts w:ascii="宋体" w:hAnsi="宋体" w:eastAsia="宋体" w:cs="宋体"/>
                <w:b w:val="0"/>
              </w:rPr>
              <w:t>5</w:t>
            </w:r>
          </w:p>
        </w:tc>
        <w:tc>
          <w:tcPr>
            <w:tcW w:w="0" w:type="dxa"/>
            <w:vAlign w:val="center"/>
          </w:tcPr>
          <w:p w14:paraId="195E79C1">
            <w:pPr>
              <w:spacing w:line="240" w:lineRule="auto"/>
              <w:jc w:val="left"/>
            </w:pPr>
            <w:r>
              <w:rPr>
                <w:rFonts w:ascii="宋体" w:hAnsi="宋体" w:eastAsia="宋体" w:cs="宋体"/>
                <w:b w:val="0"/>
              </w:rPr>
              <w:t>应收申购款</w:t>
            </w:r>
          </w:p>
        </w:tc>
        <w:tc>
          <w:tcPr>
            <w:tcW w:w="0" w:type="dxa"/>
            <w:vAlign w:val="center"/>
          </w:tcPr>
          <w:p w14:paraId="48661073">
            <w:pPr>
              <w:spacing w:line="240" w:lineRule="auto"/>
              <w:jc w:val="right"/>
            </w:pPr>
            <w:r>
              <w:rPr>
                <w:rFonts w:ascii="宋体" w:hAnsi="宋体" w:eastAsia="宋体" w:cs="宋体"/>
                <w:b w:val="0"/>
              </w:rPr>
              <w:t>145,148,778.30</w:t>
            </w:r>
          </w:p>
        </w:tc>
      </w:tr>
      <w:tr w14:paraId="11F5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274057">
            <w:pPr>
              <w:spacing w:line="240" w:lineRule="auto"/>
              <w:jc w:val="center"/>
            </w:pPr>
            <w:r>
              <w:rPr>
                <w:rFonts w:ascii="宋体" w:hAnsi="宋体" w:eastAsia="宋体" w:cs="宋体"/>
                <w:b w:val="0"/>
              </w:rPr>
              <w:t>6</w:t>
            </w:r>
          </w:p>
        </w:tc>
        <w:tc>
          <w:tcPr>
            <w:tcW w:w="0" w:type="dxa"/>
            <w:vAlign w:val="center"/>
          </w:tcPr>
          <w:p w14:paraId="5B769F1B">
            <w:pPr>
              <w:spacing w:line="240" w:lineRule="auto"/>
              <w:jc w:val="left"/>
            </w:pPr>
            <w:r>
              <w:rPr>
                <w:rFonts w:ascii="宋体" w:hAnsi="宋体" w:eastAsia="宋体" w:cs="宋体"/>
                <w:b w:val="0"/>
              </w:rPr>
              <w:t>其他应收款</w:t>
            </w:r>
          </w:p>
        </w:tc>
        <w:tc>
          <w:tcPr>
            <w:tcW w:w="0" w:type="dxa"/>
            <w:vAlign w:val="center"/>
          </w:tcPr>
          <w:p w14:paraId="27CDEF1A">
            <w:pPr>
              <w:spacing w:line="240" w:lineRule="auto"/>
              <w:jc w:val="right"/>
            </w:pPr>
            <w:r>
              <w:rPr>
                <w:rFonts w:ascii="宋体" w:hAnsi="宋体" w:eastAsia="宋体" w:cs="宋体"/>
                <w:b w:val="0"/>
              </w:rPr>
              <w:t>-</w:t>
            </w:r>
          </w:p>
        </w:tc>
      </w:tr>
      <w:tr w14:paraId="4A8B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D651CB">
            <w:pPr>
              <w:spacing w:line="240" w:lineRule="auto"/>
              <w:jc w:val="center"/>
            </w:pPr>
            <w:r>
              <w:rPr>
                <w:rFonts w:ascii="宋体" w:hAnsi="宋体" w:eastAsia="宋体" w:cs="宋体"/>
                <w:b w:val="0"/>
              </w:rPr>
              <w:t>7</w:t>
            </w:r>
          </w:p>
        </w:tc>
        <w:tc>
          <w:tcPr>
            <w:tcW w:w="0" w:type="dxa"/>
            <w:vAlign w:val="center"/>
          </w:tcPr>
          <w:p w14:paraId="2C8AFCF2">
            <w:pPr>
              <w:spacing w:line="240" w:lineRule="auto"/>
              <w:jc w:val="left"/>
            </w:pPr>
            <w:r>
              <w:rPr>
                <w:rFonts w:ascii="宋体" w:hAnsi="宋体" w:eastAsia="宋体" w:cs="宋体"/>
                <w:b w:val="0"/>
              </w:rPr>
              <w:t>待摊费用</w:t>
            </w:r>
          </w:p>
        </w:tc>
        <w:tc>
          <w:tcPr>
            <w:tcW w:w="0" w:type="dxa"/>
            <w:vAlign w:val="center"/>
          </w:tcPr>
          <w:p w14:paraId="4C0F5BEC">
            <w:pPr>
              <w:spacing w:line="240" w:lineRule="auto"/>
              <w:jc w:val="right"/>
            </w:pPr>
            <w:r>
              <w:rPr>
                <w:rFonts w:ascii="宋体" w:hAnsi="宋体" w:eastAsia="宋体" w:cs="宋体"/>
                <w:b w:val="0"/>
              </w:rPr>
              <w:t>-</w:t>
            </w:r>
          </w:p>
        </w:tc>
      </w:tr>
      <w:tr w14:paraId="104B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7B4F64">
            <w:pPr>
              <w:spacing w:line="240" w:lineRule="auto"/>
              <w:jc w:val="center"/>
            </w:pPr>
            <w:r>
              <w:rPr>
                <w:rFonts w:ascii="宋体" w:hAnsi="宋体" w:eastAsia="宋体" w:cs="宋体"/>
                <w:b w:val="0"/>
              </w:rPr>
              <w:t>8</w:t>
            </w:r>
          </w:p>
        </w:tc>
        <w:tc>
          <w:tcPr>
            <w:tcW w:w="0" w:type="dxa"/>
            <w:vAlign w:val="center"/>
          </w:tcPr>
          <w:p w14:paraId="52A3D6D2">
            <w:pPr>
              <w:spacing w:line="240" w:lineRule="auto"/>
              <w:jc w:val="left"/>
            </w:pPr>
            <w:r>
              <w:rPr>
                <w:rFonts w:ascii="宋体" w:hAnsi="宋体" w:eastAsia="宋体" w:cs="宋体"/>
                <w:b w:val="0"/>
              </w:rPr>
              <w:t>其他</w:t>
            </w:r>
          </w:p>
        </w:tc>
        <w:tc>
          <w:tcPr>
            <w:tcW w:w="0" w:type="dxa"/>
            <w:vAlign w:val="center"/>
          </w:tcPr>
          <w:p w14:paraId="675C722B">
            <w:pPr>
              <w:spacing w:line="240" w:lineRule="auto"/>
              <w:jc w:val="right"/>
            </w:pPr>
            <w:r>
              <w:rPr>
                <w:rFonts w:ascii="宋体" w:hAnsi="宋体" w:eastAsia="宋体" w:cs="宋体"/>
                <w:b w:val="0"/>
              </w:rPr>
              <w:t>-</w:t>
            </w:r>
          </w:p>
        </w:tc>
      </w:tr>
      <w:tr w14:paraId="2730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762EE4">
            <w:pPr>
              <w:spacing w:line="240" w:lineRule="auto"/>
              <w:jc w:val="center"/>
            </w:pPr>
            <w:r>
              <w:rPr>
                <w:rFonts w:ascii="宋体" w:hAnsi="宋体" w:eastAsia="宋体" w:cs="宋体"/>
                <w:b w:val="0"/>
              </w:rPr>
              <w:t>9</w:t>
            </w:r>
          </w:p>
        </w:tc>
        <w:tc>
          <w:tcPr>
            <w:tcW w:w="0" w:type="dxa"/>
            <w:vAlign w:val="center"/>
          </w:tcPr>
          <w:p w14:paraId="0518CE9F">
            <w:pPr>
              <w:spacing w:line="240" w:lineRule="auto"/>
              <w:jc w:val="left"/>
            </w:pPr>
            <w:r>
              <w:rPr>
                <w:rFonts w:ascii="宋体" w:hAnsi="宋体" w:eastAsia="宋体" w:cs="宋体"/>
                <w:b w:val="0"/>
              </w:rPr>
              <w:t>合计</w:t>
            </w:r>
          </w:p>
        </w:tc>
        <w:tc>
          <w:tcPr>
            <w:tcW w:w="0" w:type="dxa"/>
            <w:vAlign w:val="center"/>
          </w:tcPr>
          <w:p w14:paraId="16C89195">
            <w:pPr>
              <w:spacing w:line="240" w:lineRule="auto"/>
              <w:jc w:val="right"/>
            </w:pPr>
            <w:r>
              <w:rPr>
                <w:rFonts w:ascii="宋体" w:hAnsi="宋体" w:eastAsia="宋体" w:cs="宋体"/>
                <w:b w:val="0"/>
              </w:rPr>
              <w:t>145,148,778.30</w:t>
            </w:r>
          </w:p>
        </w:tc>
      </w:tr>
    </w:tbl>
    <w:p w14:paraId="1B8819DE"/>
    <w:p w14:paraId="2C6BA9E3">
      <w:pPr>
        <w:pStyle w:val="58"/>
      </w:pPr>
      <w:r>
        <w:rPr>
          <w:rFonts w:ascii="宋体" w:hAnsi="宋体" w:eastAsia="宋体" w:cs="宋体"/>
          <w:b/>
        </w:rPr>
        <w:t>7.12.4 期末持有的处于转股期的可转换债券明细</w:t>
      </w:r>
    </w:p>
    <w:p w14:paraId="7713E466">
      <w:r>
        <w:rPr>
          <w:rFonts w:ascii="宋体" w:hAnsi="宋体" w:eastAsia="宋体" w:cs="宋体"/>
          <w:b w:val="0"/>
        </w:rPr>
        <w:t xml:space="preserve">    本基金本报告期末未持有处于转股期的可转换债券。</w:t>
      </w:r>
    </w:p>
    <w:p w14:paraId="28D67ACB"/>
    <w:p w14:paraId="64B501E0">
      <w:pPr>
        <w:pStyle w:val="58"/>
      </w:pPr>
      <w:r>
        <w:rPr>
          <w:rFonts w:ascii="宋体" w:hAnsi="宋体" w:eastAsia="宋体" w:cs="宋体"/>
          <w:b/>
        </w:rPr>
        <w:t>7.12.5 期末前十名股票中存在流通受限情况的说明</w:t>
      </w:r>
    </w:p>
    <w:p w14:paraId="0BF0F76F">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581"/>
        <w:gridCol w:w="1541"/>
        <w:gridCol w:w="1851"/>
      </w:tblGrid>
      <w:tr w14:paraId="51FA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7E41A21D">
            <w:pPr>
              <w:spacing w:line="240" w:lineRule="auto"/>
              <w:jc w:val="center"/>
            </w:pPr>
            <w:r>
              <w:rPr>
                <w:rFonts w:ascii="宋体" w:hAnsi="宋体" w:eastAsia="宋体" w:cs="宋体"/>
                <w:b w:val="0"/>
              </w:rPr>
              <w:t>序号</w:t>
            </w:r>
          </w:p>
        </w:tc>
        <w:tc>
          <w:tcPr>
            <w:tcW w:w="769" w:type="pct"/>
            <w:shd w:val="clear" w:color="auto" w:fill="D9D9D9"/>
            <w:vAlign w:val="center"/>
          </w:tcPr>
          <w:p w14:paraId="316DF573">
            <w:pPr>
              <w:spacing w:line="240" w:lineRule="auto"/>
              <w:jc w:val="center"/>
            </w:pPr>
            <w:r>
              <w:rPr>
                <w:rFonts w:ascii="宋体" w:hAnsi="宋体" w:eastAsia="宋体" w:cs="宋体"/>
                <w:b w:val="0"/>
              </w:rPr>
              <w:t>股票代码</w:t>
            </w:r>
          </w:p>
        </w:tc>
        <w:tc>
          <w:tcPr>
            <w:tcW w:w="769" w:type="pct"/>
            <w:shd w:val="clear" w:color="auto" w:fill="D9D9D9"/>
            <w:vAlign w:val="center"/>
          </w:tcPr>
          <w:p w14:paraId="6FB2B2FF">
            <w:pPr>
              <w:spacing w:line="240" w:lineRule="auto"/>
              <w:jc w:val="center"/>
            </w:pPr>
            <w:r>
              <w:rPr>
                <w:rFonts w:ascii="宋体" w:hAnsi="宋体" w:eastAsia="宋体" w:cs="宋体"/>
                <w:b w:val="0"/>
              </w:rPr>
              <w:t>股票名称</w:t>
            </w:r>
          </w:p>
        </w:tc>
        <w:tc>
          <w:tcPr>
            <w:tcW w:w="769" w:type="pct"/>
            <w:shd w:val="clear" w:color="auto" w:fill="D9D9D9"/>
            <w:vAlign w:val="center"/>
          </w:tcPr>
          <w:p w14:paraId="52B40905">
            <w:pPr>
              <w:spacing w:line="240" w:lineRule="auto"/>
              <w:jc w:val="center"/>
            </w:pPr>
            <w:r>
              <w:rPr>
                <w:rFonts w:ascii="宋体" w:hAnsi="宋体" w:eastAsia="宋体" w:cs="宋体"/>
                <w:b w:val="0"/>
              </w:rPr>
              <w:t>流通受限部分的公允价值</w:t>
            </w:r>
          </w:p>
        </w:tc>
        <w:tc>
          <w:tcPr>
            <w:tcW w:w="769" w:type="pct"/>
            <w:shd w:val="clear" w:color="auto" w:fill="D9D9D9"/>
            <w:vAlign w:val="center"/>
          </w:tcPr>
          <w:p w14:paraId="4ECCF0D9">
            <w:pPr>
              <w:spacing w:line="240" w:lineRule="auto"/>
              <w:jc w:val="center"/>
            </w:pPr>
            <w:r>
              <w:rPr>
                <w:rFonts w:ascii="宋体" w:hAnsi="宋体" w:eastAsia="宋体" w:cs="宋体"/>
                <w:b w:val="0"/>
              </w:rPr>
              <w:t>占基金资产净值比例(%)</w:t>
            </w:r>
          </w:p>
        </w:tc>
        <w:tc>
          <w:tcPr>
            <w:tcW w:w="923" w:type="pct"/>
            <w:shd w:val="clear" w:color="auto" w:fill="D9D9D9"/>
            <w:vAlign w:val="center"/>
          </w:tcPr>
          <w:p w14:paraId="384642D4">
            <w:pPr>
              <w:spacing w:line="240" w:lineRule="auto"/>
              <w:jc w:val="center"/>
            </w:pPr>
            <w:r>
              <w:rPr>
                <w:rFonts w:ascii="宋体" w:hAnsi="宋体" w:eastAsia="宋体" w:cs="宋体"/>
                <w:b w:val="0"/>
              </w:rPr>
              <w:t>流通受限情况说明</w:t>
            </w:r>
          </w:p>
        </w:tc>
      </w:tr>
      <w:tr w14:paraId="53C1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0B95D4">
            <w:pPr>
              <w:spacing w:line="240" w:lineRule="auto"/>
              <w:jc w:val="center"/>
            </w:pPr>
            <w:r>
              <w:rPr>
                <w:rFonts w:ascii="宋体" w:hAnsi="宋体" w:eastAsia="宋体" w:cs="宋体"/>
                <w:b w:val="0"/>
              </w:rPr>
              <w:t>1</w:t>
            </w:r>
          </w:p>
        </w:tc>
        <w:tc>
          <w:tcPr>
            <w:tcW w:w="0" w:type="dxa"/>
            <w:vAlign w:val="center"/>
          </w:tcPr>
          <w:p w14:paraId="72575F57">
            <w:pPr>
              <w:spacing w:line="240" w:lineRule="auto"/>
              <w:jc w:val="left"/>
            </w:pPr>
            <w:r>
              <w:rPr>
                <w:rFonts w:ascii="宋体" w:hAnsi="宋体" w:eastAsia="宋体" w:cs="宋体"/>
                <w:b w:val="0"/>
              </w:rPr>
              <w:t>688072</w:t>
            </w:r>
          </w:p>
        </w:tc>
        <w:tc>
          <w:tcPr>
            <w:tcW w:w="0" w:type="dxa"/>
            <w:vAlign w:val="center"/>
          </w:tcPr>
          <w:p w14:paraId="09C00D2D">
            <w:pPr>
              <w:spacing w:line="240" w:lineRule="auto"/>
              <w:jc w:val="left"/>
            </w:pPr>
            <w:r>
              <w:rPr>
                <w:rFonts w:ascii="宋体" w:hAnsi="宋体" w:eastAsia="宋体" w:cs="宋体"/>
                <w:b w:val="0"/>
              </w:rPr>
              <w:t>拓荆科技</w:t>
            </w:r>
          </w:p>
        </w:tc>
        <w:tc>
          <w:tcPr>
            <w:tcW w:w="0" w:type="dxa"/>
            <w:vAlign w:val="center"/>
          </w:tcPr>
          <w:p w14:paraId="105F8D12">
            <w:pPr>
              <w:spacing w:line="240" w:lineRule="auto"/>
              <w:jc w:val="right"/>
            </w:pPr>
            <w:r>
              <w:rPr>
                <w:rFonts w:ascii="宋体" w:hAnsi="宋体" w:eastAsia="宋体" w:cs="宋体"/>
                <w:b w:val="0"/>
              </w:rPr>
              <w:t>51,212,393.31</w:t>
            </w:r>
          </w:p>
        </w:tc>
        <w:tc>
          <w:tcPr>
            <w:tcW w:w="0" w:type="dxa"/>
            <w:vAlign w:val="center"/>
          </w:tcPr>
          <w:p w14:paraId="679D42D8">
            <w:pPr>
              <w:spacing w:line="240" w:lineRule="auto"/>
              <w:jc w:val="right"/>
            </w:pPr>
            <w:r>
              <w:rPr>
                <w:rFonts w:ascii="宋体" w:hAnsi="宋体" w:eastAsia="宋体" w:cs="宋体"/>
                <w:b w:val="0"/>
              </w:rPr>
              <w:t>5.48</w:t>
            </w:r>
          </w:p>
        </w:tc>
        <w:tc>
          <w:tcPr>
            <w:tcW w:w="0" w:type="dxa"/>
            <w:vAlign w:val="center"/>
          </w:tcPr>
          <w:p w14:paraId="2E46F9D5">
            <w:pPr>
              <w:spacing w:line="240" w:lineRule="auto"/>
              <w:jc w:val="left"/>
            </w:pPr>
            <w:r>
              <w:rPr>
                <w:rFonts w:ascii="宋体" w:hAnsi="宋体" w:eastAsia="宋体" w:cs="宋体"/>
                <w:b w:val="0"/>
              </w:rPr>
              <w:t>股票停牌</w:t>
            </w:r>
          </w:p>
        </w:tc>
      </w:tr>
    </w:tbl>
    <w:p w14:paraId="5B638FB9"/>
    <w:p w14:paraId="2F5715AE">
      <w:pPr>
        <w:pStyle w:val="58"/>
      </w:pPr>
      <w:r>
        <w:rPr>
          <w:rFonts w:ascii="宋体" w:hAnsi="宋体" w:eastAsia="宋体" w:cs="宋体"/>
          <w:b/>
        </w:rPr>
        <w:t>7.12.6 投资组合报告附注的其他文字描述部分</w:t>
      </w:r>
    </w:p>
    <w:p w14:paraId="04416227">
      <w:pPr>
        <w:jc w:val="left"/>
      </w:pPr>
      <w:r>
        <w:rPr>
          <w:rFonts w:ascii="宋体" w:hAnsi="宋体" w:eastAsia="宋体" w:cs="宋体"/>
          <w:b w:val="0"/>
        </w:rPr>
        <w:t xml:space="preserve">    由于四舍五入的原因，分项之和与合计项之间可能存在尾差。</w:t>
      </w:r>
    </w:p>
    <w:p w14:paraId="27CACFB4">
      <w:pPr>
        <w:pStyle w:val="2"/>
        <w:jc w:val="center"/>
      </w:pPr>
      <w:bookmarkStart w:id="45" w:name="_Toc8826"/>
      <w:r>
        <w:rPr>
          <w:rFonts w:ascii="宋体" w:hAnsi="宋体" w:eastAsia="宋体" w:cs="宋体"/>
        </w:rPr>
        <w:t>§8 基金份额持有人信息</w:t>
      </w:r>
      <w:bookmarkEnd w:id="45"/>
    </w:p>
    <w:p w14:paraId="65442D32">
      <w:pPr>
        <w:pStyle w:val="3"/>
        <w:jc w:val="left"/>
      </w:pPr>
      <w:bookmarkStart w:id="46" w:name="_Toc25339"/>
      <w:r>
        <w:rPr>
          <w:rFonts w:ascii="宋体" w:hAnsi="宋体" w:eastAsia="宋体" w:cs="宋体"/>
        </w:rPr>
        <w:t>8.1 期末基金份额持有人户数及持有人结构</w:t>
      </w:r>
      <w:bookmarkEnd w:id="46"/>
    </w:p>
    <w:p w14:paraId="6662DC56">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1163"/>
        <w:gridCol w:w="1163"/>
        <w:gridCol w:w="1163"/>
        <w:gridCol w:w="1474"/>
        <w:gridCol w:w="1686"/>
        <w:gridCol w:w="1474"/>
      </w:tblGrid>
      <w:tr w14:paraId="1092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14:paraId="47D41164">
            <w:pPr>
              <w:spacing w:line="240" w:lineRule="auto"/>
              <w:jc w:val="center"/>
            </w:pPr>
            <w:r>
              <w:rPr>
                <w:rFonts w:ascii="宋体" w:hAnsi="宋体" w:eastAsia="宋体" w:cs="宋体"/>
                <w:b w:val="0"/>
              </w:rPr>
              <w:t>份额级别</w:t>
            </w:r>
          </w:p>
        </w:tc>
        <w:tc>
          <w:tcPr>
            <w:tcW w:w="615" w:type="pct"/>
            <w:vMerge w:val="restart"/>
            <w:shd w:val="clear" w:color="auto" w:fill="D9D9D9"/>
            <w:vAlign w:val="center"/>
          </w:tcPr>
          <w:p w14:paraId="7567A9D4">
            <w:pPr>
              <w:spacing w:line="240" w:lineRule="auto"/>
              <w:jc w:val="center"/>
            </w:pPr>
            <w:r>
              <w:rPr>
                <w:rFonts w:ascii="宋体" w:hAnsi="宋体" w:eastAsia="宋体" w:cs="宋体"/>
                <w:b w:val="0"/>
              </w:rPr>
              <w:t>持有人户数（户）</w:t>
            </w:r>
          </w:p>
        </w:tc>
        <w:tc>
          <w:tcPr>
            <w:tcW w:w="615" w:type="pct"/>
            <w:vMerge w:val="restart"/>
            <w:shd w:val="clear" w:color="auto" w:fill="D9D9D9"/>
            <w:vAlign w:val="center"/>
          </w:tcPr>
          <w:p w14:paraId="208E9D40">
            <w:pPr>
              <w:spacing w:line="240" w:lineRule="auto"/>
              <w:jc w:val="center"/>
            </w:pPr>
            <w:r>
              <w:rPr>
                <w:rFonts w:ascii="宋体" w:hAnsi="宋体" w:eastAsia="宋体" w:cs="宋体"/>
                <w:b w:val="0"/>
              </w:rPr>
              <w:t>户均持有的基金份额</w:t>
            </w:r>
          </w:p>
        </w:tc>
        <w:tc>
          <w:tcPr>
            <w:tcW w:w="2769" w:type="pct"/>
            <w:gridSpan w:val="4"/>
            <w:shd w:val="clear" w:color="auto" w:fill="D9D9D9"/>
            <w:vAlign w:val="center"/>
          </w:tcPr>
          <w:p w14:paraId="16A5FBF6">
            <w:pPr>
              <w:spacing w:line="240" w:lineRule="auto"/>
              <w:jc w:val="center"/>
            </w:pPr>
            <w:r>
              <w:rPr>
                <w:rFonts w:ascii="宋体" w:hAnsi="宋体" w:eastAsia="宋体" w:cs="宋体"/>
                <w:b w:val="0"/>
              </w:rPr>
              <w:t>持有人结构</w:t>
            </w:r>
          </w:p>
        </w:tc>
      </w:tr>
      <w:tr w14:paraId="7C40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CA4C349"/>
        </w:tc>
        <w:tc>
          <w:tcPr>
            <w:vMerge w:val="continue"/>
          </w:tcPr>
          <w:p w14:paraId="71DA411D"/>
        </w:tc>
        <w:tc>
          <w:tcPr>
            <w:vMerge w:val="continue"/>
          </w:tcPr>
          <w:p w14:paraId="7BBDB04D"/>
        </w:tc>
        <w:tc>
          <w:tcPr>
            <w:tcW w:w="1385" w:type="pct"/>
            <w:gridSpan w:val="2"/>
            <w:shd w:val="clear" w:color="auto" w:fill="D9D9D9"/>
            <w:vAlign w:val="center"/>
          </w:tcPr>
          <w:p w14:paraId="163EF7FB">
            <w:pPr>
              <w:spacing w:line="240" w:lineRule="auto"/>
              <w:jc w:val="center"/>
            </w:pPr>
            <w:r>
              <w:rPr>
                <w:rFonts w:ascii="宋体" w:hAnsi="宋体" w:eastAsia="宋体" w:cs="宋体"/>
                <w:b w:val="0"/>
              </w:rPr>
              <w:t>机构投资者</w:t>
            </w:r>
          </w:p>
        </w:tc>
        <w:tc>
          <w:tcPr>
            <w:tcW w:w="1385" w:type="pct"/>
            <w:gridSpan w:val="2"/>
            <w:shd w:val="clear" w:color="auto" w:fill="D9D9D9"/>
            <w:vAlign w:val="center"/>
          </w:tcPr>
          <w:p w14:paraId="304D9A3E">
            <w:pPr>
              <w:spacing w:line="240" w:lineRule="auto"/>
              <w:jc w:val="center"/>
            </w:pPr>
            <w:r>
              <w:rPr>
                <w:rFonts w:ascii="宋体" w:hAnsi="宋体" w:eastAsia="宋体" w:cs="宋体"/>
                <w:b w:val="0"/>
              </w:rPr>
              <w:t>个人投资者</w:t>
            </w:r>
          </w:p>
        </w:tc>
      </w:tr>
      <w:tr w14:paraId="70CB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B0225B6"/>
        </w:tc>
        <w:tc>
          <w:tcPr>
            <w:vMerge w:val="continue"/>
          </w:tcPr>
          <w:p w14:paraId="2749F0C2"/>
        </w:tc>
        <w:tc>
          <w:tcPr>
            <w:vMerge w:val="continue"/>
          </w:tcPr>
          <w:p w14:paraId="1C849DC9"/>
        </w:tc>
        <w:tc>
          <w:tcPr>
            <w:tcW w:w="615" w:type="pct"/>
            <w:shd w:val="clear" w:color="auto" w:fill="D9D9D9"/>
            <w:vAlign w:val="center"/>
          </w:tcPr>
          <w:p w14:paraId="013DF5A8">
            <w:pPr>
              <w:spacing w:line="240" w:lineRule="auto"/>
              <w:jc w:val="center"/>
            </w:pPr>
            <w:r>
              <w:rPr>
                <w:rFonts w:ascii="宋体" w:hAnsi="宋体" w:eastAsia="宋体" w:cs="宋体"/>
                <w:b w:val="0"/>
              </w:rPr>
              <w:t>持有份额</w:t>
            </w:r>
          </w:p>
        </w:tc>
        <w:tc>
          <w:tcPr>
            <w:tcW w:w="769" w:type="pct"/>
            <w:shd w:val="clear" w:color="auto" w:fill="D9D9D9"/>
            <w:vAlign w:val="center"/>
          </w:tcPr>
          <w:p w14:paraId="3C169A19">
            <w:pPr>
              <w:spacing w:line="240" w:lineRule="auto"/>
              <w:jc w:val="center"/>
            </w:pPr>
            <w:r>
              <w:rPr>
                <w:rFonts w:ascii="宋体" w:hAnsi="宋体" w:eastAsia="宋体" w:cs="宋体"/>
                <w:b w:val="0"/>
              </w:rPr>
              <w:t>占总份额比例</w:t>
            </w:r>
          </w:p>
        </w:tc>
        <w:tc>
          <w:tcPr>
            <w:tcW w:w="615" w:type="pct"/>
            <w:shd w:val="clear" w:color="auto" w:fill="D9D9D9"/>
            <w:vAlign w:val="center"/>
          </w:tcPr>
          <w:p w14:paraId="0C15F6EB">
            <w:pPr>
              <w:spacing w:line="240" w:lineRule="auto"/>
              <w:jc w:val="center"/>
            </w:pPr>
            <w:r>
              <w:rPr>
                <w:rFonts w:ascii="宋体" w:hAnsi="宋体" w:eastAsia="宋体" w:cs="宋体"/>
                <w:b w:val="0"/>
              </w:rPr>
              <w:t>持有份额</w:t>
            </w:r>
          </w:p>
        </w:tc>
        <w:tc>
          <w:tcPr>
            <w:tcW w:w="769" w:type="pct"/>
            <w:shd w:val="clear" w:color="auto" w:fill="D9D9D9"/>
            <w:vAlign w:val="center"/>
          </w:tcPr>
          <w:p w14:paraId="213632BE">
            <w:pPr>
              <w:spacing w:line="240" w:lineRule="auto"/>
              <w:jc w:val="center"/>
            </w:pPr>
            <w:r>
              <w:rPr>
                <w:rFonts w:ascii="宋体" w:hAnsi="宋体" w:eastAsia="宋体" w:cs="宋体"/>
                <w:b w:val="0"/>
              </w:rPr>
              <w:t>占总份额比例</w:t>
            </w:r>
          </w:p>
        </w:tc>
      </w:tr>
      <w:tr w14:paraId="6FEF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CFC3E9">
            <w:pPr>
              <w:spacing w:line="240" w:lineRule="auto"/>
              <w:jc w:val="center"/>
            </w:pPr>
            <w:r>
              <w:rPr>
                <w:rFonts w:ascii="宋体" w:hAnsi="宋体" w:eastAsia="宋体" w:cs="宋体"/>
                <w:b w:val="0"/>
              </w:rPr>
              <w:t>东方阿尔法科技优选混合发起A</w:t>
            </w:r>
          </w:p>
        </w:tc>
        <w:tc>
          <w:tcPr>
            <w:tcW w:w="0" w:type="dxa"/>
            <w:vAlign w:val="center"/>
          </w:tcPr>
          <w:p w14:paraId="56B89933">
            <w:pPr>
              <w:spacing w:line="240" w:lineRule="auto"/>
              <w:jc w:val="right"/>
            </w:pPr>
            <w:r>
              <w:rPr>
                <w:rFonts w:ascii="宋体" w:hAnsi="宋体" w:eastAsia="宋体" w:cs="宋体"/>
                <w:b w:val="0"/>
              </w:rPr>
              <w:t>4,148</w:t>
            </w:r>
          </w:p>
        </w:tc>
        <w:tc>
          <w:tcPr>
            <w:tcW w:w="0" w:type="dxa"/>
            <w:vAlign w:val="center"/>
          </w:tcPr>
          <w:p w14:paraId="4C65B233">
            <w:pPr>
              <w:spacing w:line="240" w:lineRule="auto"/>
              <w:jc w:val="right"/>
            </w:pPr>
            <w:r>
              <w:rPr>
                <w:rFonts w:ascii="宋体" w:hAnsi="宋体" w:eastAsia="宋体" w:cs="宋体"/>
                <w:b w:val="0"/>
              </w:rPr>
              <w:t>8,676.69</w:t>
            </w:r>
          </w:p>
        </w:tc>
        <w:tc>
          <w:tcPr>
            <w:tcW w:w="0" w:type="dxa"/>
            <w:vAlign w:val="center"/>
          </w:tcPr>
          <w:p w14:paraId="13BED480">
            <w:pPr>
              <w:spacing w:line="240" w:lineRule="auto"/>
              <w:jc w:val="right"/>
            </w:pPr>
            <w:r>
              <w:rPr>
                <w:rFonts w:ascii="宋体" w:hAnsi="宋体" w:eastAsia="宋体" w:cs="宋体"/>
                <w:b w:val="0"/>
              </w:rPr>
              <w:t>0.00</w:t>
            </w:r>
          </w:p>
        </w:tc>
        <w:tc>
          <w:tcPr>
            <w:tcW w:w="0" w:type="dxa"/>
            <w:vAlign w:val="center"/>
          </w:tcPr>
          <w:p w14:paraId="1E1EE682">
            <w:pPr>
              <w:spacing w:line="240" w:lineRule="auto"/>
              <w:jc w:val="right"/>
            </w:pPr>
            <w:r>
              <w:rPr>
                <w:rFonts w:ascii="宋体" w:hAnsi="宋体" w:eastAsia="宋体" w:cs="宋体"/>
                <w:b w:val="0"/>
              </w:rPr>
              <w:t>0.00%</w:t>
            </w:r>
          </w:p>
        </w:tc>
        <w:tc>
          <w:tcPr>
            <w:tcW w:w="0" w:type="dxa"/>
            <w:vAlign w:val="center"/>
          </w:tcPr>
          <w:p w14:paraId="4DC63396">
            <w:pPr>
              <w:spacing w:line="240" w:lineRule="auto"/>
              <w:jc w:val="right"/>
            </w:pPr>
            <w:r>
              <w:rPr>
                <w:rFonts w:ascii="宋体" w:hAnsi="宋体" w:eastAsia="宋体" w:cs="宋体"/>
                <w:b w:val="0"/>
              </w:rPr>
              <w:t>35,990,901.20</w:t>
            </w:r>
          </w:p>
        </w:tc>
        <w:tc>
          <w:tcPr>
            <w:tcW w:w="0" w:type="dxa"/>
            <w:vAlign w:val="center"/>
          </w:tcPr>
          <w:p w14:paraId="6E86A1D3">
            <w:pPr>
              <w:spacing w:line="240" w:lineRule="auto"/>
              <w:jc w:val="right"/>
            </w:pPr>
            <w:r>
              <w:rPr>
                <w:rFonts w:ascii="宋体" w:hAnsi="宋体" w:eastAsia="宋体" w:cs="宋体"/>
                <w:b w:val="0"/>
              </w:rPr>
              <w:t>100.00%</w:t>
            </w:r>
          </w:p>
        </w:tc>
      </w:tr>
      <w:tr w14:paraId="66B5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B0DA59">
            <w:pPr>
              <w:spacing w:line="240" w:lineRule="auto"/>
              <w:jc w:val="center"/>
            </w:pPr>
            <w:r>
              <w:rPr>
                <w:rFonts w:ascii="宋体" w:hAnsi="宋体" w:eastAsia="宋体" w:cs="宋体"/>
                <w:b w:val="0"/>
              </w:rPr>
              <w:t>东方阿尔法科技优选混合发起C</w:t>
            </w:r>
          </w:p>
        </w:tc>
        <w:tc>
          <w:tcPr>
            <w:tcW w:w="0" w:type="dxa"/>
            <w:vAlign w:val="center"/>
          </w:tcPr>
          <w:p w14:paraId="24F61F61">
            <w:pPr>
              <w:spacing w:line="240" w:lineRule="auto"/>
              <w:jc w:val="right"/>
            </w:pPr>
            <w:r>
              <w:rPr>
                <w:rFonts w:ascii="宋体" w:hAnsi="宋体" w:eastAsia="宋体" w:cs="宋体"/>
                <w:b w:val="0"/>
              </w:rPr>
              <w:t>79,367</w:t>
            </w:r>
          </w:p>
        </w:tc>
        <w:tc>
          <w:tcPr>
            <w:tcW w:w="0" w:type="dxa"/>
            <w:vAlign w:val="center"/>
          </w:tcPr>
          <w:p w14:paraId="0EBF73BD">
            <w:pPr>
              <w:spacing w:line="240" w:lineRule="auto"/>
              <w:jc w:val="right"/>
            </w:pPr>
            <w:r>
              <w:rPr>
                <w:rFonts w:ascii="宋体" w:hAnsi="宋体" w:eastAsia="宋体" w:cs="宋体"/>
                <w:b w:val="0"/>
              </w:rPr>
              <w:t>4,351.52</w:t>
            </w:r>
          </w:p>
        </w:tc>
        <w:tc>
          <w:tcPr>
            <w:tcW w:w="0" w:type="dxa"/>
            <w:vAlign w:val="center"/>
          </w:tcPr>
          <w:p w14:paraId="1405350A">
            <w:pPr>
              <w:spacing w:line="240" w:lineRule="auto"/>
              <w:jc w:val="right"/>
            </w:pPr>
            <w:r>
              <w:rPr>
                <w:rFonts w:ascii="宋体" w:hAnsi="宋体" w:eastAsia="宋体" w:cs="宋体"/>
                <w:b w:val="0"/>
              </w:rPr>
              <w:t>70,132.74</w:t>
            </w:r>
          </w:p>
        </w:tc>
        <w:tc>
          <w:tcPr>
            <w:tcW w:w="0" w:type="dxa"/>
            <w:vAlign w:val="center"/>
          </w:tcPr>
          <w:p w14:paraId="136CC12C">
            <w:pPr>
              <w:spacing w:line="240" w:lineRule="auto"/>
              <w:jc w:val="right"/>
            </w:pPr>
            <w:r>
              <w:rPr>
                <w:rFonts w:ascii="宋体" w:hAnsi="宋体" w:eastAsia="宋体" w:cs="宋体"/>
                <w:b w:val="0"/>
              </w:rPr>
              <w:t>0.02%</w:t>
            </w:r>
          </w:p>
        </w:tc>
        <w:tc>
          <w:tcPr>
            <w:tcW w:w="0" w:type="dxa"/>
            <w:vAlign w:val="center"/>
          </w:tcPr>
          <w:p w14:paraId="301135CB">
            <w:pPr>
              <w:spacing w:line="240" w:lineRule="auto"/>
              <w:jc w:val="right"/>
            </w:pPr>
            <w:r>
              <w:rPr>
                <w:rFonts w:ascii="宋体" w:hAnsi="宋体" w:eastAsia="宋体" w:cs="宋体"/>
                <w:b w:val="0"/>
              </w:rPr>
              <w:t>345,297,213.83</w:t>
            </w:r>
          </w:p>
        </w:tc>
        <w:tc>
          <w:tcPr>
            <w:tcW w:w="0" w:type="dxa"/>
            <w:vAlign w:val="center"/>
          </w:tcPr>
          <w:p w14:paraId="6D7A2676">
            <w:pPr>
              <w:spacing w:line="240" w:lineRule="auto"/>
              <w:jc w:val="right"/>
            </w:pPr>
            <w:r>
              <w:rPr>
                <w:rFonts w:ascii="宋体" w:hAnsi="宋体" w:eastAsia="宋体" w:cs="宋体"/>
                <w:b w:val="0"/>
              </w:rPr>
              <w:t>99.98%</w:t>
            </w:r>
          </w:p>
        </w:tc>
      </w:tr>
      <w:tr w14:paraId="082B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99AD00">
            <w:pPr>
              <w:spacing w:line="240" w:lineRule="auto"/>
              <w:jc w:val="center"/>
            </w:pPr>
            <w:r>
              <w:rPr>
                <w:rFonts w:ascii="宋体" w:hAnsi="宋体" w:eastAsia="宋体" w:cs="宋体"/>
                <w:b w:val="0"/>
              </w:rPr>
              <w:t>合计</w:t>
            </w:r>
          </w:p>
        </w:tc>
        <w:tc>
          <w:tcPr>
            <w:tcW w:w="0" w:type="dxa"/>
            <w:vAlign w:val="center"/>
          </w:tcPr>
          <w:p w14:paraId="04A7B604">
            <w:pPr>
              <w:spacing w:line="240" w:lineRule="auto"/>
              <w:jc w:val="right"/>
            </w:pPr>
            <w:r>
              <w:rPr>
                <w:rFonts w:ascii="宋体" w:hAnsi="宋体" w:eastAsia="宋体" w:cs="宋体"/>
                <w:b w:val="0"/>
              </w:rPr>
              <w:t>83,515</w:t>
            </w:r>
          </w:p>
        </w:tc>
        <w:tc>
          <w:tcPr>
            <w:tcW w:w="0" w:type="dxa"/>
            <w:vAlign w:val="center"/>
          </w:tcPr>
          <w:p w14:paraId="13364EF3">
            <w:pPr>
              <w:spacing w:line="240" w:lineRule="auto"/>
              <w:jc w:val="right"/>
            </w:pPr>
            <w:r>
              <w:rPr>
                <w:rFonts w:ascii="宋体" w:hAnsi="宋体" w:eastAsia="宋体" w:cs="宋体"/>
                <w:b w:val="0"/>
              </w:rPr>
              <w:t>4,566.34</w:t>
            </w:r>
          </w:p>
        </w:tc>
        <w:tc>
          <w:tcPr>
            <w:tcW w:w="0" w:type="dxa"/>
            <w:vAlign w:val="center"/>
          </w:tcPr>
          <w:p w14:paraId="29AD7636">
            <w:pPr>
              <w:spacing w:line="240" w:lineRule="auto"/>
              <w:jc w:val="right"/>
            </w:pPr>
            <w:r>
              <w:rPr>
                <w:rFonts w:ascii="宋体" w:hAnsi="宋体" w:eastAsia="宋体" w:cs="宋体"/>
                <w:b w:val="0"/>
              </w:rPr>
              <w:t>70,132.74</w:t>
            </w:r>
          </w:p>
        </w:tc>
        <w:tc>
          <w:tcPr>
            <w:tcW w:w="0" w:type="dxa"/>
            <w:vAlign w:val="center"/>
          </w:tcPr>
          <w:p w14:paraId="639030E1">
            <w:pPr>
              <w:spacing w:line="240" w:lineRule="auto"/>
              <w:jc w:val="right"/>
            </w:pPr>
            <w:r>
              <w:rPr>
                <w:rFonts w:ascii="宋体" w:hAnsi="宋体" w:eastAsia="宋体" w:cs="宋体"/>
                <w:b w:val="0"/>
              </w:rPr>
              <w:t>0.02%</w:t>
            </w:r>
          </w:p>
        </w:tc>
        <w:tc>
          <w:tcPr>
            <w:tcW w:w="0" w:type="dxa"/>
            <w:vAlign w:val="center"/>
          </w:tcPr>
          <w:p w14:paraId="053E066B">
            <w:pPr>
              <w:spacing w:line="240" w:lineRule="auto"/>
              <w:jc w:val="right"/>
            </w:pPr>
            <w:r>
              <w:rPr>
                <w:rFonts w:ascii="宋体" w:hAnsi="宋体" w:eastAsia="宋体" w:cs="宋体"/>
                <w:b w:val="0"/>
              </w:rPr>
              <w:t>381,288,115.03</w:t>
            </w:r>
          </w:p>
        </w:tc>
        <w:tc>
          <w:tcPr>
            <w:tcW w:w="0" w:type="dxa"/>
            <w:vAlign w:val="center"/>
          </w:tcPr>
          <w:p w14:paraId="757FBF1E">
            <w:pPr>
              <w:spacing w:line="240" w:lineRule="auto"/>
              <w:jc w:val="right"/>
            </w:pPr>
            <w:r>
              <w:rPr>
                <w:rFonts w:ascii="宋体" w:hAnsi="宋体" w:eastAsia="宋体" w:cs="宋体"/>
                <w:b w:val="0"/>
              </w:rPr>
              <w:t>99.98%</w:t>
            </w:r>
          </w:p>
        </w:tc>
      </w:tr>
    </w:tbl>
    <w:p w14:paraId="181B4665">
      <w:r>
        <w:rPr>
          <w:rFonts w:ascii="宋体" w:hAnsi="宋体" w:eastAsia="宋体" w:cs="宋体"/>
          <w:b w:val="0"/>
        </w:rPr>
        <w:t>注：本基金机构/个人投资者持有份额占总份额比例的计算中，对下属不同类别的基金，比例的分母采用各自级别的份额；对合计数，比例的分母采用期末基金份额总额。</w:t>
      </w:r>
      <w:r>
        <w:rPr>
          <w:rFonts w:ascii="宋体" w:hAnsi="宋体" w:eastAsia="宋体" w:cs="宋体"/>
          <w:b w:val="0"/>
        </w:rPr>
        <w:br w:type="textWrapping"/>
      </w:r>
      <w:r>
        <w:rPr>
          <w:rFonts w:ascii="宋体" w:hAnsi="宋体" w:eastAsia="宋体" w:cs="宋体"/>
          <w:b w:val="0"/>
        </w:rPr>
        <w:t>户均持有的基金份额的合计数=期末基金份额总额/期末持有人户数合计。</w:t>
      </w:r>
    </w:p>
    <w:p w14:paraId="68520056"/>
    <w:p w14:paraId="6B7ADE68">
      <w:pPr>
        <w:pStyle w:val="3"/>
        <w:jc w:val="left"/>
      </w:pPr>
      <w:bookmarkStart w:id="47" w:name="_Toc23997"/>
      <w:r>
        <w:rPr>
          <w:rFonts w:ascii="宋体" w:hAnsi="宋体" w:eastAsia="宋体" w:cs="宋体"/>
        </w:rPr>
        <w:t>8.2 盈利投资者数量占比</w:t>
      </w:r>
      <w:bookmarkEnd w:id="4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6"/>
        <w:gridCol w:w="5000"/>
      </w:tblGrid>
      <w:tr w14:paraId="3F83495E">
        <w:tblPrEx>
          <w:tblCellMar>
            <w:top w:w="0" w:type="dxa"/>
            <w:left w:w="108" w:type="dxa"/>
            <w:bottom w:w="0" w:type="dxa"/>
            <w:right w:w="108" w:type="dxa"/>
          </w:tblCellMar>
        </w:tblPrEx>
        <w:tc>
          <w:tcPr>
            <w:tcW w:w="2308" w:type="pct"/>
            <w:shd w:val="clear" w:color="auto" w:fill="D9D9D9"/>
            <w:vAlign w:val="center"/>
          </w:tcPr>
          <w:p w14:paraId="4B3E5002">
            <w:pPr>
              <w:spacing w:line="240" w:lineRule="auto"/>
              <w:jc w:val="center"/>
            </w:pPr>
            <w:r>
              <w:rPr>
                <w:rFonts w:ascii="宋体" w:hAnsi="宋体" w:eastAsia="宋体" w:cs="宋体"/>
                <w:b w:val="0"/>
              </w:rPr>
              <w:t>项目</w:t>
            </w:r>
          </w:p>
        </w:tc>
        <w:tc>
          <w:tcPr>
            <w:tcW w:w="2692" w:type="pct"/>
            <w:shd w:val="clear" w:color="auto" w:fill="D9D9D9"/>
            <w:vAlign w:val="center"/>
          </w:tcPr>
          <w:p w14:paraId="45D7561E">
            <w:pPr>
              <w:spacing w:line="240" w:lineRule="auto"/>
              <w:jc w:val="center"/>
            </w:pPr>
            <w:r>
              <w:rPr>
                <w:rFonts w:ascii="宋体" w:hAnsi="宋体" w:eastAsia="宋体" w:cs="宋体"/>
                <w:b w:val="0"/>
              </w:rPr>
              <w:t>过去一年（2025年07月01日-2026年06月30日）</w:t>
            </w:r>
          </w:p>
        </w:tc>
      </w:tr>
      <w:tr w14:paraId="6FD8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79A675">
            <w:pPr>
              <w:spacing w:line="240" w:lineRule="auto"/>
              <w:jc w:val="center"/>
            </w:pPr>
            <w:r>
              <w:rPr>
                <w:rFonts w:ascii="宋体" w:hAnsi="宋体" w:eastAsia="宋体" w:cs="宋体"/>
                <w:b w:val="0"/>
              </w:rPr>
              <w:t>盈利投资者数量占比</w:t>
            </w:r>
          </w:p>
        </w:tc>
        <w:tc>
          <w:tcPr>
            <w:tcW w:w="0" w:type="dxa"/>
            <w:vAlign w:val="center"/>
          </w:tcPr>
          <w:p w14:paraId="54C5A930">
            <w:pPr>
              <w:spacing w:line="240" w:lineRule="auto"/>
              <w:jc w:val="right"/>
            </w:pPr>
            <w:r>
              <w:rPr>
                <w:rFonts w:ascii="宋体" w:hAnsi="宋体" w:eastAsia="宋体" w:cs="宋体"/>
                <w:b w:val="0"/>
              </w:rPr>
              <w:t>82.98%</w:t>
            </w:r>
          </w:p>
        </w:tc>
      </w:tr>
    </w:tbl>
    <w:p w14:paraId="141014C0"/>
    <w:p w14:paraId="48144B92">
      <w:pPr>
        <w:pStyle w:val="3"/>
        <w:jc w:val="left"/>
      </w:pPr>
      <w:bookmarkStart w:id="48" w:name="_Toc1882"/>
      <w:r>
        <w:rPr>
          <w:rFonts w:ascii="宋体" w:hAnsi="宋体" w:eastAsia="宋体" w:cs="宋体"/>
        </w:rPr>
        <w:t>8.3 期末基金管理人的从业人员持有本基金的情况</w:t>
      </w:r>
      <w:bookmarkEnd w:id="4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72"/>
        <w:gridCol w:w="1857"/>
        <w:gridCol w:w="2001"/>
      </w:tblGrid>
      <w:tr w14:paraId="57CE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419058AA">
            <w:pPr>
              <w:spacing w:line="240" w:lineRule="auto"/>
              <w:jc w:val="center"/>
            </w:pPr>
            <w:r>
              <w:rPr>
                <w:rFonts w:ascii="宋体" w:hAnsi="宋体" w:eastAsia="宋体" w:cs="宋体"/>
                <w:b w:val="0"/>
              </w:rPr>
              <w:t>项目</w:t>
            </w:r>
          </w:p>
        </w:tc>
        <w:tc>
          <w:tcPr>
            <w:tcW w:w="1385" w:type="pct"/>
            <w:shd w:val="clear" w:color="auto" w:fill="D9D9D9"/>
            <w:vAlign w:val="center"/>
          </w:tcPr>
          <w:p w14:paraId="52BC9874">
            <w:pPr>
              <w:spacing w:line="240" w:lineRule="auto"/>
              <w:jc w:val="center"/>
            </w:pPr>
            <w:r>
              <w:rPr>
                <w:rFonts w:ascii="宋体" w:hAnsi="宋体" w:eastAsia="宋体" w:cs="宋体"/>
                <w:b w:val="0"/>
              </w:rPr>
              <w:t>份额级别</w:t>
            </w:r>
          </w:p>
        </w:tc>
        <w:tc>
          <w:tcPr>
            <w:tcW w:w="1000" w:type="pct"/>
            <w:shd w:val="clear" w:color="auto" w:fill="D9D9D9"/>
            <w:vAlign w:val="center"/>
          </w:tcPr>
          <w:p w14:paraId="0726D627">
            <w:pPr>
              <w:spacing w:line="240" w:lineRule="auto"/>
              <w:jc w:val="center"/>
            </w:pPr>
            <w:r>
              <w:rPr>
                <w:rFonts w:ascii="宋体" w:hAnsi="宋体" w:eastAsia="宋体" w:cs="宋体"/>
                <w:b w:val="0"/>
              </w:rPr>
              <w:t>持有份额总数（份）</w:t>
            </w:r>
          </w:p>
        </w:tc>
        <w:tc>
          <w:tcPr>
            <w:tcW w:w="1154" w:type="pct"/>
            <w:shd w:val="clear" w:color="auto" w:fill="D9D9D9"/>
            <w:vAlign w:val="center"/>
          </w:tcPr>
          <w:p w14:paraId="2FD48DE4">
            <w:pPr>
              <w:spacing w:line="240" w:lineRule="auto"/>
              <w:jc w:val="center"/>
            </w:pPr>
            <w:r>
              <w:rPr>
                <w:rFonts w:ascii="宋体" w:hAnsi="宋体" w:eastAsia="宋体" w:cs="宋体"/>
                <w:b w:val="0"/>
              </w:rPr>
              <w:t>占基金总份额比例</w:t>
            </w:r>
          </w:p>
        </w:tc>
      </w:tr>
      <w:tr w14:paraId="3C1D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301D7324">
            <w:pPr>
              <w:spacing w:line="240" w:lineRule="auto"/>
              <w:jc w:val="left"/>
            </w:pPr>
            <w:r>
              <w:rPr>
                <w:rFonts w:ascii="宋体" w:hAnsi="宋体" w:eastAsia="宋体" w:cs="宋体"/>
                <w:b w:val="0"/>
              </w:rPr>
              <w:t>基金管理人所有从业人员持有本基金</w:t>
            </w:r>
          </w:p>
        </w:tc>
        <w:tc>
          <w:tcPr>
            <w:tcW w:w="0" w:type="dxa"/>
            <w:vAlign w:val="center"/>
          </w:tcPr>
          <w:p w14:paraId="47A99F4F">
            <w:pPr>
              <w:spacing w:line="240" w:lineRule="auto"/>
              <w:jc w:val="left"/>
            </w:pPr>
            <w:r>
              <w:rPr>
                <w:rFonts w:ascii="宋体" w:hAnsi="宋体" w:eastAsia="宋体" w:cs="宋体"/>
                <w:b w:val="0"/>
              </w:rPr>
              <w:t>东方阿尔法科技优选混合发起A</w:t>
            </w:r>
          </w:p>
        </w:tc>
        <w:tc>
          <w:tcPr>
            <w:tcW w:w="0" w:type="dxa"/>
            <w:vAlign w:val="center"/>
          </w:tcPr>
          <w:p w14:paraId="471944D3">
            <w:pPr>
              <w:spacing w:line="240" w:lineRule="auto"/>
              <w:jc w:val="right"/>
            </w:pPr>
            <w:r>
              <w:rPr>
                <w:rFonts w:ascii="宋体" w:hAnsi="宋体" w:eastAsia="宋体" w:cs="宋体"/>
                <w:b w:val="0"/>
              </w:rPr>
              <w:t>11,844,747.41</w:t>
            </w:r>
          </w:p>
        </w:tc>
        <w:tc>
          <w:tcPr>
            <w:tcW w:w="0" w:type="dxa"/>
            <w:vAlign w:val="center"/>
          </w:tcPr>
          <w:p w14:paraId="22143BC9">
            <w:pPr>
              <w:spacing w:line="240" w:lineRule="auto"/>
              <w:jc w:val="right"/>
            </w:pPr>
            <w:r>
              <w:rPr>
                <w:rFonts w:ascii="宋体" w:hAnsi="宋体" w:eastAsia="宋体" w:cs="宋体"/>
                <w:b w:val="0"/>
              </w:rPr>
              <w:t>32.91%</w:t>
            </w:r>
          </w:p>
        </w:tc>
      </w:tr>
      <w:tr w14:paraId="4755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3F3EF5A"/>
        </w:tc>
        <w:tc>
          <w:tcPr>
            <w:tcW w:w="0" w:type="dxa"/>
            <w:vAlign w:val="center"/>
          </w:tcPr>
          <w:p w14:paraId="231DCB51">
            <w:pPr>
              <w:spacing w:line="240" w:lineRule="auto"/>
              <w:jc w:val="left"/>
            </w:pPr>
            <w:r>
              <w:rPr>
                <w:rFonts w:ascii="宋体" w:hAnsi="宋体" w:eastAsia="宋体" w:cs="宋体"/>
                <w:b w:val="0"/>
              </w:rPr>
              <w:t>东方阿尔法科技优选混合发起C</w:t>
            </w:r>
          </w:p>
        </w:tc>
        <w:tc>
          <w:tcPr>
            <w:tcW w:w="0" w:type="dxa"/>
            <w:vAlign w:val="center"/>
          </w:tcPr>
          <w:p w14:paraId="728302D0">
            <w:pPr>
              <w:spacing w:line="240" w:lineRule="auto"/>
              <w:jc w:val="right"/>
            </w:pPr>
            <w:r>
              <w:rPr>
                <w:rFonts w:ascii="宋体" w:hAnsi="宋体" w:eastAsia="宋体" w:cs="宋体"/>
                <w:b w:val="0"/>
              </w:rPr>
              <w:t>4,180.13</w:t>
            </w:r>
          </w:p>
        </w:tc>
        <w:tc>
          <w:tcPr>
            <w:tcW w:w="0" w:type="dxa"/>
            <w:vAlign w:val="center"/>
          </w:tcPr>
          <w:p w14:paraId="7D7B78D1">
            <w:pPr>
              <w:spacing w:line="240" w:lineRule="auto"/>
              <w:jc w:val="right"/>
            </w:pPr>
            <w:r>
              <w:rPr>
                <w:rFonts w:ascii="宋体" w:hAnsi="宋体" w:eastAsia="宋体" w:cs="宋体"/>
                <w:b w:val="0"/>
              </w:rPr>
              <w:t>0.00%</w:t>
            </w:r>
          </w:p>
        </w:tc>
      </w:tr>
      <w:tr w14:paraId="3C02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578716D"/>
        </w:tc>
        <w:tc>
          <w:tcPr>
            <w:tcW w:w="0" w:type="dxa"/>
            <w:vAlign w:val="center"/>
          </w:tcPr>
          <w:p w14:paraId="15FD1396">
            <w:pPr>
              <w:spacing w:line="240" w:lineRule="auto"/>
              <w:jc w:val="center"/>
            </w:pPr>
            <w:r>
              <w:rPr>
                <w:rFonts w:ascii="宋体" w:hAnsi="宋体" w:eastAsia="宋体" w:cs="宋体"/>
                <w:b w:val="0"/>
              </w:rPr>
              <w:t>合计</w:t>
            </w:r>
          </w:p>
        </w:tc>
        <w:tc>
          <w:tcPr>
            <w:tcW w:w="0" w:type="dxa"/>
            <w:vAlign w:val="center"/>
          </w:tcPr>
          <w:p w14:paraId="4EC9799F">
            <w:pPr>
              <w:spacing w:line="240" w:lineRule="auto"/>
              <w:jc w:val="right"/>
            </w:pPr>
            <w:r>
              <w:rPr>
                <w:rFonts w:ascii="宋体" w:hAnsi="宋体" w:eastAsia="宋体" w:cs="宋体"/>
                <w:b w:val="0"/>
              </w:rPr>
              <w:t>11,848,927.54</w:t>
            </w:r>
          </w:p>
        </w:tc>
        <w:tc>
          <w:tcPr>
            <w:tcW w:w="0" w:type="dxa"/>
            <w:vAlign w:val="center"/>
          </w:tcPr>
          <w:p w14:paraId="1023909C">
            <w:pPr>
              <w:spacing w:line="240" w:lineRule="auto"/>
              <w:jc w:val="right"/>
            </w:pPr>
            <w:r>
              <w:rPr>
                <w:rFonts w:ascii="宋体" w:hAnsi="宋体" w:eastAsia="宋体" w:cs="宋体"/>
                <w:b w:val="0"/>
              </w:rPr>
              <w:t>3.11%</w:t>
            </w:r>
          </w:p>
        </w:tc>
      </w:tr>
    </w:tbl>
    <w:p w14:paraId="00181FAB">
      <w:r>
        <w:rPr>
          <w:rFonts w:ascii="宋体" w:hAnsi="宋体" w:eastAsia="宋体" w:cs="宋体"/>
          <w:b w:val="0"/>
        </w:rPr>
        <w:t>注：从业人员持有基金占基金总份额比例的计算中，对下属分级基金，比例的分母采用各自级别的份额，对合计数，比例的分母采用下属分级基金份额的合计数（即期末基金份额总额）。</w:t>
      </w:r>
    </w:p>
    <w:p w14:paraId="2B309F42"/>
    <w:p w14:paraId="5F29B1AC">
      <w:pPr>
        <w:pStyle w:val="3"/>
        <w:jc w:val="left"/>
      </w:pPr>
      <w:bookmarkStart w:id="49" w:name="_Toc4294"/>
      <w:r>
        <w:rPr>
          <w:rFonts w:ascii="宋体" w:hAnsi="宋体" w:eastAsia="宋体" w:cs="宋体"/>
        </w:rPr>
        <w:t>8.4 期末基金管理人的从业人员持有本开放式基金份额总量区间情况</w:t>
      </w:r>
      <w:bookmarkEnd w:id="4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2B05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59366900">
            <w:pPr>
              <w:spacing w:line="240" w:lineRule="auto"/>
              <w:jc w:val="center"/>
            </w:pPr>
            <w:r>
              <w:rPr>
                <w:rFonts w:ascii="宋体" w:hAnsi="宋体" w:eastAsia="宋体" w:cs="宋体"/>
                <w:b w:val="0"/>
              </w:rPr>
              <w:t>项目</w:t>
            </w:r>
          </w:p>
        </w:tc>
        <w:tc>
          <w:tcPr>
            <w:tcW w:w="1538" w:type="pct"/>
            <w:shd w:val="clear" w:color="auto" w:fill="D9D9D9"/>
            <w:vAlign w:val="center"/>
          </w:tcPr>
          <w:p w14:paraId="1B61B0EA">
            <w:pPr>
              <w:spacing w:line="240" w:lineRule="auto"/>
              <w:jc w:val="center"/>
            </w:pPr>
            <w:r>
              <w:rPr>
                <w:rFonts w:ascii="宋体" w:hAnsi="宋体" w:eastAsia="宋体" w:cs="宋体"/>
                <w:b w:val="0"/>
              </w:rPr>
              <w:t>份额级别</w:t>
            </w:r>
          </w:p>
        </w:tc>
        <w:tc>
          <w:tcPr>
            <w:tcW w:w="1538" w:type="pct"/>
            <w:shd w:val="clear" w:color="auto" w:fill="D9D9D9"/>
            <w:vAlign w:val="center"/>
          </w:tcPr>
          <w:p w14:paraId="3F370630">
            <w:pPr>
              <w:spacing w:line="240" w:lineRule="auto"/>
              <w:jc w:val="center"/>
            </w:pPr>
            <w:r>
              <w:rPr>
                <w:rFonts w:ascii="宋体" w:hAnsi="宋体" w:eastAsia="宋体" w:cs="宋体"/>
                <w:b w:val="0"/>
              </w:rPr>
              <w:t>持有基金份额总量的数量区间（万份）</w:t>
            </w:r>
          </w:p>
        </w:tc>
      </w:tr>
      <w:tr w14:paraId="6F96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15B522C7">
            <w:pPr>
              <w:spacing w:line="240" w:lineRule="auto"/>
              <w:jc w:val="left"/>
            </w:pPr>
            <w:r>
              <w:rPr>
                <w:rFonts w:ascii="宋体" w:hAnsi="宋体" w:eastAsia="宋体" w:cs="宋体"/>
                <w:b w:val="0"/>
              </w:rPr>
              <w:t>本公司高级管理人员、基金投资和研究部门负责人持有本开放式基金</w:t>
            </w:r>
          </w:p>
        </w:tc>
        <w:tc>
          <w:tcPr>
            <w:tcW w:w="0" w:type="dxa"/>
            <w:vAlign w:val="center"/>
          </w:tcPr>
          <w:p w14:paraId="408E7093">
            <w:pPr>
              <w:spacing w:line="240" w:lineRule="auto"/>
              <w:jc w:val="left"/>
            </w:pPr>
            <w:r>
              <w:rPr>
                <w:rFonts w:ascii="宋体" w:hAnsi="宋体" w:eastAsia="宋体" w:cs="宋体"/>
                <w:b w:val="0"/>
              </w:rPr>
              <w:t>东方阿尔法科技优选混合发起A</w:t>
            </w:r>
          </w:p>
        </w:tc>
        <w:tc>
          <w:tcPr>
            <w:tcW w:w="0" w:type="dxa"/>
            <w:vAlign w:val="center"/>
          </w:tcPr>
          <w:p w14:paraId="60245C6B">
            <w:pPr>
              <w:spacing w:line="240" w:lineRule="auto"/>
              <w:jc w:val="right"/>
            </w:pPr>
            <w:r>
              <w:rPr>
                <w:rFonts w:ascii="宋体" w:hAnsi="宋体" w:eastAsia="宋体" w:cs="宋体"/>
                <w:b w:val="0"/>
              </w:rPr>
              <w:t>&gt;100</w:t>
            </w:r>
          </w:p>
        </w:tc>
      </w:tr>
      <w:tr w14:paraId="6B45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7380747"/>
        </w:tc>
        <w:tc>
          <w:tcPr>
            <w:tcW w:w="0" w:type="dxa"/>
            <w:vAlign w:val="center"/>
          </w:tcPr>
          <w:p w14:paraId="6FA19419">
            <w:pPr>
              <w:spacing w:line="240" w:lineRule="auto"/>
              <w:jc w:val="left"/>
            </w:pPr>
            <w:r>
              <w:rPr>
                <w:rFonts w:ascii="宋体" w:hAnsi="宋体" w:eastAsia="宋体" w:cs="宋体"/>
                <w:b w:val="0"/>
              </w:rPr>
              <w:t>东方阿尔法科技优选混合发起C</w:t>
            </w:r>
          </w:p>
        </w:tc>
        <w:tc>
          <w:tcPr>
            <w:tcW w:w="0" w:type="dxa"/>
            <w:vAlign w:val="center"/>
          </w:tcPr>
          <w:p w14:paraId="2F6E568B">
            <w:pPr>
              <w:spacing w:line="240" w:lineRule="auto"/>
              <w:jc w:val="right"/>
            </w:pPr>
            <w:r>
              <w:rPr>
                <w:rFonts w:ascii="宋体" w:hAnsi="宋体" w:eastAsia="宋体" w:cs="宋体"/>
                <w:b w:val="0"/>
              </w:rPr>
              <w:t>0</w:t>
            </w:r>
          </w:p>
        </w:tc>
      </w:tr>
      <w:tr w14:paraId="3323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1FB3AFF"/>
        </w:tc>
        <w:tc>
          <w:tcPr>
            <w:tcW w:w="0" w:type="dxa"/>
            <w:vAlign w:val="center"/>
          </w:tcPr>
          <w:p w14:paraId="26DDB27B">
            <w:pPr>
              <w:spacing w:line="240" w:lineRule="auto"/>
              <w:jc w:val="center"/>
            </w:pPr>
            <w:r>
              <w:rPr>
                <w:rFonts w:ascii="宋体" w:hAnsi="宋体" w:eastAsia="宋体" w:cs="宋体"/>
                <w:b w:val="0"/>
              </w:rPr>
              <w:t>合计</w:t>
            </w:r>
          </w:p>
        </w:tc>
        <w:tc>
          <w:tcPr>
            <w:tcW w:w="0" w:type="dxa"/>
            <w:vAlign w:val="center"/>
          </w:tcPr>
          <w:p w14:paraId="035A7CE7">
            <w:pPr>
              <w:spacing w:line="240" w:lineRule="auto"/>
              <w:jc w:val="right"/>
            </w:pPr>
            <w:r>
              <w:rPr>
                <w:rFonts w:ascii="宋体" w:hAnsi="宋体" w:eastAsia="宋体" w:cs="宋体"/>
                <w:b w:val="0"/>
              </w:rPr>
              <w:t>&gt;100</w:t>
            </w:r>
          </w:p>
        </w:tc>
      </w:tr>
      <w:tr w14:paraId="4768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03680B40">
            <w:pPr>
              <w:spacing w:line="240" w:lineRule="auto"/>
              <w:jc w:val="left"/>
            </w:pPr>
            <w:r>
              <w:rPr>
                <w:rFonts w:ascii="宋体" w:hAnsi="宋体" w:eastAsia="宋体" w:cs="宋体"/>
                <w:b w:val="0"/>
              </w:rPr>
              <w:t>本基金基金经理持有本开放式基金</w:t>
            </w:r>
          </w:p>
        </w:tc>
        <w:tc>
          <w:tcPr>
            <w:tcW w:w="0" w:type="dxa"/>
            <w:vAlign w:val="center"/>
          </w:tcPr>
          <w:p w14:paraId="4C630A63">
            <w:pPr>
              <w:spacing w:line="240" w:lineRule="auto"/>
              <w:jc w:val="left"/>
            </w:pPr>
            <w:r>
              <w:rPr>
                <w:rFonts w:ascii="宋体" w:hAnsi="宋体" w:eastAsia="宋体" w:cs="宋体"/>
                <w:b w:val="0"/>
              </w:rPr>
              <w:t>东方阿尔法科技优选混合发起A</w:t>
            </w:r>
          </w:p>
        </w:tc>
        <w:tc>
          <w:tcPr>
            <w:tcW w:w="0" w:type="dxa"/>
            <w:vAlign w:val="center"/>
          </w:tcPr>
          <w:p w14:paraId="482D921C">
            <w:pPr>
              <w:spacing w:line="240" w:lineRule="auto"/>
              <w:jc w:val="right"/>
            </w:pPr>
            <w:r>
              <w:rPr>
                <w:rFonts w:ascii="宋体" w:hAnsi="宋体" w:eastAsia="宋体" w:cs="宋体"/>
                <w:b w:val="0"/>
              </w:rPr>
              <w:t>0~10</w:t>
            </w:r>
          </w:p>
        </w:tc>
      </w:tr>
      <w:tr w14:paraId="11C3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13875CB"/>
        </w:tc>
        <w:tc>
          <w:tcPr>
            <w:tcW w:w="0" w:type="dxa"/>
            <w:vAlign w:val="center"/>
          </w:tcPr>
          <w:p w14:paraId="3CD89A25">
            <w:pPr>
              <w:spacing w:line="240" w:lineRule="auto"/>
              <w:jc w:val="left"/>
            </w:pPr>
            <w:r>
              <w:rPr>
                <w:rFonts w:ascii="宋体" w:hAnsi="宋体" w:eastAsia="宋体" w:cs="宋体"/>
                <w:b w:val="0"/>
              </w:rPr>
              <w:t>东方阿尔法科技优选混合发起C</w:t>
            </w:r>
          </w:p>
        </w:tc>
        <w:tc>
          <w:tcPr>
            <w:tcW w:w="0" w:type="dxa"/>
            <w:vAlign w:val="center"/>
          </w:tcPr>
          <w:p w14:paraId="0AAF3A88">
            <w:pPr>
              <w:spacing w:line="240" w:lineRule="auto"/>
              <w:jc w:val="right"/>
            </w:pPr>
            <w:r>
              <w:rPr>
                <w:rFonts w:ascii="宋体" w:hAnsi="宋体" w:eastAsia="宋体" w:cs="宋体"/>
                <w:b w:val="0"/>
              </w:rPr>
              <w:t>0</w:t>
            </w:r>
          </w:p>
        </w:tc>
      </w:tr>
      <w:tr w14:paraId="47D9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8CE1352"/>
        </w:tc>
        <w:tc>
          <w:tcPr>
            <w:tcW w:w="0" w:type="dxa"/>
            <w:vAlign w:val="center"/>
          </w:tcPr>
          <w:p w14:paraId="4FD2F9A3">
            <w:pPr>
              <w:spacing w:line="240" w:lineRule="auto"/>
              <w:jc w:val="center"/>
            </w:pPr>
            <w:r>
              <w:rPr>
                <w:rFonts w:ascii="宋体" w:hAnsi="宋体" w:eastAsia="宋体" w:cs="宋体"/>
                <w:b w:val="0"/>
              </w:rPr>
              <w:t>合计</w:t>
            </w:r>
          </w:p>
        </w:tc>
        <w:tc>
          <w:tcPr>
            <w:tcW w:w="0" w:type="dxa"/>
            <w:vAlign w:val="center"/>
          </w:tcPr>
          <w:p w14:paraId="67049CA2">
            <w:pPr>
              <w:spacing w:line="240" w:lineRule="auto"/>
              <w:jc w:val="right"/>
            </w:pPr>
            <w:r>
              <w:rPr>
                <w:rFonts w:ascii="宋体" w:hAnsi="宋体" w:eastAsia="宋体" w:cs="宋体"/>
                <w:b w:val="0"/>
              </w:rPr>
              <w:t>0~10</w:t>
            </w:r>
          </w:p>
        </w:tc>
      </w:tr>
    </w:tbl>
    <w:p w14:paraId="27F5C09B"/>
    <w:p w14:paraId="775FAAEA">
      <w:pPr>
        <w:pStyle w:val="3"/>
        <w:jc w:val="left"/>
      </w:pPr>
      <w:bookmarkStart w:id="50" w:name="_Toc9705"/>
      <w:r>
        <w:rPr>
          <w:rFonts w:ascii="宋体" w:hAnsi="宋体" w:eastAsia="宋体" w:cs="宋体"/>
        </w:rPr>
        <w:t>8.5 发起式基金发起资金持有份额情况</w:t>
      </w:r>
      <w:bookmarkEnd w:id="5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5"/>
        <w:gridCol w:w="1581"/>
        <w:gridCol w:w="1413"/>
        <w:gridCol w:w="1581"/>
        <w:gridCol w:w="1413"/>
        <w:gridCol w:w="1413"/>
      </w:tblGrid>
      <w:tr w14:paraId="1DFB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shd w:val="clear" w:color="auto" w:fill="D9D9D9"/>
            <w:vAlign w:val="center"/>
          </w:tcPr>
          <w:p w14:paraId="5355C2A8">
            <w:pPr>
              <w:spacing w:line="240" w:lineRule="auto"/>
              <w:jc w:val="center"/>
            </w:pPr>
            <w:r>
              <w:rPr>
                <w:rFonts w:ascii="宋体" w:hAnsi="宋体" w:eastAsia="宋体" w:cs="宋体"/>
                <w:b w:val="0"/>
              </w:rPr>
              <w:t>项目</w:t>
            </w:r>
          </w:p>
        </w:tc>
        <w:tc>
          <w:tcPr>
            <w:tcW w:w="615" w:type="pct"/>
            <w:shd w:val="clear" w:color="auto" w:fill="D9D9D9"/>
            <w:vAlign w:val="center"/>
          </w:tcPr>
          <w:p w14:paraId="4D15A8EE">
            <w:pPr>
              <w:spacing w:line="240" w:lineRule="auto"/>
              <w:jc w:val="center"/>
            </w:pPr>
            <w:r>
              <w:rPr>
                <w:rFonts w:ascii="宋体" w:hAnsi="宋体" w:eastAsia="宋体" w:cs="宋体"/>
                <w:b w:val="0"/>
              </w:rPr>
              <w:t>持有份额总数</w:t>
            </w:r>
          </w:p>
        </w:tc>
        <w:tc>
          <w:tcPr>
            <w:tcW w:w="769" w:type="pct"/>
            <w:shd w:val="clear" w:color="auto" w:fill="D9D9D9"/>
            <w:vAlign w:val="center"/>
          </w:tcPr>
          <w:p w14:paraId="3165DD9D">
            <w:pPr>
              <w:spacing w:line="240" w:lineRule="auto"/>
              <w:jc w:val="center"/>
            </w:pPr>
            <w:r>
              <w:rPr>
                <w:rFonts w:ascii="宋体" w:hAnsi="宋体" w:eastAsia="宋体" w:cs="宋体"/>
                <w:b w:val="0"/>
              </w:rPr>
              <w:t>持有份额占基金总份额比例</w:t>
            </w:r>
          </w:p>
        </w:tc>
        <w:tc>
          <w:tcPr>
            <w:tcW w:w="615" w:type="pct"/>
            <w:shd w:val="clear" w:color="auto" w:fill="D9D9D9"/>
            <w:vAlign w:val="center"/>
          </w:tcPr>
          <w:p w14:paraId="2243D39F">
            <w:pPr>
              <w:spacing w:line="240" w:lineRule="auto"/>
              <w:jc w:val="center"/>
            </w:pPr>
            <w:r>
              <w:rPr>
                <w:rFonts w:ascii="宋体" w:hAnsi="宋体" w:eastAsia="宋体" w:cs="宋体"/>
                <w:b w:val="0"/>
              </w:rPr>
              <w:t>发起份额总数</w:t>
            </w:r>
          </w:p>
        </w:tc>
        <w:tc>
          <w:tcPr>
            <w:tcW w:w="769" w:type="pct"/>
            <w:shd w:val="clear" w:color="auto" w:fill="D9D9D9"/>
            <w:vAlign w:val="center"/>
          </w:tcPr>
          <w:p w14:paraId="30E78C2F">
            <w:pPr>
              <w:spacing w:line="240" w:lineRule="auto"/>
              <w:jc w:val="center"/>
            </w:pPr>
            <w:r>
              <w:rPr>
                <w:rFonts w:ascii="宋体" w:hAnsi="宋体" w:eastAsia="宋体" w:cs="宋体"/>
                <w:b w:val="0"/>
              </w:rPr>
              <w:t>发起份额占基金总份额比例</w:t>
            </w:r>
          </w:p>
        </w:tc>
        <w:tc>
          <w:tcPr>
            <w:tcW w:w="769" w:type="pct"/>
            <w:shd w:val="clear" w:color="auto" w:fill="D9D9D9"/>
            <w:vAlign w:val="center"/>
          </w:tcPr>
          <w:p w14:paraId="1AAFBE8A">
            <w:pPr>
              <w:spacing w:line="240" w:lineRule="auto"/>
              <w:jc w:val="center"/>
            </w:pPr>
            <w:r>
              <w:rPr>
                <w:rFonts w:ascii="宋体" w:hAnsi="宋体" w:eastAsia="宋体" w:cs="宋体"/>
                <w:b w:val="0"/>
              </w:rPr>
              <w:t>发起份额承诺持有期限</w:t>
            </w:r>
          </w:p>
        </w:tc>
      </w:tr>
      <w:tr w14:paraId="6E53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CEAFE3">
            <w:pPr>
              <w:spacing w:line="240" w:lineRule="auto"/>
              <w:jc w:val="left"/>
            </w:pPr>
            <w:r>
              <w:rPr>
                <w:rFonts w:ascii="宋体" w:hAnsi="宋体" w:eastAsia="宋体" w:cs="宋体"/>
                <w:b w:val="0"/>
              </w:rPr>
              <w:t>基金管理人固有资金</w:t>
            </w:r>
          </w:p>
        </w:tc>
        <w:tc>
          <w:tcPr>
            <w:tcW w:w="0" w:type="dxa"/>
            <w:vAlign w:val="center"/>
          </w:tcPr>
          <w:p w14:paraId="41B3BDB9">
            <w:pPr>
              <w:spacing w:line="240" w:lineRule="auto"/>
              <w:jc w:val="right"/>
            </w:pPr>
            <w:r>
              <w:rPr>
                <w:rFonts w:ascii="宋体" w:hAnsi="宋体" w:eastAsia="宋体" w:cs="宋体"/>
                <w:b w:val="0"/>
              </w:rPr>
              <w:t>-</w:t>
            </w:r>
          </w:p>
        </w:tc>
        <w:tc>
          <w:tcPr>
            <w:tcW w:w="0" w:type="dxa"/>
            <w:vAlign w:val="center"/>
          </w:tcPr>
          <w:p w14:paraId="01396D78">
            <w:pPr>
              <w:spacing w:line="240" w:lineRule="auto"/>
              <w:jc w:val="right"/>
            </w:pPr>
            <w:r>
              <w:rPr>
                <w:rFonts w:ascii="宋体" w:hAnsi="宋体" w:eastAsia="宋体" w:cs="宋体"/>
                <w:b w:val="0"/>
              </w:rPr>
              <w:t>-</w:t>
            </w:r>
          </w:p>
        </w:tc>
        <w:tc>
          <w:tcPr>
            <w:tcW w:w="0" w:type="dxa"/>
            <w:vAlign w:val="center"/>
          </w:tcPr>
          <w:p w14:paraId="32B0E7DE">
            <w:pPr>
              <w:spacing w:line="240" w:lineRule="auto"/>
              <w:jc w:val="right"/>
            </w:pPr>
            <w:r>
              <w:rPr>
                <w:rFonts w:ascii="宋体" w:hAnsi="宋体" w:eastAsia="宋体" w:cs="宋体"/>
                <w:b w:val="0"/>
              </w:rPr>
              <w:t>-</w:t>
            </w:r>
          </w:p>
        </w:tc>
        <w:tc>
          <w:tcPr>
            <w:tcW w:w="0" w:type="dxa"/>
            <w:vAlign w:val="center"/>
          </w:tcPr>
          <w:p w14:paraId="398CB9DD">
            <w:pPr>
              <w:spacing w:line="240" w:lineRule="auto"/>
              <w:jc w:val="right"/>
            </w:pPr>
            <w:r>
              <w:rPr>
                <w:rFonts w:ascii="宋体" w:hAnsi="宋体" w:eastAsia="宋体" w:cs="宋体"/>
                <w:b w:val="0"/>
              </w:rPr>
              <w:t>-</w:t>
            </w:r>
          </w:p>
        </w:tc>
        <w:tc>
          <w:tcPr>
            <w:tcW w:w="0" w:type="dxa"/>
            <w:vAlign w:val="center"/>
          </w:tcPr>
          <w:p w14:paraId="2D4AEAD3">
            <w:pPr>
              <w:spacing w:line="240" w:lineRule="auto"/>
              <w:jc w:val="right"/>
            </w:pPr>
            <w:r>
              <w:rPr>
                <w:rFonts w:ascii="宋体" w:hAnsi="宋体" w:eastAsia="宋体" w:cs="宋体"/>
                <w:b w:val="0"/>
              </w:rPr>
              <w:t>-</w:t>
            </w:r>
          </w:p>
        </w:tc>
      </w:tr>
      <w:tr w14:paraId="5221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AC6D2C">
            <w:pPr>
              <w:spacing w:line="240" w:lineRule="auto"/>
              <w:jc w:val="left"/>
            </w:pPr>
            <w:r>
              <w:rPr>
                <w:rFonts w:ascii="宋体" w:hAnsi="宋体" w:eastAsia="宋体" w:cs="宋体"/>
                <w:b w:val="0"/>
              </w:rPr>
              <w:t>基金管理人高级管理人员</w:t>
            </w:r>
          </w:p>
        </w:tc>
        <w:tc>
          <w:tcPr>
            <w:tcW w:w="0" w:type="dxa"/>
            <w:vAlign w:val="center"/>
          </w:tcPr>
          <w:p w14:paraId="7F80863D">
            <w:pPr>
              <w:spacing w:line="240" w:lineRule="auto"/>
              <w:jc w:val="right"/>
            </w:pPr>
            <w:r>
              <w:rPr>
                <w:rFonts w:ascii="宋体" w:hAnsi="宋体" w:eastAsia="宋体" w:cs="宋体"/>
                <w:b w:val="0"/>
              </w:rPr>
              <w:t>10,000,388.92</w:t>
            </w:r>
          </w:p>
        </w:tc>
        <w:tc>
          <w:tcPr>
            <w:tcW w:w="0" w:type="dxa"/>
            <w:vAlign w:val="center"/>
          </w:tcPr>
          <w:p w14:paraId="1278618A">
            <w:pPr>
              <w:spacing w:line="240" w:lineRule="auto"/>
              <w:jc w:val="right"/>
            </w:pPr>
            <w:r>
              <w:rPr>
                <w:rFonts w:ascii="宋体" w:hAnsi="宋体" w:eastAsia="宋体" w:cs="宋体"/>
                <w:b w:val="0"/>
              </w:rPr>
              <w:t>2.62%</w:t>
            </w:r>
          </w:p>
        </w:tc>
        <w:tc>
          <w:tcPr>
            <w:tcW w:w="0" w:type="dxa"/>
            <w:vAlign w:val="center"/>
          </w:tcPr>
          <w:p w14:paraId="663E66FE">
            <w:pPr>
              <w:spacing w:line="240" w:lineRule="auto"/>
              <w:jc w:val="right"/>
            </w:pPr>
            <w:r>
              <w:rPr>
                <w:rFonts w:ascii="宋体" w:hAnsi="宋体" w:eastAsia="宋体" w:cs="宋体"/>
                <w:b w:val="0"/>
              </w:rPr>
              <w:t>10,000,388.92</w:t>
            </w:r>
          </w:p>
        </w:tc>
        <w:tc>
          <w:tcPr>
            <w:tcW w:w="0" w:type="dxa"/>
            <w:vAlign w:val="center"/>
          </w:tcPr>
          <w:p w14:paraId="79A4A77E">
            <w:pPr>
              <w:spacing w:line="240" w:lineRule="auto"/>
              <w:jc w:val="right"/>
            </w:pPr>
            <w:r>
              <w:rPr>
                <w:rFonts w:ascii="宋体" w:hAnsi="宋体" w:eastAsia="宋体" w:cs="宋体"/>
                <w:b w:val="0"/>
              </w:rPr>
              <w:t>2.62%</w:t>
            </w:r>
          </w:p>
        </w:tc>
        <w:tc>
          <w:tcPr>
            <w:tcW w:w="0" w:type="dxa"/>
            <w:vAlign w:val="center"/>
          </w:tcPr>
          <w:p w14:paraId="3A6252CD">
            <w:pPr>
              <w:spacing w:line="240" w:lineRule="auto"/>
              <w:jc w:val="right"/>
            </w:pPr>
            <w:r>
              <w:rPr>
                <w:rFonts w:ascii="宋体" w:hAnsi="宋体" w:eastAsia="宋体" w:cs="宋体"/>
                <w:b w:val="0"/>
              </w:rPr>
              <w:t>自合同生效之日起不少于3年</w:t>
            </w:r>
          </w:p>
        </w:tc>
      </w:tr>
      <w:tr w14:paraId="522D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649EF2">
            <w:pPr>
              <w:spacing w:line="240" w:lineRule="auto"/>
              <w:jc w:val="left"/>
            </w:pPr>
            <w:r>
              <w:rPr>
                <w:rFonts w:ascii="宋体" w:hAnsi="宋体" w:eastAsia="宋体" w:cs="宋体"/>
                <w:b w:val="0"/>
              </w:rPr>
              <w:t>基金经理等人员</w:t>
            </w:r>
          </w:p>
        </w:tc>
        <w:tc>
          <w:tcPr>
            <w:tcW w:w="0" w:type="dxa"/>
            <w:vAlign w:val="center"/>
          </w:tcPr>
          <w:p w14:paraId="3579617F">
            <w:pPr>
              <w:spacing w:line="240" w:lineRule="auto"/>
              <w:jc w:val="right"/>
            </w:pPr>
            <w:r>
              <w:rPr>
                <w:rFonts w:ascii="宋体" w:hAnsi="宋体" w:eastAsia="宋体" w:cs="宋体"/>
                <w:b w:val="0"/>
              </w:rPr>
              <w:t>-</w:t>
            </w:r>
          </w:p>
        </w:tc>
        <w:tc>
          <w:tcPr>
            <w:tcW w:w="0" w:type="dxa"/>
            <w:vAlign w:val="center"/>
          </w:tcPr>
          <w:p w14:paraId="4E71722F">
            <w:pPr>
              <w:spacing w:line="240" w:lineRule="auto"/>
              <w:jc w:val="right"/>
            </w:pPr>
            <w:r>
              <w:rPr>
                <w:rFonts w:ascii="宋体" w:hAnsi="宋体" w:eastAsia="宋体" w:cs="宋体"/>
                <w:b w:val="0"/>
              </w:rPr>
              <w:t>-</w:t>
            </w:r>
          </w:p>
        </w:tc>
        <w:tc>
          <w:tcPr>
            <w:tcW w:w="0" w:type="dxa"/>
            <w:vAlign w:val="center"/>
          </w:tcPr>
          <w:p w14:paraId="527B5FA9">
            <w:pPr>
              <w:spacing w:line="240" w:lineRule="auto"/>
              <w:jc w:val="right"/>
            </w:pPr>
            <w:r>
              <w:rPr>
                <w:rFonts w:ascii="宋体" w:hAnsi="宋体" w:eastAsia="宋体" w:cs="宋体"/>
                <w:b w:val="0"/>
              </w:rPr>
              <w:t>-</w:t>
            </w:r>
          </w:p>
        </w:tc>
        <w:tc>
          <w:tcPr>
            <w:tcW w:w="0" w:type="dxa"/>
            <w:vAlign w:val="center"/>
          </w:tcPr>
          <w:p w14:paraId="08076B57">
            <w:pPr>
              <w:spacing w:line="240" w:lineRule="auto"/>
              <w:jc w:val="right"/>
            </w:pPr>
            <w:r>
              <w:rPr>
                <w:rFonts w:ascii="宋体" w:hAnsi="宋体" w:eastAsia="宋体" w:cs="宋体"/>
                <w:b w:val="0"/>
              </w:rPr>
              <w:t>-</w:t>
            </w:r>
          </w:p>
        </w:tc>
        <w:tc>
          <w:tcPr>
            <w:tcW w:w="0" w:type="dxa"/>
            <w:vAlign w:val="center"/>
          </w:tcPr>
          <w:p w14:paraId="2A73FD2A">
            <w:pPr>
              <w:spacing w:line="240" w:lineRule="auto"/>
              <w:jc w:val="right"/>
            </w:pPr>
            <w:r>
              <w:rPr>
                <w:rFonts w:ascii="宋体" w:hAnsi="宋体" w:eastAsia="宋体" w:cs="宋体"/>
                <w:b w:val="0"/>
              </w:rPr>
              <w:t>-</w:t>
            </w:r>
          </w:p>
        </w:tc>
      </w:tr>
      <w:tr w14:paraId="7C19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390A7F">
            <w:pPr>
              <w:spacing w:line="240" w:lineRule="auto"/>
              <w:jc w:val="left"/>
            </w:pPr>
            <w:r>
              <w:rPr>
                <w:rFonts w:ascii="宋体" w:hAnsi="宋体" w:eastAsia="宋体" w:cs="宋体"/>
                <w:b w:val="0"/>
              </w:rPr>
              <w:t>基金管理人股东</w:t>
            </w:r>
          </w:p>
        </w:tc>
        <w:tc>
          <w:tcPr>
            <w:tcW w:w="0" w:type="dxa"/>
            <w:vAlign w:val="center"/>
          </w:tcPr>
          <w:p w14:paraId="697A46C6">
            <w:pPr>
              <w:spacing w:line="240" w:lineRule="auto"/>
              <w:jc w:val="right"/>
            </w:pPr>
            <w:r>
              <w:rPr>
                <w:rFonts w:ascii="宋体" w:hAnsi="宋体" w:eastAsia="宋体" w:cs="宋体"/>
                <w:b w:val="0"/>
              </w:rPr>
              <w:t>-</w:t>
            </w:r>
          </w:p>
        </w:tc>
        <w:tc>
          <w:tcPr>
            <w:tcW w:w="0" w:type="dxa"/>
            <w:vAlign w:val="center"/>
          </w:tcPr>
          <w:p w14:paraId="43746881">
            <w:pPr>
              <w:spacing w:line="240" w:lineRule="auto"/>
              <w:jc w:val="right"/>
            </w:pPr>
            <w:r>
              <w:rPr>
                <w:rFonts w:ascii="宋体" w:hAnsi="宋体" w:eastAsia="宋体" w:cs="宋体"/>
                <w:b w:val="0"/>
              </w:rPr>
              <w:t>-</w:t>
            </w:r>
          </w:p>
        </w:tc>
        <w:tc>
          <w:tcPr>
            <w:tcW w:w="0" w:type="dxa"/>
            <w:vAlign w:val="center"/>
          </w:tcPr>
          <w:p w14:paraId="77DA8CE0">
            <w:pPr>
              <w:spacing w:line="240" w:lineRule="auto"/>
              <w:jc w:val="right"/>
            </w:pPr>
            <w:r>
              <w:rPr>
                <w:rFonts w:ascii="宋体" w:hAnsi="宋体" w:eastAsia="宋体" w:cs="宋体"/>
                <w:b w:val="0"/>
              </w:rPr>
              <w:t>-</w:t>
            </w:r>
          </w:p>
        </w:tc>
        <w:tc>
          <w:tcPr>
            <w:tcW w:w="0" w:type="dxa"/>
            <w:vAlign w:val="center"/>
          </w:tcPr>
          <w:p w14:paraId="43CE6C8C">
            <w:pPr>
              <w:spacing w:line="240" w:lineRule="auto"/>
              <w:jc w:val="right"/>
            </w:pPr>
            <w:r>
              <w:rPr>
                <w:rFonts w:ascii="宋体" w:hAnsi="宋体" w:eastAsia="宋体" w:cs="宋体"/>
                <w:b w:val="0"/>
              </w:rPr>
              <w:t>-</w:t>
            </w:r>
          </w:p>
        </w:tc>
        <w:tc>
          <w:tcPr>
            <w:tcW w:w="0" w:type="dxa"/>
            <w:vAlign w:val="center"/>
          </w:tcPr>
          <w:p w14:paraId="6EE4E087">
            <w:pPr>
              <w:spacing w:line="240" w:lineRule="auto"/>
              <w:jc w:val="right"/>
            </w:pPr>
            <w:r>
              <w:rPr>
                <w:rFonts w:ascii="宋体" w:hAnsi="宋体" w:eastAsia="宋体" w:cs="宋体"/>
                <w:b w:val="0"/>
              </w:rPr>
              <w:t>-</w:t>
            </w:r>
          </w:p>
        </w:tc>
      </w:tr>
      <w:tr w14:paraId="76CA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FDEF21">
            <w:pPr>
              <w:spacing w:line="240" w:lineRule="auto"/>
              <w:jc w:val="left"/>
            </w:pPr>
            <w:r>
              <w:rPr>
                <w:rFonts w:ascii="宋体" w:hAnsi="宋体" w:eastAsia="宋体" w:cs="宋体"/>
                <w:b w:val="0"/>
              </w:rPr>
              <w:t>其他</w:t>
            </w:r>
          </w:p>
        </w:tc>
        <w:tc>
          <w:tcPr>
            <w:tcW w:w="0" w:type="dxa"/>
            <w:vAlign w:val="center"/>
          </w:tcPr>
          <w:p w14:paraId="4AAD3A7E">
            <w:pPr>
              <w:spacing w:line="240" w:lineRule="auto"/>
              <w:jc w:val="right"/>
            </w:pPr>
            <w:r>
              <w:rPr>
                <w:rFonts w:ascii="宋体" w:hAnsi="宋体" w:eastAsia="宋体" w:cs="宋体"/>
                <w:b w:val="0"/>
              </w:rPr>
              <w:t>-</w:t>
            </w:r>
          </w:p>
        </w:tc>
        <w:tc>
          <w:tcPr>
            <w:tcW w:w="0" w:type="dxa"/>
            <w:vAlign w:val="center"/>
          </w:tcPr>
          <w:p w14:paraId="1AFB5E82">
            <w:pPr>
              <w:spacing w:line="240" w:lineRule="auto"/>
              <w:jc w:val="right"/>
            </w:pPr>
            <w:r>
              <w:rPr>
                <w:rFonts w:ascii="宋体" w:hAnsi="宋体" w:eastAsia="宋体" w:cs="宋体"/>
                <w:b w:val="0"/>
              </w:rPr>
              <w:t>-</w:t>
            </w:r>
          </w:p>
        </w:tc>
        <w:tc>
          <w:tcPr>
            <w:tcW w:w="0" w:type="dxa"/>
            <w:vAlign w:val="center"/>
          </w:tcPr>
          <w:p w14:paraId="5DCA2FA4">
            <w:pPr>
              <w:spacing w:line="240" w:lineRule="auto"/>
              <w:jc w:val="right"/>
            </w:pPr>
            <w:r>
              <w:rPr>
                <w:rFonts w:ascii="宋体" w:hAnsi="宋体" w:eastAsia="宋体" w:cs="宋体"/>
                <w:b w:val="0"/>
              </w:rPr>
              <w:t>-</w:t>
            </w:r>
          </w:p>
        </w:tc>
        <w:tc>
          <w:tcPr>
            <w:tcW w:w="0" w:type="dxa"/>
            <w:vAlign w:val="center"/>
          </w:tcPr>
          <w:p w14:paraId="2241A8E4">
            <w:pPr>
              <w:spacing w:line="240" w:lineRule="auto"/>
              <w:jc w:val="right"/>
            </w:pPr>
            <w:r>
              <w:rPr>
                <w:rFonts w:ascii="宋体" w:hAnsi="宋体" w:eastAsia="宋体" w:cs="宋体"/>
                <w:b w:val="0"/>
              </w:rPr>
              <w:t>-</w:t>
            </w:r>
          </w:p>
        </w:tc>
        <w:tc>
          <w:tcPr>
            <w:tcW w:w="0" w:type="dxa"/>
            <w:vAlign w:val="center"/>
          </w:tcPr>
          <w:p w14:paraId="49EBDEAA">
            <w:pPr>
              <w:spacing w:line="240" w:lineRule="auto"/>
              <w:jc w:val="right"/>
            </w:pPr>
            <w:r>
              <w:rPr>
                <w:rFonts w:ascii="宋体" w:hAnsi="宋体" w:eastAsia="宋体" w:cs="宋体"/>
                <w:b w:val="0"/>
              </w:rPr>
              <w:t>-</w:t>
            </w:r>
          </w:p>
        </w:tc>
      </w:tr>
      <w:tr w14:paraId="63B6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3C111A">
            <w:pPr>
              <w:spacing w:line="240" w:lineRule="auto"/>
              <w:jc w:val="left"/>
            </w:pPr>
            <w:r>
              <w:rPr>
                <w:rFonts w:ascii="宋体" w:hAnsi="宋体" w:eastAsia="宋体" w:cs="宋体"/>
                <w:b w:val="0"/>
              </w:rPr>
              <w:t>合计</w:t>
            </w:r>
          </w:p>
        </w:tc>
        <w:tc>
          <w:tcPr>
            <w:tcW w:w="0" w:type="dxa"/>
            <w:vAlign w:val="center"/>
          </w:tcPr>
          <w:p w14:paraId="63495EAF">
            <w:pPr>
              <w:spacing w:line="240" w:lineRule="auto"/>
              <w:jc w:val="right"/>
            </w:pPr>
            <w:r>
              <w:rPr>
                <w:rFonts w:ascii="宋体" w:hAnsi="宋体" w:eastAsia="宋体" w:cs="宋体"/>
                <w:b w:val="0"/>
              </w:rPr>
              <w:t>10,000,388.92</w:t>
            </w:r>
          </w:p>
        </w:tc>
        <w:tc>
          <w:tcPr>
            <w:tcW w:w="0" w:type="dxa"/>
            <w:vAlign w:val="center"/>
          </w:tcPr>
          <w:p w14:paraId="357E91A0">
            <w:pPr>
              <w:spacing w:line="240" w:lineRule="auto"/>
              <w:jc w:val="right"/>
            </w:pPr>
            <w:r>
              <w:rPr>
                <w:rFonts w:ascii="宋体" w:hAnsi="宋体" w:eastAsia="宋体" w:cs="宋体"/>
                <w:b w:val="0"/>
              </w:rPr>
              <w:t>2.62%</w:t>
            </w:r>
          </w:p>
        </w:tc>
        <w:tc>
          <w:tcPr>
            <w:tcW w:w="0" w:type="dxa"/>
            <w:vAlign w:val="center"/>
          </w:tcPr>
          <w:p w14:paraId="45D0F68B">
            <w:pPr>
              <w:spacing w:line="240" w:lineRule="auto"/>
              <w:jc w:val="right"/>
            </w:pPr>
            <w:r>
              <w:rPr>
                <w:rFonts w:ascii="宋体" w:hAnsi="宋体" w:eastAsia="宋体" w:cs="宋体"/>
                <w:b w:val="0"/>
              </w:rPr>
              <w:t>10,000,388.92</w:t>
            </w:r>
          </w:p>
        </w:tc>
        <w:tc>
          <w:tcPr>
            <w:tcW w:w="0" w:type="dxa"/>
            <w:vAlign w:val="center"/>
          </w:tcPr>
          <w:p w14:paraId="3F799EE6">
            <w:pPr>
              <w:spacing w:line="240" w:lineRule="auto"/>
              <w:jc w:val="right"/>
            </w:pPr>
            <w:r>
              <w:rPr>
                <w:rFonts w:ascii="宋体" w:hAnsi="宋体" w:eastAsia="宋体" w:cs="宋体"/>
                <w:b w:val="0"/>
              </w:rPr>
              <w:t>2.62%</w:t>
            </w:r>
          </w:p>
        </w:tc>
        <w:tc>
          <w:tcPr>
            <w:tcW w:w="0" w:type="dxa"/>
            <w:vAlign w:val="center"/>
          </w:tcPr>
          <w:p w14:paraId="77DA8C32">
            <w:pPr>
              <w:spacing w:line="240" w:lineRule="auto"/>
              <w:jc w:val="right"/>
            </w:pPr>
            <w:r>
              <w:rPr>
                <w:rFonts w:ascii="宋体" w:hAnsi="宋体" w:eastAsia="宋体" w:cs="宋体"/>
                <w:b w:val="0"/>
              </w:rPr>
              <w:t>-</w:t>
            </w:r>
          </w:p>
        </w:tc>
      </w:tr>
    </w:tbl>
    <w:p w14:paraId="4BC5AF63">
      <w:pPr>
        <w:pStyle w:val="2"/>
        <w:jc w:val="center"/>
      </w:pPr>
      <w:bookmarkStart w:id="51" w:name="_Toc17852"/>
      <w:r>
        <w:rPr>
          <w:rFonts w:ascii="宋体" w:hAnsi="宋体" w:eastAsia="宋体" w:cs="宋体"/>
        </w:rPr>
        <w:t>§9 开放式基金份额变动</w:t>
      </w:r>
      <w:bookmarkEnd w:id="51"/>
    </w:p>
    <w:p w14:paraId="5ED0A168">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6"/>
        <w:gridCol w:w="2460"/>
        <w:gridCol w:w="2460"/>
      </w:tblGrid>
      <w:tr w14:paraId="7D89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14:paraId="16A08B32">
            <w:pPr>
              <w:spacing w:line="240" w:lineRule="auto"/>
              <w:jc w:val="center"/>
            </w:pPr>
          </w:p>
        </w:tc>
        <w:tc>
          <w:tcPr>
            <w:tcW w:w="1300" w:type="pct"/>
            <w:vAlign w:val="center"/>
          </w:tcPr>
          <w:p w14:paraId="055EA99F">
            <w:pPr>
              <w:spacing w:line="240" w:lineRule="auto"/>
              <w:jc w:val="center"/>
            </w:pPr>
            <w:r>
              <w:rPr>
                <w:rFonts w:ascii="宋体" w:hAnsi="宋体" w:eastAsia="宋体" w:cs="宋体"/>
                <w:b w:val="0"/>
              </w:rPr>
              <w:t>东方阿尔法科技优选混合发起A</w:t>
            </w:r>
          </w:p>
        </w:tc>
        <w:tc>
          <w:tcPr>
            <w:tcW w:w="1300" w:type="pct"/>
            <w:vAlign w:val="center"/>
          </w:tcPr>
          <w:p w14:paraId="28CE3881">
            <w:pPr>
              <w:spacing w:line="240" w:lineRule="auto"/>
              <w:jc w:val="center"/>
            </w:pPr>
            <w:r>
              <w:rPr>
                <w:rFonts w:ascii="宋体" w:hAnsi="宋体" w:eastAsia="宋体" w:cs="宋体"/>
                <w:b w:val="0"/>
              </w:rPr>
              <w:t>东方阿尔法科技优选混合发起C</w:t>
            </w:r>
          </w:p>
        </w:tc>
      </w:tr>
      <w:tr w14:paraId="2F0B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3867F4">
            <w:pPr>
              <w:spacing w:line="240" w:lineRule="auto"/>
              <w:jc w:val="left"/>
            </w:pPr>
            <w:r>
              <w:rPr>
                <w:rFonts w:ascii="宋体" w:hAnsi="宋体" w:eastAsia="宋体" w:cs="宋体"/>
                <w:b w:val="0"/>
              </w:rPr>
              <w:t>基金合同生效日（2025年06月06日）基金份额总额</w:t>
            </w:r>
          </w:p>
        </w:tc>
        <w:tc>
          <w:tcPr>
            <w:tcW w:w="1300" w:type="pct"/>
            <w:vAlign w:val="center"/>
          </w:tcPr>
          <w:p w14:paraId="6D4C3A86">
            <w:pPr>
              <w:spacing w:line="240" w:lineRule="auto"/>
              <w:jc w:val="right"/>
            </w:pPr>
            <w:r>
              <w:rPr>
                <w:rFonts w:ascii="宋体" w:hAnsi="宋体" w:eastAsia="宋体" w:cs="宋体"/>
                <w:b w:val="0"/>
              </w:rPr>
              <w:t>11,871,621.31</w:t>
            </w:r>
          </w:p>
        </w:tc>
        <w:tc>
          <w:tcPr>
            <w:tcW w:w="1300" w:type="pct"/>
            <w:vAlign w:val="center"/>
          </w:tcPr>
          <w:p w14:paraId="4D2B4203">
            <w:pPr>
              <w:spacing w:line="240" w:lineRule="auto"/>
              <w:jc w:val="right"/>
            </w:pPr>
            <w:r>
              <w:rPr>
                <w:rFonts w:ascii="宋体" w:hAnsi="宋体" w:eastAsia="宋体" w:cs="宋体"/>
                <w:b w:val="0"/>
              </w:rPr>
              <w:t>4,290.13</w:t>
            </w:r>
          </w:p>
        </w:tc>
      </w:tr>
      <w:tr w14:paraId="2DB5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A77029">
            <w:pPr>
              <w:spacing w:line="240" w:lineRule="auto"/>
              <w:jc w:val="left"/>
            </w:pPr>
            <w:r>
              <w:rPr>
                <w:rFonts w:ascii="宋体" w:hAnsi="宋体" w:eastAsia="宋体" w:cs="宋体"/>
                <w:b w:val="0"/>
              </w:rPr>
              <w:t>本报告期期初基金份额总额</w:t>
            </w:r>
          </w:p>
        </w:tc>
        <w:tc>
          <w:tcPr>
            <w:tcW w:w="1300" w:type="pct"/>
            <w:vAlign w:val="center"/>
          </w:tcPr>
          <w:p w14:paraId="090A4420">
            <w:pPr>
              <w:spacing w:line="240" w:lineRule="auto"/>
              <w:jc w:val="right"/>
            </w:pPr>
            <w:r>
              <w:rPr>
                <w:rFonts w:ascii="宋体" w:hAnsi="宋体" w:eastAsia="宋体" w:cs="宋体"/>
                <w:b w:val="0"/>
              </w:rPr>
              <w:t>14,330,083.19</w:t>
            </w:r>
          </w:p>
        </w:tc>
        <w:tc>
          <w:tcPr>
            <w:tcW w:w="1300" w:type="pct"/>
            <w:vAlign w:val="center"/>
          </w:tcPr>
          <w:p w14:paraId="353A50E8">
            <w:pPr>
              <w:spacing w:line="240" w:lineRule="auto"/>
              <w:jc w:val="right"/>
            </w:pPr>
            <w:r>
              <w:rPr>
                <w:rFonts w:ascii="宋体" w:hAnsi="宋体" w:eastAsia="宋体" w:cs="宋体"/>
                <w:b w:val="0"/>
              </w:rPr>
              <w:t>43,188,467.80</w:t>
            </w:r>
          </w:p>
        </w:tc>
      </w:tr>
      <w:tr w14:paraId="5E11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D5B04C">
            <w:pPr>
              <w:spacing w:line="240" w:lineRule="auto"/>
              <w:jc w:val="left"/>
            </w:pPr>
            <w:r>
              <w:rPr>
                <w:rFonts w:ascii="宋体" w:hAnsi="宋体" w:eastAsia="宋体" w:cs="宋体"/>
                <w:b w:val="0"/>
              </w:rPr>
              <w:t>本报告期基金总申购份额</w:t>
            </w:r>
          </w:p>
        </w:tc>
        <w:tc>
          <w:tcPr>
            <w:tcW w:w="1300" w:type="pct"/>
            <w:vAlign w:val="center"/>
          </w:tcPr>
          <w:p w14:paraId="5EC2D378">
            <w:pPr>
              <w:spacing w:line="240" w:lineRule="auto"/>
              <w:jc w:val="right"/>
            </w:pPr>
            <w:r>
              <w:rPr>
                <w:rFonts w:ascii="宋体" w:hAnsi="宋体" w:eastAsia="宋体" w:cs="宋体"/>
                <w:b w:val="0"/>
              </w:rPr>
              <w:t>57,378,229.81</w:t>
            </w:r>
          </w:p>
        </w:tc>
        <w:tc>
          <w:tcPr>
            <w:tcW w:w="1300" w:type="pct"/>
            <w:vAlign w:val="center"/>
          </w:tcPr>
          <w:p w14:paraId="267DD69E">
            <w:pPr>
              <w:spacing w:line="240" w:lineRule="auto"/>
              <w:jc w:val="right"/>
            </w:pPr>
            <w:r>
              <w:rPr>
                <w:rFonts w:ascii="宋体" w:hAnsi="宋体" w:eastAsia="宋体" w:cs="宋体"/>
                <w:b w:val="0"/>
              </w:rPr>
              <w:t>1,081,307,663.81</w:t>
            </w:r>
          </w:p>
        </w:tc>
      </w:tr>
      <w:tr w14:paraId="3FBB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04DF2C">
            <w:pPr>
              <w:spacing w:line="240" w:lineRule="auto"/>
              <w:jc w:val="left"/>
            </w:pPr>
            <w:r>
              <w:rPr>
                <w:rFonts w:ascii="宋体" w:hAnsi="宋体" w:eastAsia="宋体" w:cs="宋体"/>
                <w:b w:val="0"/>
              </w:rPr>
              <w:t>减：本报告期基金总赎回份额</w:t>
            </w:r>
          </w:p>
        </w:tc>
        <w:tc>
          <w:tcPr>
            <w:tcW w:w="1300" w:type="pct"/>
            <w:vAlign w:val="center"/>
          </w:tcPr>
          <w:p w14:paraId="3B621B63">
            <w:pPr>
              <w:spacing w:line="240" w:lineRule="auto"/>
              <w:jc w:val="right"/>
            </w:pPr>
            <w:r>
              <w:rPr>
                <w:rFonts w:ascii="宋体" w:hAnsi="宋体" w:eastAsia="宋体" w:cs="宋体"/>
                <w:b w:val="0"/>
              </w:rPr>
              <w:t>35,717,411.80</w:t>
            </w:r>
          </w:p>
        </w:tc>
        <w:tc>
          <w:tcPr>
            <w:tcW w:w="1300" w:type="pct"/>
            <w:vAlign w:val="center"/>
          </w:tcPr>
          <w:p w14:paraId="17B465ED">
            <w:pPr>
              <w:spacing w:line="240" w:lineRule="auto"/>
              <w:jc w:val="right"/>
            </w:pPr>
            <w:r>
              <w:rPr>
                <w:rFonts w:ascii="宋体" w:hAnsi="宋体" w:eastAsia="宋体" w:cs="宋体"/>
                <w:b w:val="0"/>
              </w:rPr>
              <w:t>779,128,785.04</w:t>
            </w:r>
          </w:p>
        </w:tc>
      </w:tr>
      <w:tr w14:paraId="6E98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AFA1C1">
            <w:pPr>
              <w:spacing w:line="240" w:lineRule="auto"/>
              <w:jc w:val="left"/>
            </w:pPr>
            <w:r>
              <w:rPr>
                <w:rFonts w:ascii="宋体" w:hAnsi="宋体" w:eastAsia="宋体" w:cs="宋体"/>
                <w:b w:val="0"/>
              </w:rPr>
              <w:t>本报告期基金拆分变动份额</w:t>
            </w:r>
          </w:p>
        </w:tc>
        <w:tc>
          <w:tcPr>
            <w:tcW w:w="1300" w:type="pct"/>
            <w:vAlign w:val="center"/>
          </w:tcPr>
          <w:p w14:paraId="2A70B7DA">
            <w:pPr>
              <w:spacing w:line="240" w:lineRule="auto"/>
              <w:jc w:val="right"/>
            </w:pPr>
            <w:r>
              <w:rPr>
                <w:rFonts w:ascii="宋体" w:hAnsi="宋体" w:eastAsia="宋体" w:cs="宋体"/>
                <w:b w:val="0"/>
              </w:rPr>
              <w:t>-</w:t>
            </w:r>
          </w:p>
        </w:tc>
        <w:tc>
          <w:tcPr>
            <w:tcW w:w="1300" w:type="pct"/>
            <w:vAlign w:val="center"/>
          </w:tcPr>
          <w:p w14:paraId="0768DC27">
            <w:pPr>
              <w:spacing w:line="240" w:lineRule="auto"/>
              <w:jc w:val="right"/>
            </w:pPr>
            <w:r>
              <w:rPr>
                <w:rFonts w:ascii="宋体" w:hAnsi="宋体" w:eastAsia="宋体" w:cs="宋体"/>
                <w:b w:val="0"/>
              </w:rPr>
              <w:t>-</w:t>
            </w:r>
          </w:p>
        </w:tc>
      </w:tr>
      <w:tr w14:paraId="0CF6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BFD13B">
            <w:pPr>
              <w:spacing w:line="240" w:lineRule="auto"/>
              <w:jc w:val="left"/>
            </w:pPr>
            <w:r>
              <w:rPr>
                <w:rFonts w:ascii="宋体" w:hAnsi="宋体" w:eastAsia="宋体" w:cs="宋体"/>
                <w:b w:val="0"/>
              </w:rPr>
              <w:t>本报告期期末基金份额总额</w:t>
            </w:r>
          </w:p>
        </w:tc>
        <w:tc>
          <w:tcPr>
            <w:tcW w:w="1300" w:type="pct"/>
            <w:vAlign w:val="center"/>
          </w:tcPr>
          <w:p w14:paraId="7FC8066B">
            <w:pPr>
              <w:spacing w:line="240" w:lineRule="auto"/>
              <w:jc w:val="right"/>
            </w:pPr>
            <w:r>
              <w:rPr>
                <w:rFonts w:ascii="宋体" w:hAnsi="宋体" w:eastAsia="宋体" w:cs="宋体"/>
                <w:b w:val="0"/>
              </w:rPr>
              <w:t>35,990,901.20</w:t>
            </w:r>
          </w:p>
        </w:tc>
        <w:tc>
          <w:tcPr>
            <w:tcW w:w="1300" w:type="pct"/>
            <w:vAlign w:val="center"/>
          </w:tcPr>
          <w:p w14:paraId="35F980CE">
            <w:pPr>
              <w:spacing w:line="240" w:lineRule="auto"/>
              <w:jc w:val="right"/>
            </w:pPr>
            <w:r>
              <w:rPr>
                <w:rFonts w:ascii="宋体" w:hAnsi="宋体" w:eastAsia="宋体" w:cs="宋体"/>
                <w:b w:val="0"/>
              </w:rPr>
              <w:t>345,367,346.57</w:t>
            </w:r>
          </w:p>
        </w:tc>
      </w:tr>
    </w:tbl>
    <w:p w14:paraId="6C451B3D">
      <w:pPr>
        <w:pStyle w:val="2"/>
        <w:jc w:val="center"/>
      </w:pPr>
      <w:bookmarkStart w:id="52" w:name="_Toc11834"/>
      <w:r>
        <w:rPr>
          <w:rFonts w:ascii="宋体" w:hAnsi="宋体" w:eastAsia="宋体" w:cs="宋体"/>
        </w:rPr>
        <w:t>§10 重大事件揭示</w:t>
      </w:r>
      <w:bookmarkEnd w:id="52"/>
    </w:p>
    <w:p w14:paraId="313636E8">
      <w:pPr>
        <w:pStyle w:val="3"/>
        <w:jc w:val="left"/>
      </w:pPr>
      <w:bookmarkStart w:id="53" w:name="_Toc11213"/>
      <w:r>
        <w:rPr>
          <w:rFonts w:ascii="宋体" w:hAnsi="宋体" w:eastAsia="宋体" w:cs="宋体"/>
        </w:rPr>
        <w:t>10.1 基金份额持有人大会决议</w:t>
      </w:r>
      <w:bookmarkEnd w:id="53"/>
    </w:p>
    <w:p w14:paraId="2773B609">
      <w:pPr>
        <w:jc w:val="left"/>
      </w:pPr>
      <w:r>
        <w:rPr>
          <w:rFonts w:ascii="宋体" w:hAnsi="宋体" w:eastAsia="宋体" w:cs="宋体"/>
          <w:b w:val="0"/>
        </w:rPr>
        <w:t xml:space="preserve">    本报告期内无基金份额持有人大会决议。</w:t>
      </w:r>
    </w:p>
    <w:p w14:paraId="4D7F83EE"/>
    <w:p w14:paraId="67D08C38">
      <w:pPr>
        <w:pStyle w:val="3"/>
        <w:jc w:val="left"/>
      </w:pPr>
      <w:bookmarkStart w:id="54" w:name="_Toc8482"/>
      <w:r>
        <w:rPr>
          <w:rFonts w:ascii="宋体" w:hAnsi="宋体" w:eastAsia="宋体" w:cs="宋体"/>
        </w:rPr>
        <w:t>10.2 基金管理人、基金托管人的专门基金托管部门的重大人事变动</w:t>
      </w:r>
      <w:bookmarkEnd w:id="54"/>
    </w:p>
    <w:p w14:paraId="68940750">
      <w:pPr>
        <w:jc w:val="left"/>
      </w:pPr>
      <w:r>
        <w:rPr>
          <w:rFonts w:ascii="宋体" w:hAnsi="宋体" w:eastAsia="宋体" w:cs="宋体"/>
          <w:b w:val="0"/>
        </w:rPr>
        <w:t xml:space="preserve">    本报告期内，基金管理人无重大人事变动。</w:t>
      </w:r>
      <w:r>
        <w:rPr>
          <w:rFonts w:ascii="宋体" w:hAnsi="宋体" w:eastAsia="宋体" w:cs="宋体"/>
          <w:b w:val="0"/>
        </w:rPr>
        <w:br w:type="textWrapping"/>
      </w:r>
      <w:r>
        <w:rPr>
          <w:rFonts w:ascii="宋体" w:hAnsi="宋体" w:eastAsia="宋体" w:cs="宋体"/>
          <w:b w:val="0"/>
        </w:rPr>
        <w:t xml:space="preserve">    2026年6月，经中信银行研究决定，杨璋琪任中信银行运营管理部总经理，不再任中信银行资产托管部总经理职务。</w:t>
      </w:r>
      <w:r>
        <w:rPr>
          <w:rFonts w:ascii="宋体" w:hAnsi="宋体" w:eastAsia="宋体" w:cs="宋体"/>
          <w:b w:val="0"/>
        </w:rPr>
        <w:br w:type="textWrapping"/>
      </w:r>
      <w:r>
        <w:rPr>
          <w:rFonts w:ascii="宋体" w:hAnsi="宋体" w:eastAsia="宋体" w:cs="宋体"/>
          <w:b w:val="0"/>
        </w:rPr>
        <w:t xml:space="preserve">    2026年6月，王坚任中信银行资产托管部总经理，待获得基金从业资格并履行备案程序后正式履职。上述事项对中信银行基金业务无影响。</w:t>
      </w:r>
    </w:p>
    <w:p w14:paraId="76414B63"/>
    <w:p w14:paraId="7383B92F">
      <w:pPr>
        <w:pStyle w:val="3"/>
        <w:jc w:val="left"/>
      </w:pPr>
      <w:bookmarkStart w:id="55" w:name="_Toc32101"/>
      <w:r>
        <w:rPr>
          <w:rFonts w:ascii="宋体" w:hAnsi="宋体" w:eastAsia="宋体" w:cs="宋体"/>
        </w:rPr>
        <w:t>10.3 涉及基金管理人、基金财产、基金托管业务的诉讼</w:t>
      </w:r>
      <w:bookmarkEnd w:id="55"/>
    </w:p>
    <w:p w14:paraId="56B79D9B">
      <w:pPr>
        <w:jc w:val="left"/>
      </w:pPr>
      <w:r>
        <w:rPr>
          <w:rFonts w:ascii="宋体" w:hAnsi="宋体" w:eastAsia="宋体" w:cs="宋体"/>
          <w:b w:val="0"/>
        </w:rPr>
        <w:t xml:space="preserve">    本报告期内，无涉及基金管理人、基金财产、基金托管业务的诉讼。</w:t>
      </w:r>
    </w:p>
    <w:p w14:paraId="378CC4D2"/>
    <w:p w14:paraId="6C43493E">
      <w:pPr>
        <w:pStyle w:val="3"/>
        <w:jc w:val="left"/>
      </w:pPr>
      <w:bookmarkStart w:id="56" w:name="_Toc24706"/>
      <w:r>
        <w:rPr>
          <w:rFonts w:ascii="宋体" w:hAnsi="宋体" w:eastAsia="宋体" w:cs="宋体"/>
        </w:rPr>
        <w:t>10.4 基金投资策略的改变</w:t>
      </w:r>
      <w:bookmarkEnd w:id="56"/>
    </w:p>
    <w:p w14:paraId="2F4F0D56">
      <w:pPr>
        <w:jc w:val="left"/>
      </w:pPr>
      <w:r>
        <w:rPr>
          <w:rFonts w:ascii="宋体" w:hAnsi="宋体" w:eastAsia="宋体" w:cs="宋体"/>
          <w:b w:val="0"/>
        </w:rPr>
        <w:t xml:space="preserve">    本报告期内本基金投资策略未改变。</w:t>
      </w:r>
    </w:p>
    <w:p w14:paraId="06AC9A5E"/>
    <w:p w14:paraId="20EDE424">
      <w:pPr>
        <w:pStyle w:val="3"/>
        <w:jc w:val="left"/>
      </w:pPr>
      <w:bookmarkStart w:id="57" w:name="_Toc2410"/>
      <w:r>
        <w:rPr>
          <w:rFonts w:ascii="宋体" w:hAnsi="宋体" w:eastAsia="宋体" w:cs="宋体"/>
        </w:rPr>
        <w:t>10.5 为基金进行审计的会计师事务所情况</w:t>
      </w:r>
      <w:bookmarkEnd w:id="57"/>
    </w:p>
    <w:p w14:paraId="45C06558">
      <w:pPr>
        <w:jc w:val="left"/>
      </w:pPr>
      <w:r>
        <w:rPr>
          <w:rFonts w:ascii="宋体" w:hAnsi="宋体" w:eastAsia="宋体" w:cs="宋体"/>
          <w:b w:val="0"/>
        </w:rPr>
        <w:t xml:space="preserve">    本报告期内本基金未更换会计师事务所。</w:t>
      </w:r>
    </w:p>
    <w:p w14:paraId="2C51235F"/>
    <w:p w14:paraId="48A2B803">
      <w:pPr>
        <w:pStyle w:val="3"/>
        <w:jc w:val="left"/>
      </w:pPr>
      <w:bookmarkStart w:id="58" w:name="_Toc10791"/>
      <w:r>
        <w:rPr>
          <w:rFonts w:ascii="宋体" w:hAnsi="宋体" w:eastAsia="宋体" w:cs="宋体"/>
        </w:rPr>
        <w:t>10.6 管理人、托管人及相关从业人员受调查或处罚等情况</w:t>
      </w:r>
      <w:bookmarkEnd w:id="58"/>
    </w:p>
    <w:p w14:paraId="52C00670">
      <w:pPr>
        <w:pStyle w:val="58"/>
      </w:pPr>
      <w:r>
        <w:rPr>
          <w:rFonts w:ascii="宋体" w:hAnsi="宋体" w:eastAsia="宋体" w:cs="宋体"/>
          <w:b/>
        </w:rPr>
        <w:t>10.6.1 管理人受调查或处罚等情况</w:t>
      </w:r>
    </w:p>
    <w:p w14:paraId="4D8C94BB">
      <w:pPr>
        <w:jc w:val="left"/>
      </w:pPr>
      <w:r>
        <w:rPr>
          <w:rFonts w:ascii="宋体" w:hAnsi="宋体" w:eastAsia="宋体" w:cs="宋体"/>
          <w:b w:val="0"/>
        </w:rPr>
        <w:t xml:space="preserve">    本报告期内，基金管理人没有受到监管部门调查或处罚。</w:t>
      </w:r>
    </w:p>
    <w:p w14:paraId="20886F19"/>
    <w:p w14:paraId="785EE0C8">
      <w:pPr>
        <w:pStyle w:val="58"/>
      </w:pPr>
      <w:r>
        <w:rPr>
          <w:rFonts w:ascii="宋体" w:hAnsi="宋体" w:eastAsia="宋体" w:cs="宋体"/>
          <w:b/>
        </w:rPr>
        <w:t>10.6.2 管理人相关从业人员受调查或处罚等情况</w:t>
      </w:r>
    </w:p>
    <w:p w14:paraId="447C6FD9">
      <w:pPr>
        <w:jc w:val="left"/>
      </w:pPr>
      <w:r>
        <w:rPr>
          <w:rFonts w:ascii="宋体" w:hAnsi="宋体" w:eastAsia="宋体" w:cs="宋体"/>
          <w:b w:val="0"/>
        </w:rPr>
        <w:t xml:space="preserve">    本报告期内，管理人高级管理人员、本基金基金经理等相关从业人员没有受到监管部门调查或处罚。</w:t>
      </w:r>
    </w:p>
    <w:p w14:paraId="2C4C7879"/>
    <w:p w14:paraId="7511EC49">
      <w:pPr>
        <w:pStyle w:val="58"/>
      </w:pPr>
      <w:r>
        <w:rPr>
          <w:rFonts w:ascii="宋体" w:hAnsi="宋体" w:eastAsia="宋体" w:cs="宋体"/>
          <w:b/>
        </w:rPr>
        <w:t>10.6.3 托管人受调查或处罚等情况</w:t>
      </w:r>
    </w:p>
    <w:p w14:paraId="76EBD9CA">
      <w:pPr>
        <w:jc w:val="left"/>
      </w:pPr>
      <w:r>
        <w:rPr>
          <w:rFonts w:ascii="宋体" w:hAnsi="宋体" w:eastAsia="宋体" w:cs="宋体"/>
          <w:b w:val="0"/>
        </w:rPr>
        <w:t xml:space="preserve">    本报告期，基金托管人未受到调查或处罚。</w:t>
      </w:r>
    </w:p>
    <w:p w14:paraId="5AF25BC7"/>
    <w:p w14:paraId="07A11F83">
      <w:pPr>
        <w:pStyle w:val="58"/>
      </w:pPr>
      <w:r>
        <w:rPr>
          <w:rFonts w:ascii="宋体" w:hAnsi="宋体" w:eastAsia="宋体" w:cs="宋体"/>
          <w:b/>
        </w:rPr>
        <w:t>10.6.4 托管人相关从业人员受调查或处罚等情况</w:t>
      </w:r>
    </w:p>
    <w:p w14:paraId="4E7CA15A">
      <w:pPr>
        <w:jc w:val="left"/>
      </w:pPr>
      <w:r>
        <w:rPr>
          <w:rFonts w:ascii="宋体" w:hAnsi="宋体" w:eastAsia="宋体" w:cs="宋体"/>
          <w:b w:val="0"/>
        </w:rPr>
        <w:t xml:space="preserve">    本报告期，基金托管人相关从业人员未受到调查或处罚。</w:t>
      </w:r>
    </w:p>
    <w:p w14:paraId="012ADFEC"/>
    <w:p w14:paraId="765A3ACC">
      <w:pPr>
        <w:pStyle w:val="3"/>
        <w:jc w:val="left"/>
      </w:pPr>
      <w:bookmarkStart w:id="59" w:name="_Toc32518"/>
      <w:r>
        <w:rPr>
          <w:rFonts w:ascii="宋体" w:hAnsi="宋体" w:eastAsia="宋体" w:cs="宋体"/>
        </w:rPr>
        <w:t>10.7 基金租用或者通过证券公司交易单元进行证券投资的相关情况</w:t>
      </w:r>
      <w:bookmarkEnd w:id="59"/>
    </w:p>
    <w:p w14:paraId="1139BB7D">
      <w:pPr>
        <w:pStyle w:val="58"/>
      </w:pPr>
      <w:r>
        <w:rPr>
          <w:rFonts w:ascii="宋体" w:hAnsi="宋体" w:eastAsia="宋体" w:cs="宋体"/>
          <w:b/>
        </w:rPr>
        <w:t>10.7.1 基金租用或者通过证券公司交易单元进行股票投资及佣金支付情况</w:t>
      </w:r>
    </w:p>
    <w:p w14:paraId="03D187FD">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1032"/>
        <w:gridCol w:w="1896"/>
        <w:gridCol w:w="1353"/>
        <w:gridCol w:w="1266"/>
        <w:gridCol w:w="1353"/>
        <w:gridCol w:w="1354"/>
      </w:tblGrid>
      <w:tr w14:paraId="4A0B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14:paraId="01159768">
            <w:pPr>
              <w:spacing w:line="240" w:lineRule="auto"/>
              <w:jc w:val="center"/>
            </w:pPr>
            <w:r>
              <w:rPr>
                <w:rFonts w:ascii="宋体" w:hAnsi="宋体" w:eastAsia="宋体" w:cs="宋体"/>
                <w:b w:val="0"/>
              </w:rPr>
              <w:t>券商名称</w:t>
            </w:r>
          </w:p>
        </w:tc>
        <w:tc>
          <w:tcPr>
            <w:tcW w:w="615" w:type="pct"/>
            <w:vMerge w:val="restart"/>
            <w:shd w:val="clear" w:color="auto" w:fill="D9D9D9"/>
            <w:vAlign w:val="center"/>
          </w:tcPr>
          <w:p w14:paraId="2B25C339">
            <w:pPr>
              <w:spacing w:line="240" w:lineRule="auto"/>
              <w:jc w:val="center"/>
            </w:pPr>
            <w:r>
              <w:rPr>
                <w:rFonts w:ascii="宋体" w:hAnsi="宋体" w:eastAsia="宋体" w:cs="宋体"/>
                <w:b w:val="0"/>
              </w:rPr>
              <w:t>交易单元数量</w:t>
            </w:r>
          </w:p>
        </w:tc>
        <w:tc>
          <w:tcPr>
            <w:tcW w:w="1231" w:type="pct"/>
            <w:gridSpan w:val="2"/>
            <w:shd w:val="clear" w:color="auto" w:fill="D9D9D9"/>
            <w:vAlign w:val="center"/>
          </w:tcPr>
          <w:p w14:paraId="298EA83F">
            <w:pPr>
              <w:spacing w:line="240" w:lineRule="auto"/>
              <w:jc w:val="center"/>
            </w:pPr>
            <w:r>
              <w:rPr>
                <w:rFonts w:ascii="宋体" w:hAnsi="宋体" w:eastAsia="宋体" w:cs="宋体"/>
                <w:b w:val="0"/>
              </w:rPr>
              <w:t>股票交易</w:t>
            </w:r>
          </w:p>
        </w:tc>
        <w:tc>
          <w:tcPr>
            <w:tcW w:w="1231" w:type="pct"/>
            <w:gridSpan w:val="2"/>
            <w:shd w:val="clear" w:color="auto" w:fill="D9D9D9"/>
            <w:vAlign w:val="center"/>
          </w:tcPr>
          <w:p w14:paraId="7FDE2B07">
            <w:pPr>
              <w:spacing w:line="240" w:lineRule="auto"/>
              <w:jc w:val="center"/>
            </w:pPr>
            <w:r>
              <w:rPr>
                <w:rFonts w:ascii="宋体" w:hAnsi="宋体" w:eastAsia="宋体" w:cs="宋体"/>
                <w:b w:val="0"/>
              </w:rPr>
              <w:t>应支付该券商的佣金</w:t>
            </w:r>
          </w:p>
        </w:tc>
        <w:tc>
          <w:tcPr>
            <w:tcW w:w="769" w:type="pct"/>
            <w:vMerge w:val="restart"/>
            <w:shd w:val="clear" w:color="auto" w:fill="D9D9D9"/>
            <w:vAlign w:val="center"/>
          </w:tcPr>
          <w:p w14:paraId="76431BF4">
            <w:pPr>
              <w:spacing w:line="240" w:lineRule="auto"/>
              <w:jc w:val="center"/>
            </w:pPr>
            <w:r>
              <w:rPr>
                <w:rFonts w:ascii="宋体" w:hAnsi="宋体" w:eastAsia="宋体" w:cs="宋体"/>
                <w:b w:val="0"/>
              </w:rPr>
              <w:t>备注</w:t>
            </w:r>
          </w:p>
        </w:tc>
      </w:tr>
      <w:tr w14:paraId="6916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9B34AD9"/>
        </w:tc>
        <w:tc>
          <w:tcPr>
            <w:vMerge w:val="continue"/>
          </w:tcPr>
          <w:p w14:paraId="56E66CE6"/>
        </w:tc>
        <w:tc>
          <w:tcPr>
            <w:tcW w:w="462" w:type="pct"/>
            <w:shd w:val="clear" w:color="auto" w:fill="D9D9D9"/>
            <w:vAlign w:val="center"/>
          </w:tcPr>
          <w:p w14:paraId="49749318">
            <w:pPr>
              <w:spacing w:line="240" w:lineRule="auto"/>
              <w:jc w:val="center"/>
            </w:pPr>
            <w:r>
              <w:rPr>
                <w:rFonts w:ascii="宋体" w:hAnsi="宋体" w:eastAsia="宋体" w:cs="宋体"/>
                <w:b w:val="0"/>
              </w:rPr>
              <w:t>成交金额</w:t>
            </w:r>
          </w:p>
        </w:tc>
        <w:tc>
          <w:tcPr>
            <w:tcW w:w="769" w:type="pct"/>
            <w:shd w:val="clear" w:color="auto" w:fill="D9D9D9"/>
            <w:vAlign w:val="center"/>
          </w:tcPr>
          <w:p w14:paraId="31171617">
            <w:pPr>
              <w:spacing w:line="240" w:lineRule="auto"/>
              <w:jc w:val="center"/>
            </w:pPr>
            <w:r>
              <w:rPr>
                <w:rFonts w:ascii="宋体" w:hAnsi="宋体" w:eastAsia="宋体" w:cs="宋体"/>
                <w:b w:val="0"/>
              </w:rPr>
              <w:t>占当期股票成交总额的比例</w:t>
            </w:r>
          </w:p>
        </w:tc>
        <w:tc>
          <w:tcPr>
            <w:tcW w:w="462" w:type="pct"/>
            <w:shd w:val="clear" w:color="auto" w:fill="D9D9D9"/>
            <w:vAlign w:val="center"/>
          </w:tcPr>
          <w:p w14:paraId="6DBDB7D6">
            <w:pPr>
              <w:spacing w:line="240" w:lineRule="auto"/>
              <w:jc w:val="center"/>
            </w:pPr>
            <w:r>
              <w:rPr>
                <w:rFonts w:ascii="宋体" w:hAnsi="宋体" w:eastAsia="宋体" w:cs="宋体"/>
                <w:b w:val="0"/>
              </w:rPr>
              <w:t>佣金</w:t>
            </w:r>
          </w:p>
        </w:tc>
        <w:tc>
          <w:tcPr>
            <w:tcW w:w="769" w:type="pct"/>
            <w:shd w:val="clear" w:color="auto" w:fill="D9D9D9"/>
            <w:vAlign w:val="center"/>
          </w:tcPr>
          <w:p w14:paraId="2C312166">
            <w:pPr>
              <w:spacing w:line="240" w:lineRule="auto"/>
              <w:jc w:val="center"/>
            </w:pPr>
            <w:r>
              <w:rPr>
                <w:rFonts w:ascii="宋体" w:hAnsi="宋体" w:eastAsia="宋体" w:cs="宋体"/>
                <w:b w:val="0"/>
              </w:rPr>
              <w:t>占当期佣金总量的比例</w:t>
            </w:r>
          </w:p>
        </w:tc>
        <w:tc>
          <w:tcPr>
            <w:vMerge w:val="continue"/>
          </w:tcPr>
          <w:p w14:paraId="5146029B"/>
        </w:tc>
      </w:tr>
      <w:tr w14:paraId="70DB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53FC37">
            <w:pPr>
              <w:spacing w:line="240" w:lineRule="auto"/>
              <w:jc w:val="left"/>
            </w:pPr>
            <w:r>
              <w:rPr>
                <w:rFonts w:ascii="宋体" w:hAnsi="宋体" w:eastAsia="宋体" w:cs="宋体"/>
                <w:b w:val="0"/>
              </w:rPr>
              <w:t>东方财富证券</w:t>
            </w:r>
          </w:p>
        </w:tc>
        <w:tc>
          <w:tcPr>
            <w:tcW w:w="0" w:type="dxa"/>
            <w:vAlign w:val="center"/>
          </w:tcPr>
          <w:p w14:paraId="2E029FEA">
            <w:pPr>
              <w:spacing w:line="240" w:lineRule="auto"/>
              <w:jc w:val="right"/>
            </w:pPr>
            <w:r>
              <w:rPr>
                <w:rFonts w:ascii="宋体" w:hAnsi="宋体" w:eastAsia="宋体" w:cs="宋体"/>
                <w:b w:val="0"/>
              </w:rPr>
              <w:t>3</w:t>
            </w:r>
          </w:p>
        </w:tc>
        <w:tc>
          <w:tcPr>
            <w:tcW w:w="0" w:type="dxa"/>
            <w:vAlign w:val="center"/>
          </w:tcPr>
          <w:p w14:paraId="023E6B23">
            <w:pPr>
              <w:spacing w:line="240" w:lineRule="auto"/>
              <w:jc w:val="right"/>
            </w:pPr>
            <w:r>
              <w:rPr>
                <w:rFonts w:ascii="宋体" w:hAnsi="宋体" w:eastAsia="宋体" w:cs="宋体"/>
                <w:b w:val="0"/>
              </w:rPr>
              <w:t>1,630,844,564.71</w:t>
            </w:r>
          </w:p>
        </w:tc>
        <w:tc>
          <w:tcPr>
            <w:tcW w:w="0" w:type="dxa"/>
            <w:vAlign w:val="center"/>
          </w:tcPr>
          <w:p w14:paraId="2A7E043A">
            <w:pPr>
              <w:spacing w:line="240" w:lineRule="auto"/>
              <w:jc w:val="right"/>
            </w:pPr>
            <w:r>
              <w:rPr>
                <w:rFonts w:ascii="宋体" w:hAnsi="宋体" w:eastAsia="宋体" w:cs="宋体"/>
                <w:b w:val="0"/>
              </w:rPr>
              <w:t>100.00%</w:t>
            </w:r>
          </w:p>
        </w:tc>
        <w:tc>
          <w:tcPr>
            <w:tcW w:w="0" w:type="dxa"/>
            <w:vAlign w:val="center"/>
          </w:tcPr>
          <w:p w14:paraId="32F2C534">
            <w:pPr>
              <w:spacing w:line="240" w:lineRule="auto"/>
              <w:jc w:val="right"/>
            </w:pPr>
            <w:r>
              <w:rPr>
                <w:rFonts w:ascii="宋体" w:hAnsi="宋体" w:eastAsia="宋体" w:cs="宋体"/>
                <w:b w:val="0"/>
              </w:rPr>
              <w:t>735,092.26</w:t>
            </w:r>
          </w:p>
        </w:tc>
        <w:tc>
          <w:tcPr>
            <w:tcW w:w="0" w:type="dxa"/>
            <w:vAlign w:val="center"/>
          </w:tcPr>
          <w:p w14:paraId="2CDCD327">
            <w:pPr>
              <w:spacing w:line="240" w:lineRule="auto"/>
              <w:jc w:val="right"/>
            </w:pPr>
            <w:r>
              <w:rPr>
                <w:rFonts w:ascii="宋体" w:hAnsi="宋体" w:eastAsia="宋体" w:cs="宋体"/>
                <w:b w:val="0"/>
              </w:rPr>
              <w:t>100.00%</w:t>
            </w:r>
          </w:p>
        </w:tc>
        <w:tc>
          <w:tcPr>
            <w:tcW w:w="0" w:type="dxa"/>
            <w:vAlign w:val="center"/>
          </w:tcPr>
          <w:p w14:paraId="718270DE">
            <w:pPr>
              <w:spacing w:line="240" w:lineRule="auto"/>
              <w:jc w:val="left"/>
            </w:pPr>
            <w:r>
              <w:rPr>
                <w:rFonts w:ascii="宋体" w:hAnsi="宋体" w:eastAsia="宋体" w:cs="宋体"/>
                <w:b w:val="0"/>
              </w:rPr>
              <w:t>-</w:t>
            </w:r>
          </w:p>
        </w:tc>
      </w:tr>
      <w:tr w14:paraId="1993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97D3DD">
            <w:pPr>
              <w:spacing w:line="240" w:lineRule="auto"/>
              <w:jc w:val="left"/>
            </w:pPr>
            <w:r>
              <w:rPr>
                <w:rFonts w:ascii="宋体" w:hAnsi="宋体" w:eastAsia="宋体" w:cs="宋体"/>
                <w:b w:val="0"/>
              </w:rPr>
              <w:t>中泰证券</w:t>
            </w:r>
          </w:p>
        </w:tc>
        <w:tc>
          <w:tcPr>
            <w:tcW w:w="0" w:type="dxa"/>
            <w:vAlign w:val="center"/>
          </w:tcPr>
          <w:p w14:paraId="305E4FB4">
            <w:pPr>
              <w:spacing w:line="240" w:lineRule="auto"/>
              <w:jc w:val="right"/>
            </w:pPr>
            <w:r>
              <w:rPr>
                <w:rFonts w:ascii="宋体" w:hAnsi="宋体" w:eastAsia="宋体" w:cs="宋体"/>
                <w:b w:val="0"/>
              </w:rPr>
              <w:t>3</w:t>
            </w:r>
          </w:p>
        </w:tc>
        <w:tc>
          <w:tcPr>
            <w:tcW w:w="0" w:type="dxa"/>
            <w:vAlign w:val="center"/>
          </w:tcPr>
          <w:p w14:paraId="3B1465DA">
            <w:pPr>
              <w:spacing w:line="240" w:lineRule="auto"/>
              <w:jc w:val="right"/>
            </w:pPr>
            <w:r>
              <w:rPr>
                <w:rFonts w:ascii="宋体" w:hAnsi="宋体" w:eastAsia="宋体" w:cs="宋体"/>
                <w:b w:val="0"/>
              </w:rPr>
              <w:t>-</w:t>
            </w:r>
          </w:p>
        </w:tc>
        <w:tc>
          <w:tcPr>
            <w:tcW w:w="0" w:type="dxa"/>
            <w:vAlign w:val="center"/>
          </w:tcPr>
          <w:p w14:paraId="10148870">
            <w:pPr>
              <w:spacing w:line="240" w:lineRule="auto"/>
              <w:jc w:val="right"/>
            </w:pPr>
            <w:r>
              <w:rPr>
                <w:rFonts w:ascii="宋体" w:hAnsi="宋体" w:eastAsia="宋体" w:cs="宋体"/>
                <w:b w:val="0"/>
              </w:rPr>
              <w:t>-</w:t>
            </w:r>
          </w:p>
        </w:tc>
        <w:tc>
          <w:tcPr>
            <w:tcW w:w="0" w:type="dxa"/>
            <w:vAlign w:val="center"/>
          </w:tcPr>
          <w:p w14:paraId="704875AB">
            <w:pPr>
              <w:spacing w:line="240" w:lineRule="auto"/>
              <w:jc w:val="right"/>
            </w:pPr>
            <w:r>
              <w:rPr>
                <w:rFonts w:ascii="宋体" w:hAnsi="宋体" w:eastAsia="宋体" w:cs="宋体"/>
                <w:b w:val="0"/>
              </w:rPr>
              <w:t>-</w:t>
            </w:r>
          </w:p>
        </w:tc>
        <w:tc>
          <w:tcPr>
            <w:tcW w:w="0" w:type="dxa"/>
            <w:vAlign w:val="center"/>
          </w:tcPr>
          <w:p w14:paraId="7CAC154A">
            <w:pPr>
              <w:spacing w:line="240" w:lineRule="auto"/>
              <w:jc w:val="right"/>
            </w:pPr>
            <w:r>
              <w:rPr>
                <w:rFonts w:ascii="宋体" w:hAnsi="宋体" w:eastAsia="宋体" w:cs="宋体"/>
                <w:b w:val="0"/>
              </w:rPr>
              <w:t>-</w:t>
            </w:r>
          </w:p>
        </w:tc>
        <w:tc>
          <w:tcPr>
            <w:tcW w:w="0" w:type="dxa"/>
            <w:vAlign w:val="center"/>
          </w:tcPr>
          <w:p w14:paraId="0602BB03">
            <w:pPr>
              <w:spacing w:line="240" w:lineRule="auto"/>
              <w:jc w:val="left"/>
            </w:pPr>
            <w:r>
              <w:rPr>
                <w:rFonts w:ascii="宋体" w:hAnsi="宋体" w:eastAsia="宋体" w:cs="宋体"/>
                <w:b w:val="0"/>
              </w:rPr>
              <w:t>-</w:t>
            </w:r>
          </w:p>
        </w:tc>
      </w:tr>
    </w:tbl>
    <w:p w14:paraId="66665005">
      <w:r>
        <w:rPr>
          <w:rFonts w:ascii="宋体" w:hAnsi="宋体" w:eastAsia="宋体" w:cs="宋体"/>
          <w:b w:val="0"/>
        </w:rPr>
        <w:t xml:space="preserve">注： </w:t>
      </w:r>
      <w:r>
        <w:rPr>
          <w:rFonts w:ascii="宋体" w:hAnsi="宋体" w:eastAsia="宋体" w:cs="宋体"/>
          <w:b w:val="0"/>
        </w:rPr>
        <w:br w:type="textWrapping"/>
      </w:r>
      <w:r>
        <w:rPr>
          <w:rFonts w:ascii="宋体" w:hAnsi="宋体" w:eastAsia="宋体" w:cs="宋体"/>
          <w:b w:val="0"/>
        </w:rPr>
        <w:t xml:space="preserve">1、本基金采用证券公司交易结算模式，可豁免单个券商的交易佣金的比例限制。本报告期内本基金与证券经纪商不存在关联方关系。 </w:t>
      </w:r>
      <w:r>
        <w:rPr>
          <w:rFonts w:ascii="宋体" w:hAnsi="宋体" w:eastAsia="宋体" w:cs="宋体"/>
          <w:b w:val="0"/>
        </w:rPr>
        <w:br w:type="textWrapping"/>
      </w:r>
      <w:r>
        <w:rPr>
          <w:rFonts w:ascii="宋体" w:hAnsi="宋体" w:eastAsia="宋体" w:cs="宋体"/>
          <w:b w:val="0"/>
        </w:rPr>
        <w:t xml:space="preserve">2、本基金管理人负责选择财务状况良好、经营行为规范、合规风控能力和交易、研究等服务能力较强的证券公司参与证券交易。证券公司的选择标准如下： </w:t>
      </w:r>
      <w:r>
        <w:rPr>
          <w:rFonts w:ascii="宋体" w:hAnsi="宋体" w:eastAsia="宋体" w:cs="宋体"/>
          <w:b w:val="0"/>
        </w:rPr>
        <w:br w:type="textWrapping"/>
      </w:r>
      <w:r>
        <w:rPr>
          <w:rFonts w:ascii="宋体" w:hAnsi="宋体" w:eastAsia="宋体" w:cs="宋体"/>
          <w:b w:val="0"/>
        </w:rPr>
        <w:t>1）经营行为稳健规范，内控制度健全，在业内有良好的声誉，遵守国家及证券监督机构各项法律法规、监管规定；</w:t>
      </w:r>
      <w:r>
        <w:rPr>
          <w:rFonts w:ascii="宋体" w:hAnsi="宋体" w:eastAsia="宋体" w:cs="宋体"/>
          <w:b w:val="0"/>
        </w:rPr>
        <w:br w:type="textWrapping"/>
      </w:r>
      <w:r>
        <w:rPr>
          <w:rFonts w:ascii="宋体" w:hAnsi="宋体" w:eastAsia="宋体" w:cs="宋体"/>
          <w:b w:val="0"/>
        </w:rPr>
        <w:t xml:space="preserve">2）具备基金运作所需的高效、安全的通讯条件，交易设施稳定、响应支持及时、能满足公募基金采用券商结算模式进行证券交易和结算的需要； </w:t>
      </w:r>
      <w:r>
        <w:rPr>
          <w:rFonts w:ascii="宋体" w:hAnsi="宋体" w:eastAsia="宋体" w:cs="宋体"/>
          <w:b w:val="0"/>
        </w:rPr>
        <w:br w:type="textWrapping"/>
      </w:r>
      <w:r>
        <w:rPr>
          <w:rFonts w:ascii="宋体" w:hAnsi="宋体" w:eastAsia="宋体" w:cs="宋体"/>
          <w:b w:val="0"/>
        </w:rPr>
        <w:t xml:space="preserve">3）具有较强的全方位金融服务能力和水平，包括但不限于：有较好的研究能力和行业分析能力，能及时、全面地向公司提供高质量的关于宏观、行业及市场走向、个股分析的报告及丰富全面的信息服务；能根据公司所管理基金的特定要求，提供专门研究报告，具有开发量化投资组合模型的能力；能积极为公司投资业务的开展，投资信息的交流以及其他方面业务的开展提供良好的服务和支持； </w:t>
      </w:r>
      <w:r>
        <w:rPr>
          <w:rFonts w:ascii="宋体" w:hAnsi="宋体" w:eastAsia="宋体" w:cs="宋体"/>
          <w:b w:val="0"/>
        </w:rPr>
        <w:br w:type="textWrapping"/>
      </w:r>
      <w:r>
        <w:rPr>
          <w:rFonts w:ascii="宋体" w:hAnsi="宋体" w:eastAsia="宋体" w:cs="宋体"/>
          <w:b w:val="0"/>
        </w:rPr>
        <w:t xml:space="preserve">4）资金划付、交收、调整、差异处理及时，且基金交易、结算、对账等数据的提供能满足券商结算模式下T+0估值的时效性要求。 </w:t>
      </w:r>
      <w:r>
        <w:rPr>
          <w:rFonts w:ascii="宋体" w:hAnsi="宋体" w:eastAsia="宋体" w:cs="宋体"/>
          <w:b w:val="0"/>
        </w:rPr>
        <w:br w:type="textWrapping"/>
      </w:r>
      <w:r>
        <w:rPr>
          <w:rFonts w:ascii="宋体" w:hAnsi="宋体" w:eastAsia="宋体" w:cs="宋体"/>
          <w:b w:val="0"/>
        </w:rPr>
        <w:t xml:space="preserve">3、基金专用交易单元的选择程序如下： </w:t>
      </w:r>
      <w:r>
        <w:rPr>
          <w:rFonts w:ascii="宋体" w:hAnsi="宋体" w:eastAsia="宋体" w:cs="宋体"/>
          <w:b w:val="0"/>
        </w:rPr>
        <w:br w:type="textWrapping"/>
      </w:r>
      <w:r>
        <w:rPr>
          <w:rFonts w:ascii="宋体" w:hAnsi="宋体" w:eastAsia="宋体" w:cs="宋体"/>
          <w:b w:val="0"/>
        </w:rPr>
        <w:t xml:space="preserve">1）选择的证券公司应符合公司规章制度的基本条件； </w:t>
      </w:r>
      <w:r>
        <w:rPr>
          <w:rFonts w:ascii="宋体" w:hAnsi="宋体" w:eastAsia="宋体" w:cs="宋体"/>
          <w:b w:val="0"/>
        </w:rPr>
        <w:br w:type="textWrapping"/>
      </w:r>
      <w:r>
        <w:rPr>
          <w:rFonts w:ascii="宋体" w:hAnsi="宋体" w:eastAsia="宋体" w:cs="宋体"/>
          <w:b w:val="0"/>
        </w:rPr>
        <w:t xml:space="preserve">2）中央交易室征求投研部门及运作保障部意见，筛选候选证券公司，并提交投委会审定； </w:t>
      </w:r>
      <w:r>
        <w:rPr>
          <w:rFonts w:ascii="宋体" w:hAnsi="宋体" w:eastAsia="宋体" w:cs="宋体"/>
          <w:b w:val="0"/>
        </w:rPr>
        <w:br w:type="textWrapping"/>
      </w:r>
      <w:r>
        <w:rPr>
          <w:rFonts w:ascii="宋体" w:hAnsi="宋体" w:eastAsia="宋体" w:cs="宋体"/>
          <w:b w:val="0"/>
        </w:rPr>
        <w:t xml:space="preserve">3）中央交易室负责与选定的证券公司签订经纪服务协议，运作保障部和监察稽核部协助对合同进行审核，确保条款严谨且符合合规要求； </w:t>
      </w:r>
      <w:r>
        <w:rPr>
          <w:rFonts w:ascii="宋体" w:hAnsi="宋体" w:eastAsia="宋体" w:cs="宋体"/>
          <w:b w:val="0"/>
        </w:rPr>
        <w:br w:type="textWrapping"/>
      </w:r>
      <w:r>
        <w:rPr>
          <w:rFonts w:ascii="宋体" w:hAnsi="宋体" w:eastAsia="宋体" w:cs="宋体"/>
          <w:b w:val="0"/>
        </w:rPr>
        <w:t xml:space="preserve">4）经纪服务协议签订后，由中央交易室与证券公司完成开户，并与运作保障部共同完成与证券公司的系统对接、参数设置等交易准备工作，确保系统稳定性和交易流程顺畅。 </w:t>
      </w:r>
      <w:r>
        <w:rPr>
          <w:rFonts w:ascii="宋体" w:hAnsi="宋体" w:eastAsia="宋体" w:cs="宋体"/>
          <w:b w:val="0"/>
        </w:rPr>
        <w:br w:type="textWrapping"/>
      </w:r>
      <w:r>
        <w:rPr>
          <w:rFonts w:ascii="宋体" w:hAnsi="宋体" w:eastAsia="宋体" w:cs="宋体"/>
          <w:b w:val="0"/>
        </w:rPr>
        <w:t>4、报告期内租用证券公司交易单元的变更情况：</w:t>
      </w:r>
      <w:r>
        <w:rPr>
          <w:rFonts w:ascii="宋体" w:hAnsi="宋体" w:eastAsia="宋体" w:cs="宋体"/>
          <w:b w:val="0"/>
        </w:rPr>
        <w:br w:type="textWrapping"/>
      </w:r>
      <w:r>
        <w:rPr>
          <w:rFonts w:ascii="宋体" w:hAnsi="宋体" w:eastAsia="宋体" w:cs="宋体"/>
          <w:b w:val="0"/>
        </w:rPr>
        <w:t>（1）本基金报告期内新增租用交易单元情况：新增中泰证券深圳交易单元1个、上海交易单元1个、北京交易单元1个。</w:t>
      </w:r>
      <w:r>
        <w:rPr>
          <w:rFonts w:ascii="宋体" w:hAnsi="宋体" w:eastAsia="宋体" w:cs="宋体"/>
          <w:b w:val="0"/>
        </w:rPr>
        <w:br w:type="textWrapping"/>
      </w:r>
      <w:r>
        <w:rPr>
          <w:rFonts w:ascii="宋体" w:hAnsi="宋体" w:eastAsia="宋体" w:cs="宋体"/>
          <w:b w:val="0"/>
        </w:rPr>
        <w:t>（2）本基金报告期内停止租用交易单元情况：无。</w:t>
      </w:r>
    </w:p>
    <w:p w14:paraId="22940DBC"/>
    <w:p w14:paraId="0618376A">
      <w:pPr>
        <w:pStyle w:val="58"/>
      </w:pPr>
      <w:r>
        <w:rPr>
          <w:rFonts w:ascii="宋体" w:hAnsi="宋体" w:eastAsia="宋体" w:cs="宋体"/>
          <w:b/>
        </w:rPr>
        <w:t>10.7.2 基金租用或者通过证券公司交易单元进行其他证券投资的情况</w:t>
      </w:r>
    </w:p>
    <w:p w14:paraId="3C4D1A45">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581"/>
        <w:gridCol w:w="951"/>
        <w:gridCol w:w="1581"/>
        <w:gridCol w:w="951"/>
        <w:gridCol w:w="601"/>
        <w:gridCol w:w="835"/>
        <w:gridCol w:w="833"/>
        <w:gridCol w:w="835"/>
      </w:tblGrid>
      <w:tr w14:paraId="0A98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Merge w:val="restart"/>
            <w:shd w:val="clear" w:color="auto" w:fill="D9D9D9"/>
            <w:vAlign w:val="center"/>
          </w:tcPr>
          <w:p w14:paraId="0C63EAA6">
            <w:pPr>
              <w:spacing w:line="240" w:lineRule="auto"/>
              <w:jc w:val="center"/>
            </w:pPr>
            <w:r>
              <w:rPr>
                <w:rFonts w:ascii="宋体" w:hAnsi="宋体" w:eastAsia="宋体" w:cs="宋体"/>
                <w:b w:val="0"/>
              </w:rPr>
              <w:t>券商名称</w:t>
            </w:r>
          </w:p>
        </w:tc>
        <w:tc>
          <w:tcPr>
            <w:tcW w:w="1077" w:type="pct"/>
            <w:gridSpan w:val="2"/>
            <w:shd w:val="clear" w:color="auto" w:fill="D9D9D9"/>
            <w:vAlign w:val="center"/>
          </w:tcPr>
          <w:p w14:paraId="6BF3E8D0">
            <w:pPr>
              <w:spacing w:line="240" w:lineRule="auto"/>
              <w:jc w:val="center"/>
            </w:pPr>
            <w:r>
              <w:rPr>
                <w:rFonts w:ascii="宋体" w:hAnsi="宋体" w:eastAsia="宋体" w:cs="宋体"/>
                <w:b w:val="0"/>
              </w:rPr>
              <w:t>债券交易</w:t>
            </w:r>
          </w:p>
        </w:tc>
        <w:tc>
          <w:tcPr>
            <w:tcW w:w="1077" w:type="pct"/>
            <w:gridSpan w:val="2"/>
            <w:shd w:val="clear" w:color="auto" w:fill="D9D9D9"/>
            <w:vAlign w:val="center"/>
          </w:tcPr>
          <w:p w14:paraId="0ADD0C70">
            <w:pPr>
              <w:spacing w:line="240" w:lineRule="auto"/>
              <w:jc w:val="center"/>
            </w:pPr>
            <w:r>
              <w:rPr>
                <w:rFonts w:ascii="宋体" w:hAnsi="宋体" w:eastAsia="宋体" w:cs="宋体"/>
                <w:b w:val="0"/>
              </w:rPr>
              <w:t>债券回购交易</w:t>
            </w:r>
          </w:p>
        </w:tc>
        <w:tc>
          <w:tcPr>
            <w:tcW w:w="1077" w:type="pct"/>
            <w:gridSpan w:val="2"/>
            <w:shd w:val="clear" w:color="auto" w:fill="D9D9D9"/>
            <w:vAlign w:val="center"/>
          </w:tcPr>
          <w:p w14:paraId="17B8ACA6">
            <w:pPr>
              <w:spacing w:line="240" w:lineRule="auto"/>
              <w:jc w:val="center"/>
            </w:pPr>
            <w:r>
              <w:rPr>
                <w:rFonts w:ascii="宋体" w:hAnsi="宋体" w:eastAsia="宋体" w:cs="宋体"/>
                <w:b w:val="0"/>
              </w:rPr>
              <w:t>权证交易</w:t>
            </w:r>
          </w:p>
        </w:tc>
        <w:tc>
          <w:tcPr>
            <w:tcW w:w="1077" w:type="pct"/>
            <w:gridSpan w:val="2"/>
            <w:shd w:val="clear" w:color="auto" w:fill="D9D9D9"/>
            <w:vAlign w:val="center"/>
          </w:tcPr>
          <w:p w14:paraId="058F6CB6">
            <w:pPr>
              <w:spacing w:line="240" w:lineRule="auto"/>
              <w:jc w:val="center"/>
            </w:pPr>
            <w:r>
              <w:rPr>
                <w:rFonts w:ascii="宋体" w:hAnsi="宋体" w:eastAsia="宋体" w:cs="宋体"/>
                <w:b w:val="0"/>
              </w:rPr>
              <w:t>基金交易</w:t>
            </w:r>
          </w:p>
        </w:tc>
      </w:tr>
      <w:tr w14:paraId="5B5E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811EEE2"/>
        </w:tc>
        <w:tc>
          <w:tcPr>
            <w:tcW w:w="538" w:type="pct"/>
            <w:shd w:val="clear" w:color="auto" w:fill="D9D9D9"/>
            <w:vAlign w:val="center"/>
          </w:tcPr>
          <w:p w14:paraId="05400C54">
            <w:pPr>
              <w:spacing w:line="240" w:lineRule="auto"/>
              <w:jc w:val="center"/>
            </w:pPr>
            <w:r>
              <w:rPr>
                <w:rFonts w:ascii="宋体" w:hAnsi="宋体" w:eastAsia="宋体" w:cs="宋体"/>
                <w:b w:val="0"/>
              </w:rPr>
              <w:t>成交金额</w:t>
            </w:r>
          </w:p>
        </w:tc>
        <w:tc>
          <w:tcPr>
            <w:tcW w:w="538" w:type="pct"/>
            <w:shd w:val="clear" w:color="auto" w:fill="D9D9D9"/>
            <w:vAlign w:val="center"/>
          </w:tcPr>
          <w:p w14:paraId="710C0A1F">
            <w:pPr>
              <w:spacing w:line="240" w:lineRule="auto"/>
              <w:jc w:val="center"/>
            </w:pPr>
            <w:r>
              <w:rPr>
                <w:rFonts w:ascii="宋体" w:hAnsi="宋体" w:eastAsia="宋体" w:cs="宋体"/>
                <w:b w:val="0"/>
              </w:rPr>
              <w:t>占当期债券成交总额的比例</w:t>
            </w:r>
          </w:p>
        </w:tc>
        <w:tc>
          <w:tcPr>
            <w:tcW w:w="538" w:type="pct"/>
            <w:shd w:val="clear" w:color="auto" w:fill="D9D9D9"/>
            <w:vAlign w:val="center"/>
          </w:tcPr>
          <w:p w14:paraId="0D8F89E5">
            <w:pPr>
              <w:spacing w:line="240" w:lineRule="auto"/>
              <w:jc w:val="center"/>
            </w:pPr>
            <w:r>
              <w:rPr>
                <w:rFonts w:ascii="宋体" w:hAnsi="宋体" w:eastAsia="宋体" w:cs="宋体"/>
                <w:b w:val="0"/>
              </w:rPr>
              <w:t>成交金额</w:t>
            </w:r>
          </w:p>
        </w:tc>
        <w:tc>
          <w:tcPr>
            <w:tcW w:w="538" w:type="pct"/>
            <w:shd w:val="clear" w:color="auto" w:fill="D9D9D9"/>
            <w:vAlign w:val="center"/>
          </w:tcPr>
          <w:p w14:paraId="0F943003">
            <w:pPr>
              <w:spacing w:line="240" w:lineRule="auto"/>
              <w:jc w:val="center"/>
            </w:pPr>
            <w:r>
              <w:rPr>
                <w:rFonts w:ascii="宋体" w:hAnsi="宋体" w:eastAsia="宋体" w:cs="宋体"/>
                <w:b w:val="0"/>
              </w:rPr>
              <w:t>占当期债券回购成交总额的比例</w:t>
            </w:r>
          </w:p>
        </w:tc>
        <w:tc>
          <w:tcPr>
            <w:tcW w:w="538" w:type="pct"/>
            <w:shd w:val="clear" w:color="auto" w:fill="D9D9D9"/>
            <w:vAlign w:val="center"/>
          </w:tcPr>
          <w:p w14:paraId="668DD610">
            <w:pPr>
              <w:spacing w:line="240" w:lineRule="auto"/>
              <w:jc w:val="center"/>
            </w:pPr>
            <w:r>
              <w:rPr>
                <w:rFonts w:ascii="宋体" w:hAnsi="宋体" w:eastAsia="宋体" w:cs="宋体"/>
                <w:b w:val="0"/>
              </w:rPr>
              <w:t>成交金额</w:t>
            </w:r>
          </w:p>
        </w:tc>
        <w:tc>
          <w:tcPr>
            <w:tcW w:w="538" w:type="pct"/>
            <w:shd w:val="clear" w:color="auto" w:fill="D9D9D9"/>
            <w:vAlign w:val="center"/>
          </w:tcPr>
          <w:p w14:paraId="2EE47CAA">
            <w:pPr>
              <w:spacing w:line="240" w:lineRule="auto"/>
              <w:jc w:val="center"/>
            </w:pPr>
            <w:r>
              <w:rPr>
                <w:rFonts w:ascii="宋体" w:hAnsi="宋体" w:eastAsia="宋体" w:cs="宋体"/>
                <w:b w:val="0"/>
              </w:rPr>
              <w:t>占当期权证成交总额的比例</w:t>
            </w:r>
          </w:p>
        </w:tc>
        <w:tc>
          <w:tcPr>
            <w:tcW w:w="538" w:type="pct"/>
            <w:shd w:val="clear" w:color="auto" w:fill="D9D9D9"/>
            <w:vAlign w:val="center"/>
          </w:tcPr>
          <w:p w14:paraId="65029A0C">
            <w:pPr>
              <w:spacing w:line="240" w:lineRule="auto"/>
              <w:jc w:val="center"/>
            </w:pPr>
            <w:r>
              <w:rPr>
                <w:rFonts w:ascii="宋体" w:hAnsi="宋体" w:eastAsia="宋体" w:cs="宋体"/>
                <w:b w:val="0"/>
              </w:rPr>
              <w:t>成交金额</w:t>
            </w:r>
          </w:p>
        </w:tc>
        <w:tc>
          <w:tcPr>
            <w:tcW w:w="538" w:type="pct"/>
            <w:shd w:val="clear" w:color="auto" w:fill="D9D9D9"/>
            <w:vAlign w:val="center"/>
          </w:tcPr>
          <w:p w14:paraId="113DA3F6">
            <w:pPr>
              <w:spacing w:line="240" w:lineRule="auto"/>
              <w:jc w:val="center"/>
            </w:pPr>
            <w:r>
              <w:rPr>
                <w:rFonts w:ascii="宋体" w:hAnsi="宋体" w:eastAsia="宋体" w:cs="宋体"/>
                <w:b w:val="0"/>
              </w:rPr>
              <w:t>占当期基金成交总额的比例</w:t>
            </w:r>
          </w:p>
        </w:tc>
      </w:tr>
      <w:tr w14:paraId="4188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5962E5BE">
            <w:pPr>
              <w:spacing w:line="240" w:lineRule="auto"/>
              <w:jc w:val="left"/>
            </w:pPr>
            <w:r>
              <w:rPr>
                <w:rFonts w:ascii="宋体" w:hAnsi="宋体" w:eastAsia="宋体" w:cs="宋体"/>
                <w:b w:val="0"/>
              </w:rPr>
              <w:t>东方财富证券</w:t>
            </w:r>
          </w:p>
        </w:tc>
        <w:tc>
          <w:tcPr>
            <w:tcW w:w="538" w:type="pct"/>
            <w:vAlign w:val="center"/>
          </w:tcPr>
          <w:p w14:paraId="5E4D0400">
            <w:pPr>
              <w:spacing w:line="240" w:lineRule="auto"/>
              <w:jc w:val="right"/>
            </w:pPr>
            <w:r>
              <w:rPr>
                <w:rFonts w:ascii="宋体" w:hAnsi="宋体" w:eastAsia="宋体" w:cs="宋体"/>
                <w:b w:val="0"/>
              </w:rPr>
              <w:t>63,809,572.22</w:t>
            </w:r>
          </w:p>
        </w:tc>
        <w:tc>
          <w:tcPr>
            <w:tcW w:w="538" w:type="pct"/>
            <w:vAlign w:val="center"/>
          </w:tcPr>
          <w:p w14:paraId="3710D4A5">
            <w:pPr>
              <w:spacing w:line="240" w:lineRule="auto"/>
              <w:jc w:val="right"/>
            </w:pPr>
            <w:r>
              <w:rPr>
                <w:rFonts w:ascii="宋体" w:hAnsi="宋体" w:eastAsia="宋体" w:cs="宋体"/>
                <w:b w:val="0"/>
              </w:rPr>
              <w:t>100.00%</w:t>
            </w:r>
          </w:p>
        </w:tc>
        <w:tc>
          <w:tcPr>
            <w:tcW w:w="538" w:type="pct"/>
            <w:vAlign w:val="center"/>
          </w:tcPr>
          <w:p w14:paraId="5B8ABCB7">
            <w:pPr>
              <w:spacing w:line="240" w:lineRule="auto"/>
              <w:jc w:val="right"/>
            </w:pPr>
            <w:r>
              <w:rPr>
                <w:rFonts w:ascii="宋体" w:hAnsi="宋体" w:eastAsia="宋体" w:cs="宋体"/>
                <w:b w:val="0"/>
              </w:rPr>
              <w:t>96,378,000.00</w:t>
            </w:r>
          </w:p>
        </w:tc>
        <w:tc>
          <w:tcPr>
            <w:tcW w:w="538" w:type="pct"/>
            <w:vAlign w:val="center"/>
          </w:tcPr>
          <w:p w14:paraId="0877A174">
            <w:pPr>
              <w:spacing w:line="240" w:lineRule="auto"/>
              <w:jc w:val="right"/>
            </w:pPr>
            <w:r>
              <w:rPr>
                <w:rFonts w:ascii="宋体" w:hAnsi="宋体" w:eastAsia="宋体" w:cs="宋体"/>
                <w:b w:val="0"/>
              </w:rPr>
              <w:t>100.00%</w:t>
            </w:r>
          </w:p>
        </w:tc>
        <w:tc>
          <w:tcPr>
            <w:tcW w:w="538" w:type="pct"/>
            <w:vAlign w:val="center"/>
          </w:tcPr>
          <w:p w14:paraId="41DAB445">
            <w:pPr>
              <w:spacing w:line="240" w:lineRule="auto"/>
              <w:jc w:val="right"/>
            </w:pPr>
            <w:r>
              <w:rPr>
                <w:rFonts w:ascii="宋体" w:hAnsi="宋体" w:eastAsia="宋体" w:cs="宋体"/>
                <w:b w:val="0"/>
              </w:rPr>
              <w:t>-</w:t>
            </w:r>
          </w:p>
        </w:tc>
        <w:tc>
          <w:tcPr>
            <w:tcW w:w="538" w:type="pct"/>
            <w:vAlign w:val="center"/>
          </w:tcPr>
          <w:p w14:paraId="0203F536">
            <w:pPr>
              <w:spacing w:line="240" w:lineRule="auto"/>
              <w:jc w:val="right"/>
            </w:pPr>
            <w:r>
              <w:rPr>
                <w:rFonts w:ascii="宋体" w:hAnsi="宋体" w:eastAsia="宋体" w:cs="宋体"/>
                <w:b w:val="0"/>
              </w:rPr>
              <w:t>-</w:t>
            </w:r>
          </w:p>
        </w:tc>
        <w:tc>
          <w:tcPr>
            <w:tcW w:w="538" w:type="pct"/>
            <w:vAlign w:val="center"/>
          </w:tcPr>
          <w:p w14:paraId="7C7C5A75">
            <w:pPr>
              <w:spacing w:line="240" w:lineRule="auto"/>
              <w:jc w:val="right"/>
            </w:pPr>
            <w:r>
              <w:rPr>
                <w:rFonts w:ascii="宋体" w:hAnsi="宋体" w:eastAsia="宋体" w:cs="宋体"/>
                <w:b w:val="0"/>
              </w:rPr>
              <w:t>-</w:t>
            </w:r>
          </w:p>
        </w:tc>
        <w:tc>
          <w:tcPr>
            <w:tcW w:w="538" w:type="pct"/>
            <w:vAlign w:val="center"/>
          </w:tcPr>
          <w:p w14:paraId="0029B256">
            <w:pPr>
              <w:spacing w:line="240" w:lineRule="auto"/>
              <w:jc w:val="right"/>
            </w:pPr>
            <w:r>
              <w:rPr>
                <w:rFonts w:ascii="宋体" w:hAnsi="宋体" w:eastAsia="宋体" w:cs="宋体"/>
                <w:b w:val="0"/>
              </w:rPr>
              <w:t>-</w:t>
            </w:r>
          </w:p>
        </w:tc>
      </w:tr>
      <w:tr w14:paraId="1377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5F49BA4F">
            <w:pPr>
              <w:spacing w:line="240" w:lineRule="auto"/>
              <w:jc w:val="left"/>
            </w:pPr>
            <w:r>
              <w:rPr>
                <w:rFonts w:ascii="宋体" w:hAnsi="宋体" w:eastAsia="宋体" w:cs="宋体"/>
                <w:b w:val="0"/>
              </w:rPr>
              <w:t>中泰证券</w:t>
            </w:r>
          </w:p>
        </w:tc>
        <w:tc>
          <w:tcPr>
            <w:tcW w:w="538" w:type="pct"/>
            <w:vAlign w:val="center"/>
          </w:tcPr>
          <w:p w14:paraId="20F30336">
            <w:pPr>
              <w:spacing w:line="240" w:lineRule="auto"/>
              <w:jc w:val="right"/>
            </w:pPr>
            <w:r>
              <w:rPr>
                <w:rFonts w:ascii="宋体" w:hAnsi="宋体" w:eastAsia="宋体" w:cs="宋体"/>
                <w:b w:val="0"/>
              </w:rPr>
              <w:t>-</w:t>
            </w:r>
          </w:p>
        </w:tc>
        <w:tc>
          <w:tcPr>
            <w:tcW w:w="538" w:type="pct"/>
            <w:vAlign w:val="center"/>
          </w:tcPr>
          <w:p w14:paraId="30DF2F7F">
            <w:pPr>
              <w:spacing w:line="240" w:lineRule="auto"/>
              <w:jc w:val="right"/>
            </w:pPr>
            <w:r>
              <w:rPr>
                <w:rFonts w:ascii="宋体" w:hAnsi="宋体" w:eastAsia="宋体" w:cs="宋体"/>
                <w:b w:val="0"/>
              </w:rPr>
              <w:t>-</w:t>
            </w:r>
          </w:p>
        </w:tc>
        <w:tc>
          <w:tcPr>
            <w:tcW w:w="538" w:type="pct"/>
            <w:vAlign w:val="center"/>
          </w:tcPr>
          <w:p w14:paraId="353F8A4D">
            <w:pPr>
              <w:spacing w:line="240" w:lineRule="auto"/>
              <w:jc w:val="right"/>
            </w:pPr>
            <w:r>
              <w:rPr>
                <w:rFonts w:ascii="宋体" w:hAnsi="宋体" w:eastAsia="宋体" w:cs="宋体"/>
                <w:b w:val="0"/>
              </w:rPr>
              <w:t>-</w:t>
            </w:r>
          </w:p>
        </w:tc>
        <w:tc>
          <w:tcPr>
            <w:tcW w:w="538" w:type="pct"/>
            <w:vAlign w:val="center"/>
          </w:tcPr>
          <w:p w14:paraId="337BCC10">
            <w:pPr>
              <w:spacing w:line="240" w:lineRule="auto"/>
              <w:jc w:val="right"/>
            </w:pPr>
            <w:r>
              <w:rPr>
                <w:rFonts w:ascii="宋体" w:hAnsi="宋体" w:eastAsia="宋体" w:cs="宋体"/>
                <w:b w:val="0"/>
              </w:rPr>
              <w:t>-</w:t>
            </w:r>
          </w:p>
        </w:tc>
        <w:tc>
          <w:tcPr>
            <w:tcW w:w="538" w:type="pct"/>
            <w:vAlign w:val="center"/>
          </w:tcPr>
          <w:p w14:paraId="29E033D0">
            <w:pPr>
              <w:spacing w:line="240" w:lineRule="auto"/>
              <w:jc w:val="right"/>
            </w:pPr>
            <w:r>
              <w:rPr>
                <w:rFonts w:ascii="宋体" w:hAnsi="宋体" w:eastAsia="宋体" w:cs="宋体"/>
                <w:b w:val="0"/>
              </w:rPr>
              <w:t>-</w:t>
            </w:r>
          </w:p>
        </w:tc>
        <w:tc>
          <w:tcPr>
            <w:tcW w:w="538" w:type="pct"/>
            <w:vAlign w:val="center"/>
          </w:tcPr>
          <w:p w14:paraId="0FDAF529">
            <w:pPr>
              <w:spacing w:line="240" w:lineRule="auto"/>
              <w:jc w:val="right"/>
            </w:pPr>
            <w:r>
              <w:rPr>
                <w:rFonts w:ascii="宋体" w:hAnsi="宋体" w:eastAsia="宋体" w:cs="宋体"/>
                <w:b w:val="0"/>
              </w:rPr>
              <w:t>-</w:t>
            </w:r>
          </w:p>
        </w:tc>
        <w:tc>
          <w:tcPr>
            <w:tcW w:w="538" w:type="pct"/>
            <w:vAlign w:val="center"/>
          </w:tcPr>
          <w:p w14:paraId="1EC06ECD">
            <w:pPr>
              <w:spacing w:line="240" w:lineRule="auto"/>
              <w:jc w:val="right"/>
            </w:pPr>
            <w:r>
              <w:rPr>
                <w:rFonts w:ascii="宋体" w:hAnsi="宋体" w:eastAsia="宋体" w:cs="宋体"/>
                <w:b w:val="0"/>
              </w:rPr>
              <w:t>-</w:t>
            </w:r>
          </w:p>
        </w:tc>
        <w:tc>
          <w:tcPr>
            <w:tcW w:w="538" w:type="pct"/>
            <w:vAlign w:val="center"/>
          </w:tcPr>
          <w:p w14:paraId="35A41A2B">
            <w:pPr>
              <w:spacing w:line="240" w:lineRule="auto"/>
              <w:jc w:val="right"/>
            </w:pPr>
            <w:r>
              <w:rPr>
                <w:rFonts w:ascii="宋体" w:hAnsi="宋体" w:eastAsia="宋体" w:cs="宋体"/>
                <w:b w:val="0"/>
              </w:rPr>
              <w:t>-</w:t>
            </w:r>
          </w:p>
        </w:tc>
      </w:tr>
    </w:tbl>
    <w:p w14:paraId="471ADB79">
      <w:r>
        <w:rPr>
          <w:rFonts w:ascii="宋体" w:hAnsi="宋体" w:eastAsia="宋体" w:cs="宋体"/>
          <w:b w:val="0"/>
        </w:rPr>
        <w:t>注：该表格中的债券成交金额是按全价计算的金额。</w:t>
      </w:r>
    </w:p>
    <w:p w14:paraId="0A081CBE"/>
    <w:p w14:paraId="006A5824">
      <w:pPr>
        <w:pStyle w:val="3"/>
        <w:jc w:val="left"/>
      </w:pPr>
      <w:bookmarkStart w:id="60" w:name="_Toc32472"/>
      <w:r>
        <w:rPr>
          <w:rFonts w:ascii="宋体" w:hAnsi="宋体" w:eastAsia="宋体" w:cs="宋体"/>
        </w:rPr>
        <w:t>10.8 其他重大事件</w:t>
      </w:r>
      <w:bookmarkEnd w:id="6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429"/>
        <w:gridCol w:w="2000"/>
        <w:gridCol w:w="1715"/>
      </w:tblGrid>
      <w:tr w14:paraId="72D7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26B6C79A">
            <w:pPr>
              <w:spacing w:line="240" w:lineRule="auto"/>
              <w:jc w:val="center"/>
            </w:pPr>
            <w:r>
              <w:rPr>
                <w:rFonts w:ascii="宋体" w:hAnsi="宋体" w:eastAsia="宋体" w:cs="宋体"/>
                <w:b w:val="0"/>
              </w:rPr>
              <w:t>序号</w:t>
            </w:r>
          </w:p>
        </w:tc>
        <w:tc>
          <w:tcPr>
            <w:tcW w:w="2385" w:type="pct"/>
            <w:shd w:val="clear" w:color="auto" w:fill="D9D9D9"/>
            <w:vAlign w:val="center"/>
          </w:tcPr>
          <w:p w14:paraId="6D8EDB96">
            <w:pPr>
              <w:spacing w:line="240" w:lineRule="auto"/>
              <w:jc w:val="center"/>
            </w:pPr>
            <w:r>
              <w:rPr>
                <w:rFonts w:ascii="宋体" w:hAnsi="宋体" w:eastAsia="宋体" w:cs="宋体"/>
                <w:b w:val="0"/>
              </w:rPr>
              <w:t>公告事项</w:t>
            </w:r>
          </w:p>
        </w:tc>
        <w:tc>
          <w:tcPr>
            <w:tcW w:w="1077" w:type="pct"/>
            <w:shd w:val="clear" w:color="auto" w:fill="D9D9D9"/>
            <w:vAlign w:val="center"/>
          </w:tcPr>
          <w:p w14:paraId="3C62DD28">
            <w:pPr>
              <w:spacing w:line="240" w:lineRule="auto"/>
              <w:jc w:val="center"/>
            </w:pPr>
            <w:r>
              <w:rPr>
                <w:rFonts w:ascii="宋体" w:hAnsi="宋体" w:eastAsia="宋体" w:cs="宋体"/>
                <w:b w:val="0"/>
              </w:rPr>
              <w:t>法定披露方式</w:t>
            </w:r>
          </w:p>
        </w:tc>
        <w:tc>
          <w:tcPr>
            <w:tcW w:w="923" w:type="pct"/>
            <w:shd w:val="clear" w:color="auto" w:fill="D9D9D9"/>
            <w:vAlign w:val="center"/>
          </w:tcPr>
          <w:p w14:paraId="4F3C2270">
            <w:pPr>
              <w:spacing w:line="240" w:lineRule="auto"/>
              <w:jc w:val="center"/>
            </w:pPr>
            <w:r>
              <w:rPr>
                <w:rFonts w:ascii="宋体" w:hAnsi="宋体" w:eastAsia="宋体" w:cs="宋体"/>
                <w:b w:val="0"/>
              </w:rPr>
              <w:t>法定披露日期</w:t>
            </w:r>
          </w:p>
        </w:tc>
      </w:tr>
      <w:tr w14:paraId="7BC5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BCE16B">
            <w:pPr>
              <w:spacing w:line="240" w:lineRule="auto"/>
              <w:jc w:val="center"/>
            </w:pPr>
            <w:r>
              <w:rPr>
                <w:rFonts w:ascii="宋体" w:hAnsi="宋体" w:eastAsia="宋体" w:cs="宋体"/>
                <w:b w:val="0"/>
              </w:rPr>
              <w:t>1</w:t>
            </w:r>
          </w:p>
        </w:tc>
        <w:tc>
          <w:tcPr>
            <w:tcW w:w="0" w:type="dxa"/>
            <w:vAlign w:val="center"/>
          </w:tcPr>
          <w:p w14:paraId="00346729">
            <w:pPr>
              <w:spacing w:line="240" w:lineRule="auto"/>
              <w:jc w:val="left"/>
            </w:pPr>
            <w:r>
              <w:rPr>
                <w:rFonts w:ascii="宋体" w:hAnsi="宋体" w:eastAsia="宋体" w:cs="宋体"/>
                <w:b w:val="0"/>
              </w:rPr>
              <w:t>东方阿尔法科技优选混合型发起式证券投资基金2025年第四季度报告</w:t>
            </w:r>
          </w:p>
        </w:tc>
        <w:tc>
          <w:tcPr>
            <w:tcW w:w="0" w:type="dxa"/>
            <w:vAlign w:val="center"/>
          </w:tcPr>
          <w:p w14:paraId="1632B023">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57C3E62D">
            <w:pPr>
              <w:spacing w:line="240" w:lineRule="auto"/>
              <w:jc w:val="center"/>
            </w:pPr>
            <w:r>
              <w:rPr>
                <w:rFonts w:ascii="宋体" w:hAnsi="宋体" w:eastAsia="宋体" w:cs="宋体"/>
                <w:b w:val="0"/>
              </w:rPr>
              <w:t>2026-01-22</w:t>
            </w:r>
          </w:p>
        </w:tc>
      </w:tr>
      <w:tr w14:paraId="2A20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CA39A0">
            <w:pPr>
              <w:spacing w:line="240" w:lineRule="auto"/>
              <w:jc w:val="center"/>
            </w:pPr>
            <w:r>
              <w:rPr>
                <w:rFonts w:ascii="宋体" w:hAnsi="宋体" w:eastAsia="宋体" w:cs="宋体"/>
                <w:b w:val="0"/>
              </w:rPr>
              <w:t>2</w:t>
            </w:r>
          </w:p>
        </w:tc>
        <w:tc>
          <w:tcPr>
            <w:tcW w:w="0" w:type="dxa"/>
            <w:vAlign w:val="center"/>
          </w:tcPr>
          <w:p w14:paraId="2ACC4837">
            <w:pPr>
              <w:spacing w:line="240" w:lineRule="auto"/>
              <w:jc w:val="left"/>
            </w:pPr>
            <w:r>
              <w:rPr>
                <w:rFonts w:ascii="宋体" w:hAnsi="宋体" w:eastAsia="宋体" w:cs="宋体"/>
                <w:b w:val="0"/>
              </w:rPr>
              <w:t>东方阿尔法基金管理有限公司旗下部分公募基金2025年第四季度报告提示性公告</w:t>
            </w:r>
          </w:p>
        </w:tc>
        <w:tc>
          <w:tcPr>
            <w:tcW w:w="0" w:type="dxa"/>
            <w:vAlign w:val="center"/>
          </w:tcPr>
          <w:p w14:paraId="13BEA1F3">
            <w:pPr>
              <w:spacing w:line="240" w:lineRule="auto"/>
              <w:jc w:val="left"/>
            </w:pPr>
            <w:r>
              <w:rPr>
                <w:rFonts w:ascii="宋体" w:hAnsi="宋体" w:eastAsia="宋体" w:cs="宋体"/>
                <w:b w:val="0"/>
              </w:rPr>
              <w:t>中国证监会规定报刊</w:t>
            </w:r>
          </w:p>
        </w:tc>
        <w:tc>
          <w:tcPr>
            <w:tcW w:w="0" w:type="dxa"/>
            <w:vAlign w:val="center"/>
          </w:tcPr>
          <w:p w14:paraId="614C2720">
            <w:pPr>
              <w:spacing w:line="240" w:lineRule="auto"/>
              <w:jc w:val="center"/>
            </w:pPr>
            <w:r>
              <w:rPr>
                <w:rFonts w:ascii="宋体" w:hAnsi="宋体" w:eastAsia="宋体" w:cs="宋体"/>
                <w:b w:val="0"/>
              </w:rPr>
              <w:t>2026-01-22</w:t>
            </w:r>
          </w:p>
        </w:tc>
      </w:tr>
      <w:tr w14:paraId="6226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F10EB4">
            <w:pPr>
              <w:spacing w:line="240" w:lineRule="auto"/>
              <w:jc w:val="center"/>
            </w:pPr>
            <w:r>
              <w:rPr>
                <w:rFonts w:ascii="宋体" w:hAnsi="宋体" w:eastAsia="宋体" w:cs="宋体"/>
                <w:b w:val="0"/>
              </w:rPr>
              <w:t>3</w:t>
            </w:r>
          </w:p>
        </w:tc>
        <w:tc>
          <w:tcPr>
            <w:tcW w:w="0" w:type="dxa"/>
            <w:vAlign w:val="center"/>
          </w:tcPr>
          <w:p w14:paraId="5F13A211">
            <w:pPr>
              <w:spacing w:line="240" w:lineRule="auto"/>
              <w:jc w:val="left"/>
            </w:pPr>
            <w:r>
              <w:rPr>
                <w:rFonts w:ascii="宋体" w:hAnsi="宋体" w:eastAsia="宋体" w:cs="宋体"/>
                <w:b w:val="0"/>
              </w:rPr>
              <w:t>东方阿尔法基金管理有限公司旗下公募基金通过证券公司交易及佣金支付情况（2025年度）</w:t>
            </w:r>
          </w:p>
        </w:tc>
        <w:tc>
          <w:tcPr>
            <w:tcW w:w="0" w:type="dxa"/>
            <w:vAlign w:val="center"/>
          </w:tcPr>
          <w:p w14:paraId="5D8196CE">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73104D9E">
            <w:pPr>
              <w:spacing w:line="240" w:lineRule="auto"/>
              <w:jc w:val="center"/>
            </w:pPr>
            <w:r>
              <w:rPr>
                <w:rFonts w:ascii="宋体" w:hAnsi="宋体" w:eastAsia="宋体" w:cs="宋体"/>
                <w:b w:val="0"/>
              </w:rPr>
              <w:t>2026-03-27</w:t>
            </w:r>
          </w:p>
        </w:tc>
      </w:tr>
      <w:tr w14:paraId="0A9D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CD2AAB">
            <w:pPr>
              <w:spacing w:line="240" w:lineRule="auto"/>
              <w:jc w:val="center"/>
            </w:pPr>
            <w:r>
              <w:rPr>
                <w:rFonts w:ascii="宋体" w:hAnsi="宋体" w:eastAsia="宋体" w:cs="宋体"/>
                <w:b w:val="0"/>
              </w:rPr>
              <w:t>4</w:t>
            </w:r>
          </w:p>
        </w:tc>
        <w:tc>
          <w:tcPr>
            <w:tcW w:w="0" w:type="dxa"/>
            <w:vAlign w:val="center"/>
          </w:tcPr>
          <w:p w14:paraId="3C9C8C36">
            <w:pPr>
              <w:spacing w:line="240" w:lineRule="auto"/>
              <w:jc w:val="left"/>
            </w:pPr>
            <w:r>
              <w:rPr>
                <w:rFonts w:ascii="宋体" w:hAnsi="宋体" w:eastAsia="宋体" w:cs="宋体"/>
                <w:b w:val="0"/>
              </w:rPr>
              <w:t>东方阿尔法基金管理有限公司旗下公募基金2025年年度报告提示性公告</w:t>
            </w:r>
          </w:p>
        </w:tc>
        <w:tc>
          <w:tcPr>
            <w:tcW w:w="0" w:type="dxa"/>
            <w:vAlign w:val="center"/>
          </w:tcPr>
          <w:p w14:paraId="5BB45946">
            <w:pPr>
              <w:spacing w:line="240" w:lineRule="auto"/>
              <w:jc w:val="left"/>
            </w:pPr>
            <w:r>
              <w:rPr>
                <w:rFonts w:ascii="宋体" w:hAnsi="宋体" w:eastAsia="宋体" w:cs="宋体"/>
                <w:b w:val="0"/>
              </w:rPr>
              <w:t>中国证监会规定报刊</w:t>
            </w:r>
          </w:p>
        </w:tc>
        <w:tc>
          <w:tcPr>
            <w:tcW w:w="0" w:type="dxa"/>
            <w:vAlign w:val="center"/>
          </w:tcPr>
          <w:p w14:paraId="7B2D7E82">
            <w:pPr>
              <w:spacing w:line="240" w:lineRule="auto"/>
              <w:jc w:val="center"/>
            </w:pPr>
            <w:r>
              <w:rPr>
                <w:rFonts w:ascii="宋体" w:hAnsi="宋体" w:eastAsia="宋体" w:cs="宋体"/>
                <w:b w:val="0"/>
              </w:rPr>
              <w:t>2026-03-30</w:t>
            </w:r>
          </w:p>
        </w:tc>
      </w:tr>
      <w:tr w14:paraId="7DDE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24FD16">
            <w:pPr>
              <w:spacing w:line="240" w:lineRule="auto"/>
              <w:jc w:val="center"/>
            </w:pPr>
            <w:r>
              <w:rPr>
                <w:rFonts w:ascii="宋体" w:hAnsi="宋体" w:eastAsia="宋体" w:cs="宋体"/>
                <w:b w:val="0"/>
              </w:rPr>
              <w:t>5</w:t>
            </w:r>
          </w:p>
        </w:tc>
        <w:tc>
          <w:tcPr>
            <w:tcW w:w="0" w:type="dxa"/>
            <w:vAlign w:val="center"/>
          </w:tcPr>
          <w:p w14:paraId="425A2465">
            <w:pPr>
              <w:spacing w:line="240" w:lineRule="auto"/>
              <w:jc w:val="left"/>
            </w:pPr>
            <w:r>
              <w:rPr>
                <w:rFonts w:ascii="宋体" w:hAnsi="宋体" w:eastAsia="宋体" w:cs="宋体"/>
                <w:b w:val="0"/>
              </w:rPr>
              <w:t>东方阿尔法科技优选混合型发起式证券投资基金2025年年度报告</w:t>
            </w:r>
          </w:p>
        </w:tc>
        <w:tc>
          <w:tcPr>
            <w:tcW w:w="0" w:type="dxa"/>
            <w:vAlign w:val="center"/>
          </w:tcPr>
          <w:p w14:paraId="677EFCA7">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57EB9E01">
            <w:pPr>
              <w:spacing w:line="240" w:lineRule="auto"/>
              <w:jc w:val="center"/>
            </w:pPr>
            <w:r>
              <w:rPr>
                <w:rFonts w:ascii="宋体" w:hAnsi="宋体" w:eastAsia="宋体" w:cs="宋体"/>
                <w:b w:val="0"/>
              </w:rPr>
              <w:t>2026-03-30</w:t>
            </w:r>
          </w:p>
        </w:tc>
      </w:tr>
      <w:tr w14:paraId="03AE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4FE40D">
            <w:pPr>
              <w:spacing w:line="240" w:lineRule="auto"/>
              <w:jc w:val="center"/>
            </w:pPr>
            <w:r>
              <w:rPr>
                <w:rFonts w:ascii="宋体" w:hAnsi="宋体" w:eastAsia="宋体" w:cs="宋体"/>
                <w:b w:val="0"/>
              </w:rPr>
              <w:t>6</w:t>
            </w:r>
          </w:p>
        </w:tc>
        <w:tc>
          <w:tcPr>
            <w:tcW w:w="0" w:type="dxa"/>
            <w:vAlign w:val="center"/>
          </w:tcPr>
          <w:p w14:paraId="5283D49F">
            <w:pPr>
              <w:spacing w:line="240" w:lineRule="auto"/>
              <w:jc w:val="left"/>
            </w:pPr>
            <w:r>
              <w:rPr>
                <w:rFonts w:ascii="宋体" w:hAnsi="宋体" w:eastAsia="宋体" w:cs="宋体"/>
                <w:b w:val="0"/>
              </w:rPr>
              <w:t>东方阿尔法基金管理有限公司旗下部分公募基金2026年第一季度报告提示性公告</w:t>
            </w:r>
          </w:p>
        </w:tc>
        <w:tc>
          <w:tcPr>
            <w:tcW w:w="0" w:type="dxa"/>
            <w:vAlign w:val="center"/>
          </w:tcPr>
          <w:p w14:paraId="2425F7EB">
            <w:pPr>
              <w:spacing w:line="240" w:lineRule="auto"/>
              <w:jc w:val="left"/>
            </w:pPr>
            <w:r>
              <w:rPr>
                <w:rFonts w:ascii="宋体" w:hAnsi="宋体" w:eastAsia="宋体" w:cs="宋体"/>
                <w:b w:val="0"/>
              </w:rPr>
              <w:t>中国证监会规定报刊</w:t>
            </w:r>
          </w:p>
        </w:tc>
        <w:tc>
          <w:tcPr>
            <w:tcW w:w="0" w:type="dxa"/>
            <w:vAlign w:val="center"/>
          </w:tcPr>
          <w:p w14:paraId="5EA506F7">
            <w:pPr>
              <w:spacing w:line="240" w:lineRule="auto"/>
              <w:jc w:val="center"/>
            </w:pPr>
            <w:r>
              <w:rPr>
                <w:rFonts w:ascii="宋体" w:hAnsi="宋体" w:eastAsia="宋体" w:cs="宋体"/>
                <w:b w:val="0"/>
              </w:rPr>
              <w:t>2026-04-22</w:t>
            </w:r>
          </w:p>
        </w:tc>
      </w:tr>
      <w:tr w14:paraId="56F5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85A6087">
            <w:pPr>
              <w:spacing w:line="240" w:lineRule="auto"/>
              <w:jc w:val="center"/>
            </w:pPr>
            <w:r>
              <w:rPr>
                <w:rFonts w:ascii="宋体" w:hAnsi="宋体" w:eastAsia="宋体" w:cs="宋体"/>
                <w:b w:val="0"/>
              </w:rPr>
              <w:t>7</w:t>
            </w:r>
          </w:p>
        </w:tc>
        <w:tc>
          <w:tcPr>
            <w:tcW w:w="0" w:type="dxa"/>
            <w:vAlign w:val="center"/>
          </w:tcPr>
          <w:p w14:paraId="05E885B2">
            <w:pPr>
              <w:spacing w:line="240" w:lineRule="auto"/>
              <w:jc w:val="left"/>
            </w:pPr>
            <w:r>
              <w:rPr>
                <w:rFonts w:ascii="宋体" w:hAnsi="宋体" w:eastAsia="宋体" w:cs="宋体"/>
                <w:b w:val="0"/>
              </w:rPr>
              <w:t>东方阿尔法科技优选混合型发起式证券投资基金2026年第一季度报告</w:t>
            </w:r>
          </w:p>
        </w:tc>
        <w:tc>
          <w:tcPr>
            <w:tcW w:w="0" w:type="dxa"/>
            <w:vAlign w:val="center"/>
          </w:tcPr>
          <w:p w14:paraId="3C99E497">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453F4831">
            <w:pPr>
              <w:spacing w:line="240" w:lineRule="auto"/>
              <w:jc w:val="center"/>
            </w:pPr>
            <w:r>
              <w:rPr>
                <w:rFonts w:ascii="宋体" w:hAnsi="宋体" w:eastAsia="宋体" w:cs="宋体"/>
                <w:b w:val="0"/>
              </w:rPr>
              <w:t>2026-04-22</w:t>
            </w:r>
          </w:p>
        </w:tc>
      </w:tr>
      <w:tr w14:paraId="1B0F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C698A1">
            <w:pPr>
              <w:spacing w:line="240" w:lineRule="auto"/>
              <w:jc w:val="center"/>
            </w:pPr>
            <w:r>
              <w:rPr>
                <w:rFonts w:ascii="宋体" w:hAnsi="宋体" w:eastAsia="宋体" w:cs="宋体"/>
                <w:b w:val="0"/>
              </w:rPr>
              <w:t>8</w:t>
            </w:r>
          </w:p>
        </w:tc>
        <w:tc>
          <w:tcPr>
            <w:tcW w:w="0" w:type="dxa"/>
            <w:vAlign w:val="center"/>
          </w:tcPr>
          <w:p w14:paraId="3666B2D4">
            <w:pPr>
              <w:spacing w:line="240" w:lineRule="auto"/>
              <w:jc w:val="left"/>
            </w:pPr>
            <w:r>
              <w:rPr>
                <w:rFonts w:ascii="宋体" w:hAnsi="宋体" w:eastAsia="宋体" w:cs="宋体"/>
                <w:b w:val="0"/>
              </w:rPr>
              <w:t>东方阿尔法基金管理有限公司对外行使投票表决权（2025年度）情况信息披露</w:t>
            </w:r>
          </w:p>
        </w:tc>
        <w:tc>
          <w:tcPr>
            <w:tcW w:w="0" w:type="dxa"/>
            <w:vAlign w:val="center"/>
          </w:tcPr>
          <w:p w14:paraId="3A3886D2">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60B77FE6">
            <w:pPr>
              <w:spacing w:line="240" w:lineRule="auto"/>
              <w:jc w:val="center"/>
            </w:pPr>
            <w:r>
              <w:rPr>
                <w:rFonts w:ascii="宋体" w:hAnsi="宋体" w:eastAsia="宋体" w:cs="宋体"/>
                <w:b w:val="0"/>
              </w:rPr>
              <w:t>2026-04-28</w:t>
            </w:r>
          </w:p>
        </w:tc>
      </w:tr>
      <w:tr w14:paraId="4F98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F5E590">
            <w:pPr>
              <w:spacing w:line="240" w:lineRule="auto"/>
              <w:jc w:val="center"/>
            </w:pPr>
            <w:r>
              <w:rPr>
                <w:rFonts w:ascii="宋体" w:hAnsi="宋体" w:eastAsia="宋体" w:cs="宋体"/>
                <w:b w:val="0"/>
              </w:rPr>
              <w:t>9</w:t>
            </w:r>
          </w:p>
        </w:tc>
        <w:tc>
          <w:tcPr>
            <w:tcW w:w="0" w:type="dxa"/>
            <w:vAlign w:val="center"/>
          </w:tcPr>
          <w:p w14:paraId="2DC12377">
            <w:pPr>
              <w:spacing w:line="240" w:lineRule="auto"/>
              <w:jc w:val="left"/>
            </w:pPr>
            <w:r>
              <w:rPr>
                <w:rFonts w:ascii="宋体" w:hAnsi="宋体" w:eastAsia="宋体" w:cs="宋体"/>
                <w:b w:val="0"/>
              </w:rPr>
              <w:t>东方阿尔法基金管理有限公司关于旗下基金增加易方达财富管理基金销售（广州）有限公司为销售机构的公告</w:t>
            </w:r>
          </w:p>
        </w:tc>
        <w:tc>
          <w:tcPr>
            <w:tcW w:w="0" w:type="dxa"/>
            <w:vAlign w:val="center"/>
          </w:tcPr>
          <w:p w14:paraId="4C5650D0">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14:paraId="167934F2">
            <w:pPr>
              <w:spacing w:line="240" w:lineRule="auto"/>
              <w:jc w:val="center"/>
            </w:pPr>
            <w:r>
              <w:rPr>
                <w:rFonts w:ascii="宋体" w:hAnsi="宋体" w:eastAsia="宋体" w:cs="宋体"/>
                <w:b w:val="0"/>
              </w:rPr>
              <w:t>2026-05-08</w:t>
            </w:r>
          </w:p>
        </w:tc>
      </w:tr>
      <w:tr w14:paraId="3BDC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4504F5">
            <w:pPr>
              <w:spacing w:line="240" w:lineRule="auto"/>
              <w:jc w:val="center"/>
            </w:pPr>
            <w:r>
              <w:rPr>
                <w:rFonts w:ascii="宋体" w:hAnsi="宋体" w:eastAsia="宋体" w:cs="宋体"/>
                <w:b w:val="0"/>
              </w:rPr>
              <w:t>10</w:t>
            </w:r>
          </w:p>
        </w:tc>
        <w:tc>
          <w:tcPr>
            <w:tcW w:w="0" w:type="dxa"/>
            <w:vAlign w:val="center"/>
          </w:tcPr>
          <w:p w14:paraId="205C9108">
            <w:pPr>
              <w:spacing w:line="240" w:lineRule="auto"/>
              <w:jc w:val="left"/>
            </w:pPr>
            <w:r>
              <w:rPr>
                <w:rFonts w:ascii="宋体" w:hAnsi="宋体" w:eastAsia="宋体" w:cs="宋体"/>
                <w:b w:val="0"/>
              </w:rPr>
              <w:t>东方阿尔法科技优选混合型发起式证券投资基金基金经理变更公告</w:t>
            </w:r>
          </w:p>
        </w:tc>
        <w:tc>
          <w:tcPr>
            <w:tcW w:w="0" w:type="dxa"/>
            <w:vAlign w:val="center"/>
          </w:tcPr>
          <w:p w14:paraId="68A40D82">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14:paraId="594178AB">
            <w:pPr>
              <w:spacing w:line="240" w:lineRule="auto"/>
              <w:jc w:val="center"/>
            </w:pPr>
            <w:r>
              <w:rPr>
                <w:rFonts w:ascii="宋体" w:hAnsi="宋体" w:eastAsia="宋体" w:cs="宋体"/>
                <w:b w:val="0"/>
              </w:rPr>
              <w:t>2026-06-13</w:t>
            </w:r>
          </w:p>
        </w:tc>
      </w:tr>
      <w:tr w14:paraId="0362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C6F004">
            <w:pPr>
              <w:spacing w:line="240" w:lineRule="auto"/>
              <w:jc w:val="center"/>
            </w:pPr>
            <w:r>
              <w:rPr>
                <w:rFonts w:ascii="宋体" w:hAnsi="宋体" w:eastAsia="宋体" w:cs="宋体"/>
                <w:b w:val="0"/>
              </w:rPr>
              <w:t>11</w:t>
            </w:r>
          </w:p>
        </w:tc>
        <w:tc>
          <w:tcPr>
            <w:tcW w:w="0" w:type="dxa"/>
            <w:vAlign w:val="center"/>
          </w:tcPr>
          <w:p w14:paraId="4C46C8FC">
            <w:pPr>
              <w:spacing w:line="240" w:lineRule="auto"/>
              <w:jc w:val="left"/>
            </w:pPr>
            <w:r>
              <w:rPr>
                <w:rFonts w:ascii="宋体" w:hAnsi="宋体" w:eastAsia="宋体" w:cs="宋体"/>
                <w:b w:val="0"/>
              </w:rPr>
              <w:t>东方阿尔法基金管理有限公司关于旗下部分公募基金更新招募说明书及基金产品资料概要的提示性公告</w:t>
            </w:r>
          </w:p>
        </w:tc>
        <w:tc>
          <w:tcPr>
            <w:tcW w:w="0" w:type="dxa"/>
            <w:vAlign w:val="center"/>
          </w:tcPr>
          <w:p w14:paraId="5326FA72">
            <w:pPr>
              <w:spacing w:line="240" w:lineRule="auto"/>
              <w:jc w:val="left"/>
            </w:pPr>
            <w:r>
              <w:rPr>
                <w:rFonts w:ascii="宋体" w:hAnsi="宋体" w:eastAsia="宋体" w:cs="宋体"/>
                <w:b w:val="0"/>
              </w:rPr>
              <w:t>中国证监会规定报刊</w:t>
            </w:r>
          </w:p>
        </w:tc>
        <w:tc>
          <w:tcPr>
            <w:tcW w:w="0" w:type="dxa"/>
            <w:vAlign w:val="center"/>
          </w:tcPr>
          <w:p w14:paraId="469D1AC9">
            <w:pPr>
              <w:spacing w:line="240" w:lineRule="auto"/>
              <w:jc w:val="center"/>
            </w:pPr>
            <w:r>
              <w:rPr>
                <w:rFonts w:ascii="宋体" w:hAnsi="宋体" w:eastAsia="宋体" w:cs="宋体"/>
                <w:b w:val="0"/>
              </w:rPr>
              <w:t>2026-06-13</w:t>
            </w:r>
          </w:p>
        </w:tc>
      </w:tr>
      <w:tr w14:paraId="0A0A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0C8134">
            <w:pPr>
              <w:spacing w:line="240" w:lineRule="auto"/>
              <w:jc w:val="center"/>
            </w:pPr>
            <w:r>
              <w:rPr>
                <w:rFonts w:ascii="宋体" w:hAnsi="宋体" w:eastAsia="宋体" w:cs="宋体"/>
                <w:b w:val="0"/>
              </w:rPr>
              <w:t>12</w:t>
            </w:r>
          </w:p>
        </w:tc>
        <w:tc>
          <w:tcPr>
            <w:tcW w:w="0" w:type="dxa"/>
            <w:vAlign w:val="center"/>
          </w:tcPr>
          <w:p w14:paraId="1C75E255">
            <w:pPr>
              <w:spacing w:line="240" w:lineRule="auto"/>
              <w:jc w:val="left"/>
            </w:pPr>
            <w:r>
              <w:rPr>
                <w:rFonts w:ascii="宋体" w:hAnsi="宋体" w:eastAsia="宋体" w:cs="宋体"/>
                <w:b w:val="0"/>
              </w:rPr>
              <w:t>东方阿尔法科技优选混合型发起式证券投资基金招募说明书（更新）（2026年第1期）</w:t>
            </w:r>
          </w:p>
        </w:tc>
        <w:tc>
          <w:tcPr>
            <w:tcW w:w="0" w:type="dxa"/>
            <w:vAlign w:val="center"/>
          </w:tcPr>
          <w:p w14:paraId="60974FEB">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0BDC4ED9">
            <w:pPr>
              <w:spacing w:line="240" w:lineRule="auto"/>
              <w:jc w:val="center"/>
            </w:pPr>
            <w:r>
              <w:rPr>
                <w:rFonts w:ascii="宋体" w:hAnsi="宋体" w:eastAsia="宋体" w:cs="宋体"/>
                <w:b w:val="0"/>
              </w:rPr>
              <w:t>2026-06-13</w:t>
            </w:r>
          </w:p>
        </w:tc>
      </w:tr>
      <w:tr w14:paraId="5F70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E6CB9C">
            <w:pPr>
              <w:spacing w:line="240" w:lineRule="auto"/>
              <w:jc w:val="center"/>
            </w:pPr>
            <w:r>
              <w:rPr>
                <w:rFonts w:ascii="宋体" w:hAnsi="宋体" w:eastAsia="宋体" w:cs="宋体"/>
                <w:b w:val="0"/>
              </w:rPr>
              <w:t>13</w:t>
            </w:r>
          </w:p>
        </w:tc>
        <w:tc>
          <w:tcPr>
            <w:tcW w:w="0" w:type="dxa"/>
            <w:vAlign w:val="center"/>
          </w:tcPr>
          <w:p w14:paraId="7A397B73">
            <w:pPr>
              <w:spacing w:line="240" w:lineRule="auto"/>
              <w:jc w:val="left"/>
            </w:pPr>
            <w:r>
              <w:rPr>
                <w:rFonts w:ascii="宋体" w:hAnsi="宋体" w:eastAsia="宋体" w:cs="宋体"/>
                <w:b w:val="0"/>
              </w:rPr>
              <w:t>东方阿尔法科技优选混合型发起式证券投资基金基金产品资料概要更新（2026年第1期）（A类份额/C类份额）</w:t>
            </w:r>
          </w:p>
        </w:tc>
        <w:tc>
          <w:tcPr>
            <w:tcW w:w="0" w:type="dxa"/>
            <w:vAlign w:val="center"/>
          </w:tcPr>
          <w:p w14:paraId="22B6C9AF">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2535717B">
            <w:pPr>
              <w:spacing w:line="240" w:lineRule="auto"/>
              <w:jc w:val="center"/>
            </w:pPr>
            <w:r>
              <w:rPr>
                <w:rFonts w:ascii="宋体" w:hAnsi="宋体" w:eastAsia="宋体" w:cs="宋体"/>
                <w:b w:val="0"/>
              </w:rPr>
              <w:t>2026-06-13</w:t>
            </w:r>
          </w:p>
        </w:tc>
      </w:tr>
    </w:tbl>
    <w:p w14:paraId="71856CAA">
      <w:pPr>
        <w:pStyle w:val="2"/>
        <w:jc w:val="center"/>
      </w:pPr>
      <w:bookmarkStart w:id="61" w:name="_Toc22785"/>
      <w:r>
        <w:rPr>
          <w:rFonts w:ascii="宋体" w:hAnsi="宋体" w:eastAsia="宋体" w:cs="宋体"/>
        </w:rPr>
        <w:t>§11 影响投资者决策的其他重要信息</w:t>
      </w:r>
      <w:bookmarkEnd w:id="61"/>
    </w:p>
    <w:p w14:paraId="505CCE99">
      <w:pPr>
        <w:pStyle w:val="3"/>
        <w:jc w:val="left"/>
      </w:pPr>
      <w:bookmarkStart w:id="62" w:name="_Toc32474"/>
      <w:r>
        <w:rPr>
          <w:rFonts w:ascii="宋体" w:hAnsi="宋体" w:eastAsia="宋体" w:cs="宋体"/>
        </w:rPr>
        <w:t>11.1 报告期内单一投资者持有基金份额比例达到或超过20%的情况</w:t>
      </w:r>
      <w:bookmarkEnd w:id="62"/>
    </w:p>
    <w:p w14:paraId="7347DB88">
      <w:r>
        <w:rPr>
          <w:rFonts w:ascii="宋体" w:hAnsi="宋体" w:eastAsia="宋体" w:cs="宋体"/>
          <w:b w:val="0"/>
        </w:rPr>
        <w:t xml:space="preserve">    本报告期内，本基金不存在单一投资者持有基金份额比例达到或超过20%的情况。</w:t>
      </w:r>
    </w:p>
    <w:p w14:paraId="096F7E3F"/>
    <w:p w14:paraId="20BFF871">
      <w:pPr>
        <w:pStyle w:val="3"/>
        <w:jc w:val="left"/>
      </w:pPr>
      <w:bookmarkStart w:id="63" w:name="_Toc27841"/>
      <w:r>
        <w:rPr>
          <w:rFonts w:ascii="宋体" w:hAnsi="宋体" w:eastAsia="宋体" w:cs="宋体"/>
        </w:rPr>
        <w:t>11.2 影响投资者决策的其他重要信息</w:t>
      </w:r>
      <w:bookmarkEnd w:id="63"/>
    </w:p>
    <w:p w14:paraId="5E42D8A5">
      <w:pPr>
        <w:jc w:val="left"/>
      </w:pPr>
      <w:r>
        <w:rPr>
          <w:rFonts w:ascii="宋体" w:hAnsi="宋体" w:eastAsia="宋体" w:cs="宋体"/>
          <w:b w:val="0"/>
        </w:rPr>
        <w:t xml:space="preserve">    无。</w:t>
      </w:r>
    </w:p>
    <w:p w14:paraId="76C66053">
      <w:pPr>
        <w:pStyle w:val="2"/>
        <w:jc w:val="center"/>
      </w:pPr>
      <w:bookmarkStart w:id="64" w:name="_Toc20325"/>
      <w:r>
        <w:rPr>
          <w:rFonts w:ascii="宋体" w:hAnsi="宋体" w:eastAsia="宋体" w:cs="宋体"/>
        </w:rPr>
        <w:t>§12 备查文件目录</w:t>
      </w:r>
      <w:bookmarkEnd w:id="64"/>
    </w:p>
    <w:p w14:paraId="15F8402B">
      <w:pPr>
        <w:pStyle w:val="3"/>
        <w:jc w:val="left"/>
      </w:pPr>
      <w:bookmarkStart w:id="65" w:name="_Toc611"/>
      <w:r>
        <w:rPr>
          <w:rFonts w:ascii="宋体" w:hAnsi="宋体" w:eastAsia="宋体" w:cs="宋体"/>
        </w:rPr>
        <w:t>12.1 备查文件目录</w:t>
      </w:r>
      <w:bookmarkEnd w:id="65"/>
    </w:p>
    <w:p w14:paraId="41690DC3">
      <w:pPr>
        <w:jc w:val="left"/>
      </w:pPr>
      <w:r>
        <w:rPr>
          <w:rFonts w:ascii="宋体" w:hAnsi="宋体" w:eastAsia="宋体" w:cs="宋体"/>
          <w:b w:val="0"/>
        </w:rPr>
        <w:t xml:space="preserve">    1、中国证券监督管理委员会批准的东方阿尔法科技优选混合型发起式证券投资基金设立的文件；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2、《东方阿尔法科技优选混合型发起式证券投资基金基金合同》；</w:t>
      </w:r>
      <w:r>
        <w:rPr>
          <w:rFonts w:ascii="宋体" w:hAnsi="宋体" w:eastAsia="宋体" w:cs="宋体"/>
          <w:b w:val="0"/>
        </w:rPr>
        <w:br w:type="textWrapping"/>
      </w:r>
      <w:r>
        <w:rPr>
          <w:rFonts w:ascii="宋体" w:hAnsi="宋体" w:eastAsia="宋体" w:cs="宋体"/>
          <w:b w:val="0"/>
        </w:rPr>
        <w:t xml:space="preserve">    3、《东方阿尔法科技优选混合型发起式证券投资基金托管协议》；</w:t>
      </w:r>
      <w:r>
        <w:rPr>
          <w:rFonts w:ascii="宋体" w:hAnsi="宋体" w:eastAsia="宋体" w:cs="宋体"/>
          <w:b w:val="0"/>
        </w:rPr>
        <w:br w:type="textWrapping"/>
      </w:r>
      <w:r>
        <w:rPr>
          <w:rFonts w:ascii="宋体" w:hAnsi="宋体" w:eastAsia="宋体" w:cs="宋体"/>
          <w:b w:val="0"/>
        </w:rPr>
        <w:t xml:space="preserve">    4、《东方阿尔法科技优选混合型发起式证券投资基金招募说明书》（含更新）；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14:paraId="0382DD8A"/>
    <w:p w14:paraId="05D9D54B">
      <w:pPr>
        <w:pStyle w:val="3"/>
        <w:jc w:val="left"/>
      </w:pPr>
      <w:bookmarkStart w:id="66" w:name="_Toc30939"/>
      <w:r>
        <w:rPr>
          <w:rFonts w:ascii="宋体" w:hAnsi="宋体" w:eastAsia="宋体" w:cs="宋体"/>
        </w:rPr>
        <w:t>12.2 存放地点</w:t>
      </w:r>
      <w:bookmarkEnd w:id="66"/>
    </w:p>
    <w:p w14:paraId="237653CA">
      <w:pPr>
        <w:jc w:val="left"/>
      </w:pPr>
      <w:r>
        <w:rPr>
          <w:rFonts w:ascii="宋体" w:hAnsi="宋体" w:eastAsia="宋体" w:cs="宋体"/>
          <w:b w:val="0"/>
        </w:rPr>
        <w:t xml:space="preserve">    基金管理人和基金托管人的住所。</w:t>
      </w:r>
    </w:p>
    <w:p w14:paraId="05B8B9A6"/>
    <w:p w14:paraId="4D18EF47">
      <w:pPr>
        <w:pStyle w:val="3"/>
        <w:jc w:val="left"/>
      </w:pPr>
      <w:bookmarkStart w:id="67" w:name="_Toc18062"/>
      <w:r>
        <w:rPr>
          <w:rFonts w:ascii="宋体" w:hAnsi="宋体" w:eastAsia="宋体" w:cs="宋体"/>
        </w:rPr>
        <w:t>12.3 查阅方式</w:t>
      </w:r>
      <w:bookmarkEnd w:id="67"/>
    </w:p>
    <w:p w14:paraId="5DFA422A">
      <w:pPr>
        <w:jc w:val="left"/>
      </w:pPr>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14:paraId="546E7032"/>
    <w:p w14:paraId="0EC7A383"/>
    <w:p w14:paraId="63F5A3B4"/>
    <w:p w14:paraId="40CB882C">
      <w:pPr>
        <w:jc w:val="right"/>
      </w:pPr>
      <w:r>
        <w:rPr>
          <w:rFonts w:ascii="宋体" w:hAnsi="宋体" w:eastAsia="宋体" w:cs="宋体"/>
          <w:b/>
        </w:rPr>
        <w:t>东方阿尔法基金管理有限公司</w:t>
      </w:r>
    </w:p>
    <w:p w14:paraId="402AAF6F">
      <w:pPr>
        <w:jc w:val="right"/>
      </w:pPr>
      <w:r>
        <w:rPr>
          <w:rFonts w:ascii="宋体" w:hAnsi="宋体" w:eastAsia="宋体" w:cs="宋体"/>
          <w:b/>
        </w:rPr>
        <w:t>二〇二六年八月三十一日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18" w:bottom="1440" w:left="1418" w:header="851" w:footer="992"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BF44">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4</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4</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3</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70CAD">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069AD">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E93CD">
    <w:pPr>
      <w:pBdr>
        <w:bottom w:val="single" w:color="auto" w:sz="4" w:space="1"/>
      </w:pBdr>
      <w:jc w:val="right"/>
      <w:rPr>
        <w:rFonts w:ascii="宋体" w:hAnsi="宋体" w:eastAsia="宋体"/>
      </w:rPr>
    </w:pPr>
    <w:r>
      <w:rPr>
        <w:rFonts w:hint="eastAsia" w:ascii="宋体" w:hAnsi="宋体" w:eastAsia="宋体"/>
        <w:sz w:val="18"/>
      </w:rPr>
      <w:t>东方阿尔法科技优选混合型发起式证券投资基金2026年中期报告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3D2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DA8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2488"/>
    <w:rsid w:val="00010B6C"/>
    <w:rsid w:val="00031D8B"/>
    <w:rsid w:val="000920C1"/>
    <w:rsid w:val="000B14F1"/>
    <w:rsid w:val="000B761A"/>
    <w:rsid w:val="000D44F1"/>
    <w:rsid w:val="000F65E0"/>
    <w:rsid w:val="00176454"/>
    <w:rsid w:val="0019729C"/>
    <w:rsid w:val="001A0694"/>
    <w:rsid w:val="001E0E18"/>
    <w:rsid w:val="001E49DE"/>
    <w:rsid w:val="001E72DB"/>
    <w:rsid w:val="0026022A"/>
    <w:rsid w:val="00294812"/>
    <w:rsid w:val="002C6A0C"/>
    <w:rsid w:val="002D4665"/>
    <w:rsid w:val="00324653"/>
    <w:rsid w:val="00361AE0"/>
    <w:rsid w:val="00390DEF"/>
    <w:rsid w:val="003D4275"/>
    <w:rsid w:val="00416DB4"/>
    <w:rsid w:val="00434BB2"/>
    <w:rsid w:val="00435171"/>
    <w:rsid w:val="004673BB"/>
    <w:rsid w:val="004850E7"/>
    <w:rsid w:val="0048630B"/>
    <w:rsid w:val="004A07CE"/>
    <w:rsid w:val="004A5321"/>
    <w:rsid w:val="004D3C7D"/>
    <w:rsid w:val="004E3612"/>
    <w:rsid w:val="004F01F2"/>
    <w:rsid w:val="004F33D8"/>
    <w:rsid w:val="00501676"/>
    <w:rsid w:val="005037A9"/>
    <w:rsid w:val="0053328C"/>
    <w:rsid w:val="00536F98"/>
    <w:rsid w:val="0054091C"/>
    <w:rsid w:val="005826D5"/>
    <w:rsid w:val="005B565C"/>
    <w:rsid w:val="005B7A12"/>
    <w:rsid w:val="005D1F67"/>
    <w:rsid w:val="006935A0"/>
    <w:rsid w:val="0070349E"/>
    <w:rsid w:val="0079688F"/>
    <w:rsid w:val="007A761D"/>
    <w:rsid w:val="008256CB"/>
    <w:rsid w:val="00830A9A"/>
    <w:rsid w:val="00832DA1"/>
    <w:rsid w:val="008B009A"/>
    <w:rsid w:val="00917A48"/>
    <w:rsid w:val="0092608A"/>
    <w:rsid w:val="0093294F"/>
    <w:rsid w:val="009A27BD"/>
    <w:rsid w:val="009C2384"/>
    <w:rsid w:val="009F43BC"/>
    <w:rsid w:val="00A14485"/>
    <w:rsid w:val="00A44970"/>
    <w:rsid w:val="00A633EF"/>
    <w:rsid w:val="00AC1DF0"/>
    <w:rsid w:val="00B53B35"/>
    <w:rsid w:val="00B659D3"/>
    <w:rsid w:val="00BA7A55"/>
    <w:rsid w:val="00BB5F0B"/>
    <w:rsid w:val="00BB61EF"/>
    <w:rsid w:val="00BD2190"/>
    <w:rsid w:val="00C04DA6"/>
    <w:rsid w:val="00C05CA1"/>
    <w:rsid w:val="00C068DC"/>
    <w:rsid w:val="00C06BEF"/>
    <w:rsid w:val="00C32481"/>
    <w:rsid w:val="00C61278"/>
    <w:rsid w:val="00C76021"/>
    <w:rsid w:val="00CA18B4"/>
    <w:rsid w:val="00CD1619"/>
    <w:rsid w:val="00D91EBF"/>
    <w:rsid w:val="00DD0A6F"/>
    <w:rsid w:val="00DE3FE0"/>
    <w:rsid w:val="00DF6E0A"/>
    <w:rsid w:val="00E03297"/>
    <w:rsid w:val="00E046C2"/>
    <w:rsid w:val="00E220FA"/>
    <w:rsid w:val="00E419BE"/>
    <w:rsid w:val="00E62B5D"/>
    <w:rsid w:val="00E66A4F"/>
    <w:rsid w:val="00E80578"/>
    <w:rsid w:val="00E913D3"/>
    <w:rsid w:val="00EC0B7C"/>
    <w:rsid w:val="00F1496B"/>
    <w:rsid w:val="00F224E7"/>
    <w:rsid w:val="00F27AA3"/>
    <w:rsid w:val="00F30FD3"/>
    <w:rsid w:val="00F32DCB"/>
    <w:rsid w:val="00F362F0"/>
    <w:rsid w:val="00F430BB"/>
    <w:rsid w:val="00FA0949"/>
    <w:rsid w:val="00FE6EA6"/>
    <w:rsid w:val="00FF0044"/>
    <w:rsid w:val="00FF6BD1"/>
    <w:rsid w:val="17FF4F08"/>
    <w:rsid w:val="312016A7"/>
    <w:rsid w:val="328572ED"/>
    <w:rsid w:val="3C4D1B56"/>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autoRedefine/>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autoRedefine/>
    <w:unhideWhenUsed/>
    <w:uiPriority w:val="39"/>
    <w:pPr>
      <w:ind w:left="840"/>
      <w:jc w:val="left"/>
    </w:pPr>
    <w:rPr>
      <w:sz w:val="18"/>
      <w:szCs w:val="18"/>
    </w:rPr>
  </w:style>
  <w:style w:type="paragraph" w:styleId="12">
    <w:name w:val="toc 3"/>
    <w:basedOn w:val="1"/>
    <w:next w:val="1"/>
    <w:autoRedefine/>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autoRedefine/>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uiPriority w:val="39"/>
    <w:pPr>
      <w:tabs>
        <w:tab w:val="right" w:leader="dot" w:pos="9060"/>
      </w:tabs>
      <w:spacing w:line="240" w:lineRule="auto"/>
      <w:jc w:val="left"/>
    </w:pPr>
    <w:rPr>
      <w:b/>
      <w:bCs/>
      <w:caps/>
      <w:szCs w:val="20"/>
    </w:rPr>
  </w:style>
  <w:style w:type="paragraph" w:styleId="20">
    <w:name w:val="toc 4"/>
    <w:basedOn w:val="1"/>
    <w:next w:val="1"/>
    <w:autoRedefine/>
    <w:unhideWhenUsed/>
    <w:uiPriority w:val="39"/>
    <w:pPr>
      <w:ind w:left="630"/>
      <w:jc w:val="left"/>
    </w:pPr>
    <w:rPr>
      <w:sz w:val="18"/>
      <w:szCs w:val="18"/>
    </w:rPr>
  </w:style>
  <w:style w:type="paragraph" w:styleId="21">
    <w:name w:val="toc 6"/>
    <w:basedOn w:val="1"/>
    <w:next w:val="1"/>
    <w:autoRedefine/>
    <w:unhideWhenUsed/>
    <w:uiPriority w:val="39"/>
    <w:pPr>
      <w:ind w:left="1050"/>
      <w:jc w:val="left"/>
    </w:pPr>
    <w:rPr>
      <w:sz w:val="18"/>
      <w:szCs w:val="18"/>
    </w:rPr>
  </w:style>
  <w:style w:type="paragraph" w:styleId="22">
    <w:name w:val="toc 2"/>
    <w:basedOn w:val="1"/>
    <w:next w:val="1"/>
    <w:autoRedefine/>
    <w:unhideWhenUsed/>
    <w:uiPriority w:val="39"/>
    <w:pPr>
      <w:spacing w:line="240" w:lineRule="auto"/>
      <w:ind w:left="210"/>
      <w:jc w:val="left"/>
    </w:pPr>
    <w:rPr>
      <w:smallCaps/>
      <w:szCs w:val="20"/>
    </w:rPr>
  </w:style>
  <w:style w:type="paragraph" w:styleId="23">
    <w:name w:val="toc 9"/>
    <w:basedOn w:val="1"/>
    <w:next w:val="1"/>
    <w:autoRedefine/>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autoRedefine/>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7AFA4-8649-47F8-9B5E-86887E39EEB3}">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29</Words>
  <Characters>166</Characters>
  <Lines>1</Lines>
  <Paragraphs>1</Paragraphs>
  <TotalTime>0</TotalTime>
  <ScaleCrop>false</ScaleCrop>
  <LinksUpToDate>false</LinksUpToDate>
  <CharactersWithSpaces>194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terms:modified xsi:type="dcterms:W3CDTF">2026-08-27T08:21:56Z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31719A9BCD5D4160B8C1FC49F7332473_12</vt:lpwstr>
  </property>
</Properties>
</file>