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东方阿尔法科技甄选混合型发起式证券投资基金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2026年中期报告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2026年06月30日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招商银行股份有限公司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2026年08月31日</w:t>
      </w:r>
    </w:p>
    <w:p>
      <w:pPr>
        <w:jc w:val="center"/>
      </w:pPr>
      <w:r>
        <w:br w:type="page"/>
      </w:r>
    </w:p>
    <w:p>
      <w:pPr>
        <w:pStyle w:val="2"/>
        <w:rPr>
          <w:rFonts w:ascii="宋体" w:hAnsi="宋体"/>
        </w:rPr>
      </w:pPr>
      <w:bookmarkStart w:id="0" w:name="_Toc22557"/>
      <w:bookmarkStart w:id="1" w:name="_Toc35266759"/>
      <w:r>
        <w:rPr>
          <w:rFonts w:hint="eastAsia" w:ascii="宋体" w:hAnsi="宋体"/>
          <w:color w:val="000000"/>
        </w:rPr>
        <w:t>§1 重要提示及目录</w:t>
      </w:r>
      <w:bookmarkEnd w:id="0"/>
      <w:bookmarkEnd w:id="1"/>
    </w:p>
    <w:p>
      <w:pPr>
        <w:pStyle w:val="3"/>
        <w:adjustRightInd w:val="0"/>
        <w:rPr>
          <w:rFonts w:ascii="宋体" w:hAnsi="宋体"/>
        </w:rPr>
      </w:pPr>
      <w:bookmarkStart w:id="2" w:name="_Toc7070"/>
      <w:bookmarkStart w:id="3" w:name="_Toc35266760"/>
      <w:r>
        <w:rPr>
          <w:rFonts w:hint="eastAsia" w:ascii="宋体" w:hAnsi="宋体"/>
        </w:rPr>
        <w:t>1.1 重要提示</w:t>
      </w:r>
      <w:bookmarkEnd w:id="2"/>
      <w:bookmarkEnd w:id="3"/>
    </w:p>
    <w:p>
      <w:pPr>
        <w:widowControl/>
        <w:jc w:val="left"/>
        <w:rPr>
          <w:rFonts w:hint="eastAsia" w:ascii="宋体" w:hAnsi="宋体" w:eastAsia="宋体"/>
          <w:b/>
          <w:sz w:val="24"/>
          <w:szCs w:val="24"/>
        </w:rPr>
      </w:pPr>
      <w:r>
        <w:t xml:space="preserve">    基金管理人的董事会、董事保证本报告所载资料不存在虚假记载、误导性陈述或重大遗漏，并对其内容的真实性、准确性和完整性承担个别及连带的法律责任。本中期报告已经三分之二以上独立董事签字同意。 </w:t>
      </w:r>
      <w:r>
        <w:cr/>
      </w:r>
      <w:r>
        <w:t xml:space="preserve">    基金托管人招商银行股份有限公司根据本基金合同约定，于2026年08月28日复核了本报告中的财务指标、净值表现、利润分配情况、财务会计报告、投资组合报告等内容，保证复核内容不存在虚假记载、误导性陈述或者重大遗漏。</w:t>
      </w:r>
      <w:r>
        <w:cr/>
      </w:r>
      <w:r>
        <w:t xml:space="preserve">    基金管理人承诺以诚实信用、勤勉尽责的原则管理和运用基金资产，但不保证基金一定盈利。 </w:t>
      </w:r>
      <w:r>
        <w:cr/>
      </w:r>
      <w:r>
        <w:t xml:space="preserve">    基金的过往业绩并不代表其未来表现。投资有风险，投资者在作出投资决策前应仔细阅读本基金的招募说明书及其更新。 </w:t>
      </w:r>
      <w:r>
        <w:cr/>
      </w:r>
      <w:r>
        <w:t xml:space="preserve">    本报告中的财务资料未经审计。</w:t>
      </w:r>
      <w:r>
        <w:cr/>
      </w:r>
      <w:r>
        <w:t xml:space="preserve">    本报告期自2026年01月01日起至2026年06月30日止。</w:t>
      </w:r>
    </w:p>
    <w:p>
      <w:r>
        <w:br w:type="page"/>
      </w:r>
    </w:p>
    <w:p>
      <w:pPr>
        <w:pStyle w:val="3"/>
        <w:rPr>
          <w:rFonts w:ascii="宋体" w:hAnsi="宋体"/>
        </w:rPr>
      </w:pPr>
      <w:bookmarkStart w:id="4" w:name="_Toc9616"/>
      <w:r>
        <w:rPr>
          <w:rFonts w:hint="eastAsia" w:ascii="宋体" w:hAnsi="宋体"/>
        </w:rPr>
        <w:t>1</w:t>
      </w:r>
      <w:r>
        <w:rPr>
          <w:rFonts w:ascii="宋体" w:hAnsi="宋体"/>
        </w:rPr>
        <w:t xml:space="preserve">.2 </w:t>
      </w:r>
      <w:r>
        <w:rPr>
          <w:rFonts w:hint="eastAsia" w:ascii="宋体" w:hAnsi="宋体"/>
        </w:rPr>
        <w:t>目录</w:t>
      </w:r>
      <w:bookmarkEnd w:id="4"/>
    </w:p>
    <w:p>
      <w:pPr>
        <w:pStyle w:val="19"/>
        <w:tabs>
          <w:tab w:val="right" w:leader="dot" w:pos="9070"/>
          <w:tab w:val="clear" w:pos="9060"/>
        </w:tabs>
      </w:pPr>
      <w:r>
        <w:fldChar w:fldCharType="begin"/>
      </w:r>
      <w:r>
        <w:instrText xml:space="preserve">TOC \o "1-2" \h \z \u </w:instrText>
      </w:r>
      <w:r>
        <w:fldChar w:fldCharType="separate"/>
      </w:r>
      <w:r>
        <w:fldChar w:fldCharType="begin"/>
      </w:r>
      <w:r>
        <w:instrText xml:space="preserve"> HYPERLINK \l _Toc22557 </w:instrText>
      </w:r>
      <w:r>
        <w:fldChar w:fldCharType="separate"/>
      </w:r>
      <w:r>
        <w:rPr>
          <w:rFonts w:hint="eastAsia" w:ascii="宋体" w:hAnsi="宋体"/>
        </w:rPr>
        <w:t>§1 重要提示及目录</w:t>
      </w:r>
      <w:r>
        <w:tab/>
      </w:r>
      <w:r>
        <w:fldChar w:fldCharType="begin"/>
      </w:r>
      <w:r>
        <w:instrText xml:space="preserve"> PAGEREF _Toc22557 \h </w:instrText>
      </w:r>
      <w:r>
        <w:fldChar w:fldCharType="separate"/>
      </w:r>
      <w:r>
        <w:t>1</w:t>
      </w:r>
      <w:r>
        <w:fldChar w:fldCharType="end"/>
      </w:r>
      <w:r>
        <w:fldChar w:fldCharType="end"/>
      </w:r>
    </w:p>
    <w:p>
      <w:pPr>
        <w:pStyle w:val="22"/>
        <w:tabs>
          <w:tab w:val="right" w:leader="dot" w:pos="9070"/>
        </w:tabs>
      </w:pPr>
      <w:r>
        <w:fldChar w:fldCharType="begin"/>
      </w:r>
      <w:r>
        <w:instrText xml:space="preserve"> HYPERLINK \l _Toc7070 </w:instrText>
      </w:r>
      <w:r>
        <w:fldChar w:fldCharType="separate"/>
      </w:r>
      <w:r>
        <w:rPr>
          <w:rFonts w:hint="eastAsia" w:ascii="宋体" w:hAnsi="宋体"/>
        </w:rPr>
        <w:t>1.1 重要提示</w:t>
      </w:r>
      <w:r>
        <w:tab/>
      </w:r>
      <w:r>
        <w:fldChar w:fldCharType="begin"/>
      </w:r>
      <w:r>
        <w:instrText xml:space="preserve"> PAGEREF _Toc7070 \h </w:instrText>
      </w:r>
      <w:r>
        <w:fldChar w:fldCharType="separate"/>
      </w:r>
      <w:r>
        <w:t>1</w:t>
      </w:r>
      <w:r>
        <w:fldChar w:fldCharType="end"/>
      </w:r>
      <w:r>
        <w:fldChar w:fldCharType="end"/>
      </w:r>
    </w:p>
    <w:p>
      <w:pPr>
        <w:pStyle w:val="22"/>
        <w:tabs>
          <w:tab w:val="right" w:leader="dot" w:pos="9070"/>
        </w:tabs>
      </w:pPr>
      <w:r>
        <w:fldChar w:fldCharType="begin"/>
      </w:r>
      <w:r>
        <w:instrText xml:space="preserve"> HYPERLINK \l _Toc9616 </w:instrText>
      </w:r>
      <w:r>
        <w:fldChar w:fldCharType="separate"/>
      </w:r>
      <w:r>
        <w:rPr>
          <w:rFonts w:hint="eastAsia" w:ascii="宋体" w:hAnsi="宋体"/>
        </w:rPr>
        <w:t>1</w:t>
      </w:r>
      <w:r>
        <w:rPr>
          <w:rFonts w:ascii="宋体" w:hAnsi="宋体"/>
        </w:rPr>
        <w:t xml:space="preserve">.2 </w:t>
      </w:r>
      <w:r>
        <w:rPr>
          <w:rFonts w:hint="eastAsia" w:ascii="宋体" w:hAnsi="宋体"/>
        </w:rPr>
        <w:t>目录</w:t>
      </w:r>
      <w:r>
        <w:tab/>
      </w:r>
      <w:r>
        <w:fldChar w:fldCharType="begin"/>
      </w:r>
      <w:r>
        <w:instrText xml:space="preserve"> PAGEREF _Toc9616 \h </w:instrText>
      </w:r>
      <w:r>
        <w:fldChar w:fldCharType="separate"/>
      </w:r>
      <w:r>
        <w:t>2</w:t>
      </w:r>
      <w:r>
        <w:fldChar w:fldCharType="end"/>
      </w:r>
      <w:r>
        <w:fldChar w:fldCharType="end"/>
      </w:r>
    </w:p>
    <w:p>
      <w:pPr>
        <w:pStyle w:val="19"/>
        <w:tabs>
          <w:tab w:val="right" w:leader="dot" w:pos="9070"/>
          <w:tab w:val="clear" w:pos="9060"/>
        </w:tabs>
      </w:pPr>
      <w:r>
        <w:fldChar w:fldCharType="begin"/>
      </w:r>
      <w:r>
        <w:instrText xml:space="preserve"> HYPERLINK \l _Toc24463 </w:instrText>
      </w:r>
      <w:r>
        <w:fldChar w:fldCharType="separate"/>
      </w:r>
      <w:r>
        <w:rPr>
          <w:rFonts w:ascii="宋体" w:hAnsi="宋体" w:eastAsia="宋体" w:cs="宋体"/>
        </w:rPr>
        <w:t>§2 基金简介</w:t>
      </w:r>
      <w:r>
        <w:tab/>
      </w:r>
      <w:r>
        <w:fldChar w:fldCharType="begin"/>
      </w:r>
      <w:r>
        <w:instrText xml:space="preserve"> PAGEREF _Toc24463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_Toc27264 </w:instrText>
      </w:r>
      <w:r>
        <w:fldChar w:fldCharType="separate"/>
      </w:r>
      <w:r>
        <w:rPr>
          <w:rFonts w:ascii="宋体" w:hAnsi="宋体" w:eastAsia="宋体" w:cs="宋体"/>
        </w:rPr>
        <w:t>2.1 基金基本情况</w:t>
      </w:r>
      <w:r>
        <w:tab/>
      </w:r>
      <w:r>
        <w:fldChar w:fldCharType="begin"/>
      </w:r>
      <w:r>
        <w:instrText xml:space="preserve"> PAGEREF _Toc27264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_Toc7566 </w:instrText>
      </w:r>
      <w:r>
        <w:fldChar w:fldCharType="separate"/>
      </w:r>
      <w:r>
        <w:rPr>
          <w:rFonts w:ascii="宋体" w:hAnsi="宋体" w:eastAsia="宋体" w:cs="宋体"/>
        </w:rPr>
        <w:t>2.2 基金产品说明</w:t>
      </w:r>
      <w:r>
        <w:tab/>
      </w:r>
      <w:r>
        <w:fldChar w:fldCharType="begin"/>
      </w:r>
      <w:r>
        <w:instrText xml:space="preserve"> PAGEREF _Toc7566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_Toc19635 </w:instrText>
      </w:r>
      <w:r>
        <w:fldChar w:fldCharType="separate"/>
      </w:r>
      <w:r>
        <w:rPr>
          <w:rFonts w:ascii="宋体" w:hAnsi="宋体" w:eastAsia="宋体" w:cs="宋体"/>
        </w:rPr>
        <w:t>2.3 基金管理人和基金托管人</w:t>
      </w:r>
      <w:r>
        <w:tab/>
      </w:r>
      <w:r>
        <w:fldChar w:fldCharType="begin"/>
      </w:r>
      <w:r>
        <w:instrText xml:space="preserve"> PAGEREF _Toc19635 \h </w:instrText>
      </w:r>
      <w:r>
        <w:fldChar w:fldCharType="separate"/>
      </w:r>
      <w:r>
        <w:t>5</w:t>
      </w:r>
      <w:r>
        <w:fldChar w:fldCharType="end"/>
      </w:r>
      <w:r>
        <w:fldChar w:fldCharType="end"/>
      </w:r>
    </w:p>
    <w:p>
      <w:pPr>
        <w:pStyle w:val="22"/>
        <w:tabs>
          <w:tab w:val="right" w:leader="dot" w:pos="9070"/>
        </w:tabs>
      </w:pPr>
      <w:r>
        <w:fldChar w:fldCharType="begin"/>
      </w:r>
      <w:r>
        <w:instrText xml:space="preserve"> HYPERLINK \l _Toc23176 </w:instrText>
      </w:r>
      <w:r>
        <w:fldChar w:fldCharType="separate"/>
      </w:r>
      <w:r>
        <w:rPr>
          <w:rFonts w:ascii="宋体" w:hAnsi="宋体" w:eastAsia="宋体" w:cs="宋体"/>
        </w:rPr>
        <w:t>2.4 信息披露方式</w:t>
      </w:r>
      <w:r>
        <w:tab/>
      </w:r>
      <w:r>
        <w:fldChar w:fldCharType="begin"/>
      </w:r>
      <w:r>
        <w:instrText xml:space="preserve"> PAGEREF _Toc23176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_Toc17074 </w:instrText>
      </w:r>
      <w:r>
        <w:fldChar w:fldCharType="separate"/>
      </w:r>
      <w:r>
        <w:rPr>
          <w:rFonts w:ascii="宋体" w:hAnsi="宋体" w:eastAsia="宋体" w:cs="宋体"/>
        </w:rPr>
        <w:t>2.5 其他相关资料</w:t>
      </w:r>
      <w:r>
        <w:tab/>
      </w:r>
      <w:r>
        <w:fldChar w:fldCharType="begin"/>
      </w:r>
      <w:r>
        <w:instrText xml:space="preserve"> PAGEREF _Toc17074 \h </w:instrText>
      </w:r>
      <w:r>
        <w:fldChar w:fldCharType="separate"/>
      </w:r>
      <w:r>
        <w:t>6</w:t>
      </w:r>
      <w:r>
        <w:fldChar w:fldCharType="end"/>
      </w:r>
      <w:r>
        <w:fldChar w:fldCharType="end"/>
      </w:r>
    </w:p>
    <w:p>
      <w:pPr>
        <w:pStyle w:val="19"/>
        <w:tabs>
          <w:tab w:val="right" w:leader="dot" w:pos="9070"/>
          <w:tab w:val="clear" w:pos="9060"/>
        </w:tabs>
      </w:pPr>
      <w:r>
        <w:fldChar w:fldCharType="begin"/>
      </w:r>
      <w:r>
        <w:instrText xml:space="preserve"> HYPERLINK \l _Toc27366 </w:instrText>
      </w:r>
      <w:r>
        <w:fldChar w:fldCharType="separate"/>
      </w:r>
      <w:r>
        <w:rPr>
          <w:rFonts w:ascii="宋体" w:hAnsi="宋体" w:eastAsia="宋体" w:cs="宋体"/>
        </w:rPr>
        <w:t>§3 主要财务指标和基金净值表现</w:t>
      </w:r>
      <w:r>
        <w:tab/>
      </w:r>
      <w:r>
        <w:fldChar w:fldCharType="begin"/>
      </w:r>
      <w:r>
        <w:instrText xml:space="preserve"> PAGEREF _Toc27366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_Toc20256 </w:instrText>
      </w:r>
      <w:r>
        <w:fldChar w:fldCharType="separate"/>
      </w:r>
      <w:r>
        <w:rPr>
          <w:rFonts w:ascii="宋体" w:hAnsi="宋体" w:eastAsia="宋体" w:cs="宋体"/>
        </w:rPr>
        <w:t>3.1 主要会计数据和财务指标</w:t>
      </w:r>
      <w:r>
        <w:tab/>
      </w:r>
      <w:r>
        <w:fldChar w:fldCharType="begin"/>
      </w:r>
      <w:r>
        <w:instrText xml:space="preserve"> PAGEREF _Toc20256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_Toc20253 </w:instrText>
      </w:r>
      <w:r>
        <w:fldChar w:fldCharType="separate"/>
      </w:r>
      <w:r>
        <w:rPr>
          <w:rFonts w:ascii="宋体" w:hAnsi="宋体" w:eastAsia="宋体" w:cs="宋体"/>
        </w:rPr>
        <w:t>3.2 基金净值表现</w:t>
      </w:r>
      <w:r>
        <w:tab/>
      </w:r>
      <w:r>
        <w:fldChar w:fldCharType="begin"/>
      </w:r>
      <w:r>
        <w:instrText xml:space="preserve"> PAGEREF _Toc20253 \h </w:instrText>
      </w:r>
      <w:r>
        <w:fldChar w:fldCharType="separate"/>
      </w:r>
      <w:r>
        <w:t>7</w:t>
      </w:r>
      <w:r>
        <w:fldChar w:fldCharType="end"/>
      </w:r>
      <w:r>
        <w:fldChar w:fldCharType="end"/>
      </w:r>
    </w:p>
    <w:p>
      <w:pPr>
        <w:pStyle w:val="19"/>
        <w:tabs>
          <w:tab w:val="right" w:leader="dot" w:pos="9070"/>
          <w:tab w:val="clear" w:pos="9060"/>
        </w:tabs>
      </w:pPr>
      <w:r>
        <w:fldChar w:fldCharType="begin"/>
      </w:r>
      <w:r>
        <w:instrText xml:space="preserve"> HYPERLINK \l _Toc16279 </w:instrText>
      </w:r>
      <w:r>
        <w:fldChar w:fldCharType="separate"/>
      </w:r>
      <w:r>
        <w:rPr>
          <w:rFonts w:ascii="宋体" w:hAnsi="宋体" w:eastAsia="宋体" w:cs="宋体"/>
        </w:rPr>
        <w:t>§4 管理人报告</w:t>
      </w:r>
      <w:r>
        <w:tab/>
      </w:r>
      <w:r>
        <w:fldChar w:fldCharType="begin"/>
      </w:r>
      <w:r>
        <w:instrText xml:space="preserve"> PAGEREF _Toc16279 \h </w:instrText>
      </w:r>
      <w:r>
        <w:fldChar w:fldCharType="separate"/>
      </w:r>
      <w:r>
        <w:t>8</w:t>
      </w:r>
      <w:r>
        <w:fldChar w:fldCharType="end"/>
      </w:r>
      <w:r>
        <w:fldChar w:fldCharType="end"/>
      </w:r>
    </w:p>
    <w:p>
      <w:pPr>
        <w:pStyle w:val="22"/>
        <w:tabs>
          <w:tab w:val="right" w:leader="dot" w:pos="9070"/>
        </w:tabs>
      </w:pPr>
      <w:r>
        <w:fldChar w:fldCharType="begin"/>
      </w:r>
      <w:r>
        <w:instrText xml:space="preserve"> HYPERLINK \l _Toc31116 </w:instrText>
      </w:r>
      <w:r>
        <w:fldChar w:fldCharType="separate"/>
      </w:r>
      <w:r>
        <w:rPr>
          <w:rFonts w:ascii="宋体" w:hAnsi="宋体" w:eastAsia="宋体" w:cs="宋体"/>
        </w:rPr>
        <w:t>4.1 基金管理人及基金经理情况</w:t>
      </w:r>
      <w:r>
        <w:tab/>
      </w:r>
      <w:r>
        <w:fldChar w:fldCharType="begin"/>
      </w:r>
      <w:r>
        <w:instrText xml:space="preserve"> PAGEREF _Toc31116 \h </w:instrText>
      </w:r>
      <w:r>
        <w:fldChar w:fldCharType="separate"/>
      </w:r>
      <w:r>
        <w:t>8</w:t>
      </w:r>
      <w:r>
        <w:fldChar w:fldCharType="end"/>
      </w:r>
      <w:r>
        <w:fldChar w:fldCharType="end"/>
      </w:r>
    </w:p>
    <w:p>
      <w:pPr>
        <w:pStyle w:val="22"/>
        <w:tabs>
          <w:tab w:val="right" w:leader="dot" w:pos="9070"/>
        </w:tabs>
      </w:pPr>
      <w:r>
        <w:fldChar w:fldCharType="begin"/>
      </w:r>
      <w:r>
        <w:instrText xml:space="preserve"> HYPERLINK \l _Toc21367 </w:instrText>
      </w:r>
      <w:r>
        <w:fldChar w:fldCharType="separate"/>
      </w:r>
      <w:r>
        <w:rPr>
          <w:rFonts w:ascii="宋体" w:hAnsi="宋体" w:eastAsia="宋体" w:cs="宋体"/>
        </w:rPr>
        <w:t>4.2 管理人对报告期内本基金运作遵规守信情况的说明</w:t>
      </w:r>
      <w:r>
        <w:tab/>
      </w:r>
      <w:r>
        <w:fldChar w:fldCharType="begin"/>
      </w:r>
      <w:r>
        <w:instrText xml:space="preserve"> PAGEREF _Toc21367 \h </w:instrText>
      </w:r>
      <w:r>
        <w:fldChar w:fldCharType="separate"/>
      </w:r>
      <w:r>
        <w:t>10</w:t>
      </w:r>
      <w:r>
        <w:fldChar w:fldCharType="end"/>
      </w:r>
      <w:r>
        <w:fldChar w:fldCharType="end"/>
      </w:r>
    </w:p>
    <w:p>
      <w:pPr>
        <w:pStyle w:val="22"/>
        <w:tabs>
          <w:tab w:val="right" w:leader="dot" w:pos="9070"/>
        </w:tabs>
      </w:pPr>
      <w:r>
        <w:fldChar w:fldCharType="begin"/>
      </w:r>
      <w:r>
        <w:instrText xml:space="preserve"> HYPERLINK \l _Toc28803 </w:instrText>
      </w:r>
      <w:r>
        <w:fldChar w:fldCharType="separate"/>
      </w:r>
      <w:r>
        <w:rPr>
          <w:rFonts w:ascii="宋体" w:hAnsi="宋体" w:eastAsia="宋体" w:cs="宋体"/>
        </w:rPr>
        <w:t>4.3 管理人对报告期内公平交易情况的专项说明</w:t>
      </w:r>
      <w:r>
        <w:tab/>
      </w:r>
      <w:r>
        <w:fldChar w:fldCharType="begin"/>
      </w:r>
      <w:r>
        <w:instrText xml:space="preserve"> PAGEREF _Toc28803 \h </w:instrText>
      </w:r>
      <w:r>
        <w:fldChar w:fldCharType="separate"/>
      </w:r>
      <w:r>
        <w:t>10</w:t>
      </w:r>
      <w:r>
        <w:fldChar w:fldCharType="end"/>
      </w:r>
      <w:r>
        <w:fldChar w:fldCharType="end"/>
      </w:r>
    </w:p>
    <w:p>
      <w:pPr>
        <w:pStyle w:val="22"/>
        <w:tabs>
          <w:tab w:val="right" w:leader="dot" w:pos="9070"/>
        </w:tabs>
      </w:pPr>
      <w:r>
        <w:fldChar w:fldCharType="begin"/>
      </w:r>
      <w:r>
        <w:instrText xml:space="preserve"> HYPERLINK \l _Toc4704 </w:instrText>
      </w:r>
      <w:r>
        <w:fldChar w:fldCharType="separate"/>
      </w:r>
      <w:r>
        <w:rPr>
          <w:rFonts w:ascii="宋体" w:hAnsi="宋体" w:eastAsia="宋体" w:cs="宋体"/>
        </w:rPr>
        <w:t>4.4 管理人对报告期内基金的投资策略和业绩表现的说明</w:t>
      </w:r>
      <w:r>
        <w:tab/>
      </w:r>
      <w:r>
        <w:fldChar w:fldCharType="begin"/>
      </w:r>
      <w:r>
        <w:instrText xml:space="preserve"> PAGEREF _Toc4704 \h </w:instrText>
      </w:r>
      <w:r>
        <w:fldChar w:fldCharType="separate"/>
      </w:r>
      <w:r>
        <w:t>10</w:t>
      </w:r>
      <w:r>
        <w:fldChar w:fldCharType="end"/>
      </w:r>
      <w:r>
        <w:fldChar w:fldCharType="end"/>
      </w:r>
    </w:p>
    <w:p>
      <w:pPr>
        <w:pStyle w:val="22"/>
        <w:tabs>
          <w:tab w:val="right" w:leader="dot" w:pos="9070"/>
        </w:tabs>
      </w:pPr>
      <w:r>
        <w:fldChar w:fldCharType="begin"/>
      </w:r>
      <w:r>
        <w:instrText xml:space="preserve"> HYPERLINK \l _Toc5494 </w:instrText>
      </w:r>
      <w:r>
        <w:fldChar w:fldCharType="separate"/>
      </w:r>
      <w:r>
        <w:rPr>
          <w:rFonts w:ascii="宋体" w:hAnsi="宋体" w:eastAsia="宋体" w:cs="宋体"/>
        </w:rPr>
        <w:t>4.5 管理人对宏观经济、证券市场及行业走势的简要展望</w:t>
      </w:r>
      <w:r>
        <w:tab/>
      </w:r>
      <w:r>
        <w:fldChar w:fldCharType="begin"/>
      </w:r>
      <w:r>
        <w:instrText xml:space="preserve"> PAGEREF _Toc5494 \h </w:instrText>
      </w:r>
      <w:r>
        <w:fldChar w:fldCharType="separate"/>
      </w:r>
      <w:r>
        <w:t>11</w:t>
      </w:r>
      <w:r>
        <w:fldChar w:fldCharType="end"/>
      </w:r>
      <w:r>
        <w:fldChar w:fldCharType="end"/>
      </w:r>
    </w:p>
    <w:p>
      <w:pPr>
        <w:pStyle w:val="22"/>
        <w:tabs>
          <w:tab w:val="right" w:leader="dot" w:pos="9070"/>
        </w:tabs>
      </w:pPr>
      <w:r>
        <w:fldChar w:fldCharType="begin"/>
      </w:r>
      <w:r>
        <w:instrText xml:space="preserve"> HYPERLINK \l _Toc5919 </w:instrText>
      </w:r>
      <w:r>
        <w:fldChar w:fldCharType="separate"/>
      </w:r>
      <w:r>
        <w:rPr>
          <w:rFonts w:ascii="宋体" w:hAnsi="宋体" w:eastAsia="宋体" w:cs="宋体"/>
        </w:rPr>
        <w:t>4.6 管理人对报告期内基金估值程序等事项的说明</w:t>
      </w:r>
      <w:r>
        <w:tab/>
      </w:r>
      <w:r>
        <w:fldChar w:fldCharType="begin"/>
      </w:r>
      <w:r>
        <w:instrText xml:space="preserve"> PAGEREF _Toc5919 \h </w:instrText>
      </w:r>
      <w:r>
        <w:fldChar w:fldCharType="separate"/>
      </w:r>
      <w:r>
        <w:t>11</w:t>
      </w:r>
      <w:r>
        <w:fldChar w:fldCharType="end"/>
      </w:r>
      <w:r>
        <w:fldChar w:fldCharType="end"/>
      </w:r>
    </w:p>
    <w:p>
      <w:pPr>
        <w:pStyle w:val="22"/>
        <w:tabs>
          <w:tab w:val="right" w:leader="dot" w:pos="9070"/>
        </w:tabs>
      </w:pPr>
      <w:r>
        <w:fldChar w:fldCharType="begin"/>
      </w:r>
      <w:r>
        <w:instrText xml:space="preserve"> HYPERLINK \l _Toc25236 </w:instrText>
      </w:r>
      <w:r>
        <w:fldChar w:fldCharType="separate"/>
      </w:r>
      <w:r>
        <w:rPr>
          <w:rFonts w:ascii="宋体" w:hAnsi="宋体" w:eastAsia="宋体" w:cs="宋体"/>
        </w:rPr>
        <w:t>4.7 管理人对报告期内基金利润分配情况的说明</w:t>
      </w:r>
      <w:r>
        <w:tab/>
      </w:r>
      <w:r>
        <w:fldChar w:fldCharType="begin"/>
      </w:r>
      <w:r>
        <w:instrText xml:space="preserve"> PAGEREF _Toc25236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_Toc31573 </w:instrText>
      </w:r>
      <w:r>
        <w:fldChar w:fldCharType="separate"/>
      </w:r>
      <w:r>
        <w:rPr>
          <w:rFonts w:ascii="宋体" w:hAnsi="宋体" w:eastAsia="宋体" w:cs="宋体"/>
        </w:rPr>
        <w:t>4.8 报告期内管理人对本基金持有人数或基金资产净值预警情形的说明</w:t>
      </w:r>
      <w:r>
        <w:tab/>
      </w:r>
      <w:r>
        <w:fldChar w:fldCharType="begin"/>
      </w:r>
      <w:r>
        <w:instrText xml:space="preserve"> PAGEREF _Toc31573 \h </w:instrText>
      </w:r>
      <w:r>
        <w:fldChar w:fldCharType="separate"/>
      </w:r>
      <w:r>
        <w:t>12</w:t>
      </w:r>
      <w:r>
        <w:fldChar w:fldCharType="end"/>
      </w:r>
      <w:r>
        <w:fldChar w:fldCharType="end"/>
      </w:r>
    </w:p>
    <w:p>
      <w:pPr>
        <w:pStyle w:val="19"/>
        <w:tabs>
          <w:tab w:val="right" w:leader="dot" w:pos="9070"/>
          <w:tab w:val="clear" w:pos="9060"/>
        </w:tabs>
      </w:pPr>
      <w:r>
        <w:fldChar w:fldCharType="begin"/>
      </w:r>
      <w:r>
        <w:instrText xml:space="preserve"> HYPERLINK \l _Toc14948 </w:instrText>
      </w:r>
      <w:r>
        <w:fldChar w:fldCharType="separate"/>
      </w:r>
      <w:r>
        <w:rPr>
          <w:rFonts w:ascii="宋体" w:hAnsi="宋体" w:eastAsia="宋体" w:cs="宋体"/>
        </w:rPr>
        <w:t>§5 托管人报告</w:t>
      </w:r>
      <w:r>
        <w:tab/>
      </w:r>
      <w:r>
        <w:fldChar w:fldCharType="begin"/>
      </w:r>
      <w:r>
        <w:instrText xml:space="preserve"> PAGEREF _Toc14948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_Toc12589 </w:instrText>
      </w:r>
      <w:r>
        <w:fldChar w:fldCharType="separate"/>
      </w:r>
      <w:r>
        <w:rPr>
          <w:rFonts w:ascii="宋体" w:hAnsi="宋体" w:eastAsia="宋体" w:cs="宋体"/>
        </w:rPr>
        <w:t>5.1 报告期内本基金托管人遵规守信情况声明</w:t>
      </w:r>
      <w:r>
        <w:tab/>
      </w:r>
      <w:r>
        <w:fldChar w:fldCharType="begin"/>
      </w:r>
      <w:r>
        <w:instrText xml:space="preserve"> PAGEREF _Toc12589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_Toc287 </w:instrText>
      </w:r>
      <w:r>
        <w:fldChar w:fldCharType="separate"/>
      </w:r>
      <w:r>
        <w:rPr>
          <w:rFonts w:ascii="宋体" w:hAnsi="宋体" w:eastAsia="宋体" w:cs="宋体"/>
        </w:rPr>
        <w:t>5.2 托管人对报告期内本基金投资运作遵规守信、净值计算、利润分配等情况的说明</w:t>
      </w:r>
      <w:r>
        <w:tab/>
      </w:r>
      <w:r>
        <w:fldChar w:fldCharType="begin"/>
      </w:r>
      <w:r>
        <w:instrText xml:space="preserve"> PAGEREF _Toc287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_Toc17362 </w:instrText>
      </w:r>
      <w:r>
        <w:fldChar w:fldCharType="separate"/>
      </w:r>
      <w:r>
        <w:rPr>
          <w:rFonts w:ascii="宋体" w:hAnsi="宋体" w:eastAsia="宋体" w:cs="宋体"/>
        </w:rPr>
        <w:t>5.3 托管人对本中期报告中财务信息等内容的真实、准确和完整发表意见</w:t>
      </w:r>
      <w:r>
        <w:tab/>
      </w:r>
      <w:r>
        <w:fldChar w:fldCharType="begin"/>
      </w:r>
      <w:r>
        <w:instrText xml:space="preserve"> PAGEREF _Toc17362 \h </w:instrText>
      </w:r>
      <w:r>
        <w:fldChar w:fldCharType="separate"/>
      </w:r>
      <w:r>
        <w:t>12</w:t>
      </w:r>
      <w:r>
        <w:fldChar w:fldCharType="end"/>
      </w:r>
      <w:r>
        <w:fldChar w:fldCharType="end"/>
      </w:r>
    </w:p>
    <w:p>
      <w:pPr>
        <w:pStyle w:val="19"/>
        <w:tabs>
          <w:tab w:val="right" w:leader="dot" w:pos="9070"/>
          <w:tab w:val="clear" w:pos="9060"/>
        </w:tabs>
      </w:pPr>
      <w:r>
        <w:fldChar w:fldCharType="begin"/>
      </w:r>
      <w:r>
        <w:instrText xml:space="preserve"> HYPERLINK \l _Toc13775 </w:instrText>
      </w:r>
      <w:r>
        <w:fldChar w:fldCharType="separate"/>
      </w:r>
      <w:r>
        <w:rPr>
          <w:rFonts w:ascii="宋体" w:hAnsi="宋体" w:eastAsia="宋体" w:cs="宋体"/>
        </w:rPr>
        <w:t>§6 半年度财务会计报告(未经审计)</w:t>
      </w:r>
      <w:r>
        <w:tab/>
      </w:r>
      <w:r>
        <w:fldChar w:fldCharType="begin"/>
      </w:r>
      <w:r>
        <w:instrText xml:space="preserve"> PAGEREF _Toc13775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_Toc31880 </w:instrText>
      </w:r>
      <w:r>
        <w:fldChar w:fldCharType="separate"/>
      </w:r>
      <w:r>
        <w:rPr>
          <w:rFonts w:ascii="宋体" w:hAnsi="宋体" w:eastAsia="宋体" w:cs="宋体"/>
        </w:rPr>
        <w:t>6.1 资产负债表</w:t>
      </w:r>
      <w:r>
        <w:tab/>
      </w:r>
      <w:r>
        <w:fldChar w:fldCharType="begin"/>
      </w:r>
      <w:r>
        <w:instrText xml:space="preserve"> PAGEREF _Toc31880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_Toc12675 </w:instrText>
      </w:r>
      <w:r>
        <w:fldChar w:fldCharType="separate"/>
      </w:r>
      <w:r>
        <w:rPr>
          <w:rFonts w:ascii="宋体" w:hAnsi="宋体" w:eastAsia="宋体" w:cs="宋体"/>
        </w:rPr>
        <w:t>6.2 利润表</w:t>
      </w:r>
      <w:r>
        <w:tab/>
      </w:r>
      <w:r>
        <w:fldChar w:fldCharType="begin"/>
      </w:r>
      <w:r>
        <w:instrText xml:space="preserve"> PAGEREF _Toc12675 \h </w:instrText>
      </w:r>
      <w:r>
        <w:fldChar w:fldCharType="separate"/>
      </w:r>
      <w:r>
        <w:t>14</w:t>
      </w:r>
      <w:r>
        <w:fldChar w:fldCharType="end"/>
      </w:r>
      <w:r>
        <w:fldChar w:fldCharType="end"/>
      </w:r>
    </w:p>
    <w:p>
      <w:pPr>
        <w:pStyle w:val="22"/>
        <w:tabs>
          <w:tab w:val="right" w:leader="dot" w:pos="9070"/>
        </w:tabs>
      </w:pPr>
      <w:r>
        <w:fldChar w:fldCharType="begin"/>
      </w:r>
      <w:r>
        <w:instrText xml:space="preserve"> HYPERLINK \l _Toc6544 </w:instrText>
      </w:r>
      <w:r>
        <w:fldChar w:fldCharType="separate"/>
      </w:r>
      <w:r>
        <w:rPr>
          <w:rFonts w:ascii="宋体" w:hAnsi="宋体" w:eastAsia="宋体" w:cs="宋体"/>
        </w:rPr>
        <w:t>6.3 净资产变动表</w:t>
      </w:r>
      <w:r>
        <w:tab/>
      </w:r>
      <w:r>
        <w:fldChar w:fldCharType="begin"/>
      </w:r>
      <w:r>
        <w:instrText xml:space="preserve"> PAGEREF _Toc6544 \h </w:instrText>
      </w:r>
      <w:r>
        <w:fldChar w:fldCharType="separate"/>
      </w:r>
      <w:r>
        <w:t>15</w:t>
      </w:r>
      <w:r>
        <w:fldChar w:fldCharType="end"/>
      </w:r>
      <w:r>
        <w:fldChar w:fldCharType="end"/>
      </w:r>
    </w:p>
    <w:p>
      <w:pPr>
        <w:pStyle w:val="22"/>
        <w:tabs>
          <w:tab w:val="right" w:leader="dot" w:pos="9070"/>
        </w:tabs>
      </w:pPr>
      <w:r>
        <w:fldChar w:fldCharType="begin"/>
      </w:r>
      <w:r>
        <w:instrText xml:space="preserve"> HYPERLINK \l _Toc9500 </w:instrText>
      </w:r>
      <w:r>
        <w:fldChar w:fldCharType="separate"/>
      </w:r>
      <w:r>
        <w:rPr>
          <w:rFonts w:ascii="宋体" w:hAnsi="宋体" w:eastAsia="宋体" w:cs="宋体"/>
        </w:rPr>
        <w:t>6.4 报表附注</w:t>
      </w:r>
      <w:r>
        <w:tab/>
      </w:r>
      <w:r>
        <w:fldChar w:fldCharType="begin"/>
      </w:r>
      <w:r>
        <w:instrText xml:space="preserve"> PAGEREF _Toc9500 \h </w:instrText>
      </w:r>
      <w:r>
        <w:fldChar w:fldCharType="separate"/>
      </w:r>
      <w:r>
        <w:t>15</w:t>
      </w:r>
      <w:r>
        <w:fldChar w:fldCharType="end"/>
      </w:r>
      <w:r>
        <w:fldChar w:fldCharType="end"/>
      </w:r>
    </w:p>
    <w:p>
      <w:pPr>
        <w:pStyle w:val="19"/>
        <w:tabs>
          <w:tab w:val="right" w:leader="dot" w:pos="9070"/>
          <w:tab w:val="clear" w:pos="9060"/>
        </w:tabs>
      </w:pPr>
      <w:r>
        <w:fldChar w:fldCharType="begin"/>
      </w:r>
      <w:r>
        <w:instrText xml:space="preserve"> HYPERLINK \l _Toc27978 </w:instrText>
      </w:r>
      <w:r>
        <w:fldChar w:fldCharType="separate"/>
      </w:r>
      <w:r>
        <w:rPr>
          <w:rFonts w:ascii="宋体" w:hAnsi="宋体" w:eastAsia="宋体" w:cs="宋体"/>
        </w:rPr>
        <w:t>§7 投资组合报告</w:t>
      </w:r>
      <w:r>
        <w:tab/>
      </w:r>
      <w:r>
        <w:fldChar w:fldCharType="begin"/>
      </w:r>
      <w:r>
        <w:instrText xml:space="preserve"> PAGEREF _Toc27978 \h </w:instrText>
      </w:r>
      <w:r>
        <w:fldChar w:fldCharType="separate"/>
      </w:r>
      <w:r>
        <w:t>35</w:t>
      </w:r>
      <w:r>
        <w:fldChar w:fldCharType="end"/>
      </w:r>
      <w:r>
        <w:fldChar w:fldCharType="end"/>
      </w:r>
    </w:p>
    <w:p>
      <w:pPr>
        <w:pStyle w:val="22"/>
        <w:tabs>
          <w:tab w:val="right" w:leader="dot" w:pos="9070"/>
        </w:tabs>
      </w:pPr>
      <w:r>
        <w:fldChar w:fldCharType="begin"/>
      </w:r>
      <w:r>
        <w:instrText xml:space="preserve"> HYPERLINK \l _Toc29308 </w:instrText>
      </w:r>
      <w:r>
        <w:fldChar w:fldCharType="separate"/>
      </w:r>
      <w:r>
        <w:rPr>
          <w:rFonts w:ascii="宋体" w:hAnsi="宋体" w:eastAsia="宋体" w:cs="宋体"/>
        </w:rPr>
        <w:t>7.1 期末基金资产组合情况</w:t>
      </w:r>
      <w:r>
        <w:tab/>
      </w:r>
      <w:r>
        <w:fldChar w:fldCharType="begin"/>
      </w:r>
      <w:r>
        <w:instrText xml:space="preserve"> PAGEREF _Toc29308 \h </w:instrText>
      </w:r>
      <w:r>
        <w:fldChar w:fldCharType="separate"/>
      </w:r>
      <w:r>
        <w:t>35</w:t>
      </w:r>
      <w:r>
        <w:fldChar w:fldCharType="end"/>
      </w:r>
      <w:r>
        <w:fldChar w:fldCharType="end"/>
      </w:r>
    </w:p>
    <w:p>
      <w:pPr>
        <w:pStyle w:val="22"/>
        <w:tabs>
          <w:tab w:val="right" w:leader="dot" w:pos="9070"/>
        </w:tabs>
      </w:pPr>
      <w:r>
        <w:fldChar w:fldCharType="begin"/>
      </w:r>
      <w:r>
        <w:instrText xml:space="preserve"> HYPERLINK \l _Toc12070 </w:instrText>
      </w:r>
      <w:r>
        <w:fldChar w:fldCharType="separate"/>
      </w:r>
      <w:r>
        <w:rPr>
          <w:rFonts w:ascii="宋体" w:hAnsi="宋体" w:eastAsia="宋体" w:cs="宋体"/>
        </w:rPr>
        <w:t>7.2 报告期末按行业分类的股票投资组合</w:t>
      </w:r>
      <w:r>
        <w:tab/>
      </w:r>
      <w:r>
        <w:fldChar w:fldCharType="begin"/>
      </w:r>
      <w:r>
        <w:instrText xml:space="preserve"> PAGEREF _Toc12070 \h </w:instrText>
      </w:r>
      <w:r>
        <w:fldChar w:fldCharType="separate"/>
      </w:r>
      <w:r>
        <w:t>35</w:t>
      </w:r>
      <w:r>
        <w:fldChar w:fldCharType="end"/>
      </w:r>
      <w:r>
        <w:fldChar w:fldCharType="end"/>
      </w:r>
    </w:p>
    <w:p>
      <w:pPr>
        <w:pStyle w:val="22"/>
        <w:tabs>
          <w:tab w:val="right" w:leader="dot" w:pos="9070"/>
        </w:tabs>
      </w:pPr>
      <w:r>
        <w:fldChar w:fldCharType="begin"/>
      </w:r>
      <w:r>
        <w:instrText xml:space="preserve"> HYPERLINK \l _Toc9238 </w:instrText>
      </w:r>
      <w:r>
        <w:fldChar w:fldCharType="separate"/>
      </w:r>
      <w:r>
        <w:rPr>
          <w:rFonts w:ascii="宋体" w:hAnsi="宋体" w:eastAsia="宋体" w:cs="宋体"/>
        </w:rPr>
        <w:t>7.3 期末按公允价值占基金资产净值比例大小排序的所有股票投资明细</w:t>
      </w:r>
      <w:r>
        <w:tab/>
      </w:r>
      <w:r>
        <w:fldChar w:fldCharType="begin"/>
      </w:r>
      <w:r>
        <w:instrText xml:space="preserve"> PAGEREF _Toc9238 \h </w:instrText>
      </w:r>
      <w:r>
        <w:fldChar w:fldCharType="separate"/>
      </w:r>
      <w:r>
        <w:t>36</w:t>
      </w:r>
      <w:r>
        <w:fldChar w:fldCharType="end"/>
      </w:r>
      <w:r>
        <w:fldChar w:fldCharType="end"/>
      </w:r>
    </w:p>
    <w:p>
      <w:pPr>
        <w:pStyle w:val="22"/>
        <w:tabs>
          <w:tab w:val="right" w:leader="dot" w:pos="9070"/>
        </w:tabs>
      </w:pPr>
      <w:r>
        <w:fldChar w:fldCharType="begin"/>
      </w:r>
      <w:r>
        <w:instrText xml:space="preserve"> HYPERLINK \l _Toc21865 </w:instrText>
      </w:r>
      <w:r>
        <w:fldChar w:fldCharType="separate"/>
      </w:r>
      <w:r>
        <w:rPr>
          <w:rFonts w:ascii="宋体" w:hAnsi="宋体" w:eastAsia="宋体" w:cs="宋体"/>
        </w:rPr>
        <w:t>7.4 报告期内股票投资组合的重大变动</w:t>
      </w:r>
      <w:r>
        <w:tab/>
      </w:r>
      <w:r>
        <w:fldChar w:fldCharType="begin"/>
      </w:r>
      <w:r>
        <w:instrText xml:space="preserve"> PAGEREF _Toc21865 \h </w:instrText>
      </w:r>
      <w:r>
        <w:fldChar w:fldCharType="separate"/>
      </w:r>
      <w:r>
        <w:t>37</w:t>
      </w:r>
      <w:r>
        <w:fldChar w:fldCharType="end"/>
      </w:r>
      <w:r>
        <w:fldChar w:fldCharType="end"/>
      </w:r>
    </w:p>
    <w:p>
      <w:pPr>
        <w:pStyle w:val="22"/>
        <w:tabs>
          <w:tab w:val="right" w:leader="dot" w:pos="9070"/>
        </w:tabs>
      </w:pPr>
      <w:r>
        <w:fldChar w:fldCharType="begin"/>
      </w:r>
      <w:r>
        <w:instrText xml:space="preserve"> HYPERLINK \l _Toc7740 </w:instrText>
      </w:r>
      <w:r>
        <w:fldChar w:fldCharType="separate"/>
      </w:r>
      <w:r>
        <w:rPr>
          <w:rFonts w:ascii="宋体" w:hAnsi="宋体" w:eastAsia="宋体" w:cs="宋体"/>
        </w:rPr>
        <w:t>7.5 期末按债券品种分类的债券投资组合</w:t>
      </w:r>
      <w:r>
        <w:tab/>
      </w:r>
      <w:r>
        <w:fldChar w:fldCharType="begin"/>
      </w:r>
      <w:r>
        <w:instrText xml:space="preserve"> PAGEREF _Toc7740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_Toc17872 </w:instrText>
      </w:r>
      <w:r>
        <w:fldChar w:fldCharType="separate"/>
      </w:r>
      <w:r>
        <w:rPr>
          <w:rFonts w:ascii="宋体" w:hAnsi="宋体" w:eastAsia="宋体" w:cs="宋体"/>
        </w:rPr>
        <w:t>7.6 期末按公允价值占基金资产净值比例大小排序的前五名债券投资明细</w:t>
      </w:r>
      <w:r>
        <w:tab/>
      </w:r>
      <w:r>
        <w:fldChar w:fldCharType="begin"/>
      </w:r>
      <w:r>
        <w:instrText xml:space="preserve"> PAGEREF _Toc17872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_Toc16283 </w:instrText>
      </w:r>
      <w:r>
        <w:fldChar w:fldCharType="separate"/>
      </w:r>
      <w:r>
        <w:rPr>
          <w:rFonts w:ascii="宋体" w:hAnsi="宋体" w:eastAsia="宋体" w:cs="宋体"/>
        </w:rPr>
        <w:t>7.7 期末按公允价值占基金资产净值比例大小排序的所有资产支持证券投资明细</w:t>
      </w:r>
      <w:r>
        <w:tab/>
      </w:r>
      <w:r>
        <w:fldChar w:fldCharType="begin"/>
      </w:r>
      <w:r>
        <w:instrText xml:space="preserve"> PAGEREF _Toc16283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_Toc23702 </w:instrText>
      </w:r>
      <w:r>
        <w:fldChar w:fldCharType="separate"/>
      </w:r>
      <w:r>
        <w:rPr>
          <w:rFonts w:ascii="宋体" w:hAnsi="宋体" w:eastAsia="宋体" w:cs="宋体"/>
        </w:rPr>
        <w:t>7.8 报告期末按公允价值占基金资产净值比例大小排序的前五名贵金属投资明细</w:t>
      </w:r>
      <w:r>
        <w:tab/>
      </w:r>
      <w:r>
        <w:fldChar w:fldCharType="begin"/>
      </w:r>
      <w:r>
        <w:instrText xml:space="preserve"> PAGEREF _Toc23702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_Toc4798 </w:instrText>
      </w:r>
      <w:r>
        <w:fldChar w:fldCharType="separate"/>
      </w:r>
      <w:r>
        <w:rPr>
          <w:rFonts w:ascii="宋体" w:hAnsi="宋体" w:eastAsia="宋体" w:cs="宋体"/>
        </w:rPr>
        <w:t>7.9 期末按公允价值占基金资产净值比例大小排序的前五名权证投资明细</w:t>
      </w:r>
      <w:r>
        <w:tab/>
      </w:r>
      <w:r>
        <w:fldChar w:fldCharType="begin"/>
      </w:r>
      <w:r>
        <w:instrText xml:space="preserve"> PAGEREF _Toc4798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_Toc1134 </w:instrText>
      </w:r>
      <w:r>
        <w:fldChar w:fldCharType="separate"/>
      </w:r>
      <w:r>
        <w:rPr>
          <w:rFonts w:ascii="宋体" w:hAnsi="宋体" w:eastAsia="宋体" w:cs="宋体"/>
        </w:rPr>
        <w:t>7.10 本基金投资股指期货的投资政策</w:t>
      </w:r>
      <w:r>
        <w:tab/>
      </w:r>
      <w:r>
        <w:fldChar w:fldCharType="begin"/>
      </w:r>
      <w:r>
        <w:instrText xml:space="preserve"> PAGEREF _Toc1134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_Toc149 </w:instrText>
      </w:r>
      <w:r>
        <w:fldChar w:fldCharType="separate"/>
      </w:r>
      <w:r>
        <w:rPr>
          <w:rFonts w:ascii="宋体" w:hAnsi="宋体" w:eastAsia="宋体" w:cs="宋体"/>
        </w:rPr>
        <w:t>7.11 报告期末本基金投资的国债期货交易情况说明</w:t>
      </w:r>
      <w:r>
        <w:tab/>
      </w:r>
      <w:r>
        <w:fldChar w:fldCharType="begin"/>
      </w:r>
      <w:r>
        <w:instrText xml:space="preserve"> PAGEREF _Toc149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_Toc12133 </w:instrText>
      </w:r>
      <w:r>
        <w:fldChar w:fldCharType="separate"/>
      </w:r>
      <w:r>
        <w:rPr>
          <w:rFonts w:ascii="宋体" w:hAnsi="宋体" w:eastAsia="宋体" w:cs="宋体"/>
        </w:rPr>
        <w:t>7.12 投资组合报告附注</w:t>
      </w:r>
      <w:r>
        <w:tab/>
      </w:r>
      <w:r>
        <w:fldChar w:fldCharType="begin"/>
      </w:r>
      <w:r>
        <w:instrText xml:space="preserve"> PAGEREF _Toc12133 \h </w:instrText>
      </w:r>
      <w:r>
        <w:fldChar w:fldCharType="separate"/>
      </w:r>
      <w:r>
        <w:t>42</w:t>
      </w:r>
      <w:r>
        <w:fldChar w:fldCharType="end"/>
      </w:r>
      <w:r>
        <w:fldChar w:fldCharType="end"/>
      </w:r>
    </w:p>
    <w:p>
      <w:pPr>
        <w:pStyle w:val="19"/>
        <w:tabs>
          <w:tab w:val="right" w:leader="dot" w:pos="9070"/>
          <w:tab w:val="clear" w:pos="9060"/>
        </w:tabs>
      </w:pPr>
      <w:r>
        <w:fldChar w:fldCharType="begin"/>
      </w:r>
      <w:r>
        <w:instrText xml:space="preserve"> HYPERLINK \l _Toc13399 </w:instrText>
      </w:r>
      <w:r>
        <w:fldChar w:fldCharType="separate"/>
      </w:r>
      <w:r>
        <w:rPr>
          <w:rFonts w:ascii="宋体" w:hAnsi="宋体" w:eastAsia="宋体" w:cs="宋体"/>
        </w:rPr>
        <w:t>§8 基金份额持有人信息</w:t>
      </w:r>
      <w:r>
        <w:tab/>
      </w:r>
      <w:r>
        <w:fldChar w:fldCharType="begin"/>
      </w:r>
      <w:r>
        <w:instrText xml:space="preserve"> PAGEREF _Toc13399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_Toc16336 </w:instrText>
      </w:r>
      <w:r>
        <w:fldChar w:fldCharType="separate"/>
      </w:r>
      <w:r>
        <w:rPr>
          <w:rFonts w:ascii="宋体" w:hAnsi="宋体" w:eastAsia="宋体" w:cs="宋体"/>
        </w:rPr>
        <w:t>8.1 期末基金份额持有人户数及持有人结构</w:t>
      </w:r>
      <w:r>
        <w:tab/>
      </w:r>
      <w:r>
        <w:fldChar w:fldCharType="begin"/>
      </w:r>
      <w:r>
        <w:instrText xml:space="preserve"> PAGEREF _Toc16336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_Toc9005 </w:instrText>
      </w:r>
      <w:r>
        <w:fldChar w:fldCharType="separate"/>
      </w:r>
      <w:r>
        <w:rPr>
          <w:rFonts w:ascii="宋体" w:hAnsi="宋体" w:eastAsia="宋体" w:cs="宋体"/>
        </w:rPr>
        <w:t>8.2 期末基金管理人的从业人员持有本基金的情况</w:t>
      </w:r>
      <w:r>
        <w:tab/>
      </w:r>
      <w:r>
        <w:fldChar w:fldCharType="begin"/>
      </w:r>
      <w:r>
        <w:instrText xml:space="preserve"> PAGEREF _Toc9005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_Toc10671 </w:instrText>
      </w:r>
      <w:r>
        <w:fldChar w:fldCharType="separate"/>
      </w:r>
      <w:r>
        <w:rPr>
          <w:rFonts w:ascii="宋体" w:hAnsi="宋体" w:eastAsia="宋体" w:cs="宋体"/>
        </w:rPr>
        <w:t>8.3 期末基金管理人的从业人员持有本开放式基金份额总量区间情况</w:t>
      </w:r>
      <w:r>
        <w:tab/>
      </w:r>
      <w:r>
        <w:fldChar w:fldCharType="begin"/>
      </w:r>
      <w:r>
        <w:instrText xml:space="preserve"> PAGEREF _Toc10671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_Toc32398 </w:instrText>
      </w:r>
      <w:r>
        <w:fldChar w:fldCharType="separate"/>
      </w:r>
      <w:r>
        <w:rPr>
          <w:rFonts w:ascii="宋体" w:hAnsi="宋体" w:eastAsia="宋体" w:cs="宋体"/>
        </w:rPr>
        <w:t>8.4 发起式基金发起资金持有份额情况</w:t>
      </w:r>
      <w:r>
        <w:tab/>
      </w:r>
      <w:r>
        <w:fldChar w:fldCharType="begin"/>
      </w:r>
      <w:r>
        <w:instrText xml:space="preserve"> PAGEREF _Toc32398 \h </w:instrText>
      </w:r>
      <w:r>
        <w:fldChar w:fldCharType="separate"/>
      </w:r>
      <w:r>
        <w:t>44</w:t>
      </w:r>
      <w:r>
        <w:fldChar w:fldCharType="end"/>
      </w:r>
      <w:r>
        <w:fldChar w:fldCharType="end"/>
      </w:r>
    </w:p>
    <w:p>
      <w:pPr>
        <w:pStyle w:val="19"/>
        <w:tabs>
          <w:tab w:val="right" w:leader="dot" w:pos="9070"/>
          <w:tab w:val="clear" w:pos="9060"/>
        </w:tabs>
      </w:pPr>
      <w:r>
        <w:fldChar w:fldCharType="begin"/>
      </w:r>
      <w:r>
        <w:instrText xml:space="preserve"> HYPERLINK \l _Toc6192 </w:instrText>
      </w:r>
      <w:r>
        <w:fldChar w:fldCharType="separate"/>
      </w:r>
      <w:r>
        <w:rPr>
          <w:rFonts w:ascii="宋体" w:hAnsi="宋体" w:eastAsia="宋体" w:cs="宋体"/>
        </w:rPr>
        <w:t>§9 开放式基金份额变动</w:t>
      </w:r>
      <w:r>
        <w:tab/>
      </w:r>
      <w:r>
        <w:fldChar w:fldCharType="begin"/>
      </w:r>
      <w:r>
        <w:instrText xml:space="preserve"> PAGEREF _Toc6192 \h </w:instrText>
      </w:r>
      <w:r>
        <w:fldChar w:fldCharType="separate"/>
      </w:r>
      <w:r>
        <w:t>44</w:t>
      </w:r>
      <w:r>
        <w:fldChar w:fldCharType="end"/>
      </w:r>
      <w:r>
        <w:fldChar w:fldCharType="end"/>
      </w:r>
    </w:p>
    <w:p>
      <w:pPr>
        <w:pStyle w:val="19"/>
        <w:tabs>
          <w:tab w:val="right" w:leader="dot" w:pos="9070"/>
          <w:tab w:val="clear" w:pos="9060"/>
        </w:tabs>
      </w:pPr>
      <w:r>
        <w:fldChar w:fldCharType="begin"/>
      </w:r>
      <w:r>
        <w:instrText xml:space="preserve"> HYPERLINK \l _Toc20027 </w:instrText>
      </w:r>
      <w:r>
        <w:fldChar w:fldCharType="separate"/>
      </w:r>
      <w:r>
        <w:rPr>
          <w:rFonts w:ascii="宋体" w:hAnsi="宋体" w:eastAsia="宋体" w:cs="宋体"/>
        </w:rPr>
        <w:t>§10 重大事件揭示</w:t>
      </w:r>
      <w:r>
        <w:tab/>
      </w:r>
      <w:r>
        <w:fldChar w:fldCharType="begin"/>
      </w:r>
      <w:r>
        <w:instrText xml:space="preserve"> PAGEREF _Toc20027 \h </w:instrText>
      </w:r>
      <w:r>
        <w:fldChar w:fldCharType="separate"/>
      </w:r>
      <w:r>
        <w:t>44</w:t>
      </w:r>
      <w:r>
        <w:fldChar w:fldCharType="end"/>
      </w:r>
      <w:r>
        <w:fldChar w:fldCharType="end"/>
      </w:r>
    </w:p>
    <w:p>
      <w:pPr>
        <w:pStyle w:val="22"/>
        <w:tabs>
          <w:tab w:val="right" w:leader="dot" w:pos="9070"/>
        </w:tabs>
      </w:pPr>
      <w:r>
        <w:fldChar w:fldCharType="begin"/>
      </w:r>
      <w:r>
        <w:instrText xml:space="preserve"> HYPERLINK \l _Toc53 </w:instrText>
      </w:r>
      <w:r>
        <w:fldChar w:fldCharType="separate"/>
      </w:r>
      <w:r>
        <w:rPr>
          <w:rFonts w:ascii="宋体" w:hAnsi="宋体" w:eastAsia="宋体" w:cs="宋体"/>
        </w:rPr>
        <w:t>10.1 基金份额持有人大会决议</w:t>
      </w:r>
      <w:r>
        <w:tab/>
      </w:r>
      <w:r>
        <w:fldChar w:fldCharType="begin"/>
      </w:r>
      <w:r>
        <w:instrText xml:space="preserve"> PAGEREF _Toc53 \h </w:instrText>
      </w:r>
      <w:r>
        <w:fldChar w:fldCharType="separate"/>
      </w:r>
      <w:r>
        <w:t>44</w:t>
      </w:r>
      <w:r>
        <w:fldChar w:fldCharType="end"/>
      </w:r>
      <w:r>
        <w:fldChar w:fldCharType="end"/>
      </w:r>
    </w:p>
    <w:p>
      <w:pPr>
        <w:pStyle w:val="22"/>
        <w:tabs>
          <w:tab w:val="right" w:leader="dot" w:pos="9070"/>
        </w:tabs>
      </w:pPr>
      <w:r>
        <w:fldChar w:fldCharType="begin"/>
      </w:r>
      <w:r>
        <w:instrText xml:space="preserve"> HYPERLINK \l _Toc5933 </w:instrText>
      </w:r>
      <w:r>
        <w:fldChar w:fldCharType="separate"/>
      </w:r>
      <w:r>
        <w:rPr>
          <w:rFonts w:ascii="宋体" w:hAnsi="宋体" w:eastAsia="宋体" w:cs="宋体"/>
        </w:rPr>
        <w:t>10.2 基金管理人、基金托管人的专门基金托管部门的重大人事变动</w:t>
      </w:r>
      <w:r>
        <w:tab/>
      </w:r>
      <w:r>
        <w:fldChar w:fldCharType="begin"/>
      </w:r>
      <w:r>
        <w:instrText xml:space="preserve"> PAGEREF _Toc5933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_Toc4096 </w:instrText>
      </w:r>
      <w:r>
        <w:fldChar w:fldCharType="separate"/>
      </w:r>
      <w:r>
        <w:rPr>
          <w:rFonts w:ascii="宋体" w:hAnsi="宋体" w:eastAsia="宋体" w:cs="宋体"/>
        </w:rPr>
        <w:t>10.3 涉及基金管理人、基金财产、基金托管业务的诉讼</w:t>
      </w:r>
      <w:r>
        <w:tab/>
      </w:r>
      <w:r>
        <w:fldChar w:fldCharType="begin"/>
      </w:r>
      <w:r>
        <w:instrText xml:space="preserve"> PAGEREF _Toc4096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_Toc24320 </w:instrText>
      </w:r>
      <w:r>
        <w:fldChar w:fldCharType="separate"/>
      </w:r>
      <w:r>
        <w:rPr>
          <w:rFonts w:ascii="宋体" w:hAnsi="宋体" w:eastAsia="宋体" w:cs="宋体"/>
        </w:rPr>
        <w:t>10.4 基金投资策略的改变</w:t>
      </w:r>
      <w:r>
        <w:tab/>
      </w:r>
      <w:r>
        <w:fldChar w:fldCharType="begin"/>
      </w:r>
      <w:r>
        <w:instrText xml:space="preserve"> PAGEREF _Toc24320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_Toc11653 </w:instrText>
      </w:r>
      <w:r>
        <w:fldChar w:fldCharType="separate"/>
      </w:r>
      <w:r>
        <w:rPr>
          <w:rFonts w:ascii="宋体" w:hAnsi="宋体" w:eastAsia="宋体" w:cs="宋体"/>
        </w:rPr>
        <w:t>10.5 为基金进行审计的会计师事务所情况</w:t>
      </w:r>
      <w:r>
        <w:tab/>
      </w:r>
      <w:r>
        <w:fldChar w:fldCharType="begin"/>
      </w:r>
      <w:r>
        <w:instrText xml:space="preserve"> PAGEREF _Toc11653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_Toc6040 </w:instrText>
      </w:r>
      <w:r>
        <w:fldChar w:fldCharType="separate"/>
      </w:r>
      <w:r>
        <w:rPr>
          <w:rFonts w:ascii="宋体" w:hAnsi="宋体" w:eastAsia="宋体" w:cs="宋体"/>
        </w:rPr>
        <w:t>10.6 管理人、托管人及相关从业人员受调查或处罚等情况</w:t>
      </w:r>
      <w:r>
        <w:tab/>
      </w:r>
      <w:r>
        <w:fldChar w:fldCharType="begin"/>
      </w:r>
      <w:r>
        <w:instrText xml:space="preserve"> PAGEREF _Toc6040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_Toc32743 </w:instrText>
      </w:r>
      <w:r>
        <w:fldChar w:fldCharType="separate"/>
      </w:r>
      <w:r>
        <w:rPr>
          <w:rFonts w:ascii="宋体" w:hAnsi="宋体" w:eastAsia="宋体" w:cs="宋体"/>
        </w:rPr>
        <w:t>10.7 基金租用或者通过证券公司交易单元进行证券投资的相关情况</w:t>
      </w:r>
      <w:r>
        <w:tab/>
      </w:r>
      <w:r>
        <w:fldChar w:fldCharType="begin"/>
      </w:r>
      <w:r>
        <w:instrText xml:space="preserve"> PAGEREF _Toc32743 \h </w:instrText>
      </w:r>
      <w:r>
        <w:fldChar w:fldCharType="separate"/>
      </w:r>
      <w:r>
        <w:t>45</w:t>
      </w:r>
      <w:r>
        <w:fldChar w:fldCharType="end"/>
      </w:r>
      <w:r>
        <w:fldChar w:fldCharType="end"/>
      </w:r>
    </w:p>
    <w:p>
      <w:pPr>
        <w:pStyle w:val="22"/>
        <w:tabs>
          <w:tab w:val="right" w:leader="dot" w:pos="9070"/>
        </w:tabs>
      </w:pPr>
      <w:r>
        <w:fldChar w:fldCharType="begin"/>
      </w:r>
      <w:r>
        <w:instrText xml:space="preserve"> HYPERLINK \l _Toc7447 </w:instrText>
      </w:r>
      <w:r>
        <w:fldChar w:fldCharType="separate"/>
      </w:r>
      <w:r>
        <w:rPr>
          <w:rFonts w:ascii="宋体" w:hAnsi="宋体" w:eastAsia="宋体" w:cs="宋体"/>
        </w:rPr>
        <w:t>10.8 其他重大事件</w:t>
      </w:r>
      <w:r>
        <w:tab/>
      </w:r>
      <w:r>
        <w:fldChar w:fldCharType="begin"/>
      </w:r>
      <w:r>
        <w:instrText xml:space="preserve"> PAGEREF _Toc7447 \h </w:instrText>
      </w:r>
      <w:r>
        <w:fldChar w:fldCharType="separate"/>
      </w:r>
      <w:r>
        <w:t>46</w:t>
      </w:r>
      <w:r>
        <w:fldChar w:fldCharType="end"/>
      </w:r>
      <w:r>
        <w:fldChar w:fldCharType="end"/>
      </w:r>
    </w:p>
    <w:p>
      <w:pPr>
        <w:pStyle w:val="19"/>
        <w:tabs>
          <w:tab w:val="right" w:leader="dot" w:pos="9070"/>
          <w:tab w:val="clear" w:pos="9060"/>
        </w:tabs>
      </w:pPr>
      <w:r>
        <w:fldChar w:fldCharType="begin"/>
      </w:r>
      <w:r>
        <w:instrText xml:space="preserve"> HYPERLINK \l _Toc9762 </w:instrText>
      </w:r>
      <w:r>
        <w:fldChar w:fldCharType="separate"/>
      </w:r>
      <w:r>
        <w:rPr>
          <w:rFonts w:ascii="宋体" w:hAnsi="宋体" w:eastAsia="宋体" w:cs="宋体"/>
        </w:rPr>
        <w:t>§11 影响投资者决策的其他重要信息</w:t>
      </w:r>
      <w:r>
        <w:tab/>
      </w:r>
      <w:r>
        <w:fldChar w:fldCharType="begin"/>
      </w:r>
      <w:r>
        <w:instrText xml:space="preserve"> PAGEREF _Toc9762 \h </w:instrText>
      </w:r>
      <w:r>
        <w:fldChar w:fldCharType="separate"/>
      </w:r>
      <w:r>
        <w:t>47</w:t>
      </w:r>
      <w:r>
        <w:fldChar w:fldCharType="end"/>
      </w:r>
      <w:r>
        <w:fldChar w:fldCharType="end"/>
      </w:r>
    </w:p>
    <w:p>
      <w:pPr>
        <w:pStyle w:val="22"/>
        <w:tabs>
          <w:tab w:val="right" w:leader="dot" w:pos="9070"/>
        </w:tabs>
      </w:pPr>
      <w:r>
        <w:fldChar w:fldCharType="begin"/>
      </w:r>
      <w:r>
        <w:instrText xml:space="preserve"> HYPERLINK \l _Toc94 </w:instrText>
      </w:r>
      <w:r>
        <w:fldChar w:fldCharType="separate"/>
      </w:r>
      <w:r>
        <w:rPr>
          <w:rFonts w:ascii="宋体" w:hAnsi="宋体" w:eastAsia="宋体" w:cs="宋体"/>
        </w:rPr>
        <w:t>11.1 报告期内单一投资者持有基金份额比例达到或超过20%的情况</w:t>
      </w:r>
      <w:r>
        <w:tab/>
      </w:r>
      <w:r>
        <w:fldChar w:fldCharType="begin"/>
      </w:r>
      <w:r>
        <w:instrText xml:space="preserve"> PAGEREF _Toc94 \h </w:instrText>
      </w:r>
      <w:r>
        <w:fldChar w:fldCharType="separate"/>
      </w:r>
      <w:r>
        <w:t>47</w:t>
      </w:r>
      <w:r>
        <w:fldChar w:fldCharType="end"/>
      </w:r>
      <w:r>
        <w:fldChar w:fldCharType="end"/>
      </w:r>
    </w:p>
    <w:p>
      <w:pPr>
        <w:pStyle w:val="22"/>
        <w:tabs>
          <w:tab w:val="right" w:leader="dot" w:pos="9070"/>
        </w:tabs>
      </w:pPr>
      <w:r>
        <w:fldChar w:fldCharType="begin"/>
      </w:r>
      <w:r>
        <w:instrText xml:space="preserve"> HYPERLINK \l _Toc3078 </w:instrText>
      </w:r>
      <w:r>
        <w:fldChar w:fldCharType="separate"/>
      </w:r>
      <w:r>
        <w:rPr>
          <w:rFonts w:ascii="宋体" w:hAnsi="宋体" w:eastAsia="宋体" w:cs="宋体"/>
        </w:rPr>
        <w:t>11.2 影响投资者决策的其他重要信息</w:t>
      </w:r>
      <w:r>
        <w:tab/>
      </w:r>
      <w:r>
        <w:fldChar w:fldCharType="begin"/>
      </w:r>
      <w:r>
        <w:instrText xml:space="preserve"> PAGEREF _Toc3078 \h </w:instrText>
      </w:r>
      <w:r>
        <w:fldChar w:fldCharType="separate"/>
      </w:r>
      <w:r>
        <w:t>48</w:t>
      </w:r>
      <w:r>
        <w:fldChar w:fldCharType="end"/>
      </w:r>
      <w:r>
        <w:fldChar w:fldCharType="end"/>
      </w:r>
    </w:p>
    <w:p>
      <w:pPr>
        <w:pStyle w:val="19"/>
        <w:tabs>
          <w:tab w:val="right" w:leader="dot" w:pos="9070"/>
          <w:tab w:val="clear" w:pos="9060"/>
        </w:tabs>
      </w:pPr>
      <w:r>
        <w:fldChar w:fldCharType="begin"/>
      </w:r>
      <w:r>
        <w:instrText xml:space="preserve"> HYPERLINK \l _Toc27305 </w:instrText>
      </w:r>
      <w:r>
        <w:fldChar w:fldCharType="separate"/>
      </w:r>
      <w:r>
        <w:rPr>
          <w:rFonts w:ascii="宋体" w:hAnsi="宋体" w:eastAsia="宋体" w:cs="宋体"/>
        </w:rPr>
        <w:t>§12 备查文件目录</w:t>
      </w:r>
      <w:r>
        <w:tab/>
      </w:r>
      <w:r>
        <w:fldChar w:fldCharType="begin"/>
      </w:r>
      <w:r>
        <w:instrText xml:space="preserve"> PAGEREF _Toc27305 \h </w:instrText>
      </w:r>
      <w:r>
        <w:fldChar w:fldCharType="separate"/>
      </w:r>
      <w:r>
        <w:t>48</w:t>
      </w:r>
      <w:r>
        <w:fldChar w:fldCharType="end"/>
      </w:r>
      <w:r>
        <w:fldChar w:fldCharType="end"/>
      </w:r>
    </w:p>
    <w:p>
      <w:pPr>
        <w:pStyle w:val="22"/>
        <w:tabs>
          <w:tab w:val="right" w:leader="dot" w:pos="9070"/>
        </w:tabs>
      </w:pPr>
      <w:r>
        <w:fldChar w:fldCharType="begin"/>
      </w:r>
      <w:r>
        <w:instrText xml:space="preserve"> HYPERLINK \l _Toc6111 </w:instrText>
      </w:r>
      <w:r>
        <w:fldChar w:fldCharType="separate"/>
      </w:r>
      <w:r>
        <w:rPr>
          <w:rFonts w:ascii="宋体" w:hAnsi="宋体" w:eastAsia="宋体" w:cs="宋体"/>
        </w:rPr>
        <w:t>12.1 备查文件目录</w:t>
      </w:r>
      <w:r>
        <w:tab/>
      </w:r>
      <w:r>
        <w:fldChar w:fldCharType="begin"/>
      </w:r>
      <w:r>
        <w:instrText xml:space="preserve"> PAGEREF _Toc6111 \h </w:instrText>
      </w:r>
      <w:r>
        <w:fldChar w:fldCharType="separate"/>
      </w:r>
      <w:r>
        <w:t>48</w:t>
      </w:r>
      <w:r>
        <w:fldChar w:fldCharType="end"/>
      </w:r>
      <w:r>
        <w:fldChar w:fldCharType="end"/>
      </w:r>
    </w:p>
    <w:p>
      <w:pPr>
        <w:pStyle w:val="22"/>
        <w:tabs>
          <w:tab w:val="right" w:leader="dot" w:pos="9070"/>
        </w:tabs>
      </w:pPr>
      <w:r>
        <w:fldChar w:fldCharType="begin"/>
      </w:r>
      <w:r>
        <w:instrText xml:space="preserve"> HYPERLINK \l _Toc2830 </w:instrText>
      </w:r>
      <w:r>
        <w:fldChar w:fldCharType="separate"/>
      </w:r>
      <w:r>
        <w:rPr>
          <w:rFonts w:ascii="宋体" w:hAnsi="宋体" w:eastAsia="宋体" w:cs="宋体"/>
        </w:rPr>
        <w:t>12.2 存放地点</w:t>
      </w:r>
      <w:r>
        <w:tab/>
      </w:r>
      <w:r>
        <w:fldChar w:fldCharType="begin"/>
      </w:r>
      <w:r>
        <w:instrText xml:space="preserve"> PAGEREF _Toc2830 \h </w:instrText>
      </w:r>
      <w:r>
        <w:fldChar w:fldCharType="separate"/>
      </w:r>
      <w:r>
        <w:t>48</w:t>
      </w:r>
      <w:r>
        <w:fldChar w:fldCharType="end"/>
      </w:r>
      <w:r>
        <w:fldChar w:fldCharType="end"/>
      </w:r>
    </w:p>
    <w:p>
      <w:pPr>
        <w:pStyle w:val="22"/>
        <w:tabs>
          <w:tab w:val="right" w:leader="dot" w:pos="9070"/>
        </w:tabs>
      </w:pPr>
      <w:r>
        <w:fldChar w:fldCharType="begin"/>
      </w:r>
      <w:r>
        <w:instrText xml:space="preserve"> HYPERLINK \l _Toc32383 </w:instrText>
      </w:r>
      <w:r>
        <w:fldChar w:fldCharType="separate"/>
      </w:r>
      <w:r>
        <w:rPr>
          <w:rFonts w:ascii="宋体" w:hAnsi="宋体" w:eastAsia="宋体" w:cs="宋体"/>
        </w:rPr>
        <w:t>12.3 查阅方式</w:t>
      </w:r>
      <w:r>
        <w:tab/>
      </w:r>
      <w:r>
        <w:fldChar w:fldCharType="begin"/>
      </w:r>
      <w:r>
        <w:instrText xml:space="preserve"> PAGEREF _Toc32383 \h </w:instrText>
      </w:r>
      <w:r>
        <w:fldChar w:fldCharType="separate"/>
      </w:r>
      <w:r>
        <w:t>48</w:t>
      </w:r>
      <w:r>
        <w:fldChar w:fldCharType="end"/>
      </w:r>
      <w:r>
        <w:fldChar w:fldCharType="end"/>
      </w:r>
    </w:p>
    <w:p>
      <w:pPr>
        <w:rPr>
          <w:rFonts w:ascii="宋体" w:hAnsi="宋体" w:eastAsia="宋体"/>
        </w:rPr>
      </w:pPr>
      <w:r>
        <w:fldChar w:fldCharType="end"/>
      </w:r>
    </w:p>
    <w:p>
      <w:r>
        <w:br w:type="page"/>
      </w:r>
    </w:p>
    <w:p>
      <w:pPr>
        <w:pStyle w:val="2"/>
        <w:jc w:val="center"/>
      </w:pPr>
      <w:bookmarkStart w:id="5" w:name="_Toc24463"/>
      <w:r>
        <w:rPr>
          <w:rFonts w:ascii="宋体" w:hAnsi="宋体" w:eastAsia="宋体" w:cs="宋体"/>
        </w:rPr>
        <w:t>§2 基金简介</w:t>
      </w:r>
      <w:bookmarkEnd w:id="5"/>
    </w:p>
    <w:p>
      <w:pPr>
        <w:pStyle w:val="3"/>
        <w:jc w:val="left"/>
      </w:pPr>
      <w:bookmarkStart w:id="6" w:name="_Toc27264"/>
      <w:r>
        <w:rPr>
          <w:rFonts w:ascii="宋体" w:hAnsi="宋体" w:eastAsia="宋体" w:cs="宋体"/>
        </w:rPr>
        <w:t>2.1 基金基本情况</w:t>
      </w:r>
      <w:bookmarkEnd w:id="6"/>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3157"/>
        <w:gridCol w:w="3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Align w:val="center"/>
          </w:tcPr>
          <w:p>
            <w:pPr>
              <w:spacing w:line="240" w:lineRule="auto"/>
              <w:jc w:val="left"/>
            </w:pPr>
            <w:r>
              <w:rPr>
                <w:rFonts w:ascii="宋体" w:hAnsi="宋体" w:eastAsia="宋体" w:cs="宋体"/>
                <w:b w:val="0"/>
              </w:rPr>
              <w:t>基金名称</w:t>
            </w:r>
          </w:p>
        </w:tc>
        <w:tc>
          <w:tcPr>
            <w:tcW w:w="3462" w:type="pct"/>
            <w:gridSpan w:val="2"/>
            <w:vAlign w:val="center"/>
          </w:tcPr>
          <w:p>
            <w:pPr>
              <w:spacing w:line="240" w:lineRule="auto"/>
              <w:jc w:val="left"/>
            </w:pPr>
            <w:r>
              <w:rPr>
                <w:rFonts w:ascii="宋体" w:hAnsi="宋体" w:eastAsia="宋体" w:cs="宋体"/>
                <w:b w:val="0"/>
              </w:rPr>
              <w:t>东方阿尔法科技甄选混合型发起式证券投资基金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基金简称</w:t>
            </w:r>
          </w:p>
        </w:tc>
        <w:tc>
          <w:tcPr>
            <w:tcW w:w="0" w:type="dxa"/>
            <w:gridSpan w:val="2"/>
            <w:vAlign w:val="center"/>
          </w:tcPr>
          <w:p>
            <w:pPr>
              <w:spacing w:line="240" w:lineRule="auto"/>
              <w:jc w:val="left"/>
            </w:pPr>
            <w:r>
              <w:rPr>
                <w:rFonts w:ascii="宋体" w:hAnsi="宋体" w:eastAsia="宋体" w:cs="宋体"/>
                <w:b w:val="0"/>
              </w:rPr>
              <w:t>东方阿尔法科技甄选混合发起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025792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2025年10月30日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732,159,524.73份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基金合同存续期</w:t>
            </w:r>
          </w:p>
        </w:tc>
        <w:tc>
          <w:tcPr>
            <w:tcW w:w="0" w:type="dxa"/>
            <w:gridSpan w:val="2"/>
            <w:vAlign w:val="center"/>
          </w:tcPr>
          <w:p>
            <w:pPr>
              <w:spacing w:line="240" w:lineRule="auto"/>
              <w:jc w:val="left"/>
            </w:pPr>
            <w:r>
              <w:rPr>
                <w:rFonts w:ascii="宋体" w:hAnsi="宋体" w:eastAsia="宋体" w:cs="宋体"/>
                <w:b w:val="0"/>
              </w:rPr>
              <w:t>不定期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700" w:type="pct"/>
            <w:vAlign w:val="center"/>
          </w:tcPr>
          <w:p>
            <w:pPr>
              <w:spacing w:line="240" w:lineRule="auto"/>
              <w:jc w:val="left"/>
            </w:pPr>
            <w:r>
              <w:rPr>
                <w:rFonts w:ascii="宋体" w:hAnsi="宋体" w:eastAsia="宋体" w:cs="宋体"/>
                <w:b w:val="0"/>
              </w:rPr>
              <w:t>东方阿尔法科技甄选混合发起A</w:t>
            </w:r>
          </w:p>
        </w:tc>
        <w:tc>
          <w:tcPr>
            <w:tcW w:w="1700" w:type="pct"/>
            <w:vAlign w:val="center"/>
          </w:tcPr>
          <w:p>
            <w:pPr>
              <w:spacing w:line="240" w:lineRule="auto"/>
              <w:jc w:val="left"/>
            </w:pPr>
            <w:r>
              <w:rPr>
                <w:rFonts w:ascii="宋体" w:hAnsi="宋体" w:eastAsia="宋体" w:cs="宋体"/>
                <w:b w:val="0"/>
              </w:rPr>
              <w:t>东方阿尔法科技甄选混合发起C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700" w:type="pct"/>
            <w:vAlign w:val="center"/>
          </w:tcPr>
          <w:p>
            <w:pPr>
              <w:spacing w:line="240" w:lineRule="auto"/>
              <w:jc w:val="left"/>
            </w:pPr>
            <w:r>
              <w:rPr>
                <w:rFonts w:ascii="宋体" w:hAnsi="宋体" w:eastAsia="宋体" w:cs="宋体"/>
                <w:b w:val="0"/>
              </w:rPr>
              <w:t>025792</w:t>
            </w:r>
          </w:p>
        </w:tc>
        <w:tc>
          <w:tcPr>
            <w:tcW w:w="1700" w:type="pct"/>
            <w:vAlign w:val="center"/>
          </w:tcPr>
          <w:p>
            <w:pPr>
              <w:spacing w:line="240" w:lineRule="auto"/>
              <w:jc w:val="left"/>
            </w:pPr>
            <w:r>
              <w:rPr>
                <w:rFonts w:ascii="宋体" w:hAnsi="宋体" w:eastAsia="宋体" w:cs="宋体"/>
                <w:b w:val="0"/>
              </w:rPr>
              <w:t>025793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700" w:type="pct"/>
            <w:vAlign w:val="center"/>
          </w:tcPr>
          <w:p>
            <w:pPr>
              <w:spacing w:line="240" w:lineRule="auto"/>
              <w:jc w:val="left"/>
            </w:pPr>
            <w:r>
              <w:rPr>
                <w:rFonts w:ascii="宋体" w:hAnsi="宋体" w:eastAsia="宋体" w:cs="宋体"/>
                <w:b w:val="0"/>
              </w:rPr>
              <w:t>21,981,743.96份</w:t>
            </w:r>
          </w:p>
        </w:tc>
        <w:tc>
          <w:tcPr>
            <w:tcW w:w="1700" w:type="pct"/>
            <w:vAlign w:val="center"/>
          </w:tcPr>
          <w:p>
            <w:pPr>
              <w:spacing w:line="240" w:lineRule="auto"/>
              <w:jc w:val="left"/>
            </w:pPr>
            <w:r>
              <w:rPr>
                <w:rFonts w:ascii="宋体" w:hAnsi="宋体" w:eastAsia="宋体" w:cs="宋体"/>
                <w:b w:val="0"/>
              </w:rPr>
              <w:t>710,177,780.77份</w:t>
            </w:r>
          </w:p>
        </w:tc>
      </w:tr>
    </w:tbl>
    <w:p/>
    <w:p>
      <w:pPr>
        <w:pStyle w:val="3"/>
        <w:jc w:val="left"/>
      </w:pPr>
      <w:bookmarkStart w:id="7" w:name="_Toc7566"/>
      <w:r>
        <w:rPr>
          <w:rFonts w:ascii="宋体" w:hAnsi="宋体" w:eastAsia="宋体" w:cs="宋体"/>
        </w:rPr>
        <w:t>2.2 基金产品说明</w:t>
      </w:r>
      <w:bookmarkEnd w:id="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5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3077" w:type="pct"/>
            <w:vAlign w:val="center"/>
          </w:tcPr>
          <w:p>
            <w:pPr>
              <w:spacing w:line="240" w:lineRule="auto"/>
              <w:jc w:val="left"/>
            </w:pPr>
            <w:r>
              <w:rPr>
                <w:rFonts w:ascii="宋体" w:hAnsi="宋体" w:eastAsia="宋体" w:cs="宋体"/>
                <w:b w:val="0"/>
              </w:rPr>
              <w:t xml:space="preserve">    本基金主要投资科技主题相关的上市公司股票，采用积极主动的投资策略，在有效控制投资组合风险的前提下，力争获取超越业绩比较基准的投资回报，实现基金资产的长期稳健增值。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投资策略</w:t>
            </w:r>
          </w:p>
        </w:tc>
        <w:tc>
          <w:tcPr>
            <w:tcW w:w="0" w:type="dxa"/>
            <w:vAlign w:val="center"/>
          </w:tcPr>
          <w:p>
            <w:pPr>
              <w:spacing w:line="240" w:lineRule="auto"/>
              <w:jc w:val="left"/>
            </w:pPr>
            <w:r>
              <w:rPr>
                <w:rFonts w:ascii="宋体" w:hAnsi="宋体" w:eastAsia="宋体" w:cs="宋体"/>
                <w:b w:val="0"/>
              </w:rPr>
              <w:t xml:space="preserve">    本基金的投资策略主要有以下11个方面内容：</w:t>
            </w:r>
            <w:r>
              <w:rPr>
                <w:rFonts w:ascii="宋体" w:hAnsi="宋体" w:eastAsia="宋体" w:cs="宋体"/>
                <w:b w:val="0"/>
              </w:rPr>
              <w:br w:type="textWrapping"/>
            </w:r>
            <w:r>
              <w:rPr>
                <w:rFonts w:ascii="宋体" w:hAnsi="宋体" w:eastAsia="宋体" w:cs="宋体"/>
                <w:b w:val="0"/>
              </w:rPr>
              <w:t xml:space="preserve">    1、大类资产配置策略</w:t>
            </w:r>
            <w:r>
              <w:rPr>
                <w:rFonts w:ascii="宋体" w:hAnsi="宋体" w:eastAsia="宋体" w:cs="宋体"/>
                <w:b w:val="0"/>
              </w:rPr>
              <w:br w:type="textWrapping"/>
            </w:r>
            <w:r>
              <w:rPr>
                <w:rFonts w:ascii="宋体" w:hAnsi="宋体" w:eastAsia="宋体" w:cs="宋体"/>
                <w:b w:val="0"/>
              </w:rPr>
              <w:t xml:space="preserve">    本基金将根据国内外宏观经济情况、国内外证券市场估值水平阶段性不断调整权益类资产和其他资产之间的大类资产配置比例。</w:t>
            </w:r>
            <w:r>
              <w:rPr>
                <w:rFonts w:ascii="宋体" w:hAnsi="宋体" w:eastAsia="宋体" w:cs="宋体"/>
                <w:b w:val="0"/>
              </w:rPr>
              <w:br w:type="textWrapping"/>
            </w:r>
            <w:r>
              <w:rPr>
                <w:rFonts w:ascii="宋体" w:hAnsi="宋体" w:eastAsia="宋体" w:cs="宋体"/>
                <w:b w:val="0"/>
              </w:rPr>
              <w:t xml:space="preserve">    2、股票投资策略</w:t>
            </w:r>
            <w:r>
              <w:rPr>
                <w:rFonts w:ascii="宋体" w:hAnsi="宋体" w:eastAsia="宋体" w:cs="宋体"/>
                <w:b w:val="0"/>
              </w:rPr>
              <w:br w:type="textWrapping"/>
            </w:r>
            <w:r>
              <w:rPr>
                <w:rFonts w:ascii="宋体" w:hAnsi="宋体" w:eastAsia="宋体" w:cs="宋体"/>
                <w:b w:val="0"/>
              </w:rPr>
              <w:t xml:space="preserve">    本基金通过定性与定量相结合的积极投资策略，自下而上地精选价值被低估并且具有良好基本面的符合科技主题的股票构建投资组合。</w:t>
            </w:r>
            <w:r>
              <w:rPr>
                <w:rFonts w:ascii="宋体" w:hAnsi="宋体" w:eastAsia="宋体" w:cs="宋体"/>
                <w:b w:val="0"/>
              </w:rPr>
              <w:br w:type="textWrapping"/>
            </w:r>
            <w:r>
              <w:rPr>
                <w:rFonts w:ascii="宋体" w:hAnsi="宋体" w:eastAsia="宋体" w:cs="宋体"/>
                <w:b w:val="0"/>
              </w:rPr>
              <w:t xml:space="preserve">    3、存托凭证投资策略</w:t>
            </w:r>
            <w:r>
              <w:rPr>
                <w:rFonts w:ascii="宋体" w:hAnsi="宋体" w:eastAsia="宋体" w:cs="宋体"/>
                <w:b w:val="0"/>
              </w:rPr>
              <w:br w:type="textWrapping"/>
            </w:r>
            <w:r>
              <w:rPr>
                <w:rFonts w:ascii="宋体" w:hAnsi="宋体" w:eastAsia="宋体" w:cs="宋体"/>
                <w:b w:val="0"/>
              </w:rPr>
              <w:t xml:space="preserve">    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 xml:space="preserve">    4、债券类资产投资策略</w:t>
            </w:r>
            <w:r>
              <w:rPr>
                <w:rFonts w:ascii="宋体" w:hAnsi="宋体" w:eastAsia="宋体" w:cs="宋体"/>
                <w:b w:val="0"/>
              </w:rPr>
              <w:br w:type="textWrapping"/>
            </w:r>
            <w:r>
              <w:rPr>
                <w:rFonts w:ascii="宋体" w:hAnsi="宋体" w:eastAsia="宋体" w:cs="宋体"/>
                <w:b w:val="0"/>
              </w:rPr>
              <w:t xml:space="preserve">    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 xml:space="preserve">    5、港股投资策略 </w:t>
            </w:r>
            <w:r>
              <w:rPr>
                <w:rFonts w:ascii="宋体" w:hAnsi="宋体" w:eastAsia="宋体" w:cs="宋体"/>
                <w:b w:val="0"/>
              </w:rPr>
              <w:br w:type="textWrapping"/>
            </w:r>
            <w:r>
              <w:rPr>
                <w:rFonts w:ascii="宋体" w:hAnsi="宋体" w:eastAsia="宋体" w:cs="宋体"/>
                <w:b w:val="0"/>
              </w:rPr>
              <w:t xml:space="preserve">    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 xml:space="preserve">    6、可转债（含分离交易可转债）及可交换债券投资策略</w:t>
            </w:r>
            <w:r>
              <w:rPr>
                <w:rFonts w:ascii="宋体" w:hAnsi="宋体" w:eastAsia="宋体" w:cs="宋体"/>
                <w:b w:val="0"/>
              </w:rPr>
              <w:br w:type="textWrapping"/>
            </w:r>
            <w:r>
              <w:rPr>
                <w:rFonts w:ascii="宋体" w:hAnsi="宋体" w:eastAsia="宋体" w:cs="宋体"/>
                <w:b w:val="0"/>
              </w:rPr>
              <w:t xml:space="preserve">    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 xml:space="preserve">    7、股指期货投资策略</w:t>
            </w:r>
            <w:r>
              <w:rPr>
                <w:rFonts w:ascii="宋体" w:hAnsi="宋体" w:eastAsia="宋体" w:cs="宋体"/>
                <w:b w:val="0"/>
              </w:rPr>
              <w:br w:type="textWrapping"/>
            </w:r>
            <w:r>
              <w:rPr>
                <w:rFonts w:ascii="宋体" w:hAnsi="宋体" w:eastAsia="宋体" w:cs="宋体"/>
                <w:b w:val="0"/>
              </w:rPr>
              <w:t xml:space="preserve">    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 xml:space="preserve">    8、融资业务投资策略</w:t>
            </w:r>
            <w:r>
              <w:rPr>
                <w:rFonts w:ascii="宋体" w:hAnsi="宋体" w:eastAsia="宋体" w:cs="宋体"/>
                <w:b w:val="0"/>
              </w:rPr>
              <w:br w:type="textWrapping"/>
            </w:r>
            <w:r>
              <w:rPr>
                <w:rFonts w:ascii="宋体" w:hAnsi="宋体" w:eastAsia="宋体" w:cs="宋体"/>
                <w:b w:val="0"/>
              </w:rPr>
              <w:t xml:space="preserve">    本基金如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 xml:space="preserve">    9、股票期权投资策略</w:t>
            </w:r>
            <w:r>
              <w:rPr>
                <w:rFonts w:ascii="宋体" w:hAnsi="宋体" w:eastAsia="宋体" w:cs="宋体"/>
                <w:b w:val="0"/>
              </w:rPr>
              <w:br w:type="textWrapping"/>
            </w:r>
            <w:r>
              <w:rPr>
                <w:rFonts w:ascii="宋体" w:hAnsi="宋体" w:eastAsia="宋体" w:cs="宋体"/>
                <w:b w:val="0"/>
              </w:rPr>
              <w:t xml:space="preserve">    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 xml:space="preserve">    10、国债期货投资策略</w:t>
            </w:r>
            <w:r>
              <w:rPr>
                <w:rFonts w:ascii="宋体" w:hAnsi="宋体" w:eastAsia="宋体" w:cs="宋体"/>
                <w:b w:val="0"/>
              </w:rPr>
              <w:br w:type="textWrapping"/>
            </w:r>
            <w:r>
              <w:rPr>
                <w:rFonts w:ascii="宋体" w:hAnsi="宋体" w:eastAsia="宋体" w:cs="宋体"/>
                <w:b w:val="0"/>
              </w:rPr>
              <w:t xml:space="preserve">    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 xml:space="preserve">    11、资产支持证券投资策略</w:t>
            </w:r>
            <w:r>
              <w:rPr>
                <w:rFonts w:ascii="宋体" w:hAnsi="宋体" w:eastAsia="宋体" w:cs="宋体"/>
                <w:b w:val="0"/>
              </w:rPr>
              <w:br w:type="textWrapping"/>
            </w:r>
            <w:r>
              <w:rPr>
                <w:rFonts w:ascii="宋体" w:hAnsi="宋体" w:eastAsia="宋体" w:cs="宋体"/>
                <w:b w:val="0"/>
              </w:rPr>
              <w:t xml:space="preserve">    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业绩比较基准</w:t>
            </w:r>
          </w:p>
        </w:tc>
        <w:tc>
          <w:tcPr>
            <w:tcW w:w="0" w:type="dxa"/>
            <w:vAlign w:val="center"/>
          </w:tcPr>
          <w:p>
            <w:pPr>
              <w:spacing w:line="240" w:lineRule="auto"/>
              <w:jc w:val="left"/>
            </w:pPr>
            <w:r>
              <w:rPr>
                <w:rFonts w:ascii="宋体" w:hAnsi="宋体" w:eastAsia="宋体" w:cs="宋体"/>
                <w:b w:val="0"/>
              </w:rPr>
              <w:t xml:space="preserve">    中国战略新兴产业成份指数收益率*70%+中债-综合指数(全价)收益率*20%+恒生科技指数收益率(按估值汇率折算)*10%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风险收益特征</w:t>
            </w:r>
          </w:p>
        </w:tc>
        <w:tc>
          <w:tcPr>
            <w:tcW w:w="0" w:type="dxa"/>
            <w:vAlign w:val="center"/>
          </w:tcPr>
          <w:p>
            <w:pPr>
              <w:spacing w:line="240" w:lineRule="auto"/>
              <w:jc w:val="left"/>
            </w:pPr>
            <w:r>
              <w:rPr>
                <w:rFonts w:ascii="宋体" w:hAnsi="宋体" w:eastAsia="宋体" w:cs="宋体"/>
                <w:b w:val="0"/>
              </w:rPr>
              <w:t xml:space="preserve">    本基金为混合型基金，其预期收益和风险高于货币型基金、债券型基金。本基金如果投资港股通标的股票，需承担汇率风险以及境外市场的风险。</w:t>
            </w:r>
          </w:p>
        </w:tc>
      </w:tr>
    </w:tbl>
    <w:p/>
    <w:p>
      <w:pPr>
        <w:pStyle w:val="3"/>
        <w:jc w:val="left"/>
      </w:pPr>
      <w:bookmarkStart w:id="8" w:name="_Toc19635"/>
      <w:r>
        <w:rPr>
          <w:rFonts w:ascii="宋体" w:hAnsi="宋体" w:eastAsia="宋体" w:cs="宋体"/>
        </w:rPr>
        <w:t>2.3 基金管理人和基金托管人</w:t>
      </w:r>
      <w:bookmarkEnd w:id="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1498"/>
        <w:gridCol w:w="3145"/>
        <w:gridCol w:w="3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gridSpan w:val="2"/>
            <w:shd w:val="clear" w:color="auto" w:fill="D9D9D9"/>
            <w:vAlign w:val="center"/>
          </w:tcPr>
          <w:p>
            <w:pPr>
              <w:spacing w:line="240" w:lineRule="auto"/>
              <w:jc w:val="center"/>
            </w:pPr>
            <w:r>
              <w:rPr>
                <w:rFonts w:ascii="宋体" w:hAnsi="宋体" w:eastAsia="宋体" w:cs="宋体"/>
                <w:b w:val="0"/>
              </w:rPr>
              <w:t>项目</w:t>
            </w:r>
          </w:p>
        </w:tc>
        <w:tc>
          <w:tcPr>
            <w:tcW w:w="1615" w:type="pct"/>
            <w:shd w:val="clear" w:color="auto" w:fill="D9D9D9"/>
            <w:vAlign w:val="center"/>
          </w:tcPr>
          <w:p>
            <w:pPr>
              <w:spacing w:line="240" w:lineRule="auto"/>
              <w:jc w:val="center"/>
            </w:pPr>
            <w:r>
              <w:rPr>
                <w:rFonts w:ascii="宋体" w:hAnsi="宋体" w:eastAsia="宋体" w:cs="宋体"/>
                <w:b w:val="0"/>
              </w:rPr>
              <w:t>基金管理人</w:t>
            </w:r>
          </w:p>
        </w:tc>
        <w:tc>
          <w:tcPr>
            <w:tcW w:w="1615" w:type="pct"/>
            <w:shd w:val="clear" w:color="auto" w:fill="D9D9D9"/>
            <w:vAlign w:val="center"/>
          </w:tcPr>
          <w:p>
            <w:pPr>
              <w:spacing w:line="240" w:lineRule="auto"/>
              <w:jc w:val="center"/>
            </w:pPr>
            <w:r>
              <w:rPr>
                <w:rFonts w:ascii="宋体" w:hAnsi="宋体" w:eastAsia="宋体" w:cs="宋体"/>
                <w:b w:val="0"/>
              </w:rPr>
              <w:t>基金托管人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名称</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Merge w:val="restart"/>
            <w:vAlign w:val="center"/>
          </w:tcPr>
          <w:p>
            <w:pPr>
              <w:spacing w:line="240" w:lineRule="auto"/>
              <w:jc w:val="left"/>
            </w:pPr>
            <w:r>
              <w:rPr>
                <w:rFonts w:ascii="宋体" w:hAnsi="宋体" w:eastAsia="宋体" w:cs="宋体"/>
                <w:b w:val="0"/>
              </w:rPr>
              <w:t>信息披露负责人</w:t>
            </w:r>
          </w:p>
        </w:tc>
        <w:tc>
          <w:tcPr>
            <w:tcW w:w="769" w:type="pct"/>
            <w:vAlign w:val="center"/>
          </w:tcPr>
          <w:p>
            <w:pPr>
              <w:spacing w:line="240" w:lineRule="auto"/>
              <w:jc w:val="left"/>
            </w:pPr>
            <w:r>
              <w:rPr>
                <w:rFonts w:ascii="宋体" w:hAnsi="宋体" w:eastAsia="宋体" w:cs="宋体"/>
                <w:b w:val="0"/>
              </w:rPr>
              <w:t>姓名</w:t>
            </w:r>
          </w:p>
        </w:tc>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left"/>
            </w:pPr>
            <w:r>
              <w:rPr>
                <w:rFonts w:ascii="宋体" w:hAnsi="宋体" w:eastAsia="宋体" w:cs="宋体"/>
                <w:b w:val="0"/>
              </w:rPr>
              <w:t>张姗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联系电话</w:t>
            </w:r>
          </w:p>
        </w:tc>
        <w:tc>
          <w:tcPr>
            <w:tcW w:w="0" w:type="dxa"/>
            <w:vAlign w:val="center"/>
          </w:tcPr>
          <w:p>
            <w:pPr>
              <w:spacing w:line="240" w:lineRule="auto"/>
              <w:jc w:val="left"/>
            </w:pPr>
            <w:r>
              <w:rPr>
                <w:rFonts w:ascii="宋体" w:hAnsi="宋体" w:eastAsia="宋体" w:cs="宋体"/>
                <w:b w:val="0"/>
              </w:rPr>
              <w:t>0755-21872900</w:t>
            </w:r>
          </w:p>
        </w:tc>
        <w:tc>
          <w:tcPr>
            <w:tcW w:w="0" w:type="dxa"/>
            <w:vAlign w:val="center"/>
          </w:tcPr>
          <w:p>
            <w:pPr>
              <w:spacing w:line="240" w:lineRule="auto"/>
              <w:jc w:val="left"/>
            </w:pPr>
            <w:r>
              <w:rPr>
                <w:rFonts w:ascii="宋体" w:hAnsi="宋体" w:eastAsia="宋体" w:cs="宋体"/>
                <w:b w:val="0"/>
              </w:rPr>
              <w:t>400-61-95555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电子邮箱</w:t>
            </w:r>
          </w:p>
        </w:tc>
        <w:tc>
          <w:tcPr>
            <w:tcW w:w="0" w:type="dxa"/>
            <w:vAlign w:val="center"/>
          </w:tcPr>
          <w:p>
            <w:pPr>
              <w:spacing w:line="240" w:lineRule="auto"/>
              <w:jc w:val="left"/>
            </w:pPr>
            <w:r>
              <w:rPr>
                <w:rFonts w:ascii="宋体" w:hAnsi="宋体" w:eastAsia="宋体" w:cs="宋体"/>
                <w:b w:val="0"/>
              </w:rPr>
              <w:t>service@dfa66.com</w:t>
            </w:r>
          </w:p>
        </w:tc>
        <w:tc>
          <w:tcPr>
            <w:tcW w:w="0" w:type="dxa"/>
            <w:vAlign w:val="center"/>
          </w:tcPr>
          <w:p>
            <w:pPr>
              <w:spacing w:line="240" w:lineRule="auto"/>
              <w:jc w:val="left"/>
            </w:pPr>
            <w:r>
              <w:rPr>
                <w:rFonts w:ascii="宋体" w:hAnsi="宋体" w:eastAsia="宋体" w:cs="宋体"/>
                <w:b w:val="0"/>
              </w:rPr>
              <w:t>zhangshan_1027@cmbchina.com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客户服务电话</w:t>
            </w:r>
          </w:p>
        </w:tc>
        <w:tc>
          <w:tcPr>
            <w:tcW w:w="0" w:type="dxa"/>
            <w:vAlign w:val="center"/>
          </w:tcPr>
          <w:p>
            <w:pPr>
              <w:spacing w:line="240" w:lineRule="auto"/>
              <w:jc w:val="left"/>
            </w:pPr>
            <w:r>
              <w:rPr>
                <w:rFonts w:ascii="宋体" w:hAnsi="宋体" w:eastAsia="宋体" w:cs="宋体"/>
                <w:b w:val="0"/>
              </w:rPr>
              <w:t>400-930-6677</w:t>
            </w:r>
          </w:p>
        </w:tc>
        <w:tc>
          <w:tcPr>
            <w:tcW w:w="0" w:type="dxa"/>
            <w:vAlign w:val="center"/>
          </w:tcPr>
          <w:p>
            <w:pPr>
              <w:spacing w:line="240" w:lineRule="auto"/>
              <w:jc w:val="left"/>
            </w:pPr>
            <w:r>
              <w:rPr>
                <w:rFonts w:ascii="宋体" w:hAnsi="宋体" w:eastAsia="宋体" w:cs="宋体"/>
                <w:b w:val="0"/>
              </w:rPr>
              <w:t>400-61-95555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传真</w:t>
            </w:r>
          </w:p>
        </w:tc>
        <w:tc>
          <w:tcPr>
            <w:tcW w:w="0" w:type="dxa"/>
            <w:vAlign w:val="center"/>
          </w:tcPr>
          <w:p>
            <w:pPr>
              <w:spacing w:line="240" w:lineRule="auto"/>
              <w:jc w:val="left"/>
            </w:pPr>
            <w:r>
              <w:rPr>
                <w:rFonts w:ascii="宋体" w:hAnsi="宋体" w:eastAsia="宋体" w:cs="宋体"/>
                <w:b w:val="0"/>
              </w:rPr>
              <w:t>0755-21872902</w:t>
            </w:r>
          </w:p>
        </w:tc>
        <w:tc>
          <w:tcPr>
            <w:tcW w:w="0" w:type="dxa"/>
            <w:vAlign w:val="center"/>
          </w:tcPr>
          <w:p>
            <w:pPr>
              <w:spacing w:line="240" w:lineRule="auto"/>
              <w:jc w:val="left"/>
            </w:pPr>
            <w:r>
              <w:rPr>
                <w:rFonts w:ascii="宋体" w:hAnsi="宋体" w:eastAsia="宋体" w:cs="宋体"/>
                <w:b w:val="0"/>
              </w:rPr>
              <w:t>0755-83195201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注册地址</w:t>
            </w:r>
          </w:p>
        </w:tc>
        <w:tc>
          <w:tcPr>
            <w:tcW w:w="0" w:type="dxa"/>
            <w:vAlign w:val="center"/>
          </w:tcPr>
          <w:p>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pPr>
              <w:spacing w:line="240" w:lineRule="auto"/>
              <w:jc w:val="left"/>
            </w:pPr>
            <w:r>
              <w:rPr>
                <w:rFonts w:ascii="宋体" w:hAnsi="宋体" w:eastAsia="宋体" w:cs="宋体"/>
                <w:b w:val="0"/>
              </w:rPr>
              <w:t>深圳市深南大道7088号招商银行大厦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办公地址</w:t>
            </w:r>
          </w:p>
        </w:tc>
        <w:tc>
          <w:tcPr>
            <w:tcW w:w="0" w:type="dxa"/>
            <w:vAlign w:val="center"/>
          </w:tcPr>
          <w:p>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pPr>
              <w:spacing w:line="240" w:lineRule="auto"/>
              <w:jc w:val="left"/>
            </w:pPr>
            <w:r>
              <w:rPr>
                <w:rFonts w:ascii="宋体" w:hAnsi="宋体" w:eastAsia="宋体" w:cs="宋体"/>
                <w:b w:val="0"/>
              </w:rPr>
              <w:t>深圳市深南大道7088号招商银行大厦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邮政编码</w:t>
            </w:r>
          </w:p>
        </w:tc>
        <w:tc>
          <w:tcPr>
            <w:tcW w:w="0" w:type="dxa"/>
            <w:vAlign w:val="center"/>
          </w:tcPr>
          <w:p>
            <w:pPr>
              <w:spacing w:line="240" w:lineRule="auto"/>
              <w:jc w:val="left"/>
            </w:pPr>
            <w:r>
              <w:rPr>
                <w:rFonts w:ascii="宋体" w:hAnsi="宋体" w:eastAsia="宋体" w:cs="宋体"/>
                <w:b w:val="0"/>
              </w:rPr>
              <w:t>518034</w:t>
            </w:r>
          </w:p>
        </w:tc>
        <w:tc>
          <w:tcPr>
            <w:tcW w:w="0" w:type="dxa"/>
            <w:vAlign w:val="center"/>
          </w:tcPr>
          <w:p>
            <w:pPr>
              <w:spacing w:line="240" w:lineRule="auto"/>
              <w:jc w:val="left"/>
            </w:pPr>
            <w:r>
              <w:rPr>
                <w:rFonts w:ascii="宋体" w:hAnsi="宋体" w:eastAsia="宋体" w:cs="宋体"/>
                <w:b w:val="0"/>
              </w:rPr>
              <w:t>518040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法定代表人</w:t>
            </w:r>
          </w:p>
        </w:tc>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left"/>
            </w:pPr>
            <w:r>
              <w:rPr>
                <w:rFonts w:ascii="宋体" w:hAnsi="宋体" w:eastAsia="宋体" w:cs="宋体"/>
                <w:b w:val="0"/>
              </w:rPr>
              <w:t>缪建民</w:t>
            </w:r>
          </w:p>
        </w:tc>
      </w:tr>
    </w:tbl>
    <w:p/>
    <w:p>
      <w:pPr>
        <w:pStyle w:val="3"/>
        <w:jc w:val="left"/>
      </w:pPr>
      <w:bookmarkStart w:id="9" w:name="_Toc23176"/>
      <w:r>
        <w:rPr>
          <w:rFonts w:ascii="宋体" w:hAnsi="宋体" w:eastAsia="宋体" w:cs="宋体"/>
        </w:rPr>
        <w:t>2.4 信息披露方式</w:t>
      </w:r>
      <w:bookmarkEnd w:id="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pPr>
              <w:spacing w:line="240" w:lineRule="auto"/>
              <w:jc w:val="left"/>
            </w:pPr>
            <w:r>
              <w:rPr>
                <w:rFonts w:ascii="宋体" w:hAnsi="宋体" w:eastAsia="宋体" w:cs="宋体"/>
                <w:b w:val="0"/>
              </w:rPr>
              <w:t>本基金选定的信息披露报纸名称</w:t>
            </w:r>
          </w:p>
        </w:tc>
        <w:tc>
          <w:tcPr>
            <w:tcW w:w="2500" w:type="pct"/>
            <w:vAlign w:val="center"/>
          </w:tcPr>
          <w:p>
            <w:pPr>
              <w:spacing w:line="240" w:lineRule="auto"/>
              <w:jc w:val="left"/>
            </w:pPr>
            <w:r>
              <w:rPr>
                <w:rFonts w:ascii="宋体" w:hAnsi="宋体" w:eastAsia="宋体" w:cs="宋体"/>
                <w:b w:val="0"/>
              </w:rPr>
              <w:t>证券时报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登载基金中期报告的管理人互联网网址</w:t>
            </w:r>
          </w:p>
        </w:tc>
        <w:tc>
          <w:tcPr>
            <w:tcW w:w="0" w:type="dxa"/>
            <w:vAlign w:val="center"/>
          </w:tcPr>
          <w:p>
            <w:pPr>
              <w:spacing w:line="240" w:lineRule="auto"/>
              <w:jc w:val="left"/>
            </w:pPr>
            <w:r>
              <w:rPr>
                <w:rFonts w:ascii="宋体" w:hAnsi="宋体" w:eastAsia="宋体" w:cs="宋体"/>
                <w:b w:val="0"/>
              </w:rPr>
              <w:t>https://www.dfa66.com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基金中期报告置备地点</w:t>
            </w:r>
          </w:p>
        </w:tc>
        <w:tc>
          <w:tcPr>
            <w:tcW w:w="0" w:type="dxa"/>
            <w:vAlign w:val="center"/>
          </w:tcPr>
          <w:p>
            <w:pPr>
              <w:spacing w:line="240" w:lineRule="auto"/>
              <w:jc w:val="left"/>
            </w:pPr>
            <w:r>
              <w:rPr>
                <w:rFonts w:ascii="宋体" w:hAnsi="宋体" w:eastAsia="宋体" w:cs="宋体"/>
                <w:b w:val="0"/>
              </w:rPr>
              <w:t>基金管理人的办公场所</w:t>
            </w:r>
          </w:p>
        </w:tc>
      </w:tr>
    </w:tbl>
    <w:p/>
    <w:p>
      <w:pPr>
        <w:pStyle w:val="3"/>
        <w:jc w:val="left"/>
      </w:pPr>
      <w:bookmarkStart w:id="10" w:name="_Toc17074"/>
      <w:r>
        <w:rPr>
          <w:rFonts w:ascii="宋体" w:hAnsi="宋体" w:eastAsia="宋体" w:cs="宋体"/>
        </w:rPr>
        <w:t>2.5 其他相关资料</w:t>
      </w:r>
      <w:bookmarkEnd w:id="1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3258"/>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名称</w:t>
            </w:r>
          </w:p>
        </w:tc>
        <w:tc>
          <w:tcPr>
            <w:tcW w:w="1923" w:type="pct"/>
            <w:shd w:val="clear" w:color="auto" w:fill="D9D9D9"/>
            <w:vAlign w:val="center"/>
          </w:tcPr>
          <w:p>
            <w:pPr>
              <w:spacing w:line="240" w:lineRule="auto"/>
              <w:jc w:val="center"/>
            </w:pPr>
            <w:r>
              <w:rPr>
                <w:rFonts w:ascii="宋体" w:hAnsi="宋体" w:eastAsia="宋体" w:cs="宋体"/>
                <w:b w:val="0"/>
              </w:rPr>
              <w:t>办公地址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金融运营服务机构</w:t>
            </w:r>
          </w:p>
        </w:tc>
        <w:tc>
          <w:tcPr>
            <w:tcW w:w="0" w:type="dxa"/>
            <w:vAlign w:val="center"/>
          </w:tcPr>
          <w:p>
            <w:pPr>
              <w:spacing w:line="240" w:lineRule="auto"/>
              <w:jc w:val="left"/>
            </w:pPr>
            <w:r>
              <w:rPr>
                <w:rFonts w:ascii="宋体" w:hAnsi="宋体" w:eastAsia="宋体" w:cs="宋体"/>
                <w:b w:val="0"/>
              </w:rPr>
              <w:t>招商证券股份有限公司</w:t>
            </w:r>
          </w:p>
        </w:tc>
        <w:tc>
          <w:tcPr>
            <w:tcW w:w="0" w:type="dxa"/>
            <w:vAlign w:val="center"/>
          </w:tcPr>
          <w:p>
            <w:pPr>
              <w:spacing w:line="240" w:lineRule="auto"/>
              <w:jc w:val="left"/>
            </w:pPr>
            <w:r>
              <w:rPr>
                <w:rFonts w:ascii="宋体" w:hAnsi="宋体" w:eastAsia="宋体" w:cs="宋体"/>
                <w:b w:val="0"/>
              </w:rPr>
              <w:t>广东省深圳市福田区福华一路111号招商证券大厦</w:t>
            </w:r>
          </w:p>
        </w:tc>
      </w:tr>
    </w:tbl>
    <w:p>
      <w:pPr>
        <w:pStyle w:val="2"/>
        <w:jc w:val="center"/>
      </w:pPr>
      <w:bookmarkStart w:id="11" w:name="_Toc27366"/>
      <w:r>
        <w:rPr>
          <w:rFonts w:ascii="宋体" w:hAnsi="宋体" w:eastAsia="宋体" w:cs="宋体"/>
        </w:rPr>
        <w:t>§3 主要财务指标和基金净值表现</w:t>
      </w:r>
      <w:bookmarkEnd w:id="11"/>
    </w:p>
    <w:p>
      <w:pPr>
        <w:pStyle w:val="3"/>
        <w:jc w:val="left"/>
      </w:pPr>
      <w:bookmarkStart w:id="12" w:name="_Toc20256"/>
      <w:r>
        <w:rPr>
          <w:rFonts w:ascii="宋体" w:hAnsi="宋体" w:eastAsia="宋体" w:cs="宋体"/>
        </w:rPr>
        <w:t>3.1 主要会计数据和财务指标</w:t>
      </w:r>
      <w:bookmarkEnd w:id="12"/>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left"/>
            </w:pPr>
            <w:r>
              <w:rPr>
                <w:rFonts w:ascii="宋体" w:hAnsi="宋体" w:eastAsia="宋体" w:cs="宋体"/>
                <w:b/>
              </w:rPr>
              <w:t>3.1.1期间数据和指标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报告期（2026年01月01日-2026年06月30日）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东方阿尔法科技甄选混合发起A</w:t>
            </w:r>
          </w:p>
        </w:tc>
        <w:tc>
          <w:tcPr>
            <w:tcW w:w="1500" w:type="pct"/>
            <w:shd w:val="clear" w:color="auto" w:fill="D9D9D9"/>
            <w:vAlign w:val="center"/>
          </w:tcPr>
          <w:p>
            <w:pPr>
              <w:spacing w:line="240" w:lineRule="auto"/>
              <w:jc w:val="center"/>
            </w:pPr>
            <w:r>
              <w:rPr>
                <w:rFonts w:ascii="宋体" w:hAnsi="宋体" w:eastAsia="宋体" w:cs="宋体"/>
                <w:b w:val="0"/>
              </w:rPr>
              <w:t>东方阿尔法科技甄选混合发起C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本期已实现收益 </w:t>
            </w:r>
          </w:p>
        </w:tc>
        <w:tc>
          <w:tcPr>
            <w:tcW w:w="1500" w:type="pct"/>
            <w:vAlign w:val="center"/>
          </w:tcPr>
          <w:p>
            <w:pPr>
              <w:spacing w:line="240" w:lineRule="auto"/>
              <w:jc w:val="right"/>
            </w:pPr>
            <w:r>
              <w:rPr>
                <w:rFonts w:ascii="宋体" w:hAnsi="宋体" w:eastAsia="宋体" w:cs="宋体"/>
                <w:b w:val="0"/>
              </w:rPr>
              <w:t>-881,997.12</w:t>
            </w:r>
          </w:p>
        </w:tc>
        <w:tc>
          <w:tcPr>
            <w:tcW w:w="1500" w:type="pct"/>
            <w:vAlign w:val="center"/>
          </w:tcPr>
          <w:p>
            <w:pPr>
              <w:spacing w:line="240" w:lineRule="auto"/>
              <w:jc w:val="right"/>
            </w:pPr>
            <w:r>
              <w:rPr>
                <w:rFonts w:ascii="宋体" w:hAnsi="宋体" w:eastAsia="宋体" w:cs="宋体"/>
                <w:b w:val="0"/>
              </w:rPr>
              <w:t>1,106,682.37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本期利润 </w:t>
            </w:r>
          </w:p>
        </w:tc>
        <w:tc>
          <w:tcPr>
            <w:tcW w:w="1500" w:type="pct"/>
            <w:vAlign w:val="center"/>
          </w:tcPr>
          <w:p>
            <w:pPr>
              <w:spacing w:line="240" w:lineRule="auto"/>
              <w:jc w:val="right"/>
            </w:pPr>
            <w:r>
              <w:rPr>
                <w:rFonts w:ascii="宋体" w:hAnsi="宋体" w:eastAsia="宋体" w:cs="宋体"/>
                <w:b w:val="0"/>
              </w:rPr>
              <w:t>12,154,606.24</w:t>
            </w:r>
          </w:p>
        </w:tc>
        <w:tc>
          <w:tcPr>
            <w:tcW w:w="1500" w:type="pct"/>
            <w:vAlign w:val="center"/>
          </w:tcPr>
          <w:p>
            <w:pPr>
              <w:spacing w:line="240" w:lineRule="auto"/>
              <w:jc w:val="right"/>
            </w:pPr>
            <w:r>
              <w:rPr>
                <w:rFonts w:ascii="宋体" w:hAnsi="宋体" w:eastAsia="宋体" w:cs="宋体"/>
                <w:b w:val="0"/>
              </w:rPr>
              <w:t>113,824,895.07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加权平均基金份额本期利润 </w:t>
            </w:r>
          </w:p>
        </w:tc>
        <w:tc>
          <w:tcPr>
            <w:tcW w:w="1500" w:type="pct"/>
            <w:vAlign w:val="center"/>
          </w:tcPr>
          <w:p>
            <w:pPr>
              <w:spacing w:line="240" w:lineRule="auto"/>
              <w:jc w:val="right"/>
            </w:pPr>
            <w:r>
              <w:rPr>
                <w:rFonts w:ascii="宋体" w:hAnsi="宋体" w:eastAsia="宋体" w:cs="宋体"/>
                <w:b w:val="0"/>
              </w:rPr>
              <w:t>0.6116</w:t>
            </w:r>
          </w:p>
        </w:tc>
        <w:tc>
          <w:tcPr>
            <w:tcW w:w="1500" w:type="pct"/>
            <w:vAlign w:val="center"/>
          </w:tcPr>
          <w:p>
            <w:pPr>
              <w:spacing w:line="240" w:lineRule="auto"/>
              <w:jc w:val="right"/>
            </w:pPr>
            <w:r>
              <w:rPr>
                <w:rFonts w:ascii="宋体" w:hAnsi="宋体" w:eastAsia="宋体" w:cs="宋体"/>
                <w:b w:val="0"/>
              </w:rPr>
              <w:t>1.0673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本期加权平均净值利润率</w:t>
            </w:r>
          </w:p>
        </w:tc>
        <w:tc>
          <w:tcPr>
            <w:tcW w:w="1500" w:type="pct"/>
            <w:vAlign w:val="center"/>
          </w:tcPr>
          <w:p>
            <w:pPr>
              <w:spacing w:line="240" w:lineRule="auto"/>
              <w:jc w:val="right"/>
            </w:pPr>
            <w:r>
              <w:rPr>
                <w:rFonts w:ascii="宋体" w:hAnsi="宋体" w:eastAsia="宋体" w:cs="宋体"/>
                <w:b w:val="0"/>
              </w:rPr>
              <w:t>42.92%</w:t>
            </w:r>
          </w:p>
        </w:tc>
        <w:tc>
          <w:tcPr>
            <w:tcW w:w="1500" w:type="pct"/>
            <w:vAlign w:val="center"/>
          </w:tcPr>
          <w:p>
            <w:pPr>
              <w:spacing w:line="240" w:lineRule="auto"/>
              <w:jc w:val="right"/>
            </w:pPr>
            <w:r>
              <w:rPr>
                <w:rFonts w:ascii="宋体" w:hAnsi="宋体" w:eastAsia="宋体" w:cs="宋体"/>
                <w:b w:val="0"/>
              </w:rPr>
              <w:t>70.01%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本期基金份额净值增长率</w:t>
            </w:r>
          </w:p>
        </w:tc>
        <w:tc>
          <w:tcPr>
            <w:tcW w:w="1500" w:type="pct"/>
            <w:vAlign w:val="center"/>
          </w:tcPr>
          <w:p>
            <w:pPr>
              <w:spacing w:line="240" w:lineRule="auto"/>
              <w:jc w:val="right"/>
            </w:pPr>
            <w:r>
              <w:rPr>
                <w:rFonts w:ascii="宋体" w:hAnsi="宋体" w:eastAsia="宋体" w:cs="宋体"/>
                <w:b w:val="0"/>
              </w:rPr>
              <w:t>66.58%</w:t>
            </w:r>
          </w:p>
        </w:tc>
        <w:tc>
          <w:tcPr>
            <w:tcW w:w="1500" w:type="pct"/>
            <w:vAlign w:val="center"/>
          </w:tcPr>
          <w:p>
            <w:pPr>
              <w:spacing w:line="240" w:lineRule="auto"/>
              <w:jc w:val="right"/>
            </w:pPr>
            <w:r>
              <w:rPr>
                <w:rFonts w:ascii="宋体" w:hAnsi="宋体" w:eastAsia="宋体" w:cs="宋体"/>
                <w:b w:val="0"/>
              </w:rPr>
              <w:t>66.27%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left"/>
            </w:pPr>
            <w:r>
              <w:rPr>
                <w:rFonts w:ascii="宋体" w:hAnsi="宋体" w:eastAsia="宋体" w:cs="宋体"/>
                <w:b/>
              </w:rPr>
              <w:t>3.1.2期末数据和指标</w:t>
            </w:r>
          </w:p>
        </w:tc>
        <w:tc>
          <w:tcPr>
            <w:tcW w:w="0" w:type="dxa"/>
            <w:gridSpan w:val="2"/>
            <w:shd w:val="clear" w:color="auto" w:fill="D9D9D9"/>
            <w:vAlign w:val="center"/>
          </w:tcPr>
          <w:p>
            <w:pPr>
              <w:spacing w:line="240" w:lineRule="auto"/>
              <w:jc w:val="center"/>
            </w:pPr>
            <w:r>
              <w:rPr>
                <w:rFonts w:ascii="宋体" w:hAnsi="宋体" w:eastAsia="宋体" w:cs="宋体"/>
                <w:b w:val="0"/>
              </w:rPr>
              <w:t>报告期末（2026年06月30日）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期末可供分配利润 </w:t>
            </w:r>
          </w:p>
        </w:tc>
        <w:tc>
          <w:tcPr>
            <w:tcW w:w="1500" w:type="pct"/>
            <w:vAlign w:val="center"/>
          </w:tcPr>
          <w:p>
            <w:pPr>
              <w:spacing w:line="240" w:lineRule="auto"/>
              <w:jc w:val="right"/>
            </w:pPr>
            <w:r>
              <w:rPr>
                <w:rFonts w:ascii="宋体" w:hAnsi="宋体" w:eastAsia="宋体" w:cs="宋体"/>
                <w:b w:val="0"/>
              </w:rPr>
              <w:t>-2,168,450.42</w:t>
            </w:r>
          </w:p>
        </w:tc>
        <w:tc>
          <w:tcPr>
            <w:tcW w:w="1500" w:type="pct"/>
            <w:vAlign w:val="center"/>
          </w:tcPr>
          <w:p>
            <w:pPr>
              <w:spacing w:line="240" w:lineRule="auto"/>
              <w:jc w:val="right"/>
            </w:pPr>
            <w:r>
              <w:rPr>
                <w:rFonts w:ascii="宋体" w:hAnsi="宋体" w:eastAsia="宋体" w:cs="宋体"/>
                <w:b w:val="0"/>
              </w:rPr>
              <w:t>-71,587,326.84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期末可供分配基金份额利润</w:t>
            </w:r>
          </w:p>
        </w:tc>
        <w:tc>
          <w:tcPr>
            <w:tcW w:w="1500" w:type="pct"/>
            <w:vAlign w:val="center"/>
          </w:tcPr>
          <w:p>
            <w:pPr>
              <w:spacing w:line="240" w:lineRule="auto"/>
              <w:jc w:val="right"/>
            </w:pPr>
            <w:r>
              <w:rPr>
                <w:rFonts w:ascii="宋体" w:hAnsi="宋体" w:eastAsia="宋体" w:cs="宋体"/>
                <w:b w:val="0"/>
              </w:rPr>
              <w:t>-0.0986</w:t>
            </w:r>
          </w:p>
        </w:tc>
        <w:tc>
          <w:tcPr>
            <w:tcW w:w="1500" w:type="pct"/>
            <w:vAlign w:val="center"/>
          </w:tcPr>
          <w:p>
            <w:pPr>
              <w:spacing w:line="240" w:lineRule="auto"/>
              <w:jc w:val="right"/>
            </w:pPr>
            <w:r>
              <w:rPr>
                <w:rFonts w:ascii="宋体" w:hAnsi="宋体" w:eastAsia="宋体" w:cs="宋体"/>
                <w:b w:val="0"/>
              </w:rPr>
              <w:t>-0.1008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期末基金资产净值</w:t>
            </w:r>
          </w:p>
        </w:tc>
        <w:tc>
          <w:tcPr>
            <w:tcW w:w="1500" w:type="pct"/>
            <w:vAlign w:val="center"/>
          </w:tcPr>
          <w:p>
            <w:pPr>
              <w:spacing w:line="240" w:lineRule="auto"/>
              <w:jc w:val="right"/>
            </w:pPr>
            <w:r>
              <w:rPr>
                <w:rFonts w:ascii="宋体" w:hAnsi="宋体" w:eastAsia="宋体" w:cs="宋体"/>
                <w:b w:val="0"/>
              </w:rPr>
              <w:t>40,461,369.73</w:t>
            </w:r>
          </w:p>
        </w:tc>
        <w:tc>
          <w:tcPr>
            <w:tcW w:w="1500" w:type="pct"/>
            <w:vAlign w:val="center"/>
          </w:tcPr>
          <w:p>
            <w:pPr>
              <w:spacing w:line="240" w:lineRule="auto"/>
              <w:jc w:val="right"/>
            </w:pPr>
            <w:r>
              <w:rPr>
                <w:rFonts w:ascii="宋体" w:hAnsi="宋体" w:eastAsia="宋体" w:cs="宋体"/>
                <w:b w:val="0"/>
              </w:rPr>
              <w:t>1,304,280,191.33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期末基金份额净值</w:t>
            </w:r>
          </w:p>
        </w:tc>
        <w:tc>
          <w:tcPr>
            <w:tcW w:w="1500" w:type="pct"/>
            <w:vAlign w:val="center"/>
          </w:tcPr>
          <w:p>
            <w:pPr>
              <w:spacing w:line="240" w:lineRule="auto"/>
              <w:jc w:val="right"/>
            </w:pPr>
            <w:r>
              <w:rPr>
                <w:rFonts w:ascii="宋体" w:hAnsi="宋体" w:eastAsia="宋体" w:cs="宋体"/>
                <w:b w:val="0"/>
              </w:rPr>
              <w:t>1.8407</w:t>
            </w:r>
          </w:p>
        </w:tc>
        <w:tc>
          <w:tcPr>
            <w:tcW w:w="1500" w:type="pct"/>
            <w:vAlign w:val="center"/>
          </w:tcPr>
          <w:p>
            <w:pPr>
              <w:spacing w:line="240" w:lineRule="auto"/>
              <w:jc w:val="right"/>
            </w:pPr>
            <w:r>
              <w:rPr>
                <w:rFonts w:ascii="宋体" w:hAnsi="宋体" w:eastAsia="宋体" w:cs="宋体"/>
                <w:b w:val="0"/>
              </w:rPr>
              <w:t>1.8366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left"/>
            </w:pPr>
            <w:r>
              <w:rPr>
                <w:rFonts w:ascii="宋体" w:hAnsi="宋体" w:eastAsia="宋体" w:cs="宋体"/>
                <w:b/>
              </w:rPr>
              <w:t>3.1.3累计期末指标</w:t>
            </w:r>
          </w:p>
        </w:tc>
        <w:tc>
          <w:tcPr>
            <w:tcW w:w="0" w:type="dxa"/>
            <w:gridSpan w:val="2"/>
            <w:shd w:val="clear" w:color="auto" w:fill="D9D9D9"/>
            <w:vAlign w:val="center"/>
          </w:tcPr>
          <w:p>
            <w:pPr>
              <w:spacing w:line="240" w:lineRule="auto"/>
              <w:jc w:val="center"/>
            </w:pPr>
            <w:r>
              <w:rPr>
                <w:rFonts w:ascii="宋体" w:hAnsi="宋体" w:eastAsia="宋体" w:cs="宋体"/>
                <w:b w:val="0"/>
              </w:rPr>
              <w:t>报告期末（2026年06月30日）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基金份额累计净值增长率</w:t>
            </w:r>
          </w:p>
        </w:tc>
        <w:tc>
          <w:tcPr>
            <w:tcW w:w="1500" w:type="pct"/>
            <w:vAlign w:val="center"/>
          </w:tcPr>
          <w:p>
            <w:pPr>
              <w:spacing w:line="240" w:lineRule="auto"/>
              <w:jc w:val="right"/>
            </w:pPr>
            <w:r>
              <w:rPr>
                <w:rFonts w:ascii="宋体" w:hAnsi="宋体" w:eastAsia="宋体" w:cs="宋体"/>
                <w:b w:val="0"/>
              </w:rPr>
              <w:t>84.07%</w:t>
            </w:r>
          </w:p>
        </w:tc>
        <w:tc>
          <w:tcPr>
            <w:tcW w:w="1500" w:type="pct"/>
            <w:vAlign w:val="center"/>
          </w:tcPr>
          <w:p>
            <w:pPr>
              <w:spacing w:line="240" w:lineRule="auto"/>
              <w:jc w:val="right"/>
            </w:pPr>
            <w:r>
              <w:rPr>
                <w:rFonts w:ascii="宋体" w:hAnsi="宋体" w:eastAsia="宋体" w:cs="宋体"/>
                <w:b w:val="0"/>
              </w:rPr>
              <w:t>83.66%</w:t>
            </w:r>
          </w:p>
        </w:tc>
      </w:tr>
    </w:tbl>
    <w:p>
      <w:r>
        <w:rPr>
          <w:rFonts w:ascii="宋体" w:hAnsi="宋体" w:eastAsia="宋体" w:cs="宋体"/>
          <w:b w:val="0"/>
        </w:rPr>
        <w:t>注：1.本期已实现收益指基金本期利息收入、投资收益、其他收入(不含公允价值变动收益)扣除相关费用和信用减值损失后的余额,本期利润为本期已实现收益加上本期公允价值变动收益。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2.期末可供分配利润，采用期末资产负债表中未分配利润与未分配利润中已实现部分的孰低数（为期末余额，不是当期发生数）。</w:t>
      </w:r>
      <w:r>
        <w:rPr>
          <w:rFonts w:ascii="宋体" w:hAnsi="宋体" w:eastAsia="宋体" w:cs="宋体"/>
          <w:b w:val="0"/>
        </w:rPr>
        <w:br w:type="textWrapping"/>
      </w:r>
      <w:r>
        <w:rPr>
          <w:rFonts w:ascii="宋体" w:hAnsi="宋体" w:eastAsia="宋体" w:cs="宋体"/>
          <w:b w:val="0"/>
        </w:rPr>
        <w:t>3.所述基金业绩指标不包括持有人认购或交易基金的各项费用，计入费用后实际收益水平要低于所列数字。</w:t>
      </w:r>
    </w:p>
    <w:p/>
    <w:p>
      <w:pPr>
        <w:pStyle w:val="3"/>
        <w:jc w:val="left"/>
      </w:pPr>
      <w:bookmarkStart w:id="13" w:name="_Toc20253"/>
      <w:r>
        <w:rPr>
          <w:rFonts w:ascii="宋体" w:hAnsi="宋体" w:eastAsia="宋体" w:cs="宋体"/>
        </w:rPr>
        <w:t>3.2 基金净值表现</w:t>
      </w:r>
      <w:bookmarkEnd w:id="13"/>
    </w:p>
    <w:p>
      <w:pPr>
        <w:pStyle w:val="58"/>
      </w:pPr>
      <w:r>
        <w:rPr>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东方阿尔法科技甄选混合发起A净值表现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份额净值增长率①</w:t>
            </w:r>
          </w:p>
        </w:tc>
        <w:tc>
          <w:tcPr>
            <w:tcW w:w="692" w:type="pct"/>
            <w:shd w:val="clear" w:color="auto" w:fill="D9D9D9"/>
            <w:vAlign w:val="center"/>
          </w:tcPr>
          <w:p>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42.34%</w:t>
            </w:r>
          </w:p>
        </w:tc>
        <w:tc>
          <w:tcPr>
            <w:tcW w:w="0" w:type="dxa"/>
            <w:vAlign w:val="center"/>
          </w:tcPr>
          <w:p>
            <w:pPr>
              <w:spacing w:line="240" w:lineRule="auto"/>
              <w:jc w:val="right"/>
            </w:pPr>
            <w:r>
              <w:rPr>
                <w:rFonts w:ascii="宋体" w:hAnsi="宋体" w:eastAsia="宋体" w:cs="宋体"/>
                <w:b w:val="0"/>
              </w:rPr>
              <w:t>3.22%</w:t>
            </w:r>
          </w:p>
        </w:tc>
        <w:tc>
          <w:tcPr>
            <w:tcW w:w="0" w:type="dxa"/>
            <w:vAlign w:val="center"/>
          </w:tcPr>
          <w:p>
            <w:pPr>
              <w:spacing w:line="240" w:lineRule="auto"/>
              <w:jc w:val="right"/>
            </w:pPr>
            <w:r>
              <w:rPr>
                <w:rFonts w:ascii="宋体" w:hAnsi="宋体" w:eastAsia="宋体" w:cs="宋体"/>
                <w:b w:val="0"/>
              </w:rPr>
              <w:t>40.40%</w:t>
            </w:r>
          </w:p>
        </w:tc>
        <w:tc>
          <w:tcPr>
            <w:tcW w:w="0" w:type="dxa"/>
            <w:vAlign w:val="center"/>
          </w:tcPr>
          <w:p>
            <w:pPr>
              <w:spacing w:line="240" w:lineRule="auto"/>
              <w:jc w:val="right"/>
            </w:pPr>
            <w:r>
              <w:rPr>
                <w:rFonts w:ascii="宋体" w:hAnsi="宋体" w:eastAsia="宋体" w:cs="宋体"/>
                <w:b w:val="0"/>
              </w:rPr>
              <w:t>1.80%</w:t>
            </w:r>
          </w:p>
        </w:tc>
        <w:tc>
          <w:tcPr>
            <w:tcW w:w="0" w:type="dxa"/>
            <w:vAlign w:val="center"/>
          </w:tcPr>
          <w:p>
            <w:pPr>
              <w:spacing w:line="240" w:lineRule="auto"/>
              <w:jc w:val="right"/>
            </w:pPr>
            <w:r>
              <w:rPr>
                <w:rFonts w:ascii="宋体" w:hAnsi="宋体" w:eastAsia="宋体" w:cs="宋体"/>
                <w:b w:val="0"/>
              </w:rPr>
              <w:t>1.94%</w:t>
            </w:r>
          </w:p>
        </w:tc>
        <w:tc>
          <w:tcPr>
            <w:tcW w:w="0" w:type="dxa"/>
            <w:vAlign w:val="center"/>
          </w:tcPr>
          <w:p>
            <w:pPr>
              <w:spacing w:line="240" w:lineRule="auto"/>
              <w:jc w:val="right"/>
            </w:pPr>
            <w:r>
              <w:rPr>
                <w:rFonts w:ascii="宋体" w:hAnsi="宋体" w:eastAsia="宋体" w:cs="宋体"/>
                <w:b w:val="0"/>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66.58%</w:t>
            </w:r>
          </w:p>
        </w:tc>
        <w:tc>
          <w:tcPr>
            <w:tcW w:w="0" w:type="dxa"/>
            <w:vAlign w:val="center"/>
          </w:tcPr>
          <w:p>
            <w:pPr>
              <w:spacing w:line="240" w:lineRule="auto"/>
              <w:jc w:val="right"/>
            </w:pPr>
            <w:r>
              <w:rPr>
                <w:rFonts w:ascii="宋体" w:hAnsi="宋体" w:eastAsia="宋体" w:cs="宋体"/>
                <w:b w:val="0"/>
              </w:rPr>
              <w:t>2.89%</w:t>
            </w:r>
          </w:p>
        </w:tc>
        <w:tc>
          <w:tcPr>
            <w:tcW w:w="0" w:type="dxa"/>
            <w:vAlign w:val="center"/>
          </w:tcPr>
          <w:p>
            <w:pPr>
              <w:spacing w:line="240" w:lineRule="auto"/>
              <w:jc w:val="right"/>
            </w:pPr>
            <w:r>
              <w:rPr>
                <w:rFonts w:ascii="宋体" w:hAnsi="宋体" w:eastAsia="宋体" w:cs="宋体"/>
                <w:b w:val="0"/>
              </w:rPr>
              <w:t>34.06%</w:t>
            </w:r>
          </w:p>
        </w:tc>
        <w:tc>
          <w:tcPr>
            <w:tcW w:w="0" w:type="dxa"/>
            <w:vAlign w:val="center"/>
          </w:tcPr>
          <w:p>
            <w:pPr>
              <w:spacing w:line="240" w:lineRule="auto"/>
              <w:jc w:val="right"/>
            </w:pPr>
            <w:r>
              <w:rPr>
                <w:rFonts w:ascii="宋体" w:hAnsi="宋体" w:eastAsia="宋体" w:cs="宋体"/>
                <w:b w:val="0"/>
              </w:rPr>
              <w:t>1.57%</w:t>
            </w:r>
          </w:p>
        </w:tc>
        <w:tc>
          <w:tcPr>
            <w:tcW w:w="0" w:type="dxa"/>
            <w:vAlign w:val="center"/>
          </w:tcPr>
          <w:p>
            <w:pPr>
              <w:spacing w:line="240" w:lineRule="auto"/>
              <w:jc w:val="right"/>
            </w:pPr>
            <w:r>
              <w:rPr>
                <w:rFonts w:ascii="宋体" w:hAnsi="宋体" w:eastAsia="宋体" w:cs="宋体"/>
                <w:b w:val="0"/>
              </w:rPr>
              <w:t>32.52%</w:t>
            </w:r>
          </w:p>
        </w:tc>
        <w:tc>
          <w:tcPr>
            <w:tcW w:w="0" w:type="dxa"/>
            <w:vAlign w:val="center"/>
          </w:tcPr>
          <w:p>
            <w:pPr>
              <w:spacing w:line="240" w:lineRule="auto"/>
              <w:jc w:val="right"/>
            </w:pPr>
            <w:r>
              <w:rPr>
                <w:rFonts w:ascii="宋体" w:hAnsi="宋体" w:eastAsia="宋体" w:cs="宋体"/>
                <w:b w:val="0"/>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84.07%</w:t>
            </w:r>
          </w:p>
        </w:tc>
        <w:tc>
          <w:tcPr>
            <w:tcW w:w="0" w:type="dxa"/>
            <w:vAlign w:val="center"/>
          </w:tcPr>
          <w:p>
            <w:pPr>
              <w:spacing w:line="240" w:lineRule="auto"/>
              <w:jc w:val="right"/>
            </w:pPr>
            <w:r>
              <w:rPr>
                <w:rFonts w:ascii="宋体" w:hAnsi="宋体" w:eastAsia="宋体" w:cs="宋体"/>
                <w:b w:val="0"/>
              </w:rPr>
              <w:t>2.80%</w:t>
            </w:r>
          </w:p>
        </w:tc>
        <w:tc>
          <w:tcPr>
            <w:tcW w:w="0" w:type="dxa"/>
            <w:vAlign w:val="center"/>
          </w:tcPr>
          <w:p>
            <w:pPr>
              <w:spacing w:line="240" w:lineRule="auto"/>
              <w:jc w:val="right"/>
            </w:pPr>
            <w:r>
              <w:rPr>
                <w:rFonts w:ascii="宋体" w:hAnsi="宋体" w:eastAsia="宋体" w:cs="宋体"/>
                <w:b w:val="0"/>
              </w:rPr>
              <w:t>28.75%</w:t>
            </w:r>
          </w:p>
        </w:tc>
        <w:tc>
          <w:tcPr>
            <w:tcW w:w="0" w:type="dxa"/>
            <w:vAlign w:val="center"/>
          </w:tcPr>
          <w:p>
            <w:pPr>
              <w:spacing w:line="240" w:lineRule="auto"/>
              <w:jc w:val="right"/>
            </w:pPr>
            <w:r>
              <w:rPr>
                <w:rFonts w:ascii="宋体" w:hAnsi="宋体" w:eastAsia="宋体" w:cs="宋体"/>
                <w:b w:val="0"/>
              </w:rPr>
              <w:t>1.51%</w:t>
            </w:r>
          </w:p>
        </w:tc>
        <w:tc>
          <w:tcPr>
            <w:tcW w:w="0" w:type="dxa"/>
            <w:vAlign w:val="center"/>
          </w:tcPr>
          <w:p>
            <w:pPr>
              <w:spacing w:line="240" w:lineRule="auto"/>
              <w:jc w:val="right"/>
            </w:pPr>
            <w:r>
              <w:rPr>
                <w:rFonts w:ascii="宋体" w:hAnsi="宋体" w:eastAsia="宋体" w:cs="宋体"/>
                <w:b w:val="0"/>
              </w:rPr>
              <w:t>55.32%</w:t>
            </w:r>
          </w:p>
        </w:tc>
        <w:tc>
          <w:tcPr>
            <w:tcW w:w="0" w:type="dxa"/>
            <w:vAlign w:val="center"/>
          </w:tcPr>
          <w:p>
            <w:pPr>
              <w:spacing w:line="240" w:lineRule="auto"/>
              <w:jc w:val="right"/>
            </w:pPr>
            <w:r>
              <w:rPr>
                <w:rFonts w:ascii="宋体" w:hAnsi="宋体" w:eastAsia="宋体" w:cs="宋体"/>
                <w:b w:val="0"/>
              </w:rPr>
              <w:t>1.29%</w:t>
            </w:r>
          </w:p>
        </w:tc>
      </w:tr>
    </w:tbl>
    <w:p>
      <w:pPr>
        <w:jc w:val="left"/>
      </w:pPr>
      <w:r>
        <w:rPr>
          <w:rFonts w:ascii="宋体" w:hAnsi="宋体" w:eastAsia="宋体" w:cs="宋体"/>
          <w:b/>
        </w:rPr>
        <w:t>东方阿尔法科技甄选混合发起C净值表现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份额净值增长率①</w:t>
            </w:r>
          </w:p>
        </w:tc>
        <w:tc>
          <w:tcPr>
            <w:tcW w:w="692" w:type="pct"/>
            <w:shd w:val="clear" w:color="auto" w:fill="D9D9D9"/>
            <w:vAlign w:val="center"/>
          </w:tcPr>
          <w:p>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42.23%</w:t>
            </w:r>
          </w:p>
        </w:tc>
        <w:tc>
          <w:tcPr>
            <w:tcW w:w="0" w:type="dxa"/>
            <w:vAlign w:val="center"/>
          </w:tcPr>
          <w:p>
            <w:pPr>
              <w:spacing w:line="240" w:lineRule="auto"/>
              <w:jc w:val="right"/>
            </w:pPr>
            <w:r>
              <w:rPr>
                <w:rFonts w:ascii="宋体" w:hAnsi="宋体" w:eastAsia="宋体" w:cs="宋体"/>
                <w:b w:val="0"/>
              </w:rPr>
              <w:t>3.22%</w:t>
            </w:r>
          </w:p>
        </w:tc>
        <w:tc>
          <w:tcPr>
            <w:tcW w:w="0" w:type="dxa"/>
            <w:vAlign w:val="center"/>
          </w:tcPr>
          <w:p>
            <w:pPr>
              <w:spacing w:line="240" w:lineRule="auto"/>
              <w:jc w:val="right"/>
            </w:pPr>
            <w:r>
              <w:rPr>
                <w:rFonts w:ascii="宋体" w:hAnsi="宋体" w:eastAsia="宋体" w:cs="宋体"/>
                <w:b w:val="0"/>
              </w:rPr>
              <w:t>40.40%</w:t>
            </w:r>
          </w:p>
        </w:tc>
        <w:tc>
          <w:tcPr>
            <w:tcW w:w="0" w:type="dxa"/>
            <w:vAlign w:val="center"/>
          </w:tcPr>
          <w:p>
            <w:pPr>
              <w:spacing w:line="240" w:lineRule="auto"/>
              <w:jc w:val="right"/>
            </w:pPr>
            <w:r>
              <w:rPr>
                <w:rFonts w:ascii="宋体" w:hAnsi="宋体" w:eastAsia="宋体" w:cs="宋体"/>
                <w:b w:val="0"/>
              </w:rPr>
              <w:t>1.80%</w:t>
            </w:r>
          </w:p>
        </w:tc>
        <w:tc>
          <w:tcPr>
            <w:tcW w:w="0" w:type="dxa"/>
            <w:vAlign w:val="center"/>
          </w:tcPr>
          <w:p>
            <w:pPr>
              <w:spacing w:line="240" w:lineRule="auto"/>
              <w:jc w:val="right"/>
            </w:pPr>
            <w:r>
              <w:rPr>
                <w:rFonts w:ascii="宋体" w:hAnsi="宋体" w:eastAsia="宋体" w:cs="宋体"/>
                <w:b w:val="0"/>
              </w:rPr>
              <w:t>1.83%</w:t>
            </w:r>
          </w:p>
        </w:tc>
        <w:tc>
          <w:tcPr>
            <w:tcW w:w="0" w:type="dxa"/>
            <w:vAlign w:val="center"/>
          </w:tcPr>
          <w:p>
            <w:pPr>
              <w:spacing w:line="240" w:lineRule="auto"/>
              <w:jc w:val="right"/>
            </w:pPr>
            <w:r>
              <w:rPr>
                <w:rFonts w:ascii="宋体" w:hAnsi="宋体" w:eastAsia="宋体" w:cs="宋体"/>
                <w:b w:val="0"/>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66.27%</w:t>
            </w:r>
          </w:p>
        </w:tc>
        <w:tc>
          <w:tcPr>
            <w:tcW w:w="0" w:type="dxa"/>
            <w:vAlign w:val="center"/>
          </w:tcPr>
          <w:p>
            <w:pPr>
              <w:spacing w:line="240" w:lineRule="auto"/>
              <w:jc w:val="right"/>
            </w:pPr>
            <w:r>
              <w:rPr>
                <w:rFonts w:ascii="宋体" w:hAnsi="宋体" w:eastAsia="宋体" w:cs="宋体"/>
                <w:b w:val="0"/>
              </w:rPr>
              <w:t>2.89%</w:t>
            </w:r>
          </w:p>
        </w:tc>
        <w:tc>
          <w:tcPr>
            <w:tcW w:w="0" w:type="dxa"/>
            <w:vAlign w:val="center"/>
          </w:tcPr>
          <w:p>
            <w:pPr>
              <w:spacing w:line="240" w:lineRule="auto"/>
              <w:jc w:val="right"/>
            </w:pPr>
            <w:r>
              <w:rPr>
                <w:rFonts w:ascii="宋体" w:hAnsi="宋体" w:eastAsia="宋体" w:cs="宋体"/>
                <w:b w:val="0"/>
              </w:rPr>
              <w:t>34.06%</w:t>
            </w:r>
          </w:p>
        </w:tc>
        <w:tc>
          <w:tcPr>
            <w:tcW w:w="0" w:type="dxa"/>
            <w:vAlign w:val="center"/>
          </w:tcPr>
          <w:p>
            <w:pPr>
              <w:spacing w:line="240" w:lineRule="auto"/>
              <w:jc w:val="right"/>
            </w:pPr>
            <w:r>
              <w:rPr>
                <w:rFonts w:ascii="宋体" w:hAnsi="宋体" w:eastAsia="宋体" w:cs="宋体"/>
                <w:b w:val="0"/>
              </w:rPr>
              <w:t>1.57%</w:t>
            </w:r>
          </w:p>
        </w:tc>
        <w:tc>
          <w:tcPr>
            <w:tcW w:w="0" w:type="dxa"/>
            <w:vAlign w:val="center"/>
          </w:tcPr>
          <w:p>
            <w:pPr>
              <w:spacing w:line="240" w:lineRule="auto"/>
              <w:jc w:val="right"/>
            </w:pPr>
            <w:r>
              <w:rPr>
                <w:rFonts w:ascii="宋体" w:hAnsi="宋体" w:eastAsia="宋体" w:cs="宋体"/>
                <w:b w:val="0"/>
              </w:rPr>
              <w:t>32.21%</w:t>
            </w:r>
          </w:p>
        </w:tc>
        <w:tc>
          <w:tcPr>
            <w:tcW w:w="0" w:type="dxa"/>
            <w:vAlign w:val="center"/>
          </w:tcPr>
          <w:p>
            <w:pPr>
              <w:spacing w:line="240" w:lineRule="auto"/>
              <w:jc w:val="right"/>
            </w:pPr>
            <w:r>
              <w:rPr>
                <w:rFonts w:ascii="宋体" w:hAnsi="宋体" w:eastAsia="宋体" w:cs="宋体"/>
                <w:b w:val="0"/>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83.66%</w:t>
            </w:r>
          </w:p>
        </w:tc>
        <w:tc>
          <w:tcPr>
            <w:tcW w:w="0" w:type="dxa"/>
            <w:vAlign w:val="center"/>
          </w:tcPr>
          <w:p>
            <w:pPr>
              <w:spacing w:line="240" w:lineRule="auto"/>
              <w:jc w:val="right"/>
            </w:pPr>
            <w:r>
              <w:rPr>
                <w:rFonts w:ascii="宋体" w:hAnsi="宋体" w:eastAsia="宋体" w:cs="宋体"/>
                <w:b w:val="0"/>
              </w:rPr>
              <w:t>2.80%</w:t>
            </w:r>
          </w:p>
        </w:tc>
        <w:tc>
          <w:tcPr>
            <w:tcW w:w="0" w:type="dxa"/>
            <w:vAlign w:val="center"/>
          </w:tcPr>
          <w:p>
            <w:pPr>
              <w:spacing w:line="240" w:lineRule="auto"/>
              <w:jc w:val="right"/>
            </w:pPr>
            <w:r>
              <w:rPr>
                <w:rFonts w:ascii="宋体" w:hAnsi="宋体" w:eastAsia="宋体" w:cs="宋体"/>
                <w:b w:val="0"/>
              </w:rPr>
              <w:t>28.75%</w:t>
            </w:r>
          </w:p>
        </w:tc>
        <w:tc>
          <w:tcPr>
            <w:tcW w:w="0" w:type="dxa"/>
            <w:vAlign w:val="center"/>
          </w:tcPr>
          <w:p>
            <w:pPr>
              <w:spacing w:line="240" w:lineRule="auto"/>
              <w:jc w:val="right"/>
            </w:pPr>
            <w:r>
              <w:rPr>
                <w:rFonts w:ascii="宋体" w:hAnsi="宋体" w:eastAsia="宋体" w:cs="宋体"/>
                <w:b w:val="0"/>
              </w:rPr>
              <w:t>1.51%</w:t>
            </w:r>
          </w:p>
        </w:tc>
        <w:tc>
          <w:tcPr>
            <w:tcW w:w="0" w:type="dxa"/>
            <w:vAlign w:val="center"/>
          </w:tcPr>
          <w:p>
            <w:pPr>
              <w:spacing w:line="240" w:lineRule="auto"/>
              <w:jc w:val="right"/>
            </w:pPr>
            <w:r>
              <w:rPr>
                <w:rFonts w:ascii="宋体" w:hAnsi="宋体" w:eastAsia="宋体" w:cs="宋体"/>
                <w:b w:val="0"/>
              </w:rPr>
              <w:t>54.91%</w:t>
            </w:r>
          </w:p>
        </w:tc>
        <w:tc>
          <w:tcPr>
            <w:tcW w:w="0" w:type="dxa"/>
            <w:vAlign w:val="center"/>
          </w:tcPr>
          <w:p>
            <w:pPr>
              <w:spacing w:line="240" w:lineRule="auto"/>
              <w:jc w:val="right"/>
            </w:pPr>
            <w:r>
              <w:rPr>
                <w:rFonts w:ascii="宋体" w:hAnsi="宋体" w:eastAsia="宋体" w:cs="宋体"/>
                <w:b w:val="0"/>
              </w:rPr>
              <w:t>1.29%</w:t>
            </w:r>
          </w:p>
        </w:tc>
      </w:tr>
    </w:tbl>
    <w:p>
      <w:r>
        <w:rPr>
          <w:rFonts w:ascii="宋体" w:hAnsi="宋体" w:eastAsia="宋体" w:cs="宋体"/>
          <w:b w:val="0"/>
        </w:rPr>
        <w:t>注：本基金业绩比较基准为：中国战略新兴产业成份指数收益率*70%+中债-综合指数(全价)收益率*20%+恒生科技指数收益率(按估值汇率折算)*10%</w:t>
      </w:r>
    </w:p>
    <w:p/>
    <w:p>
      <w:pPr>
        <w:pStyle w:val="58"/>
      </w:pPr>
      <w:r>
        <w:rPr>
          <w:rFonts w:ascii="宋体" w:hAnsi="宋体" w:eastAsia="宋体" w:cs="宋体"/>
          <w:b/>
        </w:rPr>
        <w:t>3.2.2 自基金合同生效以来基金份额累计净值增长率变动及其与同期业绩比较基准收益率变动的比较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注：本基金的基金合同于2025年10月30日生效，截至本报告期末，本基金成立未满1年。2026本基金净值增长率与同期业绩比较基准收益率按本基金实际存续期计算。</w:t>
      </w:r>
    </w:p>
    <w:p>
      <w:pPr>
        <w:pStyle w:val="2"/>
        <w:jc w:val="center"/>
      </w:pPr>
      <w:bookmarkStart w:id="14" w:name="_Toc16279"/>
      <w:r>
        <w:rPr>
          <w:rFonts w:ascii="宋体" w:hAnsi="宋体" w:eastAsia="宋体" w:cs="宋体"/>
        </w:rPr>
        <w:t>§4 管理人报告</w:t>
      </w:r>
      <w:bookmarkEnd w:id="14"/>
    </w:p>
    <w:p>
      <w:pPr>
        <w:pStyle w:val="3"/>
        <w:jc w:val="left"/>
      </w:pPr>
      <w:bookmarkStart w:id="15" w:name="_Toc31116"/>
      <w:r>
        <w:rPr>
          <w:rFonts w:ascii="宋体" w:hAnsi="宋体" w:eastAsia="宋体" w:cs="宋体"/>
        </w:rPr>
        <w:t>4.1 基金管理人及基金经理情况</w:t>
      </w:r>
      <w:bookmarkEnd w:id="15"/>
    </w:p>
    <w:p>
      <w:pPr>
        <w:pStyle w:val="58"/>
      </w:pPr>
      <w:r>
        <w:rPr>
          <w:rFonts w:ascii="宋体" w:hAnsi="宋体" w:eastAsia="宋体" w:cs="宋体"/>
          <w:b/>
        </w:rPr>
        <w:t>4.1.1 基金管理人及其管理基金的经验</w:t>
      </w:r>
    </w:p>
    <w:p>
      <w:pPr>
        <w:jc w:val="left"/>
      </w:pPr>
      <w:r>
        <w:rPr>
          <w:rFonts w:ascii="宋体" w:hAnsi="宋体" w:eastAsia="宋体" w:cs="宋体"/>
          <w:b w:val="0"/>
        </w:rPr>
        <w:t xml:space="preserve">    东方阿尔法基金管理有限公司（以下简称"东方阿尔法基金"）于2017年6月24日经中国证监会批准，2017年7月4日注册成立，公司总部设在广东省深圳市，证券期货业务范围包括公开募集证券投资基金管理、基金销售、特定客户资产管理。截至报告期末，注册资本为1亿元人民币。</w:t>
      </w:r>
      <w:r>
        <w:rPr>
          <w:rFonts w:ascii="宋体" w:hAnsi="宋体" w:eastAsia="宋体" w:cs="宋体"/>
          <w:b w:val="0"/>
        </w:rPr>
        <w:br w:type="textWrapping"/>
      </w:r>
      <w:r>
        <w:rPr>
          <w:rFonts w:ascii="宋体" w:hAnsi="宋体" w:eastAsia="宋体" w:cs="宋体"/>
          <w:b w:val="0"/>
        </w:rPr>
        <w:t xml:space="preserve">    东方阿尔法基金作为华南地区首家纯员工持股的公募基金管理公司，公司股权结构为刘明、珠海共同成长投资合伙企业（有限合伙）、肖冰、曾健分别持有公司44.46%、39.56%、13.98%、2%的股权。</w:t>
      </w:r>
      <w:r>
        <w:rPr>
          <w:rFonts w:ascii="宋体" w:hAnsi="宋体" w:eastAsia="宋体" w:cs="宋体"/>
          <w:b w:val="0"/>
        </w:rPr>
        <w:br w:type="textWrapping"/>
      </w:r>
      <w:r>
        <w:rPr>
          <w:rFonts w:ascii="宋体" w:hAnsi="宋体" w:eastAsia="宋体" w:cs="宋体"/>
          <w:b w:val="0"/>
        </w:rPr>
        <w:t xml:space="preserve">    截至报告期末，东方阿尔法基金管理资产规模275.33亿元，旗下管理15只公开募集证券投资基金和3只私募资产管理计划。</w:t>
      </w:r>
    </w:p>
    <w:p/>
    <w:p>
      <w:pPr>
        <w:pStyle w:val="58"/>
      </w:pPr>
      <w:r>
        <w:rPr>
          <w:rFonts w:ascii="宋体" w:hAnsi="宋体" w:eastAsia="宋体" w:cs="宋体"/>
          <w:b/>
        </w:rPr>
        <w:t>4.1.2 基金经理（或基金经理小组）及基金经理助理简介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547"/>
        <w:gridCol w:w="1266"/>
        <w:gridCol w:w="790"/>
        <w:gridCol w:w="576"/>
        <w:gridCol w:w="3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pct"/>
            <w:vMerge w:val="restart"/>
            <w:shd w:val="clear" w:color="auto" w:fill="D9D9D9"/>
            <w:vAlign w:val="center"/>
          </w:tcPr>
          <w:p>
            <w:pPr>
              <w:spacing w:line="240" w:lineRule="auto"/>
              <w:jc w:val="center"/>
            </w:pPr>
            <w:r>
              <w:rPr>
                <w:rFonts w:ascii="宋体" w:hAnsi="宋体" w:eastAsia="宋体" w:cs="宋体"/>
                <w:b w:val="0"/>
              </w:rPr>
              <w:t>姓名</w:t>
            </w:r>
          </w:p>
        </w:tc>
        <w:tc>
          <w:tcPr>
            <w:tcW w:w="1231" w:type="pct"/>
            <w:vMerge w:val="restart"/>
            <w:shd w:val="clear" w:color="auto" w:fill="D9D9D9"/>
            <w:vAlign w:val="center"/>
          </w:tcPr>
          <w:p>
            <w:pPr>
              <w:spacing w:line="240" w:lineRule="auto"/>
              <w:jc w:val="center"/>
            </w:pPr>
            <w:r>
              <w:rPr>
                <w:rFonts w:ascii="宋体" w:hAnsi="宋体" w:eastAsia="宋体" w:cs="宋体"/>
                <w:b w:val="0"/>
              </w:rPr>
              <w:t>职务</w:t>
            </w:r>
          </w:p>
        </w:tc>
        <w:tc>
          <w:tcPr>
            <w:tcW w:w="808" w:type="pct"/>
            <w:gridSpan w:val="2"/>
            <w:shd w:val="clear" w:color="auto" w:fill="D9D9D9"/>
            <w:vAlign w:val="center"/>
          </w:tcPr>
          <w:p>
            <w:pPr>
              <w:spacing w:line="240" w:lineRule="auto"/>
              <w:jc w:val="center"/>
            </w:pPr>
            <w:r>
              <w:rPr>
                <w:rFonts w:ascii="宋体" w:hAnsi="宋体" w:eastAsia="宋体" w:cs="宋体"/>
                <w:b w:val="0"/>
              </w:rPr>
              <w:t>任本基金的基金经理（助理）期限</w:t>
            </w:r>
          </w:p>
        </w:tc>
        <w:tc>
          <w:tcPr>
            <w:tcW w:w="308"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462"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400" w:type="pct"/>
            <w:shd w:val="clear" w:color="auto" w:fill="D9D9D9"/>
            <w:vAlign w:val="center"/>
          </w:tcPr>
          <w:p>
            <w:pPr>
              <w:spacing w:line="240" w:lineRule="auto"/>
              <w:jc w:val="center"/>
            </w:pPr>
            <w:r>
              <w:rPr>
                <w:rFonts w:ascii="宋体" w:hAnsi="宋体" w:eastAsia="宋体" w:cs="宋体"/>
                <w:b w:val="0"/>
              </w:rPr>
              <w:t>任职日期</w:t>
            </w:r>
          </w:p>
        </w:tc>
        <w:tc>
          <w:tcPr>
            <w:tcW w:w="392"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吴秋松</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left"/>
            </w:pPr>
            <w:r>
              <w:rPr>
                <w:rFonts w:ascii="宋体" w:hAnsi="宋体" w:eastAsia="宋体" w:cs="宋体"/>
                <w:b w:val="0"/>
              </w:rPr>
              <w:t>2025-10-30</w:t>
            </w:r>
          </w:p>
        </w:tc>
        <w:tc>
          <w:tcPr>
            <w:tcW w:w="0" w:type="dxa"/>
            <w:vAlign w:val="center"/>
          </w:tcPr>
          <w:p>
            <w:pPr>
              <w:spacing w:line="240" w:lineRule="auto"/>
              <w:jc w:val="lef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10年</w:t>
            </w:r>
          </w:p>
        </w:tc>
        <w:tc>
          <w:tcPr>
            <w:tcW w:w="0" w:type="dxa"/>
            <w:vAlign w:val="center"/>
          </w:tcPr>
          <w:p>
            <w:pPr>
              <w:spacing w:line="240" w:lineRule="auto"/>
              <w:jc w:val="left"/>
            </w:pPr>
            <w:r>
              <w:rPr>
                <w:rFonts w:ascii="宋体" w:hAnsi="宋体" w:eastAsia="宋体" w:cs="宋体"/>
                <w:b w:val="0"/>
              </w:rPr>
              <w:t>吴秋松先生，哈尔滨工业大学工学学士， 复旦大学管理学硕士。多年证券行业投研经验，曾任职于君证资本管理有限公司、银泰证券有限责任公司。2017年10月至2024年9月，在红塔红土基金管理有限公司工作，历任研究部研究员 、投资部基金经理助理、基金经理。现担任东方阿尔法基金管理有限公司基金经理。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程子晴</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left"/>
            </w:pPr>
            <w:r>
              <w:rPr>
                <w:rFonts w:ascii="宋体" w:hAnsi="宋体" w:eastAsia="宋体" w:cs="宋体"/>
                <w:b w:val="0"/>
              </w:rPr>
              <w:t>2025-11-07</w:t>
            </w:r>
          </w:p>
        </w:tc>
        <w:tc>
          <w:tcPr>
            <w:tcW w:w="0" w:type="dxa"/>
            <w:vAlign w:val="center"/>
          </w:tcPr>
          <w:p>
            <w:pPr>
              <w:spacing w:line="240" w:lineRule="auto"/>
              <w:jc w:val="lef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5年</w:t>
            </w:r>
          </w:p>
        </w:tc>
        <w:tc>
          <w:tcPr>
            <w:tcW w:w="0" w:type="dxa"/>
            <w:vAlign w:val="center"/>
          </w:tcPr>
          <w:p>
            <w:pPr>
              <w:spacing w:line="240" w:lineRule="auto"/>
              <w:jc w:val="left"/>
            </w:pPr>
            <w:r>
              <w:rPr>
                <w:rFonts w:ascii="宋体" w:hAnsi="宋体" w:eastAsia="宋体" w:cs="宋体"/>
                <w:b w:val="0"/>
              </w:rPr>
              <w:t>程子晴女士，复旦大学管理学学士，香港科技大学理学硕士，于2021年1月入职东方阿尔法基金管理有限公司，历任研究部研究员、基金经理助理。现担任东方阿尔法基金管理有限公司基金经理。</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Fonts w:ascii="宋体" w:hAnsi="宋体" w:eastAsia="宋体" w:cs="宋体"/>
          <w:b/>
        </w:rPr>
        <w:t>4.1.3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bookmarkStart w:id="16" w:name="_Toc21367"/>
      <w:r>
        <w:rPr>
          <w:rFonts w:ascii="宋体" w:hAnsi="宋体" w:eastAsia="宋体" w:cs="宋体"/>
        </w:rPr>
        <w:t>4.2 管理人对报告期内本基金运作遵规守信情况的说明</w:t>
      </w:r>
      <w:bookmarkEnd w:id="16"/>
    </w:p>
    <w:p>
      <w:pPr>
        <w:jc w:val="left"/>
      </w:pPr>
      <w:r>
        <w:rPr>
          <w:rFonts w:ascii="宋体" w:hAnsi="宋体" w:eastAsia="宋体" w:cs="宋体"/>
          <w:b w:val="0"/>
        </w:rPr>
        <w:t xml:space="preserve">    本报告期内，本基金管理人严格遵守《中华人民共和国证券投资基金法》、《公开募集证券投资基金运作管理办法》、《公开募集证券投资基金销售机构监督管理办法》和《公开募集证券投资基金信息披露管理办法》等有关法律法规及各项实施准则、本基金《基金合同》和其他有关法律法规的规定，本着诚实信用、勤勉尽责的原则管理和运用基金资产，在严格控制风险的基础上，为基金份额持有人谋求最大利益。本报告期内，基金运作整体合法合规，没有损害基金份额持有人利益。基金的投资范围、投资比例及投资组合符合有关法律法规及基金合同的规定。</w:t>
      </w:r>
    </w:p>
    <w:p/>
    <w:p>
      <w:pPr>
        <w:pStyle w:val="3"/>
        <w:jc w:val="left"/>
      </w:pPr>
      <w:bookmarkStart w:id="17" w:name="_Toc28803"/>
      <w:r>
        <w:rPr>
          <w:rFonts w:ascii="宋体" w:hAnsi="宋体" w:eastAsia="宋体" w:cs="宋体"/>
        </w:rPr>
        <w:t>4.3 管理人对报告期内公平交易情况的专项说明</w:t>
      </w:r>
      <w:bookmarkEnd w:id="17"/>
    </w:p>
    <w:p>
      <w:pPr>
        <w:pStyle w:val="58"/>
      </w:pPr>
      <w:r>
        <w:rPr>
          <w:rFonts w:ascii="宋体" w:hAnsi="宋体" w:eastAsia="宋体" w:cs="宋体"/>
          <w:b/>
        </w:rPr>
        <w:t>4.3.1 公平交易制度的执行情况</w:t>
      </w:r>
    </w:p>
    <w:p>
      <w:pPr>
        <w:jc w:val="left"/>
      </w:pPr>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Fonts w:ascii="宋体" w:hAnsi="宋体" w:eastAsia="宋体" w:cs="宋体"/>
          <w:b/>
        </w:rPr>
        <w:t>4.3.2 异常交易行为的专项说明</w:t>
      </w:r>
    </w:p>
    <w:p>
      <w:pPr>
        <w:jc w:val="left"/>
      </w:pPr>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bookmarkStart w:id="18" w:name="_Toc4704"/>
      <w:r>
        <w:rPr>
          <w:rFonts w:ascii="宋体" w:hAnsi="宋体" w:eastAsia="宋体" w:cs="宋体"/>
        </w:rPr>
        <w:t>4.4 管理人对报告期内基金的投资策略和业绩表现的说明</w:t>
      </w:r>
      <w:bookmarkEnd w:id="18"/>
    </w:p>
    <w:p>
      <w:pPr>
        <w:pStyle w:val="58"/>
      </w:pPr>
      <w:r>
        <w:rPr>
          <w:rFonts w:ascii="宋体" w:hAnsi="宋体" w:eastAsia="宋体" w:cs="宋体"/>
          <w:b/>
        </w:rPr>
        <w:t>4.4.1 报告期内基金投资策略和运作分析</w:t>
      </w:r>
    </w:p>
    <w:p>
      <w:pPr>
        <w:jc w:val="left"/>
      </w:pPr>
      <w:r>
        <w:rPr>
          <w:rFonts w:ascii="宋体" w:hAnsi="宋体" w:eastAsia="宋体" w:cs="宋体"/>
          <w:b w:val="0"/>
        </w:rPr>
        <w:t xml:space="preserve">    报告期内，本基金始终坚持优选行业供给格局、贴合产业发展趋势的核心投资策略，整体运作平稳，组合结构持续向高景气、高确定性的细分领域集中，严格把控组合波动与回撤风险，保持合理的持仓集中度与流动性管理水平，力求实现基金资产稳健增值。</w:t>
      </w:r>
      <w:r>
        <w:rPr>
          <w:rFonts w:ascii="宋体" w:hAnsi="宋体" w:eastAsia="宋体" w:cs="宋体"/>
          <w:b w:val="0"/>
        </w:rPr>
        <w:br w:type="textWrapping"/>
      </w:r>
      <w:r>
        <w:rPr>
          <w:rFonts w:ascii="宋体" w:hAnsi="宋体" w:eastAsia="宋体" w:cs="宋体"/>
          <w:b w:val="0"/>
        </w:rPr>
        <w:t xml:space="preserve">    一季度，在全球能源与电力基建重构、AI数据中心用电需求攀升、区域电力供需缺口扩张的产业背景下，本基金重点布局电力设备中游制造核心环节，超配燃机发电设备、变压器、服务器电源及储能产业链相关标的，紧扣北美缺电、AI基础设施建设、国内高端制造出海等核心产业趋势，重点重仓细分行业龙头企业。随着海内外产业链订单持续落地，产业趋势得到基本面充分验证，燃机、变压器板块为本组合贡献了显著超额收益。</w:t>
      </w:r>
      <w:r>
        <w:rPr>
          <w:rFonts w:ascii="宋体" w:hAnsi="宋体" w:eastAsia="宋体" w:cs="宋体"/>
          <w:b w:val="0"/>
        </w:rPr>
        <w:br w:type="textWrapping"/>
      </w:r>
      <w:r>
        <w:rPr>
          <w:rFonts w:ascii="宋体" w:hAnsi="宋体" w:eastAsia="宋体" w:cs="宋体"/>
          <w:b w:val="0"/>
        </w:rPr>
        <w:t xml:space="preserve">    二季度，本基金持续跟踪产业动态，通过实地调研与行业横向对比，预判上游元器件板块业绩弹性具备相对优势，因此稳步上调上游相关标的持仓比例。本阶段重点围绕电力供需缺口下国内高端制造出海、服务器功率持续升级等核心逻辑优化组合结构，重点布局服务器上游元器件和渗透率拐点方向，包括MLCC、功率半导体、液冷、固体氧化物燃料电池（SOFC）等细分领域，上述板块在二季度持续兑现景气，成为本基金超额收益的核心来源。</w:t>
      </w:r>
      <w:r>
        <w:rPr>
          <w:rFonts w:ascii="宋体" w:hAnsi="宋体" w:eastAsia="宋体" w:cs="宋体"/>
          <w:b w:val="0"/>
        </w:rPr>
        <w:br w:type="textWrapping"/>
      </w:r>
      <w:r>
        <w:rPr>
          <w:rFonts w:ascii="宋体" w:hAnsi="宋体" w:eastAsia="宋体" w:cs="宋体"/>
          <w:b w:val="0"/>
        </w:rPr>
        <w:t xml:space="preserve">    整体来看，报告期内基金始终立足细分行业供给格局研判，聚焦壁垒深厚、格局优良的细分龙头，动态优化持仓结构，阶段性取得了良好的投资效果。</w:t>
      </w:r>
    </w:p>
    <w:p/>
    <w:p>
      <w:pPr>
        <w:pStyle w:val="58"/>
      </w:pPr>
      <w:r>
        <w:rPr>
          <w:rFonts w:ascii="宋体" w:hAnsi="宋体" w:eastAsia="宋体" w:cs="宋体"/>
          <w:b/>
        </w:rPr>
        <w:t>4.4.2 报告期内基金的业绩表现</w:t>
      </w:r>
    </w:p>
    <w:p>
      <w:pPr>
        <w:jc w:val="left"/>
      </w:pPr>
      <w:r>
        <w:rPr>
          <w:rFonts w:ascii="宋体" w:hAnsi="宋体" w:eastAsia="宋体" w:cs="宋体"/>
          <w:b w:val="0"/>
        </w:rPr>
        <w:t xml:space="preserve">    截至报告期末东方阿尔法科技甄选混合发起A基金份额净值为1.8407元，本报告期内，该类基金份额净值增长率为66.58%，同期业绩比较基准收益率为34.06%；截至报告期末东方阿尔法科技甄选混合发起C基金份额净值为1.8366元，本报告期内，该类基金份额净值增长率为66.27%，同期业绩比较基准收益率为34.06%。</w:t>
      </w:r>
    </w:p>
    <w:p/>
    <w:p>
      <w:pPr>
        <w:pStyle w:val="3"/>
        <w:jc w:val="left"/>
      </w:pPr>
      <w:bookmarkStart w:id="19" w:name="_Toc5494"/>
      <w:r>
        <w:rPr>
          <w:rFonts w:ascii="宋体" w:hAnsi="宋体" w:eastAsia="宋体" w:cs="宋体"/>
        </w:rPr>
        <w:t>4.5 管理人对宏观经济、证券市场及行业走势的简要展望</w:t>
      </w:r>
      <w:bookmarkEnd w:id="19"/>
    </w:p>
    <w:p>
      <w:pPr>
        <w:jc w:val="left"/>
      </w:pPr>
      <w:r>
        <w:rPr>
          <w:rFonts w:ascii="宋体" w:hAnsi="宋体" w:eastAsia="宋体" w:cs="宋体"/>
          <w:b w:val="0"/>
        </w:rPr>
        <w:t xml:space="preserve">    从产业与资本市场环境来看，预计明年全球人工智能投资规模有望达到万亿美金级别，人工智能产业已成为影响宏观经济运行的核心要素，产业周期与宏观环境相互联动、双向传导。下半年，海外中期选举、美伊地缘局势是需要重点跟踪的两大宏观变量，外部环境仍存在不确定性，但整体来看，全球流动性有望保持宽松态势。同时，下半年新一代前沿大模型将陆续落地迭代，持续拓宽人工智能技术边界与落地场景，行业高景气发展格局有望延续。当前A股市场迎来居民储蓄入市、全球AI技术革新的双重长期红利，国内宏观流动性保持充裕，经济基本面有望企稳修复，市场中长期配置价值较为突出。</w:t>
      </w:r>
      <w:r>
        <w:rPr>
          <w:rFonts w:ascii="宋体" w:hAnsi="宋体" w:eastAsia="宋体" w:cs="宋体"/>
          <w:b w:val="0"/>
        </w:rPr>
        <w:br w:type="textWrapping"/>
      </w:r>
      <w:r>
        <w:rPr>
          <w:rFonts w:ascii="宋体" w:hAnsi="宋体" w:eastAsia="宋体" w:cs="宋体"/>
          <w:b w:val="0"/>
        </w:rPr>
        <w:t xml:space="preserve">    展望下半年，随着宏观基本面持续改善，A股市场将逐步摆脱上半年结构性分化的格局，行情走势趋于均衡。人工智能产业仍将是市场核心投资主线，其中AIDC细分领域有望迎来业绩加速兑现阶段，具备明显的相对收益优势。后续本基金将持续深化产业横向对比研究，优选景气度边际改善明显、成长空间充裕、行业格局优异、技术壁垒扎实的细分龙头标的，严格把控组合投资风险，力争持续为持有人获取稳健超额收益。</w:t>
      </w:r>
    </w:p>
    <w:p/>
    <w:p>
      <w:pPr>
        <w:pStyle w:val="3"/>
        <w:jc w:val="left"/>
      </w:pPr>
      <w:bookmarkStart w:id="20" w:name="_Toc5919"/>
      <w:r>
        <w:rPr>
          <w:rFonts w:ascii="宋体" w:hAnsi="宋体" w:eastAsia="宋体" w:cs="宋体"/>
        </w:rPr>
        <w:t>4.6 管理人对报告期内基金估值程序等事项的说明</w:t>
      </w:r>
      <w:bookmarkEnd w:id="20"/>
    </w:p>
    <w:p>
      <w:pPr>
        <w:jc w:val="left"/>
      </w:pPr>
      <w:r>
        <w:rPr>
          <w:rFonts w:ascii="宋体" w:hAnsi="宋体" w:eastAsia="宋体" w:cs="宋体"/>
          <w:b w:val="0"/>
        </w:rPr>
        <w:t xml:space="preserve">    本基金管理人已将本基金的基金估值核算业务外包给本基金的金融运营服务机构--招商证券股份有限公司。本基金金融运营服务机构按照企业会计准则、中国证监会相关规定和基金合同关于估值的约定，对基金所持有的投资品种进行估值。本基金金融运营服务机构使用可靠的估值业务系统，估值人员熟悉各类投资品种的估值原则和具体估值程序。估值流程中包含风险监测、控制和报告机制。金融运营服务机构改变估值技术，导致基金资产净值的变化在0.25%以上的，对所采用的相关估值技术、假设及输入值的适当性咨询会计师事务所的专业意见。本基金托管人根据法律法规要求履行估值及净值计算的复核责任。</w:t>
      </w:r>
      <w:r>
        <w:rPr>
          <w:rFonts w:ascii="宋体" w:hAnsi="宋体" w:eastAsia="宋体" w:cs="宋体"/>
          <w:b w:val="0"/>
        </w:rPr>
        <w:br w:type="textWrapping"/>
      </w:r>
      <w:r>
        <w:rPr>
          <w:rFonts w:ascii="宋体" w:hAnsi="宋体" w:eastAsia="宋体" w:cs="宋体"/>
          <w:b w:val="0"/>
        </w:rPr>
        <w:t xml:space="preserve">    本基金管理人建立了估值小组，成员由运作保障部、投资部门、研究部和监察稽核部业务骨干组成，负责指导和监督整个估值流程。该等人员均具备专业胜任能力和相关从业资格，精通各领域的理论知识，熟悉相关政策法规，并具有丰富的实践经验。基金经理可参与估值原则和方法的讨论，但不参与估值原则和方法的最终决策和日常估值的执行。</w:t>
      </w:r>
      <w:r>
        <w:rPr>
          <w:rFonts w:ascii="宋体" w:hAnsi="宋体" w:eastAsia="宋体" w:cs="宋体"/>
          <w:b w:val="0"/>
        </w:rPr>
        <w:br w:type="textWrapping"/>
      </w:r>
      <w:r>
        <w:rPr>
          <w:rFonts w:ascii="宋体" w:hAnsi="宋体" w:eastAsia="宋体" w:cs="宋体"/>
          <w:b w:val="0"/>
        </w:rPr>
        <w:t xml:space="preserve">    本基金本报告期内，参与估值流程各方之间无重大利益冲突。</w:t>
      </w:r>
    </w:p>
    <w:p/>
    <w:p>
      <w:pPr>
        <w:pStyle w:val="3"/>
        <w:jc w:val="left"/>
      </w:pPr>
      <w:bookmarkStart w:id="21" w:name="_Toc25236"/>
      <w:r>
        <w:rPr>
          <w:rFonts w:ascii="宋体" w:hAnsi="宋体" w:eastAsia="宋体" w:cs="宋体"/>
        </w:rPr>
        <w:t>4.7 管理人对报告期内基金利润分配情况的说明</w:t>
      </w:r>
      <w:bookmarkEnd w:id="21"/>
    </w:p>
    <w:p>
      <w:pPr>
        <w:jc w:val="left"/>
      </w:pPr>
      <w:r>
        <w:rPr>
          <w:rFonts w:ascii="宋体" w:hAnsi="宋体" w:eastAsia="宋体" w:cs="宋体"/>
          <w:b w:val="0"/>
        </w:rPr>
        <w:t xml:space="preserve">    本基金本报告期内未实施利润分配。</w:t>
      </w:r>
    </w:p>
    <w:p/>
    <w:p>
      <w:pPr>
        <w:pStyle w:val="3"/>
        <w:jc w:val="left"/>
      </w:pPr>
      <w:bookmarkStart w:id="22" w:name="_Toc31573"/>
      <w:r>
        <w:rPr>
          <w:rFonts w:ascii="宋体" w:hAnsi="宋体" w:eastAsia="宋体" w:cs="宋体"/>
        </w:rPr>
        <w:t>4.8 报告期内管理人对本基金持有人数或基金资产净值预警情形的说明</w:t>
      </w:r>
      <w:bookmarkEnd w:id="22"/>
    </w:p>
    <w:p>
      <w:pPr>
        <w:jc w:val="left"/>
      </w:pPr>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pPr>
        <w:pStyle w:val="2"/>
        <w:jc w:val="center"/>
      </w:pPr>
      <w:bookmarkStart w:id="23" w:name="_Toc14948"/>
      <w:r>
        <w:rPr>
          <w:rFonts w:ascii="宋体" w:hAnsi="宋体" w:eastAsia="宋体" w:cs="宋体"/>
        </w:rPr>
        <w:t>§5 托管人报告</w:t>
      </w:r>
      <w:bookmarkEnd w:id="23"/>
    </w:p>
    <w:p>
      <w:pPr>
        <w:pStyle w:val="3"/>
        <w:jc w:val="left"/>
      </w:pPr>
      <w:bookmarkStart w:id="24" w:name="_Toc12589"/>
      <w:r>
        <w:rPr>
          <w:rFonts w:ascii="宋体" w:hAnsi="宋体" w:eastAsia="宋体" w:cs="宋体"/>
        </w:rPr>
        <w:t>5.1 报告期内本基金托管人遵规守信情况声明</w:t>
      </w:r>
      <w:bookmarkEnd w:id="24"/>
    </w:p>
    <w:p>
      <w:pPr>
        <w:jc w:val="left"/>
      </w:pPr>
      <w:r>
        <w:rPr>
          <w:rFonts w:ascii="宋体" w:hAnsi="宋体" w:eastAsia="宋体" w:cs="宋体"/>
          <w:b w:val="0"/>
        </w:rPr>
        <w:t xml:space="preserve">    托管人声明：招商银行具备完善的公司治理结构、内部稽核监控制度和风险控制制度，我行在履行托管职责中，严格遵守有关法律法规、托管协议的规定，尽职尽责地履行托管义务并安全保管托管资产。</w:t>
      </w:r>
    </w:p>
    <w:p/>
    <w:p>
      <w:pPr>
        <w:pStyle w:val="3"/>
        <w:jc w:val="left"/>
      </w:pPr>
      <w:bookmarkStart w:id="25" w:name="_Toc287"/>
      <w:r>
        <w:rPr>
          <w:rFonts w:ascii="宋体" w:hAnsi="宋体" w:eastAsia="宋体" w:cs="宋体"/>
        </w:rPr>
        <w:t>5.2 托管人对报告期内本基金投资运作遵规守信、净值计算、利润分配等情况的说明</w:t>
      </w:r>
      <w:bookmarkEnd w:id="25"/>
    </w:p>
    <w:p>
      <w:pPr>
        <w:jc w:val="left"/>
      </w:pPr>
      <w:r>
        <w:rPr>
          <w:rFonts w:ascii="宋体" w:hAnsi="宋体" w:eastAsia="宋体" w:cs="宋体"/>
          <w:b w:val="0"/>
        </w:rPr>
        <w:t xml:space="preserve">    招商银行根据法律法规、托管协议约定的投资监督条款，对托管产品的投资行为进行监督，并根据监管要求履行报告义务。</w:t>
      </w:r>
      <w:r>
        <w:rPr>
          <w:rFonts w:ascii="宋体" w:hAnsi="宋体" w:eastAsia="宋体" w:cs="宋体"/>
          <w:b w:val="0"/>
        </w:rPr>
        <w:br w:type="textWrapping"/>
      </w:r>
      <w:r>
        <w:rPr>
          <w:rFonts w:ascii="宋体" w:hAnsi="宋体" w:eastAsia="宋体" w:cs="宋体"/>
          <w:b w:val="0"/>
        </w:rPr>
        <w:t xml:space="preserve">    招商银行按照托管协议约定的统一记账方法和会计处理原则，独立地设置、登录和保管本产品的全套账册，进行会计核算和资产估值并与管理人建立对账机制。</w:t>
      </w:r>
      <w:r>
        <w:rPr>
          <w:rFonts w:ascii="宋体" w:hAnsi="宋体" w:eastAsia="宋体" w:cs="宋体"/>
          <w:b w:val="0"/>
        </w:rPr>
        <w:br w:type="textWrapping"/>
      </w:r>
      <w:r>
        <w:rPr>
          <w:rFonts w:ascii="宋体" w:hAnsi="宋体" w:eastAsia="宋体" w:cs="宋体"/>
          <w:b w:val="0"/>
        </w:rPr>
        <w:t xml:space="preserve">    本中期报告中利润分配情况真实、准确。</w:t>
      </w:r>
    </w:p>
    <w:p/>
    <w:p>
      <w:pPr>
        <w:pStyle w:val="3"/>
        <w:jc w:val="left"/>
      </w:pPr>
      <w:bookmarkStart w:id="26" w:name="_Toc17362"/>
      <w:r>
        <w:rPr>
          <w:rFonts w:ascii="宋体" w:hAnsi="宋体" w:eastAsia="宋体" w:cs="宋体"/>
        </w:rPr>
        <w:t>5.3 托管人对本中期报告中财务信息等内容的真实、准确和完整发表意见</w:t>
      </w:r>
      <w:bookmarkEnd w:id="26"/>
    </w:p>
    <w:p>
      <w:pPr>
        <w:jc w:val="left"/>
      </w:pPr>
      <w:r>
        <w:rPr>
          <w:rFonts w:ascii="宋体" w:hAnsi="宋体" w:eastAsia="宋体" w:cs="宋体"/>
          <w:b w:val="0"/>
        </w:rPr>
        <w:t xml:space="preserve">    本中期报告中财务指标、净值表现、财务会计报告、投资组合报告内容真实、准确，不存在虚假记载、误导性陈述或者重大遗漏。</w:t>
      </w:r>
    </w:p>
    <w:p>
      <w:pPr>
        <w:pStyle w:val="2"/>
        <w:jc w:val="center"/>
      </w:pPr>
      <w:bookmarkStart w:id="27" w:name="_Toc13775"/>
      <w:r>
        <w:rPr>
          <w:rFonts w:ascii="宋体" w:hAnsi="宋体" w:eastAsia="宋体" w:cs="宋体"/>
        </w:rPr>
        <w:t>§6 半年度财务会计报告(未经审计)</w:t>
      </w:r>
      <w:bookmarkEnd w:id="27"/>
    </w:p>
    <w:p>
      <w:pPr>
        <w:pStyle w:val="3"/>
        <w:jc w:val="left"/>
      </w:pPr>
      <w:bookmarkStart w:id="28" w:name="_Toc31880"/>
      <w:r>
        <w:rPr>
          <w:rFonts w:ascii="宋体" w:hAnsi="宋体" w:eastAsia="宋体" w:cs="宋体"/>
        </w:rPr>
        <w:t>6.1 资产负债表</w:t>
      </w:r>
      <w:bookmarkEnd w:id="28"/>
    </w:p>
    <w:p>
      <w:pPr>
        <w:jc w:val="left"/>
      </w:pPr>
      <w:r>
        <w:rPr>
          <w:rFonts w:ascii="宋体" w:hAnsi="宋体" w:eastAsia="宋体" w:cs="宋体"/>
          <w:b w:val="0"/>
        </w:rPr>
        <w:t>会计主体：东方阿尔法科技甄选混合型发起式证券投资基金</w:t>
      </w:r>
    </w:p>
    <w:p>
      <w:pPr>
        <w:jc w:val="left"/>
      </w:pPr>
      <w:r>
        <w:rPr>
          <w:rFonts w:ascii="宋体" w:hAnsi="宋体" w:eastAsia="宋体" w:cs="宋体"/>
          <w:b w:val="0"/>
        </w:rPr>
        <w:t>报告截止日：2026年06月30日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1428"/>
        <w:gridCol w:w="2857"/>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rPr>
              <w:t xml:space="preserve">资 产 </w:t>
            </w:r>
          </w:p>
        </w:tc>
        <w:tc>
          <w:tcPr>
            <w:tcW w:w="769" w:type="pct"/>
            <w:shd w:val="clear" w:color="auto" w:fill="D9D9D9"/>
            <w:vAlign w:val="center"/>
          </w:tcPr>
          <w:p>
            <w:pPr>
              <w:spacing w:line="240" w:lineRule="auto"/>
              <w:jc w:val="center"/>
            </w:pPr>
            <w:r>
              <w:rPr>
                <w:rFonts w:ascii="宋体" w:hAnsi="宋体" w:eastAsia="宋体" w:cs="宋体"/>
                <w:b/>
              </w:rPr>
              <w:t>附注号</w:t>
            </w:r>
          </w:p>
        </w:tc>
        <w:tc>
          <w:tcPr>
            <w:tcW w:w="1538" w:type="pct"/>
            <w:shd w:val="clear" w:color="auto" w:fill="D9D9D9"/>
            <w:vAlign w:val="center"/>
          </w:tcPr>
          <w:p>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资 产：</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货币资金</w:t>
            </w:r>
          </w:p>
        </w:tc>
        <w:tc>
          <w:tcPr>
            <w:tcW w:w="0" w:type="dxa"/>
            <w:vAlign w:val="center"/>
          </w:tcPr>
          <w:p>
            <w:pPr>
              <w:spacing w:line="240" w:lineRule="auto"/>
              <w:jc w:val="center"/>
            </w:pPr>
            <w:r>
              <w:rPr>
                <w:rFonts w:ascii="宋体" w:hAnsi="宋体" w:eastAsia="宋体" w:cs="宋体"/>
                <w:b w:val="0"/>
              </w:rPr>
              <w:t>6.4.7.1</w:t>
            </w:r>
          </w:p>
        </w:tc>
        <w:tc>
          <w:tcPr>
            <w:tcW w:w="0" w:type="dxa"/>
            <w:vAlign w:val="center"/>
          </w:tcPr>
          <w:p>
            <w:pPr>
              <w:spacing w:line="240" w:lineRule="auto"/>
              <w:jc w:val="right"/>
            </w:pPr>
            <w:r>
              <w:rPr>
                <w:rFonts w:ascii="宋体" w:hAnsi="宋体" w:eastAsia="宋体" w:cs="宋体"/>
                <w:b w:val="0"/>
              </w:rPr>
              <w:t>22,986,955.80</w:t>
            </w:r>
          </w:p>
        </w:tc>
        <w:tc>
          <w:tcPr>
            <w:tcW w:w="0" w:type="dxa"/>
            <w:vAlign w:val="center"/>
          </w:tcPr>
          <w:p>
            <w:pPr>
              <w:spacing w:line="240" w:lineRule="auto"/>
              <w:jc w:val="right"/>
            </w:pPr>
            <w:r>
              <w:rPr>
                <w:rFonts w:ascii="宋体" w:hAnsi="宋体" w:eastAsia="宋体" w:cs="宋体"/>
                <w:b w:val="0"/>
              </w:rPr>
              <w:t>1,491,107.08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结算备付金</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w:t>
            </w:r>
          </w:p>
        </w:tc>
        <w:tc>
          <w:tcPr>
            <w:tcW w:w="0" w:type="dxa"/>
            <w:vAlign w:val="center"/>
          </w:tcPr>
          <w:p>
            <w:pPr>
              <w:spacing w:line="240" w:lineRule="auto"/>
              <w:jc w:val="center"/>
            </w:pPr>
            <w:r>
              <w:rPr>
                <w:rFonts w:ascii="宋体" w:hAnsi="宋体" w:eastAsia="宋体" w:cs="宋体"/>
                <w:b w:val="0"/>
              </w:rPr>
              <w:t>6.4.7.2</w:t>
            </w:r>
          </w:p>
        </w:tc>
        <w:tc>
          <w:tcPr>
            <w:tcW w:w="0" w:type="dxa"/>
            <w:vAlign w:val="center"/>
          </w:tcPr>
          <w:p>
            <w:pPr>
              <w:spacing w:line="240" w:lineRule="auto"/>
              <w:jc w:val="right"/>
            </w:pPr>
            <w:r>
              <w:rPr>
                <w:rFonts w:ascii="宋体" w:hAnsi="宋体" w:eastAsia="宋体" w:cs="宋体"/>
                <w:b w:val="0"/>
              </w:rPr>
              <w:t>1,229,378,342.88</w:t>
            </w:r>
          </w:p>
        </w:tc>
        <w:tc>
          <w:tcPr>
            <w:tcW w:w="0" w:type="dxa"/>
            <w:vAlign w:val="center"/>
          </w:tcPr>
          <w:p>
            <w:pPr>
              <w:spacing w:line="240" w:lineRule="auto"/>
              <w:jc w:val="right"/>
            </w:pPr>
            <w:r>
              <w:rPr>
                <w:rFonts w:ascii="宋体" w:hAnsi="宋体" w:eastAsia="宋体" w:cs="宋体"/>
                <w:b w:val="0"/>
              </w:rPr>
              <w:t>27,904,322.21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其中：股票投资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26,395,277.00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1,509,045.21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贵金属投资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衍生金融资产</w:t>
            </w:r>
          </w:p>
        </w:tc>
        <w:tc>
          <w:tcPr>
            <w:tcW w:w="0" w:type="dxa"/>
            <w:vAlign w:val="center"/>
          </w:tcPr>
          <w:p>
            <w:pPr>
              <w:spacing w:line="240" w:lineRule="auto"/>
              <w:jc w:val="center"/>
            </w:pPr>
            <w:r>
              <w:rPr>
                <w:rFonts w:ascii="宋体" w:hAnsi="宋体" w:eastAsia="宋体" w:cs="宋体"/>
                <w:b w:val="0"/>
              </w:rPr>
              <w:t>6.4.7.3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center"/>
            </w:pPr>
            <w:r>
              <w:rPr>
                <w:rFonts w:ascii="宋体" w:hAnsi="宋体" w:eastAsia="宋体" w:cs="宋体"/>
                <w:b w:val="0"/>
              </w:rPr>
              <w:t>6.4.7.4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应收清算款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118,455,645.31</w:t>
            </w:r>
          </w:p>
        </w:tc>
        <w:tc>
          <w:tcPr>
            <w:tcW w:w="0" w:type="dxa"/>
            <w:vAlign w:val="center"/>
          </w:tcPr>
          <w:p>
            <w:pPr>
              <w:spacing w:line="240" w:lineRule="auto"/>
              <w:jc w:val="right"/>
            </w:pPr>
            <w:r>
              <w:rPr>
                <w:rFonts w:ascii="宋体" w:hAnsi="宋体" w:eastAsia="宋体" w:cs="宋体"/>
                <w:b w:val="0"/>
              </w:rPr>
              <w:t>213,829.32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递延所得税资产</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center"/>
            </w:pPr>
            <w:r>
              <w:rPr>
                <w:rFonts w:ascii="宋体" w:hAnsi="宋体" w:eastAsia="宋体" w:cs="宋体"/>
                <w:b w:val="0"/>
              </w:rPr>
              <w:t>6.4.7.5</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资产总计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1,370,820,943.99</w:t>
            </w:r>
          </w:p>
        </w:tc>
        <w:tc>
          <w:tcPr>
            <w:tcW w:w="0" w:type="dxa"/>
            <w:vAlign w:val="center"/>
          </w:tcPr>
          <w:p>
            <w:pPr>
              <w:spacing w:line="240" w:lineRule="auto"/>
              <w:jc w:val="right"/>
            </w:pPr>
            <w:r>
              <w:rPr>
                <w:rFonts w:ascii="宋体" w:hAnsi="宋体" w:eastAsia="宋体" w:cs="宋体"/>
                <w:b w:val="0"/>
              </w:rPr>
              <w:t>29,609,258.61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center"/>
            </w:pPr>
            <w:r>
              <w:rPr>
                <w:rFonts w:ascii="宋体" w:hAnsi="宋体" w:eastAsia="宋体" w:cs="宋体"/>
                <w:b/>
              </w:rPr>
              <w:t>负债和净资产</w:t>
            </w:r>
          </w:p>
        </w:tc>
        <w:tc>
          <w:tcPr>
            <w:tcW w:w="0" w:type="dxa"/>
            <w:shd w:val="clear" w:color="auto" w:fill="D9D9D9"/>
            <w:vAlign w:val="center"/>
          </w:tcPr>
          <w:p>
            <w:pPr>
              <w:spacing w:line="240" w:lineRule="auto"/>
              <w:jc w:val="center"/>
            </w:pPr>
            <w:r>
              <w:rPr>
                <w:rFonts w:ascii="宋体" w:hAnsi="宋体" w:eastAsia="宋体" w:cs="宋体"/>
                <w:b/>
              </w:rPr>
              <w:t>附注号</w:t>
            </w:r>
          </w:p>
        </w:tc>
        <w:tc>
          <w:tcPr>
            <w:tcW w:w="1538" w:type="pct"/>
            <w:shd w:val="clear" w:color="auto" w:fill="D9D9D9"/>
            <w:vAlign w:val="center"/>
          </w:tcPr>
          <w:p>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负 债：</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短期借款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交易性金融负债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衍生金融负债</w:t>
            </w:r>
          </w:p>
        </w:tc>
        <w:tc>
          <w:tcPr>
            <w:tcW w:w="0" w:type="dxa"/>
            <w:vAlign w:val="center"/>
          </w:tcPr>
          <w:p>
            <w:pPr>
              <w:spacing w:line="240" w:lineRule="auto"/>
              <w:jc w:val="center"/>
            </w:pPr>
            <w:r>
              <w:rPr>
                <w:rFonts w:ascii="宋体" w:hAnsi="宋体" w:eastAsia="宋体" w:cs="宋体"/>
                <w:b w:val="0"/>
              </w:rPr>
              <w:t>6.4.7.3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卖出回购金融资产款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应付清算款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应付赎回款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25,463,175.83</w:t>
            </w:r>
          </w:p>
        </w:tc>
        <w:tc>
          <w:tcPr>
            <w:tcW w:w="0" w:type="dxa"/>
            <w:vAlign w:val="center"/>
          </w:tcPr>
          <w:p>
            <w:pPr>
              <w:spacing w:line="240" w:lineRule="auto"/>
              <w:jc w:val="right"/>
            </w:pPr>
            <w:r>
              <w:rPr>
                <w:rFonts w:ascii="宋体" w:hAnsi="宋体" w:eastAsia="宋体" w:cs="宋体"/>
                <w:b w:val="0"/>
              </w:rPr>
              <w:t>1,392,214.87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应付管理人报酬</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417,620.09</w:t>
            </w:r>
          </w:p>
        </w:tc>
        <w:tc>
          <w:tcPr>
            <w:tcW w:w="0" w:type="dxa"/>
            <w:vAlign w:val="center"/>
          </w:tcPr>
          <w:p>
            <w:pPr>
              <w:spacing w:line="240" w:lineRule="auto"/>
              <w:jc w:val="right"/>
            </w:pPr>
            <w:r>
              <w:rPr>
                <w:rFonts w:ascii="宋体" w:hAnsi="宋体" w:eastAsia="宋体" w:cs="宋体"/>
                <w:b w:val="0"/>
              </w:rPr>
              <w:t>32,109.93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应付托管费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69,603.35</w:t>
            </w:r>
          </w:p>
        </w:tc>
        <w:tc>
          <w:tcPr>
            <w:tcW w:w="0" w:type="dxa"/>
            <w:vAlign w:val="center"/>
          </w:tcPr>
          <w:p>
            <w:pPr>
              <w:spacing w:line="240" w:lineRule="auto"/>
              <w:jc w:val="right"/>
            </w:pPr>
            <w:r>
              <w:rPr>
                <w:rFonts w:ascii="宋体" w:hAnsi="宋体" w:eastAsia="宋体" w:cs="宋体"/>
                <w:b w:val="0"/>
              </w:rPr>
              <w:t>5,351.64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应付销售服务费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97,346.24</w:t>
            </w:r>
          </w:p>
        </w:tc>
        <w:tc>
          <w:tcPr>
            <w:tcW w:w="0" w:type="dxa"/>
            <w:vAlign w:val="center"/>
          </w:tcPr>
          <w:p>
            <w:pPr>
              <w:spacing w:line="240" w:lineRule="auto"/>
              <w:jc w:val="right"/>
            </w:pPr>
            <w:r>
              <w:rPr>
                <w:rFonts w:ascii="宋体" w:hAnsi="宋体" w:eastAsia="宋体" w:cs="宋体"/>
                <w:b w:val="0"/>
              </w:rPr>
              <w:t>3,345.40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应付投资顾问费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应交税费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448.43</w:t>
            </w:r>
          </w:p>
        </w:tc>
        <w:tc>
          <w:tcPr>
            <w:tcW w:w="0" w:type="dxa"/>
            <w:vAlign w:val="center"/>
          </w:tcPr>
          <w:p>
            <w:pPr>
              <w:spacing w:line="240" w:lineRule="auto"/>
              <w:jc w:val="right"/>
            </w:pPr>
            <w:r>
              <w:rPr>
                <w:rFonts w:ascii="宋体" w:hAnsi="宋体" w:eastAsia="宋体" w:cs="宋体"/>
                <w:b w:val="0"/>
              </w:rPr>
              <w:t>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应付利润</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递延所得税负债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其他负债</w:t>
            </w:r>
          </w:p>
        </w:tc>
        <w:tc>
          <w:tcPr>
            <w:tcW w:w="0" w:type="dxa"/>
            <w:vAlign w:val="center"/>
          </w:tcPr>
          <w:p>
            <w:pPr>
              <w:spacing w:line="240" w:lineRule="auto"/>
              <w:jc w:val="center"/>
            </w:pPr>
            <w:r>
              <w:rPr>
                <w:rFonts w:ascii="宋体" w:hAnsi="宋体" w:eastAsia="宋体" w:cs="宋体"/>
                <w:b w:val="0"/>
              </w:rPr>
              <w:t>6.4.7.6</w:t>
            </w:r>
          </w:p>
        </w:tc>
        <w:tc>
          <w:tcPr>
            <w:tcW w:w="0" w:type="dxa"/>
            <w:vAlign w:val="center"/>
          </w:tcPr>
          <w:p>
            <w:pPr>
              <w:spacing w:line="240" w:lineRule="auto"/>
              <w:jc w:val="right"/>
            </w:pPr>
            <w:r>
              <w:rPr>
                <w:rFonts w:ascii="宋体" w:hAnsi="宋体" w:eastAsia="宋体" w:cs="宋体"/>
                <w:b w:val="0"/>
              </w:rPr>
              <w:t>31,188.99</w:t>
            </w:r>
          </w:p>
        </w:tc>
        <w:tc>
          <w:tcPr>
            <w:tcW w:w="0" w:type="dxa"/>
            <w:vAlign w:val="center"/>
          </w:tcPr>
          <w:p>
            <w:pPr>
              <w:spacing w:line="240" w:lineRule="auto"/>
              <w:jc w:val="right"/>
            </w:pPr>
            <w:r>
              <w:rPr>
                <w:rFonts w:ascii="宋体" w:hAnsi="宋体" w:eastAsia="宋体" w:cs="宋体"/>
                <w:b w:val="0"/>
              </w:rPr>
              <w:t>6,046.57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26,079,382.93</w:t>
            </w:r>
          </w:p>
        </w:tc>
        <w:tc>
          <w:tcPr>
            <w:tcW w:w="0" w:type="dxa"/>
            <w:vAlign w:val="center"/>
          </w:tcPr>
          <w:p>
            <w:pPr>
              <w:spacing w:line="240" w:lineRule="auto"/>
              <w:jc w:val="right"/>
            </w:pPr>
            <w:r>
              <w:rPr>
                <w:rFonts w:ascii="宋体" w:hAnsi="宋体" w:eastAsia="宋体" w:cs="宋体"/>
                <w:b w:val="0"/>
              </w:rPr>
              <w:t>1,439,069.89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净资产：</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实收基金</w:t>
            </w:r>
          </w:p>
        </w:tc>
        <w:tc>
          <w:tcPr>
            <w:tcW w:w="0" w:type="dxa"/>
            <w:vAlign w:val="center"/>
          </w:tcPr>
          <w:p>
            <w:pPr>
              <w:spacing w:line="240" w:lineRule="auto"/>
              <w:jc w:val="center"/>
            </w:pPr>
            <w:r>
              <w:rPr>
                <w:rFonts w:ascii="宋体" w:hAnsi="宋体" w:eastAsia="宋体" w:cs="宋体"/>
                <w:b w:val="0"/>
              </w:rPr>
              <w:t>6.4.7.7</w:t>
            </w:r>
          </w:p>
        </w:tc>
        <w:tc>
          <w:tcPr>
            <w:tcW w:w="0" w:type="dxa"/>
            <w:vAlign w:val="center"/>
          </w:tcPr>
          <w:p>
            <w:pPr>
              <w:spacing w:line="240" w:lineRule="auto"/>
              <w:jc w:val="right"/>
            </w:pPr>
            <w:r>
              <w:rPr>
                <w:rFonts w:ascii="宋体" w:hAnsi="宋体" w:eastAsia="宋体" w:cs="宋体"/>
                <w:b w:val="0"/>
              </w:rPr>
              <w:t>732,159,524.73</w:t>
            </w:r>
          </w:p>
        </w:tc>
        <w:tc>
          <w:tcPr>
            <w:tcW w:w="0" w:type="dxa"/>
            <w:vAlign w:val="center"/>
          </w:tcPr>
          <w:p>
            <w:pPr>
              <w:spacing w:line="240" w:lineRule="auto"/>
              <w:jc w:val="right"/>
            </w:pPr>
            <w:r>
              <w:rPr>
                <w:rFonts w:ascii="宋体" w:hAnsi="宋体" w:eastAsia="宋体" w:cs="宋体"/>
                <w:b w:val="0"/>
              </w:rPr>
              <w:t>25,495,889.22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未分配利润</w:t>
            </w:r>
          </w:p>
        </w:tc>
        <w:tc>
          <w:tcPr>
            <w:tcW w:w="0" w:type="dxa"/>
            <w:vAlign w:val="center"/>
          </w:tcPr>
          <w:p>
            <w:pPr>
              <w:spacing w:line="240" w:lineRule="auto"/>
              <w:jc w:val="center"/>
            </w:pPr>
            <w:r>
              <w:rPr>
                <w:rFonts w:ascii="宋体" w:hAnsi="宋体" w:eastAsia="宋体" w:cs="宋体"/>
                <w:b w:val="0"/>
              </w:rPr>
              <w:t>6.4.7.8</w:t>
            </w:r>
          </w:p>
        </w:tc>
        <w:tc>
          <w:tcPr>
            <w:tcW w:w="0" w:type="dxa"/>
            <w:vAlign w:val="center"/>
          </w:tcPr>
          <w:p>
            <w:pPr>
              <w:spacing w:line="240" w:lineRule="auto"/>
              <w:jc w:val="right"/>
            </w:pPr>
            <w:r>
              <w:rPr>
                <w:rFonts w:ascii="宋体" w:hAnsi="宋体" w:eastAsia="宋体" w:cs="宋体"/>
                <w:b w:val="0"/>
              </w:rPr>
              <w:t>612,582,036.33</w:t>
            </w:r>
          </w:p>
        </w:tc>
        <w:tc>
          <w:tcPr>
            <w:tcW w:w="0" w:type="dxa"/>
            <w:vAlign w:val="center"/>
          </w:tcPr>
          <w:p>
            <w:pPr>
              <w:spacing w:line="240" w:lineRule="auto"/>
              <w:jc w:val="right"/>
            </w:pPr>
            <w:r>
              <w:rPr>
                <w:rFonts w:ascii="宋体" w:hAnsi="宋体" w:eastAsia="宋体" w:cs="宋体"/>
                <w:b w:val="0"/>
              </w:rPr>
              <w:t>2,674,299.50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净资产合计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1,344,741,561.06</w:t>
            </w:r>
          </w:p>
        </w:tc>
        <w:tc>
          <w:tcPr>
            <w:tcW w:w="0" w:type="dxa"/>
            <w:vAlign w:val="center"/>
          </w:tcPr>
          <w:p>
            <w:pPr>
              <w:spacing w:line="240" w:lineRule="auto"/>
              <w:jc w:val="right"/>
            </w:pPr>
            <w:r>
              <w:rPr>
                <w:rFonts w:ascii="宋体" w:hAnsi="宋体" w:eastAsia="宋体" w:cs="宋体"/>
                <w:b w:val="0"/>
              </w:rPr>
              <w:t>28,170,188.72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负债和净资产总计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1,370,820,943.99</w:t>
            </w:r>
          </w:p>
        </w:tc>
        <w:tc>
          <w:tcPr>
            <w:tcW w:w="0" w:type="dxa"/>
            <w:vAlign w:val="center"/>
          </w:tcPr>
          <w:p>
            <w:pPr>
              <w:spacing w:line="240" w:lineRule="auto"/>
              <w:jc w:val="right"/>
            </w:pPr>
            <w:r>
              <w:rPr>
                <w:rFonts w:ascii="宋体" w:hAnsi="宋体" w:eastAsia="宋体" w:cs="宋体"/>
                <w:b w:val="0"/>
              </w:rPr>
              <w:t>29,609,258.61</w:t>
            </w:r>
          </w:p>
        </w:tc>
      </w:tr>
    </w:tbl>
    <w:p>
      <w:r>
        <w:rPr>
          <w:rFonts w:ascii="宋体" w:hAnsi="宋体" w:eastAsia="宋体" w:cs="宋体"/>
          <w:b w:val="0"/>
        </w:rPr>
        <w:t>注：报告截止日2026年06月30日，东方阿尔法科技甄选混合型发起式证券投资基金A类基金份额净值1.8407元，C类基金份额净值1.8366元，基金总份额732,159,524.73份，其中A类基金份额21,981,743.96份，C类基金份额710,177,780.77份。</w:t>
      </w:r>
    </w:p>
    <w:p/>
    <w:p>
      <w:pPr>
        <w:pStyle w:val="3"/>
        <w:jc w:val="left"/>
      </w:pPr>
      <w:bookmarkStart w:id="29" w:name="_Toc12675"/>
      <w:r>
        <w:rPr>
          <w:rFonts w:ascii="宋体" w:hAnsi="宋体" w:eastAsia="宋体" w:cs="宋体"/>
        </w:rPr>
        <w:t>6.2 利润表</w:t>
      </w:r>
      <w:bookmarkEnd w:id="29"/>
    </w:p>
    <w:p>
      <w:pPr>
        <w:jc w:val="left"/>
      </w:pPr>
      <w:r>
        <w:rPr>
          <w:rFonts w:ascii="宋体" w:hAnsi="宋体" w:eastAsia="宋体" w:cs="宋体"/>
          <w:b w:val="0"/>
        </w:rPr>
        <w:t>会计主体：东方阿尔法科技甄选混合型发起式证券投资基金</w:t>
      </w:r>
    </w:p>
    <w:p>
      <w:pPr>
        <w:jc w:val="left"/>
      </w:pPr>
      <w:r>
        <w:rPr>
          <w:rFonts w:ascii="宋体" w:hAnsi="宋体" w:eastAsia="宋体" w:cs="宋体"/>
          <w:b w:val="0"/>
        </w:rPr>
        <w:t>本报告期：2026年01月01日至2026年06月30日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1547"/>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pPr>
              <w:spacing w:line="240" w:lineRule="auto"/>
              <w:jc w:val="center"/>
            </w:pPr>
            <w:r>
              <w:rPr>
                <w:rFonts w:ascii="宋体" w:hAnsi="宋体" w:eastAsia="宋体" w:cs="宋体"/>
                <w:b/>
              </w:rPr>
              <w:t>项 目</w:t>
            </w:r>
          </w:p>
        </w:tc>
        <w:tc>
          <w:tcPr>
            <w:tcW w:w="769" w:type="pct"/>
            <w:shd w:val="clear" w:color="auto" w:fill="D9D9D9"/>
            <w:vAlign w:val="center"/>
          </w:tcPr>
          <w:p>
            <w:pPr>
              <w:spacing w:line="240" w:lineRule="auto"/>
              <w:jc w:val="center"/>
            </w:pPr>
            <w:r>
              <w:rPr>
                <w:rFonts w:ascii="宋体" w:hAnsi="宋体" w:eastAsia="宋体" w:cs="宋体"/>
                <w:b/>
              </w:rPr>
              <w:t>附注号</w:t>
            </w:r>
          </w:p>
        </w:tc>
        <w:tc>
          <w:tcPr>
            <w:tcW w:w="1538" w:type="pct"/>
            <w:shd w:val="clear" w:color="auto" w:fill="D9D9D9"/>
            <w:vAlign w:val="center"/>
          </w:tcPr>
          <w:p>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一、营业总收入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127,529,030.33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4,468.48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其中：存款利息收入</w:t>
            </w:r>
          </w:p>
        </w:tc>
        <w:tc>
          <w:tcPr>
            <w:tcW w:w="0" w:type="dxa"/>
            <w:vAlign w:val="center"/>
          </w:tcPr>
          <w:p>
            <w:pPr>
              <w:spacing w:line="240" w:lineRule="auto"/>
              <w:jc w:val="center"/>
            </w:pPr>
            <w:r>
              <w:rPr>
                <w:rFonts w:ascii="宋体" w:hAnsi="宋体" w:eastAsia="宋体" w:cs="宋体"/>
                <w:b w:val="0"/>
              </w:rPr>
              <w:t>6.4.7.9</w:t>
            </w:r>
          </w:p>
        </w:tc>
        <w:tc>
          <w:tcPr>
            <w:tcW w:w="0" w:type="dxa"/>
            <w:vAlign w:val="center"/>
          </w:tcPr>
          <w:p>
            <w:pPr>
              <w:spacing w:line="240" w:lineRule="auto"/>
              <w:jc w:val="right"/>
            </w:pPr>
            <w:r>
              <w:rPr>
                <w:rFonts w:ascii="宋体" w:hAnsi="宋体" w:eastAsia="宋体" w:cs="宋体"/>
                <w:b w:val="0"/>
              </w:rPr>
              <w:t>4,468.48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买入返售金融资产收入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2.投资收益（损失以“-”填列）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-3,016,128.01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其中：股票投资收益</w:t>
            </w:r>
          </w:p>
        </w:tc>
        <w:tc>
          <w:tcPr>
            <w:tcW w:w="0" w:type="dxa"/>
            <w:vAlign w:val="center"/>
          </w:tcPr>
          <w:p>
            <w:pPr>
              <w:spacing w:line="240" w:lineRule="auto"/>
              <w:jc w:val="center"/>
            </w:pPr>
            <w:r>
              <w:rPr>
                <w:rFonts w:ascii="宋体" w:hAnsi="宋体" w:eastAsia="宋体" w:cs="宋体"/>
                <w:b w:val="0"/>
              </w:rPr>
              <w:t>6.4.7.10</w:t>
            </w:r>
          </w:p>
        </w:tc>
        <w:tc>
          <w:tcPr>
            <w:tcW w:w="0" w:type="dxa"/>
            <w:vAlign w:val="center"/>
          </w:tcPr>
          <w:p>
            <w:pPr>
              <w:spacing w:line="240" w:lineRule="auto"/>
              <w:jc w:val="right"/>
            </w:pPr>
            <w:r>
              <w:rPr>
                <w:rFonts w:ascii="宋体" w:hAnsi="宋体" w:eastAsia="宋体" w:cs="宋体"/>
                <w:b w:val="0"/>
              </w:rPr>
              <w:t>-3,378,798.40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基金投资收益</w:t>
            </w:r>
          </w:p>
        </w:tc>
        <w:tc>
          <w:tcPr>
            <w:tcW w:w="0" w:type="dxa"/>
            <w:vAlign w:val="center"/>
          </w:tcPr>
          <w:p>
            <w:pPr>
              <w:spacing w:line="240" w:lineRule="auto"/>
              <w:jc w:val="center"/>
            </w:pPr>
            <w:r>
              <w:rPr>
                <w:rFonts w:ascii="宋体" w:hAnsi="宋体" w:eastAsia="宋体" w:cs="宋体"/>
                <w:b w:val="0"/>
              </w:rPr>
              <w:t>6.4.7.11</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债券投资收益</w:t>
            </w:r>
          </w:p>
        </w:tc>
        <w:tc>
          <w:tcPr>
            <w:tcW w:w="0" w:type="dxa"/>
            <w:vAlign w:val="center"/>
          </w:tcPr>
          <w:p>
            <w:pPr>
              <w:spacing w:line="240" w:lineRule="auto"/>
              <w:jc w:val="center"/>
            </w:pPr>
            <w:r>
              <w:rPr>
                <w:rFonts w:ascii="宋体" w:hAnsi="宋体" w:eastAsia="宋体" w:cs="宋体"/>
                <w:b w:val="0"/>
              </w:rPr>
              <w:t>6.4.7.12</w:t>
            </w:r>
          </w:p>
        </w:tc>
        <w:tc>
          <w:tcPr>
            <w:tcW w:w="0" w:type="dxa"/>
            <w:vAlign w:val="center"/>
          </w:tcPr>
          <w:p>
            <w:pPr>
              <w:spacing w:line="240" w:lineRule="auto"/>
              <w:jc w:val="right"/>
            </w:pPr>
            <w:r>
              <w:rPr>
                <w:rFonts w:ascii="宋体" w:hAnsi="宋体" w:eastAsia="宋体" w:cs="宋体"/>
                <w:b w:val="0"/>
              </w:rPr>
              <w:t>57,131.57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资产支持证券投资收益</w:t>
            </w:r>
          </w:p>
        </w:tc>
        <w:tc>
          <w:tcPr>
            <w:tcW w:w="0" w:type="dxa"/>
            <w:vAlign w:val="center"/>
          </w:tcPr>
          <w:p>
            <w:pPr>
              <w:spacing w:line="240" w:lineRule="auto"/>
              <w:jc w:val="center"/>
            </w:pPr>
            <w:r>
              <w:rPr>
                <w:rFonts w:ascii="宋体" w:hAnsi="宋体" w:eastAsia="宋体" w:cs="宋体"/>
                <w:b w:val="0"/>
              </w:rPr>
              <w:t>6.4.7.13</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贵金属投资收益</w:t>
            </w:r>
          </w:p>
        </w:tc>
        <w:tc>
          <w:tcPr>
            <w:tcW w:w="0" w:type="dxa"/>
            <w:vAlign w:val="center"/>
          </w:tcPr>
          <w:p>
            <w:pPr>
              <w:spacing w:line="240" w:lineRule="auto"/>
              <w:jc w:val="center"/>
            </w:pPr>
            <w:r>
              <w:rPr>
                <w:rFonts w:ascii="宋体" w:hAnsi="宋体" w:eastAsia="宋体" w:cs="宋体"/>
                <w:b w:val="0"/>
              </w:rPr>
              <w:t>6.4.7.14</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衍生工具收益</w:t>
            </w:r>
          </w:p>
        </w:tc>
        <w:tc>
          <w:tcPr>
            <w:tcW w:w="0" w:type="dxa"/>
            <w:vAlign w:val="center"/>
          </w:tcPr>
          <w:p>
            <w:pPr>
              <w:spacing w:line="240" w:lineRule="auto"/>
              <w:jc w:val="center"/>
            </w:pPr>
            <w:r>
              <w:rPr>
                <w:rFonts w:ascii="宋体" w:hAnsi="宋体" w:eastAsia="宋体" w:cs="宋体"/>
                <w:b w:val="0"/>
              </w:rPr>
              <w:t>6.4.7.15</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股利收益</w:t>
            </w:r>
          </w:p>
        </w:tc>
        <w:tc>
          <w:tcPr>
            <w:tcW w:w="0" w:type="dxa"/>
            <w:vAlign w:val="center"/>
          </w:tcPr>
          <w:p>
            <w:pPr>
              <w:spacing w:line="240" w:lineRule="auto"/>
              <w:jc w:val="center"/>
            </w:pPr>
            <w:r>
              <w:rPr>
                <w:rFonts w:ascii="宋体" w:hAnsi="宋体" w:eastAsia="宋体" w:cs="宋体"/>
                <w:b w:val="0"/>
              </w:rPr>
              <w:t>6.4.7.16</w:t>
            </w:r>
          </w:p>
        </w:tc>
        <w:tc>
          <w:tcPr>
            <w:tcW w:w="0" w:type="dxa"/>
            <w:vAlign w:val="center"/>
          </w:tcPr>
          <w:p>
            <w:pPr>
              <w:spacing w:line="240" w:lineRule="auto"/>
              <w:jc w:val="right"/>
            </w:pPr>
            <w:r>
              <w:rPr>
                <w:rFonts w:ascii="宋体" w:hAnsi="宋体" w:eastAsia="宋体" w:cs="宋体"/>
                <w:b w:val="0"/>
              </w:rPr>
              <w:t>305,538.82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其他投资收益</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3.公允价值变动收益（损失以“-”号填列）</w:t>
            </w:r>
          </w:p>
        </w:tc>
        <w:tc>
          <w:tcPr>
            <w:tcW w:w="0" w:type="dxa"/>
            <w:vAlign w:val="center"/>
          </w:tcPr>
          <w:p>
            <w:pPr>
              <w:spacing w:line="240" w:lineRule="auto"/>
              <w:jc w:val="center"/>
            </w:pPr>
            <w:r>
              <w:rPr>
                <w:rFonts w:ascii="宋体" w:hAnsi="宋体" w:eastAsia="宋体" w:cs="宋体"/>
                <w:b w:val="0"/>
              </w:rPr>
              <w:t>6.4.7.17</w:t>
            </w:r>
          </w:p>
        </w:tc>
        <w:tc>
          <w:tcPr>
            <w:tcW w:w="0" w:type="dxa"/>
            <w:vAlign w:val="center"/>
          </w:tcPr>
          <w:p>
            <w:pPr>
              <w:spacing w:line="240" w:lineRule="auto"/>
              <w:jc w:val="right"/>
            </w:pPr>
            <w:r>
              <w:rPr>
                <w:rFonts w:ascii="宋体" w:hAnsi="宋体" w:eastAsia="宋体" w:cs="宋体"/>
                <w:b w:val="0"/>
              </w:rPr>
              <w:t>125,754,816.06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4.汇兑收益（损失以“-”号填列）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5.其他收入（损失以“-”号填列）</w:t>
            </w:r>
          </w:p>
        </w:tc>
        <w:tc>
          <w:tcPr>
            <w:tcW w:w="0" w:type="dxa"/>
            <w:vAlign w:val="center"/>
          </w:tcPr>
          <w:p>
            <w:pPr>
              <w:spacing w:line="240" w:lineRule="auto"/>
              <w:jc w:val="center"/>
            </w:pPr>
            <w:r>
              <w:rPr>
                <w:rFonts w:ascii="宋体" w:hAnsi="宋体" w:eastAsia="宋体" w:cs="宋体"/>
                <w:b w:val="0"/>
              </w:rPr>
              <w:t>6.4.7.18</w:t>
            </w:r>
          </w:p>
        </w:tc>
        <w:tc>
          <w:tcPr>
            <w:tcW w:w="0" w:type="dxa"/>
            <w:vAlign w:val="center"/>
          </w:tcPr>
          <w:p>
            <w:pPr>
              <w:spacing w:line="240" w:lineRule="auto"/>
              <w:jc w:val="right"/>
            </w:pPr>
            <w:r>
              <w:rPr>
                <w:rFonts w:ascii="宋体" w:hAnsi="宋体" w:eastAsia="宋体" w:cs="宋体"/>
                <w:b w:val="0"/>
              </w:rPr>
              <w:t>4,785,873.80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减：二、营业总支出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1,549,529.02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1．管理人报酬</w:t>
            </w:r>
          </w:p>
        </w:tc>
        <w:tc>
          <w:tcPr>
            <w:tcW w:w="0" w:type="dxa"/>
            <w:vAlign w:val="center"/>
          </w:tcPr>
          <w:p>
            <w:pPr>
              <w:spacing w:line="240" w:lineRule="auto"/>
              <w:jc w:val="center"/>
            </w:pPr>
            <w:r>
              <w:rPr>
                <w:rFonts w:ascii="宋体" w:hAnsi="宋体" w:eastAsia="宋体" w:cs="宋体"/>
                <w:b w:val="0"/>
              </w:rPr>
              <w:t>6.4.10.2.1</w:t>
            </w:r>
          </w:p>
        </w:tc>
        <w:tc>
          <w:tcPr>
            <w:tcW w:w="0" w:type="dxa"/>
            <w:vAlign w:val="center"/>
          </w:tcPr>
          <w:p>
            <w:pPr>
              <w:spacing w:line="240" w:lineRule="auto"/>
              <w:jc w:val="right"/>
            </w:pPr>
            <w:r>
              <w:rPr>
                <w:rFonts w:ascii="宋体" w:hAnsi="宋体" w:eastAsia="宋体" w:cs="宋体"/>
                <w:b w:val="0"/>
              </w:rPr>
              <w:t>1,098,082.76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2．托管费</w:t>
            </w:r>
          </w:p>
        </w:tc>
        <w:tc>
          <w:tcPr>
            <w:tcW w:w="0" w:type="dxa"/>
            <w:vAlign w:val="center"/>
          </w:tcPr>
          <w:p>
            <w:pPr>
              <w:spacing w:line="240" w:lineRule="auto"/>
              <w:jc w:val="center"/>
            </w:pPr>
            <w:r>
              <w:rPr>
                <w:rFonts w:ascii="宋体" w:hAnsi="宋体" w:eastAsia="宋体" w:cs="宋体"/>
                <w:b w:val="0"/>
              </w:rPr>
              <w:t>6.4.10.2.2</w:t>
            </w:r>
          </w:p>
        </w:tc>
        <w:tc>
          <w:tcPr>
            <w:tcW w:w="0" w:type="dxa"/>
            <w:vAlign w:val="center"/>
          </w:tcPr>
          <w:p>
            <w:pPr>
              <w:spacing w:line="240" w:lineRule="auto"/>
              <w:jc w:val="right"/>
            </w:pPr>
            <w:r>
              <w:rPr>
                <w:rFonts w:ascii="宋体" w:hAnsi="宋体" w:eastAsia="宋体" w:cs="宋体"/>
                <w:b w:val="0"/>
              </w:rPr>
              <w:t>183,013.86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3．销售服务费</w:t>
            </w:r>
          </w:p>
        </w:tc>
        <w:tc>
          <w:tcPr>
            <w:tcW w:w="0" w:type="dxa"/>
            <w:vAlign w:val="center"/>
          </w:tcPr>
          <w:p>
            <w:pPr>
              <w:spacing w:line="240" w:lineRule="auto"/>
              <w:jc w:val="center"/>
            </w:pPr>
            <w:r>
              <w:rPr>
                <w:rFonts w:ascii="宋体" w:hAnsi="宋体" w:eastAsia="宋体" w:cs="宋体"/>
                <w:b w:val="0"/>
              </w:rPr>
              <w:t>6.4.10.2.3</w:t>
            </w:r>
          </w:p>
        </w:tc>
        <w:tc>
          <w:tcPr>
            <w:tcW w:w="0" w:type="dxa"/>
            <w:vAlign w:val="center"/>
          </w:tcPr>
          <w:p>
            <w:pPr>
              <w:spacing w:line="240" w:lineRule="auto"/>
              <w:jc w:val="right"/>
            </w:pPr>
            <w:r>
              <w:rPr>
                <w:rFonts w:ascii="宋体" w:hAnsi="宋体" w:eastAsia="宋体" w:cs="宋体"/>
                <w:b w:val="0"/>
              </w:rPr>
              <w:t>233,017.04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4．投资顾问费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5．利息支出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其中：卖出回购金融资产支出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6．信用减值损失</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7．税金及附加</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164.19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8．其他费用</w:t>
            </w:r>
          </w:p>
        </w:tc>
        <w:tc>
          <w:tcPr>
            <w:tcW w:w="0" w:type="dxa"/>
            <w:vAlign w:val="center"/>
          </w:tcPr>
          <w:p>
            <w:pPr>
              <w:spacing w:line="240" w:lineRule="auto"/>
              <w:jc w:val="center"/>
            </w:pPr>
            <w:r>
              <w:rPr>
                <w:rFonts w:ascii="宋体" w:hAnsi="宋体" w:eastAsia="宋体" w:cs="宋体"/>
                <w:b w:val="0"/>
              </w:rPr>
              <w:t>6.4.7.19</w:t>
            </w:r>
          </w:p>
        </w:tc>
        <w:tc>
          <w:tcPr>
            <w:tcW w:w="0" w:type="dxa"/>
            <w:vAlign w:val="center"/>
          </w:tcPr>
          <w:p>
            <w:pPr>
              <w:spacing w:line="240" w:lineRule="auto"/>
              <w:jc w:val="right"/>
            </w:pPr>
            <w:r>
              <w:rPr>
                <w:rFonts w:ascii="宋体" w:hAnsi="宋体" w:eastAsia="宋体" w:cs="宋体"/>
                <w:b w:val="0"/>
              </w:rPr>
              <w:t>35,251.17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三、利润总额（亏损总额以“-”号填列）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125,979,501.31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减：所得税费用</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四、净利润（净亏损以“-”号填列）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125,979,501.31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五、其他综合收益的税后净额</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六、综合收益总额</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125,979,501.31</w:t>
            </w:r>
          </w:p>
        </w:tc>
      </w:tr>
    </w:tbl>
    <w:p>
      <w:r>
        <w:rPr>
          <w:rFonts w:ascii="宋体" w:hAnsi="宋体" w:eastAsia="宋体" w:cs="宋体"/>
          <w:b w:val="0"/>
        </w:rPr>
        <w:t>注：本基金的基金合同生效日为2025年10月30日，无上年度可比期间。</w:t>
      </w:r>
    </w:p>
    <w:p/>
    <w:p>
      <w:pPr>
        <w:pStyle w:val="3"/>
        <w:jc w:val="left"/>
      </w:pPr>
      <w:bookmarkStart w:id="30" w:name="_Toc6544"/>
      <w:r>
        <w:rPr>
          <w:rFonts w:ascii="宋体" w:hAnsi="宋体" w:eastAsia="宋体" w:cs="宋体"/>
        </w:rPr>
        <w:t>6.3 净资产变动表</w:t>
      </w:r>
      <w:bookmarkEnd w:id="30"/>
    </w:p>
    <w:p>
      <w:pPr>
        <w:jc w:val="left"/>
      </w:pPr>
      <w:r>
        <w:rPr>
          <w:rFonts w:ascii="宋体" w:hAnsi="宋体" w:eastAsia="宋体" w:cs="宋体"/>
          <w:b w:val="0"/>
        </w:rPr>
        <w:t>会计主体：东方阿尔法科技甄选混合型发起式证券投资基金</w:t>
      </w:r>
    </w:p>
    <w:p>
      <w:pPr>
        <w:jc w:val="left"/>
      </w:pPr>
      <w:r>
        <w:rPr>
          <w:rFonts w:ascii="宋体" w:hAnsi="宋体" w:eastAsia="宋体" w:cs="宋体"/>
          <w:b w:val="0"/>
        </w:rPr>
        <w:t>本报告期：2026年01月01日至2026年06月30日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2000"/>
        <w:gridCol w:w="2000"/>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9" w:type="pct"/>
            <w:vMerge w:val="restart"/>
            <w:shd w:val="clear" w:color="auto" w:fill="D9D9D9"/>
            <w:vAlign w:val="center"/>
          </w:tcPr>
          <w:p>
            <w:pPr>
              <w:spacing w:line="240" w:lineRule="auto"/>
              <w:jc w:val="center"/>
            </w:pPr>
            <w:r>
              <w:rPr>
                <w:rFonts w:ascii="宋体" w:hAnsi="宋体" w:eastAsia="宋体" w:cs="宋体"/>
                <w:b/>
              </w:rPr>
              <w:t>项 目</w:t>
            </w:r>
          </w:p>
        </w:tc>
        <w:tc>
          <w:tcPr>
            <w:tcW w:w="3231" w:type="pct"/>
            <w:gridSpan w:val="3"/>
            <w:shd w:val="clear" w:color="auto" w:fill="D9D9D9"/>
            <w:vAlign w:val="center"/>
          </w:tcPr>
          <w:p>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077" w:type="pct"/>
            <w:shd w:val="clear" w:color="auto" w:fill="D9D9D9"/>
            <w:vAlign w:val="center"/>
          </w:tcPr>
          <w:p>
            <w:pPr>
              <w:spacing w:line="240" w:lineRule="auto"/>
              <w:jc w:val="center"/>
            </w:pPr>
            <w:r>
              <w:rPr>
                <w:rFonts w:ascii="宋体" w:hAnsi="宋体" w:eastAsia="宋体" w:cs="宋体"/>
                <w:b/>
              </w:rPr>
              <w:t>实收基金</w:t>
            </w:r>
          </w:p>
        </w:tc>
        <w:tc>
          <w:tcPr>
            <w:tcW w:w="1077" w:type="pct"/>
            <w:shd w:val="clear" w:color="auto" w:fill="D9D9D9"/>
            <w:vAlign w:val="center"/>
          </w:tcPr>
          <w:p>
            <w:pPr>
              <w:spacing w:line="240" w:lineRule="auto"/>
              <w:jc w:val="center"/>
            </w:pPr>
            <w:r>
              <w:rPr>
                <w:rFonts w:ascii="宋体" w:hAnsi="宋体" w:eastAsia="宋体" w:cs="宋体"/>
                <w:b/>
              </w:rPr>
              <w:t>未分配利润</w:t>
            </w:r>
          </w:p>
        </w:tc>
        <w:tc>
          <w:tcPr>
            <w:tcW w:w="1077" w:type="pct"/>
            <w:shd w:val="clear" w:color="auto" w:fill="D9D9D9"/>
            <w:vAlign w:val="center"/>
          </w:tcPr>
          <w:p>
            <w:pPr>
              <w:spacing w:line="240" w:lineRule="auto"/>
              <w:jc w:val="center"/>
            </w:pPr>
            <w:r>
              <w:rPr>
                <w:rFonts w:ascii="宋体" w:hAnsi="宋体" w:eastAsia="宋体" w:cs="宋体"/>
                <w:b/>
              </w:rPr>
              <w:t>净资产合计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一、上期期末净资产</w:t>
            </w:r>
          </w:p>
        </w:tc>
        <w:tc>
          <w:tcPr>
            <w:tcW w:w="0" w:type="dxa"/>
            <w:vAlign w:val="center"/>
          </w:tcPr>
          <w:p>
            <w:pPr>
              <w:spacing w:line="240" w:lineRule="auto"/>
              <w:jc w:val="right"/>
            </w:pPr>
            <w:r>
              <w:rPr>
                <w:rFonts w:ascii="宋体" w:hAnsi="宋体" w:eastAsia="宋体" w:cs="宋体"/>
                <w:b w:val="0"/>
              </w:rPr>
              <w:t>25,495,889.22</w:t>
            </w:r>
          </w:p>
        </w:tc>
        <w:tc>
          <w:tcPr>
            <w:tcW w:w="0" w:type="dxa"/>
            <w:vAlign w:val="center"/>
          </w:tcPr>
          <w:p>
            <w:pPr>
              <w:spacing w:line="240" w:lineRule="auto"/>
              <w:jc w:val="right"/>
            </w:pPr>
            <w:r>
              <w:rPr>
                <w:rFonts w:ascii="宋体" w:hAnsi="宋体" w:eastAsia="宋体" w:cs="宋体"/>
                <w:b w:val="0"/>
              </w:rPr>
              <w:t>2,674,299.50</w:t>
            </w:r>
          </w:p>
        </w:tc>
        <w:tc>
          <w:tcPr>
            <w:tcW w:w="0" w:type="dxa"/>
            <w:vAlign w:val="center"/>
          </w:tcPr>
          <w:p>
            <w:pPr>
              <w:spacing w:line="240" w:lineRule="auto"/>
              <w:jc w:val="right"/>
            </w:pPr>
            <w:r>
              <w:rPr>
                <w:rFonts w:ascii="宋体" w:hAnsi="宋体" w:eastAsia="宋体" w:cs="宋体"/>
                <w:b w:val="0"/>
              </w:rPr>
              <w:t>28,170,188.72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二、本期期初净资产</w:t>
            </w:r>
          </w:p>
        </w:tc>
        <w:tc>
          <w:tcPr>
            <w:tcW w:w="0" w:type="dxa"/>
            <w:vAlign w:val="center"/>
          </w:tcPr>
          <w:p>
            <w:pPr>
              <w:spacing w:line="240" w:lineRule="auto"/>
              <w:jc w:val="right"/>
            </w:pPr>
            <w:r>
              <w:rPr>
                <w:rFonts w:ascii="宋体" w:hAnsi="宋体" w:eastAsia="宋体" w:cs="宋体"/>
                <w:b w:val="0"/>
              </w:rPr>
              <w:t>25,495,889.22</w:t>
            </w:r>
          </w:p>
        </w:tc>
        <w:tc>
          <w:tcPr>
            <w:tcW w:w="0" w:type="dxa"/>
            <w:vAlign w:val="center"/>
          </w:tcPr>
          <w:p>
            <w:pPr>
              <w:spacing w:line="240" w:lineRule="auto"/>
              <w:jc w:val="right"/>
            </w:pPr>
            <w:r>
              <w:rPr>
                <w:rFonts w:ascii="宋体" w:hAnsi="宋体" w:eastAsia="宋体" w:cs="宋体"/>
                <w:b w:val="0"/>
              </w:rPr>
              <w:t>2,674,299.50</w:t>
            </w:r>
          </w:p>
        </w:tc>
        <w:tc>
          <w:tcPr>
            <w:tcW w:w="0" w:type="dxa"/>
            <w:vAlign w:val="center"/>
          </w:tcPr>
          <w:p>
            <w:pPr>
              <w:spacing w:line="240" w:lineRule="auto"/>
              <w:jc w:val="right"/>
            </w:pPr>
            <w:r>
              <w:rPr>
                <w:rFonts w:ascii="宋体" w:hAnsi="宋体" w:eastAsia="宋体" w:cs="宋体"/>
                <w:b w:val="0"/>
              </w:rPr>
              <w:t>28,170,188.72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三、本期增减变动额（减少以“-”号填列）</w:t>
            </w:r>
          </w:p>
        </w:tc>
        <w:tc>
          <w:tcPr>
            <w:tcW w:w="0" w:type="dxa"/>
            <w:vAlign w:val="center"/>
          </w:tcPr>
          <w:p>
            <w:pPr>
              <w:spacing w:line="240" w:lineRule="auto"/>
              <w:jc w:val="right"/>
            </w:pPr>
            <w:r>
              <w:rPr>
                <w:rFonts w:ascii="宋体" w:hAnsi="宋体" w:eastAsia="宋体" w:cs="宋体"/>
                <w:b w:val="0"/>
              </w:rPr>
              <w:t>706,663,635.51</w:t>
            </w:r>
          </w:p>
        </w:tc>
        <w:tc>
          <w:tcPr>
            <w:tcW w:w="0" w:type="dxa"/>
            <w:vAlign w:val="center"/>
          </w:tcPr>
          <w:p>
            <w:pPr>
              <w:spacing w:line="240" w:lineRule="auto"/>
              <w:jc w:val="right"/>
            </w:pPr>
            <w:r>
              <w:rPr>
                <w:rFonts w:ascii="宋体" w:hAnsi="宋体" w:eastAsia="宋体" w:cs="宋体"/>
                <w:b w:val="0"/>
              </w:rPr>
              <w:t>609,907,736.83</w:t>
            </w:r>
          </w:p>
        </w:tc>
        <w:tc>
          <w:tcPr>
            <w:tcW w:w="0" w:type="dxa"/>
            <w:vAlign w:val="center"/>
          </w:tcPr>
          <w:p>
            <w:pPr>
              <w:spacing w:line="240" w:lineRule="auto"/>
              <w:jc w:val="right"/>
            </w:pPr>
            <w:r>
              <w:rPr>
                <w:rFonts w:ascii="宋体" w:hAnsi="宋体" w:eastAsia="宋体" w:cs="宋体"/>
                <w:b w:val="0"/>
              </w:rPr>
              <w:t>1,316,571,372.34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（一）、综合收益总额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125,979,501.31</w:t>
            </w:r>
          </w:p>
        </w:tc>
        <w:tc>
          <w:tcPr>
            <w:tcW w:w="0" w:type="dxa"/>
            <w:vAlign w:val="center"/>
          </w:tcPr>
          <w:p>
            <w:pPr>
              <w:spacing w:line="240" w:lineRule="auto"/>
              <w:jc w:val="right"/>
            </w:pPr>
            <w:r>
              <w:rPr>
                <w:rFonts w:ascii="宋体" w:hAnsi="宋体" w:eastAsia="宋体" w:cs="宋体"/>
                <w:b w:val="0"/>
              </w:rPr>
              <w:t>125,979,501.31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pPr>
              <w:spacing w:line="240" w:lineRule="auto"/>
              <w:jc w:val="right"/>
            </w:pPr>
            <w:r>
              <w:rPr>
                <w:rFonts w:ascii="宋体" w:hAnsi="宋体" w:eastAsia="宋体" w:cs="宋体"/>
                <w:b w:val="0"/>
              </w:rPr>
              <w:t>706,663,635.51</w:t>
            </w:r>
          </w:p>
        </w:tc>
        <w:tc>
          <w:tcPr>
            <w:tcW w:w="0" w:type="dxa"/>
            <w:vAlign w:val="center"/>
          </w:tcPr>
          <w:p>
            <w:pPr>
              <w:spacing w:line="240" w:lineRule="auto"/>
              <w:jc w:val="right"/>
            </w:pPr>
            <w:r>
              <w:rPr>
                <w:rFonts w:ascii="宋体" w:hAnsi="宋体" w:eastAsia="宋体" w:cs="宋体"/>
                <w:b w:val="0"/>
              </w:rPr>
              <w:t>483,928,235.52</w:t>
            </w:r>
          </w:p>
        </w:tc>
        <w:tc>
          <w:tcPr>
            <w:tcW w:w="0" w:type="dxa"/>
            <w:vAlign w:val="center"/>
          </w:tcPr>
          <w:p>
            <w:pPr>
              <w:spacing w:line="240" w:lineRule="auto"/>
              <w:jc w:val="right"/>
            </w:pPr>
            <w:r>
              <w:rPr>
                <w:rFonts w:ascii="宋体" w:hAnsi="宋体" w:eastAsia="宋体" w:cs="宋体"/>
                <w:b w:val="0"/>
              </w:rPr>
              <w:t>1,190,591,871.03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其中：1.基金申购款</w:t>
            </w:r>
          </w:p>
        </w:tc>
        <w:tc>
          <w:tcPr>
            <w:tcW w:w="0" w:type="dxa"/>
            <w:vAlign w:val="center"/>
          </w:tcPr>
          <w:p>
            <w:pPr>
              <w:spacing w:line="240" w:lineRule="auto"/>
              <w:jc w:val="right"/>
            </w:pPr>
            <w:r>
              <w:rPr>
                <w:rFonts w:ascii="宋体" w:hAnsi="宋体" w:eastAsia="宋体" w:cs="宋体"/>
                <w:b w:val="0"/>
              </w:rPr>
              <w:t>1,199,072,983.13</w:t>
            </w:r>
          </w:p>
        </w:tc>
        <w:tc>
          <w:tcPr>
            <w:tcW w:w="0" w:type="dxa"/>
            <w:vAlign w:val="center"/>
          </w:tcPr>
          <w:p>
            <w:pPr>
              <w:spacing w:line="240" w:lineRule="auto"/>
              <w:jc w:val="right"/>
            </w:pPr>
            <w:r>
              <w:rPr>
                <w:rFonts w:ascii="宋体" w:hAnsi="宋体" w:eastAsia="宋体" w:cs="宋体"/>
                <w:b w:val="0"/>
              </w:rPr>
              <w:t>736,840,994.48</w:t>
            </w:r>
          </w:p>
        </w:tc>
        <w:tc>
          <w:tcPr>
            <w:tcW w:w="0" w:type="dxa"/>
            <w:vAlign w:val="center"/>
          </w:tcPr>
          <w:p>
            <w:pPr>
              <w:spacing w:line="240" w:lineRule="auto"/>
              <w:jc w:val="right"/>
            </w:pPr>
            <w:r>
              <w:rPr>
                <w:rFonts w:ascii="宋体" w:hAnsi="宋体" w:eastAsia="宋体" w:cs="宋体"/>
                <w:b w:val="0"/>
              </w:rPr>
              <w:t>1,935,913,977.61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2.基金赎回款</w:t>
            </w:r>
          </w:p>
        </w:tc>
        <w:tc>
          <w:tcPr>
            <w:tcW w:w="0" w:type="dxa"/>
            <w:vAlign w:val="center"/>
          </w:tcPr>
          <w:p>
            <w:pPr>
              <w:spacing w:line="240" w:lineRule="auto"/>
              <w:jc w:val="right"/>
            </w:pPr>
            <w:r>
              <w:rPr>
                <w:rFonts w:ascii="宋体" w:hAnsi="宋体" w:eastAsia="宋体" w:cs="宋体"/>
                <w:b w:val="0"/>
              </w:rPr>
              <w:t>-492,409,347.62</w:t>
            </w:r>
          </w:p>
        </w:tc>
        <w:tc>
          <w:tcPr>
            <w:tcW w:w="0" w:type="dxa"/>
            <w:vAlign w:val="center"/>
          </w:tcPr>
          <w:p>
            <w:pPr>
              <w:spacing w:line="240" w:lineRule="auto"/>
              <w:jc w:val="right"/>
            </w:pPr>
            <w:r>
              <w:rPr>
                <w:rFonts w:ascii="宋体" w:hAnsi="宋体" w:eastAsia="宋体" w:cs="宋体"/>
                <w:b w:val="0"/>
              </w:rPr>
              <w:t>-252,912,758.96</w:t>
            </w:r>
          </w:p>
        </w:tc>
        <w:tc>
          <w:tcPr>
            <w:tcW w:w="0" w:type="dxa"/>
            <w:vAlign w:val="center"/>
          </w:tcPr>
          <w:p>
            <w:pPr>
              <w:spacing w:line="240" w:lineRule="auto"/>
              <w:jc w:val="right"/>
            </w:pPr>
            <w:r>
              <w:rPr>
                <w:rFonts w:ascii="宋体" w:hAnsi="宋体" w:eastAsia="宋体" w:cs="宋体"/>
                <w:b w:val="0"/>
              </w:rPr>
              <w:t>-745,322,106.58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四、本期期末净资产</w:t>
            </w:r>
          </w:p>
        </w:tc>
        <w:tc>
          <w:tcPr>
            <w:tcW w:w="0" w:type="dxa"/>
            <w:vAlign w:val="center"/>
          </w:tcPr>
          <w:p>
            <w:pPr>
              <w:spacing w:line="240" w:lineRule="auto"/>
              <w:jc w:val="right"/>
            </w:pPr>
            <w:r>
              <w:rPr>
                <w:rFonts w:ascii="宋体" w:hAnsi="宋体" w:eastAsia="宋体" w:cs="宋体"/>
                <w:b w:val="0"/>
              </w:rPr>
              <w:t>732,159,524.73</w:t>
            </w:r>
          </w:p>
        </w:tc>
        <w:tc>
          <w:tcPr>
            <w:tcW w:w="0" w:type="dxa"/>
            <w:vAlign w:val="center"/>
          </w:tcPr>
          <w:p>
            <w:pPr>
              <w:spacing w:line="240" w:lineRule="auto"/>
              <w:jc w:val="right"/>
            </w:pPr>
            <w:r>
              <w:rPr>
                <w:rFonts w:ascii="宋体" w:hAnsi="宋体" w:eastAsia="宋体" w:cs="宋体"/>
                <w:b w:val="0"/>
              </w:rPr>
              <w:t>612,582,036.33</w:t>
            </w:r>
          </w:p>
        </w:tc>
        <w:tc>
          <w:tcPr>
            <w:tcW w:w="0" w:type="dxa"/>
            <w:vAlign w:val="center"/>
          </w:tcPr>
          <w:p>
            <w:pPr>
              <w:spacing w:line="240" w:lineRule="auto"/>
              <w:jc w:val="right"/>
            </w:pPr>
            <w:r>
              <w:rPr>
                <w:rFonts w:ascii="宋体" w:hAnsi="宋体" w:eastAsia="宋体" w:cs="宋体"/>
                <w:b w:val="0"/>
              </w:rPr>
              <w:t>1,344,741,561.06</w:t>
            </w:r>
          </w:p>
        </w:tc>
      </w:tr>
    </w:tbl>
    <w:p>
      <w:r>
        <w:rPr>
          <w:rFonts w:ascii="宋体" w:hAnsi="宋体" w:eastAsia="宋体" w:cs="宋体"/>
          <w:b w:val="0"/>
        </w:rPr>
        <w:t>注：本基金的基金合同生效日为2025年10月30日，无上年度可比期间。</w:t>
      </w:r>
    </w:p>
    <w:p/>
    <w:p>
      <w:pPr>
        <w:jc w:val="left"/>
      </w:pPr>
      <w:r>
        <w:rPr>
          <w:rFonts w:ascii="宋体" w:hAnsi="宋体" w:eastAsia="宋体" w:cs="宋体"/>
          <w:b w:val="0"/>
        </w:rPr>
        <w:t>报表附注为财务报表的组成部分。</w:t>
      </w:r>
    </w:p>
    <w:p>
      <w:pPr>
        <w:jc w:val="left"/>
      </w:pPr>
      <w:r>
        <w:rPr>
          <w:rFonts w:ascii="宋体" w:hAnsi="宋体" w:eastAsia="宋体" w:cs="宋体"/>
          <w:b w:val="0"/>
        </w:rPr>
        <w:t>本报告6.1至6.4财务报表由下列负责人签署:</w:t>
      </w:r>
    </w:p>
    <w:tbl>
      <w:tblPr>
        <w:tblStyle w:val="27"/>
        <w:tblW w:w="5000" w:type="pct"/>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095"/>
        <w:gridCol w:w="3095"/>
        <w:gridCol w:w="3096"/>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刘明</w:t>
            </w:r>
          </w:p>
        </w:tc>
        <w:tc>
          <w:tcPr>
            <w:tcW w:w="1538" w:type="pct"/>
            <w:vAlign w:val="center"/>
          </w:tcPr>
          <w:p>
            <w:pPr>
              <w:spacing w:line="240" w:lineRule="auto"/>
              <w:jc w:val="center"/>
            </w:pPr>
            <w:r>
              <w:rPr>
                <w:rFonts w:ascii="宋体" w:hAnsi="宋体" w:eastAsia="宋体" w:cs="宋体"/>
                <w:b w:val="0"/>
              </w:rPr>
              <w:t>曹渊</w:t>
            </w:r>
          </w:p>
        </w:tc>
        <w:tc>
          <w:tcPr>
            <w:tcW w:w="1538" w:type="pct"/>
            <w:vAlign w:val="center"/>
          </w:tcPr>
          <w:p>
            <w:pPr>
              <w:spacing w:line="240" w:lineRule="auto"/>
              <w:jc w:val="center"/>
            </w:pPr>
            <w:r>
              <w:rPr>
                <w:rFonts w:ascii="宋体" w:hAnsi="宋体" w:eastAsia="宋体" w:cs="宋体"/>
                <w:b w:val="0"/>
              </w:rPr>
              <w:t>张珂</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w:t>
            </w:r>
          </w:p>
        </w:tc>
        <w:tc>
          <w:tcPr>
            <w:tcW w:w="1538" w:type="pct"/>
            <w:vAlign w:val="center"/>
          </w:tcPr>
          <w:p>
            <w:pPr>
              <w:spacing w:line="240" w:lineRule="auto"/>
              <w:jc w:val="center"/>
            </w:pPr>
            <w:r>
              <w:rPr>
                <w:rFonts w:ascii="宋体" w:hAnsi="宋体" w:eastAsia="宋体" w:cs="宋体"/>
                <w:b w:val="0"/>
              </w:rPr>
              <w:t>—————————</w:t>
            </w:r>
          </w:p>
        </w:tc>
        <w:tc>
          <w:tcPr>
            <w:tcW w:w="1538" w:type="pct"/>
            <w:vAlign w:val="center"/>
          </w:tcPr>
          <w:p>
            <w:pPr>
              <w:spacing w:line="240" w:lineRule="auto"/>
              <w:jc w:val="center"/>
            </w:pPr>
            <w:r>
              <w:rPr>
                <w:rFonts w:ascii="宋体" w:hAnsi="宋体" w:eastAsia="宋体" w:cs="宋体"/>
                <w:b w:val="0"/>
              </w:rPr>
              <w:t>—————————</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基金管理人负责人</w:t>
            </w:r>
          </w:p>
        </w:tc>
        <w:tc>
          <w:tcPr>
            <w:tcW w:w="1538" w:type="pct"/>
            <w:vAlign w:val="center"/>
          </w:tcPr>
          <w:p>
            <w:pPr>
              <w:spacing w:line="240" w:lineRule="auto"/>
              <w:jc w:val="center"/>
            </w:pPr>
            <w:r>
              <w:rPr>
                <w:rFonts w:ascii="宋体" w:hAnsi="宋体" w:eastAsia="宋体" w:cs="宋体"/>
                <w:b w:val="0"/>
              </w:rPr>
              <w:t>主管会计工作负责人</w:t>
            </w:r>
          </w:p>
        </w:tc>
        <w:tc>
          <w:tcPr>
            <w:tcW w:w="1538" w:type="pct"/>
            <w:vAlign w:val="center"/>
          </w:tcPr>
          <w:p>
            <w:pPr>
              <w:spacing w:line="240" w:lineRule="auto"/>
              <w:jc w:val="center"/>
            </w:pPr>
            <w:r>
              <w:rPr>
                <w:rFonts w:ascii="宋体" w:hAnsi="宋体" w:eastAsia="宋体" w:cs="宋体"/>
                <w:b w:val="0"/>
              </w:rPr>
              <w:t>会计机构负责人</w:t>
            </w:r>
          </w:p>
        </w:tc>
      </w:tr>
    </w:tbl>
    <w:p/>
    <w:p>
      <w:pPr>
        <w:pStyle w:val="3"/>
        <w:jc w:val="left"/>
      </w:pPr>
      <w:bookmarkStart w:id="31" w:name="_Toc9500"/>
      <w:r>
        <w:rPr>
          <w:rFonts w:ascii="宋体" w:hAnsi="宋体" w:eastAsia="宋体" w:cs="宋体"/>
        </w:rPr>
        <w:t>6.4 报表附注</w:t>
      </w:r>
      <w:bookmarkEnd w:id="31"/>
    </w:p>
    <w:p>
      <w:pPr>
        <w:pStyle w:val="58"/>
      </w:pPr>
      <w:r>
        <w:rPr>
          <w:rFonts w:ascii="宋体" w:hAnsi="宋体" w:eastAsia="宋体" w:cs="宋体"/>
          <w:b/>
        </w:rPr>
        <w:t>6.4.1 基金基本情况</w:t>
      </w:r>
    </w:p>
    <w:p>
      <w:pPr>
        <w:jc w:val="left"/>
      </w:pPr>
      <w:r>
        <w:rPr>
          <w:rFonts w:ascii="宋体" w:hAnsi="宋体" w:eastAsia="宋体" w:cs="宋体"/>
          <w:b w:val="0"/>
        </w:rPr>
        <w:t xml:space="preserve">    东方阿尔法科技甄选混合型发起式证券投资基金(以下简称“本基金”) 经中国证券监督管理委员会(以下简称“中国证监会”)证监许可[2025]2163号《关于准予东方阿尔法科技甄选混合型发起式证券投资基金注册的批复》核准，由东方阿尔法基金管理有限公司根据《中华人民共和国证券投资基金法》和《东方阿尔法科技甄选混合型发起式证券投资基金基金合同》负责公开募集。本基金为契约型开放式基金，存续期不定，首次设立募集不包括认购资金利息共募集人民币10,391,845.22元，业经容诚会计师事务所(特殊普通合伙)容诚验字[2025]200Z0183号验资报告予以验证。经向中国证监会备案，《东方阿尔法科技甄选混合型发起式证券投资基金基金合同》于2025年10月30日正式生效，基金合同生效日的基金总份额为10,392,238.82份基金份额，其中认购资金利息折合393.60份基金份额。本基金的基金管理人为东方阿尔法基金管理有限公司，基金金融运营服务机构为招商证券股份有限公司，基金托管人为招商银行股份有限公司。</w:t>
      </w:r>
      <w:r>
        <w:rPr>
          <w:rFonts w:ascii="宋体" w:hAnsi="宋体" w:eastAsia="宋体" w:cs="宋体"/>
          <w:b w:val="0"/>
        </w:rPr>
        <w:br w:type="textWrapping"/>
      </w:r>
      <w:r>
        <w:rPr>
          <w:rFonts w:ascii="宋体" w:hAnsi="宋体" w:eastAsia="宋体" w:cs="宋体"/>
          <w:b w:val="0"/>
        </w:rPr>
        <w:t xml:space="preserve">    本基金为发起式基金，发起资金认购部分为10,000,388.92份基金份额，发起资金认购方承诺使用发起资金认购的基金份额持有期限不少于3年。</w:t>
      </w:r>
      <w:r>
        <w:rPr>
          <w:rFonts w:ascii="宋体" w:hAnsi="宋体" w:eastAsia="宋体" w:cs="宋体"/>
          <w:b w:val="0"/>
        </w:rPr>
        <w:br w:type="textWrapping"/>
      </w:r>
      <w:r>
        <w:rPr>
          <w:rFonts w:ascii="宋体" w:hAnsi="宋体" w:eastAsia="宋体" w:cs="宋体"/>
          <w:b w:val="0"/>
        </w:rPr>
        <w:t xml:space="preserve">    根据《东方阿尔法科技甄选混合型发起式证券投资基金基金合同》和《东方阿尔法科技甄选混合型发起式证券投资基金招募说明书》(含更新)，本基金根据所收取认购/申购费用、销售服务费用方式的差异，将基金份额分为不同的类别。收取认购/申购费用、赎回费用而不计提销售服务费，并在赎回时根据持有期限收取赎回费用的基金份额，称为A类基金份额；不收取认购/申购费、赎回时根据持有期限收取赎回费用，且从本类别基金资产中计提销售服务费的基金份额，称为C类基金份额。本基金A类、C类两种收费模式并存，各类基金份额分别计算基金份额净值。投资人可自由选择认购/申购某一类别的基金份额，但各类别基金份额之间不能相互转换。</w:t>
      </w:r>
      <w:r>
        <w:rPr>
          <w:rFonts w:ascii="宋体" w:hAnsi="宋体" w:eastAsia="宋体" w:cs="宋体"/>
          <w:b w:val="0"/>
        </w:rPr>
        <w:br w:type="textWrapping"/>
      </w:r>
      <w:r>
        <w:rPr>
          <w:rFonts w:ascii="宋体" w:hAnsi="宋体" w:eastAsia="宋体" w:cs="宋体"/>
          <w:b w:val="0"/>
        </w:rPr>
        <w:t xml:space="preserve">    根据《中华人民共和国证券投资基金法》和《东方阿尔法科技甄选混合型发起式证券投资基金基金合同》的有关规定，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本基金投资组合中股票资产投资比例为基金资产的60%-95%，其中投资于本基金界定的科技主题相关股票的比例不低于非现金基金资产的 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本基金的业绩比较基准为：中国战略新兴产业成份指数收益率×70%+中债-综合指数(全价)收益率×20%+恒生科技指数收益率(按估值汇率折算) ×10%。</w:t>
      </w:r>
    </w:p>
    <w:p/>
    <w:p>
      <w:pPr>
        <w:pStyle w:val="58"/>
      </w:pPr>
      <w:r>
        <w:rPr>
          <w:rFonts w:ascii="宋体" w:hAnsi="宋体" w:eastAsia="宋体" w:cs="宋体"/>
          <w:b/>
        </w:rPr>
        <w:t>6.4.2 会计报表的编制基础</w:t>
      </w:r>
    </w:p>
    <w:p>
      <w:pPr>
        <w:jc w:val="left"/>
      </w:pPr>
      <w:r>
        <w:rPr>
          <w:rFonts w:ascii="宋体" w:hAnsi="宋体" w:eastAsia="宋体" w:cs="宋体"/>
          <w:b w:val="0"/>
        </w:rPr>
        <w:t xml:space="preserve">    本基金的财务报表按照财政部于2006年2月15日及以后期间颁布的《企业会计准则－基本准则》、各项具体会计准则、《资产管理产品相关会计处理规定》及其他相关规定(以下合称"企业会计准则")、中国证券投资基金业协会(以下简称"中国基金业协会")发布的《公开募集证券投资基金信息披露XBRL模板第3号——年度报告和中期报告》、《证券投资基金会计核算业务指引》、《东方阿尔法科技甄选混合型发起式证券投资基金基金合同》和在财务报表附注所列示的中国证监会、中国基金业协会发布的有关规定及允许的基金行业实务操作编制。</w:t>
      </w:r>
      <w:r>
        <w:rPr>
          <w:rFonts w:ascii="宋体" w:hAnsi="宋体" w:eastAsia="宋体" w:cs="宋体"/>
          <w:b w:val="0"/>
        </w:rPr>
        <w:br w:type="textWrapping"/>
      </w:r>
      <w:r>
        <w:rPr>
          <w:rFonts w:ascii="宋体" w:hAnsi="宋体" w:eastAsia="宋体" w:cs="宋体"/>
          <w:b w:val="0"/>
        </w:rPr>
        <w:t xml:space="preserve">    本财务报表以持续经营为基础编制。</w:t>
      </w:r>
    </w:p>
    <w:p/>
    <w:p>
      <w:pPr>
        <w:pStyle w:val="58"/>
      </w:pPr>
      <w:r>
        <w:rPr>
          <w:rFonts w:ascii="宋体" w:hAnsi="宋体" w:eastAsia="宋体" w:cs="宋体"/>
          <w:b/>
        </w:rPr>
        <w:t>6.4.3 遵循企业会计准则及其他有关规定的声明</w:t>
      </w:r>
    </w:p>
    <w:p>
      <w:pPr>
        <w:jc w:val="left"/>
      </w:pPr>
      <w:r>
        <w:rPr>
          <w:rFonts w:ascii="宋体" w:hAnsi="宋体" w:eastAsia="宋体" w:cs="宋体"/>
          <w:b w:val="0"/>
        </w:rPr>
        <w:t xml:space="preserve">    本基金2026年度中期财务报表符合企业会计准则的要求，真实、完整地反映了本基金2026年06月30日的财务状况以及2026年度上半年的经营成果和净资产变动情况等有关信息。</w:t>
      </w:r>
    </w:p>
    <w:p/>
    <w:p>
      <w:pPr>
        <w:pStyle w:val="58"/>
      </w:pPr>
      <w:r>
        <w:rPr>
          <w:rFonts w:ascii="宋体" w:hAnsi="宋体" w:eastAsia="宋体" w:cs="宋体"/>
          <w:b/>
        </w:rPr>
        <w:t>6.4.4 重要会计政策和会计估计</w:t>
      </w:r>
    </w:p>
    <w:p>
      <w:pPr>
        <w:pStyle w:val="58"/>
      </w:pPr>
      <w:r>
        <w:rPr>
          <w:rFonts w:ascii="宋体" w:hAnsi="宋体" w:eastAsia="宋体" w:cs="宋体"/>
          <w:b/>
        </w:rPr>
        <w:t>6.4.5 会计政策和会计估计变更以及差错更正的说明</w:t>
      </w:r>
    </w:p>
    <w:p>
      <w:pPr>
        <w:pStyle w:val="58"/>
      </w:pPr>
      <w:r>
        <w:rPr>
          <w:rFonts w:ascii="宋体" w:hAnsi="宋体" w:eastAsia="宋体" w:cs="宋体"/>
          <w:b/>
        </w:rPr>
        <w:t>6.4.5.1 会计政策变更的说明</w:t>
      </w:r>
    </w:p>
    <w:p>
      <w:pPr>
        <w:jc w:val="left"/>
      </w:pPr>
      <w:r>
        <w:rPr>
          <w:rFonts w:ascii="宋体" w:hAnsi="宋体" w:eastAsia="宋体" w:cs="宋体"/>
          <w:b w:val="0"/>
        </w:rPr>
        <w:t xml:space="preserve">    本基金本报告期未发生会计政策变更。</w:t>
      </w:r>
    </w:p>
    <w:p/>
    <w:p>
      <w:pPr>
        <w:pStyle w:val="58"/>
      </w:pPr>
      <w:r>
        <w:rPr>
          <w:rFonts w:ascii="宋体" w:hAnsi="宋体" w:eastAsia="宋体" w:cs="宋体"/>
          <w:b/>
        </w:rPr>
        <w:t>6.4.5.2 会计估计变更的说明</w:t>
      </w:r>
    </w:p>
    <w:p>
      <w:pPr>
        <w:jc w:val="left"/>
      </w:pPr>
      <w:r>
        <w:rPr>
          <w:rFonts w:ascii="宋体" w:hAnsi="宋体" w:eastAsia="宋体" w:cs="宋体"/>
          <w:b w:val="0"/>
        </w:rPr>
        <w:t xml:space="preserve">    本基金本报告期未发生会计估计变更。</w:t>
      </w:r>
    </w:p>
    <w:p/>
    <w:p>
      <w:pPr>
        <w:pStyle w:val="58"/>
      </w:pPr>
      <w:r>
        <w:rPr>
          <w:rFonts w:ascii="宋体" w:hAnsi="宋体" w:eastAsia="宋体" w:cs="宋体"/>
          <w:b/>
        </w:rPr>
        <w:t>6.4.5.3 差错更正的说明</w:t>
      </w:r>
    </w:p>
    <w:p>
      <w:pPr>
        <w:jc w:val="left"/>
      </w:pPr>
      <w:r>
        <w:rPr>
          <w:rFonts w:ascii="宋体" w:hAnsi="宋体" w:eastAsia="宋体" w:cs="宋体"/>
          <w:b w:val="0"/>
        </w:rPr>
        <w:t xml:space="preserve">    本基金在本报告期间无须说明的会计差错更正。</w:t>
      </w:r>
    </w:p>
    <w:p/>
    <w:p>
      <w:pPr>
        <w:pStyle w:val="58"/>
      </w:pPr>
      <w:r>
        <w:rPr>
          <w:rFonts w:ascii="宋体" w:hAnsi="宋体" w:eastAsia="宋体" w:cs="宋体"/>
          <w:b/>
        </w:rPr>
        <w:t>6.4.6 税项</w:t>
      </w:r>
    </w:p>
    <w:p>
      <w:pPr>
        <w:jc w:val="left"/>
      </w:pPr>
      <w:r>
        <w:rPr>
          <w:rFonts w:ascii="宋体" w:hAnsi="宋体" w:eastAsia="宋体" w:cs="宋体"/>
          <w:b w:val="0"/>
        </w:rPr>
        <w:t xml:space="preserve">    根据财政部、国家税务总局财税[2002]128号《关于开放式证券投资基金有关税收问题的通知》、财税[2008]1号《关于企业所得税若干优惠政策的通知》、财税[2012]85号《关于实施上市公司股息红利差别化个人所得税政策有关问题的通知》、财税[2014]81号《财政部国家税务总局证监会关于沪港股票市场交易互联互通机制试点有关税收政策的通知》、财税[2015]101号《关于上市公司股息红利差别化个人所得税政策有关问题的通知》、财税[2016]127号《财政部国家税务总局证监会关于深港股票市场交易互联互通机制试点有关税收政策的通知》、财税[2017]56号《关于资管产品增值税有关问题的通知》、财税[2017]90号《关于租入固定资产进项税额抵扣等增值税政策的通知》、财政部、国家税务总局公告2025年第4号《关于国债等债券利息收入增值税政策的公告》、国务院令第826号《中华人民共和国增值税法实施条例》、财政部、税务总局公告2026年第10号《财政部税务总局关于增值税法施行后增值税优惠政策衔接事项的公告》及其他相关财税法规和实务操作，主要税项列示如下：</w:t>
      </w:r>
      <w:r>
        <w:rPr>
          <w:rFonts w:ascii="宋体" w:hAnsi="宋体" w:eastAsia="宋体" w:cs="宋体"/>
          <w:b w:val="0"/>
        </w:rPr>
        <w:br w:type="textWrapping"/>
      </w:r>
      <w:r>
        <w:rPr>
          <w:rFonts w:ascii="宋体" w:hAnsi="宋体" w:eastAsia="宋体" w:cs="宋体"/>
          <w:b w:val="0"/>
        </w:rPr>
        <w:t xml:space="preserve">    (1)资管产品运营过程中发生的增值税应税行为，以资管产品管理人为增值税纳税人。资管产品管理人运营资管产品过程中发生的增值税应税行为，暂适用简易计税方法，按照3%的征收率缴纳增值税。</w:t>
      </w:r>
      <w:r>
        <w:rPr>
          <w:rFonts w:ascii="宋体" w:hAnsi="宋体" w:eastAsia="宋体" w:cs="宋体"/>
          <w:b w:val="0"/>
        </w:rPr>
        <w:br w:type="textWrapping"/>
      </w:r>
      <w:r>
        <w:rPr>
          <w:rFonts w:ascii="宋体" w:hAnsi="宋体" w:eastAsia="宋体" w:cs="宋体"/>
          <w:b w:val="0"/>
        </w:rPr>
        <w:t xml:space="preserve">    对证券投资基金管理人运用基金买卖股票、债券的转让收入免征增值税，对除持有金融债券外的金融同业往来利息收入亦免征增值税。自2025年8月8日起，对在该日期之后(含当日)新发行的国债、地方政府债券、金融债券的利息收入，恢复征收增值税。对在该日期之前已发行的国债、地方政府债券、金融债券(包含在2025年8月8日之后续发行的部分)的利息收入，免征增值税直至债券到期。资管产品管理人运营资管产品提供的贷款服务，以产生的利息及利息性质的收入为销售额。</w:t>
      </w:r>
      <w:r>
        <w:rPr>
          <w:rFonts w:ascii="宋体" w:hAnsi="宋体" w:eastAsia="宋体" w:cs="宋体"/>
          <w:b w:val="0"/>
        </w:rPr>
        <w:br w:type="textWrapping"/>
      </w:r>
      <w:r>
        <w:rPr>
          <w:rFonts w:ascii="宋体" w:hAnsi="宋体" w:eastAsia="宋体" w:cs="宋体"/>
          <w:b w:val="0"/>
        </w:rPr>
        <w:t xml:space="preserve">    (2)对基金从证券市场中取得的收入，包括买卖股票、债券的差价收入，股票的股息、红利收入，债券的利息收入及其他收入，暂不征收企业所得税。</w:t>
      </w:r>
      <w:r>
        <w:rPr>
          <w:rFonts w:ascii="宋体" w:hAnsi="宋体" w:eastAsia="宋体" w:cs="宋体"/>
          <w:b w:val="0"/>
        </w:rPr>
        <w:br w:type="textWrapping"/>
      </w:r>
      <w:r>
        <w:rPr>
          <w:rFonts w:ascii="宋体" w:hAnsi="宋体" w:eastAsia="宋体" w:cs="宋体"/>
          <w:b w:val="0"/>
        </w:rPr>
        <w:t xml:space="preserve">    (3)对基金取得的企业债券利息收入，应由发行债券的企业在向基金支付利息时代扣代缴20%的个人所得税。对基金从上市公司取得的股息红利所得，持股期限在1个月以内(含1个月)的，其股息红利所得全额计入应纳税所得额；持股期限在1个月以上至1年(含1年)的，暂减按50%计入应纳税所得额；持股期限超过1年的，暂免征收个人所得税。对基金持有的上市公司限售股，解禁后取得的股息、红利收入，按照上述规定计算纳税，持股时间自解禁日起计算；解禁前取得的股息、红利收入继续暂减按50%计入应纳税所得额。上述所得统一适用20%的税率计征个人所得税。</w:t>
      </w:r>
      <w:r>
        <w:rPr>
          <w:rFonts w:ascii="宋体" w:hAnsi="宋体" w:eastAsia="宋体" w:cs="宋体"/>
          <w:b w:val="0"/>
        </w:rPr>
        <w:br w:type="textWrapping"/>
      </w:r>
      <w:r>
        <w:rPr>
          <w:rFonts w:ascii="宋体" w:hAnsi="宋体" w:eastAsia="宋体" w:cs="宋体"/>
          <w:b w:val="0"/>
        </w:rPr>
        <w:t xml:space="preserve">    对基金通过沪港通或深港通投资香港联交所上市H股取得的股息红利，H股公司应向中国证券登记结算有限责任公司(以下简称"中国结算")提出申请，由中国结算向H股公司提供内地个人投资者名册，H股公司按照20%的税率代扣个人所得税。基金通过沪港通或深港通投资香港联交所上市的非H股取得的股息红利，由中国结算按照20%的税率代扣个人所得税。</w:t>
      </w:r>
      <w:r>
        <w:rPr>
          <w:rFonts w:ascii="宋体" w:hAnsi="宋体" w:eastAsia="宋体" w:cs="宋体"/>
          <w:b w:val="0"/>
        </w:rPr>
        <w:br w:type="textWrapping"/>
      </w:r>
      <w:r>
        <w:rPr>
          <w:rFonts w:ascii="宋体" w:hAnsi="宋体" w:eastAsia="宋体" w:cs="宋体"/>
          <w:b w:val="0"/>
        </w:rPr>
        <w:t xml:space="preserve">    (4)基金卖出股票按0.1%的税率缴纳股票交易印花税，买入股票不征收股票交易印花税。根据财政部、国家税务总局公告2023年第39号《关于减半征收证券交易印花税的公告》，自2023年8月28日起，证券交易印花税实施减半征收。基金通过沪港通或深港通买卖、继承、赠与联交所上市股票，按照香港特别行政区现行税法规定缴纳印花税。</w:t>
      </w:r>
      <w:r>
        <w:rPr>
          <w:rFonts w:ascii="宋体" w:hAnsi="宋体" w:eastAsia="宋体" w:cs="宋体"/>
          <w:b w:val="0"/>
        </w:rPr>
        <w:br w:type="textWrapping"/>
      </w:r>
      <w:r>
        <w:rPr>
          <w:rFonts w:ascii="宋体" w:hAnsi="宋体" w:eastAsia="宋体" w:cs="宋体"/>
          <w:b w:val="0"/>
        </w:rPr>
        <w:t xml:space="preserve">    (5)本基金的城市维护建设税、教育费附加和地方教育附加等税费按照实际缴纳增值税额的适用比例计算缴纳。</w:t>
      </w:r>
    </w:p>
    <w:p/>
    <w:p>
      <w:pPr>
        <w:pStyle w:val="58"/>
      </w:pPr>
      <w:r>
        <w:rPr>
          <w:rFonts w:ascii="宋体" w:hAnsi="宋体" w:eastAsia="宋体" w:cs="宋体"/>
          <w:b/>
        </w:rPr>
        <w:t>6.4.7 重要财务报表项目的说明</w:t>
      </w:r>
    </w:p>
    <w:p>
      <w:pPr>
        <w:pStyle w:val="58"/>
      </w:pPr>
      <w:r>
        <w:rPr>
          <w:rFonts w:ascii="宋体" w:hAnsi="宋体" w:eastAsia="宋体" w:cs="宋体"/>
          <w:b/>
        </w:rPr>
        <w:t>6.4.7.1 货币资金</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pPr>
              <w:spacing w:line="240" w:lineRule="auto"/>
              <w:jc w:val="center"/>
            </w:pPr>
            <w:r>
              <w:rPr>
                <w:rFonts w:ascii="宋体" w:hAnsi="宋体" w:eastAsia="宋体" w:cs="宋体"/>
                <w:b w:val="0"/>
              </w:rPr>
              <w:t>项目</w:t>
            </w:r>
          </w:p>
        </w:tc>
        <w:tc>
          <w:tcPr>
            <w:tcW w:w="2308"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活期存款</w:t>
            </w:r>
          </w:p>
        </w:tc>
        <w:tc>
          <w:tcPr>
            <w:tcW w:w="0" w:type="dxa"/>
            <w:vAlign w:val="center"/>
          </w:tcPr>
          <w:p>
            <w:pPr>
              <w:spacing w:line="240" w:lineRule="auto"/>
              <w:jc w:val="right"/>
            </w:pPr>
            <w:r>
              <w:rPr>
                <w:rFonts w:ascii="宋体" w:hAnsi="宋体" w:eastAsia="宋体" w:cs="宋体"/>
                <w:b w:val="0"/>
              </w:rPr>
              <w:t>5,010,314.40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5,009,944.42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369.98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定期存款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其中：存款期限1个月以内</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存款期限1-3个月</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存款期限3个月以上</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其他存款</w:t>
            </w:r>
          </w:p>
        </w:tc>
        <w:tc>
          <w:tcPr>
            <w:tcW w:w="0" w:type="dxa"/>
            <w:vAlign w:val="center"/>
          </w:tcPr>
          <w:p>
            <w:pPr>
              <w:spacing w:line="240" w:lineRule="auto"/>
              <w:jc w:val="right"/>
            </w:pPr>
            <w:r>
              <w:rPr>
                <w:rFonts w:ascii="宋体" w:hAnsi="宋体" w:eastAsia="宋体" w:cs="宋体"/>
                <w:b w:val="0"/>
              </w:rPr>
              <w:t>17,976,641.40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17,976,186.78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454.62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22,986,955.80</w:t>
            </w:r>
          </w:p>
        </w:tc>
      </w:tr>
    </w:tbl>
    <w:p>
      <w:r>
        <w:rPr>
          <w:rFonts w:ascii="宋体" w:hAnsi="宋体" w:eastAsia="宋体" w:cs="宋体"/>
          <w:b w:val="0"/>
        </w:rPr>
        <w:t>注: 本基金持有的其他存款为存放在证券经纪商基金专用证券账户的证券交易结算资金。</w:t>
      </w:r>
    </w:p>
    <w:p/>
    <w:p>
      <w:pPr>
        <w:pStyle w:val="58"/>
      </w:pPr>
      <w:r>
        <w:rPr>
          <w:rFonts w:ascii="宋体" w:hAnsi="宋体" w:eastAsia="宋体" w:cs="宋体"/>
          <w:b/>
        </w:rPr>
        <w:t>6.4.7.2 交易性金融资产</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73"/>
        <w:gridCol w:w="1896"/>
        <w:gridCol w:w="1732"/>
        <w:gridCol w:w="1896"/>
        <w:gridCol w:w="1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gridSpan w:val="2"/>
            <w:vMerge w:val="restart"/>
            <w:shd w:val="clear" w:color="auto" w:fill="D9D9D9"/>
            <w:vAlign w:val="center"/>
          </w:tcPr>
          <w:p>
            <w:pPr>
              <w:spacing w:line="240" w:lineRule="auto"/>
              <w:jc w:val="center"/>
            </w:pPr>
            <w:r>
              <w:rPr>
                <w:rFonts w:ascii="宋体" w:hAnsi="宋体" w:eastAsia="宋体" w:cs="宋体"/>
                <w:b w:val="0"/>
              </w:rPr>
              <w:t>项目</w:t>
            </w:r>
          </w:p>
        </w:tc>
        <w:tc>
          <w:tcPr>
            <w:tcW w:w="3846" w:type="pct"/>
            <w:gridSpan w:val="4"/>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gridSpan w:val="2"/>
            <w:vMerge w:val="continue"/>
          </w:tcPr>
          <w:p/>
        </w:tc>
        <w:tc>
          <w:tcPr>
            <w:tcW w:w="962" w:type="pct"/>
            <w:shd w:val="clear" w:color="auto" w:fill="D9D9D9"/>
            <w:vAlign w:val="center"/>
          </w:tcPr>
          <w:p>
            <w:pPr>
              <w:spacing w:line="240" w:lineRule="auto"/>
              <w:jc w:val="center"/>
            </w:pPr>
            <w:r>
              <w:rPr>
                <w:rFonts w:ascii="宋体" w:hAnsi="宋体" w:eastAsia="宋体" w:cs="宋体"/>
                <w:b w:val="0"/>
              </w:rPr>
              <w:t>成本</w:t>
            </w:r>
          </w:p>
        </w:tc>
        <w:tc>
          <w:tcPr>
            <w:tcW w:w="962" w:type="pct"/>
            <w:shd w:val="clear" w:color="auto" w:fill="D9D9D9"/>
            <w:vAlign w:val="center"/>
          </w:tcPr>
          <w:p>
            <w:pPr>
              <w:spacing w:line="240" w:lineRule="auto"/>
              <w:jc w:val="center"/>
            </w:pPr>
            <w:r>
              <w:rPr>
                <w:rFonts w:ascii="宋体" w:hAnsi="宋体" w:eastAsia="宋体" w:cs="宋体"/>
                <w:b w:val="0"/>
              </w:rPr>
              <w:t>应计利息</w:t>
            </w:r>
          </w:p>
        </w:tc>
        <w:tc>
          <w:tcPr>
            <w:tcW w:w="962" w:type="pct"/>
            <w:shd w:val="clear" w:color="auto" w:fill="D9D9D9"/>
            <w:vAlign w:val="center"/>
          </w:tcPr>
          <w:p>
            <w:pPr>
              <w:spacing w:line="240" w:lineRule="auto"/>
              <w:jc w:val="center"/>
            </w:pPr>
            <w:r>
              <w:rPr>
                <w:rFonts w:ascii="宋体" w:hAnsi="宋体" w:eastAsia="宋体" w:cs="宋体"/>
                <w:b w:val="0"/>
              </w:rPr>
              <w:t>公允价值</w:t>
            </w:r>
          </w:p>
        </w:tc>
        <w:tc>
          <w:tcPr>
            <w:tcW w:w="962" w:type="pct"/>
            <w:shd w:val="clear" w:color="auto" w:fill="D9D9D9"/>
            <w:vAlign w:val="center"/>
          </w:tcPr>
          <w:p>
            <w:pPr>
              <w:spacing w:line="240" w:lineRule="auto"/>
              <w:jc w:val="center"/>
            </w:pPr>
            <w:r>
              <w:rPr>
                <w:rFonts w:ascii="宋体" w:hAnsi="宋体" w:eastAsia="宋体" w:cs="宋体"/>
                <w:b w:val="0"/>
              </w:rPr>
              <w:t>公允价值变动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股票</w:t>
            </w:r>
          </w:p>
        </w:tc>
        <w:tc>
          <w:tcPr>
            <w:tcW w:w="0" w:type="dxa"/>
            <w:vAlign w:val="center"/>
          </w:tcPr>
          <w:p>
            <w:pPr>
              <w:spacing w:line="240" w:lineRule="auto"/>
              <w:jc w:val="right"/>
            </w:pPr>
            <w:r>
              <w:rPr>
                <w:rFonts w:ascii="宋体" w:hAnsi="宋体" w:eastAsia="宋体" w:cs="宋体"/>
                <w:b w:val="0"/>
              </w:rPr>
              <w:t>1,049,438,350.00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126,717,355.34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贵金属投资-金交所黄金合约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Merge w:val="restart"/>
            <w:vAlign w:val="center"/>
          </w:tcPr>
          <w:p>
            <w:pPr>
              <w:spacing w:line="240" w:lineRule="auto"/>
              <w:jc w:val="center"/>
            </w:pPr>
            <w:r>
              <w:rPr>
                <w:rFonts w:ascii="宋体" w:hAnsi="宋体" w:eastAsia="宋体" w:cs="宋体"/>
                <w:b w:val="0"/>
              </w:rPr>
              <w:t>债券</w:t>
            </w:r>
          </w:p>
        </w:tc>
        <w:tc>
          <w:tcPr>
            <w:tcW w:w="769" w:type="pct"/>
            <w:vAlign w:val="center"/>
          </w:tcPr>
          <w:p>
            <w:pPr>
              <w:spacing w:line="240" w:lineRule="auto"/>
              <w:jc w:val="left"/>
            </w:pPr>
            <w:r>
              <w:rPr>
                <w:rFonts w:ascii="宋体" w:hAnsi="宋体" w:eastAsia="宋体" w:cs="宋体"/>
                <w:b w:val="0"/>
              </w:rPr>
              <w:t>交易所市场</w:t>
            </w:r>
          </w:p>
        </w:tc>
        <w:tc>
          <w:tcPr>
            <w:tcW w:w="0" w:type="dxa"/>
            <w:vAlign w:val="center"/>
          </w:tcPr>
          <w:p>
            <w:pPr>
              <w:spacing w:line="240" w:lineRule="auto"/>
              <w:jc w:val="right"/>
            </w:pPr>
            <w:r>
              <w:rPr>
                <w:rFonts w:ascii="宋体" w:hAnsi="宋体" w:eastAsia="宋体" w:cs="宋体"/>
                <w:b w:val="0"/>
              </w:rPr>
              <w:t>53,015,770.00</w:t>
            </w:r>
          </w:p>
        </w:tc>
        <w:tc>
          <w:tcPr>
            <w:tcW w:w="0" w:type="dxa"/>
            <w:vAlign w:val="center"/>
          </w:tcPr>
          <w:p>
            <w:pPr>
              <w:spacing w:line="240" w:lineRule="auto"/>
              <w:jc w:val="right"/>
            </w:pPr>
            <w:r>
              <w:rPr>
                <w:rFonts w:ascii="宋体" w:hAnsi="宋体" w:eastAsia="宋体" w:cs="宋体"/>
                <w:b w:val="0"/>
              </w:rPr>
              <w:t>204,937.54</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1,930.00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银行间市场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53,015,770.00</w:t>
            </w:r>
          </w:p>
        </w:tc>
        <w:tc>
          <w:tcPr>
            <w:tcW w:w="0" w:type="dxa"/>
            <w:vAlign w:val="center"/>
          </w:tcPr>
          <w:p>
            <w:pPr>
              <w:spacing w:line="240" w:lineRule="auto"/>
              <w:jc w:val="right"/>
            </w:pPr>
            <w:r>
              <w:rPr>
                <w:rFonts w:ascii="宋体" w:hAnsi="宋体" w:eastAsia="宋体" w:cs="宋体"/>
                <w:b w:val="0"/>
              </w:rPr>
              <w:t>204,937.54</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1,930.00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基金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1,102,454,120.00</w:t>
            </w:r>
          </w:p>
        </w:tc>
        <w:tc>
          <w:tcPr>
            <w:tcW w:w="0" w:type="dxa"/>
            <w:vAlign w:val="center"/>
          </w:tcPr>
          <w:p>
            <w:pPr>
              <w:spacing w:line="240" w:lineRule="auto"/>
              <w:jc w:val="right"/>
            </w:pPr>
            <w:r>
              <w:rPr>
                <w:rFonts w:ascii="宋体" w:hAnsi="宋体" w:eastAsia="宋体" w:cs="宋体"/>
                <w:b w:val="0"/>
              </w:rPr>
              <w:t>204,937.54</w:t>
            </w:r>
          </w:p>
        </w:tc>
        <w:tc>
          <w:tcPr>
            <w:tcW w:w="0" w:type="dxa"/>
            <w:vAlign w:val="center"/>
          </w:tcPr>
          <w:p>
            <w:pPr>
              <w:spacing w:line="240" w:lineRule="auto"/>
              <w:jc w:val="right"/>
            </w:pPr>
            <w:r>
              <w:rPr>
                <w:rFonts w:ascii="宋体" w:hAnsi="宋体" w:eastAsia="宋体" w:cs="宋体"/>
                <w:b w:val="0"/>
              </w:rPr>
              <w:t>1,229,378,342.88</w:t>
            </w:r>
          </w:p>
        </w:tc>
        <w:tc>
          <w:tcPr>
            <w:tcW w:w="0" w:type="dxa"/>
            <w:vAlign w:val="center"/>
          </w:tcPr>
          <w:p>
            <w:pPr>
              <w:spacing w:line="240" w:lineRule="auto"/>
              <w:jc w:val="right"/>
            </w:pPr>
            <w:r>
              <w:rPr>
                <w:rFonts w:ascii="宋体" w:hAnsi="宋体" w:eastAsia="宋体" w:cs="宋体"/>
                <w:b w:val="0"/>
              </w:rPr>
              <w:t>126,719,285.34</w:t>
            </w:r>
          </w:p>
        </w:tc>
      </w:tr>
    </w:tbl>
    <w:p/>
    <w:p>
      <w:pPr>
        <w:pStyle w:val="58"/>
      </w:pPr>
      <w:r>
        <w:rPr>
          <w:rFonts w:ascii="宋体" w:hAnsi="宋体" w:eastAsia="宋体" w:cs="宋体"/>
          <w:b/>
        </w:rPr>
        <w:t>6.4.7.3 衍生金融资产/负债</w:t>
      </w:r>
    </w:p>
    <w:p>
      <w:r>
        <w:rPr>
          <w:rFonts w:ascii="宋体" w:hAnsi="宋体" w:eastAsia="宋体" w:cs="宋体"/>
          <w:b w:val="0"/>
        </w:rPr>
        <w:t xml:space="preserve">    本基金本报告期末未持有衍生金融资产/负债。</w:t>
      </w:r>
    </w:p>
    <w:p/>
    <w:p>
      <w:pPr>
        <w:pStyle w:val="58"/>
      </w:pPr>
      <w:r>
        <w:rPr>
          <w:rFonts w:ascii="宋体" w:hAnsi="宋体" w:eastAsia="宋体" w:cs="宋体"/>
          <w:b/>
        </w:rPr>
        <w:t>6.4.7.4 买入返售金融资产</w:t>
      </w:r>
    </w:p>
    <w:p>
      <w:pPr>
        <w:pStyle w:val="58"/>
      </w:pPr>
      <w:r>
        <w:rPr>
          <w:rFonts w:ascii="宋体" w:hAnsi="宋体" w:eastAsia="宋体" w:cs="宋体"/>
          <w:b/>
        </w:rPr>
        <w:t>6.4.7.4.1 各项买入返售金融资产期末余额</w:t>
      </w:r>
    </w:p>
    <w:p>
      <w:r>
        <w:rPr>
          <w:rFonts w:ascii="宋体" w:hAnsi="宋体" w:eastAsia="宋体" w:cs="宋体"/>
          <w:b w:val="0"/>
        </w:rPr>
        <w:t xml:space="preserve">    本基金本报告期末未持有买入返售金融资产。</w:t>
      </w:r>
    </w:p>
    <w:p/>
    <w:p>
      <w:pPr>
        <w:pStyle w:val="58"/>
      </w:pPr>
      <w:r>
        <w:rPr>
          <w:rFonts w:ascii="宋体" w:hAnsi="宋体" w:eastAsia="宋体" w:cs="宋体"/>
          <w:b/>
        </w:rPr>
        <w:t>6.4.7.4.2 期末买断式逆回购交易中取得的债券</w:t>
      </w:r>
    </w:p>
    <w:p>
      <w:r>
        <w:rPr>
          <w:rFonts w:ascii="宋体" w:hAnsi="宋体" w:eastAsia="宋体" w:cs="宋体"/>
          <w:b w:val="0"/>
        </w:rPr>
        <w:t xml:space="preserve">    本基金本报告期末未持有从买断式逆回购交易中取得的债券。</w:t>
      </w:r>
    </w:p>
    <w:p/>
    <w:p>
      <w:pPr>
        <w:pStyle w:val="58"/>
      </w:pPr>
      <w:r>
        <w:rPr>
          <w:rFonts w:ascii="宋体" w:hAnsi="宋体" w:eastAsia="宋体" w:cs="宋体"/>
          <w:b/>
        </w:rPr>
        <w:t>6.4.7.5 其他资产</w:t>
      </w:r>
    </w:p>
    <w:p>
      <w:r>
        <w:rPr>
          <w:rFonts w:ascii="宋体" w:hAnsi="宋体" w:eastAsia="宋体" w:cs="宋体"/>
          <w:b w:val="0"/>
        </w:rPr>
        <w:t xml:space="preserve">    本基金本报告期末未持有其他资产。</w:t>
      </w:r>
    </w:p>
    <w:p/>
    <w:p>
      <w:pPr>
        <w:pStyle w:val="58"/>
      </w:pPr>
      <w:r>
        <w:rPr>
          <w:rFonts w:ascii="宋体" w:hAnsi="宋体" w:eastAsia="宋体" w:cs="宋体"/>
          <w:b/>
        </w:rPr>
        <w:t>6.4.7.6 其他负债</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应付券商交易单元保证金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应付赎回费</w:t>
            </w:r>
          </w:p>
        </w:tc>
        <w:tc>
          <w:tcPr>
            <w:tcW w:w="0" w:type="dxa"/>
            <w:vAlign w:val="center"/>
          </w:tcPr>
          <w:p>
            <w:pPr>
              <w:spacing w:line="240" w:lineRule="auto"/>
              <w:jc w:val="right"/>
            </w:pPr>
            <w:r>
              <w:rPr>
                <w:rFonts w:ascii="宋体" w:hAnsi="宋体" w:eastAsia="宋体" w:cs="宋体"/>
                <w:b w:val="0"/>
              </w:rPr>
              <w:t>372.42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应付证券出借违约金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应付交易费用</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其中：交易所市场</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银行间市场</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应付利息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预提费用</w:t>
            </w:r>
          </w:p>
        </w:tc>
        <w:tc>
          <w:tcPr>
            <w:tcW w:w="0" w:type="dxa"/>
            <w:vAlign w:val="center"/>
          </w:tcPr>
          <w:p>
            <w:pPr>
              <w:spacing w:line="240" w:lineRule="auto"/>
              <w:jc w:val="right"/>
            </w:pPr>
            <w:r>
              <w:rPr>
                <w:rFonts w:ascii="宋体" w:hAnsi="宋体" w:eastAsia="宋体" w:cs="宋体"/>
                <w:b w:val="0"/>
              </w:rPr>
              <w:t>30,816.57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31,188.99</w:t>
            </w:r>
          </w:p>
        </w:tc>
      </w:tr>
    </w:tbl>
    <w:p/>
    <w:p>
      <w:pPr>
        <w:pStyle w:val="58"/>
      </w:pPr>
      <w:r>
        <w:rPr>
          <w:rFonts w:ascii="宋体" w:hAnsi="宋体" w:eastAsia="宋体" w:cs="宋体"/>
          <w:b/>
        </w:rPr>
        <w:t>6.4.7.7 实收基金</w:t>
      </w:r>
    </w:p>
    <w:p>
      <w:pPr>
        <w:jc w:val="left"/>
      </w:pPr>
      <w:r>
        <w:rPr>
          <w:rFonts w:ascii="宋体" w:hAnsi="宋体" w:eastAsia="宋体" w:cs="宋体"/>
          <w:b/>
        </w:rPr>
        <w:t>东方阿尔法科技甄选混合发起A</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38" w:type="pct"/>
            <w:shd w:val="clear" w:color="auto" w:fill="D9D9D9"/>
            <w:vAlign w:val="center"/>
          </w:tcPr>
          <w:p>
            <w:pPr>
              <w:spacing w:line="240" w:lineRule="auto"/>
              <w:jc w:val="center"/>
            </w:pPr>
            <w:r>
              <w:rPr>
                <w:rFonts w:ascii="宋体" w:hAnsi="宋体" w:eastAsia="宋体" w:cs="宋体"/>
                <w:b w:val="0"/>
              </w:rPr>
              <w:t>基金份额（份）</w:t>
            </w:r>
          </w:p>
        </w:tc>
        <w:tc>
          <w:tcPr>
            <w:tcW w:w="1538" w:type="pct"/>
            <w:shd w:val="clear" w:color="auto" w:fill="D9D9D9"/>
            <w:vAlign w:val="center"/>
          </w:tcPr>
          <w:p>
            <w:pPr>
              <w:spacing w:line="240" w:lineRule="auto"/>
              <w:jc w:val="center"/>
            </w:pPr>
            <w:r>
              <w:rPr>
                <w:rFonts w:ascii="宋体" w:hAnsi="宋体" w:eastAsia="宋体" w:cs="宋体"/>
                <w:b w:val="0"/>
              </w:rPr>
              <w:t>账面金额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15,899,534.58</w:t>
            </w:r>
          </w:p>
        </w:tc>
        <w:tc>
          <w:tcPr>
            <w:tcW w:w="0" w:type="dxa"/>
            <w:vAlign w:val="center"/>
          </w:tcPr>
          <w:p>
            <w:pPr>
              <w:spacing w:line="240" w:lineRule="auto"/>
              <w:jc w:val="right"/>
            </w:pPr>
            <w:r>
              <w:rPr>
                <w:rFonts w:ascii="宋体" w:hAnsi="宋体" w:eastAsia="宋体" w:cs="宋体"/>
                <w:b w:val="0"/>
              </w:rPr>
              <w:t>15,899,534.58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本期申购</w:t>
            </w:r>
          </w:p>
        </w:tc>
        <w:tc>
          <w:tcPr>
            <w:tcW w:w="0" w:type="dxa"/>
            <w:vAlign w:val="center"/>
          </w:tcPr>
          <w:p>
            <w:pPr>
              <w:spacing w:line="240" w:lineRule="auto"/>
              <w:jc w:val="right"/>
            </w:pPr>
            <w:r>
              <w:rPr>
                <w:rFonts w:ascii="宋体" w:hAnsi="宋体" w:eastAsia="宋体" w:cs="宋体"/>
                <w:b w:val="0"/>
              </w:rPr>
              <w:t>32,334,114.38</w:t>
            </w:r>
          </w:p>
        </w:tc>
        <w:tc>
          <w:tcPr>
            <w:tcW w:w="0" w:type="dxa"/>
            <w:vAlign w:val="center"/>
          </w:tcPr>
          <w:p>
            <w:pPr>
              <w:spacing w:line="240" w:lineRule="auto"/>
              <w:jc w:val="right"/>
            </w:pPr>
            <w:r>
              <w:rPr>
                <w:rFonts w:ascii="宋体" w:hAnsi="宋体" w:eastAsia="宋体" w:cs="宋体"/>
                <w:b w:val="0"/>
              </w:rPr>
              <w:t>32,334,114.38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本期赎回（以“-”号填列）</w:t>
            </w:r>
          </w:p>
        </w:tc>
        <w:tc>
          <w:tcPr>
            <w:tcW w:w="0" w:type="dxa"/>
            <w:vAlign w:val="center"/>
          </w:tcPr>
          <w:p>
            <w:pPr>
              <w:spacing w:line="240" w:lineRule="auto"/>
              <w:jc w:val="right"/>
            </w:pPr>
            <w:r>
              <w:rPr>
                <w:rFonts w:ascii="宋体" w:hAnsi="宋体" w:eastAsia="宋体" w:cs="宋体"/>
                <w:b w:val="0"/>
              </w:rPr>
              <w:t>-26,251,905.00</w:t>
            </w:r>
          </w:p>
        </w:tc>
        <w:tc>
          <w:tcPr>
            <w:tcW w:w="0" w:type="dxa"/>
            <w:vAlign w:val="center"/>
          </w:tcPr>
          <w:p>
            <w:pPr>
              <w:spacing w:line="240" w:lineRule="auto"/>
              <w:jc w:val="right"/>
            </w:pPr>
            <w:r>
              <w:rPr>
                <w:rFonts w:ascii="宋体" w:hAnsi="宋体" w:eastAsia="宋体" w:cs="宋体"/>
                <w:b w:val="0"/>
              </w:rPr>
              <w:t>-26,251,905.00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21,981,743.96</w:t>
            </w:r>
          </w:p>
        </w:tc>
        <w:tc>
          <w:tcPr>
            <w:tcW w:w="0" w:type="dxa"/>
            <w:vAlign w:val="center"/>
          </w:tcPr>
          <w:p>
            <w:pPr>
              <w:spacing w:line="240" w:lineRule="auto"/>
              <w:jc w:val="right"/>
            </w:pPr>
            <w:r>
              <w:rPr>
                <w:rFonts w:ascii="宋体" w:hAnsi="宋体" w:eastAsia="宋体" w:cs="宋体"/>
                <w:b w:val="0"/>
              </w:rPr>
              <w:t>21,981,743.96</w:t>
            </w:r>
          </w:p>
        </w:tc>
      </w:tr>
    </w:tbl>
    <w:p>
      <w:pPr>
        <w:jc w:val="left"/>
      </w:pPr>
      <w:r>
        <w:rPr>
          <w:rFonts w:ascii="宋体" w:hAnsi="宋体" w:eastAsia="宋体" w:cs="宋体"/>
          <w:b/>
        </w:rPr>
        <w:t>东方阿尔法科技甄选混合发起C</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38" w:type="pct"/>
            <w:shd w:val="clear" w:color="auto" w:fill="D9D9D9"/>
            <w:vAlign w:val="center"/>
          </w:tcPr>
          <w:p>
            <w:pPr>
              <w:spacing w:line="240" w:lineRule="auto"/>
              <w:jc w:val="center"/>
            </w:pPr>
            <w:r>
              <w:rPr>
                <w:rFonts w:ascii="宋体" w:hAnsi="宋体" w:eastAsia="宋体" w:cs="宋体"/>
                <w:b w:val="0"/>
              </w:rPr>
              <w:t>基金份额（份）</w:t>
            </w:r>
          </w:p>
        </w:tc>
        <w:tc>
          <w:tcPr>
            <w:tcW w:w="1538" w:type="pct"/>
            <w:shd w:val="clear" w:color="auto" w:fill="D9D9D9"/>
            <w:vAlign w:val="center"/>
          </w:tcPr>
          <w:p>
            <w:pPr>
              <w:spacing w:line="240" w:lineRule="auto"/>
              <w:jc w:val="center"/>
            </w:pPr>
            <w:r>
              <w:rPr>
                <w:rFonts w:ascii="宋体" w:hAnsi="宋体" w:eastAsia="宋体" w:cs="宋体"/>
                <w:b w:val="0"/>
              </w:rPr>
              <w:t>账面金额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9,596,354.64</w:t>
            </w:r>
          </w:p>
        </w:tc>
        <w:tc>
          <w:tcPr>
            <w:tcW w:w="0" w:type="dxa"/>
            <w:vAlign w:val="center"/>
          </w:tcPr>
          <w:p>
            <w:pPr>
              <w:spacing w:line="240" w:lineRule="auto"/>
              <w:jc w:val="right"/>
            </w:pPr>
            <w:r>
              <w:rPr>
                <w:rFonts w:ascii="宋体" w:hAnsi="宋体" w:eastAsia="宋体" w:cs="宋体"/>
                <w:b w:val="0"/>
              </w:rPr>
              <w:t>9,596,354.64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本期申购</w:t>
            </w:r>
          </w:p>
        </w:tc>
        <w:tc>
          <w:tcPr>
            <w:tcW w:w="0" w:type="dxa"/>
            <w:vAlign w:val="center"/>
          </w:tcPr>
          <w:p>
            <w:pPr>
              <w:spacing w:line="240" w:lineRule="auto"/>
              <w:jc w:val="right"/>
            </w:pPr>
            <w:r>
              <w:rPr>
                <w:rFonts w:ascii="宋体" w:hAnsi="宋体" w:eastAsia="宋体" w:cs="宋体"/>
                <w:b w:val="0"/>
              </w:rPr>
              <w:t>1,166,738,868.75</w:t>
            </w:r>
          </w:p>
        </w:tc>
        <w:tc>
          <w:tcPr>
            <w:tcW w:w="0" w:type="dxa"/>
            <w:vAlign w:val="center"/>
          </w:tcPr>
          <w:p>
            <w:pPr>
              <w:spacing w:line="240" w:lineRule="auto"/>
              <w:jc w:val="right"/>
            </w:pPr>
            <w:r>
              <w:rPr>
                <w:rFonts w:ascii="宋体" w:hAnsi="宋体" w:eastAsia="宋体" w:cs="宋体"/>
                <w:b w:val="0"/>
              </w:rPr>
              <w:t>1,166,738,868.75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本期赎回（以“-”号填列）</w:t>
            </w:r>
          </w:p>
        </w:tc>
        <w:tc>
          <w:tcPr>
            <w:tcW w:w="0" w:type="dxa"/>
            <w:vAlign w:val="center"/>
          </w:tcPr>
          <w:p>
            <w:pPr>
              <w:spacing w:line="240" w:lineRule="auto"/>
              <w:jc w:val="right"/>
            </w:pPr>
            <w:r>
              <w:rPr>
                <w:rFonts w:ascii="宋体" w:hAnsi="宋体" w:eastAsia="宋体" w:cs="宋体"/>
                <w:b w:val="0"/>
              </w:rPr>
              <w:t>-466,157,442.62</w:t>
            </w:r>
          </w:p>
        </w:tc>
        <w:tc>
          <w:tcPr>
            <w:tcW w:w="0" w:type="dxa"/>
            <w:vAlign w:val="center"/>
          </w:tcPr>
          <w:p>
            <w:pPr>
              <w:spacing w:line="240" w:lineRule="auto"/>
              <w:jc w:val="right"/>
            </w:pPr>
            <w:r>
              <w:rPr>
                <w:rFonts w:ascii="宋体" w:hAnsi="宋体" w:eastAsia="宋体" w:cs="宋体"/>
                <w:b w:val="0"/>
              </w:rPr>
              <w:t>-466,157,442.62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710,177,780.77</w:t>
            </w:r>
          </w:p>
        </w:tc>
        <w:tc>
          <w:tcPr>
            <w:tcW w:w="0" w:type="dxa"/>
            <w:vAlign w:val="center"/>
          </w:tcPr>
          <w:p>
            <w:pPr>
              <w:spacing w:line="240" w:lineRule="auto"/>
              <w:jc w:val="right"/>
            </w:pPr>
            <w:r>
              <w:rPr>
                <w:rFonts w:ascii="宋体" w:hAnsi="宋体" w:eastAsia="宋体" w:cs="宋体"/>
                <w:b w:val="0"/>
              </w:rPr>
              <w:t>710,177,780.77</w:t>
            </w:r>
          </w:p>
        </w:tc>
      </w:tr>
    </w:tbl>
    <w:p>
      <w:r>
        <w:rPr>
          <w:rFonts w:ascii="宋体" w:hAnsi="宋体" w:eastAsia="宋体" w:cs="宋体"/>
          <w:b w:val="0"/>
        </w:rPr>
        <w:t>注：申购含转换入份额，赎回含转换出份额。</w:t>
      </w:r>
    </w:p>
    <w:p/>
    <w:p>
      <w:pPr>
        <w:pStyle w:val="58"/>
      </w:pPr>
      <w:r>
        <w:rPr>
          <w:rFonts w:ascii="宋体" w:hAnsi="宋体" w:eastAsia="宋体" w:cs="宋体"/>
          <w:b/>
        </w:rPr>
        <w:t>6.4.7.8 未分配利润</w:t>
      </w:r>
    </w:p>
    <w:p>
      <w:pPr>
        <w:jc w:val="left"/>
      </w:pPr>
      <w:r>
        <w:rPr>
          <w:rFonts w:ascii="宋体" w:hAnsi="宋体" w:eastAsia="宋体" w:cs="宋体"/>
          <w:b/>
        </w:rPr>
        <w:t>东方阿尔法科技甄选混合发起A</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val="0"/>
              </w:rPr>
              <w:t>项目</w:t>
            </w:r>
          </w:p>
        </w:tc>
        <w:tc>
          <w:tcPr>
            <w:tcW w:w="1231" w:type="pct"/>
            <w:shd w:val="clear" w:color="auto" w:fill="D9D9D9"/>
            <w:vAlign w:val="center"/>
          </w:tcPr>
          <w:p>
            <w:pPr>
              <w:spacing w:line="240" w:lineRule="auto"/>
              <w:jc w:val="center"/>
            </w:pPr>
            <w:r>
              <w:rPr>
                <w:rFonts w:ascii="宋体" w:hAnsi="宋体" w:eastAsia="宋体" w:cs="宋体"/>
                <w:b w:val="0"/>
              </w:rPr>
              <w:t>已实现部分</w:t>
            </w:r>
          </w:p>
        </w:tc>
        <w:tc>
          <w:tcPr>
            <w:tcW w:w="1231" w:type="pct"/>
            <w:shd w:val="clear" w:color="auto" w:fill="D9D9D9"/>
            <w:vAlign w:val="center"/>
          </w:tcPr>
          <w:p>
            <w:pPr>
              <w:spacing w:line="240" w:lineRule="auto"/>
              <w:jc w:val="center"/>
            </w:pPr>
            <w:r>
              <w:rPr>
                <w:rFonts w:ascii="宋体" w:hAnsi="宋体" w:eastAsia="宋体" w:cs="宋体"/>
                <w:b w:val="0"/>
              </w:rPr>
              <w:t>未实现部分</w:t>
            </w:r>
          </w:p>
        </w:tc>
        <w:tc>
          <w:tcPr>
            <w:tcW w:w="1385" w:type="pct"/>
            <w:shd w:val="clear" w:color="auto" w:fill="D9D9D9"/>
            <w:vAlign w:val="center"/>
          </w:tcPr>
          <w:p>
            <w:pPr>
              <w:spacing w:line="240" w:lineRule="auto"/>
              <w:jc w:val="center"/>
            </w:pPr>
            <w:r>
              <w:rPr>
                <w:rFonts w:ascii="宋体" w:hAnsi="宋体" w:eastAsia="宋体" w:cs="宋体"/>
                <w:b w:val="0"/>
              </w:rPr>
              <w:t>未分配利润合计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-1,084,346.66</w:t>
            </w:r>
          </w:p>
        </w:tc>
        <w:tc>
          <w:tcPr>
            <w:tcW w:w="0" w:type="dxa"/>
            <w:vAlign w:val="center"/>
          </w:tcPr>
          <w:p>
            <w:pPr>
              <w:spacing w:line="240" w:lineRule="auto"/>
              <w:jc w:val="right"/>
            </w:pPr>
            <w:r>
              <w:rPr>
                <w:rFonts w:ascii="宋体" w:hAnsi="宋体" w:eastAsia="宋体" w:cs="宋体"/>
                <w:b w:val="0"/>
              </w:rPr>
              <w:t>2,754,462.25</w:t>
            </w:r>
          </w:p>
        </w:tc>
        <w:tc>
          <w:tcPr>
            <w:tcW w:w="0" w:type="dxa"/>
            <w:vAlign w:val="center"/>
          </w:tcPr>
          <w:p>
            <w:pPr>
              <w:spacing w:line="240" w:lineRule="auto"/>
              <w:jc w:val="right"/>
            </w:pPr>
            <w:r>
              <w:rPr>
                <w:rFonts w:ascii="宋体" w:hAnsi="宋体" w:eastAsia="宋体" w:cs="宋体"/>
                <w:b w:val="0"/>
              </w:rPr>
              <w:t>1,670,115.59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本期期初</w:t>
            </w:r>
          </w:p>
        </w:tc>
        <w:tc>
          <w:tcPr>
            <w:tcW w:w="0" w:type="dxa"/>
            <w:vAlign w:val="center"/>
          </w:tcPr>
          <w:p>
            <w:pPr>
              <w:spacing w:line="240" w:lineRule="auto"/>
              <w:jc w:val="right"/>
            </w:pPr>
            <w:r>
              <w:rPr>
                <w:rFonts w:ascii="宋体" w:hAnsi="宋体" w:eastAsia="宋体" w:cs="宋体"/>
                <w:b w:val="0"/>
              </w:rPr>
              <w:t>-1,084,346.66</w:t>
            </w:r>
          </w:p>
        </w:tc>
        <w:tc>
          <w:tcPr>
            <w:tcW w:w="0" w:type="dxa"/>
            <w:vAlign w:val="center"/>
          </w:tcPr>
          <w:p>
            <w:pPr>
              <w:spacing w:line="240" w:lineRule="auto"/>
              <w:jc w:val="right"/>
            </w:pPr>
            <w:r>
              <w:rPr>
                <w:rFonts w:ascii="宋体" w:hAnsi="宋体" w:eastAsia="宋体" w:cs="宋体"/>
                <w:b w:val="0"/>
              </w:rPr>
              <w:t>2,754,462.25</w:t>
            </w:r>
          </w:p>
        </w:tc>
        <w:tc>
          <w:tcPr>
            <w:tcW w:w="0" w:type="dxa"/>
            <w:vAlign w:val="center"/>
          </w:tcPr>
          <w:p>
            <w:pPr>
              <w:spacing w:line="240" w:lineRule="auto"/>
              <w:jc w:val="right"/>
            </w:pPr>
            <w:r>
              <w:rPr>
                <w:rFonts w:ascii="宋体" w:hAnsi="宋体" w:eastAsia="宋体" w:cs="宋体"/>
                <w:b w:val="0"/>
              </w:rPr>
              <w:t>1,670,115.59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本期利润</w:t>
            </w:r>
          </w:p>
        </w:tc>
        <w:tc>
          <w:tcPr>
            <w:tcW w:w="0" w:type="dxa"/>
            <w:vAlign w:val="center"/>
          </w:tcPr>
          <w:p>
            <w:pPr>
              <w:spacing w:line="240" w:lineRule="auto"/>
              <w:jc w:val="right"/>
            </w:pPr>
            <w:r>
              <w:rPr>
                <w:rFonts w:ascii="宋体" w:hAnsi="宋体" w:eastAsia="宋体" w:cs="宋体"/>
                <w:b w:val="0"/>
              </w:rPr>
              <w:t>-881,997.12</w:t>
            </w:r>
          </w:p>
        </w:tc>
        <w:tc>
          <w:tcPr>
            <w:tcW w:w="0" w:type="dxa"/>
            <w:vAlign w:val="center"/>
          </w:tcPr>
          <w:p>
            <w:pPr>
              <w:spacing w:line="240" w:lineRule="auto"/>
              <w:jc w:val="right"/>
            </w:pPr>
            <w:r>
              <w:rPr>
                <w:rFonts w:ascii="宋体" w:hAnsi="宋体" w:eastAsia="宋体" w:cs="宋体"/>
                <w:b w:val="0"/>
              </w:rPr>
              <w:t>13,036,603.36</w:t>
            </w:r>
          </w:p>
        </w:tc>
        <w:tc>
          <w:tcPr>
            <w:tcW w:w="0" w:type="dxa"/>
            <w:vAlign w:val="center"/>
          </w:tcPr>
          <w:p>
            <w:pPr>
              <w:spacing w:line="240" w:lineRule="auto"/>
              <w:jc w:val="right"/>
            </w:pPr>
            <w:r>
              <w:rPr>
                <w:rFonts w:ascii="宋体" w:hAnsi="宋体" w:eastAsia="宋体" w:cs="宋体"/>
                <w:b w:val="0"/>
              </w:rPr>
              <w:t>12,154,606.24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本期基金份额交易产生的变动数</w:t>
            </w:r>
          </w:p>
        </w:tc>
        <w:tc>
          <w:tcPr>
            <w:tcW w:w="0" w:type="dxa"/>
            <w:vAlign w:val="center"/>
          </w:tcPr>
          <w:p>
            <w:pPr>
              <w:spacing w:line="240" w:lineRule="auto"/>
              <w:jc w:val="right"/>
            </w:pPr>
            <w:r>
              <w:rPr>
                <w:rFonts w:ascii="宋体" w:hAnsi="宋体" w:eastAsia="宋体" w:cs="宋体"/>
                <w:b w:val="0"/>
              </w:rPr>
              <w:t>-202,106.64</w:t>
            </w:r>
          </w:p>
        </w:tc>
        <w:tc>
          <w:tcPr>
            <w:tcW w:w="0" w:type="dxa"/>
            <w:vAlign w:val="center"/>
          </w:tcPr>
          <w:p>
            <w:pPr>
              <w:spacing w:line="240" w:lineRule="auto"/>
              <w:jc w:val="right"/>
            </w:pPr>
            <w:r>
              <w:rPr>
                <w:rFonts w:ascii="宋体" w:hAnsi="宋体" w:eastAsia="宋体" w:cs="宋体"/>
                <w:b w:val="0"/>
              </w:rPr>
              <w:t>4,857,010.58</w:t>
            </w:r>
          </w:p>
        </w:tc>
        <w:tc>
          <w:tcPr>
            <w:tcW w:w="0" w:type="dxa"/>
            <w:vAlign w:val="center"/>
          </w:tcPr>
          <w:p>
            <w:pPr>
              <w:spacing w:line="240" w:lineRule="auto"/>
              <w:jc w:val="right"/>
            </w:pPr>
            <w:r>
              <w:rPr>
                <w:rFonts w:ascii="宋体" w:hAnsi="宋体" w:eastAsia="宋体" w:cs="宋体"/>
                <w:b w:val="0"/>
              </w:rPr>
              <w:t>4,654,903.94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其中：基金申购款</w:t>
            </w:r>
          </w:p>
        </w:tc>
        <w:tc>
          <w:tcPr>
            <w:tcW w:w="0" w:type="dxa"/>
            <w:vAlign w:val="center"/>
          </w:tcPr>
          <w:p>
            <w:pPr>
              <w:spacing w:line="240" w:lineRule="auto"/>
              <w:jc w:val="right"/>
            </w:pPr>
            <w:r>
              <w:rPr>
                <w:rFonts w:ascii="宋体" w:hAnsi="宋体" w:eastAsia="宋体" w:cs="宋体"/>
                <w:b w:val="0"/>
              </w:rPr>
              <w:t>-2,105,471.15</w:t>
            </w:r>
          </w:p>
        </w:tc>
        <w:tc>
          <w:tcPr>
            <w:tcW w:w="0" w:type="dxa"/>
            <w:vAlign w:val="center"/>
          </w:tcPr>
          <w:p>
            <w:pPr>
              <w:spacing w:line="240" w:lineRule="auto"/>
              <w:jc w:val="right"/>
            </w:pPr>
            <w:r>
              <w:rPr>
                <w:rFonts w:ascii="宋体" w:hAnsi="宋体" w:eastAsia="宋体" w:cs="宋体"/>
                <w:b w:val="0"/>
              </w:rPr>
              <w:t>17,823,001.44</w:t>
            </w:r>
          </w:p>
        </w:tc>
        <w:tc>
          <w:tcPr>
            <w:tcW w:w="0" w:type="dxa"/>
            <w:vAlign w:val="center"/>
          </w:tcPr>
          <w:p>
            <w:pPr>
              <w:spacing w:line="240" w:lineRule="auto"/>
              <w:jc w:val="right"/>
            </w:pPr>
            <w:r>
              <w:rPr>
                <w:rFonts w:ascii="宋体" w:hAnsi="宋体" w:eastAsia="宋体" w:cs="宋体"/>
                <w:b w:val="0"/>
              </w:rPr>
              <w:t>15,717,530.29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基金赎回款</w:t>
            </w:r>
          </w:p>
        </w:tc>
        <w:tc>
          <w:tcPr>
            <w:tcW w:w="0" w:type="dxa"/>
            <w:vAlign w:val="center"/>
          </w:tcPr>
          <w:p>
            <w:pPr>
              <w:spacing w:line="240" w:lineRule="auto"/>
              <w:jc w:val="right"/>
            </w:pPr>
            <w:r>
              <w:rPr>
                <w:rFonts w:ascii="宋体" w:hAnsi="宋体" w:eastAsia="宋体" w:cs="宋体"/>
                <w:b w:val="0"/>
              </w:rPr>
              <w:t>1,903,364.51</w:t>
            </w:r>
          </w:p>
        </w:tc>
        <w:tc>
          <w:tcPr>
            <w:tcW w:w="0" w:type="dxa"/>
            <w:vAlign w:val="center"/>
          </w:tcPr>
          <w:p>
            <w:pPr>
              <w:spacing w:line="240" w:lineRule="auto"/>
              <w:jc w:val="right"/>
            </w:pPr>
            <w:r>
              <w:rPr>
                <w:rFonts w:ascii="宋体" w:hAnsi="宋体" w:eastAsia="宋体" w:cs="宋体"/>
                <w:b w:val="0"/>
              </w:rPr>
              <w:t>-12,965,990.86</w:t>
            </w:r>
          </w:p>
        </w:tc>
        <w:tc>
          <w:tcPr>
            <w:tcW w:w="0" w:type="dxa"/>
            <w:vAlign w:val="center"/>
          </w:tcPr>
          <w:p>
            <w:pPr>
              <w:spacing w:line="240" w:lineRule="auto"/>
              <w:jc w:val="right"/>
            </w:pPr>
            <w:r>
              <w:rPr>
                <w:rFonts w:ascii="宋体" w:hAnsi="宋体" w:eastAsia="宋体" w:cs="宋体"/>
                <w:b w:val="0"/>
              </w:rPr>
              <w:t>-11,062,626.35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本期已分配利润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-2,168,450.42</w:t>
            </w:r>
          </w:p>
        </w:tc>
        <w:tc>
          <w:tcPr>
            <w:tcW w:w="0" w:type="dxa"/>
            <w:vAlign w:val="center"/>
          </w:tcPr>
          <w:p>
            <w:pPr>
              <w:spacing w:line="240" w:lineRule="auto"/>
              <w:jc w:val="right"/>
            </w:pPr>
            <w:r>
              <w:rPr>
                <w:rFonts w:ascii="宋体" w:hAnsi="宋体" w:eastAsia="宋体" w:cs="宋体"/>
                <w:b w:val="0"/>
              </w:rPr>
              <w:t>20,648,076.19</w:t>
            </w:r>
          </w:p>
        </w:tc>
        <w:tc>
          <w:tcPr>
            <w:tcW w:w="0" w:type="dxa"/>
            <w:vAlign w:val="center"/>
          </w:tcPr>
          <w:p>
            <w:pPr>
              <w:spacing w:line="240" w:lineRule="auto"/>
              <w:jc w:val="right"/>
            </w:pPr>
            <w:r>
              <w:rPr>
                <w:rFonts w:ascii="宋体" w:hAnsi="宋体" w:eastAsia="宋体" w:cs="宋体"/>
                <w:b w:val="0"/>
              </w:rPr>
              <w:t>18,479,625.77</w:t>
            </w:r>
          </w:p>
        </w:tc>
      </w:tr>
    </w:tbl>
    <w:p>
      <w:pPr>
        <w:jc w:val="left"/>
      </w:pPr>
      <w:r>
        <w:rPr>
          <w:rFonts w:ascii="宋体" w:hAnsi="宋体" w:eastAsia="宋体" w:cs="宋体"/>
          <w:b/>
        </w:rPr>
        <w:t>东方阿尔法科技甄选混合发起C</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val="0"/>
              </w:rPr>
              <w:t>项目</w:t>
            </w:r>
          </w:p>
        </w:tc>
        <w:tc>
          <w:tcPr>
            <w:tcW w:w="1231" w:type="pct"/>
            <w:shd w:val="clear" w:color="auto" w:fill="D9D9D9"/>
            <w:vAlign w:val="center"/>
          </w:tcPr>
          <w:p>
            <w:pPr>
              <w:spacing w:line="240" w:lineRule="auto"/>
              <w:jc w:val="center"/>
            </w:pPr>
            <w:r>
              <w:rPr>
                <w:rFonts w:ascii="宋体" w:hAnsi="宋体" w:eastAsia="宋体" w:cs="宋体"/>
                <w:b w:val="0"/>
              </w:rPr>
              <w:t>已实现部分</w:t>
            </w:r>
          </w:p>
        </w:tc>
        <w:tc>
          <w:tcPr>
            <w:tcW w:w="1231" w:type="pct"/>
            <w:shd w:val="clear" w:color="auto" w:fill="D9D9D9"/>
            <w:vAlign w:val="center"/>
          </w:tcPr>
          <w:p>
            <w:pPr>
              <w:spacing w:line="240" w:lineRule="auto"/>
              <w:jc w:val="center"/>
            </w:pPr>
            <w:r>
              <w:rPr>
                <w:rFonts w:ascii="宋体" w:hAnsi="宋体" w:eastAsia="宋体" w:cs="宋体"/>
                <w:b w:val="0"/>
              </w:rPr>
              <w:t>未实现部分</w:t>
            </w:r>
          </w:p>
        </w:tc>
        <w:tc>
          <w:tcPr>
            <w:tcW w:w="1385" w:type="pct"/>
            <w:shd w:val="clear" w:color="auto" w:fill="D9D9D9"/>
            <w:vAlign w:val="center"/>
          </w:tcPr>
          <w:p>
            <w:pPr>
              <w:spacing w:line="240" w:lineRule="auto"/>
              <w:jc w:val="center"/>
            </w:pPr>
            <w:r>
              <w:rPr>
                <w:rFonts w:ascii="宋体" w:hAnsi="宋体" w:eastAsia="宋体" w:cs="宋体"/>
                <w:b w:val="0"/>
              </w:rPr>
              <w:t>未分配利润合计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-657,971.48</w:t>
            </w:r>
          </w:p>
        </w:tc>
        <w:tc>
          <w:tcPr>
            <w:tcW w:w="0" w:type="dxa"/>
            <w:vAlign w:val="center"/>
          </w:tcPr>
          <w:p>
            <w:pPr>
              <w:spacing w:line="240" w:lineRule="auto"/>
              <w:jc w:val="right"/>
            </w:pPr>
            <w:r>
              <w:rPr>
                <w:rFonts w:ascii="宋体" w:hAnsi="宋体" w:eastAsia="宋体" w:cs="宋体"/>
                <w:b w:val="0"/>
              </w:rPr>
              <w:t>1,662,155.39</w:t>
            </w:r>
          </w:p>
        </w:tc>
        <w:tc>
          <w:tcPr>
            <w:tcW w:w="0" w:type="dxa"/>
            <w:vAlign w:val="center"/>
          </w:tcPr>
          <w:p>
            <w:pPr>
              <w:spacing w:line="240" w:lineRule="auto"/>
              <w:jc w:val="right"/>
            </w:pPr>
            <w:r>
              <w:rPr>
                <w:rFonts w:ascii="宋体" w:hAnsi="宋体" w:eastAsia="宋体" w:cs="宋体"/>
                <w:b w:val="0"/>
              </w:rPr>
              <w:t>1,004,183.91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本期期初</w:t>
            </w:r>
          </w:p>
        </w:tc>
        <w:tc>
          <w:tcPr>
            <w:tcW w:w="0" w:type="dxa"/>
            <w:vAlign w:val="center"/>
          </w:tcPr>
          <w:p>
            <w:pPr>
              <w:spacing w:line="240" w:lineRule="auto"/>
              <w:jc w:val="right"/>
            </w:pPr>
            <w:r>
              <w:rPr>
                <w:rFonts w:ascii="宋体" w:hAnsi="宋体" w:eastAsia="宋体" w:cs="宋体"/>
                <w:b w:val="0"/>
              </w:rPr>
              <w:t>-657,971.48</w:t>
            </w:r>
          </w:p>
        </w:tc>
        <w:tc>
          <w:tcPr>
            <w:tcW w:w="0" w:type="dxa"/>
            <w:vAlign w:val="center"/>
          </w:tcPr>
          <w:p>
            <w:pPr>
              <w:spacing w:line="240" w:lineRule="auto"/>
              <w:jc w:val="right"/>
            </w:pPr>
            <w:r>
              <w:rPr>
                <w:rFonts w:ascii="宋体" w:hAnsi="宋体" w:eastAsia="宋体" w:cs="宋体"/>
                <w:b w:val="0"/>
              </w:rPr>
              <w:t>1,662,155.39</w:t>
            </w:r>
          </w:p>
        </w:tc>
        <w:tc>
          <w:tcPr>
            <w:tcW w:w="0" w:type="dxa"/>
            <w:vAlign w:val="center"/>
          </w:tcPr>
          <w:p>
            <w:pPr>
              <w:spacing w:line="240" w:lineRule="auto"/>
              <w:jc w:val="right"/>
            </w:pPr>
            <w:r>
              <w:rPr>
                <w:rFonts w:ascii="宋体" w:hAnsi="宋体" w:eastAsia="宋体" w:cs="宋体"/>
                <w:b w:val="0"/>
              </w:rPr>
              <w:t>1,004,183.91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本期利润</w:t>
            </w:r>
          </w:p>
        </w:tc>
        <w:tc>
          <w:tcPr>
            <w:tcW w:w="0" w:type="dxa"/>
            <w:vAlign w:val="center"/>
          </w:tcPr>
          <w:p>
            <w:pPr>
              <w:spacing w:line="240" w:lineRule="auto"/>
              <w:jc w:val="right"/>
            </w:pPr>
            <w:r>
              <w:rPr>
                <w:rFonts w:ascii="宋体" w:hAnsi="宋体" w:eastAsia="宋体" w:cs="宋体"/>
                <w:b w:val="0"/>
              </w:rPr>
              <w:t>1,106,682.37</w:t>
            </w:r>
          </w:p>
        </w:tc>
        <w:tc>
          <w:tcPr>
            <w:tcW w:w="0" w:type="dxa"/>
            <w:vAlign w:val="center"/>
          </w:tcPr>
          <w:p>
            <w:pPr>
              <w:spacing w:line="240" w:lineRule="auto"/>
              <w:jc w:val="right"/>
            </w:pPr>
            <w:r>
              <w:rPr>
                <w:rFonts w:ascii="宋体" w:hAnsi="宋体" w:eastAsia="宋体" w:cs="宋体"/>
                <w:b w:val="0"/>
              </w:rPr>
              <w:t>112,718,212.70</w:t>
            </w:r>
          </w:p>
        </w:tc>
        <w:tc>
          <w:tcPr>
            <w:tcW w:w="0" w:type="dxa"/>
            <w:vAlign w:val="center"/>
          </w:tcPr>
          <w:p>
            <w:pPr>
              <w:spacing w:line="240" w:lineRule="auto"/>
              <w:jc w:val="right"/>
            </w:pPr>
            <w:r>
              <w:rPr>
                <w:rFonts w:ascii="宋体" w:hAnsi="宋体" w:eastAsia="宋体" w:cs="宋体"/>
                <w:b w:val="0"/>
              </w:rPr>
              <w:t>113,824,895.07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本期基金份额交易产生的变动数</w:t>
            </w:r>
          </w:p>
        </w:tc>
        <w:tc>
          <w:tcPr>
            <w:tcW w:w="0" w:type="dxa"/>
            <w:vAlign w:val="center"/>
          </w:tcPr>
          <w:p>
            <w:pPr>
              <w:spacing w:line="240" w:lineRule="auto"/>
              <w:jc w:val="right"/>
            </w:pPr>
            <w:r>
              <w:rPr>
                <w:rFonts w:ascii="宋体" w:hAnsi="宋体" w:eastAsia="宋体" w:cs="宋体"/>
                <w:b w:val="0"/>
              </w:rPr>
              <w:t>-72,036,037.73</w:t>
            </w:r>
          </w:p>
        </w:tc>
        <w:tc>
          <w:tcPr>
            <w:tcW w:w="0" w:type="dxa"/>
            <w:vAlign w:val="center"/>
          </w:tcPr>
          <w:p>
            <w:pPr>
              <w:spacing w:line="240" w:lineRule="auto"/>
              <w:jc w:val="right"/>
            </w:pPr>
            <w:r>
              <w:rPr>
                <w:rFonts w:ascii="宋体" w:hAnsi="宋体" w:eastAsia="宋体" w:cs="宋体"/>
                <w:b w:val="0"/>
              </w:rPr>
              <w:t>551,309,369.31</w:t>
            </w:r>
          </w:p>
        </w:tc>
        <w:tc>
          <w:tcPr>
            <w:tcW w:w="0" w:type="dxa"/>
            <w:vAlign w:val="center"/>
          </w:tcPr>
          <w:p>
            <w:pPr>
              <w:spacing w:line="240" w:lineRule="auto"/>
              <w:jc w:val="right"/>
            </w:pPr>
            <w:r>
              <w:rPr>
                <w:rFonts w:ascii="宋体" w:hAnsi="宋体" w:eastAsia="宋体" w:cs="宋体"/>
                <w:b w:val="0"/>
              </w:rPr>
              <w:t>479,273,331.58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其中：基金申购款</w:t>
            </w:r>
          </w:p>
        </w:tc>
        <w:tc>
          <w:tcPr>
            <w:tcW w:w="0" w:type="dxa"/>
            <w:vAlign w:val="center"/>
          </w:tcPr>
          <w:p>
            <w:pPr>
              <w:spacing w:line="240" w:lineRule="auto"/>
              <w:jc w:val="right"/>
            </w:pPr>
            <w:r>
              <w:rPr>
                <w:rFonts w:ascii="宋体" w:hAnsi="宋体" w:eastAsia="宋体" w:cs="宋体"/>
                <w:b w:val="0"/>
              </w:rPr>
              <w:t>-110,229,496.01</w:t>
            </w:r>
          </w:p>
        </w:tc>
        <w:tc>
          <w:tcPr>
            <w:tcW w:w="0" w:type="dxa"/>
            <w:vAlign w:val="center"/>
          </w:tcPr>
          <w:p>
            <w:pPr>
              <w:spacing w:line="240" w:lineRule="auto"/>
              <w:jc w:val="right"/>
            </w:pPr>
            <w:r>
              <w:rPr>
                <w:rFonts w:ascii="宋体" w:hAnsi="宋体" w:eastAsia="宋体" w:cs="宋体"/>
                <w:b w:val="0"/>
              </w:rPr>
              <w:t>831,352,960.20</w:t>
            </w:r>
          </w:p>
        </w:tc>
        <w:tc>
          <w:tcPr>
            <w:tcW w:w="0" w:type="dxa"/>
            <w:vAlign w:val="center"/>
          </w:tcPr>
          <w:p>
            <w:pPr>
              <w:spacing w:line="240" w:lineRule="auto"/>
              <w:jc w:val="right"/>
            </w:pPr>
            <w:r>
              <w:rPr>
                <w:rFonts w:ascii="宋体" w:hAnsi="宋体" w:eastAsia="宋体" w:cs="宋体"/>
                <w:b w:val="0"/>
              </w:rPr>
              <w:t>721,123,464.19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基金赎回款</w:t>
            </w:r>
          </w:p>
        </w:tc>
        <w:tc>
          <w:tcPr>
            <w:tcW w:w="0" w:type="dxa"/>
            <w:vAlign w:val="center"/>
          </w:tcPr>
          <w:p>
            <w:pPr>
              <w:spacing w:line="240" w:lineRule="auto"/>
              <w:jc w:val="right"/>
            </w:pPr>
            <w:r>
              <w:rPr>
                <w:rFonts w:ascii="宋体" w:hAnsi="宋体" w:eastAsia="宋体" w:cs="宋体"/>
                <w:b w:val="0"/>
              </w:rPr>
              <w:t>38,193,458.28</w:t>
            </w:r>
          </w:p>
        </w:tc>
        <w:tc>
          <w:tcPr>
            <w:tcW w:w="0" w:type="dxa"/>
            <w:vAlign w:val="center"/>
          </w:tcPr>
          <w:p>
            <w:pPr>
              <w:spacing w:line="240" w:lineRule="auto"/>
              <w:jc w:val="right"/>
            </w:pPr>
            <w:r>
              <w:rPr>
                <w:rFonts w:ascii="宋体" w:hAnsi="宋体" w:eastAsia="宋体" w:cs="宋体"/>
                <w:b w:val="0"/>
              </w:rPr>
              <w:t>-280,043,590.89</w:t>
            </w:r>
          </w:p>
        </w:tc>
        <w:tc>
          <w:tcPr>
            <w:tcW w:w="0" w:type="dxa"/>
            <w:vAlign w:val="center"/>
          </w:tcPr>
          <w:p>
            <w:pPr>
              <w:spacing w:line="240" w:lineRule="auto"/>
              <w:jc w:val="right"/>
            </w:pPr>
            <w:r>
              <w:rPr>
                <w:rFonts w:ascii="宋体" w:hAnsi="宋体" w:eastAsia="宋体" w:cs="宋体"/>
                <w:b w:val="0"/>
              </w:rPr>
              <w:t>-241,850,132.61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本期已分配利润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-71,587,326.84</w:t>
            </w:r>
          </w:p>
        </w:tc>
        <w:tc>
          <w:tcPr>
            <w:tcW w:w="0" w:type="dxa"/>
            <w:vAlign w:val="center"/>
          </w:tcPr>
          <w:p>
            <w:pPr>
              <w:spacing w:line="240" w:lineRule="auto"/>
              <w:jc w:val="right"/>
            </w:pPr>
            <w:r>
              <w:rPr>
                <w:rFonts w:ascii="宋体" w:hAnsi="宋体" w:eastAsia="宋体" w:cs="宋体"/>
                <w:b w:val="0"/>
              </w:rPr>
              <w:t>665,689,737.40</w:t>
            </w:r>
          </w:p>
        </w:tc>
        <w:tc>
          <w:tcPr>
            <w:tcW w:w="0" w:type="dxa"/>
            <w:vAlign w:val="center"/>
          </w:tcPr>
          <w:p>
            <w:pPr>
              <w:spacing w:line="240" w:lineRule="auto"/>
              <w:jc w:val="right"/>
            </w:pPr>
            <w:r>
              <w:rPr>
                <w:rFonts w:ascii="宋体" w:hAnsi="宋体" w:eastAsia="宋体" w:cs="宋体"/>
                <w:b w:val="0"/>
              </w:rPr>
              <w:t>594,102,410.56</w:t>
            </w:r>
          </w:p>
        </w:tc>
      </w:tr>
    </w:tbl>
    <w:p/>
    <w:p>
      <w:pPr>
        <w:pStyle w:val="58"/>
      </w:pPr>
      <w:r>
        <w:rPr>
          <w:rFonts w:ascii="宋体" w:hAnsi="宋体" w:eastAsia="宋体" w:cs="宋体"/>
          <w:b/>
        </w:rPr>
        <w:t>6.4.7.9 存款利息收入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活期存款利息收入</w:t>
            </w:r>
          </w:p>
        </w:tc>
        <w:tc>
          <w:tcPr>
            <w:tcW w:w="0" w:type="dxa"/>
            <w:vAlign w:val="center"/>
          </w:tcPr>
          <w:p>
            <w:pPr>
              <w:spacing w:line="240" w:lineRule="auto"/>
              <w:jc w:val="right"/>
            </w:pPr>
            <w:r>
              <w:rPr>
                <w:rFonts w:ascii="宋体" w:hAnsi="宋体" w:eastAsia="宋体" w:cs="宋体"/>
                <w:b w:val="0"/>
              </w:rPr>
              <w:t>1,656.96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定期存款利息收入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其他存款利息收入</w:t>
            </w:r>
          </w:p>
        </w:tc>
        <w:tc>
          <w:tcPr>
            <w:tcW w:w="0" w:type="dxa"/>
            <w:vAlign w:val="center"/>
          </w:tcPr>
          <w:p>
            <w:pPr>
              <w:spacing w:line="240" w:lineRule="auto"/>
              <w:jc w:val="right"/>
            </w:pPr>
            <w:r>
              <w:rPr>
                <w:rFonts w:ascii="宋体" w:hAnsi="宋体" w:eastAsia="宋体" w:cs="宋体"/>
                <w:b w:val="0"/>
              </w:rPr>
              <w:t>2,782.21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结算备付金利息收入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29.31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4,468.48</w:t>
            </w:r>
          </w:p>
        </w:tc>
      </w:tr>
    </w:tbl>
    <w:p>
      <w:r>
        <w:rPr>
          <w:rFonts w:ascii="宋体" w:hAnsi="宋体" w:eastAsia="宋体" w:cs="宋体"/>
          <w:b w:val="0"/>
        </w:rPr>
        <w:t>注：其他存款利息收入为存放在证券经纪商基金专用证券账户的证券交易结算资金产生的利息收入。</w:t>
      </w:r>
    </w:p>
    <w:p/>
    <w:p>
      <w:pPr>
        <w:pStyle w:val="58"/>
      </w:pPr>
      <w:r>
        <w:rPr>
          <w:rFonts w:ascii="宋体" w:hAnsi="宋体" w:eastAsia="宋体" w:cs="宋体"/>
          <w:b/>
        </w:rPr>
        <w:t>6.4.7.10 股票投资收益——买卖股票差价收入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卖出股票成交总额</w:t>
            </w:r>
          </w:p>
        </w:tc>
        <w:tc>
          <w:tcPr>
            <w:tcW w:w="0" w:type="dxa"/>
            <w:vAlign w:val="center"/>
          </w:tcPr>
          <w:p>
            <w:pPr>
              <w:spacing w:line="240" w:lineRule="auto"/>
              <w:jc w:val="right"/>
            </w:pPr>
            <w:r>
              <w:rPr>
                <w:rFonts w:ascii="宋体" w:hAnsi="宋体" w:eastAsia="宋体" w:cs="宋体"/>
                <w:b w:val="0"/>
              </w:rPr>
              <w:t>415,066,021.95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减：卖出股票成本总额</w:t>
            </w:r>
          </w:p>
        </w:tc>
        <w:tc>
          <w:tcPr>
            <w:tcW w:w="0" w:type="dxa"/>
            <w:vAlign w:val="center"/>
          </w:tcPr>
          <w:p>
            <w:pPr>
              <w:spacing w:line="240" w:lineRule="auto"/>
              <w:jc w:val="right"/>
            </w:pPr>
            <w:r>
              <w:rPr>
                <w:rFonts w:ascii="宋体" w:hAnsi="宋体" w:eastAsia="宋体" w:cs="宋体"/>
                <w:b w:val="0"/>
              </w:rPr>
              <w:t>417,236,381.22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减：交易费用</w:t>
            </w:r>
          </w:p>
        </w:tc>
        <w:tc>
          <w:tcPr>
            <w:tcW w:w="0" w:type="dxa"/>
            <w:vAlign w:val="center"/>
          </w:tcPr>
          <w:p>
            <w:pPr>
              <w:spacing w:line="240" w:lineRule="auto"/>
              <w:jc w:val="right"/>
            </w:pPr>
            <w:r>
              <w:rPr>
                <w:rFonts w:ascii="宋体" w:hAnsi="宋体" w:eastAsia="宋体" w:cs="宋体"/>
                <w:b w:val="0"/>
              </w:rPr>
              <w:t>1,208,439.13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买卖股票差价收入</w:t>
            </w:r>
          </w:p>
        </w:tc>
        <w:tc>
          <w:tcPr>
            <w:tcW w:w="0" w:type="dxa"/>
            <w:vAlign w:val="center"/>
          </w:tcPr>
          <w:p>
            <w:pPr>
              <w:spacing w:line="240" w:lineRule="auto"/>
              <w:jc w:val="right"/>
            </w:pPr>
            <w:r>
              <w:rPr>
                <w:rFonts w:ascii="宋体" w:hAnsi="宋体" w:eastAsia="宋体" w:cs="宋体"/>
                <w:b w:val="0"/>
              </w:rPr>
              <w:t>-3,378,798.40</w:t>
            </w:r>
          </w:p>
        </w:tc>
      </w:tr>
    </w:tbl>
    <w:p/>
    <w:p>
      <w:pPr>
        <w:pStyle w:val="58"/>
      </w:pPr>
      <w:r>
        <w:rPr>
          <w:rFonts w:ascii="宋体" w:hAnsi="宋体" w:eastAsia="宋体" w:cs="宋体"/>
          <w:b/>
        </w:rPr>
        <w:t>6.4.7.11 基金投资收益</w:t>
      </w:r>
    </w:p>
    <w:p>
      <w:r>
        <w:rPr>
          <w:rFonts w:ascii="宋体" w:hAnsi="宋体" w:eastAsia="宋体" w:cs="宋体"/>
          <w:b w:val="0"/>
        </w:rPr>
        <w:t xml:space="preserve">    本基金本报告期无基金投资收益。</w:t>
      </w:r>
    </w:p>
    <w:p/>
    <w:p>
      <w:pPr>
        <w:pStyle w:val="58"/>
      </w:pPr>
      <w:r>
        <w:rPr>
          <w:rFonts w:ascii="宋体" w:hAnsi="宋体" w:eastAsia="宋体" w:cs="宋体"/>
          <w:b/>
        </w:rPr>
        <w:t>6.4.7.12 债券投资收益</w:t>
      </w:r>
    </w:p>
    <w:p>
      <w:pPr>
        <w:pStyle w:val="58"/>
      </w:pPr>
      <w:r>
        <w:rPr>
          <w:rFonts w:ascii="宋体" w:hAnsi="宋体" w:eastAsia="宋体" w:cs="宋体"/>
          <w:b/>
        </w:rPr>
        <w:t>6.4.7.12.1 债券投资收益项目构成</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8"/>
        <w:gridCol w:w="4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pct"/>
            <w:shd w:val="clear" w:color="auto" w:fill="D9D9D9"/>
            <w:vAlign w:val="center"/>
          </w:tcPr>
          <w:p>
            <w:pPr>
              <w:spacing w:line="240" w:lineRule="auto"/>
              <w:jc w:val="center"/>
            </w:pPr>
            <w:r>
              <w:rPr>
                <w:rFonts w:ascii="宋体" w:hAnsi="宋体" w:eastAsia="宋体" w:cs="宋体"/>
                <w:b w:val="0"/>
              </w:rPr>
              <w:t>项目</w:t>
            </w:r>
          </w:p>
        </w:tc>
        <w:tc>
          <w:tcPr>
            <w:tcW w:w="25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债券投资收益——利息收入</w:t>
            </w:r>
          </w:p>
        </w:tc>
        <w:tc>
          <w:tcPr>
            <w:tcW w:w="0" w:type="dxa"/>
            <w:vAlign w:val="center"/>
          </w:tcPr>
          <w:p>
            <w:pPr>
              <w:spacing w:line="240" w:lineRule="auto"/>
              <w:jc w:val="right"/>
            </w:pPr>
            <w:r>
              <w:rPr>
                <w:rFonts w:ascii="宋体" w:hAnsi="宋体" w:eastAsia="宋体" w:cs="宋体"/>
                <w:b w:val="0"/>
              </w:rPr>
              <w:t>51,263.78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债券投资收益——买卖债券（债转股及债券到期兑付）差价收入</w:t>
            </w:r>
          </w:p>
        </w:tc>
        <w:tc>
          <w:tcPr>
            <w:tcW w:w="0" w:type="dxa"/>
            <w:vAlign w:val="center"/>
          </w:tcPr>
          <w:p>
            <w:pPr>
              <w:spacing w:line="240" w:lineRule="auto"/>
              <w:jc w:val="right"/>
            </w:pPr>
            <w:r>
              <w:rPr>
                <w:rFonts w:ascii="宋体" w:hAnsi="宋体" w:eastAsia="宋体" w:cs="宋体"/>
                <w:b w:val="0"/>
              </w:rPr>
              <w:t>5,867.79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债券投资收益——赎回差价收入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债券投资收益——申购差价收入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57,131.57</w:t>
            </w:r>
          </w:p>
        </w:tc>
      </w:tr>
    </w:tbl>
    <w:p/>
    <w:p>
      <w:pPr>
        <w:pStyle w:val="58"/>
      </w:pPr>
      <w:r>
        <w:rPr>
          <w:rFonts w:ascii="宋体" w:hAnsi="宋体" w:eastAsia="宋体" w:cs="宋体"/>
          <w:b/>
        </w:rPr>
        <w:t>6.4.7.12.2 债券投资收益——买卖债券差价收入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6"/>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pct"/>
            <w:shd w:val="clear" w:color="auto" w:fill="D9D9D9"/>
            <w:vAlign w:val="center"/>
          </w:tcPr>
          <w:p>
            <w:pPr>
              <w:spacing w:line="240" w:lineRule="auto"/>
              <w:jc w:val="center"/>
            </w:pPr>
            <w:r>
              <w:rPr>
                <w:rFonts w:ascii="宋体" w:hAnsi="宋体" w:eastAsia="宋体" w:cs="宋体"/>
                <w:b w:val="0"/>
              </w:rPr>
              <w:t>项目</w:t>
            </w:r>
          </w:p>
        </w:tc>
        <w:tc>
          <w:tcPr>
            <w:tcW w:w="15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卖出债券（债转股及债券到期兑付）成交总额</w:t>
            </w:r>
          </w:p>
        </w:tc>
        <w:tc>
          <w:tcPr>
            <w:tcW w:w="0" w:type="dxa"/>
            <w:vAlign w:val="center"/>
          </w:tcPr>
          <w:p>
            <w:pPr>
              <w:spacing w:line="240" w:lineRule="auto"/>
              <w:jc w:val="right"/>
            </w:pPr>
            <w:r>
              <w:rPr>
                <w:rFonts w:ascii="宋体" w:hAnsi="宋体" w:eastAsia="宋体" w:cs="宋体"/>
                <w:b w:val="0"/>
              </w:rPr>
              <w:t>15,288,465.87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减：卖出债券（债转股及债券到期兑付）成本总额</w:t>
            </w:r>
          </w:p>
        </w:tc>
        <w:tc>
          <w:tcPr>
            <w:tcW w:w="0" w:type="dxa"/>
            <w:vAlign w:val="center"/>
          </w:tcPr>
          <w:p>
            <w:pPr>
              <w:spacing w:line="240" w:lineRule="auto"/>
              <w:jc w:val="right"/>
            </w:pPr>
            <w:r>
              <w:rPr>
                <w:rFonts w:ascii="宋体" w:hAnsi="宋体" w:eastAsia="宋体" w:cs="宋体"/>
                <w:b w:val="0"/>
              </w:rPr>
              <w:t>15,198,583.38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减：应计利息总额</w:t>
            </w:r>
          </w:p>
        </w:tc>
        <w:tc>
          <w:tcPr>
            <w:tcW w:w="0" w:type="dxa"/>
            <w:vAlign w:val="center"/>
          </w:tcPr>
          <w:p>
            <w:pPr>
              <w:spacing w:line="240" w:lineRule="auto"/>
              <w:jc w:val="right"/>
            </w:pPr>
            <w:r>
              <w:rPr>
                <w:rFonts w:ascii="宋体" w:hAnsi="宋体" w:eastAsia="宋体" w:cs="宋体"/>
                <w:b w:val="0"/>
              </w:rPr>
              <w:t>81,547.87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减：交易费用</w:t>
            </w:r>
          </w:p>
        </w:tc>
        <w:tc>
          <w:tcPr>
            <w:tcW w:w="0" w:type="dxa"/>
            <w:vAlign w:val="center"/>
          </w:tcPr>
          <w:p>
            <w:pPr>
              <w:spacing w:line="240" w:lineRule="auto"/>
              <w:jc w:val="right"/>
            </w:pPr>
            <w:r>
              <w:rPr>
                <w:rFonts w:ascii="宋体" w:hAnsi="宋体" w:eastAsia="宋体" w:cs="宋体"/>
                <w:b w:val="0"/>
              </w:rPr>
              <w:t>2,466.83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买卖债券差价收入</w:t>
            </w:r>
          </w:p>
        </w:tc>
        <w:tc>
          <w:tcPr>
            <w:tcW w:w="0" w:type="dxa"/>
            <w:vAlign w:val="center"/>
          </w:tcPr>
          <w:p>
            <w:pPr>
              <w:spacing w:line="240" w:lineRule="auto"/>
              <w:jc w:val="right"/>
            </w:pPr>
            <w:r>
              <w:rPr>
                <w:rFonts w:ascii="宋体" w:hAnsi="宋体" w:eastAsia="宋体" w:cs="宋体"/>
                <w:b w:val="0"/>
              </w:rPr>
              <w:t>5,867.79</w:t>
            </w:r>
          </w:p>
        </w:tc>
      </w:tr>
    </w:tbl>
    <w:p/>
    <w:p>
      <w:pPr>
        <w:pStyle w:val="58"/>
      </w:pPr>
      <w:r>
        <w:rPr>
          <w:rFonts w:ascii="宋体" w:hAnsi="宋体" w:eastAsia="宋体" w:cs="宋体"/>
          <w:b/>
        </w:rPr>
        <w:t>6.4.7.13 资产支持证券投资收益</w:t>
      </w:r>
    </w:p>
    <w:p>
      <w:r>
        <w:rPr>
          <w:rFonts w:ascii="宋体" w:hAnsi="宋体" w:eastAsia="宋体" w:cs="宋体"/>
          <w:b w:val="0"/>
        </w:rPr>
        <w:t xml:space="preserve">    本基金本报告期内无资产支持证券投资收益。</w:t>
      </w:r>
    </w:p>
    <w:p/>
    <w:p>
      <w:pPr>
        <w:pStyle w:val="58"/>
      </w:pPr>
      <w:r>
        <w:rPr>
          <w:rFonts w:ascii="宋体" w:hAnsi="宋体" w:eastAsia="宋体" w:cs="宋体"/>
          <w:b/>
        </w:rPr>
        <w:t>6.4.7.14 贵金属投资收益</w:t>
      </w:r>
    </w:p>
    <w:p>
      <w:r>
        <w:rPr>
          <w:rFonts w:ascii="宋体" w:hAnsi="宋体" w:eastAsia="宋体" w:cs="宋体"/>
          <w:b w:val="0"/>
        </w:rPr>
        <w:t xml:space="preserve">    本基金本报告期内无贵金属投资收益。</w:t>
      </w:r>
    </w:p>
    <w:p/>
    <w:p>
      <w:pPr>
        <w:pStyle w:val="58"/>
      </w:pPr>
      <w:r>
        <w:rPr>
          <w:rFonts w:ascii="宋体" w:hAnsi="宋体" w:eastAsia="宋体" w:cs="宋体"/>
          <w:b/>
        </w:rPr>
        <w:t>6.4.7.15 衍生工具收益</w:t>
      </w:r>
    </w:p>
    <w:p>
      <w:r>
        <w:rPr>
          <w:rFonts w:ascii="宋体" w:hAnsi="宋体" w:eastAsia="宋体" w:cs="宋体"/>
          <w:b w:val="0"/>
        </w:rPr>
        <w:t xml:space="preserve">    本基金本报告期内无衍生工具收益。</w:t>
      </w:r>
    </w:p>
    <w:p/>
    <w:p>
      <w:pPr>
        <w:pStyle w:val="58"/>
      </w:pPr>
      <w:r>
        <w:rPr>
          <w:rFonts w:ascii="宋体" w:hAnsi="宋体" w:eastAsia="宋体" w:cs="宋体"/>
          <w:b/>
        </w:rPr>
        <w:t>6.4.7.16 股利收益</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股票投资产生的股利收益</w:t>
            </w:r>
          </w:p>
        </w:tc>
        <w:tc>
          <w:tcPr>
            <w:tcW w:w="0" w:type="dxa"/>
            <w:vAlign w:val="center"/>
          </w:tcPr>
          <w:p>
            <w:pPr>
              <w:spacing w:line="240" w:lineRule="auto"/>
              <w:jc w:val="right"/>
            </w:pPr>
            <w:r>
              <w:rPr>
                <w:rFonts w:ascii="宋体" w:hAnsi="宋体" w:eastAsia="宋体" w:cs="宋体"/>
                <w:b w:val="0"/>
              </w:rPr>
              <w:t>305,538.82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其中：证券出借权益补偿收入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基金投资产生的股利收益</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305,538.82</w:t>
            </w:r>
          </w:p>
        </w:tc>
      </w:tr>
    </w:tbl>
    <w:p/>
    <w:p>
      <w:pPr>
        <w:pStyle w:val="58"/>
      </w:pPr>
      <w:r>
        <w:rPr>
          <w:rFonts w:ascii="宋体" w:hAnsi="宋体" w:eastAsia="宋体" w:cs="宋体"/>
          <w:b/>
        </w:rPr>
        <w:t>6.4.7.17 公允价值变动收益</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6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pct"/>
            <w:shd w:val="clear" w:color="auto" w:fill="D9D9D9"/>
            <w:vAlign w:val="center"/>
          </w:tcPr>
          <w:p>
            <w:pPr>
              <w:spacing w:line="240" w:lineRule="auto"/>
              <w:jc w:val="center"/>
            </w:pPr>
            <w:r>
              <w:rPr>
                <w:rFonts w:ascii="宋体" w:hAnsi="宋体" w:eastAsia="宋体" w:cs="宋体"/>
                <w:b w:val="0"/>
              </w:rPr>
              <w:t>项目名称</w:t>
            </w:r>
          </w:p>
        </w:tc>
        <w:tc>
          <w:tcPr>
            <w:tcW w:w="30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1.交易性金融资产</w:t>
            </w:r>
          </w:p>
        </w:tc>
        <w:tc>
          <w:tcPr>
            <w:tcW w:w="0" w:type="dxa"/>
            <w:vAlign w:val="center"/>
          </w:tcPr>
          <w:p>
            <w:pPr>
              <w:spacing w:line="240" w:lineRule="auto"/>
              <w:jc w:val="right"/>
            </w:pPr>
            <w:r>
              <w:rPr>
                <w:rFonts w:ascii="宋体" w:hAnsi="宋体" w:eastAsia="宋体" w:cs="宋体"/>
                <w:b w:val="0"/>
              </w:rPr>
              <w:t>125,754,816.06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——股票投资</w:t>
            </w:r>
          </w:p>
        </w:tc>
        <w:tc>
          <w:tcPr>
            <w:tcW w:w="0" w:type="dxa"/>
            <w:vAlign w:val="center"/>
          </w:tcPr>
          <w:p>
            <w:pPr>
              <w:spacing w:line="240" w:lineRule="auto"/>
              <w:jc w:val="right"/>
            </w:pPr>
            <w:r>
              <w:rPr>
                <w:rFonts w:ascii="宋体" w:hAnsi="宋体" w:eastAsia="宋体" w:cs="宋体"/>
                <w:b w:val="0"/>
              </w:rPr>
              <w:t>125,753,219.68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——债券投资</w:t>
            </w:r>
          </w:p>
        </w:tc>
        <w:tc>
          <w:tcPr>
            <w:tcW w:w="0" w:type="dxa"/>
            <w:vAlign w:val="center"/>
          </w:tcPr>
          <w:p>
            <w:pPr>
              <w:spacing w:line="240" w:lineRule="auto"/>
              <w:jc w:val="right"/>
            </w:pPr>
            <w:r>
              <w:rPr>
                <w:rFonts w:ascii="宋体" w:hAnsi="宋体" w:eastAsia="宋体" w:cs="宋体"/>
                <w:b w:val="0"/>
              </w:rPr>
              <w:t>1,596.38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——资产支持证券投资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2.衍生工具</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——权证投资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3.其他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减：应税金融商品公允价值变动产生的预估增值税</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125,754,816.06</w:t>
            </w:r>
          </w:p>
        </w:tc>
      </w:tr>
    </w:tbl>
    <w:p/>
    <w:p>
      <w:pPr>
        <w:pStyle w:val="58"/>
      </w:pPr>
      <w:r>
        <w:rPr>
          <w:rFonts w:ascii="宋体" w:hAnsi="宋体" w:eastAsia="宋体" w:cs="宋体"/>
          <w:b/>
        </w:rPr>
        <w:t>6.4.7.18 其他收入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基金赎回费收入</w:t>
            </w:r>
          </w:p>
        </w:tc>
        <w:tc>
          <w:tcPr>
            <w:tcW w:w="0" w:type="dxa"/>
            <w:vAlign w:val="center"/>
          </w:tcPr>
          <w:p>
            <w:pPr>
              <w:spacing w:line="240" w:lineRule="auto"/>
              <w:jc w:val="right"/>
            </w:pPr>
            <w:r>
              <w:rPr>
                <w:rFonts w:ascii="宋体" w:hAnsi="宋体" w:eastAsia="宋体" w:cs="宋体"/>
                <w:b w:val="0"/>
              </w:rPr>
              <w:t>4,723,408.31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转换费收入</w:t>
            </w:r>
          </w:p>
        </w:tc>
        <w:tc>
          <w:tcPr>
            <w:tcW w:w="0" w:type="dxa"/>
            <w:vAlign w:val="center"/>
          </w:tcPr>
          <w:p>
            <w:pPr>
              <w:spacing w:line="240" w:lineRule="auto"/>
              <w:jc w:val="right"/>
            </w:pPr>
            <w:r>
              <w:rPr>
                <w:rFonts w:ascii="宋体" w:hAnsi="宋体" w:eastAsia="宋体" w:cs="宋体"/>
                <w:b w:val="0"/>
              </w:rPr>
              <w:t>62,465.49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4,785,873.80</w:t>
            </w:r>
          </w:p>
        </w:tc>
      </w:tr>
    </w:tbl>
    <w:p/>
    <w:p>
      <w:pPr>
        <w:pStyle w:val="58"/>
      </w:pPr>
      <w:r>
        <w:rPr>
          <w:rFonts w:ascii="宋体" w:hAnsi="宋体" w:eastAsia="宋体" w:cs="宋体"/>
          <w:b/>
        </w:rPr>
        <w:t>6.4.7.19 其他费用</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right"/>
            </w:pPr>
            <w:r>
              <w:rPr>
                <w:rFonts w:ascii="宋体" w:hAnsi="宋体" w:eastAsia="宋体" w:cs="宋体"/>
                <w:b w:val="0"/>
              </w:rPr>
              <w:t>3,104.74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right"/>
            </w:pPr>
            <w:r>
              <w:rPr>
                <w:rFonts w:ascii="宋体" w:hAnsi="宋体" w:eastAsia="宋体" w:cs="宋体"/>
                <w:b w:val="0"/>
              </w:rPr>
              <w:t>27,711.83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证券出借违约金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汇划手续费</w:t>
            </w:r>
          </w:p>
        </w:tc>
        <w:tc>
          <w:tcPr>
            <w:tcW w:w="0" w:type="dxa"/>
            <w:vAlign w:val="center"/>
          </w:tcPr>
          <w:p>
            <w:pPr>
              <w:spacing w:line="240" w:lineRule="auto"/>
              <w:jc w:val="right"/>
            </w:pPr>
            <w:r>
              <w:rPr>
                <w:rFonts w:ascii="宋体" w:hAnsi="宋体" w:eastAsia="宋体" w:cs="宋体"/>
                <w:b w:val="0"/>
              </w:rPr>
              <w:t>3,880.42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证券组合费</w:t>
            </w:r>
          </w:p>
        </w:tc>
        <w:tc>
          <w:tcPr>
            <w:tcW w:w="0" w:type="dxa"/>
            <w:vAlign w:val="center"/>
          </w:tcPr>
          <w:p>
            <w:pPr>
              <w:spacing w:line="240" w:lineRule="auto"/>
              <w:jc w:val="right"/>
            </w:pPr>
            <w:r>
              <w:rPr>
                <w:rFonts w:ascii="宋体" w:hAnsi="宋体" w:eastAsia="宋体" w:cs="宋体"/>
                <w:b w:val="0"/>
              </w:rPr>
              <w:t>554.18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35,251.17</w:t>
            </w:r>
          </w:p>
        </w:tc>
      </w:tr>
    </w:tbl>
    <w:p/>
    <w:p>
      <w:pPr>
        <w:pStyle w:val="58"/>
      </w:pPr>
      <w:r>
        <w:rPr>
          <w:rFonts w:ascii="宋体" w:hAnsi="宋体" w:eastAsia="宋体" w:cs="宋体"/>
          <w:b/>
        </w:rPr>
        <w:t>6.4.8 或有事项、资产负债表日后事项的说明</w:t>
      </w:r>
    </w:p>
    <w:p>
      <w:pPr>
        <w:pStyle w:val="58"/>
      </w:pPr>
      <w:r>
        <w:rPr>
          <w:rFonts w:ascii="宋体" w:hAnsi="宋体" w:eastAsia="宋体" w:cs="宋体"/>
          <w:b/>
        </w:rPr>
        <w:t>6.4.8.1 或有事项</w:t>
      </w:r>
    </w:p>
    <w:p>
      <w:pPr>
        <w:jc w:val="left"/>
      </w:pPr>
      <w:r>
        <w:rPr>
          <w:rFonts w:ascii="宋体" w:hAnsi="宋体" w:eastAsia="宋体" w:cs="宋体"/>
          <w:b w:val="0"/>
        </w:rPr>
        <w:t xml:space="preserve">    截至资产负债表日，本基金并无须作披露的或有事项。</w:t>
      </w:r>
    </w:p>
    <w:p/>
    <w:p>
      <w:pPr>
        <w:pStyle w:val="58"/>
      </w:pPr>
      <w:r>
        <w:rPr>
          <w:rFonts w:ascii="宋体" w:hAnsi="宋体" w:eastAsia="宋体" w:cs="宋体"/>
          <w:b/>
        </w:rPr>
        <w:t>6.4.8.2 资产负债表日后事项</w:t>
      </w:r>
    </w:p>
    <w:p>
      <w:pPr>
        <w:jc w:val="left"/>
      </w:pPr>
      <w:r>
        <w:rPr>
          <w:rFonts w:ascii="宋体" w:hAnsi="宋体" w:eastAsia="宋体" w:cs="宋体"/>
          <w:b w:val="0"/>
        </w:rPr>
        <w:t xml:space="preserve">    截至本会计报表批准报出日，本基金无须作披露的资产负债表日后事项。</w:t>
      </w:r>
    </w:p>
    <w:p/>
    <w:p>
      <w:pPr>
        <w:pStyle w:val="58"/>
      </w:pPr>
      <w:r>
        <w:rPr>
          <w:rFonts w:ascii="宋体" w:hAnsi="宋体" w:eastAsia="宋体" w:cs="宋体"/>
          <w:b/>
        </w:rPr>
        <w:t>6.4.9 关联方、关联关系</w:t>
      </w:r>
    </w:p>
    <w:p>
      <w:pPr>
        <w:pStyle w:val="58"/>
      </w:pPr>
      <w:r>
        <w:rPr>
          <w:rFonts w:ascii="宋体" w:hAnsi="宋体" w:eastAsia="宋体" w:cs="宋体"/>
          <w:b/>
        </w:rPr>
        <w:t>6.4.9.1 本报告期存在控制关系或其他重大利害关系的关联方发生变化的情况</w:t>
      </w:r>
    </w:p>
    <w:p>
      <w:pPr>
        <w:jc w:val="left"/>
      </w:pPr>
      <w:r>
        <w:rPr>
          <w:rFonts w:ascii="宋体" w:hAnsi="宋体" w:eastAsia="宋体" w:cs="宋体"/>
          <w:b w:val="0"/>
        </w:rPr>
        <w:t xml:space="preserve">    本报告期内存在控制关系或其他重大利害关系的关联方未发生变化。</w:t>
      </w:r>
    </w:p>
    <w:p/>
    <w:p>
      <w:pPr>
        <w:pStyle w:val="58"/>
      </w:pPr>
      <w:r>
        <w:rPr>
          <w:rFonts w:ascii="宋体" w:hAnsi="宋体" w:eastAsia="宋体" w:cs="宋体"/>
          <w:b/>
        </w:rPr>
        <w:t>6.4.9.2 本报告期与基金发生关联交易的各关联方</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4"/>
        <w:gridCol w:w="5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0" w:type="pct"/>
            <w:shd w:val="clear" w:color="auto" w:fill="D9D9D9"/>
            <w:vAlign w:val="center"/>
          </w:tcPr>
          <w:p>
            <w:pPr>
              <w:spacing w:line="240" w:lineRule="auto"/>
              <w:jc w:val="center"/>
            </w:pPr>
            <w:r>
              <w:rPr>
                <w:rFonts w:ascii="宋体" w:hAnsi="宋体" w:eastAsia="宋体" w:cs="宋体"/>
                <w:b w:val="0"/>
              </w:rPr>
              <w:t>关联方名称</w:t>
            </w:r>
          </w:p>
        </w:tc>
        <w:tc>
          <w:tcPr>
            <w:tcW w:w="3000" w:type="pct"/>
            <w:shd w:val="clear" w:color="auto" w:fill="D9D9D9"/>
            <w:vAlign w:val="center"/>
          </w:tcPr>
          <w:p>
            <w:pPr>
              <w:spacing w:line="240" w:lineRule="auto"/>
              <w:jc w:val="center"/>
            </w:pPr>
            <w:r>
              <w:rPr>
                <w:rFonts w:ascii="宋体" w:hAnsi="宋体" w:eastAsia="宋体" w:cs="宋体"/>
                <w:b w:val="0"/>
              </w:rPr>
              <w:t>与本基金的关系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东方阿尔法基金管理有限公司(“东方阿尔法基金”)</w:t>
            </w:r>
          </w:p>
        </w:tc>
        <w:tc>
          <w:tcPr>
            <w:tcW w:w="0" w:type="dxa"/>
            <w:vAlign w:val="center"/>
          </w:tcPr>
          <w:p>
            <w:pPr>
              <w:spacing w:line="240" w:lineRule="auto"/>
              <w:jc w:val="left"/>
            </w:pPr>
            <w:r>
              <w:rPr>
                <w:rFonts w:ascii="宋体" w:hAnsi="宋体" w:eastAsia="宋体" w:cs="宋体"/>
                <w:b w:val="0"/>
              </w:rPr>
              <w:t>基金管理人、基金销售机构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招商银行股份有限公司(“招商银行”)</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珠海共同成长投资合伙企业(有限合伙)</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肖冰</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left"/>
            </w:pPr>
            <w:r>
              <w:rPr>
                <w:rFonts w:ascii="宋体" w:hAnsi="宋体" w:eastAsia="宋体" w:cs="宋体"/>
                <w:b w:val="0"/>
              </w:rPr>
              <w:t>基金管理人的股东</w:t>
            </w:r>
          </w:p>
        </w:tc>
      </w:tr>
    </w:tbl>
    <w:p>
      <w:r>
        <w:rPr>
          <w:rFonts w:ascii="宋体" w:hAnsi="宋体" w:eastAsia="宋体" w:cs="宋体"/>
          <w:b w:val="0"/>
        </w:rPr>
        <w:t>注：下述关联交易均在正常业务范围内按一般商业条款订立。</w:t>
      </w:r>
    </w:p>
    <w:p/>
    <w:p>
      <w:pPr>
        <w:pStyle w:val="58"/>
      </w:pPr>
      <w:r>
        <w:rPr>
          <w:rFonts w:ascii="宋体" w:hAnsi="宋体" w:eastAsia="宋体" w:cs="宋体"/>
          <w:b/>
        </w:rPr>
        <w:t>6.4.10 本报告期及上年度可比期间的关联方交易</w:t>
      </w:r>
    </w:p>
    <w:p>
      <w:pPr>
        <w:pStyle w:val="58"/>
      </w:pPr>
      <w:r>
        <w:rPr>
          <w:rFonts w:ascii="宋体" w:hAnsi="宋体" w:eastAsia="宋体" w:cs="宋体"/>
          <w:b/>
        </w:rPr>
        <w:t>6.4.10.1 通过关联方交易单元进行的交易</w:t>
      </w:r>
    </w:p>
    <w:p>
      <w:pPr>
        <w:pStyle w:val="58"/>
      </w:pPr>
      <w:r>
        <w:rPr>
          <w:rFonts w:ascii="宋体" w:hAnsi="宋体" w:eastAsia="宋体" w:cs="宋体"/>
          <w:b/>
        </w:rPr>
        <w:t>6.4.10.1.1 股票交易</w:t>
      </w:r>
    </w:p>
    <w:p>
      <w:r>
        <w:rPr>
          <w:rFonts w:ascii="宋体" w:hAnsi="宋体" w:eastAsia="宋体" w:cs="宋体"/>
          <w:b w:val="0"/>
        </w:rPr>
        <w:t xml:space="preserve">    本基金本报告期未通过关联方交易单元进行股票交易。</w:t>
      </w:r>
    </w:p>
    <w:p/>
    <w:p>
      <w:pPr>
        <w:pStyle w:val="58"/>
      </w:pPr>
      <w:r>
        <w:rPr>
          <w:rFonts w:ascii="宋体" w:hAnsi="宋体" w:eastAsia="宋体" w:cs="宋体"/>
          <w:b/>
        </w:rPr>
        <w:t>6.4.10.1.2 权证交易</w:t>
      </w:r>
    </w:p>
    <w:p>
      <w:r>
        <w:rPr>
          <w:rFonts w:ascii="宋体" w:hAnsi="宋体" w:eastAsia="宋体" w:cs="宋体"/>
          <w:b w:val="0"/>
        </w:rPr>
        <w:t xml:space="preserve">    本基金本报告期未通过关联方交易单元进行权证交易。</w:t>
      </w:r>
    </w:p>
    <w:p/>
    <w:p>
      <w:pPr>
        <w:pStyle w:val="58"/>
      </w:pPr>
      <w:r>
        <w:rPr>
          <w:rFonts w:ascii="宋体" w:hAnsi="宋体" w:eastAsia="宋体" w:cs="宋体"/>
          <w:b/>
        </w:rPr>
        <w:t>6.4.10.1.3 债券交易</w:t>
      </w:r>
    </w:p>
    <w:p>
      <w:r>
        <w:rPr>
          <w:rFonts w:ascii="宋体" w:hAnsi="宋体" w:eastAsia="宋体" w:cs="宋体"/>
          <w:b w:val="0"/>
        </w:rPr>
        <w:t xml:space="preserve">    本基金本报告期未通过关联方交易单元进行债券交易。</w:t>
      </w:r>
    </w:p>
    <w:p/>
    <w:p>
      <w:pPr>
        <w:pStyle w:val="58"/>
      </w:pPr>
      <w:r>
        <w:rPr>
          <w:rFonts w:ascii="宋体" w:hAnsi="宋体" w:eastAsia="宋体" w:cs="宋体"/>
          <w:b/>
        </w:rPr>
        <w:t>6.4.10.1.4 债券回购交易</w:t>
      </w:r>
    </w:p>
    <w:p>
      <w:r>
        <w:rPr>
          <w:rFonts w:ascii="宋体" w:hAnsi="宋体" w:eastAsia="宋体" w:cs="宋体"/>
          <w:b w:val="0"/>
        </w:rPr>
        <w:t xml:space="preserve">    本基金本报告期未通过关联方交易单元进行债券回购交易。</w:t>
      </w:r>
    </w:p>
    <w:p/>
    <w:p>
      <w:pPr>
        <w:pStyle w:val="58"/>
      </w:pPr>
      <w:r>
        <w:rPr>
          <w:rFonts w:ascii="宋体" w:hAnsi="宋体" w:eastAsia="宋体" w:cs="宋体"/>
          <w:b/>
        </w:rPr>
        <w:t>6.4.10.1.5 应支付关联方的佣金</w:t>
      </w:r>
    </w:p>
    <w:p>
      <w:r>
        <w:rPr>
          <w:rFonts w:ascii="宋体" w:hAnsi="宋体" w:eastAsia="宋体" w:cs="宋体"/>
          <w:b w:val="0"/>
        </w:rPr>
        <w:t xml:space="preserve">    本基金本报告期无应支付关联方的佣金。</w:t>
      </w:r>
    </w:p>
    <w:p/>
    <w:p>
      <w:pPr>
        <w:pStyle w:val="58"/>
      </w:pPr>
      <w:r>
        <w:rPr>
          <w:rFonts w:ascii="宋体" w:hAnsi="宋体" w:eastAsia="宋体" w:cs="宋体"/>
          <w:b/>
        </w:rPr>
        <w:t>6.4.10.2 关联方报酬</w:t>
      </w:r>
    </w:p>
    <w:p>
      <w:pPr>
        <w:pStyle w:val="58"/>
      </w:pPr>
      <w:r>
        <w:rPr>
          <w:rFonts w:ascii="宋体" w:hAnsi="宋体" w:eastAsia="宋体" w:cs="宋体"/>
          <w:b/>
        </w:rPr>
        <w:t>6.4.10.2.1 基金管理费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7"/>
        <w:gridCol w:w="4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pct"/>
            <w:shd w:val="clear" w:color="auto" w:fill="D9D9D9"/>
            <w:vAlign w:val="center"/>
          </w:tcPr>
          <w:p>
            <w:pPr>
              <w:spacing w:line="240" w:lineRule="auto"/>
              <w:jc w:val="center"/>
            </w:pPr>
            <w:r>
              <w:rPr>
                <w:rFonts w:ascii="宋体" w:hAnsi="宋体" w:eastAsia="宋体" w:cs="宋体"/>
                <w:b w:val="0"/>
              </w:rPr>
              <w:t>项目</w:t>
            </w:r>
          </w:p>
        </w:tc>
        <w:tc>
          <w:tcPr>
            <w:tcW w:w="2308"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当期发生的基金应支付的管理费</w:t>
            </w:r>
          </w:p>
        </w:tc>
        <w:tc>
          <w:tcPr>
            <w:tcW w:w="0" w:type="dxa"/>
            <w:vAlign w:val="center"/>
          </w:tcPr>
          <w:p>
            <w:pPr>
              <w:spacing w:line="240" w:lineRule="auto"/>
              <w:jc w:val="right"/>
            </w:pPr>
            <w:r>
              <w:rPr>
                <w:rFonts w:ascii="宋体" w:hAnsi="宋体" w:eastAsia="宋体" w:cs="宋体"/>
                <w:b w:val="0"/>
              </w:rPr>
              <w:t>1,098,082.76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其中：应支付销售机构的客户维护费</w:t>
            </w:r>
          </w:p>
        </w:tc>
        <w:tc>
          <w:tcPr>
            <w:tcW w:w="0" w:type="dxa"/>
            <w:vAlign w:val="center"/>
          </w:tcPr>
          <w:p>
            <w:pPr>
              <w:spacing w:line="240" w:lineRule="auto"/>
              <w:jc w:val="right"/>
            </w:pPr>
            <w:r>
              <w:rPr>
                <w:rFonts w:ascii="宋体" w:hAnsi="宋体" w:eastAsia="宋体" w:cs="宋体"/>
                <w:b w:val="0"/>
              </w:rPr>
              <w:t>438,865.31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 xml:space="preserve">      应支付基金管理人的净管理费</w:t>
            </w:r>
          </w:p>
        </w:tc>
        <w:tc>
          <w:tcPr>
            <w:tcW w:w="0" w:type="dxa"/>
            <w:vAlign w:val="center"/>
          </w:tcPr>
          <w:p>
            <w:pPr>
              <w:spacing w:line="240" w:lineRule="auto"/>
              <w:jc w:val="right"/>
            </w:pPr>
            <w:r>
              <w:rPr>
                <w:rFonts w:ascii="宋体" w:hAnsi="宋体" w:eastAsia="宋体" w:cs="宋体"/>
                <w:b w:val="0"/>
              </w:rPr>
              <w:t>659,217.45</w:t>
            </w:r>
          </w:p>
        </w:tc>
      </w:tr>
    </w:tbl>
    <w:p>
      <w:r>
        <w:rPr>
          <w:rFonts w:ascii="宋体" w:hAnsi="宋体" w:eastAsia="宋体" w:cs="宋体"/>
          <w:b w:val="0"/>
        </w:rPr>
        <w:t>注：1、支付基金管理人的管理人报酬按前一日基金资产净值1.20%的年费率计提，逐日累计至每月月底，按月支付。其计算公式为：</w:t>
      </w:r>
      <w:r>
        <w:rPr>
          <w:rFonts w:ascii="宋体" w:hAnsi="宋体" w:eastAsia="宋体" w:cs="宋体"/>
          <w:b w:val="0"/>
        </w:rPr>
        <w:br w:type="textWrapping"/>
      </w:r>
      <w:r>
        <w:rPr>
          <w:rFonts w:ascii="宋体" w:hAnsi="宋体" w:eastAsia="宋体" w:cs="宋体"/>
          <w:b w:val="0"/>
        </w:rPr>
        <w:t>日管理人报酬＝前一日基金资产净值×1.20%/当年天数。</w:t>
      </w:r>
      <w:r>
        <w:rPr>
          <w:rFonts w:ascii="宋体" w:hAnsi="宋体" w:eastAsia="宋体" w:cs="宋体"/>
          <w:b w:val="0"/>
        </w:rPr>
        <w:br w:type="textWrapping"/>
      </w:r>
      <w:r>
        <w:rPr>
          <w:rFonts w:ascii="宋体" w:hAnsi="宋体" w:eastAsia="宋体" w:cs="宋体"/>
          <w:b w:val="0"/>
        </w:rPr>
        <w:t>2、本基金的基金合同于2025年10月30日生效，无上年度可比期间数据。</w:t>
      </w:r>
    </w:p>
    <w:p/>
    <w:p>
      <w:pPr>
        <w:pStyle w:val="58"/>
      </w:pPr>
      <w:r>
        <w:rPr>
          <w:rFonts w:ascii="宋体" w:hAnsi="宋体" w:eastAsia="宋体" w:cs="宋体"/>
          <w:b/>
        </w:rPr>
        <w:t>6.4.10.2.2 基金托管费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pPr>
              <w:spacing w:line="240" w:lineRule="auto"/>
              <w:jc w:val="center"/>
            </w:pPr>
            <w:r>
              <w:rPr>
                <w:rFonts w:ascii="宋体" w:hAnsi="宋体" w:eastAsia="宋体" w:cs="宋体"/>
                <w:b w:val="0"/>
              </w:rPr>
              <w:t>项目</w:t>
            </w:r>
          </w:p>
        </w:tc>
        <w:tc>
          <w:tcPr>
            <w:tcW w:w="2308"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当期发生的基金应支付的托管费</w:t>
            </w:r>
          </w:p>
        </w:tc>
        <w:tc>
          <w:tcPr>
            <w:tcW w:w="0" w:type="dxa"/>
            <w:vAlign w:val="center"/>
          </w:tcPr>
          <w:p>
            <w:pPr>
              <w:spacing w:line="240" w:lineRule="auto"/>
              <w:jc w:val="right"/>
            </w:pPr>
            <w:r>
              <w:rPr>
                <w:rFonts w:ascii="宋体" w:hAnsi="宋体" w:eastAsia="宋体" w:cs="宋体"/>
                <w:b w:val="0"/>
              </w:rPr>
              <w:t>183,013.86</w:t>
            </w:r>
          </w:p>
        </w:tc>
      </w:tr>
    </w:tbl>
    <w:p>
      <w:r>
        <w:rPr>
          <w:rFonts w:ascii="宋体" w:hAnsi="宋体" w:eastAsia="宋体" w:cs="宋体"/>
          <w:b w:val="0"/>
        </w:rPr>
        <w:t>注：1、支付基金托管人的托管费按前一日基金资产净值0.20%的年费率计提，逐日累计至每月月底，按月支付。其计算公式为：</w:t>
      </w:r>
      <w:r>
        <w:rPr>
          <w:rFonts w:ascii="宋体" w:hAnsi="宋体" w:eastAsia="宋体" w:cs="宋体"/>
          <w:b w:val="0"/>
        </w:rPr>
        <w:br w:type="textWrapping"/>
      </w:r>
      <w:r>
        <w:rPr>
          <w:rFonts w:ascii="宋体" w:hAnsi="宋体" w:eastAsia="宋体" w:cs="宋体"/>
          <w:b w:val="0"/>
        </w:rPr>
        <w:t>日托管费＝前一日基金资产净值×0.20%/当年天数。</w:t>
      </w:r>
      <w:r>
        <w:rPr>
          <w:rFonts w:ascii="宋体" w:hAnsi="宋体" w:eastAsia="宋体" w:cs="宋体"/>
          <w:b w:val="0"/>
        </w:rPr>
        <w:br w:type="textWrapping"/>
      </w:r>
      <w:r>
        <w:rPr>
          <w:rFonts w:ascii="宋体" w:hAnsi="宋体" w:eastAsia="宋体" w:cs="宋体"/>
          <w:b w:val="0"/>
        </w:rPr>
        <w:t>2、本基金的基金合同于2025年10月30日生效，无上年度可比期间数据。</w:t>
      </w:r>
    </w:p>
    <w:p/>
    <w:p>
      <w:pPr>
        <w:pStyle w:val="58"/>
      </w:pPr>
      <w:r>
        <w:rPr>
          <w:rFonts w:ascii="宋体" w:hAnsi="宋体" w:eastAsia="宋体" w:cs="宋体"/>
          <w:b/>
        </w:rPr>
        <w:t>6.4.10.2.3 销售服务费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00"/>
        <w:gridCol w:w="2500"/>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获得销售服务费的各关联方名称</w:t>
            </w:r>
          </w:p>
        </w:tc>
        <w:tc>
          <w:tcPr>
            <w:tcW w:w="3462" w:type="pct"/>
            <w:gridSpan w:val="3"/>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gridSpan w:val="3"/>
            <w:shd w:val="clear" w:color="auto" w:fill="D9D9D9"/>
            <w:vAlign w:val="center"/>
          </w:tcPr>
          <w:p>
            <w:pPr>
              <w:spacing w:line="240" w:lineRule="auto"/>
              <w:jc w:val="center"/>
            </w:pPr>
            <w:r>
              <w:rPr>
                <w:rFonts w:ascii="宋体" w:hAnsi="宋体" w:eastAsia="宋体" w:cs="宋体"/>
                <w:b w:val="0"/>
              </w:rPr>
              <w:t>当期发生的基金应支付的销售服务费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346" w:type="pct"/>
            <w:shd w:val="clear" w:color="auto" w:fill="D9D9D9"/>
            <w:vAlign w:val="center"/>
          </w:tcPr>
          <w:p>
            <w:pPr>
              <w:spacing w:line="240" w:lineRule="auto"/>
              <w:jc w:val="center"/>
            </w:pPr>
            <w:r>
              <w:rPr>
                <w:rFonts w:ascii="宋体" w:hAnsi="宋体" w:eastAsia="宋体" w:cs="宋体"/>
                <w:b w:val="0"/>
              </w:rPr>
              <w:t>东方阿尔法科技甄选混合发起A</w:t>
            </w:r>
          </w:p>
        </w:tc>
        <w:tc>
          <w:tcPr>
            <w:tcW w:w="1346" w:type="pct"/>
            <w:shd w:val="clear" w:color="auto" w:fill="D9D9D9"/>
            <w:vAlign w:val="center"/>
          </w:tcPr>
          <w:p>
            <w:pPr>
              <w:spacing w:line="240" w:lineRule="auto"/>
              <w:jc w:val="center"/>
            </w:pPr>
            <w:r>
              <w:rPr>
                <w:rFonts w:ascii="宋体" w:hAnsi="宋体" w:eastAsia="宋体" w:cs="宋体"/>
                <w:b w:val="0"/>
              </w:rPr>
              <w:t>东方阿尔法科技甄选混合发起C</w:t>
            </w:r>
          </w:p>
        </w:tc>
        <w:tc>
          <w:tcPr>
            <w:tcW w:w="769"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招商银行</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东方阿尔法基金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29,647.63</w:t>
            </w:r>
          </w:p>
        </w:tc>
        <w:tc>
          <w:tcPr>
            <w:tcW w:w="0" w:type="dxa"/>
            <w:vAlign w:val="center"/>
          </w:tcPr>
          <w:p>
            <w:pPr>
              <w:spacing w:line="240" w:lineRule="auto"/>
              <w:jc w:val="right"/>
            </w:pPr>
            <w:r>
              <w:rPr>
                <w:rFonts w:ascii="宋体" w:hAnsi="宋体" w:eastAsia="宋体" w:cs="宋体"/>
                <w:b w:val="0"/>
              </w:rPr>
              <w:t>29,647.63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29,647.63</w:t>
            </w:r>
          </w:p>
        </w:tc>
        <w:tc>
          <w:tcPr>
            <w:tcW w:w="0" w:type="dxa"/>
            <w:vAlign w:val="center"/>
          </w:tcPr>
          <w:p>
            <w:pPr>
              <w:spacing w:line="240" w:lineRule="auto"/>
              <w:jc w:val="right"/>
            </w:pPr>
            <w:r>
              <w:rPr>
                <w:rFonts w:ascii="宋体" w:hAnsi="宋体" w:eastAsia="宋体" w:cs="宋体"/>
                <w:b w:val="0"/>
              </w:rPr>
              <w:t>29,647.63</w:t>
            </w:r>
          </w:p>
        </w:tc>
      </w:tr>
    </w:tbl>
    <w:p>
      <w:r>
        <w:rPr>
          <w:rFonts w:ascii="宋体" w:hAnsi="宋体" w:eastAsia="宋体" w:cs="宋体"/>
          <w:b w:val="0"/>
        </w:rPr>
        <w:t>注：1、本基金A类基金份额不收取销售服务费，C类基金份额的销售服务费年费率为0.30%，逐日累计至每月月底，按月支付给登记机构 ，由登记机构代付给各基金销售机构。</w:t>
      </w:r>
      <w:r>
        <w:rPr>
          <w:rFonts w:ascii="宋体" w:hAnsi="宋体" w:eastAsia="宋体" w:cs="宋体"/>
          <w:b w:val="0"/>
        </w:rPr>
        <w:br w:type="textWrapping"/>
      </w:r>
      <w:r>
        <w:rPr>
          <w:rFonts w:ascii="宋体" w:hAnsi="宋体" w:eastAsia="宋体" w:cs="宋体"/>
          <w:b w:val="0"/>
        </w:rPr>
        <w:t>2、本基金销售服务费将专门用于本基金的销售与基金份额持有人服务。销售服务费计提的计算公式如下：</w:t>
      </w:r>
      <w:r>
        <w:rPr>
          <w:rFonts w:ascii="宋体" w:hAnsi="宋体" w:eastAsia="宋体" w:cs="宋体"/>
          <w:b w:val="0"/>
        </w:rPr>
        <w:br w:type="textWrapping"/>
      </w:r>
      <w:r>
        <w:rPr>
          <w:rFonts w:ascii="宋体" w:hAnsi="宋体" w:eastAsia="宋体" w:cs="宋体"/>
          <w:b w:val="0"/>
        </w:rPr>
        <w:t>日销售服务费=前一日C类基金份额的基金资产净值×0.30%/当年天数。</w:t>
      </w:r>
      <w:r>
        <w:rPr>
          <w:rFonts w:ascii="宋体" w:hAnsi="宋体" w:eastAsia="宋体" w:cs="宋体"/>
          <w:b w:val="0"/>
        </w:rPr>
        <w:br w:type="textWrapping"/>
      </w:r>
      <w:r>
        <w:rPr>
          <w:rFonts w:ascii="宋体" w:hAnsi="宋体" w:eastAsia="宋体" w:cs="宋体"/>
          <w:b w:val="0"/>
        </w:rPr>
        <w:t>3、本基金的基金合同于2025年10月30日生效，无上年度可比期间数据。</w:t>
      </w:r>
    </w:p>
    <w:p/>
    <w:p>
      <w:pPr>
        <w:pStyle w:val="58"/>
      </w:pPr>
      <w:r>
        <w:rPr>
          <w:rFonts w:ascii="宋体" w:hAnsi="宋体" w:eastAsia="宋体" w:cs="宋体"/>
          <w:b/>
        </w:rPr>
        <w:t>6.4.10.3 与关联方进行银行间同业市场的债券(含回购)交易</w:t>
      </w:r>
    </w:p>
    <w:p>
      <w:r>
        <w:rPr>
          <w:rFonts w:ascii="宋体" w:hAnsi="宋体" w:eastAsia="宋体" w:cs="宋体"/>
          <w:b w:val="0"/>
        </w:rPr>
        <w:t xml:space="preserve">    本基金本报告期内未与关联方进行银行间同业市场的债券(含回购)交易。</w:t>
      </w:r>
    </w:p>
    <w:p/>
    <w:p>
      <w:pPr>
        <w:pStyle w:val="58"/>
      </w:pPr>
      <w:r>
        <w:rPr>
          <w:rFonts w:ascii="宋体" w:hAnsi="宋体" w:eastAsia="宋体" w:cs="宋体"/>
          <w:b/>
        </w:rPr>
        <w:t>6.4.10.4 报告期内转融通证券出借业务发生重大关联交易事项的说明</w:t>
      </w:r>
    </w:p>
    <w:p>
      <w:pPr>
        <w:pStyle w:val="58"/>
      </w:pPr>
      <w:r>
        <w:rPr>
          <w:rFonts w:ascii="宋体" w:hAnsi="宋体" w:eastAsia="宋体" w:cs="宋体"/>
          <w:b/>
        </w:rPr>
        <w:t>6.4.10.4.1 与关联方通过约定申报方式进行的适用固定期限费率的证券出借业务的情况</w:t>
      </w:r>
    </w:p>
    <w:p>
      <w:r>
        <w:rPr>
          <w:rFonts w:ascii="宋体" w:hAnsi="宋体" w:eastAsia="宋体" w:cs="宋体"/>
          <w:b w:val="0"/>
        </w:rPr>
        <w:t xml:space="preserve">    本基金本报告期内无与关联方通过约定申报方式进行的适用固定期限费率的证券出借业务的情况。</w:t>
      </w:r>
    </w:p>
    <w:p/>
    <w:p>
      <w:pPr>
        <w:pStyle w:val="58"/>
      </w:pPr>
      <w:r>
        <w:rPr>
          <w:rFonts w:ascii="宋体" w:hAnsi="宋体" w:eastAsia="宋体" w:cs="宋体"/>
          <w:b/>
        </w:rPr>
        <w:t>6.4.10.4.2 与关联方通过约定申报方式进行的适用市场化期限费率的证券出借业务的情况</w:t>
      </w:r>
    </w:p>
    <w:p>
      <w:r>
        <w:rPr>
          <w:rFonts w:ascii="宋体" w:hAnsi="宋体" w:eastAsia="宋体" w:cs="宋体"/>
          <w:b w:val="0"/>
        </w:rPr>
        <w:t xml:space="preserve">    本基金本报告期内无与关联方通过约定申报方式进行的适用市场化期限费率的证券出借业务的情况。</w:t>
      </w:r>
    </w:p>
    <w:p/>
    <w:p>
      <w:pPr>
        <w:pStyle w:val="58"/>
      </w:pPr>
      <w:r>
        <w:rPr>
          <w:rFonts w:ascii="宋体" w:hAnsi="宋体" w:eastAsia="宋体" w:cs="宋体"/>
          <w:b/>
        </w:rPr>
        <w:t>6.4.10.5 各关联方投资本基金的情况</w:t>
      </w:r>
    </w:p>
    <w:p>
      <w:pPr>
        <w:pStyle w:val="58"/>
      </w:pPr>
      <w:r>
        <w:rPr>
          <w:rFonts w:ascii="宋体" w:hAnsi="宋体" w:eastAsia="宋体" w:cs="宋体"/>
          <w:b/>
        </w:rPr>
        <w:t>6.4.10.5.1 报告期内基金管理人运用固有资金投资本基金的情况</w:t>
      </w:r>
    </w:p>
    <w:p>
      <w:r>
        <w:rPr>
          <w:rFonts w:ascii="宋体" w:hAnsi="宋体" w:eastAsia="宋体" w:cs="宋体"/>
          <w:b w:val="0"/>
        </w:rPr>
        <w:t xml:space="preserve">    本报告期内基金管理人未运用固有资金投资本基金。本基金的基金合同于2025年10月30日生效，无上年度可比期间数据。</w:t>
      </w:r>
    </w:p>
    <w:p/>
    <w:p>
      <w:pPr>
        <w:pStyle w:val="58"/>
      </w:pPr>
      <w:r>
        <w:rPr>
          <w:rFonts w:ascii="宋体" w:hAnsi="宋体" w:eastAsia="宋体" w:cs="宋体"/>
          <w:b/>
        </w:rPr>
        <w:t>6.4.10.5.2 报告期末除基金管理人之外的其他关联方投资本基金的情况</w:t>
      </w:r>
    </w:p>
    <w:p>
      <w:pPr>
        <w:jc w:val="left"/>
      </w:pPr>
      <w:r>
        <w:rPr>
          <w:rFonts w:ascii="宋体" w:hAnsi="宋体" w:eastAsia="宋体" w:cs="宋体"/>
          <w:b/>
        </w:rPr>
        <w:t>东方阿尔法科技甄选混合发起A</w:t>
      </w:r>
    </w:p>
    <w:p>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6"/>
        <w:gridCol w:w="1581"/>
        <w:gridCol w:w="1629"/>
        <w:gridCol w:w="1581"/>
        <w:gridCol w:w="1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持有的基金份额</w:t>
            </w:r>
          </w:p>
        </w:tc>
        <w:tc>
          <w:tcPr>
            <w:tcW w:w="923" w:type="pct"/>
            <w:shd w:val="clear" w:color="auto" w:fill="D9D9D9"/>
            <w:vAlign w:val="center"/>
          </w:tcPr>
          <w:p>
            <w:pPr>
              <w:spacing w:line="240" w:lineRule="auto"/>
              <w:jc w:val="center"/>
            </w:pPr>
            <w:r>
              <w:rPr>
                <w:rFonts w:ascii="宋体" w:hAnsi="宋体" w:eastAsia="宋体" w:cs="宋体"/>
                <w:b w:val="0"/>
              </w:rPr>
              <w:t>持有的基金份额占基金总份额的比例</w:t>
            </w:r>
          </w:p>
        </w:tc>
        <w:tc>
          <w:tcPr>
            <w:tcW w:w="615" w:type="pct"/>
            <w:shd w:val="clear" w:color="auto" w:fill="D9D9D9"/>
            <w:vAlign w:val="center"/>
          </w:tcPr>
          <w:p>
            <w:pPr>
              <w:spacing w:line="240" w:lineRule="auto"/>
              <w:jc w:val="center"/>
            </w:pPr>
            <w:r>
              <w:rPr>
                <w:rFonts w:ascii="宋体" w:hAnsi="宋体" w:eastAsia="宋体" w:cs="宋体"/>
                <w:b w:val="0"/>
              </w:rPr>
              <w:t>持有的基金份额</w:t>
            </w:r>
          </w:p>
        </w:tc>
        <w:tc>
          <w:tcPr>
            <w:tcW w:w="923" w:type="pct"/>
            <w:shd w:val="clear" w:color="auto" w:fill="D9D9D9"/>
            <w:vAlign w:val="center"/>
          </w:tcPr>
          <w:p>
            <w:pPr>
              <w:spacing w:line="240" w:lineRule="auto"/>
              <w:jc w:val="center"/>
            </w:pPr>
            <w:r>
              <w:rPr>
                <w:rFonts w:ascii="宋体" w:hAnsi="宋体" w:eastAsia="宋体" w:cs="宋体"/>
                <w:b w:val="0"/>
              </w:rPr>
              <w:t>持有的基金份额占基金总份额的比例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right"/>
            </w:pPr>
            <w:r>
              <w:rPr>
                <w:rFonts w:ascii="宋体" w:hAnsi="宋体" w:eastAsia="宋体" w:cs="宋体"/>
                <w:b w:val="0"/>
              </w:rPr>
              <w:t>41,376.67</w:t>
            </w:r>
          </w:p>
        </w:tc>
        <w:tc>
          <w:tcPr>
            <w:tcW w:w="0" w:type="dxa"/>
            <w:vAlign w:val="center"/>
          </w:tcPr>
          <w:p>
            <w:pPr>
              <w:spacing w:line="240" w:lineRule="auto"/>
              <w:jc w:val="right"/>
            </w:pPr>
            <w:r>
              <w:rPr>
                <w:rFonts w:ascii="宋体" w:hAnsi="宋体" w:eastAsia="宋体" w:cs="宋体"/>
                <w:b w:val="0"/>
              </w:rPr>
              <w:t>0.19%</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45.49%</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62.90%</w:t>
            </w:r>
          </w:p>
        </w:tc>
      </w:tr>
    </w:tbl>
    <w:p>
      <w:r>
        <w:rPr>
          <w:rFonts w:ascii="宋体" w:hAnsi="宋体" w:eastAsia="宋体" w:cs="宋体"/>
          <w:b w:val="0"/>
        </w:rPr>
        <w:t>注: 1.以上表中“持有的基金份额占基金总份额的比例”的计算中，对下属不同类别基金比例的分母采用各自级别的份额。</w:t>
      </w:r>
      <w:r>
        <w:rPr>
          <w:rFonts w:ascii="宋体" w:hAnsi="宋体" w:eastAsia="宋体" w:cs="宋体"/>
          <w:b w:val="0"/>
        </w:rPr>
        <w:br w:type="textWrapping"/>
      </w:r>
      <w:r>
        <w:rPr>
          <w:rFonts w:ascii="宋体" w:hAnsi="宋体" w:eastAsia="宋体" w:cs="宋体"/>
          <w:b w:val="0"/>
        </w:rPr>
        <w:t>2.上述关联方投资本基金适用的认购、申购、赎回费率按照本基金招募说明书的费率执行。</w:t>
      </w:r>
      <w:r>
        <w:rPr>
          <w:rFonts w:ascii="宋体" w:hAnsi="宋体" w:eastAsia="宋体" w:cs="宋体"/>
          <w:b w:val="0"/>
        </w:rPr>
        <w:br w:type="textWrapping"/>
      </w:r>
      <w:r>
        <w:rPr>
          <w:rFonts w:ascii="宋体" w:hAnsi="宋体" w:eastAsia="宋体" w:cs="宋体"/>
          <w:b w:val="0"/>
        </w:rPr>
        <w:t>3.报告期末除基金管理人之外的其他关联方未投资“东方阿尔法科技甄选混合发起C”。</w:t>
      </w:r>
    </w:p>
    <w:p/>
    <w:p>
      <w:pPr>
        <w:pStyle w:val="58"/>
      </w:pPr>
      <w:r>
        <w:rPr>
          <w:rFonts w:ascii="宋体" w:hAnsi="宋体" w:eastAsia="宋体" w:cs="宋体"/>
          <w:b/>
        </w:rPr>
        <w:t>6.4.10.6 由关联方保管的银行存款余额及当期产生的利息收入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关联方名称</w:t>
            </w:r>
          </w:p>
        </w:tc>
        <w:tc>
          <w:tcPr>
            <w:tcW w:w="3077"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38" w:type="pct"/>
            <w:shd w:val="clear" w:color="auto" w:fill="D9D9D9"/>
            <w:vAlign w:val="center"/>
          </w:tcPr>
          <w:p>
            <w:pPr>
              <w:spacing w:line="240" w:lineRule="auto"/>
              <w:jc w:val="center"/>
            </w:pPr>
            <w:r>
              <w:rPr>
                <w:rFonts w:ascii="宋体" w:hAnsi="宋体" w:eastAsia="宋体" w:cs="宋体"/>
                <w:b w:val="0"/>
              </w:rPr>
              <w:t>期末余额</w:t>
            </w:r>
          </w:p>
        </w:tc>
        <w:tc>
          <w:tcPr>
            <w:tcW w:w="1538" w:type="pct"/>
            <w:shd w:val="clear" w:color="auto" w:fill="D9D9D9"/>
            <w:vAlign w:val="center"/>
          </w:tcPr>
          <w:p>
            <w:pPr>
              <w:spacing w:line="240" w:lineRule="auto"/>
              <w:jc w:val="center"/>
            </w:pPr>
            <w:r>
              <w:rPr>
                <w:rFonts w:ascii="宋体" w:hAnsi="宋体" w:eastAsia="宋体" w:cs="宋体"/>
                <w:b w:val="0"/>
              </w:rPr>
              <w:t>当期利息收入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招商银行</w:t>
            </w:r>
          </w:p>
        </w:tc>
        <w:tc>
          <w:tcPr>
            <w:tcW w:w="0" w:type="dxa"/>
            <w:vAlign w:val="center"/>
          </w:tcPr>
          <w:p>
            <w:pPr>
              <w:spacing w:line="240" w:lineRule="auto"/>
              <w:jc w:val="right"/>
            </w:pPr>
            <w:r>
              <w:rPr>
                <w:rFonts w:ascii="宋体" w:hAnsi="宋体" w:eastAsia="宋体" w:cs="宋体"/>
                <w:b w:val="0"/>
              </w:rPr>
              <w:t>5,010,314.40</w:t>
            </w:r>
          </w:p>
        </w:tc>
        <w:tc>
          <w:tcPr>
            <w:tcW w:w="0" w:type="dxa"/>
            <w:vAlign w:val="center"/>
          </w:tcPr>
          <w:p>
            <w:pPr>
              <w:spacing w:line="240" w:lineRule="auto"/>
              <w:jc w:val="right"/>
            </w:pPr>
            <w:r>
              <w:rPr>
                <w:rFonts w:ascii="宋体" w:hAnsi="宋体" w:eastAsia="宋体" w:cs="宋体"/>
                <w:b w:val="0"/>
              </w:rPr>
              <w:t>1,656.96</w:t>
            </w:r>
          </w:p>
        </w:tc>
      </w:tr>
    </w:tbl>
    <w:p>
      <w:r>
        <w:rPr>
          <w:rFonts w:ascii="宋体" w:hAnsi="宋体" w:eastAsia="宋体" w:cs="宋体"/>
          <w:b w:val="0"/>
        </w:rPr>
        <w:t>注：本基金的银行存款由基金托管人招商银行保管，按银行同业利率计息。本基金的基金合同于2025年10月30日生效，无上年度可比期间数据。</w:t>
      </w:r>
    </w:p>
    <w:p/>
    <w:p>
      <w:pPr>
        <w:pStyle w:val="58"/>
      </w:pPr>
      <w:r>
        <w:rPr>
          <w:rFonts w:ascii="宋体" w:hAnsi="宋体" w:eastAsia="宋体" w:cs="宋体"/>
          <w:b/>
        </w:rPr>
        <w:t>6.4.10.7 本基金在承销期内参与关联方承销证券的情况</w:t>
      </w:r>
    </w:p>
    <w:p>
      <w:r>
        <w:rPr>
          <w:rFonts w:ascii="宋体" w:hAnsi="宋体" w:eastAsia="宋体" w:cs="宋体"/>
          <w:b w:val="0"/>
        </w:rPr>
        <w:t xml:space="preserve">    本基金本报告期内无在承销期内参与关联方承销证券的情况。</w:t>
      </w:r>
    </w:p>
    <w:p/>
    <w:p>
      <w:pPr>
        <w:pStyle w:val="58"/>
      </w:pPr>
      <w:r>
        <w:rPr>
          <w:rFonts w:ascii="宋体" w:hAnsi="宋体" w:eastAsia="宋体" w:cs="宋体"/>
          <w:b/>
        </w:rPr>
        <w:t>6.4.10.8 其他关联交易事项的说明</w:t>
      </w:r>
    </w:p>
    <w:p>
      <w:pPr>
        <w:jc w:val="left"/>
      </w:pPr>
      <w:r>
        <w:rPr>
          <w:rFonts w:ascii="宋体" w:hAnsi="宋体" w:eastAsia="宋体" w:cs="宋体"/>
          <w:b w:val="0"/>
        </w:rPr>
        <w:t xml:space="preserve">    本基金本报告期内无须作说明的其他关联交易事项。</w:t>
      </w:r>
    </w:p>
    <w:p/>
    <w:p>
      <w:pPr>
        <w:pStyle w:val="58"/>
      </w:pPr>
      <w:r>
        <w:rPr>
          <w:rFonts w:ascii="宋体" w:hAnsi="宋体" w:eastAsia="宋体" w:cs="宋体"/>
          <w:b/>
        </w:rPr>
        <w:t>6.4.11 利润分配情况</w:t>
      </w:r>
    </w:p>
    <w:p>
      <w:r>
        <w:rPr>
          <w:rFonts w:ascii="宋体" w:hAnsi="宋体" w:eastAsia="宋体" w:cs="宋体"/>
          <w:b w:val="0"/>
        </w:rPr>
        <w:t xml:space="preserve">    本基金本报告期内未进行利润分配。</w:t>
      </w:r>
    </w:p>
    <w:p/>
    <w:p>
      <w:pPr>
        <w:pStyle w:val="58"/>
      </w:pPr>
      <w:r>
        <w:rPr>
          <w:rFonts w:ascii="宋体" w:hAnsi="宋体" w:eastAsia="宋体" w:cs="宋体"/>
          <w:b/>
        </w:rPr>
        <w:t>6.4.12 期末（2026年06月30日）本基金持有的流通受限证券</w:t>
      </w:r>
    </w:p>
    <w:p>
      <w:pPr>
        <w:pStyle w:val="58"/>
      </w:pPr>
      <w:r>
        <w:rPr>
          <w:rFonts w:ascii="宋体" w:hAnsi="宋体" w:eastAsia="宋体" w:cs="宋体"/>
          <w:b/>
        </w:rPr>
        <w:t>6.4.12.1 因认购新发/增发证券而于期末持有的流通受限证券</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
        <w:gridCol w:w="1266"/>
        <w:gridCol w:w="694"/>
        <w:gridCol w:w="694"/>
        <w:gridCol w:w="741"/>
        <w:gridCol w:w="846"/>
        <w:gridCol w:w="741"/>
        <w:gridCol w:w="1162"/>
        <w:gridCol w:w="1162"/>
        <w:gridCol w:w="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11"/>
            <w:shd w:val="clear" w:color="auto" w:fill="D9D9D9"/>
            <w:vAlign w:val="center"/>
          </w:tcPr>
          <w:p>
            <w:pPr>
              <w:spacing w:line="240" w:lineRule="auto"/>
              <w:jc w:val="left"/>
            </w:pPr>
            <w:r>
              <w:rPr>
                <w:rFonts w:ascii="宋体" w:hAnsi="宋体" w:eastAsia="宋体" w:cs="宋体"/>
                <w:b w:val="0"/>
              </w:rPr>
              <w:t>6.4.12.1.1 受限证券类别：股票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240" w:lineRule="auto"/>
              <w:jc w:val="left"/>
            </w:pPr>
            <w:r>
              <w:rPr>
                <w:rFonts w:ascii="宋体" w:hAnsi="宋体" w:eastAsia="宋体" w:cs="宋体"/>
                <w:b w:val="0"/>
              </w:rPr>
              <w:t>证券代码</w:t>
            </w:r>
          </w:p>
        </w:tc>
        <w:tc>
          <w:tcPr>
            <w:tcW w:w="462" w:type="pct"/>
            <w:vAlign w:val="center"/>
          </w:tcPr>
          <w:p>
            <w:pPr>
              <w:spacing w:line="240" w:lineRule="auto"/>
              <w:jc w:val="left"/>
            </w:pPr>
            <w:r>
              <w:rPr>
                <w:rFonts w:ascii="宋体" w:hAnsi="宋体" w:eastAsia="宋体" w:cs="宋体"/>
                <w:b w:val="0"/>
              </w:rPr>
              <w:t>证券名称</w:t>
            </w:r>
          </w:p>
        </w:tc>
        <w:tc>
          <w:tcPr>
            <w:tcW w:w="462" w:type="pct"/>
            <w:vAlign w:val="center"/>
          </w:tcPr>
          <w:p>
            <w:pPr>
              <w:spacing w:line="240" w:lineRule="auto"/>
              <w:jc w:val="left"/>
            </w:pPr>
            <w:r>
              <w:rPr>
                <w:rFonts w:ascii="宋体" w:hAnsi="宋体" w:eastAsia="宋体" w:cs="宋体"/>
                <w:b w:val="0"/>
              </w:rPr>
              <w:t>成功认购日</w:t>
            </w:r>
          </w:p>
        </w:tc>
        <w:tc>
          <w:tcPr>
            <w:tcW w:w="462" w:type="pct"/>
            <w:vAlign w:val="center"/>
          </w:tcPr>
          <w:p>
            <w:pPr>
              <w:spacing w:line="240" w:lineRule="auto"/>
              <w:jc w:val="left"/>
            </w:pPr>
            <w:r>
              <w:rPr>
                <w:rFonts w:ascii="宋体" w:hAnsi="宋体" w:eastAsia="宋体" w:cs="宋体"/>
                <w:b w:val="0"/>
              </w:rPr>
              <w:t>受限期</w:t>
            </w:r>
          </w:p>
        </w:tc>
        <w:tc>
          <w:tcPr>
            <w:tcW w:w="462" w:type="pct"/>
            <w:vAlign w:val="center"/>
          </w:tcPr>
          <w:p>
            <w:pPr>
              <w:spacing w:line="240" w:lineRule="auto"/>
              <w:jc w:val="left"/>
            </w:pPr>
            <w:r>
              <w:rPr>
                <w:rFonts w:ascii="宋体" w:hAnsi="宋体" w:eastAsia="宋体" w:cs="宋体"/>
                <w:b w:val="0"/>
              </w:rPr>
              <w:t>流通受限类型</w:t>
            </w:r>
          </w:p>
        </w:tc>
        <w:tc>
          <w:tcPr>
            <w:tcW w:w="462" w:type="pct"/>
            <w:vAlign w:val="center"/>
          </w:tcPr>
          <w:p>
            <w:pPr>
              <w:spacing w:line="240" w:lineRule="auto"/>
              <w:jc w:val="left"/>
            </w:pPr>
            <w:r>
              <w:rPr>
                <w:rFonts w:ascii="宋体" w:hAnsi="宋体" w:eastAsia="宋体" w:cs="宋体"/>
                <w:b w:val="0"/>
              </w:rPr>
              <w:t>认购价格</w:t>
            </w:r>
          </w:p>
        </w:tc>
        <w:tc>
          <w:tcPr>
            <w:tcW w:w="462" w:type="pct"/>
            <w:vAlign w:val="center"/>
          </w:tcPr>
          <w:p>
            <w:pPr>
              <w:spacing w:line="240" w:lineRule="auto"/>
              <w:jc w:val="left"/>
            </w:pPr>
            <w:r>
              <w:rPr>
                <w:rFonts w:ascii="宋体" w:hAnsi="宋体" w:eastAsia="宋体" w:cs="宋体"/>
                <w:b w:val="0"/>
              </w:rPr>
              <w:t>期末估值单价</w:t>
            </w:r>
          </w:p>
        </w:tc>
        <w:tc>
          <w:tcPr>
            <w:tcW w:w="462" w:type="pct"/>
            <w:vAlign w:val="center"/>
          </w:tcPr>
          <w:p>
            <w:pPr>
              <w:spacing w:line="240" w:lineRule="auto"/>
              <w:jc w:val="left"/>
            </w:pPr>
            <w:r>
              <w:rPr>
                <w:rFonts w:ascii="宋体" w:hAnsi="宋体" w:eastAsia="宋体" w:cs="宋体"/>
                <w:b w:val="0"/>
              </w:rPr>
              <w:t>数量(单位:股)</w:t>
            </w:r>
          </w:p>
        </w:tc>
        <w:tc>
          <w:tcPr>
            <w:tcW w:w="462" w:type="pct"/>
            <w:vAlign w:val="center"/>
          </w:tcPr>
          <w:p>
            <w:pPr>
              <w:spacing w:line="240" w:lineRule="auto"/>
              <w:jc w:val="left"/>
            </w:pPr>
            <w:r>
              <w:rPr>
                <w:rFonts w:ascii="宋体" w:hAnsi="宋体" w:eastAsia="宋体" w:cs="宋体"/>
                <w:b w:val="0"/>
              </w:rPr>
              <w:t>期末成本总额</w:t>
            </w:r>
          </w:p>
        </w:tc>
        <w:tc>
          <w:tcPr>
            <w:tcW w:w="462" w:type="pct"/>
            <w:vAlign w:val="center"/>
          </w:tcPr>
          <w:p>
            <w:pPr>
              <w:spacing w:line="240" w:lineRule="auto"/>
              <w:jc w:val="left"/>
            </w:pPr>
            <w:r>
              <w:rPr>
                <w:rFonts w:ascii="宋体" w:hAnsi="宋体" w:eastAsia="宋体" w:cs="宋体"/>
                <w:b w:val="0"/>
              </w:rPr>
              <w:t>期末估值总额</w:t>
            </w:r>
          </w:p>
        </w:tc>
        <w:tc>
          <w:tcPr>
            <w:tcW w:w="462" w:type="pct"/>
            <w:vAlign w:val="center"/>
          </w:tcPr>
          <w:p>
            <w:pPr>
              <w:spacing w:line="240" w:lineRule="auto"/>
              <w:jc w:val="left"/>
            </w:pPr>
            <w:r>
              <w:rPr>
                <w:rFonts w:ascii="宋体" w:hAnsi="宋体" w:eastAsia="宋体" w:cs="宋体"/>
                <w:b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001248</w:t>
            </w:r>
          </w:p>
        </w:tc>
        <w:tc>
          <w:tcPr>
            <w:tcW w:w="0" w:type="dxa"/>
            <w:vAlign w:val="center"/>
          </w:tcPr>
          <w:p>
            <w:pPr>
              <w:spacing w:line="240" w:lineRule="auto"/>
              <w:jc w:val="left"/>
            </w:pPr>
            <w:r>
              <w:rPr>
                <w:rFonts w:ascii="宋体" w:hAnsi="宋体" w:eastAsia="宋体" w:cs="宋体"/>
                <w:b w:val="0"/>
              </w:rPr>
              <w:t>华润新能</w:t>
            </w:r>
          </w:p>
        </w:tc>
        <w:tc>
          <w:tcPr>
            <w:tcW w:w="0" w:type="dxa"/>
            <w:vAlign w:val="center"/>
          </w:tcPr>
          <w:p>
            <w:pPr>
              <w:spacing w:line="240" w:lineRule="auto"/>
              <w:jc w:val="left"/>
            </w:pPr>
            <w:r>
              <w:rPr>
                <w:rFonts w:ascii="宋体" w:hAnsi="宋体" w:eastAsia="宋体" w:cs="宋体"/>
                <w:b w:val="0"/>
              </w:rPr>
              <w:t>2026-06-24</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6,555</w:t>
            </w:r>
          </w:p>
        </w:tc>
        <w:tc>
          <w:tcPr>
            <w:tcW w:w="0" w:type="dxa"/>
            <w:vAlign w:val="center"/>
          </w:tcPr>
          <w:p>
            <w:pPr>
              <w:spacing w:line="240" w:lineRule="auto"/>
              <w:jc w:val="right"/>
            </w:pPr>
            <w:r>
              <w:rPr>
                <w:rFonts w:ascii="宋体" w:hAnsi="宋体" w:eastAsia="宋体" w:cs="宋体"/>
                <w:b w:val="0"/>
              </w:rPr>
              <w:t>66,271.05</w:t>
            </w:r>
          </w:p>
        </w:tc>
        <w:tc>
          <w:tcPr>
            <w:tcW w:w="0" w:type="dxa"/>
            <w:vAlign w:val="center"/>
          </w:tcPr>
          <w:p>
            <w:pPr>
              <w:spacing w:line="240" w:lineRule="auto"/>
              <w:jc w:val="right"/>
            </w:pPr>
            <w:r>
              <w:rPr>
                <w:rFonts w:ascii="宋体" w:hAnsi="宋体" w:eastAsia="宋体" w:cs="宋体"/>
                <w:b w:val="0"/>
              </w:rPr>
              <w:t>66,271.05</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001248</w:t>
            </w:r>
          </w:p>
        </w:tc>
        <w:tc>
          <w:tcPr>
            <w:tcW w:w="0" w:type="dxa"/>
            <w:vAlign w:val="center"/>
          </w:tcPr>
          <w:p>
            <w:pPr>
              <w:spacing w:line="240" w:lineRule="auto"/>
              <w:jc w:val="left"/>
            </w:pPr>
            <w:r>
              <w:rPr>
                <w:rFonts w:ascii="宋体" w:hAnsi="宋体" w:eastAsia="宋体" w:cs="宋体"/>
                <w:b w:val="0"/>
              </w:rPr>
              <w:t>华润新能</w:t>
            </w:r>
          </w:p>
        </w:tc>
        <w:tc>
          <w:tcPr>
            <w:tcW w:w="0" w:type="dxa"/>
            <w:vAlign w:val="center"/>
          </w:tcPr>
          <w:p>
            <w:pPr>
              <w:spacing w:line="240" w:lineRule="auto"/>
              <w:jc w:val="left"/>
            </w:pPr>
            <w:r>
              <w:rPr>
                <w:rFonts w:ascii="宋体" w:hAnsi="宋体" w:eastAsia="宋体" w:cs="宋体"/>
                <w:b w:val="0"/>
              </w:rPr>
              <w:t>2026-06-24</w:t>
            </w:r>
          </w:p>
        </w:tc>
        <w:tc>
          <w:tcPr>
            <w:tcW w:w="0" w:type="dxa"/>
            <w:vAlign w:val="center"/>
          </w:tcPr>
          <w:p>
            <w:pPr>
              <w:spacing w:line="240" w:lineRule="auto"/>
              <w:jc w:val="left"/>
            </w:pPr>
            <w:r>
              <w:rPr>
                <w:rFonts w:ascii="宋体" w:hAnsi="宋体" w:eastAsia="宋体" w:cs="宋体"/>
                <w:b w:val="0"/>
              </w:rPr>
              <w:t>6个交易日</w:t>
            </w:r>
          </w:p>
        </w:tc>
        <w:tc>
          <w:tcPr>
            <w:tcW w:w="0" w:type="dxa"/>
            <w:vAlign w:val="center"/>
          </w:tcPr>
          <w:p>
            <w:pPr>
              <w:spacing w:line="240" w:lineRule="auto"/>
              <w:jc w:val="left"/>
            </w:pPr>
            <w:r>
              <w:rPr>
                <w:rFonts w:ascii="宋体" w:hAnsi="宋体" w:eastAsia="宋体" w:cs="宋体"/>
                <w:b w:val="0"/>
              </w:rPr>
              <w:t>新股未上市</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2,808</w:t>
            </w:r>
          </w:p>
        </w:tc>
        <w:tc>
          <w:tcPr>
            <w:tcW w:w="0" w:type="dxa"/>
            <w:vAlign w:val="center"/>
          </w:tcPr>
          <w:p>
            <w:pPr>
              <w:spacing w:line="240" w:lineRule="auto"/>
              <w:jc w:val="right"/>
            </w:pPr>
            <w:r>
              <w:rPr>
                <w:rFonts w:ascii="宋体" w:hAnsi="宋体" w:eastAsia="宋体" w:cs="宋体"/>
                <w:b w:val="0"/>
              </w:rPr>
              <w:t>28,388.88</w:t>
            </w:r>
          </w:p>
        </w:tc>
        <w:tc>
          <w:tcPr>
            <w:tcW w:w="0" w:type="dxa"/>
            <w:vAlign w:val="center"/>
          </w:tcPr>
          <w:p>
            <w:pPr>
              <w:spacing w:line="240" w:lineRule="auto"/>
              <w:jc w:val="right"/>
            </w:pPr>
            <w:r>
              <w:rPr>
                <w:rFonts w:ascii="宋体" w:hAnsi="宋体" w:eastAsia="宋体" w:cs="宋体"/>
                <w:b w:val="0"/>
              </w:rPr>
              <w:t>28,388.88</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001399</w:t>
            </w:r>
          </w:p>
        </w:tc>
        <w:tc>
          <w:tcPr>
            <w:tcW w:w="0" w:type="dxa"/>
            <w:vAlign w:val="center"/>
          </w:tcPr>
          <w:p>
            <w:pPr>
              <w:spacing w:line="240" w:lineRule="auto"/>
              <w:jc w:val="left"/>
            </w:pPr>
            <w:r>
              <w:rPr>
                <w:rFonts w:ascii="宋体" w:hAnsi="宋体" w:eastAsia="宋体" w:cs="宋体"/>
                <w:b w:val="0"/>
              </w:rPr>
              <w:t>惠科股份</w:t>
            </w:r>
          </w:p>
        </w:tc>
        <w:tc>
          <w:tcPr>
            <w:tcW w:w="0" w:type="dxa"/>
            <w:vAlign w:val="center"/>
          </w:tcPr>
          <w:p>
            <w:pPr>
              <w:spacing w:line="240" w:lineRule="auto"/>
              <w:jc w:val="left"/>
            </w:pPr>
            <w:r>
              <w:rPr>
                <w:rFonts w:ascii="宋体" w:hAnsi="宋体" w:eastAsia="宋体" w:cs="宋体"/>
                <w:b w:val="0"/>
              </w:rPr>
              <w:t>2026-06-16</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10.12</w:t>
            </w:r>
          </w:p>
        </w:tc>
        <w:tc>
          <w:tcPr>
            <w:tcW w:w="0" w:type="dxa"/>
            <w:vAlign w:val="center"/>
          </w:tcPr>
          <w:p>
            <w:pPr>
              <w:spacing w:line="240" w:lineRule="auto"/>
              <w:jc w:val="right"/>
            </w:pPr>
            <w:r>
              <w:rPr>
                <w:rFonts w:ascii="宋体" w:hAnsi="宋体" w:eastAsia="宋体" w:cs="宋体"/>
                <w:b w:val="0"/>
              </w:rPr>
              <w:t>27.73</w:t>
            </w:r>
          </w:p>
        </w:tc>
        <w:tc>
          <w:tcPr>
            <w:tcW w:w="0" w:type="dxa"/>
            <w:vAlign w:val="center"/>
          </w:tcPr>
          <w:p>
            <w:pPr>
              <w:spacing w:line="240" w:lineRule="auto"/>
              <w:jc w:val="right"/>
            </w:pPr>
            <w:r>
              <w:rPr>
                <w:rFonts w:ascii="宋体" w:hAnsi="宋体" w:eastAsia="宋体" w:cs="宋体"/>
                <w:b w:val="0"/>
              </w:rPr>
              <w:t>1,019</w:t>
            </w:r>
          </w:p>
        </w:tc>
        <w:tc>
          <w:tcPr>
            <w:tcW w:w="0" w:type="dxa"/>
            <w:vAlign w:val="center"/>
          </w:tcPr>
          <w:p>
            <w:pPr>
              <w:spacing w:line="240" w:lineRule="auto"/>
              <w:jc w:val="right"/>
            </w:pPr>
            <w:r>
              <w:rPr>
                <w:rFonts w:ascii="宋体" w:hAnsi="宋体" w:eastAsia="宋体" w:cs="宋体"/>
                <w:b w:val="0"/>
              </w:rPr>
              <w:t>10,312.28</w:t>
            </w:r>
          </w:p>
        </w:tc>
        <w:tc>
          <w:tcPr>
            <w:tcW w:w="0" w:type="dxa"/>
            <w:vAlign w:val="center"/>
          </w:tcPr>
          <w:p>
            <w:pPr>
              <w:spacing w:line="240" w:lineRule="auto"/>
              <w:jc w:val="right"/>
            </w:pPr>
            <w:r>
              <w:rPr>
                <w:rFonts w:ascii="宋体" w:hAnsi="宋体" w:eastAsia="宋体" w:cs="宋体"/>
                <w:b w:val="0"/>
              </w:rPr>
              <w:t>28,256.87</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688635</w:t>
            </w:r>
          </w:p>
        </w:tc>
        <w:tc>
          <w:tcPr>
            <w:tcW w:w="0" w:type="dxa"/>
            <w:vAlign w:val="center"/>
          </w:tcPr>
          <w:p>
            <w:pPr>
              <w:spacing w:line="240" w:lineRule="auto"/>
              <w:jc w:val="left"/>
            </w:pPr>
            <w:r>
              <w:rPr>
                <w:rFonts w:ascii="宋体" w:hAnsi="宋体" w:eastAsia="宋体" w:cs="宋体"/>
                <w:b w:val="0"/>
              </w:rPr>
              <w:t>长进光子</w:t>
            </w:r>
          </w:p>
        </w:tc>
        <w:tc>
          <w:tcPr>
            <w:tcW w:w="0" w:type="dxa"/>
            <w:vAlign w:val="center"/>
          </w:tcPr>
          <w:p>
            <w:pPr>
              <w:spacing w:line="240" w:lineRule="auto"/>
              <w:jc w:val="left"/>
            </w:pPr>
            <w:r>
              <w:rPr>
                <w:rFonts w:ascii="宋体" w:hAnsi="宋体" w:eastAsia="宋体" w:cs="宋体"/>
                <w:b w:val="0"/>
              </w:rPr>
              <w:t>2026-05-20</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40.98</w:t>
            </w:r>
          </w:p>
        </w:tc>
        <w:tc>
          <w:tcPr>
            <w:tcW w:w="0" w:type="dxa"/>
            <w:vAlign w:val="center"/>
          </w:tcPr>
          <w:p>
            <w:pPr>
              <w:spacing w:line="240" w:lineRule="auto"/>
              <w:jc w:val="right"/>
            </w:pPr>
            <w:r>
              <w:rPr>
                <w:rFonts w:ascii="宋体" w:hAnsi="宋体" w:eastAsia="宋体" w:cs="宋体"/>
                <w:b w:val="0"/>
              </w:rPr>
              <w:t>308.19</w:t>
            </w:r>
          </w:p>
        </w:tc>
        <w:tc>
          <w:tcPr>
            <w:tcW w:w="0" w:type="dxa"/>
            <w:vAlign w:val="center"/>
          </w:tcPr>
          <w:p>
            <w:pPr>
              <w:spacing w:line="240" w:lineRule="auto"/>
              <w:jc w:val="right"/>
            </w:pPr>
            <w:r>
              <w:rPr>
                <w:rFonts w:ascii="宋体" w:hAnsi="宋体" w:eastAsia="宋体" w:cs="宋体"/>
                <w:b w:val="0"/>
              </w:rPr>
              <w:t>77</w:t>
            </w:r>
          </w:p>
        </w:tc>
        <w:tc>
          <w:tcPr>
            <w:tcW w:w="0" w:type="dxa"/>
            <w:vAlign w:val="center"/>
          </w:tcPr>
          <w:p>
            <w:pPr>
              <w:spacing w:line="240" w:lineRule="auto"/>
              <w:jc w:val="right"/>
            </w:pPr>
            <w:r>
              <w:rPr>
                <w:rFonts w:ascii="宋体" w:hAnsi="宋体" w:eastAsia="宋体" w:cs="宋体"/>
                <w:b w:val="0"/>
              </w:rPr>
              <w:t>3,155.46</w:t>
            </w:r>
          </w:p>
        </w:tc>
        <w:tc>
          <w:tcPr>
            <w:tcW w:w="0" w:type="dxa"/>
            <w:vAlign w:val="center"/>
          </w:tcPr>
          <w:p>
            <w:pPr>
              <w:spacing w:line="240" w:lineRule="auto"/>
              <w:jc w:val="right"/>
            </w:pPr>
            <w:r>
              <w:rPr>
                <w:rFonts w:ascii="宋体" w:hAnsi="宋体" w:eastAsia="宋体" w:cs="宋体"/>
                <w:b w:val="0"/>
              </w:rPr>
              <w:t>23,730.63</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301669</w:t>
            </w:r>
          </w:p>
        </w:tc>
        <w:tc>
          <w:tcPr>
            <w:tcW w:w="0" w:type="dxa"/>
            <w:vAlign w:val="center"/>
          </w:tcPr>
          <w:p>
            <w:pPr>
              <w:spacing w:line="240" w:lineRule="auto"/>
              <w:jc w:val="left"/>
            </w:pPr>
            <w:r>
              <w:rPr>
                <w:rFonts w:ascii="宋体" w:hAnsi="宋体" w:eastAsia="宋体" w:cs="宋体"/>
                <w:b w:val="0"/>
              </w:rPr>
              <w:t>高特电子</w:t>
            </w:r>
          </w:p>
        </w:tc>
        <w:tc>
          <w:tcPr>
            <w:tcW w:w="0" w:type="dxa"/>
            <w:vAlign w:val="center"/>
          </w:tcPr>
          <w:p>
            <w:pPr>
              <w:spacing w:line="240" w:lineRule="auto"/>
              <w:jc w:val="left"/>
            </w:pPr>
            <w:r>
              <w:rPr>
                <w:rFonts w:ascii="宋体" w:hAnsi="宋体" w:eastAsia="宋体" w:cs="宋体"/>
                <w:b w:val="0"/>
              </w:rPr>
              <w:t>2026-06-02</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7.08</w:t>
            </w:r>
          </w:p>
        </w:tc>
        <w:tc>
          <w:tcPr>
            <w:tcW w:w="0" w:type="dxa"/>
            <w:vAlign w:val="center"/>
          </w:tcPr>
          <w:p>
            <w:pPr>
              <w:spacing w:line="240" w:lineRule="auto"/>
              <w:jc w:val="right"/>
            </w:pPr>
            <w:r>
              <w:rPr>
                <w:rFonts w:ascii="宋体" w:hAnsi="宋体" w:eastAsia="宋体" w:cs="宋体"/>
                <w:b w:val="0"/>
              </w:rPr>
              <w:t>28.40</w:t>
            </w:r>
          </w:p>
        </w:tc>
        <w:tc>
          <w:tcPr>
            <w:tcW w:w="0" w:type="dxa"/>
            <w:vAlign w:val="center"/>
          </w:tcPr>
          <w:p>
            <w:pPr>
              <w:spacing w:line="240" w:lineRule="auto"/>
              <w:jc w:val="right"/>
            </w:pPr>
            <w:r>
              <w:rPr>
                <w:rFonts w:ascii="宋体" w:hAnsi="宋体" w:eastAsia="宋体" w:cs="宋体"/>
                <w:b w:val="0"/>
              </w:rPr>
              <w:t>410</w:t>
            </w:r>
          </w:p>
        </w:tc>
        <w:tc>
          <w:tcPr>
            <w:tcW w:w="0" w:type="dxa"/>
            <w:vAlign w:val="center"/>
          </w:tcPr>
          <w:p>
            <w:pPr>
              <w:spacing w:line="240" w:lineRule="auto"/>
              <w:jc w:val="right"/>
            </w:pPr>
            <w:r>
              <w:rPr>
                <w:rFonts w:ascii="宋体" w:hAnsi="宋体" w:eastAsia="宋体" w:cs="宋体"/>
                <w:b w:val="0"/>
              </w:rPr>
              <w:t>2,902.80</w:t>
            </w:r>
          </w:p>
        </w:tc>
        <w:tc>
          <w:tcPr>
            <w:tcW w:w="0" w:type="dxa"/>
            <w:vAlign w:val="center"/>
          </w:tcPr>
          <w:p>
            <w:pPr>
              <w:spacing w:line="240" w:lineRule="auto"/>
              <w:jc w:val="right"/>
            </w:pPr>
            <w:r>
              <w:rPr>
                <w:rFonts w:ascii="宋体" w:hAnsi="宋体" w:eastAsia="宋体" w:cs="宋体"/>
                <w:b w:val="0"/>
              </w:rPr>
              <w:t>11,644.00</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301531</w:t>
            </w:r>
          </w:p>
        </w:tc>
        <w:tc>
          <w:tcPr>
            <w:tcW w:w="0" w:type="dxa"/>
            <w:vAlign w:val="center"/>
          </w:tcPr>
          <w:p>
            <w:pPr>
              <w:spacing w:line="240" w:lineRule="auto"/>
              <w:jc w:val="left"/>
            </w:pPr>
            <w:r>
              <w:rPr>
                <w:rFonts w:ascii="宋体" w:hAnsi="宋体" w:eastAsia="宋体" w:cs="宋体"/>
                <w:b w:val="0"/>
              </w:rPr>
              <w:t>春光集团</w:t>
            </w:r>
          </w:p>
        </w:tc>
        <w:tc>
          <w:tcPr>
            <w:tcW w:w="0" w:type="dxa"/>
            <w:vAlign w:val="center"/>
          </w:tcPr>
          <w:p>
            <w:pPr>
              <w:spacing w:line="240" w:lineRule="auto"/>
              <w:jc w:val="left"/>
            </w:pPr>
            <w:r>
              <w:rPr>
                <w:rFonts w:ascii="宋体" w:hAnsi="宋体" w:eastAsia="宋体" w:cs="宋体"/>
                <w:b w:val="0"/>
              </w:rPr>
              <w:t>2026-04-28</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13.30</w:t>
            </w:r>
          </w:p>
        </w:tc>
        <w:tc>
          <w:tcPr>
            <w:tcW w:w="0" w:type="dxa"/>
            <w:vAlign w:val="center"/>
          </w:tcPr>
          <w:p>
            <w:pPr>
              <w:spacing w:line="240" w:lineRule="auto"/>
              <w:jc w:val="right"/>
            </w:pPr>
            <w:r>
              <w:rPr>
                <w:rFonts w:ascii="宋体" w:hAnsi="宋体" w:eastAsia="宋体" w:cs="宋体"/>
                <w:b w:val="0"/>
              </w:rPr>
              <w:t>51.56</w:t>
            </w:r>
          </w:p>
        </w:tc>
        <w:tc>
          <w:tcPr>
            <w:tcW w:w="0" w:type="dxa"/>
            <w:vAlign w:val="center"/>
          </w:tcPr>
          <w:p>
            <w:pPr>
              <w:spacing w:line="240" w:lineRule="auto"/>
              <w:jc w:val="right"/>
            </w:pPr>
            <w:r>
              <w:rPr>
                <w:rFonts w:ascii="宋体" w:hAnsi="宋体" w:eastAsia="宋体" w:cs="宋体"/>
                <w:b w:val="0"/>
              </w:rPr>
              <w:t>214</w:t>
            </w:r>
          </w:p>
        </w:tc>
        <w:tc>
          <w:tcPr>
            <w:tcW w:w="0" w:type="dxa"/>
            <w:vAlign w:val="center"/>
          </w:tcPr>
          <w:p>
            <w:pPr>
              <w:spacing w:line="240" w:lineRule="auto"/>
              <w:jc w:val="right"/>
            </w:pPr>
            <w:r>
              <w:rPr>
                <w:rFonts w:ascii="宋体" w:hAnsi="宋体" w:eastAsia="宋体" w:cs="宋体"/>
                <w:b w:val="0"/>
              </w:rPr>
              <w:t>2,846.20</w:t>
            </w:r>
          </w:p>
        </w:tc>
        <w:tc>
          <w:tcPr>
            <w:tcW w:w="0" w:type="dxa"/>
            <w:vAlign w:val="center"/>
          </w:tcPr>
          <w:p>
            <w:pPr>
              <w:spacing w:line="240" w:lineRule="auto"/>
              <w:jc w:val="right"/>
            </w:pPr>
            <w:r>
              <w:rPr>
                <w:rFonts w:ascii="宋体" w:hAnsi="宋体" w:eastAsia="宋体" w:cs="宋体"/>
                <w:b w:val="0"/>
              </w:rPr>
              <w:t>11,033.84</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301599</w:t>
            </w:r>
          </w:p>
        </w:tc>
        <w:tc>
          <w:tcPr>
            <w:tcW w:w="0" w:type="dxa"/>
            <w:vAlign w:val="center"/>
          </w:tcPr>
          <w:p>
            <w:pPr>
              <w:spacing w:line="240" w:lineRule="auto"/>
              <w:jc w:val="left"/>
            </w:pPr>
            <w:r>
              <w:rPr>
                <w:rFonts w:ascii="宋体" w:hAnsi="宋体" w:eastAsia="宋体" w:cs="宋体"/>
                <w:b w:val="0"/>
              </w:rPr>
              <w:t>理奇智能</w:t>
            </w:r>
          </w:p>
        </w:tc>
        <w:tc>
          <w:tcPr>
            <w:tcW w:w="0" w:type="dxa"/>
            <w:vAlign w:val="center"/>
          </w:tcPr>
          <w:p>
            <w:pPr>
              <w:spacing w:line="240" w:lineRule="auto"/>
              <w:jc w:val="left"/>
            </w:pPr>
            <w:r>
              <w:rPr>
                <w:rFonts w:ascii="宋体" w:hAnsi="宋体" w:eastAsia="宋体" w:cs="宋体"/>
                <w:b w:val="0"/>
              </w:rPr>
              <w:t>2026-04-22</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13.91</w:t>
            </w:r>
          </w:p>
        </w:tc>
        <w:tc>
          <w:tcPr>
            <w:tcW w:w="0" w:type="dxa"/>
            <w:vAlign w:val="center"/>
          </w:tcPr>
          <w:p>
            <w:pPr>
              <w:spacing w:line="240" w:lineRule="auto"/>
              <w:jc w:val="right"/>
            </w:pPr>
            <w:r>
              <w:rPr>
                <w:rFonts w:ascii="宋体" w:hAnsi="宋体" w:eastAsia="宋体" w:cs="宋体"/>
                <w:b w:val="0"/>
              </w:rPr>
              <w:t>32.47</w:t>
            </w:r>
          </w:p>
        </w:tc>
        <w:tc>
          <w:tcPr>
            <w:tcW w:w="0" w:type="dxa"/>
            <w:vAlign w:val="center"/>
          </w:tcPr>
          <w:p>
            <w:pPr>
              <w:spacing w:line="240" w:lineRule="auto"/>
              <w:jc w:val="right"/>
            </w:pPr>
            <w:r>
              <w:rPr>
                <w:rFonts w:ascii="宋体" w:hAnsi="宋体" w:eastAsia="宋体" w:cs="宋体"/>
                <w:b w:val="0"/>
              </w:rPr>
              <w:t>227</w:t>
            </w:r>
          </w:p>
        </w:tc>
        <w:tc>
          <w:tcPr>
            <w:tcW w:w="0" w:type="dxa"/>
            <w:vAlign w:val="center"/>
          </w:tcPr>
          <w:p>
            <w:pPr>
              <w:spacing w:line="240" w:lineRule="auto"/>
              <w:jc w:val="right"/>
            </w:pPr>
            <w:r>
              <w:rPr>
                <w:rFonts w:ascii="宋体" w:hAnsi="宋体" w:eastAsia="宋体" w:cs="宋体"/>
                <w:b w:val="0"/>
              </w:rPr>
              <w:t>3,157.57</w:t>
            </w:r>
          </w:p>
        </w:tc>
        <w:tc>
          <w:tcPr>
            <w:tcW w:w="0" w:type="dxa"/>
            <w:vAlign w:val="center"/>
          </w:tcPr>
          <w:p>
            <w:pPr>
              <w:spacing w:line="240" w:lineRule="auto"/>
              <w:jc w:val="right"/>
            </w:pPr>
            <w:r>
              <w:rPr>
                <w:rFonts w:ascii="宋体" w:hAnsi="宋体" w:eastAsia="宋体" w:cs="宋体"/>
                <w:b w:val="0"/>
              </w:rPr>
              <w:t>7,370.69</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001365</w:t>
            </w:r>
          </w:p>
        </w:tc>
        <w:tc>
          <w:tcPr>
            <w:tcW w:w="0" w:type="dxa"/>
            <w:vAlign w:val="center"/>
          </w:tcPr>
          <w:p>
            <w:pPr>
              <w:spacing w:line="240" w:lineRule="auto"/>
              <w:jc w:val="left"/>
            </w:pPr>
            <w:r>
              <w:rPr>
                <w:rFonts w:ascii="宋体" w:hAnsi="宋体" w:eastAsia="宋体" w:cs="宋体"/>
                <w:b w:val="0"/>
              </w:rPr>
              <w:t>天海电子</w:t>
            </w:r>
          </w:p>
        </w:tc>
        <w:tc>
          <w:tcPr>
            <w:tcW w:w="0" w:type="dxa"/>
            <w:vAlign w:val="center"/>
          </w:tcPr>
          <w:p>
            <w:pPr>
              <w:spacing w:line="240" w:lineRule="auto"/>
              <w:jc w:val="left"/>
            </w:pPr>
            <w:r>
              <w:rPr>
                <w:rFonts w:ascii="宋体" w:hAnsi="宋体" w:eastAsia="宋体" w:cs="宋体"/>
                <w:b w:val="0"/>
              </w:rPr>
              <w:t>2026-05-11</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27.19</w:t>
            </w:r>
          </w:p>
        </w:tc>
        <w:tc>
          <w:tcPr>
            <w:tcW w:w="0" w:type="dxa"/>
            <w:vAlign w:val="center"/>
          </w:tcPr>
          <w:p>
            <w:pPr>
              <w:spacing w:line="240" w:lineRule="auto"/>
              <w:jc w:val="right"/>
            </w:pPr>
            <w:r>
              <w:rPr>
                <w:rFonts w:ascii="宋体" w:hAnsi="宋体" w:eastAsia="宋体" w:cs="宋体"/>
                <w:b w:val="0"/>
              </w:rPr>
              <w:t>31.31</w:t>
            </w:r>
          </w:p>
        </w:tc>
        <w:tc>
          <w:tcPr>
            <w:tcW w:w="0" w:type="dxa"/>
            <w:vAlign w:val="center"/>
          </w:tcPr>
          <w:p>
            <w:pPr>
              <w:spacing w:line="240" w:lineRule="auto"/>
              <w:jc w:val="right"/>
            </w:pPr>
            <w:r>
              <w:rPr>
                <w:rFonts w:ascii="宋体" w:hAnsi="宋体" w:eastAsia="宋体" w:cs="宋体"/>
                <w:b w:val="0"/>
              </w:rPr>
              <w:t>190</w:t>
            </w:r>
          </w:p>
        </w:tc>
        <w:tc>
          <w:tcPr>
            <w:tcW w:w="0" w:type="dxa"/>
            <w:vAlign w:val="center"/>
          </w:tcPr>
          <w:p>
            <w:pPr>
              <w:spacing w:line="240" w:lineRule="auto"/>
              <w:jc w:val="right"/>
            </w:pPr>
            <w:r>
              <w:rPr>
                <w:rFonts w:ascii="宋体" w:hAnsi="宋体" w:eastAsia="宋体" w:cs="宋体"/>
                <w:b w:val="0"/>
              </w:rPr>
              <w:t>5,166.10</w:t>
            </w:r>
          </w:p>
        </w:tc>
        <w:tc>
          <w:tcPr>
            <w:tcW w:w="0" w:type="dxa"/>
            <w:vAlign w:val="center"/>
          </w:tcPr>
          <w:p>
            <w:pPr>
              <w:spacing w:line="240" w:lineRule="auto"/>
              <w:jc w:val="right"/>
            </w:pPr>
            <w:r>
              <w:rPr>
                <w:rFonts w:ascii="宋体" w:hAnsi="宋体" w:eastAsia="宋体" w:cs="宋体"/>
                <w:b w:val="0"/>
              </w:rPr>
              <w:t>5,948.90</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001393</w:t>
            </w:r>
          </w:p>
        </w:tc>
        <w:tc>
          <w:tcPr>
            <w:tcW w:w="0" w:type="dxa"/>
            <w:vAlign w:val="center"/>
          </w:tcPr>
          <w:p>
            <w:pPr>
              <w:spacing w:line="240" w:lineRule="auto"/>
              <w:jc w:val="left"/>
            </w:pPr>
            <w:r>
              <w:rPr>
                <w:rFonts w:ascii="宋体" w:hAnsi="宋体" w:eastAsia="宋体" w:cs="宋体"/>
                <w:b w:val="0"/>
              </w:rPr>
              <w:t>维通利</w:t>
            </w:r>
          </w:p>
        </w:tc>
        <w:tc>
          <w:tcPr>
            <w:tcW w:w="0" w:type="dxa"/>
            <w:vAlign w:val="center"/>
          </w:tcPr>
          <w:p>
            <w:pPr>
              <w:spacing w:line="240" w:lineRule="auto"/>
              <w:jc w:val="left"/>
            </w:pPr>
            <w:r>
              <w:rPr>
                <w:rFonts w:ascii="宋体" w:hAnsi="宋体" w:eastAsia="宋体" w:cs="宋体"/>
                <w:b w:val="0"/>
              </w:rPr>
              <w:t>2026-05-08</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30.38</w:t>
            </w:r>
          </w:p>
        </w:tc>
        <w:tc>
          <w:tcPr>
            <w:tcW w:w="0" w:type="dxa"/>
            <w:vAlign w:val="center"/>
          </w:tcPr>
          <w:p>
            <w:pPr>
              <w:spacing w:line="240" w:lineRule="auto"/>
              <w:jc w:val="right"/>
            </w:pPr>
            <w:r>
              <w:rPr>
                <w:rFonts w:ascii="宋体" w:hAnsi="宋体" w:eastAsia="宋体" w:cs="宋体"/>
                <w:b w:val="0"/>
              </w:rPr>
              <w:t>38.99</w:t>
            </w:r>
          </w:p>
        </w:tc>
        <w:tc>
          <w:tcPr>
            <w:tcW w:w="0" w:type="dxa"/>
            <w:vAlign w:val="center"/>
          </w:tcPr>
          <w:p>
            <w:pPr>
              <w:spacing w:line="240" w:lineRule="auto"/>
              <w:jc w:val="right"/>
            </w:pPr>
            <w:r>
              <w:rPr>
                <w:rFonts w:ascii="宋体" w:hAnsi="宋体" w:eastAsia="宋体" w:cs="宋体"/>
                <w:b w:val="0"/>
              </w:rPr>
              <w:t>134</w:t>
            </w:r>
          </w:p>
        </w:tc>
        <w:tc>
          <w:tcPr>
            <w:tcW w:w="0" w:type="dxa"/>
            <w:vAlign w:val="center"/>
          </w:tcPr>
          <w:p>
            <w:pPr>
              <w:spacing w:line="240" w:lineRule="auto"/>
              <w:jc w:val="right"/>
            </w:pPr>
            <w:r>
              <w:rPr>
                <w:rFonts w:ascii="宋体" w:hAnsi="宋体" w:eastAsia="宋体" w:cs="宋体"/>
                <w:b w:val="0"/>
              </w:rPr>
              <w:t>4,070.92</w:t>
            </w:r>
          </w:p>
        </w:tc>
        <w:tc>
          <w:tcPr>
            <w:tcW w:w="0" w:type="dxa"/>
            <w:vAlign w:val="center"/>
          </w:tcPr>
          <w:p>
            <w:pPr>
              <w:spacing w:line="240" w:lineRule="auto"/>
              <w:jc w:val="right"/>
            </w:pPr>
            <w:r>
              <w:rPr>
                <w:rFonts w:ascii="宋体" w:hAnsi="宋体" w:eastAsia="宋体" w:cs="宋体"/>
                <w:b w:val="0"/>
              </w:rPr>
              <w:t>5,224.66</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001237</w:t>
            </w:r>
          </w:p>
        </w:tc>
        <w:tc>
          <w:tcPr>
            <w:tcW w:w="0" w:type="dxa"/>
            <w:vAlign w:val="center"/>
          </w:tcPr>
          <w:p>
            <w:pPr>
              <w:spacing w:line="240" w:lineRule="auto"/>
              <w:jc w:val="left"/>
            </w:pPr>
            <w:r>
              <w:rPr>
                <w:rFonts w:ascii="宋体" w:hAnsi="宋体" w:eastAsia="宋体" w:cs="宋体"/>
                <w:b w:val="0"/>
              </w:rPr>
              <w:t>惠康科技</w:t>
            </w:r>
          </w:p>
        </w:tc>
        <w:tc>
          <w:tcPr>
            <w:tcW w:w="0" w:type="dxa"/>
            <w:vAlign w:val="center"/>
          </w:tcPr>
          <w:p>
            <w:pPr>
              <w:spacing w:line="240" w:lineRule="auto"/>
              <w:jc w:val="left"/>
            </w:pPr>
            <w:r>
              <w:rPr>
                <w:rFonts w:ascii="宋体" w:hAnsi="宋体" w:eastAsia="宋体" w:cs="宋体"/>
                <w:b w:val="0"/>
              </w:rPr>
              <w:t>2026-05-15</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53.26</w:t>
            </w:r>
          </w:p>
        </w:tc>
        <w:tc>
          <w:tcPr>
            <w:tcW w:w="0" w:type="dxa"/>
            <w:vAlign w:val="center"/>
          </w:tcPr>
          <w:p>
            <w:pPr>
              <w:spacing w:line="240" w:lineRule="auto"/>
              <w:jc w:val="right"/>
            </w:pPr>
            <w:r>
              <w:rPr>
                <w:rFonts w:ascii="宋体" w:hAnsi="宋体" w:eastAsia="宋体" w:cs="宋体"/>
                <w:b w:val="0"/>
              </w:rPr>
              <w:t>58.74</w:t>
            </w:r>
          </w:p>
        </w:tc>
        <w:tc>
          <w:tcPr>
            <w:tcW w:w="0" w:type="dxa"/>
            <w:vAlign w:val="center"/>
          </w:tcPr>
          <w:p>
            <w:pPr>
              <w:spacing w:line="240" w:lineRule="auto"/>
              <w:jc w:val="right"/>
            </w:pPr>
            <w:r>
              <w:rPr>
                <w:rFonts w:ascii="宋体" w:hAnsi="宋体" w:eastAsia="宋体" w:cs="宋体"/>
                <w:b w:val="0"/>
              </w:rPr>
              <w:t>78</w:t>
            </w:r>
          </w:p>
        </w:tc>
        <w:tc>
          <w:tcPr>
            <w:tcW w:w="0" w:type="dxa"/>
            <w:vAlign w:val="center"/>
          </w:tcPr>
          <w:p>
            <w:pPr>
              <w:spacing w:line="240" w:lineRule="auto"/>
              <w:jc w:val="right"/>
            </w:pPr>
            <w:r>
              <w:rPr>
                <w:rFonts w:ascii="宋体" w:hAnsi="宋体" w:eastAsia="宋体" w:cs="宋体"/>
                <w:b w:val="0"/>
              </w:rPr>
              <w:t>4,154.28</w:t>
            </w:r>
          </w:p>
        </w:tc>
        <w:tc>
          <w:tcPr>
            <w:tcW w:w="0" w:type="dxa"/>
            <w:vAlign w:val="center"/>
          </w:tcPr>
          <w:p>
            <w:pPr>
              <w:spacing w:line="240" w:lineRule="auto"/>
              <w:jc w:val="right"/>
            </w:pPr>
            <w:r>
              <w:rPr>
                <w:rFonts w:ascii="宋体" w:hAnsi="宋体" w:eastAsia="宋体" w:cs="宋体"/>
                <w:b w:val="0"/>
              </w:rPr>
              <w:t>4,581.72</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603435</w:t>
            </w:r>
          </w:p>
        </w:tc>
        <w:tc>
          <w:tcPr>
            <w:tcW w:w="0" w:type="dxa"/>
            <w:vAlign w:val="center"/>
          </w:tcPr>
          <w:p>
            <w:pPr>
              <w:spacing w:line="240" w:lineRule="auto"/>
              <w:jc w:val="left"/>
            </w:pPr>
            <w:r>
              <w:rPr>
                <w:rFonts w:ascii="宋体" w:hAnsi="宋体" w:eastAsia="宋体" w:cs="宋体"/>
                <w:b w:val="0"/>
              </w:rPr>
              <w:t>嘉德利</w:t>
            </w:r>
          </w:p>
        </w:tc>
        <w:tc>
          <w:tcPr>
            <w:tcW w:w="0" w:type="dxa"/>
            <w:vAlign w:val="center"/>
          </w:tcPr>
          <w:p>
            <w:pPr>
              <w:spacing w:line="240" w:lineRule="auto"/>
              <w:jc w:val="left"/>
            </w:pPr>
            <w:r>
              <w:rPr>
                <w:rFonts w:ascii="宋体" w:hAnsi="宋体" w:eastAsia="宋体" w:cs="宋体"/>
                <w:b w:val="0"/>
              </w:rPr>
              <w:t>2026-05-15</w:t>
            </w:r>
          </w:p>
        </w:tc>
        <w:tc>
          <w:tcPr>
            <w:tcW w:w="0" w:type="dxa"/>
            <w:vAlign w:val="center"/>
          </w:tcPr>
          <w:p>
            <w:pPr>
              <w:spacing w:line="240" w:lineRule="auto"/>
              <w:jc w:val="left"/>
            </w:pPr>
            <w:r>
              <w:rPr>
                <w:rFonts w:ascii="宋体" w:hAnsi="宋体" w:eastAsia="宋体" w:cs="宋体"/>
                <w:b w:val="0"/>
              </w:rPr>
              <w:t>6个月</w:t>
            </w:r>
          </w:p>
        </w:tc>
        <w:tc>
          <w:tcPr>
            <w:tcW w:w="0" w:type="dxa"/>
            <w:vAlign w:val="center"/>
          </w:tcPr>
          <w:p>
            <w:pPr>
              <w:spacing w:line="240" w:lineRule="auto"/>
              <w:jc w:val="left"/>
            </w:pPr>
            <w:r>
              <w:rPr>
                <w:rFonts w:ascii="宋体" w:hAnsi="宋体" w:eastAsia="宋体" w:cs="宋体"/>
                <w:b w:val="0"/>
              </w:rPr>
              <w:t>新股流通受限</w:t>
            </w:r>
          </w:p>
        </w:tc>
        <w:tc>
          <w:tcPr>
            <w:tcW w:w="0" w:type="dxa"/>
            <w:vAlign w:val="center"/>
          </w:tcPr>
          <w:p>
            <w:pPr>
              <w:spacing w:line="240" w:lineRule="auto"/>
              <w:jc w:val="right"/>
            </w:pPr>
            <w:r>
              <w:rPr>
                <w:rFonts w:ascii="宋体" w:hAnsi="宋体" w:eastAsia="宋体" w:cs="宋体"/>
                <w:b w:val="0"/>
              </w:rPr>
              <w:t>15.76</w:t>
            </w:r>
          </w:p>
        </w:tc>
        <w:tc>
          <w:tcPr>
            <w:tcW w:w="0" w:type="dxa"/>
            <w:vAlign w:val="center"/>
          </w:tcPr>
          <w:p>
            <w:pPr>
              <w:spacing w:line="240" w:lineRule="auto"/>
              <w:jc w:val="right"/>
            </w:pPr>
            <w:r>
              <w:rPr>
                <w:rFonts w:ascii="宋体" w:hAnsi="宋体" w:eastAsia="宋体" w:cs="宋体"/>
                <w:b w:val="0"/>
              </w:rPr>
              <w:t>46.71</w:t>
            </w:r>
          </w:p>
        </w:tc>
        <w:tc>
          <w:tcPr>
            <w:tcW w:w="0" w:type="dxa"/>
            <w:vAlign w:val="center"/>
          </w:tcPr>
          <w:p>
            <w:pPr>
              <w:spacing w:line="240" w:lineRule="auto"/>
              <w:jc w:val="right"/>
            </w:pPr>
            <w:r>
              <w:rPr>
                <w:rFonts w:ascii="宋体" w:hAnsi="宋体" w:eastAsia="宋体" w:cs="宋体"/>
                <w:b w:val="0"/>
              </w:rPr>
              <w:t>84</w:t>
            </w:r>
          </w:p>
        </w:tc>
        <w:tc>
          <w:tcPr>
            <w:tcW w:w="0" w:type="dxa"/>
            <w:vAlign w:val="center"/>
          </w:tcPr>
          <w:p>
            <w:pPr>
              <w:spacing w:line="240" w:lineRule="auto"/>
              <w:jc w:val="right"/>
            </w:pPr>
            <w:r>
              <w:rPr>
                <w:rFonts w:ascii="宋体" w:hAnsi="宋体" w:eastAsia="宋体" w:cs="宋体"/>
                <w:b w:val="0"/>
              </w:rPr>
              <w:t>1,323.84</w:t>
            </w:r>
          </w:p>
        </w:tc>
        <w:tc>
          <w:tcPr>
            <w:tcW w:w="0" w:type="dxa"/>
            <w:vAlign w:val="center"/>
          </w:tcPr>
          <w:p>
            <w:pPr>
              <w:spacing w:line="240" w:lineRule="auto"/>
              <w:jc w:val="right"/>
            </w:pPr>
            <w:r>
              <w:rPr>
                <w:rFonts w:ascii="宋体" w:hAnsi="宋体" w:eastAsia="宋体" w:cs="宋体"/>
                <w:b w:val="0"/>
              </w:rPr>
              <w:t>3,923.64</w:t>
            </w:r>
          </w:p>
        </w:tc>
        <w:tc>
          <w:tcPr>
            <w:tcW w:w="0" w:type="dxa"/>
            <w:vAlign w:val="center"/>
          </w:tcPr>
          <w:p>
            <w:pPr>
              <w:spacing w:line="240" w:lineRule="auto"/>
              <w:jc w:val="left"/>
            </w:pPr>
            <w:r>
              <w:rPr>
                <w:rFonts w:ascii="宋体" w:hAnsi="宋体" w:eastAsia="宋体" w:cs="宋体"/>
                <w:b w:val="0"/>
              </w:rPr>
              <w:t>-</w:t>
            </w:r>
          </w:p>
        </w:tc>
      </w:tr>
    </w:tbl>
    <w:p>
      <w:r>
        <w:rPr>
          <w:rFonts w:ascii="宋体" w:hAnsi="宋体" w:eastAsia="宋体" w:cs="宋体"/>
          <w:b w:val="0"/>
        </w:rPr>
        <w:t>注：基金可使用以基金名义开设的股票账户，选择网上或者网下一种方式进行新股申购。其中基金参与网下申购获得的新股中需要限售的部分或作为战略投资者参与配售获得的新股，在新股上市后的约定期限内不能自由转让；基金参与网上申购获配的新股，从新股获配日至新股上市日之间不能自由转让。</w:t>
      </w:r>
    </w:p>
    <w:p/>
    <w:p>
      <w:pPr>
        <w:pStyle w:val="58"/>
      </w:pPr>
      <w:r>
        <w:rPr>
          <w:rFonts w:ascii="宋体" w:hAnsi="宋体" w:eastAsia="宋体" w:cs="宋体"/>
          <w:b/>
        </w:rPr>
        <w:t>6.4.12.2 期末持有的暂时停牌等流通受限股票</w:t>
      </w:r>
    </w:p>
    <w:p>
      <w:r>
        <w:rPr>
          <w:rFonts w:ascii="宋体" w:hAnsi="宋体" w:eastAsia="宋体" w:cs="宋体"/>
          <w:b w:val="0"/>
        </w:rPr>
        <w:t xml:space="preserve">    本基金本期末未持有暂时停牌等流通受限股票。</w:t>
      </w:r>
    </w:p>
    <w:p/>
    <w:p>
      <w:pPr>
        <w:pStyle w:val="58"/>
      </w:pPr>
      <w:r>
        <w:rPr>
          <w:rFonts w:ascii="宋体" w:hAnsi="宋体" w:eastAsia="宋体" w:cs="宋体"/>
          <w:b/>
        </w:rPr>
        <w:t>6.4.12.3 期末债券正回购交易中作为抵押的债券</w:t>
      </w:r>
    </w:p>
    <w:p>
      <w:pPr>
        <w:pStyle w:val="58"/>
      </w:pPr>
      <w:r>
        <w:rPr>
          <w:rFonts w:ascii="宋体" w:hAnsi="宋体" w:eastAsia="宋体" w:cs="宋体"/>
          <w:b/>
        </w:rPr>
        <w:t>6.4.12.3.1 银行间市场债券正回购</w:t>
      </w:r>
    </w:p>
    <w:p>
      <w:pPr>
        <w:jc w:val="left"/>
      </w:pPr>
      <w:r>
        <w:rPr>
          <w:rFonts w:ascii="宋体" w:hAnsi="宋体" w:eastAsia="宋体" w:cs="宋体"/>
          <w:b w:val="0"/>
        </w:rPr>
        <w:t xml:space="preserve">    本基金本报告期末无从事银行间市场债券正回购交易形成的卖出回购证券款余额。</w:t>
      </w:r>
    </w:p>
    <w:p/>
    <w:p>
      <w:pPr>
        <w:pStyle w:val="58"/>
      </w:pPr>
      <w:r>
        <w:rPr>
          <w:rFonts w:ascii="宋体" w:hAnsi="宋体" w:eastAsia="宋体" w:cs="宋体"/>
          <w:b/>
        </w:rPr>
        <w:t>6.4.12.3.2 交易所市场债券正回购</w:t>
      </w:r>
    </w:p>
    <w:p>
      <w:pPr>
        <w:jc w:val="left"/>
      </w:pPr>
      <w:r>
        <w:rPr>
          <w:rFonts w:ascii="宋体" w:hAnsi="宋体" w:eastAsia="宋体" w:cs="宋体"/>
          <w:b w:val="0"/>
        </w:rPr>
        <w:t xml:space="preserve">    本基金本报告期末无从事交易所债券正回购交易形成的卖出回购证券款余额。</w:t>
      </w:r>
    </w:p>
    <w:p/>
    <w:p>
      <w:pPr>
        <w:pStyle w:val="58"/>
      </w:pPr>
      <w:r>
        <w:rPr>
          <w:rFonts w:ascii="宋体" w:hAnsi="宋体" w:eastAsia="宋体" w:cs="宋体"/>
          <w:b/>
        </w:rPr>
        <w:t>6.4.12.4 期末参与转融通证券出借业务的证券</w:t>
      </w:r>
    </w:p>
    <w:p>
      <w:r>
        <w:rPr>
          <w:rFonts w:ascii="宋体" w:hAnsi="宋体" w:eastAsia="宋体" w:cs="宋体"/>
          <w:b w:val="0"/>
        </w:rPr>
        <w:t xml:space="preserve">    本基金本报告期末无参与转融通出借业务的证券。</w:t>
      </w:r>
    </w:p>
    <w:p/>
    <w:p>
      <w:pPr>
        <w:pStyle w:val="58"/>
      </w:pPr>
      <w:r>
        <w:rPr>
          <w:rFonts w:ascii="宋体" w:hAnsi="宋体" w:eastAsia="宋体" w:cs="宋体"/>
          <w:b/>
        </w:rPr>
        <w:t>6.4.13 金融工具风险及管理</w:t>
      </w:r>
    </w:p>
    <w:p>
      <w:pPr>
        <w:pStyle w:val="58"/>
      </w:pPr>
      <w:r>
        <w:rPr>
          <w:rFonts w:ascii="宋体" w:hAnsi="宋体" w:eastAsia="宋体" w:cs="宋体"/>
          <w:b/>
        </w:rPr>
        <w:t>6.4.13.1 风险管理政策和组织架构</w:t>
      </w:r>
    </w:p>
    <w:p>
      <w:pPr>
        <w:jc w:val="left"/>
      </w:pPr>
      <w:r>
        <w:rPr>
          <w:rFonts w:ascii="宋体" w:hAnsi="宋体" w:eastAsia="宋体" w:cs="宋体"/>
          <w:b w:val="0"/>
        </w:rPr>
        <w:t xml:space="preserve">    本基金是一只进行主动投资的混合型证券投资基金，预期风险和收益水平高于债券基金及货币市场基金。本基金投资的金融工具主要包括股票投资、债券投资和交易所回购等。本基金在日常投资管理中面临的与这些金融工具相关的风险主要包括信用风险、流动性风险及市场风险。本基金的基金管理人从事风险管理的主要目标是争取将以上风险控制在限定的范围之内，使本基金在风险和收益之间取得最佳的平衡以实现"风险和收益相匹配"的风险收益目标。</w:t>
      </w:r>
      <w:r>
        <w:rPr>
          <w:rFonts w:ascii="宋体" w:hAnsi="宋体" w:eastAsia="宋体" w:cs="宋体"/>
          <w:b w:val="0"/>
        </w:rPr>
        <w:br w:type="textWrapping"/>
      </w:r>
      <w:r>
        <w:rPr>
          <w:rFonts w:ascii="宋体" w:hAnsi="宋体" w:eastAsia="宋体" w:cs="宋体"/>
          <w:b w:val="0"/>
        </w:rPr>
        <w:t xml:space="preserve">    本基金的基金管理人奉行全面风险管理体系的建设，建立了以风险控制委员会为核心的三级风险防控体系。一级风险防范指基金管理人在董事会下设立风险控制委员会，负责制定风险管理的宏观政策，审议通过风险控制的总体措施等。二级风险防范指在公司投资决策委员会和监察稽核部层次对公司的风险进行的预防和控制。公司经理层设投资决策委员会，对涉及基金投资的重大问题进行决策，对基金的总体投资情况提出指导性意见，从而达到分散投资风险，提高基金资产的安全性的目的。监察稽核部在督察长的领导下，独立于公司各业务部门，对各岗位、各部门、各项业务中的风险控制情况实施监督。三级风险防范是公司各部门对自身业务工作中的风险进行的自我检查和控制。</w:t>
      </w:r>
      <w:r>
        <w:rPr>
          <w:rFonts w:ascii="宋体" w:hAnsi="宋体" w:eastAsia="宋体" w:cs="宋体"/>
          <w:b w:val="0"/>
        </w:rPr>
        <w:br w:type="textWrapping"/>
      </w:r>
      <w:r>
        <w:rPr>
          <w:rFonts w:ascii="宋体" w:hAnsi="宋体" w:eastAsia="宋体" w:cs="宋体"/>
          <w:b w:val="0"/>
        </w:rPr>
        <w:t xml:space="preserve">    本基金的基金管理人对于金融工具的风险管理方法主要是通过定性分析和定量分析的方法去估测各种风险产生的可能损失。从定性分析的角度出发，判断风险损失的严重程度和出现同类风险损失的频度。而从定量分析的角度出发，根据本基金的投资目标，结合基金资产所运用金融工具特征，及时可靠地对各种风险进行监督、检查和评估，并通过相应决策，将风险控制在可承受的范围内。</w:t>
      </w:r>
    </w:p>
    <w:p/>
    <w:p>
      <w:pPr>
        <w:pStyle w:val="58"/>
      </w:pPr>
      <w:r>
        <w:rPr>
          <w:rFonts w:ascii="宋体" w:hAnsi="宋体" w:eastAsia="宋体" w:cs="宋体"/>
          <w:b/>
        </w:rPr>
        <w:t>6.4.13.2 信用风险</w:t>
      </w:r>
    </w:p>
    <w:p>
      <w:r>
        <w:rPr>
          <w:rFonts w:ascii="宋体" w:hAnsi="宋体" w:eastAsia="宋体" w:cs="宋体"/>
          <w:b w:val="0"/>
        </w:rPr>
        <w:t xml:space="preserve">    信用风险是指基金在交易过程中因交易对手未履行合约责任，或者基金所投资证券之发行人出现违约、拒绝支付到期本息等情况，导致基金资产损失和收益变化的风险。</w:t>
      </w:r>
      <w:r>
        <w:rPr>
          <w:rFonts w:ascii="宋体" w:hAnsi="宋体" w:eastAsia="宋体" w:cs="宋体"/>
          <w:b w:val="0"/>
        </w:rPr>
        <w:br w:type="textWrapping"/>
      </w:r>
      <w:r>
        <w:rPr>
          <w:rFonts w:ascii="宋体" w:hAnsi="宋体" w:eastAsia="宋体" w:cs="宋体"/>
          <w:b w:val="0"/>
        </w:rPr>
        <w:t xml:space="preserve">    本基金的基金管理人在交易前对交易对手的资信状况进行了充分的评估。本基金的活期银行存款存放在本基金的托管人开立的托管账户或其他大中型商业银行开立的存款账户，因而与银行存款相关的信用风险不重大。本基金在交易所进行的交易均以中国证券登记结算有限责任公司为交易对手完成证券交收和款项清算，违约风险可能性很小。本基金在交易所进行交易前均对交易对手进行信用评估并对证券交割方式进行限制以控制相应的信用风险。本基金目前暂未开展银行间同业市场业务，无此类信用风险。</w:t>
      </w:r>
      <w:r>
        <w:rPr>
          <w:rFonts w:ascii="宋体" w:hAnsi="宋体" w:eastAsia="宋体" w:cs="宋体"/>
          <w:b w:val="0"/>
        </w:rPr>
        <w:br w:type="textWrapping"/>
      </w:r>
      <w:r>
        <w:rPr>
          <w:rFonts w:ascii="宋体" w:hAnsi="宋体" w:eastAsia="宋体" w:cs="宋体"/>
          <w:b w:val="0"/>
        </w:rPr>
        <w:t xml:space="preserve">    本基金的基金管理人建立了信用风险管理流程，通过对投资品种信用等级设置投资最低条件来控制证券发行人的信用风险。信用评估包括公司内部信用评级和外部信用评级。内部债券信用评估主要考察发行人的经营风险、财务风险和流动性风险，以及信用产品的条款和担保人的情况等。此外，本基金的基金管理人根据信用产品的评估结果，对单只信用产品投资占基金资产净值的比例及占发行量的比例进行控制，通过分散化投资以分散信用风险。</w:t>
      </w:r>
      <w:r>
        <w:rPr>
          <w:rFonts w:ascii="宋体" w:hAnsi="宋体" w:eastAsia="宋体" w:cs="宋体"/>
          <w:b w:val="0"/>
        </w:rPr>
        <w:br w:type="textWrapping"/>
      </w:r>
      <w:r>
        <w:rPr>
          <w:rFonts w:ascii="宋体" w:hAnsi="宋体" w:eastAsia="宋体" w:cs="宋体"/>
          <w:b w:val="0"/>
        </w:rPr>
        <w:t xml:space="preserve">    于2026年06月30日，本基金未持有除国债、央行票据和政策性金融债以外的债券。</w:t>
      </w:r>
    </w:p>
    <w:p/>
    <w:p>
      <w:pPr>
        <w:pStyle w:val="58"/>
      </w:pPr>
      <w:r>
        <w:rPr>
          <w:rFonts w:ascii="宋体" w:hAnsi="宋体" w:eastAsia="宋体" w:cs="宋体"/>
          <w:b/>
        </w:rPr>
        <w:t>6.4.13.3 流动性风险</w:t>
      </w:r>
    </w:p>
    <w:p>
      <w:pPr>
        <w:jc w:val="left"/>
      </w:pPr>
      <w:r>
        <w:rPr>
          <w:rFonts w:ascii="宋体" w:hAnsi="宋体" w:eastAsia="宋体" w:cs="宋体"/>
          <w:b w:val="0"/>
        </w:rPr>
        <w:t xml:space="preserve">    流动性风险是指基金在履行与金融负债有关的义务时遇到资金短缺的风险。本基金的流动性风险一方面来自于基金份额持有人可随时要求赎回其持有的基金份额，另一方面来自于投资品种所处的交易市场不活跃而带来的变现困难或因投资集中而无法在市场出现剧烈波动的情况下以合理的价格变现。</w:t>
      </w:r>
      <w:r>
        <w:rPr>
          <w:rFonts w:ascii="宋体" w:hAnsi="宋体" w:eastAsia="宋体" w:cs="宋体"/>
          <w:b w:val="0"/>
        </w:rPr>
        <w:br w:type="textWrapping"/>
      </w:r>
      <w:r>
        <w:rPr>
          <w:rFonts w:ascii="宋体" w:hAnsi="宋体" w:eastAsia="宋体" w:cs="宋体"/>
          <w:b w:val="0"/>
        </w:rPr>
        <w:t xml:space="preserve">    针对兑付赎回资金的流动性风险，本基金的基金管理人每日对本基金的申购赎回情况进行严密监控并预测流动性需求，保持基金投资组合中的可用现金头寸与之相匹配。本基金的基金管理人在基金合同中设计了巨额赎回条款，约定在非常情况下赎回申请的处理方式，控制因开放申购赎回模式带来的流动性风险，有效保障基金持有人利益。</w:t>
      </w:r>
      <w:r>
        <w:rPr>
          <w:rFonts w:ascii="宋体" w:hAnsi="宋体" w:eastAsia="宋体" w:cs="宋体"/>
          <w:b w:val="0"/>
        </w:rPr>
        <w:br w:type="textWrapping"/>
      </w:r>
      <w:r>
        <w:rPr>
          <w:rFonts w:ascii="宋体" w:hAnsi="宋体" w:eastAsia="宋体" w:cs="宋体"/>
          <w:b w:val="0"/>
        </w:rPr>
        <w:t xml:space="preserve">    针对投资品种变现的流动性风险，本基金采用分散投资、控制流通受限证券比例等方式防范流动性风险，同时公司已经建立全覆盖、多维度以压力测试为核心的开放式基金流动性风险监测与预警制度，监察稽核部独立于投资部门负责流动性压力测试的实施与评估。</w:t>
      </w:r>
      <w:r>
        <w:rPr>
          <w:rFonts w:ascii="宋体" w:hAnsi="宋体" w:eastAsia="宋体" w:cs="宋体"/>
          <w:b w:val="0"/>
        </w:rPr>
        <w:br w:type="textWrapping"/>
      </w:r>
      <w:r>
        <w:rPr>
          <w:rFonts w:ascii="宋体" w:hAnsi="宋体" w:eastAsia="宋体" w:cs="宋体"/>
          <w:b w:val="0"/>
        </w:rPr>
        <w:t xml:space="preserve">    于2026年06月30日，本基金所承担的全部金融负债的合约约定到期日均为一个月以内且不计息，可赎回基金份额净值(净资产)无固定到期日且不计息，因此账面余额即为未折现的合约到期现金流量。</w:t>
      </w:r>
    </w:p>
    <w:p/>
    <w:p>
      <w:pPr>
        <w:pStyle w:val="58"/>
      </w:pPr>
      <w:r>
        <w:rPr>
          <w:rFonts w:ascii="宋体" w:hAnsi="宋体" w:eastAsia="宋体" w:cs="宋体"/>
          <w:b/>
        </w:rPr>
        <w:t>6.4.13.3.1 报告期内本基金组合资产的流动性风险分析</w:t>
      </w:r>
    </w:p>
    <w:p>
      <w:pPr>
        <w:jc w:val="left"/>
      </w:pPr>
      <w:r>
        <w:rPr>
          <w:rFonts w:ascii="宋体" w:hAnsi="宋体" w:eastAsia="宋体" w:cs="宋体"/>
          <w:b w:val="0"/>
        </w:rPr>
        <w:t xml:space="preserve">    本基金的基金管理人在基金运作过程中严格按照《公开募集证券投资基金运作管理办法》及《公开募集开放式证券投资基金流动性风险管理规定》等法规的要求对本基金组合资产的流动性风险进行管理，通过监察稽核部对本基金的组合持仓集中度指标、流通受限制的投资品种比例以及组合在短时间内变现能力的综合指标等流动性指标进行持续的监测和分析。</w:t>
      </w:r>
      <w:r>
        <w:rPr>
          <w:rFonts w:ascii="宋体" w:hAnsi="宋体" w:eastAsia="宋体" w:cs="宋体"/>
          <w:b w:val="0"/>
        </w:rPr>
        <w:br w:type="textWrapping"/>
      </w:r>
      <w:r>
        <w:rPr>
          <w:rFonts w:ascii="宋体" w:hAnsi="宋体" w:eastAsia="宋体" w:cs="宋体"/>
          <w:b w:val="0"/>
        </w:rPr>
        <w:t xml:space="preserve">    本基金投资于一家公司发行的证券市值不超过基金资产净值的10%，且本基金与由本基金的基金管理人管理的其他基金共同持有一家公司发行的证券不得超过该证券的10%，本基金与由本基金的基金管理人管理的其他开放式基金共同持有一家上市公司发行的可流通股票不得超过该上市公司可流通股票的15%，本基金与由本基金的基金管理人管理的全部投资组合持有一家上市公司发行的可流通股票，不得超过该上市公司可流通股票的30%(完全按照有关指数构成比例进行证券投资的开放式基金及中国证监会认定的特殊投资组合不受上述比例限制)。</w:t>
      </w:r>
      <w:r>
        <w:rPr>
          <w:rFonts w:ascii="宋体" w:hAnsi="宋体" w:eastAsia="宋体" w:cs="宋体"/>
          <w:b w:val="0"/>
        </w:rPr>
        <w:br w:type="textWrapping"/>
      </w:r>
      <w:r>
        <w:rPr>
          <w:rFonts w:ascii="宋体" w:hAnsi="宋体" w:eastAsia="宋体" w:cs="宋体"/>
          <w:b w:val="0"/>
        </w:rPr>
        <w:t xml:space="preserve">    本基金所持部分证券在证券交易所上市，部分基金资产流通暂时受限制不能自由转让的情况参见附注6.4.12。此外，本基金可通过卖出回购金融资产方式借入短期资金应对流动性需求，其上限一般不超过基金持有的债券投资的公允价值。本基金主动投资于流动性受限资产的市值合计不得超过基金资产净值的15%。 于2026年06月30日，本基金主动投资于流动性受限资产的市值合计未超过基金资产净值的 15%。</w:t>
      </w:r>
      <w:r>
        <w:rPr>
          <w:rFonts w:ascii="宋体" w:hAnsi="宋体" w:eastAsia="宋体" w:cs="宋体"/>
          <w:b w:val="0"/>
        </w:rPr>
        <w:br w:type="textWrapping"/>
      </w:r>
      <w:r>
        <w:rPr>
          <w:rFonts w:ascii="宋体" w:hAnsi="宋体" w:eastAsia="宋体" w:cs="宋体"/>
          <w:b w:val="0"/>
        </w:rPr>
        <w:t xml:space="preserve">    本基金的基金管理人每日对基金组合资产中7个工作日可变现资产的可变现价值进行审慎评估与测算，确保每日确认的净赎回申请不得超过7个工作日可变现资产的可变现价值。于2026年06月30日，本基金确认的净赎回申请未超过7个工作日可变现资产的可变现价值。</w:t>
      </w:r>
      <w:r>
        <w:rPr>
          <w:rFonts w:ascii="宋体" w:hAnsi="宋体" w:eastAsia="宋体" w:cs="宋体"/>
          <w:b w:val="0"/>
        </w:rPr>
        <w:br w:type="textWrapping"/>
      </w:r>
      <w:r>
        <w:rPr>
          <w:rFonts w:ascii="宋体" w:hAnsi="宋体" w:eastAsia="宋体" w:cs="宋体"/>
          <w:b w:val="0"/>
        </w:rPr>
        <w:t xml:space="preserve">    同时，本基金的基金管理人通过合理分散逆回购交易的到期日与交易对手的集中度；按照穿透原则对交易对手的财务状况、偿付能力及杠杆水平等进行必要的尽职调查与严格的准入管理，以及对不同的交易对手实施交易额度管理并进行动态调整等措施严格管理本基金从事逆回购交易的流动性风险和交易对手风险。此外，本基金的基金管理人建立了逆回购交易质押品管理制度：根据质押品的资质确定质押率水平；持续监测质押品的风险状况与价值变动以确保质押品按公允价值计算足额；并在与私募类证券资管产品及中国证监会认定的其他主体为交易对手开展逆回购交易时，可接受质押品的资质要求与基金合同约定的投资范围保持一致。</w:t>
      </w:r>
    </w:p>
    <w:p/>
    <w:p>
      <w:pPr>
        <w:pStyle w:val="58"/>
      </w:pPr>
      <w:r>
        <w:rPr>
          <w:rFonts w:ascii="宋体" w:hAnsi="宋体" w:eastAsia="宋体" w:cs="宋体"/>
          <w:b/>
        </w:rPr>
        <w:t>6.4.13.4 市场风险</w:t>
      </w:r>
    </w:p>
    <w:p>
      <w:pPr>
        <w:jc w:val="left"/>
      </w:pPr>
      <w:r>
        <w:rPr>
          <w:rFonts w:ascii="宋体" w:hAnsi="宋体" w:eastAsia="宋体" w:cs="宋体"/>
          <w:b w:val="0"/>
        </w:rPr>
        <w:t xml:space="preserve">    市场风险是指基金所持金融工具的公允价值或未来现金流量因所处市场各类价格因素的变动而发生波动的风险，包括利率风险、外汇风险和其他价格风险。</w:t>
      </w:r>
    </w:p>
    <w:p/>
    <w:p>
      <w:pPr>
        <w:pStyle w:val="58"/>
      </w:pPr>
      <w:r>
        <w:rPr>
          <w:rFonts w:ascii="宋体" w:hAnsi="宋体" w:eastAsia="宋体" w:cs="宋体"/>
          <w:b/>
        </w:rPr>
        <w:t>6.4.13.4.1 利率风险</w:t>
      </w:r>
    </w:p>
    <w:p>
      <w:pPr>
        <w:jc w:val="left"/>
      </w:pPr>
      <w:r>
        <w:rPr>
          <w:rFonts w:ascii="宋体" w:hAnsi="宋体" w:eastAsia="宋体" w:cs="宋体"/>
          <w:b w:val="0"/>
        </w:rPr>
        <w:t xml:space="preserve">    利率风险是指金融工具的公允价值或未来现金流量受市场利率变动而发生波动的风险。利率敏感性金融工具均面临由于市场利率上升而导致公允价值下降的风险，其中浮动利率类金融工具还面临每个付息期间结束根据市场利率重新定价时对于未来现金流影响的风险。</w:t>
      </w:r>
      <w:r>
        <w:rPr>
          <w:rFonts w:ascii="宋体" w:hAnsi="宋体" w:eastAsia="宋体" w:cs="宋体"/>
          <w:b w:val="0"/>
        </w:rPr>
        <w:br w:type="textWrapping"/>
      </w:r>
      <w:r>
        <w:rPr>
          <w:rFonts w:ascii="宋体" w:hAnsi="宋体" w:eastAsia="宋体" w:cs="宋体"/>
          <w:b w:val="0"/>
        </w:rPr>
        <w:t xml:space="preserve">    本基金的基金管理人定期对本基金面临的利率敏感性缺口进行监控，并通过调整投资组合的久期等方法对上述利率风险进行管理。</w:t>
      </w:r>
      <w:r>
        <w:rPr>
          <w:rFonts w:ascii="宋体" w:hAnsi="宋体" w:eastAsia="宋体" w:cs="宋体"/>
          <w:b w:val="0"/>
        </w:rPr>
        <w:br w:type="textWrapping"/>
      </w:r>
      <w:r>
        <w:rPr>
          <w:rFonts w:ascii="宋体" w:hAnsi="宋体" w:eastAsia="宋体" w:cs="宋体"/>
          <w:b w:val="0"/>
        </w:rPr>
        <w:t xml:space="preserve">    本基金持有及承担的大部分金融资产和金融负债不计息，因此本基金的收入及经营活动的现金流量在很大程度上独立于市场利率变化。本基金持有的利率敏感性资产主要为银行存款和债券投资等。</w:t>
      </w:r>
    </w:p>
    <w:p/>
    <w:p>
      <w:pPr>
        <w:pStyle w:val="58"/>
      </w:pPr>
      <w:r>
        <w:rPr>
          <w:rFonts w:ascii="宋体" w:hAnsi="宋体" w:eastAsia="宋体" w:cs="宋体"/>
          <w:b/>
        </w:rPr>
        <w:t>6.4.13.4.1.1 利率风险敞口</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1"/>
        <w:gridCol w:w="1161"/>
        <w:gridCol w:w="1161"/>
        <w:gridCol w:w="1161"/>
        <w:gridCol w:w="1161"/>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769" w:type="pct"/>
            <w:shd w:val="clear" w:color="auto" w:fill="D9D9D9"/>
            <w:vAlign w:val="center"/>
          </w:tcPr>
          <w:p>
            <w:pPr>
              <w:spacing w:line="240" w:lineRule="auto"/>
              <w:jc w:val="center"/>
            </w:pPr>
            <w:r>
              <w:rPr>
                <w:rFonts w:ascii="宋体" w:hAnsi="宋体" w:eastAsia="宋体" w:cs="宋体"/>
                <w:b w:val="0"/>
              </w:rPr>
              <w:t>1个月以内</w:t>
            </w:r>
          </w:p>
        </w:tc>
        <w:tc>
          <w:tcPr>
            <w:tcW w:w="615" w:type="pct"/>
            <w:shd w:val="clear" w:color="auto" w:fill="D9D9D9"/>
            <w:vAlign w:val="center"/>
          </w:tcPr>
          <w:p>
            <w:pPr>
              <w:spacing w:line="240" w:lineRule="auto"/>
              <w:jc w:val="center"/>
            </w:pPr>
            <w:r>
              <w:rPr>
                <w:rFonts w:ascii="宋体" w:hAnsi="宋体" w:eastAsia="宋体" w:cs="宋体"/>
                <w:b w:val="0"/>
              </w:rPr>
              <w:t>1-3个月</w:t>
            </w:r>
          </w:p>
        </w:tc>
        <w:tc>
          <w:tcPr>
            <w:tcW w:w="769" w:type="pct"/>
            <w:shd w:val="clear" w:color="auto" w:fill="D9D9D9"/>
            <w:vAlign w:val="center"/>
          </w:tcPr>
          <w:p>
            <w:pPr>
              <w:spacing w:line="240" w:lineRule="auto"/>
              <w:jc w:val="center"/>
            </w:pPr>
            <w:r>
              <w:rPr>
                <w:rFonts w:ascii="宋体" w:hAnsi="宋体" w:eastAsia="宋体" w:cs="宋体"/>
                <w:b w:val="0"/>
              </w:rPr>
              <w:t>3个月-1年</w:t>
            </w:r>
          </w:p>
        </w:tc>
        <w:tc>
          <w:tcPr>
            <w:tcW w:w="615" w:type="pct"/>
            <w:shd w:val="clear" w:color="auto" w:fill="D9D9D9"/>
            <w:vAlign w:val="center"/>
          </w:tcPr>
          <w:p>
            <w:pPr>
              <w:spacing w:line="240" w:lineRule="auto"/>
              <w:jc w:val="center"/>
            </w:pPr>
            <w:r>
              <w:rPr>
                <w:rFonts w:ascii="宋体" w:hAnsi="宋体" w:eastAsia="宋体" w:cs="宋体"/>
                <w:b w:val="0"/>
              </w:rPr>
              <w:t>1-5年</w:t>
            </w:r>
          </w:p>
        </w:tc>
        <w:tc>
          <w:tcPr>
            <w:tcW w:w="615" w:type="pct"/>
            <w:shd w:val="clear" w:color="auto" w:fill="D9D9D9"/>
            <w:vAlign w:val="center"/>
          </w:tcPr>
          <w:p>
            <w:pPr>
              <w:spacing w:line="240" w:lineRule="auto"/>
              <w:jc w:val="center"/>
            </w:pPr>
            <w:r>
              <w:rPr>
                <w:rFonts w:ascii="宋体" w:hAnsi="宋体" w:eastAsia="宋体" w:cs="宋体"/>
                <w:b w:val="0"/>
              </w:rPr>
              <w:t>5年以上</w:t>
            </w:r>
          </w:p>
        </w:tc>
        <w:tc>
          <w:tcPr>
            <w:tcW w:w="615" w:type="pct"/>
            <w:shd w:val="clear" w:color="auto" w:fill="D9D9D9"/>
            <w:vAlign w:val="center"/>
          </w:tcPr>
          <w:p>
            <w:pPr>
              <w:spacing w:line="240" w:lineRule="auto"/>
              <w:jc w:val="center"/>
            </w:pPr>
            <w:r>
              <w:rPr>
                <w:rFonts w:ascii="宋体" w:hAnsi="宋体" w:eastAsia="宋体" w:cs="宋体"/>
                <w:b w:val="0"/>
              </w:rPr>
              <w:t>不计息</w:t>
            </w:r>
          </w:p>
        </w:tc>
        <w:tc>
          <w:tcPr>
            <w:tcW w:w="615"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货币资金</w:t>
            </w:r>
          </w:p>
        </w:tc>
        <w:tc>
          <w:tcPr>
            <w:tcW w:w="0" w:type="dxa"/>
            <w:vAlign w:val="center"/>
          </w:tcPr>
          <w:p>
            <w:pPr>
              <w:spacing w:line="240" w:lineRule="auto"/>
              <w:jc w:val="right"/>
            </w:pPr>
            <w:r>
              <w:rPr>
                <w:rFonts w:ascii="宋体" w:hAnsi="宋体" w:eastAsia="宋体" w:cs="宋体"/>
                <w:b w:val="0"/>
              </w:rPr>
              <w:t>22,986,955.80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22,986,955.80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1,229,378,342.88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118,455,645.31</w:t>
            </w:r>
          </w:p>
        </w:tc>
        <w:tc>
          <w:tcPr>
            <w:tcW w:w="0" w:type="dxa"/>
            <w:vAlign w:val="center"/>
          </w:tcPr>
          <w:p>
            <w:pPr>
              <w:spacing w:line="240" w:lineRule="auto"/>
              <w:jc w:val="right"/>
            </w:pPr>
            <w:r>
              <w:rPr>
                <w:rFonts w:ascii="宋体" w:hAnsi="宋体" w:eastAsia="宋体" w:cs="宋体"/>
                <w:b w:val="0"/>
              </w:rPr>
              <w:t>118,455,645.31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资产总计</w:t>
            </w:r>
          </w:p>
        </w:tc>
        <w:tc>
          <w:tcPr>
            <w:tcW w:w="0" w:type="dxa"/>
            <w:vAlign w:val="center"/>
          </w:tcPr>
          <w:p>
            <w:pPr>
              <w:spacing w:line="240" w:lineRule="auto"/>
              <w:jc w:val="right"/>
            </w:pPr>
            <w:r>
              <w:rPr>
                <w:rFonts w:ascii="宋体" w:hAnsi="宋体" w:eastAsia="宋体" w:cs="宋体"/>
                <w:b w:val="0"/>
              </w:rPr>
              <w:t>22,986,955.80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1,294,611,350.65</w:t>
            </w:r>
          </w:p>
        </w:tc>
        <w:tc>
          <w:tcPr>
            <w:tcW w:w="0" w:type="dxa"/>
            <w:vAlign w:val="center"/>
          </w:tcPr>
          <w:p>
            <w:pPr>
              <w:spacing w:line="240" w:lineRule="auto"/>
              <w:jc w:val="right"/>
            </w:pPr>
            <w:r>
              <w:rPr>
                <w:rFonts w:ascii="宋体" w:hAnsi="宋体" w:eastAsia="宋体" w:cs="宋体"/>
                <w:b w:val="0"/>
              </w:rPr>
              <w:t>1,370,820,943.99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应付赎回款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25,463,175.83</w:t>
            </w:r>
          </w:p>
        </w:tc>
        <w:tc>
          <w:tcPr>
            <w:tcW w:w="0" w:type="dxa"/>
            <w:vAlign w:val="center"/>
          </w:tcPr>
          <w:p>
            <w:pPr>
              <w:spacing w:line="240" w:lineRule="auto"/>
              <w:jc w:val="right"/>
            </w:pPr>
            <w:r>
              <w:rPr>
                <w:rFonts w:ascii="宋体" w:hAnsi="宋体" w:eastAsia="宋体" w:cs="宋体"/>
                <w:b w:val="0"/>
              </w:rPr>
              <w:t>25,463,175.83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应付管理人报酬</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417,620.09</w:t>
            </w:r>
          </w:p>
        </w:tc>
        <w:tc>
          <w:tcPr>
            <w:tcW w:w="0" w:type="dxa"/>
            <w:vAlign w:val="center"/>
          </w:tcPr>
          <w:p>
            <w:pPr>
              <w:spacing w:line="240" w:lineRule="auto"/>
              <w:jc w:val="right"/>
            </w:pPr>
            <w:r>
              <w:rPr>
                <w:rFonts w:ascii="宋体" w:hAnsi="宋体" w:eastAsia="宋体" w:cs="宋体"/>
                <w:b w:val="0"/>
              </w:rPr>
              <w:t>417,620.09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应付托管费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69,603.35</w:t>
            </w:r>
          </w:p>
        </w:tc>
        <w:tc>
          <w:tcPr>
            <w:tcW w:w="0" w:type="dxa"/>
            <w:vAlign w:val="center"/>
          </w:tcPr>
          <w:p>
            <w:pPr>
              <w:spacing w:line="240" w:lineRule="auto"/>
              <w:jc w:val="right"/>
            </w:pPr>
            <w:r>
              <w:rPr>
                <w:rFonts w:ascii="宋体" w:hAnsi="宋体" w:eastAsia="宋体" w:cs="宋体"/>
                <w:b w:val="0"/>
              </w:rPr>
              <w:t>69,603.35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应付销售服务费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97,346.24</w:t>
            </w:r>
          </w:p>
        </w:tc>
        <w:tc>
          <w:tcPr>
            <w:tcW w:w="0" w:type="dxa"/>
            <w:vAlign w:val="center"/>
          </w:tcPr>
          <w:p>
            <w:pPr>
              <w:spacing w:line="240" w:lineRule="auto"/>
              <w:jc w:val="right"/>
            </w:pPr>
            <w:r>
              <w:rPr>
                <w:rFonts w:ascii="宋体" w:hAnsi="宋体" w:eastAsia="宋体" w:cs="宋体"/>
                <w:b w:val="0"/>
              </w:rPr>
              <w:t>97,346.24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应交税费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448.43</w:t>
            </w:r>
          </w:p>
        </w:tc>
        <w:tc>
          <w:tcPr>
            <w:tcW w:w="0" w:type="dxa"/>
            <w:vAlign w:val="center"/>
          </w:tcPr>
          <w:p>
            <w:pPr>
              <w:spacing w:line="240" w:lineRule="auto"/>
              <w:jc w:val="right"/>
            </w:pPr>
            <w:r>
              <w:rPr>
                <w:rFonts w:ascii="宋体" w:hAnsi="宋体" w:eastAsia="宋体" w:cs="宋体"/>
                <w:b w:val="0"/>
              </w:rPr>
              <w:t>448.43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其他负债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31,188.99</w:t>
            </w:r>
          </w:p>
        </w:tc>
        <w:tc>
          <w:tcPr>
            <w:tcW w:w="0" w:type="dxa"/>
            <w:vAlign w:val="center"/>
          </w:tcPr>
          <w:p>
            <w:pPr>
              <w:spacing w:line="240" w:lineRule="auto"/>
              <w:jc w:val="right"/>
            </w:pPr>
            <w:r>
              <w:rPr>
                <w:rFonts w:ascii="宋体" w:hAnsi="宋体" w:eastAsia="宋体" w:cs="宋体"/>
                <w:b w:val="0"/>
              </w:rPr>
              <w:t>31,188.99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负债总计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26,079,382.93</w:t>
            </w:r>
          </w:p>
        </w:tc>
        <w:tc>
          <w:tcPr>
            <w:tcW w:w="0" w:type="dxa"/>
            <w:vAlign w:val="center"/>
          </w:tcPr>
          <w:p>
            <w:pPr>
              <w:spacing w:line="240" w:lineRule="auto"/>
              <w:jc w:val="right"/>
            </w:pPr>
            <w:r>
              <w:rPr>
                <w:rFonts w:ascii="宋体" w:hAnsi="宋体" w:eastAsia="宋体" w:cs="宋体"/>
                <w:b w:val="0"/>
              </w:rPr>
              <w:t>26,079,382.93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利率敏感度缺口</w:t>
            </w:r>
          </w:p>
        </w:tc>
        <w:tc>
          <w:tcPr>
            <w:tcW w:w="0" w:type="dxa"/>
            <w:vAlign w:val="center"/>
          </w:tcPr>
          <w:p>
            <w:pPr>
              <w:spacing w:line="240" w:lineRule="auto"/>
              <w:jc w:val="right"/>
            </w:pPr>
            <w:r>
              <w:rPr>
                <w:rFonts w:ascii="宋体" w:hAnsi="宋体" w:eastAsia="宋体" w:cs="宋体"/>
                <w:b w:val="0"/>
              </w:rPr>
              <w:t>22,986,955.80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1,268,531,967.72</w:t>
            </w:r>
          </w:p>
        </w:tc>
        <w:tc>
          <w:tcPr>
            <w:tcW w:w="0" w:type="dxa"/>
            <w:vAlign w:val="center"/>
          </w:tcPr>
          <w:p>
            <w:pPr>
              <w:spacing w:line="240" w:lineRule="auto"/>
              <w:jc w:val="right"/>
            </w:pPr>
            <w:r>
              <w:rPr>
                <w:rFonts w:ascii="宋体" w:hAnsi="宋体" w:eastAsia="宋体" w:cs="宋体"/>
                <w:b w:val="0"/>
              </w:rPr>
              <w:t>1,344,741,561.06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c>
          <w:tcPr>
            <w:tcW w:w="0" w:type="dxa"/>
            <w:shd w:val="clear" w:color="auto" w:fill="D9D9D9"/>
            <w:vAlign w:val="center"/>
          </w:tcPr>
          <w:p>
            <w:pPr>
              <w:spacing w:line="240" w:lineRule="auto"/>
              <w:jc w:val="center"/>
            </w:pPr>
            <w:r>
              <w:rPr>
                <w:rFonts w:ascii="宋体" w:hAnsi="宋体" w:eastAsia="宋体" w:cs="宋体"/>
                <w:b w:val="0"/>
              </w:rPr>
              <w:t>1个月以内</w:t>
            </w:r>
          </w:p>
        </w:tc>
        <w:tc>
          <w:tcPr>
            <w:tcW w:w="0" w:type="dxa"/>
            <w:shd w:val="clear" w:color="auto" w:fill="D9D9D9"/>
            <w:vAlign w:val="center"/>
          </w:tcPr>
          <w:p>
            <w:pPr>
              <w:spacing w:line="240" w:lineRule="auto"/>
              <w:jc w:val="center"/>
            </w:pPr>
            <w:r>
              <w:rPr>
                <w:rFonts w:ascii="宋体" w:hAnsi="宋体" w:eastAsia="宋体" w:cs="宋体"/>
                <w:b w:val="0"/>
              </w:rPr>
              <w:t>1-3个月</w:t>
            </w:r>
          </w:p>
        </w:tc>
        <w:tc>
          <w:tcPr>
            <w:tcW w:w="0" w:type="dxa"/>
            <w:shd w:val="clear" w:color="auto" w:fill="D9D9D9"/>
            <w:vAlign w:val="center"/>
          </w:tcPr>
          <w:p>
            <w:pPr>
              <w:spacing w:line="240" w:lineRule="auto"/>
              <w:jc w:val="center"/>
            </w:pPr>
            <w:r>
              <w:rPr>
                <w:rFonts w:ascii="宋体" w:hAnsi="宋体" w:eastAsia="宋体" w:cs="宋体"/>
                <w:b w:val="0"/>
              </w:rPr>
              <w:t>3个月-1年</w:t>
            </w:r>
          </w:p>
        </w:tc>
        <w:tc>
          <w:tcPr>
            <w:tcW w:w="0" w:type="dxa"/>
            <w:shd w:val="clear" w:color="auto" w:fill="D9D9D9"/>
            <w:vAlign w:val="center"/>
          </w:tcPr>
          <w:p>
            <w:pPr>
              <w:spacing w:line="240" w:lineRule="auto"/>
              <w:jc w:val="center"/>
            </w:pPr>
            <w:r>
              <w:rPr>
                <w:rFonts w:ascii="宋体" w:hAnsi="宋体" w:eastAsia="宋体" w:cs="宋体"/>
                <w:b w:val="0"/>
              </w:rPr>
              <w:t>1-5年</w:t>
            </w:r>
          </w:p>
        </w:tc>
        <w:tc>
          <w:tcPr>
            <w:tcW w:w="0" w:type="dxa"/>
            <w:shd w:val="clear" w:color="auto" w:fill="D9D9D9"/>
            <w:vAlign w:val="center"/>
          </w:tcPr>
          <w:p>
            <w:pPr>
              <w:spacing w:line="240" w:lineRule="auto"/>
              <w:jc w:val="center"/>
            </w:pPr>
            <w:r>
              <w:rPr>
                <w:rFonts w:ascii="宋体" w:hAnsi="宋体" w:eastAsia="宋体" w:cs="宋体"/>
                <w:b w:val="0"/>
              </w:rPr>
              <w:t>5年以上</w:t>
            </w:r>
          </w:p>
        </w:tc>
        <w:tc>
          <w:tcPr>
            <w:tcW w:w="0" w:type="dxa"/>
            <w:shd w:val="clear" w:color="auto" w:fill="D9D9D9"/>
            <w:vAlign w:val="center"/>
          </w:tcPr>
          <w:p>
            <w:pPr>
              <w:spacing w:line="240" w:lineRule="auto"/>
              <w:jc w:val="center"/>
            </w:pPr>
            <w:r>
              <w:rPr>
                <w:rFonts w:ascii="宋体" w:hAnsi="宋体" w:eastAsia="宋体" w:cs="宋体"/>
                <w:b w:val="0"/>
              </w:rPr>
              <w:t>不计息</w:t>
            </w:r>
          </w:p>
        </w:tc>
        <w:tc>
          <w:tcPr>
            <w:tcW w:w="0" w:type="dxa"/>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货币资金</w:t>
            </w:r>
          </w:p>
        </w:tc>
        <w:tc>
          <w:tcPr>
            <w:tcW w:w="0" w:type="dxa"/>
            <w:vAlign w:val="center"/>
          </w:tcPr>
          <w:p>
            <w:pPr>
              <w:spacing w:line="240" w:lineRule="auto"/>
              <w:jc w:val="right"/>
            </w:pPr>
            <w:r>
              <w:rPr>
                <w:rFonts w:ascii="宋体" w:hAnsi="宋体" w:eastAsia="宋体" w:cs="宋体"/>
                <w:b w:val="0"/>
              </w:rPr>
              <w:t>1,491,107.08</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1,491,107.08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1,509,045.21</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26,395,277.00</w:t>
            </w:r>
          </w:p>
        </w:tc>
        <w:tc>
          <w:tcPr>
            <w:tcW w:w="0" w:type="dxa"/>
            <w:vAlign w:val="center"/>
          </w:tcPr>
          <w:p>
            <w:pPr>
              <w:spacing w:line="240" w:lineRule="auto"/>
              <w:jc w:val="right"/>
            </w:pPr>
            <w:r>
              <w:rPr>
                <w:rFonts w:ascii="宋体" w:hAnsi="宋体" w:eastAsia="宋体" w:cs="宋体"/>
                <w:b w:val="0"/>
              </w:rPr>
              <w:t>27,904,322.21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213,829.32</w:t>
            </w:r>
          </w:p>
        </w:tc>
        <w:tc>
          <w:tcPr>
            <w:tcW w:w="0" w:type="dxa"/>
            <w:vAlign w:val="center"/>
          </w:tcPr>
          <w:p>
            <w:pPr>
              <w:spacing w:line="240" w:lineRule="auto"/>
              <w:jc w:val="right"/>
            </w:pPr>
            <w:r>
              <w:rPr>
                <w:rFonts w:ascii="宋体" w:hAnsi="宋体" w:eastAsia="宋体" w:cs="宋体"/>
                <w:b w:val="0"/>
              </w:rPr>
              <w:t>213,829.32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资产总计</w:t>
            </w:r>
          </w:p>
        </w:tc>
        <w:tc>
          <w:tcPr>
            <w:tcW w:w="0" w:type="dxa"/>
            <w:vAlign w:val="center"/>
          </w:tcPr>
          <w:p>
            <w:pPr>
              <w:spacing w:line="240" w:lineRule="auto"/>
              <w:jc w:val="right"/>
            </w:pPr>
            <w:r>
              <w:rPr>
                <w:rFonts w:ascii="宋体" w:hAnsi="宋体" w:eastAsia="宋体" w:cs="宋体"/>
                <w:b w:val="0"/>
              </w:rPr>
              <w:t>1,491,107.08</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1,509,045.21</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26,609,106.32</w:t>
            </w:r>
          </w:p>
        </w:tc>
        <w:tc>
          <w:tcPr>
            <w:tcW w:w="0" w:type="dxa"/>
            <w:vAlign w:val="center"/>
          </w:tcPr>
          <w:p>
            <w:pPr>
              <w:spacing w:line="240" w:lineRule="auto"/>
              <w:jc w:val="right"/>
            </w:pPr>
            <w:r>
              <w:rPr>
                <w:rFonts w:ascii="宋体" w:hAnsi="宋体" w:eastAsia="宋体" w:cs="宋体"/>
                <w:b w:val="0"/>
              </w:rPr>
              <w:t>29,609,258.61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应付赎回款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1,392,214.87</w:t>
            </w:r>
          </w:p>
        </w:tc>
        <w:tc>
          <w:tcPr>
            <w:tcW w:w="0" w:type="dxa"/>
            <w:vAlign w:val="center"/>
          </w:tcPr>
          <w:p>
            <w:pPr>
              <w:spacing w:line="240" w:lineRule="auto"/>
              <w:jc w:val="right"/>
            </w:pPr>
            <w:r>
              <w:rPr>
                <w:rFonts w:ascii="宋体" w:hAnsi="宋体" w:eastAsia="宋体" w:cs="宋体"/>
                <w:b w:val="0"/>
              </w:rPr>
              <w:t>1,392,214.87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应付管理人报酬</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32,109.93</w:t>
            </w:r>
          </w:p>
        </w:tc>
        <w:tc>
          <w:tcPr>
            <w:tcW w:w="0" w:type="dxa"/>
            <w:vAlign w:val="center"/>
          </w:tcPr>
          <w:p>
            <w:pPr>
              <w:spacing w:line="240" w:lineRule="auto"/>
              <w:jc w:val="right"/>
            </w:pPr>
            <w:r>
              <w:rPr>
                <w:rFonts w:ascii="宋体" w:hAnsi="宋体" w:eastAsia="宋体" w:cs="宋体"/>
                <w:b w:val="0"/>
              </w:rPr>
              <w:t>32,109.93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应付托管费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5,351.64</w:t>
            </w:r>
          </w:p>
        </w:tc>
        <w:tc>
          <w:tcPr>
            <w:tcW w:w="0" w:type="dxa"/>
            <w:vAlign w:val="center"/>
          </w:tcPr>
          <w:p>
            <w:pPr>
              <w:spacing w:line="240" w:lineRule="auto"/>
              <w:jc w:val="right"/>
            </w:pPr>
            <w:r>
              <w:rPr>
                <w:rFonts w:ascii="宋体" w:hAnsi="宋体" w:eastAsia="宋体" w:cs="宋体"/>
                <w:b w:val="0"/>
              </w:rPr>
              <w:t>5,351.64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应付销售服务费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3,345.40</w:t>
            </w:r>
          </w:p>
        </w:tc>
        <w:tc>
          <w:tcPr>
            <w:tcW w:w="0" w:type="dxa"/>
            <w:vAlign w:val="center"/>
          </w:tcPr>
          <w:p>
            <w:pPr>
              <w:spacing w:line="240" w:lineRule="auto"/>
              <w:jc w:val="right"/>
            </w:pPr>
            <w:r>
              <w:rPr>
                <w:rFonts w:ascii="宋体" w:hAnsi="宋体" w:eastAsia="宋体" w:cs="宋体"/>
                <w:b w:val="0"/>
              </w:rPr>
              <w:t>3,345.40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应交税费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1.48</w:t>
            </w:r>
          </w:p>
        </w:tc>
        <w:tc>
          <w:tcPr>
            <w:tcW w:w="0" w:type="dxa"/>
            <w:vAlign w:val="center"/>
          </w:tcPr>
          <w:p>
            <w:pPr>
              <w:spacing w:line="240" w:lineRule="auto"/>
              <w:jc w:val="right"/>
            </w:pPr>
            <w:r>
              <w:rPr>
                <w:rFonts w:ascii="宋体" w:hAnsi="宋体" w:eastAsia="宋体" w:cs="宋体"/>
                <w:b w:val="0"/>
              </w:rPr>
              <w:t>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其他负债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6,046.57</w:t>
            </w:r>
          </w:p>
        </w:tc>
        <w:tc>
          <w:tcPr>
            <w:tcW w:w="0" w:type="dxa"/>
            <w:vAlign w:val="center"/>
          </w:tcPr>
          <w:p>
            <w:pPr>
              <w:spacing w:line="240" w:lineRule="auto"/>
              <w:jc w:val="right"/>
            </w:pPr>
            <w:r>
              <w:rPr>
                <w:rFonts w:ascii="宋体" w:hAnsi="宋体" w:eastAsia="宋体" w:cs="宋体"/>
                <w:b w:val="0"/>
              </w:rPr>
              <w:t>6,046.57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负债总计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1,439,069.89</w:t>
            </w:r>
          </w:p>
        </w:tc>
        <w:tc>
          <w:tcPr>
            <w:tcW w:w="0" w:type="dxa"/>
            <w:vAlign w:val="center"/>
          </w:tcPr>
          <w:p>
            <w:pPr>
              <w:spacing w:line="240" w:lineRule="auto"/>
              <w:jc w:val="right"/>
            </w:pPr>
            <w:r>
              <w:rPr>
                <w:rFonts w:ascii="宋体" w:hAnsi="宋体" w:eastAsia="宋体" w:cs="宋体"/>
                <w:b w:val="0"/>
              </w:rPr>
              <w:t>1,439,069.89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利率敏感度缺口</w:t>
            </w:r>
          </w:p>
        </w:tc>
        <w:tc>
          <w:tcPr>
            <w:tcW w:w="0" w:type="dxa"/>
            <w:vAlign w:val="center"/>
          </w:tcPr>
          <w:p>
            <w:pPr>
              <w:spacing w:line="240" w:lineRule="auto"/>
              <w:jc w:val="right"/>
            </w:pPr>
            <w:r>
              <w:rPr>
                <w:rFonts w:ascii="宋体" w:hAnsi="宋体" w:eastAsia="宋体" w:cs="宋体"/>
                <w:b w:val="0"/>
              </w:rPr>
              <w:t>1,491,107.08</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1,509,045.21</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25,170,036.43</w:t>
            </w:r>
          </w:p>
        </w:tc>
        <w:tc>
          <w:tcPr>
            <w:tcW w:w="0" w:type="dxa"/>
            <w:vAlign w:val="center"/>
          </w:tcPr>
          <w:p>
            <w:pPr>
              <w:spacing w:line="240" w:lineRule="auto"/>
              <w:jc w:val="right"/>
            </w:pPr>
            <w:r>
              <w:rPr>
                <w:rFonts w:ascii="宋体" w:hAnsi="宋体" w:eastAsia="宋体" w:cs="宋体"/>
                <w:b w:val="0"/>
              </w:rPr>
              <w:t>28,170,188.72</w:t>
            </w:r>
          </w:p>
        </w:tc>
      </w:tr>
    </w:tbl>
    <w:p>
      <w:r>
        <w:rPr>
          <w:rFonts w:ascii="宋体" w:hAnsi="宋体" w:eastAsia="宋体" w:cs="宋体"/>
          <w:b w:val="0"/>
        </w:rPr>
        <w:t>注：表中所示为本基金资产及负债的账面价值，并按照合约规定的利率重新定价日或到期日孰早者予以分类。</w:t>
      </w:r>
    </w:p>
    <w:p/>
    <w:p>
      <w:pPr>
        <w:pStyle w:val="58"/>
      </w:pPr>
      <w:r>
        <w:rPr>
          <w:rFonts w:ascii="宋体" w:hAnsi="宋体" w:eastAsia="宋体" w:cs="宋体"/>
          <w:b/>
        </w:rPr>
        <w:t>6.4.13.4.1.2 利率风险的敏感性分析</w:t>
      </w:r>
    </w:p>
    <w:p>
      <w:r>
        <w:rPr>
          <w:rFonts w:ascii="宋体" w:hAnsi="宋体" w:eastAsia="宋体" w:cs="宋体"/>
          <w:b w:val="0"/>
        </w:rPr>
        <w:t xml:space="preserve">    于2026年06月30日，本基金持有的交易性债券投资公允价值占基金资产净值的比例为3.96%(2025年12月31日：5.36%），因此市场利率的变动对于本基金净资产无重大影响(2025年12月31日：同)。</w:t>
      </w:r>
    </w:p>
    <w:p/>
    <w:p>
      <w:pPr>
        <w:pStyle w:val="58"/>
      </w:pPr>
      <w:r>
        <w:rPr>
          <w:rFonts w:ascii="宋体" w:hAnsi="宋体" w:eastAsia="宋体" w:cs="宋体"/>
          <w:b/>
        </w:rPr>
        <w:t>6.4.13.4.2 外汇风险</w:t>
      </w:r>
    </w:p>
    <w:p>
      <w:pPr>
        <w:jc w:val="left"/>
      </w:pPr>
      <w:r>
        <w:rPr>
          <w:rFonts w:ascii="宋体" w:hAnsi="宋体" w:eastAsia="宋体" w:cs="宋体"/>
          <w:b w:val="0"/>
        </w:rPr>
        <w:t xml:space="preserve">    外汇风险是指金融工具的公允价值或未来现金流量因外汇汇率变动而发生波动的风险。本基金持有不以记账本位币计价的资产，因此存在相应的外汇风险。本基金管理人每日对本基金的外汇头寸进行监控。</w:t>
      </w:r>
    </w:p>
    <w:p/>
    <w:p>
      <w:pPr>
        <w:pStyle w:val="58"/>
      </w:pPr>
      <w:r>
        <w:rPr>
          <w:rFonts w:ascii="宋体" w:hAnsi="宋体" w:eastAsia="宋体" w:cs="宋体"/>
          <w:b/>
        </w:rPr>
        <w:t>6.4.13.4.2.1 外汇风险敞口</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1547"/>
        <w:gridCol w:w="1547"/>
        <w:gridCol w:w="1547"/>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4"/>
            <w:shd w:val="clear" w:color="auto" w:fill="D9D9D9"/>
            <w:vAlign w:val="center"/>
          </w:tcPr>
          <w:p>
            <w:pPr>
              <w:spacing w:line="240" w:lineRule="auto"/>
              <w:jc w:val="center"/>
            </w:pPr>
            <w:r>
              <w:rPr>
                <w:rFonts w:ascii="宋体" w:hAnsi="宋体" w:eastAsia="宋体" w:cs="宋体"/>
                <w:b w:val="0"/>
              </w:rPr>
              <w:t>本期末2026年06月30日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769" w:type="pct"/>
            <w:shd w:val="clear" w:color="auto" w:fill="D9D9D9"/>
            <w:vAlign w:val="center"/>
          </w:tcPr>
          <w:p>
            <w:pPr>
              <w:spacing w:line="240" w:lineRule="auto"/>
              <w:jc w:val="center"/>
            </w:pPr>
            <w:r>
              <w:rPr>
                <w:rFonts w:ascii="宋体" w:hAnsi="宋体" w:eastAsia="宋体" w:cs="宋体"/>
                <w:b w:val="0"/>
              </w:rPr>
              <w:t>美元折合人民币</w:t>
            </w:r>
          </w:p>
        </w:tc>
        <w:tc>
          <w:tcPr>
            <w:tcW w:w="769" w:type="pct"/>
            <w:shd w:val="clear" w:color="auto" w:fill="D9D9D9"/>
            <w:vAlign w:val="center"/>
          </w:tcPr>
          <w:p>
            <w:pPr>
              <w:spacing w:line="240" w:lineRule="auto"/>
              <w:jc w:val="center"/>
            </w:pPr>
            <w:r>
              <w:rPr>
                <w:rFonts w:ascii="宋体" w:hAnsi="宋体" w:eastAsia="宋体" w:cs="宋体"/>
                <w:b w:val="0"/>
              </w:rPr>
              <w:t>港币折合人民币</w:t>
            </w:r>
          </w:p>
        </w:tc>
        <w:tc>
          <w:tcPr>
            <w:tcW w:w="769" w:type="pct"/>
            <w:shd w:val="clear" w:color="auto" w:fill="D9D9D9"/>
            <w:vAlign w:val="center"/>
          </w:tcPr>
          <w:p>
            <w:pPr>
              <w:spacing w:line="240" w:lineRule="auto"/>
              <w:jc w:val="center"/>
            </w:pPr>
            <w:r>
              <w:rPr>
                <w:rFonts w:ascii="宋体" w:hAnsi="宋体" w:eastAsia="宋体" w:cs="宋体"/>
                <w:b w:val="0"/>
              </w:rPr>
              <w:t>其他币种折合人民币</w:t>
            </w:r>
          </w:p>
        </w:tc>
        <w:tc>
          <w:tcPr>
            <w:tcW w:w="769"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资产负债表外汇风险敞口净额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5,619.52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pPr>
              <w:spacing w:line="240" w:lineRule="auto"/>
              <w:jc w:val="center"/>
            </w:pPr>
            <w:r>
              <w:rPr>
                <w:rFonts w:ascii="宋体" w:hAnsi="宋体" w:eastAsia="宋体" w:cs="宋体"/>
                <w:b w:val="0"/>
              </w:rPr>
              <w:t>项目</w:t>
            </w:r>
          </w:p>
        </w:tc>
        <w:tc>
          <w:tcPr>
            <w:tcW w:w="0" w:type="dxa"/>
            <w:gridSpan w:val="4"/>
            <w:shd w:val="clear" w:color="auto" w:fill="D9D9D9"/>
            <w:vAlign w:val="center"/>
          </w:tcPr>
          <w:p>
            <w:pPr>
              <w:spacing w:line="240" w:lineRule="auto"/>
              <w:jc w:val="center"/>
            </w:pPr>
            <w:r>
              <w:rPr>
                <w:rFonts w:ascii="宋体" w:hAnsi="宋体" w:eastAsia="宋体" w:cs="宋体"/>
                <w:b w:val="0"/>
              </w:rPr>
              <w:t>上年度末2025年12月31日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shd w:val="clear" w:color="auto" w:fill="D9D9D9"/>
            <w:vAlign w:val="center"/>
          </w:tcPr>
          <w:p>
            <w:pPr>
              <w:spacing w:line="240" w:lineRule="auto"/>
              <w:jc w:val="center"/>
            </w:pPr>
            <w:r>
              <w:rPr>
                <w:rFonts w:ascii="宋体" w:hAnsi="宋体" w:eastAsia="宋体" w:cs="宋体"/>
                <w:b w:val="0"/>
              </w:rPr>
              <w:t>美元折合人民币</w:t>
            </w:r>
          </w:p>
        </w:tc>
        <w:tc>
          <w:tcPr>
            <w:tcW w:w="0" w:type="dxa"/>
            <w:shd w:val="clear" w:color="auto" w:fill="D9D9D9"/>
            <w:vAlign w:val="center"/>
          </w:tcPr>
          <w:p>
            <w:pPr>
              <w:spacing w:line="240" w:lineRule="auto"/>
              <w:jc w:val="center"/>
            </w:pPr>
            <w:r>
              <w:rPr>
                <w:rFonts w:ascii="宋体" w:hAnsi="宋体" w:eastAsia="宋体" w:cs="宋体"/>
                <w:b w:val="0"/>
              </w:rPr>
              <w:t>港币折合人民币</w:t>
            </w:r>
          </w:p>
        </w:tc>
        <w:tc>
          <w:tcPr>
            <w:tcW w:w="0" w:type="dxa"/>
            <w:shd w:val="clear" w:color="auto" w:fill="D9D9D9"/>
            <w:vAlign w:val="center"/>
          </w:tcPr>
          <w:p>
            <w:pPr>
              <w:spacing w:line="240" w:lineRule="auto"/>
              <w:jc w:val="center"/>
            </w:pPr>
            <w:r>
              <w:rPr>
                <w:rFonts w:ascii="宋体" w:hAnsi="宋体" w:eastAsia="宋体" w:cs="宋体"/>
                <w:b w:val="0"/>
              </w:rPr>
              <w:t>其他币种折合人民币</w:t>
            </w:r>
          </w:p>
        </w:tc>
        <w:tc>
          <w:tcPr>
            <w:tcW w:w="0" w:type="dxa"/>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资产负债表外汇风险敞口净额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bl>
    <w:p/>
    <w:p>
      <w:pPr>
        <w:pStyle w:val="58"/>
      </w:pPr>
      <w:r>
        <w:rPr>
          <w:rFonts w:ascii="宋体" w:hAnsi="宋体" w:eastAsia="宋体" w:cs="宋体"/>
          <w:b/>
        </w:rPr>
        <w:t>6.4.13.4.2.2 外汇风险的敏感性分析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2322"/>
        <w:gridCol w:w="2708"/>
        <w:gridCol w:w="2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Align w:val="center"/>
          </w:tcPr>
          <w:p>
            <w:pPr>
              <w:spacing w:line="240" w:lineRule="auto"/>
              <w:jc w:val="center"/>
            </w:pPr>
            <w:r>
              <w:rPr>
                <w:rFonts w:ascii="宋体" w:hAnsi="宋体" w:eastAsia="宋体" w:cs="宋体"/>
                <w:b w:val="0"/>
              </w:rPr>
              <w:t>假设</w:t>
            </w:r>
          </w:p>
        </w:tc>
        <w:tc>
          <w:tcPr>
            <w:tcW w:w="3846" w:type="pct"/>
            <w:gridSpan w:val="3"/>
            <w:vAlign w:val="center"/>
          </w:tcPr>
          <w:p>
            <w:pPr>
              <w:spacing w:line="240" w:lineRule="auto"/>
              <w:jc w:val="left"/>
            </w:pPr>
            <w:r>
              <w:rPr>
                <w:rFonts w:ascii="宋体" w:hAnsi="宋体" w:eastAsia="宋体" w:cs="宋体"/>
                <w:b w:val="0"/>
              </w:rPr>
              <w:t>除汇率以外的其他市场变量保持不变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center"/>
            </w:pPr>
            <w:r>
              <w:rPr>
                <w:rFonts w:ascii="宋体" w:hAnsi="宋体" w:eastAsia="宋体" w:cs="宋体"/>
                <w:b w:val="0"/>
              </w:rPr>
              <w:t>分析</w:t>
            </w:r>
          </w:p>
        </w:tc>
        <w:tc>
          <w:tcPr>
            <w:tcW w:w="1154" w:type="pct"/>
            <w:vMerge w:val="restart"/>
            <w:vAlign w:val="center"/>
          </w:tcPr>
          <w:p>
            <w:pPr>
              <w:spacing w:line="240" w:lineRule="auto"/>
              <w:jc w:val="center"/>
            </w:pPr>
            <w:r>
              <w:rPr>
                <w:rFonts w:ascii="宋体" w:hAnsi="宋体" w:eastAsia="宋体" w:cs="宋体"/>
                <w:b w:val="0"/>
              </w:rPr>
              <w:t>相关风险变量的变动</w:t>
            </w:r>
          </w:p>
        </w:tc>
        <w:tc>
          <w:tcPr>
            <w:tcW w:w="2692" w:type="pct"/>
            <w:gridSpan w:val="2"/>
            <w:vAlign w:val="center"/>
          </w:tcPr>
          <w:p>
            <w:pPr>
              <w:spacing w:line="240" w:lineRule="auto"/>
              <w:jc w:val="center"/>
            </w:pPr>
            <w:r>
              <w:rPr>
                <w:rFonts w:ascii="宋体" w:hAnsi="宋体" w:eastAsia="宋体" w:cs="宋体"/>
                <w:b w:val="0"/>
              </w:rPr>
              <w:t>对资产负债表日基金资产净值的影响金额（单位：人民币元）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1346" w:type="pct"/>
            <w:vAlign w:val="center"/>
          </w:tcPr>
          <w:p>
            <w:pPr>
              <w:spacing w:line="240" w:lineRule="auto"/>
              <w:jc w:val="center"/>
            </w:pPr>
            <w:r>
              <w:rPr>
                <w:rFonts w:ascii="宋体" w:hAnsi="宋体" w:eastAsia="宋体" w:cs="宋体"/>
                <w:b w:val="0"/>
              </w:rPr>
              <w:t>本期末2026年06月30日</w:t>
            </w:r>
          </w:p>
        </w:tc>
        <w:tc>
          <w:tcPr>
            <w:tcW w:w="1346" w:type="pct"/>
            <w:vAlign w:val="center"/>
          </w:tcPr>
          <w:p>
            <w:pPr>
              <w:spacing w:line="240" w:lineRule="auto"/>
              <w:jc w:val="center"/>
            </w:pPr>
            <w:r>
              <w:rPr>
                <w:rFonts w:ascii="宋体" w:hAnsi="宋体" w:eastAsia="宋体" w:cs="宋体"/>
                <w:b w:val="0"/>
              </w:rPr>
              <w:t>上年度末2025年12月31日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1. 所有外币相对人民币升值5%</w:t>
            </w:r>
          </w:p>
        </w:tc>
        <w:tc>
          <w:tcPr>
            <w:tcW w:w="0" w:type="dxa"/>
            <w:vAlign w:val="center"/>
          </w:tcPr>
          <w:p>
            <w:pPr>
              <w:spacing w:line="240" w:lineRule="auto"/>
              <w:jc w:val="right"/>
            </w:pPr>
            <w:r>
              <w:rPr>
                <w:rFonts w:ascii="宋体" w:hAnsi="宋体" w:eastAsia="宋体" w:cs="宋体"/>
                <w:b w:val="0"/>
              </w:rPr>
              <w:t>280.98</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2. 所有外币相对人民币贬值5%</w:t>
            </w:r>
          </w:p>
        </w:tc>
        <w:tc>
          <w:tcPr>
            <w:tcW w:w="0" w:type="dxa"/>
            <w:vAlign w:val="center"/>
          </w:tcPr>
          <w:p>
            <w:pPr>
              <w:spacing w:line="240" w:lineRule="auto"/>
              <w:jc w:val="right"/>
            </w:pPr>
            <w:r>
              <w:rPr>
                <w:rFonts w:ascii="宋体" w:hAnsi="宋体" w:eastAsia="宋体" w:cs="宋体"/>
                <w:b w:val="0"/>
              </w:rPr>
              <w:t>-280.98</w:t>
            </w:r>
          </w:p>
        </w:tc>
        <w:tc>
          <w:tcPr>
            <w:tcW w:w="0" w:type="dxa"/>
            <w:vAlign w:val="center"/>
          </w:tcPr>
          <w:p>
            <w:pPr>
              <w:spacing w:line="240" w:lineRule="auto"/>
              <w:jc w:val="right"/>
            </w:pPr>
            <w:r>
              <w:rPr>
                <w:rFonts w:ascii="宋体" w:hAnsi="宋体" w:eastAsia="宋体" w:cs="宋体"/>
                <w:b w:val="0"/>
              </w:rPr>
              <w:t>-</w:t>
            </w:r>
          </w:p>
        </w:tc>
      </w:tr>
    </w:tbl>
    <w:p/>
    <w:p>
      <w:pPr>
        <w:pStyle w:val="58"/>
      </w:pPr>
      <w:r>
        <w:rPr>
          <w:rFonts w:ascii="宋体" w:hAnsi="宋体" w:eastAsia="宋体" w:cs="宋体"/>
          <w:b/>
        </w:rPr>
        <w:t>6.4.13.4.3 其他价格风险</w:t>
      </w:r>
    </w:p>
    <w:p>
      <w:pPr>
        <w:jc w:val="left"/>
      </w:pPr>
      <w:r>
        <w:rPr>
          <w:rFonts w:ascii="宋体" w:hAnsi="宋体" w:eastAsia="宋体" w:cs="宋体"/>
          <w:b w:val="0"/>
        </w:rPr>
        <w:t xml:space="preserve">    其他价格风险是指基金所持金融工具的公允价值或未来现金流量因除市场利率和外汇汇率以外的市场价格因素变动而发生波动的风险。本基金主要投资于证券交易所上市的股票和债券，所面临的其他价格风险来源于单个证券发行主体自身经营情况或特殊事项的影响，也可能来源于证券市场整体波动的影响。</w:t>
      </w:r>
      <w:r>
        <w:rPr>
          <w:rFonts w:ascii="宋体" w:hAnsi="宋体" w:eastAsia="宋体" w:cs="宋体"/>
          <w:b w:val="0"/>
        </w:rPr>
        <w:br w:type="textWrapping"/>
      </w:r>
      <w:r>
        <w:rPr>
          <w:rFonts w:ascii="宋体" w:hAnsi="宋体" w:eastAsia="宋体" w:cs="宋体"/>
          <w:b w:val="0"/>
        </w:rPr>
        <w:t xml:space="preserve">    本基金的基金管理人在构建和管理投资组合的过程中，通过对宏观经济情况及政策的分析，结合证券市场运行情况，做出资产配置及组合构建的决定；通过对单个证券的定性分析及定量分析，选择符合基金合同约定范围的投资品种进行投资。本基金的基金管理人定期结合宏观及微观环境的变化，对投资策略、资产配置、投资组合进行修正，来主动应对可能发生的市场价格风险。</w:t>
      </w:r>
      <w:r>
        <w:rPr>
          <w:rFonts w:ascii="宋体" w:hAnsi="宋体" w:eastAsia="宋体" w:cs="宋体"/>
          <w:b w:val="0"/>
        </w:rPr>
        <w:br w:type="textWrapping"/>
      </w:r>
      <w:r>
        <w:rPr>
          <w:rFonts w:ascii="宋体" w:hAnsi="宋体" w:eastAsia="宋体" w:cs="宋体"/>
          <w:b w:val="0"/>
        </w:rPr>
        <w:t xml:space="preserve">    本基金通过投资组合的分散化降低其他价格风险。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
      <w:pPr>
        <w:pStyle w:val="58"/>
      </w:pPr>
      <w:r>
        <w:rPr>
          <w:rFonts w:ascii="宋体" w:hAnsi="宋体" w:eastAsia="宋体" w:cs="宋体"/>
          <w:b/>
        </w:rPr>
        <w:t>6.4.13.4.3.1 其他价格风险敞口</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1"/>
        <w:gridCol w:w="1896"/>
        <w:gridCol w:w="1524"/>
        <w:gridCol w:w="1581"/>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1538" w:type="pct"/>
            <w:gridSpan w:val="2"/>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公允价值</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c>
          <w:tcPr>
            <w:tcW w:w="615" w:type="pct"/>
            <w:shd w:val="clear" w:color="auto" w:fill="D9D9D9"/>
            <w:vAlign w:val="center"/>
          </w:tcPr>
          <w:p>
            <w:pPr>
              <w:spacing w:line="240" w:lineRule="auto"/>
              <w:jc w:val="center"/>
            </w:pPr>
            <w:r>
              <w:rPr>
                <w:rFonts w:ascii="宋体" w:hAnsi="宋体" w:eastAsia="宋体" w:cs="宋体"/>
                <w:b w:val="0"/>
              </w:rPr>
              <w:t>公允价值</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交易性金融资产－股票投资</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87.46</w:t>
            </w:r>
          </w:p>
        </w:tc>
        <w:tc>
          <w:tcPr>
            <w:tcW w:w="0" w:type="dxa"/>
            <w:vAlign w:val="center"/>
          </w:tcPr>
          <w:p>
            <w:pPr>
              <w:spacing w:line="240" w:lineRule="auto"/>
              <w:jc w:val="right"/>
            </w:pPr>
            <w:r>
              <w:rPr>
                <w:rFonts w:ascii="宋体" w:hAnsi="宋体" w:eastAsia="宋体" w:cs="宋体"/>
                <w:b w:val="0"/>
              </w:rPr>
              <w:t>26,395,277.00</w:t>
            </w:r>
          </w:p>
        </w:tc>
        <w:tc>
          <w:tcPr>
            <w:tcW w:w="0" w:type="dxa"/>
            <w:vAlign w:val="center"/>
          </w:tcPr>
          <w:p>
            <w:pPr>
              <w:spacing w:line="240" w:lineRule="auto"/>
              <w:jc w:val="right"/>
            </w:pPr>
            <w:r>
              <w:rPr>
                <w:rFonts w:ascii="宋体" w:hAnsi="宋体" w:eastAsia="宋体" w:cs="宋体"/>
                <w:b w:val="0"/>
              </w:rPr>
              <w:t>93.70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衍生金融资产－权证投资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87.46</w:t>
            </w:r>
          </w:p>
        </w:tc>
        <w:tc>
          <w:tcPr>
            <w:tcW w:w="0" w:type="dxa"/>
            <w:vAlign w:val="center"/>
          </w:tcPr>
          <w:p>
            <w:pPr>
              <w:spacing w:line="240" w:lineRule="auto"/>
              <w:jc w:val="right"/>
            </w:pPr>
            <w:r>
              <w:rPr>
                <w:rFonts w:ascii="宋体" w:hAnsi="宋体" w:eastAsia="宋体" w:cs="宋体"/>
                <w:b w:val="0"/>
              </w:rPr>
              <w:t>26,395,277.00</w:t>
            </w:r>
          </w:p>
        </w:tc>
        <w:tc>
          <w:tcPr>
            <w:tcW w:w="0" w:type="dxa"/>
            <w:vAlign w:val="center"/>
          </w:tcPr>
          <w:p>
            <w:pPr>
              <w:spacing w:line="240" w:lineRule="auto"/>
              <w:jc w:val="right"/>
            </w:pPr>
            <w:r>
              <w:rPr>
                <w:rFonts w:ascii="宋体" w:hAnsi="宋体" w:eastAsia="宋体" w:cs="宋体"/>
                <w:b w:val="0"/>
              </w:rPr>
              <w:t>93.70</w:t>
            </w:r>
          </w:p>
        </w:tc>
      </w:tr>
    </w:tbl>
    <w:p/>
    <w:p>
      <w:pPr>
        <w:pStyle w:val="58"/>
      </w:pPr>
      <w:r>
        <w:rPr>
          <w:rFonts w:ascii="宋体" w:hAnsi="宋体" w:eastAsia="宋体" w:cs="宋体"/>
          <w:b/>
        </w:rPr>
        <w:t>6.4.13.4.3.2 其他价格风险的敏感性分析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56"/>
        <w:gridCol w:w="2856"/>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240" w:lineRule="auto"/>
              <w:jc w:val="center"/>
            </w:pPr>
            <w:r>
              <w:rPr>
                <w:rFonts w:ascii="宋体" w:hAnsi="宋体" w:eastAsia="宋体" w:cs="宋体"/>
                <w:b w:val="0"/>
              </w:rPr>
              <w:t>假设</w:t>
            </w:r>
          </w:p>
        </w:tc>
        <w:tc>
          <w:tcPr>
            <w:tcW w:w="4615" w:type="pct"/>
            <w:gridSpan w:val="3"/>
            <w:vAlign w:val="center"/>
          </w:tcPr>
          <w:p>
            <w:pPr>
              <w:spacing w:line="240" w:lineRule="auto"/>
              <w:jc w:val="left"/>
            </w:pPr>
            <w:r>
              <w:rPr>
                <w:rFonts w:ascii="宋体" w:hAnsi="宋体" w:eastAsia="宋体" w:cs="宋体"/>
                <w:b w:val="0"/>
              </w:rPr>
              <w:t>除沪深300指数以外的其他市场变量保持不变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center"/>
            </w:pPr>
            <w:r>
              <w:rPr>
                <w:rFonts w:ascii="宋体" w:hAnsi="宋体" w:eastAsia="宋体" w:cs="宋体"/>
                <w:b w:val="0"/>
              </w:rPr>
              <w:t>分析</w:t>
            </w:r>
          </w:p>
        </w:tc>
        <w:tc>
          <w:tcPr>
            <w:tcW w:w="1538" w:type="pct"/>
            <w:vMerge w:val="restart"/>
            <w:vAlign w:val="center"/>
          </w:tcPr>
          <w:p>
            <w:pPr>
              <w:spacing w:line="240" w:lineRule="auto"/>
              <w:jc w:val="center"/>
            </w:pPr>
            <w:r>
              <w:rPr>
                <w:rFonts w:ascii="宋体" w:hAnsi="宋体" w:eastAsia="宋体" w:cs="宋体"/>
                <w:b w:val="0"/>
              </w:rPr>
              <w:t>相关风险变量的变动</w:t>
            </w:r>
          </w:p>
        </w:tc>
        <w:tc>
          <w:tcPr>
            <w:tcW w:w="3077" w:type="pct"/>
            <w:gridSpan w:val="2"/>
            <w:vAlign w:val="center"/>
          </w:tcPr>
          <w:p>
            <w:pPr>
              <w:spacing w:line="240" w:lineRule="auto"/>
              <w:jc w:val="center"/>
            </w:pPr>
            <w:r>
              <w:rPr>
                <w:rFonts w:ascii="宋体" w:hAnsi="宋体" w:eastAsia="宋体" w:cs="宋体"/>
                <w:b w:val="0"/>
              </w:rPr>
              <w:t>对资产负债表日基金资产净值的影响金额</w:t>
            </w:r>
            <w:r>
              <w:br w:type="textWrapping"/>
            </w:r>
            <w:r>
              <w:rPr>
                <w:rFonts w:ascii="宋体" w:hAnsi="宋体" w:eastAsia="宋体" w:cs="宋体"/>
                <w:b w:val="0"/>
              </w:rPr>
              <w:t>（单位：人民币元）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1538" w:type="pct"/>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1.沪深300指数上升5%</w:t>
            </w:r>
          </w:p>
        </w:tc>
        <w:tc>
          <w:tcPr>
            <w:tcW w:w="0" w:type="dxa"/>
            <w:vAlign w:val="center"/>
          </w:tcPr>
          <w:p>
            <w:pPr>
              <w:spacing w:line="240" w:lineRule="auto"/>
              <w:jc w:val="right"/>
            </w:pPr>
            <w:r>
              <w:rPr>
                <w:rFonts w:ascii="宋体" w:hAnsi="宋体" w:eastAsia="宋体" w:cs="宋体"/>
                <w:b w:val="0"/>
              </w:rPr>
              <w:t>119,880,344.73</w:t>
            </w:r>
          </w:p>
        </w:tc>
        <w:tc>
          <w:tcPr>
            <w:tcW w:w="0" w:type="dxa"/>
            <w:vAlign w:val="center"/>
          </w:tcPr>
          <w:p>
            <w:pPr>
              <w:spacing w:line="240" w:lineRule="auto"/>
              <w:jc w:val="right"/>
            </w:pPr>
            <w:r>
              <w:rPr>
                <w:rFonts w:ascii="宋体" w:hAnsi="宋体" w:eastAsia="宋体" w:cs="宋体"/>
                <w:b w:val="0"/>
              </w:rPr>
              <w:t>2,599,607.92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2.沪深300指数下降5%</w:t>
            </w:r>
          </w:p>
        </w:tc>
        <w:tc>
          <w:tcPr>
            <w:tcW w:w="0" w:type="dxa"/>
            <w:vAlign w:val="center"/>
          </w:tcPr>
          <w:p>
            <w:pPr>
              <w:spacing w:line="240" w:lineRule="auto"/>
              <w:jc w:val="right"/>
            </w:pPr>
            <w:r>
              <w:rPr>
                <w:rFonts w:ascii="宋体" w:hAnsi="宋体" w:eastAsia="宋体" w:cs="宋体"/>
                <w:b w:val="0"/>
              </w:rPr>
              <w:t>-119,880,344.73</w:t>
            </w:r>
          </w:p>
        </w:tc>
        <w:tc>
          <w:tcPr>
            <w:tcW w:w="0" w:type="dxa"/>
            <w:vAlign w:val="center"/>
          </w:tcPr>
          <w:p>
            <w:pPr>
              <w:spacing w:line="240" w:lineRule="auto"/>
              <w:jc w:val="right"/>
            </w:pPr>
            <w:r>
              <w:rPr>
                <w:rFonts w:ascii="宋体" w:hAnsi="宋体" w:eastAsia="宋体" w:cs="宋体"/>
                <w:b w:val="0"/>
              </w:rPr>
              <w:t>-2,599,607.92</w:t>
            </w:r>
          </w:p>
        </w:tc>
      </w:tr>
    </w:tbl>
    <w:p/>
    <w:p>
      <w:pPr>
        <w:pStyle w:val="58"/>
      </w:pPr>
      <w:r>
        <w:rPr>
          <w:rFonts w:ascii="宋体" w:hAnsi="宋体" w:eastAsia="宋体" w:cs="宋体"/>
          <w:b/>
        </w:rPr>
        <w:t>6.4.14 公允价值</w:t>
      </w:r>
    </w:p>
    <w:p>
      <w:pPr>
        <w:pStyle w:val="58"/>
      </w:pPr>
      <w:r>
        <w:rPr>
          <w:rFonts w:ascii="宋体" w:hAnsi="宋体" w:eastAsia="宋体" w:cs="宋体"/>
          <w:b/>
        </w:rPr>
        <w:t>6.4.14.1 金融工具公允价值计量的方法</w:t>
      </w:r>
    </w:p>
    <w:p>
      <w:r>
        <w:rPr>
          <w:rFonts w:ascii="宋体" w:hAnsi="宋体" w:eastAsia="宋体" w:cs="宋体"/>
          <w:b w:val="0"/>
        </w:rPr>
        <w:t xml:space="preserve">    公允价值计量结果所属的层次，由对公允价值计量整体而言具有重要意义的输入值所属的最低层次决定：</w:t>
      </w:r>
      <w:r>
        <w:rPr>
          <w:rFonts w:ascii="宋体" w:hAnsi="宋体" w:eastAsia="宋体" w:cs="宋体"/>
          <w:b w:val="0"/>
        </w:rPr>
        <w:br w:type="textWrapping"/>
      </w:r>
      <w:r>
        <w:rPr>
          <w:rFonts w:ascii="宋体" w:hAnsi="宋体" w:eastAsia="宋体" w:cs="宋体"/>
          <w:b w:val="0"/>
        </w:rPr>
        <w:t xml:space="preserve">    第一层次：相同资产或负债在活跃市场上未经调整的报价。</w:t>
      </w:r>
      <w:r>
        <w:rPr>
          <w:rFonts w:ascii="宋体" w:hAnsi="宋体" w:eastAsia="宋体" w:cs="宋体"/>
          <w:b w:val="0"/>
        </w:rPr>
        <w:br w:type="textWrapping"/>
      </w:r>
      <w:r>
        <w:rPr>
          <w:rFonts w:ascii="宋体" w:hAnsi="宋体" w:eastAsia="宋体" w:cs="宋体"/>
          <w:b w:val="0"/>
        </w:rPr>
        <w:t xml:space="preserve">    第二层次：除第一层次输入值外相关资产或负债直接或间接可观察的输入值。</w:t>
      </w:r>
      <w:r>
        <w:rPr>
          <w:rFonts w:ascii="宋体" w:hAnsi="宋体" w:eastAsia="宋体" w:cs="宋体"/>
          <w:b w:val="0"/>
        </w:rPr>
        <w:br w:type="textWrapping"/>
      </w:r>
      <w:r>
        <w:rPr>
          <w:rFonts w:ascii="宋体" w:hAnsi="宋体" w:eastAsia="宋体" w:cs="宋体"/>
          <w:b w:val="0"/>
        </w:rPr>
        <w:t xml:space="preserve">    第三层次：相关资产或负债的不可观察输入值。</w:t>
      </w:r>
    </w:p>
    <w:p/>
    <w:p>
      <w:pPr>
        <w:pStyle w:val="58"/>
      </w:pPr>
      <w:r>
        <w:rPr>
          <w:rFonts w:ascii="宋体" w:hAnsi="宋体" w:eastAsia="宋体" w:cs="宋体"/>
          <w:b/>
        </w:rPr>
        <w:t>6.4.14.2 持续的以公允价值计量的金融工具</w:t>
      </w:r>
    </w:p>
    <w:p>
      <w:pPr>
        <w:pStyle w:val="58"/>
      </w:pPr>
      <w:r>
        <w:rPr>
          <w:rFonts w:ascii="宋体" w:hAnsi="宋体" w:eastAsia="宋体" w:cs="宋体"/>
          <w:b/>
        </w:rPr>
        <w:t>6.4.14.2.1 各层次金融工具的公允价值</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2"/>
        <w:gridCol w:w="2857"/>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shd w:val="clear" w:color="auto" w:fill="D9D9D9"/>
            <w:vAlign w:val="center"/>
          </w:tcPr>
          <w:p>
            <w:pPr>
              <w:spacing w:line="240" w:lineRule="auto"/>
              <w:jc w:val="center"/>
            </w:pPr>
            <w:r>
              <w:rPr>
                <w:rFonts w:ascii="宋体" w:hAnsi="宋体" w:eastAsia="宋体" w:cs="宋体"/>
                <w:b w:val="0"/>
              </w:rPr>
              <w:t>公允价值计量结果所属的层次</w:t>
            </w:r>
          </w:p>
        </w:tc>
        <w:tc>
          <w:tcPr>
            <w:tcW w:w="1538"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第一层次</w:t>
            </w:r>
          </w:p>
        </w:tc>
        <w:tc>
          <w:tcPr>
            <w:tcW w:w="1538" w:type="pct"/>
            <w:vAlign w:val="center"/>
          </w:tcPr>
          <w:p>
            <w:pPr>
              <w:spacing w:line="240" w:lineRule="auto"/>
              <w:jc w:val="right"/>
            </w:pPr>
            <w:r>
              <w:rPr>
                <w:rFonts w:ascii="宋体" w:hAnsi="宋体" w:eastAsia="宋体" w:cs="宋体"/>
                <w:b w:val="0"/>
              </w:rPr>
              <w:t>1,175,959,330.46</w:t>
            </w:r>
          </w:p>
        </w:tc>
        <w:tc>
          <w:tcPr>
            <w:tcW w:w="1538" w:type="pct"/>
            <w:vAlign w:val="center"/>
          </w:tcPr>
          <w:p>
            <w:pPr>
              <w:spacing w:line="240" w:lineRule="auto"/>
              <w:jc w:val="right"/>
            </w:pPr>
            <w:r>
              <w:rPr>
                <w:rFonts w:ascii="宋体" w:hAnsi="宋体" w:eastAsia="宋体" w:cs="宋体"/>
                <w:b w:val="0"/>
              </w:rPr>
              <w:t>26,395,277.00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第二层次</w:t>
            </w:r>
          </w:p>
        </w:tc>
        <w:tc>
          <w:tcPr>
            <w:tcW w:w="1538" w:type="pct"/>
            <w:vAlign w:val="center"/>
          </w:tcPr>
          <w:p>
            <w:pPr>
              <w:spacing w:line="240" w:lineRule="auto"/>
              <w:jc w:val="right"/>
            </w:pPr>
            <w:r>
              <w:rPr>
                <w:rFonts w:ascii="宋体" w:hAnsi="宋体" w:eastAsia="宋体" w:cs="宋体"/>
                <w:b w:val="0"/>
              </w:rPr>
              <w:t>53,317,297.47</w:t>
            </w:r>
          </w:p>
        </w:tc>
        <w:tc>
          <w:tcPr>
            <w:tcW w:w="1538" w:type="pct"/>
            <w:vAlign w:val="center"/>
          </w:tcPr>
          <w:p>
            <w:pPr>
              <w:spacing w:line="240" w:lineRule="auto"/>
              <w:jc w:val="right"/>
            </w:pPr>
            <w:r>
              <w:rPr>
                <w:rFonts w:ascii="宋体" w:hAnsi="宋体" w:eastAsia="宋体" w:cs="宋体"/>
                <w:b w:val="0"/>
              </w:rPr>
              <w:t>1,509,045.21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第三层次</w:t>
            </w:r>
          </w:p>
        </w:tc>
        <w:tc>
          <w:tcPr>
            <w:tcW w:w="1538" w:type="pct"/>
            <w:vAlign w:val="center"/>
          </w:tcPr>
          <w:p>
            <w:pPr>
              <w:spacing w:line="240" w:lineRule="auto"/>
              <w:jc w:val="right"/>
            </w:pPr>
            <w:r>
              <w:rPr>
                <w:rFonts w:ascii="宋体" w:hAnsi="宋体" w:eastAsia="宋体" w:cs="宋体"/>
                <w:b w:val="0"/>
              </w:rPr>
              <w:t>101,714.95</w:t>
            </w:r>
          </w:p>
        </w:tc>
        <w:tc>
          <w:tcPr>
            <w:tcW w:w="1538"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center"/>
            </w:pPr>
            <w:r>
              <w:rPr>
                <w:rFonts w:ascii="宋体" w:hAnsi="宋体" w:eastAsia="宋体" w:cs="宋体"/>
                <w:b w:val="0"/>
              </w:rPr>
              <w:t>合计</w:t>
            </w:r>
          </w:p>
        </w:tc>
        <w:tc>
          <w:tcPr>
            <w:tcW w:w="1538" w:type="pct"/>
            <w:vAlign w:val="center"/>
          </w:tcPr>
          <w:p>
            <w:pPr>
              <w:spacing w:line="240" w:lineRule="auto"/>
              <w:jc w:val="right"/>
            </w:pPr>
            <w:r>
              <w:rPr>
                <w:rFonts w:ascii="宋体" w:hAnsi="宋体" w:eastAsia="宋体" w:cs="宋体"/>
                <w:b w:val="0"/>
              </w:rPr>
              <w:t>1,229,378,342.88</w:t>
            </w:r>
          </w:p>
        </w:tc>
        <w:tc>
          <w:tcPr>
            <w:tcW w:w="1538" w:type="pct"/>
            <w:vAlign w:val="center"/>
          </w:tcPr>
          <w:p>
            <w:pPr>
              <w:spacing w:line="240" w:lineRule="auto"/>
              <w:jc w:val="right"/>
            </w:pPr>
            <w:r>
              <w:rPr>
                <w:rFonts w:ascii="宋体" w:hAnsi="宋体" w:eastAsia="宋体" w:cs="宋体"/>
                <w:b w:val="0"/>
              </w:rPr>
              <w:t>27,904,322.21</w:t>
            </w:r>
          </w:p>
        </w:tc>
      </w:tr>
    </w:tbl>
    <w:p/>
    <w:p>
      <w:pPr>
        <w:pStyle w:val="58"/>
      </w:pPr>
      <w:r>
        <w:rPr>
          <w:rFonts w:ascii="宋体" w:hAnsi="宋体" w:eastAsia="宋体" w:cs="宋体"/>
          <w:b/>
        </w:rPr>
        <w:t>6.4.14.2.2 公允价值所属层次间的重大变动</w:t>
      </w:r>
    </w:p>
    <w:p>
      <w:r>
        <w:rPr>
          <w:rFonts w:ascii="宋体" w:hAnsi="宋体" w:eastAsia="宋体" w:cs="宋体"/>
          <w:b w:val="0"/>
        </w:rPr>
        <w:t xml:space="preserve">    本基金以导致各层次之间转换的事项发生日为确认各层次之间转换的时点。</w:t>
      </w:r>
      <w:r>
        <w:rPr>
          <w:rFonts w:ascii="宋体" w:hAnsi="宋体" w:eastAsia="宋体" w:cs="宋体"/>
          <w:b w:val="0"/>
        </w:rPr>
        <w:br w:type="textWrapping"/>
      </w:r>
      <w:r>
        <w:rPr>
          <w:rFonts w:ascii="宋体" w:hAnsi="宋体" w:eastAsia="宋体" w:cs="宋体"/>
          <w:b w:val="0"/>
        </w:rPr>
        <w:t xml:space="preserve">    对于证券交易所上市的股票和债券，若出现重大事项停牌、交易不活跃(包括涨跌停时的交易不活跃)、或属于非公开发行等情况，本基金不会于停牌日至交易恢复活跃日期间、交易不活跃期间及限售期间将相关股票和债券的公允价值列入第一层次；并根据估值调整中采用的不可观察输入值对于公允价值的影响程度，确定相关股票和债券公允价值应属第二层次还是第三层次。</w:t>
      </w:r>
    </w:p>
    <w:p/>
    <w:p>
      <w:pPr>
        <w:pStyle w:val="58"/>
      </w:pPr>
      <w:r>
        <w:rPr>
          <w:rFonts w:ascii="宋体" w:hAnsi="宋体" w:eastAsia="宋体" w:cs="宋体"/>
          <w:b/>
        </w:rPr>
        <w:t>6.4.14.3 非持续的以公允价值计量的金融工具的说明</w:t>
      </w:r>
    </w:p>
    <w:p>
      <w:r>
        <w:rPr>
          <w:rFonts w:ascii="宋体" w:hAnsi="宋体" w:eastAsia="宋体" w:cs="宋体"/>
          <w:b w:val="0"/>
        </w:rPr>
        <w:t xml:space="preserve">    于2026年06月30日，本基金未持有非持续的以公允价值计量的金融资产。</w:t>
      </w:r>
    </w:p>
    <w:p/>
    <w:p>
      <w:pPr>
        <w:pStyle w:val="58"/>
      </w:pPr>
      <w:r>
        <w:rPr>
          <w:rFonts w:ascii="宋体" w:hAnsi="宋体" w:eastAsia="宋体" w:cs="宋体"/>
          <w:b/>
        </w:rPr>
        <w:t>6.4.14.4 不以公允价值计量的金融工具的相关说明</w:t>
      </w:r>
    </w:p>
    <w:p>
      <w:r>
        <w:rPr>
          <w:rFonts w:ascii="宋体" w:hAnsi="宋体" w:eastAsia="宋体" w:cs="宋体"/>
          <w:b w:val="0"/>
        </w:rPr>
        <w:t xml:space="preserve">    不以公允价值计量的金融资产和负债主要包括应收款项和其他金融负债，其账面价值与公允价值相差很小。</w:t>
      </w:r>
    </w:p>
    <w:p/>
    <w:p>
      <w:pPr>
        <w:pStyle w:val="58"/>
      </w:pPr>
      <w:r>
        <w:rPr>
          <w:rFonts w:ascii="宋体" w:hAnsi="宋体" w:eastAsia="宋体" w:cs="宋体"/>
          <w:b/>
        </w:rPr>
        <w:t>6.4.15 有助于理解和分析会计报表需要说明的其他事项</w:t>
      </w:r>
    </w:p>
    <w:p>
      <w:pPr>
        <w:jc w:val="left"/>
      </w:pPr>
      <w:r>
        <w:rPr>
          <w:rFonts w:ascii="宋体" w:hAnsi="宋体" w:eastAsia="宋体" w:cs="宋体"/>
          <w:b w:val="0"/>
        </w:rPr>
        <w:t xml:space="preserve">    截至资产负债表日本基金无需要说明的其他重要事项。</w:t>
      </w:r>
    </w:p>
    <w:p>
      <w:pPr>
        <w:pStyle w:val="2"/>
        <w:jc w:val="center"/>
      </w:pPr>
      <w:bookmarkStart w:id="32" w:name="_Toc27978"/>
      <w:r>
        <w:rPr>
          <w:rFonts w:ascii="宋体" w:hAnsi="宋体" w:eastAsia="宋体" w:cs="宋体"/>
        </w:rPr>
        <w:t>§7 投资组合报告</w:t>
      </w:r>
      <w:bookmarkEnd w:id="32"/>
    </w:p>
    <w:p>
      <w:pPr>
        <w:pStyle w:val="3"/>
        <w:jc w:val="left"/>
      </w:pPr>
      <w:bookmarkStart w:id="33" w:name="_Toc29308"/>
      <w:r>
        <w:rPr>
          <w:rFonts w:ascii="宋体" w:hAnsi="宋体" w:eastAsia="宋体" w:cs="宋体"/>
        </w:rPr>
        <w:t>7.1 期末基金资产组合情况</w:t>
      </w:r>
      <w:bookmarkEnd w:id="33"/>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3237"/>
        <w:gridCol w:w="1896"/>
        <w:gridCol w:w="3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769" w:type="pct"/>
            <w:shd w:val="clear" w:color="auto" w:fill="D9D9D9"/>
            <w:vAlign w:val="center"/>
          </w:tcPr>
          <w:p>
            <w:pPr>
              <w:spacing w:line="240" w:lineRule="auto"/>
              <w:jc w:val="center"/>
            </w:pPr>
            <w:r>
              <w:rPr>
                <w:rFonts w:ascii="宋体" w:hAnsi="宋体" w:eastAsia="宋体" w:cs="宋体"/>
                <w:b w:val="0"/>
              </w:rPr>
              <w:t>金额</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85.80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1,176,155,705.34</w:t>
            </w:r>
          </w:p>
        </w:tc>
        <w:tc>
          <w:tcPr>
            <w:tcW w:w="0" w:type="dxa"/>
            <w:vAlign w:val="center"/>
          </w:tcPr>
          <w:p>
            <w:pPr>
              <w:spacing w:line="240" w:lineRule="auto"/>
              <w:jc w:val="right"/>
            </w:pPr>
            <w:r>
              <w:rPr>
                <w:rFonts w:ascii="宋体" w:hAnsi="宋体" w:eastAsia="宋体" w:cs="宋体"/>
                <w:b w:val="0"/>
              </w:rPr>
              <w:t>85.80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22,986,955.80</w:t>
            </w:r>
          </w:p>
        </w:tc>
        <w:tc>
          <w:tcPr>
            <w:tcW w:w="0" w:type="dxa"/>
            <w:vAlign w:val="center"/>
          </w:tcPr>
          <w:p>
            <w:pPr>
              <w:spacing w:line="240" w:lineRule="auto"/>
              <w:jc w:val="right"/>
            </w:pPr>
            <w:r>
              <w:rPr>
                <w:rFonts w:ascii="宋体" w:hAnsi="宋体" w:eastAsia="宋体" w:cs="宋体"/>
                <w:b w:val="0"/>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其他各项资产</w:t>
            </w:r>
          </w:p>
        </w:tc>
        <w:tc>
          <w:tcPr>
            <w:tcW w:w="0" w:type="dxa"/>
            <w:vAlign w:val="center"/>
          </w:tcPr>
          <w:p>
            <w:pPr>
              <w:spacing w:line="240" w:lineRule="auto"/>
              <w:jc w:val="right"/>
            </w:pPr>
            <w:r>
              <w:rPr>
                <w:rFonts w:ascii="宋体" w:hAnsi="宋体" w:eastAsia="宋体" w:cs="宋体"/>
                <w:b w:val="0"/>
              </w:rPr>
              <w:t>118,455,645.31</w:t>
            </w:r>
          </w:p>
        </w:tc>
        <w:tc>
          <w:tcPr>
            <w:tcW w:w="0" w:type="dxa"/>
            <w:vAlign w:val="center"/>
          </w:tcPr>
          <w:p>
            <w:pPr>
              <w:spacing w:line="240" w:lineRule="auto"/>
              <w:jc w:val="right"/>
            </w:pPr>
            <w:r>
              <w:rPr>
                <w:rFonts w:ascii="宋体" w:hAnsi="宋体" w:eastAsia="宋体" w:cs="宋体"/>
                <w:b w:val="0"/>
              </w:rPr>
              <w:t>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1,370,820,943.99</w:t>
            </w:r>
          </w:p>
        </w:tc>
        <w:tc>
          <w:tcPr>
            <w:tcW w:w="0" w:type="dxa"/>
            <w:vAlign w:val="center"/>
          </w:tcPr>
          <w:p>
            <w:pPr>
              <w:spacing w:line="240" w:lineRule="auto"/>
              <w:jc w:val="right"/>
            </w:pPr>
            <w:r>
              <w:rPr>
                <w:rFonts w:ascii="宋体" w:hAnsi="宋体" w:eastAsia="宋体" w:cs="宋体"/>
                <w:b w:val="0"/>
              </w:rPr>
              <w:t>100.00</w:t>
            </w:r>
          </w:p>
        </w:tc>
      </w:tr>
    </w:tbl>
    <w:p>
      <w:r>
        <w:rPr>
          <w:rFonts w:ascii="宋体" w:hAnsi="宋体" w:eastAsia="宋体" w:cs="宋体"/>
          <w:b w:val="0"/>
        </w:rPr>
        <w:t>注：报告期末本基金通过港股通交易机制投资的港股公允价值合计5,619.52元，占基金资产净值的比例为0.00%。</w:t>
      </w:r>
    </w:p>
    <w:p/>
    <w:p>
      <w:pPr>
        <w:pStyle w:val="3"/>
        <w:jc w:val="left"/>
      </w:pPr>
      <w:bookmarkStart w:id="34" w:name="_Toc12070"/>
      <w:r>
        <w:rPr>
          <w:rFonts w:ascii="宋体" w:hAnsi="宋体" w:eastAsia="宋体" w:cs="宋体"/>
        </w:rPr>
        <w:t>7.2 报告期末按行业分类的股票投资组合</w:t>
      </w:r>
      <w:bookmarkEnd w:id="34"/>
    </w:p>
    <w:p>
      <w:pPr>
        <w:pStyle w:val="58"/>
      </w:pPr>
      <w:r>
        <w:rPr>
          <w:rFonts w:ascii="宋体" w:hAnsi="宋体" w:eastAsia="宋体" w:cs="宋体"/>
          <w:b/>
        </w:rPr>
        <w:t>7.2.1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714"/>
        <w:gridCol w:w="2856"/>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代码</w:t>
            </w:r>
          </w:p>
        </w:tc>
        <w:tc>
          <w:tcPr>
            <w:tcW w:w="2000"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公允价值（元）</w:t>
            </w:r>
          </w:p>
        </w:tc>
        <w:tc>
          <w:tcPr>
            <w:tcW w:w="1385"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1,087,857,670.14</w:t>
            </w:r>
          </w:p>
        </w:tc>
        <w:tc>
          <w:tcPr>
            <w:tcW w:w="0" w:type="dxa"/>
            <w:vAlign w:val="center"/>
          </w:tcPr>
          <w:p>
            <w:pPr>
              <w:spacing w:line="240" w:lineRule="auto"/>
              <w:jc w:val="right"/>
            </w:pPr>
            <w:r>
              <w:rPr>
                <w:rFonts w:ascii="宋体" w:hAnsi="宋体" w:eastAsia="宋体" w:cs="宋体"/>
                <w:b w:val="0"/>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94,659.93</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85,166,475.75</w:t>
            </w:r>
          </w:p>
        </w:tc>
        <w:tc>
          <w:tcPr>
            <w:tcW w:w="0" w:type="dxa"/>
            <w:vAlign w:val="center"/>
          </w:tcPr>
          <w:p>
            <w:pPr>
              <w:spacing w:line="240" w:lineRule="auto"/>
              <w:jc w:val="right"/>
            </w:pPr>
            <w:r>
              <w:rPr>
                <w:rFonts w:ascii="宋体" w:hAnsi="宋体" w:eastAsia="宋体" w:cs="宋体"/>
                <w:b w:val="0"/>
              </w:rPr>
              <w:t>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3,031,280.00</w:t>
            </w:r>
          </w:p>
        </w:tc>
        <w:tc>
          <w:tcPr>
            <w:tcW w:w="0" w:type="dxa"/>
            <w:vAlign w:val="center"/>
          </w:tcPr>
          <w:p>
            <w:pPr>
              <w:spacing w:line="240" w:lineRule="auto"/>
              <w:jc w:val="right"/>
            </w:pPr>
            <w:r>
              <w:rPr>
                <w:rFonts w:ascii="宋体" w:hAnsi="宋体" w:eastAsia="宋体" w:cs="宋体"/>
                <w:b w:val="0"/>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1,176,150,085.82</w:t>
            </w:r>
          </w:p>
        </w:tc>
        <w:tc>
          <w:tcPr>
            <w:tcW w:w="0" w:type="dxa"/>
            <w:vAlign w:val="center"/>
          </w:tcPr>
          <w:p>
            <w:pPr>
              <w:spacing w:line="240" w:lineRule="auto"/>
              <w:jc w:val="right"/>
            </w:pPr>
            <w:r>
              <w:rPr>
                <w:rFonts w:ascii="宋体" w:hAnsi="宋体" w:eastAsia="宋体" w:cs="宋体"/>
                <w:b w:val="0"/>
              </w:rPr>
              <w:t>87.46</w:t>
            </w:r>
          </w:p>
        </w:tc>
      </w:tr>
    </w:tbl>
    <w:p/>
    <w:p>
      <w:pPr>
        <w:pStyle w:val="58"/>
      </w:pPr>
      <w:r>
        <w:rPr>
          <w:rFonts w:ascii="宋体" w:hAnsi="宋体" w:eastAsia="宋体" w:cs="宋体"/>
          <w:b/>
        </w:rPr>
        <w:t>7.2.2 报告期末按行业分类的港股通投资股票投资组合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公允价值（人民币元）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信息技术</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0.00</w:t>
            </w:r>
          </w:p>
        </w:tc>
      </w:tr>
    </w:tbl>
    <w:p/>
    <w:p>
      <w:pPr>
        <w:pStyle w:val="3"/>
        <w:jc w:val="left"/>
      </w:pPr>
      <w:bookmarkStart w:id="35" w:name="_Toc9238"/>
      <w:r>
        <w:rPr>
          <w:rFonts w:ascii="宋体" w:hAnsi="宋体" w:eastAsia="宋体" w:cs="宋体"/>
        </w:rPr>
        <w:t>7.3 期末按公允价值占基金资产净值比例大小排序的所有股票投资明细</w:t>
      </w:r>
      <w:bookmarkEnd w:id="35"/>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1520"/>
        <w:gridCol w:w="1520"/>
        <w:gridCol w:w="1210"/>
        <w:gridCol w:w="1686"/>
        <w:gridCol w:w="2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300408</w:t>
            </w:r>
          </w:p>
        </w:tc>
        <w:tc>
          <w:tcPr>
            <w:tcW w:w="0" w:type="dxa"/>
            <w:vAlign w:val="center"/>
          </w:tcPr>
          <w:p>
            <w:pPr>
              <w:spacing w:line="240" w:lineRule="auto"/>
              <w:jc w:val="left"/>
            </w:pPr>
            <w:r>
              <w:rPr>
                <w:rFonts w:ascii="宋体" w:hAnsi="宋体" w:eastAsia="宋体" w:cs="宋体"/>
                <w:b w:val="0"/>
              </w:rPr>
              <w:t>三环集团</w:t>
            </w:r>
          </w:p>
        </w:tc>
        <w:tc>
          <w:tcPr>
            <w:tcW w:w="0" w:type="dxa"/>
            <w:vAlign w:val="center"/>
          </w:tcPr>
          <w:p>
            <w:pPr>
              <w:spacing w:line="240" w:lineRule="auto"/>
              <w:jc w:val="right"/>
            </w:pPr>
            <w:r>
              <w:rPr>
                <w:rFonts w:ascii="宋体" w:hAnsi="宋体" w:eastAsia="宋体" w:cs="宋体"/>
                <w:b w:val="0"/>
              </w:rPr>
              <w:t>626,900</w:t>
            </w:r>
          </w:p>
        </w:tc>
        <w:tc>
          <w:tcPr>
            <w:tcW w:w="0" w:type="dxa"/>
            <w:vAlign w:val="center"/>
          </w:tcPr>
          <w:p>
            <w:pPr>
              <w:spacing w:line="240" w:lineRule="auto"/>
              <w:jc w:val="right"/>
            </w:pPr>
            <w:r>
              <w:rPr>
                <w:rFonts w:ascii="宋体" w:hAnsi="宋体" w:eastAsia="宋体" w:cs="宋体"/>
                <w:b w:val="0"/>
              </w:rPr>
              <w:t>104,629,610.00</w:t>
            </w:r>
          </w:p>
        </w:tc>
        <w:tc>
          <w:tcPr>
            <w:tcW w:w="0" w:type="dxa"/>
            <w:vAlign w:val="center"/>
          </w:tcPr>
          <w:p>
            <w:pPr>
              <w:spacing w:line="240" w:lineRule="auto"/>
              <w:jc w:val="right"/>
            </w:pPr>
            <w:r>
              <w:rPr>
                <w:rFonts w:ascii="宋体" w:hAnsi="宋体" w:eastAsia="宋体" w:cs="宋体"/>
                <w:b w:val="0"/>
              </w:rPr>
              <w:t>7.78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300136</w:t>
            </w:r>
          </w:p>
        </w:tc>
        <w:tc>
          <w:tcPr>
            <w:tcW w:w="0" w:type="dxa"/>
            <w:vAlign w:val="center"/>
          </w:tcPr>
          <w:p>
            <w:pPr>
              <w:spacing w:line="240" w:lineRule="auto"/>
              <w:jc w:val="left"/>
            </w:pPr>
            <w:r>
              <w:rPr>
                <w:rFonts w:ascii="宋体" w:hAnsi="宋体" w:eastAsia="宋体" w:cs="宋体"/>
                <w:b w:val="0"/>
              </w:rPr>
              <w:t>信维通信</w:t>
            </w:r>
          </w:p>
        </w:tc>
        <w:tc>
          <w:tcPr>
            <w:tcW w:w="0" w:type="dxa"/>
            <w:vAlign w:val="center"/>
          </w:tcPr>
          <w:p>
            <w:pPr>
              <w:spacing w:line="240" w:lineRule="auto"/>
              <w:jc w:val="right"/>
            </w:pPr>
            <w:r>
              <w:rPr>
                <w:rFonts w:ascii="宋体" w:hAnsi="宋体" w:eastAsia="宋体" w:cs="宋体"/>
                <w:b w:val="0"/>
              </w:rPr>
              <w:t>873,200</w:t>
            </w:r>
          </w:p>
        </w:tc>
        <w:tc>
          <w:tcPr>
            <w:tcW w:w="0" w:type="dxa"/>
            <w:vAlign w:val="center"/>
          </w:tcPr>
          <w:p>
            <w:pPr>
              <w:spacing w:line="240" w:lineRule="auto"/>
              <w:jc w:val="right"/>
            </w:pPr>
            <w:r>
              <w:rPr>
                <w:rFonts w:ascii="宋体" w:hAnsi="宋体" w:eastAsia="宋体" w:cs="宋体"/>
                <w:b w:val="0"/>
              </w:rPr>
              <w:t>104,129,100.00</w:t>
            </w:r>
          </w:p>
        </w:tc>
        <w:tc>
          <w:tcPr>
            <w:tcW w:w="0" w:type="dxa"/>
            <w:vAlign w:val="center"/>
          </w:tcPr>
          <w:p>
            <w:pPr>
              <w:spacing w:line="240" w:lineRule="auto"/>
              <w:jc w:val="right"/>
            </w:pPr>
            <w:r>
              <w:rPr>
                <w:rFonts w:ascii="宋体" w:hAnsi="宋体" w:eastAsia="宋体" w:cs="宋体"/>
                <w:b w:val="0"/>
              </w:rPr>
              <w:t>7.74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605376</w:t>
            </w:r>
          </w:p>
        </w:tc>
        <w:tc>
          <w:tcPr>
            <w:tcW w:w="0" w:type="dxa"/>
            <w:vAlign w:val="center"/>
          </w:tcPr>
          <w:p>
            <w:pPr>
              <w:spacing w:line="240" w:lineRule="auto"/>
              <w:jc w:val="left"/>
            </w:pPr>
            <w:r>
              <w:rPr>
                <w:rFonts w:ascii="宋体" w:hAnsi="宋体" w:eastAsia="宋体" w:cs="宋体"/>
                <w:b w:val="0"/>
              </w:rPr>
              <w:t>博迁新材</w:t>
            </w:r>
          </w:p>
        </w:tc>
        <w:tc>
          <w:tcPr>
            <w:tcW w:w="0" w:type="dxa"/>
            <w:vAlign w:val="center"/>
          </w:tcPr>
          <w:p>
            <w:pPr>
              <w:spacing w:line="240" w:lineRule="auto"/>
              <w:jc w:val="right"/>
            </w:pPr>
            <w:r>
              <w:rPr>
                <w:rFonts w:ascii="宋体" w:hAnsi="宋体" w:eastAsia="宋体" w:cs="宋体"/>
                <w:b w:val="0"/>
              </w:rPr>
              <w:t>373,100</w:t>
            </w:r>
          </w:p>
        </w:tc>
        <w:tc>
          <w:tcPr>
            <w:tcW w:w="0" w:type="dxa"/>
            <w:vAlign w:val="center"/>
          </w:tcPr>
          <w:p>
            <w:pPr>
              <w:spacing w:line="240" w:lineRule="auto"/>
              <w:jc w:val="right"/>
            </w:pPr>
            <w:r>
              <w:rPr>
                <w:rFonts w:ascii="宋体" w:hAnsi="宋体" w:eastAsia="宋体" w:cs="宋体"/>
                <w:b w:val="0"/>
              </w:rPr>
              <w:t>101,222,030.00</w:t>
            </w:r>
          </w:p>
        </w:tc>
        <w:tc>
          <w:tcPr>
            <w:tcW w:w="0" w:type="dxa"/>
            <w:vAlign w:val="center"/>
          </w:tcPr>
          <w:p>
            <w:pPr>
              <w:spacing w:line="240" w:lineRule="auto"/>
              <w:jc w:val="right"/>
            </w:pPr>
            <w:r>
              <w:rPr>
                <w:rFonts w:ascii="宋体" w:hAnsi="宋体" w:eastAsia="宋体" w:cs="宋体"/>
                <w:b w:val="0"/>
              </w:rPr>
              <w:t>7.53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300285</w:t>
            </w:r>
          </w:p>
        </w:tc>
        <w:tc>
          <w:tcPr>
            <w:tcW w:w="0" w:type="dxa"/>
            <w:vAlign w:val="center"/>
          </w:tcPr>
          <w:p>
            <w:pPr>
              <w:spacing w:line="240" w:lineRule="auto"/>
              <w:jc w:val="left"/>
            </w:pPr>
            <w:r>
              <w:rPr>
                <w:rFonts w:ascii="宋体" w:hAnsi="宋体" w:eastAsia="宋体" w:cs="宋体"/>
                <w:b w:val="0"/>
              </w:rPr>
              <w:t>国瓷材料</w:t>
            </w:r>
          </w:p>
        </w:tc>
        <w:tc>
          <w:tcPr>
            <w:tcW w:w="0" w:type="dxa"/>
            <w:vAlign w:val="center"/>
          </w:tcPr>
          <w:p>
            <w:pPr>
              <w:spacing w:line="240" w:lineRule="auto"/>
              <w:jc w:val="right"/>
            </w:pPr>
            <w:r>
              <w:rPr>
                <w:rFonts w:ascii="宋体" w:hAnsi="宋体" w:eastAsia="宋体" w:cs="宋体"/>
                <w:b w:val="0"/>
              </w:rPr>
              <w:t>966,500</w:t>
            </w:r>
          </w:p>
        </w:tc>
        <w:tc>
          <w:tcPr>
            <w:tcW w:w="0" w:type="dxa"/>
            <w:vAlign w:val="center"/>
          </w:tcPr>
          <w:p>
            <w:pPr>
              <w:spacing w:line="240" w:lineRule="auto"/>
              <w:jc w:val="right"/>
            </w:pPr>
            <w:r>
              <w:rPr>
                <w:rFonts w:ascii="宋体" w:hAnsi="宋体" w:eastAsia="宋体" w:cs="宋体"/>
                <w:b w:val="0"/>
              </w:rPr>
              <w:t>99,723,470.00</w:t>
            </w:r>
          </w:p>
        </w:tc>
        <w:tc>
          <w:tcPr>
            <w:tcW w:w="0" w:type="dxa"/>
            <w:vAlign w:val="center"/>
          </w:tcPr>
          <w:p>
            <w:pPr>
              <w:spacing w:line="240" w:lineRule="auto"/>
              <w:jc w:val="right"/>
            </w:pPr>
            <w:r>
              <w:rPr>
                <w:rFonts w:ascii="宋体" w:hAnsi="宋体" w:eastAsia="宋体" w:cs="宋体"/>
                <w:b w:val="0"/>
              </w:rPr>
              <w:t>7.42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300806</w:t>
            </w:r>
          </w:p>
        </w:tc>
        <w:tc>
          <w:tcPr>
            <w:tcW w:w="0" w:type="dxa"/>
            <w:vAlign w:val="center"/>
          </w:tcPr>
          <w:p>
            <w:pPr>
              <w:spacing w:line="240" w:lineRule="auto"/>
              <w:jc w:val="left"/>
            </w:pPr>
            <w:r>
              <w:rPr>
                <w:rFonts w:ascii="宋体" w:hAnsi="宋体" w:eastAsia="宋体" w:cs="宋体"/>
                <w:b w:val="0"/>
              </w:rPr>
              <w:t>斯迪克</w:t>
            </w:r>
          </w:p>
        </w:tc>
        <w:tc>
          <w:tcPr>
            <w:tcW w:w="0" w:type="dxa"/>
            <w:vAlign w:val="center"/>
          </w:tcPr>
          <w:p>
            <w:pPr>
              <w:spacing w:line="240" w:lineRule="auto"/>
              <w:jc w:val="right"/>
            </w:pPr>
            <w:r>
              <w:rPr>
                <w:rFonts w:ascii="宋体" w:hAnsi="宋体" w:eastAsia="宋体" w:cs="宋体"/>
                <w:b w:val="0"/>
              </w:rPr>
              <w:t>837,200</w:t>
            </w:r>
          </w:p>
        </w:tc>
        <w:tc>
          <w:tcPr>
            <w:tcW w:w="0" w:type="dxa"/>
            <w:vAlign w:val="center"/>
          </w:tcPr>
          <w:p>
            <w:pPr>
              <w:spacing w:line="240" w:lineRule="auto"/>
              <w:jc w:val="right"/>
            </w:pPr>
            <w:r>
              <w:rPr>
                <w:rFonts w:ascii="宋体" w:hAnsi="宋体" w:eastAsia="宋体" w:cs="宋体"/>
                <w:b w:val="0"/>
              </w:rPr>
              <w:t>93,766,400.00</w:t>
            </w:r>
          </w:p>
        </w:tc>
        <w:tc>
          <w:tcPr>
            <w:tcW w:w="0" w:type="dxa"/>
            <w:vAlign w:val="center"/>
          </w:tcPr>
          <w:p>
            <w:pPr>
              <w:spacing w:line="240" w:lineRule="auto"/>
              <w:jc w:val="right"/>
            </w:pPr>
            <w:r>
              <w:rPr>
                <w:rFonts w:ascii="宋体" w:hAnsi="宋体" w:eastAsia="宋体" w:cs="宋体"/>
                <w:b w:val="0"/>
              </w:rPr>
              <w:t>6.97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300975</w:t>
            </w:r>
          </w:p>
        </w:tc>
        <w:tc>
          <w:tcPr>
            <w:tcW w:w="0" w:type="dxa"/>
            <w:vAlign w:val="center"/>
          </w:tcPr>
          <w:p>
            <w:pPr>
              <w:spacing w:line="240" w:lineRule="auto"/>
              <w:jc w:val="left"/>
            </w:pPr>
            <w:r>
              <w:rPr>
                <w:rFonts w:ascii="宋体" w:hAnsi="宋体" w:eastAsia="宋体" w:cs="宋体"/>
                <w:b w:val="0"/>
              </w:rPr>
              <w:t>商络电子</w:t>
            </w:r>
          </w:p>
        </w:tc>
        <w:tc>
          <w:tcPr>
            <w:tcW w:w="0" w:type="dxa"/>
            <w:vAlign w:val="center"/>
          </w:tcPr>
          <w:p>
            <w:pPr>
              <w:spacing w:line="240" w:lineRule="auto"/>
              <w:jc w:val="right"/>
            </w:pPr>
            <w:r>
              <w:rPr>
                <w:rFonts w:ascii="宋体" w:hAnsi="宋体" w:eastAsia="宋体" w:cs="宋体"/>
                <w:b w:val="0"/>
              </w:rPr>
              <w:t>1,645,729</w:t>
            </w:r>
          </w:p>
        </w:tc>
        <w:tc>
          <w:tcPr>
            <w:tcW w:w="0" w:type="dxa"/>
            <w:vAlign w:val="center"/>
          </w:tcPr>
          <w:p>
            <w:pPr>
              <w:spacing w:line="240" w:lineRule="auto"/>
              <w:jc w:val="right"/>
            </w:pPr>
            <w:r>
              <w:rPr>
                <w:rFonts w:ascii="宋体" w:hAnsi="宋体" w:eastAsia="宋体" w:cs="宋体"/>
                <w:b w:val="0"/>
              </w:rPr>
              <w:t>85,166,475.75</w:t>
            </w:r>
          </w:p>
        </w:tc>
        <w:tc>
          <w:tcPr>
            <w:tcW w:w="0" w:type="dxa"/>
            <w:vAlign w:val="center"/>
          </w:tcPr>
          <w:p>
            <w:pPr>
              <w:spacing w:line="240" w:lineRule="auto"/>
              <w:jc w:val="right"/>
            </w:pPr>
            <w:r>
              <w:rPr>
                <w:rFonts w:ascii="宋体" w:hAnsi="宋体" w:eastAsia="宋体" w:cs="宋体"/>
                <w:b w:val="0"/>
              </w:rPr>
              <w:t>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002859</w:t>
            </w:r>
          </w:p>
        </w:tc>
        <w:tc>
          <w:tcPr>
            <w:tcW w:w="0" w:type="dxa"/>
            <w:vAlign w:val="center"/>
          </w:tcPr>
          <w:p>
            <w:pPr>
              <w:spacing w:line="240" w:lineRule="auto"/>
              <w:jc w:val="left"/>
            </w:pPr>
            <w:r>
              <w:rPr>
                <w:rFonts w:ascii="宋体" w:hAnsi="宋体" w:eastAsia="宋体" w:cs="宋体"/>
                <w:b w:val="0"/>
              </w:rPr>
              <w:t>洁美科技</w:t>
            </w:r>
          </w:p>
        </w:tc>
        <w:tc>
          <w:tcPr>
            <w:tcW w:w="0" w:type="dxa"/>
            <w:vAlign w:val="center"/>
          </w:tcPr>
          <w:p>
            <w:pPr>
              <w:spacing w:line="240" w:lineRule="auto"/>
              <w:jc w:val="right"/>
            </w:pPr>
            <w:r>
              <w:rPr>
                <w:rFonts w:ascii="宋体" w:hAnsi="宋体" w:eastAsia="宋体" w:cs="宋体"/>
                <w:b w:val="0"/>
              </w:rPr>
              <w:t>774,957</w:t>
            </w:r>
          </w:p>
        </w:tc>
        <w:tc>
          <w:tcPr>
            <w:tcW w:w="0" w:type="dxa"/>
            <w:vAlign w:val="center"/>
          </w:tcPr>
          <w:p>
            <w:pPr>
              <w:spacing w:line="240" w:lineRule="auto"/>
              <w:jc w:val="right"/>
            </w:pPr>
            <w:r>
              <w:rPr>
                <w:rFonts w:ascii="宋体" w:hAnsi="宋体" w:eastAsia="宋体" w:cs="宋体"/>
                <w:b w:val="0"/>
              </w:rPr>
              <w:t>84,865,541.07</w:t>
            </w:r>
          </w:p>
        </w:tc>
        <w:tc>
          <w:tcPr>
            <w:tcW w:w="0" w:type="dxa"/>
            <w:vAlign w:val="center"/>
          </w:tcPr>
          <w:p>
            <w:pPr>
              <w:spacing w:line="240" w:lineRule="auto"/>
              <w:jc w:val="right"/>
            </w:pPr>
            <w:r>
              <w:rPr>
                <w:rFonts w:ascii="宋体" w:hAnsi="宋体" w:eastAsia="宋体" w:cs="宋体"/>
                <w:b w:val="0"/>
              </w:rPr>
              <w:t>6.31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002484</w:t>
            </w:r>
          </w:p>
        </w:tc>
        <w:tc>
          <w:tcPr>
            <w:tcW w:w="0" w:type="dxa"/>
            <w:vAlign w:val="center"/>
          </w:tcPr>
          <w:p>
            <w:pPr>
              <w:spacing w:line="240" w:lineRule="auto"/>
              <w:jc w:val="left"/>
            </w:pPr>
            <w:r>
              <w:rPr>
                <w:rFonts w:ascii="宋体" w:hAnsi="宋体" w:eastAsia="宋体" w:cs="宋体"/>
                <w:b w:val="0"/>
              </w:rPr>
              <w:t>江海股份</w:t>
            </w:r>
          </w:p>
        </w:tc>
        <w:tc>
          <w:tcPr>
            <w:tcW w:w="0" w:type="dxa"/>
            <w:vAlign w:val="center"/>
          </w:tcPr>
          <w:p>
            <w:pPr>
              <w:spacing w:line="240" w:lineRule="auto"/>
              <w:jc w:val="right"/>
            </w:pPr>
            <w:r>
              <w:rPr>
                <w:rFonts w:ascii="宋体" w:hAnsi="宋体" w:eastAsia="宋体" w:cs="宋体"/>
                <w:b w:val="0"/>
              </w:rPr>
              <w:t>770,000</w:t>
            </w:r>
          </w:p>
        </w:tc>
        <w:tc>
          <w:tcPr>
            <w:tcW w:w="0" w:type="dxa"/>
            <w:vAlign w:val="center"/>
          </w:tcPr>
          <w:p>
            <w:pPr>
              <w:spacing w:line="240" w:lineRule="auto"/>
              <w:jc w:val="right"/>
            </w:pPr>
            <w:r>
              <w:rPr>
                <w:rFonts w:ascii="宋体" w:hAnsi="宋体" w:eastAsia="宋体" w:cs="宋体"/>
                <w:b w:val="0"/>
              </w:rPr>
              <w:t>80,850,000.00</w:t>
            </w:r>
          </w:p>
        </w:tc>
        <w:tc>
          <w:tcPr>
            <w:tcW w:w="0" w:type="dxa"/>
            <w:vAlign w:val="center"/>
          </w:tcPr>
          <w:p>
            <w:pPr>
              <w:spacing w:line="240" w:lineRule="auto"/>
              <w:jc w:val="right"/>
            </w:pPr>
            <w:r>
              <w:rPr>
                <w:rFonts w:ascii="宋体" w:hAnsi="宋体" w:eastAsia="宋体" w:cs="宋体"/>
                <w:b w:val="0"/>
              </w:rPr>
              <w:t>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688200</w:t>
            </w:r>
          </w:p>
        </w:tc>
        <w:tc>
          <w:tcPr>
            <w:tcW w:w="0" w:type="dxa"/>
            <w:vAlign w:val="center"/>
          </w:tcPr>
          <w:p>
            <w:pPr>
              <w:spacing w:line="240" w:lineRule="auto"/>
              <w:jc w:val="left"/>
            </w:pPr>
            <w:r>
              <w:rPr>
                <w:rFonts w:ascii="宋体" w:hAnsi="宋体" w:eastAsia="宋体" w:cs="宋体"/>
                <w:b w:val="0"/>
              </w:rPr>
              <w:t>华峰测控</w:t>
            </w:r>
          </w:p>
        </w:tc>
        <w:tc>
          <w:tcPr>
            <w:tcW w:w="0" w:type="dxa"/>
            <w:vAlign w:val="center"/>
          </w:tcPr>
          <w:p>
            <w:pPr>
              <w:spacing w:line="240" w:lineRule="auto"/>
              <w:jc w:val="right"/>
            </w:pPr>
            <w:r>
              <w:rPr>
                <w:rFonts w:ascii="宋体" w:hAnsi="宋体" w:eastAsia="宋体" w:cs="宋体"/>
                <w:b w:val="0"/>
              </w:rPr>
              <w:t>135,000</w:t>
            </w:r>
          </w:p>
        </w:tc>
        <w:tc>
          <w:tcPr>
            <w:tcW w:w="0" w:type="dxa"/>
            <w:vAlign w:val="center"/>
          </w:tcPr>
          <w:p>
            <w:pPr>
              <w:spacing w:line="240" w:lineRule="auto"/>
              <w:jc w:val="right"/>
            </w:pPr>
            <w:r>
              <w:rPr>
                <w:rFonts w:ascii="宋体" w:hAnsi="宋体" w:eastAsia="宋体" w:cs="宋体"/>
                <w:b w:val="0"/>
              </w:rPr>
              <w:t>70,888,500.00</w:t>
            </w:r>
          </w:p>
        </w:tc>
        <w:tc>
          <w:tcPr>
            <w:tcW w:w="0" w:type="dxa"/>
            <w:vAlign w:val="center"/>
          </w:tcPr>
          <w:p>
            <w:pPr>
              <w:spacing w:line="240" w:lineRule="auto"/>
              <w:jc w:val="right"/>
            </w:pPr>
            <w:r>
              <w:rPr>
                <w:rFonts w:ascii="宋体" w:hAnsi="宋体" w:eastAsia="宋体" w:cs="宋体"/>
                <w:b w:val="0"/>
              </w:rPr>
              <w:t>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000636</w:t>
            </w:r>
          </w:p>
        </w:tc>
        <w:tc>
          <w:tcPr>
            <w:tcW w:w="0" w:type="dxa"/>
            <w:vAlign w:val="center"/>
          </w:tcPr>
          <w:p>
            <w:pPr>
              <w:spacing w:line="240" w:lineRule="auto"/>
              <w:jc w:val="left"/>
            </w:pPr>
            <w:r>
              <w:rPr>
                <w:rFonts w:ascii="宋体" w:hAnsi="宋体" w:eastAsia="宋体" w:cs="宋体"/>
                <w:b w:val="0"/>
              </w:rPr>
              <w:t>风华高科</w:t>
            </w:r>
          </w:p>
        </w:tc>
        <w:tc>
          <w:tcPr>
            <w:tcW w:w="0" w:type="dxa"/>
            <w:vAlign w:val="center"/>
          </w:tcPr>
          <w:p>
            <w:pPr>
              <w:spacing w:line="240" w:lineRule="auto"/>
              <w:jc w:val="right"/>
            </w:pPr>
            <w:r>
              <w:rPr>
                <w:rFonts w:ascii="宋体" w:hAnsi="宋体" w:eastAsia="宋体" w:cs="宋体"/>
                <w:b w:val="0"/>
              </w:rPr>
              <w:t>830,000</w:t>
            </w:r>
          </w:p>
        </w:tc>
        <w:tc>
          <w:tcPr>
            <w:tcW w:w="0" w:type="dxa"/>
            <w:vAlign w:val="center"/>
          </w:tcPr>
          <w:p>
            <w:pPr>
              <w:spacing w:line="240" w:lineRule="auto"/>
              <w:jc w:val="right"/>
            </w:pPr>
            <w:r>
              <w:rPr>
                <w:rFonts w:ascii="宋体" w:hAnsi="宋体" w:eastAsia="宋体" w:cs="宋体"/>
                <w:b w:val="0"/>
              </w:rPr>
              <w:t>59,959,200.00</w:t>
            </w:r>
          </w:p>
        </w:tc>
        <w:tc>
          <w:tcPr>
            <w:tcW w:w="0" w:type="dxa"/>
            <w:vAlign w:val="center"/>
          </w:tcPr>
          <w:p>
            <w:pPr>
              <w:spacing w:line="240" w:lineRule="auto"/>
              <w:jc w:val="right"/>
            </w:pPr>
            <w:r>
              <w:rPr>
                <w:rFonts w:ascii="宋体" w:hAnsi="宋体" w:eastAsia="宋体" w:cs="宋体"/>
                <w:b w:val="0"/>
              </w:rPr>
              <w:t>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002138</w:t>
            </w:r>
          </w:p>
        </w:tc>
        <w:tc>
          <w:tcPr>
            <w:tcW w:w="0" w:type="dxa"/>
            <w:vAlign w:val="center"/>
          </w:tcPr>
          <w:p>
            <w:pPr>
              <w:spacing w:line="240" w:lineRule="auto"/>
              <w:jc w:val="left"/>
            </w:pPr>
            <w:r>
              <w:rPr>
                <w:rFonts w:ascii="宋体" w:hAnsi="宋体" w:eastAsia="宋体" w:cs="宋体"/>
                <w:b w:val="0"/>
              </w:rPr>
              <w:t>顺络电子</w:t>
            </w:r>
          </w:p>
        </w:tc>
        <w:tc>
          <w:tcPr>
            <w:tcW w:w="0" w:type="dxa"/>
            <w:vAlign w:val="center"/>
          </w:tcPr>
          <w:p>
            <w:pPr>
              <w:spacing w:line="240" w:lineRule="auto"/>
              <w:jc w:val="right"/>
            </w:pPr>
            <w:r>
              <w:rPr>
                <w:rFonts w:ascii="宋体" w:hAnsi="宋体" w:eastAsia="宋体" w:cs="宋体"/>
                <w:b w:val="0"/>
              </w:rPr>
              <w:t>820,000</w:t>
            </w:r>
          </w:p>
        </w:tc>
        <w:tc>
          <w:tcPr>
            <w:tcW w:w="0" w:type="dxa"/>
            <w:vAlign w:val="center"/>
          </w:tcPr>
          <w:p>
            <w:pPr>
              <w:spacing w:line="240" w:lineRule="auto"/>
              <w:jc w:val="right"/>
            </w:pPr>
            <w:r>
              <w:rPr>
                <w:rFonts w:ascii="宋体" w:hAnsi="宋体" w:eastAsia="宋体" w:cs="宋体"/>
                <w:b w:val="0"/>
              </w:rPr>
              <w:t>59,942,000.00</w:t>
            </w:r>
          </w:p>
        </w:tc>
        <w:tc>
          <w:tcPr>
            <w:tcW w:w="0" w:type="dxa"/>
            <w:vAlign w:val="center"/>
          </w:tcPr>
          <w:p>
            <w:pPr>
              <w:spacing w:line="240" w:lineRule="auto"/>
              <w:jc w:val="right"/>
            </w:pPr>
            <w:r>
              <w:rPr>
                <w:rFonts w:ascii="宋体" w:hAnsi="宋体" w:eastAsia="宋体" w:cs="宋体"/>
                <w:b w:val="0"/>
              </w:rPr>
              <w:t>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603678</w:t>
            </w:r>
          </w:p>
        </w:tc>
        <w:tc>
          <w:tcPr>
            <w:tcW w:w="0" w:type="dxa"/>
            <w:vAlign w:val="center"/>
          </w:tcPr>
          <w:p>
            <w:pPr>
              <w:spacing w:line="240" w:lineRule="auto"/>
              <w:jc w:val="left"/>
            </w:pPr>
            <w:r>
              <w:rPr>
                <w:rFonts w:ascii="宋体" w:hAnsi="宋体" w:eastAsia="宋体" w:cs="宋体"/>
                <w:b w:val="0"/>
              </w:rPr>
              <w:t>火炬电子</w:t>
            </w:r>
          </w:p>
        </w:tc>
        <w:tc>
          <w:tcPr>
            <w:tcW w:w="0" w:type="dxa"/>
            <w:vAlign w:val="center"/>
          </w:tcPr>
          <w:p>
            <w:pPr>
              <w:spacing w:line="240" w:lineRule="auto"/>
              <w:jc w:val="right"/>
            </w:pPr>
            <w:r>
              <w:rPr>
                <w:rFonts w:ascii="宋体" w:hAnsi="宋体" w:eastAsia="宋体" w:cs="宋体"/>
                <w:b w:val="0"/>
              </w:rPr>
              <w:t>630,000</w:t>
            </w:r>
          </w:p>
        </w:tc>
        <w:tc>
          <w:tcPr>
            <w:tcW w:w="0" w:type="dxa"/>
            <w:vAlign w:val="center"/>
          </w:tcPr>
          <w:p>
            <w:pPr>
              <w:spacing w:line="240" w:lineRule="auto"/>
              <w:jc w:val="right"/>
            </w:pPr>
            <w:r>
              <w:rPr>
                <w:rFonts w:ascii="宋体" w:hAnsi="宋体" w:eastAsia="宋体" w:cs="宋体"/>
                <w:b w:val="0"/>
              </w:rPr>
              <w:t>52,290,000.00</w:t>
            </w:r>
          </w:p>
        </w:tc>
        <w:tc>
          <w:tcPr>
            <w:tcW w:w="0" w:type="dxa"/>
            <w:vAlign w:val="center"/>
          </w:tcPr>
          <w:p>
            <w:pPr>
              <w:spacing w:line="240" w:lineRule="auto"/>
              <w:jc w:val="right"/>
            </w:pPr>
            <w:r>
              <w:rPr>
                <w:rFonts w:ascii="宋体" w:hAnsi="宋体" w:eastAsia="宋体" w:cs="宋体"/>
                <w:b w:val="0"/>
              </w:rPr>
              <w:t>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000811</w:t>
            </w:r>
          </w:p>
        </w:tc>
        <w:tc>
          <w:tcPr>
            <w:tcW w:w="0" w:type="dxa"/>
            <w:vAlign w:val="center"/>
          </w:tcPr>
          <w:p>
            <w:pPr>
              <w:spacing w:line="240" w:lineRule="auto"/>
              <w:jc w:val="left"/>
            </w:pPr>
            <w:r>
              <w:rPr>
                <w:rFonts w:ascii="宋体" w:hAnsi="宋体" w:eastAsia="宋体" w:cs="宋体"/>
                <w:b w:val="0"/>
              </w:rPr>
              <w:t>冰轮环境</w:t>
            </w:r>
          </w:p>
        </w:tc>
        <w:tc>
          <w:tcPr>
            <w:tcW w:w="0" w:type="dxa"/>
            <w:vAlign w:val="center"/>
          </w:tcPr>
          <w:p>
            <w:pPr>
              <w:spacing w:line="240" w:lineRule="auto"/>
              <w:jc w:val="right"/>
            </w:pPr>
            <w:r>
              <w:rPr>
                <w:rFonts w:ascii="宋体" w:hAnsi="宋体" w:eastAsia="宋体" w:cs="宋体"/>
                <w:b w:val="0"/>
              </w:rPr>
              <w:t>803,366</w:t>
            </w:r>
          </w:p>
        </w:tc>
        <w:tc>
          <w:tcPr>
            <w:tcW w:w="0" w:type="dxa"/>
            <w:vAlign w:val="center"/>
          </w:tcPr>
          <w:p>
            <w:pPr>
              <w:spacing w:line="240" w:lineRule="auto"/>
              <w:jc w:val="right"/>
            </w:pPr>
            <w:r>
              <w:rPr>
                <w:rFonts w:ascii="宋体" w:hAnsi="宋体" w:eastAsia="宋体" w:cs="宋体"/>
                <w:b w:val="0"/>
              </w:rPr>
              <w:t>45,165,236.52</w:t>
            </w:r>
          </w:p>
        </w:tc>
        <w:tc>
          <w:tcPr>
            <w:tcW w:w="0" w:type="dxa"/>
            <w:vAlign w:val="center"/>
          </w:tcPr>
          <w:p>
            <w:pPr>
              <w:spacing w:line="240" w:lineRule="auto"/>
              <w:jc w:val="right"/>
            </w:pPr>
            <w:r>
              <w:rPr>
                <w:rFonts w:ascii="宋体" w:hAnsi="宋体" w:eastAsia="宋体" w:cs="宋体"/>
                <w:b w:val="0"/>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600549</w:t>
            </w:r>
          </w:p>
        </w:tc>
        <w:tc>
          <w:tcPr>
            <w:tcW w:w="0" w:type="dxa"/>
            <w:vAlign w:val="center"/>
          </w:tcPr>
          <w:p>
            <w:pPr>
              <w:spacing w:line="240" w:lineRule="auto"/>
              <w:jc w:val="left"/>
            </w:pPr>
            <w:r>
              <w:rPr>
                <w:rFonts w:ascii="宋体" w:hAnsi="宋体" w:eastAsia="宋体" w:cs="宋体"/>
                <w:b w:val="0"/>
              </w:rPr>
              <w:t>厦门钨业</w:t>
            </w:r>
          </w:p>
        </w:tc>
        <w:tc>
          <w:tcPr>
            <w:tcW w:w="0" w:type="dxa"/>
            <w:vAlign w:val="center"/>
          </w:tcPr>
          <w:p>
            <w:pPr>
              <w:spacing w:line="240" w:lineRule="auto"/>
              <w:jc w:val="right"/>
            </w:pPr>
            <w:r>
              <w:rPr>
                <w:rFonts w:ascii="宋体" w:hAnsi="宋体" w:eastAsia="宋体" w:cs="宋体"/>
                <w:b w:val="0"/>
              </w:rPr>
              <w:t>520,000</w:t>
            </w:r>
          </w:p>
        </w:tc>
        <w:tc>
          <w:tcPr>
            <w:tcW w:w="0" w:type="dxa"/>
            <w:vAlign w:val="center"/>
          </w:tcPr>
          <w:p>
            <w:pPr>
              <w:spacing w:line="240" w:lineRule="auto"/>
              <w:jc w:val="right"/>
            </w:pPr>
            <w:r>
              <w:rPr>
                <w:rFonts w:ascii="宋体" w:hAnsi="宋体" w:eastAsia="宋体" w:cs="宋体"/>
                <w:b w:val="0"/>
              </w:rPr>
              <w:t>44,304,000.00</w:t>
            </w:r>
          </w:p>
        </w:tc>
        <w:tc>
          <w:tcPr>
            <w:tcW w:w="0" w:type="dxa"/>
            <w:vAlign w:val="center"/>
          </w:tcPr>
          <w:p>
            <w:pPr>
              <w:spacing w:line="240" w:lineRule="auto"/>
              <w:jc w:val="right"/>
            </w:pPr>
            <w:r>
              <w:rPr>
                <w:rFonts w:ascii="宋体" w:hAnsi="宋体" w:eastAsia="宋体" w:cs="宋体"/>
                <w:b w:val="0"/>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301013</w:t>
            </w:r>
          </w:p>
        </w:tc>
        <w:tc>
          <w:tcPr>
            <w:tcW w:w="0" w:type="dxa"/>
            <w:vAlign w:val="center"/>
          </w:tcPr>
          <w:p>
            <w:pPr>
              <w:spacing w:line="240" w:lineRule="auto"/>
              <w:jc w:val="left"/>
            </w:pPr>
            <w:r>
              <w:rPr>
                <w:rFonts w:ascii="宋体" w:hAnsi="宋体" w:eastAsia="宋体" w:cs="宋体"/>
                <w:b w:val="0"/>
              </w:rPr>
              <w:t>利和兴</w:t>
            </w:r>
          </w:p>
        </w:tc>
        <w:tc>
          <w:tcPr>
            <w:tcW w:w="0" w:type="dxa"/>
            <w:vAlign w:val="center"/>
          </w:tcPr>
          <w:p>
            <w:pPr>
              <w:spacing w:line="240" w:lineRule="auto"/>
              <w:jc w:val="right"/>
            </w:pPr>
            <w:r>
              <w:rPr>
                <w:rFonts w:ascii="宋体" w:hAnsi="宋体" w:eastAsia="宋体" w:cs="宋体"/>
                <w:b w:val="0"/>
              </w:rPr>
              <w:t>500,000</w:t>
            </w:r>
          </w:p>
        </w:tc>
        <w:tc>
          <w:tcPr>
            <w:tcW w:w="0" w:type="dxa"/>
            <w:vAlign w:val="center"/>
          </w:tcPr>
          <w:p>
            <w:pPr>
              <w:spacing w:line="240" w:lineRule="auto"/>
              <w:jc w:val="right"/>
            </w:pPr>
            <w:r>
              <w:rPr>
                <w:rFonts w:ascii="宋体" w:hAnsi="宋体" w:eastAsia="宋体" w:cs="宋体"/>
                <w:b w:val="0"/>
              </w:rPr>
              <w:t>36,125,000.00</w:t>
            </w:r>
          </w:p>
        </w:tc>
        <w:tc>
          <w:tcPr>
            <w:tcW w:w="0" w:type="dxa"/>
            <w:vAlign w:val="center"/>
          </w:tcPr>
          <w:p>
            <w:pPr>
              <w:spacing w:line="240" w:lineRule="auto"/>
              <w:jc w:val="right"/>
            </w:pPr>
            <w:r>
              <w:rPr>
                <w:rFonts w:ascii="宋体" w:hAnsi="宋体" w:eastAsia="宋体" w:cs="宋体"/>
                <w:b w:val="0"/>
              </w:rPr>
              <w:t>2.69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300943</w:t>
            </w:r>
          </w:p>
        </w:tc>
        <w:tc>
          <w:tcPr>
            <w:tcW w:w="0" w:type="dxa"/>
            <w:vAlign w:val="center"/>
          </w:tcPr>
          <w:p>
            <w:pPr>
              <w:spacing w:line="240" w:lineRule="auto"/>
              <w:jc w:val="left"/>
            </w:pPr>
            <w:r>
              <w:rPr>
                <w:rFonts w:ascii="宋体" w:hAnsi="宋体" w:eastAsia="宋体" w:cs="宋体"/>
                <w:b w:val="0"/>
              </w:rPr>
              <w:t>春晖智控</w:t>
            </w:r>
          </w:p>
        </w:tc>
        <w:tc>
          <w:tcPr>
            <w:tcW w:w="0" w:type="dxa"/>
            <w:vAlign w:val="center"/>
          </w:tcPr>
          <w:p>
            <w:pPr>
              <w:spacing w:line="240" w:lineRule="auto"/>
              <w:jc w:val="right"/>
            </w:pPr>
            <w:r>
              <w:rPr>
                <w:rFonts w:ascii="宋体" w:hAnsi="宋体" w:eastAsia="宋体" w:cs="宋体"/>
                <w:b w:val="0"/>
              </w:rPr>
              <w:t>589,100</w:t>
            </w:r>
          </w:p>
        </w:tc>
        <w:tc>
          <w:tcPr>
            <w:tcW w:w="0" w:type="dxa"/>
            <w:vAlign w:val="center"/>
          </w:tcPr>
          <w:p>
            <w:pPr>
              <w:spacing w:line="240" w:lineRule="auto"/>
              <w:jc w:val="right"/>
            </w:pPr>
            <w:r>
              <w:rPr>
                <w:rFonts w:ascii="宋体" w:hAnsi="宋体" w:eastAsia="宋体" w:cs="宋体"/>
                <w:b w:val="0"/>
              </w:rPr>
              <w:t>26,480,045.00</w:t>
            </w:r>
          </w:p>
        </w:tc>
        <w:tc>
          <w:tcPr>
            <w:tcW w:w="0" w:type="dxa"/>
            <w:vAlign w:val="center"/>
          </w:tcPr>
          <w:p>
            <w:pPr>
              <w:spacing w:line="240" w:lineRule="auto"/>
              <w:jc w:val="right"/>
            </w:pPr>
            <w:r>
              <w:rPr>
                <w:rFonts w:ascii="宋体" w:hAnsi="宋体" w:eastAsia="宋体" w:cs="宋体"/>
                <w:b w:val="0"/>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688234</w:t>
            </w:r>
          </w:p>
        </w:tc>
        <w:tc>
          <w:tcPr>
            <w:tcW w:w="0" w:type="dxa"/>
            <w:vAlign w:val="center"/>
          </w:tcPr>
          <w:p>
            <w:pPr>
              <w:spacing w:line="240" w:lineRule="auto"/>
              <w:jc w:val="left"/>
            </w:pPr>
            <w:r>
              <w:rPr>
                <w:rFonts w:ascii="宋体" w:hAnsi="宋体" w:eastAsia="宋体" w:cs="宋体"/>
                <w:b w:val="0"/>
              </w:rPr>
              <w:t>天岳先进</w:t>
            </w:r>
          </w:p>
        </w:tc>
        <w:tc>
          <w:tcPr>
            <w:tcW w:w="0" w:type="dxa"/>
            <w:vAlign w:val="center"/>
          </w:tcPr>
          <w:p>
            <w:pPr>
              <w:spacing w:line="240" w:lineRule="auto"/>
              <w:jc w:val="right"/>
            </w:pPr>
            <w:r>
              <w:rPr>
                <w:rFonts w:ascii="宋体" w:hAnsi="宋体" w:eastAsia="宋体" w:cs="宋体"/>
                <w:b w:val="0"/>
              </w:rPr>
              <w:t>56,132</w:t>
            </w:r>
          </w:p>
        </w:tc>
        <w:tc>
          <w:tcPr>
            <w:tcW w:w="0" w:type="dxa"/>
            <w:vAlign w:val="center"/>
          </w:tcPr>
          <w:p>
            <w:pPr>
              <w:spacing w:line="240" w:lineRule="auto"/>
              <w:jc w:val="right"/>
            </w:pPr>
            <w:r>
              <w:rPr>
                <w:rFonts w:ascii="宋体" w:hAnsi="宋体" w:eastAsia="宋体" w:cs="宋体"/>
                <w:b w:val="0"/>
              </w:rPr>
              <w:t>9,739,463.32</w:t>
            </w:r>
          </w:p>
        </w:tc>
        <w:tc>
          <w:tcPr>
            <w:tcW w:w="0" w:type="dxa"/>
            <w:vAlign w:val="center"/>
          </w:tcPr>
          <w:p>
            <w:pPr>
              <w:spacing w:line="240" w:lineRule="auto"/>
              <w:jc w:val="right"/>
            </w:pPr>
            <w:r>
              <w:rPr>
                <w:rFonts w:ascii="宋体" w:hAnsi="宋体" w:eastAsia="宋体" w:cs="宋体"/>
                <w:b w:val="0"/>
              </w:rPr>
              <w:t>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18</w:t>
            </w:r>
          </w:p>
        </w:tc>
        <w:tc>
          <w:tcPr>
            <w:tcW w:w="0" w:type="dxa"/>
            <w:vAlign w:val="center"/>
          </w:tcPr>
          <w:p>
            <w:pPr>
              <w:spacing w:line="240" w:lineRule="auto"/>
              <w:jc w:val="left"/>
            </w:pPr>
            <w:r>
              <w:rPr>
                <w:rFonts w:ascii="宋体" w:hAnsi="宋体" w:eastAsia="宋体" w:cs="宋体"/>
                <w:b w:val="0"/>
              </w:rPr>
              <w:t>688025</w:t>
            </w:r>
          </w:p>
        </w:tc>
        <w:tc>
          <w:tcPr>
            <w:tcW w:w="0" w:type="dxa"/>
            <w:vAlign w:val="center"/>
          </w:tcPr>
          <w:p>
            <w:pPr>
              <w:spacing w:line="240" w:lineRule="auto"/>
              <w:jc w:val="left"/>
            </w:pPr>
            <w:r>
              <w:rPr>
                <w:rFonts w:ascii="宋体" w:hAnsi="宋体" w:eastAsia="宋体" w:cs="宋体"/>
                <w:b w:val="0"/>
              </w:rPr>
              <w:t>杰普特</w:t>
            </w:r>
          </w:p>
        </w:tc>
        <w:tc>
          <w:tcPr>
            <w:tcW w:w="0" w:type="dxa"/>
            <w:vAlign w:val="center"/>
          </w:tcPr>
          <w:p>
            <w:pPr>
              <w:spacing w:line="240" w:lineRule="auto"/>
              <w:jc w:val="right"/>
            </w:pPr>
            <w:r>
              <w:rPr>
                <w:rFonts w:ascii="宋体" w:hAnsi="宋体" w:eastAsia="宋体" w:cs="宋体"/>
                <w:b w:val="0"/>
              </w:rPr>
              <w:t>17,500</w:t>
            </w:r>
          </w:p>
        </w:tc>
        <w:tc>
          <w:tcPr>
            <w:tcW w:w="0" w:type="dxa"/>
            <w:vAlign w:val="center"/>
          </w:tcPr>
          <w:p>
            <w:pPr>
              <w:spacing w:line="240" w:lineRule="auto"/>
              <w:jc w:val="right"/>
            </w:pPr>
            <w:r>
              <w:rPr>
                <w:rFonts w:ascii="宋体" w:hAnsi="宋体" w:eastAsia="宋体" w:cs="宋体"/>
                <w:b w:val="0"/>
              </w:rPr>
              <w:t>8,225,000.00</w:t>
            </w:r>
          </w:p>
        </w:tc>
        <w:tc>
          <w:tcPr>
            <w:tcW w:w="0" w:type="dxa"/>
            <w:vAlign w:val="center"/>
          </w:tcPr>
          <w:p>
            <w:pPr>
              <w:spacing w:line="240" w:lineRule="auto"/>
              <w:jc w:val="right"/>
            </w:pPr>
            <w:r>
              <w:rPr>
                <w:rFonts w:ascii="宋体" w:hAnsi="宋体" w:eastAsia="宋体" w:cs="宋体"/>
                <w:b w:val="0"/>
              </w:rPr>
              <w:t>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19</w:t>
            </w:r>
          </w:p>
        </w:tc>
        <w:tc>
          <w:tcPr>
            <w:tcW w:w="0" w:type="dxa"/>
            <w:vAlign w:val="center"/>
          </w:tcPr>
          <w:p>
            <w:pPr>
              <w:spacing w:line="240" w:lineRule="auto"/>
              <w:jc w:val="left"/>
            </w:pPr>
            <w:r>
              <w:rPr>
                <w:rFonts w:ascii="宋体" w:hAnsi="宋体" w:eastAsia="宋体" w:cs="宋体"/>
                <w:b w:val="0"/>
              </w:rPr>
              <w:t>688368</w:t>
            </w:r>
          </w:p>
        </w:tc>
        <w:tc>
          <w:tcPr>
            <w:tcW w:w="0" w:type="dxa"/>
            <w:vAlign w:val="center"/>
          </w:tcPr>
          <w:p>
            <w:pPr>
              <w:spacing w:line="240" w:lineRule="auto"/>
              <w:jc w:val="left"/>
            </w:pPr>
            <w:r>
              <w:rPr>
                <w:rFonts w:ascii="宋体" w:hAnsi="宋体" w:eastAsia="宋体" w:cs="宋体"/>
                <w:b w:val="0"/>
              </w:rPr>
              <w:t>晶丰明源</w:t>
            </w:r>
          </w:p>
        </w:tc>
        <w:tc>
          <w:tcPr>
            <w:tcW w:w="0" w:type="dxa"/>
            <w:vAlign w:val="center"/>
          </w:tcPr>
          <w:p>
            <w:pPr>
              <w:spacing w:line="240" w:lineRule="auto"/>
              <w:jc w:val="right"/>
            </w:pPr>
            <w:r>
              <w:rPr>
                <w:rFonts w:ascii="宋体" w:hAnsi="宋体" w:eastAsia="宋体" w:cs="宋体"/>
                <w:b w:val="0"/>
              </w:rPr>
              <w:t>14,000</w:t>
            </w:r>
          </w:p>
        </w:tc>
        <w:tc>
          <w:tcPr>
            <w:tcW w:w="0" w:type="dxa"/>
            <w:vAlign w:val="center"/>
          </w:tcPr>
          <w:p>
            <w:pPr>
              <w:spacing w:line="240" w:lineRule="auto"/>
              <w:jc w:val="right"/>
            </w:pPr>
            <w:r>
              <w:rPr>
                <w:rFonts w:ascii="宋体" w:hAnsi="宋体" w:eastAsia="宋体" w:cs="宋体"/>
                <w:b w:val="0"/>
              </w:rPr>
              <w:t>3,031,280.00</w:t>
            </w:r>
          </w:p>
        </w:tc>
        <w:tc>
          <w:tcPr>
            <w:tcW w:w="0" w:type="dxa"/>
            <w:vAlign w:val="center"/>
          </w:tcPr>
          <w:p>
            <w:pPr>
              <w:spacing w:line="240" w:lineRule="auto"/>
              <w:jc w:val="right"/>
            </w:pPr>
            <w:r>
              <w:rPr>
                <w:rFonts w:ascii="宋体" w:hAnsi="宋体" w:eastAsia="宋体" w:cs="宋体"/>
                <w:b w:val="0"/>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20</w:t>
            </w:r>
          </w:p>
        </w:tc>
        <w:tc>
          <w:tcPr>
            <w:tcW w:w="0" w:type="dxa"/>
            <w:vAlign w:val="center"/>
          </w:tcPr>
          <w:p>
            <w:pPr>
              <w:spacing w:line="240" w:lineRule="auto"/>
              <w:jc w:val="left"/>
            </w:pPr>
            <w:r>
              <w:rPr>
                <w:rFonts w:ascii="宋体" w:hAnsi="宋体" w:eastAsia="宋体" w:cs="宋体"/>
                <w:b w:val="0"/>
              </w:rPr>
              <w:t>600105</w:t>
            </w:r>
          </w:p>
        </w:tc>
        <w:tc>
          <w:tcPr>
            <w:tcW w:w="0" w:type="dxa"/>
            <w:vAlign w:val="center"/>
          </w:tcPr>
          <w:p>
            <w:pPr>
              <w:spacing w:line="240" w:lineRule="auto"/>
              <w:jc w:val="left"/>
            </w:pPr>
            <w:r>
              <w:rPr>
                <w:rFonts w:ascii="宋体" w:hAnsi="宋体" w:eastAsia="宋体" w:cs="宋体"/>
                <w:b w:val="0"/>
              </w:rPr>
              <w:t>永鼎股份</w:t>
            </w:r>
          </w:p>
        </w:tc>
        <w:tc>
          <w:tcPr>
            <w:tcW w:w="0" w:type="dxa"/>
            <w:vAlign w:val="center"/>
          </w:tcPr>
          <w:p>
            <w:pPr>
              <w:spacing w:line="240" w:lineRule="auto"/>
              <w:jc w:val="right"/>
            </w:pPr>
            <w:r>
              <w:rPr>
                <w:rFonts w:ascii="宋体" w:hAnsi="宋体" w:eastAsia="宋体" w:cs="宋体"/>
                <w:b w:val="0"/>
              </w:rPr>
              <w:t>40,000</w:t>
            </w:r>
          </w:p>
        </w:tc>
        <w:tc>
          <w:tcPr>
            <w:tcW w:w="0" w:type="dxa"/>
            <w:vAlign w:val="center"/>
          </w:tcPr>
          <w:p>
            <w:pPr>
              <w:spacing w:line="240" w:lineRule="auto"/>
              <w:jc w:val="right"/>
            </w:pPr>
            <w:r>
              <w:rPr>
                <w:rFonts w:ascii="宋体" w:hAnsi="宋体" w:eastAsia="宋体" w:cs="宋体"/>
                <w:b w:val="0"/>
              </w:rPr>
              <w:t>2,699,200.00</w:t>
            </w:r>
          </w:p>
        </w:tc>
        <w:tc>
          <w:tcPr>
            <w:tcW w:w="0" w:type="dxa"/>
            <w:vAlign w:val="center"/>
          </w:tcPr>
          <w:p>
            <w:pPr>
              <w:spacing w:line="240" w:lineRule="auto"/>
              <w:jc w:val="right"/>
            </w:pPr>
            <w:r>
              <w:rPr>
                <w:rFonts w:ascii="宋体" w:hAnsi="宋体" w:eastAsia="宋体" w:cs="宋体"/>
                <w:b w:val="0"/>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21</w:t>
            </w:r>
          </w:p>
        </w:tc>
        <w:tc>
          <w:tcPr>
            <w:tcW w:w="0" w:type="dxa"/>
            <w:vAlign w:val="center"/>
          </w:tcPr>
          <w:p>
            <w:pPr>
              <w:spacing w:line="240" w:lineRule="auto"/>
              <w:jc w:val="left"/>
            </w:pPr>
            <w:r>
              <w:rPr>
                <w:rFonts w:ascii="宋体" w:hAnsi="宋体" w:eastAsia="宋体" w:cs="宋体"/>
                <w:b w:val="0"/>
              </w:rPr>
              <w:t>300726</w:t>
            </w:r>
          </w:p>
        </w:tc>
        <w:tc>
          <w:tcPr>
            <w:tcW w:w="0" w:type="dxa"/>
            <w:vAlign w:val="center"/>
          </w:tcPr>
          <w:p>
            <w:pPr>
              <w:spacing w:line="240" w:lineRule="auto"/>
              <w:jc w:val="left"/>
            </w:pPr>
            <w:r>
              <w:rPr>
                <w:rFonts w:ascii="宋体" w:hAnsi="宋体" w:eastAsia="宋体" w:cs="宋体"/>
                <w:b w:val="0"/>
              </w:rPr>
              <w:t>宏达电子</w:t>
            </w:r>
          </w:p>
        </w:tc>
        <w:tc>
          <w:tcPr>
            <w:tcW w:w="0" w:type="dxa"/>
            <w:vAlign w:val="center"/>
          </w:tcPr>
          <w:p>
            <w:pPr>
              <w:spacing w:line="240" w:lineRule="auto"/>
              <w:jc w:val="right"/>
            </w:pPr>
            <w:r>
              <w:rPr>
                <w:rFonts w:ascii="宋体" w:hAnsi="宋体" w:eastAsia="宋体" w:cs="宋体"/>
                <w:b w:val="0"/>
              </w:rPr>
              <w:t>31,000</w:t>
            </w:r>
          </w:p>
        </w:tc>
        <w:tc>
          <w:tcPr>
            <w:tcW w:w="0" w:type="dxa"/>
            <w:vAlign w:val="center"/>
          </w:tcPr>
          <w:p>
            <w:pPr>
              <w:spacing w:line="240" w:lineRule="auto"/>
              <w:jc w:val="right"/>
            </w:pPr>
            <w:r>
              <w:rPr>
                <w:rFonts w:ascii="宋体" w:hAnsi="宋体" w:eastAsia="宋体" w:cs="宋体"/>
                <w:b w:val="0"/>
              </w:rPr>
              <w:t>2,621,670.00</w:t>
            </w:r>
          </w:p>
        </w:tc>
        <w:tc>
          <w:tcPr>
            <w:tcW w:w="0" w:type="dxa"/>
            <w:vAlign w:val="center"/>
          </w:tcPr>
          <w:p>
            <w:pPr>
              <w:spacing w:line="240" w:lineRule="auto"/>
              <w:jc w:val="right"/>
            </w:pPr>
            <w:r>
              <w:rPr>
                <w:rFonts w:ascii="宋体" w:hAnsi="宋体" w:eastAsia="宋体" w:cs="宋体"/>
                <w:b w:val="0"/>
              </w:rPr>
              <w:t>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22</w:t>
            </w:r>
          </w:p>
        </w:tc>
        <w:tc>
          <w:tcPr>
            <w:tcW w:w="0" w:type="dxa"/>
            <w:vAlign w:val="center"/>
          </w:tcPr>
          <w:p>
            <w:pPr>
              <w:spacing w:line="240" w:lineRule="auto"/>
              <w:jc w:val="left"/>
            </w:pPr>
            <w:r>
              <w:rPr>
                <w:rFonts w:ascii="宋体" w:hAnsi="宋体" w:eastAsia="宋体" w:cs="宋体"/>
                <w:b w:val="0"/>
              </w:rPr>
              <w:t>001248</w:t>
            </w:r>
          </w:p>
        </w:tc>
        <w:tc>
          <w:tcPr>
            <w:tcW w:w="0" w:type="dxa"/>
            <w:vAlign w:val="center"/>
          </w:tcPr>
          <w:p>
            <w:pPr>
              <w:spacing w:line="240" w:lineRule="auto"/>
              <w:jc w:val="left"/>
            </w:pPr>
            <w:r>
              <w:rPr>
                <w:rFonts w:ascii="宋体" w:hAnsi="宋体" w:eastAsia="宋体" w:cs="宋体"/>
                <w:b w:val="0"/>
              </w:rPr>
              <w:t>华润新能</w:t>
            </w:r>
          </w:p>
        </w:tc>
        <w:tc>
          <w:tcPr>
            <w:tcW w:w="0" w:type="dxa"/>
            <w:vAlign w:val="center"/>
          </w:tcPr>
          <w:p>
            <w:pPr>
              <w:spacing w:line="240" w:lineRule="auto"/>
              <w:jc w:val="right"/>
            </w:pPr>
            <w:r>
              <w:rPr>
                <w:rFonts w:ascii="宋体" w:hAnsi="宋体" w:eastAsia="宋体" w:cs="宋体"/>
                <w:b w:val="0"/>
              </w:rPr>
              <w:t>9,363</w:t>
            </w:r>
          </w:p>
        </w:tc>
        <w:tc>
          <w:tcPr>
            <w:tcW w:w="0" w:type="dxa"/>
            <w:vAlign w:val="center"/>
          </w:tcPr>
          <w:p>
            <w:pPr>
              <w:spacing w:line="240" w:lineRule="auto"/>
              <w:jc w:val="right"/>
            </w:pPr>
            <w:r>
              <w:rPr>
                <w:rFonts w:ascii="宋体" w:hAnsi="宋体" w:eastAsia="宋体" w:cs="宋体"/>
                <w:b w:val="0"/>
              </w:rPr>
              <w:t>94,659.93</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23</w:t>
            </w:r>
          </w:p>
        </w:tc>
        <w:tc>
          <w:tcPr>
            <w:tcW w:w="0" w:type="dxa"/>
            <w:vAlign w:val="center"/>
          </w:tcPr>
          <w:p>
            <w:pPr>
              <w:spacing w:line="240" w:lineRule="auto"/>
              <w:jc w:val="left"/>
            </w:pPr>
            <w:r>
              <w:rPr>
                <w:rFonts w:ascii="宋体" w:hAnsi="宋体" w:eastAsia="宋体" w:cs="宋体"/>
                <w:b w:val="0"/>
              </w:rPr>
              <w:t>001399</w:t>
            </w:r>
          </w:p>
        </w:tc>
        <w:tc>
          <w:tcPr>
            <w:tcW w:w="0" w:type="dxa"/>
            <w:vAlign w:val="center"/>
          </w:tcPr>
          <w:p>
            <w:pPr>
              <w:spacing w:line="240" w:lineRule="auto"/>
              <w:jc w:val="left"/>
            </w:pPr>
            <w:r>
              <w:rPr>
                <w:rFonts w:ascii="宋体" w:hAnsi="宋体" w:eastAsia="宋体" w:cs="宋体"/>
                <w:b w:val="0"/>
              </w:rPr>
              <w:t>惠科股份</w:t>
            </w:r>
          </w:p>
        </w:tc>
        <w:tc>
          <w:tcPr>
            <w:tcW w:w="0" w:type="dxa"/>
            <w:vAlign w:val="center"/>
          </w:tcPr>
          <w:p>
            <w:pPr>
              <w:spacing w:line="240" w:lineRule="auto"/>
              <w:jc w:val="right"/>
            </w:pPr>
            <w:r>
              <w:rPr>
                <w:rFonts w:ascii="宋体" w:hAnsi="宋体" w:eastAsia="宋体" w:cs="宋体"/>
                <w:b w:val="0"/>
              </w:rPr>
              <w:t>2,546</w:t>
            </w:r>
          </w:p>
        </w:tc>
        <w:tc>
          <w:tcPr>
            <w:tcW w:w="0" w:type="dxa"/>
            <w:vAlign w:val="center"/>
          </w:tcPr>
          <w:p>
            <w:pPr>
              <w:spacing w:line="240" w:lineRule="auto"/>
              <w:jc w:val="right"/>
            </w:pPr>
            <w:r>
              <w:rPr>
                <w:rFonts w:ascii="宋体" w:hAnsi="宋体" w:eastAsia="宋体" w:cs="宋体"/>
                <w:b w:val="0"/>
              </w:rPr>
              <w:t>86,557.73</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24</w:t>
            </w:r>
          </w:p>
        </w:tc>
        <w:tc>
          <w:tcPr>
            <w:tcW w:w="0" w:type="dxa"/>
            <w:vAlign w:val="center"/>
          </w:tcPr>
          <w:p>
            <w:pPr>
              <w:spacing w:line="240" w:lineRule="auto"/>
              <w:jc w:val="left"/>
            </w:pPr>
            <w:r>
              <w:rPr>
                <w:rFonts w:ascii="宋体" w:hAnsi="宋体" w:eastAsia="宋体" w:cs="宋体"/>
                <w:b w:val="0"/>
              </w:rPr>
              <w:t>688635</w:t>
            </w:r>
          </w:p>
        </w:tc>
        <w:tc>
          <w:tcPr>
            <w:tcW w:w="0" w:type="dxa"/>
            <w:vAlign w:val="center"/>
          </w:tcPr>
          <w:p>
            <w:pPr>
              <w:spacing w:line="240" w:lineRule="auto"/>
              <w:jc w:val="left"/>
            </w:pPr>
            <w:r>
              <w:rPr>
                <w:rFonts w:ascii="宋体" w:hAnsi="宋体" w:eastAsia="宋体" w:cs="宋体"/>
                <w:b w:val="0"/>
              </w:rPr>
              <w:t>长进光子</w:t>
            </w:r>
          </w:p>
        </w:tc>
        <w:tc>
          <w:tcPr>
            <w:tcW w:w="0" w:type="dxa"/>
            <w:vAlign w:val="center"/>
          </w:tcPr>
          <w:p>
            <w:pPr>
              <w:spacing w:line="240" w:lineRule="auto"/>
              <w:jc w:val="right"/>
            </w:pPr>
            <w:r>
              <w:rPr>
                <w:rFonts w:ascii="宋体" w:hAnsi="宋体" w:eastAsia="宋体" w:cs="宋体"/>
                <w:b w:val="0"/>
              </w:rPr>
              <w:t>77</w:t>
            </w:r>
          </w:p>
        </w:tc>
        <w:tc>
          <w:tcPr>
            <w:tcW w:w="0" w:type="dxa"/>
            <w:vAlign w:val="center"/>
          </w:tcPr>
          <w:p>
            <w:pPr>
              <w:spacing w:line="240" w:lineRule="auto"/>
              <w:jc w:val="right"/>
            </w:pPr>
            <w:r>
              <w:rPr>
                <w:rFonts w:ascii="宋体" w:hAnsi="宋体" w:eastAsia="宋体" w:cs="宋体"/>
                <w:b w:val="0"/>
              </w:rPr>
              <w:t>23,730.63</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25</w:t>
            </w:r>
          </w:p>
        </w:tc>
        <w:tc>
          <w:tcPr>
            <w:tcW w:w="0" w:type="dxa"/>
            <w:vAlign w:val="center"/>
          </w:tcPr>
          <w:p>
            <w:pPr>
              <w:spacing w:line="240" w:lineRule="auto"/>
              <w:jc w:val="left"/>
            </w:pPr>
            <w:r>
              <w:rPr>
                <w:rFonts w:ascii="宋体" w:hAnsi="宋体" w:eastAsia="宋体" w:cs="宋体"/>
                <w:b w:val="0"/>
              </w:rPr>
              <w:t>001365</w:t>
            </w:r>
          </w:p>
        </w:tc>
        <w:tc>
          <w:tcPr>
            <w:tcW w:w="0" w:type="dxa"/>
            <w:vAlign w:val="center"/>
          </w:tcPr>
          <w:p>
            <w:pPr>
              <w:spacing w:line="240" w:lineRule="auto"/>
              <w:jc w:val="left"/>
            </w:pPr>
            <w:r>
              <w:rPr>
                <w:rFonts w:ascii="宋体" w:hAnsi="宋体" w:eastAsia="宋体" w:cs="宋体"/>
                <w:b w:val="0"/>
              </w:rPr>
              <w:t>天海电子</w:t>
            </w:r>
          </w:p>
        </w:tc>
        <w:tc>
          <w:tcPr>
            <w:tcW w:w="0" w:type="dxa"/>
            <w:vAlign w:val="center"/>
          </w:tcPr>
          <w:p>
            <w:pPr>
              <w:spacing w:line="240" w:lineRule="auto"/>
              <w:jc w:val="right"/>
            </w:pPr>
            <w:r>
              <w:rPr>
                <w:rFonts w:ascii="宋体" w:hAnsi="宋体" w:eastAsia="宋体" w:cs="宋体"/>
                <w:b w:val="0"/>
              </w:rPr>
              <w:t>631</w:t>
            </w:r>
          </w:p>
        </w:tc>
        <w:tc>
          <w:tcPr>
            <w:tcW w:w="0" w:type="dxa"/>
            <w:vAlign w:val="center"/>
          </w:tcPr>
          <w:p>
            <w:pPr>
              <w:spacing w:line="240" w:lineRule="auto"/>
              <w:jc w:val="right"/>
            </w:pPr>
            <w:r>
              <w:rPr>
                <w:rFonts w:ascii="宋体" w:hAnsi="宋体" w:eastAsia="宋体" w:cs="宋体"/>
                <w:b w:val="0"/>
              </w:rPr>
              <w:t>23,280.20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26</w:t>
            </w:r>
          </w:p>
        </w:tc>
        <w:tc>
          <w:tcPr>
            <w:tcW w:w="0" w:type="dxa"/>
            <w:vAlign w:val="center"/>
          </w:tcPr>
          <w:p>
            <w:pPr>
              <w:spacing w:line="240" w:lineRule="auto"/>
              <w:jc w:val="left"/>
            </w:pPr>
            <w:r>
              <w:rPr>
                <w:rFonts w:ascii="宋体" w:hAnsi="宋体" w:eastAsia="宋体" w:cs="宋体"/>
                <w:b w:val="0"/>
              </w:rPr>
              <w:t>001393</w:t>
            </w:r>
          </w:p>
        </w:tc>
        <w:tc>
          <w:tcPr>
            <w:tcW w:w="0" w:type="dxa"/>
            <w:vAlign w:val="center"/>
          </w:tcPr>
          <w:p>
            <w:pPr>
              <w:spacing w:line="240" w:lineRule="auto"/>
              <w:jc w:val="left"/>
            </w:pPr>
            <w:r>
              <w:rPr>
                <w:rFonts w:ascii="宋体" w:hAnsi="宋体" w:eastAsia="宋体" w:cs="宋体"/>
                <w:b w:val="0"/>
              </w:rPr>
              <w:t>维通利</w:t>
            </w:r>
          </w:p>
        </w:tc>
        <w:tc>
          <w:tcPr>
            <w:tcW w:w="0" w:type="dxa"/>
            <w:vAlign w:val="center"/>
          </w:tcPr>
          <w:p>
            <w:pPr>
              <w:spacing w:line="240" w:lineRule="auto"/>
              <w:jc w:val="right"/>
            </w:pPr>
            <w:r>
              <w:rPr>
                <w:rFonts w:ascii="宋体" w:hAnsi="宋体" w:eastAsia="宋体" w:cs="宋体"/>
                <w:b w:val="0"/>
              </w:rPr>
              <w:t>446</w:t>
            </w:r>
          </w:p>
        </w:tc>
        <w:tc>
          <w:tcPr>
            <w:tcW w:w="0" w:type="dxa"/>
            <w:vAlign w:val="center"/>
          </w:tcPr>
          <w:p>
            <w:pPr>
              <w:spacing w:line="240" w:lineRule="auto"/>
              <w:jc w:val="right"/>
            </w:pPr>
            <w:r>
              <w:rPr>
                <w:rFonts w:ascii="宋体" w:hAnsi="宋体" w:eastAsia="宋体" w:cs="宋体"/>
                <w:b w:val="0"/>
              </w:rPr>
              <w:t>21,966.58</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27</w:t>
            </w:r>
          </w:p>
        </w:tc>
        <w:tc>
          <w:tcPr>
            <w:tcW w:w="0" w:type="dxa"/>
            <w:vAlign w:val="center"/>
          </w:tcPr>
          <w:p>
            <w:pPr>
              <w:spacing w:line="240" w:lineRule="auto"/>
              <w:jc w:val="left"/>
            </w:pPr>
            <w:r>
              <w:rPr>
                <w:rFonts w:ascii="宋体" w:hAnsi="宋体" w:eastAsia="宋体" w:cs="宋体"/>
                <w:b w:val="0"/>
              </w:rPr>
              <w:t>688411</w:t>
            </w:r>
          </w:p>
        </w:tc>
        <w:tc>
          <w:tcPr>
            <w:tcW w:w="0" w:type="dxa"/>
            <w:vAlign w:val="center"/>
          </w:tcPr>
          <w:p>
            <w:pPr>
              <w:spacing w:line="240" w:lineRule="auto"/>
              <w:jc w:val="left"/>
            </w:pPr>
            <w:r>
              <w:rPr>
                <w:rFonts w:ascii="宋体" w:hAnsi="宋体" w:eastAsia="宋体" w:cs="宋体"/>
                <w:b w:val="0"/>
              </w:rPr>
              <w:t>海博思创</w:t>
            </w:r>
          </w:p>
        </w:tc>
        <w:tc>
          <w:tcPr>
            <w:tcW w:w="0" w:type="dxa"/>
            <w:vAlign w:val="center"/>
          </w:tcPr>
          <w:p>
            <w:pPr>
              <w:spacing w:line="240" w:lineRule="auto"/>
              <w:jc w:val="right"/>
            </w:pPr>
            <w:r>
              <w:rPr>
                <w:rFonts w:ascii="宋体" w:hAnsi="宋体" w:eastAsia="宋体" w:cs="宋体"/>
                <w:b w:val="0"/>
              </w:rPr>
              <w:t>72</w:t>
            </w:r>
          </w:p>
        </w:tc>
        <w:tc>
          <w:tcPr>
            <w:tcW w:w="0" w:type="dxa"/>
            <w:vAlign w:val="center"/>
          </w:tcPr>
          <w:p>
            <w:pPr>
              <w:spacing w:line="240" w:lineRule="auto"/>
              <w:jc w:val="right"/>
            </w:pPr>
            <w:r>
              <w:rPr>
                <w:rFonts w:ascii="宋体" w:hAnsi="宋体" w:eastAsia="宋体" w:cs="宋体"/>
                <w:b w:val="0"/>
              </w:rPr>
              <w:t>20,966.40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28</w:t>
            </w:r>
          </w:p>
        </w:tc>
        <w:tc>
          <w:tcPr>
            <w:tcW w:w="0" w:type="dxa"/>
            <w:vAlign w:val="center"/>
          </w:tcPr>
          <w:p>
            <w:pPr>
              <w:spacing w:line="240" w:lineRule="auto"/>
              <w:jc w:val="left"/>
            </w:pPr>
            <w:r>
              <w:rPr>
                <w:rFonts w:ascii="宋体" w:hAnsi="宋体" w:eastAsia="宋体" w:cs="宋体"/>
                <w:b w:val="0"/>
              </w:rPr>
              <w:t>001237</w:t>
            </w:r>
          </w:p>
        </w:tc>
        <w:tc>
          <w:tcPr>
            <w:tcW w:w="0" w:type="dxa"/>
            <w:vAlign w:val="center"/>
          </w:tcPr>
          <w:p>
            <w:pPr>
              <w:spacing w:line="240" w:lineRule="auto"/>
              <w:jc w:val="left"/>
            </w:pPr>
            <w:r>
              <w:rPr>
                <w:rFonts w:ascii="宋体" w:hAnsi="宋体" w:eastAsia="宋体" w:cs="宋体"/>
                <w:b w:val="0"/>
              </w:rPr>
              <w:t>惠康科技</w:t>
            </w:r>
          </w:p>
        </w:tc>
        <w:tc>
          <w:tcPr>
            <w:tcW w:w="0" w:type="dxa"/>
            <w:vAlign w:val="center"/>
          </w:tcPr>
          <w:p>
            <w:pPr>
              <w:spacing w:line="240" w:lineRule="auto"/>
              <w:jc w:val="right"/>
            </w:pPr>
            <w:r>
              <w:rPr>
                <w:rFonts w:ascii="宋体" w:hAnsi="宋体" w:eastAsia="宋体" w:cs="宋体"/>
                <w:b w:val="0"/>
              </w:rPr>
              <w:t>258</w:t>
            </w:r>
          </w:p>
        </w:tc>
        <w:tc>
          <w:tcPr>
            <w:tcW w:w="0" w:type="dxa"/>
            <w:vAlign w:val="center"/>
          </w:tcPr>
          <w:p>
            <w:pPr>
              <w:spacing w:line="240" w:lineRule="auto"/>
              <w:jc w:val="right"/>
            </w:pPr>
            <w:r>
              <w:rPr>
                <w:rFonts w:ascii="宋体" w:hAnsi="宋体" w:eastAsia="宋体" w:cs="宋体"/>
                <w:b w:val="0"/>
              </w:rPr>
              <w:t>17,491.32</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29</w:t>
            </w:r>
          </w:p>
        </w:tc>
        <w:tc>
          <w:tcPr>
            <w:tcW w:w="0" w:type="dxa"/>
            <w:vAlign w:val="center"/>
          </w:tcPr>
          <w:p>
            <w:pPr>
              <w:spacing w:line="240" w:lineRule="auto"/>
              <w:jc w:val="left"/>
            </w:pPr>
            <w:r>
              <w:rPr>
                <w:rFonts w:ascii="宋体" w:hAnsi="宋体" w:eastAsia="宋体" w:cs="宋体"/>
                <w:b w:val="0"/>
              </w:rPr>
              <w:t>301669</w:t>
            </w:r>
          </w:p>
        </w:tc>
        <w:tc>
          <w:tcPr>
            <w:tcW w:w="0" w:type="dxa"/>
            <w:vAlign w:val="center"/>
          </w:tcPr>
          <w:p>
            <w:pPr>
              <w:spacing w:line="240" w:lineRule="auto"/>
              <w:jc w:val="left"/>
            </w:pPr>
            <w:r>
              <w:rPr>
                <w:rFonts w:ascii="宋体" w:hAnsi="宋体" w:eastAsia="宋体" w:cs="宋体"/>
                <w:b w:val="0"/>
              </w:rPr>
              <w:t>高特电子</w:t>
            </w:r>
          </w:p>
        </w:tc>
        <w:tc>
          <w:tcPr>
            <w:tcW w:w="0" w:type="dxa"/>
            <w:vAlign w:val="center"/>
          </w:tcPr>
          <w:p>
            <w:pPr>
              <w:spacing w:line="240" w:lineRule="auto"/>
              <w:jc w:val="right"/>
            </w:pPr>
            <w:r>
              <w:rPr>
                <w:rFonts w:ascii="宋体" w:hAnsi="宋体" w:eastAsia="宋体" w:cs="宋体"/>
                <w:b w:val="0"/>
              </w:rPr>
              <w:t>410</w:t>
            </w:r>
          </w:p>
        </w:tc>
        <w:tc>
          <w:tcPr>
            <w:tcW w:w="0" w:type="dxa"/>
            <w:vAlign w:val="center"/>
          </w:tcPr>
          <w:p>
            <w:pPr>
              <w:spacing w:line="240" w:lineRule="auto"/>
              <w:jc w:val="right"/>
            </w:pPr>
            <w:r>
              <w:rPr>
                <w:rFonts w:ascii="宋体" w:hAnsi="宋体" w:eastAsia="宋体" w:cs="宋体"/>
                <w:b w:val="0"/>
              </w:rPr>
              <w:t>11,644.00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30</w:t>
            </w:r>
          </w:p>
        </w:tc>
        <w:tc>
          <w:tcPr>
            <w:tcW w:w="0" w:type="dxa"/>
            <w:vAlign w:val="center"/>
          </w:tcPr>
          <w:p>
            <w:pPr>
              <w:spacing w:line="240" w:lineRule="auto"/>
              <w:jc w:val="left"/>
            </w:pPr>
            <w:r>
              <w:rPr>
                <w:rFonts w:ascii="宋体" w:hAnsi="宋体" w:eastAsia="宋体" w:cs="宋体"/>
                <w:b w:val="0"/>
              </w:rPr>
              <w:t>301531</w:t>
            </w:r>
          </w:p>
        </w:tc>
        <w:tc>
          <w:tcPr>
            <w:tcW w:w="0" w:type="dxa"/>
            <w:vAlign w:val="center"/>
          </w:tcPr>
          <w:p>
            <w:pPr>
              <w:spacing w:line="240" w:lineRule="auto"/>
              <w:jc w:val="left"/>
            </w:pPr>
            <w:r>
              <w:rPr>
                <w:rFonts w:ascii="宋体" w:hAnsi="宋体" w:eastAsia="宋体" w:cs="宋体"/>
                <w:b w:val="0"/>
              </w:rPr>
              <w:t>春光集团</w:t>
            </w:r>
          </w:p>
        </w:tc>
        <w:tc>
          <w:tcPr>
            <w:tcW w:w="0" w:type="dxa"/>
            <w:vAlign w:val="center"/>
          </w:tcPr>
          <w:p>
            <w:pPr>
              <w:spacing w:line="240" w:lineRule="auto"/>
              <w:jc w:val="right"/>
            </w:pPr>
            <w:r>
              <w:rPr>
                <w:rFonts w:ascii="宋体" w:hAnsi="宋体" w:eastAsia="宋体" w:cs="宋体"/>
                <w:b w:val="0"/>
              </w:rPr>
              <w:t>214</w:t>
            </w:r>
          </w:p>
        </w:tc>
        <w:tc>
          <w:tcPr>
            <w:tcW w:w="0" w:type="dxa"/>
            <w:vAlign w:val="center"/>
          </w:tcPr>
          <w:p>
            <w:pPr>
              <w:spacing w:line="240" w:lineRule="auto"/>
              <w:jc w:val="right"/>
            </w:pPr>
            <w:r>
              <w:rPr>
                <w:rFonts w:ascii="宋体" w:hAnsi="宋体" w:eastAsia="宋体" w:cs="宋体"/>
                <w:b w:val="0"/>
              </w:rPr>
              <w:t>11,033.84</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31</w:t>
            </w:r>
          </w:p>
        </w:tc>
        <w:tc>
          <w:tcPr>
            <w:tcW w:w="0" w:type="dxa"/>
            <w:vAlign w:val="center"/>
          </w:tcPr>
          <w:p>
            <w:pPr>
              <w:spacing w:line="240" w:lineRule="auto"/>
              <w:jc w:val="left"/>
            </w:pPr>
            <w:r>
              <w:rPr>
                <w:rFonts w:ascii="宋体" w:hAnsi="宋体" w:eastAsia="宋体" w:cs="宋体"/>
                <w:b w:val="0"/>
              </w:rPr>
              <w:t>301599</w:t>
            </w:r>
          </w:p>
        </w:tc>
        <w:tc>
          <w:tcPr>
            <w:tcW w:w="0" w:type="dxa"/>
            <w:vAlign w:val="center"/>
          </w:tcPr>
          <w:p>
            <w:pPr>
              <w:spacing w:line="240" w:lineRule="auto"/>
              <w:jc w:val="left"/>
            </w:pPr>
            <w:r>
              <w:rPr>
                <w:rFonts w:ascii="宋体" w:hAnsi="宋体" w:eastAsia="宋体" w:cs="宋体"/>
                <w:b w:val="0"/>
              </w:rPr>
              <w:t>理奇智能</w:t>
            </w:r>
          </w:p>
        </w:tc>
        <w:tc>
          <w:tcPr>
            <w:tcW w:w="0" w:type="dxa"/>
            <w:vAlign w:val="center"/>
          </w:tcPr>
          <w:p>
            <w:pPr>
              <w:spacing w:line="240" w:lineRule="auto"/>
              <w:jc w:val="right"/>
            </w:pPr>
            <w:r>
              <w:rPr>
                <w:rFonts w:ascii="宋体" w:hAnsi="宋体" w:eastAsia="宋体" w:cs="宋体"/>
                <w:b w:val="0"/>
              </w:rPr>
              <w:t>227</w:t>
            </w:r>
          </w:p>
        </w:tc>
        <w:tc>
          <w:tcPr>
            <w:tcW w:w="0" w:type="dxa"/>
            <w:vAlign w:val="center"/>
          </w:tcPr>
          <w:p>
            <w:pPr>
              <w:spacing w:line="240" w:lineRule="auto"/>
              <w:jc w:val="right"/>
            </w:pPr>
            <w:r>
              <w:rPr>
                <w:rFonts w:ascii="宋体" w:hAnsi="宋体" w:eastAsia="宋体" w:cs="宋体"/>
                <w:b w:val="0"/>
              </w:rPr>
              <w:t>7,370.69</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32</w:t>
            </w:r>
          </w:p>
        </w:tc>
        <w:tc>
          <w:tcPr>
            <w:tcW w:w="0" w:type="dxa"/>
            <w:vAlign w:val="center"/>
          </w:tcPr>
          <w:p>
            <w:pPr>
              <w:spacing w:line="240" w:lineRule="auto"/>
              <w:jc w:val="left"/>
            </w:pPr>
            <w:r>
              <w:rPr>
                <w:rFonts w:ascii="宋体" w:hAnsi="宋体" w:eastAsia="宋体" w:cs="宋体"/>
                <w:b w:val="0"/>
              </w:rPr>
              <w:t>02577</w:t>
            </w:r>
          </w:p>
        </w:tc>
        <w:tc>
          <w:tcPr>
            <w:tcW w:w="0" w:type="dxa"/>
            <w:vAlign w:val="center"/>
          </w:tcPr>
          <w:p>
            <w:pPr>
              <w:spacing w:line="240" w:lineRule="auto"/>
              <w:jc w:val="left"/>
            </w:pPr>
            <w:r>
              <w:rPr>
                <w:rFonts w:ascii="宋体" w:hAnsi="宋体" w:eastAsia="宋体" w:cs="宋体"/>
                <w:b w:val="0"/>
              </w:rPr>
              <w:t>英诺赛科</w:t>
            </w:r>
          </w:p>
        </w:tc>
        <w:tc>
          <w:tcPr>
            <w:tcW w:w="0" w:type="dxa"/>
            <w:vAlign w:val="center"/>
          </w:tcPr>
          <w:p>
            <w:pPr>
              <w:spacing w:line="240" w:lineRule="auto"/>
              <w:jc w:val="right"/>
            </w:pPr>
            <w:r>
              <w:rPr>
                <w:rFonts w:ascii="宋体" w:hAnsi="宋体" w:eastAsia="宋体" w:cs="宋体"/>
                <w:b w:val="0"/>
              </w:rPr>
              <w:t>100</w:t>
            </w:r>
          </w:p>
        </w:tc>
        <w:tc>
          <w:tcPr>
            <w:tcW w:w="0" w:type="dxa"/>
            <w:vAlign w:val="center"/>
          </w:tcPr>
          <w:p>
            <w:pPr>
              <w:spacing w:line="240" w:lineRule="auto"/>
              <w:jc w:val="right"/>
            </w:pPr>
            <w:r>
              <w:rPr>
                <w:rFonts w:ascii="宋体" w:hAnsi="宋体" w:eastAsia="宋体" w:cs="宋体"/>
                <w:b w:val="0"/>
              </w:rPr>
              <w:t>5,619.52</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33</w:t>
            </w:r>
          </w:p>
        </w:tc>
        <w:tc>
          <w:tcPr>
            <w:tcW w:w="0" w:type="dxa"/>
            <w:vAlign w:val="center"/>
          </w:tcPr>
          <w:p>
            <w:pPr>
              <w:spacing w:line="240" w:lineRule="auto"/>
              <w:jc w:val="left"/>
            </w:pPr>
            <w:r>
              <w:rPr>
                <w:rFonts w:ascii="宋体" w:hAnsi="宋体" w:eastAsia="宋体" w:cs="宋体"/>
                <w:b w:val="0"/>
              </w:rPr>
              <w:t>300617</w:t>
            </w:r>
          </w:p>
        </w:tc>
        <w:tc>
          <w:tcPr>
            <w:tcW w:w="0" w:type="dxa"/>
            <w:vAlign w:val="center"/>
          </w:tcPr>
          <w:p>
            <w:pPr>
              <w:spacing w:line="240" w:lineRule="auto"/>
              <w:jc w:val="left"/>
            </w:pPr>
            <w:r>
              <w:rPr>
                <w:rFonts w:ascii="宋体" w:hAnsi="宋体" w:eastAsia="宋体" w:cs="宋体"/>
                <w:b w:val="0"/>
              </w:rPr>
              <w:t>安靠智电</w:t>
            </w:r>
          </w:p>
        </w:tc>
        <w:tc>
          <w:tcPr>
            <w:tcW w:w="0" w:type="dxa"/>
            <w:vAlign w:val="center"/>
          </w:tcPr>
          <w:p>
            <w:pPr>
              <w:spacing w:line="240" w:lineRule="auto"/>
              <w:jc w:val="right"/>
            </w:pPr>
            <w:r>
              <w:rPr>
                <w:rFonts w:ascii="宋体" w:hAnsi="宋体" w:eastAsia="宋体" w:cs="宋体"/>
                <w:b w:val="0"/>
              </w:rPr>
              <w:t>80</w:t>
            </w:r>
          </w:p>
        </w:tc>
        <w:tc>
          <w:tcPr>
            <w:tcW w:w="0" w:type="dxa"/>
            <w:vAlign w:val="center"/>
          </w:tcPr>
          <w:p>
            <w:pPr>
              <w:spacing w:line="240" w:lineRule="auto"/>
              <w:jc w:val="right"/>
            </w:pPr>
            <w:r>
              <w:rPr>
                <w:rFonts w:ascii="宋体" w:hAnsi="宋体" w:eastAsia="宋体" w:cs="宋体"/>
                <w:b w:val="0"/>
              </w:rPr>
              <w:t>4,239.20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34</w:t>
            </w:r>
          </w:p>
        </w:tc>
        <w:tc>
          <w:tcPr>
            <w:tcW w:w="0" w:type="dxa"/>
            <w:vAlign w:val="center"/>
          </w:tcPr>
          <w:p>
            <w:pPr>
              <w:spacing w:line="240" w:lineRule="auto"/>
              <w:jc w:val="left"/>
            </w:pPr>
            <w:r>
              <w:rPr>
                <w:rFonts w:ascii="宋体" w:hAnsi="宋体" w:eastAsia="宋体" w:cs="宋体"/>
                <w:b w:val="0"/>
              </w:rPr>
              <w:t>603435</w:t>
            </w:r>
          </w:p>
        </w:tc>
        <w:tc>
          <w:tcPr>
            <w:tcW w:w="0" w:type="dxa"/>
            <w:vAlign w:val="center"/>
          </w:tcPr>
          <w:p>
            <w:pPr>
              <w:spacing w:line="240" w:lineRule="auto"/>
              <w:jc w:val="left"/>
            </w:pPr>
            <w:r>
              <w:rPr>
                <w:rFonts w:ascii="宋体" w:hAnsi="宋体" w:eastAsia="宋体" w:cs="宋体"/>
                <w:b w:val="0"/>
              </w:rPr>
              <w:t>嘉德利</w:t>
            </w:r>
          </w:p>
        </w:tc>
        <w:tc>
          <w:tcPr>
            <w:tcW w:w="0" w:type="dxa"/>
            <w:vAlign w:val="center"/>
          </w:tcPr>
          <w:p>
            <w:pPr>
              <w:spacing w:line="240" w:lineRule="auto"/>
              <w:jc w:val="right"/>
            </w:pPr>
            <w:r>
              <w:rPr>
                <w:rFonts w:ascii="宋体" w:hAnsi="宋体" w:eastAsia="宋体" w:cs="宋体"/>
                <w:b w:val="0"/>
              </w:rPr>
              <w:t>84</w:t>
            </w:r>
          </w:p>
        </w:tc>
        <w:tc>
          <w:tcPr>
            <w:tcW w:w="0" w:type="dxa"/>
            <w:vAlign w:val="center"/>
          </w:tcPr>
          <w:p>
            <w:pPr>
              <w:spacing w:line="240" w:lineRule="auto"/>
              <w:jc w:val="right"/>
            </w:pPr>
            <w:r>
              <w:rPr>
                <w:rFonts w:ascii="宋体" w:hAnsi="宋体" w:eastAsia="宋体" w:cs="宋体"/>
                <w:b w:val="0"/>
              </w:rPr>
              <w:t>3,923.64</w:t>
            </w:r>
          </w:p>
        </w:tc>
        <w:tc>
          <w:tcPr>
            <w:tcW w:w="0" w:type="dxa"/>
            <w:vAlign w:val="center"/>
          </w:tcPr>
          <w:p>
            <w:pPr>
              <w:spacing w:line="240" w:lineRule="auto"/>
              <w:jc w:val="right"/>
            </w:pPr>
            <w:r>
              <w:rPr>
                <w:rFonts w:ascii="宋体" w:hAnsi="宋体" w:eastAsia="宋体" w:cs="宋体"/>
                <w:b w:val="0"/>
              </w:rPr>
              <w:t>0.00</w:t>
            </w:r>
          </w:p>
        </w:tc>
      </w:tr>
    </w:tbl>
    <w:p/>
    <w:p>
      <w:pPr>
        <w:pStyle w:val="3"/>
        <w:jc w:val="left"/>
      </w:pPr>
      <w:bookmarkStart w:id="36" w:name="_Toc21865"/>
      <w:r>
        <w:rPr>
          <w:rFonts w:ascii="宋体" w:hAnsi="宋体" w:eastAsia="宋体" w:cs="宋体"/>
        </w:rPr>
        <w:t>7.4 报告期内股票投资组合的重大变动</w:t>
      </w:r>
      <w:bookmarkEnd w:id="36"/>
    </w:p>
    <w:p>
      <w:pPr>
        <w:pStyle w:val="58"/>
      </w:pPr>
      <w:r>
        <w:rPr>
          <w:rFonts w:ascii="宋体" w:hAnsi="宋体" w:eastAsia="宋体" w:cs="宋体"/>
          <w:b/>
        </w:rPr>
        <w:t>7.4.1 累计买入金额超出期初基金资产净值2%或前20名的股票明细</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769" w:type="pct"/>
            <w:shd w:val="clear" w:color="auto" w:fill="D9D9D9"/>
            <w:vAlign w:val="center"/>
          </w:tcPr>
          <w:p>
            <w:pPr>
              <w:spacing w:line="240" w:lineRule="auto"/>
              <w:jc w:val="center"/>
            </w:pPr>
            <w:r>
              <w:rPr>
                <w:rFonts w:ascii="宋体" w:hAnsi="宋体" w:eastAsia="宋体" w:cs="宋体"/>
                <w:b w:val="0"/>
              </w:rPr>
              <w:t>本期累计买入金额</w:t>
            </w:r>
          </w:p>
        </w:tc>
        <w:tc>
          <w:tcPr>
            <w:tcW w:w="1538" w:type="pct"/>
            <w:shd w:val="clear" w:color="auto" w:fill="D9D9D9"/>
            <w:vAlign w:val="center"/>
          </w:tcPr>
          <w:p>
            <w:pPr>
              <w:spacing w:line="240" w:lineRule="auto"/>
              <w:jc w:val="center"/>
            </w:pPr>
            <w:r>
              <w:rPr>
                <w:rFonts w:ascii="宋体" w:hAnsi="宋体" w:eastAsia="宋体" w:cs="宋体"/>
                <w:b w:val="0"/>
              </w:rPr>
              <w:t>占期初基金资产净值比例（％）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300136</w:t>
            </w:r>
          </w:p>
        </w:tc>
        <w:tc>
          <w:tcPr>
            <w:tcW w:w="0" w:type="dxa"/>
            <w:vAlign w:val="center"/>
          </w:tcPr>
          <w:p>
            <w:pPr>
              <w:spacing w:line="240" w:lineRule="auto"/>
              <w:jc w:val="left"/>
            </w:pPr>
            <w:r>
              <w:rPr>
                <w:rFonts w:ascii="宋体" w:hAnsi="宋体" w:eastAsia="宋体" w:cs="宋体"/>
                <w:b w:val="0"/>
              </w:rPr>
              <w:t>信维通信</w:t>
            </w:r>
          </w:p>
        </w:tc>
        <w:tc>
          <w:tcPr>
            <w:tcW w:w="0" w:type="dxa"/>
            <w:vAlign w:val="center"/>
          </w:tcPr>
          <w:p>
            <w:pPr>
              <w:spacing w:line="240" w:lineRule="auto"/>
              <w:jc w:val="right"/>
            </w:pPr>
            <w:r>
              <w:rPr>
                <w:rFonts w:ascii="宋体" w:hAnsi="宋体" w:eastAsia="宋体" w:cs="宋体"/>
                <w:b w:val="0"/>
              </w:rPr>
              <w:t>96,609,304.23</w:t>
            </w:r>
          </w:p>
        </w:tc>
        <w:tc>
          <w:tcPr>
            <w:tcW w:w="0" w:type="dxa"/>
            <w:vAlign w:val="center"/>
          </w:tcPr>
          <w:p>
            <w:pPr>
              <w:spacing w:line="240" w:lineRule="auto"/>
              <w:jc w:val="right"/>
            </w:pPr>
            <w:r>
              <w:rPr>
                <w:rFonts w:ascii="宋体" w:hAnsi="宋体" w:eastAsia="宋体" w:cs="宋体"/>
                <w:b w:val="0"/>
              </w:rPr>
              <w:t>342.95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300408</w:t>
            </w:r>
          </w:p>
        </w:tc>
        <w:tc>
          <w:tcPr>
            <w:tcW w:w="0" w:type="dxa"/>
            <w:vAlign w:val="center"/>
          </w:tcPr>
          <w:p>
            <w:pPr>
              <w:spacing w:line="240" w:lineRule="auto"/>
              <w:jc w:val="left"/>
            </w:pPr>
            <w:r>
              <w:rPr>
                <w:rFonts w:ascii="宋体" w:hAnsi="宋体" w:eastAsia="宋体" w:cs="宋体"/>
                <w:b w:val="0"/>
              </w:rPr>
              <w:t>三环集团</w:t>
            </w:r>
          </w:p>
        </w:tc>
        <w:tc>
          <w:tcPr>
            <w:tcW w:w="0" w:type="dxa"/>
            <w:vAlign w:val="center"/>
          </w:tcPr>
          <w:p>
            <w:pPr>
              <w:spacing w:line="240" w:lineRule="auto"/>
              <w:jc w:val="right"/>
            </w:pPr>
            <w:r>
              <w:rPr>
                <w:rFonts w:ascii="宋体" w:hAnsi="宋体" w:eastAsia="宋体" w:cs="宋体"/>
                <w:b w:val="0"/>
              </w:rPr>
              <w:t>90,797,719.68</w:t>
            </w:r>
          </w:p>
        </w:tc>
        <w:tc>
          <w:tcPr>
            <w:tcW w:w="0" w:type="dxa"/>
            <w:vAlign w:val="center"/>
          </w:tcPr>
          <w:p>
            <w:pPr>
              <w:spacing w:line="240" w:lineRule="auto"/>
              <w:jc w:val="right"/>
            </w:pPr>
            <w:r>
              <w:rPr>
                <w:rFonts w:ascii="宋体" w:hAnsi="宋体" w:eastAsia="宋体" w:cs="宋体"/>
                <w:b w:val="0"/>
              </w:rPr>
              <w:t>322.32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300806</w:t>
            </w:r>
          </w:p>
        </w:tc>
        <w:tc>
          <w:tcPr>
            <w:tcW w:w="0" w:type="dxa"/>
            <w:vAlign w:val="center"/>
          </w:tcPr>
          <w:p>
            <w:pPr>
              <w:spacing w:line="240" w:lineRule="auto"/>
              <w:jc w:val="left"/>
            </w:pPr>
            <w:r>
              <w:rPr>
                <w:rFonts w:ascii="宋体" w:hAnsi="宋体" w:eastAsia="宋体" w:cs="宋体"/>
                <w:b w:val="0"/>
              </w:rPr>
              <w:t>斯迪克</w:t>
            </w:r>
          </w:p>
        </w:tc>
        <w:tc>
          <w:tcPr>
            <w:tcW w:w="0" w:type="dxa"/>
            <w:vAlign w:val="center"/>
          </w:tcPr>
          <w:p>
            <w:pPr>
              <w:spacing w:line="240" w:lineRule="auto"/>
              <w:jc w:val="right"/>
            </w:pPr>
            <w:r>
              <w:rPr>
                <w:rFonts w:ascii="宋体" w:hAnsi="宋体" w:eastAsia="宋体" w:cs="宋体"/>
                <w:b w:val="0"/>
              </w:rPr>
              <w:t>85,061,868.38</w:t>
            </w:r>
          </w:p>
        </w:tc>
        <w:tc>
          <w:tcPr>
            <w:tcW w:w="0" w:type="dxa"/>
            <w:vAlign w:val="center"/>
          </w:tcPr>
          <w:p>
            <w:pPr>
              <w:spacing w:line="240" w:lineRule="auto"/>
              <w:jc w:val="right"/>
            </w:pPr>
            <w:r>
              <w:rPr>
                <w:rFonts w:ascii="宋体" w:hAnsi="宋体" w:eastAsia="宋体" w:cs="宋体"/>
                <w:b w:val="0"/>
              </w:rPr>
              <w:t>301.96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605376</w:t>
            </w:r>
          </w:p>
        </w:tc>
        <w:tc>
          <w:tcPr>
            <w:tcW w:w="0" w:type="dxa"/>
            <w:vAlign w:val="center"/>
          </w:tcPr>
          <w:p>
            <w:pPr>
              <w:spacing w:line="240" w:lineRule="auto"/>
              <w:jc w:val="left"/>
            </w:pPr>
            <w:r>
              <w:rPr>
                <w:rFonts w:ascii="宋体" w:hAnsi="宋体" w:eastAsia="宋体" w:cs="宋体"/>
                <w:b w:val="0"/>
              </w:rPr>
              <w:t>博迁新材</w:t>
            </w:r>
          </w:p>
        </w:tc>
        <w:tc>
          <w:tcPr>
            <w:tcW w:w="0" w:type="dxa"/>
            <w:vAlign w:val="center"/>
          </w:tcPr>
          <w:p>
            <w:pPr>
              <w:spacing w:line="240" w:lineRule="auto"/>
              <w:jc w:val="right"/>
            </w:pPr>
            <w:r>
              <w:rPr>
                <w:rFonts w:ascii="宋体" w:hAnsi="宋体" w:eastAsia="宋体" w:cs="宋体"/>
                <w:b w:val="0"/>
              </w:rPr>
              <w:t>85,014,220.00</w:t>
            </w:r>
          </w:p>
        </w:tc>
        <w:tc>
          <w:tcPr>
            <w:tcW w:w="0" w:type="dxa"/>
            <w:vAlign w:val="center"/>
          </w:tcPr>
          <w:p>
            <w:pPr>
              <w:spacing w:line="240" w:lineRule="auto"/>
              <w:jc w:val="right"/>
            </w:pPr>
            <w:r>
              <w:rPr>
                <w:rFonts w:ascii="宋体" w:hAnsi="宋体" w:eastAsia="宋体" w:cs="宋体"/>
                <w:b w:val="0"/>
              </w:rPr>
              <w:t>301.79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300285</w:t>
            </w:r>
          </w:p>
        </w:tc>
        <w:tc>
          <w:tcPr>
            <w:tcW w:w="0" w:type="dxa"/>
            <w:vAlign w:val="center"/>
          </w:tcPr>
          <w:p>
            <w:pPr>
              <w:spacing w:line="240" w:lineRule="auto"/>
              <w:jc w:val="left"/>
            </w:pPr>
            <w:r>
              <w:rPr>
                <w:rFonts w:ascii="宋体" w:hAnsi="宋体" w:eastAsia="宋体" w:cs="宋体"/>
                <w:b w:val="0"/>
              </w:rPr>
              <w:t>国瓷材料</w:t>
            </w:r>
          </w:p>
        </w:tc>
        <w:tc>
          <w:tcPr>
            <w:tcW w:w="0" w:type="dxa"/>
            <w:vAlign w:val="center"/>
          </w:tcPr>
          <w:p>
            <w:pPr>
              <w:spacing w:line="240" w:lineRule="auto"/>
              <w:jc w:val="right"/>
            </w:pPr>
            <w:r>
              <w:rPr>
                <w:rFonts w:ascii="宋体" w:hAnsi="宋体" w:eastAsia="宋体" w:cs="宋体"/>
                <w:b w:val="0"/>
              </w:rPr>
              <w:t>78,514,190.51</w:t>
            </w:r>
          </w:p>
        </w:tc>
        <w:tc>
          <w:tcPr>
            <w:tcW w:w="0" w:type="dxa"/>
            <w:vAlign w:val="center"/>
          </w:tcPr>
          <w:p>
            <w:pPr>
              <w:spacing w:line="240" w:lineRule="auto"/>
              <w:jc w:val="right"/>
            </w:pPr>
            <w:r>
              <w:rPr>
                <w:rFonts w:ascii="宋体" w:hAnsi="宋体" w:eastAsia="宋体" w:cs="宋体"/>
                <w:b w:val="0"/>
              </w:rPr>
              <w:t>278.71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002484</w:t>
            </w:r>
          </w:p>
        </w:tc>
        <w:tc>
          <w:tcPr>
            <w:tcW w:w="0" w:type="dxa"/>
            <w:vAlign w:val="center"/>
          </w:tcPr>
          <w:p>
            <w:pPr>
              <w:spacing w:line="240" w:lineRule="auto"/>
              <w:jc w:val="left"/>
            </w:pPr>
            <w:r>
              <w:rPr>
                <w:rFonts w:ascii="宋体" w:hAnsi="宋体" w:eastAsia="宋体" w:cs="宋体"/>
                <w:b w:val="0"/>
              </w:rPr>
              <w:t>江海股份</w:t>
            </w:r>
          </w:p>
        </w:tc>
        <w:tc>
          <w:tcPr>
            <w:tcW w:w="0" w:type="dxa"/>
            <w:vAlign w:val="center"/>
          </w:tcPr>
          <w:p>
            <w:pPr>
              <w:spacing w:line="240" w:lineRule="auto"/>
              <w:jc w:val="right"/>
            </w:pPr>
            <w:r>
              <w:rPr>
                <w:rFonts w:ascii="宋体" w:hAnsi="宋体" w:eastAsia="宋体" w:cs="宋体"/>
                <w:b w:val="0"/>
              </w:rPr>
              <w:t>76,198,138.71</w:t>
            </w:r>
          </w:p>
        </w:tc>
        <w:tc>
          <w:tcPr>
            <w:tcW w:w="0" w:type="dxa"/>
            <w:vAlign w:val="center"/>
          </w:tcPr>
          <w:p>
            <w:pPr>
              <w:spacing w:line="240" w:lineRule="auto"/>
              <w:jc w:val="right"/>
            </w:pPr>
            <w:r>
              <w:rPr>
                <w:rFonts w:ascii="宋体" w:hAnsi="宋体" w:eastAsia="宋体" w:cs="宋体"/>
                <w:b w:val="0"/>
              </w:rPr>
              <w:t>270.49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002859</w:t>
            </w:r>
          </w:p>
        </w:tc>
        <w:tc>
          <w:tcPr>
            <w:tcW w:w="0" w:type="dxa"/>
            <w:vAlign w:val="center"/>
          </w:tcPr>
          <w:p>
            <w:pPr>
              <w:spacing w:line="240" w:lineRule="auto"/>
              <w:jc w:val="left"/>
            </w:pPr>
            <w:r>
              <w:rPr>
                <w:rFonts w:ascii="宋体" w:hAnsi="宋体" w:eastAsia="宋体" w:cs="宋体"/>
                <w:b w:val="0"/>
              </w:rPr>
              <w:t>洁美科技</w:t>
            </w:r>
          </w:p>
        </w:tc>
        <w:tc>
          <w:tcPr>
            <w:tcW w:w="0" w:type="dxa"/>
            <w:vAlign w:val="center"/>
          </w:tcPr>
          <w:p>
            <w:pPr>
              <w:spacing w:line="240" w:lineRule="auto"/>
              <w:jc w:val="right"/>
            </w:pPr>
            <w:r>
              <w:rPr>
                <w:rFonts w:ascii="宋体" w:hAnsi="宋体" w:eastAsia="宋体" w:cs="宋体"/>
                <w:b w:val="0"/>
              </w:rPr>
              <w:t>72,479,543.74</w:t>
            </w:r>
          </w:p>
        </w:tc>
        <w:tc>
          <w:tcPr>
            <w:tcW w:w="0" w:type="dxa"/>
            <w:vAlign w:val="center"/>
          </w:tcPr>
          <w:p>
            <w:pPr>
              <w:spacing w:line="240" w:lineRule="auto"/>
              <w:jc w:val="right"/>
            </w:pPr>
            <w:r>
              <w:rPr>
                <w:rFonts w:ascii="宋体" w:hAnsi="宋体" w:eastAsia="宋体" w:cs="宋体"/>
                <w:b w:val="0"/>
              </w:rPr>
              <w:t>257.29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300975</w:t>
            </w:r>
          </w:p>
        </w:tc>
        <w:tc>
          <w:tcPr>
            <w:tcW w:w="0" w:type="dxa"/>
            <w:vAlign w:val="center"/>
          </w:tcPr>
          <w:p>
            <w:pPr>
              <w:spacing w:line="240" w:lineRule="auto"/>
              <w:jc w:val="left"/>
            </w:pPr>
            <w:r>
              <w:rPr>
                <w:rFonts w:ascii="宋体" w:hAnsi="宋体" w:eastAsia="宋体" w:cs="宋体"/>
                <w:b w:val="0"/>
              </w:rPr>
              <w:t>商络电子</w:t>
            </w:r>
          </w:p>
        </w:tc>
        <w:tc>
          <w:tcPr>
            <w:tcW w:w="0" w:type="dxa"/>
            <w:vAlign w:val="center"/>
          </w:tcPr>
          <w:p>
            <w:pPr>
              <w:spacing w:line="240" w:lineRule="auto"/>
              <w:jc w:val="right"/>
            </w:pPr>
            <w:r>
              <w:rPr>
                <w:rFonts w:ascii="宋体" w:hAnsi="宋体" w:eastAsia="宋体" w:cs="宋体"/>
                <w:b w:val="0"/>
              </w:rPr>
              <w:t>72,169,250.66</w:t>
            </w:r>
          </w:p>
        </w:tc>
        <w:tc>
          <w:tcPr>
            <w:tcW w:w="0" w:type="dxa"/>
            <w:vAlign w:val="center"/>
          </w:tcPr>
          <w:p>
            <w:pPr>
              <w:spacing w:line="240" w:lineRule="auto"/>
              <w:jc w:val="right"/>
            </w:pPr>
            <w:r>
              <w:rPr>
                <w:rFonts w:ascii="宋体" w:hAnsi="宋体" w:eastAsia="宋体" w:cs="宋体"/>
                <w:b w:val="0"/>
              </w:rPr>
              <w:t>256.19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688200</w:t>
            </w:r>
          </w:p>
        </w:tc>
        <w:tc>
          <w:tcPr>
            <w:tcW w:w="0" w:type="dxa"/>
            <w:vAlign w:val="center"/>
          </w:tcPr>
          <w:p>
            <w:pPr>
              <w:spacing w:line="240" w:lineRule="auto"/>
              <w:jc w:val="left"/>
            </w:pPr>
            <w:r>
              <w:rPr>
                <w:rFonts w:ascii="宋体" w:hAnsi="宋体" w:eastAsia="宋体" w:cs="宋体"/>
                <w:b w:val="0"/>
              </w:rPr>
              <w:t>华峰测控</w:t>
            </w:r>
          </w:p>
        </w:tc>
        <w:tc>
          <w:tcPr>
            <w:tcW w:w="0" w:type="dxa"/>
            <w:vAlign w:val="center"/>
          </w:tcPr>
          <w:p>
            <w:pPr>
              <w:spacing w:line="240" w:lineRule="auto"/>
              <w:jc w:val="right"/>
            </w:pPr>
            <w:r>
              <w:rPr>
                <w:rFonts w:ascii="宋体" w:hAnsi="宋体" w:eastAsia="宋体" w:cs="宋体"/>
                <w:b w:val="0"/>
              </w:rPr>
              <w:t>62,015,504.44</w:t>
            </w:r>
          </w:p>
        </w:tc>
        <w:tc>
          <w:tcPr>
            <w:tcW w:w="0" w:type="dxa"/>
            <w:vAlign w:val="center"/>
          </w:tcPr>
          <w:p>
            <w:pPr>
              <w:spacing w:line="240" w:lineRule="auto"/>
              <w:jc w:val="right"/>
            </w:pPr>
            <w:r>
              <w:rPr>
                <w:rFonts w:ascii="宋体" w:hAnsi="宋体" w:eastAsia="宋体" w:cs="宋体"/>
                <w:b w:val="0"/>
              </w:rPr>
              <w:t>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000636</w:t>
            </w:r>
          </w:p>
        </w:tc>
        <w:tc>
          <w:tcPr>
            <w:tcW w:w="0" w:type="dxa"/>
            <w:vAlign w:val="center"/>
          </w:tcPr>
          <w:p>
            <w:pPr>
              <w:spacing w:line="240" w:lineRule="auto"/>
              <w:jc w:val="left"/>
            </w:pPr>
            <w:r>
              <w:rPr>
                <w:rFonts w:ascii="宋体" w:hAnsi="宋体" w:eastAsia="宋体" w:cs="宋体"/>
                <w:b w:val="0"/>
              </w:rPr>
              <w:t>风华高科</w:t>
            </w:r>
          </w:p>
        </w:tc>
        <w:tc>
          <w:tcPr>
            <w:tcW w:w="0" w:type="dxa"/>
            <w:vAlign w:val="center"/>
          </w:tcPr>
          <w:p>
            <w:pPr>
              <w:spacing w:line="240" w:lineRule="auto"/>
              <w:jc w:val="right"/>
            </w:pPr>
            <w:r>
              <w:rPr>
                <w:rFonts w:ascii="宋体" w:hAnsi="宋体" w:eastAsia="宋体" w:cs="宋体"/>
                <w:b w:val="0"/>
              </w:rPr>
              <w:t>58,631,952.51</w:t>
            </w:r>
          </w:p>
        </w:tc>
        <w:tc>
          <w:tcPr>
            <w:tcW w:w="0" w:type="dxa"/>
            <w:vAlign w:val="center"/>
          </w:tcPr>
          <w:p>
            <w:pPr>
              <w:spacing w:line="240" w:lineRule="auto"/>
              <w:jc w:val="right"/>
            </w:pPr>
            <w:r>
              <w:rPr>
                <w:rFonts w:ascii="宋体" w:hAnsi="宋体" w:eastAsia="宋体" w:cs="宋体"/>
                <w:b w:val="0"/>
              </w:rPr>
              <w:t>208.13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002138</w:t>
            </w:r>
          </w:p>
        </w:tc>
        <w:tc>
          <w:tcPr>
            <w:tcW w:w="0" w:type="dxa"/>
            <w:vAlign w:val="center"/>
          </w:tcPr>
          <w:p>
            <w:pPr>
              <w:spacing w:line="240" w:lineRule="auto"/>
              <w:jc w:val="left"/>
            </w:pPr>
            <w:r>
              <w:rPr>
                <w:rFonts w:ascii="宋体" w:hAnsi="宋体" w:eastAsia="宋体" w:cs="宋体"/>
                <w:b w:val="0"/>
              </w:rPr>
              <w:t>顺络电子</w:t>
            </w:r>
          </w:p>
        </w:tc>
        <w:tc>
          <w:tcPr>
            <w:tcW w:w="0" w:type="dxa"/>
            <w:vAlign w:val="center"/>
          </w:tcPr>
          <w:p>
            <w:pPr>
              <w:spacing w:line="240" w:lineRule="auto"/>
              <w:jc w:val="right"/>
            </w:pPr>
            <w:r>
              <w:rPr>
                <w:rFonts w:ascii="宋体" w:hAnsi="宋体" w:eastAsia="宋体" w:cs="宋体"/>
                <w:b w:val="0"/>
              </w:rPr>
              <w:t>58,106,904.00</w:t>
            </w:r>
          </w:p>
        </w:tc>
        <w:tc>
          <w:tcPr>
            <w:tcW w:w="0" w:type="dxa"/>
            <w:vAlign w:val="center"/>
          </w:tcPr>
          <w:p>
            <w:pPr>
              <w:spacing w:line="240" w:lineRule="auto"/>
              <w:jc w:val="right"/>
            </w:pPr>
            <w:r>
              <w:rPr>
                <w:rFonts w:ascii="宋体" w:hAnsi="宋体" w:eastAsia="宋体" w:cs="宋体"/>
                <w:b w:val="0"/>
              </w:rPr>
              <w:t>206.27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603678</w:t>
            </w:r>
          </w:p>
        </w:tc>
        <w:tc>
          <w:tcPr>
            <w:tcW w:w="0" w:type="dxa"/>
            <w:vAlign w:val="center"/>
          </w:tcPr>
          <w:p>
            <w:pPr>
              <w:spacing w:line="240" w:lineRule="auto"/>
              <w:jc w:val="left"/>
            </w:pPr>
            <w:r>
              <w:rPr>
                <w:rFonts w:ascii="宋体" w:hAnsi="宋体" w:eastAsia="宋体" w:cs="宋体"/>
                <w:b w:val="0"/>
              </w:rPr>
              <w:t>火炬电子</w:t>
            </w:r>
          </w:p>
        </w:tc>
        <w:tc>
          <w:tcPr>
            <w:tcW w:w="0" w:type="dxa"/>
            <w:vAlign w:val="center"/>
          </w:tcPr>
          <w:p>
            <w:pPr>
              <w:spacing w:line="240" w:lineRule="auto"/>
              <w:jc w:val="right"/>
            </w:pPr>
            <w:r>
              <w:rPr>
                <w:rFonts w:ascii="宋体" w:hAnsi="宋体" w:eastAsia="宋体" w:cs="宋体"/>
                <w:b w:val="0"/>
              </w:rPr>
              <w:t>46,666,597.00</w:t>
            </w:r>
          </w:p>
        </w:tc>
        <w:tc>
          <w:tcPr>
            <w:tcW w:w="0" w:type="dxa"/>
            <w:vAlign w:val="center"/>
          </w:tcPr>
          <w:p>
            <w:pPr>
              <w:spacing w:line="240" w:lineRule="auto"/>
              <w:jc w:val="right"/>
            </w:pPr>
            <w:r>
              <w:rPr>
                <w:rFonts w:ascii="宋体" w:hAnsi="宋体" w:eastAsia="宋体" w:cs="宋体"/>
                <w:b w:val="0"/>
              </w:rPr>
              <w:t>165.66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600549</w:t>
            </w:r>
          </w:p>
        </w:tc>
        <w:tc>
          <w:tcPr>
            <w:tcW w:w="0" w:type="dxa"/>
            <w:vAlign w:val="center"/>
          </w:tcPr>
          <w:p>
            <w:pPr>
              <w:spacing w:line="240" w:lineRule="auto"/>
              <w:jc w:val="left"/>
            </w:pPr>
            <w:r>
              <w:rPr>
                <w:rFonts w:ascii="宋体" w:hAnsi="宋体" w:eastAsia="宋体" w:cs="宋体"/>
                <w:b w:val="0"/>
              </w:rPr>
              <w:t>厦门钨业</w:t>
            </w:r>
          </w:p>
        </w:tc>
        <w:tc>
          <w:tcPr>
            <w:tcW w:w="0" w:type="dxa"/>
            <w:vAlign w:val="center"/>
          </w:tcPr>
          <w:p>
            <w:pPr>
              <w:spacing w:line="240" w:lineRule="auto"/>
              <w:jc w:val="right"/>
            </w:pPr>
            <w:r>
              <w:rPr>
                <w:rFonts w:ascii="宋体" w:hAnsi="宋体" w:eastAsia="宋体" w:cs="宋体"/>
                <w:b w:val="0"/>
              </w:rPr>
              <w:t>44,766,481.20</w:t>
            </w:r>
          </w:p>
        </w:tc>
        <w:tc>
          <w:tcPr>
            <w:tcW w:w="0" w:type="dxa"/>
            <w:vAlign w:val="center"/>
          </w:tcPr>
          <w:p>
            <w:pPr>
              <w:spacing w:line="240" w:lineRule="auto"/>
              <w:jc w:val="right"/>
            </w:pPr>
            <w:r>
              <w:rPr>
                <w:rFonts w:ascii="宋体" w:hAnsi="宋体" w:eastAsia="宋体" w:cs="宋体"/>
                <w:b w:val="0"/>
              </w:rPr>
              <w:t>158.91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301013</w:t>
            </w:r>
          </w:p>
        </w:tc>
        <w:tc>
          <w:tcPr>
            <w:tcW w:w="0" w:type="dxa"/>
            <w:vAlign w:val="center"/>
          </w:tcPr>
          <w:p>
            <w:pPr>
              <w:spacing w:line="240" w:lineRule="auto"/>
              <w:jc w:val="left"/>
            </w:pPr>
            <w:r>
              <w:rPr>
                <w:rFonts w:ascii="宋体" w:hAnsi="宋体" w:eastAsia="宋体" w:cs="宋体"/>
                <w:b w:val="0"/>
              </w:rPr>
              <w:t>利和兴</w:t>
            </w:r>
          </w:p>
        </w:tc>
        <w:tc>
          <w:tcPr>
            <w:tcW w:w="0" w:type="dxa"/>
            <w:vAlign w:val="center"/>
          </w:tcPr>
          <w:p>
            <w:pPr>
              <w:spacing w:line="240" w:lineRule="auto"/>
              <w:jc w:val="right"/>
            </w:pPr>
            <w:r>
              <w:rPr>
                <w:rFonts w:ascii="宋体" w:hAnsi="宋体" w:eastAsia="宋体" w:cs="宋体"/>
                <w:b w:val="0"/>
              </w:rPr>
              <w:t>42,664,312.50</w:t>
            </w:r>
          </w:p>
        </w:tc>
        <w:tc>
          <w:tcPr>
            <w:tcW w:w="0" w:type="dxa"/>
            <w:vAlign w:val="center"/>
          </w:tcPr>
          <w:p>
            <w:pPr>
              <w:spacing w:line="240" w:lineRule="auto"/>
              <w:jc w:val="right"/>
            </w:pPr>
            <w:r>
              <w:rPr>
                <w:rFonts w:ascii="宋体" w:hAnsi="宋体" w:eastAsia="宋体" w:cs="宋体"/>
                <w:b w:val="0"/>
              </w:rPr>
              <w:t>151.45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000811</w:t>
            </w:r>
          </w:p>
        </w:tc>
        <w:tc>
          <w:tcPr>
            <w:tcW w:w="0" w:type="dxa"/>
            <w:vAlign w:val="center"/>
          </w:tcPr>
          <w:p>
            <w:pPr>
              <w:spacing w:line="240" w:lineRule="auto"/>
              <w:jc w:val="left"/>
            </w:pPr>
            <w:r>
              <w:rPr>
                <w:rFonts w:ascii="宋体" w:hAnsi="宋体" w:eastAsia="宋体" w:cs="宋体"/>
                <w:b w:val="0"/>
              </w:rPr>
              <w:t>冰轮环境</w:t>
            </w:r>
          </w:p>
        </w:tc>
        <w:tc>
          <w:tcPr>
            <w:tcW w:w="0" w:type="dxa"/>
            <w:vAlign w:val="center"/>
          </w:tcPr>
          <w:p>
            <w:pPr>
              <w:spacing w:line="240" w:lineRule="auto"/>
              <w:jc w:val="right"/>
            </w:pPr>
            <w:r>
              <w:rPr>
                <w:rFonts w:ascii="宋体" w:hAnsi="宋体" w:eastAsia="宋体" w:cs="宋体"/>
                <w:b w:val="0"/>
              </w:rPr>
              <w:t>41,563,881.22</w:t>
            </w:r>
          </w:p>
        </w:tc>
        <w:tc>
          <w:tcPr>
            <w:tcW w:w="0" w:type="dxa"/>
            <w:vAlign w:val="center"/>
          </w:tcPr>
          <w:p>
            <w:pPr>
              <w:spacing w:line="240" w:lineRule="auto"/>
              <w:jc w:val="right"/>
            </w:pPr>
            <w:r>
              <w:rPr>
                <w:rFonts w:ascii="宋体" w:hAnsi="宋体" w:eastAsia="宋体" w:cs="宋体"/>
                <w:b w:val="0"/>
              </w:rPr>
              <w:t>147.55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300943</w:t>
            </w:r>
          </w:p>
        </w:tc>
        <w:tc>
          <w:tcPr>
            <w:tcW w:w="0" w:type="dxa"/>
            <w:vAlign w:val="center"/>
          </w:tcPr>
          <w:p>
            <w:pPr>
              <w:spacing w:line="240" w:lineRule="auto"/>
              <w:jc w:val="left"/>
            </w:pPr>
            <w:r>
              <w:rPr>
                <w:rFonts w:ascii="宋体" w:hAnsi="宋体" w:eastAsia="宋体" w:cs="宋体"/>
                <w:b w:val="0"/>
              </w:rPr>
              <w:t>春晖智控</w:t>
            </w:r>
          </w:p>
        </w:tc>
        <w:tc>
          <w:tcPr>
            <w:tcW w:w="0" w:type="dxa"/>
            <w:vAlign w:val="center"/>
          </w:tcPr>
          <w:p>
            <w:pPr>
              <w:spacing w:line="240" w:lineRule="auto"/>
              <w:jc w:val="right"/>
            </w:pPr>
            <w:r>
              <w:rPr>
                <w:rFonts w:ascii="宋体" w:hAnsi="宋体" w:eastAsia="宋体" w:cs="宋体"/>
                <w:b w:val="0"/>
              </w:rPr>
              <w:t>28,675,194.00</w:t>
            </w:r>
          </w:p>
        </w:tc>
        <w:tc>
          <w:tcPr>
            <w:tcW w:w="0" w:type="dxa"/>
            <w:vAlign w:val="center"/>
          </w:tcPr>
          <w:p>
            <w:pPr>
              <w:spacing w:line="240" w:lineRule="auto"/>
              <w:jc w:val="right"/>
            </w:pPr>
            <w:r>
              <w:rPr>
                <w:rFonts w:ascii="宋体" w:hAnsi="宋体" w:eastAsia="宋体" w:cs="宋体"/>
                <w:b w:val="0"/>
              </w:rPr>
              <w:t>101.79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01072</w:t>
            </w:r>
          </w:p>
        </w:tc>
        <w:tc>
          <w:tcPr>
            <w:tcW w:w="0" w:type="dxa"/>
            <w:vAlign w:val="center"/>
          </w:tcPr>
          <w:p>
            <w:pPr>
              <w:spacing w:line="240" w:lineRule="auto"/>
              <w:jc w:val="left"/>
            </w:pPr>
            <w:r>
              <w:rPr>
                <w:rFonts w:ascii="宋体" w:hAnsi="宋体" w:eastAsia="宋体" w:cs="宋体"/>
                <w:b w:val="0"/>
              </w:rPr>
              <w:t>东方电气</w:t>
            </w:r>
          </w:p>
        </w:tc>
        <w:tc>
          <w:tcPr>
            <w:tcW w:w="0" w:type="dxa"/>
            <w:vAlign w:val="center"/>
          </w:tcPr>
          <w:p>
            <w:pPr>
              <w:spacing w:line="240" w:lineRule="auto"/>
              <w:jc w:val="right"/>
            </w:pPr>
            <w:r>
              <w:rPr>
                <w:rFonts w:ascii="宋体" w:hAnsi="宋体" w:eastAsia="宋体" w:cs="宋体"/>
                <w:b w:val="0"/>
              </w:rPr>
              <w:t>12,224,250.62</w:t>
            </w:r>
          </w:p>
        </w:tc>
        <w:tc>
          <w:tcPr>
            <w:tcW w:w="0" w:type="dxa"/>
            <w:vAlign w:val="center"/>
          </w:tcPr>
          <w:p>
            <w:pPr>
              <w:spacing w:line="240" w:lineRule="auto"/>
              <w:jc w:val="right"/>
            </w:pPr>
            <w:r>
              <w:rPr>
                <w:rFonts w:ascii="宋体" w:hAnsi="宋体" w:eastAsia="宋体" w:cs="宋体"/>
                <w:b w:val="0"/>
              </w:rPr>
              <w:t>43.39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600875</w:t>
            </w:r>
          </w:p>
        </w:tc>
        <w:tc>
          <w:tcPr>
            <w:tcW w:w="0" w:type="dxa"/>
            <w:vAlign w:val="center"/>
          </w:tcPr>
          <w:p>
            <w:pPr>
              <w:spacing w:line="240" w:lineRule="auto"/>
              <w:jc w:val="left"/>
            </w:pPr>
            <w:r>
              <w:rPr>
                <w:rFonts w:ascii="宋体" w:hAnsi="宋体" w:eastAsia="宋体" w:cs="宋体"/>
                <w:b w:val="0"/>
              </w:rPr>
              <w:t>东方电气</w:t>
            </w:r>
          </w:p>
        </w:tc>
        <w:tc>
          <w:tcPr>
            <w:tcW w:w="0" w:type="dxa"/>
            <w:vAlign w:val="center"/>
          </w:tcPr>
          <w:p>
            <w:pPr>
              <w:spacing w:line="240" w:lineRule="auto"/>
              <w:jc w:val="right"/>
            </w:pPr>
            <w:r>
              <w:rPr>
                <w:rFonts w:ascii="宋体" w:hAnsi="宋体" w:eastAsia="宋体" w:cs="宋体"/>
                <w:b w:val="0"/>
              </w:rPr>
              <w:t>7,361,641.00</w:t>
            </w:r>
          </w:p>
        </w:tc>
        <w:tc>
          <w:tcPr>
            <w:tcW w:w="0" w:type="dxa"/>
            <w:vAlign w:val="center"/>
          </w:tcPr>
          <w:p>
            <w:pPr>
              <w:spacing w:line="240" w:lineRule="auto"/>
              <w:jc w:val="right"/>
            </w:pPr>
            <w:r>
              <w:rPr>
                <w:rFonts w:ascii="宋体" w:hAnsi="宋体" w:eastAsia="宋体" w:cs="宋体"/>
                <w:b w:val="0"/>
              </w:rPr>
              <w:t>26.13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18</w:t>
            </w:r>
          </w:p>
        </w:tc>
        <w:tc>
          <w:tcPr>
            <w:tcW w:w="0" w:type="dxa"/>
            <w:vAlign w:val="center"/>
          </w:tcPr>
          <w:p>
            <w:pPr>
              <w:spacing w:line="240" w:lineRule="auto"/>
              <w:jc w:val="left"/>
            </w:pPr>
            <w:r>
              <w:rPr>
                <w:rFonts w:ascii="宋体" w:hAnsi="宋体" w:eastAsia="宋体" w:cs="宋体"/>
                <w:b w:val="0"/>
              </w:rPr>
              <w:t>300671</w:t>
            </w:r>
          </w:p>
        </w:tc>
        <w:tc>
          <w:tcPr>
            <w:tcW w:w="0" w:type="dxa"/>
            <w:vAlign w:val="center"/>
          </w:tcPr>
          <w:p>
            <w:pPr>
              <w:spacing w:line="240" w:lineRule="auto"/>
              <w:jc w:val="left"/>
            </w:pPr>
            <w:r>
              <w:rPr>
                <w:rFonts w:ascii="宋体" w:hAnsi="宋体" w:eastAsia="宋体" w:cs="宋体"/>
                <w:b w:val="0"/>
              </w:rPr>
              <w:t>富满微</w:t>
            </w:r>
          </w:p>
        </w:tc>
        <w:tc>
          <w:tcPr>
            <w:tcW w:w="0" w:type="dxa"/>
            <w:vAlign w:val="center"/>
          </w:tcPr>
          <w:p>
            <w:pPr>
              <w:spacing w:line="240" w:lineRule="auto"/>
              <w:jc w:val="right"/>
            </w:pPr>
            <w:r>
              <w:rPr>
                <w:rFonts w:ascii="宋体" w:hAnsi="宋体" w:eastAsia="宋体" w:cs="宋体"/>
                <w:b w:val="0"/>
              </w:rPr>
              <w:t>19,257,853.00</w:t>
            </w:r>
          </w:p>
        </w:tc>
        <w:tc>
          <w:tcPr>
            <w:tcW w:w="0" w:type="dxa"/>
            <w:vAlign w:val="center"/>
          </w:tcPr>
          <w:p>
            <w:pPr>
              <w:spacing w:line="240" w:lineRule="auto"/>
              <w:jc w:val="right"/>
            </w:pPr>
            <w:r>
              <w:rPr>
                <w:rFonts w:ascii="宋体" w:hAnsi="宋体" w:eastAsia="宋体" w:cs="宋体"/>
                <w:b w:val="0"/>
              </w:rPr>
              <w:t>68.36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19</w:t>
            </w:r>
          </w:p>
        </w:tc>
        <w:tc>
          <w:tcPr>
            <w:tcW w:w="0" w:type="dxa"/>
            <w:vAlign w:val="center"/>
          </w:tcPr>
          <w:p>
            <w:pPr>
              <w:spacing w:line="240" w:lineRule="auto"/>
              <w:jc w:val="left"/>
            </w:pPr>
            <w:r>
              <w:rPr>
                <w:rFonts w:ascii="宋体" w:hAnsi="宋体" w:eastAsia="宋体" w:cs="宋体"/>
                <w:b w:val="0"/>
              </w:rPr>
              <w:t>02577</w:t>
            </w:r>
          </w:p>
        </w:tc>
        <w:tc>
          <w:tcPr>
            <w:tcW w:w="0" w:type="dxa"/>
            <w:vAlign w:val="center"/>
          </w:tcPr>
          <w:p>
            <w:pPr>
              <w:spacing w:line="240" w:lineRule="auto"/>
              <w:jc w:val="left"/>
            </w:pPr>
            <w:r>
              <w:rPr>
                <w:rFonts w:ascii="宋体" w:hAnsi="宋体" w:eastAsia="宋体" w:cs="宋体"/>
                <w:b w:val="0"/>
              </w:rPr>
              <w:t>英诺赛科</w:t>
            </w:r>
          </w:p>
        </w:tc>
        <w:tc>
          <w:tcPr>
            <w:tcW w:w="0" w:type="dxa"/>
            <w:vAlign w:val="center"/>
          </w:tcPr>
          <w:p>
            <w:pPr>
              <w:spacing w:line="240" w:lineRule="auto"/>
              <w:jc w:val="right"/>
            </w:pPr>
            <w:r>
              <w:rPr>
                <w:rFonts w:ascii="宋体" w:hAnsi="宋体" w:eastAsia="宋体" w:cs="宋体"/>
                <w:b w:val="0"/>
              </w:rPr>
              <w:t>18,488,470.99</w:t>
            </w:r>
          </w:p>
        </w:tc>
        <w:tc>
          <w:tcPr>
            <w:tcW w:w="0" w:type="dxa"/>
            <w:vAlign w:val="center"/>
          </w:tcPr>
          <w:p>
            <w:pPr>
              <w:spacing w:line="240" w:lineRule="auto"/>
              <w:jc w:val="right"/>
            </w:pPr>
            <w:r>
              <w:rPr>
                <w:rFonts w:ascii="宋体" w:hAnsi="宋体" w:eastAsia="宋体" w:cs="宋体"/>
                <w:b w:val="0"/>
              </w:rPr>
              <w:t>65.63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20</w:t>
            </w:r>
          </w:p>
        </w:tc>
        <w:tc>
          <w:tcPr>
            <w:tcW w:w="0" w:type="dxa"/>
            <w:vAlign w:val="center"/>
          </w:tcPr>
          <w:p>
            <w:pPr>
              <w:spacing w:line="240" w:lineRule="auto"/>
              <w:jc w:val="left"/>
            </w:pPr>
            <w:r>
              <w:rPr>
                <w:rFonts w:ascii="宋体" w:hAnsi="宋体" w:eastAsia="宋体" w:cs="宋体"/>
                <w:b w:val="0"/>
              </w:rPr>
              <w:t>603067</w:t>
            </w:r>
          </w:p>
        </w:tc>
        <w:tc>
          <w:tcPr>
            <w:tcW w:w="0" w:type="dxa"/>
            <w:vAlign w:val="center"/>
          </w:tcPr>
          <w:p>
            <w:pPr>
              <w:spacing w:line="240" w:lineRule="auto"/>
              <w:jc w:val="left"/>
            </w:pPr>
            <w:r>
              <w:rPr>
                <w:rFonts w:ascii="宋体" w:hAnsi="宋体" w:eastAsia="宋体" w:cs="宋体"/>
                <w:b w:val="0"/>
              </w:rPr>
              <w:t>振华股份</w:t>
            </w:r>
          </w:p>
        </w:tc>
        <w:tc>
          <w:tcPr>
            <w:tcW w:w="0" w:type="dxa"/>
            <w:vAlign w:val="center"/>
          </w:tcPr>
          <w:p>
            <w:pPr>
              <w:spacing w:line="240" w:lineRule="auto"/>
              <w:jc w:val="right"/>
            </w:pPr>
            <w:r>
              <w:rPr>
                <w:rFonts w:ascii="宋体" w:hAnsi="宋体" w:eastAsia="宋体" w:cs="宋体"/>
                <w:b w:val="0"/>
              </w:rPr>
              <w:t>16,798,572.00</w:t>
            </w:r>
          </w:p>
        </w:tc>
        <w:tc>
          <w:tcPr>
            <w:tcW w:w="0" w:type="dxa"/>
            <w:vAlign w:val="center"/>
          </w:tcPr>
          <w:p>
            <w:pPr>
              <w:spacing w:line="240" w:lineRule="auto"/>
              <w:jc w:val="right"/>
            </w:pPr>
            <w:r>
              <w:rPr>
                <w:rFonts w:ascii="宋体" w:hAnsi="宋体" w:eastAsia="宋体" w:cs="宋体"/>
                <w:b w:val="0"/>
              </w:rPr>
              <w:t>59.63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21</w:t>
            </w:r>
          </w:p>
        </w:tc>
        <w:tc>
          <w:tcPr>
            <w:tcW w:w="0" w:type="dxa"/>
            <w:vAlign w:val="center"/>
          </w:tcPr>
          <w:p>
            <w:pPr>
              <w:spacing w:line="240" w:lineRule="auto"/>
              <w:jc w:val="left"/>
            </w:pPr>
            <w:r>
              <w:rPr>
                <w:rFonts w:ascii="宋体" w:hAnsi="宋体" w:eastAsia="宋体" w:cs="宋体"/>
                <w:b w:val="0"/>
              </w:rPr>
              <w:t>300274</w:t>
            </w:r>
          </w:p>
        </w:tc>
        <w:tc>
          <w:tcPr>
            <w:tcW w:w="0" w:type="dxa"/>
            <w:vAlign w:val="center"/>
          </w:tcPr>
          <w:p>
            <w:pPr>
              <w:spacing w:line="240" w:lineRule="auto"/>
              <w:jc w:val="left"/>
            </w:pPr>
            <w:r>
              <w:rPr>
                <w:rFonts w:ascii="宋体" w:hAnsi="宋体" w:eastAsia="宋体" w:cs="宋体"/>
                <w:b w:val="0"/>
              </w:rPr>
              <w:t>阳光电源</w:t>
            </w:r>
          </w:p>
        </w:tc>
        <w:tc>
          <w:tcPr>
            <w:tcW w:w="0" w:type="dxa"/>
            <w:vAlign w:val="center"/>
          </w:tcPr>
          <w:p>
            <w:pPr>
              <w:spacing w:line="240" w:lineRule="auto"/>
              <w:jc w:val="right"/>
            </w:pPr>
            <w:r>
              <w:rPr>
                <w:rFonts w:ascii="宋体" w:hAnsi="宋体" w:eastAsia="宋体" w:cs="宋体"/>
                <w:b w:val="0"/>
              </w:rPr>
              <w:t>16,266,081.00</w:t>
            </w:r>
          </w:p>
        </w:tc>
        <w:tc>
          <w:tcPr>
            <w:tcW w:w="0" w:type="dxa"/>
            <w:vAlign w:val="center"/>
          </w:tcPr>
          <w:p>
            <w:pPr>
              <w:spacing w:line="240" w:lineRule="auto"/>
              <w:jc w:val="right"/>
            </w:pPr>
            <w:r>
              <w:rPr>
                <w:rFonts w:ascii="宋体" w:hAnsi="宋体" w:eastAsia="宋体" w:cs="宋体"/>
                <w:b w:val="0"/>
              </w:rPr>
              <w:t>57.74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22</w:t>
            </w:r>
          </w:p>
        </w:tc>
        <w:tc>
          <w:tcPr>
            <w:tcW w:w="0" w:type="dxa"/>
            <w:vAlign w:val="center"/>
          </w:tcPr>
          <w:p>
            <w:pPr>
              <w:spacing w:line="240" w:lineRule="auto"/>
              <w:jc w:val="left"/>
            </w:pPr>
            <w:r>
              <w:rPr>
                <w:rFonts w:ascii="宋体" w:hAnsi="宋体" w:eastAsia="宋体" w:cs="宋体"/>
                <w:b w:val="0"/>
              </w:rPr>
              <w:t>688234</w:t>
            </w:r>
          </w:p>
        </w:tc>
        <w:tc>
          <w:tcPr>
            <w:tcW w:w="0" w:type="dxa"/>
            <w:vAlign w:val="center"/>
          </w:tcPr>
          <w:p>
            <w:pPr>
              <w:spacing w:line="240" w:lineRule="auto"/>
              <w:jc w:val="left"/>
            </w:pPr>
            <w:r>
              <w:rPr>
                <w:rFonts w:ascii="宋体" w:hAnsi="宋体" w:eastAsia="宋体" w:cs="宋体"/>
                <w:b w:val="0"/>
              </w:rPr>
              <w:t>天岳先进</w:t>
            </w:r>
          </w:p>
        </w:tc>
        <w:tc>
          <w:tcPr>
            <w:tcW w:w="0" w:type="dxa"/>
            <w:vAlign w:val="center"/>
          </w:tcPr>
          <w:p>
            <w:pPr>
              <w:spacing w:line="240" w:lineRule="auto"/>
              <w:jc w:val="right"/>
            </w:pPr>
            <w:r>
              <w:rPr>
                <w:rFonts w:ascii="宋体" w:hAnsi="宋体" w:eastAsia="宋体" w:cs="宋体"/>
                <w:b w:val="0"/>
              </w:rPr>
              <w:t>16,111,048.98</w:t>
            </w:r>
          </w:p>
        </w:tc>
        <w:tc>
          <w:tcPr>
            <w:tcW w:w="0" w:type="dxa"/>
            <w:vAlign w:val="center"/>
          </w:tcPr>
          <w:p>
            <w:pPr>
              <w:spacing w:line="240" w:lineRule="auto"/>
              <w:jc w:val="right"/>
            </w:pPr>
            <w:r>
              <w:rPr>
                <w:rFonts w:ascii="宋体" w:hAnsi="宋体" w:eastAsia="宋体" w:cs="宋体"/>
                <w:b w:val="0"/>
              </w:rPr>
              <w:t>57.19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23</w:t>
            </w:r>
          </w:p>
        </w:tc>
        <w:tc>
          <w:tcPr>
            <w:tcW w:w="0" w:type="dxa"/>
            <w:vAlign w:val="center"/>
          </w:tcPr>
          <w:p>
            <w:pPr>
              <w:spacing w:line="240" w:lineRule="auto"/>
              <w:jc w:val="left"/>
            </w:pPr>
            <w:r>
              <w:rPr>
                <w:rFonts w:ascii="宋体" w:hAnsi="宋体" w:eastAsia="宋体" w:cs="宋体"/>
                <w:b w:val="0"/>
              </w:rPr>
              <w:t>000962</w:t>
            </w:r>
          </w:p>
        </w:tc>
        <w:tc>
          <w:tcPr>
            <w:tcW w:w="0" w:type="dxa"/>
            <w:vAlign w:val="center"/>
          </w:tcPr>
          <w:p>
            <w:pPr>
              <w:spacing w:line="240" w:lineRule="auto"/>
              <w:jc w:val="left"/>
            </w:pPr>
            <w:r>
              <w:rPr>
                <w:rFonts w:ascii="宋体" w:hAnsi="宋体" w:eastAsia="宋体" w:cs="宋体"/>
                <w:b w:val="0"/>
              </w:rPr>
              <w:t>东方钽业</w:t>
            </w:r>
          </w:p>
        </w:tc>
        <w:tc>
          <w:tcPr>
            <w:tcW w:w="0" w:type="dxa"/>
            <w:vAlign w:val="center"/>
          </w:tcPr>
          <w:p>
            <w:pPr>
              <w:spacing w:line="240" w:lineRule="auto"/>
              <w:jc w:val="right"/>
            </w:pPr>
            <w:r>
              <w:rPr>
                <w:rFonts w:ascii="宋体" w:hAnsi="宋体" w:eastAsia="宋体" w:cs="宋体"/>
                <w:b w:val="0"/>
              </w:rPr>
              <w:t>14,242,360.00</w:t>
            </w:r>
          </w:p>
        </w:tc>
        <w:tc>
          <w:tcPr>
            <w:tcW w:w="0" w:type="dxa"/>
            <w:vAlign w:val="center"/>
          </w:tcPr>
          <w:p>
            <w:pPr>
              <w:spacing w:line="240" w:lineRule="auto"/>
              <w:jc w:val="right"/>
            </w:pPr>
            <w:r>
              <w:rPr>
                <w:rFonts w:ascii="宋体" w:hAnsi="宋体" w:eastAsia="宋体" w:cs="宋体"/>
                <w:b w:val="0"/>
              </w:rPr>
              <w:t>50.56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24</w:t>
            </w:r>
          </w:p>
        </w:tc>
        <w:tc>
          <w:tcPr>
            <w:tcW w:w="0" w:type="dxa"/>
            <w:vAlign w:val="center"/>
          </w:tcPr>
          <w:p>
            <w:pPr>
              <w:spacing w:line="240" w:lineRule="auto"/>
              <w:jc w:val="left"/>
            </w:pPr>
            <w:r>
              <w:rPr>
                <w:rFonts w:ascii="宋体" w:hAnsi="宋体" w:eastAsia="宋体" w:cs="宋体"/>
                <w:b w:val="0"/>
              </w:rPr>
              <w:t>002885</w:t>
            </w:r>
          </w:p>
        </w:tc>
        <w:tc>
          <w:tcPr>
            <w:tcW w:w="0" w:type="dxa"/>
            <w:vAlign w:val="center"/>
          </w:tcPr>
          <w:p>
            <w:pPr>
              <w:spacing w:line="240" w:lineRule="auto"/>
              <w:jc w:val="left"/>
            </w:pPr>
            <w:r>
              <w:rPr>
                <w:rFonts w:ascii="宋体" w:hAnsi="宋体" w:eastAsia="宋体" w:cs="宋体"/>
                <w:b w:val="0"/>
              </w:rPr>
              <w:t>京泉华</w:t>
            </w:r>
          </w:p>
        </w:tc>
        <w:tc>
          <w:tcPr>
            <w:tcW w:w="0" w:type="dxa"/>
            <w:vAlign w:val="center"/>
          </w:tcPr>
          <w:p>
            <w:pPr>
              <w:spacing w:line="240" w:lineRule="auto"/>
              <w:jc w:val="right"/>
            </w:pPr>
            <w:r>
              <w:rPr>
                <w:rFonts w:ascii="宋体" w:hAnsi="宋体" w:eastAsia="宋体" w:cs="宋体"/>
                <w:b w:val="0"/>
              </w:rPr>
              <w:t>14,142,349.20</w:t>
            </w:r>
          </w:p>
        </w:tc>
        <w:tc>
          <w:tcPr>
            <w:tcW w:w="0" w:type="dxa"/>
            <w:vAlign w:val="center"/>
          </w:tcPr>
          <w:p>
            <w:pPr>
              <w:spacing w:line="240" w:lineRule="auto"/>
              <w:jc w:val="right"/>
            </w:pPr>
            <w:r>
              <w:rPr>
                <w:rFonts w:ascii="宋体" w:hAnsi="宋体" w:eastAsia="宋体" w:cs="宋体"/>
                <w:b w:val="0"/>
              </w:rPr>
              <w:t>50.20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25</w:t>
            </w:r>
          </w:p>
        </w:tc>
        <w:tc>
          <w:tcPr>
            <w:tcW w:w="0" w:type="dxa"/>
            <w:vAlign w:val="center"/>
          </w:tcPr>
          <w:p>
            <w:pPr>
              <w:spacing w:line="240" w:lineRule="auto"/>
              <w:jc w:val="left"/>
            </w:pPr>
            <w:r>
              <w:rPr>
                <w:rFonts w:ascii="宋体" w:hAnsi="宋体" w:eastAsia="宋体" w:cs="宋体"/>
                <w:b w:val="0"/>
              </w:rPr>
              <w:t>002851</w:t>
            </w:r>
          </w:p>
        </w:tc>
        <w:tc>
          <w:tcPr>
            <w:tcW w:w="0" w:type="dxa"/>
            <w:vAlign w:val="center"/>
          </w:tcPr>
          <w:p>
            <w:pPr>
              <w:spacing w:line="240" w:lineRule="auto"/>
              <w:jc w:val="left"/>
            </w:pPr>
            <w:r>
              <w:rPr>
                <w:rFonts w:ascii="宋体" w:hAnsi="宋体" w:eastAsia="宋体" w:cs="宋体"/>
                <w:b w:val="0"/>
              </w:rPr>
              <w:t>麦格米特</w:t>
            </w:r>
          </w:p>
        </w:tc>
        <w:tc>
          <w:tcPr>
            <w:tcW w:w="0" w:type="dxa"/>
            <w:vAlign w:val="center"/>
          </w:tcPr>
          <w:p>
            <w:pPr>
              <w:spacing w:line="240" w:lineRule="auto"/>
              <w:jc w:val="right"/>
            </w:pPr>
            <w:r>
              <w:rPr>
                <w:rFonts w:ascii="宋体" w:hAnsi="宋体" w:eastAsia="宋体" w:cs="宋体"/>
                <w:b w:val="0"/>
              </w:rPr>
              <w:t>13,524,155.00</w:t>
            </w:r>
          </w:p>
        </w:tc>
        <w:tc>
          <w:tcPr>
            <w:tcW w:w="0" w:type="dxa"/>
            <w:vAlign w:val="center"/>
          </w:tcPr>
          <w:p>
            <w:pPr>
              <w:spacing w:line="240" w:lineRule="auto"/>
              <w:jc w:val="right"/>
            </w:pPr>
            <w:r>
              <w:rPr>
                <w:rFonts w:ascii="宋体" w:hAnsi="宋体" w:eastAsia="宋体" w:cs="宋体"/>
                <w:b w:val="0"/>
              </w:rPr>
              <w:t>48.01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26</w:t>
            </w:r>
          </w:p>
        </w:tc>
        <w:tc>
          <w:tcPr>
            <w:tcW w:w="0" w:type="dxa"/>
            <w:vAlign w:val="center"/>
          </w:tcPr>
          <w:p>
            <w:pPr>
              <w:spacing w:line="240" w:lineRule="auto"/>
              <w:jc w:val="left"/>
            </w:pPr>
            <w:r>
              <w:rPr>
                <w:rFonts w:ascii="宋体" w:hAnsi="宋体" w:eastAsia="宋体" w:cs="宋体"/>
                <w:b w:val="0"/>
              </w:rPr>
              <w:t>603308</w:t>
            </w:r>
          </w:p>
        </w:tc>
        <w:tc>
          <w:tcPr>
            <w:tcW w:w="0" w:type="dxa"/>
            <w:vAlign w:val="center"/>
          </w:tcPr>
          <w:p>
            <w:pPr>
              <w:spacing w:line="240" w:lineRule="auto"/>
              <w:jc w:val="left"/>
            </w:pPr>
            <w:r>
              <w:rPr>
                <w:rFonts w:ascii="宋体" w:hAnsi="宋体" w:eastAsia="宋体" w:cs="宋体"/>
                <w:b w:val="0"/>
              </w:rPr>
              <w:t>应流股份</w:t>
            </w:r>
          </w:p>
        </w:tc>
        <w:tc>
          <w:tcPr>
            <w:tcW w:w="0" w:type="dxa"/>
            <w:vAlign w:val="center"/>
          </w:tcPr>
          <w:p>
            <w:pPr>
              <w:spacing w:line="240" w:lineRule="auto"/>
              <w:jc w:val="right"/>
            </w:pPr>
            <w:r>
              <w:rPr>
                <w:rFonts w:ascii="宋体" w:hAnsi="宋体" w:eastAsia="宋体" w:cs="宋体"/>
                <w:b w:val="0"/>
              </w:rPr>
              <w:t>12,961,815.00</w:t>
            </w:r>
          </w:p>
        </w:tc>
        <w:tc>
          <w:tcPr>
            <w:tcW w:w="0" w:type="dxa"/>
            <w:vAlign w:val="center"/>
          </w:tcPr>
          <w:p>
            <w:pPr>
              <w:spacing w:line="240" w:lineRule="auto"/>
              <w:jc w:val="right"/>
            </w:pPr>
            <w:r>
              <w:rPr>
                <w:rFonts w:ascii="宋体" w:hAnsi="宋体" w:eastAsia="宋体" w:cs="宋体"/>
                <w:b w:val="0"/>
              </w:rPr>
              <w:t>46.01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27</w:t>
            </w:r>
          </w:p>
        </w:tc>
        <w:tc>
          <w:tcPr>
            <w:tcW w:w="0" w:type="dxa"/>
            <w:vAlign w:val="center"/>
          </w:tcPr>
          <w:p>
            <w:pPr>
              <w:spacing w:line="240" w:lineRule="auto"/>
              <w:jc w:val="left"/>
            </w:pPr>
            <w:r>
              <w:rPr>
                <w:rFonts w:ascii="宋体" w:hAnsi="宋体" w:eastAsia="宋体" w:cs="宋体"/>
                <w:b w:val="0"/>
              </w:rPr>
              <w:t>000338</w:t>
            </w:r>
          </w:p>
        </w:tc>
        <w:tc>
          <w:tcPr>
            <w:tcW w:w="0" w:type="dxa"/>
            <w:vAlign w:val="center"/>
          </w:tcPr>
          <w:p>
            <w:pPr>
              <w:spacing w:line="240" w:lineRule="auto"/>
              <w:jc w:val="left"/>
            </w:pPr>
            <w:r>
              <w:rPr>
                <w:rFonts w:ascii="宋体" w:hAnsi="宋体" w:eastAsia="宋体" w:cs="宋体"/>
                <w:b w:val="0"/>
              </w:rPr>
              <w:t>潍柴动力</w:t>
            </w:r>
          </w:p>
        </w:tc>
        <w:tc>
          <w:tcPr>
            <w:tcW w:w="0" w:type="dxa"/>
            <w:vAlign w:val="center"/>
          </w:tcPr>
          <w:p>
            <w:pPr>
              <w:spacing w:line="240" w:lineRule="auto"/>
              <w:jc w:val="right"/>
            </w:pPr>
            <w:r>
              <w:rPr>
                <w:rFonts w:ascii="宋体" w:hAnsi="宋体" w:eastAsia="宋体" w:cs="宋体"/>
                <w:b w:val="0"/>
              </w:rPr>
              <w:t>11,976,277.00</w:t>
            </w:r>
          </w:p>
        </w:tc>
        <w:tc>
          <w:tcPr>
            <w:tcW w:w="0" w:type="dxa"/>
            <w:vAlign w:val="center"/>
          </w:tcPr>
          <w:p>
            <w:pPr>
              <w:spacing w:line="240" w:lineRule="auto"/>
              <w:jc w:val="right"/>
            </w:pPr>
            <w:r>
              <w:rPr>
                <w:rFonts w:ascii="宋体" w:hAnsi="宋体" w:eastAsia="宋体" w:cs="宋体"/>
                <w:b w:val="0"/>
              </w:rPr>
              <w:t>42.51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28</w:t>
            </w:r>
          </w:p>
        </w:tc>
        <w:tc>
          <w:tcPr>
            <w:tcW w:w="0" w:type="dxa"/>
            <w:vAlign w:val="center"/>
          </w:tcPr>
          <w:p>
            <w:pPr>
              <w:spacing w:line="240" w:lineRule="auto"/>
              <w:jc w:val="left"/>
            </w:pPr>
            <w:r>
              <w:rPr>
                <w:rFonts w:ascii="宋体" w:hAnsi="宋体" w:eastAsia="宋体" w:cs="宋体"/>
                <w:b w:val="0"/>
              </w:rPr>
              <w:t>000534</w:t>
            </w:r>
          </w:p>
        </w:tc>
        <w:tc>
          <w:tcPr>
            <w:tcW w:w="0" w:type="dxa"/>
            <w:vAlign w:val="center"/>
          </w:tcPr>
          <w:p>
            <w:pPr>
              <w:spacing w:line="240" w:lineRule="auto"/>
              <w:jc w:val="left"/>
            </w:pPr>
            <w:r>
              <w:rPr>
                <w:rFonts w:ascii="宋体" w:hAnsi="宋体" w:eastAsia="宋体" w:cs="宋体"/>
                <w:b w:val="0"/>
              </w:rPr>
              <w:t>万泽股份</w:t>
            </w:r>
          </w:p>
        </w:tc>
        <w:tc>
          <w:tcPr>
            <w:tcW w:w="0" w:type="dxa"/>
            <w:vAlign w:val="center"/>
          </w:tcPr>
          <w:p>
            <w:pPr>
              <w:spacing w:line="240" w:lineRule="auto"/>
              <w:jc w:val="right"/>
            </w:pPr>
            <w:r>
              <w:rPr>
                <w:rFonts w:ascii="宋体" w:hAnsi="宋体" w:eastAsia="宋体" w:cs="宋体"/>
                <w:b w:val="0"/>
              </w:rPr>
              <w:t>11,727,415.00</w:t>
            </w:r>
          </w:p>
        </w:tc>
        <w:tc>
          <w:tcPr>
            <w:tcW w:w="0" w:type="dxa"/>
            <w:vAlign w:val="center"/>
          </w:tcPr>
          <w:p>
            <w:pPr>
              <w:spacing w:line="240" w:lineRule="auto"/>
              <w:jc w:val="right"/>
            </w:pPr>
            <w:r>
              <w:rPr>
                <w:rFonts w:ascii="宋体" w:hAnsi="宋体" w:eastAsia="宋体" w:cs="宋体"/>
                <w:b w:val="0"/>
              </w:rPr>
              <w:t>41.63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29</w:t>
            </w:r>
          </w:p>
        </w:tc>
        <w:tc>
          <w:tcPr>
            <w:tcW w:w="0" w:type="dxa"/>
            <w:vAlign w:val="center"/>
          </w:tcPr>
          <w:p>
            <w:pPr>
              <w:spacing w:line="240" w:lineRule="auto"/>
              <w:jc w:val="left"/>
            </w:pPr>
            <w:r>
              <w:rPr>
                <w:rFonts w:ascii="宋体" w:hAnsi="宋体" w:eastAsia="宋体" w:cs="宋体"/>
                <w:b w:val="0"/>
              </w:rPr>
              <w:t>002353</w:t>
            </w:r>
          </w:p>
        </w:tc>
        <w:tc>
          <w:tcPr>
            <w:tcW w:w="0" w:type="dxa"/>
            <w:vAlign w:val="center"/>
          </w:tcPr>
          <w:p>
            <w:pPr>
              <w:spacing w:line="240" w:lineRule="auto"/>
              <w:jc w:val="left"/>
            </w:pPr>
            <w:r>
              <w:rPr>
                <w:rFonts w:ascii="宋体" w:hAnsi="宋体" w:eastAsia="宋体" w:cs="宋体"/>
                <w:b w:val="0"/>
              </w:rPr>
              <w:t>杰瑞股份</w:t>
            </w:r>
          </w:p>
        </w:tc>
        <w:tc>
          <w:tcPr>
            <w:tcW w:w="0" w:type="dxa"/>
            <w:vAlign w:val="center"/>
          </w:tcPr>
          <w:p>
            <w:pPr>
              <w:spacing w:line="240" w:lineRule="auto"/>
              <w:jc w:val="right"/>
            </w:pPr>
            <w:r>
              <w:rPr>
                <w:rFonts w:ascii="宋体" w:hAnsi="宋体" w:eastAsia="宋体" w:cs="宋体"/>
                <w:b w:val="0"/>
              </w:rPr>
              <w:t>10,450,338.00</w:t>
            </w:r>
          </w:p>
        </w:tc>
        <w:tc>
          <w:tcPr>
            <w:tcW w:w="0" w:type="dxa"/>
            <w:vAlign w:val="center"/>
          </w:tcPr>
          <w:p>
            <w:pPr>
              <w:spacing w:line="240" w:lineRule="auto"/>
              <w:jc w:val="right"/>
            </w:pPr>
            <w:r>
              <w:rPr>
                <w:rFonts w:ascii="宋体" w:hAnsi="宋体" w:eastAsia="宋体" w:cs="宋体"/>
                <w:b w:val="0"/>
              </w:rPr>
              <w:t>37.10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30</w:t>
            </w:r>
          </w:p>
        </w:tc>
        <w:tc>
          <w:tcPr>
            <w:tcW w:w="0" w:type="dxa"/>
            <w:vAlign w:val="center"/>
          </w:tcPr>
          <w:p>
            <w:pPr>
              <w:spacing w:line="240" w:lineRule="auto"/>
              <w:jc w:val="left"/>
            </w:pPr>
            <w:r>
              <w:rPr>
                <w:rFonts w:ascii="宋体" w:hAnsi="宋体" w:eastAsia="宋体" w:cs="宋体"/>
                <w:b w:val="0"/>
              </w:rPr>
              <w:t>600487</w:t>
            </w:r>
          </w:p>
        </w:tc>
        <w:tc>
          <w:tcPr>
            <w:tcW w:w="0" w:type="dxa"/>
            <w:vAlign w:val="center"/>
          </w:tcPr>
          <w:p>
            <w:pPr>
              <w:spacing w:line="240" w:lineRule="auto"/>
              <w:jc w:val="left"/>
            </w:pPr>
            <w:r>
              <w:rPr>
                <w:rFonts w:ascii="宋体" w:hAnsi="宋体" w:eastAsia="宋体" w:cs="宋体"/>
                <w:b w:val="0"/>
              </w:rPr>
              <w:t>亨通光电</w:t>
            </w:r>
          </w:p>
        </w:tc>
        <w:tc>
          <w:tcPr>
            <w:tcW w:w="0" w:type="dxa"/>
            <w:vAlign w:val="center"/>
          </w:tcPr>
          <w:p>
            <w:pPr>
              <w:spacing w:line="240" w:lineRule="auto"/>
              <w:jc w:val="right"/>
            </w:pPr>
            <w:r>
              <w:rPr>
                <w:rFonts w:ascii="宋体" w:hAnsi="宋体" w:eastAsia="宋体" w:cs="宋体"/>
                <w:b w:val="0"/>
              </w:rPr>
              <w:t>9,310,102.00</w:t>
            </w:r>
          </w:p>
        </w:tc>
        <w:tc>
          <w:tcPr>
            <w:tcW w:w="0" w:type="dxa"/>
            <w:vAlign w:val="center"/>
          </w:tcPr>
          <w:p>
            <w:pPr>
              <w:spacing w:line="240" w:lineRule="auto"/>
              <w:jc w:val="right"/>
            </w:pPr>
            <w:r>
              <w:rPr>
                <w:rFonts w:ascii="宋体" w:hAnsi="宋体" w:eastAsia="宋体" w:cs="宋体"/>
                <w:b w:val="0"/>
              </w:rPr>
              <w:t>33.05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31</w:t>
            </w:r>
          </w:p>
        </w:tc>
        <w:tc>
          <w:tcPr>
            <w:tcW w:w="0" w:type="dxa"/>
            <w:vAlign w:val="center"/>
          </w:tcPr>
          <w:p>
            <w:pPr>
              <w:spacing w:line="240" w:lineRule="auto"/>
              <w:jc w:val="left"/>
            </w:pPr>
            <w:r>
              <w:rPr>
                <w:rFonts w:ascii="宋体" w:hAnsi="宋体" w:eastAsia="宋体" w:cs="宋体"/>
                <w:b w:val="0"/>
              </w:rPr>
              <w:t>300693</w:t>
            </w:r>
          </w:p>
        </w:tc>
        <w:tc>
          <w:tcPr>
            <w:tcW w:w="0" w:type="dxa"/>
            <w:vAlign w:val="center"/>
          </w:tcPr>
          <w:p>
            <w:pPr>
              <w:spacing w:line="240" w:lineRule="auto"/>
              <w:jc w:val="left"/>
            </w:pPr>
            <w:r>
              <w:rPr>
                <w:rFonts w:ascii="宋体" w:hAnsi="宋体" w:eastAsia="宋体" w:cs="宋体"/>
                <w:b w:val="0"/>
              </w:rPr>
              <w:t>盛弘股份</w:t>
            </w:r>
          </w:p>
        </w:tc>
        <w:tc>
          <w:tcPr>
            <w:tcW w:w="0" w:type="dxa"/>
            <w:vAlign w:val="center"/>
          </w:tcPr>
          <w:p>
            <w:pPr>
              <w:spacing w:line="240" w:lineRule="auto"/>
              <w:jc w:val="right"/>
            </w:pPr>
            <w:r>
              <w:rPr>
                <w:rFonts w:ascii="宋体" w:hAnsi="宋体" w:eastAsia="宋体" w:cs="宋体"/>
                <w:b w:val="0"/>
              </w:rPr>
              <w:t>8,942,074.50</w:t>
            </w:r>
          </w:p>
        </w:tc>
        <w:tc>
          <w:tcPr>
            <w:tcW w:w="0" w:type="dxa"/>
            <w:vAlign w:val="center"/>
          </w:tcPr>
          <w:p>
            <w:pPr>
              <w:spacing w:line="240" w:lineRule="auto"/>
              <w:jc w:val="right"/>
            </w:pPr>
            <w:r>
              <w:rPr>
                <w:rFonts w:ascii="宋体" w:hAnsi="宋体" w:eastAsia="宋体" w:cs="宋体"/>
                <w:b w:val="0"/>
              </w:rPr>
              <w:t>31.74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32</w:t>
            </w:r>
          </w:p>
        </w:tc>
        <w:tc>
          <w:tcPr>
            <w:tcW w:w="0" w:type="dxa"/>
            <w:vAlign w:val="center"/>
          </w:tcPr>
          <w:p>
            <w:pPr>
              <w:spacing w:line="240" w:lineRule="auto"/>
              <w:jc w:val="left"/>
            </w:pPr>
            <w:r>
              <w:rPr>
                <w:rFonts w:ascii="宋体" w:hAnsi="宋体" w:eastAsia="宋体" w:cs="宋体"/>
                <w:b w:val="0"/>
              </w:rPr>
              <w:t>600482</w:t>
            </w:r>
          </w:p>
        </w:tc>
        <w:tc>
          <w:tcPr>
            <w:tcW w:w="0" w:type="dxa"/>
            <w:vAlign w:val="center"/>
          </w:tcPr>
          <w:p>
            <w:pPr>
              <w:spacing w:line="240" w:lineRule="auto"/>
              <w:jc w:val="left"/>
            </w:pPr>
            <w:r>
              <w:rPr>
                <w:rFonts w:ascii="宋体" w:hAnsi="宋体" w:eastAsia="宋体" w:cs="宋体"/>
                <w:b w:val="0"/>
              </w:rPr>
              <w:t>中国动力</w:t>
            </w:r>
          </w:p>
        </w:tc>
        <w:tc>
          <w:tcPr>
            <w:tcW w:w="0" w:type="dxa"/>
            <w:vAlign w:val="center"/>
          </w:tcPr>
          <w:p>
            <w:pPr>
              <w:spacing w:line="240" w:lineRule="auto"/>
              <w:jc w:val="right"/>
            </w:pPr>
            <w:r>
              <w:rPr>
                <w:rFonts w:ascii="宋体" w:hAnsi="宋体" w:eastAsia="宋体" w:cs="宋体"/>
                <w:b w:val="0"/>
              </w:rPr>
              <w:t>8,930,566.00</w:t>
            </w:r>
          </w:p>
        </w:tc>
        <w:tc>
          <w:tcPr>
            <w:tcW w:w="0" w:type="dxa"/>
            <w:vAlign w:val="center"/>
          </w:tcPr>
          <w:p>
            <w:pPr>
              <w:spacing w:line="240" w:lineRule="auto"/>
              <w:jc w:val="right"/>
            </w:pPr>
            <w:r>
              <w:rPr>
                <w:rFonts w:ascii="宋体" w:hAnsi="宋体" w:eastAsia="宋体" w:cs="宋体"/>
                <w:b w:val="0"/>
              </w:rPr>
              <w:t>31.70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33</w:t>
            </w:r>
          </w:p>
        </w:tc>
        <w:tc>
          <w:tcPr>
            <w:tcW w:w="0" w:type="dxa"/>
            <w:vAlign w:val="center"/>
          </w:tcPr>
          <w:p>
            <w:pPr>
              <w:spacing w:line="240" w:lineRule="auto"/>
              <w:jc w:val="left"/>
            </w:pPr>
            <w:r>
              <w:rPr>
                <w:rFonts w:ascii="宋体" w:hAnsi="宋体" w:eastAsia="宋体" w:cs="宋体"/>
                <w:b w:val="0"/>
              </w:rPr>
              <w:t>600522</w:t>
            </w:r>
          </w:p>
        </w:tc>
        <w:tc>
          <w:tcPr>
            <w:tcW w:w="0" w:type="dxa"/>
            <w:vAlign w:val="center"/>
          </w:tcPr>
          <w:p>
            <w:pPr>
              <w:spacing w:line="240" w:lineRule="auto"/>
              <w:jc w:val="left"/>
            </w:pPr>
            <w:r>
              <w:rPr>
                <w:rFonts w:ascii="宋体" w:hAnsi="宋体" w:eastAsia="宋体" w:cs="宋体"/>
                <w:b w:val="0"/>
              </w:rPr>
              <w:t>中天科技</w:t>
            </w:r>
          </w:p>
        </w:tc>
        <w:tc>
          <w:tcPr>
            <w:tcW w:w="0" w:type="dxa"/>
            <w:vAlign w:val="center"/>
          </w:tcPr>
          <w:p>
            <w:pPr>
              <w:spacing w:line="240" w:lineRule="auto"/>
              <w:jc w:val="right"/>
            </w:pPr>
            <w:r>
              <w:rPr>
                <w:rFonts w:ascii="宋体" w:hAnsi="宋体" w:eastAsia="宋体" w:cs="宋体"/>
                <w:b w:val="0"/>
              </w:rPr>
              <w:t>8,887,728.00</w:t>
            </w:r>
          </w:p>
        </w:tc>
        <w:tc>
          <w:tcPr>
            <w:tcW w:w="0" w:type="dxa"/>
            <w:vAlign w:val="center"/>
          </w:tcPr>
          <w:p>
            <w:pPr>
              <w:spacing w:line="240" w:lineRule="auto"/>
              <w:jc w:val="right"/>
            </w:pPr>
            <w:r>
              <w:rPr>
                <w:rFonts w:ascii="宋体" w:hAnsi="宋体" w:eastAsia="宋体" w:cs="宋体"/>
                <w:b w:val="0"/>
              </w:rPr>
              <w:t>31.55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34</w:t>
            </w:r>
          </w:p>
        </w:tc>
        <w:tc>
          <w:tcPr>
            <w:tcW w:w="0" w:type="dxa"/>
            <w:vAlign w:val="center"/>
          </w:tcPr>
          <w:p>
            <w:pPr>
              <w:spacing w:line="240" w:lineRule="auto"/>
              <w:jc w:val="left"/>
            </w:pPr>
            <w:r>
              <w:rPr>
                <w:rFonts w:ascii="宋体" w:hAnsi="宋体" w:eastAsia="宋体" w:cs="宋体"/>
                <w:b w:val="0"/>
              </w:rPr>
              <w:t>688025</w:t>
            </w:r>
          </w:p>
        </w:tc>
        <w:tc>
          <w:tcPr>
            <w:tcW w:w="0" w:type="dxa"/>
            <w:vAlign w:val="center"/>
          </w:tcPr>
          <w:p>
            <w:pPr>
              <w:spacing w:line="240" w:lineRule="auto"/>
              <w:jc w:val="left"/>
            </w:pPr>
            <w:r>
              <w:rPr>
                <w:rFonts w:ascii="宋体" w:hAnsi="宋体" w:eastAsia="宋体" w:cs="宋体"/>
                <w:b w:val="0"/>
              </w:rPr>
              <w:t>杰普特</w:t>
            </w:r>
          </w:p>
        </w:tc>
        <w:tc>
          <w:tcPr>
            <w:tcW w:w="0" w:type="dxa"/>
            <w:vAlign w:val="center"/>
          </w:tcPr>
          <w:p>
            <w:pPr>
              <w:spacing w:line="240" w:lineRule="auto"/>
              <w:jc w:val="right"/>
            </w:pPr>
            <w:r>
              <w:rPr>
                <w:rFonts w:ascii="宋体" w:hAnsi="宋体" w:eastAsia="宋体" w:cs="宋体"/>
                <w:b w:val="0"/>
              </w:rPr>
              <w:t>8,074,596.43</w:t>
            </w:r>
          </w:p>
        </w:tc>
        <w:tc>
          <w:tcPr>
            <w:tcW w:w="0" w:type="dxa"/>
            <w:vAlign w:val="center"/>
          </w:tcPr>
          <w:p>
            <w:pPr>
              <w:spacing w:line="240" w:lineRule="auto"/>
              <w:jc w:val="right"/>
            </w:pPr>
            <w:r>
              <w:rPr>
                <w:rFonts w:ascii="宋体" w:hAnsi="宋体" w:eastAsia="宋体" w:cs="宋体"/>
                <w:b w:val="0"/>
              </w:rPr>
              <w:t>28.66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35</w:t>
            </w:r>
          </w:p>
        </w:tc>
        <w:tc>
          <w:tcPr>
            <w:tcW w:w="0" w:type="dxa"/>
            <w:vAlign w:val="center"/>
          </w:tcPr>
          <w:p>
            <w:pPr>
              <w:spacing w:line="240" w:lineRule="auto"/>
              <w:jc w:val="left"/>
            </w:pPr>
            <w:r>
              <w:rPr>
                <w:rFonts w:ascii="宋体" w:hAnsi="宋体" w:eastAsia="宋体" w:cs="宋体"/>
                <w:b w:val="0"/>
              </w:rPr>
              <w:t>600590</w:t>
            </w:r>
          </w:p>
        </w:tc>
        <w:tc>
          <w:tcPr>
            <w:tcW w:w="0" w:type="dxa"/>
            <w:vAlign w:val="center"/>
          </w:tcPr>
          <w:p>
            <w:pPr>
              <w:spacing w:line="240" w:lineRule="auto"/>
              <w:jc w:val="left"/>
            </w:pPr>
            <w:r>
              <w:rPr>
                <w:rFonts w:ascii="宋体" w:hAnsi="宋体" w:eastAsia="宋体" w:cs="宋体"/>
                <w:b w:val="0"/>
              </w:rPr>
              <w:t>泰豪科技</w:t>
            </w:r>
          </w:p>
        </w:tc>
        <w:tc>
          <w:tcPr>
            <w:tcW w:w="0" w:type="dxa"/>
            <w:vAlign w:val="center"/>
          </w:tcPr>
          <w:p>
            <w:pPr>
              <w:spacing w:line="240" w:lineRule="auto"/>
              <w:jc w:val="right"/>
            </w:pPr>
            <w:r>
              <w:rPr>
                <w:rFonts w:ascii="宋体" w:hAnsi="宋体" w:eastAsia="宋体" w:cs="宋体"/>
                <w:b w:val="0"/>
              </w:rPr>
              <w:t>7,899,397.00</w:t>
            </w:r>
          </w:p>
        </w:tc>
        <w:tc>
          <w:tcPr>
            <w:tcW w:w="0" w:type="dxa"/>
            <w:vAlign w:val="center"/>
          </w:tcPr>
          <w:p>
            <w:pPr>
              <w:spacing w:line="240" w:lineRule="auto"/>
              <w:jc w:val="right"/>
            </w:pPr>
            <w:r>
              <w:rPr>
                <w:rFonts w:ascii="宋体" w:hAnsi="宋体" w:eastAsia="宋体" w:cs="宋体"/>
                <w:b w:val="0"/>
              </w:rPr>
              <w:t>28.04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36</w:t>
            </w:r>
          </w:p>
        </w:tc>
        <w:tc>
          <w:tcPr>
            <w:tcW w:w="0" w:type="dxa"/>
            <w:vAlign w:val="center"/>
          </w:tcPr>
          <w:p>
            <w:pPr>
              <w:spacing w:line="240" w:lineRule="auto"/>
              <w:jc w:val="left"/>
            </w:pPr>
            <w:r>
              <w:rPr>
                <w:rFonts w:ascii="宋体" w:hAnsi="宋体" w:eastAsia="宋体" w:cs="宋体"/>
                <w:b w:val="0"/>
              </w:rPr>
              <w:t>300617</w:t>
            </w:r>
          </w:p>
        </w:tc>
        <w:tc>
          <w:tcPr>
            <w:tcW w:w="0" w:type="dxa"/>
            <w:vAlign w:val="center"/>
          </w:tcPr>
          <w:p>
            <w:pPr>
              <w:spacing w:line="240" w:lineRule="auto"/>
              <w:jc w:val="left"/>
            </w:pPr>
            <w:r>
              <w:rPr>
                <w:rFonts w:ascii="宋体" w:hAnsi="宋体" w:eastAsia="宋体" w:cs="宋体"/>
                <w:b w:val="0"/>
              </w:rPr>
              <w:t>安靠智电</w:t>
            </w:r>
          </w:p>
        </w:tc>
        <w:tc>
          <w:tcPr>
            <w:tcW w:w="0" w:type="dxa"/>
            <w:vAlign w:val="center"/>
          </w:tcPr>
          <w:p>
            <w:pPr>
              <w:spacing w:line="240" w:lineRule="auto"/>
              <w:jc w:val="right"/>
            </w:pPr>
            <w:r>
              <w:rPr>
                <w:rFonts w:ascii="宋体" w:hAnsi="宋体" w:eastAsia="宋体" w:cs="宋体"/>
                <w:b w:val="0"/>
              </w:rPr>
              <w:t>7,874,763.80</w:t>
            </w:r>
          </w:p>
        </w:tc>
        <w:tc>
          <w:tcPr>
            <w:tcW w:w="0" w:type="dxa"/>
            <w:vAlign w:val="center"/>
          </w:tcPr>
          <w:p>
            <w:pPr>
              <w:spacing w:line="240" w:lineRule="auto"/>
              <w:jc w:val="right"/>
            </w:pPr>
            <w:r>
              <w:rPr>
                <w:rFonts w:ascii="宋体" w:hAnsi="宋体" w:eastAsia="宋体" w:cs="宋体"/>
                <w:b w:val="0"/>
              </w:rPr>
              <w:t>27.95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37</w:t>
            </w:r>
          </w:p>
        </w:tc>
        <w:tc>
          <w:tcPr>
            <w:tcW w:w="0" w:type="dxa"/>
            <w:vAlign w:val="center"/>
          </w:tcPr>
          <w:p>
            <w:pPr>
              <w:spacing w:line="240" w:lineRule="auto"/>
              <w:jc w:val="left"/>
            </w:pPr>
            <w:r>
              <w:rPr>
                <w:rFonts w:ascii="宋体" w:hAnsi="宋体" w:eastAsia="宋体" w:cs="宋体"/>
                <w:b w:val="0"/>
              </w:rPr>
              <w:t>02727</w:t>
            </w:r>
          </w:p>
        </w:tc>
        <w:tc>
          <w:tcPr>
            <w:tcW w:w="0" w:type="dxa"/>
            <w:vAlign w:val="center"/>
          </w:tcPr>
          <w:p>
            <w:pPr>
              <w:spacing w:line="240" w:lineRule="auto"/>
              <w:jc w:val="left"/>
            </w:pPr>
            <w:r>
              <w:rPr>
                <w:rFonts w:ascii="宋体" w:hAnsi="宋体" w:eastAsia="宋体" w:cs="宋体"/>
                <w:b w:val="0"/>
              </w:rPr>
              <w:t>上海电气</w:t>
            </w:r>
          </w:p>
        </w:tc>
        <w:tc>
          <w:tcPr>
            <w:tcW w:w="0" w:type="dxa"/>
            <w:vAlign w:val="center"/>
          </w:tcPr>
          <w:p>
            <w:pPr>
              <w:spacing w:line="240" w:lineRule="auto"/>
              <w:jc w:val="right"/>
            </w:pPr>
            <w:r>
              <w:rPr>
                <w:rFonts w:ascii="宋体" w:hAnsi="宋体" w:eastAsia="宋体" w:cs="宋体"/>
                <w:b w:val="0"/>
              </w:rPr>
              <w:t>7,740,136.36</w:t>
            </w:r>
          </w:p>
        </w:tc>
        <w:tc>
          <w:tcPr>
            <w:tcW w:w="0" w:type="dxa"/>
            <w:vAlign w:val="center"/>
          </w:tcPr>
          <w:p>
            <w:pPr>
              <w:spacing w:line="240" w:lineRule="auto"/>
              <w:jc w:val="right"/>
            </w:pPr>
            <w:r>
              <w:rPr>
                <w:rFonts w:ascii="宋体" w:hAnsi="宋体" w:eastAsia="宋体" w:cs="宋体"/>
                <w:b w:val="0"/>
              </w:rPr>
              <w:t>27.48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38</w:t>
            </w:r>
          </w:p>
        </w:tc>
        <w:tc>
          <w:tcPr>
            <w:tcW w:w="0" w:type="dxa"/>
            <w:vAlign w:val="center"/>
          </w:tcPr>
          <w:p>
            <w:pPr>
              <w:spacing w:line="240" w:lineRule="auto"/>
              <w:jc w:val="left"/>
            </w:pPr>
            <w:r>
              <w:rPr>
                <w:rFonts w:ascii="宋体" w:hAnsi="宋体" w:eastAsia="宋体" w:cs="宋体"/>
                <w:b w:val="0"/>
              </w:rPr>
              <w:t>688239</w:t>
            </w:r>
          </w:p>
        </w:tc>
        <w:tc>
          <w:tcPr>
            <w:tcW w:w="0" w:type="dxa"/>
            <w:vAlign w:val="center"/>
          </w:tcPr>
          <w:p>
            <w:pPr>
              <w:spacing w:line="240" w:lineRule="auto"/>
              <w:jc w:val="left"/>
            </w:pPr>
            <w:r>
              <w:rPr>
                <w:rFonts w:ascii="宋体" w:hAnsi="宋体" w:eastAsia="宋体" w:cs="宋体"/>
                <w:b w:val="0"/>
              </w:rPr>
              <w:t>航宇科技</w:t>
            </w:r>
          </w:p>
        </w:tc>
        <w:tc>
          <w:tcPr>
            <w:tcW w:w="0" w:type="dxa"/>
            <w:vAlign w:val="center"/>
          </w:tcPr>
          <w:p>
            <w:pPr>
              <w:spacing w:line="240" w:lineRule="auto"/>
              <w:jc w:val="right"/>
            </w:pPr>
            <w:r>
              <w:rPr>
                <w:rFonts w:ascii="宋体" w:hAnsi="宋体" w:eastAsia="宋体" w:cs="宋体"/>
                <w:b w:val="0"/>
              </w:rPr>
              <w:t>7,657,690.06</w:t>
            </w:r>
          </w:p>
        </w:tc>
        <w:tc>
          <w:tcPr>
            <w:tcW w:w="0" w:type="dxa"/>
            <w:vAlign w:val="center"/>
          </w:tcPr>
          <w:p>
            <w:pPr>
              <w:spacing w:line="240" w:lineRule="auto"/>
              <w:jc w:val="right"/>
            </w:pPr>
            <w:r>
              <w:rPr>
                <w:rFonts w:ascii="宋体" w:hAnsi="宋体" w:eastAsia="宋体" w:cs="宋体"/>
                <w:b w:val="0"/>
              </w:rPr>
              <w:t>27.18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39</w:t>
            </w:r>
          </w:p>
        </w:tc>
        <w:tc>
          <w:tcPr>
            <w:tcW w:w="0" w:type="dxa"/>
            <w:vAlign w:val="center"/>
          </w:tcPr>
          <w:p>
            <w:pPr>
              <w:spacing w:line="240" w:lineRule="auto"/>
              <w:jc w:val="left"/>
            </w:pPr>
            <w:r>
              <w:rPr>
                <w:rFonts w:ascii="宋体" w:hAnsi="宋体" w:eastAsia="宋体" w:cs="宋体"/>
                <w:b w:val="0"/>
              </w:rPr>
              <w:t>002364</w:t>
            </w:r>
          </w:p>
        </w:tc>
        <w:tc>
          <w:tcPr>
            <w:tcW w:w="0" w:type="dxa"/>
            <w:vAlign w:val="center"/>
          </w:tcPr>
          <w:p>
            <w:pPr>
              <w:spacing w:line="240" w:lineRule="auto"/>
              <w:jc w:val="left"/>
            </w:pPr>
            <w:r>
              <w:rPr>
                <w:rFonts w:ascii="宋体" w:hAnsi="宋体" w:eastAsia="宋体" w:cs="宋体"/>
                <w:b w:val="0"/>
              </w:rPr>
              <w:t>中恒电气</w:t>
            </w:r>
          </w:p>
        </w:tc>
        <w:tc>
          <w:tcPr>
            <w:tcW w:w="0" w:type="dxa"/>
            <w:vAlign w:val="center"/>
          </w:tcPr>
          <w:p>
            <w:pPr>
              <w:spacing w:line="240" w:lineRule="auto"/>
              <w:jc w:val="right"/>
            </w:pPr>
            <w:r>
              <w:rPr>
                <w:rFonts w:ascii="宋体" w:hAnsi="宋体" w:eastAsia="宋体" w:cs="宋体"/>
                <w:b w:val="0"/>
              </w:rPr>
              <w:t>7,609,803.00</w:t>
            </w:r>
          </w:p>
        </w:tc>
        <w:tc>
          <w:tcPr>
            <w:tcW w:w="0" w:type="dxa"/>
            <w:vAlign w:val="center"/>
          </w:tcPr>
          <w:p>
            <w:pPr>
              <w:spacing w:line="240" w:lineRule="auto"/>
              <w:jc w:val="right"/>
            </w:pPr>
            <w:r>
              <w:rPr>
                <w:rFonts w:ascii="宋体" w:hAnsi="宋体" w:eastAsia="宋体" w:cs="宋体"/>
                <w:b w:val="0"/>
              </w:rPr>
              <w:t>27.01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40</w:t>
            </w:r>
          </w:p>
        </w:tc>
        <w:tc>
          <w:tcPr>
            <w:tcW w:w="0" w:type="dxa"/>
            <w:vAlign w:val="center"/>
          </w:tcPr>
          <w:p>
            <w:pPr>
              <w:spacing w:line="240" w:lineRule="auto"/>
              <w:jc w:val="left"/>
            </w:pPr>
            <w:r>
              <w:rPr>
                <w:rFonts w:ascii="宋体" w:hAnsi="宋体" w:eastAsia="宋体" w:cs="宋体"/>
                <w:b w:val="0"/>
              </w:rPr>
              <w:t>002028</w:t>
            </w:r>
          </w:p>
        </w:tc>
        <w:tc>
          <w:tcPr>
            <w:tcW w:w="0" w:type="dxa"/>
            <w:vAlign w:val="center"/>
          </w:tcPr>
          <w:p>
            <w:pPr>
              <w:spacing w:line="240" w:lineRule="auto"/>
              <w:jc w:val="left"/>
            </w:pPr>
            <w:r>
              <w:rPr>
                <w:rFonts w:ascii="宋体" w:hAnsi="宋体" w:eastAsia="宋体" w:cs="宋体"/>
                <w:b w:val="0"/>
              </w:rPr>
              <w:t>思源电气</w:t>
            </w:r>
          </w:p>
        </w:tc>
        <w:tc>
          <w:tcPr>
            <w:tcW w:w="0" w:type="dxa"/>
            <w:vAlign w:val="center"/>
          </w:tcPr>
          <w:p>
            <w:pPr>
              <w:spacing w:line="240" w:lineRule="auto"/>
              <w:jc w:val="right"/>
            </w:pPr>
            <w:r>
              <w:rPr>
                <w:rFonts w:ascii="宋体" w:hAnsi="宋体" w:eastAsia="宋体" w:cs="宋体"/>
                <w:b w:val="0"/>
              </w:rPr>
              <w:t>7,600,156.00</w:t>
            </w:r>
          </w:p>
        </w:tc>
        <w:tc>
          <w:tcPr>
            <w:tcW w:w="0" w:type="dxa"/>
            <w:vAlign w:val="center"/>
          </w:tcPr>
          <w:p>
            <w:pPr>
              <w:spacing w:line="240" w:lineRule="auto"/>
              <w:jc w:val="right"/>
            </w:pPr>
            <w:r>
              <w:rPr>
                <w:rFonts w:ascii="宋体" w:hAnsi="宋体" w:eastAsia="宋体" w:cs="宋体"/>
                <w:b w:val="0"/>
              </w:rPr>
              <w:t>26.98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41</w:t>
            </w:r>
          </w:p>
        </w:tc>
        <w:tc>
          <w:tcPr>
            <w:tcW w:w="0" w:type="dxa"/>
            <w:vAlign w:val="center"/>
          </w:tcPr>
          <w:p>
            <w:pPr>
              <w:spacing w:line="240" w:lineRule="auto"/>
              <w:jc w:val="left"/>
            </w:pPr>
            <w:r>
              <w:rPr>
                <w:rFonts w:ascii="宋体" w:hAnsi="宋体" w:eastAsia="宋体" w:cs="宋体"/>
                <w:b w:val="0"/>
              </w:rPr>
              <w:t>688676</w:t>
            </w:r>
          </w:p>
        </w:tc>
        <w:tc>
          <w:tcPr>
            <w:tcW w:w="0" w:type="dxa"/>
            <w:vAlign w:val="center"/>
          </w:tcPr>
          <w:p>
            <w:pPr>
              <w:spacing w:line="240" w:lineRule="auto"/>
              <w:jc w:val="left"/>
            </w:pPr>
            <w:r>
              <w:rPr>
                <w:rFonts w:ascii="宋体" w:hAnsi="宋体" w:eastAsia="宋体" w:cs="宋体"/>
                <w:b w:val="0"/>
              </w:rPr>
              <w:t>金盘科技</w:t>
            </w:r>
          </w:p>
        </w:tc>
        <w:tc>
          <w:tcPr>
            <w:tcW w:w="0" w:type="dxa"/>
            <w:vAlign w:val="center"/>
          </w:tcPr>
          <w:p>
            <w:pPr>
              <w:spacing w:line="240" w:lineRule="auto"/>
              <w:jc w:val="right"/>
            </w:pPr>
            <w:r>
              <w:rPr>
                <w:rFonts w:ascii="宋体" w:hAnsi="宋体" w:eastAsia="宋体" w:cs="宋体"/>
                <w:b w:val="0"/>
              </w:rPr>
              <w:t>6,519,289.10</w:t>
            </w:r>
          </w:p>
        </w:tc>
        <w:tc>
          <w:tcPr>
            <w:tcW w:w="0" w:type="dxa"/>
            <w:vAlign w:val="center"/>
          </w:tcPr>
          <w:p>
            <w:pPr>
              <w:spacing w:line="240" w:lineRule="auto"/>
              <w:jc w:val="right"/>
            </w:pPr>
            <w:r>
              <w:rPr>
                <w:rFonts w:ascii="宋体" w:hAnsi="宋体" w:eastAsia="宋体" w:cs="宋体"/>
                <w:b w:val="0"/>
              </w:rPr>
              <w:t>23.14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42</w:t>
            </w:r>
          </w:p>
        </w:tc>
        <w:tc>
          <w:tcPr>
            <w:tcW w:w="0" w:type="dxa"/>
            <w:vAlign w:val="center"/>
          </w:tcPr>
          <w:p>
            <w:pPr>
              <w:spacing w:line="240" w:lineRule="auto"/>
              <w:jc w:val="left"/>
            </w:pPr>
            <w:r>
              <w:rPr>
                <w:rFonts w:ascii="宋体" w:hAnsi="宋体" w:eastAsia="宋体" w:cs="宋体"/>
                <w:b w:val="0"/>
              </w:rPr>
              <w:t>301563</w:t>
            </w:r>
          </w:p>
        </w:tc>
        <w:tc>
          <w:tcPr>
            <w:tcW w:w="0" w:type="dxa"/>
            <w:vAlign w:val="center"/>
          </w:tcPr>
          <w:p>
            <w:pPr>
              <w:spacing w:line="240" w:lineRule="auto"/>
              <w:jc w:val="left"/>
            </w:pPr>
            <w:r>
              <w:rPr>
                <w:rFonts w:ascii="宋体" w:hAnsi="宋体" w:eastAsia="宋体" w:cs="宋体"/>
                <w:b w:val="0"/>
              </w:rPr>
              <w:t>云汉芯城</w:t>
            </w:r>
          </w:p>
        </w:tc>
        <w:tc>
          <w:tcPr>
            <w:tcW w:w="0" w:type="dxa"/>
            <w:vAlign w:val="center"/>
          </w:tcPr>
          <w:p>
            <w:pPr>
              <w:spacing w:line="240" w:lineRule="auto"/>
              <w:jc w:val="right"/>
            </w:pPr>
            <w:r>
              <w:rPr>
                <w:rFonts w:ascii="宋体" w:hAnsi="宋体" w:eastAsia="宋体" w:cs="宋体"/>
                <w:b w:val="0"/>
              </w:rPr>
              <w:t>5,909,698.30</w:t>
            </w:r>
          </w:p>
        </w:tc>
        <w:tc>
          <w:tcPr>
            <w:tcW w:w="0" w:type="dxa"/>
            <w:vAlign w:val="center"/>
          </w:tcPr>
          <w:p>
            <w:pPr>
              <w:spacing w:line="240" w:lineRule="auto"/>
              <w:jc w:val="right"/>
            </w:pPr>
            <w:r>
              <w:rPr>
                <w:rFonts w:ascii="宋体" w:hAnsi="宋体" w:eastAsia="宋体" w:cs="宋体"/>
                <w:b w:val="0"/>
              </w:rPr>
              <w:t>20.98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43</w:t>
            </w:r>
          </w:p>
        </w:tc>
        <w:tc>
          <w:tcPr>
            <w:tcW w:w="0" w:type="dxa"/>
            <w:vAlign w:val="center"/>
          </w:tcPr>
          <w:p>
            <w:pPr>
              <w:spacing w:line="240" w:lineRule="auto"/>
              <w:jc w:val="left"/>
            </w:pPr>
            <w:r>
              <w:rPr>
                <w:rFonts w:ascii="宋体" w:hAnsi="宋体" w:eastAsia="宋体" w:cs="宋体"/>
                <w:b w:val="0"/>
              </w:rPr>
              <w:t>301468</w:t>
            </w:r>
          </w:p>
        </w:tc>
        <w:tc>
          <w:tcPr>
            <w:tcW w:w="0" w:type="dxa"/>
            <w:vAlign w:val="center"/>
          </w:tcPr>
          <w:p>
            <w:pPr>
              <w:spacing w:line="240" w:lineRule="auto"/>
              <w:jc w:val="left"/>
            </w:pPr>
            <w:r>
              <w:rPr>
                <w:rFonts w:ascii="宋体" w:hAnsi="宋体" w:eastAsia="宋体" w:cs="宋体"/>
                <w:b w:val="0"/>
              </w:rPr>
              <w:t>博盈特焊</w:t>
            </w:r>
          </w:p>
        </w:tc>
        <w:tc>
          <w:tcPr>
            <w:tcW w:w="0" w:type="dxa"/>
            <w:vAlign w:val="center"/>
          </w:tcPr>
          <w:p>
            <w:pPr>
              <w:spacing w:line="240" w:lineRule="auto"/>
              <w:jc w:val="right"/>
            </w:pPr>
            <w:r>
              <w:rPr>
                <w:rFonts w:ascii="宋体" w:hAnsi="宋体" w:eastAsia="宋体" w:cs="宋体"/>
                <w:b w:val="0"/>
              </w:rPr>
              <w:t>5,723,772.00</w:t>
            </w:r>
          </w:p>
        </w:tc>
        <w:tc>
          <w:tcPr>
            <w:tcW w:w="0" w:type="dxa"/>
            <w:vAlign w:val="center"/>
          </w:tcPr>
          <w:p>
            <w:pPr>
              <w:spacing w:line="240" w:lineRule="auto"/>
              <w:jc w:val="right"/>
            </w:pPr>
            <w:r>
              <w:rPr>
                <w:rFonts w:ascii="宋体" w:hAnsi="宋体" w:eastAsia="宋体" w:cs="宋体"/>
                <w:b w:val="0"/>
              </w:rPr>
              <w:t>20.32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44</w:t>
            </w:r>
          </w:p>
        </w:tc>
        <w:tc>
          <w:tcPr>
            <w:tcW w:w="0" w:type="dxa"/>
            <w:vAlign w:val="center"/>
          </w:tcPr>
          <w:p>
            <w:pPr>
              <w:spacing w:line="240" w:lineRule="auto"/>
              <w:jc w:val="left"/>
            </w:pPr>
            <w:r>
              <w:rPr>
                <w:rFonts w:ascii="宋体" w:hAnsi="宋体" w:eastAsia="宋体" w:cs="宋体"/>
                <w:b w:val="0"/>
              </w:rPr>
              <w:t>002487</w:t>
            </w:r>
          </w:p>
        </w:tc>
        <w:tc>
          <w:tcPr>
            <w:tcW w:w="0" w:type="dxa"/>
            <w:vAlign w:val="center"/>
          </w:tcPr>
          <w:p>
            <w:pPr>
              <w:spacing w:line="240" w:lineRule="auto"/>
              <w:jc w:val="left"/>
            </w:pPr>
            <w:r>
              <w:rPr>
                <w:rFonts w:ascii="宋体" w:hAnsi="宋体" w:eastAsia="宋体" w:cs="宋体"/>
                <w:b w:val="0"/>
              </w:rPr>
              <w:t>大金重工</w:t>
            </w:r>
          </w:p>
        </w:tc>
        <w:tc>
          <w:tcPr>
            <w:tcW w:w="0" w:type="dxa"/>
            <w:vAlign w:val="center"/>
          </w:tcPr>
          <w:p>
            <w:pPr>
              <w:spacing w:line="240" w:lineRule="auto"/>
              <w:jc w:val="right"/>
            </w:pPr>
            <w:r>
              <w:rPr>
                <w:rFonts w:ascii="宋体" w:hAnsi="宋体" w:eastAsia="宋体" w:cs="宋体"/>
                <w:b w:val="0"/>
              </w:rPr>
              <w:t>5,702,271.00</w:t>
            </w:r>
          </w:p>
        </w:tc>
        <w:tc>
          <w:tcPr>
            <w:tcW w:w="0" w:type="dxa"/>
            <w:vAlign w:val="center"/>
          </w:tcPr>
          <w:p>
            <w:pPr>
              <w:spacing w:line="240" w:lineRule="auto"/>
              <w:jc w:val="right"/>
            </w:pPr>
            <w:r>
              <w:rPr>
                <w:rFonts w:ascii="宋体" w:hAnsi="宋体" w:eastAsia="宋体" w:cs="宋体"/>
                <w:b w:val="0"/>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45</w:t>
            </w:r>
          </w:p>
        </w:tc>
        <w:tc>
          <w:tcPr>
            <w:tcW w:w="0" w:type="dxa"/>
            <w:vAlign w:val="center"/>
          </w:tcPr>
          <w:p>
            <w:pPr>
              <w:spacing w:line="240" w:lineRule="auto"/>
              <w:jc w:val="left"/>
            </w:pPr>
            <w:r>
              <w:rPr>
                <w:rFonts w:ascii="宋体" w:hAnsi="宋体" w:eastAsia="宋体" w:cs="宋体"/>
                <w:b w:val="0"/>
              </w:rPr>
              <w:t>688231</w:t>
            </w:r>
          </w:p>
        </w:tc>
        <w:tc>
          <w:tcPr>
            <w:tcW w:w="0" w:type="dxa"/>
            <w:vAlign w:val="center"/>
          </w:tcPr>
          <w:p>
            <w:pPr>
              <w:spacing w:line="240" w:lineRule="auto"/>
              <w:jc w:val="left"/>
            </w:pPr>
            <w:r>
              <w:rPr>
                <w:rFonts w:ascii="宋体" w:hAnsi="宋体" w:eastAsia="宋体" w:cs="宋体"/>
                <w:b w:val="0"/>
              </w:rPr>
              <w:t>隆达股份</w:t>
            </w:r>
          </w:p>
        </w:tc>
        <w:tc>
          <w:tcPr>
            <w:tcW w:w="0" w:type="dxa"/>
            <w:vAlign w:val="center"/>
          </w:tcPr>
          <w:p>
            <w:pPr>
              <w:spacing w:line="240" w:lineRule="auto"/>
              <w:jc w:val="right"/>
            </w:pPr>
            <w:r>
              <w:rPr>
                <w:rFonts w:ascii="宋体" w:hAnsi="宋体" w:eastAsia="宋体" w:cs="宋体"/>
                <w:b w:val="0"/>
              </w:rPr>
              <w:t>5,694,888.78</w:t>
            </w:r>
          </w:p>
        </w:tc>
        <w:tc>
          <w:tcPr>
            <w:tcW w:w="0" w:type="dxa"/>
            <w:vAlign w:val="center"/>
          </w:tcPr>
          <w:p>
            <w:pPr>
              <w:spacing w:line="240" w:lineRule="auto"/>
              <w:jc w:val="right"/>
            </w:pPr>
            <w:r>
              <w:rPr>
                <w:rFonts w:ascii="宋体" w:hAnsi="宋体" w:eastAsia="宋体" w:cs="宋体"/>
                <w:b w:val="0"/>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46</w:t>
            </w:r>
          </w:p>
        </w:tc>
        <w:tc>
          <w:tcPr>
            <w:tcW w:w="0" w:type="dxa"/>
            <w:vAlign w:val="center"/>
          </w:tcPr>
          <w:p>
            <w:pPr>
              <w:spacing w:line="240" w:lineRule="auto"/>
              <w:jc w:val="left"/>
            </w:pPr>
            <w:r>
              <w:rPr>
                <w:rFonts w:ascii="宋体" w:hAnsi="宋体" w:eastAsia="宋体" w:cs="宋体"/>
                <w:b w:val="0"/>
              </w:rPr>
              <w:t>600105</w:t>
            </w:r>
          </w:p>
        </w:tc>
        <w:tc>
          <w:tcPr>
            <w:tcW w:w="0" w:type="dxa"/>
            <w:vAlign w:val="center"/>
          </w:tcPr>
          <w:p>
            <w:pPr>
              <w:spacing w:line="240" w:lineRule="auto"/>
              <w:jc w:val="left"/>
            </w:pPr>
            <w:r>
              <w:rPr>
                <w:rFonts w:ascii="宋体" w:hAnsi="宋体" w:eastAsia="宋体" w:cs="宋体"/>
                <w:b w:val="0"/>
              </w:rPr>
              <w:t>永鼎股份</w:t>
            </w:r>
          </w:p>
        </w:tc>
        <w:tc>
          <w:tcPr>
            <w:tcW w:w="0" w:type="dxa"/>
            <w:vAlign w:val="center"/>
          </w:tcPr>
          <w:p>
            <w:pPr>
              <w:spacing w:line="240" w:lineRule="auto"/>
              <w:jc w:val="right"/>
            </w:pPr>
            <w:r>
              <w:rPr>
                <w:rFonts w:ascii="宋体" w:hAnsi="宋体" w:eastAsia="宋体" w:cs="宋体"/>
                <w:b w:val="0"/>
              </w:rPr>
              <w:t>5,283,160.00</w:t>
            </w:r>
          </w:p>
        </w:tc>
        <w:tc>
          <w:tcPr>
            <w:tcW w:w="0" w:type="dxa"/>
            <w:vAlign w:val="center"/>
          </w:tcPr>
          <w:p>
            <w:pPr>
              <w:spacing w:line="240" w:lineRule="auto"/>
              <w:jc w:val="right"/>
            </w:pPr>
            <w:r>
              <w:rPr>
                <w:rFonts w:ascii="宋体" w:hAnsi="宋体" w:eastAsia="宋体" w:cs="宋体"/>
                <w:b w:val="0"/>
              </w:rP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47</w:t>
            </w:r>
          </w:p>
        </w:tc>
        <w:tc>
          <w:tcPr>
            <w:tcW w:w="0" w:type="dxa"/>
            <w:vAlign w:val="center"/>
          </w:tcPr>
          <w:p>
            <w:pPr>
              <w:spacing w:line="240" w:lineRule="auto"/>
              <w:jc w:val="left"/>
            </w:pPr>
            <w:r>
              <w:rPr>
                <w:rFonts w:ascii="宋体" w:hAnsi="宋体" w:eastAsia="宋体" w:cs="宋体"/>
                <w:b w:val="0"/>
              </w:rPr>
              <w:t>688717</w:t>
            </w:r>
          </w:p>
        </w:tc>
        <w:tc>
          <w:tcPr>
            <w:tcW w:w="0" w:type="dxa"/>
            <w:vAlign w:val="center"/>
          </w:tcPr>
          <w:p>
            <w:pPr>
              <w:spacing w:line="240" w:lineRule="auto"/>
              <w:jc w:val="left"/>
            </w:pPr>
            <w:r>
              <w:rPr>
                <w:rFonts w:ascii="宋体" w:hAnsi="宋体" w:eastAsia="宋体" w:cs="宋体"/>
                <w:b w:val="0"/>
              </w:rPr>
              <w:t>艾罗能源</w:t>
            </w:r>
          </w:p>
        </w:tc>
        <w:tc>
          <w:tcPr>
            <w:tcW w:w="0" w:type="dxa"/>
            <w:vAlign w:val="center"/>
          </w:tcPr>
          <w:p>
            <w:pPr>
              <w:spacing w:line="240" w:lineRule="auto"/>
              <w:jc w:val="right"/>
            </w:pPr>
            <w:r>
              <w:rPr>
                <w:rFonts w:ascii="宋体" w:hAnsi="宋体" w:eastAsia="宋体" w:cs="宋体"/>
                <w:b w:val="0"/>
              </w:rPr>
              <w:t>4,435,056.07</w:t>
            </w:r>
          </w:p>
        </w:tc>
        <w:tc>
          <w:tcPr>
            <w:tcW w:w="0" w:type="dxa"/>
            <w:vAlign w:val="center"/>
          </w:tcPr>
          <w:p>
            <w:pPr>
              <w:spacing w:line="240" w:lineRule="auto"/>
              <w:jc w:val="right"/>
            </w:pPr>
            <w:r>
              <w:rPr>
                <w:rFonts w:ascii="宋体" w:hAnsi="宋体" w:eastAsia="宋体" w:cs="宋体"/>
                <w:b w:val="0"/>
              </w:rPr>
              <w:t>15.74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48</w:t>
            </w:r>
          </w:p>
        </w:tc>
        <w:tc>
          <w:tcPr>
            <w:tcW w:w="0" w:type="dxa"/>
            <w:vAlign w:val="center"/>
          </w:tcPr>
          <w:p>
            <w:pPr>
              <w:spacing w:line="240" w:lineRule="auto"/>
              <w:jc w:val="left"/>
            </w:pPr>
            <w:r>
              <w:rPr>
                <w:rFonts w:ascii="宋体" w:hAnsi="宋体" w:eastAsia="宋体" w:cs="宋体"/>
                <w:b w:val="0"/>
              </w:rPr>
              <w:t>300319</w:t>
            </w:r>
          </w:p>
        </w:tc>
        <w:tc>
          <w:tcPr>
            <w:tcW w:w="0" w:type="dxa"/>
            <w:vAlign w:val="center"/>
          </w:tcPr>
          <w:p>
            <w:pPr>
              <w:spacing w:line="240" w:lineRule="auto"/>
              <w:jc w:val="left"/>
            </w:pPr>
            <w:r>
              <w:rPr>
                <w:rFonts w:ascii="宋体" w:hAnsi="宋体" w:eastAsia="宋体" w:cs="宋体"/>
                <w:b w:val="0"/>
              </w:rPr>
              <w:t>麦捷科技</w:t>
            </w:r>
          </w:p>
        </w:tc>
        <w:tc>
          <w:tcPr>
            <w:tcW w:w="0" w:type="dxa"/>
            <w:vAlign w:val="center"/>
          </w:tcPr>
          <w:p>
            <w:pPr>
              <w:spacing w:line="240" w:lineRule="auto"/>
              <w:jc w:val="right"/>
            </w:pPr>
            <w:r>
              <w:rPr>
                <w:rFonts w:ascii="宋体" w:hAnsi="宋体" w:eastAsia="宋体" w:cs="宋体"/>
                <w:b w:val="0"/>
              </w:rPr>
              <w:t>4,417,550.00</w:t>
            </w:r>
          </w:p>
        </w:tc>
        <w:tc>
          <w:tcPr>
            <w:tcW w:w="0" w:type="dxa"/>
            <w:vAlign w:val="center"/>
          </w:tcPr>
          <w:p>
            <w:pPr>
              <w:spacing w:line="240" w:lineRule="auto"/>
              <w:jc w:val="right"/>
            </w:pPr>
            <w:r>
              <w:rPr>
                <w:rFonts w:ascii="宋体" w:hAnsi="宋体" w:eastAsia="宋体" w:cs="宋体"/>
                <w:b w:val="0"/>
              </w:rPr>
              <w:t>15.68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49</w:t>
            </w:r>
          </w:p>
        </w:tc>
        <w:tc>
          <w:tcPr>
            <w:tcW w:w="0" w:type="dxa"/>
            <w:vAlign w:val="center"/>
          </w:tcPr>
          <w:p>
            <w:pPr>
              <w:spacing w:line="240" w:lineRule="auto"/>
              <w:jc w:val="left"/>
            </w:pPr>
            <w:r>
              <w:rPr>
                <w:rFonts w:ascii="宋体" w:hAnsi="宋体" w:eastAsia="宋体" w:cs="宋体"/>
                <w:b w:val="0"/>
              </w:rPr>
              <w:t>002380</w:t>
            </w:r>
          </w:p>
        </w:tc>
        <w:tc>
          <w:tcPr>
            <w:tcW w:w="0" w:type="dxa"/>
            <w:vAlign w:val="center"/>
          </w:tcPr>
          <w:p>
            <w:pPr>
              <w:spacing w:line="240" w:lineRule="auto"/>
              <w:jc w:val="left"/>
            </w:pPr>
            <w:r>
              <w:rPr>
                <w:rFonts w:ascii="宋体" w:hAnsi="宋体" w:eastAsia="宋体" w:cs="宋体"/>
                <w:b w:val="0"/>
              </w:rPr>
              <w:t>科远智慧</w:t>
            </w:r>
          </w:p>
        </w:tc>
        <w:tc>
          <w:tcPr>
            <w:tcW w:w="0" w:type="dxa"/>
            <w:vAlign w:val="center"/>
          </w:tcPr>
          <w:p>
            <w:pPr>
              <w:spacing w:line="240" w:lineRule="auto"/>
              <w:jc w:val="right"/>
            </w:pPr>
            <w:r>
              <w:rPr>
                <w:rFonts w:ascii="宋体" w:hAnsi="宋体" w:eastAsia="宋体" w:cs="宋体"/>
                <w:b w:val="0"/>
              </w:rPr>
              <w:t>4,324,893.00</w:t>
            </w:r>
          </w:p>
        </w:tc>
        <w:tc>
          <w:tcPr>
            <w:tcW w:w="0" w:type="dxa"/>
            <w:vAlign w:val="center"/>
          </w:tcPr>
          <w:p>
            <w:pPr>
              <w:spacing w:line="240" w:lineRule="auto"/>
              <w:jc w:val="right"/>
            </w:pPr>
            <w:r>
              <w:rPr>
                <w:rFonts w:ascii="宋体" w:hAnsi="宋体" w:eastAsia="宋体" w:cs="宋体"/>
                <w:b w:val="0"/>
              </w:rPr>
              <w:t>15.35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50</w:t>
            </w:r>
          </w:p>
        </w:tc>
        <w:tc>
          <w:tcPr>
            <w:tcW w:w="0" w:type="dxa"/>
            <w:vAlign w:val="center"/>
          </w:tcPr>
          <w:p>
            <w:pPr>
              <w:spacing w:line="240" w:lineRule="auto"/>
              <w:jc w:val="left"/>
            </w:pPr>
            <w:r>
              <w:rPr>
                <w:rFonts w:ascii="宋体" w:hAnsi="宋体" w:eastAsia="宋体" w:cs="宋体"/>
                <w:b w:val="0"/>
              </w:rPr>
              <w:t>300750</w:t>
            </w:r>
          </w:p>
        </w:tc>
        <w:tc>
          <w:tcPr>
            <w:tcW w:w="0" w:type="dxa"/>
            <w:vAlign w:val="center"/>
          </w:tcPr>
          <w:p>
            <w:pPr>
              <w:spacing w:line="240" w:lineRule="auto"/>
              <w:jc w:val="left"/>
            </w:pPr>
            <w:r>
              <w:rPr>
                <w:rFonts w:ascii="宋体" w:hAnsi="宋体" w:eastAsia="宋体" w:cs="宋体"/>
                <w:b w:val="0"/>
              </w:rPr>
              <w:t>宁德时代</w:t>
            </w:r>
          </w:p>
        </w:tc>
        <w:tc>
          <w:tcPr>
            <w:tcW w:w="0" w:type="dxa"/>
            <w:vAlign w:val="center"/>
          </w:tcPr>
          <w:p>
            <w:pPr>
              <w:spacing w:line="240" w:lineRule="auto"/>
              <w:jc w:val="right"/>
            </w:pPr>
            <w:r>
              <w:rPr>
                <w:rFonts w:ascii="宋体" w:hAnsi="宋体" w:eastAsia="宋体" w:cs="宋体"/>
                <w:b w:val="0"/>
              </w:rPr>
              <w:t>3,994,528.00</w:t>
            </w:r>
          </w:p>
        </w:tc>
        <w:tc>
          <w:tcPr>
            <w:tcW w:w="0" w:type="dxa"/>
            <w:vAlign w:val="center"/>
          </w:tcPr>
          <w:p>
            <w:pPr>
              <w:spacing w:line="240" w:lineRule="auto"/>
              <w:jc w:val="right"/>
            </w:pPr>
            <w:r>
              <w:rPr>
                <w:rFonts w:ascii="宋体" w:hAnsi="宋体" w:eastAsia="宋体" w:cs="宋体"/>
                <w:b w:val="0"/>
              </w:rPr>
              <w:t>14.18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51</w:t>
            </w:r>
          </w:p>
        </w:tc>
        <w:tc>
          <w:tcPr>
            <w:tcW w:w="0" w:type="dxa"/>
            <w:vAlign w:val="center"/>
          </w:tcPr>
          <w:p>
            <w:pPr>
              <w:spacing w:line="240" w:lineRule="auto"/>
              <w:jc w:val="left"/>
            </w:pPr>
            <w:r>
              <w:rPr>
                <w:rFonts w:ascii="宋体" w:hAnsi="宋体" w:eastAsia="宋体" w:cs="宋体"/>
                <w:b w:val="0"/>
              </w:rPr>
              <w:t>300257</w:t>
            </w:r>
          </w:p>
        </w:tc>
        <w:tc>
          <w:tcPr>
            <w:tcW w:w="0" w:type="dxa"/>
            <w:vAlign w:val="center"/>
          </w:tcPr>
          <w:p>
            <w:pPr>
              <w:spacing w:line="240" w:lineRule="auto"/>
              <w:jc w:val="left"/>
            </w:pPr>
            <w:r>
              <w:rPr>
                <w:rFonts w:ascii="宋体" w:hAnsi="宋体" w:eastAsia="宋体" w:cs="宋体"/>
                <w:b w:val="0"/>
              </w:rPr>
              <w:t>开山股份</w:t>
            </w:r>
          </w:p>
        </w:tc>
        <w:tc>
          <w:tcPr>
            <w:tcW w:w="0" w:type="dxa"/>
            <w:vAlign w:val="center"/>
          </w:tcPr>
          <w:p>
            <w:pPr>
              <w:spacing w:line="240" w:lineRule="auto"/>
              <w:jc w:val="right"/>
            </w:pPr>
            <w:r>
              <w:rPr>
                <w:rFonts w:ascii="宋体" w:hAnsi="宋体" w:eastAsia="宋体" w:cs="宋体"/>
                <w:b w:val="0"/>
              </w:rPr>
              <w:t>3,604,600.00</w:t>
            </w:r>
          </w:p>
        </w:tc>
        <w:tc>
          <w:tcPr>
            <w:tcW w:w="0" w:type="dxa"/>
            <w:vAlign w:val="center"/>
          </w:tcPr>
          <w:p>
            <w:pPr>
              <w:spacing w:line="240" w:lineRule="auto"/>
              <w:jc w:val="right"/>
            </w:pPr>
            <w:r>
              <w:rPr>
                <w:rFonts w:ascii="宋体" w:hAnsi="宋体" w:eastAsia="宋体" w:cs="宋体"/>
                <w:b w:val="0"/>
              </w:rPr>
              <w:t>12.80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52</w:t>
            </w:r>
          </w:p>
        </w:tc>
        <w:tc>
          <w:tcPr>
            <w:tcW w:w="0" w:type="dxa"/>
            <w:vAlign w:val="center"/>
          </w:tcPr>
          <w:p>
            <w:pPr>
              <w:spacing w:line="240" w:lineRule="auto"/>
              <w:jc w:val="left"/>
            </w:pPr>
            <w:r>
              <w:rPr>
                <w:rFonts w:ascii="宋体" w:hAnsi="宋体" w:eastAsia="宋体" w:cs="宋体"/>
                <w:b w:val="0"/>
              </w:rPr>
              <w:t>603861</w:t>
            </w:r>
          </w:p>
        </w:tc>
        <w:tc>
          <w:tcPr>
            <w:tcW w:w="0" w:type="dxa"/>
            <w:vAlign w:val="center"/>
          </w:tcPr>
          <w:p>
            <w:pPr>
              <w:spacing w:line="240" w:lineRule="auto"/>
              <w:jc w:val="left"/>
            </w:pPr>
            <w:r>
              <w:rPr>
                <w:rFonts w:ascii="宋体" w:hAnsi="宋体" w:eastAsia="宋体" w:cs="宋体"/>
                <w:b w:val="0"/>
              </w:rPr>
              <w:t>白云电器</w:t>
            </w:r>
          </w:p>
        </w:tc>
        <w:tc>
          <w:tcPr>
            <w:tcW w:w="0" w:type="dxa"/>
            <w:vAlign w:val="center"/>
          </w:tcPr>
          <w:p>
            <w:pPr>
              <w:spacing w:line="240" w:lineRule="auto"/>
              <w:jc w:val="right"/>
            </w:pPr>
            <w:r>
              <w:rPr>
                <w:rFonts w:ascii="宋体" w:hAnsi="宋体" w:eastAsia="宋体" w:cs="宋体"/>
                <w:b w:val="0"/>
              </w:rPr>
              <w:t>3,486,129.00</w:t>
            </w:r>
          </w:p>
        </w:tc>
        <w:tc>
          <w:tcPr>
            <w:tcW w:w="0" w:type="dxa"/>
            <w:vAlign w:val="center"/>
          </w:tcPr>
          <w:p>
            <w:pPr>
              <w:spacing w:line="240" w:lineRule="auto"/>
              <w:jc w:val="right"/>
            </w:pPr>
            <w:r>
              <w:rPr>
                <w:rFonts w:ascii="宋体" w:hAnsi="宋体" w:eastAsia="宋体" w:cs="宋体"/>
                <w:b w:val="0"/>
              </w:rPr>
              <w:t>12.38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53</w:t>
            </w:r>
          </w:p>
        </w:tc>
        <w:tc>
          <w:tcPr>
            <w:tcW w:w="0" w:type="dxa"/>
            <w:vAlign w:val="center"/>
          </w:tcPr>
          <w:p>
            <w:pPr>
              <w:spacing w:line="240" w:lineRule="auto"/>
              <w:jc w:val="left"/>
            </w:pPr>
            <w:r>
              <w:rPr>
                <w:rFonts w:ascii="宋体" w:hAnsi="宋体" w:eastAsia="宋体" w:cs="宋体"/>
                <w:b w:val="0"/>
              </w:rPr>
              <w:t>000973</w:t>
            </w:r>
          </w:p>
        </w:tc>
        <w:tc>
          <w:tcPr>
            <w:tcW w:w="0" w:type="dxa"/>
            <w:vAlign w:val="center"/>
          </w:tcPr>
          <w:p>
            <w:pPr>
              <w:spacing w:line="240" w:lineRule="auto"/>
              <w:jc w:val="left"/>
            </w:pPr>
            <w:r>
              <w:rPr>
                <w:rFonts w:ascii="宋体" w:hAnsi="宋体" w:eastAsia="宋体" w:cs="宋体"/>
                <w:b w:val="0"/>
              </w:rPr>
              <w:t>佛塑科技</w:t>
            </w:r>
          </w:p>
        </w:tc>
        <w:tc>
          <w:tcPr>
            <w:tcW w:w="0" w:type="dxa"/>
            <w:vAlign w:val="center"/>
          </w:tcPr>
          <w:p>
            <w:pPr>
              <w:spacing w:line="240" w:lineRule="auto"/>
              <w:jc w:val="right"/>
            </w:pPr>
            <w:r>
              <w:rPr>
                <w:rFonts w:ascii="宋体" w:hAnsi="宋体" w:eastAsia="宋体" w:cs="宋体"/>
                <w:b w:val="0"/>
              </w:rPr>
              <w:t>3,470,093.00</w:t>
            </w:r>
          </w:p>
        </w:tc>
        <w:tc>
          <w:tcPr>
            <w:tcW w:w="0" w:type="dxa"/>
            <w:vAlign w:val="center"/>
          </w:tcPr>
          <w:p>
            <w:pPr>
              <w:spacing w:line="240" w:lineRule="auto"/>
              <w:jc w:val="right"/>
            </w:pPr>
            <w:r>
              <w:rPr>
                <w:rFonts w:ascii="宋体" w:hAnsi="宋体" w:eastAsia="宋体" w:cs="宋体"/>
                <w:b w:val="0"/>
              </w:rPr>
              <w:t>12.32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54</w:t>
            </w:r>
          </w:p>
        </w:tc>
        <w:tc>
          <w:tcPr>
            <w:tcW w:w="0" w:type="dxa"/>
            <w:vAlign w:val="center"/>
          </w:tcPr>
          <w:p>
            <w:pPr>
              <w:spacing w:line="240" w:lineRule="auto"/>
              <w:jc w:val="left"/>
            </w:pPr>
            <w:r>
              <w:rPr>
                <w:rFonts w:ascii="宋体" w:hAnsi="宋体" w:eastAsia="宋体" w:cs="宋体"/>
                <w:b w:val="0"/>
              </w:rPr>
              <w:t>688472</w:t>
            </w:r>
          </w:p>
        </w:tc>
        <w:tc>
          <w:tcPr>
            <w:tcW w:w="0" w:type="dxa"/>
            <w:vAlign w:val="center"/>
          </w:tcPr>
          <w:p>
            <w:pPr>
              <w:spacing w:line="240" w:lineRule="auto"/>
              <w:jc w:val="left"/>
            </w:pPr>
            <w:r>
              <w:rPr>
                <w:rFonts w:ascii="宋体" w:hAnsi="宋体" w:eastAsia="宋体" w:cs="宋体"/>
                <w:b w:val="0"/>
              </w:rPr>
              <w:t>阿特斯</w:t>
            </w:r>
          </w:p>
        </w:tc>
        <w:tc>
          <w:tcPr>
            <w:tcW w:w="0" w:type="dxa"/>
            <w:vAlign w:val="center"/>
          </w:tcPr>
          <w:p>
            <w:pPr>
              <w:spacing w:line="240" w:lineRule="auto"/>
              <w:jc w:val="right"/>
            </w:pPr>
            <w:r>
              <w:rPr>
                <w:rFonts w:ascii="宋体" w:hAnsi="宋体" w:eastAsia="宋体" w:cs="宋体"/>
                <w:b w:val="0"/>
              </w:rPr>
              <w:t>3,232,099.14</w:t>
            </w:r>
          </w:p>
        </w:tc>
        <w:tc>
          <w:tcPr>
            <w:tcW w:w="0" w:type="dxa"/>
            <w:vAlign w:val="center"/>
          </w:tcPr>
          <w:p>
            <w:pPr>
              <w:spacing w:line="240" w:lineRule="auto"/>
              <w:jc w:val="right"/>
            </w:pPr>
            <w:r>
              <w:rPr>
                <w:rFonts w:ascii="宋体" w:hAnsi="宋体" w:eastAsia="宋体" w:cs="宋体"/>
                <w:b w:val="0"/>
              </w:rPr>
              <w:t>11.47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55</w:t>
            </w:r>
          </w:p>
        </w:tc>
        <w:tc>
          <w:tcPr>
            <w:tcW w:w="0" w:type="dxa"/>
            <w:vAlign w:val="center"/>
          </w:tcPr>
          <w:p>
            <w:pPr>
              <w:spacing w:line="240" w:lineRule="auto"/>
              <w:jc w:val="left"/>
            </w:pPr>
            <w:r>
              <w:rPr>
                <w:rFonts w:ascii="宋体" w:hAnsi="宋体" w:eastAsia="宋体" w:cs="宋体"/>
                <w:b w:val="0"/>
              </w:rPr>
              <w:t>603530</w:t>
            </w:r>
          </w:p>
        </w:tc>
        <w:tc>
          <w:tcPr>
            <w:tcW w:w="0" w:type="dxa"/>
            <w:vAlign w:val="center"/>
          </w:tcPr>
          <w:p>
            <w:pPr>
              <w:spacing w:line="240" w:lineRule="auto"/>
              <w:jc w:val="left"/>
            </w:pPr>
            <w:r>
              <w:rPr>
                <w:rFonts w:ascii="宋体" w:hAnsi="宋体" w:eastAsia="宋体" w:cs="宋体"/>
                <w:b w:val="0"/>
              </w:rPr>
              <w:t>神马电力</w:t>
            </w:r>
          </w:p>
        </w:tc>
        <w:tc>
          <w:tcPr>
            <w:tcW w:w="0" w:type="dxa"/>
            <w:vAlign w:val="center"/>
          </w:tcPr>
          <w:p>
            <w:pPr>
              <w:spacing w:line="240" w:lineRule="auto"/>
              <w:jc w:val="right"/>
            </w:pPr>
            <w:r>
              <w:rPr>
                <w:rFonts w:ascii="宋体" w:hAnsi="宋体" w:eastAsia="宋体" w:cs="宋体"/>
                <w:b w:val="0"/>
              </w:rPr>
              <w:t>3,177,176.00</w:t>
            </w:r>
          </w:p>
        </w:tc>
        <w:tc>
          <w:tcPr>
            <w:tcW w:w="0" w:type="dxa"/>
            <w:vAlign w:val="center"/>
          </w:tcPr>
          <w:p>
            <w:pPr>
              <w:spacing w:line="240" w:lineRule="auto"/>
              <w:jc w:val="right"/>
            </w:pPr>
            <w:r>
              <w:rPr>
                <w:rFonts w:ascii="宋体" w:hAnsi="宋体" w:eastAsia="宋体" w:cs="宋体"/>
                <w:b w:val="0"/>
              </w:rPr>
              <w:t>11.28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56</w:t>
            </w:r>
          </w:p>
        </w:tc>
        <w:tc>
          <w:tcPr>
            <w:tcW w:w="0" w:type="dxa"/>
            <w:vAlign w:val="center"/>
          </w:tcPr>
          <w:p>
            <w:pPr>
              <w:spacing w:line="240" w:lineRule="auto"/>
              <w:jc w:val="left"/>
            </w:pPr>
            <w:r>
              <w:rPr>
                <w:rFonts w:ascii="宋体" w:hAnsi="宋体" w:eastAsia="宋体" w:cs="宋体"/>
                <w:b w:val="0"/>
              </w:rPr>
              <w:t>002812</w:t>
            </w:r>
          </w:p>
        </w:tc>
        <w:tc>
          <w:tcPr>
            <w:tcW w:w="0" w:type="dxa"/>
            <w:vAlign w:val="center"/>
          </w:tcPr>
          <w:p>
            <w:pPr>
              <w:spacing w:line="240" w:lineRule="auto"/>
              <w:jc w:val="left"/>
            </w:pPr>
            <w:r>
              <w:rPr>
                <w:rFonts w:ascii="宋体" w:hAnsi="宋体" w:eastAsia="宋体" w:cs="宋体"/>
                <w:b w:val="0"/>
              </w:rPr>
              <w:t>恩捷股份</w:t>
            </w:r>
          </w:p>
        </w:tc>
        <w:tc>
          <w:tcPr>
            <w:tcW w:w="0" w:type="dxa"/>
            <w:vAlign w:val="center"/>
          </w:tcPr>
          <w:p>
            <w:pPr>
              <w:spacing w:line="240" w:lineRule="auto"/>
              <w:jc w:val="right"/>
            </w:pPr>
            <w:r>
              <w:rPr>
                <w:rFonts w:ascii="宋体" w:hAnsi="宋体" w:eastAsia="宋体" w:cs="宋体"/>
                <w:b w:val="0"/>
              </w:rPr>
              <w:t>3,009,853.00</w:t>
            </w:r>
          </w:p>
        </w:tc>
        <w:tc>
          <w:tcPr>
            <w:tcW w:w="0" w:type="dxa"/>
            <w:vAlign w:val="center"/>
          </w:tcPr>
          <w:p>
            <w:pPr>
              <w:spacing w:line="240" w:lineRule="auto"/>
              <w:jc w:val="right"/>
            </w:pPr>
            <w:r>
              <w:rPr>
                <w:rFonts w:ascii="宋体" w:hAnsi="宋体" w:eastAsia="宋体" w:cs="宋体"/>
                <w:b w:val="0"/>
              </w:rPr>
              <w:t>10.68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57</w:t>
            </w:r>
          </w:p>
        </w:tc>
        <w:tc>
          <w:tcPr>
            <w:tcW w:w="0" w:type="dxa"/>
            <w:vAlign w:val="center"/>
          </w:tcPr>
          <w:p>
            <w:pPr>
              <w:spacing w:line="240" w:lineRule="auto"/>
              <w:jc w:val="left"/>
            </w:pPr>
            <w:r>
              <w:rPr>
                <w:rFonts w:ascii="宋体" w:hAnsi="宋体" w:eastAsia="宋体" w:cs="宋体"/>
                <w:b w:val="0"/>
              </w:rPr>
              <w:t>002975</w:t>
            </w:r>
          </w:p>
        </w:tc>
        <w:tc>
          <w:tcPr>
            <w:tcW w:w="0" w:type="dxa"/>
            <w:vAlign w:val="center"/>
          </w:tcPr>
          <w:p>
            <w:pPr>
              <w:spacing w:line="240" w:lineRule="auto"/>
              <w:jc w:val="left"/>
            </w:pPr>
            <w:r>
              <w:rPr>
                <w:rFonts w:ascii="宋体" w:hAnsi="宋体" w:eastAsia="宋体" w:cs="宋体"/>
                <w:b w:val="0"/>
              </w:rPr>
              <w:t>博杰股份</w:t>
            </w:r>
          </w:p>
        </w:tc>
        <w:tc>
          <w:tcPr>
            <w:tcW w:w="0" w:type="dxa"/>
            <w:vAlign w:val="center"/>
          </w:tcPr>
          <w:p>
            <w:pPr>
              <w:spacing w:line="240" w:lineRule="auto"/>
              <w:jc w:val="right"/>
            </w:pPr>
            <w:r>
              <w:rPr>
                <w:rFonts w:ascii="宋体" w:hAnsi="宋体" w:eastAsia="宋体" w:cs="宋体"/>
                <w:b w:val="0"/>
              </w:rPr>
              <w:t>2,944,707.00</w:t>
            </w:r>
          </w:p>
        </w:tc>
        <w:tc>
          <w:tcPr>
            <w:tcW w:w="0" w:type="dxa"/>
            <w:vAlign w:val="center"/>
          </w:tcPr>
          <w:p>
            <w:pPr>
              <w:spacing w:line="240" w:lineRule="auto"/>
              <w:jc w:val="right"/>
            </w:pPr>
            <w:r>
              <w:rPr>
                <w:rFonts w:ascii="宋体" w:hAnsi="宋体" w:eastAsia="宋体" w:cs="宋体"/>
                <w:b w:val="0"/>
              </w:rPr>
              <w:t>10.45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58</w:t>
            </w:r>
          </w:p>
        </w:tc>
        <w:tc>
          <w:tcPr>
            <w:tcW w:w="0" w:type="dxa"/>
            <w:vAlign w:val="center"/>
          </w:tcPr>
          <w:p>
            <w:pPr>
              <w:spacing w:line="240" w:lineRule="auto"/>
              <w:jc w:val="left"/>
            </w:pPr>
            <w:r>
              <w:rPr>
                <w:rFonts w:ascii="宋体" w:hAnsi="宋体" w:eastAsia="宋体" w:cs="宋体"/>
                <w:b w:val="0"/>
              </w:rPr>
              <w:t>603606</w:t>
            </w:r>
          </w:p>
        </w:tc>
        <w:tc>
          <w:tcPr>
            <w:tcW w:w="0" w:type="dxa"/>
            <w:vAlign w:val="center"/>
          </w:tcPr>
          <w:p>
            <w:pPr>
              <w:spacing w:line="240" w:lineRule="auto"/>
              <w:jc w:val="left"/>
            </w:pPr>
            <w:r>
              <w:rPr>
                <w:rFonts w:ascii="宋体" w:hAnsi="宋体" w:eastAsia="宋体" w:cs="宋体"/>
                <w:b w:val="0"/>
              </w:rPr>
              <w:t>东方电缆</w:t>
            </w:r>
          </w:p>
        </w:tc>
        <w:tc>
          <w:tcPr>
            <w:tcW w:w="0" w:type="dxa"/>
            <w:vAlign w:val="center"/>
          </w:tcPr>
          <w:p>
            <w:pPr>
              <w:spacing w:line="240" w:lineRule="auto"/>
              <w:jc w:val="right"/>
            </w:pPr>
            <w:r>
              <w:rPr>
                <w:rFonts w:ascii="宋体" w:hAnsi="宋体" w:eastAsia="宋体" w:cs="宋体"/>
                <w:b w:val="0"/>
              </w:rPr>
              <w:t>2,751,945.00</w:t>
            </w:r>
          </w:p>
        </w:tc>
        <w:tc>
          <w:tcPr>
            <w:tcW w:w="0" w:type="dxa"/>
            <w:vAlign w:val="center"/>
          </w:tcPr>
          <w:p>
            <w:pPr>
              <w:spacing w:line="240" w:lineRule="auto"/>
              <w:jc w:val="right"/>
            </w:pPr>
            <w:r>
              <w:rPr>
                <w:rFonts w:ascii="宋体" w:hAnsi="宋体" w:eastAsia="宋体" w:cs="宋体"/>
                <w:b w:val="0"/>
              </w:rPr>
              <w:t>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59</w:t>
            </w:r>
          </w:p>
        </w:tc>
        <w:tc>
          <w:tcPr>
            <w:tcW w:w="0" w:type="dxa"/>
            <w:vAlign w:val="center"/>
          </w:tcPr>
          <w:p>
            <w:pPr>
              <w:spacing w:line="240" w:lineRule="auto"/>
              <w:jc w:val="left"/>
            </w:pPr>
            <w:r>
              <w:rPr>
                <w:rFonts w:ascii="宋体" w:hAnsi="宋体" w:eastAsia="宋体" w:cs="宋体"/>
                <w:b w:val="0"/>
              </w:rPr>
              <w:t>002922</w:t>
            </w:r>
          </w:p>
        </w:tc>
        <w:tc>
          <w:tcPr>
            <w:tcW w:w="0" w:type="dxa"/>
            <w:vAlign w:val="center"/>
          </w:tcPr>
          <w:p>
            <w:pPr>
              <w:spacing w:line="240" w:lineRule="auto"/>
              <w:jc w:val="left"/>
            </w:pPr>
            <w:r>
              <w:rPr>
                <w:rFonts w:ascii="宋体" w:hAnsi="宋体" w:eastAsia="宋体" w:cs="宋体"/>
                <w:b w:val="0"/>
              </w:rPr>
              <w:t>伊戈尔</w:t>
            </w:r>
          </w:p>
        </w:tc>
        <w:tc>
          <w:tcPr>
            <w:tcW w:w="0" w:type="dxa"/>
            <w:vAlign w:val="center"/>
          </w:tcPr>
          <w:p>
            <w:pPr>
              <w:spacing w:line="240" w:lineRule="auto"/>
              <w:jc w:val="right"/>
            </w:pPr>
            <w:r>
              <w:rPr>
                <w:rFonts w:ascii="宋体" w:hAnsi="宋体" w:eastAsia="宋体" w:cs="宋体"/>
                <w:b w:val="0"/>
              </w:rPr>
              <w:t>2,701,228.00</w:t>
            </w:r>
          </w:p>
        </w:tc>
        <w:tc>
          <w:tcPr>
            <w:tcW w:w="0" w:type="dxa"/>
            <w:vAlign w:val="center"/>
          </w:tcPr>
          <w:p>
            <w:pPr>
              <w:spacing w:line="240" w:lineRule="auto"/>
              <w:jc w:val="right"/>
            </w:pPr>
            <w:r>
              <w:rPr>
                <w:rFonts w:ascii="宋体" w:hAnsi="宋体" w:eastAsia="宋体" w:cs="宋体"/>
                <w:b w:val="0"/>
              </w:rPr>
              <w:t>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60</w:t>
            </w:r>
          </w:p>
        </w:tc>
        <w:tc>
          <w:tcPr>
            <w:tcW w:w="0" w:type="dxa"/>
            <w:vAlign w:val="center"/>
          </w:tcPr>
          <w:p>
            <w:pPr>
              <w:spacing w:line="240" w:lineRule="auto"/>
              <w:jc w:val="left"/>
            </w:pPr>
            <w:r>
              <w:rPr>
                <w:rFonts w:ascii="宋体" w:hAnsi="宋体" w:eastAsia="宋体" w:cs="宋体"/>
                <w:b w:val="0"/>
              </w:rPr>
              <w:t>301291</w:t>
            </w:r>
          </w:p>
        </w:tc>
        <w:tc>
          <w:tcPr>
            <w:tcW w:w="0" w:type="dxa"/>
            <w:vAlign w:val="center"/>
          </w:tcPr>
          <w:p>
            <w:pPr>
              <w:spacing w:line="240" w:lineRule="auto"/>
              <w:jc w:val="left"/>
            </w:pPr>
            <w:r>
              <w:rPr>
                <w:rFonts w:ascii="宋体" w:hAnsi="宋体" w:eastAsia="宋体" w:cs="宋体"/>
                <w:b w:val="0"/>
              </w:rPr>
              <w:t>明阳电气</w:t>
            </w:r>
          </w:p>
        </w:tc>
        <w:tc>
          <w:tcPr>
            <w:tcW w:w="0" w:type="dxa"/>
            <w:vAlign w:val="center"/>
          </w:tcPr>
          <w:p>
            <w:pPr>
              <w:spacing w:line="240" w:lineRule="auto"/>
              <w:jc w:val="right"/>
            </w:pPr>
            <w:r>
              <w:rPr>
                <w:rFonts w:ascii="宋体" w:hAnsi="宋体" w:eastAsia="宋体" w:cs="宋体"/>
                <w:b w:val="0"/>
              </w:rPr>
              <w:t>2,606,021.00</w:t>
            </w:r>
          </w:p>
        </w:tc>
        <w:tc>
          <w:tcPr>
            <w:tcW w:w="0" w:type="dxa"/>
            <w:vAlign w:val="center"/>
          </w:tcPr>
          <w:p>
            <w:pPr>
              <w:spacing w:line="240" w:lineRule="auto"/>
              <w:jc w:val="right"/>
            </w:pPr>
            <w:r>
              <w:rPr>
                <w:rFonts w:ascii="宋体" w:hAnsi="宋体" w:eastAsia="宋体" w:cs="宋体"/>
                <w:b w:val="0"/>
              </w:rPr>
              <w:t>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61</w:t>
            </w:r>
          </w:p>
        </w:tc>
        <w:tc>
          <w:tcPr>
            <w:tcW w:w="0" w:type="dxa"/>
            <w:vAlign w:val="center"/>
          </w:tcPr>
          <w:p>
            <w:pPr>
              <w:spacing w:line="240" w:lineRule="auto"/>
              <w:jc w:val="left"/>
            </w:pPr>
            <w:r>
              <w:rPr>
                <w:rFonts w:ascii="宋体" w:hAnsi="宋体" w:eastAsia="宋体" w:cs="宋体"/>
                <w:b w:val="0"/>
              </w:rPr>
              <w:t>300726</w:t>
            </w:r>
          </w:p>
        </w:tc>
        <w:tc>
          <w:tcPr>
            <w:tcW w:w="0" w:type="dxa"/>
            <w:vAlign w:val="center"/>
          </w:tcPr>
          <w:p>
            <w:pPr>
              <w:spacing w:line="240" w:lineRule="auto"/>
              <w:jc w:val="left"/>
            </w:pPr>
            <w:r>
              <w:rPr>
                <w:rFonts w:ascii="宋体" w:hAnsi="宋体" w:eastAsia="宋体" w:cs="宋体"/>
                <w:b w:val="0"/>
              </w:rPr>
              <w:t>宏达电子</w:t>
            </w:r>
          </w:p>
        </w:tc>
        <w:tc>
          <w:tcPr>
            <w:tcW w:w="0" w:type="dxa"/>
            <w:vAlign w:val="center"/>
          </w:tcPr>
          <w:p>
            <w:pPr>
              <w:spacing w:line="240" w:lineRule="auto"/>
              <w:jc w:val="right"/>
            </w:pPr>
            <w:r>
              <w:rPr>
                <w:rFonts w:ascii="宋体" w:hAnsi="宋体" w:eastAsia="宋体" w:cs="宋体"/>
                <w:b w:val="0"/>
              </w:rPr>
              <w:t>2,517,472.00</w:t>
            </w:r>
          </w:p>
        </w:tc>
        <w:tc>
          <w:tcPr>
            <w:tcW w:w="0" w:type="dxa"/>
            <w:vAlign w:val="center"/>
          </w:tcPr>
          <w:p>
            <w:pPr>
              <w:spacing w:line="240" w:lineRule="auto"/>
              <w:jc w:val="right"/>
            </w:pPr>
            <w:r>
              <w:rPr>
                <w:rFonts w:ascii="宋体" w:hAnsi="宋体" w:eastAsia="宋体" w:cs="宋体"/>
                <w:b w:val="0"/>
              </w:rPr>
              <w:t>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62</w:t>
            </w:r>
          </w:p>
        </w:tc>
        <w:tc>
          <w:tcPr>
            <w:tcW w:w="0" w:type="dxa"/>
            <w:vAlign w:val="center"/>
          </w:tcPr>
          <w:p>
            <w:pPr>
              <w:spacing w:line="240" w:lineRule="auto"/>
              <w:jc w:val="left"/>
            </w:pPr>
            <w:r>
              <w:rPr>
                <w:rFonts w:ascii="宋体" w:hAnsi="宋体" w:eastAsia="宋体" w:cs="宋体"/>
                <w:b w:val="0"/>
              </w:rPr>
              <w:t>300593</w:t>
            </w:r>
          </w:p>
        </w:tc>
        <w:tc>
          <w:tcPr>
            <w:tcW w:w="0" w:type="dxa"/>
            <w:vAlign w:val="center"/>
          </w:tcPr>
          <w:p>
            <w:pPr>
              <w:spacing w:line="240" w:lineRule="auto"/>
              <w:jc w:val="left"/>
            </w:pPr>
            <w:r>
              <w:rPr>
                <w:rFonts w:ascii="宋体" w:hAnsi="宋体" w:eastAsia="宋体" w:cs="宋体"/>
                <w:b w:val="0"/>
              </w:rPr>
              <w:t>新雷能</w:t>
            </w:r>
          </w:p>
        </w:tc>
        <w:tc>
          <w:tcPr>
            <w:tcW w:w="0" w:type="dxa"/>
            <w:vAlign w:val="center"/>
          </w:tcPr>
          <w:p>
            <w:pPr>
              <w:spacing w:line="240" w:lineRule="auto"/>
              <w:jc w:val="right"/>
            </w:pPr>
            <w:r>
              <w:rPr>
                <w:rFonts w:ascii="宋体" w:hAnsi="宋体" w:eastAsia="宋体" w:cs="宋体"/>
                <w:b w:val="0"/>
              </w:rPr>
              <w:t>2,474,555.00</w:t>
            </w:r>
          </w:p>
        </w:tc>
        <w:tc>
          <w:tcPr>
            <w:tcW w:w="0" w:type="dxa"/>
            <w:vAlign w:val="center"/>
          </w:tcPr>
          <w:p>
            <w:pPr>
              <w:spacing w:line="240" w:lineRule="auto"/>
              <w:jc w:val="right"/>
            </w:pPr>
            <w:r>
              <w:rPr>
                <w:rFonts w:ascii="宋体" w:hAnsi="宋体" w:eastAsia="宋体" w:cs="宋体"/>
                <w:b w:val="0"/>
              </w:rPr>
              <w:t>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63</w:t>
            </w:r>
          </w:p>
        </w:tc>
        <w:tc>
          <w:tcPr>
            <w:tcW w:w="0" w:type="dxa"/>
            <w:vAlign w:val="center"/>
          </w:tcPr>
          <w:p>
            <w:pPr>
              <w:spacing w:line="240" w:lineRule="auto"/>
              <w:jc w:val="left"/>
            </w:pPr>
            <w:r>
              <w:rPr>
                <w:rFonts w:ascii="宋体" w:hAnsi="宋体" w:eastAsia="宋体" w:cs="宋体"/>
                <w:b w:val="0"/>
              </w:rPr>
              <w:t>688368</w:t>
            </w:r>
          </w:p>
        </w:tc>
        <w:tc>
          <w:tcPr>
            <w:tcW w:w="0" w:type="dxa"/>
            <w:vAlign w:val="center"/>
          </w:tcPr>
          <w:p>
            <w:pPr>
              <w:spacing w:line="240" w:lineRule="auto"/>
              <w:jc w:val="left"/>
            </w:pPr>
            <w:r>
              <w:rPr>
                <w:rFonts w:ascii="宋体" w:hAnsi="宋体" w:eastAsia="宋体" w:cs="宋体"/>
                <w:b w:val="0"/>
              </w:rPr>
              <w:t>晶丰明源</w:t>
            </w:r>
          </w:p>
        </w:tc>
        <w:tc>
          <w:tcPr>
            <w:tcW w:w="0" w:type="dxa"/>
            <w:vAlign w:val="center"/>
          </w:tcPr>
          <w:p>
            <w:pPr>
              <w:spacing w:line="240" w:lineRule="auto"/>
              <w:jc w:val="right"/>
            </w:pPr>
            <w:r>
              <w:rPr>
                <w:rFonts w:ascii="宋体" w:hAnsi="宋体" w:eastAsia="宋体" w:cs="宋体"/>
                <w:b w:val="0"/>
              </w:rPr>
              <w:t>2,402,146.59</w:t>
            </w:r>
          </w:p>
        </w:tc>
        <w:tc>
          <w:tcPr>
            <w:tcW w:w="0" w:type="dxa"/>
            <w:vAlign w:val="center"/>
          </w:tcPr>
          <w:p>
            <w:pPr>
              <w:spacing w:line="240" w:lineRule="auto"/>
              <w:jc w:val="right"/>
            </w:pPr>
            <w:r>
              <w:rPr>
                <w:rFonts w:ascii="宋体" w:hAnsi="宋体" w:eastAsia="宋体" w:cs="宋体"/>
                <w:b w:val="0"/>
              </w:rPr>
              <w:t>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64</w:t>
            </w:r>
          </w:p>
        </w:tc>
        <w:tc>
          <w:tcPr>
            <w:tcW w:w="0" w:type="dxa"/>
            <w:vAlign w:val="center"/>
          </w:tcPr>
          <w:p>
            <w:pPr>
              <w:spacing w:line="240" w:lineRule="auto"/>
              <w:jc w:val="left"/>
            </w:pPr>
            <w:r>
              <w:rPr>
                <w:rFonts w:ascii="宋体" w:hAnsi="宋体" w:eastAsia="宋体" w:cs="宋体"/>
                <w:b w:val="0"/>
              </w:rPr>
              <w:t>300438</w:t>
            </w:r>
          </w:p>
        </w:tc>
        <w:tc>
          <w:tcPr>
            <w:tcW w:w="0" w:type="dxa"/>
            <w:vAlign w:val="center"/>
          </w:tcPr>
          <w:p>
            <w:pPr>
              <w:spacing w:line="240" w:lineRule="auto"/>
              <w:jc w:val="left"/>
            </w:pPr>
            <w:r>
              <w:rPr>
                <w:rFonts w:ascii="宋体" w:hAnsi="宋体" w:eastAsia="宋体" w:cs="宋体"/>
                <w:b w:val="0"/>
              </w:rPr>
              <w:t>鹏辉能源</w:t>
            </w:r>
          </w:p>
        </w:tc>
        <w:tc>
          <w:tcPr>
            <w:tcW w:w="0" w:type="dxa"/>
            <w:vAlign w:val="center"/>
          </w:tcPr>
          <w:p>
            <w:pPr>
              <w:spacing w:line="240" w:lineRule="auto"/>
              <w:jc w:val="right"/>
            </w:pPr>
            <w:r>
              <w:rPr>
                <w:rFonts w:ascii="宋体" w:hAnsi="宋体" w:eastAsia="宋体" w:cs="宋体"/>
                <w:b w:val="0"/>
              </w:rPr>
              <w:t>2,360,068.00</w:t>
            </w:r>
          </w:p>
        </w:tc>
        <w:tc>
          <w:tcPr>
            <w:tcW w:w="0" w:type="dxa"/>
            <w:vAlign w:val="center"/>
          </w:tcPr>
          <w:p>
            <w:pPr>
              <w:spacing w:line="240" w:lineRule="auto"/>
              <w:jc w:val="right"/>
            </w:pPr>
            <w:r>
              <w:rPr>
                <w:rFonts w:ascii="宋体" w:hAnsi="宋体" w:eastAsia="宋体" w:cs="宋体"/>
                <w:b w:val="0"/>
              </w:rPr>
              <w:t>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65</w:t>
            </w:r>
          </w:p>
        </w:tc>
        <w:tc>
          <w:tcPr>
            <w:tcW w:w="0" w:type="dxa"/>
            <w:vAlign w:val="center"/>
          </w:tcPr>
          <w:p>
            <w:pPr>
              <w:spacing w:line="240" w:lineRule="auto"/>
              <w:jc w:val="left"/>
            </w:pPr>
            <w:r>
              <w:rPr>
                <w:rFonts w:ascii="宋体" w:hAnsi="宋体" w:eastAsia="宋体" w:cs="宋体"/>
                <w:b w:val="0"/>
              </w:rPr>
              <w:t>601877</w:t>
            </w:r>
          </w:p>
        </w:tc>
        <w:tc>
          <w:tcPr>
            <w:tcW w:w="0" w:type="dxa"/>
            <w:vAlign w:val="center"/>
          </w:tcPr>
          <w:p>
            <w:pPr>
              <w:spacing w:line="240" w:lineRule="auto"/>
              <w:jc w:val="left"/>
            </w:pPr>
            <w:r>
              <w:rPr>
                <w:rFonts w:ascii="宋体" w:hAnsi="宋体" w:eastAsia="宋体" w:cs="宋体"/>
                <w:b w:val="0"/>
              </w:rPr>
              <w:t>正泰电器</w:t>
            </w:r>
          </w:p>
        </w:tc>
        <w:tc>
          <w:tcPr>
            <w:tcW w:w="0" w:type="dxa"/>
            <w:vAlign w:val="center"/>
          </w:tcPr>
          <w:p>
            <w:pPr>
              <w:spacing w:line="240" w:lineRule="auto"/>
              <w:jc w:val="right"/>
            </w:pPr>
            <w:r>
              <w:rPr>
                <w:rFonts w:ascii="宋体" w:hAnsi="宋体" w:eastAsia="宋体" w:cs="宋体"/>
                <w:b w:val="0"/>
              </w:rPr>
              <w:t>2,339,600.00</w:t>
            </w:r>
          </w:p>
        </w:tc>
        <w:tc>
          <w:tcPr>
            <w:tcW w:w="0" w:type="dxa"/>
            <w:vAlign w:val="center"/>
          </w:tcPr>
          <w:p>
            <w:pPr>
              <w:spacing w:line="240" w:lineRule="auto"/>
              <w:jc w:val="right"/>
            </w:pPr>
            <w:r>
              <w:rPr>
                <w:rFonts w:ascii="宋体" w:hAnsi="宋体" w:eastAsia="宋体" w:cs="宋体"/>
                <w:b w:val="0"/>
              </w:rPr>
              <w:t>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66</w:t>
            </w:r>
          </w:p>
        </w:tc>
        <w:tc>
          <w:tcPr>
            <w:tcW w:w="0" w:type="dxa"/>
            <w:vAlign w:val="center"/>
          </w:tcPr>
          <w:p>
            <w:pPr>
              <w:spacing w:line="240" w:lineRule="auto"/>
              <w:jc w:val="left"/>
            </w:pPr>
            <w:r>
              <w:rPr>
                <w:rFonts w:ascii="宋体" w:hAnsi="宋体" w:eastAsia="宋体" w:cs="宋体"/>
                <w:b w:val="0"/>
              </w:rPr>
              <w:t>002452</w:t>
            </w:r>
          </w:p>
        </w:tc>
        <w:tc>
          <w:tcPr>
            <w:tcW w:w="0" w:type="dxa"/>
            <w:vAlign w:val="center"/>
          </w:tcPr>
          <w:p>
            <w:pPr>
              <w:spacing w:line="240" w:lineRule="auto"/>
              <w:jc w:val="left"/>
            </w:pPr>
            <w:r>
              <w:rPr>
                <w:rFonts w:ascii="宋体" w:hAnsi="宋体" w:eastAsia="宋体" w:cs="宋体"/>
                <w:b w:val="0"/>
              </w:rPr>
              <w:t>长高电气</w:t>
            </w:r>
          </w:p>
        </w:tc>
        <w:tc>
          <w:tcPr>
            <w:tcW w:w="0" w:type="dxa"/>
            <w:vAlign w:val="center"/>
          </w:tcPr>
          <w:p>
            <w:pPr>
              <w:spacing w:line="240" w:lineRule="auto"/>
              <w:jc w:val="right"/>
            </w:pPr>
            <w:r>
              <w:rPr>
                <w:rFonts w:ascii="宋体" w:hAnsi="宋体" w:eastAsia="宋体" w:cs="宋体"/>
                <w:b w:val="0"/>
              </w:rPr>
              <w:t>2,327,946.00</w:t>
            </w:r>
          </w:p>
        </w:tc>
        <w:tc>
          <w:tcPr>
            <w:tcW w:w="0" w:type="dxa"/>
            <w:vAlign w:val="center"/>
          </w:tcPr>
          <w:p>
            <w:pPr>
              <w:spacing w:line="240" w:lineRule="auto"/>
              <w:jc w:val="right"/>
            </w:pPr>
            <w:r>
              <w:rPr>
                <w:rFonts w:ascii="宋体" w:hAnsi="宋体" w:eastAsia="宋体" w:cs="宋体"/>
                <w:b w:val="0"/>
              </w:rPr>
              <w:t>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67</w:t>
            </w:r>
          </w:p>
        </w:tc>
        <w:tc>
          <w:tcPr>
            <w:tcW w:w="0" w:type="dxa"/>
            <w:vAlign w:val="center"/>
          </w:tcPr>
          <w:p>
            <w:pPr>
              <w:spacing w:line="240" w:lineRule="auto"/>
              <w:jc w:val="left"/>
            </w:pPr>
            <w:r>
              <w:rPr>
                <w:rFonts w:ascii="宋体" w:hAnsi="宋体" w:eastAsia="宋体" w:cs="宋体"/>
                <w:b w:val="0"/>
              </w:rPr>
              <w:t>300870</w:t>
            </w:r>
          </w:p>
        </w:tc>
        <w:tc>
          <w:tcPr>
            <w:tcW w:w="0" w:type="dxa"/>
            <w:vAlign w:val="center"/>
          </w:tcPr>
          <w:p>
            <w:pPr>
              <w:spacing w:line="240" w:lineRule="auto"/>
              <w:jc w:val="left"/>
            </w:pPr>
            <w:r>
              <w:rPr>
                <w:rFonts w:ascii="宋体" w:hAnsi="宋体" w:eastAsia="宋体" w:cs="宋体"/>
                <w:b w:val="0"/>
              </w:rPr>
              <w:t>欧陆通</w:t>
            </w:r>
          </w:p>
        </w:tc>
        <w:tc>
          <w:tcPr>
            <w:tcW w:w="0" w:type="dxa"/>
            <w:vAlign w:val="center"/>
          </w:tcPr>
          <w:p>
            <w:pPr>
              <w:spacing w:line="240" w:lineRule="auto"/>
              <w:jc w:val="right"/>
            </w:pPr>
            <w:r>
              <w:rPr>
                <w:rFonts w:ascii="宋体" w:hAnsi="宋体" w:eastAsia="宋体" w:cs="宋体"/>
                <w:b w:val="0"/>
              </w:rPr>
              <w:t>2,268,384.00</w:t>
            </w:r>
          </w:p>
        </w:tc>
        <w:tc>
          <w:tcPr>
            <w:tcW w:w="0" w:type="dxa"/>
            <w:vAlign w:val="center"/>
          </w:tcPr>
          <w:p>
            <w:pPr>
              <w:spacing w:line="240" w:lineRule="auto"/>
              <w:jc w:val="right"/>
            </w:pPr>
            <w:r>
              <w:rPr>
                <w:rFonts w:ascii="宋体" w:hAnsi="宋体" w:eastAsia="宋体" w:cs="宋体"/>
                <w:b w:val="0"/>
              </w:rPr>
              <w:t>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68</w:t>
            </w:r>
          </w:p>
        </w:tc>
        <w:tc>
          <w:tcPr>
            <w:tcW w:w="0" w:type="dxa"/>
            <w:vAlign w:val="center"/>
          </w:tcPr>
          <w:p>
            <w:pPr>
              <w:spacing w:line="240" w:lineRule="auto"/>
              <w:jc w:val="left"/>
            </w:pPr>
            <w:r>
              <w:rPr>
                <w:rFonts w:ascii="宋体" w:hAnsi="宋体" w:eastAsia="宋体" w:cs="宋体"/>
                <w:b w:val="0"/>
              </w:rPr>
              <w:t>605060</w:t>
            </w:r>
          </w:p>
        </w:tc>
        <w:tc>
          <w:tcPr>
            <w:tcW w:w="0" w:type="dxa"/>
            <w:vAlign w:val="center"/>
          </w:tcPr>
          <w:p>
            <w:pPr>
              <w:spacing w:line="240" w:lineRule="auto"/>
              <w:jc w:val="left"/>
            </w:pPr>
            <w:r>
              <w:rPr>
                <w:rFonts w:ascii="宋体" w:hAnsi="宋体" w:eastAsia="宋体" w:cs="宋体"/>
                <w:b w:val="0"/>
              </w:rPr>
              <w:t>联德股份</w:t>
            </w:r>
          </w:p>
        </w:tc>
        <w:tc>
          <w:tcPr>
            <w:tcW w:w="0" w:type="dxa"/>
            <w:vAlign w:val="center"/>
          </w:tcPr>
          <w:p>
            <w:pPr>
              <w:spacing w:line="240" w:lineRule="auto"/>
              <w:jc w:val="right"/>
            </w:pPr>
            <w:r>
              <w:rPr>
                <w:rFonts w:ascii="宋体" w:hAnsi="宋体" w:eastAsia="宋体" w:cs="宋体"/>
                <w:b w:val="0"/>
              </w:rPr>
              <w:t>2,219,079.00</w:t>
            </w:r>
          </w:p>
        </w:tc>
        <w:tc>
          <w:tcPr>
            <w:tcW w:w="0" w:type="dxa"/>
            <w:vAlign w:val="center"/>
          </w:tcPr>
          <w:p>
            <w:pPr>
              <w:spacing w:line="240" w:lineRule="auto"/>
              <w:jc w:val="right"/>
            </w:pPr>
            <w:r>
              <w:rPr>
                <w:rFonts w:ascii="宋体" w:hAnsi="宋体" w:eastAsia="宋体" w:cs="宋体"/>
                <w:b w:val="0"/>
              </w:rPr>
              <w:t>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69</w:t>
            </w:r>
          </w:p>
        </w:tc>
        <w:tc>
          <w:tcPr>
            <w:tcW w:w="0" w:type="dxa"/>
            <w:vAlign w:val="center"/>
          </w:tcPr>
          <w:p>
            <w:pPr>
              <w:spacing w:line="240" w:lineRule="auto"/>
              <w:jc w:val="left"/>
            </w:pPr>
            <w:r>
              <w:rPr>
                <w:rFonts w:ascii="宋体" w:hAnsi="宋体" w:eastAsia="宋体" w:cs="宋体"/>
                <w:b w:val="0"/>
              </w:rPr>
              <w:t>603618</w:t>
            </w:r>
          </w:p>
        </w:tc>
        <w:tc>
          <w:tcPr>
            <w:tcW w:w="0" w:type="dxa"/>
            <w:vAlign w:val="center"/>
          </w:tcPr>
          <w:p>
            <w:pPr>
              <w:spacing w:line="240" w:lineRule="auto"/>
              <w:jc w:val="left"/>
            </w:pPr>
            <w:r>
              <w:rPr>
                <w:rFonts w:ascii="宋体" w:hAnsi="宋体" w:eastAsia="宋体" w:cs="宋体"/>
                <w:b w:val="0"/>
              </w:rPr>
              <w:t>杭电股份</w:t>
            </w:r>
          </w:p>
        </w:tc>
        <w:tc>
          <w:tcPr>
            <w:tcW w:w="0" w:type="dxa"/>
            <w:vAlign w:val="center"/>
          </w:tcPr>
          <w:p>
            <w:pPr>
              <w:spacing w:line="240" w:lineRule="auto"/>
              <w:jc w:val="right"/>
            </w:pPr>
            <w:r>
              <w:rPr>
                <w:rFonts w:ascii="宋体" w:hAnsi="宋体" w:eastAsia="宋体" w:cs="宋体"/>
                <w:b w:val="0"/>
              </w:rPr>
              <w:t>2,012,083.00</w:t>
            </w:r>
          </w:p>
        </w:tc>
        <w:tc>
          <w:tcPr>
            <w:tcW w:w="0" w:type="dxa"/>
            <w:vAlign w:val="center"/>
          </w:tcPr>
          <w:p>
            <w:pPr>
              <w:spacing w:line="240" w:lineRule="auto"/>
              <w:jc w:val="right"/>
            </w:pPr>
            <w:r>
              <w:rPr>
                <w:rFonts w:ascii="宋体" w:hAnsi="宋体" w:eastAsia="宋体" w:cs="宋体"/>
                <w:b w:val="0"/>
              </w:rPr>
              <w:t>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70</w:t>
            </w:r>
          </w:p>
        </w:tc>
        <w:tc>
          <w:tcPr>
            <w:tcW w:w="0" w:type="dxa"/>
            <w:vAlign w:val="center"/>
          </w:tcPr>
          <w:p>
            <w:pPr>
              <w:spacing w:line="240" w:lineRule="auto"/>
              <w:jc w:val="left"/>
            </w:pPr>
            <w:r>
              <w:rPr>
                <w:rFonts w:ascii="宋体" w:hAnsi="宋体" w:eastAsia="宋体" w:cs="宋体"/>
                <w:b w:val="0"/>
              </w:rPr>
              <w:t>600089</w:t>
            </w:r>
          </w:p>
        </w:tc>
        <w:tc>
          <w:tcPr>
            <w:tcW w:w="0" w:type="dxa"/>
            <w:vAlign w:val="center"/>
          </w:tcPr>
          <w:p>
            <w:pPr>
              <w:spacing w:line="240" w:lineRule="auto"/>
              <w:jc w:val="left"/>
            </w:pPr>
            <w:r>
              <w:rPr>
                <w:rFonts w:ascii="宋体" w:hAnsi="宋体" w:eastAsia="宋体" w:cs="宋体"/>
                <w:b w:val="0"/>
              </w:rPr>
              <w:t>特变电工</w:t>
            </w:r>
          </w:p>
        </w:tc>
        <w:tc>
          <w:tcPr>
            <w:tcW w:w="0" w:type="dxa"/>
            <w:vAlign w:val="center"/>
          </w:tcPr>
          <w:p>
            <w:pPr>
              <w:spacing w:line="240" w:lineRule="auto"/>
              <w:jc w:val="right"/>
            </w:pPr>
            <w:r>
              <w:rPr>
                <w:rFonts w:ascii="宋体" w:hAnsi="宋体" w:eastAsia="宋体" w:cs="宋体"/>
                <w:b w:val="0"/>
              </w:rPr>
              <w:t>1,726,104.00</w:t>
            </w:r>
          </w:p>
        </w:tc>
        <w:tc>
          <w:tcPr>
            <w:tcW w:w="0" w:type="dxa"/>
            <w:vAlign w:val="center"/>
          </w:tcPr>
          <w:p>
            <w:pPr>
              <w:spacing w:line="240" w:lineRule="auto"/>
              <w:jc w:val="right"/>
            </w:pPr>
            <w:r>
              <w:rPr>
                <w:rFonts w:ascii="宋体" w:hAnsi="宋体" w:eastAsia="宋体" w:cs="宋体"/>
                <w:b w:val="0"/>
              </w:rPr>
              <w:t>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71</w:t>
            </w:r>
          </w:p>
        </w:tc>
        <w:tc>
          <w:tcPr>
            <w:tcW w:w="0" w:type="dxa"/>
            <w:vAlign w:val="center"/>
          </w:tcPr>
          <w:p>
            <w:pPr>
              <w:spacing w:line="240" w:lineRule="auto"/>
              <w:jc w:val="left"/>
            </w:pPr>
            <w:r>
              <w:rPr>
                <w:rFonts w:ascii="宋体" w:hAnsi="宋体" w:eastAsia="宋体" w:cs="宋体"/>
                <w:b w:val="0"/>
              </w:rPr>
              <w:t>300814</w:t>
            </w:r>
          </w:p>
        </w:tc>
        <w:tc>
          <w:tcPr>
            <w:tcW w:w="0" w:type="dxa"/>
            <w:vAlign w:val="center"/>
          </w:tcPr>
          <w:p>
            <w:pPr>
              <w:spacing w:line="240" w:lineRule="auto"/>
              <w:jc w:val="left"/>
            </w:pPr>
            <w:r>
              <w:rPr>
                <w:rFonts w:ascii="宋体" w:hAnsi="宋体" w:eastAsia="宋体" w:cs="宋体"/>
                <w:b w:val="0"/>
              </w:rPr>
              <w:t>中富电路</w:t>
            </w:r>
          </w:p>
        </w:tc>
        <w:tc>
          <w:tcPr>
            <w:tcW w:w="0" w:type="dxa"/>
            <w:vAlign w:val="center"/>
          </w:tcPr>
          <w:p>
            <w:pPr>
              <w:spacing w:line="240" w:lineRule="auto"/>
              <w:jc w:val="right"/>
            </w:pPr>
            <w:r>
              <w:rPr>
                <w:rFonts w:ascii="宋体" w:hAnsi="宋体" w:eastAsia="宋体" w:cs="宋体"/>
                <w:b w:val="0"/>
              </w:rPr>
              <w:t>1,493,106.00</w:t>
            </w:r>
          </w:p>
        </w:tc>
        <w:tc>
          <w:tcPr>
            <w:tcW w:w="0" w:type="dxa"/>
            <w:vAlign w:val="center"/>
          </w:tcPr>
          <w:p>
            <w:pPr>
              <w:spacing w:line="240" w:lineRule="auto"/>
              <w:jc w:val="right"/>
            </w:pPr>
            <w:r>
              <w:rPr>
                <w:rFonts w:ascii="宋体" w:hAnsi="宋体" w:eastAsia="宋体" w:cs="宋体"/>
                <w:b w:val="0"/>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72</w:t>
            </w:r>
          </w:p>
        </w:tc>
        <w:tc>
          <w:tcPr>
            <w:tcW w:w="0" w:type="dxa"/>
            <w:vAlign w:val="center"/>
          </w:tcPr>
          <w:p>
            <w:pPr>
              <w:spacing w:line="240" w:lineRule="auto"/>
              <w:jc w:val="left"/>
            </w:pPr>
            <w:r>
              <w:rPr>
                <w:rFonts w:ascii="宋体" w:hAnsi="宋体" w:eastAsia="宋体" w:cs="宋体"/>
                <w:b w:val="0"/>
              </w:rPr>
              <w:t>002518</w:t>
            </w:r>
          </w:p>
        </w:tc>
        <w:tc>
          <w:tcPr>
            <w:tcW w:w="0" w:type="dxa"/>
            <w:vAlign w:val="center"/>
          </w:tcPr>
          <w:p>
            <w:pPr>
              <w:spacing w:line="240" w:lineRule="auto"/>
              <w:jc w:val="left"/>
            </w:pPr>
            <w:r>
              <w:rPr>
                <w:rFonts w:ascii="宋体" w:hAnsi="宋体" w:eastAsia="宋体" w:cs="宋体"/>
                <w:b w:val="0"/>
              </w:rPr>
              <w:t>科士达</w:t>
            </w:r>
          </w:p>
        </w:tc>
        <w:tc>
          <w:tcPr>
            <w:tcW w:w="0" w:type="dxa"/>
            <w:vAlign w:val="center"/>
          </w:tcPr>
          <w:p>
            <w:pPr>
              <w:spacing w:line="240" w:lineRule="auto"/>
              <w:jc w:val="right"/>
            </w:pPr>
            <w:r>
              <w:rPr>
                <w:rFonts w:ascii="宋体" w:hAnsi="宋体" w:eastAsia="宋体" w:cs="宋体"/>
                <w:b w:val="0"/>
              </w:rPr>
              <w:t>1,167,619.00</w:t>
            </w:r>
          </w:p>
        </w:tc>
        <w:tc>
          <w:tcPr>
            <w:tcW w:w="0" w:type="dxa"/>
            <w:vAlign w:val="center"/>
          </w:tcPr>
          <w:p>
            <w:pPr>
              <w:spacing w:line="240" w:lineRule="auto"/>
              <w:jc w:val="right"/>
            </w:pPr>
            <w:r>
              <w:rPr>
                <w:rFonts w:ascii="宋体" w:hAnsi="宋体" w:eastAsia="宋体" w:cs="宋体"/>
                <w:b w:val="0"/>
              </w:rPr>
              <w:t>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73</w:t>
            </w:r>
          </w:p>
        </w:tc>
        <w:tc>
          <w:tcPr>
            <w:tcW w:w="0" w:type="dxa"/>
            <w:vAlign w:val="center"/>
          </w:tcPr>
          <w:p>
            <w:pPr>
              <w:spacing w:line="240" w:lineRule="auto"/>
              <w:jc w:val="left"/>
            </w:pPr>
            <w:r>
              <w:rPr>
                <w:rFonts w:ascii="宋体" w:hAnsi="宋体" w:eastAsia="宋体" w:cs="宋体"/>
                <w:b w:val="0"/>
              </w:rPr>
              <w:t>300001</w:t>
            </w:r>
          </w:p>
        </w:tc>
        <w:tc>
          <w:tcPr>
            <w:tcW w:w="0" w:type="dxa"/>
            <w:vAlign w:val="center"/>
          </w:tcPr>
          <w:p>
            <w:pPr>
              <w:spacing w:line="240" w:lineRule="auto"/>
              <w:jc w:val="left"/>
            </w:pPr>
            <w:r>
              <w:rPr>
                <w:rFonts w:ascii="宋体" w:hAnsi="宋体" w:eastAsia="宋体" w:cs="宋体"/>
                <w:b w:val="0"/>
              </w:rPr>
              <w:t>特锐德</w:t>
            </w:r>
          </w:p>
        </w:tc>
        <w:tc>
          <w:tcPr>
            <w:tcW w:w="0" w:type="dxa"/>
            <w:vAlign w:val="center"/>
          </w:tcPr>
          <w:p>
            <w:pPr>
              <w:spacing w:line="240" w:lineRule="auto"/>
              <w:jc w:val="right"/>
            </w:pPr>
            <w:r>
              <w:rPr>
                <w:rFonts w:ascii="宋体" w:hAnsi="宋体" w:eastAsia="宋体" w:cs="宋体"/>
                <w:b w:val="0"/>
              </w:rPr>
              <w:t>1,005,730.00</w:t>
            </w:r>
          </w:p>
        </w:tc>
        <w:tc>
          <w:tcPr>
            <w:tcW w:w="0" w:type="dxa"/>
            <w:vAlign w:val="center"/>
          </w:tcPr>
          <w:p>
            <w:pPr>
              <w:spacing w:line="240" w:lineRule="auto"/>
              <w:jc w:val="right"/>
            </w:pPr>
            <w:r>
              <w:rPr>
                <w:rFonts w:ascii="宋体" w:hAnsi="宋体" w:eastAsia="宋体" w:cs="宋体"/>
                <w:b w:val="0"/>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74</w:t>
            </w:r>
          </w:p>
        </w:tc>
        <w:tc>
          <w:tcPr>
            <w:tcW w:w="0" w:type="dxa"/>
            <w:vAlign w:val="center"/>
          </w:tcPr>
          <w:p>
            <w:pPr>
              <w:spacing w:line="240" w:lineRule="auto"/>
              <w:jc w:val="left"/>
            </w:pPr>
            <w:r>
              <w:rPr>
                <w:rFonts w:ascii="宋体" w:hAnsi="宋体" w:eastAsia="宋体" w:cs="宋体"/>
                <w:b w:val="0"/>
              </w:rPr>
              <w:t>300153</w:t>
            </w:r>
          </w:p>
        </w:tc>
        <w:tc>
          <w:tcPr>
            <w:tcW w:w="0" w:type="dxa"/>
            <w:vAlign w:val="center"/>
          </w:tcPr>
          <w:p>
            <w:pPr>
              <w:spacing w:line="240" w:lineRule="auto"/>
              <w:jc w:val="left"/>
            </w:pPr>
            <w:r>
              <w:rPr>
                <w:rFonts w:ascii="宋体" w:hAnsi="宋体" w:eastAsia="宋体" w:cs="宋体"/>
                <w:b w:val="0"/>
              </w:rPr>
              <w:t>科泰电源</w:t>
            </w:r>
          </w:p>
        </w:tc>
        <w:tc>
          <w:tcPr>
            <w:tcW w:w="0" w:type="dxa"/>
            <w:vAlign w:val="center"/>
          </w:tcPr>
          <w:p>
            <w:pPr>
              <w:spacing w:line="240" w:lineRule="auto"/>
              <w:jc w:val="right"/>
            </w:pPr>
            <w:r>
              <w:rPr>
                <w:rFonts w:ascii="宋体" w:hAnsi="宋体" w:eastAsia="宋体" w:cs="宋体"/>
                <w:b w:val="0"/>
              </w:rPr>
              <w:t>933,375.00</w:t>
            </w:r>
          </w:p>
        </w:tc>
        <w:tc>
          <w:tcPr>
            <w:tcW w:w="0" w:type="dxa"/>
            <w:vAlign w:val="center"/>
          </w:tcPr>
          <w:p>
            <w:pPr>
              <w:spacing w:line="240" w:lineRule="auto"/>
              <w:jc w:val="right"/>
            </w:pPr>
            <w:r>
              <w:rPr>
                <w:rFonts w:ascii="宋体" w:hAnsi="宋体" w:eastAsia="宋体" w:cs="宋体"/>
                <w:b w:val="0"/>
              </w:rPr>
              <w:t>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75</w:t>
            </w:r>
          </w:p>
        </w:tc>
        <w:tc>
          <w:tcPr>
            <w:tcW w:w="0" w:type="dxa"/>
            <w:vAlign w:val="center"/>
          </w:tcPr>
          <w:p>
            <w:pPr>
              <w:spacing w:line="240" w:lineRule="auto"/>
              <w:jc w:val="left"/>
            </w:pPr>
            <w:r>
              <w:rPr>
                <w:rFonts w:ascii="宋体" w:hAnsi="宋体" w:eastAsia="宋体" w:cs="宋体"/>
                <w:b w:val="0"/>
              </w:rPr>
              <w:t>601126</w:t>
            </w:r>
          </w:p>
        </w:tc>
        <w:tc>
          <w:tcPr>
            <w:tcW w:w="0" w:type="dxa"/>
            <w:vAlign w:val="center"/>
          </w:tcPr>
          <w:p>
            <w:pPr>
              <w:spacing w:line="240" w:lineRule="auto"/>
              <w:jc w:val="left"/>
            </w:pPr>
            <w:r>
              <w:rPr>
                <w:rFonts w:ascii="宋体" w:hAnsi="宋体" w:eastAsia="宋体" w:cs="宋体"/>
                <w:b w:val="0"/>
              </w:rPr>
              <w:t>四方股份</w:t>
            </w:r>
          </w:p>
        </w:tc>
        <w:tc>
          <w:tcPr>
            <w:tcW w:w="0" w:type="dxa"/>
            <w:vAlign w:val="center"/>
          </w:tcPr>
          <w:p>
            <w:pPr>
              <w:spacing w:line="240" w:lineRule="auto"/>
              <w:jc w:val="right"/>
            </w:pPr>
            <w:r>
              <w:rPr>
                <w:rFonts w:ascii="宋体" w:hAnsi="宋体" w:eastAsia="宋体" w:cs="宋体"/>
                <w:b w:val="0"/>
              </w:rPr>
              <w:t>773,225.00</w:t>
            </w:r>
          </w:p>
        </w:tc>
        <w:tc>
          <w:tcPr>
            <w:tcW w:w="0" w:type="dxa"/>
            <w:vAlign w:val="center"/>
          </w:tcPr>
          <w:p>
            <w:pPr>
              <w:spacing w:line="240" w:lineRule="auto"/>
              <w:jc w:val="right"/>
            </w:pPr>
            <w:r>
              <w:rPr>
                <w:rFonts w:ascii="宋体" w:hAnsi="宋体" w:eastAsia="宋体" w:cs="宋体"/>
                <w:b w:val="0"/>
              </w:rPr>
              <w:t>2.74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center"/>
            </w:pPr>
            <w:r>
              <w:rPr>
                <w:rFonts w:ascii="宋体" w:hAnsi="宋体" w:eastAsia="宋体" w:cs="宋体"/>
                <w:b w:val="0"/>
              </w:rPr>
              <w:t>76</w:t>
            </w:r>
          </w:p>
        </w:tc>
        <w:tc>
          <w:tcPr>
            <w:tcW w:w="0" w:type="dxa"/>
            <w:vAlign w:val="center"/>
          </w:tcPr>
          <w:p>
            <w:pPr>
              <w:spacing w:line="240" w:lineRule="auto"/>
              <w:jc w:val="left"/>
            </w:pPr>
            <w:r>
              <w:rPr>
                <w:rFonts w:ascii="宋体" w:hAnsi="宋体" w:eastAsia="宋体" w:cs="宋体"/>
                <w:b w:val="0"/>
              </w:rPr>
              <w:t>688478</w:t>
            </w:r>
          </w:p>
        </w:tc>
        <w:tc>
          <w:tcPr>
            <w:tcW w:w="0" w:type="dxa"/>
            <w:vAlign w:val="center"/>
          </w:tcPr>
          <w:p>
            <w:pPr>
              <w:spacing w:line="240" w:lineRule="auto"/>
              <w:jc w:val="left"/>
            </w:pPr>
            <w:r>
              <w:rPr>
                <w:rFonts w:ascii="宋体" w:hAnsi="宋体" w:eastAsia="宋体" w:cs="宋体"/>
                <w:b w:val="0"/>
              </w:rPr>
              <w:t>晶升股份</w:t>
            </w:r>
          </w:p>
        </w:tc>
        <w:tc>
          <w:tcPr>
            <w:tcW w:w="0" w:type="dxa"/>
            <w:vAlign w:val="center"/>
          </w:tcPr>
          <w:p>
            <w:pPr>
              <w:spacing w:line="240" w:lineRule="auto"/>
              <w:jc w:val="right"/>
            </w:pPr>
            <w:r>
              <w:rPr>
                <w:rFonts w:ascii="宋体" w:hAnsi="宋体" w:eastAsia="宋体" w:cs="宋体"/>
                <w:b w:val="0"/>
              </w:rPr>
              <w:t>753,307.53</w:t>
            </w:r>
          </w:p>
        </w:tc>
        <w:tc>
          <w:tcPr>
            <w:tcW w:w="0" w:type="dxa"/>
            <w:vAlign w:val="center"/>
          </w:tcPr>
          <w:p>
            <w:pPr>
              <w:spacing w:line="240" w:lineRule="auto"/>
              <w:jc w:val="right"/>
            </w:pPr>
            <w:r>
              <w:rPr>
                <w:rFonts w:ascii="宋体" w:hAnsi="宋体" w:eastAsia="宋体" w:cs="宋体"/>
                <w:b w:val="0"/>
              </w:rPr>
              <w:t>2.67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77</w:t>
            </w:r>
          </w:p>
        </w:tc>
        <w:tc>
          <w:tcPr>
            <w:tcW w:w="0" w:type="dxa"/>
            <w:vAlign w:val="center"/>
          </w:tcPr>
          <w:p>
            <w:pPr>
              <w:spacing w:line="240" w:lineRule="auto"/>
              <w:jc w:val="left"/>
            </w:pPr>
            <w:r>
              <w:rPr>
                <w:rFonts w:ascii="宋体" w:hAnsi="宋体" w:eastAsia="宋体" w:cs="宋体"/>
                <w:b w:val="0"/>
              </w:rPr>
              <w:t>000880</w:t>
            </w:r>
          </w:p>
        </w:tc>
        <w:tc>
          <w:tcPr>
            <w:tcW w:w="0" w:type="dxa"/>
            <w:vAlign w:val="center"/>
          </w:tcPr>
          <w:p>
            <w:pPr>
              <w:spacing w:line="240" w:lineRule="auto"/>
              <w:jc w:val="left"/>
            </w:pPr>
            <w:r>
              <w:rPr>
                <w:rFonts w:ascii="宋体" w:hAnsi="宋体" w:eastAsia="宋体" w:cs="宋体"/>
                <w:b w:val="0"/>
              </w:rPr>
              <w:t>潍柴重机</w:t>
            </w:r>
          </w:p>
        </w:tc>
        <w:tc>
          <w:tcPr>
            <w:tcW w:w="0" w:type="dxa"/>
            <w:vAlign w:val="center"/>
          </w:tcPr>
          <w:p>
            <w:pPr>
              <w:spacing w:line="240" w:lineRule="auto"/>
              <w:jc w:val="right"/>
            </w:pPr>
            <w:r>
              <w:rPr>
                <w:rFonts w:ascii="宋体" w:hAnsi="宋体" w:eastAsia="宋体" w:cs="宋体"/>
                <w:b w:val="0"/>
              </w:rPr>
              <w:t>686,838.00</w:t>
            </w:r>
          </w:p>
        </w:tc>
        <w:tc>
          <w:tcPr>
            <w:tcW w:w="0" w:type="dxa"/>
            <w:vAlign w:val="center"/>
          </w:tcPr>
          <w:p>
            <w:pPr>
              <w:spacing w:line="240" w:lineRule="auto"/>
              <w:jc w:val="right"/>
            </w:pPr>
            <w:r>
              <w:rPr>
                <w:rFonts w:ascii="宋体" w:hAnsi="宋体" w:eastAsia="宋体" w:cs="宋体"/>
                <w:b w:val="0"/>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78</w:t>
            </w:r>
          </w:p>
        </w:tc>
        <w:tc>
          <w:tcPr>
            <w:tcW w:w="0" w:type="dxa"/>
            <w:vAlign w:val="center"/>
          </w:tcPr>
          <w:p>
            <w:pPr>
              <w:spacing w:line="240" w:lineRule="auto"/>
              <w:jc w:val="left"/>
            </w:pPr>
            <w:r>
              <w:rPr>
                <w:rFonts w:ascii="宋体" w:hAnsi="宋体" w:eastAsia="宋体" w:cs="宋体"/>
                <w:b w:val="0"/>
              </w:rPr>
              <w:t>000400</w:t>
            </w:r>
          </w:p>
        </w:tc>
        <w:tc>
          <w:tcPr>
            <w:tcW w:w="0" w:type="dxa"/>
            <w:vAlign w:val="center"/>
          </w:tcPr>
          <w:p>
            <w:pPr>
              <w:spacing w:line="240" w:lineRule="auto"/>
              <w:jc w:val="left"/>
            </w:pPr>
            <w:r>
              <w:rPr>
                <w:rFonts w:ascii="宋体" w:hAnsi="宋体" w:eastAsia="宋体" w:cs="宋体"/>
                <w:b w:val="0"/>
              </w:rPr>
              <w:t>许继电气</w:t>
            </w:r>
          </w:p>
        </w:tc>
        <w:tc>
          <w:tcPr>
            <w:tcW w:w="0" w:type="dxa"/>
            <w:vAlign w:val="center"/>
          </w:tcPr>
          <w:p>
            <w:pPr>
              <w:spacing w:line="240" w:lineRule="auto"/>
              <w:jc w:val="right"/>
            </w:pPr>
            <w:r>
              <w:rPr>
                <w:rFonts w:ascii="宋体" w:hAnsi="宋体" w:eastAsia="宋体" w:cs="宋体"/>
                <w:b w:val="0"/>
              </w:rPr>
              <w:t>617,465.00</w:t>
            </w:r>
          </w:p>
        </w:tc>
        <w:tc>
          <w:tcPr>
            <w:tcW w:w="0" w:type="dxa"/>
            <w:vAlign w:val="center"/>
          </w:tcPr>
          <w:p>
            <w:pPr>
              <w:spacing w:line="240" w:lineRule="auto"/>
              <w:jc w:val="right"/>
            </w:pPr>
            <w:r>
              <w:rPr>
                <w:rFonts w:ascii="宋体" w:hAnsi="宋体" w:eastAsia="宋体" w:cs="宋体"/>
                <w:b w:val="0"/>
              </w:rPr>
              <w:t>2.19</w:t>
            </w:r>
          </w:p>
        </w:tc>
      </w:tr>
    </w:tbl>
    <w:p>
      <w:r>
        <w:rPr>
          <w:rFonts w:ascii="宋体" w:hAnsi="宋体" w:eastAsia="宋体" w:cs="宋体"/>
          <w:b w:val="0"/>
        </w:rPr>
        <w:t>注："买入"包括二级市场上主动的买入、新股、配股、债转股、换股及行权等获得的股票。"买入金额"均按买入成交金额（成交单价乘以成交数量）填列，不考虑相关交易费用。</w:t>
      </w:r>
    </w:p>
    <w:p/>
    <w:p>
      <w:pPr>
        <w:pStyle w:val="58"/>
      </w:pPr>
      <w:r>
        <w:rPr>
          <w:rFonts w:ascii="宋体" w:hAnsi="宋体" w:eastAsia="宋体" w:cs="宋体"/>
          <w:b/>
        </w:rPr>
        <w:t>7.4.2 累计卖出金额超出期初基金资产净值2%或前20名的股票明细</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769" w:type="pct"/>
            <w:shd w:val="clear" w:color="auto" w:fill="D9D9D9"/>
            <w:vAlign w:val="center"/>
          </w:tcPr>
          <w:p>
            <w:pPr>
              <w:spacing w:line="240" w:lineRule="auto"/>
              <w:jc w:val="center"/>
            </w:pPr>
            <w:r>
              <w:rPr>
                <w:rFonts w:ascii="宋体" w:hAnsi="宋体" w:eastAsia="宋体" w:cs="宋体"/>
                <w:b w:val="0"/>
              </w:rPr>
              <w:t>本期累计卖出金额</w:t>
            </w:r>
          </w:p>
        </w:tc>
        <w:tc>
          <w:tcPr>
            <w:tcW w:w="1538" w:type="pct"/>
            <w:shd w:val="clear" w:color="auto" w:fill="D9D9D9"/>
            <w:vAlign w:val="center"/>
          </w:tcPr>
          <w:p>
            <w:pPr>
              <w:spacing w:line="240" w:lineRule="auto"/>
              <w:jc w:val="center"/>
            </w:pPr>
            <w:r>
              <w:rPr>
                <w:rFonts w:ascii="宋体" w:hAnsi="宋体" w:eastAsia="宋体" w:cs="宋体"/>
                <w:b w:val="0"/>
              </w:rPr>
              <w:t>占期初基金资产净值比例（％）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002851</w:t>
            </w:r>
          </w:p>
        </w:tc>
        <w:tc>
          <w:tcPr>
            <w:tcW w:w="0" w:type="dxa"/>
            <w:vAlign w:val="center"/>
          </w:tcPr>
          <w:p>
            <w:pPr>
              <w:spacing w:line="240" w:lineRule="auto"/>
              <w:jc w:val="left"/>
            </w:pPr>
            <w:r>
              <w:rPr>
                <w:rFonts w:ascii="宋体" w:hAnsi="宋体" w:eastAsia="宋体" w:cs="宋体"/>
                <w:b w:val="0"/>
              </w:rPr>
              <w:t>麦格米特</w:t>
            </w:r>
          </w:p>
        </w:tc>
        <w:tc>
          <w:tcPr>
            <w:tcW w:w="0" w:type="dxa"/>
            <w:vAlign w:val="center"/>
          </w:tcPr>
          <w:p>
            <w:pPr>
              <w:spacing w:line="240" w:lineRule="auto"/>
              <w:jc w:val="right"/>
            </w:pPr>
            <w:r>
              <w:rPr>
                <w:rFonts w:ascii="宋体" w:hAnsi="宋体" w:eastAsia="宋体" w:cs="宋体"/>
                <w:b w:val="0"/>
              </w:rPr>
              <w:t>21,360,599.01</w:t>
            </w:r>
          </w:p>
        </w:tc>
        <w:tc>
          <w:tcPr>
            <w:tcW w:w="0" w:type="dxa"/>
            <w:vAlign w:val="center"/>
          </w:tcPr>
          <w:p>
            <w:pPr>
              <w:spacing w:line="240" w:lineRule="auto"/>
              <w:jc w:val="right"/>
            </w:pPr>
            <w:r>
              <w:rPr>
                <w:rFonts w:ascii="宋体" w:hAnsi="宋体" w:eastAsia="宋体" w:cs="宋体"/>
                <w:b w:val="0"/>
              </w:rPr>
              <w:t>75.83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300671</w:t>
            </w:r>
          </w:p>
        </w:tc>
        <w:tc>
          <w:tcPr>
            <w:tcW w:w="0" w:type="dxa"/>
            <w:vAlign w:val="center"/>
          </w:tcPr>
          <w:p>
            <w:pPr>
              <w:spacing w:line="240" w:lineRule="auto"/>
              <w:jc w:val="left"/>
            </w:pPr>
            <w:r>
              <w:rPr>
                <w:rFonts w:ascii="宋体" w:hAnsi="宋体" w:eastAsia="宋体" w:cs="宋体"/>
                <w:b w:val="0"/>
              </w:rPr>
              <w:t>富满微</w:t>
            </w:r>
          </w:p>
        </w:tc>
        <w:tc>
          <w:tcPr>
            <w:tcW w:w="0" w:type="dxa"/>
            <w:vAlign w:val="center"/>
          </w:tcPr>
          <w:p>
            <w:pPr>
              <w:spacing w:line="240" w:lineRule="auto"/>
              <w:jc w:val="right"/>
            </w:pPr>
            <w:r>
              <w:rPr>
                <w:rFonts w:ascii="宋体" w:hAnsi="宋体" w:eastAsia="宋体" w:cs="宋体"/>
                <w:b w:val="0"/>
              </w:rPr>
              <w:t>19,551,224.00</w:t>
            </w:r>
          </w:p>
        </w:tc>
        <w:tc>
          <w:tcPr>
            <w:tcW w:w="0" w:type="dxa"/>
            <w:vAlign w:val="center"/>
          </w:tcPr>
          <w:p>
            <w:pPr>
              <w:spacing w:line="240" w:lineRule="auto"/>
              <w:jc w:val="right"/>
            </w:pPr>
            <w:r>
              <w:rPr>
                <w:rFonts w:ascii="宋体" w:hAnsi="宋体" w:eastAsia="宋体" w:cs="宋体"/>
                <w:b w:val="0"/>
              </w:rPr>
              <w:t>69.40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01072</w:t>
            </w:r>
          </w:p>
        </w:tc>
        <w:tc>
          <w:tcPr>
            <w:tcW w:w="0" w:type="dxa"/>
            <w:vAlign w:val="center"/>
          </w:tcPr>
          <w:p>
            <w:pPr>
              <w:spacing w:line="240" w:lineRule="auto"/>
              <w:jc w:val="left"/>
            </w:pPr>
            <w:r>
              <w:rPr>
                <w:rFonts w:ascii="宋体" w:hAnsi="宋体" w:eastAsia="宋体" w:cs="宋体"/>
                <w:b w:val="0"/>
              </w:rPr>
              <w:t>东方电气</w:t>
            </w:r>
          </w:p>
        </w:tc>
        <w:tc>
          <w:tcPr>
            <w:tcW w:w="0" w:type="dxa"/>
            <w:vAlign w:val="center"/>
          </w:tcPr>
          <w:p>
            <w:pPr>
              <w:spacing w:line="240" w:lineRule="auto"/>
              <w:jc w:val="right"/>
            </w:pPr>
            <w:r>
              <w:rPr>
                <w:rFonts w:ascii="宋体" w:hAnsi="宋体" w:eastAsia="宋体" w:cs="宋体"/>
                <w:b w:val="0"/>
              </w:rPr>
              <w:t>11,690,577.94</w:t>
            </w:r>
          </w:p>
        </w:tc>
        <w:tc>
          <w:tcPr>
            <w:tcW w:w="0" w:type="dxa"/>
            <w:vAlign w:val="center"/>
          </w:tcPr>
          <w:p>
            <w:pPr>
              <w:spacing w:line="240" w:lineRule="auto"/>
              <w:jc w:val="right"/>
            </w:pPr>
            <w:r>
              <w:rPr>
                <w:rFonts w:ascii="宋体" w:hAnsi="宋体" w:eastAsia="宋体" w:cs="宋体"/>
                <w:b w:val="0"/>
              </w:rPr>
              <w:t>41.50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600875</w:t>
            </w:r>
          </w:p>
        </w:tc>
        <w:tc>
          <w:tcPr>
            <w:tcW w:w="0" w:type="dxa"/>
            <w:vAlign w:val="center"/>
          </w:tcPr>
          <w:p>
            <w:pPr>
              <w:spacing w:line="240" w:lineRule="auto"/>
              <w:jc w:val="left"/>
            </w:pPr>
            <w:r>
              <w:rPr>
                <w:rFonts w:ascii="宋体" w:hAnsi="宋体" w:eastAsia="宋体" w:cs="宋体"/>
                <w:b w:val="0"/>
              </w:rPr>
              <w:t>东方电气</w:t>
            </w:r>
          </w:p>
        </w:tc>
        <w:tc>
          <w:tcPr>
            <w:tcW w:w="0" w:type="dxa"/>
            <w:vAlign w:val="center"/>
          </w:tcPr>
          <w:p>
            <w:pPr>
              <w:spacing w:line="240" w:lineRule="auto"/>
              <w:jc w:val="right"/>
            </w:pPr>
            <w:r>
              <w:rPr>
                <w:rFonts w:ascii="宋体" w:hAnsi="宋体" w:eastAsia="宋体" w:cs="宋体"/>
                <w:b w:val="0"/>
              </w:rPr>
              <w:t>6,686,669.00</w:t>
            </w:r>
          </w:p>
        </w:tc>
        <w:tc>
          <w:tcPr>
            <w:tcW w:w="0" w:type="dxa"/>
            <w:vAlign w:val="center"/>
          </w:tcPr>
          <w:p>
            <w:pPr>
              <w:spacing w:line="240" w:lineRule="auto"/>
              <w:jc w:val="right"/>
            </w:pPr>
            <w:r>
              <w:rPr>
                <w:rFonts w:ascii="宋体" w:hAnsi="宋体" w:eastAsia="宋体" w:cs="宋体"/>
                <w:b w:val="0"/>
              </w:rPr>
              <w:t>23.74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02577</w:t>
            </w:r>
          </w:p>
        </w:tc>
        <w:tc>
          <w:tcPr>
            <w:tcW w:w="0" w:type="dxa"/>
            <w:vAlign w:val="center"/>
          </w:tcPr>
          <w:p>
            <w:pPr>
              <w:spacing w:line="240" w:lineRule="auto"/>
              <w:jc w:val="left"/>
            </w:pPr>
            <w:r>
              <w:rPr>
                <w:rFonts w:ascii="宋体" w:hAnsi="宋体" w:eastAsia="宋体" w:cs="宋体"/>
                <w:b w:val="0"/>
              </w:rPr>
              <w:t>英诺赛科</w:t>
            </w:r>
          </w:p>
        </w:tc>
        <w:tc>
          <w:tcPr>
            <w:tcW w:w="0" w:type="dxa"/>
            <w:vAlign w:val="center"/>
          </w:tcPr>
          <w:p>
            <w:pPr>
              <w:spacing w:line="240" w:lineRule="auto"/>
              <w:jc w:val="right"/>
            </w:pPr>
            <w:r>
              <w:rPr>
                <w:rFonts w:ascii="宋体" w:hAnsi="宋体" w:eastAsia="宋体" w:cs="宋体"/>
                <w:b w:val="0"/>
              </w:rPr>
              <w:t>18,099,290.68</w:t>
            </w:r>
          </w:p>
        </w:tc>
        <w:tc>
          <w:tcPr>
            <w:tcW w:w="0" w:type="dxa"/>
            <w:vAlign w:val="center"/>
          </w:tcPr>
          <w:p>
            <w:pPr>
              <w:spacing w:line="240" w:lineRule="auto"/>
              <w:jc w:val="right"/>
            </w:pPr>
            <w:r>
              <w:rPr>
                <w:rFonts w:ascii="宋体" w:hAnsi="宋体" w:eastAsia="宋体" w:cs="宋体"/>
                <w:b w:val="0"/>
              </w:rPr>
              <w:t>64.25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603067</w:t>
            </w:r>
          </w:p>
        </w:tc>
        <w:tc>
          <w:tcPr>
            <w:tcW w:w="0" w:type="dxa"/>
            <w:vAlign w:val="center"/>
          </w:tcPr>
          <w:p>
            <w:pPr>
              <w:spacing w:line="240" w:lineRule="auto"/>
              <w:jc w:val="left"/>
            </w:pPr>
            <w:r>
              <w:rPr>
                <w:rFonts w:ascii="宋体" w:hAnsi="宋体" w:eastAsia="宋体" w:cs="宋体"/>
                <w:b w:val="0"/>
              </w:rPr>
              <w:t>振华股份</w:t>
            </w:r>
          </w:p>
        </w:tc>
        <w:tc>
          <w:tcPr>
            <w:tcW w:w="0" w:type="dxa"/>
            <w:vAlign w:val="center"/>
          </w:tcPr>
          <w:p>
            <w:pPr>
              <w:spacing w:line="240" w:lineRule="auto"/>
              <w:jc w:val="right"/>
            </w:pPr>
            <w:r>
              <w:rPr>
                <w:rFonts w:ascii="宋体" w:hAnsi="宋体" w:eastAsia="宋体" w:cs="宋体"/>
                <w:b w:val="0"/>
              </w:rPr>
              <w:t>17,557,618.00</w:t>
            </w:r>
          </w:p>
        </w:tc>
        <w:tc>
          <w:tcPr>
            <w:tcW w:w="0" w:type="dxa"/>
            <w:vAlign w:val="center"/>
          </w:tcPr>
          <w:p>
            <w:pPr>
              <w:spacing w:line="240" w:lineRule="auto"/>
              <w:jc w:val="right"/>
            </w:pPr>
            <w:r>
              <w:rPr>
                <w:rFonts w:ascii="宋体" w:hAnsi="宋体" w:eastAsia="宋体" w:cs="宋体"/>
                <w:b w:val="0"/>
              </w:rPr>
              <w:t>62.33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603308</w:t>
            </w:r>
          </w:p>
        </w:tc>
        <w:tc>
          <w:tcPr>
            <w:tcW w:w="0" w:type="dxa"/>
            <w:vAlign w:val="center"/>
          </w:tcPr>
          <w:p>
            <w:pPr>
              <w:spacing w:line="240" w:lineRule="auto"/>
              <w:jc w:val="left"/>
            </w:pPr>
            <w:r>
              <w:rPr>
                <w:rFonts w:ascii="宋体" w:hAnsi="宋体" w:eastAsia="宋体" w:cs="宋体"/>
                <w:b w:val="0"/>
              </w:rPr>
              <w:t>应流股份</w:t>
            </w:r>
          </w:p>
        </w:tc>
        <w:tc>
          <w:tcPr>
            <w:tcW w:w="0" w:type="dxa"/>
            <w:vAlign w:val="center"/>
          </w:tcPr>
          <w:p>
            <w:pPr>
              <w:spacing w:line="240" w:lineRule="auto"/>
              <w:jc w:val="right"/>
            </w:pPr>
            <w:r>
              <w:rPr>
                <w:rFonts w:ascii="宋体" w:hAnsi="宋体" w:eastAsia="宋体" w:cs="宋体"/>
                <w:b w:val="0"/>
              </w:rPr>
              <w:t>17,132,424.00</w:t>
            </w:r>
          </w:p>
        </w:tc>
        <w:tc>
          <w:tcPr>
            <w:tcW w:w="0" w:type="dxa"/>
            <w:vAlign w:val="center"/>
          </w:tcPr>
          <w:p>
            <w:pPr>
              <w:spacing w:line="240" w:lineRule="auto"/>
              <w:jc w:val="right"/>
            </w:pPr>
            <w:r>
              <w:rPr>
                <w:rFonts w:ascii="宋体" w:hAnsi="宋体" w:eastAsia="宋体" w:cs="宋体"/>
                <w:b w:val="0"/>
              </w:rPr>
              <w:t>60.82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000338</w:t>
            </w:r>
          </w:p>
        </w:tc>
        <w:tc>
          <w:tcPr>
            <w:tcW w:w="0" w:type="dxa"/>
            <w:vAlign w:val="center"/>
          </w:tcPr>
          <w:p>
            <w:pPr>
              <w:spacing w:line="240" w:lineRule="auto"/>
              <w:jc w:val="left"/>
            </w:pPr>
            <w:r>
              <w:rPr>
                <w:rFonts w:ascii="宋体" w:hAnsi="宋体" w:eastAsia="宋体" w:cs="宋体"/>
                <w:b w:val="0"/>
              </w:rPr>
              <w:t>潍柴动力</w:t>
            </w:r>
          </w:p>
        </w:tc>
        <w:tc>
          <w:tcPr>
            <w:tcW w:w="0" w:type="dxa"/>
            <w:vAlign w:val="center"/>
          </w:tcPr>
          <w:p>
            <w:pPr>
              <w:spacing w:line="240" w:lineRule="auto"/>
              <w:jc w:val="right"/>
            </w:pPr>
            <w:r>
              <w:rPr>
                <w:rFonts w:ascii="宋体" w:hAnsi="宋体" w:eastAsia="宋体" w:cs="宋体"/>
                <w:b w:val="0"/>
              </w:rPr>
              <w:t>14,254,600.00</w:t>
            </w:r>
          </w:p>
        </w:tc>
        <w:tc>
          <w:tcPr>
            <w:tcW w:w="0" w:type="dxa"/>
            <w:vAlign w:val="center"/>
          </w:tcPr>
          <w:p>
            <w:pPr>
              <w:spacing w:line="240" w:lineRule="auto"/>
              <w:jc w:val="right"/>
            </w:pPr>
            <w:r>
              <w:rPr>
                <w:rFonts w:ascii="宋体" w:hAnsi="宋体" w:eastAsia="宋体" w:cs="宋体"/>
                <w:b w:val="0"/>
              </w:rP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002353</w:t>
            </w:r>
          </w:p>
        </w:tc>
        <w:tc>
          <w:tcPr>
            <w:tcW w:w="0" w:type="dxa"/>
            <w:vAlign w:val="center"/>
          </w:tcPr>
          <w:p>
            <w:pPr>
              <w:spacing w:line="240" w:lineRule="auto"/>
              <w:jc w:val="left"/>
            </w:pPr>
            <w:r>
              <w:rPr>
                <w:rFonts w:ascii="宋体" w:hAnsi="宋体" w:eastAsia="宋体" w:cs="宋体"/>
                <w:b w:val="0"/>
              </w:rPr>
              <w:t>杰瑞股份</w:t>
            </w:r>
          </w:p>
        </w:tc>
        <w:tc>
          <w:tcPr>
            <w:tcW w:w="0" w:type="dxa"/>
            <w:vAlign w:val="center"/>
          </w:tcPr>
          <w:p>
            <w:pPr>
              <w:spacing w:line="240" w:lineRule="auto"/>
              <w:jc w:val="right"/>
            </w:pPr>
            <w:r>
              <w:rPr>
                <w:rFonts w:ascii="宋体" w:hAnsi="宋体" w:eastAsia="宋体" w:cs="宋体"/>
                <w:b w:val="0"/>
              </w:rPr>
              <w:t>13,857,262.00</w:t>
            </w:r>
          </w:p>
        </w:tc>
        <w:tc>
          <w:tcPr>
            <w:tcW w:w="0" w:type="dxa"/>
            <w:vAlign w:val="center"/>
          </w:tcPr>
          <w:p>
            <w:pPr>
              <w:spacing w:line="240" w:lineRule="auto"/>
              <w:jc w:val="right"/>
            </w:pPr>
            <w:r>
              <w:rPr>
                <w:rFonts w:ascii="宋体" w:hAnsi="宋体" w:eastAsia="宋体" w:cs="宋体"/>
                <w:b w:val="0"/>
              </w:rPr>
              <w:t>49.19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300274</w:t>
            </w:r>
          </w:p>
        </w:tc>
        <w:tc>
          <w:tcPr>
            <w:tcW w:w="0" w:type="dxa"/>
            <w:vAlign w:val="center"/>
          </w:tcPr>
          <w:p>
            <w:pPr>
              <w:spacing w:line="240" w:lineRule="auto"/>
              <w:jc w:val="left"/>
            </w:pPr>
            <w:r>
              <w:rPr>
                <w:rFonts w:ascii="宋体" w:hAnsi="宋体" w:eastAsia="宋体" w:cs="宋体"/>
                <w:b w:val="0"/>
              </w:rPr>
              <w:t>阳光电源</w:t>
            </w:r>
          </w:p>
        </w:tc>
        <w:tc>
          <w:tcPr>
            <w:tcW w:w="0" w:type="dxa"/>
            <w:vAlign w:val="center"/>
          </w:tcPr>
          <w:p>
            <w:pPr>
              <w:spacing w:line="240" w:lineRule="auto"/>
              <w:jc w:val="right"/>
            </w:pPr>
            <w:r>
              <w:rPr>
                <w:rFonts w:ascii="宋体" w:hAnsi="宋体" w:eastAsia="宋体" w:cs="宋体"/>
                <w:b w:val="0"/>
              </w:rPr>
              <w:t>12,941,167.48</w:t>
            </w:r>
          </w:p>
        </w:tc>
        <w:tc>
          <w:tcPr>
            <w:tcW w:w="0" w:type="dxa"/>
            <w:vAlign w:val="center"/>
          </w:tcPr>
          <w:p>
            <w:pPr>
              <w:spacing w:line="240" w:lineRule="auto"/>
              <w:jc w:val="right"/>
            </w:pPr>
            <w:r>
              <w:rPr>
                <w:rFonts w:ascii="宋体" w:hAnsi="宋体" w:eastAsia="宋体" w:cs="宋体"/>
                <w:b w:val="0"/>
              </w:rPr>
              <w:t>45.94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002885</w:t>
            </w:r>
          </w:p>
        </w:tc>
        <w:tc>
          <w:tcPr>
            <w:tcW w:w="0" w:type="dxa"/>
            <w:vAlign w:val="center"/>
          </w:tcPr>
          <w:p>
            <w:pPr>
              <w:spacing w:line="240" w:lineRule="auto"/>
              <w:jc w:val="left"/>
            </w:pPr>
            <w:r>
              <w:rPr>
                <w:rFonts w:ascii="宋体" w:hAnsi="宋体" w:eastAsia="宋体" w:cs="宋体"/>
                <w:b w:val="0"/>
              </w:rPr>
              <w:t>京泉华</w:t>
            </w:r>
          </w:p>
        </w:tc>
        <w:tc>
          <w:tcPr>
            <w:tcW w:w="0" w:type="dxa"/>
            <w:vAlign w:val="center"/>
          </w:tcPr>
          <w:p>
            <w:pPr>
              <w:spacing w:line="240" w:lineRule="auto"/>
              <w:jc w:val="right"/>
            </w:pPr>
            <w:r>
              <w:rPr>
                <w:rFonts w:ascii="宋体" w:hAnsi="宋体" w:eastAsia="宋体" w:cs="宋体"/>
                <w:b w:val="0"/>
              </w:rPr>
              <w:t>12,676,707.00</w:t>
            </w:r>
          </w:p>
        </w:tc>
        <w:tc>
          <w:tcPr>
            <w:tcW w:w="0" w:type="dxa"/>
            <w:vAlign w:val="center"/>
          </w:tcPr>
          <w:p>
            <w:pPr>
              <w:spacing w:line="240" w:lineRule="auto"/>
              <w:jc w:val="right"/>
            </w:pPr>
            <w:r>
              <w:rPr>
                <w:rFonts w:ascii="宋体" w:hAnsi="宋体" w:eastAsia="宋体" w:cs="宋体"/>
                <w:b w:val="0"/>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000962</w:t>
            </w:r>
          </w:p>
        </w:tc>
        <w:tc>
          <w:tcPr>
            <w:tcW w:w="0" w:type="dxa"/>
            <w:vAlign w:val="center"/>
          </w:tcPr>
          <w:p>
            <w:pPr>
              <w:spacing w:line="240" w:lineRule="auto"/>
              <w:jc w:val="left"/>
            </w:pPr>
            <w:r>
              <w:rPr>
                <w:rFonts w:ascii="宋体" w:hAnsi="宋体" w:eastAsia="宋体" w:cs="宋体"/>
                <w:b w:val="0"/>
              </w:rPr>
              <w:t>东方钽业</w:t>
            </w:r>
          </w:p>
        </w:tc>
        <w:tc>
          <w:tcPr>
            <w:tcW w:w="0" w:type="dxa"/>
            <w:vAlign w:val="center"/>
          </w:tcPr>
          <w:p>
            <w:pPr>
              <w:spacing w:line="240" w:lineRule="auto"/>
              <w:jc w:val="right"/>
            </w:pPr>
            <w:r>
              <w:rPr>
                <w:rFonts w:ascii="宋体" w:hAnsi="宋体" w:eastAsia="宋体" w:cs="宋体"/>
                <w:b w:val="0"/>
              </w:rPr>
              <w:t>12,669,045.00</w:t>
            </w:r>
          </w:p>
        </w:tc>
        <w:tc>
          <w:tcPr>
            <w:tcW w:w="0" w:type="dxa"/>
            <w:vAlign w:val="center"/>
          </w:tcPr>
          <w:p>
            <w:pPr>
              <w:spacing w:line="240" w:lineRule="auto"/>
              <w:jc w:val="right"/>
            </w:pPr>
            <w:r>
              <w:rPr>
                <w:rFonts w:ascii="宋体" w:hAnsi="宋体" w:eastAsia="宋体" w:cs="宋体"/>
                <w:b w:val="0"/>
              </w:rPr>
              <w:t>44.97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688234</w:t>
            </w:r>
          </w:p>
        </w:tc>
        <w:tc>
          <w:tcPr>
            <w:tcW w:w="0" w:type="dxa"/>
            <w:vAlign w:val="center"/>
          </w:tcPr>
          <w:p>
            <w:pPr>
              <w:spacing w:line="240" w:lineRule="auto"/>
              <w:jc w:val="left"/>
            </w:pPr>
            <w:r>
              <w:rPr>
                <w:rFonts w:ascii="宋体" w:hAnsi="宋体" w:eastAsia="宋体" w:cs="宋体"/>
                <w:b w:val="0"/>
              </w:rPr>
              <w:t>天岳先进</w:t>
            </w:r>
          </w:p>
        </w:tc>
        <w:tc>
          <w:tcPr>
            <w:tcW w:w="0" w:type="dxa"/>
            <w:vAlign w:val="center"/>
          </w:tcPr>
          <w:p>
            <w:pPr>
              <w:spacing w:line="240" w:lineRule="auto"/>
              <w:jc w:val="right"/>
            </w:pPr>
            <w:r>
              <w:rPr>
                <w:rFonts w:ascii="宋体" w:hAnsi="宋体" w:eastAsia="宋体" w:cs="宋体"/>
                <w:b w:val="0"/>
              </w:rPr>
              <w:t>11,192,267.31</w:t>
            </w:r>
          </w:p>
        </w:tc>
        <w:tc>
          <w:tcPr>
            <w:tcW w:w="0" w:type="dxa"/>
            <w:vAlign w:val="center"/>
          </w:tcPr>
          <w:p>
            <w:pPr>
              <w:spacing w:line="240" w:lineRule="auto"/>
              <w:jc w:val="right"/>
            </w:pPr>
            <w:r>
              <w:rPr>
                <w:rFonts w:ascii="宋体" w:hAnsi="宋体" w:eastAsia="宋体" w:cs="宋体"/>
                <w:b w:val="0"/>
              </w:rPr>
              <w:t>39.73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000534</w:t>
            </w:r>
          </w:p>
        </w:tc>
        <w:tc>
          <w:tcPr>
            <w:tcW w:w="0" w:type="dxa"/>
            <w:vAlign w:val="center"/>
          </w:tcPr>
          <w:p>
            <w:pPr>
              <w:spacing w:line="240" w:lineRule="auto"/>
              <w:jc w:val="left"/>
            </w:pPr>
            <w:r>
              <w:rPr>
                <w:rFonts w:ascii="宋体" w:hAnsi="宋体" w:eastAsia="宋体" w:cs="宋体"/>
                <w:b w:val="0"/>
              </w:rPr>
              <w:t>万泽股份</w:t>
            </w:r>
          </w:p>
        </w:tc>
        <w:tc>
          <w:tcPr>
            <w:tcW w:w="0" w:type="dxa"/>
            <w:vAlign w:val="center"/>
          </w:tcPr>
          <w:p>
            <w:pPr>
              <w:spacing w:line="240" w:lineRule="auto"/>
              <w:jc w:val="right"/>
            </w:pPr>
            <w:r>
              <w:rPr>
                <w:rFonts w:ascii="宋体" w:hAnsi="宋体" w:eastAsia="宋体" w:cs="宋体"/>
                <w:b w:val="0"/>
              </w:rPr>
              <w:t>9,889,536.00</w:t>
            </w:r>
          </w:p>
        </w:tc>
        <w:tc>
          <w:tcPr>
            <w:tcW w:w="0" w:type="dxa"/>
            <w:vAlign w:val="center"/>
          </w:tcPr>
          <w:p>
            <w:pPr>
              <w:spacing w:line="240" w:lineRule="auto"/>
              <w:jc w:val="right"/>
            </w:pPr>
            <w:r>
              <w:rPr>
                <w:rFonts w:ascii="宋体" w:hAnsi="宋体" w:eastAsia="宋体" w:cs="宋体"/>
                <w:b w:val="0"/>
              </w:rPr>
              <w:t>35.11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600487</w:t>
            </w:r>
          </w:p>
        </w:tc>
        <w:tc>
          <w:tcPr>
            <w:tcW w:w="0" w:type="dxa"/>
            <w:vAlign w:val="center"/>
          </w:tcPr>
          <w:p>
            <w:pPr>
              <w:spacing w:line="240" w:lineRule="auto"/>
              <w:jc w:val="left"/>
            </w:pPr>
            <w:r>
              <w:rPr>
                <w:rFonts w:ascii="宋体" w:hAnsi="宋体" w:eastAsia="宋体" w:cs="宋体"/>
                <w:b w:val="0"/>
              </w:rPr>
              <w:t>亨通光电</w:t>
            </w:r>
          </w:p>
        </w:tc>
        <w:tc>
          <w:tcPr>
            <w:tcW w:w="0" w:type="dxa"/>
            <w:vAlign w:val="center"/>
          </w:tcPr>
          <w:p>
            <w:pPr>
              <w:spacing w:line="240" w:lineRule="auto"/>
              <w:jc w:val="right"/>
            </w:pPr>
            <w:r>
              <w:rPr>
                <w:rFonts w:ascii="宋体" w:hAnsi="宋体" w:eastAsia="宋体" w:cs="宋体"/>
                <w:b w:val="0"/>
              </w:rPr>
              <w:t>9,771,299.80</w:t>
            </w:r>
          </w:p>
        </w:tc>
        <w:tc>
          <w:tcPr>
            <w:tcW w:w="0" w:type="dxa"/>
            <w:vAlign w:val="center"/>
          </w:tcPr>
          <w:p>
            <w:pPr>
              <w:spacing w:line="240" w:lineRule="auto"/>
              <w:jc w:val="right"/>
            </w:pPr>
            <w:r>
              <w:rPr>
                <w:rFonts w:ascii="宋体" w:hAnsi="宋体" w:eastAsia="宋体" w:cs="宋体"/>
                <w:b w:val="0"/>
              </w:rPr>
              <w:t>34.69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300617</w:t>
            </w:r>
          </w:p>
        </w:tc>
        <w:tc>
          <w:tcPr>
            <w:tcW w:w="0" w:type="dxa"/>
            <w:vAlign w:val="center"/>
          </w:tcPr>
          <w:p>
            <w:pPr>
              <w:spacing w:line="240" w:lineRule="auto"/>
              <w:jc w:val="left"/>
            </w:pPr>
            <w:r>
              <w:rPr>
                <w:rFonts w:ascii="宋体" w:hAnsi="宋体" w:eastAsia="宋体" w:cs="宋体"/>
                <w:b w:val="0"/>
              </w:rPr>
              <w:t>安靠智电</w:t>
            </w:r>
          </w:p>
        </w:tc>
        <w:tc>
          <w:tcPr>
            <w:tcW w:w="0" w:type="dxa"/>
            <w:vAlign w:val="center"/>
          </w:tcPr>
          <w:p>
            <w:pPr>
              <w:spacing w:line="240" w:lineRule="auto"/>
              <w:jc w:val="right"/>
            </w:pPr>
            <w:r>
              <w:rPr>
                <w:rFonts w:ascii="宋体" w:hAnsi="宋体" w:eastAsia="宋体" w:cs="宋体"/>
                <w:b w:val="0"/>
              </w:rPr>
              <w:t>9,569,295.00</w:t>
            </w:r>
          </w:p>
        </w:tc>
        <w:tc>
          <w:tcPr>
            <w:tcW w:w="0" w:type="dxa"/>
            <w:vAlign w:val="center"/>
          </w:tcPr>
          <w:p>
            <w:pPr>
              <w:spacing w:line="240" w:lineRule="auto"/>
              <w:jc w:val="right"/>
            </w:pPr>
            <w:r>
              <w:rPr>
                <w:rFonts w:ascii="宋体" w:hAnsi="宋体" w:eastAsia="宋体" w:cs="宋体"/>
                <w:b w:val="0"/>
              </w:rPr>
              <w:t>33.97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600522</w:t>
            </w:r>
          </w:p>
        </w:tc>
        <w:tc>
          <w:tcPr>
            <w:tcW w:w="0" w:type="dxa"/>
            <w:vAlign w:val="center"/>
          </w:tcPr>
          <w:p>
            <w:pPr>
              <w:spacing w:line="240" w:lineRule="auto"/>
              <w:jc w:val="left"/>
            </w:pPr>
            <w:r>
              <w:rPr>
                <w:rFonts w:ascii="宋体" w:hAnsi="宋体" w:eastAsia="宋体" w:cs="宋体"/>
                <w:b w:val="0"/>
              </w:rPr>
              <w:t>中天科技</w:t>
            </w:r>
          </w:p>
        </w:tc>
        <w:tc>
          <w:tcPr>
            <w:tcW w:w="0" w:type="dxa"/>
            <w:vAlign w:val="center"/>
          </w:tcPr>
          <w:p>
            <w:pPr>
              <w:spacing w:line="240" w:lineRule="auto"/>
              <w:jc w:val="right"/>
            </w:pPr>
            <w:r>
              <w:rPr>
                <w:rFonts w:ascii="宋体" w:hAnsi="宋体" w:eastAsia="宋体" w:cs="宋体"/>
                <w:b w:val="0"/>
              </w:rPr>
              <w:t>9,225,195.00</w:t>
            </w:r>
          </w:p>
        </w:tc>
        <w:tc>
          <w:tcPr>
            <w:tcW w:w="0" w:type="dxa"/>
            <w:vAlign w:val="center"/>
          </w:tcPr>
          <w:p>
            <w:pPr>
              <w:spacing w:line="240" w:lineRule="auto"/>
              <w:jc w:val="right"/>
            </w:pPr>
            <w:r>
              <w:rPr>
                <w:rFonts w:ascii="宋体" w:hAnsi="宋体" w:eastAsia="宋体" w:cs="宋体"/>
                <w:b w:val="0"/>
              </w:rPr>
              <w:t>32.75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600482</w:t>
            </w:r>
          </w:p>
        </w:tc>
        <w:tc>
          <w:tcPr>
            <w:tcW w:w="0" w:type="dxa"/>
            <w:vAlign w:val="center"/>
          </w:tcPr>
          <w:p>
            <w:pPr>
              <w:spacing w:line="240" w:lineRule="auto"/>
              <w:jc w:val="left"/>
            </w:pPr>
            <w:r>
              <w:rPr>
                <w:rFonts w:ascii="宋体" w:hAnsi="宋体" w:eastAsia="宋体" w:cs="宋体"/>
                <w:b w:val="0"/>
              </w:rPr>
              <w:t>中国动力</w:t>
            </w:r>
          </w:p>
        </w:tc>
        <w:tc>
          <w:tcPr>
            <w:tcW w:w="0" w:type="dxa"/>
            <w:vAlign w:val="center"/>
          </w:tcPr>
          <w:p>
            <w:pPr>
              <w:spacing w:line="240" w:lineRule="auto"/>
              <w:jc w:val="right"/>
            </w:pPr>
            <w:r>
              <w:rPr>
                <w:rFonts w:ascii="宋体" w:hAnsi="宋体" w:eastAsia="宋体" w:cs="宋体"/>
                <w:b w:val="0"/>
              </w:rPr>
              <w:t>8,778,884.00</w:t>
            </w:r>
          </w:p>
        </w:tc>
        <w:tc>
          <w:tcPr>
            <w:tcW w:w="0" w:type="dxa"/>
            <w:vAlign w:val="center"/>
          </w:tcPr>
          <w:p>
            <w:pPr>
              <w:spacing w:line="240" w:lineRule="auto"/>
              <w:jc w:val="right"/>
            </w:pPr>
            <w:r>
              <w:rPr>
                <w:rFonts w:ascii="宋体" w:hAnsi="宋体" w:eastAsia="宋体" w:cs="宋体"/>
                <w:b w:val="0"/>
              </w:rPr>
              <w:t>31.16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18</w:t>
            </w:r>
          </w:p>
        </w:tc>
        <w:tc>
          <w:tcPr>
            <w:tcW w:w="0" w:type="dxa"/>
            <w:vAlign w:val="center"/>
          </w:tcPr>
          <w:p>
            <w:pPr>
              <w:spacing w:line="240" w:lineRule="auto"/>
              <w:jc w:val="left"/>
            </w:pPr>
            <w:r>
              <w:rPr>
                <w:rFonts w:ascii="宋体" w:hAnsi="宋体" w:eastAsia="宋体" w:cs="宋体"/>
                <w:b w:val="0"/>
              </w:rPr>
              <w:t>002028</w:t>
            </w:r>
          </w:p>
        </w:tc>
        <w:tc>
          <w:tcPr>
            <w:tcW w:w="0" w:type="dxa"/>
            <w:vAlign w:val="center"/>
          </w:tcPr>
          <w:p>
            <w:pPr>
              <w:spacing w:line="240" w:lineRule="auto"/>
              <w:jc w:val="left"/>
            </w:pPr>
            <w:r>
              <w:rPr>
                <w:rFonts w:ascii="宋体" w:hAnsi="宋体" w:eastAsia="宋体" w:cs="宋体"/>
                <w:b w:val="0"/>
              </w:rPr>
              <w:t>思源电气</w:t>
            </w:r>
          </w:p>
        </w:tc>
        <w:tc>
          <w:tcPr>
            <w:tcW w:w="0" w:type="dxa"/>
            <w:vAlign w:val="center"/>
          </w:tcPr>
          <w:p>
            <w:pPr>
              <w:spacing w:line="240" w:lineRule="auto"/>
              <w:jc w:val="right"/>
            </w:pPr>
            <w:r>
              <w:rPr>
                <w:rFonts w:ascii="宋体" w:hAnsi="宋体" w:eastAsia="宋体" w:cs="宋体"/>
                <w:b w:val="0"/>
              </w:rPr>
              <w:t>8,653,595.00</w:t>
            </w:r>
          </w:p>
        </w:tc>
        <w:tc>
          <w:tcPr>
            <w:tcW w:w="0" w:type="dxa"/>
            <w:vAlign w:val="center"/>
          </w:tcPr>
          <w:p>
            <w:pPr>
              <w:spacing w:line="240" w:lineRule="auto"/>
              <w:jc w:val="right"/>
            </w:pPr>
            <w:r>
              <w:rPr>
                <w:rFonts w:ascii="宋体" w:hAnsi="宋体" w:eastAsia="宋体" w:cs="宋体"/>
                <w:b w:val="0"/>
              </w:rPr>
              <w:t>30.72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19</w:t>
            </w:r>
          </w:p>
        </w:tc>
        <w:tc>
          <w:tcPr>
            <w:tcW w:w="0" w:type="dxa"/>
            <w:vAlign w:val="center"/>
          </w:tcPr>
          <w:p>
            <w:pPr>
              <w:spacing w:line="240" w:lineRule="auto"/>
              <w:jc w:val="left"/>
            </w:pPr>
            <w:r>
              <w:rPr>
                <w:rFonts w:ascii="宋体" w:hAnsi="宋体" w:eastAsia="宋体" w:cs="宋体"/>
                <w:b w:val="0"/>
              </w:rPr>
              <w:t>600590</w:t>
            </w:r>
          </w:p>
        </w:tc>
        <w:tc>
          <w:tcPr>
            <w:tcW w:w="0" w:type="dxa"/>
            <w:vAlign w:val="center"/>
          </w:tcPr>
          <w:p>
            <w:pPr>
              <w:spacing w:line="240" w:lineRule="auto"/>
              <w:jc w:val="left"/>
            </w:pPr>
            <w:r>
              <w:rPr>
                <w:rFonts w:ascii="宋体" w:hAnsi="宋体" w:eastAsia="宋体" w:cs="宋体"/>
                <w:b w:val="0"/>
              </w:rPr>
              <w:t>泰豪科技</w:t>
            </w:r>
          </w:p>
        </w:tc>
        <w:tc>
          <w:tcPr>
            <w:tcW w:w="0" w:type="dxa"/>
            <w:vAlign w:val="center"/>
          </w:tcPr>
          <w:p>
            <w:pPr>
              <w:spacing w:line="240" w:lineRule="auto"/>
              <w:jc w:val="right"/>
            </w:pPr>
            <w:r>
              <w:rPr>
                <w:rFonts w:ascii="宋体" w:hAnsi="宋体" w:eastAsia="宋体" w:cs="宋体"/>
                <w:b w:val="0"/>
              </w:rPr>
              <w:t>8,584,602.00</w:t>
            </w:r>
          </w:p>
        </w:tc>
        <w:tc>
          <w:tcPr>
            <w:tcW w:w="0" w:type="dxa"/>
            <w:vAlign w:val="center"/>
          </w:tcPr>
          <w:p>
            <w:pPr>
              <w:spacing w:line="240" w:lineRule="auto"/>
              <w:jc w:val="right"/>
            </w:pPr>
            <w:r>
              <w:rPr>
                <w:rFonts w:ascii="宋体" w:hAnsi="宋体" w:eastAsia="宋体" w:cs="宋体"/>
                <w:b w:val="0"/>
              </w:rPr>
              <w:t>30.47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20</w:t>
            </w:r>
          </w:p>
        </w:tc>
        <w:tc>
          <w:tcPr>
            <w:tcW w:w="0" w:type="dxa"/>
            <w:vAlign w:val="center"/>
          </w:tcPr>
          <w:p>
            <w:pPr>
              <w:spacing w:line="240" w:lineRule="auto"/>
              <w:jc w:val="left"/>
            </w:pPr>
            <w:r>
              <w:rPr>
                <w:rFonts w:ascii="宋体" w:hAnsi="宋体" w:eastAsia="宋体" w:cs="宋体"/>
                <w:b w:val="0"/>
              </w:rPr>
              <w:t>688676</w:t>
            </w:r>
          </w:p>
        </w:tc>
        <w:tc>
          <w:tcPr>
            <w:tcW w:w="0" w:type="dxa"/>
            <w:vAlign w:val="center"/>
          </w:tcPr>
          <w:p>
            <w:pPr>
              <w:spacing w:line="240" w:lineRule="auto"/>
              <w:jc w:val="left"/>
            </w:pPr>
            <w:r>
              <w:rPr>
                <w:rFonts w:ascii="宋体" w:hAnsi="宋体" w:eastAsia="宋体" w:cs="宋体"/>
                <w:b w:val="0"/>
              </w:rPr>
              <w:t>金盘科技</w:t>
            </w:r>
          </w:p>
        </w:tc>
        <w:tc>
          <w:tcPr>
            <w:tcW w:w="0" w:type="dxa"/>
            <w:vAlign w:val="center"/>
          </w:tcPr>
          <w:p>
            <w:pPr>
              <w:spacing w:line="240" w:lineRule="auto"/>
              <w:jc w:val="right"/>
            </w:pPr>
            <w:r>
              <w:rPr>
                <w:rFonts w:ascii="宋体" w:hAnsi="宋体" w:eastAsia="宋体" w:cs="宋体"/>
                <w:b w:val="0"/>
              </w:rPr>
              <w:t>8,500,995.01</w:t>
            </w:r>
          </w:p>
        </w:tc>
        <w:tc>
          <w:tcPr>
            <w:tcW w:w="0" w:type="dxa"/>
            <w:vAlign w:val="center"/>
          </w:tcPr>
          <w:p>
            <w:pPr>
              <w:spacing w:line="240" w:lineRule="auto"/>
              <w:jc w:val="right"/>
            </w:pPr>
            <w:r>
              <w:rPr>
                <w:rFonts w:ascii="宋体" w:hAnsi="宋体" w:eastAsia="宋体" w:cs="宋体"/>
                <w:b w:val="0"/>
              </w:rPr>
              <w:t>30.18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21</w:t>
            </w:r>
          </w:p>
        </w:tc>
        <w:tc>
          <w:tcPr>
            <w:tcW w:w="0" w:type="dxa"/>
            <w:vAlign w:val="center"/>
          </w:tcPr>
          <w:p>
            <w:pPr>
              <w:spacing w:line="240" w:lineRule="auto"/>
              <w:jc w:val="left"/>
            </w:pPr>
            <w:r>
              <w:rPr>
                <w:rFonts w:ascii="宋体" w:hAnsi="宋体" w:eastAsia="宋体" w:cs="宋体"/>
                <w:b w:val="0"/>
              </w:rPr>
              <w:t>688239</w:t>
            </w:r>
          </w:p>
        </w:tc>
        <w:tc>
          <w:tcPr>
            <w:tcW w:w="0" w:type="dxa"/>
            <w:vAlign w:val="center"/>
          </w:tcPr>
          <w:p>
            <w:pPr>
              <w:spacing w:line="240" w:lineRule="auto"/>
              <w:jc w:val="left"/>
            </w:pPr>
            <w:r>
              <w:rPr>
                <w:rFonts w:ascii="宋体" w:hAnsi="宋体" w:eastAsia="宋体" w:cs="宋体"/>
                <w:b w:val="0"/>
              </w:rPr>
              <w:t>航宇科技</w:t>
            </w:r>
          </w:p>
        </w:tc>
        <w:tc>
          <w:tcPr>
            <w:tcW w:w="0" w:type="dxa"/>
            <w:vAlign w:val="center"/>
          </w:tcPr>
          <w:p>
            <w:pPr>
              <w:spacing w:line="240" w:lineRule="auto"/>
              <w:jc w:val="right"/>
            </w:pPr>
            <w:r>
              <w:rPr>
                <w:rFonts w:ascii="宋体" w:hAnsi="宋体" w:eastAsia="宋体" w:cs="宋体"/>
                <w:b w:val="0"/>
              </w:rPr>
              <w:t>7,899,828.23</w:t>
            </w:r>
          </w:p>
        </w:tc>
        <w:tc>
          <w:tcPr>
            <w:tcW w:w="0" w:type="dxa"/>
            <w:vAlign w:val="center"/>
          </w:tcPr>
          <w:p>
            <w:pPr>
              <w:spacing w:line="240" w:lineRule="auto"/>
              <w:jc w:val="right"/>
            </w:pPr>
            <w:r>
              <w:rPr>
                <w:rFonts w:ascii="宋体" w:hAnsi="宋体" w:eastAsia="宋体" w:cs="宋体"/>
                <w:b w:val="0"/>
              </w:rPr>
              <w:t>28.04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22</w:t>
            </w:r>
          </w:p>
        </w:tc>
        <w:tc>
          <w:tcPr>
            <w:tcW w:w="0" w:type="dxa"/>
            <w:vAlign w:val="center"/>
          </w:tcPr>
          <w:p>
            <w:pPr>
              <w:spacing w:line="240" w:lineRule="auto"/>
              <w:jc w:val="left"/>
            </w:pPr>
            <w:r>
              <w:rPr>
                <w:rFonts w:ascii="宋体" w:hAnsi="宋体" w:eastAsia="宋体" w:cs="宋体"/>
                <w:b w:val="0"/>
              </w:rPr>
              <w:t>002364</w:t>
            </w:r>
          </w:p>
        </w:tc>
        <w:tc>
          <w:tcPr>
            <w:tcW w:w="0" w:type="dxa"/>
            <w:vAlign w:val="center"/>
          </w:tcPr>
          <w:p>
            <w:pPr>
              <w:spacing w:line="240" w:lineRule="auto"/>
              <w:jc w:val="left"/>
            </w:pPr>
            <w:r>
              <w:rPr>
                <w:rFonts w:ascii="宋体" w:hAnsi="宋体" w:eastAsia="宋体" w:cs="宋体"/>
                <w:b w:val="0"/>
              </w:rPr>
              <w:t>中恒电气</w:t>
            </w:r>
          </w:p>
        </w:tc>
        <w:tc>
          <w:tcPr>
            <w:tcW w:w="0" w:type="dxa"/>
            <w:vAlign w:val="center"/>
          </w:tcPr>
          <w:p>
            <w:pPr>
              <w:spacing w:line="240" w:lineRule="auto"/>
              <w:jc w:val="right"/>
            </w:pPr>
            <w:r>
              <w:rPr>
                <w:rFonts w:ascii="宋体" w:hAnsi="宋体" w:eastAsia="宋体" w:cs="宋体"/>
                <w:b w:val="0"/>
              </w:rPr>
              <w:t>7,320,413.00</w:t>
            </w:r>
          </w:p>
        </w:tc>
        <w:tc>
          <w:tcPr>
            <w:tcW w:w="0" w:type="dxa"/>
            <w:vAlign w:val="center"/>
          </w:tcPr>
          <w:p>
            <w:pPr>
              <w:spacing w:line="240" w:lineRule="auto"/>
              <w:jc w:val="right"/>
            </w:pPr>
            <w:r>
              <w:rPr>
                <w:rFonts w:ascii="宋体" w:hAnsi="宋体" w:eastAsia="宋体" w:cs="宋体"/>
                <w:b w:val="0"/>
              </w:rPr>
              <w:t>25.99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23</w:t>
            </w:r>
          </w:p>
        </w:tc>
        <w:tc>
          <w:tcPr>
            <w:tcW w:w="0" w:type="dxa"/>
            <w:vAlign w:val="center"/>
          </w:tcPr>
          <w:p>
            <w:pPr>
              <w:spacing w:line="240" w:lineRule="auto"/>
              <w:jc w:val="left"/>
            </w:pPr>
            <w:r>
              <w:rPr>
                <w:rFonts w:ascii="宋体" w:hAnsi="宋体" w:eastAsia="宋体" w:cs="宋体"/>
                <w:b w:val="0"/>
              </w:rPr>
              <w:t>300693</w:t>
            </w:r>
          </w:p>
        </w:tc>
        <w:tc>
          <w:tcPr>
            <w:tcW w:w="0" w:type="dxa"/>
            <w:vAlign w:val="center"/>
          </w:tcPr>
          <w:p>
            <w:pPr>
              <w:spacing w:line="240" w:lineRule="auto"/>
              <w:jc w:val="left"/>
            </w:pPr>
            <w:r>
              <w:rPr>
                <w:rFonts w:ascii="宋体" w:hAnsi="宋体" w:eastAsia="宋体" w:cs="宋体"/>
                <w:b w:val="0"/>
              </w:rPr>
              <w:t>盛弘股份</w:t>
            </w:r>
          </w:p>
        </w:tc>
        <w:tc>
          <w:tcPr>
            <w:tcW w:w="0" w:type="dxa"/>
            <w:vAlign w:val="center"/>
          </w:tcPr>
          <w:p>
            <w:pPr>
              <w:spacing w:line="240" w:lineRule="auto"/>
              <w:jc w:val="right"/>
            </w:pPr>
            <w:r>
              <w:rPr>
                <w:rFonts w:ascii="宋体" w:hAnsi="宋体" w:eastAsia="宋体" w:cs="宋体"/>
                <w:b w:val="0"/>
              </w:rPr>
              <w:t>6,898,015.00</w:t>
            </w:r>
          </w:p>
        </w:tc>
        <w:tc>
          <w:tcPr>
            <w:tcW w:w="0" w:type="dxa"/>
            <w:vAlign w:val="center"/>
          </w:tcPr>
          <w:p>
            <w:pPr>
              <w:spacing w:line="240" w:lineRule="auto"/>
              <w:jc w:val="right"/>
            </w:pPr>
            <w:r>
              <w:rPr>
                <w:rFonts w:ascii="宋体" w:hAnsi="宋体" w:eastAsia="宋体" w:cs="宋体"/>
                <w:b w:val="0"/>
              </w:rPr>
              <w:t>24.49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24</w:t>
            </w:r>
          </w:p>
        </w:tc>
        <w:tc>
          <w:tcPr>
            <w:tcW w:w="0" w:type="dxa"/>
            <w:vAlign w:val="center"/>
          </w:tcPr>
          <w:p>
            <w:pPr>
              <w:spacing w:line="240" w:lineRule="auto"/>
              <w:jc w:val="left"/>
            </w:pPr>
            <w:r>
              <w:rPr>
                <w:rFonts w:ascii="宋体" w:hAnsi="宋体" w:eastAsia="宋体" w:cs="宋体"/>
                <w:b w:val="0"/>
              </w:rPr>
              <w:t>02727</w:t>
            </w:r>
          </w:p>
        </w:tc>
        <w:tc>
          <w:tcPr>
            <w:tcW w:w="0" w:type="dxa"/>
            <w:vAlign w:val="center"/>
          </w:tcPr>
          <w:p>
            <w:pPr>
              <w:spacing w:line="240" w:lineRule="auto"/>
              <w:jc w:val="left"/>
            </w:pPr>
            <w:r>
              <w:rPr>
                <w:rFonts w:ascii="宋体" w:hAnsi="宋体" w:eastAsia="宋体" w:cs="宋体"/>
                <w:b w:val="0"/>
              </w:rPr>
              <w:t>上海电气</w:t>
            </w:r>
          </w:p>
        </w:tc>
        <w:tc>
          <w:tcPr>
            <w:tcW w:w="0" w:type="dxa"/>
            <w:vAlign w:val="center"/>
          </w:tcPr>
          <w:p>
            <w:pPr>
              <w:spacing w:line="240" w:lineRule="auto"/>
              <w:jc w:val="right"/>
            </w:pPr>
            <w:r>
              <w:rPr>
                <w:rFonts w:ascii="宋体" w:hAnsi="宋体" w:eastAsia="宋体" w:cs="宋体"/>
                <w:b w:val="0"/>
              </w:rPr>
              <w:t>6,678,226.91</w:t>
            </w:r>
          </w:p>
        </w:tc>
        <w:tc>
          <w:tcPr>
            <w:tcW w:w="0" w:type="dxa"/>
            <w:vAlign w:val="center"/>
          </w:tcPr>
          <w:p>
            <w:pPr>
              <w:spacing w:line="240" w:lineRule="auto"/>
              <w:jc w:val="right"/>
            </w:pPr>
            <w:r>
              <w:rPr>
                <w:rFonts w:ascii="宋体" w:hAnsi="宋体" w:eastAsia="宋体" w:cs="宋体"/>
                <w:b w:val="0"/>
              </w:rPr>
              <w:t>23.71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25</w:t>
            </w:r>
          </w:p>
        </w:tc>
        <w:tc>
          <w:tcPr>
            <w:tcW w:w="0" w:type="dxa"/>
            <w:vAlign w:val="center"/>
          </w:tcPr>
          <w:p>
            <w:pPr>
              <w:spacing w:line="240" w:lineRule="auto"/>
              <w:jc w:val="left"/>
            </w:pPr>
            <w:r>
              <w:rPr>
                <w:rFonts w:ascii="宋体" w:hAnsi="宋体" w:eastAsia="宋体" w:cs="宋体"/>
                <w:b w:val="0"/>
              </w:rPr>
              <w:t>688231</w:t>
            </w:r>
          </w:p>
        </w:tc>
        <w:tc>
          <w:tcPr>
            <w:tcW w:w="0" w:type="dxa"/>
            <w:vAlign w:val="center"/>
          </w:tcPr>
          <w:p>
            <w:pPr>
              <w:spacing w:line="240" w:lineRule="auto"/>
              <w:jc w:val="left"/>
            </w:pPr>
            <w:r>
              <w:rPr>
                <w:rFonts w:ascii="宋体" w:hAnsi="宋体" w:eastAsia="宋体" w:cs="宋体"/>
                <w:b w:val="0"/>
              </w:rPr>
              <w:t>隆达股份</w:t>
            </w:r>
          </w:p>
        </w:tc>
        <w:tc>
          <w:tcPr>
            <w:tcW w:w="0" w:type="dxa"/>
            <w:vAlign w:val="center"/>
          </w:tcPr>
          <w:p>
            <w:pPr>
              <w:spacing w:line="240" w:lineRule="auto"/>
              <w:jc w:val="right"/>
            </w:pPr>
            <w:r>
              <w:rPr>
                <w:rFonts w:ascii="宋体" w:hAnsi="宋体" w:eastAsia="宋体" w:cs="宋体"/>
                <w:b w:val="0"/>
              </w:rPr>
              <w:t>6,215,653.82</w:t>
            </w:r>
          </w:p>
        </w:tc>
        <w:tc>
          <w:tcPr>
            <w:tcW w:w="0" w:type="dxa"/>
            <w:vAlign w:val="center"/>
          </w:tcPr>
          <w:p>
            <w:pPr>
              <w:spacing w:line="240" w:lineRule="auto"/>
              <w:jc w:val="right"/>
            </w:pPr>
            <w:r>
              <w:rPr>
                <w:rFonts w:ascii="宋体" w:hAnsi="宋体" w:eastAsia="宋体" w:cs="宋体"/>
                <w:b w:val="0"/>
              </w:rPr>
              <w:t>22.06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26</w:t>
            </w:r>
          </w:p>
        </w:tc>
        <w:tc>
          <w:tcPr>
            <w:tcW w:w="0" w:type="dxa"/>
            <w:vAlign w:val="center"/>
          </w:tcPr>
          <w:p>
            <w:pPr>
              <w:spacing w:line="240" w:lineRule="auto"/>
              <w:jc w:val="left"/>
            </w:pPr>
            <w:r>
              <w:rPr>
                <w:rFonts w:ascii="宋体" w:hAnsi="宋体" w:eastAsia="宋体" w:cs="宋体"/>
                <w:b w:val="0"/>
              </w:rPr>
              <w:t>002487</w:t>
            </w:r>
          </w:p>
        </w:tc>
        <w:tc>
          <w:tcPr>
            <w:tcW w:w="0" w:type="dxa"/>
            <w:vAlign w:val="center"/>
          </w:tcPr>
          <w:p>
            <w:pPr>
              <w:spacing w:line="240" w:lineRule="auto"/>
              <w:jc w:val="left"/>
            </w:pPr>
            <w:r>
              <w:rPr>
                <w:rFonts w:ascii="宋体" w:hAnsi="宋体" w:eastAsia="宋体" w:cs="宋体"/>
                <w:b w:val="0"/>
              </w:rPr>
              <w:t>大金重工</w:t>
            </w:r>
          </w:p>
        </w:tc>
        <w:tc>
          <w:tcPr>
            <w:tcW w:w="0" w:type="dxa"/>
            <w:vAlign w:val="center"/>
          </w:tcPr>
          <w:p>
            <w:pPr>
              <w:spacing w:line="240" w:lineRule="auto"/>
              <w:jc w:val="right"/>
            </w:pPr>
            <w:r>
              <w:rPr>
                <w:rFonts w:ascii="宋体" w:hAnsi="宋体" w:eastAsia="宋体" w:cs="宋体"/>
                <w:b w:val="0"/>
              </w:rPr>
              <w:t>5,744,186.00</w:t>
            </w:r>
          </w:p>
        </w:tc>
        <w:tc>
          <w:tcPr>
            <w:tcW w:w="0" w:type="dxa"/>
            <w:vAlign w:val="center"/>
          </w:tcPr>
          <w:p>
            <w:pPr>
              <w:spacing w:line="240" w:lineRule="auto"/>
              <w:jc w:val="right"/>
            </w:pPr>
            <w:r>
              <w:rPr>
                <w:rFonts w:ascii="宋体" w:hAnsi="宋体" w:eastAsia="宋体" w:cs="宋体"/>
                <w:b w:val="0"/>
              </w:rPr>
              <w:t>20.39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27</w:t>
            </w:r>
          </w:p>
        </w:tc>
        <w:tc>
          <w:tcPr>
            <w:tcW w:w="0" w:type="dxa"/>
            <w:vAlign w:val="center"/>
          </w:tcPr>
          <w:p>
            <w:pPr>
              <w:spacing w:line="240" w:lineRule="auto"/>
              <w:jc w:val="left"/>
            </w:pPr>
            <w:r>
              <w:rPr>
                <w:rFonts w:ascii="宋体" w:hAnsi="宋体" w:eastAsia="宋体" w:cs="宋体"/>
                <w:b w:val="0"/>
              </w:rPr>
              <w:t>000811</w:t>
            </w:r>
          </w:p>
        </w:tc>
        <w:tc>
          <w:tcPr>
            <w:tcW w:w="0" w:type="dxa"/>
            <w:vAlign w:val="center"/>
          </w:tcPr>
          <w:p>
            <w:pPr>
              <w:spacing w:line="240" w:lineRule="auto"/>
              <w:jc w:val="left"/>
            </w:pPr>
            <w:r>
              <w:rPr>
                <w:rFonts w:ascii="宋体" w:hAnsi="宋体" w:eastAsia="宋体" w:cs="宋体"/>
                <w:b w:val="0"/>
              </w:rPr>
              <w:t>冰轮环境</w:t>
            </w:r>
          </w:p>
        </w:tc>
        <w:tc>
          <w:tcPr>
            <w:tcW w:w="0" w:type="dxa"/>
            <w:vAlign w:val="center"/>
          </w:tcPr>
          <w:p>
            <w:pPr>
              <w:spacing w:line="240" w:lineRule="auto"/>
              <w:jc w:val="right"/>
            </w:pPr>
            <w:r>
              <w:rPr>
                <w:rFonts w:ascii="宋体" w:hAnsi="宋体" w:eastAsia="宋体" w:cs="宋体"/>
                <w:b w:val="0"/>
              </w:rPr>
              <w:t>5,646,398.00</w:t>
            </w:r>
          </w:p>
        </w:tc>
        <w:tc>
          <w:tcPr>
            <w:tcW w:w="0" w:type="dxa"/>
            <w:vAlign w:val="center"/>
          </w:tcPr>
          <w:p>
            <w:pPr>
              <w:spacing w:line="240" w:lineRule="auto"/>
              <w:jc w:val="right"/>
            </w:pPr>
            <w:r>
              <w:rPr>
                <w:rFonts w:ascii="宋体" w:hAnsi="宋体" w:eastAsia="宋体" w:cs="宋体"/>
                <w:b w:val="0"/>
              </w:rPr>
              <w:t>20.04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28</w:t>
            </w:r>
          </w:p>
        </w:tc>
        <w:tc>
          <w:tcPr>
            <w:tcW w:w="0" w:type="dxa"/>
            <w:vAlign w:val="center"/>
          </w:tcPr>
          <w:p>
            <w:pPr>
              <w:spacing w:line="240" w:lineRule="auto"/>
              <w:jc w:val="left"/>
            </w:pPr>
            <w:r>
              <w:rPr>
                <w:rFonts w:ascii="宋体" w:hAnsi="宋体" w:eastAsia="宋体" w:cs="宋体"/>
                <w:b w:val="0"/>
              </w:rPr>
              <w:t>301468</w:t>
            </w:r>
          </w:p>
        </w:tc>
        <w:tc>
          <w:tcPr>
            <w:tcW w:w="0" w:type="dxa"/>
            <w:vAlign w:val="center"/>
          </w:tcPr>
          <w:p>
            <w:pPr>
              <w:spacing w:line="240" w:lineRule="auto"/>
              <w:jc w:val="left"/>
            </w:pPr>
            <w:r>
              <w:rPr>
                <w:rFonts w:ascii="宋体" w:hAnsi="宋体" w:eastAsia="宋体" w:cs="宋体"/>
                <w:b w:val="0"/>
              </w:rPr>
              <w:t>博盈特焊</w:t>
            </w:r>
          </w:p>
        </w:tc>
        <w:tc>
          <w:tcPr>
            <w:tcW w:w="0" w:type="dxa"/>
            <w:vAlign w:val="center"/>
          </w:tcPr>
          <w:p>
            <w:pPr>
              <w:spacing w:line="240" w:lineRule="auto"/>
              <w:jc w:val="right"/>
            </w:pPr>
            <w:r>
              <w:rPr>
                <w:rFonts w:ascii="宋体" w:hAnsi="宋体" w:eastAsia="宋体" w:cs="宋体"/>
                <w:b w:val="0"/>
              </w:rPr>
              <w:t>5,615,626.00</w:t>
            </w:r>
          </w:p>
        </w:tc>
        <w:tc>
          <w:tcPr>
            <w:tcW w:w="0" w:type="dxa"/>
            <w:vAlign w:val="center"/>
          </w:tcPr>
          <w:p>
            <w:pPr>
              <w:spacing w:line="240" w:lineRule="auto"/>
              <w:jc w:val="right"/>
            </w:pPr>
            <w:r>
              <w:rPr>
                <w:rFonts w:ascii="宋体" w:hAnsi="宋体" w:eastAsia="宋体" w:cs="宋体"/>
                <w:b w:val="0"/>
              </w:rPr>
              <w:t>19.93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29</w:t>
            </w:r>
          </w:p>
        </w:tc>
        <w:tc>
          <w:tcPr>
            <w:tcW w:w="0" w:type="dxa"/>
            <w:vAlign w:val="center"/>
          </w:tcPr>
          <w:p>
            <w:pPr>
              <w:spacing w:line="240" w:lineRule="auto"/>
              <w:jc w:val="left"/>
            </w:pPr>
            <w:r>
              <w:rPr>
                <w:rFonts w:ascii="宋体" w:hAnsi="宋体" w:eastAsia="宋体" w:cs="宋体"/>
                <w:b w:val="0"/>
              </w:rPr>
              <w:t>002922</w:t>
            </w:r>
          </w:p>
        </w:tc>
        <w:tc>
          <w:tcPr>
            <w:tcW w:w="0" w:type="dxa"/>
            <w:vAlign w:val="center"/>
          </w:tcPr>
          <w:p>
            <w:pPr>
              <w:spacing w:line="240" w:lineRule="auto"/>
              <w:jc w:val="left"/>
            </w:pPr>
            <w:r>
              <w:rPr>
                <w:rFonts w:ascii="宋体" w:hAnsi="宋体" w:eastAsia="宋体" w:cs="宋体"/>
                <w:b w:val="0"/>
              </w:rPr>
              <w:t>伊戈尔</w:t>
            </w:r>
          </w:p>
        </w:tc>
        <w:tc>
          <w:tcPr>
            <w:tcW w:w="0" w:type="dxa"/>
            <w:vAlign w:val="center"/>
          </w:tcPr>
          <w:p>
            <w:pPr>
              <w:spacing w:line="240" w:lineRule="auto"/>
              <w:jc w:val="right"/>
            </w:pPr>
            <w:r>
              <w:rPr>
                <w:rFonts w:ascii="宋体" w:hAnsi="宋体" w:eastAsia="宋体" w:cs="宋体"/>
                <w:b w:val="0"/>
              </w:rPr>
              <w:t>5,611,784.00</w:t>
            </w:r>
          </w:p>
        </w:tc>
        <w:tc>
          <w:tcPr>
            <w:tcW w:w="0" w:type="dxa"/>
            <w:vAlign w:val="center"/>
          </w:tcPr>
          <w:p>
            <w:pPr>
              <w:spacing w:line="240" w:lineRule="auto"/>
              <w:jc w:val="right"/>
            </w:pPr>
            <w:r>
              <w:rPr>
                <w:rFonts w:ascii="宋体" w:hAnsi="宋体" w:eastAsia="宋体" w:cs="宋体"/>
                <w:b w:val="0"/>
              </w:rPr>
              <w:t>19.92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30</w:t>
            </w:r>
          </w:p>
        </w:tc>
        <w:tc>
          <w:tcPr>
            <w:tcW w:w="0" w:type="dxa"/>
            <w:vAlign w:val="center"/>
          </w:tcPr>
          <w:p>
            <w:pPr>
              <w:spacing w:line="240" w:lineRule="auto"/>
              <w:jc w:val="left"/>
            </w:pPr>
            <w:r>
              <w:rPr>
                <w:rFonts w:ascii="宋体" w:hAnsi="宋体" w:eastAsia="宋体" w:cs="宋体"/>
                <w:b w:val="0"/>
              </w:rPr>
              <w:t>301563</w:t>
            </w:r>
          </w:p>
        </w:tc>
        <w:tc>
          <w:tcPr>
            <w:tcW w:w="0" w:type="dxa"/>
            <w:vAlign w:val="center"/>
          </w:tcPr>
          <w:p>
            <w:pPr>
              <w:spacing w:line="240" w:lineRule="auto"/>
              <w:jc w:val="left"/>
            </w:pPr>
            <w:r>
              <w:rPr>
                <w:rFonts w:ascii="宋体" w:hAnsi="宋体" w:eastAsia="宋体" w:cs="宋体"/>
                <w:b w:val="0"/>
              </w:rPr>
              <w:t>云汉芯城</w:t>
            </w:r>
          </w:p>
        </w:tc>
        <w:tc>
          <w:tcPr>
            <w:tcW w:w="0" w:type="dxa"/>
            <w:vAlign w:val="center"/>
          </w:tcPr>
          <w:p>
            <w:pPr>
              <w:spacing w:line="240" w:lineRule="auto"/>
              <w:jc w:val="right"/>
            </w:pPr>
            <w:r>
              <w:rPr>
                <w:rFonts w:ascii="宋体" w:hAnsi="宋体" w:eastAsia="宋体" w:cs="宋体"/>
                <w:b w:val="0"/>
              </w:rPr>
              <w:t>5,207,312.10</w:t>
            </w:r>
          </w:p>
        </w:tc>
        <w:tc>
          <w:tcPr>
            <w:tcW w:w="0" w:type="dxa"/>
            <w:vAlign w:val="center"/>
          </w:tcPr>
          <w:p>
            <w:pPr>
              <w:spacing w:line="240" w:lineRule="auto"/>
              <w:jc w:val="right"/>
            </w:pPr>
            <w:r>
              <w:rPr>
                <w:rFonts w:ascii="宋体" w:hAnsi="宋体" w:eastAsia="宋体" w:cs="宋体"/>
                <w:b w:val="0"/>
              </w:rPr>
              <w:t>18.49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31</w:t>
            </w:r>
          </w:p>
        </w:tc>
        <w:tc>
          <w:tcPr>
            <w:tcW w:w="0" w:type="dxa"/>
            <w:vAlign w:val="center"/>
          </w:tcPr>
          <w:p>
            <w:pPr>
              <w:spacing w:line="240" w:lineRule="auto"/>
              <w:jc w:val="left"/>
            </w:pPr>
            <w:r>
              <w:rPr>
                <w:rFonts w:ascii="宋体" w:hAnsi="宋体" w:eastAsia="宋体" w:cs="宋体"/>
                <w:b w:val="0"/>
              </w:rPr>
              <w:t>300319</w:t>
            </w:r>
          </w:p>
        </w:tc>
        <w:tc>
          <w:tcPr>
            <w:tcW w:w="0" w:type="dxa"/>
            <w:vAlign w:val="center"/>
          </w:tcPr>
          <w:p>
            <w:pPr>
              <w:spacing w:line="240" w:lineRule="auto"/>
              <w:jc w:val="left"/>
            </w:pPr>
            <w:r>
              <w:rPr>
                <w:rFonts w:ascii="宋体" w:hAnsi="宋体" w:eastAsia="宋体" w:cs="宋体"/>
                <w:b w:val="0"/>
              </w:rPr>
              <w:t>麦捷科技</w:t>
            </w:r>
          </w:p>
        </w:tc>
        <w:tc>
          <w:tcPr>
            <w:tcW w:w="0" w:type="dxa"/>
            <w:vAlign w:val="center"/>
          </w:tcPr>
          <w:p>
            <w:pPr>
              <w:spacing w:line="240" w:lineRule="auto"/>
              <w:jc w:val="right"/>
            </w:pPr>
            <w:r>
              <w:rPr>
                <w:rFonts w:ascii="宋体" w:hAnsi="宋体" w:eastAsia="宋体" w:cs="宋体"/>
                <w:b w:val="0"/>
              </w:rPr>
              <w:t>5,091,208.00</w:t>
            </w:r>
          </w:p>
        </w:tc>
        <w:tc>
          <w:tcPr>
            <w:tcW w:w="0" w:type="dxa"/>
            <w:vAlign w:val="center"/>
          </w:tcPr>
          <w:p>
            <w:pPr>
              <w:spacing w:line="240" w:lineRule="auto"/>
              <w:jc w:val="right"/>
            </w:pPr>
            <w:r>
              <w:rPr>
                <w:rFonts w:ascii="宋体" w:hAnsi="宋体" w:eastAsia="宋体" w:cs="宋体"/>
                <w:b w:val="0"/>
              </w:rPr>
              <w:t>18.07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32</w:t>
            </w:r>
          </w:p>
        </w:tc>
        <w:tc>
          <w:tcPr>
            <w:tcW w:w="0" w:type="dxa"/>
            <w:vAlign w:val="center"/>
          </w:tcPr>
          <w:p>
            <w:pPr>
              <w:spacing w:line="240" w:lineRule="auto"/>
              <w:jc w:val="left"/>
            </w:pPr>
            <w:r>
              <w:rPr>
                <w:rFonts w:ascii="宋体" w:hAnsi="宋体" w:eastAsia="宋体" w:cs="宋体"/>
                <w:b w:val="0"/>
              </w:rPr>
              <w:t>601126</w:t>
            </w:r>
          </w:p>
        </w:tc>
        <w:tc>
          <w:tcPr>
            <w:tcW w:w="0" w:type="dxa"/>
            <w:vAlign w:val="center"/>
          </w:tcPr>
          <w:p>
            <w:pPr>
              <w:spacing w:line="240" w:lineRule="auto"/>
              <w:jc w:val="left"/>
            </w:pPr>
            <w:r>
              <w:rPr>
                <w:rFonts w:ascii="宋体" w:hAnsi="宋体" w:eastAsia="宋体" w:cs="宋体"/>
                <w:b w:val="0"/>
              </w:rPr>
              <w:t>四方股份</w:t>
            </w:r>
          </w:p>
        </w:tc>
        <w:tc>
          <w:tcPr>
            <w:tcW w:w="0" w:type="dxa"/>
            <w:vAlign w:val="center"/>
          </w:tcPr>
          <w:p>
            <w:pPr>
              <w:spacing w:line="240" w:lineRule="auto"/>
              <w:jc w:val="right"/>
            </w:pPr>
            <w:r>
              <w:rPr>
                <w:rFonts w:ascii="宋体" w:hAnsi="宋体" w:eastAsia="宋体" w:cs="宋体"/>
                <w:b w:val="0"/>
              </w:rPr>
              <w:t>4,635,194.00</w:t>
            </w:r>
          </w:p>
        </w:tc>
        <w:tc>
          <w:tcPr>
            <w:tcW w:w="0" w:type="dxa"/>
            <w:vAlign w:val="center"/>
          </w:tcPr>
          <w:p>
            <w:pPr>
              <w:spacing w:line="240" w:lineRule="auto"/>
              <w:jc w:val="right"/>
            </w:pPr>
            <w:r>
              <w:rPr>
                <w:rFonts w:ascii="宋体" w:hAnsi="宋体" w:eastAsia="宋体" w:cs="宋体"/>
                <w:b w:val="0"/>
              </w:rPr>
              <w:t>16.45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33</w:t>
            </w:r>
          </w:p>
        </w:tc>
        <w:tc>
          <w:tcPr>
            <w:tcW w:w="0" w:type="dxa"/>
            <w:vAlign w:val="center"/>
          </w:tcPr>
          <w:p>
            <w:pPr>
              <w:spacing w:line="240" w:lineRule="auto"/>
              <w:jc w:val="left"/>
            </w:pPr>
            <w:r>
              <w:rPr>
                <w:rFonts w:ascii="宋体" w:hAnsi="宋体" w:eastAsia="宋体" w:cs="宋体"/>
                <w:b w:val="0"/>
              </w:rPr>
              <w:t>300943</w:t>
            </w:r>
          </w:p>
        </w:tc>
        <w:tc>
          <w:tcPr>
            <w:tcW w:w="0" w:type="dxa"/>
            <w:vAlign w:val="center"/>
          </w:tcPr>
          <w:p>
            <w:pPr>
              <w:spacing w:line="240" w:lineRule="auto"/>
              <w:jc w:val="left"/>
            </w:pPr>
            <w:r>
              <w:rPr>
                <w:rFonts w:ascii="宋体" w:hAnsi="宋体" w:eastAsia="宋体" w:cs="宋体"/>
                <w:b w:val="0"/>
              </w:rPr>
              <w:t>春晖智控</w:t>
            </w:r>
          </w:p>
        </w:tc>
        <w:tc>
          <w:tcPr>
            <w:tcW w:w="0" w:type="dxa"/>
            <w:vAlign w:val="center"/>
          </w:tcPr>
          <w:p>
            <w:pPr>
              <w:spacing w:line="240" w:lineRule="auto"/>
              <w:jc w:val="right"/>
            </w:pPr>
            <w:r>
              <w:rPr>
                <w:rFonts w:ascii="宋体" w:hAnsi="宋体" w:eastAsia="宋体" w:cs="宋体"/>
                <w:b w:val="0"/>
              </w:rPr>
              <w:t>4,011,905.00</w:t>
            </w:r>
          </w:p>
        </w:tc>
        <w:tc>
          <w:tcPr>
            <w:tcW w:w="0" w:type="dxa"/>
            <w:vAlign w:val="center"/>
          </w:tcPr>
          <w:p>
            <w:pPr>
              <w:spacing w:line="240" w:lineRule="auto"/>
              <w:jc w:val="right"/>
            </w:pPr>
            <w:r>
              <w:rPr>
                <w:rFonts w:ascii="宋体" w:hAnsi="宋体" w:eastAsia="宋体" w:cs="宋体"/>
                <w:b w:val="0"/>
              </w:rPr>
              <w:t>14.24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34</w:t>
            </w:r>
          </w:p>
        </w:tc>
        <w:tc>
          <w:tcPr>
            <w:tcW w:w="0" w:type="dxa"/>
            <w:vAlign w:val="center"/>
          </w:tcPr>
          <w:p>
            <w:pPr>
              <w:spacing w:line="240" w:lineRule="auto"/>
              <w:jc w:val="left"/>
            </w:pPr>
            <w:r>
              <w:rPr>
                <w:rFonts w:ascii="宋体" w:hAnsi="宋体" w:eastAsia="宋体" w:cs="宋体"/>
                <w:b w:val="0"/>
              </w:rPr>
              <w:t>300750</w:t>
            </w:r>
          </w:p>
        </w:tc>
        <w:tc>
          <w:tcPr>
            <w:tcW w:w="0" w:type="dxa"/>
            <w:vAlign w:val="center"/>
          </w:tcPr>
          <w:p>
            <w:pPr>
              <w:spacing w:line="240" w:lineRule="auto"/>
              <w:jc w:val="left"/>
            </w:pPr>
            <w:r>
              <w:rPr>
                <w:rFonts w:ascii="宋体" w:hAnsi="宋体" w:eastAsia="宋体" w:cs="宋体"/>
                <w:b w:val="0"/>
              </w:rPr>
              <w:t>宁德时代</w:t>
            </w:r>
          </w:p>
        </w:tc>
        <w:tc>
          <w:tcPr>
            <w:tcW w:w="0" w:type="dxa"/>
            <w:vAlign w:val="center"/>
          </w:tcPr>
          <w:p>
            <w:pPr>
              <w:spacing w:line="240" w:lineRule="auto"/>
              <w:jc w:val="right"/>
            </w:pPr>
            <w:r>
              <w:rPr>
                <w:rFonts w:ascii="宋体" w:hAnsi="宋体" w:eastAsia="宋体" w:cs="宋体"/>
                <w:b w:val="0"/>
              </w:rPr>
              <w:t>3,957,353.00</w:t>
            </w:r>
          </w:p>
        </w:tc>
        <w:tc>
          <w:tcPr>
            <w:tcW w:w="0" w:type="dxa"/>
            <w:vAlign w:val="center"/>
          </w:tcPr>
          <w:p>
            <w:pPr>
              <w:spacing w:line="240" w:lineRule="auto"/>
              <w:jc w:val="right"/>
            </w:pPr>
            <w:r>
              <w:rPr>
                <w:rFonts w:ascii="宋体" w:hAnsi="宋体" w:eastAsia="宋体" w:cs="宋体"/>
                <w:b w:val="0"/>
              </w:rPr>
              <w:t>14.05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35</w:t>
            </w:r>
          </w:p>
        </w:tc>
        <w:tc>
          <w:tcPr>
            <w:tcW w:w="0" w:type="dxa"/>
            <w:vAlign w:val="center"/>
          </w:tcPr>
          <w:p>
            <w:pPr>
              <w:spacing w:line="240" w:lineRule="auto"/>
              <w:jc w:val="left"/>
            </w:pPr>
            <w:r>
              <w:rPr>
                <w:rFonts w:ascii="宋体" w:hAnsi="宋体" w:eastAsia="宋体" w:cs="宋体"/>
                <w:b w:val="0"/>
              </w:rPr>
              <w:t>002380</w:t>
            </w:r>
          </w:p>
        </w:tc>
        <w:tc>
          <w:tcPr>
            <w:tcW w:w="0" w:type="dxa"/>
            <w:vAlign w:val="center"/>
          </w:tcPr>
          <w:p>
            <w:pPr>
              <w:spacing w:line="240" w:lineRule="auto"/>
              <w:jc w:val="left"/>
            </w:pPr>
            <w:r>
              <w:rPr>
                <w:rFonts w:ascii="宋体" w:hAnsi="宋体" w:eastAsia="宋体" w:cs="宋体"/>
                <w:b w:val="0"/>
              </w:rPr>
              <w:t>科远智慧</w:t>
            </w:r>
          </w:p>
        </w:tc>
        <w:tc>
          <w:tcPr>
            <w:tcW w:w="0" w:type="dxa"/>
            <w:vAlign w:val="center"/>
          </w:tcPr>
          <w:p>
            <w:pPr>
              <w:spacing w:line="240" w:lineRule="auto"/>
              <w:jc w:val="right"/>
            </w:pPr>
            <w:r>
              <w:rPr>
                <w:rFonts w:ascii="宋体" w:hAnsi="宋体" w:eastAsia="宋体" w:cs="宋体"/>
                <w:b w:val="0"/>
              </w:rPr>
              <w:t>3,925,725.00</w:t>
            </w:r>
          </w:p>
        </w:tc>
        <w:tc>
          <w:tcPr>
            <w:tcW w:w="0" w:type="dxa"/>
            <w:vAlign w:val="center"/>
          </w:tcPr>
          <w:p>
            <w:pPr>
              <w:spacing w:line="240" w:lineRule="auto"/>
              <w:jc w:val="right"/>
            </w:pPr>
            <w:r>
              <w:rPr>
                <w:rFonts w:ascii="宋体" w:hAnsi="宋体" w:eastAsia="宋体" w:cs="宋体"/>
                <w:b w:val="0"/>
              </w:rPr>
              <w:t>13.94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36</w:t>
            </w:r>
          </w:p>
        </w:tc>
        <w:tc>
          <w:tcPr>
            <w:tcW w:w="0" w:type="dxa"/>
            <w:vAlign w:val="center"/>
          </w:tcPr>
          <w:p>
            <w:pPr>
              <w:spacing w:line="240" w:lineRule="auto"/>
              <w:jc w:val="left"/>
            </w:pPr>
            <w:r>
              <w:rPr>
                <w:rFonts w:ascii="宋体" w:hAnsi="宋体" w:eastAsia="宋体" w:cs="宋体"/>
                <w:b w:val="0"/>
              </w:rPr>
              <w:t>300870</w:t>
            </w:r>
          </w:p>
        </w:tc>
        <w:tc>
          <w:tcPr>
            <w:tcW w:w="0" w:type="dxa"/>
            <w:vAlign w:val="center"/>
          </w:tcPr>
          <w:p>
            <w:pPr>
              <w:spacing w:line="240" w:lineRule="auto"/>
              <w:jc w:val="left"/>
            </w:pPr>
            <w:r>
              <w:rPr>
                <w:rFonts w:ascii="宋体" w:hAnsi="宋体" w:eastAsia="宋体" w:cs="宋体"/>
                <w:b w:val="0"/>
              </w:rPr>
              <w:t>欧陆通</w:t>
            </w:r>
          </w:p>
        </w:tc>
        <w:tc>
          <w:tcPr>
            <w:tcW w:w="0" w:type="dxa"/>
            <w:vAlign w:val="center"/>
          </w:tcPr>
          <w:p>
            <w:pPr>
              <w:spacing w:line="240" w:lineRule="auto"/>
              <w:jc w:val="right"/>
            </w:pPr>
            <w:r>
              <w:rPr>
                <w:rFonts w:ascii="宋体" w:hAnsi="宋体" w:eastAsia="宋体" w:cs="宋体"/>
                <w:b w:val="0"/>
              </w:rPr>
              <w:t>3,885,683.00</w:t>
            </w:r>
          </w:p>
        </w:tc>
        <w:tc>
          <w:tcPr>
            <w:tcW w:w="0" w:type="dxa"/>
            <w:vAlign w:val="center"/>
          </w:tcPr>
          <w:p>
            <w:pPr>
              <w:spacing w:line="240" w:lineRule="auto"/>
              <w:jc w:val="right"/>
            </w:pPr>
            <w:r>
              <w:rPr>
                <w:rFonts w:ascii="宋体" w:hAnsi="宋体" w:eastAsia="宋体" w:cs="宋体"/>
                <w:b w:val="0"/>
              </w:rPr>
              <w:t>13.79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37</w:t>
            </w:r>
          </w:p>
        </w:tc>
        <w:tc>
          <w:tcPr>
            <w:tcW w:w="0" w:type="dxa"/>
            <w:vAlign w:val="center"/>
          </w:tcPr>
          <w:p>
            <w:pPr>
              <w:spacing w:line="240" w:lineRule="auto"/>
              <w:jc w:val="left"/>
            </w:pPr>
            <w:r>
              <w:rPr>
                <w:rFonts w:ascii="宋体" w:hAnsi="宋体" w:eastAsia="宋体" w:cs="宋体"/>
                <w:b w:val="0"/>
              </w:rPr>
              <w:t>300593</w:t>
            </w:r>
          </w:p>
        </w:tc>
        <w:tc>
          <w:tcPr>
            <w:tcW w:w="0" w:type="dxa"/>
            <w:vAlign w:val="center"/>
          </w:tcPr>
          <w:p>
            <w:pPr>
              <w:spacing w:line="240" w:lineRule="auto"/>
              <w:jc w:val="left"/>
            </w:pPr>
            <w:r>
              <w:rPr>
                <w:rFonts w:ascii="宋体" w:hAnsi="宋体" w:eastAsia="宋体" w:cs="宋体"/>
                <w:b w:val="0"/>
              </w:rPr>
              <w:t>新雷能</w:t>
            </w:r>
          </w:p>
        </w:tc>
        <w:tc>
          <w:tcPr>
            <w:tcW w:w="0" w:type="dxa"/>
            <w:vAlign w:val="center"/>
          </w:tcPr>
          <w:p>
            <w:pPr>
              <w:spacing w:line="240" w:lineRule="auto"/>
              <w:jc w:val="right"/>
            </w:pPr>
            <w:r>
              <w:rPr>
                <w:rFonts w:ascii="宋体" w:hAnsi="宋体" w:eastAsia="宋体" w:cs="宋体"/>
                <w:b w:val="0"/>
              </w:rPr>
              <w:t>3,833,779.00</w:t>
            </w:r>
          </w:p>
        </w:tc>
        <w:tc>
          <w:tcPr>
            <w:tcW w:w="0" w:type="dxa"/>
            <w:vAlign w:val="center"/>
          </w:tcPr>
          <w:p>
            <w:pPr>
              <w:spacing w:line="240" w:lineRule="auto"/>
              <w:jc w:val="right"/>
            </w:pPr>
            <w:r>
              <w:rPr>
                <w:rFonts w:ascii="宋体" w:hAnsi="宋体" w:eastAsia="宋体" w:cs="宋体"/>
                <w:b w:val="0"/>
              </w:rPr>
              <w:t>13.61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38</w:t>
            </w:r>
          </w:p>
        </w:tc>
        <w:tc>
          <w:tcPr>
            <w:tcW w:w="0" w:type="dxa"/>
            <w:vAlign w:val="center"/>
          </w:tcPr>
          <w:p>
            <w:pPr>
              <w:spacing w:line="240" w:lineRule="auto"/>
              <w:jc w:val="left"/>
            </w:pPr>
            <w:r>
              <w:rPr>
                <w:rFonts w:ascii="宋体" w:hAnsi="宋体" w:eastAsia="宋体" w:cs="宋体"/>
                <w:b w:val="0"/>
              </w:rPr>
              <w:t>002518</w:t>
            </w:r>
          </w:p>
        </w:tc>
        <w:tc>
          <w:tcPr>
            <w:tcW w:w="0" w:type="dxa"/>
            <w:vAlign w:val="center"/>
          </w:tcPr>
          <w:p>
            <w:pPr>
              <w:spacing w:line="240" w:lineRule="auto"/>
              <w:jc w:val="left"/>
            </w:pPr>
            <w:r>
              <w:rPr>
                <w:rFonts w:ascii="宋体" w:hAnsi="宋体" w:eastAsia="宋体" w:cs="宋体"/>
                <w:b w:val="0"/>
              </w:rPr>
              <w:t>科士达</w:t>
            </w:r>
          </w:p>
        </w:tc>
        <w:tc>
          <w:tcPr>
            <w:tcW w:w="0" w:type="dxa"/>
            <w:vAlign w:val="center"/>
          </w:tcPr>
          <w:p>
            <w:pPr>
              <w:spacing w:line="240" w:lineRule="auto"/>
              <w:jc w:val="right"/>
            </w:pPr>
            <w:r>
              <w:rPr>
                <w:rFonts w:ascii="宋体" w:hAnsi="宋体" w:eastAsia="宋体" w:cs="宋体"/>
                <w:b w:val="0"/>
              </w:rPr>
              <w:t>3,690,234.00</w:t>
            </w:r>
          </w:p>
        </w:tc>
        <w:tc>
          <w:tcPr>
            <w:tcW w:w="0" w:type="dxa"/>
            <w:vAlign w:val="center"/>
          </w:tcPr>
          <w:p>
            <w:pPr>
              <w:spacing w:line="240" w:lineRule="auto"/>
              <w:jc w:val="right"/>
            </w:pPr>
            <w:r>
              <w:rPr>
                <w:rFonts w:ascii="宋体" w:hAnsi="宋体" w:eastAsia="宋体" w:cs="宋体"/>
                <w:b w:val="0"/>
              </w:rPr>
              <w:t>13.10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39</w:t>
            </w:r>
          </w:p>
        </w:tc>
        <w:tc>
          <w:tcPr>
            <w:tcW w:w="0" w:type="dxa"/>
            <w:vAlign w:val="center"/>
          </w:tcPr>
          <w:p>
            <w:pPr>
              <w:spacing w:line="240" w:lineRule="auto"/>
              <w:jc w:val="left"/>
            </w:pPr>
            <w:r>
              <w:rPr>
                <w:rFonts w:ascii="宋体" w:hAnsi="宋体" w:eastAsia="宋体" w:cs="宋体"/>
                <w:b w:val="0"/>
              </w:rPr>
              <w:t>000973</w:t>
            </w:r>
          </w:p>
        </w:tc>
        <w:tc>
          <w:tcPr>
            <w:tcW w:w="0" w:type="dxa"/>
            <w:vAlign w:val="center"/>
          </w:tcPr>
          <w:p>
            <w:pPr>
              <w:spacing w:line="240" w:lineRule="auto"/>
              <w:jc w:val="left"/>
            </w:pPr>
            <w:r>
              <w:rPr>
                <w:rFonts w:ascii="宋体" w:hAnsi="宋体" w:eastAsia="宋体" w:cs="宋体"/>
                <w:b w:val="0"/>
              </w:rPr>
              <w:t>佛塑科技</w:t>
            </w:r>
          </w:p>
        </w:tc>
        <w:tc>
          <w:tcPr>
            <w:tcW w:w="0" w:type="dxa"/>
            <w:vAlign w:val="center"/>
          </w:tcPr>
          <w:p>
            <w:pPr>
              <w:spacing w:line="240" w:lineRule="auto"/>
              <w:jc w:val="right"/>
            </w:pPr>
            <w:r>
              <w:rPr>
                <w:rFonts w:ascii="宋体" w:hAnsi="宋体" w:eastAsia="宋体" w:cs="宋体"/>
                <w:b w:val="0"/>
              </w:rPr>
              <w:t>3,680,322.00</w:t>
            </w:r>
          </w:p>
        </w:tc>
        <w:tc>
          <w:tcPr>
            <w:tcW w:w="0" w:type="dxa"/>
            <w:vAlign w:val="center"/>
          </w:tcPr>
          <w:p>
            <w:pPr>
              <w:spacing w:line="240" w:lineRule="auto"/>
              <w:jc w:val="right"/>
            </w:pPr>
            <w:r>
              <w:rPr>
                <w:rFonts w:ascii="宋体" w:hAnsi="宋体" w:eastAsia="宋体" w:cs="宋体"/>
                <w:b w:val="0"/>
              </w:rPr>
              <w:t>13.06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40</w:t>
            </w:r>
          </w:p>
        </w:tc>
        <w:tc>
          <w:tcPr>
            <w:tcW w:w="0" w:type="dxa"/>
            <w:vAlign w:val="center"/>
          </w:tcPr>
          <w:p>
            <w:pPr>
              <w:spacing w:line="240" w:lineRule="auto"/>
              <w:jc w:val="left"/>
            </w:pPr>
            <w:r>
              <w:rPr>
                <w:rFonts w:ascii="宋体" w:hAnsi="宋体" w:eastAsia="宋体" w:cs="宋体"/>
                <w:b w:val="0"/>
              </w:rPr>
              <w:t>603530</w:t>
            </w:r>
          </w:p>
        </w:tc>
        <w:tc>
          <w:tcPr>
            <w:tcW w:w="0" w:type="dxa"/>
            <w:vAlign w:val="center"/>
          </w:tcPr>
          <w:p>
            <w:pPr>
              <w:spacing w:line="240" w:lineRule="auto"/>
              <w:jc w:val="left"/>
            </w:pPr>
            <w:r>
              <w:rPr>
                <w:rFonts w:ascii="宋体" w:hAnsi="宋体" w:eastAsia="宋体" w:cs="宋体"/>
                <w:b w:val="0"/>
              </w:rPr>
              <w:t>神马电力</w:t>
            </w:r>
          </w:p>
        </w:tc>
        <w:tc>
          <w:tcPr>
            <w:tcW w:w="0" w:type="dxa"/>
            <w:vAlign w:val="center"/>
          </w:tcPr>
          <w:p>
            <w:pPr>
              <w:spacing w:line="240" w:lineRule="auto"/>
              <w:jc w:val="right"/>
            </w:pPr>
            <w:r>
              <w:rPr>
                <w:rFonts w:ascii="宋体" w:hAnsi="宋体" w:eastAsia="宋体" w:cs="宋体"/>
                <w:b w:val="0"/>
              </w:rPr>
              <w:t>3,664,231.00</w:t>
            </w:r>
          </w:p>
        </w:tc>
        <w:tc>
          <w:tcPr>
            <w:tcW w:w="0" w:type="dxa"/>
            <w:vAlign w:val="center"/>
          </w:tcPr>
          <w:p>
            <w:pPr>
              <w:spacing w:line="240" w:lineRule="auto"/>
              <w:jc w:val="right"/>
            </w:pPr>
            <w:r>
              <w:rPr>
                <w:rFonts w:ascii="宋体" w:hAnsi="宋体" w:eastAsia="宋体" w:cs="宋体"/>
                <w:b w:val="0"/>
              </w:rPr>
              <w:t>13.01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41</w:t>
            </w:r>
          </w:p>
        </w:tc>
        <w:tc>
          <w:tcPr>
            <w:tcW w:w="0" w:type="dxa"/>
            <w:vAlign w:val="center"/>
          </w:tcPr>
          <w:p>
            <w:pPr>
              <w:spacing w:line="240" w:lineRule="auto"/>
              <w:jc w:val="left"/>
            </w:pPr>
            <w:r>
              <w:rPr>
                <w:rFonts w:ascii="宋体" w:hAnsi="宋体" w:eastAsia="宋体" w:cs="宋体"/>
                <w:b w:val="0"/>
              </w:rPr>
              <w:t>688717</w:t>
            </w:r>
          </w:p>
        </w:tc>
        <w:tc>
          <w:tcPr>
            <w:tcW w:w="0" w:type="dxa"/>
            <w:vAlign w:val="center"/>
          </w:tcPr>
          <w:p>
            <w:pPr>
              <w:spacing w:line="240" w:lineRule="auto"/>
              <w:jc w:val="left"/>
            </w:pPr>
            <w:r>
              <w:rPr>
                <w:rFonts w:ascii="宋体" w:hAnsi="宋体" w:eastAsia="宋体" w:cs="宋体"/>
                <w:b w:val="0"/>
              </w:rPr>
              <w:t>艾罗能源</w:t>
            </w:r>
          </w:p>
        </w:tc>
        <w:tc>
          <w:tcPr>
            <w:tcW w:w="0" w:type="dxa"/>
            <w:vAlign w:val="center"/>
          </w:tcPr>
          <w:p>
            <w:pPr>
              <w:spacing w:line="240" w:lineRule="auto"/>
              <w:jc w:val="right"/>
            </w:pPr>
            <w:r>
              <w:rPr>
                <w:rFonts w:ascii="宋体" w:hAnsi="宋体" w:eastAsia="宋体" w:cs="宋体"/>
                <w:b w:val="0"/>
              </w:rPr>
              <w:t>3,368,637.07</w:t>
            </w:r>
          </w:p>
        </w:tc>
        <w:tc>
          <w:tcPr>
            <w:tcW w:w="0" w:type="dxa"/>
            <w:vAlign w:val="center"/>
          </w:tcPr>
          <w:p>
            <w:pPr>
              <w:spacing w:line="240" w:lineRule="auto"/>
              <w:jc w:val="right"/>
            </w:pPr>
            <w:r>
              <w:rPr>
                <w:rFonts w:ascii="宋体" w:hAnsi="宋体" w:eastAsia="宋体" w:cs="宋体"/>
                <w:b w:val="0"/>
              </w:rPr>
              <w:t>11.96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42</w:t>
            </w:r>
          </w:p>
        </w:tc>
        <w:tc>
          <w:tcPr>
            <w:tcW w:w="0" w:type="dxa"/>
            <w:vAlign w:val="center"/>
          </w:tcPr>
          <w:p>
            <w:pPr>
              <w:spacing w:line="240" w:lineRule="auto"/>
              <w:jc w:val="left"/>
            </w:pPr>
            <w:r>
              <w:rPr>
                <w:rFonts w:ascii="宋体" w:hAnsi="宋体" w:eastAsia="宋体" w:cs="宋体"/>
                <w:b w:val="0"/>
              </w:rPr>
              <w:t>600105</w:t>
            </w:r>
          </w:p>
        </w:tc>
        <w:tc>
          <w:tcPr>
            <w:tcW w:w="0" w:type="dxa"/>
            <w:vAlign w:val="center"/>
          </w:tcPr>
          <w:p>
            <w:pPr>
              <w:spacing w:line="240" w:lineRule="auto"/>
              <w:jc w:val="left"/>
            </w:pPr>
            <w:r>
              <w:rPr>
                <w:rFonts w:ascii="宋体" w:hAnsi="宋体" w:eastAsia="宋体" w:cs="宋体"/>
                <w:b w:val="0"/>
              </w:rPr>
              <w:t>永鼎股份</w:t>
            </w:r>
          </w:p>
        </w:tc>
        <w:tc>
          <w:tcPr>
            <w:tcW w:w="0" w:type="dxa"/>
            <w:vAlign w:val="center"/>
          </w:tcPr>
          <w:p>
            <w:pPr>
              <w:spacing w:line="240" w:lineRule="auto"/>
              <w:jc w:val="right"/>
            </w:pPr>
            <w:r>
              <w:rPr>
                <w:rFonts w:ascii="宋体" w:hAnsi="宋体" w:eastAsia="宋体" w:cs="宋体"/>
                <w:b w:val="0"/>
              </w:rPr>
              <w:t>3,093,148.00</w:t>
            </w:r>
          </w:p>
        </w:tc>
        <w:tc>
          <w:tcPr>
            <w:tcW w:w="0" w:type="dxa"/>
            <w:vAlign w:val="center"/>
          </w:tcPr>
          <w:p>
            <w:pPr>
              <w:spacing w:line="240" w:lineRule="auto"/>
              <w:jc w:val="right"/>
            </w:pPr>
            <w:r>
              <w:rPr>
                <w:rFonts w:ascii="宋体" w:hAnsi="宋体" w:eastAsia="宋体" w:cs="宋体"/>
                <w:b w:val="0"/>
              </w:rPr>
              <w:t>10.98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43</w:t>
            </w:r>
          </w:p>
        </w:tc>
        <w:tc>
          <w:tcPr>
            <w:tcW w:w="0" w:type="dxa"/>
            <w:vAlign w:val="center"/>
          </w:tcPr>
          <w:p>
            <w:pPr>
              <w:spacing w:line="240" w:lineRule="auto"/>
              <w:jc w:val="left"/>
            </w:pPr>
            <w:r>
              <w:rPr>
                <w:rFonts w:ascii="宋体" w:hAnsi="宋体" w:eastAsia="宋体" w:cs="宋体"/>
                <w:b w:val="0"/>
              </w:rPr>
              <w:t>688472</w:t>
            </w:r>
          </w:p>
        </w:tc>
        <w:tc>
          <w:tcPr>
            <w:tcW w:w="0" w:type="dxa"/>
            <w:vAlign w:val="center"/>
          </w:tcPr>
          <w:p>
            <w:pPr>
              <w:spacing w:line="240" w:lineRule="auto"/>
              <w:jc w:val="left"/>
            </w:pPr>
            <w:r>
              <w:rPr>
                <w:rFonts w:ascii="宋体" w:hAnsi="宋体" w:eastAsia="宋体" w:cs="宋体"/>
                <w:b w:val="0"/>
              </w:rPr>
              <w:t>阿特斯</w:t>
            </w:r>
          </w:p>
        </w:tc>
        <w:tc>
          <w:tcPr>
            <w:tcW w:w="0" w:type="dxa"/>
            <w:vAlign w:val="center"/>
          </w:tcPr>
          <w:p>
            <w:pPr>
              <w:spacing w:line="240" w:lineRule="auto"/>
              <w:jc w:val="right"/>
            </w:pPr>
            <w:r>
              <w:rPr>
                <w:rFonts w:ascii="宋体" w:hAnsi="宋体" w:eastAsia="宋体" w:cs="宋体"/>
                <w:b w:val="0"/>
              </w:rPr>
              <w:t>3,063,624.92</w:t>
            </w:r>
          </w:p>
        </w:tc>
        <w:tc>
          <w:tcPr>
            <w:tcW w:w="0" w:type="dxa"/>
            <w:vAlign w:val="center"/>
          </w:tcPr>
          <w:p>
            <w:pPr>
              <w:spacing w:line="240" w:lineRule="auto"/>
              <w:jc w:val="right"/>
            </w:pPr>
            <w:r>
              <w:rPr>
                <w:rFonts w:ascii="宋体" w:hAnsi="宋体" w:eastAsia="宋体" w:cs="宋体"/>
                <w:b w:val="0"/>
              </w:rPr>
              <w:t>10.88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44</w:t>
            </w:r>
          </w:p>
        </w:tc>
        <w:tc>
          <w:tcPr>
            <w:tcW w:w="0" w:type="dxa"/>
            <w:vAlign w:val="center"/>
          </w:tcPr>
          <w:p>
            <w:pPr>
              <w:spacing w:line="240" w:lineRule="auto"/>
              <w:jc w:val="left"/>
            </w:pPr>
            <w:r>
              <w:rPr>
                <w:rFonts w:ascii="宋体" w:hAnsi="宋体" w:eastAsia="宋体" w:cs="宋体"/>
                <w:b w:val="0"/>
              </w:rPr>
              <w:t>603861</w:t>
            </w:r>
          </w:p>
        </w:tc>
        <w:tc>
          <w:tcPr>
            <w:tcW w:w="0" w:type="dxa"/>
            <w:vAlign w:val="center"/>
          </w:tcPr>
          <w:p>
            <w:pPr>
              <w:spacing w:line="240" w:lineRule="auto"/>
              <w:jc w:val="left"/>
            </w:pPr>
            <w:r>
              <w:rPr>
                <w:rFonts w:ascii="宋体" w:hAnsi="宋体" w:eastAsia="宋体" w:cs="宋体"/>
                <w:b w:val="0"/>
              </w:rPr>
              <w:t>白云电器</w:t>
            </w:r>
          </w:p>
        </w:tc>
        <w:tc>
          <w:tcPr>
            <w:tcW w:w="0" w:type="dxa"/>
            <w:vAlign w:val="center"/>
          </w:tcPr>
          <w:p>
            <w:pPr>
              <w:spacing w:line="240" w:lineRule="auto"/>
              <w:jc w:val="right"/>
            </w:pPr>
            <w:r>
              <w:rPr>
                <w:rFonts w:ascii="宋体" w:hAnsi="宋体" w:eastAsia="宋体" w:cs="宋体"/>
                <w:b w:val="0"/>
              </w:rPr>
              <w:t>3,020,328.00</w:t>
            </w:r>
          </w:p>
        </w:tc>
        <w:tc>
          <w:tcPr>
            <w:tcW w:w="0" w:type="dxa"/>
            <w:vAlign w:val="center"/>
          </w:tcPr>
          <w:p>
            <w:pPr>
              <w:spacing w:line="240" w:lineRule="auto"/>
              <w:jc w:val="right"/>
            </w:pPr>
            <w:r>
              <w:rPr>
                <w:rFonts w:ascii="宋体" w:hAnsi="宋体" w:eastAsia="宋体" w:cs="宋体"/>
                <w:b w:val="0"/>
              </w:rPr>
              <w:t>10.72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45</w:t>
            </w:r>
          </w:p>
        </w:tc>
        <w:tc>
          <w:tcPr>
            <w:tcW w:w="0" w:type="dxa"/>
            <w:vAlign w:val="center"/>
          </w:tcPr>
          <w:p>
            <w:pPr>
              <w:spacing w:line="240" w:lineRule="auto"/>
              <w:jc w:val="left"/>
            </w:pPr>
            <w:r>
              <w:rPr>
                <w:rFonts w:ascii="宋体" w:hAnsi="宋体" w:eastAsia="宋体" w:cs="宋体"/>
                <w:b w:val="0"/>
              </w:rPr>
              <w:t>300257</w:t>
            </w:r>
          </w:p>
        </w:tc>
        <w:tc>
          <w:tcPr>
            <w:tcW w:w="0" w:type="dxa"/>
            <w:vAlign w:val="center"/>
          </w:tcPr>
          <w:p>
            <w:pPr>
              <w:spacing w:line="240" w:lineRule="auto"/>
              <w:jc w:val="left"/>
            </w:pPr>
            <w:r>
              <w:rPr>
                <w:rFonts w:ascii="宋体" w:hAnsi="宋体" w:eastAsia="宋体" w:cs="宋体"/>
                <w:b w:val="0"/>
              </w:rPr>
              <w:t>开山股份</w:t>
            </w:r>
          </w:p>
        </w:tc>
        <w:tc>
          <w:tcPr>
            <w:tcW w:w="0" w:type="dxa"/>
            <w:vAlign w:val="center"/>
          </w:tcPr>
          <w:p>
            <w:pPr>
              <w:spacing w:line="240" w:lineRule="auto"/>
              <w:jc w:val="right"/>
            </w:pPr>
            <w:r>
              <w:rPr>
                <w:rFonts w:ascii="宋体" w:hAnsi="宋体" w:eastAsia="宋体" w:cs="宋体"/>
                <w:b w:val="0"/>
              </w:rPr>
              <w:t>2,842,966.00</w:t>
            </w:r>
          </w:p>
        </w:tc>
        <w:tc>
          <w:tcPr>
            <w:tcW w:w="0" w:type="dxa"/>
            <w:vAlign w:val="center"/>
          </w:tcPr>
          <w:p>
            <w:pPr>
              <w:spacing w:line="240" w:lineRule="auto"/>
              <w:jc w:val="right"/>
            </w:pPr>
            <w:r>
              <w:rPr>
                <w:rFonts w:ascii="宋体" w:hAnsi="宋体" w:eastAsia="宋体" w:cs="宋体"/>
                <w:b w:val="0"/>
              </w:rPr>
              <w:t>10.09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46</w:t>
            </w:r>
          </w:p>
        </w:tc>
        <w:tc>
          <w:tcPr>
            <w:tcW w:w="0" w:type="dxa"/>
            <w:vAlign w:val="center"/>
          </w:tcPr>
          <w:p>
            <w:pPr>
              <w:spacing w:line="240" w:lineRule="auto"/>
              <w:jc w:val="left"/>
            </w:pPr>
            <w:r>
              <w:rPr>
                <w:rFonts w:ascii="宋体" w:hAnsi="宋体" w:eastAsia="宋体" w:cs="宋体"/>
                <w:b w:val="0"/>
              </w:rPr>
              <w:t>002812</w:t>
            </w:r>
          </w:p>
        </w:tc>
        <w:tc>
          <w:tcPr>
            <w:tcW w:w="0" w:type="dxa"/>
            <w:vAlign w:val="center"/>
          </w:tcPr>
          <w:p>
            <w:pPr>
              <w:spacing w:line="240" w:lineRule="auto"/>
              <w:jc w:val="left"/>
            </w:pPr>
            <w:r>
              <w:rPr>
                <w:rFonts w:ascii="宋体" w:hAnsi="宋体" w:eastAsia="宋体" w:cs="宋体"/>
                <w:b w:val="0"/>
              </w:rPr>
              <w:t>恩捷股份</w:t>
            </w:r>
          </w:p>
        </w:tc>
        <w:tc>
          <w:tcPr>
            <w:tcW w:w="0" w:type="dxa"/>
            <w:vAlign w:val="center"/>
          </w:tcPr>
          <w:p>
            <w:pPr>
              <w:spacing w:line="240" w:lineRule="auto"/>
              <w:jc w:val="right"/>
            </w:pPr>
            <w:r>
              <w:rPr>
                <w:rFonts w:ascii="宋体" w:hAnsi="宋体" w:eastAsia="宋体" w:cs="宋体"/>
                <w:b w:val="0"/>
              </w:rPr>
              <w:t>2,779,157.00</w:t>
            </w:r>
          </w:p>
        </w:tc>
        <w:tc>
          <w:tcPr>
            <w:tcW w:w="0" w:type="dxa"/>
            <w:vAlign w:val="center"/>
          </w:tcPr>
          <w:p>
            <w:pPr>
              <w:spacing w:line="240" w:lineRule="auto"/>
              <w:jc w:val="right"/>
            </w:pPr>
            <w:r>
              <w:rPr>
                <w:rFonts w:ascii="宋体" w:hAnsi="宋体" w:eastAsia="宋体" w:cs="宋体"/>
                <w:b w:val="0"/>
              </w:rPr>
              <w:t>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47</w:t>
            </w:r>
          </w:p>
        </w:tc>
        <w:tc>
          <w:tcPr>
            <w:tcW w:w="0" w:type="dxa"/>
            <w:vAlign w:val="center"/>
          </w:tcPr>
          <w:p>
            <w:pPr>
              <w:spacing w:line="240" w:lineRule="auto"/>
              <w:jc w:val="left"/>
            </w:pPr>
            <w:r>
              <w:rPr>
                <w:rFonts w:ascii="宋体" w:hAnsi="宋体" w:eastAsia="宋体" w:cs="宋体"/>
                <w:b w:val="0"/>
              </w:rPr>
              <w:t>002975</w:t>
            </w:r>
          </w:p>
        </w:tc>
        <w:tc>
          <w:tcPr>
            <w:tcW w:w="0" w:type="dxa"/>
            <w:vAlign w:val="center"/>
          </w:tcPr>
          <w:p>
            <w:pPr>
              <w:spacing w:line="240" w:lineRule="auto"/>
              <w:jc w:val="left"/>
            </w:pPr>
            <w:r>
              <w:rPr>
                <w:rFonts w:ascii="宋体" w:hAnsi="宋体" w:eastAsia="宋体" w:cs="宋体"/>
                <w:b w:val="0"/>
              </w:rPr>
              <w:t>博杰股份</w:t>
            </w:r>
          </w:p>
        </w:tc>
        <w:tc>
          <w:tcPr>
            <w:tcW w:w="0" w:type="dxa"/>
            <w:vAlign w:val="center"/>
          </w:tcPr>
          <w:p>
            <w:pPr>
              <w:spacing w:line="240" w:lineRule="auto"/>
              <w:jc w:val="right"/>
            </w:pPr>
            <w:r>
              <w:rPr>
                <w:rFonts w:ascii="宋体" w:hAnsi="宋体" w:eastAsia="宋体" w:cs="宋体"/>
                <w:b w:val="0"/>
              </w:rPr>
              <w:t>2,773,609.50</w:t>
            </w:r>
          </w:p>
        </w:tc>
        <w:tc>
          <w:tcPr>
            <w:tcW w:w="0" w:type="dxa"/>
            <w:vAlign w:val="center"/>
          </w:tcPr>
          <w:p>
            <w:pPr>
              <w:spacing w:line="240" w:lineRule="auto"/>
              <w:jc w:val="right"/>
            </w:pPr>
            <w:r>
              <w:rPr>
                <w:rFonts w:ascii="宋体" w:hAnsi="宋体" w:eastAsia="宋体" w:cs="宋体"/>
                <w:b w:val="0"/>
              </w:rPr>
              <w:t>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48</w:t>
            </w:r>
          </w:p>
        </w:tc>
        <w:tc>
          <w:tcPr>
            <w:tcW w:w="0" w:type="dxa"/>
            <w:vAlign w:val="center"/>
          </w:tcPr>
          <w:p>
            <w:pPr>
              <w:spacing w:line="240" w:lineRule="auto"/>
              <w:jc w:val="left"/>
            </w:pPr>
            <w:r>
              <w:rPr>
                <w:rFonts w:ascii="宋体" w:hAnsi="宋体" w:eastAsia="宋体" w:cs="宋体"/>
                <w:b w:val="0"/>
              </w:rPr>
              <w:t>603606</w:t>
            </w:r>
          </w:p>
        </w:tc>
        <w:tc>
          <w:tcPr>
            <w:tcW w:w="0" w:type="dxa"/>
            <w:vAlign w:val="center"/>
          </w:tcPr>
          <w:p>
            <w:pPr>
              <w:spacing w:line="240" w:lineRule="auto"/>
              <w:jc w:val="left"/>
            </w:pPr>
            <w:r>
              <w:rPr>
                <w:rFonts w:ascii="宋体" w:hAnsi="宋体" w:eastAsia="宋体" w:cs="宋体"/>
                <w:b w:val="0"/>
              </w:rPr>
              <w:t>东方电缆</w:t>
            </w:r>
          </w:p>
        </w:tc>
        <w:tc>
          <w:tcPr>
            <w:tcW w:w="0" w:type="dxa"/>
            <w:vAlign w:val="center"/>
          </w:tcPr>
          <w:p>
            <w:pPr>
              <w:spacing w:line="240" w:lineRule="auto"/>
              <w:jc w:val="right"/>
            </w:pPr>
            <w:r>
              <w:rPr>
                <w:rFonts w:ascii="宋体" w:hAnsi="宋体" w:eastAsia="宋体" w:cs="宋体"/>
                <w:b w:val="0"/>
              </w:rPr>
              <w:t>2,386,900.00</w:t>
            </w:r>
          </w:p>
        </w:tc>
        <w:tc>
          <w:tcPr>
            <w:tcW w:w="0" w:type="dxa"/>
            <w:vAlign w:val="center"/>
          </w:tcPr>
          <w:p>
            <w:pPr>
              <w:spacing w:line="240" w:lineRule="auto"/>
              <w:jc w:val="right"/>
            </w:pPr>
            <w:r>
              <w:rPr>
                <w:rFonts w:ascii="宋体" w:hAnsi="宋体" w:eastAsia="宋体" w:cs="宋体"/>
                <w:b w:val="0"/>
              </w:rPr>
              <w:t>8.47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49</w:t>
            </w:r>
          </w:p>
        </w:tc>
        <w:tc>
          <w:tcPr>
            <w:tcW w:w="0" w:type="dxa"/>
            <w:vAlign w:val="center"/>
          </w:tcPr>
          <w:p>
            <w:pPr>
              <w:spacing w:line="240" w:lineRule="auto"/>
              <w:jc w:val="left"/>
            </w:pPr>
            <w:r>
              <w:rPr>
                <w:rFonts w:ascii="宋体" w:hAnsi="宋体" w:eastAsia="宋体" w:cs="宋体"/>
                <w:b w:val="0"/>
              </w:rPr>
              <w:t>300438</w:t>
            </w:r>
          </w:p>
        </w:tc>
        <w:tc>
          <w:tcPr>
            <w:tcW w:w="0" w:type="dxa"/>
            <w:vAlign w:val="center"/>
          </w:tcPr>
          <w:p>
            <w:pPr>
              <w:spacing w:line="240" w:lineRule="auto"/>
              <w:jc w:val="left"/>
            </w:pPr>
            <w:r>
              <w:rPr>
                <w:rFonts w:ascii="宋体" w:hAnsi="宋体" w:eastAsia="宋体" w:cs="宋体"/>
                <w:b w:val="0"/>
              </w:rPr>
              <w:t>鹏辉能源</w:t>
            </w:r>
          </w:p>
        </w:tc>
        <w:tc>
          <w:tcPr>
            <w:tcW w:w="0" w:type="dxa"/>
            <w:vAlign w:val="center"/>
          </w:tcPr>
          <w:p>
            <w:pPr>
              <w:spacing w:line="240" w:lineRule="auto"/>
              <w:jc w:val="right"/>
            </w:pPr>
            <w:r>
              <w:rPr>
                <w:rFonts w:ascii="宋体" w:hAnsi="宋体" w:eastAsia="宋体" w:cs="宋体"/>
                <w:b w:val="0"/>
              </w:rPr>
              <w:t>2,386,628.56</w:t>
            </w:r>
          </w:p>
        </w:tc>
        <w:tc>
          <w:tcPr>
            <w:tcW w:w="0" w:type="dxa"/>
            <w:vAlign w:val="center"/>
          </w:tcPr>
          <w:p>
            <w:pPr>
              <w:spacing w:line="240" w:lineRule="auto"/>
              <w:jc w:val="right"/>
            </w:pPr>
            <w:r>
              <w:rPr>
                <w:rFonts w:ascii="宋体" w:hAnsi="宋体" w:eastAsia="宋体" w:cs="宋体"/>
                <w:b w:val="0"/>
              </w:rPr>
              <w:t>8.47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50</w:t>
            </w:r>
          </w:p>
        </w:tc>
        <w:tc>
          <w:tcPr>
            <w:tcW w:w="0" w:type="dxa"/>
            <w:vAlign w:val="center"/>
          </w:tcPr>
          <w:p>
            <w:pPr>
              <w:spacing w:line="240" w:lineRule="auto"/>
              <w:jc w:val="left"/>
            </w:pPr>
            <w:r>
              <w:rPr>
                <w:rFonts w:ascii="宋体" w:hAnsi="宋体" w:eastAsia="宋体" w:cs="宋体"/>
                <w:b w:val="0"/>
              </w:rPr>
              <w:t>002452</w:t>
            </w:r>
          </w:p>
        </w:tc>
        <w:tc>
          <w:tcPr>
            <w:tcW w:w="0" w:type="dxa"/>
            <w:vAlign w:val="center"/>
          </w:tcPr>
          <w:p>
            <w:pPr>
              <w:spacing w:line="240" w:lineRule="auto"/>
              <w:jc w:val="left"/>
            </w:pPr>
            <w:r>
              <w:rPr>
                <w:rFonts w:ascii="宋体" w:hAnsi="宋体" w:eastAsia="宋体" w:cs="宋体"/>
                <w:b w:val="0"/>
              </w:rPr>
              <w:t>长高电气</w:t>
            </w:r>
          </w:p>
        </w:tc>
        <w:tc>
          <w:tcPr>
            <w:tcW w:w="0" w:type="dxa"/>
            <w:vAlign w:val="center"/>
          </w:tcPr>
          <w:p>
            <w:pPr>
              <w:spacing w:line="240" w:lineRule="auto"/>
              <w:jc w:val="right"/>
            </w:pPr>
            <w:r>
              <w:rPr>
                <w:rFonts w:ascii="宋体" w:hAnsi="宋体" w:eastAsia="宋体" w:cs="宋体"/>
                <w:b w:val="0"/>
              </w:rPr>
              <w:t>2,213,727.00</w:t>
            </w:r>
          </w:p>
        </w:tc>
        <w:tc>
          <w:tcPr>
            <w:tcW w:w="0" w:type="dxa"/>
            <w:vAlign w:val="center"/>
          </w:tcPr>
          <w:p>
            <w:pPr>
              <w:spacing w:line="240" w:lineRule="auto"/>
              <w:jc w:val="right"/>
            </w:pPr>
            <w:r>
              <w:rPr>
                <w:rFonts w:ascii="宋体" w:hAnsi="宋体" w:eastAsia="宋体" w:cs="宋体"/>
                <w:b w:val="0"/>
              </w:rPr>
              <w:t>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51</w:t>
            </w:r>
          </w:p>
        </w:tc>
        <w:tc>
          <w:tcPr>
            <w:tcW w:w="0" w:type="dxa"/>
            <w:vAlign w:val="center"/>
          </w:tcPr>
          <w:p>
            <w:pPr>
              <w:spacing w:line="240" w:lineRule="auto"/>
              <w:jc w:val="left"/>
            </w:pPr>
            <w:r>
              <w:rPr>
                <w:rFonts w:ascii="宋体" w:hAnsi="宋体" w:eastAsia="宋体" w:cs="宋体"/>
                <w:b w:val="0"/>
              </w:rPr>
              <w:t>300408</w:t>
            </w:r>
          </w:p>
        </w:tc>
        <w:tc>
          <w:tcPr>
            <w:tcW w:w="0" w:type="dxa"/>
            <w:vAlign w:val="center"/>
          </w:tcPr>
          <w:p>
            <w:pPr>
              <w:spacing w:line="240" w:lineRule="auto"/>
              <w:jc w:val="left"/>
            </w:pPr>
            <w:r>
              <w:rPr>
                <w:rFonts w:ascii="宋体" w:hAnsi="宋体" w:eastAsia="宋体" w:cs="宋体"/>
                <w:b w:val="0"/>
              </w:rPr>
              <w:t>三环集团</w:t>
            </w:r>
          </w:p>
        </w:tc>
        <w:tc>
          <w:tcPr>
            <w:tcW w:w="0" w:type="dxa"/>
            <w:vAlign w:val="center"/>
          </w:tcPr>
          <w:p>
            <w:pPr>
              <w:spacing w:line="240" w:lineRule="auto"/>
              <w:jc w:val="right"/>
            </w:pPr>
            <w:r>
              <w:rPr>
                <w:rFonts w:ascii="宋体" w:hAnsi="宋体" w:eastAsia="宋体" w:cs="宋体"/>
                <w:b w:val="0"/>
              </w:rPr>
              <w:t>2,204,928.83</w:t>
            </w:r>
          </w:p>
        </w:tc>
        <w:tc>
          <w:tcPr>
            <w:tcW w:w="0" w:type="dxa"/>
            <w:vAlign w:val="center"/>
          </w:tcPr>
          <w:p>
            <w:pPr>
              <w:spacing w:line="240" w:lineRule="auto"/>
              <w:jc w:val="right"/>
            </w:pPr>
            <w:r>
              <w:rPr>
                <w:rFonts w:ascii="宋体" w:hAnsi="宋体" w:eastAsia="宋体" w:cs="宋体"/>
                <w:b w:val="0"/>
              </w:rPr>
              <w:t>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52</w:t>
            </w:r>
          </w:p>
        </w:tc>
        <w:tc>
          <w:tcPr>
            <w:tcW w:w="0" w:type="dxa"/>
            <w:vAlign w:val="center"/>
          </w:tcPr>
          <w:p>
            <w:pPr>
              <w:spacing w:line="240" w:lineRule="auto"/>
              <w:jc w:val="left"/>
            </w:pPr>
            <w:r>
              <w:rPr>
                <w:rFonts w:ascii="宋体" w:hAnsi="宋体" w:eastAsia="宋体" w:cs="宋体"/>
                <w:b w:val="0"/>
              </w:rPr>
              <w:t>605060</w:t>
            </w:r>
          </w:p>
        </w:tc>
        <w:tc>
          <w:tcPr>
            <w:tcW w:w="0" w:type="dxa"/>
            <w:vAlign w:val="center"/>
          </w:tcPr>
          <w:p>
            <w:pPr>
              <w:spacing w:line="240" w:lineRule="auto"/>
              <w:jc w:val="left"/>
            </w:pPr>
            <w:r>
              <w:rPr>
                <w:rFonts w:ascii="宋体" w:hAnsi="宋体" w:eastAsia="宋体" w:cs="宋体"/>
                <w:b w:val="0"/>
              </w:rPr>
              <w:t>联德股份</w:t>
            </w:r>
          </w:p>
        </w:tc>
        <w:tc>
          <w:tcPr>
            <w:tcW w:w="0" w:type="dxa"/>
            <w:vAlign w:val="center"/>
          </w:tcPr>
          <w:p>
            <w:pPr>
              <w:spacing w:line="240" w:lineRule="auto"/>
              <w:jc w:val="right"/>
            </w:pPr>
            <w:r>
              <w:rPr>
                <w:rFonts w:ascii="宋体" w:hAnsi="宋体" w:eastAsia="宋体" w:cs="宋体"/>
                <w:b w:val="0"/>
              </w:rPr>
              <w:t>2,169,591.00</w:t>
            </w:r>
          </w:p>
        </w:tc>
        <w:tc>
          <w:tcPr>
            <w:tcW w:w="0" w:type="dxa"/>
            <w:vAlign w:val="center"/>
          </w:tcPr>
          <w:p>
            <w:pPr>
              <w:spacing w:line="240" w:lineRule="auto"/>
              <w:jc w:val="right"/>
            </w:pPr>
            <w:r>
              <w:rPr>
                <w:rFonts w:ascii="宋体" w:hAnsi="宋体" w:eastAsia="宋体" w:cs="宋体"/>
                <w:b w:val="0"/>
              </w:rPr>
              <w:t>7.70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53</w:t>
            </w:r>
          </w:p>
        </w:tc>
        <w:tc>
          <w:tcPr>
            <w:tcW w:w="0" w:type="dxa"/>
            <w:vAlign w:val="center"/>
          </w:tcPr>
          <w:p>
            <w:pPr>
              <w:spacing w:line="240" w:lineRule="auto"/>
              <w:jc w:val="left"/>
            </w:pPr>
            <w:r>
              <w:rPr>
                <w:rFonts w:ascii="宋体" w:hAnsi="宋体" w:eastAsia="宋体" w:cs="宋体"/>
                <w:b w:val="0"/>
              </w:rPr>
              <w:t>301291</w:t>
            </w:r>
          </w:p>
        </w:tc>
        <w:tc>
          <w:tcPr>
            <w:tcW w:w="0" w:type="dxa"/>
            <w:vAlign w:val="center"/>
          </w:tcPr>
          <w:p>
            <w:pPr>
              <w:spacing w:line="240" w:lineRule="auto"/>
              <w:jc w:val="left"/>
            </w:pPr>
            <w:r>
              <w:rPr>
                <w:rFonts w:ascii="宋体" w:hAnsi="宋体" w:eastAsia="宋体" w:cs="宋体"/>
                <w:b w:val="0"/>
              </w:rPr>
              <w:t>明阳电气</w:t>
            </w:r>
          </w:p>
        </w:tc>
        <w:tc>
          <w:tcPr>
            <w:tcW w:w="0" w:type="dxa"/>
            <w:vAlign w:val="center"/>
          </w:tcPr>
          <w:p>
            <w:pPr>
              <w:spacing w:line="240" w:lineRule="auto"/>
              <w:jc w:val="right"/>
            </w:pPr>
            <w:r>
              <w:rPr>
                <w:rFonts w:ascii="宋体" w:hAnsi="宋体" w:eastAsia="宋体" w:cs="宋体"/>
                <w:b w:val="0"/>
              </w:rPr>
              <w:t>2,081,907.00</w:t>
            </w:r>
          </w:p>
        </w:tc>
        <w:tc>
          <w:tcPr>
            <w:tcW w:w="0" w:type="dxa"/>
            <w:vAlign w:val="center"/>
          </w:tcPr>
          <w:p>
            <w:pPr>
              <w:spacing w:line="240" w:lineRule="auto"/>
              <w:jc w:val="right"/>
            </w:pPr>
            <w:r>
              <w:rPr>
                <w:rFonts w:ascii="宋体" w:hAnsi="宋体" w:eastAsia="宋体" w:cs="宋体"/>
                <w:b w:val="0"/>
              </w:rPr>
              <w:t>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54</w:t>
            </w:r>
          </w:p>
        </w:tc>
        <w:tc>
          <w:tcPr>
            <w:tcW w:w="0" w:type="dxa"/>
            <w:vAlign w:val="center"/>
          </w:tcPr>
          <w:p>
            <w:pPr>
              <w:spacing w:line="240" w:lineRule="auto"/>
              <w:jc w:val="left"/>
            </w:pPr>
            <w:r>
              <w:rPr>
                <w:rFonts w:ascii="宋体" w:hAnsi="宋体" w:eastAsia="宋体" w:cs="宋体"/>
                <w:b w:val="0"/>
              </w:rPr>
              <w:t>601877</w:t>
            </w:r>
          </w:p>
        </w:tc>
        <w:tc>
          <w:tcPr>
            <w:tcW w:w="0" w:type="dxa"/>
            <w:vAlign w:val="center"/>
          </w:tcPr>
          <w:p>
            <w:pPr>
              <w:spacing w:line="240" w:lineRule="auto"/>
              <w:jc w:val="left"/>
            </w:pPr>
            <w:r>
              <w:rPr>
                <w:rFonts w:ascii="宋体" w:hAnsi="宋体" w:eastAsia="宋体" w:cs="宋体"/>
                <w:b w:val="0"/>
              </w:rPr>
              <w:t>正泰电器</w:t>
            </w:r>
          </w:p>
        </w:tc>
        <w:tc>
          <w:tcPr>
            <w:tcW w:w="0" w:type="dxa"/>
            <w:vAlign w:val="center"/>
          </w:tcPr>
          <w:p>
            <w:pPr>
              <w:spacing w:line="240" w:lineRule="auto"/>
              <w:jc w:val="right"/>
            </w:pPr>
            <w:r>
              <w:rPr>
                <w:rFonts w:ascii="宋体" w:hAnsi="宋体" w:eastAsia="宋体" w:cs="宋体"/>
                <w:b w:val="0"/>
              </w:rPr>
              <w:t>2,052,006.00</w:t>
            </w:r>
          </w:p>
        </w:tc>
        <w:tc>
          <w:tcPr>
            <w:tcW w:w="0" w:type="dxa"/>
            <w:vAlign w:val="center"/>
          </w:tcPr>
          <w:p>
            <w:pPr>
              <w:spacing w:line="240" w:lineRule="auto"/>
              <w:jc w:val="right"/>
            </w:pPr>
            <w:r>
              <w:rPr>
                <w:rFonts w:ascii="宋体" w:hAnsi="宋体" w:eastAsia="宋体" w:cs="宋体"/>
                <w:b w:val="0"/>
              </w:rPr>
              <w:t>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55</w:t>
            </w:r>
          </w:p>
        </w:tc>
        <w:tc>
          <w:tcPr>
            <w:tcW w:w="0" w:type="dxa"/>
            <w:vAlign w:val="center"/>
          </w:tcPr>
          <w:p>
            <w:pPr>
              <w:spacing w:line="240" w:lineRule="auto"/>
              <w:jc w:val="left"/>
            </w:pPr>
            <w:r>
              <w:rPr>
                <w:rFonts w:ascii="宋体" w:hAnsi="宋体" w:eastAsia="宋体" w:cs="宋体"/>
                <w:b w:val="0"/>
              </w:rPr>
              <w:t>603618</w:t>
            </w:r>
          </w:p>
        </w:tc>
        <w:tc>
          <w:tcPr>
            <w:tcW w:w="0" w:type="dxa"/>
            <w:vAlign w:val="center"/>
          </w:tcPr>
          <w:p>
            <w:pPr>
              <w:spacing w:line="240" w:lineRule="auto"/>
              <w:jc w:val="left"/>
            </w:pPr>
            <w:r>
              <w:rPr>
                <w:rFonts w:ascii="宋体" w:hAnsi="宋体" w:eastAsia="宋体" w:cs="宋体"/>
                <w:b w:val="0"/>
              </w:rPr>
              <w:t>杭电股份</w:t>
            </w:r>
          </w:p>
        </w:tc>
        <w:tc>
          <w:tcPr>
            <w:tcW w:w="0" w:type="dxa"/>
            <w:vAlign w:val="center"/>
          </w:tcPr>
          <w:p>
            <w:pPr>
              <w:spacing w:line="240" w:lineRule="auto"/>
              <w:jc w:val="right"/>
            </w:pPr>
            <w:r>
              <w:rPr>
                <w:rFonts w:ascii="宋体" w:hAnsi="宋体" w:eastAsia="宋体" w:cs="宋体"/>
                <w:b w:val="0"/>
              </w:rPr>
              <w:t>1,971,367.00</w:t>
            </w:r>
          </w:p>
        </w:tc>
        <w:tc>
          <w:tcPr>
            <w:tcW w:w="0" w:type="dxa"/>
            <w:vAlign w:val="center"/>
          </w:tcPr>
          <w:p>
            <w:pPr>
              <w:spacing w:line="240" w:lineRule="auto"/>
              <w:jc w:val="right"/>
            </w:pPr>
            <w:r>
              <w:rPr>
                <w:rFonts w:ascii="宋体" w:hAnsi="宋体" w:eastAsia="宋体" w:cs="宋体"/>
                <w:b w:val="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56</w:t>
            </w:r>
          </w:p>
        </w:tc>
        <w:tc>
          <w:tcPr>
            <w:tcW w:w="0" w:type="dxa"/>
            <w:vAlign w:val="center"/>
          </w:tcPr>
          <w:p>
            <w:pPr>
              <w:spacing w:line="240" w:lineRule="auto"/>
              <w:jc w:val="left"/>
            </w:pPr>
            <w:r>
              <w:rPr>
                <w:rFonts w:ascii="宋体" w:hAnsi="宋体" w:eastAsia="宋体" w:cs="宋体"/>
                <w:b w:val="0"/>
              </w:rPr>
              <w:t>300814</w:t>
            </w:r>
          </w:p>
        </w:tc>
        <w:tc>
          <w:tcPr>
            <w:tcW w:w="0" w:type="dxa"/>
            <w:vAlign w:val="center"/>
          </w:tcPr>
          <w:p>
            <w:pPr>
              <w:spacing w:line="240" w:lineRule="auto"/>
              <w:jc w:val="left"/>
            </w:pPr>
            <w:r>
              <w:rPr>
                <w:rFonts w:ascii="宋体" w:hAnsi="宋体" w:eastAsia="宋体" w:cs="宋体"/>
                <w:b w:val="0"/>
              </w:rPr>
              <w:t>中富电路</w:t>
            </w:r>
          </w:p>
        </w:tc>
        <w:tc>
          <w:tcPr>
            <w:tcW w:w="0" w:type="dxa"/>
            <w:vAlign w:val="center"/>
          </w:tcPr>
          <w:p>
            <w:pPr>
              <w:spacing w:line="240" w:lineRule="auto"/>
              <w:jc w:val="right"/>
            </w:pPr>
            <w:r>
              <w:rPr>
                <w:rFonts w:ascii="宋体" w:hAnsi="宋体" w:eastAsia="宋体" w:cs="宋体"/>
                <w:b w:val="0"/>
              </w:rPr>
              <w:t>1,939,779.00</w:t>
            </w:r>
          </w:p>
        </w:tc>
        <w:tc>
          <w:tcPr>
            <w:tcW w:w="0" w:type="dxa"/>
            <w:vAlign w:val="center"/>
          </w:tcPr>
          <w:p>
            <w:pPr>
              <w:spacing w:line="240" w:lineRule="auto"/>
              <w:jc w:val="right"/>
            </w:pPr>
            <w:r>
              <w:rPr>
                <w:rFonts w:ascii="宋体" w:hAnsi="宋体" w:eastAsia="宋体" w:cs="宋体"/>
                <w:b w:val="0"/>
              </w:rPr>
              <w:t>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57</w:t>
            </w:r>
          </w:p>
        </w:tc>
        <w:tc>
          <w:tcPr>
            <w:tcW w:w="0" w:type="dxa"/>
            <w:vAlign w:val="center"/>
          </w:tcPr>
          <w:p>
            <w:pPr>
              <w:spacing w:line="240" w:lineRule="auto"/>
              <w:jc w:val="left"/>
            </w:pPr>
            <w:r>
              <w:rPr>
                <w:rFonts w:ascii="宋体" w:hAnsi="宋体" w:eastAsia="宋体" w:cs="宋体"/>
                <w:b w:val="0"/>
              </w:rPr>
              <w:t>600089</w:t>
            </w:r>
          </w:p>
        </w:tc>
        <w:tc>
          <w:tcPr>
            <w:tcW w:w="0" w:type="dxa"/>
            <w:vAlign w:val="center"/>
          </w:tcPr>
          <w:p>
            <w:pPr>
              <w:spacing w:line="240" w:lineRule="auto"/>
              <w:jc w:val="left"/>
            </w:pPr>
            <w:r>
              <w:rPr>
                <w:rFonts w:ascii="宋体" w:hAnsi="宋体" w:eastAsia="宋体" w:cs="宋体"/>
                <w:b w:val="0"/>
              </w:rPr>
              <w:t>特变电工</w:t>
            </w:r>
          </w:p>
        </w:tc>
        <w:tc>
          <w:tcPr>
            <w:tcW w:w="0" w:type="dxa"/>
            <w:vAlign w:val="center"/>
          </w:tcPr>
          <w:p>
            <w:pPr>
              <w:spacing w:line="240" w:lineRule="auto"/>
              <w:jc w:val="right"/>
            </w:pPr>
            <w:r>
              <w:rPr>
                <w:rFonts w:ascii="宋体" w:hAnsi="宋体" w:eastAsia="宋体" w:cs="宋体"/>
                <w:b w:val="0"/>
              </w:rPr>
              <w:t>1,666,426.00</w:t>
            </w:r>
          </w:p>
        </w:tc>
        <w:tc>
          <w:tcPr>
            <w:tcW w:w="0" w:type="dxa"/>
            <w:vAlign w:val="center"/>
          </w:tcPr>
          <w:p>
            <w:pPr>
              <w:spacing w:line="240" w:lineRule="auto"/>
              <w:jc w:val="right"/>
            </w:pPr>
            <w:r>
              <w:rPr>
                <w:rFonts w:ascii="宋体" w:hAnsi="宋体" w:eastAsia="宋体" w:cs="宋体"/>
                <w:b w:val="0"/>
              </w:rPr>
              <w:t>5.92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58</w:t>
            </w:r>
          </w:p>
        </w:tc>
        <w:tc>
          <w:tcPr>
            <w:tcW w:w="0" w:type="dxa"/>
            <w:vAlign w:val="center"/>
          </w:tcPr>
          <w:p>
            <w:pPr>
              <w:spacing w:line="240" w:lineRule="auto"/>
              <w:jc w:val="left"/>
            </w:pPr>
            <w:r>
              <w:rPr>
                <w:rFonts w:ascii="宋体" w:hAnsi="宋体" w:eastAsia="宋体" w:cs="宋体"/>
                <w:b w:val="0"/>
              </w:rPr>
              <w:t>688478</w:t>
            </w:r>
          </w:p>
        </w:tc>
        <w:tc>
          <w:tcPr>
            <w:tcW w:w="0" w:type="dxa"/>
            <w:vAlign w:val="center"/>
          </w:tcPr>
          <w:p>
            <w:pPr>
              <w:spacing w:line="240" w:lineRule="auto"/>
              <w:jc w:val="left"/>
            </w:pPr>
            <w:r>
              <w:rPr>
                <w:rFonts w:ascii="宋体" w:hAnsi="宋体" w:eastAsia="宋体" w:cs="宋体"/>
                <w:b w:val="0"/>
              </w:rPr>
              <w:t>晶升股份</w:t>
            </w:r>
          </w:p>
        </w:tc>
        <w:tc>
          <w:tcPr>
            <w:tcW w:w="0" w:type="dxa"/>
            <w:vAlign w:val="center"/>
          </w:tcPr>
          <w:p>
            <w:pPr>
              <w:spacing w:line="240" w:lineRule="auto"/>
              <w:jc w:val="right"/>
            </w:pPr>
            <w:r>
              <w:rPr>
                <w:rFonts w:ascii="宋体" w:hAnsi="宋体" w:eastAsia="宋体" w:cs="宋体"/>
                <w:b w:val="0"/>
              </w:rPr>
              <w:t>1,071,133.61</w:t>
            </w:r>
          </w:p>
        </w:tc>
        <w:tc>
          <w:tcPr>
            <w:tcW w:w="0" w:type="dxa"/>
            <w:vAlign w:val="center"/>
          </w:tcPr>
          <w:p>
            <w:pPr>
              <w:spacing w:line="240" w:lineRule="auto"/>
              <w:jc w:val="right"/>
            </w:pPr>
            <w:r>
              <w:rPr>
                <w:rFonts w:ascii="宋体" w:hAnsi="宋体" w:eastAsia="宋体" w:cs="宋体"/>
                <w:b w:val="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59</w:t>
            </w:r>
          </w:p>
        </w:tc>
        <w:tc>
          <w:tcPr>
            <w:tcW w:w="0" w:type="dxa"/>
            <w:vAlign w:val="center"/>
          </w:tcPr>
          <w:p>
            <w:pPr>
              <w:spacing w:line="240" w:lineRule="auto"/>
              <w:jc w:val="left"/>
            </w:pPr>
            <w:r>
              <w:rPr>
                <w:rFonts w:ascii="宋体" w:hAnsi="宋体" w:eastAsia="宋体" w:cs="宋体"/>
                <w:b w:val="0"/>
              </w:rPr>
              <w:t>300001</w:t>
            </w:r>
          </w:p>
        </w:tc>
        <w:tc>
          <w:tcPr>
            <w:tcW w:w="0" w:type="dxa"/>
            <w:vAlign w:val="center"/>
          </w:tcPr>
          <w:p>
            <w:pPr>
              <w:spacing w:line="240" w:lineRule="auto"/>
              <w:jc w:val="left"/>
            </w:pPr>
            <w:r>
              <w:rPr>
                <w:rFonts w:ascii="宋体" w:hAnsi="宋体" w:eastAsia="宋体" w:cs="宋体"/>
                <w:b w:val="0"/>
              </w:rPr>
              <w:t>特锐德</w:t>
            </w:r>
          </w:p>
        </w:tc>
        <w:tc>
          <w:tcPr>
            <w:tcW w:w="0" w:type="dxa"/>
            <w:vAlign w:val="center"/>
          </w:tcPr>
          <w:p>
            <w:pPr>
              <w:spacing w:line="240" w:lineRule="auto"/>
              <w:jc w:val="right"/>
            </w:pPr>
            <w:r>
              <w:rPr>
                <w:rFonts w:ascii="宋体" w:hAnsi="宋体" w:eastAsia="宋体" w:cs="宋体"/>
                <w:b w:val="0"/>
              </w:rPr>
              <w:t>881,725.00</w:t>
            </w:r>
          </w:p>
        </w:tc>
        <w:tc>
          <w:tcPr>
            <w:tcW w:w="0" w:type="dxa"/>
            <w:vAlign w:val="center"/>
          </w:tcPr>
          <w:p>
            <w:pPr>
              <w:spacing w:line="240" w:lineRule="auto"/>
              <w:jc w:val="right"/>
            </w:pPr>
            <w:r>
              <w:rPr>
                <w:rFonts w:ascii="宋体" w:hAnsi="宋体" w:eastAsia="宋体" w:cs="宋体"/>
                <w:b w:val="0"/>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60</w:t>
            </w:r>
          </w:p>
        </w:tc>
        <w:tc>
          <w:tcPr>
            <w:tcW w:w="0" w:type="dxa"/>
            <w:vAlign w:val="center"/>
          </w:tcPr>
          <w:p>
            <w:pPr>
              <w:spacing w:line="240" w:lineRule="auto"/>
              <w:jc w:val="left"/>
            </w:pPr>
            <w:r>
              <w:rPr>
                <w:rFonts w:ascii="宋体" w:hAnsi="宋体" w:eastAsia="宋体" w:cs="宋体"/>
                <w:b w:val="0"/>
              </w:rPr>
              <w:t>300153</w:t>
            </w:r>
          </w:p>
        </w:tc>
        <w:tc>
          <w:tcPr>
            <w:tcW w:w="0" w:type="dxa"/>
            <w:vAlign w:val="center"/>
          </w:tcPr>
          <w:p>
            <w:pPr>
              <w:spacing w:line="240" w:lineRule="auto"/>
              <w:jc w:val="left"/>
            </w:pPr>
            <w:r>
              <w:rPr>
                <w:rFonts w:ascii="宋体" w:hAnsi="宋体" w:eastAsia="宋体" w:cs="宋体"/>
                <w:b w:val="0"/>
              </w:rPr>
              <w:t>科泰电源</w:t>
            </w:r>
          </w:p>
        </w:tc>
        <w:tc>
          <w:tcPr>
            <w:tcW w:w="0" w:type="dxa"/>
            <w:vAlign w:val="center"/>
          </w:tcPr>
          <w:p>
            <w:pPr>
              <w:spacing w:line="240" w:lineRule="auto"/>
              <w:jc w:val="right"/>
            </w:pPr>
            <w:r>
              <w:rPr>
                <w:rFonts w:ascii="宋体" w:hAnsi="宋体" w:eastAsia="宋体" w:cs="宋体"/>
                <w:b w:val="0"/>
              </w:rPr>
              <w:t>848,592.00</w:t>
            </w:r>
          </w:p>
        </w:tc>
        <w:tc>
          <w:tcPr>
            <w:tcW w:w="0" w:type="dxa"/>
            <w:vAlign w:val="center"/>
          </w:tcPr>
          <w:p>
            <w:pPr>
              <w:spacing w:line="240" w:lineRule="auto"/>
              <w:jc w:val="right"/>
            </w:pPr>
            <w:r>
              <w:rPr>
                <w:rFonts w:ascii="宋体" w:hAnsi="宋体" w:eastAsia="宋体" w:cs="宋体"/>
                <w:b w:val="0"/>
              </w:rPr>
              <w:t>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61</w:t>
            </w:r>
          </w:p>
        </w:tc>
        <w:tc>
          <w:tcPr>
            <w:tcW w:w="0" w:type="dxa"/>
            <w:vAlign w:val="center"/>
          </w:tcPr>
          <w:p>
            <w:pPr>
              <w:spacing w:line="240" w:lineRule="auto"/>
              <w:jc w:val="left"/>
            </w:pPr>
            <w:r>
              <w:rPr>
                <w:rFonts w:ascii="宋体" w:hAnsi="宋体" w:eastAsia="宋体" w:cs="宋体"/>
                <w:b w:val="0"/>
              </w:rPr>
              <w:t>000880</w:t>
            </w:r>
          </w:p>
        </w:tc>
        <w:tc>
          <w:tcPr>
            <w:tcW w:w="0" w:type="dxa"/>
            <w:vAlign w:val="center"/>
          </w:tcPr>
          <w:p>
            <w:pPr>
              <w:spacing w:line="240" w:lineRule="auto"/>
              <w:jc w:val="left"/>
            </w:pPr>
            <w:r>
              <w:rPr>
                <w:rFonts w:ascii="宋体" w:hAnsi="宋体" w:eastAsia="宋体" w:cs="宋体"/>
                <w:b w:val="0"/>
              </w:rPr>
              <w:t>潍柴重机</w:t>
            </w:r>
          </w:p>
        </w:tc>
        <w:tc>
          <w:tcPr>
            <w:tcW w:w="0" w:type="dxa"/>
            <w:vAlign w:val="center"/>
          </w:tcPr>
          <w:p>
            <w:pPr>
              <w:spacing w:line="240" w:lineRule="auto"/>
              <w:jc w:val="right"/>
            </w:pPr>
            <w:r>
              <w:rPr>
                <w:rFonts w:ascii="宋体" w:hAnsi="宋体" w:eastAsia="宋体" w:cs="宋体"/>
                <w:b w:val="0"/>
              </w:rPr>
              <w:t>684,790.00</w:t>
            </w:r>
          </w:p>
        </w:tc>
        <w:tc>
          <w:tcPr>
            <w:tcW w:w="0" w:type="dxa"/>
            <w:vAlign w:val="center"/>
          </w:tcPr>
          <w:p>
            <w:pPr>
              <w:spacing w:line="240" w:lineRule="auto"/>
              <w:jc w:val="right"/>
            </w:pPr>
            <w:r>
              <w:rPr>
                <w:rFonts w:ascii="宋体" w:hAnsi="宋体" w:eastAsia="宋体" w:cs="宋体"/>
                <w:b w:val="0"/>
              </w:rPr>
              <w:t>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62</w:t>
            </w:r>
          </w:p>
        </w:tc>
        <w:tc>
          <w:tcPr>
            <w:tcW w:w="0" w:type="dxa"/>
            <w:vAlign w:val="center"/>
          </w:tcPr>
          <w:p>
            <w:pPr>
              <w:spacing w:line="240" w:lineRule="auto"/>
              <w:jc w:val="left"/>
            </w:pPr>
            <w:r>
              <w:rPr>
                <w:rFonts w:ascii="宋体" w:hAnsi="宋体" w:eastAsia="宋体" w:cs="宋体"/>
                <w:b w:val="0"/>
              </w:rPr>
              <w:t>000400</w:t>
            </w:r>
          </w:p>
        </w:tc>
        <w:tc>
          <w:tcPr>
            <w:tcW w:w="0" w:type="dxa"/>
            <w:vAlign w:val="center"/>
          </w:tcPr>
          <w:p>
            <w:pPr>
              <w:spacing w:line="240" w:lineRule="auto"/>
              <w:jc w:val="left"/>
            </w:pPr>
            <w:r>
              <w:rPr>
                <w:rFonts w:ascii="宋体" w:hAnsi="宋体" w:eastAsia="宋体" w:cs="宋体"/>
                <w:b w:val="0"/>
              </w:rPr>
              <w:t>许继电气</w:t>
            </w:r>
          </w:p>
        </w:tc>
        <w:tc>
          <w:tcPr>
            <w:tcW w:w="0" w:type="dxa"/>
            <w:vAlign w:val="center"/>
          </w:tcPr>
          <w:p>
            <w:pPr>
              <w:spacing w:line="240" w:lineRule="auto"/>
              <w:jc w:val="right"/>
            </w:pPr>
            <w:r>
              <w:rPr>
                <w:rFonts w:ascii="宋体" w:hAnsi="宋体" w:eastAsia="宋体" w:cs="宋体"/>
                <w:b w:val="0"/>
              </w:rPr>
              <w:t>608,052.00</w:t>
            </w:r>
          </w:p>
        </w:tc>
        <w:tc>
          <w:tcPr>
            <w:tcW w:w="0" w:type="dxa"/>
            <w:vAlign w:val="center"/>
          </w:tcPr>
          <w:p>
            <w:pPr>
              <w:spacing w:line="240" w:lineRule="auto"/>
              <w:jc w:val="right"/>
            </w:pPr>
            <w:r>
              <w:rPr>
                <w:rFonts w:ascii="宋体" w:hAnsi="宋体" w:eastAsia="宋体" w:cs="宋体"/>
                <w:b w:val="0"/>
              </w:rPr>
              <w:t>2.16</w:t>
            </w:r>
          </w:p>
        </w:tc>
      </w:tr>
    </w:tbl>
    <w:p>
      <w:r>
        <w:rPr>
          <w:rFonts w:ascii="宋体" w:hAnsi="宋体" w:eastAsia="宋体" w:cs="宋体"/>
          <w:b w:val="0"/>
        </w:rPr>
        <w:t>注："卖出"包括二级市场上主动的卖出、换股、要约收购、发行人回购及行权等减少的股票。"卖出金额"均按卖出成交金额（成交单价乘以成交数量）填列，不考虑相关交易费用。</w:t>
      </w:r>
    </w:p>
    <w:p/>
    <w:p>
      <w:pPr>
        <w:pStyle w:val="58"/>
      </w:pPr>
      <w:r>
        <w:rPr>
          <w:rFonts w:ascii="宋体" w:hAnsi="宋体" w:eastAsia="宋体" w:cs="宋体"/>
          <w:b/>
        </w:rPr>
        <w:t>7.4.3 买入股票的成本总额及卖出股票的收入总额</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left"/>
            </w:pPr>
            <w:r>
              <w:rPr>
                <w:rFonts w:ascii="宋体" w:hAnsi="宋体" w:eastAsia="宋体" w:cs="宋体"/>
                <w:b w:val="0"/>
              </w:rPr>
              <w:t>买入股票成本（成交）总额</w:t>
            </w:r>
          </w:p>
        </w:tc>
        <w:tc>
          <w:tcPr>
            <w:tcW w:w="2308" w:type="pct"/>
            <w:vAlign w:val="center"/>
          </w:tcPr>
          <w:p>
            <w:pPr>
              <w:spacing w:line="240" w:lineRule="auto"/>
              <w:jc w:val="right"/>
            </w:pPr>
            <w:r>
              <w:rPr>
                <w:rFonts w:ascii="宋体" w:hAnsi="宋体" w:eastAsia="宋体" w:cs="宋体"/>
                <w:b w:val="0"/>
              </w:rPr>
              <w:t>1,441,243,589.88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卖出股票收入（成交）总额</w:t>
            </w:r>
          </w:p>
        </w:tc>
        <w:tc>
          <w:tcPr>
            <w:tcW w:w="0" w:type="dxa"/>
            <w:vAlign w:val="center"/>
          </w:tcPr>
          <w:p>
            <w:pPr>
              <w:spacing w:line="240" w:lineRule="auto"/>
              <w:jc w:val="right"/>
            </w:pPr>
            <w:r>
              <w:rPr>
                <w:rFonts w:ascii="宋体" w:hAnsi="宋体" w:eastAsia="宋体" w:cs="宋体"/>
                <w:b w:val="0"/>
              </w:rPr>
              <w:t>415,066,021.95</w:t>
            </w:r>
          </w:p>
        </w:tc>
      </w:tr>
    </w:tbl>
    <w:p>
      <w:r>
        <w:rPr>
          <w:rFonts w:ascii="宋体" w:hAnsi="宋体" w:eastAsia="宋体" w:cs="宋体"/>
          <w:b w:val="0"/>
        </w:rPr>
        <w:t>注：本项 "买入股票成本"、 "卖出股票收入"均按买卖成交金额（成交单价乘以成交数量）填列，不考虑相关交易费用。</w:t>
      </w:r>
    </w:p>
    <w:p/>
    <w:p>
      <w:pPr>
        <w:pStyle w:val="3"/>
        <w:jc w:val="left"/>
      </w:pPr>
      <w:bookmarkStart w:id="37" w:name="_Toc7740"/>
      <w:r>
        <w:rPr>
          <w:rFonts w:ascii="宋体" w:hAnsi="宋体" w:eastAsia="宋体" w:cs="宋体"/>
        </w:rPr>
        <w:t>7.5 期末按债券品种分类的债券投资组合</w:t>
      </w:r>
      <w:bookmarkEnd w:id="37"/>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2786"/>
        <w:gridCol w:w="1857"/>
        <w:gridCol w:w="2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pPr>
              <w:spacing w:line="240" w:lineRule="auto"/>
              <w:jc w:val="center"/>
            </w:pPr>
            <w:r>
              <w:rPr>
                <w:rFonts w:ascii="宋体" w:hAnsi="宋体" w:eastAsia="宋体" w:cs="宋体"/>
                <w:b w:val="0"/>
              </w:rPr>
              <w:t>序号</w:t>
            </w:r>
          </w:p>
        </w:tc>
        <w:tc>
          <w:tcPr>
            <w:tcW w:w="1154"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154"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53,222,637.54</w:t>
            </w:r>
          </w:p>
        </w:tc>
        <w:tc>
          <w:tcPr>
            <w:tcW w:w="0" w:type="dxa"/>
            <w:vAlign w:val="center"/>
          </w:tcPr>
          <w:p>
            <w:pPr>
              <w:spacing w:line="240" w:lineRule="auto"/>
              <w:jc w:val="right"/>
            </w:pPr>
            <w:r>
              <w:rPr>
                <w:rFonts w:ascii="宋体" w:hAnsi="宋体" w:eastAsia="宋体" w:cs="宋体"/>
                <w:b w:val="0"/>
              </w:rPr>
              <w:t>3.96</w:t>
            </w:r>
          </w:p>
        </w:tc>
      </w:tr>
    </w:tbl>
    <w:p/>
    <w:p>
      <w:pPr>
        <w:pStyle w:val="3"/>
        <w:jc w:val="left"/>
      </w:pPr>
      <w:bookmarkStart w:id="38" w:name="_Toc17872"/>
      <w:r>
        <w:rPr>
          <w:rFonts w:ascii="宋体" w:hAnsi="宋体" w:eastAsia="宋体" w:cs="宋体"/>
        </w:rPr>
        <w:t>7.6 期末按公允价值占基金资产净值比例大小排序的前五名债券投资明细</w:t>
      </w:r>
      <w:bookmarkEnd w:id="38"/>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541"/>
        <w:gridCol w:w="1541"/>
        <w:gridCol w:w="1231"/>
        <w:gridCol w:w="1581"/>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280,000</w:t>
            </w:r>
          </w:p>
        </w:tc>
        <w:tc>
          <w:tcPr>
            <w:tcW w:w="0" w:type="dxa"/>
            <w:vAlign w:val="center"/>
          </w:tcPr>
          <w:p>
            <w:pPr>
              <w:spacing w:line="240" w:lineRule="auto"/>
              <w:jc w:val="right"/>
            </w:pPr>
            <w:r>
              <w:rPr>
                <w:rFonts w:ascii="宋体" w:hAnsi="宋体" w:eastAsia="宋体" w:cs="宋体"/>
                <w:b w:val="0"/>
              </w:rPr>
              <w:t>28,181,493.70</w:t>
            </w:r>
          </w:p>
        </w:tc>
        <w:tc>
          <w:tcPr>
            <w:tcW w:w="0" w:type="dxa"/>
            <w:vAlign w:val="center"/>
          </w:tcPr>
          <w:p>
            <w:pPr>
              <w:spacing w:line="240" w:lineRule="auto"/>
              <w:jc w:val="right"/>
            </w:pPr>
            <w:r>
              <w:rPr>
                <w:rFonts w:ascii="宋体" w:hAnsi="宋体" w:eastAsia="宋体" w:cs="宋体"/>
                <w:b w:val="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019835</w:t>
            </w:r>
          </w:p>
        </w:tc>
        <w:tc>
          <w:tcPr>
            <w:tcW w:w="0" w:type="dxa"/>
            <w:vAlign w:val="center"/>
          </w:tcPr>
          <w:p>
            <w:pPr>
              <w:spacing w:line="240" w:lineRule="auto"/>
              <w:jc w:val="left"/>
            </w:pPr>
            <w:r>
              <w:rPr>
                <w:rFonts w:ascii="宋体" w:hAnsi="宋体" w:eastAsia="宋体" w:cs="宋体"/>
                <w:b w:val="0"/>
              </w:rPr>
              <w:t>26国债09</w:t>
            </w:r>
          </w:p>
        </w:tc>
        <w:tc>
          <w:tcPr>
            <w:tcW w:w="0" w:type="dxa"/>
            <w:vAlign w:val="center"/>
          </w:tcPr>
          <w:p>
            <w:pPr>
              <w:spacing w:line="240" w:lineRule="auto"/>
              <w:jc w:val="right"/>
            </w:pPr>
            <w:r>
              <w:rPr>
                <w:rFonts w:ascii="宋体" w:hAnsi="宋体" w:eastAsia="宋体" w:cs="宋体"/>
                <w:b w:val="0"/>
              </w:rPr>
              <w:t>250,000</w:t>
            </w:r>
          </w:p>
        </w:tc>
        <w:tc>
          <w:tcPr>
            <w:tcW w:w="0" w:type="dxa"/>
            <w:vAlign w:val="center"/>
          </w:tcPr>
          <w:p>
            <w:pPr>
              <w:spacing w:line="240" w:lineRule="auto"/>
              <w:jc w:val="right"/>
            </w:pPr>
            <w:r>
              <w:rPr>
                <w:rFonts w:ascii="宋体" w:hAnsi="宋体" w:eastAsia="宋体" w:cs="宋体"/>
                <w:b w:val="0"/>
              </w:rPr>
              <w:t>25,041,143.84</w:t>
            </w:r>
          </w:p>
        </w:tc>
        <w:tc>
          <w:tcPr>
            <w:tcW w:w="0" w:type="dxa"/>
            <w:vAlign w:val="center"/>
          </w:tcPr>
          <w:p>
            <w:pPr>
              <w:spacing w:line="240" w:lineRule="auto"/>
              <w:jc w:val="right"/>
            </w:pPr>
            <w:r>
              <w:rPr>
                <w:rFonts w:ascii="宋体" w:hAnsi="宋体" w:eastAsia="宋体" w:cs="宋体"/>
                <w:b w:val="0"/>
              </w:rPr>
              <w:t>1.86</w:t>
            </w:r>
          </w:p>
        </w:tc>
      </w:tr>
    </w:tbl>
    <w:p>
      <w:r>
        <w:rPr>
          <w:rFonts w:ascii="宋体" w:hAnsi="宋体" w:eastAsia="宋体" w:cs="宋体"/>
          <w:b w:val="0"/>
        </w:rPr>
        <w:t>注：截止至报告期末，本基金仅持有上述债券。</w:t>
      </w:r>
    </w:p>
    <w:p/>
    <w:p>
      <w:pPr>
        <w:pStyle w:val="3"/>
        <w:jc w:val="left"/>
      </w:pPr>
      <w:bookmarkStart w:id="39" w:name="_Toc16283"/>
      <w:r>
        <w:rPr>
          <w:rFonts w:ascii="宋体" w:hAnsi="宋体" w:eastAsia="宋体" w:cs="宋体"/>
        </w:rPr>
        <w:t>7.7 期末按公允价值占基金资产净值比例大小排序的所有资产支持证券投资明细</w:t>
      </w:r>
      <w:bookmarkEnd w:id="39"/>
    </w:p>
    <w:p>
      <w:r>
        <w:rPr>
          <w:rFonts w:ascii="宋体" w:hAnsi="宋体" w:eastAsia="宋体" w:cs="宋体"/>
          <w:b w:val="0"/>
        </w:rPr>
        <w:t xml:space="preserve">    本基金本报告期末未持有资产支持证券。</w:t>
      </w:r>
    </w:p>
    <w:p/>
    <w:p>
      <w:pPr>
        <w:pStyle w:val="3"/>
        <w:jc w:val="left"/>
      </w:pPr>
      <w:bookmarkStart w:id="40" w:name="_Toc23702"/>
      <w:r>
        <w:rPr>
          <w:rFonts w:ascii="宋体" w:hAnsi="宋体" w:eastAsia="宋体" w:cs="宋体"/>
        </w:rPr>
        <w:t>7.8 报告期末按公允价值占基金资产净值比例大小排序的前五名贵金属投资明细</w:t>
      </w:r>
      <w:bookmarkEnd w:id="40"/>
    </w:p>
    <w:p>
      <w:r>
        <w:rPr>
          <w:rFonts w:ascii="宋体" w:hAnsi="宋体" w:eastAsia="宋体" w:cs="宋体"/>
          <w:b w:val="0"/>
        </w:rPr>
        <w:t xml:space="preserve">    本基金本报告期末未持有贵金属。</w:t>
      </w:r>
    </w:p>
    <w:p/>
    <w:p>
      <w:pPr>
        <w:pStyle w:val="3"/>
        <w:jc w:val="left"/>
      </w:pPr>
      <w:bookmarkStart w:id="41" w:name="_Toc4798"/>
      <w:r>
        <w:rPr>
          <w:rFonts w:ascii="宋体" w:hAnsi="宋体" w:eastAsia="宋体" w:cs="宋体"/>
        </w:rPr>
        <w:t>7.9 期末按公允价值占基金资产净值比例大小排序的前五名权证投资明细</w:t>
      </w:r>
      <w:bookmarkEnd w:id="41"/>
    </w:p>
    <w:p>
      <w:r>
        <w:rPr>
          <w:rFonts w:ascii="宋体" w:hAnsi="宋体" w:eastAsia="宋体" w:cs="宋体"/>
          <w:b w:val="0"/>
        </w:rPr>
        <w:t xml:space="preserve">    本基金本报告期末未持有权证。</w:t>
      </w:r>
    </w:p>
    <w:p/>
    <w:p>
      <w:pPr>
        <w:pStyle w:val="3"/>
        <w:jc w:val="left"/>
      </w:pPr>
      <w:bookmarkStart w:id="42" w:name="_Toc1134"/>
      <w:r>
        <w:rPr>
          <w:rFonts w:ascii="宋体" w:hAnsi="宋体" w:eastAsia="宋体" w:cs="宋体"/>
        </w:rPr>
        <w:t>7.10 本基金投资股指期货的投资政策</w:t>
      </w:r>
      <w:bookmarkEnd w:id="42"/>
    </w:p>
    <w:p>
      <w:pPr>
        <w:jc w:val="left"/>
      </w:pPr>
      <w:r>
        <w:rPr>
          <w:rFonts w:ascii="宋体" w:hAnsi="宋体" w:eastAsia="宋体" w:cs="宋体"/>
          <w:b w:val="0"/>
        </w:rPr>
        <w:t xml:space="preserve">    本基金本报告期内未参与股指期货投资，报告期末无股指期货持仓。</w:t>
      </w:r>
    </w:p>
    <w:p/>
    <w:p>
      <w:pPr>
        <w:pStyle w:val="3"/>
        <w:jc w:val="left"/>
      </w:pPr>
      <w:bookmarkStart w:id="43" w:name="_Toc149"/>
      <w:r>
        <w:rPr>
          <w:rFonts w:ascii="宋体" w:hAnsi="宋体" w:eastAsia="宋体" w:cs="宋体"/>
        </w:rPr>
        <w:t>7.11 报告期末本基金投资的国债期货交易情况说明</w:t>
      </w:r>
      <w:bookmarkEnd w:id="43"/>
    </w:p>
    <w:p>
      <w:pPr>
        <w:jc w:val="left"/>
      </w:pPr>
      <w:r>
        <w:rPr>
          <w:rFonts w:ascii="宋体" w:hAnsi="宋体" w:eastAsia="宋体" w:cs="宋体"/>
          <w:b w:val="0"/>
        </w:rPr>
        <w:t xml:space="preserve">    本基金本报告期内未参与国债期货投资，报告期末无国债期货持仓。</w:t>
      </w:r>
    </w:p>
    <w:p/>
    <w:p>
      <w:pPr>
        <w:pStyle w:val="3"/>
        <w:jc w:val="left"/>
      </w:pPr>
      <w:bookmarkStart w:id="44" w:name="_Toc12133"/>
      <w:r>
        <w:rPr>
          <w:rFonts w:ascii="宋体" w:hAnsi="宋体" w:eastAsia="宋体" w:cs="宋体"/>
        </w:rPr>
        <w:t>7.12 投资组合报告附注</w:t>
      </w:r>
      <w:bookmarkEnd w:id="44"/>
    </w:p>
    <w:p>
      <w:pPr>
        <w:pStyle w:val="58"/>
      </w:pPr>
      <w:r>
        <w:rPr>
          <w:rFonts w:ascii="宋体" w:hAnsi="宋体" w:eastAsia="宋体" w:cs="宋体"/>
          <w:b/>
        </w:rPr>
        <w:t>7.12.1 本基金投资的前十名证券的发行主体本期受到监管部门立案调查或报告编制日前一年内受到公开谴责、处罚的情形说明</w:t>
      </w:r>
    </w:p>
    <w:p>
      <w:pPr>
        <w:jc w:val="left"/>
      </w:pPr>
      <w:r>
        <w:rPr>
          <w:rFonts w:ascii="宋体" w:hAnsi="宋体" w:eastAsia="宋体" w:cs="宋体"/>
          <w:b w:val="0"/>
        </w:rPr>
        <w:t xml:space="preserve">    本基金投资的前十名证券的发行主体本期没有出现被监管部门立案调查，或在报告编制日前一年内受到公开谴责、处罚的情形。</w:t>
      </w:r>
    </w:p>
    <w:p/>
    <w:p>
      <w:pPr>
        <w:pStyle w:val="58"/>
      </w:pPr>
      <w:r>
        <w:rPr>
          <w:rFonts w:ascii="宋体" w:hAnsi="宋体" w:eastAsia="宋体" w:cs="宋体"/>
          <w:b/>
        </w:rPr>
        <w:t>7.12.2 基金投资的前十名股票超出基金合同约定的备选股票库情况的说明</w:t>
      </w:r>
    </w:p>
    <w:p>
      <w:pPr>
        <w:jc w:val="left"/>
      </w:pPr>
      <w:r>
        <w:rPr>
          <w:rFonts w:ascii="宋体" w:hAnsi="宋体" w:eastAsia="宋体" w:cs="宋体"/>
          <w:b w:val="0"/>
        </w:rPr>
        <w:t xml:space="preserve">    基金投资的前十名股票，均为基金合同约定备选股票库之内的股票。</w:t>
      </w:r>
    </w:p>
    <w:p/>
    <w:p>
      <w:pPr>
        <w:pStyle w:val="58"/>
      </w:pPr>
      <w:r>
        <w:rPr>
          <w:rFonts w:ascii="宋体" w:hAnsi="宋体" w:eastAsia="宋体" w:cs="宋体"/>
          <w:b/>
        </w:rPr>
        <w:t>7.12.3 期末其他各项资产构成</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7"/>
        <w:gridCol w:w="3143"/>
        <w:gridCol w:w="3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序号</w:t>
            </w:r>
          </w:p>
        </w:tc>
        <w:tc>
          <w:tcPr>
            <w:tcW w:w="1692" w:type="pct"/>
            <w:shd w:val="clear" w:color="auto" w:fill="D9D9D9"/>
            <w:vAlign w:val="center"/>
          </w:tcPr>
          <w:p>
            <w:pPr>
              <w:spacing w:line="240" w:lineRule="auto"/>
              <w:jc w:val="center"/>
            </w:pPr>
            <w:r>
              <w:rPr>
                <w:rFonts w:ascii="宋体" w:hAnsi="宋体" w:eastAsia="宋体" w:cs="宋体"/>
                <w:b w:val="0"/>
              </w:rPr>
              <w:t>名称</w:t>
            </w:r>
          </w:p>
        </w:tc>
        <w:tc>
          <w:tcPr>
            <w:tcW w:w="1769" w:type="pct"/>
            <w:shd w:val="clear" w:color="auto" w:fill="D9D9D9"/>
            <w:vAlign w:val="center"/>
          </w:tcPr>
          <w:p>
            <w:pPr>
              <w:spacing w:line="240" w:lineRule="auto"/>
              <w:jc w:val="center"/>
            </w:pPr>
            <w:r>
              <w:rPr>
                <w:rFonts w:ascii="宋体" w:hAnsi="宋体" w:eastAsia="宋体" w:cs="宋体"/>
                <w:b w:val="0"/>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118,455,645.31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待摊费用</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118,455,645.31</w:t>
            </w:r>
          </w:p>
        </w:tc>
      </w:tr>
    </w:tbl>
    <w:p/>
    <w:p>
      <w:pPr>
        <w:pStyle w:val="58"/>
      </w:pPr>
      <w:r>
        <w:rPr>
          <w:rFonts w:ascii="宋体" w:hAnsi="宋体" w:eastAsia="宋体" w:cs="宋体"/>
          <w:b/>
        </w:rPr>
        <w:t>7.12.4 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Fonts w:ascii="宋体" w:hAnsi="宋体" w:eastAsia="宋体" w:cs="宋体"/>
          <w:b/>
        </w:rPr>
        <w:t>7.12.5 期末前十名股票中存在流通受限情况的说明</w:t>
      </w:r>
    </w:p>
    <w:p>
      <w:r>
        <w:rPr>
          <w:rFonts w:ascii="宋体" w:hAnsi="宋体" w:eastAsia="宋体" w:cs="宋体"/>
          <w:b w:val="0"/>
        </w:rPr>
        <w:t xml:space="preserve">    本基金本报告期末前十名股票中不存在流通受限情况。</w:t>
      </w:r>
    </w:p>
    <w:p/>
    <w:p>
      <w:pPr>
        <w:pStyle w:val="58"/>
      </w:pPr>
      <w:r>
        <w:rPr>
          <w:rFonts w:ascii="宋体" w:hAnsi="宋体" w:eastAsia="宋体" w:cs="宋体"/>
          <w:b/>
        </w:rPr>
        <w:t>7.12.6 投资组合报告附注的其他文字描述部分</w:t>
      </w:r>
    </w:p>
    <w:p>
      <w:pPr>
        <w:jc w:val="left"/>
      </w:pPr>
      <w:r>
        <w:rPr>
          <w:rFonts w:ascii="宋体" w:hAnsi="宋体" w:eastAsia="宋体" w:cs="宋体"/>
          <w:b w:val="0"/>
        </w:rPr>
        <w:t xml:space="preserve">    由于四舍五入的原因，分项之和与合计项之间可能存在尾差。</w:t>
      </w:r>
    </w:p>
    <w:p>
      <w:pPr>
        <w:pStyle w:val="2"/>
        <w:jc w:val="center"/>
      </w:pPr>
      <w:bookmarkStart w:id="45" w:name="_Toc13399"/>
      <w:r>
        <w:rPr>
          <w:rFonts w:ascii="宋体" w:hAnsi="宋体" w:eastAsia="宋体" w:cs="宋体"/>
        </w:rPr>
        <w:t>§8 基金份额持有人信息</w:t>
      </w:r>
      <w:bookmarkEnd w:id="45"/>
    </w:p>
    <w:p>
      <w:pPr>
        <w:pStyle w:val="3"/>
        <w:jc w:val="left"/>
      </w:pPr>
      <w:bookmarkStart w:id="46" w:name="_Toc16336"/>
      <w:r>
        <w:rPr>
          <w:rFonts w:ascii="宋体" w:hAnsi="宋体" w:eastAsia="宋体" w:cs="宋体"/>
        </w:rPr>
        <w:t>8.1 期末基金份额持有人户数及持有人结构</w:t>
      </w:r>
      <w:bookmarkEnd w:id="46"/>
    </w:p>
    <w:p>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079"/>
        <w:gridCol w:w="1079"/>
        <w:gridCol w:w="1581"/>
        <w:gridCol w:w="1391"/>
        <w:gridCol w:w="1686"/>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pPr>
              <w:spacing w:line="240" w:lineRule="auto"/>
              <w:jc w:val="center"/>
            </w:pPr>
            <w:r>
              <w:rPr>
                <w:rFonts w:ascii="宋体" w:hAnsi="宋体" w:eastAsia="宋体" w:cs="宋体"/>
                <w:b w:val="0"/>
              </w:rPr>
              <w:t>份额级别</w:t>
            </w:r>
          </w:p>
        </w:tc>
        <w:tc>
          <w:tcPr>
            <w:tcW w:w="615" w:type="pct"/>
            <w:vMerge w:val="restart"/>
            <w:shd w:val="clear" w:color="auto" w:fill="D9D9D9"/>
            <w:vAlign w:val="center"/>
          </w:tcPr>
          <w:p>
            <w:pPr>
              <w:spacing w:line="240" w:lineRule="auto"/>
              <w:jc w:val="center"/>
            </w:pPr>
            <w:r>
              <w:rPr>
                <w:rFonts w:ascii="宋体" w:hAnsi="宋体" w:eastAsia="宋体" w:cs="宋体"/>
                <w:b w:val="0"/>
              </w:rPr>
              <w:t>持有人户数（户）</w:t>
            </w:r>
          </w:p>
        </w:tc>
        <w:tc>
          <w:tcPr>
            <w:tcW w:w="615" w:type="pct"/>
            <w:vMerge w:val="restart"/>
            <w:shd w:val="clear" w:color="auto" w:fill="D9D9D9"/>
            <w:vAlign w:val="center"/>
          </w:tcPr>
          <w:p>
            <w:pPr>
              <w:spacing w:line="240" w:lineRule="auto"/>
              <w:jc w:val="center"/>
            </w:pPr>
            <w:r>
              <w:rPr>
                <w:rFonts w:ascii="宋体" w:hAnsi="宋体" w:eastAsia="宋体" w:cs="宋体"/>
                <w:b w:val="0"/>
              </w:rPr>
              <w:t>户均持有的基金份额</w:t>
            </w:r>
          </w:p>
        </w:tc>
        <w:tc>
          <w:tcPr>
            <w:tcW w:w="2769" w:type="pct"/>
            <w:gridSpan w:val="4"/>
            <w:shd w:val="clear" w:color="auto" w:fill="D9D9D9"/>
            <w:vAlign w:val="center"/>
          </w:tcPr>
          <w:p>
            <w:pPr>
              <w:spacing w:line="240" w:lineRule="auto"/>
              <w:jc w:val="center"/>
            </w:pPr>
            <w:r>
              <w:rPr>
                <w:rFonts w:ascii="宋体" w:hAnsi="宋体" w:eastAsia="宋体" w:cs="宋体"/>
                <w:b w:val="0"/>
              </w:rPr>
              <w:t>持有人结构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vMerge w:val="continue"/>
          </w:tcPr>
          <w:p/>
        </w:tc>
        <w:tc>
          <w:tcPr>
            <w:tcW w:w="1385" w:type="pct"/>
            <w:gridSpan w:val="2"/>
            <w:shd w:val="clear" w:color="auto" w:fill="D9D9D9"/>
            <w:vAlign w:val="center"/>
          </w:tcPr>
          <w:p>
            <w:pPr>
              <w:spacing w:line="240" w:lineRule="auto"/>
              <w:jc w:val="center"/>
            </w:pPr>
            <w:r>
              <w:rPr>
                <w:rFonts w:ascii="宋体" w:hAnsi="宋体" w:eastAsia="宋体" w:cs="宋体"/>
                <w:b w:val="0"/>
              </w:rPr>
              <w:t>机构投资者</w:t>
            </w:r>
          </w:p>
        </w:tc>
        <w:tc>
          <w:tcPr>
            <w:tcW w:w="1385" w:type="pct"/>
            <w:gridSpan w:val="2"/>
            <w:shd w:val="clear" w:color="auto" w:fill="D9D9D9"/>
            <w:vAlign w:val="center"/>
          </w:tcPr>
          <w:p>
            <w:pPr>
              <w:spacing w:line="240" w:lineRule="auto"/>
              <w:jc w:val="center"/>
            </w:pPr>
            <w:r>
              <w:rPr>
                <w:rFonts w:ascii="宋体" w:hAnsi="宋体" w:eastAsia="宋体" w:cs="宋体"/>
                <w:b w:val="0"/>
              </w:rPr>
              <w:t>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769" w:type="pct"/>
            <w:shd w:val="clear" w:color="auto" w:fill="D9D9D9"/>
            <w:vAlign w:val="center"/>
          </w:tcPr>
          <w:p>
            <w:pPr>
              <w:spacing w:line="240" w:lineRule="auto"/>
              <w:jc w:val="center"/>
            </w:pPr>
            <w:r>
              <w:rPr>
                <w:rFonts w:ascii="宋体" w:hAnsi="宋体" w:eastAsia="宋体" w:cs="宋体"/>
                <w:b w:val="0"/>
              </w:rPr>
              <w:t>占总份额比例</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769" w:type="pct"/>
            <w:shd w:val="clear" w:color="auto" w:fill="D9D9D9"/>
            <w:vAlign w:val="center"/>
          </w:tcPr>
          <w:p>
            <w:pPr>
              <w:spacing w:line="240" w:lineRule="auto"/>
              <w:jc w:val="center"/>
            </w:pPr>
            <w:r>
              <w:rPr>
                <w:rFonts w:ascii="宋体" w:hAnsi="宋体" w:eastAsia="宋体" w:cs="宋体"/>
                <w:b w:val="0"/>
              </w:rPr>
              <w:t>占总份额比例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东方阿尔法科技甄选混合发起A</w:t>
            </w:r>
          </w:p>
        </w:tc>
        <w:tc>
          <w:tcPr>
            <w:tcW w:w="0" w:type="dxa"/>
            <w:vAlign w:val="center"/>
          </w:tcPr>
          <w:p>
            <w:pPr>
              <w:spacing w:line="240" w:lineRule="auto"/>
              <w:jc w:val="right"/>
            </w:pPr>
            <w:r>
              <w:rPr>
                <w:rFonts w:ascii="宋体" w:hAnsi="宋体" w:eastAsia="宋体" w:cs="宋体"/>
                <w:b w:val="0"/>
              </w:rPr>
              <w:t>3,535</w:t>
            </w:r>
          </w:p>
        </w:tc>
        <w:tc>
          <w:tcPr>
            <w:tcW w:w="0" w:type="dxa"/>
            <w:vAlign w:val="center"/>
          </w:tcPr>
          <w:p>
            <w:pPr>
              <w:spacing w:line="240" w:lineRule="auto"/>
              <w:jc w:val="right"/>
            </w:pPr>
            <w:r>
              <w:rPr>
                <w:rFonts w:ascii="宋体" w:hAnsi="宋体" w:eastAsia="宋体" w:cs="宋体"/>
                <w:b w:val="0"/>
              </w:rPr>
              <w:t>6,218.32</w:t>
            </w:r>
          </w:p>
        </w:tc>
        <w:tc>
          <w:tcPr>
            <w:tcW w:w="0" w:type="dxa"/>
            <w:vAlign w:val="center"/>
          </w:tcPr>
          <w:p>
            <w:pPr>
              <w:spacing w:line="240" w:lineRule="auto"/>
              <w:jc w:val="right"/>
            </w:pPr>
            <w:r>
              <w:rPr>
                <w:rFonts w:ascii="宋体" w:hAnsi="宋体" w:eastAsia="宋体" w:cs="宋体"/>
                <w:b w:val="0"/>
              </w:rPr>
              <w:t>0.00</w:t>
            </w:r>
          </w:p>
        </w:tc>
        <w:tc>
          <w:tcPr>
            <w:tcW w:w="0" w:type="dxa"/>
            <w:vAlign w:val="center"/>
          </w:tcPr>
          <w:p>
            <w:pPr>
              <w:spacing w:line="240" w:lineRule="auto"/>
              <w:jc w:val="right"/>
            </w:pPr>
            <w:r>
              <w:rPr>
                <w:rFonts w:ascii="宋体" w:hAnsi="宋体" w:eastAsia="宋体" w:cs="宋体"/>
                <w:b w:val="0"/>
              </w:rPr>
              <w:t>0.00%</w:t>
            </w:r>
          </w:p>
        </w:tc>
        <w:tc>
          <w:tcPr>
            <w:tcW w:w="0" w:type="dxa"/>
            <w:vAlign w:val="center"/>
          </w:tcPr>
          <w:p>
            <w:pPr>
              <w:spacing w:line="240" w:lineRule="auto"/>
              <w:jc w:val="right"/>
            </w:pPr>
            <w:r>
              <w:rPr>
                <w:rFonts w:ascii="宋体" w:hAnsi="宋体" w:eastAsia="宋体" w:cs="宋体"/>
                <w:b w:val="0"/>
              </w:rPr>
              <w:t>21,981,743.96</w:t>
            </w:r>
          </w:p>
        </w:tc>
        <w:tc>
          <w:tcPr>
            <w:tcW w:w="0" w:type="dxa"/>
            <w:vAlign w:val="center"/>
          </w:tcPr>
          <w:p>
            <w:pPr>
              <w:spacing w:line="240" w:lineRule="auto"/>
              <w:jc w:val="right"/>
            </w:pPr>
            <w:r>
              <w:rPr>
                <w:rFonts w:ascii="宋体" w:hAnsi="宋体" w:eastAsia="宋体" w:cs="宋体"/>
                <w:b w:val="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东方阿尔法科技甄选混合发起C</w:t>
            </w:r>
          </w:p>
        </w:tc>
        <w:tc>
          <w:tcPr>
            <w:tcW w:w="0" w:type="dxa"/>
            <w:vAlign w:val="center"/>
          </w:tcPr>
          <w:p>
            <w:pPr>
              <w:spacing w:line="240" w:lineRule="auto"/>
              <w:jc w:val="right"/>
            </w:pPr>
            <w:r>
              <w:rPr>
                <w:rFonts w:ascii="宋体" w:hAnsi="宋体" w:eastAsia="宋体" w:cs="宋体"/>
                <w:b w:val="0"/>
              </w:rPr>
              <w:t>215,473</w:t>
            </w:r>
          </w:p>
        </w:tc>
        <w:tc>
          <w:tcPr>
            <w:tcW w:w="0" w:type="dxa"/>
            <w:vAlign w:val="center"/>
          </w:tcPr>
          <w:p>
            <w:pPr>
              <w:spacing w:line="240" w:lineRule="auto"/>
              <w:jc w:val="right"/>
            </w:pPr>
            <w:r>
              <w:rPr>
                <w:rFonts w:ascii="宋体" w:hAnsi="宋体" w:eastAsia="宋体" w:cs="宋体"/>
                <w:b w:val="0"/>
              </w:rPr>
              <w:t>3,295.90</w:t>
            </w:r>
          </w:p>
        </w:tc>
        <w:tc>
          <w:tcPr>
            <w:tcW w:w="0" w:type="dxa"/>
            <w:vAlign w:val="center"/>
          </w:tcPr>
          <w:p>
            <w:pPr>
              <w:spacing w:line="240" w:lineRule="auto"/>
              <w:jc w:val="right"/>
            </w:pPr>
            <w:r>
              <w:rPr>
                <w:rFonts w:ascii="宋体" w:hAnsi="宋体" w:eastAsia="宋体" w:cs="宋体"/>
                <w:b w:val="0"/>
              </w:rPr>
              <w:t>42,797,793.58</w:t>
            </w:r>
          </w:p>
        </w:tc>
        <w:tc>
          <w:tcPr>
            <w:tcW w:w="0" w:type="dxa"/>
            <w:vAlign w:val="center"/>
          </w:tcPr>
          <w:p>
            <w:pPr>
              <w:spacing w:line="240" w:lineRule="auto"/>
              <w:jc w:val="right"/>
            </w:pPr>
            <w:r>
              <w:rPr>
                <w:rFonts w:ascii="宋体" w:hAnsi="宋体" w:eastAsia="宋体" w:cs="宋体"/>
                <w:b w:val="0"/>
              </w:rPr>
              <w:t>6.03%</w:t>
            </w:r>
          </w:p>
        </w:tc>
        <w:tc>
          <w:tcPr>
            <w:tcW w:w="0" w:type="dxa"/>
            <w:vAlign w:val="center"/>
          </w:tcPr>
          <w:p>
            <w:pPr>
              <w:spacing w:line="240" w:lineRule="auto"/>
              <w:jc w:val="right"/>
            </w:pPr>
            <w:r>
              <w:rPr>
                <w:rFonts w:ascii="宋体" w:hAnsi="宋体" w:eastAsia="宋体" w:cs="宋体"/>
                <w:b w:val="0"/>
              </w:rPr>
              <w:t>667,379,987.19</w:t>
            </w:r>
          </w:p>
        </w:tc>
        <w:tc>
          <w:tcPr>
            <w:tcW w:w="0" w:type="dxa"/>
            <w:vAlign w:val="center"/>
          </w:tcPr>
          <w:p>
            <w:pPr>
              <w:spacing w:line="240" w:lineRule="auto"/>
              <w:jc w:val="right"/>
            </w:pPr>
            <w:r>
              <w:rPr>
                <w:rFonts w:ascii="宋体" w:hAnsi="宋体" w:eastAsia="宋体" w:cs="宋体"/>
                <w:b w:val="0"/>
              </w:rPr>
              <w:t>93.97%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219,008</w:t>
            </w:r>
          </w:p>
        </w:tc>
        <w:tc>
          <w:tcPr>
            <w:tcW w:w="0" w:type="dxa"/>
            <w:vAlign w:val="center"/>
          </w:tcPr>
          <w:p>
            <w:pPr>
              <w:spacing w:line="240" w:lineRule="auto"/>
              <w:jc w:val="right"/>
            </w:pPr>
            <w:r>
              <w:rPr>
                <w:rFonts w:ascii="宋体" w:hAnsi="宋体" w:eastAsia="宋体" w:cs="宋体"/>
                <w:b w:val="0"/>
              </w:rPr>
              <w:t>3,343.07</w:t>
            </w:r>
          </w:p>
        </w:tc>
        <w:tc>
          <w:tcPr>
            <w:tcW w:w="0" w:type="dxa"/>
            <w:vAlign w:val="center"/>
          </w:tcPr>
          <w:p>
            <w:pPr>
              <w:spacing w:line="240" w:lineRule="auto"/>
              <w:jc w:val="right"/>
            </w:pPr>
            <w:r>
              <w:rPr>
                <w:rFonts w:ascii="宋体" w:hAnsi="宋体" w:eastAsia="宋体" w:cs="宋体"/>
                <w:b w:val="0"/>
              </w:rPr>
              <w:t>42,797,793.58</w:t>
            </w:r>
          </w:p>
        </w:tc>
        <w:tc>
          <w:tcPr>
            <w:tcW w:w="0" w:type="dxa"/>
            <w:vAlign w:val="center"/>
          </w:tcPr>
          <w:p>
            <w:pPr>
              <w:spacing w:line="240" w:lineRule="auto"/>
              <w:jc w:val="right"/>
            </w:pPr>
            <w:r>
              <w:rPr>
                <w:rFonts w:ascii="宋体" w:hAnsi="宋体" w:eastAsia="宋体" w:cs="宋体"/>
                <w:b w:val="0"/>
              </w:rPr>
              <w:t>5.85%</w:t>
            </w:r>
          </w:p>
        </w:tc>
        <w:tc>
          <w:tcPr>
            <w:tcW w:w="0" w:type="dxa"/>
            <w:vAlign w:val="center"/>
          </w:tcPr>
          <w:p>
            <w:pPr>
              <w:spacing w:line="240" w:lineRule="auto"/>
              <w:jc w:val="right"/>
            </w:pPr>
            <w:r>
              <w:rPr>
                <w:rFonts w:ascii="宋体" w:hAnsi="宋体" w:eastAsia="宋体" w:cs="宋体"/>
                <w:b w:val="0"/>
              </w:rPr>
              <w:t>689,361,731.15</w:t>
            </w:r>
          </w:p>
        </w:tc>
        <w:tc>
          <w:tcPr>
            <w:tcW w:w="0" w:type="dxa"/>
            <w:vAlign w:val="center"/>
          </w:tcPr>
          <w:p>
            <w:pPr>
              <w:spacing w:line="240" w:lineRule="auto"/>
              <w:jc w:val="right"/>
            </w:pPr>
            <w:r>
              <w:rPr>
                <w:rFonts w:ascii="宋体" w:hAnsi="宋体" w:eastAsia="宋体" w:cs="宋体"/>
                <w:b w:val="0"/>
              </w:rPr>
              <w:t>94.15%</w:t>
            </w:r>
          </w:p>
        </w:tc>
      </w:tr>
    </w:tbl>
    <w:p>
      <w:r>
        <w:rPr>
          <w:rFonts w:ascii="宋体" w:hAnsi="宋体" w:eastAsia="宋体" w:cs="宋体"/>
          <w:b w:val="0"/>
        </w:rPr>
        <w:t>注：本基金机构/个人投资者持有份额占总份额比例的计算中，对下属不同类别的基金，比例的分母采用各自级别的份额；对合计数，比例的分母采用期末基金份额总额。</w:t>
      </w:r>
      <w:r>
        <w:rPr>
          <w:rFonts w:ascii="宋体" w:hAnsi="宋体" w:eastAsia="宋体" w:cs="宋体"/>
          <w:b w:val="0"/>
        </w:rPr>
        <w:br w:type="textWrapping"/>
      </w:r>
      <w:r>
        <w:rPr>
          <w:rFonts w:ascii="宋体" w:hAnsi="宋体" w:eastAsia="宋体" w:cs="宋体"/>
          <w:b w:val="0"/>
        </w:rPr>
        <w:t>户均持有的基金份额的合计数=期末基金份额总额/期末持有人户数合计。</w:t>
      </w:r>
    </w:p>
    <w:p/>
    <w:p>
      <w:pPr>
        <w:pStyle w:val="3"/>
        <w:jc w:val="left"/>
      </w:pPr>
      <w:bookmarkStart w:id="47" w:name="_Toc9005"/>
      <w:r>
        <w:rPr>
          <w:rFonts w:ascii="宋体" w:hAnsi="宋体" w:eastAsia="宋体" w:cs="宋体"/>
        </w:rPr>
        <w:t>8.2 期末基金管理人的从业人员持有本基金的情况</w:t>
      </w:r>
      <w:bookmarkEnd w:id="4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72"/>
        <w:gridCol w:w="1857"/>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385" w:type="pct"/>
            <w:shd w:val="clear" w:color="auto" w:fill="D9D9D9"/>
            <w:vAlign w:val="center"/>
          </w:tcPr>
          <w:p>
            <w:pPr>
              <w:spacing w:line="240" w:lineRule="auto"/>
              <w:jc w:val="center"/>
            </w:pPr>
            <w:r>
              <w:rPr>
                <w:rFonts w:ascii="宋体" w:hAnsi="宋体" w:eastAsia="宋体" w:cs="宋体"/>
                <w:b w:val="0"/>
              </w:rPr>
              <w:t>份额级别</w:t>
            </w:r>
          </w:p>
        </w:tc>
        <w:tc>
          <w:tcPr>
            <w:tcW w:w="1000" w:type="pct"/>
            <w:shd w:val="clear" w:color="auto" w:fill="D9D9D9"/>
            <w:vAlign w:val="center"/>
          </w:tcPr>
          <w:p>
            <w:pPr>
              <w:spacing w:line="240" w:lineRule="auto"/>
              <w:jc w:val="center"/>
            </w:pPr>
            <w:r>
              <w:rPr>
                <w:rFonts w:ascii="宋体" w:hAnsi="宋体" w:eastAsia="宋体" w:cs="宋体"/>
                <w:b w:val="0"/>
              </w:rPr>
              <w:t>持有份额总数（份）</w:t>
            </w:r>
          </w:p>
        </w:tc>
        <w:tc>
          <w:tcPr>
            <w:tcW w:w="1154" w:type="pct"/>
            <w:shd w:val="clear" w:color="auto" w:fill="D9D9D9"/>
            <w:vAlign w:val="center"/>
          </w:tcPr>
          <w:p>
            <w:pPr>
              <w:spacing w:line="240" w:lineRule="auto"/>
              <w:jc w:val="center"/>
            </w:pPr>
            <w:r>
              <w:rPr>
                <w:rFonts w:ascii="宋体" w:hAnsi="宋体" w:eastAsia="宋体" w:cs="宋体"/>
                <w:b w:val="0"/>
              </w:rPr>
              <w:t>占基金总份额比例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基金管理人所有从业人员持有本基金</w:t>
            </w:r>
          </w:p>
        </w:tc>
        <w:tc>
          <w:tcPr>
            <w:tcW w:w="0" w:type="dxa"/>
            <w:vAlign w:val="center"/>
          </w:tcPr>
          <w:p>
            <w:pPr>
              <w:spacing w:line="240" w:lineRule="auto"/>
              <w:jc w:val="left"/>
            </w:pPr>
            <w:r>
              <w:rPr>
                <w:rFonts w:ascii="宋体" w:hAnsi="宋体" w:eastAsia="宋体" w:cs="宋体"/>
                <w:b w:val="0"/>
              </w:rPr>
              <w:t>东方阿尔法科技甄选混合发起A</w:t>
            </w:r>
          </w:p>
        </w:tc>
        <w:tc>
          <w:tcPr>
            <w:tcW w:w="0" w:type="dxa"/>
            <w:vAlign w:val="center"/>
          </w:tcPr>
          <w:p>
            <w:pPr>
              <w:spacing w:line="240" w:lineRule="auto"/>
              <w:jc w:val="right"/>
            </w:pPr>
            <w:r>
              <w:rPr>
                <w:rFonts w:ascii="宋体" w:hAnsi="宋体" w:eastAsia="宋体" w:cs="宋体"/>
                <w:b w:val="0"/>
              </w:rPr>
              <w:t>10,183,094.74</w:t>
            </w:r>
          </w:p>
        </w:tc>
        <w:tc>
          <w:tcPr>
            <w:tcW w:w="0" w:type="dxa"/>
            <w:vAlign w:val="center"/>
          </w:tcPr>
          <w:p>
            <w:pPr>
              <w:spacing w:line="240" w:lineRule="auto"/>
              <w:jc w:val="right"/>
            </w:pPr>
            <w:r>
              <w:rPr>
                <w:rFonts w:ascii="宋体" w:hAnsi="宋体" w:eastAsia="宋体" w:cs="宋体"/>
                <w:b w:val="0"/>
              </w:rPr>
              <w:t>46.33%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东方阿尔法科技甄选混合发起C</w:t>
            </w:r>
          </w:p>
        </w:tc>
        <w:tc>
          <w:tcPr>
            <w:tcW w:w="0" w:type="dxa"/>
            <w:vAlign w:val="center"/>
          </w:tcPr>
          <w:p>
            <w:pPr>
              <w:spacing w:line="240" w:lineRule="auto"/>
              <w:jc w:val="right"/>
            </w:pPr>
            <w:r>
              <w:rPr>
                <w:rFonts w:ascii="宋体" w:hAnsi="宋体" w:eastAsia="宋体" w:cs="宋体"/>
                <w:b w:val="0"/>
              </w:rPr>
              <w:t>0.00</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10,183,094.74</w:t>
            </w:r>
          </w:p>
        </w:tc>
        <w:tc>
          <w:tcPr>
            <w:tcW w:w="0" w:type="dxa"/>
            <w:vAlign w:val="center"/>
          </w:tcPr>
          <w:p>
            <w:pPr>
              <w:spacing w:line="240" w:lineRule="auto"/>
              <w:jc w:val="right"/>
            </w:pPr>
            <w:r>
              <w:rPr>
                <w:rFonts w:ascii="宋体" w:hAnsi="宋体" w:eastAsia="宋体" w:cs="宋体"/>
                <w:b w:val="0"/>
              </w:rPr>
              <w:t>1.39%</w:t>
            </w:r>
          </w:p>
        </w:tc>
      </w:tr>
    </w:tbl>
    <w:p>
      <w:r>
        <w:rPr>
          <w:rFonts w:ascii="宋体" w:hAnsi="宋体" w:eastAsia="宋体" w:cs="宋体"/>
          <w:b w:val="0"/>
        </w:rPr>
        <w:t>注：从业人员持有基金占基金总份额比例的计算中，对下属分级基金，比例的分母采用各自级别的份额，对合计数，比例的分母采用下属分级基金份额的合计数（即期末基金份额总额）。</w:t>
      </w:r>
    </w:p>
    <w:p/>
    <w:p>
      <w:pPr>
        <w:pStyle w:val="3"/>
        <w:jc w:val="left"/>
      </w:pPr>
      <w:bookmarkStart w:id="48" w:name="_Toc10671"/>
      <w:r>
        <w:rPr>
          <w:rFonts w:ascii="宋体" w:hAnsi="宋体" w:eastAsia="宋体" w:cs="宋体"/>
        </w:rPr>
        <w:t>8.3 期末基金管理人的从业人员持有本开放式基金份额总量区间情况</w:t>
      </w:r>
      <w:bookmarkEnd w:id="4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份额级别</w:t>
            </w:r>
          </w:p>
        </w:tc>
        <w:tc>
          <w:tcPr>
            <w:tcW w:w="1538" w:type="pct"/>
            <w:shd w:val="clear" w:color="auto" w:fill="D9D9D9"/>
            <w:vAlign w:val="center"/>
          </w:tcPr>
          <w:p>
            <w:pPr>
              <w:spacing w:line="240" w:lineRule="auto"/>
              <w:jc w:val="center"/>
            </w:pPr>
            <w:r>
              <w:rPr>
                <w:rFonts w:ascii="宋体" w:hAnsi="宋体" w:eastAsia="宋体" w:cs="宋体"/>
                <w:b w:val="0"/>
              </w:rPr>
              <w:t>持有基金份额总量的数量区间（万份）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本公司高级管理人员、基金投资和研究部门负责人持有本开放式基金</w:t>
            </w:r>
          </w:p>
        </w:tc>
        <w:tc>
          <w:tcPr>
            <w:tcW w:w="0" w:type="dxa"/>
            <w:vAlign w:val="center"/>
          </w:tcPr>
          <w:p>
            <w:pPr>
              <w:spacing w:line="240" w:lineRule="auto"/>
              <w:jc w:val="left"/>
            </w:pPr>
            <w:r>
              <w:rPr>
                <w:rFonts w:ascii="宋体" w:hAnsi="宋体" w:eastAsia="宋体" w:cs="宋体"/>
                <w:b w:val="0"/>
              </w:rPr>
              <w:t>东方阿尔法科技甄选混合发起A</w:t>
            </w:r>
          </w:p>
        </w:tc>
        <w:tc>
          <w:tcPr>
            <w:tcW w:w="0" w:type="dxa"/>
            <w:vAlign w:val="center"/>
          </w:tcPr>
          <w:p>
            <w:pPr>
              <w:spacing w:line="240" w:lineRule="auto"/>
              <w:jc w:val="right"/>
            </w:pPr>
            <w:r>
              <w:rPr>
                <w:rFonts w:ascii="宋体" w:hAnsi="宋体" w:eastAsia="宋体" w:cs="宋体"/>
                <w:b w:val="0"/>
              </w:rPr>
              <w:t>&gt;100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东方阿尔法科技甄选混合发起C</w:t>
            </w:r>
          </w:p>
        </w:tc>
        <w:tc>
          <w:tcPr>
            <w:tcW w:w="0" w:type="dxa"/>
            <w:vAlign w:val="center"/>
          </w:tcPr>
          <w:p>
            <w:pPr>
              <w:spacing w:line="240" w:lineRule="auto"/>
              <w:jc w:val="right"/>
            </w:pPr>
            <w:r>
              <w:rPr>
                <w:rFonts w:ascii="宋体" w:hAnsi="宋体" w:eastAsia="宋体" w:cs="宋体"/>
                <w:b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&gt;100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本基金基金经理持有本开放式基金</w:t>
            </w:r>
          </w:p>
        </w:tc>
        <w:tc>
          <w:tcPr>
            <w:tcW w:w="0" w:type="dxa"/>
            <w:vAlign w:val="center"/>
          </w:tcPr>
          <w:p>
            <w:pPr>
              <w:spacing w:line="240" w:lineRule="auto"/>
              <w:jc w:val="left"/>
            </w:pPr>
            <w:r>
              <w:rPr>
                <w:rFonts w:ascii="宋体" w:hAnsi="宋体" w:eastAsia="宋体" w:cs="宋体"/>
                <w:b w:val="0"/>
              </w:rPr>
              <w:t>东方阿尔法科技甄选混合发起A</w:t>
            </w:r>
          </w:p>
        </w:tc>
        <w:tc>
          <w:tcPr>
            <w:tcW w:w="0" w:type="dxa"/>
            <w:vAlign w:val="center"/>
          </w:tcPr>
          <w:p>
            <w:pPr>
              <w:spacing w:line="240" w:lineRule="auto"/>
              <w:jc w:val="right"/>
            </w:pPr>
            <w:r>
              <w:rPr>
                <w:rFonts w:ascii="宋体" w:hAnsi="宋体" w:eastAsia="宋体" w:cs="宋体"/>
                <w:b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东方阿尔法科技甄选混合发起C</w:t>
            </w:r>
          </w:p>
        </w:tc>
        <w:tc>
          <w:tcPr>
            <w:tcW w:w="0" w:type="dxa"/>
            <w:vAlign w:val="center"/>
          </w:tcPr>
          <w:p>
            <w:pPr>
              <w:spacing w:line="240" w:lineRule="auto"/>
              <w:jc w:val="right"/>
            </w:pPr>
            <w:r>
              <w:rPr>
                <w:rFonts w:ascii="宋体" w:hAnsi="宋体" w:eastAsia="宋体" w:cs="宋体"/>
                <w:b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0</w:t>
            </w:r>
          </w:p>
        </w:tc>
      </w:tr>
    </w:tbl>
    <w:p/>
    <w:p>
      <w:pPr>
        <w:pStyle w:val="3"/>
        <w:jc w:val="left"/>
      </w:pPr>
      <w:bookmarkStart w:id="49" w:name="_Toc32398"/>
      <w:r>
        <w:rPr>
          <w:rFonts w:ascii="宋体" w:hAnsi="宋体" w:eastAsia="宋体" w:cs="宋体"/>
        </w:rPr>
        <w:t>8.4 发起式基金发起资金持有份额情况</w:t>
      </w:r>
      <w:bookmarkEnd w:id="4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5"/>
        <w:gridCol w:w="1581"/>
        <w:gridCol w:w="1413"/>
        <w:gridCol w:w="1581"/>
        <w:gridCol w:w="1413"/>
        <w:gridCol w:w="1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 w:type="pct"/>
            <w:shd w:val="clear" w:color="auto" w:fill="D9D9D9"/>
            <w:vAlign w:val="center"/>
          </w:tcPr>
          <w:p>
            <w:pPr>
              <w:spacing w:line="240" w:lineRule="auto"/>
              <w:jc w:val="center"/>
            </w:pPr>
            <w:r>
              <w:rPr>
                <w:rFonts w:ascii="宋体" w:hAnsi="宋体" w:eastAsia="宋体" w:cs="宋体"/>
                <w:b w:val="0"/>
              </w:rPr>
              <w:t>项目</w:t>
            </w:r>
          </w:p>
        </w:tc>
        <w:tc>
          <w:tcPr>
            <w:tcW w:w="615" w:type="pct"/>
            <w:shd w:val="clear" w:color="auto" w:fill="D9D9D9"/>
            <w:vAlign w:val="center"/>
          </w:tcPr>
          <w:p>
            <w:pPr>
              <w:spacing w:line="240" w:lineRule="auto"/>
              <w:jc w:val="center"/>
            </w:pPr>
            <w:r>
              <w:rPr>
                <w:rFonts w:ascii="宋体" w:hAnsi="宋体" w:eastAsia="宋体" w:cs="宋体"/>
                <w:b w:val="0"/>
              </w:rPr>
              <w:t>持有份额总数</w:t>
            </w:r>
          </w:p>
        </w:tc>
        <w:tc>
          <w:tcPr>
            <w:tcW w:w="769" w:type="pct"/>
            <w:shd w:val="clear" w:color="auto" w:fill="D9D9D9"/>
            <w:vAlign w:val="center"/>
          </w:tcPr>
          <w:p>
            <w:pPr>
              <w:spacing w:line="240" w:lineRule="auto"/>
              <w:jc w:val="center"/>
            </w:pPr>
            <w:r>
              <w:rPr>
                <w:rFonts w:ascii="宋体" w:hAnsi="宋体" w:eastAsia="宋体" w:cs="宋体"/>
                <w:b w:val="0"/>
              </w:rPr>
              <w:t>持有份额占基金总份额比例</w:t>
            </w:r>
          </w:p>
        </w:tc>
        <w:tc>
          <w:tcPr>
            <w:tcW w:w="615" w:type="pct"/>
            <w:shd w:val="clear" w:color="auto" w:fill="D9D9D9"/>
            <w:vAlign w:val="center"/>
          </w:tcPr>
          <w:p>
            <w:pPr>
              <w:spacing w:line="240" w:lineRule="auto"/>
              <w:jc w:val="center"/>
            </w:pPr>
            <w:r>
              <w:rPr>
                <w:rFonts w:ascii="宋体" w:hAnsi="宋体" w:eastAsia="宋体" w:cs="宋体"/>
                <w:b w:val="0"/>
              </w:rPr>
              <w:t>发起份额总数</w:t>
            </w:r>
          </w:p>
        </w:tc>
        <w:tc>
          <w:tcPr>
            <w:tcW w:w="769" w:type="pct"/>
            <w:shd w:val="clear" w:color="auto" w:fill="D9D9D9"/>
            <w:vAlign w:val="center"/>
          </w:tcPr>
          <w:p>
            <w:pPr>
              <w:spacing w:line="240" w:lineRule="auto"/>
              <w:jc w:val="center"/>
            </w:pPr>
            <w:r>
              <w:rPr>
                <w:rFonts w:ascii="宋体" w:hAnsi="宋体" w:eastAsia="宋体" w:cs="宋体"/>
                <w:b w:val="0"/>
              </w:rPr>
              <w:t>发起份额占基金总份额比例</w:t>
            </w:r>
          </w:p>
        </w:tc>
        <w:tc>
          <w:tcPr>
            <w:tcW w:w="769" w:type="pct"/>
            <w:shd w:val="clear" w:color="auto" w:fill="D9D9D9"/>
            <w:vAlign w:val="center"/>
          </w:tcPr>
          <w:p>
            <w:pPr>
              <w:spacing w:line="240" w:lineRule="auto"/>
              <w:jc w:val="center"/>
            </w:pPr>
            <w:r>
              <w:rPr>
                <w:rFonts w:ascii="宋体" w:hAnsi="宋体" w:eastAsia="宋体" w:cs="宋体"/>
                <w:b w:val="0"/>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基金管理人固有资金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基金管理人高级管理人员</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1.37%</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1.37%</w:t>
            </w:r>
          </w:p>
        </w:tc>
        <w:tc>
          <w:tcPr>
            <w:tcW w:w="0" w:type="dxa"/>
            <w:vAlign w:val="center"/>
          </w:tcPr>
          <w:p>
            <w:pPr>
              <w:spacing w:line="240" w:lineRule="auto"/>
              <w:jc w:val="righ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基金经理等人员</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基金管理人股东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1.37%</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1.37%</w:t>
            </w:r>
          </w:p>
        </w:tc>
        <w:tc>
          <w:tcPr>
            <w:tcW w:w="0" w:type="dxa"/>
            <w:vAlign w:val="center"/>
          </w:tcPr>
          <w:p>
            <w:pPr>
              <w:spacing w:line="240" w:lineRule="auto"/>
              <w:jc w:val="right"/>
            </w:pPr>
            <w:r>
              <w:rPr>
                <w:rFonts w:ascii="宋体" w:hAnsi="宋体" w:eastAsia="宋体" w:cs="宋体"/>
                <w:b w:val="0"/>
              </w:rPr>
              <w:t>-</w:t>
            </w:r>
          </w:p>
        </w:tc>
      </w:tr>
    </w:tbl>
    <w:p>
      <w:pPr>
        <w:pStyle w:val="2"/>
        <w:jc w:val="center"/>
      </w:pPr>
      <w:bookmarkStart w:id="50" w:name="_Toc6192"/>
      <w:r>
        <w:rPr>
          <w:rFonts w:ascii="宋体" w:hAnsi="宋体" w:eastAsia="宋体" w:cs="宋体"/>
        </w:rPr>
        <w:t>§9 开放式基金份额变动</w:t>
      </w:r>
      <w:bookmarkEnd w:id="50"/>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东方阿尔法科技甄选混合发起A</w:t>
            </w:r>
          </w:p>
        </w:tc>
        <w:tc>
          <w:tcPr>
            <w:tcW w:w="1300" w:type="pct"/>
            <w:vAlign w:val="center"/>
          </w:tcPr>
          <w:p>
            <w:pPr>
              <w:spacing w:line="240" w:lineRule="auto"/>
              <w:jc w:val="center"/>
            </w:pPr>
            <w:r>
              <w:rPr>
                <w:rFonts w:ascii="宋体" w:hAnsi="宋体" w:eastAsia="宋体" w:cs="宋体"/>
                <w:b w:val="0"/>
              </w:rPr>
              <w:t>东方阿尔法科技甄选混合发起C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基金合同生效日（2025年10月30日）基金份额总额</w:t>
            </w:r>
          </w:p>
        </w:tc>
        <w:tc>
          <w:tcPr>
            <w:tcW w:w="1300" w:type="pct"/>
            <w:vAlign w:val="center"/>
          </w:tcPr>
          <w:p>
            <w:pPr>
              <w:spacing w:line="240" w:lineRule="auto"/>
              <w:jc w:val="right"/>
            </w:pPr>
            <w:r>
              <w:rPr>
                <w:rFonts w:ascii="宋体" w:hAnsi="宋体" w:eastAsia="宋体" w:cs="宋体"/>
                <w:b w:val="0"/>
              </w:rPr>
              <w:t>10,187,708.82</w:t>
            </w:r>
          </w:p>
        </w:tc>
        <w:tc>
          <w:tcPr>
            <w:tcW w:w="1300" w:type="pct"/>
            <w:vAlign w:val="center"/>
          </w:tcPr>
          <w:p>
            <w:pPr>
              <w:spacing w:line="240" w:lineRule="auto"/>
              <w:jc w:val="right"/>
            </w:pPr>
            <w:r>
              <w:rPr>
                <w:rFonts w:ascii="宋体" w:hAnsi="宋体" w:eastAsia="宋体" w:cs="宋体"/>
                <w:b w:val="0"/>
              </w:rPr>
              <w:t>204,530.00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本报告期期初基金份额总额</w:t>
            </w:r>
          </w:p>
        </w:tc>
        <w:tc>
          <w:tcPr>
            <w:tcW w:w="1300" w:type="pct"/>
            <w:vAlign w:val="center"/>
          </w:tcPr>
          <w:p>
            <w:pPr>
              <w:spacing w:line="240" w:lineRule="auto"/>
              <w:jc w:val="right"/>
            </w:pPr>
            <w:r>
              <w:rPr>
                <w:rFonts w:ascii="宋体" w:hAnsi="宋体" w:eastAsia="宋体" w:cs="宋体"/>
                <w:b w:val="0"/>
              </w:rPr>
              <w:t>15,899,534.58</w:t>
            </w:r>
          </w:p>
        </w:tc>
        <w:tc>
          <w:tcPr>
            <w:tcW w:w="1300" w:type="pct"/>
            <w:vAlign w:val="center"/>
          </w:tcPr>
          <w:p>
            <w:pPr>
              <w:spacing w:line="240" w:lineRule="auto"/>
              <w:jc w:val="right"/>
            </w:pPr>
            <w:r>
              <w:rPr>
                <w:rFonts w:ascii="宋体" w:hAnsi="宋体" w:eastAsia="宋体" w:cs="宋体"/>
                <w:b w:val="0"/>
              </w:rPr>
              <w:t>9,596,354.64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本报告期基金总申购份额</w:t>
            </w:r>
          </w:p>
        </w:tc>
        <w:tc>
          <w:tcPr>
            <w:tcW w:w="1300" w:type="pct"/>
            <w:vAlign w:val="center"/>
          </w:tcPr>
          <w:p>
            <w:pPr>
              <w:spacing w:line="240" w:lineRule="auto"/>
              <w:jc w:val="right"/>
            </w:pPr>
            <w:r>
              <w:rPr>
                <w:rFonts w:ascii="宋体" w:hAnsi="宋体" w:eastAsia="宋体" w:cs="宋体"/>
                <w:b w:val="0"/>
              </w:rPr>
              <w:t>32,334,114.38</w:t>
            </w:r>
          </w:p>
        </w:tc>
        <w:tc>
          <w:tcPr>
            <w:tcW w:w="1300" w:type="pct"/>
            <w:vAlign w:val="center"/>
          </w:tcPr>
          <w:p>
            <w:pPr>
              <w:spacing w:line="240" w:lineRule="auto"/>
              <w:jc w:val="right"/>
            </w:pPr>
            <w:r>
              <w:rPr>
                <w:rFonts w:ascii="宋体" w:hAnsi="宋体" w:eastAsia="宋体" w:cs="宋体"/>
                <w:b w:val="0"/>
              </w:rPr>
              <w:t>1,166,738,868.75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减：本报告期基金总赎回份额</w:t>
            </w:r>
          </w:p>
        </w:tc>
        <w:tc>
          <w:tcPr>
            <w:tcW w:w="1300" w:type="pct"/>
            <w:vAlign w:val="center"/>
          </w:tcPr>
          <w:p>
            <w:pPr>
              <w:spacing w:line="240" w:lineRule="auto"/>
              <w:jc w:val="right"/>
            </w:pPr>
            <w:r>
              <w:rPr>
                <w:rFonts w:ascii="宋体" w:hAnsi="宋体" w:eastAsia="宋体" w:cs="宋体"/>
                <w:b w:val="0"/>
              </w:rPr>
              <w:t>26,251,905.00</w:t>
            </w:r>
          </w:p>
        </w:tc>
        <w:tc>
          <w:tcPr>
            <w:tcW w:w="1300" w:type="pct"/>
            <w:vAlign w:val="center"/>
          </w:tcPr>
          <w:p>
            <w:pPr>
              <w:spacing w:line="240" w:lineRule="auto"/>
              <w:jc w:val="right"/>
            </w:pPr>
            <w:r>
              <w:rPr>
                <w:rFonts w:ascii="宋体" w:hAnsi="宋体" w:eastAsia="宋体" w:cs="宋体"/>
                <w:b w:val="0"/>
              </w:rPr>
              <w:t>466,157,442.62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本报告期基金拆分变动份额</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本报告期期末基金份额总额</w:t>
            </w:r>
          </w:p>
        </w:tc>
        <w:tc>
          <w:tcPr>
            <w:tcW w:w="1300" w:type="pct"/>
            <w:vAlign w:val="center"/>
          </w:tcPr>
          <w:p>
            <w:pPr>
              <w:spacing w:line="240" w:lineRule="auto"/>
              <w:jc w:val="right"/>
            </w:pPr>
            <w:r>
              <w:rPr>
                <w:rFonts w:ascii="宋体" w:hAnsi="宋体" w:eastAsia="宋体" w:cs="宋体"/>
                <w:b w:val="0"/>
              </w:rPr>
              <w:t>21,981,743.96</w:t>
            </w:r>
          </w:p>
        </w:tc>
        <w:tc>
          <w:tcPr>
            <w:tcW w:w="1300" w:type="pct"/>
            <w:vAlign w:val="center"/>
          </w:tcPr>
          <w:p>
            <w:pPr>
              <w:spacing w:line="240" w:lineRule="auto"/>
              <w:jc w:val="right"/>
            </w:pPr>
            <w:r>
              <w:rPr>
                <w:rFonts w:ascii="宋体" w:hAnsi="宋体" w:eastAsia="宋体" w:cs="宋体"/>
                <w:b w:val="0"/>
              </w:rPr>
              <w:t>710,177,780.77</w:t>
            </w:r>
          </w:p>
        </w:tc>
      </w:tr>
    </w:tbl>
    <w:p>
      <w:pPr>
        <w:pStyle w:val="2"/>
        <w:jc w:val="center"/>
      </w:pPr>
      <w:bookmarkStart w:id="51" w:name="_Toc20027"/>
      <w:r>
        <w:rPr>
          <w:rFonts w:ascii="宋体" w:hAnsi="宋体" w:eastAsia="宋体" w:cs="宋体"/>
        </w:rPr>
        <w:t>§10 重大事件揭示</w:t>
      </w:r>
      <w:bookmarkEnd w:id="51"/>
    </w:p>
    <w:p>
      <w:pPr>
        <w:pStyle w:val="3"/>
        <w:jc w:val="left"/>
      </w:pPr>
      <w:bookmarkStart w:id="52" w:name="_Toc53"/>
      <w:r>
        <w:rPr>
          <w:rFonts w:ascii="宋体" w:hAnsi="宋体" w:eastAsia="宋体" w:cs="宋体"/>
        </w:rPr>
        <w:t>10.1 基金份额持有人大会决议</w:t>
      </w:r>
      <w:bookmarkEnd w:id="52"/>
    </w:p>
    <w:p>
      <w:pPr>
        <w:jc w:val="left"/>
      </w:pPr>
      <w:r>
        <w:rPr>
          <w:rFonts w:ascii="宋体" w:hAnsi="宋体" w:eastAsia="宋体" w:cs="宋体"/>
          <w:b w:val="0"/>
        </w:rPr>
        <w:t xml:space="preserve">    本报告期内无基金份额持有人大会决议。</w:t>
      </w:r>
    </w:p>
    <w:p/>
    <w:p>
      <w:pPr>
        <w:pStyle w:val="3"/>
        <w:jc w:val="left"/>
      </w:pPr>
      <w:bookmarkStart w:id="53" w:name="_Toc5933"/>
      <w:r>
        <w:rPr>
          <w:rFonts w:ascii="宋体" w:hAnsi="宋体" w:eastAsia="宋体" w:cs="宋体"/>
        </w:rPr>
        <w:t>10.2 基金管理人、基金托管人的专门基金托管部门的重大人事变动</w:t>
      </w:r>
      <w:bookmarkEnd w:id="53"/>
    </w:p>
    <w:p>
      <w:pPr>
        <w:jc w:val="left"/>
      </w:pPr>
      <w:r>
        <w:rPr>
          <w:rFonts w:ascii="宋体" w:hAnsi="宋体" w:eastAsia="宋体" w:cs="宋体"/>
          <w:b w:val="0"/>
        </w:rPr>
        <w:t xml:space="preserve">    本报告期内，基金管理人、基金托管人无重大人事变动。</w:t>
      </w:r>
    </w:p>
    <w:p/>
    <w:p>
      <w:pPr>
        <w:pStyle w:val="3"/>
        <w:jc w:val="left"/>
      </w:pPr>
      <w:bookmarkStart w:id="54" w:name="_Toc4096"/>
      <w:r>
        <w:rPr>
          <w:rFonts w:ascii="宋体" w:hAnsi="宋体" w:eastAsia="宋体" w:cs="宋体"/>
        </w:rPr>
        <w:t>10.3 涉及基金管理人、基金财产、基金托管业务的诉讼</w:t>
      </w:r>
      <w:bookmarkEnd w:id="54"/>
    </w:p>
    <w:p>
      <w:pPr>
        <w:jc w:val="left"/>
      </w:pPr>
      <w:r>
        <w:rPr>
          <w:rFonts w:ascii="宋体" w:hAnsi="宋体" w:eastAsia="宋体" w:cs="宋体"/>
          <w:b w:val="0"/>
        </w:rPr>
        <w:t xml:space="preserve">    本报告期内，无涉及基金管理人、基金财产、基金托管业务的诉讼。</w:t>
      </w:r>
    </w:p>
    <w:p/>
    <w:p>
      <w:pPr>
        <w:pStyle w:val="3"/>
        <w:jc w:val="left"/>
      </w:pPr>
      <w:bookmarkStart w:id="55" w:name="_Toc24320"/>
      <w:r>
        <w:rPr>
          <w:rFonts w:ascii="宋体" w:hAnsi="宋体" w:eastAsia="宋体" w:cs="宋体"/>
        </w:rPr>
        <w:t>10.4 基金投资策略的改变</w:t>
      </w:r>
      <w:bookmarkEnd w:id="55"/>
    </w:p>
    <w:p>
      <w:pPr>
        <w:jc w:val="left"/>
      </w:pPr>
      <w:r>
        <w:rPr>
          <w:rFonts w:ascii="宋体" w:hAnsi="宋体" w:eastAsia="宋体" w:cs="宋体"/>
          <w:b w:val="0"/>
        </w:rPr>
        <w:t xml:space="preserve">    本报告期内本基金投资策略未改变。</w:t>
      </w:r>
    </w:p>
    <w:p/>
    <w:p>
      <w:pPr>
        <w:pStyle w:val="3"/>
        <w:jc w:val="left"/>
      </w:pPr>
      <w:bookmarkStart w:id="56" w:name="_Toc11653"/>
      <w:r>
        <w:rPr>
          <w:rFonts w:ascii="宋体" w:hAnsi="宋体" w:eastAsia="宋体" w:cs="宋体"/>
        </w:rPr>
        <w:t>10.5 为基金进行审计的会计师事务所情况</w:t>
      </w:r>
      <w:bookmarkEnd w:id="56"/>
    </w:p>
    <w:p>
      <w:pPr>
        <w:jc w:val="left"/>
      </w:pPr>
      <w:r>
        <w:rPr>
          <w:rFonts w:ascii="宋体" w:hAnsi="宋体" w:eastAsia="宋体" w:cs="宋体"/>
          <w:b w:val="0"/>
        </w:rPr>
        <w:t xml:space="preserve">    本报告期内本基金未更换会计师事务所。</w:t>
      </w:r>
    </w:p>
    <w:p/>
    <w:p>
      <w:pPr>
        <w:pStyle w:val="3"/>
        <w:jc w:val="left"/>
      </w:pPr>
      <w:bookmarkStart w:id="57" w:name="_Toc6040"/>
      <w:r>
        <w:rPr>
          <w:rFonts w:ascii="宋体" w:hAnsi="宋体" w:eastAsia="宋体" w:cs="宋体"/>
        </w:rPr>
        <w:t>10.6 管理人、托管人及相关从业人员受调查或处罚等情况</w:t>
      </w:r>
      <w:bookmarkEnd w:id="57"/>
    </w:p>
    <w:p>
      <w:pPr>
        <w:pStyle w:val="58"/>
      </w:pPr>
      <w:r>
        <w:rPr>
          <w:rFonts w:ascii="宋体" w:hAnsi="宋体" w:eastAsia="宋体" w:cs="宋体"/>
          <w:b/>
        </w:rPr>
        <w:t>10.6.1 管理人受调查或处罚等情况</w:t>
      </w:r>
    </w:p>
    <w:p>
      <w:pPr>
        <w:jc w:val="left"/>
      </w:pPr>
      <w:r>
        <w:rPr>
          <w:rFonts w:ascii="宋体" w:hAnsi="宋体" w:eastAsia="宋体" w:cs="宋体"/>
          <w:b w:val="0"/>
        </w:rPr>
        <w:t xml:space="preserve">    本报告期内，基金管理人没有受到监管部门调查或处罚。</w:t>
      </w:r>
    </w:p>
    <w:p/>
    <w:p>
      <w:pPr>
        <w:pStyle w:val="58"/>
      </w:pPr>
      <w:r>
        <w:rPr>
          <w:rFonts w:ascii="宋体" w:hAnsi="宋体" w:eastAsia="宋体" w:cs="宋体"/>
          <w:b/>
        </w:rPr>
        <w:t>10.6.2 管理人相关从业人员受调查或处罚等情况</w:t>
      </w:r>
    </w:p>
    <w:p>
      <w:pPr>
        <w:jc w:val="left"/>
      </w:pPr>
      <w:r>
        <w:rPr>
          <w:rFonts w:ascii="宋体" w:hAnsi="宋体" w:eastAsia="宋体" w:cs="宋体"/>
          <w:b w:val="0"/>
        </w:rPr>
        <w:t xml:space="preserve">    本报告期内，管理人高级管理人员、本基金基金经理等相关从业人员没有受到监管部门调查或处罚。</w:t>
      </w:r>
    </w:p>
    <w:p/>
    <w:p>
      <w:pPr>
        <w:pStyle w:val="58"/>
      </w:pPr>
      <w:r>
        <w:rPr>
          <w:rFonts w:ascii="宋体" w:hAnsi="宋体" w:eastAsia="宋体" w:cs="宋体"/>
          <w:b/>
        </w:rPr>
        <w:t>10.6.3 托管人受调查或处罚等情况</w:t>
      </w:r>
    </w:p>
    <w:p>
      <w:pPr>
        <w:jc w:val="left"/>
      </w:pPr>
      <w:r>
        <w:rPr>
          <w:rFonts w:ascii="宋体" w:hAnsi="宋体" w:eastAsia="宋体" w:cs="宋体"/>
          <w:b w:val="0"/>
        </w:rPr>
        <w:t xml:space="preserve">    本报告期内，基金托管人没有受到监管部门调查或处罚。</w:t>
      </w:r>
    </w:p>
    <w:p/>
    <w:p>
      <w:pPr>
        <w:pStyle w:val="58"/>
      </w:pPr>
      <w:r>
        <w:rPr>
          <w:rFonts w:ascii="宋体" w:hAnsi="宋体" w:eastAsia="宋体" w:cs="宋体"/>
          <w:b/>
        </w:rPr>
        <w:t>10.6.4 托管人相关从业人员受调查或处罚等情况</w:t>
      </w:r>
    </w:p>
    <w:p>
      <w:pPr>
        <w:jc w:val="left"/>
      </w:pPr>
      <w:r>
        <w:rPr>
          <w:rFonts w:ascii="宋体" w:hAnsi="宋体" w:eastAsia="宋体" w:cs="宋体"/>
          <w:b w:val="0"/>
        </w:rPr>
        <w:t xml:space="preserve">    本报告期内，基金托管人相关从业人员没有受到监管部门调查或处罚。</w:t>
      </w:r>
    </w:p>
    <w:p/>
    <w:p>
      <w:pPr>
        <w:pStyle w:val="3"/>
        <w:jc w:val="left"/>
      </w:pPr>
      <w:bookmarkStart w:id="58" w:name="_Toc32743"/>
      <w:r>
        <w:rPr>
          <w:rFonts w:ascii="宋体" w:hAnsi="宋体" w:eastAsia="宋体" w:cs="宋体"/>
        </w:rPr>
        <w:t>10.7 基金租用或者通过证券公司交易单元进行证券投资的相关情况</w:t>
      </w:r>
      <w:bookmarkEnd w:id="58"/>
    </w:p>
    <w:p>
      <w:pPr>
        <w:pStyle w:val="58"/>
      </w:pPr>
      <w:r>
        <w:rPr>
          <w:rFonts w:ascii="宋体" w:hAnsi="宋体" w:eastAsia="宋体" w:cs="宋体"/>
          <w:b/>
        </w:rPr>
        <w:t>10.7.1 基金租用或者通过证券公司交易单元进行股票投资及佣金支付情况</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1032"/>
        <w:gridCol w:w="1896"/>
        <w:gridCol w:w="1353"/>
        <w:gridCol w:w="1266"/>
        <w:gridCol w:w="1353"/>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pPr>
              <w:spacing w:line="240" w:lineRule="auto"/>
              <w:jc w:val="center"/>
            </w:pPr>
            <w:r>
              <w:rPr>
                <w:rFonts w:ascii="宋体" w:hAnsi="宋体" w:eastAsia="宋体" w:cs="宋体"/>
                <w:b w:val="0"/>
              </w:rPr>
              <w:t>券商名称</w:t>
            </w:r>
          </w:p>
        </w:tc>
        <w:tc>
          <w:tcPr>
            <w:tcW w:w="615" w:type="pct"/>
            <w:vMerge w:val="restart"/>
            <w:shd w:val="clear" w:color="auto" w:fill="D9D9D9"/>
            <w:vAlign w:val="center"/>
          </w:tcPr>
          <w:p>
            <w:pPr>
              <w:spacing w:line="240" w:lineRule="auto"/>
              <w:jc w:val="center"/>
            </w:pPr>
            <w:r>
              <w:rPr>
                <w:rFonts w:ascii="宋体" w:hAnsi="宋体" w:eastAsia="宋体" w:cs="宋体"/>
                <w:b w:val="0"/>
              </w:rPr>
              <w:t>交易单元数量</w:t>
            </w:r>
          </w:p>
        </w:tc>
        <w:tc>
          <w:tcPr>
            <w:tcW w:w="1231" w:type="pct"/>
            <w:gridSpan w:val="2"/>
            <w:shd w:val="clear" w:color="auto" w:fill="D9D9D9"/>
            <w:vAlign w:val="center"/>
          </w:tcPr>
          <w:p>
            <w:pPr>
              <w:spacing w:line="240" w:lineRule="auto"/>
              <w:jc w:val="center"/>
            </w:pPr>
            <w:r>
              <w:rPr>
                <w:rFonts w:ascii="宋体" w:hAnsi="宋体" w:eastAsia="宋体" w:cs="宋体"/>
                <w:b w:val="0"/>
              </w:rPr>
              <w:t>股票交易</w:t>
            </w:r>
          </w:p>
        </w:tc>
        <w:tc>
          <w:tcPr>
            <w:tcW w:w="1231" w:type="pct"/>
            <w:gridSpan w:val="2"/>
            <w:shd w:val="clear" w:color="auto" w:fill="D9D9D9"/>
            <w:vAlign w:val="center"/>
          </w:tcPr>
          <w:p>
            <w:pPr>
              <w:spacing w:line="240" w:lineRule="auto"/>
              <w:jc w:val="center"/>
            </w:pPr>
            <w:r>
              <w:rPr>
                <w:rFonts w:ascii="宋体" w:hAnsi="宋体" w:eastAsia="宋体" w:cs="宋体"/>
                <w:b w:val="0"/>
              </w:rPr>
              <w:t>应支付该券商的佣金</w:t>
            </w:r>
          </w:p>
        </w:tc>
        <w:tc>
          <w:tcPr>
            <w:tcW w:w="769" w:type="pct"/>
            <w:vMerge w:val="restart"/>
            <w:shd w:val="clear" w:color="auto" w:fill="D9D9D9"/>
            <w:vAlign w:val="center"/>
          </w:tcPr>
          <w:p>
            <w:pPr>
              <w:spacing w:line="240" w:lineRule="auto"/>
              <w:jc w:val="center"/>
            </w:pPr>
            <w:r>
              <w:rPr>
                <w:rFonts w:ascii="宋体" w:hAnsi="宋体" w:eastAsia="宋体" w:cs="宋体"/>
                <w:b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462" w:type="pct"/>
            <w:shd w:val="clear" w:color="auto" w:fill="D9D9D9"/>
            <w:vAlign w:val="center"/>
          </w:tcPr>
          <w:p>
            <w:pPr>
              <w:spacing w:line="240" w:lineRule="auto"/>
              <w:jc w:val="center"/>
            </w:pPr>
            <w:r>
              <w:rPr>
                <w:rFonts w:ascii="宋体" w:hAnsi="宋体" w:eastAsia="宋体" w:cs="宋体"/>
                <w:b w:val="0"/>
              </w:rPr>
              <w:t>成交金额</w:t>
            </w:r>
          </w:p>
        </w:tc>
        <w:tc>
          <w:tcPr>
            <w:tcW w:w="769" w:type="pct"/>
            <w:shd w:val="clear" w:color="auto" w:fill="D9D9D9"/>
            <w:vAlign w:val="center"/>
          </w:tcPr>
          <w:p>
            <w:pPr>
              <w:spacing w:line="240" w:lineRule="auto"/>
              <w:jc w:val="center"/>
            </w:pPr>
            <w:r>
              <w:rPr>
                <w:rFonts w:ascii="宋体" w:hAnsi="宋体" w:eastAsia="宋体" w:cs="宋体"/>
                <w:b w:val="0"/>
              </w:rPr>
              <w:t>占当期股票成交总额的比例</w:t>
            </w:r>
          </w:p>
        </w:tc>
        <w:tc>
          <w:tcPr>
            <w:tcW w:w="462" w:type="pct"/>
            <w:shd w:val="clear" w:color="auto" w:fill="D9D9D9"/>
            <w:vAlign w:val="center"/>
          </w:tcPr>
          <w:p>
            <w:pPr>
              <w:spacing w:line="240" w:lineRule="auto"/>
              <w:jc w:val="center"/>
            </w:pPr>
            <w:r>
              <w:rPr>
                <w:rFonts w:ascii="宋体" w:hAnsi="宋体" w:eastAsia="宋体" w:cs="宋体"/>
                <w:b w:val="0"/>
              </w:rPr>
              <w:t>佣金</w:t>
            </w:r>
          </w:p>
        </w:tc>
        <w:tc>
          <w:tcPr>
            <w:tcW w:w="769" w:type="pct"/>
            <w:shd w:val="clear" w:color="auto" w:fill="D9D9D9"/>
            <w:vAlign w:val="center"/>
          </w:tcPr>
          <w:p>
            <w:pPr>
              <w:spacing w:line="240" w:lineRule="auto"/>
              <w:jc w:val="center"/>
            </w:pPr>
            <w:r>
              <w:rPr>
                <w:rFonts w:ascii="宋体" w:hAnsi="宋体" w:eastAsia="宋体" w:cs="宋体"/>
                <w:b w:val="0"/>
              </w:rPr>
              <w:t>占当期佣金总量的比例</w:t>
            </w: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国联民生证券</w:t>
            </w:r>
          </w:p>
        </w:tc>
        <w:tc>
          <w:tcPr>
            <w:tcW w:w="0" w:type="dxa"/>
            <w:vAlign w:val="center"/>
          </w:tcPr>
          <w:p>
            <w:pPr>
              <w:spacing w:line="240" w:lineRule="auto"/>
              <w:jc w:val="right"/>
            </w:pPr>
            <w:r>
              <w:rPr>
                <w:rFonts w:ascii="宋体" w:hAnsi="宋体" w:eastAsia="宋体" w:cs="宋体"/>
                <w:b w:val="0"/>
              </w:rPr>
              <w:t>3</w:t>
            </w:r>
          </w:p>
        </w:tc>
        <w:tc>
          <w:tcPr>
            <w:tcW w:w="0" w:type="dxa"/>
            <w:vAlign w:val="center"/>
          </w:tcPr>
          <w:p>
            <w:pPr>
              <w:spacing w:line="240" w:lineRule="auto"/>
              <w:jc w:val="right"/>
            </w:pPr>
            <w:r>
              <w:rPr>
                <w:rFonts w:ascii="宋体" w:hAnsi="宋体" w:eastAsia="宋体" w:cs="宋体"/>
                <w:b w:val="0"/>
              </w:rPr>
              <w:t>1,856,011,466.64</w:t>
            </w:r>
          </w:p>
        </w:tc>
        <w:tc>
          <w:tcPr>
            <w:tcW w:w="0" w:type="dxa"/>
            <w:vAlign w:val="center"/>
          </w:tcPr>
          <w:p>
            <w:pPr>
              <w:spacing w:line="240" w:lineRule="auto"/>
              <w:jc w:val="right"/>
            </w:pPr>
            <w:r>
              <w:rPr>
                <w:rFonts w:ascii="宋体" w:hAnsi="宋体" w:eastAsia="宋体" w:cs="宋体"/>
                <w:b w:val="0"/>
              </w:rPr>
              <w:t>100.00%</w:t>
            </w:r>
          </w:p>
        </w:tc>
        <w:tc>
          <w:tcPr>
            <w:tcW w:w="0" w:type="dxa"/>
            <w:vAlign w:val="center"/>
          </w:tcPr>
          <w:p>
            <w:pPr>
              <w:spacing w:line="240" w:lineRule="auto"/>
              <w:jc w:val="right"/>
            </w:pPr>
            <w:r>
              <w:rPr>
                <w:rFonts w:ascii="宋体" w:hAnsi="宋体" w:eastAsia="宋体" w:cs="宋体"/>
                <w:b w:val="0"/>
              </w:rPr>
              <w:t>821,708.39</w:t>
            </w:r>
          </w:p>
        </w:tc>
        <w:tc>
          <w:tcPr>
            <w:tcW w:w="0" w:type="dxa"/>
            <w:vAlign w:val="center"/>
          </w:tcPr>
          <w:p>
            <w:pPr>
              <w:spacing w:line="240" w:lineRule="auto"/>
              <w:jc w:val="right"/>
            </w:pPr>
            <w:r>
              <w:rPr>
                <w:rFonts w:ascii="宋体" w:hAnsi="宋体" w:eastAsia="宋体" w:cs="宋体"/>
                <w:b w:val="0"/>
              </w:rPr>
              <w:t>100.00%</w:t>
            </w:r>
          </w:p>
        </w:tc>
        <w:tc>
          <w:tcPr>
            <w:tcW w:w="0" w:type="dxa"/>
            <w:vAlign w:val="center"/>
          </w:tcPr>
          <w:p>
            <w:pPr>
              <w:spacing w:line="240" w:lineRule="auto"/>
              <w:jc w:val="left"/>
            </w:pPr>
            <w:r>
              <w:rPr>
                <w:rFonts w:ascii="宋体" w:hAnsi="宋体" w:eastAsia="宋体" w:cs="宋体"/>
                <w:b w:val="0"/>
              </w:rPr>
              <w:t>-</w:t>
            </w:r>
          </w:p>
        </w:tc>
      </w:tr>
    </w:tbl>
    <w:p>
      <w:r>
        <w:rPr>
          <w:rFonts w:ascii="宋体" w:hAnsi="宋体" w:eastAsia="宋体" w:cs="宋体"/>
          <w:b w:val="0"/>
        </w:rPr>
        <w:t xml:space="preserve">注： </w:t>
      </w:r>
      <w:r>
        <w:rPr>
          <w:rFonts w:ascii="宋体" w:hAnsi="宋体" w:eastAsia="宋体" w:cs="宋体"/>
          <w:b w:val="0"/>
        </w:rPr>
        <w:br w:type="textWrapping"/>
      </w:r>
      <w:r>
        <w:rPr>
          <w:rFonts w:ascii="宋体" w:hAnsi="宋体" w:eastAsia="宋体" w:cs="宋体"/>
          <w:b w:val="0"/>
        </w:rPr>
        <w:t xml:space="preserve">1、本基金采用证券公司交易结算模式，可豁免单个券商的交易佣金的比例限制。本报告期内本基金与证券经纪商不存在关联方关系。 </w:t>
      </w:r>
      <w:r>
        <w:rPr>
          <w:rFonts w:ascii="宋体" w:hAnsi="宋体" w:eastAsia="宋体" w:cs="宋体"/>
          <w:b w:val="0"/>
        </w:rPr>
        <w:br w:type="textWrapping"/>
      </w:r>
      <w:r>
        <w:rPr>
          <w:rFonts w:ascii="宋体" w:hAnsi="宋体" w:eastAsia="宋体" w:cs="宋体"/>
          <w:b w:val="0"/>
        </w:rPr>
        <w:t xml:space="preserve">2、本基金管理人负责选择财务状况良好、经营行为规范、合规风控能力和交易、研究等服务能力较强的证券公司参与证券交易。证券公司的选择标准如下： </w:t>
      </w:r>
      <w:r>
        <w:rPr>
          <w:rFonts w:ascii="宋体" w:hAnsi="宋体" w:eastAsia="宋体" w:cs="宋体"/>
          <w:b w:val="0"/>
        </w:rPr>
        <w:br w:type="textWrapping"/>
      </w:r>
      <w:r>
        <w:rPr>
          <w:rFonts w:ascii="宋体" w:hAnsi="宋体" w:eastAsia="宋体" w:cs="宋体"/>
          <w:b w:val="0"/>
        </w:rPr>
        <w:t>1）经营行为稳健规范，内控制度健全，在业内有良好的声誉，遵守国家及证券监督机构各项法律法规、监管规定；</w:t>
      </w:r>
      <w:r>
        <w:rPr>
          <w:rFonts w:ascii="宋体" w:hAnsi="宋体" w:eastAsia="宋体" w:cs="宋体"/>
          <w:b w:val="0"/>
        </w:rPr>
        <w:br w:type="textWrapping"/>
      </w:r>
      <w:r>
        <w:rPr>
          <w:rFonts w:ascii="宋体" w:hAnsi="宋体" w:eastAsia="宋体" w:cs="宋体"/>
          <w:b w:val="0"/>
        </w:rPr>
        <w:t xml:space="preserve">2）具备基金运作所需的高效、安全的通讯条件，交易设施稳定、响应支持及时、能满足公募基金采用券商结算模式进行证券交易和结算的需要； </w:t>
      </w:r>
      <w:r>
        <w:rPr>
          <w:rFonts w:ascii="宋体" w:hAnsi="宋体" w:eastAsia="宋体" w:cs="宋体"/>
          <w:b w:val="0"/>
        </w:rPr>
        <w:br w:type="textWrapping"/>
      </w:r>
      <w:r>
        <w:rPr>
          <w:rFonts w:ascii="宋体" w:hAnsi="宋体" w:eastAsia="宋体" w:cs="宋体"/>
          <w:b w:val="0"/>
        </w:rPr>
        <w:t xml:space="preserve">3）具有较强的全方位金融服务能力和水平，包括但不限于：有较好的研究能力和行业分析能力，能及时、全面地向公司提供高质量的关于宏观、行业及市场走向、个股分析的报告及丰富全面的信息服务；能根据公司所管理基金的特定要求，提供专门研究报告，具有开发量化投资组合模型的能力；能积极为公司投资业务的开展，投资信息的交流以及其他方面业务的开展提供良好的服务和支持； </w:t>
      </w:r>
      <w:r>
        <w:rPr>
          <w:rFonts w:ascii="宋体" w:hAnsi="宋体" w:eastAsia="宋体" w:cs="宋体"/>
          <w:b w:val="0"/>
        </w:rPr>
        <w:br w:type="textWrapping"/>
      </w:r>
      <w:r>
        <w:rPr>
          <w:rFonts w:ascii="宋体" w:hAnsi="宋体" w:eastAsia="宋体" w:cs="宋体"/>
          <w:b w:val="0"/>
        </w:rPr>
        <w:t xml:space="preserve">4）资金划付、交收、调整、差异处理及时，且基金交易、结算、对账等数据的提供能满足券商结算模式下T+0估值的时效性要求。 </w:t>
      </w:r>
      <w:r>
        <w:rPr>
          <w:rFonts w:ascii="宋体" w:hAnsi="宋体" w:eastAsia="宋体" w:cs="宋体"/>
          <w:b w:val="0"/>
        </w:rPr>
        <w:br w:type="textWrapping"/>
      </w:r>
      <w:r>
        <w:rPr>
          <w:rFonts w:ascii="宋体" w:hAnsi="宋体" w:eastAsia="宋体" w:cs="宋体"/>
          <w:b w:val="0"/>
        </w:rPr>
        <w:t xml:space="preserve">3、基金专用交易单元的选择程序如下： </w:t>
      </w:r>
      <w:r>
        <w:rPr>
          <w:rFonts w:ascii="宋体" w:hAnsi="宋体" w:eastAsia="宋体" w:cs="宋体"/>
          <w:b w:val="0"/>
        </w:rPr>
        <w:br w:type="textWrapping"/>
      </w:r>
      <w:r>
        <w:rPr>
          <w:rFonts w:ascii="宋体" w:hAnsi="宋体" w:eastAsia="宋体" w:cs="宋体"/>
          <w:b w:val="0"/>
        </w:rPr>
        <w:t xml:space="preserve">1）选择的证券公司应符合公司规章制度的基本条件； </w:t>
      </w:r>
      <w:r>
        <w:rPr>
          <w:rFonts w:ascii="宋体" w:hAnsi="宋体" w:eastAsia="宋体" w:cs="宋体"/>
          <w:b w:val="0"/>
        </w:rPr>
        <w:br w:type="textWrapping"/>
      </w:r>
      <w:r>
        <w:rPr>
          <w:rFonts w:ascii="宋体" w:hAnsi="宋体" w:eastAsia="宋体" w:cs="宋体"/>
          <w:b w:val="0"/>
        </w:rPr>
        <w:t xml:space="preserve">2）中央交易室征求投研部门及运作保障部意见，筛选候选证券公司，并提交投委会审定； </w:t>
      </w:r>
      <w:r>
        <w:rPr>
          <w:rFonts w:ascii="宋体" w:hAnsi="宋体" w:eastAsia="宋体" w:cs="宋体"/>
          <w:b w:val="0"/>
        </w:rPr>
        <w:br w:type="textWrapping"/>
      </w:r>
      <w:r>
        <w:rPr>
          <w:rFonts w:ascii="宋体" w:hAnsi="宋体" w:eastAsia="宋体" w:cs="宋体"/>
          <w:b w:val="0"/>
        </w:rPr>
        <w:t xml:space="preserve">3）中央交易室负责与选定的证券公司签订经纪服务协议，运作保障部和监察稽核部协助对合同进行审核，确保条款严谨且符合合规要求； </w:t>
      </w:r>
      <w:r>
        <w:rPr>
          <w:rFonts w:ascii="宋体" w:hAnsi="宋体" w:eastAsia="宋体" w:cs="宋体"/>
          <w:b w:val="0"/>
        </w:rPr>
        <w:br w:type="textWrapping"/>
      </w:r>
      <w:r>
        <w:rPr>
          <w:rFonts w:ascii="宋体" w:hAnsi="宋体" w:eastAsia="宋体" w:cs="宋体"/>
          <w:b w:val="0"/>
        </w:rPr>
        <w:t xml:space="preserve">4）经纪服务协议签订后，由中央交易室与证券公司完成开户，并与运作保障部共同完成与证券公司的系统对接、参数设置等交易准备工作，确保系统稳定性和交易流程顺畅。 </w:t>
      </w:r>
      <w:r>
        <w:rPr>
          <w:rFonts w:ascii="宋体" w:hAnsi="宋体" w:eastAsia="宋体" w:cs="宋体"/>
          <w:b w:val="0"/>
        </w:rPr>
        <w:br w:type="textWrapping"/>
      </w:r>
      <w:r>
        <w:rPr>
          <w:rFonts w:ascii="宋体" w:hAnsi="宋体" w:eastAsia="宋体" w:cs="宋体"/>
          <w:b w:val="0"/>
        </w:rPr>
        <w:t>4、报告期内租用证券公司交易单元的变更情况：</w:t>
      </w:r>
      <w:r>
        <w:rPr>
          <w:rFonts w:ascii="宋体" w:hAnsi="宋体" w:eastAsia="宋体" w:cs="宋体"/>
          <w:b w:val="0"/>
        </w:rPr>
        <w:br w:type="textWrapping"/>
      </w:r>
      <w:r>
        <w:rPr>
          <w:rFonts w:ascii="宋体" w:hAnsi="宋体" w:eastAsia="宋体" w:cs="宋体"/>
          <w:b w:val="0"/>
        </w:rPr>
        <w:t xml:space="preserve">（1）本基金报告期内新增租用交易单元情况：无。 </w:t>
      </w:r>
      <w:r>
        <w:rPr>
          <w:rFonts w:ascii="宋体" w:hAnsi="宋体" w:eastAsia="宋体" w:cs="宋体"/>
          <w:b w:val="0"/>
        </w:rPr>
        <w:br w:type="textWrapping"/>
      </w:r>
      <w:r>
        <w:rPr>
          <w:rFonts w:ascii="宋体" w:hAnsi="宋体" w:eastAsia="宋体" w:cs="宋体"/>
          <w:b w:val="0"/>
        </w:rPr>
        <w:t>（2）本基金报告期内停止租用交易单元情况：无。</w:t>
      </w:r>
    </w:p>
    <w:p/>
    <w:p>
      <w:pPr>
        <w:pStyle w:val="58"/>
      </w:pPr>
      <w:r>
        <w:rPr>
          <w:rFonts w:ascii="宋体" w:hAnsi="宋体" w:eastAsia="宋体" w:cs="宋体"/>
          <w:b/>
        </w:rPr>
        <w:t>10.7.2 基金租用或者通过证券公司交易单元进行其他证券投资的情况</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1581"/>
        <w:gridCol w:w="951"/>
        <w:gridCol w:w="903"/>
        <w:gridCol w:w="928"/>
        <w:gridCol w:w="926"/>
        <w:gridCol w:w="929"/>
        <w:gridCol w:w="927"/>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2" w:type="pct"/>
            <w:vMerge w:val="restart"/>
            <w:shd w:val="clear" w:color="auto" w:fill="D9D9D9"/>
            <w:vAlign w:val="center"/>
          </w:tcPr>
          <w:p>
            <w:pPr>
              <w:spacing w:line="240" w:lineRule="auto"/>
              <w:jc w:val="center"/>
            </w:pPr>
            <w:r>
              <w:rPr>
                <w:rFonts w:ascii="宋体" w:hAnsi="宋体" w:eastAsia="宋体" w:cs="宋体"/>
                <w:b w:val="0"/>
              </w:rPr>
              <w:t>券商名称</w:t>
            </w:r>
          </w:p>
        </w:tc>
        <w:tc>
          <w:tcPr>
            <w:tcW w:w="1077" w:type="pct"/>
            <w:gridSpan w:val="2"/>
            <w:shd w:val="clear" w:color="auto" w:fill="D9D9D9"/>
            <w:vAlign w:val="center"/>
          </w:tcPr>
          <w:p>
            <w:pPr>
              <w:spacing w:line="240" w:lineRule="auto"/>
              <w:jc w:val="center"/>
            </w:pPr>
            <w:r>
              <w:rPr>
                <w:rFonts w:ascii="宋体" w:hAnsi="宋体" w:eastAsia="宋体" w:cs="宋体"/>
                <w:b w:val="0"/>
              </w:rPr>
              <w:t>债券交易</w:t>
            </w:r>
          </w:p>
        </w:tc>
        <w:tc>
          <w:tcPr>
            <w:tcW w:w="1077" w:type="pct"/>
            <w:gridSpan w:val="2"/>
            <w:shd w:val="clear" w:color="auto" w:fill="D9D9D9"/>
            <w:vAlign w:val="center"/>
          </w:tcPr>
          <w:p>
            <w:pPr>
              <w:spacing w:line="240" w:lineRule="auto"/>
              <w:jc w:val="center"/>
            </w:pPr>
            <w:r>
              <w:rPr>
                <w:rFonts w:ascii="宋体" w:hAnsi="宋体" w:eastAsia="宋体" w:cs="宋体"/>
                <w:b w:val="0"/>
              </w:rPr>
              <w:t>债券回购交易</w:t>
            </w:r>
          </w:p>
        </w:tc>
        <w:tc>
          <w:tcPr>
            <w:tcW w:w="1077" w:type="pct"/>
            <w:gridSpan w:val="2"/>
            <w:shd w:val="clear" w:color="auto" w:fill="D9D9D9"/>
            <w:vAlign w:val="center"/>
          </w:tcPr>
          <w:p>
            <w:pPr>
              <w:spacing w:line="240" w:lineRule="auto"/>
              <w:jc w:val="center"/>
            </w:pPr>
            <w:r>
              <w:rPr>
                <w:rFonts w:ascii="宋体" w:hAnsi="宋体" w:eastAsia="宋体" w:cs="宋体"/>
                <w:b w:val="0"/>
              </w:rPr>
              <w:t>权证交易</w:t>
            </w:r>
          </w:p>
        </w:tc>
        <w:tc>
          <w:tcPr>
            <w:tcW w:w="1077" w:type="pct"/>
            <w:gridSpan w:val="2"/>
            <w:shd w:val="clear" w:color="auto" w:fill="D9D9D9"/>
            <w:vAlign w:val="center"/>
          </w:tcPr>
          <w:p>
            <w:pPr>
              <w:spacing w:line="240" w:lineRule="auto"/>
              <w:jc w:val="center"/>
            </w:pPr>
            <w:r>
              <w:rPr>
                <w:rFonts w:ascii="宋体" w:hAnsi="宋体" w:eastAsia="宋体" w:cs="宋体"/>
                <w:b w:val="0"/>
              </w:rPr>
              <w:t>基金交易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占当期债券成交总额的比例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占当期债券回购成交总额的比例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占当期权证成交总额的比例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占当期基金成交总额的比例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2" w:type="pct"/>
            <w:vAlign w:val="center"/>
          </w:tcPr>
          <w:p>
            <w:pPr>
              <w:spacing w:line="240" w:lineRule="auto"/>
              <w:jc w:val="left"/>
            </w:pPr>
            <w:r>
              <w:rPr>
                <w:rFonts w:ascii="宋体" w:hAnsi="宋体" w:eastAsia="宋体" w:cs="宋体"/>
                <w:b w:val="0"/>
              </w:rPr>
              <w:t>国联民生证券</w:t>
            </w:r>
          </w:p>
        </w:tc>
        <w:tc>
          <w:tcPr>
            <w:tcW w:w="538" w:type="pct"/>
            <w:vAlign w:val="center"/>
          </w:tcPr>
          <w:p>
            <w:pPr>
              <w:spacing w:line="240" w:lineRule="auto"/>
              <w:jc w:val="right"/>
            </w:pPr>
            <w:r>
              <w:rPr>
                <w:rFonts w:ascii="宋体" w:hAnsi="宋体" w:eastAsia="宋体" w:cs="宋体"/>
                <w:b w:val="0"/>
              </w:rPr>
              <w:t>82,227,960.98</w:t>
            </w:r>
          </w:p>
        </w:tc>
        <w:tc>
          <w:tcPr>
            <w:tcW w:w="538" w:type="pct"/>
            <w:vAlign w:val="center"/>
          </w:tcPr>
          <w:p>
            <w:pPr>
              <w:spacing w:line="240" w:lineRule="auto"/>
              <w:jc w:val="right"/>
            </w:pPr>
            <w:r>
              <w:rPr>
                <w:rFonts w:ascii="宋体" w:hAnsi="宋体" w:eastAsia="宋体" w:cs="宋体"/>
                <w:b w:val="0"/>
              </w:rPr>
              <w:t>100.00%</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r>
    </w:tbl>
    <w:p/>
    <w:p>
      <w:pPr>
        <w:pStyle w:val="3"/>
        <w:jc w:val="left"/>
      </w:pPr>
      <w:bookmarkStart w:id="59" w:name="_Toc7447"/>
      <w:r>
        <w:rPr>
          <w:rFonts w:ascii="宋体" w:hAnsi="宋体" w:eastAsia="宋体" w:cs="宋体"/>
        </w:rPr>
        <w:t>10.8 其他重大事件</w:t>
      </w:r>
      <w:bookmarkEnd w:id="5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429"/>
        <w:gridCol w:w="2000"/>
        <w:gridCol w:w="1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85" w:type="pct"/>
            <w:shd w:val="clear" w:color="auto" w:fill="D9D9D9"/>
            <w:vAlign w:val="center"/>
          </w:tcPr>
          <w:p>
            <w:pPr>
              <w:spacing w:line="240" w:lineRule="auto"/>
              <w:jc w:val="center"/>
            </w:pPr>
            <w:r>
              <w:rPr>
                <w:rFonts w:ascii="宋体" w:hAnsi="宋体" w:eastAsia="宋体" w:cs="宋体"/>
                <w:b w:val="0"/>
              </w:rPr>
              <w:t>公告事项</w:t>
            </w:r>
          </w:p>
        </w:tc>
        <w:tc>
          <w:tcPr>
            <w:tcW w:w="1077" w:type="pct"/>
            <w:shd w:val="clear" w:color="auto" w:fill="D9D9D9"/>
            <w:vAlign w:val="center"/>
          </w:tcPr>
          <w:p>
            <w:pPr>
              <w:spacing w:line="240" w:lineRule="auto"/>
              <w:jc w:val="center"/>
            </w:pPr>
            <w:r>
              <w:rPr>
                <w:rFonts w:ascii="宋体" w:hAnsi="宋体" w:eastAsia="宋体" w:cs="宋体"/>
                <w:b w:val="0"/>
              </w:rPr>
              <w:t>法定披露方式</w:t>
            </w:r>
          </w:p>
        </w:tc>
        <w:tc>
          <w:tcPr>
            <w:tcW w:w="923" w:type="pct"/>
            <w:shd w:val="clear" w:color="auto" w:fill="D9D9D9"/>
            <w:vAlign w:val="center"/>
          </w:tcPr>
          <w:p>
            <w:pPr>
              <w:spacing w:line="240" w:lineRule="auto"/>
              <w:jc w:val="center"/>
            </w:pPr>
            <w:r>
              <w:rPr>
                <w:rFonts w:ascii="宋体" w:hAnsi="宋体" w:eastAsia="宋体" w:cs="宋体"/>
                <w:b w:val="0"/>
              </w:rPr>
              <w:t>法定披露日期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东方阿尔法科技甄选混合型发起式证券投资基金2025年第四季度报告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东方阿尔法基金管理有限公司旗下部分公募基金2025年第四季度报告提示性公告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东方阿尔法基金管理有限公司关于旗下部分基金增加华泰证券股份有限公司为销售机构的公告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pPr>
              <w:spacing w:line="240" w:lineRule="auto"/>
              <w:jc w:val="center"/>
            </w:pPr>
            <w:r>
              <w:rPr>
                <w:rFonts w:ascii="宋体" w:hAnsi="宋体" w:eastAsia="宋体" w:cs="宋体"/>
                <w:b w:val="0"/>
              </w:rPr>
              <w:t>2026-01-30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东方阿尔法基金管理有限公司旗下公募基金通过证券公司交易及佣金支付情况（2025年度）</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东方阿尔法基金管理有限公司旗下公募基金2025年年度报告提示性公告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东方阿尔法科技甄选混合型发起式证券投资基金2025年年度报告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东方阿尔法基金管理有限公司旗下部分公募基金2026年第一季度报告提示性公告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东方阿尔法科技甄选混合型发起式证券投资基金2026年第一季度报告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东方阿尔法基金管理有限公司对外行使投票表决权（2025年度）情况信息披露</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东方阿尔法基金管理有限公司关于旗下基金增加易方达财富管理基金销售（广州）有限公司为销售机构的公告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pPr>
              <w:spacing w:line="240" w:lineRule="auto"/>
              <w:jc w:val="center"/>
            </w:pPr>
            <w:r>
              <w:rPr>
                <w:rFonts w:ascii="宋体" w:hAnsi="宋体" w:eastAsia="宋体" w:cs="宋体"/>
                <w:b w:val="0"/>
              </w:rPr>
              <w:t>2026-05-08</w:t>
            </w:r>
          </w:p>
        </w:tc>
      </w:tr>
    </w:tbl>
    <w:p>
      <w:pPr>
        <w:pStyle w:val="2"/>
        <w:jc w:val="center"/>
      </w:pPr>
      <w:bookmarkStart w:id="60" w:name="_Toc9762"/>
      <w:r>
        <w:rPr>
          <w:rFonts w:ascii="宋体" w:hAnsi="宋体" w:eastAsia="宋体" w:cs="宋体"/>
        </w:rPr>
        <w:t>§11 影响投资者决策的其他重要信息</w:t>
      </w:r>
      <w:bookmarkEnd w:id="60"/>
    </w:p>
    <w:p>
      <w:pPr>
        <w:pStyle w:val="3"/>
        <w:jc w:val="left"/>
      </w:pPr>
      <w:bookmarkStart w:id="61" w:name="_Toc94"/>
      <w:r>
        <w:rPr>
          <w:rFonts w:ascii="宋体" w:hAnsi="宋体" w:eastAsia="宋体" w:cs="宋体"/>
        </w:rPr>
        <w:t>11.1 报告期内单一投资者持有基金份额比例达到或超过20%的情况</w:t>
      </w:r>
      <w:bookmarkEnd w:id="61"/>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1991"/>
        <w:gridCol w:w="1581"/>
        <w:gridCol w:w="1581"/>
        <w:gridCol w:w="922"/>
        <w:gridCol w:w="1581"/>
        <w:gridCol w:w="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9" w:type="pct"/>
            <w:vMerge w:val="restart"/>
            <w:shd w:val="clear" w:color="auto" w:fill="D9D9D9"/>
            <w:vAlign w:val="center"/>
          </w:tcPr>
          <w:p>
            <w:pPr>
              <w:spacing w:line="240" w:lineRule="auto"/>
              <w:jc w:val="center"/>
            </w:pPr>
            <w:r>
              <w:rPr>
                <w:rFonts w:ascii="宋体" w:hAnsi="宋体" w:eastAsia="宋体" w:cs="宋体"/>
                <w:b w:val="0"/>
              </w:rPr>
              <w:t>投资者类别</w:t>
            </w:r>
          </w:p>
        </w:tc>
        <w:tc>
          <w:tcPr>
            <w:tcW w:w="3192" w:type="pct"/>
            <w:gridSpan w:val="5"/>
            <w:shd w:val="clear" w:color="auto" w:fill="D9D9D9"/>
            <w:vAlign w:val="center"/>
          </w:tcPr>
          <w:p>
            <w:pPr>
              <w:spacing w:line="240" w:lineRule="auto"/>
              <w:jc w:val="center"/>
            </w:pPr>
            <w:r>
              <w:rPr>
                <w:rFonts w:ascii="宋体" w:hAnsi="宋体" w:eastAsia="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hAnsi="宋体" w:eastAsia="宋体" w:cs="宋体"/>
                <w:b w:val="0"/>
              </w:rPr>
              <w:t>报告期末持有基金情况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269" w:type="pct"/>
            <w:shd w:val="clear" w:color="auto" w:fill="D9D9D9"/>
            <w:vAlign w:val="center"/>
          </w:tcPr>
          <w:p>
            <w:pPr>
              <w:spacing w:line="240" w:lineRule="auto"/>
              <w:jc w:val="center"/>
            </w:pPr>
            <w:r>
              <w:rPr>
                <w:rFonts w:ascii="宋体" w:hAnsi="宋体" w:eastAsia="宋体" w:cs="宋体"/>
                <w:b w:val="0"/>
              </w:rPr>
              <w:t>序号</w:t>
            </w:r>
          </w:p>
        </w:tc>
        <w:tc>
          <w:tcPr>
            <w:tcW w:w="1346" w:type="pct"/>
            <w:shd w:val="clear" w:color="auto" w:fill="D9D9D9"/>
            <w:vAlign w:val="center"/>
          </w:tcPr>
          <w:p>
            <w:pPr>
              <w:spacing w:line="240" w:lineRule="auto"/>
              <w:jc w:val="center"/>
            </w:pPr>
            <w:r>
              <w:rPr>
                <w:rFonts w:ascii="宋体" w:hAnsi="宋体" w:eastAsia="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hAnsi="宋体" w:eastAsia="宋体" w:cs="宋体"/>
                <w:b w:val="0"/>
              </w:rPr>
              <w:t>期初份额</w:t>
            </w:r>
          </w:p>
        </w:tc>
        <w:tc>
          <w:tcPr>
            <w:tcW w:w="615" w:type="pct"/>
            <w:shd w:val="clear" w:color="auto" w:fill="D9D9D9"/>
            <w:vAlign w:val="center"/>
          </w:tcPr>
          <w:p>
            <w:pPr>
              <w:spacing w:line="240" w:lineRule="auto"/>
              <w:jc w:val="center"/>
            </w:pPr>
            <w:r>
              <w:rPr>
                <w:rFonts w:ascii="宋体" w:hAnsi="宋体" w:eastAsia="宋体" w:cs="宋体"/>
                <w:b w:val="0"/>
              </w:rPr>
              <w:t>申购份额</w:t>
            </w:r>
          </w:p>
        </w:tc>
        <w:tc>
          <w:tcPr>
            <w:tcW w:w="615" w:type="pct"/>
            <w:shd w:val="clear" w:color="auto" w:fill="D9D9D9"/>
            <w:vAlign w:val="center"/>
          </w:tcPr>
          <w:p>
            <w:pPr>
              <w:spacing w:line="240" w:lineRule="auto"/>
              <w:jc w:val="center"/>
            </w:pPr>
            <w:r>
              <w:rPr>
                <w:rFonts w:ascii="宋体" w:hAnsi="宋体" w:eastAsia="宋体" w:cs="宋体"/>
                <w:b w:val="0"/>
              </w:rPr>
              <w:t>赎回份额</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538" w:type="pct"/>
            <w:shd w:val="clear" w:color="auto" w:fill="D9D9D9"/>
            <w:vAlign w:val="center"/>
          </w:tcPr>
          <w:p>
            <w:pPr>
              <w:spacing w:line="240" w:lineRule="auto"/>
              <w:jc w:val="center"/>
            </w:pPr>
            <w:r>
              <w:rPr>
                <w:rFonts w:ascii="宋体" w:hAnsi="宋体" w:eastAsia="宋体" w:cs="宋体"/>
                <w:b w:val="0"/>
              </w:rPr>
              <w:t>份额占比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机构</w:t>
            </w:r>
          </w:p>
        </w:tc>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center"/>
            </w:pPr>
            <w:r>
              <w:rPr>
                <w:rFonts w:ascii="宋体" w:hAnsi="宋体" w:eastAsia="宋体" w:cs="宋体"/>
                <w:b w:val="0"/>
              </w:rPr>
              <w:t>2026年05月12日-2026年06月16日</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31,543,960.90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31,543,960.90</w:t>
            </w:r>
          </w:p>
        </w:tc>
        <w:tc>
          <w:tcPr>
            <w:tcW w:w="0" w:type="dxa"/>
            <w:vAlign w:val="center"/>
          </w:tcPr>
          <w:p>
            <w:pPr>
              <w:spacing w:line="240" w:lineRule="auto"/>
              <w:jc w:val="right"/>
            </w:pPr>
            <w:r>
              <w:rPr>
                <w:rFonts w:ascii="宋体" w:hAnsi="宋体" w:eastAsia="宋体" w:cs="宋体"/>
                <w:b w:val="0"/>
              </w:rPr>
              <w:t>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个人</w:t>
            </w:r>
          </w:p>
        </w:tc>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center"/>
            </w:pPr>
            <w:r>
              <w:rPr>
                <w:rFonts w:ascii="宋体" w:hAnsi="宋体" w:eastAsia="宋体" w:cs="宋体"/>
                <w:b w:val="0"/>
              </w:rPr>
              <w:t>2026年01月01日-2026年01月20日</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center"/>
            </w:pPr>
            <w:r>
              <w:rPr>
                <w:rFonts w:ascii="宋体" w:hAnsi="宋体" w:eastAsia="宋体" w:cs="宋体"/>
                <w:b w:val="0"/>
              </w:rPr>
              <w:t>产品特有风险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left"/>
            </w:pPr>
            <w:r>
              <w:rPr>
                <w:rFonts w:ascii="宋体" w:hAnsi="宋体" w:eastAsia="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r>
            <w:r>
              <w:rPr>
                <w:rFonts w:ascii="宋体" w:hAnsi="宋体" w:eastAsia="宋体" w:cs="宋体"/>
                <w:b w:val="0"/>
              </w:rPr>
              <w:br w:type="textWrapping"/>
            </w:r>
            <w:r>
              <w:rPr>
                <w:rFonts w:ascii="宋体" w:hAnsi="宋体" w:eastAsia="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r>
            <w:r>
              <w:rPr>
                <w:rFonts w:ascii="宋体" w:hAnsi="宋体" w:eastAsia="宋体" w:cs="宋体"/>
                <w:b w:val="0"/>
              </w:rPr>
              <w:br w:type="textWrapping"/>
            </w:r>
            <w:r>
              <w:rPr>
                <w:rFonts w:ascii="宋体" w:hAnsi="宋体" w:eastAsia="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r>
            <w:r>
              <w:rPr>
                <w:rFonts w:ascii="宋体" w:hAnsi="宋体" w:eastAsia="宋体" w:cs="宋体"/>
                <w:b w:val="0"/>
              </w:rPr>
              <w:br w:type="textWrapping"/>
            </w:r>
            <w:r>
              <w:rPr>
                <w:rFonts w:ascii="宋体" w:hAnsi="宋体" w:eastAsia="宋体" w:cs="宋体"/>
                <w:b w:val="0"/>
              </w:rPr>
              <w:t xml:space="preserve">    3、单一投资者巨额赎回可能导致本基金在短时间内无法变现足够的资产予以应对，可能会导致基金仓位调整困难，发生流动性风险。</w:t>
            </w:r>
            <w:r>
              <w:rPr>
                <w:rFonts w:ascii="宋体" w:hAnsi="宋体" w:eastAsia="宋体" w:cs="宋体"/>
                <w:b w:val="0"/>
              </w:rPr>
              <w:br w:type="textWrapping"/>
            </w:r>
            <w:r>
              <w:rPr>
                <w:rFonts w:ascii="宋体" w:hAnsi="宋体" w:eastAsia="宋体" w:cs="宋体"/>
                <w:b w:val="0"/>
              </w:rPr>
              <w:t xml:space="preserve">    4、持有基金份额占比较高的投资者在召开基金份额持有人大会并对重大事项进行投票表决时，可能拥有较大话语权。</w:t>
            </w:r>
            <w:r>
              <w:rPr>
                <w:rFonts w:ascii="宋体" w:hAnsi="宋体" w:eastAsia="宋体" w:cs="宋体"/>
                <w:b w:val="0"/>
              </w:rPr>
              <w:br w:type="textWrapping"/>
            </w:r>
            <w:r>
              <w:rPr>
                <w:rFonts w:ascii="宋体" w:hAnsi="宋体" w:eastAsia="宋体" w:cs="宋体"/>
                <w:b w:val="0"/>
              </w:rPr>
              <w:t xml:space="preserve">    5、超出基金管理人允许的单一投资者持有基金份额比例的申购申请不被确认的风险。</w:t>
            </w:r>
          </w:p>
        </w:tc>
      </w:tr>
    </w:tbl>
    <w:p/>
    <w:p>
      <w:pPr>
        <w:pStyle w:val="3"/>
        <w:jc w:val="left"/>
      </w:pPr>
      <w:bookmarkStart w:id="62" w:name="_Toc3078"/>
      <w:r>
        <w:rPr>
          <w:rFonts w:ascii="宋体" w:hAnsi="宋体" w:eastAsia="宋体" w:cs="宋体"/>
        </w:rPr>
        <w:t>11.2 影响投资者决策的其他重要信息</w:t>
      </w:r>
      <w:bookmarkEnd w:id="62"/>
    </w:p>
    <w:p>
      <w:pPr>
        <w:jc w:val="left"/>
      </w:pPr>
      <w:r>
        <w:rPr>
          <w:rFonts w:ascii="宋体" w:hAnsi="宋体" w:eastAsia="宋体" w:cs="宋体"/>
          <w:b w:val="0"/>
        </w:rPr>
        <w:t xml:space="preserve">    无。</w:t>
      </w:r>
    </w:p>
    <w:p>
      <w:pPr>
        <w:pStyle w:val="2"/>
        <w:jc w:val="center"/>
      </w:pPr>
      <w:bookmarkStart w:id="63" w:name="_Toc27305"/>
      <w:r>
        <w:rPr>
          <w:rFonts w:ascii="宋体" w:hAnsi="宋体" w:eastAsia="宋体" w:cs="宋体"/>
        </w:rPr>
        <w:t>§12 备查文件目录</w:t>
      </w:r>
      <w:bookmarkEnd w:id="63"/>
    </w:p>
    <w:p>
      <w:pPr>
        <w:pStyle w:val="3"/>
        <w:jc w:val="left"/>
      </w:pPr>
      <w:bookmarkStart w:id="64" w:name="_Toc6111"/>
      <w:r>
        <w:rPr>
          <w:rFonts w:ascii="宋体" w:hAnsi="宋体" w:eastAsia="宋体" w:cs="宋体"/>
        </w:rPr>
        <w:t>12.1 备查文件目录</w:t>
      </w:r>
      <w:bookmarkEnd w:id="64"/>
    </w:p>
    <w:p>
      <w:pPr>
        <w:jc w:val="left"/>
      </w:pPr>
      <w:r>
        <w:rPr>
          <w:rFonts w:ascii="宋体" w:hAnsi="宋体" w:eastAsia="宋体" w:cs="宋体"/>
          <w:b w:val="0"/>
        </w:rPr>
        <w:t xml:space="preserve">    1、中国证券监督管理委员会批准的东方阿尔法科技甄选混合型发起式证券投资基金设立的文件；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2、《东方阿尔法科技甄选混合型发起式证券投资基金基金合同》；</w:t>
      </w:r>
      <w:r>
        <w:rPr>
          <w:rFonts w:ascii="宋体" w:hAnsi="宋体" w:eastAsia="宋体" w:cs="宋体"/>
          <w:b w:val="0"/>
        </w:rPr>
        <w:br w:type="textWrapping"/>
      </w:r>
      <w:r>
        <w:rPr>
          <w:rFonts w:ascii="宋体" w:hAnsi="宋体" w:eastAsia="宋体" w:cs="宋体"/>
          <w:b w:val="0"/>
        </w:rPr>
        <w:t xml:space="preserve">    3、《东方阿尔法科技甄选混合型发起式证券投资基金托管协议》；</w:t>
      </w:r>
      <w:r>
        <w:rPr>
          <w:rFonts w:ascii="宋体" w:hAnsi="宋体" w:eastAsia="宋体" w:cs="宋体"/>
          <w:b w:val="0"/>
        </w:rPr>
        <w:br w:type="textWrapping"/>
      </w:r>
      <w:r>
        <w:rPr>
          <w:rFonts w:ascii="宋体" w:hAnsi="宋体" w:eastAsia="宋体" w:cs="宋体"/>
          <w:b w:val="0"/>
        </w:rPr>
        <w:t xml:space="preserve">    4、《东方阿尔法科技甄选混合型发起式证券投资基金招募说明书》（含更新）；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bookmarkStart w:id="65" w:name="_Toc2830"/>
      <w:r>
        <w:rPr>
          <w:rFonts w:ascii="宋体" w:hAnsi="宋体" w:eastAsia="宋体" w:cs="宋体"/>
        </w:rPr>
        <w:t>12.2 存放地点</w:t>
      </w:r>
      <w:bookmarkEnd w:id="65"/>
    </w:p>
    <w:p>
      <w:pPr>
        <w:jc w:val="left"/>
      </w:pPr>
      <w:r>
        <w:rPr>
          <w:rFonts w:ascii="宋体" w:hAnsi="宋体" w:eastAsia="宋体" w:cs="宋体"/>
          <w:b w:val="0"/>
        </w:rPr>
        <w:t xml:space="preserve">    基金管理人和基金托管人的住所。</w:t>
      </w:r>
    </w:p>
    <w:p/>
    <w:p>
      <w:bookmarkStart w:id="67" w:name="_GoBack"/>
      <w:bookmarkEnd w:id="67"/>
    </w:p>
    <w:p>
      <w:pPr>
        <w:pStyle w:val="3"/>
        <w:jc w:val="left"/>
      </w:pPr>
      <w:bookmarkStart w:id="66" w:name="_Toc32383"/>
      <w:r>
        <w:rPr>
          <w:rFonts w:ascii="宋体" w:hAnsi="宋体" w:eastAsia="宋体" w:cs="宋体"/>
        </w:rPr>
        <w:t>12.3 查阅方式</w:t>
      </w:r>
      <w:bookmarkEnd w:id="66"/>
    </w:p>
    <w:p>
      <w:pPr>
        <w:jc w:val="left"/>
      </w:pPr>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p/>
    <w:p/>
    <w:p>
      <w:pPr>
        <w:jc w:val="right"/>
      </w:pPr>
      <w:r>
        <w:rPr>
          <w:rFonts w:ascii="宋体" w:hAnsi="宋体" w:eastAsia="宋体" w:cs="宋体"/>
          <w:b/>
        </w:rPr>
        <w:t>东方阿尔法基金管理有限公司</w:t>
      </w:r>
    </w:p>
    <w:p>
      <w:pPr>
        <w:jc w:val="right"/>
      </w:pPr>
      <w:r>
        <w:rPr>
          <w:rFonts w:ascii="宋体" w:hAnsi="宋体" w:eastAsia="宋体" w:cs="宋体"/>
          <w:b/>
        </w:rPr>
        <w:t>二〇二六年八月三十一日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4</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4</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3</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东方阿尔法科技甄选混合型发起式证券投资基金2026年中期报告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2488"/>
    <w:rsid w:val="00010B6C"/>
    <w:rsid w:val="00031D8B"/>
    <w:rsid w:val="000920C1"/>
    <w:rsid w:val="000B14F1"/>
    <w:rsid w:val="000B761A"/>
    <w:rsid w:val="000D44F1"/>
    <w:rsid w:val="000F65E0"/>
    <w:rsid w:val="00176454"/>
    <w:rsid w:val="0019729C"/>
    <w:rsid w:val="001A0694"/>
    <w:rsid w:val="001E0E18"/>
    <w:rsid w:val="001E49DE"/>
    <w:rsid w:val="001E72DB"/>
    <w:rsid w:val="0026022A"/>
    <w:rsid w:val="00294812"/>
    <w:rsid w:val="002C6A0C"/>
    <w:rsid w:val="002D4665"/>
    <w:rsid w:val="00324653"/>
    <w:rsid w:val="00361AE0"/>
    <w:rsid w:val="00390DEF"/>
    <w:rsid w:val="003D4275"/>
    <w:rsid w:val="00416DB4"/>
    <w:rsid w:val="00434BB2"/>
    <w:rsid w:val="00435171"/>
    <w:rsid w:val="004673BB"/>
    <w:rsid w:val="004850E7"/>
    <w:rsid w:val="0048630B"/>
    <w:rsid w:val="004A07CE"/>
    <w:rsid w:val="004A5321"/>
    <w:rsid w:val="004D3C7D"/>
    <w:rsid w:val="004E3612"/>
    <w:rsid w:val="004F01F2"/>
    <w:rsid w:val="004F33D8"/>
    <w:rsid w:val="00501676"/>
    <w:rsid w:val="005037A9"/>
    <w:rsid w:val="0053328C"/>
    <w:rsid w:val="00536F98"/>
    <w:rsid w:val="0054091C"/>
    <w:rsid w:val="005826D5"/>
    <w:rsid w:val="005B565C"/>
    <w:rsid w:val="005B7A12"/>
    <w:rsid w:val="005D1F67"/>
    <w:rsid w:val="006935A0"/>
    <w:rsid w:val="0070349E"/>
    <w:rsid w:val="0079688F"/>
    <w:rsid w:val="007A761D"/>
    <w:rsid w:val="008256CB"/>
    <w:rsid w:val="00830A9A"/>
    <w:rsid w:val="00832DA1"/>
    <w:rsid w:val="008B009A"/>
    <w:rsid w:val="00917A48"/>
    <w:rsid w:val="0092608A"/>
    <w:rsid w:val="0093294F"/>
    <w:rsid w:val="009A27BD"/>
    <w:rsid w:val="009C2384"/>
    <w:rsid w:val="009F43BC"/>
    <w:rsid w:val="00A14485"/>
    <w:rsid w:val="00A44970"/>
    <w:rsid w:val="00A633EF"/>
    <w:rsid w:val="00AC1DF0"/>
    <w:rsid w:val="00B53B35"/>
    <w:rsid w:val="00B659D3"/>
    <w:rsid w:val="00BA7A55"/>
    <w:rsid w:val="00BB5F0B"/>
    <w:rsid w:val="00BB61EF"/>
    <w:rsid w:val="00BD2190"/>
    <w:rsid w:val="00C04DA6"/>
    <w:rsid w:val="00C05CA1"/>
    <w:rsid w:val="00C068DC"/>
    <w:rsid w:val="00C06BEF"/>
    <w:rsid w:val="00C32481"/>
    <w:rsid w:val="00C61278"/>
    <w:rsid w:val="00C76021"/>
    <w:rsid w:val="00CA18B4"/>
    <w:rsid w:val="00CD1619"/>
    <w:rsid w:val="00D91EBF"/>
    <w:rsid w:val="00DD0A6F"/>
    <w:rsid w:val="00DE3FE0"/>
    <w:rsid w:val="00DF6E0A"/>
    <w:rsid w:val="00E03297"/>
    <w:rsid w:val="00E046C2"/>
    <w:rsid w:val="00E220FA"/>
    <w:rsid w:val="00E419BE"/>
    <w:rsid w:val="00E62B5D"/>
    <w:rsid w:val="00E66A4F"/>
    <w:rsid w:val="00E80578"/>
    <w:rsid w:val="00E913D3"/>
    <w:rsid w:val="00EC0B7C"/>
    <w:rsid w:val="00F1496B"/>
    <w:rsid w:val="00F224E7"/>
    <w:rsid w:val="00F27AA3"/>
    <w:rsid w:val="00F30FD3"/>
    <w:rsid w:val="00F32DCB"/>
    <w:rsid w:val="00F362F0"/>
    <w:rsid w:val="00F430BB"/>
    <w:rsid w:val="00FA0949"/>
    <w:rsid w:val="00FE6EA6"/>
    <w:rsid w:val="00FF0044"/>
    <w:rsid w:val="00FF6BD1"/>
    <w:rsid w:val="17FF4F08"/>
    <w:rsid w:val="312016A7"/>
    <w:rsid w:val="328572ED"/>
    <w:rsid w:val="3E9A1429"/>
    <w:rsid w:val="5EE34946"/>
    <w:rsid w:val="62671060"/>
    <w:rsid w:val="641F1F80"/>
    <w:rsid w:val="67517C74"/>
    <w:rsid w:val="791E22E2"/>
    <w:rsid w:val="79242610"/>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qFormat="1" w:uiPriority="39" w:semiHidden="0" w:name="toc 4"/>
    <w:lsdException w:uiPriority="39" w:semiHidden="0" w:name="toc 5"/>
    <w:lsdException w:uiPriority="39" w:semiHidden="0" w:name="toc 6"/>
    <w:lsdException w:uiPriority="39" w:semiHidden="0" w:name="toc 7"/>
    <w:lsdException w:qFormat="1"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07AFA4-8649-47F8-9B5E-86887E39EEB3}">
  <ds:schemaRefs/>
</ds:datastoreItem>
</file>

<file path=docProps/app.xml><?xml version="1.0" encoding="utf-8"?>
<Properties xmlns="http://schemas.openxmlformats.org/officeDocument/2006/extended-properties" xmlns:vt="http://schemas.openxmlformats.org/officeDocument/2006/docPropsVTypes">
  <Template>Normal.dotm</Template>
  <Pages>50</Pages>
  <Words>29</Words>
  <Characters>166</Characters>
  <Lines>1</Lines>
  <Paragraphs>1</Paragraphs>
  <TotalTime>0</TotalTime>
  <ScaleCrop>false</ScaleCrop>
  <LinksUpToDate>false</LinksUpToDate>
  <CharactersWithSpaces>194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terms:modified xsi:type="dcterms:W3CDTF">2026-08-28T05:32:50Z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03AFEA5419F3496EB93D4A33F9C85FE2_12</vt:lpwstr>
  </property>
</Properties>
</file>