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7" w:name="_GoBack"/>
      <w:bookmarkEnd w:id="67"/>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东方阿尔法兴科一年持有期混合型证券投资基金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兴业银行股份有限公司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528"/>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8638"/>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兴业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本报告期自2026年01月01日起至2026年06月30日止。</w:t>
      </w:r>
    </w:p>
    <w:p w14:paraId="086E17BD">
      <w:r>
        <w:br w:type="page"/>
      </w:r>
    </w:p>
    <w:p w14:paraId="0291529B">
      <w:pPr>
        <w:pStyle w:val="3"/>
        <w:rPr>
          <w:rFonts w:ascii="宋体" w:hAnsi="宋体"/>
        </w:rPr>
      </w:pPr>
      <w:bookmarkStart w:id="4" w:name="_Toc12678"/>
      <w:r>
        <w:rPr>
          <w:rFonts w:hint="eastAsia" w:ascii="宋体" w:hAnsi="宋体"/>
        </w:rPr>
        <w:t>1</w:t>
      </w:r>
      <w:r>
        <w:rPr>
          <w:rFonts w:ascii="宋体" w:hAnsi="宋体"/>
        </w:rPr>
        <w:t xml:space="preserve">.2 </w:t>
      </w:r>
      <w:r>
        <w:rPr>
          <w:rFonts w:hint="eastAsia" w:ascii="宋体" w:hAnsi="宋体"/>
        </w:rPr>
        <w:t>目录</w:t>
      </w:r>
      <w:bookmarkEnd w:id="4"/>
    </w:p>
    <w:p w14:paraId="20151F50">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_Toc22528 </w:instrText>
      </w:r>
      <w:r>
        <w:fldChar w:fldCharType="separate"/>
      </w:r>
      <w:r>
        <w:rPr>
          <w:rFonts w:hint="eastAsia" w:ascii="宋体" w:hAnsi="宋体"/>
        </w:rPr>
        <w:t>§1 重要提示及目录</w:t>
      </w:r>
      <w:r>
        <w:tab/>
      </w:r>
      <w:r>
        <w:fldChar w:fldCharType="begin"/>
      </w:r>
      <w:r>
        <w:instrText xml:space="preserve"> PAGEREF _Toc22528 \h </w:instrText>
      </w:r>
      <w:r>
        <w:fldChar w:fldCharType="separate"/>
      </w:r>
      <w:r>
        <w:t>1</w:t>
      </w:r>
      <w:r>
        <w:fldChar w:fldCharType="end"/>
      </w:r>
      <w:r>
        <w:fldChar w:fldCharType="end"/>
      </w:r>
    </w:p>
    <w:p w14:paraId="3BD5EA96">
      <w:pPr>
        <w:pStyle w:val="22"/>
        <w:tabs>
          <w:tab w:val="right" w:leader="dot" w:pos="9070"/>
        </w:tabs>
      </w:pPr>
      <w:r>
        <w:fldChar w:fldCharType="begin"/>
      </w:r>
      <w:r>
        <w:instrText xml:space="preserve"> HYPERLINK \l _Toc8638 </w:instrText>
      </w:r>
      <w:r>
        <w:fldChar w:fldCharType="separate"/>
      </w:r>
      <w:r>
        <w:rPr>
          <w:rFonts w:hint="eastAsia" w:ascii="宋体" w:hAnsi="宋体"/>
        </w:rPr>
        <w:t>1.1 重要提示</w:t>
      </w:r>
      <w:r>
        <w:tab/>
      </w:r>
      <w:r>
        <w:fldChar w:fldCharType="begin"/>
      </w:r>
      <w:r>
        <w:instrText xml:space="preserve"> PAGEREF _Toc8638 \h </w:instrText>
      </w:r>
      <w:r>
        <w:fldChar w:fldCharType="separate"/>
      </w:r>
      <w:r>
        <w:t>1</w:t>
      </w:r>
      <w:r>
        <w:fldChar w:fldCharType="end"/>
      </w:r>
      <w:r>
        <w:fldChar w:fldCharType="end"/>
      </w:r>
    </w:p>
    <w:p w14:paraId="1BC7C70F">
      <w:pPr>
        <w:pStyle w:val="22"/>
        <w:tabs>
          <w:tab w:val="right" w:leader="dot" w:pos="9070"/>
        </w:tabs>
      </w:pPr>
      <w:r>
        <w:fldChar w:fldCharType="begin"/>
      </w:r>
      <w:r>
        <w:instrText xml:space="preserve"> HYPERLINK \l _Toc12678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_Toc12678 \h </w:instrText>
      </w:r>
      <w:r>
        <w:fldChar w:fldCharType="separate"/>
      </w:r>
      <w:r>
        <w:t>2</w:t>
      </w:r>
      <w:r>
        <w:fldChar w:fldCharType="end"/>
      </w:r>
      <w:r>
        <w:fldChar w:fldCharType="end"/>
      </w:r>
    </w:p>
    <w:p w14:paraId="73BC37B7">
      <w:pPr>
        <w:pStyle w:val="19"/>
        <w:tabs>
          <w:tab w:val="right" w:leader="dot" w:pos="9070"/>
          <w:tab w:val="clear" w:pos="9060"/>
        </w:tabs>
      </w:pPr>
      <w:r>
        <w:fldChar w:fldCharType="begin"/>
      </w:r>
      <w:r>
        <w:instrText xml:space="preserve"> HYPERLINK \l _Toc4501 </w:instrText>
      </w:r>
      <w:r>
        <w:fldChar w:fldCharType="separate"/>
      </w:r>
      <w:r>
        <w:rPr>
          <w:rFonts w:ascii="宋体" w:hAnsi="宋体" w:eastAsia="宋体" w:cs="宋体"/>
        </w:rPr>
        <w:t>§2 基金简介</w:t>
      </w:r>
      <w:r>
        <w:tab/>
      </w:r>
      <w:r>
        <w:fldChar w:fldCharType="begin"/>
      </w:r>
      <w:r>
        <w:instrText xml:space="preserve"> PAGEREF _Toc4501 \h </w:instrText>
      </w:r>
      <w:r>
        <w:fldChar w:fldCharType="separate"/>
      </w:r>
      <w:r>
        <w:t>4</w:t>
      </w:r>
      <w:r>
        <w:fldChar w:fldCharType="end"/>
      </w:r>
      <w:r>
        <w:fldChar w:fldCharType="end"/>
      </w:r>
    </w:p>
    <w:p w14:paraId="1451D6E8">
      <w:pPr>
        <w:pStyle w:val="22"/>
        <w:tabs>
          <w:tab w:val="right" w:leader="dot" w:pos="9070"/>
        </w:tabs>
      </w:pPr>
      <w:r>
        <w:fldChar w:fldCharType="begin"/>
      </w:r>
      <w:r>
        <w:instrText xml:space="preserve"> HYPERLINK \l _Toc32737 </w:instrText>
      </w:r>
      <w:r>
        <w:fldChar w:fldCharType="separate"/>
      </w:r>
      <w:r>
        <w:rPr>
          <w:rFonts w:ascii="宋体" w:hAnsi="宋体" w:eastAsia="宋体" w:cs="宋体"/>
        </w:rPr>
        <w:t>2.1 基金基本情况</w:t>
      </w:r>
      <w:r>
        <w:tab/>
      </w:r>
      <w:r>
        <w:fldChar w:fldCharType="begin"/>
      </w:r>
      <w:r>
        <w:instrText xml:space="preserve"> PAGEREF _Toc32737 \h </w:instrText>
      </w:r>
      <w:r>
        <w:fldChar w:fldCharType="separate"/>
      </w:r>
      <w:r>
        <w:t>4</w:t>
      </w:r>
      <w:r>
        <w:fldChar w:fldCharType="end"/>
      </w:r>
      <w:r>
        <w:fldChar w:fldCharType="end"/>
      </w:r>
    </w:p>
    <w:p w14:paraId="5DF30A96">
      <w:pPr>
        <w:pStyle w:val="22"/>
        <w:tabs>
          <w:tab w:val="right" w:leader="dot" w:pos="9070"/>
        </w:tabs>
      </w:pPr>
      <w:r>
        <w:fldChar w:fldCharType="begin"/>
      </w:r>
      <w:r>
        <w:instrText xml:space="preserve"> HYPERLINK \l _Toc4994 </w:instrText>
      </w:r>
      <w:r>
        <w:fldChar w:fldCharType="separate"/>
      </w:r>
      <w:r>
        <w:rPr>
          <w:rFonts w:ascii="宋体" w:hAnsi="宋体" w:eastAsia="宋体" w:cs="宋体"/>
        </w:rPr>
        <w:t>2.2 基金产品说明</w:t>
      </w:r>
      <w:r>
        <w:tab/>
      </w:r>
      <w:r>
        <w:fldChar w:fldCharType="begin"/>
      </w:r>
      <w:r>
        <w:instrText xml:space="preserve"> PAGEREF _Toc4994 \h </w:instrText>
      </w:r>
      <w:r>
        <w:fldChar w:fldCharType="separate"/>
      </w:r>
      <w:r>
        <w:t>4</w:t>
      </w:r>
      <w:r>
        <w:fldChar w:fldCharType="end"/>
      </w:r>
      <w:r>
        <w:fldChar w:fldCharType="end"/>
      </w:r>
    </w:p>
    <w:p w14:paraId="44A5A76A">
      <w:pPr>
        <w:pStyle w:val="22"/>
        <w:tabs>
          <w:tab w:val="right" w:leader="dot" w:pos="9070"/>
        </w:tabs>
      </w:pPr>
      <w:r>
        <w:fldChar w:fldCharType="begin"/>
      </w:r>
      <w:r>
        <w:instrText xml:space="preserve"> HYPERLINK \l _Toc24391 </w:instrText>
      </w:r>
      <w:r>
        <w:fldChar w:fldCharType="separate"/>
      </w:r>
      <w:r>
        <w:rPr>
          <w:rFonts w:ascii="宋体" w:hAnsi="宋体" w:eastAsia="宋体" w:cs="宋体"/>
        </w:rPr>
        <w:t>2.3 基金管理人和基金托管人</w:t>
      </w:r>
      <w:r>
        <w:tab/>
      </w:r>
      <w:r>
        <w:fldChar w:fldCharType="begin"/>
      </w:r>
      <w:r>
        <w:instrText xml:space="preserve"> PAGEREF _Toc24391 \h </w:instrText>
      </w:r>
      <w:r>
        <w:fldChar w:fldCharType="separate"/>
      </w:r>
      <w:r>
        <w:t>6</w:t>
      </w:r>
      <w:r>
        <w:fldChar w:fldCharType="end"/>
      </w:r>
      <w:r>
        <w:fldChar w:fldCharType="end"/>
      </w:r>
    </w:p>
    <w:p w14:paraId="128CDA20">
      <w:pPr>
        <w:pStyle w:val="22"/>
        <w:tabs>
          <w:tab w:val="right" w:leader="dot" w:pos="9070"/>
        </w:tabs>
      </w:pPr>
      <w:r>
        <w:fldChar w:fldCharType="begin"/>
      </w:r>
      <w:r>
        <w:instrText xml:space="preserve"> HYPERLINK \l _Toc16753 </w:instrText>
      </w:r>
      <w:r>
        <w:fldChar w:fldCharType="separate"/>
      </w:r>
      <w:r>
        <w:rPr>
          <w:rFonts w:ascii="宋体" w:hAnsi="宋体" w:eastAsia="宋体" w:cs="宋体"/>
        </w:rPr>
        <w:t>2.4 信息披露方式</w:t>
      </w:r>
      <w:r>
        <w:tab/>
      </w:r>
      <w:r>
        <w:fldChar w:fldCharType="begin"/>
      </w:r>
      <w:r>
        <w:instrText xml:space="preserve"> PAGEREF _Toc16753 \h </w:instrText>
      </w:r>
      <w:r>
        <w:fldChar w:fldCharType="separate"/>
      </w:r>
      <w:r>
        <w:t>6</w:t>
      </w:r>
      <w:r>
        <w:fldChar w:fldCharType="end"/>
      </w:r>
      <w:r>
        <w:fldChar w:fldCharType="end"/>
      </w:r>
    </w:p>
    <w:p w14:paraId="483C2185">
      <w:pPr>
        <w:pStyle w:val="22"/>
        <w:tabs>
          <w:tab w:val="right" w:leader="dot" w:pos="9070"/>
        </w:tabs>
      </w:pPr>
      <w:r>
        <w:fldChar w:fldCharType="begin"/>
      </w:r>
      <w:r>
        <w:instrText xml:space="preserve"> HYPERLINK \l _Toc32310 </w:instrText>
      </w:r>
      <w:r>
        <w:fldChar w:fldCharType="separate"/>
      </w:r>
      <w:r>
        <w:rPr>
          <w:rFonts w:ascii="宋体" w:hAnsi="宋体" w:eastAsia="宋体" w:cs="宋体"/>
        </w:rPr>
        <w:t>2.5 其他相关资料</w:t>
      </w:r>
      <w:r>
        <w:tab/>
      </w:r>
      <w:r>
        <w:fldChar w:fldCharType="begin"/>
      </w:r>
      <w:r>
        <w:instrText xml:space="preserve"> PAGEREF _Toc32310 \h </w:instrText>
      </w:r>
      <w:r>
        <w:fldChar w:fldCharType="separate"/>
      </w:r>
      <w:r>
        <w:t>6</w:t>
      </w:r>
      <w:r>
        <w:fldChar w:fldCharType="end"/>
      </w:r>
      <w:r>
        <w:fldChar w:fldCharType="end"/>
      </w:r>
    </w:p>
    <w:p w14:paraId="3AF0BE3F">
      <w:pPr>
        <w:pStyle w:val="19"/>
        <w:tabs>
          <w:tab w:val="right" w:leader="dot" w:pos="9070"/>
          <w:tab w:val="clear" w:pos="9060"/>
        </w:tabs>
      </w:pPr>
      <w:r>
        <w:fldChar w:fldCharType="begin"/>
      </w:r>
      <w:r>
        <w:instrText xml:space="preserve"> HYPERLINK \l _Toc17163 </w:instrText>
      </w:r>
      <w:r>
        <w:fldChar w:fldCharType="separate"/>
      </w:r>
      <w:r>
        <w:rPr>
          <w:rFonts w:ascii="宋体" w:hAnsi="宋体" w:eastAsia="宋体" w:cs="宋体"/>
        </w:rPr>
        <w:t>§3 主要财务指标和基金净值表现</w:t>
      </w:r>
      <w:r>
        <w:tab/>
      </w:r>
      <w:r>
        <w:fldChar w:fldCharType="begin"/>
      </w:r>
      <w:r>
        <w:instrText xml:space="preserve"> PAGEREF _Toc17163 \h </w:instrText>
      </w:r>
      <w:r>
        <w:fldChar w:fldCharType="separate"/>
      </w:r>
      <w:r>
        <w:t>6</w:t>
      </w:r>
      <w:r>
        <w:fldChar w:fldCharType="end"/>
      </w:r>
      <w:r>
        <w:fldChar w:fldCharType="end"/>
      </w:r>
    </w:p>
    <w:p w14:paraId="67964DE9">
      <w:pPr>
        <w:pStyle w:val="22"/>
        <w:tabs>
          <w:tab w:val="right" w:leader="dot" w:pos="9070"/>
        </w:tabs>
      </w:pPr>
      <w:r>
        <w:fldChar w:fldCharType="begin"/>
      </w:r>
      <w:r>
        <w:instrText xml:space="preserve"> HYPERLINK \l _Toc21587 </w:instrText>
      </w:r>
      <w:r>
        <w:fldChar w:fldCharType="separate"/>
      </w:r>
      <w:r>
        <w:rPr>
          <w:rFonts w:ascii="宋体" w:hAnsi="宋体" w:eastAsia="宋体" w:cs="宋体"/>
        </w:rPr>
        <w:t>3.1 主要会计数据和财务指标</w:t>
      </w:r>
      <w:r>
        <w:tab/>
      </w:r>
      <w:r>
        <w:fldChar w:fldCharType="begin"/>
      </w:r>
      <w:r>
        <w:instrText xml:space="preserve"> PAGEREF _Toc21587 \h </w:instrText>
      </w:r>
      <w:r>
        <w:fldChar w:fldCharType="separate"/>
      </w:r>
      <w:r>
        <w:t>6</w:t>
      </w:r>
      <w:r>
        <w:fldChar w:fldCharType="end"/>
      </w:r>
      <w:r>
        <w:fldChar w:fldCharType="end"/>
      </w:r>
    </w:p>
    <w:p w14:paraId="6ED1A62A">
      <w:pPr>
        <w:pStyle w:val="22"/>
        <w:tabs>
          <w:tab w:val="right" w:leader="dot" w:pos="9070"/>
        </w:tabs>
      </w:pPr>
      <w:r>
        <w:fldChar w:fldCharType="begin"/>
      </w:r>
      <w:r>
        <w:instrText xml:space="preserve"> HYPERLINK \l _Toc19857 </w:instrText>
      </w:r>
      <w:r>
        <w:fldChar w:fldCharType="separate"/>
      </w:r>
      <w:r>
        <w:rPr>
          <w:rFonts w:ascii="宋体" w:hAnsi="宋体" w:eastAsia="宋体" w:cs="宋体"/>
        </w:rPr>
        <w:t>3.2 基金净值表现</w:t>
      </w:r>
      <w:r>
        <w:tab/>
      </w:r>
      <w:r>
        <w:fldChar w:fldCharType="begin"/>
      </w:r>
      <w:r>
        <w:instrText xml:space="preserve"> PAGEREF _Toc19857 \h </w:instrText>
      </w:r>
      <w:r>
        <w:fldChar w:fldCharType="separate"/>
      </w:r>
      <w:r>
        <w:t>7</w:t>
      </w:r>
      <w:r>
        <w:fldChar w:fldCharType="end"/>
      </w:r>
      <w:r>
        <w:fldChar w:fldCharType="end"/>
      </w:r>
    </w:p>
    <w:p w14:paraId="6B39B158">
      <w:pPr>
        <w:pStyle w:val="19"/>
        <w:tabs>
          <w:tab w:val="right" w:leader="dot" w:pos="9070"/>
          <w:tab w:val="clear" w:pos="9060"/>
        </w:tabs>
      </w:pPr>
      <w:r>
        <w:fldChar w:fldCharType="begin"/>
      </w:r>
      <w:r>
        <w:instrText xml:space="preserve"> HYPERLINK \l _Toc13637 </w:instrText>
      </w:r>
      <w:r>
        <w:fldChar w:fldCharType="separate"/>
      </w:r>
      <w:r>
        <w:rPr>
          <w:rFonts w:ascii="宋体" w:hAnsi="宋体" w:eastAsia="宋体" w:cs="宋体"/>
        </w:rPr>
        <w:t>§4 管理人报告</w:t>
      </w:r>
      <w:r>
        <w:tab/>
      </w:r>
      <w:r>
        <w:fldChar w:fldCharType="begin"/>
      </w:r>
      <w:r>
        <w:instrText xml:space="preserve"> PAGEREF _Toc13637 \h </w:instrText>
      </w:r>
      <w:r>
        <w:fldChar w:fldCharType="separate"/>
      </w:r>
      <w:r>
        <w:t>8</w:t>
      </w:r>
      <w:r>
        <w:fldChar w:fldCharType="end"/>
      </w:r>
      <w:r>
        <w:fldChar w:fldCharType="end"/>
      </w:r>
    </w:p>
    <w:p w14:paraId="06D68827">
      <w:pPr>
        <w:pStyle w:val="22"/>
        <w:tabs>
          <w:tab w:val="right" w:leader="dot" w:pos="9070"/>
        </w:tabs>
      </w:pPr>
      <w:r>
        <w:fldChar w:fldCharType="begin"/>
      </w:r>
      <w:r>
        <w:instrText xml:space="preserve"> HYPERLINK \l _Toc13271 </w:instrText>
      </w:r>
      <w:r>
        <w:fldChar w:fldCharType="separate"/>
      </w:r>
      <w:r>
        <w:rPr>
          <w:rFonts w:ascii="宋体" w:hAnsi="宋体" w:eastAsia="宋体" w:cs="宋体"/>
        </w:rPr>
        <w:t>4.1 基金管理人及基金经理情况</w:t>
      </w:r>
      <w:r>
        <w:tab/>
      </w:r>
      <w:r>
        <w:fldChar w:fldCharType="begin"/>
      </w:r>
      <w:r>
        <w:instrText xml:space="preserve"> PAGEREF _Toc13271 \h </w:instrText>
      </w:r>
      <w:r>
        <w:fldChar w:fldCharType="separate"/>
      </w:r>
      <w:r>
        <w:t>8</w:t>
      </w:r>
      <w:r>
        <w:fldChar w:fldCharType="end"/>
      </w:r>
      <w:r>
        <w:fldChar w:fldCharType="end"/>
      </w:r>
    </w:p>
    <w:p w14:paraId="20CD9D4B">
      <w:pPr>
        <w:pStyle w:val="22"/>
        <w:tabs>
          <w:tab w:val="right" w:leader="dot" w:pos="9070"/>
        </w:tabs>
      </w:pPr>
      <w:r>
        <w:fldChar w:fldCharType="begin"/>
      </w:r>
      <w:r>
        <w:instrText xml:space="preserve"> HYPERLINK \l _Toc18246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_Toc18246 \h </w:instrText>
      </w:r>
      <w:r>
        <w:fldChar w:fldCharType="separate"/>
      </w:r>
      <w:r>
        <w:t>9</w:t>
      </w:r>
      <w:r>
        <w:fldChar w:fldCharType="end"/>
      </w:r>
      <w:r>
        <w:fldChar w:fldCharType="end"/>
      </w:r>
    </w:p>
    <w:p w14:paraId="15703C28">
      <w:pPr>
        <w:pStyle w:val="22"/>
        <w:tabs>
          <w:tab w:val="right" w:leader="dot" w:pos="9070"/>
        </w:tabs>
      </w:pPr>
      <w:r>
        <w:fldChar w:fldCharType="begin"/>
      </w:r>
      <w:r>
        <w:instrText xml:space="preserve"> HYPERLINK \l _Toc3833 </w:instrText>
      </w:r>
      <w:r>
        <w:fldChar w:fldCharType="separate"/>
      </w:r>
      <w:r>
        <w:rPr>
          <w:rFonts w:ascii="宋体" w:hAnsi="宋体" w:eastAsia="宋体" w:cs="宋体"/>
        </w:rPr>
        <w:t>4.3 管理人对报告期内公平交易情况的专项说明</w:t>
      </w:r>
      <w:r>
        <w:tab/>
      </w:r>
      <w:r>
        <w:fldChar w:fldCharType="begin"/>
      </w:r>
      <w:r>
        <w:instrText xml:space="preserve"> PAGEREF _Toc3833 \h </w:instrText>
      </w:r>
      <w:r>
        <w:fldChar w:fldCharType="separate"/>
      </w:r>
      <w:r>
        <w:t>10</w:t>
      </w:r>
      <w:r>
        <w:fldChar w:fldCharType="end"/>
      </w:r>
      <w:r>
        <w:fldChar w:fldCharType="end"/>
      </w:r>
    </w:p>
    <w:p w14:paraId="0577BFF4">
      <w:pPr>
        <w:pStyle w:val="22"/>
        <w:tabs>
          <w:tab w:val="right" w:leader="dot" w:pos="9070"/>
        </w:tabs>
      </w:pPr>
      <w:r>
        <w:fldChar w:fldCharType="begin"/>
      </w:r>
      <w:r>
        <w:instrText xml:space="preserve"> HYPERLINK \l _Toc25486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_Toc25486 \h </w:instrText>
      </w:r>
      <w:r>
        <w:fldChar w:fldCharType="separate"/>
      </w:r>
      <w:r>
        <w:t>10</w:t>
      </w:r>
      <w:r>
        <w:fldChar w:fldCharType="end"/>
      </w:r>
      <w:r>
        <w:fldChar w:fldCharType="end"/>
      </w:r>
    </w:p>
    <w:p w14:paraId="269AC6FB">
      <w:pPr>
        <w:pStyle w:val="22"/>
        <w:tabs>
          <w:tab w:val="right" w:leader="dot" w:pos="9070"/>
        </w:tabs>
      </w:pPr>
      <w:r>
        <w:fldChar w:fldCharType="begin"/>
      </w:r>
      <w:r>
        <w:instrText xml:space="preserve"> HYPERLINK \l _Toc3507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_Toc3507 \h </w:instrText>
      </w:r>
      <w:r>
        <w:fldChar w:fldCharType="separate"/>
      </w:r>
      <w:r>
        <w:t>10</w:t>
      </w:r>
      <w:r>
        <w:fldChar w:fldCharType="end"/>
      </w:r>
      <w:r>
        <w:fldChar w:fldCharType="end"/>
      </w:r>
    </w:p>
    <w:p w14:paraId="5E3EFA09">
      <w:pPr>
        <w:pStyle w:val="22"/>
        <w:tabs>
          <w:tab w:val="right" w:leader="dot" w:pos="9070"/>
        </w:tabs>
      </w:pPr>
      <w:r>
        <w:fldChar w:fldCharType="begin"/>
      </w:r>
      <w:r>
        <w:instrText xml:space="preserve"> HYPERLINK \l _Toc22211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_Toc22211 \h </w:instrText>
      </w:r>
      <w:r>
        <w:fldChar w:fldCharType="separate"/>
      </w:r>
      <w:r>
        <w:t>11</w:t>
      </w:r>
      <w:r>
        <w:fldChar w:fldCharType="end"/>
      </w:r>
      <w:r>
        <w:fldChar w:fldCharType="end"/>
      </w:r>
    </w:p>
    <w:p w14:paraId="6833DA8E">
      <w:pPr>
        <w:pStyle w:val="22"/>
        <w:tabs>
          <w:tab w:val="right" w:leader="dot" w:pos="9070"/>
        </w:tabs>
      </w:pPr>
      <w:r>
        <w:fldChar w:fldCharType="begin"/>
      </w:r>
      <w:r>
        <w:instrText xml:space="preserve"> HYPERLINK \l _Toc10122 </w:instrText>
      </w:r>
      <w:r>
        <w:fldChar w:fldCharType="separate"/>
      </w:r>
      <w:r>
        <w:rPr>
          <w:rFonts w:ascii="宋体" w:hAnsi="宋体" w:eastAsia="宋体" w:cs="宋体"/>
        </w:rPr>
        <w:t>4.7 管理人对报告期内基金利润分配情况的说明</w:t>
      </w:r>
      <w:r>
        <w:tab/>
      </w:r>
      <w:r>
        <w:fldChar w:fldCharType="begin"/>
      </w:r>
      <w:r>
        <w:instrText xml:space="preserve"> PAGEREF _Toc10122 \h </w:instrText>
      </w:r>
      <w:r>
        <w:fldChar w:fldCharType="separate"/>
      </w:r>
      <w:r>
        <w:t>11</w:t>
      </w:r>
      <w:r>
        <w:fldChar w:fldCharType="end"/>
      </w:r>
      <w:r>
        <w:fldChar w:fldCharType="end"/>
      </w:r>
    </w:p>
    <w:p w14:paraId="1DD45798">
      <w:pPr>
        <w:pStyle w:val="22"/>
        <w:tabs>
          <w:tab w:val="right" w:leader="dot" w:pos="9070"/>
        </w:tabs>
      </w:pPr>
      <w:r>
        <w:fldChar w:fldCharType="begin"/>
      </w:r>
      <w:r>
        <w:instrText xml:space="preserve"> HYPERLINK \l _Toc27138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_Toc27138 \h </w:instrText>
      </w:r>
      <w:r>
        <w:fldChar w:fldCharType="separate"/>
      </w:r>
      <w:r>
        <w:t>11</w:t>
      </w:r>
      <w:r>
        <w:fldChar w:fldCharType="end"/>
      </w:r>
      <w:r>
        <w:fldChar w:fldCharType="end"/>
      </w:r>
    </w:p>
    <w:p w14:paraId="7B10FA8B">
      <w:pPr>
        <w:pStyle w:val="19"/>
        <w:tabs>
          <w:tab w:val="right" w:leader="dot" w:pos="9070"/>
          <w:tab w:val="clear" w:pos="9060"/>
        </w:tabs>
      </w:pPr>
      <w:r>
        <w:fldChar w:fldCharType="begin"/>
      </w:r>
      <w:r>
        <w:instrText xml:space="preserve"> HYPERLINK \l _Toc6692 </w:instrText>
      </w:r>
      <w:r>
        <w:fldChar w:fldCharType="separate"/>
      </w:r>
      <w:r>
        <w:rPr>
          <w:rFonts w:ascii="宋体" w:hAnsi="宋体" w:eastAsia="宋体" w:cs="宋体"/>
        </w:rPr>
        <w:t>§5 托管人报告</w:t>
      </w:r>
      <w:r>
        <w:tab/>
      </w:r>
      <w:r>
        <w:fldChar w:fldCharType="begin"/>
      </w:r>
      <w:r>
        <w:instrText xml:space="preserve"> PAGEREF _Toc6692 \h </w:instrText>
      </w:r>
      <w:r>
        <w:fldChar w:fldCharType="separate"/>
      </w:r>
      <w:r>
        <w:t>11</w:t>
      </w:r>
      <w:r>
        <w:fldChar w:fldCharType="end"/>
      </w:r>
      <w:r>
        <w:fldChar w:fldCharType="end"/>
      </w:r>
    </w:p>
    <w:p w14:paraId="229A59DC">
      <w:pPr>
        <w:pStyle w:val="22"/>
        <w:tabs>
          <w:tab w:val="right" w:leader="dot" w:pos="9070"/>
        </w:tabs>
      </w:pPr>
      <w:r>
        <w:fldChar w:fldCharType="begin"/>
      </w:r>
      <w:r>
        <w:instrText xml:space="preserve"> HYPERLINK \l _Toc8528 </w:instrText>
      </w:r>
      <w:r>
        <w:fldChar w:fldCharType="separate"/>
      </w:r>
      <w:r>
        <w:rPr>
          <w:rFonts w:ascii="宋体" w:hAnsi="宋体" w:eastAsia="宋体" w:cs="宋体"/>
        </w:rPr>
        <w:t>5.1 报告期内本基金托管人遵规守信情况声明</w:t>
      </w:r>
      <w:r>
        <w:tab/>
      </w:r>
      <w:r>
        <w:fldChar w:fldCharType="begin"/>
      </w:r>
      <w:r>
        <w:instrText xml:space="preserve"> PAGEREF _Toc8528 \h </w:instrText>
      </w:r>
      <w:r>
        <w:fldChar w:fldCharType="separate"/>
      </w:r>
      <w:r>
        <w:t>12</w:t>
      </w:r>
      <w:r>
        <w:fldChar w:fldCharType="end"/>
      </w:r>
      <w:r>
        <w:fldChar w:fldCharType="end"/>
      </w:r>
    </w:p>
    <w:p w14:paraId="0E26B112">
      <w:pPr>
        <w:pStyle w:val="22"/>
        <w:tabs>
          <w:tab w:val="right" w:leader="dot" w:pos="9070"/>
        </w:tabs>
      </w:pPr>
      <w:r>
        <w:fldChar w:fldCharType="begin"/>
      </w:r>
      <w:r>
        <w:instrText xml:space="preserve"> HYPERLINK \l _Toc2692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_Toc2692 \h </w:instrText>
      </w:r>
      <w:r>
        <w:fldChar w:fldCharType="separate"/>
      </w:r>
      <w:r>
        <w:t>12</w:t>
      </w:r>
      <w:r>
        <w:fldChar w:fldCharType="end"/>
      </w:r>
      <w:r>
        <w:fldChar w:fldCharType="end"/>
      </w:r>
    </w:p>
    <w:p w14:paraId="290A1CC8">
      <w:pPr>
        <w:pStyle w:val="22"/>
        <w:tabs>
          <w:tab w:val="right" w:leader="dot" w:pos="9070"/>
        </w:tabs>
      </w:pPr>
      <w:r>
        <w:fldChar w:fldCharType="begin"/>
      </w:r>
      <w:r>
        <w:instrText xml:space="preserve"> HYPERLINK \l _Toc17008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_Toc17008 \h </w:instrText>
      </w:r>
      <w:r>
        <w:fldChar w:fldCharType="separate"/>
      </w:r>
      <w:r>
        <w:t>12</w:t>
      </w:r>
      <w:r>
        <w:fldChar w:fldCharType="end"/>
      </w:r>
      <w:r>
        <w:fldChar w:fldCharType="end"/>
      </w:r>
    </w:p>
    <w:p w14:paraId="410ED01F">
      <w:pPr>
        <w:pStyle w:val="19"/>
        <w:tabs>
          <w:tab w:val="right" w:leader="dot" w:pos="9070"/>
          <w:tab w:val="clear" w:pos="9060"/>
        </w:tabs>
      </w:pPr>
      <w:r>
        <w:fldChar w:fldCharType="begin"/>
      </w:r>
      <w:r>
        <w:instrText xml:space="preserve"> HYPERLINK \l _Toc12550 </w:instrText>
      </w:r>
      <w:r>
        <w:fldChar w:fldCharType="separate"/>
      </w:r>
      <w:r>
        <w:rPr>
          <w:rFonts w:ascii="宋体" w:hAnsi="宋体" w:eastAsia="宋体" w:cs="宋体"/>
        </w:rPr>
        <w:t>§6 半年度财务会计报告(未经审计)</w:t>
      </w:r>
      <w:r>
        <w:tab/>
      </w:r>
      <w:r>
        <w:fldChar w:fldCharType="begin"/>
      </w:r>
      <w:r>
        <w:instrText xml:space="preserve"> PAGEREF _Toc12550 \h </w:instrText>
      </w:r>
      <w:r>
        <w:fldChar w:fldCharType="separate"/>
      </w:r>
      <w:r>
        <w:t>12</w:t>
      </w:r>
      <w:r>
        <w:fldChar w:fldCharType="end"/>
      </w:r>
      <w:r>
        <w:fldChar w:fldCharType="end"/>
      </w:r>
    </w:p>
    <w:p w14:paraId="06E6E3E0">
      <w:pPr>
        <w:pStyle w:val="22"/>
        <w:tabs>
          <w:tab w:val="right" w:leader="dot" w:pos="9070"/>
        </w:tabs>
      </w:pPr>
      <w:r>
        <w:fldChar w:fldCharType="begin"/>
      </w:r>
      <w:r>
        <w:instrText xml:space="preserve"> HYPERLINK \l _Toc3943 </w:instrText>
      </w:r>
      <w:r>
        <w:fldChar w:fldCharType="separate"/>
      </w:r>
      <w:r>
        <w:rPr>
          <w:rFonts w:ascii="宋体" w:hAnsi="宋体" w:eastAsia="宋体" w:cs="宋体"/>
        </w:rPr>
        <w:t>6.1 资产负债表</w:t>
      </w:r>
      <w:r>
        <w:tab/>
      </w:r>
      <w:r>
        <w:fldChar w:fldCharType="begin"/>
      </w:r>
      <w:r>
        <w:instrText xml:space="preserve"> PAGEREF _Toc3943 \h </w:instrText>
      </w:r>
      <w:r>
        <w:fldChar w:fldCharType="separate"/>
      </w:r>
      <w:r>
        <w:t>12</w:t>
      </w:r>
      <w:r>
        <w:fldChar w:fldCharType="end"/>
      </w:r>
      <w:r>
        <w:fldChar w:fldCharType="end"/>
      </w:r>
    </w:p>
    <w:p w14:paraId="3CDE33F3">
      <w:pPr>
        <w:pStyle w:val="22"/>
        <w:tabs>
          <w:tab w:val="right" w:leader="dot" w:pos="9070"/>
        </w:tabs>
      </w:pPr>
      <w:r>
        <w:fldChar w:fldCharType="begin"/>
      </w:r>
      <w:r>
        <w:instrText xml:space="preserve"> HYPERLINK \l _Toc28234 </w:instrText>
      </w:r>
      <w:r>
        <w:fldChar w:fldCharType="separate"/>
      </w:r>
      <w:r>
        <w:rPr>
          <w:rFonts w:ascii="宋体" w:hAnsi="宋体" w:eastAsia="宋体" w:cs="宋体"/>
        </w:rPr>
        <w:t>6.2 利润表</w:t>
      </w:r>
      <w:r>
        <w:tab/>
      </w:r>
      <w:r>
        <w:fldChar w:fldCharType="begin"/>
      </w:r>
      <w:r>
        <w:instrText xml:space="preserve"> PAGEREF _Toc28234 \h </w:instrText>
      </w:r>
      <w:r>
        <w:fldChar w:fldCharType="separate"/>
      </w:r>
      <w:r>
        <w:t>13</w:t>
      </w:r>
      <w:r>
        <w:fldChar w:fldCharType="end"/>
      </w:r>
      <w:r>
        <w:fldChar w:fldCharType="end"/>
      </w:r>
    </w:p>
    <w:p w14:paraId="1F846FB4">
      <w:pPr>
        <w:pStyle w:val="22"/>
        <w:tabs>
          <w:tab w:val="right" w:leader="dot" w:pos="9070"/>
        </w:tabs>
      </w:pPr>
      <w:r>
        <w:fldChar w:fldCharType="begin"/>
      </w:r>
      <w:r>
        <w:instrText xml:space="preserve"> HYPERLINK \l _Toc14912 </w:instrText>
      </w:r>
      <w:r>
        <w:fldChar w:fldCharType="separate"/>
      </w:r>
      <w:r>
        <w:rPr>
          <w:rFonts w:ascii="宋体" w:hAnsi="宋体" w:eastAsia="宋体" w:cs="宋体"/>
        </w:rPr>
        <w:t>6.3 净资产变动表</w:t>
      </w:r>
      <w:r>
        <w:tab/>
      </w:r>
      <w:r>
        <w:fldChar w:fldCharType="begin"/>
      </w:r>
      <w:r>
        <w:instrText xml:space="preserve"> PAGEREF _Toc14912 \h </w:instrText>
      </w:r>
      <w:r>
        <w:fldChar w:fldCharType="separate"/>
      </w:r>
      <w:r>
        <w:t>14</w:t>
      </w:r>
      <w:r>
        <w:fldChar w:fldCharType="end"/>
      </w:r>
      <w:r>
        <w:fldChar w:fldCharType="end"/>
      </w:r>
    </w:p>
    <w:p w14:paraId="137C160F">
      <w:pPr>
        <w:pStyle w:val="22"/>
        <w:tabs>
          <w:tab w:val="right" w:leader="dot" w:pos="9070"/>
        </w:tabs>
      </w:pPr>
      <w:r>
        <w:fldChar w:fldCharType="begin"/>
      </w:r>
      <w:r>
        <w:instrText xml:space="preserve"> HYPERLINK \l _Toc22643 </w:instrText>
      </w:r>
      <w:r>
        <w:fldChar w:fldCharType="separate"/>
      </w:r>
      <w:r>
        <w:rPr>
          <w:rFonts w:ascii="宋体" w:hAnsi="宋体" w:eastAsia="宋体" w:cs="宋体"/>
        </w:rPr>
        <w:t>6.4 报表附注</w:t>
      </w:r>
      <w:r>
        <w:tab/>
      </w:r>
      <w:r>
        <w:fldChar w:fldCharType="begin"/>
      </w:r>
      <w:r>
        <w:instrText xml:space="preserve"> PAGEREF _Toc22643 \h </w:instrText>
      </w:r>
      <w:r>
        <w:fldChar w:fldCharType="separate"/>
      </w:r>
      <w:r>
        <w:t>16</w:t>
      </w:r>
      <w:r>
        <w:fldChar w:fldCharType="end"/>
      </w:r>
      <w:r>
        <w:fldChar w:fldCharType="end"/>
      </w:r>
    </w:p>
    <w:p w14:paraId="10768B36">
      <w:pPr>
        <w:pStyle w:val="19"/>
        <w:tabs>
          <w:tab w:val="right" w:leader="dot" w:pos="9070"/>
          <w:tab w:val="clear" w:pos="9060"/>
        </w:tabs>
      </w:pPr>
      <w:r>
        <w:fldChar w:fldCharType="begin"/>
      </w:r>
      <w:r>
        <w:instrText xml:space="preserve"> HYPERLINK \l _Toc969 </w:instrText>
      </w:r>
      <w:r>
        <w:fldChar w:fldCharType="separate"/>
      </w:r>
      <w:r>
        <w:rPr>
          <w:rFonts w:ascii="宋体" w:hAnsi="宋体" w:eastAsia="宋体" w:cs="宋体"/>
        </w:rPr>
        <w:t>§7 投资组合报告</w:t>
      </w:r>
      <w:r>
        <w:tab/>
      </w:r>
      <w:r>
        <w:fldChar w:fldCharType="begin"/>
      </w:r>
      <w:r>
        <w:instrText xml:space="preserve"> PAGEREF _Toc969 \h </w:instrText>
      </w:r>
      <w:r>
        <w:fldChar w:fldCharType="separate"/>
      </w:r>
      <w:r>
        <w:t>34</w:t>
      </w:r>
      <w:r>
        <w:fldChar w:fldCharType="end"/>
      </w:r>
      <w:r>
        <w:fldChar w:fldCharType="end"/>
      </w:r>
    </w:p>
    <w:p w14:paraId="77CD01B3">
      <w:pPr>
        <w:pStyle w:val="22"/>
        <w:tabs>
          <w:tab w:val="right" w:leader="dot" w:pos="9070"/>
        </w:tabs>
      </w:pPr>
      <w:r>
        <w:fldChar w:fldCharType="begin"/>
      </w:r>
      <w:r>
        <w:instrText xml:space="preserve"> HYPERLINK \l _Toc2917 </w:instrText>
      </w:r>
      <w:r>
        <w:fldChar w:fldCharType="separate"/>
      </w:r>
      <w:r>
        <w:rPr>
          <w:rFonts w:ascii="宋体" w:hAnsi="宋体" w:eastAsia="宋体" w:cs="宋体"/>
        </w:rPr>
        <w:t>7.1 期末基金资产组合情况</w:t>
      </w:r>
      <w:r>
        <w:tab/>
      </w:r>
      <w:r>
        <w:fldChar w:fldCharType="begin"/>
      </w:r>
      <w:r>
        <w:instrText xml:space="preserve"> PAGEREF _Toc2917 \h </w:instrText>
      </w:r>
      <w:r>
        <w:fldChar w:fldCharType="separate"/>
      </w:r>
      <w:r>
        <w:t>34</w:t>
      </w:r>
      <w:r>
        <w:fldChar w:fldCharType="end"/>
      </w:r>
      <w:r>
        <w:fldChar w:fldCharType="end"/>
      </w:r>
    </w:p>
    <w:p w14:paraId="34F3581D">
      <w:pPr>
        <w:pStyle w:val="22"/>
        <w:tabs>
          <w:tab w:val="right" w:leader="dot" w:pos="9070"/>
        </w:tabs>
      </w:pPr>
      <w:r>
        <w:fldChar w:fldCharType="begin"/>
      </w:r>
      <w:r>
        <w:instrText xml:space="preserve"> HYPERLINK \l _Toc17763 </w:instrText>
      </w:r>
      <w:r>
        <w:fldChar w:fldCharType="separate"/>
      </w:r>
      <w:r>
        <w:rPr>
          <w:rFonts w:ascii="宋体" w:hAnsi="宋体" w:eastAsia="宋体" w:cs="宋体"/>
        </w:rPr>
        <w:t>7.2 报告期末按行业分类的股票投资组合</w:t>
      </w:r>
      <w:r>
        <w:tab/>
      </w:r>
      <w:r>
        <w:fldChar w:fldCharType="begin"/>
      </w:r>
      <w:r>
        <w:instrText xml:space="preserve"> PAGEREF _Toc17763 \h </w:instrText>
      </w:r>
      <w:r>
        <w:fldChar w:fldCharType="separate"/>
      </w:r>
      <w:r>
        <w:t>35</w:t>
      </w:r>
      <w:r>
        <w:fldChar w:fldCharType="end"/>
      </w:r>
      <w:r>
        <w:fldChar w:fldCharType="end"/>
      </w:r>
    </w:p>
    <w:p w14:paraId="51CA9FDD">
      <w:pPr>
        <w:pStyle w:val="22"/>
        <w:tabs>
          <w:tab w:val="right" w:leader="dot" w:pos="9070"/>
        </w:tabs>
      </w:pPr>
      <w:r>
        <w:fldChar w:fldCharType="begin"/>
      </w:r>
      <w:r>
        <w:instrText xml:space="preserve"> HYPERLINK \l _Toc7142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_Toc7142 \h </w:instrText>
      </w:r>
      <w:r>
        <w:fldChar w:fldCharType="separate"/>
      </w:r>
      <w:r>
        <w:t>36</w:t>
      </w:r>
      <w:r>
        <w:fldChar w:fldCharType="end"/>
      </w:r>
      <w:r>
        <w:fldChar w:fldCharType="end"/>
      </w:r>
    </w:p>
    <w:p w14:paraId="3E724996">
      <w:pPr>
        <w:pStyle w:val="22"/>
        <w:tabs>
          <w:tab w:val="right" w:leader="dot" w:pos="9070"/>
        </w:tabs>
      </w:pPr>
      <w:r>
        <w:fldChar w:fldCharType="begin"/>
      </w:r>
      <w:r>
        <w:instrText xml:space="preserve"> HYPERLINK \l _Toc26134 </w:instrText>
      </w:r>
      <w:r>
        <w:fldChar w:fldCharType="separate"/>
      </w:r>
      <w:r>
        <w:rPr>
          <w:rFonts w:ascii="宋体" w:hAnsi="宋体" w:eastAsia="宋体" w:cs="宋体"/>
        </w:rPr>
        <w:t>7.4 报告期内股票投资组合的重大变动</w:t>
      </w:r>
      <w:r>
        <w:tab/>
      </w:r>
      <w:r>
        <w:fldChar w:fldCharType="begin"/>
      </w:r>
      <w:r>
        <w:instrText xml:space="preserve"> PAGEREF _Toc26134 \h </w:instrText>
      </w:r>
      <w:r>
        <w:fldChar w:fldCharType="separate"/>
      </w:r>
      <w:r>
        <w:t>36</w:t>
      </w:r>
      <w:r>
        <w:fldChar w:fldCharType="end"/>
      </w:r>
      <w:r>
        <w:fldChar w:fldCharType="end"/>
      </w:r>
    </w:p>
    <w:p w14:paraId="62809AD7">
      <w:pPr>
        <w:pStyle w:val="22"/>
        <w:tabs>
          <w:tab w:val="right" w:leader="dot" w:pos="9070"/>
        </w:tabs>
      </w:pPr>
      <w:r>
        <w:fldChar w:fldCharType="begin"/>
      </w:r>
      <w:r>
        <w:instrText xml:space="preserve"> HYPERLINK \l _Toc19660 </w:instrText>
      </w:r>
      <w:r>
        <w:fldChar w:fldCharType="separate"/>
      </w:r>
      <w:r>
        <w:rPr>
          <w:rFonts w:ascii="宋体" w:hAnsi="宋体" w:eastAsia="宋体" w:cs="宋体"/>
        </w:rPr>
        <w:t>7.5 期末按债券品种分类的债券投资组合</w:t>
      </w:r>
      <w:r>
        <w:tab/>
      </w:r>
      <w:r>
        <w:fldChar w:fldCharType="begin"/>
      </w:r>
      <w:r>
        <w:instrText xml:space="preserve"> PAGEREF _Toc19660 \h </w:instrText>
      </w:r>
      <w:r>
        <w:fldChar w:fldCharType="separate"/>
      </w:r>
      <w:r>
        <w:t>37</w:t>
      </w:r>
      <w:r>
        <w:fldChar w:fldCharType="end"/>
      </w:r>
      <w:r>
        <w:fldChar w:fldCharType="end"/>
      </w:r>
    </w:p>
    <w:p w14:paraId="45C8E256">
      <w:pPr>
        <w:pStyle w:val="22"/>
        <w:tabs>
          <w:tab w:val="right" w:leader="dot" w:pos="9070"/>
        </w:tabs>
      </w:pPr>
      <w:r>
        <w:fldChar w:fldCharType="begin"/>
      </w:r>
      <w:r>
        <w:instrText xml:space="preserve"> HYPERLINK \l _Toc32138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_Toc32138 \h </w:instrText>
      </w:r>
      <w:r>
        <w:fldChar w:fldCharType="separate"/>
      </w:r>
      <w:r>
        <w:t>38</w:t>
      </w:r>
      <w:r>
        <w:fldChar w:fldCharType="end"/>
      </w:r>
      <w:r>
        <w:fldChar w:fldCharType="end"/>
      </w:r>
    </w:p>
    <w:p w14:paraId="0C7BC7FC">
      <w:pPr>
        <w:pStyle w:val="22"/>
        <w:tabs>
          <w:tab w:val="right" w:leader="dot" w:pos="9070"/>
        </w:tabs>
      </w:pPr>
      <w:r>
        <w:fldChar w:fldCharType="begin"/>
      </w:r>
      <w:r>
        <w:instrText xml:space="preserve"> HYPERLINK \l _Toc24224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_Toc24224 \h </w:instrText>
      </w:r>
      <w:r>
        <w:fldChar w:fldCharType="separate"/>
      </w:r>
      <w:r>
        <w:t>38</w:t>
      </w:r>
      <w:r>
        <w:fldChar w:fldCharType="end"/>
      </w:r>
      <w:r>
        <w:fldChar w:fldCharType="end"/>
      </w:r>
    </w:p>
    <w:p w14:paraId="2EC4C423">
      <w:pPr>
        <w:pStyle w:val="22"/>
        <w:tabs>
          <w:tab w:val="right" w:leader="dot" w:pos="9070"/>
        </w:tabs>
      </w:pPr>
      <w:r>
        <w:fldChar w:fldCharType="begin"/>
      </w:r>
      <w:r>
        <w:instrText xml:space="preserve"> HYPERLINK \l _Toc15259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_Toc15259 \h </w:instrText>
      </w:r>
      <w:r>
        <w:fldChar w:fldCharType="separate"/>
      </w:r>
      <w:r>
        <w:t>38</w:t>
      </w:r>
      <w:r>
        <w:fldChar w:fldCharType="end"/>
      </w:r>
      <w:r>
        <w:fldChar w:fldCharType="end"/>
      </w:r>
    </w:p>
    <w:p w14:paraId="713D1EBF">
      <w:pPr>
        <w:pStyle w:val="22"/>
        <w:tabs>
          <w:tab w:val="right" w:leader="dot" w:pos="9070"/>
        </w:tabs>
      </w:pPr>
      <w:r>
        <w:fldChar w:fldCharType="begin"/>
      </w:r>
      <w:r>
        <w:instrText xml:space="preserve"> HYPERLINK \l _Toc21858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_Toc21858 \h </w:instrText>
      </w:r>
      <w:r>
        <w:fldChar w:fldCharType="separate"/>
      </w:r>
      <w:r>
        <w:t>38</w:t>
      </w:r>
      <w:r>
        <w:fldChar w:fldCharType="end"/>
      </w:r>
      <w:r>
        <w:fldChar w:fldCharType="end"/>
      </w:r>
    </w:p>
    <w:p w14:paraId="05D72C77">
      <w:pPr>
        <w:pStyle w:val="22"/>
        <w:tabs>
          <w:tab w:val="right" w:leader="dot" w:pos="9070"/>
        </w:tabs>
      </w:pPr>
      <w:r>
        <w:fldChar w:fldCharType="begin"/>
      </w:r>
      <w:r>
        <w:instrText xml:space="preserve"> HYPERLINK \l _Toc8598 </w:instrText>
      </w:r>
      <w:r>
        <w:fldChar w:fldCharType="separate"/>
      </w:r>
      <w:r>
        <w:rPr>
          <w:rFonts w:ascii="宋体" w:hAnsi="宋体" w:eastAsia="宋体" w:cs="宋体"/>
        </w:rPr>
        <w:t>7.10 本基金投资股指期货的投资政策</w:t>
      </w:r>
      <w:r>
        <w:tab/>
      </w:r>
      <w:r>
        <w:fldChar w:fldCharType="begin"/>
      </w:r>
      <w:r>
        <w:instrText xml:space="preserve"> PAGEREF _Toc8598 \h </w:instrText>
      </w:r>
      <w:r>
        <w:fldChar w:fldCharType="separate"/>
      </w:r>
      <w:r>
        <w:t>38</w:t>
      </w:r>
      <w:r>
        <w:fldChar w:fldCharType="end"/>
      </w:r>
      <w:r>
        <w:fldChar w:fldCharType="end"/>
      </w:r>
    </w:p>
    <w:p w14:paraId="7E7AB1F3">
      <w:pPr>
        <w:pStyle w:val="22"/>
        <w:tabs>
          <w:tab w:val="right" w:leader="dot" w:pos="9070"/>
        </w:tabs>
      </w:pPr>
      <w:r>
        <w:fldChar w:fldCharType="begin"/>
      </w:r>
      <w:r>
        <w:instrText xml:space="preserve"> HYPERLINK \l _Toc11595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_Toc11595 \h </w:instrText>
      </w:r>
      <w:r>
        <w:fldChar w:fldCharType="separate"/>
      </w:r>
      <w:r>
        <w:t>38</w:t>
      </w:r>
      <w:r>
        <w:fldChar w:fldCharType="end"/>
      </w:r>
      <w:r>
        <w:fldChar w:fldCharType="end"/>
      </w:r>
    </w:p>
    <w:p w14:paraId="430D69C7">
      <w:pPr>
        <w:pStyle w:val="22"/>
        <w:tabs>
          <w:tab w:val="right" w:leader="dot" w:pos="9070"/>
        </w:tabs>
      </w:pPr>
      <w:r>
        <w:fldChar w:fldCharType="begin"/>
      </w:r>
      <w:r>
        <w:instrText xml:space="preserve"> HYPERLINK \l _Toc17003 </w:instrText>
      </w:r>
      <w:r>
        <w:fldChar w:fldCharType="separate"/>
      </w:r>
      <w:r>
        <w:rPr>
          <w:rFonts w:ascii="宋体" w:hAnsi="宋体" w:eastAsia="宋体" w:cs="宋体"/>
        </w:rPr>
        <w:t>7.12 投资组合报告附注</w:t>
      </w:r>
      <w:r>
        <w:tab/>
      </w:r>
      <w:r>
        <w:fldChar w:fldCharType="begin"/>
      </w:r>
      <w:r>
        <w:instrText xml:space="preserve"> PAGEREF _Toc17003 \h </w:instrText>
      </w:r>
      <w:r>
        <w:fldChar w:fldCharType="separate"/>
      </w:r>
      <w:r>
        <w:t>38</w:t>
      </w:r>
      <w:r>
        <w:fldChar w:fldCharType="end"/>
      </w:r>
      <w:r>
        <w:fldChar w:fldCharType="end"/>
      </w:r>
    </w:p>
    <w:p w14:paraId="20E5CDC8">
      <w:pPr>
        <w:pStyle w:val="19"/>
        <w:tabs>
          <w:tab w:val="right" w:leader="dot" w:pos="9070"/>
          <w:tab w:val="clear" w:pos="9060"/>
        </w:tabs>
      </w:pPr>
      <w:r>
        <w:fldChar w:fldCharType="begin"/>
      </w:r>
      <w:r>
        <w:instrText xml:space="preserve"> HYPERLINK \l _Toc32449 </w:instrText>
      </w:r>
      <w:r>
        <w:fldChar w:fldCharType="separate"/>
      </w:r>
      <w:r>
        <w:rPr>
          <w:rFonts w:ascii="宋体" w:hAnsi="宋体" w:eastAsia="宋体" w:cs="宋体"/>
        </w:rPr>
        <w:t>§8 基金份额持有人信息</w:t>
      </w:r>
      <w:r>
        <w:tab/>
      </w:r>
      <w:r>
        <w:fldChar w:fldCharType="begin"/>
      </w:r>
      <w:r>
        <w:instrText xml:space="preserve"> PAGEREF _Toc32449 \h </w:instrText>
      </w:r>
      <w:r>
        <w:fldChar w:fldCharType="separate"/>
      </w:r>
      <w:r>
        <w:t>39</w:t>
      </w:r>
      <w:r>
        <w:fldChar w:fldCharType="end"/>
      </w:r>
      <w:r>
        <w:fldChar w:fldCharType="end"/>
      </w:r>
    </w:p>
    <w:p w14:paraId="612AC2F9">
      <w:pPr>
        <w:pStyle w:val="22"/>
        <w:tabs>
          <w:tab w:val="right" w:leader="dot" w:pos="9070"/>
        </w:tabs>
      </w:pPr>
      <w:r>
        <w:fldChar w:fldCharType="begin"/>
      </w:r>
      <w:r>
        <w:instrText xml:space="preserve"> HYPERLINK \l _Toc10576 </w:instrText>
      </w:r>
      <w:r>
        <w:fldChar w:fldCharType="separate"/>
      </w:r>
      <w:r>
        <w:rPr>
          <w:rFonts w:ascii="宋体" w:hAnsi="宋体" w:eastAsia="宋体" w:cs="宋体"/>
        </w:rPr>
        <w:t>8.1 期末基金份额持有人户数及持有人结构</w:t>
      </w:r>
      <w:r>
        <w:tab/>
      </w:r>
      <w:r>
        <w:fldChar w:fldCharType="begin"/>
      </w:r>
      <w:r>
        <w:instrText xml:space="preserve"> PAGEREF _Toc10576 \h </w:instrText>
      </w:r>
      <w:r>
        <w:fldChar w:fldCharType="separate"/>
      </w:r>
      <w:r>
        <w:t>39</w:t>
      </w:r>
      <w:r>
        <w:fldChar w:fldCharType="end"/>
      </w:r>
      <w:r>
        <w:fldChar w:fldCharType="end"/>
      </w:r>
    </w:p>
    <w:p w14:paraId="1844720A">
      <w:pPr>
        <w:pStyle w:val="22"/>
        <w:tabs>
          <w:tab w:val="right" w:leader="dot" w:pos="9070"/>
        </w:tabs>
      </w:pPr>
      <w:r>
        <w:fldChar w:fldCharType="begin"/>
      </w:r>
      <w:r>
        <w:instrText xml:space="preserve"> HYPERLINK \l _Toc21214 </w:instrText>
      </w:r>
      <w:r>
        <w:fldChar w:fldCharType="separate"/>
      </w:r>
      <w:r>
        <w:rPr>
          <w:rFonts w:ascii="宋体" w:hAnsi="宋体" w:eastAsia="宋体" w:cs="宋体"/>
        </w:rPr>
        <w:t>8.2 盈利投资者数量占比</w:t>
      </w:r>
      <w:r>
        <w:tab/>
      </w:r>
      <w:r>
        <w:fldChar w:fldCharType="begin"/>
      </w:r>
      <w:r>
        <w:instrText xml:space="preserve"> PAGEREF _Toc21214 \h </w:instrText>
      </w:r>
      <w:r>
        <w:fldChar w:fldCharType="separate"/>
      </w:r>
      <w:r>
        <w:t>40</w:t>
      </w:r>
      <w:r>
        <w:fldChar w:fldCharType="end"/>
      </w:r>
      <w:r>
        <w:fldChar w:fldCharType="end"/>
      </w:r>
    </w:p>
    <w:p w14:paraId="11DF243F">
      <w:pPr>
        <w:pStyle w:val="22"/>
        <w:tabs>
          <w:tab w:val="right" w:leader="dot" w:pos="9070"/>
        </w:tabs>
      </w:pPr>
      <w:r>
        <w:fldChar w:fldCharType="begin"/>
      </w:r>
      <w:r>
        <w:instrText xml:space="preserve"> HYPERLINK \l _Toc17073 </w:instrText>
      </w:r>
      <w:r>
        <w:fldChar w:fldCharType="separate"/>
      </w:r>
      <w:r>
        <w:rPr>
          <w:rFonts w:ascii="宋体" w:hAnsi="宋体" w:eastAsia="宋体" w:cs="宋体"/>
        </w:rPr>
        <w:t>8.3 期末基金管理人的从业人员持有本基金的情况</w:t>
      </w:r>
      <w:r>
        <w:tab/>
      </w:r>
      <w:r>
        <w:fldChar w:fldCharType="begin"/>
      </w:r>
      <w:r>
        <w:instrText xml:space="preserve"> PAGEREF _Toc17073 \h </w:instrText>
      </w:r>
      <w:r>
        <w:fldChar w:fldCharType="separate"/>
      </w:r>
      <w:r>
        <w:t>40</w:t>
      </w:r>
      <w:r>
        <w:fldChar w:fldCharType="end"/>
      </w:r>
      <w:r>
        <w:fldChar w:fldCharType="end"/>
      </w:r>
    </w:p>
    <w:p w14:paraId="64B24F27">
      <w:pPr>
        <w:pStyle w:val="22"/>
        <w:tabs>
          <w:tab w:val="right" w:leader="dot" w:pos="9070"/>
        </w:tabs>
      </w:pPr>
      <w:r>
        <w:fldChar w:fldCharType="begin"/>
      </w:r>
      <w:r>
        <w:instrText xml:space="preserve"> HYPERLINK \l _Toc13622 </w:instrText>
      </w:r>
      <w:r>
        <w:fldChar w:fldCharType="separate"/>
      </w:r>
      <w:r>
        <w:rPr>
          <w:rFonts w:ascii="宋体" w:hAnsi="宋体" w:eastAsia="宋体" w:cs="宋体"/>
        </w:rPr>
        <w:t>8.4 期末基金管理人的从业人员持有本开放式基金份额总量区间情况</w:t>
      </w:r>
      <w:r>
        <w:tab/>
      </w:r>
      <w:r>
        <w:fldChar w:fldCharType="begin"/>
      </w:r>
      <w:r>
        <w:instrText xml:space="preserve"> PAGEREF _Toc13622 \h </w:instrText>
      </w:r>
      <w:r>
        <w:fldChar w:fldCharType="separate"/>
      </w:r>
      <w:r>
        <w:t>40</w:t>
      </w:r>
      <w:r>
        <w:fldChar w:fldCharType="end"/>
      </w:r>
      <w:r>
        <w:fldChar w:fldCharType="end"/>
      </w:r>
    </w:p>
    <w:p w14:paraId="49E5C907">
      <w:pPr>
        <w:pStyle w:val="19"/>
        <w:tabs>
          <w:tab w:val="right" w:leader="dot" w:pos="9070"/>
          <w:tab w:val="clear" w:pos="9060"/>
        </w:tabs>
      </w:pPr>
      <w:r>
        <w:fldChar w:fldCharType="begin"/>
      </w:r>
      <w:r>
        <w:instrText xml:space="preserve"> HYPERLINK \l _Toc16731 </w:instrText>
      </w:r>
      <w:r>
        <w:fldChar w:fldCharType="separate"/>
      </w:r>
      <w:r>
        <w:rPr>
          <w:rFonts w:ascii="宋体" w:hAnsi="宋体" w:eastAsia="宋体" w:cs="宋体"/>
        </w:rPr>
        <w:t>§9 开放式基金份额变动</w:t>
      </w:r>
      <w:r>
        <w:tab/>
      </w:r>
      <w:r>
        <w:fldChar w:fldCharType="begin"/>
      </w:r>
      <w:r>
        <w:instrText xml:space="preserve"> PAGEREF _Toc16731 \h </w:instrText>
      </w:r>
      <w:r>
        <w:fldChar w:fldCharType="separate"/>
      </w:r>
      <w:r>
        <w:t>40</w:t>
      </w:r>
      <w:r>
        <w:fldChar w:fldCharType="end"/>
      </w:r>
      <w:r>
        <w:fldChar w:fldCharType="end"/>
      </w:r>
    </w:p>
    <w:p w14:paraId="29EF83B2">
      <w:pPr>
        <w:pStyle w:val="19"/>
        <w:tabs>
          <w:tab w:val="right" w:leader="dot" w:pos="9070"/>
          <w:tab w:val="clear" w:pos="9060"/>
        </w:tabs>
      </w:pPr>
      <w:r>
        <w:fldChar w:fldCharType="begin"/>
      </w:r>
      <w:r>
        <w:instrText xml:space="preserve"> HYPERLINK \l _Toc13504 </w:instrText>
      </w:r>
      <w:r>
        <w:fldChar w:fldCharType="separate"/>
      </w:r>
      <w:r>
        <w:rPr>
          <w:rFonts w:ascii="宋体" w:hAnsi="宋体" w:eastAsia="宋体" w:cs="宋体"/>
        </w:rPr>
        <w:t>§10 重大事件揭示</w:t>
      </w:r>
      <w:r>
        <w:tab/>
      </w:r>
      <w:r>
        <w:fldChar w:fldCharType="begin"/>
      </w:r>
      <w:r>
        <w:instrText xml:space="preserve"> PAGEREF _Toc13504 \h </w:instrText>
      </w:r>
      <w:r>
        <w:fldChar w:fldCharType="separate"/>
      </w:r>
      <w:r>
        <w:t>41</w:t>
      </w:r>
      <w:r>
        <w:fldChar w:fldCharType="end"/>
      </w:r>
      <w:r>
        <w:fldChar w:fldCharType="end"/>
      </w:r>
    </w:p>
    <w:p w14:paraId="01CA650B">
      <w:pPr>
        <w:pStyle w:val="22"/>
        <w:tabs>
          <w:tab w:val="right" w:leader="dot" w:pos="9070"/>
        </w:tabs>
      </w:pPr>
      <w:r>
        <w:fldChar w:fldCharType="begin"/>
      </w:r>
      <w:r>
        <w:instrText xml:space="preserve"> HYPERLINK \l _Toc2628 </w:instrText>
      </w:r>
      <w:r>
        <w:fldChar w:fldCharType="separate"/>
      </w:r>
      <w:r>
        <w:rPr>
          <w:rFonts w:ascii="宋体" w:hAnsi="宋体" w:eastAsia="宋体" w:cs="宋体"/>
        </w:rPr>
        <w:t>10.1 基金份额持有人大会决议</w:t>
      </w:r>
      <w:r>
        <w:tab/>
      </w:r>
      <w:r>
        <w:fldChar w:fldCharType="begin"/>
      </w:r>
      <w:r>
        <w:instrText xml:space="preserve"> PAGEREF _Toc2628 \h </w:instrText>
      </w:r>
      <w:r>
        <w:fldChar w:fldCharType="separate"/>
      </w:r>
      <w:r>
        <w:t>41</w:t>
      </w:r>
      <w:r>
        <w:fldChar w:fldCharType="end"/>
      </w:r>
      <w:r>
        <w:fldChar w:fldCharType="end"/>
      </w:r>
    </w:p>
    <w:p w14:paraId="4C5A9E2A">
      <w:pPr>
        <w:pStyle w:val="22"/>
        <w:tabs>
          <w:tab w:val="right" w:leader="dot" w:pos="9070"/>
        </w:tabs>
      </w:pPr>
      <w:r>
        <w:fldChar w:fldCharType="begin"/>
      </w:r>
      <w:r>
        <w:instrText xml:space="preserve"> HYPERLINK \l _Toc21772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_Toc21772 \h </w:instrText>
      </w:r>
      <w:r>
        <w:fldChar w:fldCharType="separate"/>
      </w:r>
      <w:r>
        <w:t>41</w:t>
      </w:r>
      <w:r>
        <w:fldChar w:fldCharType="end"/>
      </w:r>
      <w:r>
        <w:fldChar w:fldCharType="end"/>
      </w:r>
    </w:p>
    <w:p w14:paraId="7957732A">
      <w:pPr>
        <w:pStyle w:val="22"/>
        <w:tabs>
          <w:tab w:val="right" w:leader="dot" w:pos="9070"/>
        </w:tabs>
      </w:pPr>
      <w:r>
        <w:fldChar w:fldCharType="begin"/>
      </w:r>
      <w:r>
        <w:instrText xml:space="preserve"> HYPERLINK \l _Toc17255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_Toc17255 \h </w:instrText>
      </w:r>
      <w:r>
        <w:fldChar w:fldCharType="separate"/>
      </w:r>
      <w:r>
        <w:t>41</w:t>
      </w:r>
      <w:r>
        <w:fldChar w:fldCharType="end"/>
      </w:r>
      <w:r>
        <w:fldChar w:fldCharType="end"/>
      </w:r>
    </w:p>
    <w:p w14:paraId="1CF7292E">
      <w:pPr>
        <w:pStyle w:val="22"/>
        <w:tabs>
          <w:tab w:val="right" w:leader="dot" w:pos="9070"/>
        </w:tabs>
      </w:pPr>
      <w:r>
        <w:fldChar w:fldCharType="begin"/>
      </w:r>
      <w:r>
        <w:instrText xml:space="preserve"> HYPERLINK \l _Toc14896 </w:instrText>
      </w:r>
      <w:r>
        <w:fldChar w:fldCharType="separate"/>
      </w:r>
      <w:r>
        <w:rPr>
          <w:rFonts w:ascii="宋体" w:hAnsi="宋体" w:eastAsia="宋体" w:cs="宋体"/>
        </w:rPr>
        <w:t>10.4 基金投资策略的改变</w:t>
      </w:r>
      <w:r>
        <w:tab/>
      </w:r>
      <w:r>
        <w:fldChar w:fldCharType="begin"/>
      </w:r>
      <w:r>
        <w:instrText xml:space="preserve"> PAGEREF _Toc14896 \h </w:instrText>
      </w:r>
      <w:r>
        <w:fldChar w:fldCharType="separate"/>
      </w:r>
      <w:r>
        <w:t>41</w:t>
      </w:r>
      <w:r>
        <w:fldChar w:fldCharType="end"/>
      </w:r>
      <w:r>
        <w:fldChar w:fldCharType="end"/>
      </w:r>
    </w:p>
    <w:p w14:paraId="3A43841B">
      <w:pPr>
        <w:pStyle w:val="22"/>
        <w:tabs>
          <w:tab w:val="right" w:leader="dot" w:pos="9070"/>
        </w:tabs>
      </w:pPr>
      <w:r>
        <w:fldChar w:fldCharType="begin"/>
      </w:r>
      <w:r>
        <w:instrText xml:space="preserve"> HYPERLINK \l _Toc18044 </w:instrText>
      </w:r>
      <w:r>
        <w:fldChar w:fldCharType="separate"/>
      </w:r>
      <w:r>
        <w:rPr>
          <w:rFonts w:ascii="宋体" w:hAnsi="宋体" w:eastAsia="宋体" w:cs="宋体"/>
        </w:rPr>
        <w:t>10.5 为基金进行审计的会计师事务所情况</w:t>
      </w:r>
      <w:r>
        <w:tab/>
      </w:r>
      <w:r>
        <w:fldChar w:fldCharType="begin"/>
      </w:r>
      <w:r>
        <w:instrText xml:space="preserve"> PAGEREF _Toc18044 \h </w:instrText>
      </w:r>
      <w:r>
        <w:fldChar w:fldCharType="separate"/>
      </w:r>
      <w:r>
        <w:t>41</w:t>
      </w:r>
      <w:r>
        <w:fldChar w:fldCharType="end"/>
      </w:r>
      <w:r>
        <w:fldChar w:fldCharType="end"/>
      </w:r>
    </w:p>
    <w:p w14:paraId="144A1A5E">
      <w:pPr>
        <w:pStyle w:val="22"/>
        <w:tabs>
          <w:tab w:val="right" w:leader="dot" w:pos="9070"/>
        </w:tabs>
      </w:pPr>
      <w:r>
        <w:fldChar w:fldCharType="begin"/>
      </w:r>
      <w:r>
        <w:instrText xml:space="preserve"> HYPERLINK \l _Toc27918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_Toc27918 \h </w:instrText>
      </w:r>
      <w:r>
        <w:fldChar w:fldCharType="separate"/>
      </w:r>
      <w:r>
        <w:t>41</w:t>
      </w:r>
      <w:r>
        <w:fldChar w:fldCharType="end"/>
      </w:r>
      <w:r>
        <w:fldChar w:fldCharType="end"/>
      </w:r>
    </w:p>
    <w:p w14:paraId="5F161479">
      <w:pPr>
        <w:pStyle w:val="22"/>
        <w:tabs>
          <w:tab w:val="right" w:leader="dot" w:pos="9070"/>
        </w:tabs>
      </w:pPr>
      <w:r>
        <w:fldChar w:fldCharType="begin"/>
      </w:r>
      <w:r>
        <w:instrText xml:space="preserve"> HYPERLINK \l _Toc32422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_Toc32422 \h </w:instrText>
      </w:r>
      <w:r>
        <w:fldChar w:fldCharType="separate"/>
      </w:r>
      <w:r>
        <w:t>41</w:t>
      </w:r>
      <w:r>
        <w:fldChar w:fldCharType="end"/>
      </w:r>
      <w:r>
        <w:fldChar w:fldCharType="end"/>
      </w:r>
    </w:p>
    <w:p w14:paraId="37078BDE">
      <w:pPr>
        <w:pStyle w:val="22"/>
        <w:tabs>
          <w:tab w:val="right" w:leader="dot" w:pos="9070"/>
        </w:tabs>
      </w:pPr>
      <w:r>
        <w:fldChar w:fldCharType="begin"/>
      </w:r>
      <w:r>
        <w:instrText xml:space="preserve"> HYPERLINK \l _Toc17124 </w:instrText>
      </w:r>
      <w:r>
        <w:fldChar w:fldCharType="separate"/>
      </w:r>
      <w:r>
        <w:rPr>
          <w:rFonts w:ascii="宋体" w:hAnsi="宋体" w:eastAsia="宋体" w:cs="宋体"/>
        </w:rPr>
        <w:t>10.8 其他重大事件</w:t>
      </w:r>
      <w:r>
        <w:tab/>
      </w:r>
      <w:r>
        <w:fldChar w:fldCharType="begin"/>
      </w:r>
      <w:r>
        <w:instrText xml:space="preserve"> PAGEREF _Toc17124 \h </w:instrText>
      </w:r>
      <w:r>
        <w:fldChar w:fldCharType="separate"/>
      </w:r>
      <w:r>
        <w:t>43</w:t>
      </w:r>
      <w:r>
        <w:fldChar w:fldCharType="end"/>
      </w:r>
      <w:r>
        <w:fldChar w:fldCharType="end"/>
      </w:r>
    </w:p>
    <w:p w14:paraId="1E8DE1FA">
      <w:pPr>
        <w:pStyle w:val="19"/>
        <w:tabs>
          <w:tab w:val="right" w:leader="dot" w:pos="9070"/>
          <w:tab w:val="clear" w:pos="9060"/>
        </w:tabs>
      </w:pPr>
      <w:r>
        <w:fldChar w:fldCharType="begin"/>
      </w:r>
      <w:r>
        <w:instrText xml:space="preserve"> HYPERLINK \l _Toc12357 </w:instrText>
      </w:r>
      <w:r>
        <w:fldChar w:fldCharType="separate"/>
      </w:r>
      <w:r>
        <w:rPr>
          <w:rFonts w:ascii="宋体" w:hAnsi="宋体" w:eastAsia="宋体" w:cs="宋体"/>
        </w:rPr>
        <w:t>§11 影响投资者决策的其他重要信息</w:t>
      </w:r>
      <w:r>
        <w:tab/>
      </w:r>
      <w:r>
        <w:fldChar w:fldCharType="begin"/>
      </w:r>
      <w:r>
        <w:instrText xml:space="preserve"> PAGEREF _Toc12357 \h </w:instrText>
      </w:r>
      <w:r>
        <w:fldChar w:fldCharType="separate"/>
      </w:r>
      <w:r>
        <w:t>44</w:t>
      </w:r>
      <w:r>
        <w:fldChar w:fldCharType="end"/>
      </w:r>
      <w:r>
        <w:fldChar w:fldCharType="end"/>
      </w:r>
    </w:p>
    <w:p w14:paraId="16B128C3">
      <w:pPr>
        <w:pStyle w:val="22"/>
        <w:tabs>
          <w:tab w:val="right" w:leader="dot" w:pos="9070"/>
        </w:tabs>
      </w:pPr>
      <w:r>
        <w:fldChar w:fldCharType="begin"/>
      </w:r>
      <w:r>
        <w:instrText xml:space="preserve"> HYPERLINK \l _Toc2631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_Toc2631 \h </w:instrText>
      </w:r>
      <w:r>
        <w:fldChar w:fldCharType="separate"/>
      </w:r>
      <w:r>
        <w:t>44</w:t>
      </w:r>
      <w:r>
        <w:fldChar w:fldCharType="end"/>
      </w:r>
      <w:r>
        <w:fldChar w:fldCharType="end"/>
      </w:r>
    </w:p>
    <w:p w14:paraId="65021D41">
      <w:pPr>
        <w:pStyle w:val="22"/>
        <w:tabs>
          <w:tab w:val="right" w:leader="dot" w:pos="9070"/>
        </w:tabs>
      </w:pPr>
      <w:r>
        <w:fldChar w:fldCharType="begin"/>
      </w:r>
      <w:r>
        <w:instrText xml:space="preserve"> HYPERLINK \l _Toc25732 </w:instrText>
      </w:r>
      <w:r>
        <w:fldChar w:fldCharType="separate"/>
      </w:r>
      <w:r>
        <w:rPr>
          <w:rFonts w:ascii="宋体" w:hAnsi="宋体" w:eastAsia="宋体" w:cs="宋体"/>
        </w:rPr>
        <w:t>11.2 影响投资者决策的其他重要信息</w:t>
      </w:r>
      <w:r>
        <w:tab/>
      </w:r>
      <w:r>
        <w:fldChar w:fldCharType="begin"/>
      </w:r>
      <w:r>
        <w:instrText xml:space="preserve"> PAGEREF _Toc25732 \h </w:instrText>
      </w:r>
      <w:r>
        <w:fldChar w:fldCharType="separate"/>
      </w:r>
      <w:r>
        <w:t>44</w:t>
      </w:r>
      <w:r>
        <w:fldChar w:fldCharType="end"/>
      </w:r>
      <w:r>
        <w:fldChar w:fldCharType="end"/>
      </w:r>
    </w:p>
    <w:p w14:paraId="3699274D">
      <w:pPr>
        <w:pStyle w:val="19"/>
        <w:tabs>
          <w:tab w:val="right" w:leader="dot" w:pos="9070"/>
          <w:tab w:val="clear" w:pos="9060"/>
        </w:tabs>
      </w:pPr>
      <w:r>
        <w:fldChar w:fldCharType="begin"/>
      </w:r>
      <w:r>
        <w:instrText xml:space="preserve"> HYPERLINK \l _Toc28912 </w:instrText>
      </w:r>
      <w:r>
        <w:fldChar w:fldCharType="separate"/>
      </w:r>
      <w:r>
        <w:rPr>
          <w:rFonts w:ascii="宋体" w:hAnsi="宋体" w:eastAsia="宋体" w:cs="宋体"/>
        </w:rPr>
        <w:t>§12 备查文件目录</w:t>
      </w:r>
      <w:r>
        <w:tab/>
      </w:r>
      <w:r>
        <w:fldChar w:fldCharType="begin"/>
      </w:r>
      <w:r>
        <w:instrText xml:space="preserve"> PAGEREF _Toc28912 \h </w:instrText>
      </w:r>
      <w:r>
        <w:fldChar w:fldCharType="separate"/>
      </w:r>
      <w:r>
        <w:t>45</w:t>
      </w:r>
      <w:r>
        <w:fldChar w:fldCharType="end"/>
      </w:r>
      <w:r>
        <w:fldChar w:fldCharType="end"/>
      </w:r>
    </w:p>
    <w:p w14:paraId="6414E280">
      <w:pPr>
        <w:pStyle w:val="22"/>
        <w:tabs>
          <w:tab w:val="right" w:leader="dot" w:pos="9070"/>
        </w:tabs>
      </w:pPr>
      <w:r>
        <w:fldChar w:fldCharType="begin"/>
      </w:r>
      <w:r>
        <w:instrText xml:space="preserve"> HYPERLINK \l _Toc15985 </w:instrText>
      </w:r>
      <w:r>
        <w:fldChar w:fldCharType="separate"/>
      </w:r>
      <w:r>
        <w:rPr>
          <w:rFonts w:ascii="宋体" w:hAnsi="宋体" w:eastAsia="宋体" w:cs="宋体"/>
        </w:rPr>
        <w:t>12.1 备查文件目录</w:t>
      </w:r>
      <w:r>
        <w:tab/>
      </w:r>
      <w:r>
        <w:fldChar w:fldCharType="begin"/>
      </w:r>
      <w:r>
        <w:instrText xml:space="preserve"> PAGEREF _Toc15985 \h </w:instrText>
      </w:r>
      <w:r>
        <w:fldChar w:fldCharType="separate"/>
      </w:r>
      <w:r>
        <w:t>45</w:t>
      </w:r>
      <w:r>
        <w:fldChar w:fldCharType="end"/>
      </w:r>
      <w:r>
        <w:fldChar w:fldCharType="end"/>
      </w:r>
    </w:p>
    <w:p w14:paraId="358529B3">
      <w:pPr>
        <w:pStyle w:val="22"/>
        <w:tabs>
          <w:tab w:val="right" w:leader="dot" w:pos="9070"/>
        </w:tabs>
      </w:pPr>
      <w:r>
        <w:fldChar w:fldCharType="begin"/>
      </w:r>
      <w:r>
        <w:instrText xml:space="preserve"> HYPERLINK \l _Toc28940 </w:instrText>
      </w:r>
      <w:r>
        <w:fldChar w:fldCharType="separate"/>
      </w:r>
      <w:r>
        <w:rPr>
          <w:rFonts w:ascii="宋体" w:hAnsi="宋体" w:eastAsia="宋体" w:cs="宋体"/>
        </w:rPr>
        <w:t>12.2 存放地点</w:t>
      </w:r>
      <w:r>
        <w:tab/>
      </w:r>
      <w:r>
        <w:fldChar w:fldCharType="begin"/>
      </w:r>
      <w:r>
        <w:instrText xml:space="preserve"> PAGEREF _Toc28940 \h </w:instrText>
      </w:r>
      <w:r>
        <w:fldChar w:fldCharType="separate"/>
      </w:r>
      <w:r>
        <w:t>45</w:t>
      </w:r>
      <w:r>
        <w:fldChar w:fldCharType="end"/>
      </w:r>
      <w:r>
        <w:fldChar w:fldCharType="end"/>
      </w:r>
    </w:p>
    <w:p w14:paraId="55C04ED4">
      <w:pPr>
        <w:pStyle w:val="22"/>
        <w:tabs>
          <w:tab w:val="right" w:leader="dot" w:pos="9070"/>
        </w:tabs>
      </w:pPr>
      <w:r>
        <w:fldChar w:fldCharType="begin"/>
      </w:r>
      <w:r>
        <w:instrText xml:space="preserve"> HYPERLINK \l _Toc28051 </w:instrText>
      </w:r>
      <w:r>
        <w:fldChar w:fldCharType="separate"/>
      </w:r>
      <w:r>
        <w:rPr>
          <w:rFonts w:ascii="宋体" w:hAnsi="宋体" w:eastAsia="宋体" w:cs="宋体"/>
        </w:rPr>
        <w:t>12.3 查阅方式</w:t>
      </w:r>
      <w:r>
        <w:tab/>
      </w:r>
      <w:r>
        <w:fldChar w:fldCharType="begin"/>
      </w:r>
      <w:r>
        <w:instrText xml:space="preserve"> PAGEREF _Toc28051 \h </w:instrText>
      </w:r>
      <w:r>
        <w:fldChar w:fldCharType="separate"/>
      </w:r>
      <w:r>
        <w:t>45</w:t>
      </w:r>
      <w:r>
        <w:fldChar w:fldCharType="end"/>
      </w:r>
      <w:r>
        <w:fldChar w:fldCharType="end"/>
      </w:r>
    </w:p>
    <w:p w14:paraId="1C1AA67A">
      <w:pPr>
        <w:rPr>
          <w:rFonts w:ascii="宋体" w:hAnsi="宋体" w:eastAsia="宋体"/>
        </w:rPr>
      </w:pPr>
      <w:r>
        <w:fldChar w:fldCharType="end"/>
      </w:r>
    </w:p>
    <w:p w14:paraId="45716991">
      <w:r>
        <w:br w:type="page"/>
      </w:r>
    </w:p>
    <w:p w14:paraId="2255F341">
      <w:pPr>
        <w:pStyle w:val="2"/>
        <w:jc w:val="center"/>
      </w:pPr>
      <w:bookmarkStart w:id="5" w:name="_Toc4501"/>
      <w:r>
        <w:rPr>
          <w:rFonts w:ascii="宋体" w:hAnsi="宋体" w:eastAsia="宋体" w:cs="宋体"/>
        </w:rPr>
        <w:t>§2 基金简介</w:t>
      </w:r>
      <w:bookmarkEnd w:id="5"/>
    </w:p>
    <w:p w14:paraId="32182122">
      <w:pPr>
        <w:pStyle w:val="3"/>
        <w:jc w:val="left"/>
      </w:pPr>
      <w:bookmarkStart w:id="6" w:name="_Toc32737"/>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7907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24AA934C">
            <w:pPr>
              <w:spacing w:line="240" w:lineRule="auto"/>
              <w:jc w:val="left"/>
            </w:pPr>
            <w:r>
              <w:rPr>
                <w:rFonts w:ascii="宋体" w:hAnsi="宋体" w:eastAsia="宋体" w:cs="宋体"/>
                <w:b w:val="0"/>
              </w:rPr>
              <w:t>基金名称</w:t>
            </w:r>
          </w:p>
        </w:tc>
        <w:tc>
          <w:tcPr>
            <w:tcW w:w="3462" w:type="pct"/>
            <w:gridSpan w:val="2"/>
            <w:vAlign w:val="center"/>
          </w:tcPr>
          <w:p w14:paraId="479674A0">
            <w:pPr>
              <w:spacing w:line="240" w:lineRule="auto"/>
              <w:jc w:val="left"/>
            </w:pPr>
            <w:r>
              <w:rPr>
                <w:rFonts w:ascii="宋体" w:hAnsi="宋体" w:eastAsia="宋体" w:cs="宋体"/>
                <w:b w:val="0"/>
              </w:rPr>
              <w:t>东方阿尔法兴科一年持有期混合型证券投资基金</w:t>
            </w:r>
          </w:p>
        </w:tc>
      </w:tr>
      <w:tr w14:paraId="6B9D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A3859A">
            <w:pPr>
              <w:spacing w:line="240" w:lineRule="auto"/>
              <w:jc w:val="left"/>
            </w:pPr>
            <w:r>
              <w:rPr>
                <w:rFonts w:ascii="宋体" w:hAnsi="宋体" w:eastAsia="宋体" w:cs="宋体"/>
                <w:b w:val="0"/>
              </w:rPr>
              <w:t>基金简称</w:t>
            </w:r>
          </w:p>
        </w:tc>
        <w:tc>
          <w:tcPr>
            <w:tcW w:w="0" w:type="dxa"/>
            <w:gridSpan w:val="2"/>
            <w:vAlign w:val="center"/>
          </w:tcPr>
          <w:p w14:paraId="4E88C746">
            <w:pPr>
              <w:spacing w:line="240" w:lineRule="auto"/>
              <w:jc w:val="left"/>
            </w:pPr>
            <w:r>
              <w:rPr>
                <w:rFonts w:ascii="宋体" w:hAnsi="宋体" w:eastAsia="宋体" w:cs="宋体"/>
                <w:b w:val="0"/>
              </w:rPr>
              <w:t>东方阿尔法兴科一年持有混合</w:t>
            </w:r>
          </w:p>
        </w:tc>
      </w:tr>
      <w:tr w14:paraId="6352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59DEBD">
            <w:pPr>
              <w:spacing w:line="240" w:lineRule="auto"/>
              <w:jc w:val="left"/>
            </w:pPr>
            <w:r>
              <w:rPr>
                <w:rFonts w:ascii="宋体" w:hAnsi="宋体" w:eastAsia="宋体" w:cs="宋体"/>
                <w:b w:val="0"/>
              </w:rPr>
              <w:t>基金主代码</w:t>
            </w:r>
          </w:p>
        </w:tc>
        <w:tc>
          <w:tcPr>
            <w:tcW w:w="0" w:type="dxa"/>
            <w:gridSpan w:val="2"/>
            <w:vAlign w:val="center"/>
          </w:tcPr>
          <w:p w14:paraId="5B220FBE">
            <w:pPr>
              <w:spacing w:line="240" w:lineRule="auto"/>
              <w:jc w:val="left"/>
            </w:pPr>
            <w:r>
              <w:rPr>
                <w:rFonts w:ascii="宋体" w:hAnsi="宋体" w:eastAsia="宋体" w:cs="宋体"/>
                <w:b w:val="0"/>
              </w:rPr>
              <w:t>015900</w:t>
            </w:r>
          </w:p>
        </w:tc>
      </w:tr>
      <w:tr w14:paraId="5CCB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206ADD">
            <w:pPr>
              <w:spacing w:line="240" w:lineRule="auto"/>
              <w:jc w:val="left"/>
            </w:pPr>
            <w:r>
              <w:rPr>
                <w:rFonts w:ascii="宋体" w:hAnsi="宋体" w:eastAsia="宋体" w:cs="宋体"/>
                <w:b w:val="0"/>
              </w:rPr>
              <w:t>基金运作方式</w:t>
            </w:r>
          </w:p>
        </w:tc>
        <w:tc>
          <w:tcPr>
            <w:tcW w:w="0" w:type="dxa"/>
            <w:gridSpan w:val="2"/>
            <w:vAlign w:val="center"/>
          </w:tcPr>
          <w:p w14:paraId="4B687C40">
            <w:pPr>
              <w:spacing w:line="240" w:lineRule="auto"/>
              <w:jc w:val="left"/>
            </w:pPr>
            <w:r>
              <w:rPr>
                <w:rFonts w:ascii="宋体" w:hAnsi="宋体" w:eastAsia="宋体" w:cs="宋体"/>
                <w:b w:val="0"/>
              </w:rPr>
              <w:t>契约型开放式。每个开放日开放申购，每笔申购/转换转入申请所得基金份额持有满一年后每个开放日开放赎回/转换转出。</w:t>
            </w:r>
          </w:p>
        </w:tc>
      </w:tr>
      <w:tr w14:paraId="0D55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C260A0">
            <w:pPr>
              <w:spacing w:line="240" w:lineRule="auto"/>
              <w:jc w:val="left"/>
            </w:pPr>
            <w:r>
              <w:rPr>
                <w:rFonts w:ascii="宋体" w:hAnsi="宋体" w:eastAsia="宋体" w:cs="宋体"/>
                <w:b w:val="0"/>
              </w:rPr>
              <w:t>基金合同生效日</w:t>
            </w:r>
          </w:p>
        </w:tc>
        <w:tc>
          <w:tcPr>
            <w:tcW w:w="0" w:type="dxa"/>
            <w:gridSpan w:val="2"/>
            <w:vAlign w:val="center"/>
          </w:tcPr>
          <w:p w14:paraId="3D18455E">
            <w:pPr>
              <w:spacing w:line="240" w:lineRule="auto"/>
              <w:jc w:val="left"/>
            </w:pPr>
            <w:r>
              <w:rPr>
                <w:rFonts w:ascii="宋体" w:hAnsi="宋体" w:eastAsia="宋体" w:cs="宋体"/>
                <w:b w:val="0"/>
              </w:rPr>
              <w:t>2022年09月28日</w:t>
            </w:r>
          </w:p>
        </w:tc>
      </w:tr>
      <w:tr w14:paraId="5F60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AB48CE">
            <w:pPr>
              <w:spacing w:line="240" w:lineRule="auto"/>
              <w:jc w:val="left"/>
            </w:pPr>
            <w:r>
              <w:rPr>
                <w:rFonts w:ascii="宋体" w:hAnsi="宋体" w:eastAsia="宋体" w:cs="宋体"/>
                <w:b w:val="0"/>
              </w:rPr>
              <w:t>基金管理人</w:t>
            </w:r>
          </w:p>
        </w:tc>
        <w:tc>
          <w:tcPr>
            <w:tcW w:w="0" w:type="dxa"/>
            <w:gridSpan w:val="2"/>
            <w:vAlign w:val="center"/>
          </w:tcPr>
          <w:p w14:paraId="1084C1E9">
            <w:pPr>
              <w:spacing w:line="240" w:lineRule="auto"/>
              <w:jc w:val="left"/>
            </w:pPr>
            <w:r>
              <w:rPr>
                <w:rFonts w:ascii="宋体" w:hAnsi="宋体" w:eastAsia="宋体" w:cs="宋体"/>
                <w:b w:val="0"/>
              </w:rPr>
              <w:t>东方阿尔法基金管理有限公司</w:t>
            </w:r>
          </w:p>
        </w:tc>
      </w:tr>
      <w:tr w14:paraId="38B5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4B458D">
            <w:pPr>
              <w:spacing w:line="240" w:lineRule="auto"/>
              <w:jc w:val="left"/>
            </w:pPr>
            <w:r>
              <w:rPr>
                <w:rFonts w:ascii="宋体" w:hAnsi="宋体" w:eastAsia="宋体" w:cs="宋体"/>
                <w:b w:val="0"/>
              </w:rPr>
              <w:t>基金托管人</w:t>
            </w:r>
          </w:p>
        </w:tc>
        <w:tc>
          <w:tcPr>
            <w:tcW w:w="0" w:type="dxa"/>
            <w:gridSpan w:val="2"/>
            <w:vAlign w:val="center"/>
          </w:tcPr>
          <w:p w14:paraId="026AC315">
            <w:pPr>
              <w:spacing w:line="240" w:lineRule="auto"/>
              <w:jc w:val="left"/>
            </w:pPr>
            <w:r>
              <w:rPr>
                <w:rFonts w:ascii="宋体" w:hAnsi="宋体" w:eastAsia="宋体" w:cs="宋体"/>
                <w:b w:val="0"/>
              </w:rPr>
              <w:t>兴业银行股份有限公司</w:t>
            </w:r>
          </w:p>
        </w:tc>
      </w:tr>
      <w:tr w14:paraId="4021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387BBD">
            <w:pPr>
              <w:spacing w:line="240" w:lineRule="auto"/>
              <w:jc w:val="left"/>
            </w:pPr>
            <w:r>
              <w:rPr>
                <w:rFonts w:ascii="宋体" w:hAnsi="宋体" w:eastAsia="宋体" w:cs="宋体"/>
                <w:b w:val="0"/>
              </w:rPr>
              <w:t>报告期末基金份额总额</w:t>
            </w:r>
          </w:p>
        </w:tc>
        <w:tc>
          <w:tcPr>
            <w:tcW w:w="0" w:type="dxa"/>
            <w:gridSpan w:val="2"/>
            <w:vAlign w:val="center"/>
          </w:tcPr>
          <w:p w14:paraId="4E305D91">
            <w:pPr>
              <w:spacing w:line="240" w:lineRule="auto"/>
              <w:jc w:val="left"/>
            </w:pPr>
            <w:r>
              <w:rPr>
                <w:rFonts w:ascii="宋体" w:hAnsi="宋体" w:eastAsia="宋体" w:cs="宋体"/>
                <w:b w:val="0"/>
              </w:rPr>
              <w:t>53,188,047.49份</w:t>
            </w:r>
          </w:p>
        </w:tc>
      </w:tr>
      <w:tr w14:paraId="772C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3FDED8">
            <w:pPr>
              <w:spacing w:line="240" w:lineRule="auto"/>
              <w:jc w:val="left"/>
            </w:pPr>
            <w:r>
              <w:rPr>
                <w:rFonts w:ascii="宋体" w:hAnsi="宋体" w:eastAsia="宋体" w:cs="宋体"/>
                <w:b w:val="0"/>
              </w:rPr>
              <w:t>基金合同存续期</w:t>
            </w:r>
          </w:p>
        </w:tc>
        <w:tc>
          <w:tcPr>
            <w:tcW w:w="0" w:type="dxa"/>
            <w:gridSpan w:val="2"/>
            <w:vAlign w:val="center"/>
          </w:tcPr>
          <w:p w14:paraId="60AC32CF">
            <w:pPr>
              <w:spacing w:line="240" w:lineRule="auto"/>
              <w:jc w:val="left"/>
            </w:pPr>
            <w:r>
              <w:rPr>
                <w:rFonts w:ascii="宋体" w:hAnsi="宋体" w:eastAsia="宋体" w:cs="宋体"/>
                <w:b w:val="0"/>
              </w:rPr>
              <w:t>不定期</w:t>
            </w:r>
          </w:p>
        </w:tc>
      </w:tr>
      <w:tr w14:paraId="41B5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46D216">
            <w:pPr>
              <w:spacing w:line="240" w:lineRule="auto"/>
              <w:jc w:val="left"/>
            </w:pPr>
            <w:r>
              <w:rPr>
                <w:rFonts w:ascii="宋体" w:hAnsi="宋体" w:eastAsia="宋体" w:cs="宋体"/>
                <w:b w:val="0"/>
              </w:rPr>
              <w:t>下属分级基金的基金简称</w:t>
            </w:r>
          </w:p>
        </w:tc>
        <w:tc>
          <w:tcPr>
            <w:tcW w:w="1700" w:type="pct"/>
            <w:vAlign w:val="center"/>
          </w:tcPr>
          <w:p w14:paraId="51DC5CEA">
            <w:pPr>
              <w:spacing w:line="240" w:lineRule="auto"/>
              <w:jc w:val="left"/>
            </w:pPr>
            <w:r>
              <w:rPr>
                <w:rFonts w:ascii="宋体" w:hAnsi="宋体" w:eastAsia="宋体" w:cs="宋体"/>
                <w:b w:val="0"/>
              </w:rPr>
              <w:t>东方阿尔法兴科一年持有混合A</w:t>
            </w:r>
          </w:p>
        </w:tc>
        <w:tc>
          <w:tcPr>
            <w:tcW w:w="1700" w:type="pct"/>
            <w:vAlign w:val="center"/>
          </w:tcPr>
          <w:p w14:paraId="7A352D6F">
            <w:pPr>
              <w:spacing w:line="240" w:lineRule="auto"/>
              <w:jc w:val="left"/>
            </w:pPr>
            <w:r>
              <w:rPr>
                <w:rFonts w:ascii="宋体" w:hAnsi="宋体" w:eastAsia="宋体" w:cs="宋体"/>
                <w:b w:val="0"/>
              </w:rPr>
              <w:t>东方阿尔法兴科一年持有混合C</w:t>
            </w:r>
          </w:p>
        </w:tc>
      </w:tr>
      <w:tr w14:paraId="4554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312064">
            <w:pPr>
              <w:spacing w:line="240" w:lineRule="auto"/>
              <w:jc w:val="left"/>
            </w:pPr>
            <w:r>
              <w:rPr>
                <w:rFonts w:ascii="宋体" w:hAnsi="宋体" w:eastAsia="宋体" w:cs="宋体"/>
                <w:b w:val="0"/>
              </w:rPr>
              <w:t>下属分级基金的交易代码</w:t>
            </w:r>
          </w:p>
        </w:tc>
        <w:tc>
          <w:tcPr>
            <w:tcW w:w="1700" w:type="pct"/>
            <w:vAlign w:val="center"/>
          </w:tcPr>
          <w:p w14:paraId="2CF065CF">
            <w:pPr>
              <w:spacing w:line="240" w:lineRule="auto"/>
              <w:jc w:val="left"/>
            </w:pPr>
            <w:r>
              <w:rPr>
                <w:rFonts w:ascii="宋体" w:hAnsi="宋体" w:eastAsia="宋体" w:cs="宋体"/>
                <w:b w:val="0"/>
              </w:rPr>
              <w:t>015900</w:t>
            </w:r>
          </w:p>
        </w:tc>
        <w:tc>
          <w:tcPr>
            <w:tcW w:w="1700" w:type="pct"/>
            <w:vAlign w:val="center"/>
          </w:tcPr>
          <w:p w14:paraId="17631917">
            <w:pPr>
              <w:spacing w:line="240" w:lineRule="auto"/>
              <w:jc w:val="left"/>
            </w:pPr>
            <w:r>
              <w:rPr>
                <w:rFonts w:ascii="宋体" w:hAnsi="宋体" w:eastAsia="宋体" w:cs="宋体"/>
                <w:b w:val="0"/>
              </w:rPr>
              <w:t>015901</w:t>
            </w:r>
          </w:p>
        </w:tc>
      </w:tr>
      <w:tr w14:paraId="5A4E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A9AD36">
            <w:pPr>
              <w:spacing w:line="240" w:lineRule="auto"/>
              <w:jc w:val="left"/>
            </w:pPr>
            <w:r>
              <w:rPr>
                <w:rFonts w:ascii="宋体" w:hAnsi="宋体" w:eastAsia="宋体" w:cs="宋体"/>
                <w:b w:val="0"/>
              </w:rPr>
              <w:t>报告期末下属分级基金的份额总额</w:t>
            </w:r>
          </w:p>
        </w:tc>
        <w:tc>
          <w:tcPr>
            <w:tcW w:w="1700" w:type="pct"/>
            <w:vAlign w:val="center"/>
          </w:tcPr>
          <w:p w14:paraId="537DACDA">
            <w:pPr>
              <w:spacing w:line="240" w:lineRule="auto"/>
              <w:jc w:val="left"/>
            </w:pPr>
            <w:r>
              <w:rPr>
                <w:rFonts w:ascii="宋体" w:hAnsi="宋体" w:eastAsia="宋体" w:cs="宋体"/>
                <w:b w:val="0"/>
              </w:rPr>
              <w:t>44,820,955.67份</w:t>
            </w:r>
          </w:p>
        </w:tc>
        <w:tc>
          <w:tcPr>
            <w:tcW w:w="1700" w:type="pct"/>
            <w:vAlign w:val="center"/>
          </w:tcPr>
          <w:p w14:paraId="4CBCB921">
            <w:pPr>
              <w:spacing w:line="240" w:lineRule="auto"/>
              <w:jc w:val="left"/>
            </w:pPr>
            <w:r>
              <w:rPr>
                <w:rFonts w:ascii="宋体" w:hAnsi="宋体" w:eastAsia="宋体" w:cs="宋体"/>
                <w:b w:val="0"/>
              </w:rPr>
              <w:t>8,367,091.82份</w:t>
            </w:r>
          </w:p>
        </w:tc>
      </w:tr>
    </w:tbl>
    <w:p w14:paraId="1504E62B">
      <w:r>
        <w:rPr>
          <w:rFonts w:ascii="宋体" w:hAnsi="宋体" w:eastAsia="宋体" w:cs="宋体"/>
          <w:b w:val="0"/>
        </w:rPr>
        <w:t>注：本基金对每份基金份额设置一年的最短持有期限。</w:t>
      </w:r>
      <w:r>
        <w:rPr>
          <w:rFonts w:ascii="宋体" w:hAnsi="宋体" w:eastAsia="宋体" w:cs="宋体"/>
          <w:b w:val="0"/>
        </w:rPr>
        <w:br w:type="textWrapping"/>
      </w:r>
      <w:r>
        <w:rPr>
          <w:rFonts w:ascii="宋体" w:hAnsi="宋体" w:eastAsia="宋体" w:cs="宋体"/>
          <w:b w:val="0"/>
        </w:rPr>
        <w:t>最短持有期限指从基金合同生效日（对认购份额而言，下同）、基金份额申购确认日（对申购份额而言，下同）或基金份额转换转入确认日（对转换转入份额而言，下同）起，至基金合同生效日、基金份额申购确认日或基金份额转换转入确认日次年的年度对应日的前一日。相应基金份额在最短持有期限内不可办理赎回及转换转出业务，最短持有期限届满后的下一个工作日起可以办理赎回及转换转出业务。</w:t>
      </w:r>
      <w:r>
        <w:rPr>
          <w:rFonts w:ascii="宋体" w:hAnsi="宋体" w:eastAsia="宋体" w:cs="宋体"/>
          <w:b w:val="0"/>
        </w:rPr>
        <w:br w:type="textWrapping"/>
      </w:r>
      <w:r>
        <w:rPr>
          <w:rFonts w:ascii="宋体" w:hAnsi="宋体" w:eastAsia="宋体" w:cs="宋体"/>
          <w:b w:val="0"/>
        </w:rPr>
        <w:t>因不可抗力或基金合同约定的其他情形致使基金管理人无法在基金份额的最短持有期限届满后按时开放办理该基金份额的赎回和转换转出业务的，则顺延至不可抗力或基金合同约定的其他情形的影响因素消除之日起的下一个工作日。</w:t>
      </w:r>
    </w:p>
    <w:p w14:paraId="22140DE9"/>
    <w:p w14:paraId="0A0FA3BC">
      <w:pPr>
        <w:pStyle w:val="3"/>
        <w:jc w:val="left"/>
      </w:pPr>
      <w:bookmarkStart w:id="7" w:name="_Toc4994"/>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66BC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4E9E6F0">
            <w:pPr>
              <w:spacing w:line="240" w:lineRule="auto"/>
              <w:jc w:val="left"/>
            </w:pPr>
            <w:r>
              <w:rPr>
                <w:rFonts w:ascii="宋体" w:hAnsi="宋体" w:eastAsia="宋体" w:cs="宋体"/>
                <w:b w:val="0"/>
              </w:rPr>
              <w:t>投资目标</w:t>
            </w:r>
          </w:p>
        </w:tc>
        <w:tc>
          <w:tcPr>
            <w:tcW w:w="3077" w:type="pct"/>
            <w:vAlign w:val="center"/>
          </w:tcPr>
          <w:p w14:paraId="1C93FBB9">
            <w:pPr>
              <w:spacing w:line="240" w:lineRule="auto"/>
              <w:jc w:val="left"/>
            </w:pPr>
            <w:r>
              <w:rPr>
                <w:rFonts w:ascii="宋体" w:hAnsi="宋体" w:eastAsia="宋体" w:cs="宋体"/>
                <w:b w:val="0"/>
              </w:rPr>
              <w:t xml:space="preserve">    本基金在有效控制组合风险并保持良好流动性的前提下，通过深入研究、优选个股、主动的投资管理方式力求实现组合资产的稳健增值。</w:t>
            </w:r>
          </w:p>
        </w:tc>
      </w:tr>
      <w:tr w14:paraId="094E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4832ED">
            <w:pPr>
              <w:spacing w:line="240" w:lineRule="auto"/>
              <w:jc w:val="left"/>
            </w:pPr>
            <w:r>
              <w:rPr>
                <w:rFonts w:ascii="宋体" w:hAnsi="宋体" w:eastAsia="宋体" w:cs="宋体"/>
                <w:b w:val="0"/>
              </w:rPr>
              <w:t>投资策略</w:t>
            </w:r>
          </w:p>
        </w:tc>
        <w:tc>
          <w:tcPr>
            <w:tcW w:w="0" w:type="dxa"/>
            <w:vAlign w:val="center"/>
          </w:tcPr>
          <w:p w14:paraId="206C162B">
            <w:pPr>
              <w:spacing w:line="240" w:lineRule="auto"/>
              <w:jc w:val="left"/>
            </w:pPr>
            <w:r>
              <w:rPr>
                <w:rFonts w:ascii="宋体" w:hAnsi="宋体" w:eastAsia="宋体" w:cs="宋体"/>
                <w:b w:val="0"/>
              </w:rPr>
              <w:t xml:space="preserve">    本基金的投资策略主要有以下11个方面内容：</w:t>
            </w:r>
            <w:r>
              <w:rPr>
                <w:rFonts w:ascii="宋体" w:hAnsi="宋体" w:eastAsia="宋体" w:cs="宋体"/>
                <w:b w:val="0"/>
              </w:rPr>
              <w:br w:type="textWrapping"/>
            </w:r>
            <w:r>
              <w:rPr>
                <w:rFonts w:ascii="宋体" w:hAnsi="宋体" w:eastAsia="宋体" w:cs="宋体"/>
                <w:b w:val="0"/>
              </w:rPr>
              <w:t xml:space="preserve">    1、大类资产配置策略</w:t>
            </w:r>
            <w:r>
              <w:rPr>
                <w:rFonts w:ascii="宋体" w:hAnsi="宋体" w:eastAsia="宋体" w:cs="宋体"/>
                <w:b w:val="0"/>
              </w:rPr>
              <w:br w:type="textWrapping"/>
            </w:r>
            <w:r>
              <w:rPr>
                <w:rFonts w:ascii="宋体" w:hAnsi="宋体" w:eastAsia="宋体" w:cs="宋体"/>
                <w:b w:val="0"/>
              </w:rPr>
              <w:t xml:space="preserve">    本基金根据对宏观经济周期的分析研究，结合基本面、市场面、政策面等多种因素的综合考量，研判所处经济周期的位置及未来发展方向，以确定组合中股票、债券、货币市场工具及其他金融工具的比例。</w:t>
            </w:r>
            <w:r>
              <w:rPr>
                <w:rFonts w:ascii="宋体" w:hAnsi="宋体" w:eastAsia="宋体" w:cs="宋体"/>
                <w:b w:val="0"/>
              </w:rPr>
              <w:br w:type="textWrapping"/>
            </w:r>
            <w:r>
              <w:rPr>
                <w:rFonts w:ascii="宋体" w:hAnsi="宋体" w:eastAsia="宋体" w:cs="宋体"/>
                <w:b w:val="0"/>
              </w:rPr>
              <w:t xml:space="preserve">    2、股票投资策略</w:t>
            </w:r>
            <w:r>
              <w:rPr>
                <w:rFonts w:ascii="宋体" w:hAnsi="宋体" w:eastAsia="宋体" w:cs="宋体"/>
                <w:b w:val="0"/>
              </w:rPr>
              <w:br w:type="textWrapping"/>
            </w:r>
            <w:r>
              <w:rPr>
                <w:rFonts w:ascii="宋体" w:hAnsi="宋体" w:eastAsia="宋体" w:cs="宋体"/>
                <w:b w:val="0"/>
              </w:rPr>
              <w:t xml:space="preserve">    本基金股票投资策略为通过自上而下的选股模式，通过产业精选和个股研究相结合，优选成长期产业，把握景气周期上行阶段的投资机会，选择产业内在经营模式、市场格局、竞争壁垒、产能投放、研发投入、新业务拓展和公司治理等方面具有领先优势的优质上市公司。</w:t>
            </w:r>
            <w:r>
              <w:rPr>
                <w:rFonts w:ascii="宋体" w:hAnsi="宋体" w:eastAsia="宋体" w:cs="宋体"/>
                <w:b w:val="0"/>
              </w:rPr>
              <w:br w:type="textWrapping"/>
            </w:r>
            <w:r>
              <w:rPr>
                <w:rFonts w:ascii="宋体" w:hAnsi="宋体" w:eastAsia="宋体" w:cs="宋体"/>
                <w:b w:val="0"/>
              </w:rPr>
              <w:t xml:space="preserve">    3、港股投资策略</w:t>
            </w:r>
            <w:r>
              <w:rPr>
                <w:rFonts w:ascii="宋体" w:hAnsi="宋体" w:eastAsia="宋体" w:cs="宋体"/>
                <w:b w:val="0"/>
              </w:rPr>
              <w:br w:type="textWrapping"/>
            </w:r>
            <w:r>
              <w:rPr>
                <w:rFonts w:ascii="宋体" w:hAnsi="宋体" w:eastAsia="宋体" w:cs="宋体"/>
                <w:b w:val="0"/>
              </w:rPr>
              <w:t xml:space="preserve">    本基金可通过内地与香港股票市场交易互联互通机制投资于香港股票市场，不使用合格境内机构投资者(QDII)境外投资额度进行境外投资。</w:t>
            </w:r>
            <w:r>
              <w:rPr>
                <w:rFonts w:ascii="宋体" w:hAnsi="宋体" w:eastAsia="宋体" w:cs="宋体"/>
                <w:b w:val="0"/>
              </w:rPr>
              <w:br w:type="textWrapping"/>
            </w:r>
            <w:r>
              <w:rPr>
                <w:rFonts w:ascii="宋体" w:hAnsi="宋体" w:eastAsia="宋体" w:cs="宋体"/>
                <w:b w:val="0"/>
              </w:rPr>
              <w:t xml:space="preserve">    4、存托凭证投资策略</w:t>
            </w:r>
            <w:r>
              <w:rPr>
                <w:rFonts w:ascii="宋体" w:hAnsi="宋体" w:eastAsia="宋体" w:cs="宋体"/>
                <w:b w:val="0"/>
              </w:rPr>
              <w:br w:type="textWrapping"/>
            </w:r>
            <w:r>
              <w:rPr>
                <w:rFonts w:ascii="宋体" w:hAnsi="宋体" w:eastAsia="宋体" w:cs="宋体"/>
                <w:b w:val="0"/>
              </w:rPr>
              <w:t xml:space="preserve">    本基金在深入研究的基础上，通过定性分析和定量分析相结合的方式，可选择投资价值高的存托凭证进行投资。</w:t>
            </w:r>
            <w:r>
              <w:rPr>
                <w:rFonts w:ascii="宋体" w:hAnsi="宋体" w:eastAsia="宋体" w:cs="宋体"/>
                <w:b w:val="0"/>
              </w:rPr>
              <w:br w:type="textWrapping"/>
            </w:r>
            <w:r>
              <w:rPr>
                <w:rFonts w:ascii="宋体" w:hAnsi="宋体" w:eastAsia="宋体" w:cs="宋体"/>
                <w:b w:val="0"/>
              </w:rPr>
              <w:t xml:space="preserve">    5、债券类资产投资策略</w:t>
            </w:r>
            <w:r>
              <w:rPr>
                <w:rFonts w:ascii="宋体" w:hAnsi="宋体" w:eastAsia="宋体" w:cs="宋体"/>
                <w:b w:val="0"/>
              </w:rPr>
              <w:br w:type="textWrapping"/>
            </w:r>
            <w:r>
              <w:rPr>
                <w:rFonts w:ascii="宋体" w:hAnsi="宋体" w:eastAsia="宋体" w:cs="宋体"/>
                <w:b w:val="0"/>
              </w:rPr>
              <w:t xml:space="preserve">    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 xml:space="preserve">    6、可转债（含分离交易可转债）及可交换债券投资策略</w:t>
            </w:r>
            <w:r>
              <w:rPr>
                <w:rFonts w:ascii="宋体" w:hAnsi="宋体" w:eastAsia="宋体" w:cs="宋体"/>
                <w:b w:val="0"/>
              </w:rPr>
              <w:br w:type="textWrapping"/>
            </w:r>
            <w:r>
              <w:rPr>
                <w:rFonts w:ascii="宋体" w:hAnsi="宋体" w:eastAsia="宋体" w:cs="宋体"/>
                <w:b w:val="0"/>
              </w:rPr>
              <w:t xml:space="preserve">    对于可转换债券的投资，本基金在评估其偿债能力的同时兼顾公司的成长性，以期通过转换条款分享因股价上升带来的高收益。</w:t>
            </w:r>
            <w:r>
              <w:rPr>
                <w:rFonts w:ascii="宋体" w:hAnsi="宋体" w:eastAsia="宋体" w:cs="宋体"/>
                <w:b w:val="0"/>
              </w:rPr>
              <w:br w:type="textWrapping"/>
            </w:r>
            <w:r>
              <w:rPr>
                <w:rFonts w:ascii="宋体" w:hAnsi="宋体" w:eastAsia="宋体" w:cs="宋体"/>
                <w:b w:val="0"/>
              </w:rPr>
              <w:t xml:space="preserve">    7、股指期货投资策略</w:t>
            </w:r>
            <w:r>
              <w:rPr>
                <w:rFonts w:ascii="宋体" w:hAnsi="宋体" w:eastAsia="宋体" w:cs="宋体"/>
                <w:b w:val="0"/>
              </w:rPr>
              <w:br w:type="textWrapping"/>
            </w:r>
            <w:r>
              <w:rPr>
                <w:rFonts w:ascii="宋体" w:hAnsi="宋体" w:eastAsia="宋体" w:cs="宋体"/>
                <w:b w:val="0"/>
              </w:rPr>
              <w:t xml:space="preserve">    本基金以套期保值为目的，在风险可控的前提下，参与股指期货的投资。本基金还将运用股指期货来管理特殊情况下的流动性风险，如预期大额申购赎回、大量分红等。</w:t>
            </w:r>
            <w:r>
              <w:rPr>
                <w:rFonts w:ascii="宋体" w:hAnsi="宋体" w:eastAsia="宋体" w:cs="宋体"/>
                <w:b w:val="0"/>
              </w:rPr>
              <w:br w:type="textWrapping"/>
            </w:r>
            <w:r>
              <w:rPr>
                <w:rFonts w:ascii="宋体" w:hAnsi="宋体" w:eastAsia="宋体" w:cs="宋体"/>
                <w:b w:val="0"/>
              </w:rPr>
              <w:t xml:space="preserve">    8、融资业务的投资策略</w:t>
            </w:r>
            <w:r>
              <w:rPr>
                <w:rFonts w:ascii="宋体" w:hAnsi="宋体" w:eastAsia="宋体" w:cs="宋体"/>
                <w:b w:val="0"/>
              </w:rPr>
              <w:br w:type="textWrapping"/>
            </w:r>
            <w:r>
              <w:rPr>
                <w:rFonts w:ascii="宋体" w:hAnsi="宋体" w:eastAsia="宋体" w:cs="宋体"/>
                <w:b w:val="0"/>
              </w:rPr>
              <w:t xml:space="preserve">    本基金参与融资业务，将综合考虑融资成本、保证金比例、冲抵保证金证券折算率、信用资质等条件选择合适的交易对手方。在保障基金投资组合充足流动性以及有效控制融资杠杆风险的前提下，确定融资比例。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 xml:space="preserve">    9、国债期货的投资策略</w:t>
            </w:r>
            <w:r>
              <w:rPr>
                <w:rFonts w:ascii="宋体" w:hAnsi="宋体" w:eastAsia="宋体" w:cs="宋体"/>
                <w:b w:val="0"/>
              </w:rPr>
              <w:br w:type="textWrapping"/>
            </w:r>
            <w:r>
              <w:rPr>
                <w:rFonts w:ascii="宋体" w:hAnsi="宋体" w:eastAsia="宋体" w:cs="宋体"/>
                <w:b w:val="0"/>
              </w:rPr>
              <w:t xml:space="preserve">    本基金以套期保值为目的，以回避市场风险，通过动态管理国债期货合约数量，以萃取相应债券组合的超额收益。</w:t>
            </w:r>
            <w:r>
              <w:rPr>
                <w:rFonts w:ascii="宋体" w:hAnsi="宋体" w:eastAsia="宋体" w:cs="宋体"/>
                <w:b w:val="0"/>
              </w:rPr>
              <w:br w:type="textWrapping"/>
            </w:r>
            <w:r>
              <w:rPr>
                <w:rFonts w:ascii="宋体" w:hAnsi="宋体" w:eastAsia="宋体" w:cs="宋体"/>
                <w:b w:val="0"/>
              </w:rPr>
              <w:t xml:space="preserve">    10、股票期权投资策略 </w:t>
            </w:r>
            <w:r>
              <w:rPr>
                <w:rFonts w:ascii="宋体" w:hAnsi="宋体" w:eastAsia="宋体" w:cs="宋体"/>
                <w:b w:val="0"/>
              </w:rPr>
              <w:br w:type="textWrapping"/>
            </w:r>
            <w:r>
              <w:rPr>
                <w:rFonts w:ascii="宋体" w:hAnsi="宋体" w:eastAsia="宋体" w:cs="宋体"/>
                <w:b w:val="0"/>
              </w:rPr>
              <w:t xml:space="preserve">    本基金以套期保值为主要目的参与股票期权交易，结合投资目标、比例限制、风险收益特征以及法律法规的相关限定和要求，确定参与股票期权交易的投资时机和投资比例。</w:t>
            </w:r>
            <w:r>
              <w:rPr>
                <w:rFonts w:ascii="宋体" w:hAnsi="宋体" w:eastAsia="宋体" w:cs="宋体"/>
                <w:b w:val="0"/>
              </w:rPr>
              <w:br w:type="textWrapping"/>
            </w:r>
            <w:r>
              <w:rPr>
                <w:rFonts w:ascii="宋体" w:hAnsi="宋体" w:eastAsia="宋体" w:cs="宋体"/>
                <w:b w:val="0"/>
              </w:rPr>
              <w:t xml:space="preserve">    11、资产支持证券投资策略</w:t>
            </w:r>
            <w:r>
              <w:rPr>
                <w:rFonts w:ascii="宋体" w:hAnsi="宋体" w:eastAsia="宋体" w:cs="宋体"/>
                <w:b w:val="0"/>
              </w:rPr>
              <w:br w:type="textWrapping"/>
            </w:r>
            <w:r>
              <w:rPr>
                <w:rFonts w:ascii="宋体" w:hAnsi="宋体" w:eastAsia="宋体" w:cs="宋体"/>
                <w:b w:val="0"/>
              </w:rPr>
              <w:t xml:space="preserve">    本基金将投资包括资产抵押贷款支持证券(ABS)、住房抵押贷款支持证券(MBS)等在内的资产支持证券。</w:t>
            </w:r>
          </w:p>
        </w:tc>
      </w:tr>
      <w:tr w14:paraId="0864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3DAE97">
            <w:pPr>
              <w:spacing w:line="240" w:lineRule="auto"/>
              <w:jc w:val="left"/>
            </w:pPr>
            <w:r>
              <w:rPr>
                <w:rFonts w:ascii="宋体" w:hAnsi="宋体" w:eastAsia="宋体" w:cs="宋体"/>
                <w:b w:val="0"/>
              </w:rPr>
              <w:t>业绩比较基准</w:t>
            </w:r>
          </w:p>
        </w:tc>
        <w:tc>
          <w:tcPr>
            <w:tcW w:w="0" w:type="dxa"/>
            <w:vAlign w:val="center"/>
          </w:tcPr>
          <w:p w14:paraId="5E0E6F8A">
            <w:pPr>
              <w:spacing w:line="240" w:lineRule="auto"/>
              <w:jc w:val="left"/>
            </w:pPr>
            <w:r>
              <w:rPr>
                <w:rFonts w:ascii="宋体" w:hAnsi="宋体" w:eastAsia="宋体" w:cs="宋体"/>
                <w:b w:val="0"/>
              </w:rPr>
              <w:t xml:space="preserve">    中证800指数收益率×60%+中证综合债券指数收益率×20%+恒生指数收益率×20%</w:t>
            </w:r>
          </w:p>
        </w:tc>
      </w:tr>
      <w:tr w14:paraId="5987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3360E5">
            <w:pPr>
              <w:spacing w:line="240" w:lineRule="auto"/>
              <w:jc w:val="left"/>
            </w:pPr>
            <w:r>
              <w:rPr>
                <w:rFonts w:ascii="宋体" w:hAnsi="宋体" w:eastAsia="宋体" w:cs="宋体"/>
                <w:b w:val="0"/>
              </w:rPr>
              <w:t>风险收益特征</w:t>
            </w:r>
          </w:p>
        </w:tc>
        <w:tc>
          <w:tcPr>
            <w:tcW w:w="0" w:type="dxa"/>
            <w:vAlign w:val="center"/>
          </w:tcPr>
          <w:p w14:paraId="0550B15A">
            <w:pPr>
              <w:spacing w:line="240" w:lineRule="auto"/>
              <w:jc w:val="left"/>
            </w:pPr>
            <w:r>
              <w:rPr>
                <w:rFonts w:ascii="宋体" w:hAnsi="宋体" w:eastAsia="宋体" w:cs="宋体"/>
                <w:b w:val="0"/>
              </w:rPr>
              <w:t xml:space="preserve">    本基金为混合型基金，其预期收益和风险高于货币型基金、债券型基金。本基金如果投资港股通标的股票，需承担汇率风险以及境外市场的风险。</w:t>
            </w:r>
          </w:p>
        </w:tc>
      </w:tr>
    </w:tbl>
    <w:p w14:paraId="51DFDD01"/>
    <w:p w14:paraId="7BDAD919">
      <w:pPr>
        <w:pStyle w:val="3"/>
        <w:jc w:val="left"/>
      </w:pPr>
      <w:bookmarkStart w:id="8" w:name="_Toc24391"/>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02FC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2C1A53E5">
            <w:pPr>
              <w:spacing w:line="240" w:lineRule="auto"/>
              <w:jc w:val="center"/>
            </w:pPr>
            <w:r>
              <w:rPr>
                <w:rFonts w:ascii="宋体" w:hAnsi="宋体" w:eastAsia="宋体" w:cs="宋体"/>
                <w:b w:val="0"/>
              </w:rPr>
              <w:t>项目</w:t>
            </w:r>
          </w:p>
        </w:tc>
        <w:tc>
          <w:tcPr>
            <w:tcW w:w="1615" w:type="pct"/>
            <w:shd w:val="clear" w:color="auto" w:fill="D9D9D9"/>
            <w:vAlign w:val="center"/>
          </w:tcPr>
          <w:p w14:paraId="2C1C1D5F">
            <w:pPr>
              <w:spacing w:line="240" w:lineRule="auto"/>
              <w:jc w:val="center"/>
            </w:pPr>
            <w:r>
              <w:rPr>
                <w:rFonts w:ascii="宋体" w:hAnsi="宋体" w:eastAsia="宋体" w:cs="宋体"/>
                <w:b w:val="0"/>
              </w:rPr>
              <w:t>基金管理人</w:t>
            </w:r>
          </w:p>
        </w:tc>
        <w:tc>
          <w:tcPr>
            <w:tcW w:w="1615" w:type="pct"/>
            <w:shd w:val="clear" w:color="auto" w:fill="D9D9D9"/>
            <w:vAlign w:val="center"/>
          </w:tcPr>
          <w:p w14:paraId="14FC0CC7">
            <w:pPr>
              <w:spacing w:line="240" w:lineRule="auto"/>
              <w:jc w:val="center"/>
            </w:pPr>
            <w:r>
              <w:rPr>
                <w:rFonts w:ascii="宋体" w:hAnsi="宋体" w:eastAsia="宋体" w:cs="宋体"/>
                <w:b w:val="0"/>
              </w:rPr>
              <w:t>基金托管人</w:t>
            </w:r>
          </w:p>
        </w:tc>
      </w:tr>
      <w:tr w14:paraId="56C6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100E5DD">
            <w:pPr>
              <w:spacing w:line="240" w:lineRule="auto"/>
              <w:jc w:val="left"/>
            </w:pPr>
            <w:r>
              <w:rPr>
                <w:rFonts w:ascii="宋体" w:hAnsi="宋体" w:eastAsia="宋体" w:cs="宋体"/>
                <w:b w:val="0"/>
              </w:rPr>
              <w:t>名称</w:t>
            </w:r>
          </w:p>
        </w:tc>
        <w:tc>
          <w:tcPr>
            <w:tcW w:w="0" w:type="dxa"/>
            <w:vAlign w:val="center"/>
          </w:tcPr>
          <w:p w14:paraId="71D198C1">
            <w:pPr>
              <w:spacing w:line="240" w:lineRule="auto"/>
              <w:jc w:val="left"/>
            </w:pPr>
            <w:r>
              <w:rPr>
                <w:rFonts w:ascii="宋体" w:hAnsi="宋体" w:eastAsia="宋体" w:cs="宋体"/>
                <w:b w:val="0"/>
              </w:rPr>
              <w:t>东方阿尔法基金管理有限公司</w:t>
            </w:r>
          </w:p>
        </w:tc>
        <w:tc>
          <w:tcPr>
            <w:tcW w:w="0" w:type="dxa"/>
            <w:vAlign w:val="center"/>
          </w:tcPr>
          <w:p w14:paraId="46B35364">
            <w:pPr>
              <w:spacing w:line="240" w:lineRule="auto"/>
              <w:jc w:val="left"/>
            </w:pPr>
            <w:r>
              <w:rPr>
                <w:rFonts w:ascii="宋体" w:hAnsi="宋体" w:eastAsia="宋体" w:cs="宋体"/>
                <w:b w:val="0"/>
              </w:rPr>
              <w:t>兴业银行股份有限公司</w:t>
            </w:r>
          </w:p>
        </w:tc>
      </w:tr>
      <w:tr w14:paraId="1C02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35B96A7A">
            <w:pPr>
              <w:spacing w:line="240" w:lineRule="auto"/>
              <w:jc w:val="left"/>
            </w:pPr>
            <w:r>
              <w:rPr>
                <w:rFonts w:ascii="宋体" w:hAnsi="宋体" w:eastAsia="宋体" w:cs="宋体"/>
                <w:b w:val="0"/>
              </w:rPr>
              <w:t>信息披露负责人</w:t>
            </w:r>
          </w:p>
        </w:tc>
        <w:tc>
          <w:tcPr>
            <w:tcW w:w="769" w:type="pct"/>
            <w:vAlign w:val="center"/>
          </w:tcPr>
          <w:p w14:paraId="264F9DC7">
            <w:pPr>
              <w:spacing w:line="240" w:lineRule="auto"/>
              <w:jc w:val="left"/>
            </w:pPr>
            <w:r>
              <w:rPr>
                <w:rFonts w:ascii="宋体" w:hAnsi="宋体" w:eastAsia="宋体" w:cs="宋体"/>
                <w:b w:val="0"/>
              </w:rPr>
              <w:t>姓名</w:t>
            </w:r>
          </w:p>
        </w:tc>
        <w:tc>
          <w:tcPr>
            <w:tcW w:w="0" w:type="dxa"/>
            <w:vAlign w:val="center"/>
          </w:tcPr>
          <w:p w14:paraId="383CFD4E">
            <w:pPr>
              <w:spacing w:line="240" w:lineRule="auto"/>
              <w:jc w:val="left"/>
            </w:pPr>
            <w:r>
              <w:rPr>
                <w:rFonts w:ascii="宋体" w:hAnsi="宋体" w:eastAsia="宋体" w:cs="宋体"/>
                <w:b w:val="0"/>
              </w:rPr>
              <w:t>曾健</w:t>
            </w:r>
          </w:p>
        </w:tc>
        <w:tc>
          <w:tcPr>
            <w:tcW w:w="0" w:type="dxa"/>
            <w:vAlign w:val="center"/>
          </w:tcPr>
          <w:p w14:paraId="037D4F80">
            <w:pPr>
              <w:spacing w:line="240" w:lineRule="auto"/>
              <w:jc w:val="left"/>
            </w:pPr>
            <w:r>
              <w:rPr>
                <w:rFonts w:ascii="宋体" w:hAnsi="宋体" w:eastAsia="宋体" w:cs="宋体"/>
                <w:b w:val="0"/>
              </w:rPr>
              <w:t>冯萌</w:t>
            </w:r>
          </w:p>
        </w:tc>
      </w:tr>
      <w:tr w14:paraId="7ABE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4464C8E"/>
        </w:tc>
        <w:tc>
          <w:tcPr>
            <w:tcW w:w="0" w:type="dxa"/>
            <w:vAlign w:val="center"/>
          </w:tcPr>
          <w:p w14:paraId="30E38445">
            <w:pPr>
              <w:spacing w:line="240" w:lineRule="auto"/>
              <w:jc w:val="left"/>
            </w:pPr>
            <w:r>
              <w:rPr>
                <w:rFonts w:ascii="宋体" w:hAnsi="宋体" w:eastAsia="宋体" w:cs="宋体"/>
                <w:b w:val="0"/>
              </w:rPr>
              <w:t>联系电话</w:t>
            </w:r>
          </w:p>
        </w:tc>
        <w:tc>
          <w:tcPr>
            <w:tcW w:w="0" w:type="dxa"/>
            <w:vAlign w:val="center"/>
          </w:tcPr>
          <w:p w14:paraId="11129302">
            <w:pPr>
              <w:spacing w:line="240" w:lineRule="auto"/>
              <w:jc w:val="left"/>
            </w:pPr>
            <w:r>
              <w:rPr>
                <w:rFonts w:ascii="宋体" w:hAnsi="宋体" w:eastAsia="宋体" w:cs="宋体"/>
                <w:b w:val="0"/>
              </w:rPr>
              <w:t>0755-21872900</w:t>
            </w:r>
          </w:p>
        </w:tc>
        <w:tc>
          <w:tcPr>
            <w:tcW w:w="0" w:type="dxa"/>
            <w:vAlign w:val="center"/>
          </w:tcPr>
          <w:p w14:paraId="57EDF2EE">
            <w:pPr>
              <w:spacing w:line="240" w:lineRule="auto"/>
              <w:jc w:val="left"/>
            </w:pPr>
            <w:r>
              <w:rPr>
                <w:rFonts w:ascii="宋体" w:hAnsi="宋体" w:eastAsia="宋体" w:cs="宋体"/>
                <w:b w:val="0"/>
              </w:rPr>
              <w:t>021-52629999-213310</w:t>
            </w:r>
          </w:p>
        </w:tc>
      </w:tr>
      <w:tr w14:paraId="2773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D6479E8"/>
        </w:tc>
        <w:tc>
          <w:tcPr>
            <w:tcW w:w="0" w:type="dxa"/>
            <w:vAlign w:val="center"/>
          </w:tcPr>
          <w:p w14:paraId="0C98DBCE">
            <w:pPr>
              <w:spacing w:line="240" w:lineRule="auto"/>
              <w:jc w:val="left"/>
            </w:pPr>
            <w:r>
              <w:rPr>
                <w:rFonts w:ascii="宋体" w:hAnsi="宋体" w:eastAsia="宋体" w:cs="宋体"/>
                <w:b w:val="0"/>
              </w:rPr>
              <w:t>电子邮箱</w:t>
            </w:r>
          </w:p>
        </w:tc>
        <w:tc>
          <w:tcPr>
            <w:tcW w:w="0" w:type="dxa"/>
            <w:vAlign w:val="center"/>
          </w:tcPr>
          <w:p w14:paraId="26DA5309">
            <w:pPr>
              <w:spacing w:line="240" w:lineRule="auto"/>
              <w:jc w:val="left"/>
            </w:pPr>
            <w:r>
              <w:rPr>
                <w:rFonts w:ascii="宋体" w:hAnsi="宋体" w:eastAsia="宋体" w:cs="宋体"/>
                <w:b w:val="0"/>
              </w:rPr>
              <w:t>service@dfa66.com</w:t>
            </w:r>
          </w:p>
        </w:tc>
        <w:tc>
          <w:tcPr>
            <w:tcW w:w="0" w:type="dxa"/>
            <w:vAlign w:val="center"/>
          </w:tcPr>
          <w:p w14:paraId="12A4A5AB">
            <w:pPr>
              <w:spacing w:line="240" w:lineRule="auto"/>
              <w:jc w:val="left"/>
            </w:pPr>
            <w:r>
              <w:rPr>
                <w:rFonts w:ascii="宋体" w:hAnsi="宋体" w:eastAsia="宋体" w:cs="宋体"/>
                <w:b w:val="0"/>
              </w:rPr>
              <w:t>fengmeng@cib.com.cn</w:t>
            </w:r>
          </w:p>
        </w:tc>
      </w:tr>
      <w:tr w14:paraId="0958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ACE04C8">
            <w:pPr>
              <w:spacing w:line="240" w:lineRule="auto"/>
              <w:jc w:val="left"/>
            </w:pPr>
            <w:r>
              <w:rPr>
                <w:rFonts w:ascii="宋体" w:hAnsi="宋体" w:eastAsia="宋体" w:cs="宋体"/>
                <w:b w:val="0"/>
              </w:rPr>
              <w:t>客户服务电话</w:t>
            </w:r>
          </w:p>
        </w:tc>
        <w:tc>
          <w:tcPr>
            <w:tcW w:w="0" w:type="dxa"/>
            <w:vAlign w:val="center"/>
          </w:tcPr>
          <w:p w14:paraId="1A8CE9D6">
            <w:pPr>
              <w:spacing w:line="240" w:lineRule="auto"/>
              <w:jc w:val="left"/>
            </w:pPr>
            <w:r>
              <w:rPr>
                <w:rFonts w:ascii="宋体" w:hAnsi="宋体" w:eastAsia="宋体" w:cs="宋体"/>
                <w:b w:val="0"/>
              </w:rPr>
              <w:t>400-930-6677</w:t>
            </w:r>
          </w:p>
        </w:tc>
        <w:tc>
          <w:tcPr>
            <w:tcW w:w="0" w:type="dxa"/>
            <w:vAlign w:val="center"/>
          </w:tcPr>
          <w:p w14:paraId="5D6A95F6">
            <w:pPr>
              <w:spacing w:line="240" w:lineRule="auto"/>
              <w:jc w:val="left"/>
            </w:pPr>
            <w:r>
              <w:rPr>
                <w:rFonts w:ascii="宋体" w:hAnsi="宋体" w:eastAsia="宋体" w:cs="宋体"/>
                <w:b w:val="0"/>
              </w:rPr>
              <w:t>95561</w:t>
            </w:r>
          </w:p>
        </w:tc>
      </w:tr>
      <w:tr w14:paraId="11A4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E2E9381">
            <w:pPr>
              <w:spacing w:line="240" w:lineRule="auto"/>
              <w:jc w:val="left"/>
            </w:pPr>
            <w:r>
              <w:rPr>
                <w:rFonts w:ascii="宋体" w:hAnsi="宋体" w:eastAsia="宋体" w:cs="宋体"/>
                <w:b w:val="0"/>
              </w:rPr>
              <w:t>传真</w:t>
            </w:r>
          </w:p>
        </w:tc>
        <w:tc>
          <w:tcPr>
            <w:tcW w:w="0" w:type="dxa"/>
            <w:vAlign w:val="center"/>
          </w:tcPr>
          <w:p w14:paraId="2A2502F5">
            <w:pPr>
              <w:spacing w:line="240" w:lineRule="auto"/>
              <w:jc w:val="left"/>
            </w:pPr>
            <w:r>
              <w:rPr>
                <w:rFonts w:ascii="宋体" w:hAnsi="宋体" w:eastAsia="宋体" w:cs="宋体"/>
                <w:b w:val="0"/>
              </w:rPr>
              <w:t>0755-21872902</w:t>
            </w:r>
          </w:p>
        </w:tc>
        <w:tc>
          <w:tcPr>
            <w:tcW w:w="0" w:type="dxa"/>
            <w:vAlign w:val="center"/>
          </w:tcPr>
          <w:p w14:paraId="74FB047A">
            <w:pPr>
              <w:spacing w:line="240" w:lineRule="auto"/>
              <w:jc w:val="left"/>
            </w:pPr>
            <w:r>
              <w:rPr>
                <w:rFonts w:ascii="宋体" w:hAnsi="宋体" w:eastAsia="宋体" w:cs="宋体"/>
                <w:b w:val="0"/>
              </w:rPr>
              <w:t>021-62159217</w:t>
            </w:r>
          </w:p>
        </w:tc>
      </w:tr>
      <w:tr w14:paraId="1DC2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138BD25">
            <w:pPr>
              <w:spacing w:line="240" w:lineRule="auto"/>
              <w:jc w:val="left"/>
            </w:pPr>
            <w:r>
              <w:rPr>
                <w:rFonts w:ascii="宋体" w:hAnsi="宋体" w:eastAsia="宋体" w:cs="宋体"/>
                <w:b w:val="0"/>
              </w:rPr>
              <w:t>注册地址</w:t>
            </w:r>
          </w:p>
        </w:tc>
        <w:tc>
          <w:tcPr>
            <w:tcW w:w="0" w:type="dxa"/>
            <w:vAlign w:val="center"/>
          </w:tcPr>
          <w:p w14:paraId="2CA342FD">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643EE2B8">
            <w:pPr>
              <w:spacing w:line="240" w:lineRule="auto"/>
              <w:jc w:val="left"/>
            </w:pPr>
            <w:r>
              <w:rPr>
                <w:rFonts w:ascii="宋体" w:hAnsi="宋体" w:eastAsia="宋体" w:cs="宋体"/>
                <w:b w:val="0"/>
              </w:rPr>
              <w:t>福建省福州市台江区江滨中大道398号兴业银行大厦</w:t>
            </w:r>
          </w:p>
        </w:tc>
      </w:tr>
      <w:tr w14:paraId="75A1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64E9591">
            <w:pPr>
              <w:spacing w:line="240" w:lineRule="auto"/>
              <w:jc w:val="left"/>
            </w:pPr>
            <w:r>
              <w:rPr>
                <w:rFonts w:ascii="宋体" w:hAnsi="宋体" w:eastAsia="宋体" w:cs="宋体"/>
                <w:b w:val="0"/>
              </w:rPr>
              <w:t>办公地址</w:t>
            </w:r>
          </w:p>
        </w:tc>
        <w:tc>
          <w:tcPr>
            <w:tcW w:w="0" w:type="dxa"/>
            <w:vAlign w:val="center"/>
          </w:tcPr>
          <w:p w14:paraId="291F713A">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74F7B4B6">
            <w:pPr>
              <w:spacing w:line="240" w:lineRule="auto"/>
              <w:jc w:val="left"/>
            </w:pPr>
            <w:r>
              <w:rPr>
                <w:rFonts w:ascii="宋体" w:hAnsi="宋体" w:eastAsia="宋体" w:cs="宋体"/>
                <w:b w:val="0"/>
              </w:rPr>
              <w:t>上海市浦东新区银城路167号4楼</w:t>
            </w:r>
          </w:p>
        </w:tc>
      </w:tr>
      <w:tr w14:paraId="5FD8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B32F303">
            <w:pPr>
              <w:spacing w:line="240" w:lineRule="auto"/>
              <w:jc w:val="left"/>
            </w:pPr>
            <w:r>
              <w:rPr>
                <w:rFonts w:ascii="宋体" w:hAnsi="宋体" w:eastAsia="宋体" w:cs="宋体"/>
                <w:b w:val="0"/>
              </w:rPr>
              <w:t>邮政编码</w:t>
            </w:r>
          </w:p>
        </w:tc>
        <w:tc>
          <w:tcPr>
            <w:tcW w:w="0" w:type="dxa"/>
            <w:vAlign w:val="center"/>
          </w:tcPr>
          <w:p w14:paraId="58FA27B6">
            <w:pPr>
              <w:spacing w:line="240" w:lineRule="auto"/>
              <w:jc w:val="left"/>
            </w:pPr>
            <w:r>
              <w:rPr>
                <w:rFonts w:ascii="宋体" w:hAnsi="宋体" w:eastAsia="宋体" w:cs="宋体"/>
                <w:b w:val="0"/>
              </w:rPr>
              <w:t>518034</w:t>
            </w:r>
          </w:p>
        </w:tc>
        <w:tc>
          <w:tcPr>
            <w:tcW w:w="0" w:type="dxa"/>
            <w:vAlign w:val="center"/>
          </w:tcPr>
          <w:p w14:paraId="0212CAA3">
            <w:pPr>
              <w:spacing w:line="240" w:lineRule="auto"/>
              <w:jc w:val="left"/>
            </w:pPr>
            <w:r>
              <w:rPr>
                <w:rFonts w:ascii="宋体" w:hAnsi="宋体" w:eastAsia="宋体" w:cs="宋体"/>
                <w:b w:val="0"/>
              </w:rPr>
              <w:t>200120</w:t>
            </w:r>
          </w:p>
        </w:tc>
      </w:tr>
      <w:tr w14:paraId="464E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5CE452B">
            <w:pPr>
              <w:spacing w:line="240" w:lineRule="auto"/>
              <w:jc w:val="left"/>
            </w:pPr>
            <w:r>
              <w:rPr>
                <w:rFonts w:ascii="宋体" w:hAnsi="宋体" w:eastAsia="宋体" w:cs="宋体"/>
                <w:b w:val="0"/>
              </w:rPr>
              <w:t>法定代表人</w:t>
            </w:r>
          </w:p>
        </w:tc>
        <w:tc>
          <w:tcPr>
            <w:tcW w:w="0" w:type="dxa"/>
            <w:vAlign w:val="center"/>
          </w:tcPr>
          <w:p w14:paraId="20210508">
            <w:pPr>
              <w:spacing w:line="240" w:lineRule="auto"/>
              <w:jc w:val="left"/>
            </w:pPr>
            <w:r>
              <w:rPr>
                <w:rFonts w:ascii="宋体" w:hAnsi="宋体" w:eastAsia="宋体" w:cs="宋体"/>
                <w:b w:val="0"/>
              </w:rPr>
              <w:t>刘明</w:t>
            </w:r>
          </w:p>
        </w:tc>
        <w:tc>
          <w:tcPr>
            <w:tcW w:w="0" w:type="dxa"/>
            <w:vAlign w:val="center"/>
          </w:tcPr>
          <w:p w14:paraId="57B194E0">
            <w:pPr>
              <w:spacing w:line="240" w:lineRule="auto"/>
              <w:jc w:val="left"/>
            </w:pPr>
            <w:r>
              <w:rPr>
                <w:rFonts w:ascii="宋体" w:hAnsi="宋体" w:eastAsia="宋体" w:cs="宋体"/>
                <w:b w:val="0"/>
              </w:rPr>
              <w:t>吕家进</w:t>
            </w:r>
          </w:p>
        </w:tc>
      </w:tr>
    </w:tbl>
    <w:p w14:paraId="1AEB17F8"/>
    <w:p w14:paraId="7DD1A949">
      <w:pPr>
        <w:pStyle w:val="3"/>
        <w:jc w:val="left"/>
      </w:pPr>
      <w:bookmarkStart w:id="9" w:name="_Toc16753"/>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6DEE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7FAB505">
            <w:pPr>
              <w:spacing w:line="240" w:lineRule="auto"/>
              <w:jc w:val="left"/>
            </w:pPr>
            <w:r>
              <w:rPr>
                <w:rFonts w:ascii="宋体" w:hAnsi="宋体" w:eastAsia="宋体" w:cs="宋体"/>
                <w:b w:val="0"/>
              </w:rPr>
              <w:t>本基金选定的信息披露报纸名称</w:t>
            </w:r>
          </w:p>
        </w:tc>
        <w:tc>
          <w:tcPr>
            <w:tcW w:w="2500" w:type="pct"/>
            <w:vAlign w:val="center"/>
          </w:tcPr>
          <w:p w14:paraId="2F5E3E97">
            <w:pPr>
              <w:spacing w:line="240" w:lineRule="auto"/>
              <w:jc w:val="left"/>
            </w:pPr>
            <w:r>
              <w:rPr>
                <w:rFonts w:ascii="宋体" w:hAnsi="宋体" w:eastAsia="宋体" w:cs="宋体"/>
                <w:b w:val="0"/>
              </w:rPr>
              <w:t>中国证券报</w:t>
            </w:r>
          </w:p>
        </w:tc>
      </w:tr>
      <w:tr w14:paraId="4BB2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E09584">
            <w:pPr>
              <w:spacing w:line="240" w:lineRule="auto"/>
              <w:jc w:val="left"/>
            </w:pPr>
            <w:r>
              <w:rPr>
                <w:rFonts w:ascii="宋体" w:hAnsi="宋体" w:eastAsia="宋体" w:cs="宋体"/>
                <w:b w:val="0"/>
              </w:rPr>
              <w:t>登载基金中期报告的管理人互联网网址</w:t>
            </w:r>
          </w:p>
        </w:tc>
        <w:tc>
          <w:tcPr>
            <w:tcW w:w="0" w:type="dxa"/>
            <w:vAlign w:val="center"/>
          </w:tcPr>
          <w:p w14:paraId="64213690">
            <w:pPr>
              <w:spacing w:line="240" w:lineRule="auto"/>
              <w:jc w:val="left"/>
            </w:pPr>
            <w:r>
              <w:rPr>
                <w:rFonts w:ascii="宋体" w:hAnsi="宋体" w:eastAsia="宋体" w:cs="宋体"/>
                <w:b w:val="0"/>
              </w:rPr>
              <w:t>https://www.dfa66.com</w:t>
            </w:r>
          </w:p>
        </w:tc>
      </w:tr>
      <w:tr w14:paraId="54FE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01F2C4">
            <w:pPr>
              <w:spacing w:line="240" w:lineRule="auto"/>
              <w:jc w:val="left"/>
            </w:pPr>
            <w:r>
              <w:rPr>
                <w:rFonts w:ascii="宋体" w:hAnsi="宋体" w:eastAsia="宋体" w:cs="宋体"/>
                <w:b w:val="0"/>
              </w:rPr>
              <w:t>基金中期报告置备地点</w:t>
            </w:r>
          </w:p>
        </w:tc>
        <w:tc>
          <w:tcPr>
            <w:tcW w:w="0" w:type="dxa"/>
            <w:vAlign w:val="center"/>
          </w:tcPr>
          <w:p w14:paraId="085749B8">
            <w:pPr>
              <w:spacing w:line="240" w:lineRule="auto"/>
              <w:jc w:val="left"/>
            </w:pPr>
            <w:r>
              <w:rPr>
                <w:rFonts w:ascii="宋体" w:hAnsi="宋体" w:eastAsia="宋体" w:cs="宋体"/>
                <w:b w:val="0"/>
              </w:rPr>
              <w:t>基金管理人的办公场所</w:t>
            </w:r>
          </w:p>
        </w:tc>
      </w:tr>
    </w:tbl>
    <w:p w14:paraId="6E1FDC1F"/>
    <w:p w14:paraId="2313FE05">
      <w:pPr>
        <w:pStyle w:val="3"/>
        <w:jc w:val="left"/>
      </w:pPr>
      <w:bookmarkStart w:id="10" w:name="_Toc32310"/>
      <w:r>
        <w:rPr>
          <w:rFonts w:ascii="宋体" w:hAnsi="宋体" w:eastAsia="宋体" w:cs="宋体"/>
        </w:rPr>
        <w:t>2.5 其他相关资料</w:t>
      </w:r>
      <w:bookmarkEnd w:id="1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258"/>
        <w:gridCol w:w="4073"/>
      </w:tblGrid>
      <w:tr w14:paraId="6C4D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675436CB">
            <w:pPr>
              <w:spacing w:line="240" w:lineRule="auto"/>
              <w:jc w:val="center"/>
            </w:pPr>
            <w:r>
              <w:rPr>
                <w:rFonts w:ascii="宋体" w:hAnsi="宋体" w:eastAsia="宋体" w:cs="宋体"/>
                <w:b w:val="0"/>
              </w:rPr>
              <w:t>项目</w:t>
            </w:r>
          </w:p>
        </w:tc>
        <w:tc>
          <w:tcPr>
            <w:tcW w:w="1538" w:type="pct"/>
            <w:shd w:val="clear" w:color="auto" w:fill="D9D9D9"/>
            <w:vAlign w:val="center"/>
          </w:tcPr>
          <w:p w14:paraId="1F955F16">
            <w:pPr>
              <w:spacing w:line="240" w:lineRule="auto"/>
              <w:jc w:val="center"/>
            </w:pPr>
            <w:r>
              <w:rPr>
                <w:rFonts w:ascii="宋体" w:hAnsi="宋体" w:eastAsia="宋体" w:cs="宋体"/>
                <w:b w:val="0"/>
              </w:rPr>
              <w:t>名称</w:t>
            </w:r>
          </w:p>
        </w:tc>
        <w:tc>
          <w:tcPr>
            <w:tcW w:w="1923" w:type="pct"/>
            <w:shd w:val="clear" w:color="auto" w:fill="D9D9D9"/>
            <w:vAlign w:val="center"/>
          </w:tcPr>
          <w:p w14:paraId="6D68C9FD">
            <w:pPr>
              <w:spacing w:line="240" w:lineRule="auto"/>
              <w:jc w:val="center"/>
            </w:pPr>
            <w:r>
              <w:rPr>
                <w:rFonts w:ascii="宋体" w:hAnsi="宋体" w:eastAsia="宋体" w:cs="宋体"/>
                <w:b w:val="0"/>
              </w:rPr>
              <w:t>办公地址</w:t>
            </w:r>
          </w:p>
        </w:tc>
      </w:tr>
      <w:tr w14:paraId="2D05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F76115">
            <w:pPr>
              <w:spacing w:line="240" w:lineRule="auto"/>
              <w:jc w:val="left"/>
            </w:pPr>
            <w:r>
              <w:rPr>
                <w:rFonts w:ascii="宋体" w:hAnsi="宋体" w:eastAsia="宋体" w:cs="宋体"/>
                <w:b w:val="0"/>
              </w:rPr>
              <w:t>金融运营服务机构</w:t>
            </w:r>
          </w:p>
        </w:tc>
        <w:tc>
          <w:tcPr>
            <w:tcW w:w="0" w:type="dxa"/>
            <w:vAlign w:val="center"/>
          </w:tcPr>
          <w:p w14:paraId="6BE5D549">
            <w:pPr>
              <w:spacing w:line="240" w:lineRule="auto"/>
              <w:jc w:val="left"/>
            </w:pPr>
            <w:r>
              <w:rPr>
                <w:rFonts w:ascii="宋体" w:hAnsi="宋体" w:eastAsia="宋体" w:cs="宋体"/>
                <w:b w:val="0"/>
              </w:rPr>
              <w:t>招商证券股份有限公司</w:t>
            </w:r>
          </w:p>
        </w:tc>
        <w:tc>
          <w:tcPr>
            <w:tcW w:w="0" w:type="dxa"/>
            <w:vAlign w:val="center"/>
          </w:tcPr>
          <w:p w14:paraId="731A0226">
            <w:pPr>
              <w:spacing w:line="240" w:lineRule="auto"/>
              <w:jc w:val="left"/>
            </w:pPr>
            <w:r>
              <w:rPr>
                <w:rFonts w:ascii="宋体" w:hAnsi="宋体" w:eastAsia="宋体" w:cs="宋体"/>
                <w:b w:val="0"/>
              </w:rPr>
              <w:t>广东省深圳市福田区福华一路111号招商证券大厦</w:t>
            </w:r>
          </w:p>
        </w:tc>
      </w:tr>
    </w:tbl>
    <w:p w14:paraId="03AECD6A">
      <w:pPr>
        <w:pStyle w:val="2"/>
        <w:jc w:val="center"/>
      </w:pPr>
      <w:bookmarkStart w:id="11" w:name="_Toc17163"/>
      <w:r>
        <w:rPr>
          <w:rFonts w:ascii="宋体" w:hAnsi="宋体" w:eastAsia="宋体" w:cs="宋体"/>
        </w:rPr>
        <w:t>§3 主要财务指标和基金净值表现</w:t>
      </w:r>
      <w:bookmarkEnd w:id="11"/>
    </w:p>
    <w:p w14:paraId="56026619">
      <w:pPr>
        <w:pStyle w:val="3"/>
        <w:jc w:val="left"/>
      </w:pPr>
      <w:bookmarkStart w:id="12" w:name="_Toc21587"/>
      <w:r>
        <w:rPr>
          <w:rFonts w:ascii="宋体" w:hAnsi="宋体" w:eastAsia="宋体" w:cs="宋体"/>
        </w:rPr>
        <w:t>3.1 主要会计数据和财务指标</w:t>
      </w:r>
      <w:bookmarkEnd w:id="12"/>
    </w:p>
    <w:p w14:paraId="7BE68812">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7502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4CCB9B93">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665F8918">
            <w:pPr>
              <w:spacing w:line="240" w:lineRule="auto"/>
              <w:jc w:val="center"/>
            </w:pPr>
            <w:r>
              <w:rPr>
                <w:rFonts w:ascii="宋体" w:hAnsi="宋体" w:eastAsia="宋体" w:cs="宋体"/>
                <w:b w:val="0"/>
              </w:rPr>
              <w:t>报告期（2026年01月01日-2026年06月30日）</w:t>
            </w:r>
          </w:p>
        </w:tc>
      </w:tr>
      <w:tr w14:paraId="4DE2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899FF9D"/>
        </w:tc>
        <w:tc>
          <w:tcPr>
            <w:tcW w:w="1500" w:type="pct"/>
            <w:shd w:val="clear" w:color="auto" w:fill="D9D9D9"/>
            <w:vAlign w:val="center"/>
          </w:tcPr>
          <w:p w14:paraId="74B14F6D">
            <w:pPr>
              <w:spacing w:line="240" w:lineRule="auto"/>
              <w:jc w:val="center"/>
            </w:pPr>
            <w:r>
              <w:rPr>
                <w:rFonts w:ascii="宋体" w:hAnsi="宋体" w:eastAsia="宋体" w:cs="宋体"/>
                <w:b w:val="0"/>
              </w:rPr>
              <w:t>东方阿尔法兴科一年持有混合A</w:t>
            </w:r>
          </w:p>
        </w:tc>
        <w:tc>
          <w:tcPr>
            <w:tcW w:w="1500" w:type="pct"/>
            <w:shd w:val="clear" w:color="auto" w:fill="D9D9D9"/>
            <w:vAlign w:val="center"/>
          </w:tcPr>
          <w:p w14:paraId="2A58D1A8">
            <w:pPr>
              <w:spacing w:line="240" w:lineRule="auto"/>
              <w:jc w:val="center"/>
            </w:pPr>
            <w:r>
              <w:rPr>
                <w:rFonts w:ascii="宋体" w:hAnsi="宋体" w:eastAsia="宋体" w:cs="宋体"/>
                <w:b w:val="0"/>
              </w:rPr>
              <w:t>东方阿尔法兴科一年持有混合C</w:t>
            </w:r>
          </w:p>
        </w:tc>
      </w:tr>
      <w:tr w14:paraId="387D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E3AEE2">
            <w:pPr>
              <w:spacing w:line="240" w:lineRule="auto"/>
              <w:jc w:val="left"/>
            </w:pPr>
            <w:r>
              <w:rPr>
                <w:rFonts w:ascii="宋体" w:hAnsi="宋体" w:eastAsia="宋体" w:cs="宋体"/>
                <w:b w:val="0"/>
              </w:rPr>
              <w:t xml:space="preserve">本期已实现收益 </w:t>
            </w:r>
          </w:p>
        </w:tc>
        <w:tc>
          <w:tcPr>
            <w:tcW w:w="1500" w:type="pct"/>
            <w:vAlign w:val="center"/>
          </w:tcPr>
          <w:p w14:paraId="1802DD7A">
            <w:pPr>
              <w:spacing w:line="240" w:lineRule="auto"/>
              <w:jc w:val="right"/>
            </w:pPr>
            <w:r>
              <w:rPr>
                <w:rFonts w:ascii="宋体" w:hAnsi="宋体" w:eastAsia="宋体" w:cs="宋体"/>
                <w:b w:val="0"/>
              </w:rPr>
              <w:t>8,989,550.87</w:t>
            </w:r>
          </w:p>
        </w:tc>
        <w:tc>
          <w:tcPr>
            <w:tcW w:w="1500" w:type="pct"/>
            <w:vAlign w:val="center"/>
          </w:tcPr>
          <w:p w14:paraId="34A09481">
            <w:pPr>
              <w:spacing w:line="240" w:lineRule="auto"/>
              <w:jc w:val="right"/>
            </w:pPr>
            <w:r>
              <w:rPr>
                <w:rFonts w:ascii="宋体" w:hAnsi="宋体" w:eastAsia="宋体" w:cs="宋体"/>
                <w:b w:val="0"/>
              </w:rPr>
              <w:t>1,585,398.95</w:t>
            </w:r>
          </w:p>
        </w:tc>
      </w:tr>
      <w:tr w14:paraId="6C8F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47FE1C">
            <w:pPr>
              <w:spacing w:line="240" w:lineRule="auto"/>
              <w:jc w:val="left"/>
            </w:pPr>
            <w:r>
              <w:rPr>
                <w:rFonts w:ascii="宋体" w:hAnsi="宋体" w:eastAsia="宋体" w:cs="宋体"/>
                <w:b w:val="0"/>
              </w:rPr>
              <w:t xml:space="preserve">本期利润 </w:t>
            </w:r>
          </w:p>
        </w:tc>
        <w:tc>
          <w:tcPr>
            <w:tcW w:w="1500" w:type="pct"/>
            <w:vAlign w:val="center"/>
          </w:tcPr>
          <w:p w14:paraId="453A179B">
            <w:pPr>
              <w:spacing w:line="240" w:lineRule="auto"/>
              <w:jc w:val="right"/>
            </w:pPr>
            <w:r>
              <w:rPr>
                <w:rFonts w:ascii="宋体" w:hAnsi="宋体" w:eastAsia="宋体" w:cs="宋体"/>
                <w:b w:val="0"/>
              </w:rPr>
              <w:t>-431,727.73</w:t>
            </w:r>
          </w:p>
        </w:tc>
        <w:tc>
          <w:tcPr>
            <w:tcW w:w="1500" w:type="pct"/>
            <w:vAlign w:val="center"/>
          </w:tcPr>
          <w:p w14:paraId="4BFC7186">
            <w:pPr>
              <w:spacing w:line="240" w:lineRule="auto"/>
              <w:jc w:val="right"/>
            </w:pPr>
            <w:r>
              <w:rPr>
                <w:rFonts w:ascii="宋体" w:hAnsi="宋体" w:eastAsia="宋体" w:cs="宋体"/>
                <w:b w:val="0"/>
              </w:rPr>
              <w:t>-23,616.11</w:t>
            </w:r>
          </w:p>
        </w:tc>
      </w:tr>
      <w:tr w14:paraId="2AD8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032609">
            <w:pPr>
              <w:spacing w:line="240" w:lineRule="auto"/>
              <w:jc w:val="left"/>
            </w:pPr>
            <w:r>
              <w:rPr>
                <w:rFonts w:ascii="宋体" w:hAnsi="宋体" w:eastAsia="宋体" w:cs="宋体"/>
                <w:b w:val="0"/>
              </w:rPr>
              <w:t xml:space="preserve">加权平均基金份额本期利润 </w:t>
            </w:r>
          </w:p>
        </w:tc>
        <w:tc>
          <w:tcPr>
            <w:tcW w:w="1500" w:type="pct"/>
            <w:vAlign w:val="center"/>
          </w:tcPr>
          <w:p w14:paraId="4E5D34B3">
            <w:pPr>
              <w:spacing w:line="240" w:lineRule="auto"/>
              <w:jc w:val="right"/>
            </w:pPr>
            <w:r>
              <w:rPr>
                <w:rFonts w:ascii="宋体" w:hAnsi="宋体" w:eastAsia="宋体" w:cs="宋体"/>
                <w:b w:val="0"/>
              </w:rPr>
              <w:t>-0.0082</w:t>
            </w:r>
          </w:p>
        </w:tc>
        <w:tc>
          <w:tcPr>
            <w:tcW w:w="1500" w:type="pct"/>
            <w:vAlign w:val="center"/>
          </w:tcPr>
          <w:p w14:paraId="09F3362B">
            <w:pPr>
              <w:spacing w:line="240" w:lineRule="auto"/>
              <w:jc w:val="right"/>
            </w:pPr>
            <w:r>
              <w:rPr>
                <w:rFonts w:ascii="宋体" w:hAnsi="宋体" w:eastAsia="宋体" w:cs="宋体"/>
                <w:b w:val="0"/>
              </w:rPr>
              <w:t>-0.0024</w:t>
            </w:r>
          </w:p>
        </w:tc>
      </w:tr>
      <w:tr w14:paraId="4EC3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863927">
            <w:pPr>
              <w:spacing w:line="240" w:lineRule="auto"/>
              <w:jc w:val="left"/>
            </w:pPr>
            <w:r>
              <w:rPr>
                <w:rFonts w:ascii="宋体" w:hAnsi="宋体" w:eastAsia="宋体" w:cs="宋体"/>
                <w:b w:val="0"/>
              </w:rPr>
              <w:t>本期加权平均净值利润率</w:t>
            </w:r>
          </w:p>
        </w:tc>
        <w:tc>
          <w:tcPr>
            <w:tcW w:w="1500" w:type="pct"/>
            <w:vAlign w:val="center"/>
          </w:tcPr>
          <w:p w14:paraId="0ADD2C9D">
            <w:pPr>
              <w:spacing w:line="240" w:lineRule="auto"/>
              <w:jc w:val="right"/>
            </w:pPr>
            <w:r>
              <w:rPr>
                <w:rFonts w:ascii="宋体" w:hAnsi="宋体" w:eastAsia="宋体" w:cs="宋体"/>
                <w:b w:val="0"/>
              </w:rPr>
              <w:t>-0.80%</w:t>
            </w:r>
          </w:p>
        </w:tc>
        <w:tc>
          <w:tcPr>
            <w:tcW w:w="1500" w:type="pct"/>
            <w:vAlign w:val="center"/>
          </w:tcPr>
          <w:p w14:paraId="1BE5B07D">
            <w:pPr>
              <w:spacing w:line="240" w:lineRule="auto"/>
              <w:jc w:val="right"/>
            </w:pPr>
            <w:r>
              <w:rPr>
                <w:rFonts w:ascii="宋体" w:hAnsi="宋体" w:eastAsia="宋体" w:cs="宋体"/>
                <w:b w:val="0"/>
              </w:rPr>
              <w:t>-0.24%</w:t>
            </w:r>
          </w:p>
        </w:tc>
      </w:tr>
      <w:tr w14:paraId="627C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9E2B73">
            <w:pPr>
              <w:spacing w:line="240" w:lineRule="auto"/>
              <w:jc w:val="left"/>
            </w:pPr>
            <w:r>
              <w:rPr>
                <w:rFonts w:ascii="宋体" w:hAnsi="宋体" w:eastAsia="宋体" w:cs="宋体"/>
                <w:b w:val="0"/>
              </w:rPr>
              <w:t>本期基金份额净值增长率</w:t>
            </w:r>
          </w:p>
        </w:tc>
        <w:tc>
          <w:tcPr>
            <w:tcW w:w="1500" w:type="pct"/>
            <w:vAlign w:val="center"/>
          </w:tcPr>
          <w:p w14:paraId="0ADDA953">
            <w:pPr>
              <w:spacing w:line="240" w:lineRule="auto"/>
              <w:jc w:val="right"/>
            </w:pPr>
            <w:r>
              <w:rPr>
                <w:rFonts w:ascii="宋体" w:hAnsi="宋体" w:eastAsia="宋体" w:cs="宋体"/>
                <w:b w:val="0"/>
              </w:rPr>
              <w:t>-2.33%</w:t>
            </w:r>
          </w:p>
        </w:tc>
        <w:tc>
          <w:tcPr>
            <w:tcW w:w="1500" w:type="pct"/>
            <w:vAlign w:val="center"/>
          </w:tcPr>
          <w:p w14:paraId="7743CDBF">
            <w:pPr>
              <w:spacing w:line="240" w:lineRule="auto"/>
              <w:jc w:val="right"/>
            </w:pPr>
            <w:r>
              <w:rPr>
                <w:rFonts w:ascii="宋体" w:hAnsi="宋体" w:eastAsia="宋体" w:cs="宋体"/>
                <w:b w:val="0"/>
              </w:rPr>
              <w:t>-2.61%</w:t>
            </w:r>
          </w:p>
        </w:tc>
      </w:tr>
      <w:tr w14:paraId="5C7A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46985883">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49E48F57">
            <w:pPr>
              <w:spacing w:line="240" w:lineRule="auto"/>
              <w:jc w:val="center"/>
            </w:pPr>
            <w:r>
              <w:rPr>
                <w:rFonts w:ascii="宋体" w:hAnsi="宋体" w:eastAsia="宋体" w:cs="宋体"/>
                <w:b w:val="0"/>
              </w:rPr>
              <w:t>报告期末（2026年06月30日）</w:t>
            </w:r>
          </w:p>
        </w:tc>
      </w:tr>
      <w:tr w14:paraId="6A11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021555">
            <w:pPr>
              <w:spacing w:line="240" w:lineRule="auto"/>
              <w:jc w:val="left"/>
            </w:pPr>
            <w:r>
              <w:rPr>
                <w:rFonts w:ascii="宋体" w:hAnsi="宋体" w:eastAsia="宋体" w:cs="宋体"/>
                <w:b w:val="0"/>
              </w:rPr>
              <w:t xml:space="preserve">期末可供分配利润 </w:t>
            </w:r>
          </w:p>
        </w:tc>
        <w:tc>
          <w:tcPr>
            <w:tcW w:w="1500" w:type="pct"/>
            <w:vAlign w:val="center"/>
          </w:tcPr>
          <w:p w14:paraId="2C02BBEF">
            <w:pPr>
              <w:spacing w:line="240" w:lineRule="auto"/>
              <w:jc w:val="right"/>
            </w:pPr>
            <w:r>
              <w:rPr>
                <w:rFonts w:ascii="宋体" w:hAnsi="宋体" w:eastAsia="宋体" w:cs="宋体"/>
                <w:b w:val="0"/>
              </w:rPr>
              <w:t>-1,517,788.28</w:t>
            </w:r>
          </w:p>
        </w:tc>
        <w:tc>
          <w:tcPr>
            <w:tcW w:w="1500" w:type="pct"/>
            <w:vAlign w:val="center"/>
          </w:tcPr>
          <w:p w14:paraId="71072713">
            <w:pPr>
              <w:spacing w:line="240" w:lineRule="auto"/>
              <w:jc w:val="right"/>
            </w:pPr>
            <w:r>
              <w:rPr>
                <w:rFonts w:ascii="宋体" w:hAnsi="宋体" w:eastAsia="宋体" w:cs="宋体"/>
                <w:b w:val="0"/>
              </w:rPr>
              <w:t>-464,388.29</w:t>
            </w:r>
          </w:p>
        </w:tc>
      </w:tr>
      <w:tr w14:paraId="143B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FC7258">
            <w:pPr>
              <w:spacing w:line="240" w:lineRule="auto"/>
              <w:jc w:val="left"/>
            </w:pPr>
            <w:r>
              <w:rPr>
                <w:rFonts w:ascii="宋体" w:hAnsi="宋体" w:eastAsia="宋体" w:cs="宋体"/>
                <w:b w:val="0"/>
              </w:rPr>
              <w:t>期末可供分配基金份额利润</w:t>
            </w:r>
          </w:p>
        </w:tc>
        <w:tc>
          <w:tcPr>
            <w:tcW w:w="1500" w:type="pct"/>
            <w:vAlign w:val="center"/>
          </w:tcPr>
          <w:p w14:paraId="2377209E">
            <w:pPr>
              <w:spacing w:line="240" w:lineRule="auto"/>
              <w:jc w:val="right"/>
            </w:pPr>
            <w:r>
              <w:rPr>
                <w:rFonts w:ascii="宋体" w:hAnsi="宋体" w:eastAsia="宋体" w:cs="宋体"/>
                <w:b w:val="0"/>
              </w:rPr>
              <w:t>-0.0339</w:t>
            </w:r>
          </w:p>
        </w:tc>
        <w:tc>
          <w:tcPr>
            <w:tcW w:w="1500" w:type="pct"/>
            <w:vAlign w:val="center"/>
          </w:tcPr>
          <w:p w14:paraId="21DA0890">
            <w:pPr>
              <w:spacing w:line="240" w:lineRule="auto"/>
              <w:jc w:val="right"/>
            </w:pPr>
            <w:r>
              <w:rPr>
                <w:rFonts w:ascii="宋体" w:hAnsi="宋体" w:eastAsia="宋体" w:cs="宋体"/>
                <w:b w:val="0"/>
              </w:rPr>
              <w:t>-0.0555</w:t>
            </w:r>
          </w:p>
        </w:tc>
      </w:tr>
      <w:tr w14:paraId="03F6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7AD6C0">
            <w:pPr>
              <w:spacing w:line="240" w:lineRule="auto"/>
              <w:jc w:val="left"/>
            </w:pPr>
            <w:r>
              <w:rPr>
                <w:rFonts w:ascii="宋体" w:hAnsi="宋体" w:eastAsia="宋体" w:cs="宋体"/>
                <w:b w:val="0"/>
              </w:rPr>
              <w:t>期末基金资产净值</w:t>
            </w:r>
          </w:p>
        </w:tc>
        <w:tc>
          <w:tcPr>
            <w:tcW w:w="1500" w:type="pct"/>
            <w:vAlign w:val="center"/>
          </w:tcPr>
          <w:p w14:paraId="7DF70036">
            <w:pPr>
              <w:spacing w:line="240" w:lineRule="auto"/>
              <w:jc w:val="right"/>
            </w:pPr>
            <w:r>
              <w:rPr>
                <w:rFonts w:ascii="宋体" w:hAnsi="宋体" w:eastAsia="宋体" w:cs="宋体"/>
                <w:b w:val="0"/>
              </w:rPr>
              <w:t>43,303,167.39</w:t>
            </w:r>
          </w:p>
        </w:tc>
        <w:tc>
          <w:tcPr>
            <w:tcW w:w="1500" w:type="pct"/>
            <w:vAlign w:val="center"/>
          </w:tcPr>
          <w:p w14:paraId="52FDAB6F">
            <w:pPr>
              <w:spacing w:line="240" w:lineRule="auto"/>
              <w:jc w:val="right"/>
            </w:pPr>
            <w:r>
              <w:rPr>
                <w:rFonts w:ascii="宋体" w:hAnsi="宋体" w:eastAsia="宋体" w:cs="宋体"/>
                <w:b w:val="0"/>
              </w:rPr>
              <w:t>7,902,703.53</w:t>
            </w:r>
          </w:p>
        </w:tc>
      </w:tr>
      <w:tr w14:paraId="3E25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947368">
            <w:pPr>
              <w:spacing w:line="240" w:lineRule="auto"/>
              <w:jc w:val="left"/>
            </w:pPr>
            <w:r>
              <w:rPr>
                <w:rFonts w:ascii="宋体" w:hAnsi="宋体" w:eastAsia="宋体" w:cs="宋体"/>
                <w:b w:val="0"/>
              </w:rPr>
              <w:t>期末基金份额净值</w:t>
            </w:r>
          </w:p>
        </w:tc>
        <w:tc>
          <w:tcPr>
            <w:tcW w:w="1500" w:type="pct"/>
            <w:vAlign w:val="center"/>
          </w:tcPr>
          <w:p w14:paraId="30425076">
            <w:pPr>
              <w:spacing w:line="240" w:lineRule="auto"/>
              <w:jc w:val="right"/>
            </w:pPr>
            <w:r>
              <w:rPr>
                <w:rFonts w:ascii="宋体" w:hAnsi="宋体" w:eastAsia="宋体" w:cs="宋体"/>
                <w:b w:val="0"/>
              </w:rPr>
              <w:t>0.9661</w:t>
            </w:r>
          </w:p>
        </w:tc>
        <w:tc>
          <w:tcPr>
            <w:tcW w:w="1500" w:type="pct"/>
            <w:vAlign w:val="center"/>
          </w:tcPr>
          <w:p w14:paraId="68FB57A0">
            <w:pPr>
              <w:spacing w:line="240" w:lineRule="auto"/>
              <w:jc w:val="right"/>
            </w:pPr>
            <w:r>
              <w:rPr>
                <w:rFonts w:ascii="宋体" w:hAnsi="宋体" w:eastAsia="宋体" w:cs="宋体"/>
                <w:b w:val="0"/>
              </w:rPr>
              <w:t>0.9445</w:t>
            </w:r>
          </w:p>
        </w:tc>
      </w:tr>
      <w:tr w14:paraId="5188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4DB9C6ED">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5918EB4A">
            <w:pPr>
              <w:spacing w:line="240" w:lineRule="auto"/>
              <w:jc w:val="center"/>
            </w:pPr>
            <w:r>
              <w:rPr>
                <w:rFonts w:ascii="宋体" w:hAnsi="宋体" w:eastAsia="宋体" w:cs="宋体"/>
                <w:b w:val="0"/>
              </w:rPr>
              <w:t>报告期末（2026年06月30日）</w:t>
            </w:r>
          </w:p>
        </w:tc>
      </w:tr>
      <w:tr w14:paraId="5865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3D925C">
            <w:pPr>
              <w:spacing w:line="240" w:lineRule="auto"/>
              <w:jc w:val="left"/>
            </w:pPr>
            <w:r>
              <w:rPr>
                <w:rFonts w:ascii="宋体" w:hAnsi="宋体" w:eastAsia="宋体" w:cs="宋体"/>
                <w:b w:val="0"/>
              </w:rPr>
              <w:t>基金份额累计净值增长率</w:t>
            </w:r>
          </w:p>
        </w:tc>
        <w:tc>
          <w:tcPr>
            <w:tcW w:w="1500" w:type="pct"/>
            <w:vAlign w:val="center"/>
          </w:tcPr>
          <w:p w14:paraId="5D9B2356">
            <w:pPr>
              <w:spacing w:line="240" w:lineRule="auto"/>
              <w:jc w:val="right"/>
            </w:pPr>
            <w:r>
              <w:rPr>
                <w:rFonts w:ascii="宋体" w:hAnsi="宋体" w:eastAsia="宋体" w:cs="宋体"/>
                <w:b w:val="0"/>
              </w:rPr>
              <w:t>-3.39%</w:t>
            </w:r>
          </w:p>
        </w:tc>
        <w:tc>
          <w:tcPr>
            <w:tcW w:w="1500" w:type="pct"/>
            <w:vAlign w:val="center"/>
          </w:tcPr>
          <w:p w14:paraId="24922A15">
            <w:pPr>
              <w:spacing w:line="240" w:lineRule="auto"/>
              <w:jc w:val="right"/>
            </w:pPr>
            <w:r>
              <w:rPr>
                <w:rFonts w:ascii="宋体" w:hAnsi="宋体" w:eastAsia="宋体" w:cs="宋体"/>
                <w:b w:val="0"/>
              </w:rPr>
              <w:t>-5.55%</w:t>
            </w:r>
          </w:p>
        </w:tc>
      </w:tr>
    </w:tbl>
    <w:p w14:paraId="1A995798">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3.所述基金业绩指标不包括持有人认购或交易基金的各项费用，计入费用后实际收益水平要低于所列数字。</w:t>
      </w:r>
    </w:p>
    <w:p w14:paraId="4ACBCC9F"/>
    <w:p w14:paraId="11C3E5EC">
      <w:pPr>
        <w:pStyle w:val="3"/>
        <w:jc w:val="left"/>
      </w:pPr>
      <w:bookmarkStart w:id="13" w:name="_Toc19857"/>
      <w:r>
        <w:rPr>
          <w:rFonts w:ascii="宋体" w:hAnsi="宋体" w:eastAsia="宋体" w:cs="宋体"/>
        </w:rPr>
        <w:t>3.2 基金净值表现</w:t>
      </w:r>
      <w:bookmarkEnd w:id="13"/>
    </w:p>
    <w:p w14:paraId="33F458B5">
      <w:pPr>
        <w:pStyle w:val="58"/>
      </w:pPr>
      <w:r>
        <w:rPr>
          <w:rFonts w:ascii="宋体" w:hAnsi="宋体" w:eastAsia="宋体" w:cs="宋体"/>
          <w:b/>
        </w:rPr>
        <w:t>3.2.1 基金份额净值增长率及其与同期业绩比较基准收益率的比较</w:t>
      </w:r>
    </w:p>
    <w:p w14:paraId="142F2D32">
      <w:pPr>
        <w:jc w:val="left"/>
      </w:pPr>
      <w:r>
        <w:rPr>
          <w:rFonts w:ascii="宋体" w:hAnsi="宋体" w:eastAsia="宋体" w:cs="宋体"/>
          <w:b/>
        </w:rPr>
        <w:t>东方阿尔法兴科一年持有混合A净值表现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57F7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B33AF81">
            <w:pPr>
              <w:spacing w:line="240" w:lineRule="auto"/>
              <w:jc w:val="center"/>
            </w:pPr>
            <w:r>
              <w:rPr>
                <w:rFonts w:ascii="宋体" w:hAnsi="宋体" w:eastAsia="宋体" w:cs="宋体"/>
                <w:b w:val="0"/>
              </w:rPr>
              <w:t>阶段</w:t>
            </w:r>
          </w:p>
        </w:tc>
        <w:tc>
          <w:tcPr>
            <w:tcW w:w="692" w:type="pct"/>
            <w:shd w:val="clear" w:color="auto" w:fill="D9D9D9"/>
            <w:vAlign w:val="center"/>
          </w:tcPr>
          <w:p w14:paraId="46B8B073">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1C461812">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7EC368E5">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5171054B">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7273F905">
            <w:pPr>
              <w:spacing w:line="240" w:lineRule="auto"/>
              <w:jc w:val="center"/>
            </w:pPr>
            <w:r>
              <w:rPr>
                <w:rFonts w:ascii="宋体" w:hAnsi="宋体" w:eastAsia="宋体" w:cs="宋体"/>
                <w:b w:val="0"/>
              </w:rPr>
              <w:t>①－③</w:t>
            </w:r>
          </w:p>
        </w:tc>
        <w:tc>
          <w:tcPr>
            <w:tcW w:w="692" w:type="pct"/>
            <w:shd w:val="clear" w:color="auto" w:fill="D9D9D9"/>
            <w:vAlign w:val="center"/>
          </w:tcPr>
          <w:p w14:paraId="372CD67E">
            <w:pPr>
              <w:spacing w:line="240" w:lineRule="auto"/>
              <w:jc w:val="center"/>
            </w:pPr>
            <w:r>
              <w:rPr>
                <w:rFonts w:ascii="宋体" w:hAnsi="宋体" w:eastAsia="宋体" w:cs="宋体"/>
                <w:b w:val="0"/>
              </w:rPr>
              <w:t>②－④</w:t>
            </w:r>
          </w:p>
        </w:tc>
      </w:tr>
      <w:tr w14:paraId="1289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496047">
            <w:pPr>
              <w:spacing w:line="240" w:lineRule="auto"/>
              <w:jc w:val="left"/>
            </w:pPr>
            <w:r>
              <w:rPr>
                <w:rFonts w:ascii="宋体" w:hAnsi="宋体" w:eastAsia="宋体" w:cs="宋体"/>
                <w:b w:val="0"/>
              </w:rPr>
              <w:t>过去三个月</w:t>
            </w:r>
          </w:p>
        </w:tc>
        <w:tc>
          <w:tcPr>
            <w:tcW w:w="0" w:type="dxa"/>
            <w:vAlign w:val="center"/>
          </w:tcPr>
          <w:p w14:paraId="1E5D2C79">
            <w:pPr>
              <w:spacing w:line="240" w:lineRule="auto"/>
              <w:jc w:val="right"/>
            </w:pPr>
            <w:r>
              <w:rPr>
                <w:rFonts w:ascii="宋体" w:hAnsi="宋体" w:eastAsia="宋体" w:cs="宋体"/>
                <w:b w:val="0"/>
              </w:rPr>
              <w:t>-1.99%</w:t>
            </w:r>
          </w:p>
        </w:tc>
        <w:tc>
          <w:tcPr>
            <w:tcW w:w="0" w:type="dxa"/>
            <w:vAlign w:val="center"/>
          </w:tcPr>
          <w:p w14:paraId="07A4F225">
            <w:pPr>
              <w:spacing w:line="240" w:lineRule="auto"/>
              <w:jc w:val="right"/>
            </w:pPr>
            <w:r>
              <w:rPr>
                <w:rFonts w:ascii="宋体" w:hAnsi="宋体" w:eastAsia="宋体" w:cs="宋体"/>
                <w:b w:val="0"/>
              </w:rPr>
              <w:t>0.83%</w:t>
            </w:r>
          </w:p>
        </w:tc>
        <w:tc>
          <w:tcPr>
            <w:tcW w:w="0" w:type="dxa"/>
            <w:vAlign w:val="center"/>
          </w:tcPr>
          <w:p w14:paraId="47D1367E">
            <w:pPr>
              <w:spacing w:line="240" w:lineRule="auto"/>
              <w:jc w:val="right"/>
            </w:pPr>
            <w:r>
              <w:rPr>
                <w:rFonts w:ascii="宋体" w:hAnsi="宋体" w:eastAsia="宋体" w:cs="宋体"/>
                <w:b w:val="0"/>
              </w:rPr>
              <w:t>6.34%</w:t>
            </w:r>
          </w:p>
        </w:tc>
        <w:tc>
          <w:tcPr>
            <w:tcW w:w="0" w:type="dxa"/>
            <w:vAlign w:val="center"/>
          </w:tcPr>
          <w:p w14:paraId="61D54C27">
            <w:pPr>
              <w:spacing w:line="240" w:lineRule="auto"/>
              <w:jc w:val="right"/>
            </w:pPr>
            <w:r>
              <w:rPr>
                <w:rFonts w:ascii="宋体" w:hAnsi="宋体" w:eastAsia="宋体" w:cs="宋体"/>
                <w:b w:val="0"/>
              </w:rPr>
              <w:t>0.95%</w:t>
            </w:r>
          </w:p>
        </w:tc>
        <w:tc>
          <w:tcPr>
            <w:tcW w:w="0" w:type="dxa"/>
            <w:vAlign w:val="center"/>
          </w:tcPr>
          <w:p w14:paraId="1128B73D">
            <w:pPr>
              <w:spacing w:line="240" w:lineRule="auto"/>
              <w:jc w:val="right"/>
            </w:pPr>
            <w:r>
              <w:rPr>
                <w:rFonts w:ascii="宋体" w:hAnsi="宋体" w:eastAsia="宋体" w:cs="宋体"/>
                <w:b w:val="0"/>
              </w:rPr>
              <w:t>-8.33%</w:t>
            </w:r>
          </w:p>
        </w:tc>
        <w:tc>
          <w:tcPr>
            <w:tcW w:w="0" w:type="dxa"/>
            <w:vAlign w:val="center"/>
          </w:tcPr>
          <w:p w14:paraId="14323AAB">
            <w:pPr>
              <w:spacing w:line="240" w:lineRule="auto"/>
              <w:jc w:val="right"/>
            </w:pPr>
            <w:r>
              <w:rPr>
                <w:rFonts w:ascii="宋体" w:hAnsi="宋体" w:eastAsia="宋体" w:cs="宋体"/>
                <w:b w:val="0"/>
              </w:rPr>
              <w:t>-0.12%</w:t>
            </w:r>
          </w:p>
        </w:tc>
      </w:tr>
      <w:tr w14:paraId="4E88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CFC14E">
            <w:pPr>
              <w:spacing w:line="240" w:lineRule="auto"/>
              <w:jc w:val="left"/>
            </w:pPr>
            <w:r>
              <w:rPr>
                <w:rFonts w:ascii="宋体" w:hAnsi="宋体" w:eastAsia="宋体" w:cs="宋体"/>
                <w:b w:val="0"/>
              </w:rPr>
              <w:t>过去六个月</w:t>
            </w:r>
          </w:p>
        </w:tc>
        <w:tc>
          <w:tcPr>
            <w:tcW w:w="0" w:type="dxa"/>
            <w:vAlign w:val="center"/>
          </w:tcPr>
          <w:p w14:paraId="16D717A3">
            <w:pPr>
              <w:spacing w:line="240" w:lineRule="auto"/>
              <w:jc w:val="right"/>
            </w:pPr>
            <w:r>
              <w:rPr>
                <w:rFonts w:ascii="宋体" w:hAnsi="宋体" w:eastAsia="宋体" w:cs="宋体"/>
                <w:b w:val="0"/>
              </w:rPr>
              <w:t>-2.33%</w:t>
            </w:r>
          </w:p>
        </w:tc>
        <w:tc>
          <w:tcPr>
            <w:tcW w:w="0" w:type="dxa"/>
            <w:vAlign w:val="center"/>
          </w:tcPr>
          <w:p w14:paraId="22C4407E">
            <w:pPr>
              <w:spacing w:line="240" w:lineRule="auto"/>
              <w:jc w:val="right"/>
            </w:pPr>
            <w:r>
              <w:rPr>
                <w:rFonts w:ascii="宋体" w:hAnsi="宋体" w:eastAsia="宋体" w:cs="宋体"/>
                <w:b w:val="0"/>
              </w:rPr>
              <w:t>0.92%</w:t>
            </w:r>
          </w:p>
        </w:tc>
        <w:tc>
          <w:tcPr>
            <w:tcW w:w="0" w:type="dxa"/>
            <w:vAlign w:val="center"/>
          </w:tcPr>
          <w:p w14:paraId="79B1DA5F">
            <w:pPr>
              <w:spacing w:line="240" w:lineRule="auto"/>
              <w:jc w:val="right"/>
            </w:pPr>
            <w:r>
              <w:rPr>
                <w:rFonts w:ascii="宋体" w:hAnsi="宋体" w:eastAsia="宋体" w:cs="宋体"/>
                <w:b w:val="0"/>
              </w:rPr>
              <w:t>3.97%</w:t>
            </w:r>
          </w:p>
        </w:tc>
        <w:tc>
          <w:tcPr>
            <w:tcW w:w="0" w:type="dxa"/>
            <w:vAlign w:val="center"/>
          </w:tcPr>
          <w:p w14:paraId="51C74F39">
            <w:pPr>
              <w:spacing w:line="240" w:lineRule="auto"/>
              <w:jc w:val="right"/>
            </w:pPr>
            <w:r>
              <w:rPr>
                <w:rFonts w:ascii="宋体" w:hAnsi="宋体" w:eastAsia="宋体" w:cs="宋体"/>
                <w:b w:val="0"/>
              </w:rPr>
              <w:t>0.92%</w:t>
            </w:r>
          </w:p>
        </w:tc>
        <w:tc>
          <w:tcPr>
            <w:tcW w:w="0" w:type="dxa"/>
            <w:vAlign w:val="center"/>
          </w:tcPr>
          <w:p w14:paraId="27AD4B00">
            <w:pPr>
              <w:spacing w:line="240" w:lineRule="auto"/>
              <w:jc w:val="right"/>
            </w:pPr>
            <w:r>
              <w:rPr>
                <w:rFonts w:ascii="宋体" w:hAnsi="宋体" w:eastAsia="宋体" w:cs="宋体"/>
                <w:b w:val="0"/>
              </w:rPr>
              <w:t>-6.30%</w:t>
            </w:r>
          </w:p>
        </w:tc>
        <w:tc>
          <w:tcPr>
            <w:tcW w:w="0" w:type="dxa"/>
            <w:vAlign w:val="center"/>
          </w:tcPr>
          <w:p w14:paraId="565783F9">
            <w:pPr>
              <w:spacing w:line="240" w:lineRule="auto"/>
              <w:jc w:val="right"/>
            </w:pPr>
            <w:r>
              <w:rPr>
                <w:rFonts w:ascii="宋体" w:hAnsi="宋体" w:eastAsia="宋体" w:cs="宋体"/>
                <w:b w:val="0"/>
              </w:rPr>
              <w:t>0.00%</w:t>
            </w:r>
          </w:p>
        </w:tc>
      </w:tr>
      <w:tr w14:paraId="4438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98E0D2">
            <w:pPr>
              <w:spacing w:line="240" w:lineRule="auto"/>
              <w:jc w:val="left"/>
            </w:pPr>
            <w:r>
              <w:rPr>
                <w:rFonts w:ascii="宋体" w:hAnsi="宋体" w:eastAsia="宋体" w:cs="宋体"/>
                <w:b w:val="0"/>
              </w:rPr>
              <w:t>过去一年</w:t>
            </w:r>
          </w:p>
        </w:tc>
        <w:tc>
          <w:tcPr>
            <w:tcW w:w="0" w:type="dxa"/>
            <w:vAlign w:val="center"/>
          </w:tcPr>
          <w:p w14:paraId="574B48B6">
            <w:pPr>
              <w:spacing w:line="240" w:lineRule="auto"/>
              <w:jc w:val="right"/>
            </w:pPr>
            <w:r>
              <w:rPr>
                <w:rFonts w:ascii="宋体" w:hAnsi="宋体" w:eastAsia="宋体" w:cs="宋体"/>
                <w:b w:val="0"/>
              </w:rPr>
              <w:t>12.70%</w:t>
            </w:r>
          </w:p>
        </w:tc>
        <w:tc>
          <w:tcPr>
            <w:tcW w:w="0" w:type="dxa"/>
            <w:vAlign w:val="center"/>
          </w:tcPr>
          <w:p w14:paraId="6D2CCA6E">
            <w:pPr>
              <w:spacing w:line="240" w:lineRule="auto"/>
              <w:jc w:val="right"/>
            </w:pPr>
            <w:r>
              <w:rPr>
                <w:rFonts w:ascii="宋体" w:hAnsi="宋体" w:eastAsia="宋体" w:cs="宋体"/>
                <w:b w:val="0"/>
              </w:rPr>
              <w:t>0.88%</w:t>
            </w:r>
          </w:p>
        </w:tc>
        <w:tc>
          <w:tcPr>
            <w:tcW w:w="0" w:type="dxa"/>
            <w:vAlign w:val="center"/>
          </w:tcPr>
          <w:p w14:paraId="7AD2A077">
            <w:pPr>
              <w:spacing w:line="240" w:lineRule="auto"/>
              <w:jc w:val="right"/>
            </w:pPr>
            <w:r>
              <w:rPr>
                <w:rFonts w:ascii="宋体" w:hAnsi="宋体" w:eastAsia="宋体" w:cs="宋体"/>
                <w:b w:val="0"/>
              </w:rPr>
              <w:t>17.24%</w:t>
            </w:r>
          </w:p>
        </w:tc>
        <w:tc>
          <w:tcPr>
            <w:tcW w:w="0" w:type="dxa"/>
            <w:vAlign w:val="center"/>
          </w:tcPr>
          <w:p w14:paraId="49EF1EF3">
            <w:pPr>
              <w:spacing w:line="240" w:lineRule="auto"/>
              <w:jc w:val="right"/>
            </w:pPr>
            <w:r>
              <w:rPr>
                <w:rFonts w:ascii="宋体" w:hAnsi="宋体" w:eastAsia="宋体" w:cs="宋体"/>
                <w:b w:val="0"/>
              </w:rPr>
              <w:t>0.82%</w:t>
            </w:r>
          </w:p>
        </w:tc>
        <w:tc>
          <w:tcPr>
            <w:tcW w:w="0" w:type="dxa"/>
            <w:vAlign w:val="center"/>
          </w:tcPr>
          <w:p w14:paraId="617643E4">
            <w:pPr>
              <w:spacing w:line="240" w:lineRule="auto"/>
              <w:jc w:val="right"/>
            </w:pPr>
            <w:r>
              <w:rPr>
                <w:rFonts w:ascii="宋体" w:hAnsi="宋体" w:eastAsia="宋体" w:cs="宋体"/>
                <w:b w:val="0"/>
              </w:rPr>
              <w:t>-4.54%</w:t>
            </w:r>
          </w:p>
        </w:tc>
        <w:tc>
          <w:tcPr>
            <w:tcW w:w="0" w:type="dxa"/>
            <w:vAlign w:val="center"/>
          </w:tcPr>
          <w:p w14:paraId="0909134E">
            <w:pPr>
              <w:spacing w:line="240" w:lineRule="auto"/>
              <w:jc w:val="right"/>
            </w:pPr>
            <w:r>
              <w:rPr>
                <w:rFonts w:ascii="宋体" w:hAnsi="宋体" w:eastAsia="宋体" w:cs="宋体"/>
                <w:b w:val="0"/>
              </w:rPr>
              <w:t>0.06%</w:t>
            </w:r>
          </w:p>
        </w:tc>
      </w:tr>
      <w:tr w14:paraId="6512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B59AD5">
            <w:pPr>
              <w:spacing w:line="240" w:lineRule="auto"/>
              <w:jc w:val="left"/>
            </w:pPr>
            <w:r>
              <w:rPr>
                <w:rFonts w:ascii="宋体" w:hAnsi="宋体" w:eastAsia="宋体" w:cs="宋体"/>
                <w:b w:val="0"/>
              </w:rPr>
              <w:t>过去三年</w:t>
            </w:r>
          </w:p>
        </w:tc>
        <w:tc>
          <w:tcPr>
            <w:tcW w:w="0" w:type="dxa"/>
            <w:vAlign w:val="center"/>
          </w:tcPr>
          <w:p w14:paraId="30D511DE">
            <w:pPr>
              <w:spacing w:line="240" w:lineRule="auto"/>
              <w:jc w:val="right"/>
            </w:pPr>
            <w:r>
              <w:rPr>
                <w:rFonts w:ascii="宋体" w:hAnsi="宋体" w:eastAsia="宋体" w:cs="宋体"/>
                <w:b w:val="0"/>
              </w:rPr>
              <w:t>15.26%</w:t>
            </w:r>
          </w:p>
        </w:tc>
        <w:tc>
          <w:tcPr>
            <w:tcW w:w="0" w:type="dxa"/>
            <w:vAlign w:val="center"/>
          </w:tcPr>
          <w:p w14:paraId="5D6F2293">
            <w:pPr>
              <w:spacing w:line="240" w:lineRule="auto"/>
              <w:jc w:val="right"/>
            </w:pPr>
            <w:r>
              <w:rPr>
                <w:rFonts w:ascii="宋体" w:hAnsi="宋体" w:eastAsia="宋体" w:cs="宋体"/>
                <w:b w:val="0"/>
              </w:rPr>
              <w:t>1.32%</w:t>
            </w:r>
          </w:p>
        </w:tc>
        <w:tc>
          <w:tcPr>
            <w:tcW w:w="0" w:type="dxa"/>
            <w:vAlign w:val="center"/>
          </w:tcPr>
          <w:p w14:paraId="1B552280">
            <w:pPr>
              <w:spacing w:line="240" w:lineRule="auto"/>
              <w:jc w:val="right"/>
            </w:pPr>
            <w:r>
              <w:rPr>
                <w:rFonts w:ascii="宋体" w:hAnsi="宋体" w:eastAsia="宋体" w:cs="宋体"/>
                <w:b w:val="0"/>
              </w:rPr>
              <w:t>27.92%</w:t>
            </w:r>
          </w:p>
        </w:tc>
        <w:tc>
          <w:tcPr>
            <w:tcW w:w="0" w:type="dxa"/>
            <w:vAlign w:val="center"/>
          </w:tcPr>
          <w:p w14:paraId="02558070">
            <w:pPr>
              <w:spacing w:line="240" w:lineRule="auto"/>
              <w:jc w:val="right"/>
            </w:pPr>
            <w:r>
              <w:rPr>
                <w:rFonts w:ascii="宋体" w:hAnsi="宋体" w:eastAsia="宋体" w:cs="宋体"/>
                <w:b w:val="0"/>
              </w:rPr>
              <w:t>0.90%</w:t>
            </w:r>
          </w:p>
        </w:tc>
        <w:tc>
          <w:tcPr>
            <w:tcW w:w="0" w:type="dxa"/>
            <w:vAlign w:val="center"/>
          </w:tcPr>
          <w:p w14:paraId="41B17372">
            <w:pPr>
              <w:spacing w:line="240" w:lineRule="auto"/>
              <w:jc w:val="right"/>
            </w:pPr>
            <w:r>
              <w:rPr>
                <w:rFonts w:ascii="宋体" w:hAnsi="宋体" w:eastAsia="宋体" w:cs="宋体"/>
                <w:b w:val="0"/>
              </w:rPr>
              <w:t>-12.66%</w:t>
            </w:r>
          </w:p>
        </w:tc>
        <w:tc>
          <w:tcPr>
            <w:tcW w:w="0" w:type="dxa"/>
            <w:vAlign w:val="center"/>
          </w:tcPr>
          <w:p w14:paraId="1FF43215">
            <w:pPr>
              <w:spacing w:line="240" w:lineRule="auto"/>
              <w:jc w:val="right"/>
            </w:pPr>
            <w:r>
              <w:rPr>
                <w:rFonts w:ascii="宋体" w:hAnsi="宋体" w:eastAsia="宋体" w:cs="宋体"/>
                <w:b w:val="0"/>
              </w:rPr>
              <w:t>0.42%</w:t>
            </w:r>
          </w:p>
        </w:tc>
      </w:tr>
      <w:tr w14:paraId="6073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3A3413">
            <w:pPr>
              <w:spacing w:line="240" w:lineRule="auto"/>
              <w:jc w:val="left"/>
            </w:pPr>
            <w:r>
              <w:rPr>
                <w:rFonts w:ascii="宋体" w:hAnsi="宋体" w:eastAsia="宋体" w:cs="宋体"/>
                <w:b w:val="0"/>
              </w:rPr>
              <w:t>自基金合同生效起至今</w:t>
            </w:r>
          </w:p>
        </w:tc>
        <w:tc>
          <w:tcPr>
            <w:tcW w:w="0" w:type="dxa"/>
            <w:vAlign w:val="center"/>
          </w:tcPr>
          <w:p w14:paraId="4248A77B">
            <w:pPr>
              <w:spacing w:line="240" w:lineRule="auto"/>
              <w:jc w:val="right"/>
            </w:pPr>
            <w:r>
              <w:rPr>
                <w:rFonts w:ascii="宋体" w:hAnsi="宋体" w:eastAsia="宋体" w:cs="宋体"/>
                <w:b w:val="0"/>
              </w:rPr>
              <w:t>-3.39%</w:t>
            </w:r>
          </w:p>
        </w:tc>
        <w:tc>
          <w:tcPr>
            <w:tcW w:w="0" w:type="dxa"/>
            <w:vAlign w:val="center"/>
          </w:tcPr>
          <w:p w14:paraId="4A7AC040">
            <w:pPr>
              <w:spacing w:line="240" w:lineRule="auto"/>
              <w:jc w:val="right"/>
            </w:pPr>
            <w:r>
              <w:rPr>
                <w:rFonts w:ascii="宋体" w:hAnsi="宋体" w:eastAsia="宋体" w:cs="宋体"/>
                <w:b w:val="0"/>
              </w:rPr>
              <w:t>1.36%</w:t>
            </w:r>
          </w:p>
        </w:tc>
        <w:tc>
          <w:tcPr>
            <w:tcW w:w="0" w:type="dxa"/>
            <w:vAlign w:val="center"/>
          </w:tcPr>
          <w:p w14:paraId="352DAB8F">
            <w:pPr>
              <w:spacing w:line="240" w:lineRule="auto"/>
              <w:jc w:val="right"/>
            </w:pPr>
            <w:r>
              <w:rPr>
                <w:rFonts w:ascii="宋体" w:hAnsi="宋体" w:eastAsia="宋体" w:cs="宋体"/>
                <w:b w:val="0"/>
              </w:rPr>
              <w:t>30.67%</w:t>
            </w:r>
          </w:p>
        </w:tc>
        <w:tc>
          <w:tcPr>
            <w:tcW w:w="0" w:type="dxa"/>
            <w:vAlign w:val="center"/>
          </w:tcPr>
          <w:p w14:paraId="39DF1DE4">
            <w:pPr>
              <w:spacing w:line="240" w:lineRule="auto"/>
              <w:jc w:val="right"/>
            </w:pPr>
            <w:r>
              <w:rPr>
                <w:rFonts w:ascii="宋体" w:hAnsi="宋体" w:eastAsia="宋体" w:cs="宋体"/>
                <w:b w:val="0"/>
              </w:rPr>
              <w:t>0.89%</w:t>
            </w:r>
          </w:p>
        </w:tc>
        <w:tc>
          <w:tcPr>
            <w:tcW w:w="0" w:type="dxa"/>
            <w:vAlign w:val="center"/>
          </w:tcPr>
          <w:p w14:paraId="20F86417">
            <w:pPr>
              <w:spacing w:line="240" w:lineRule="auto"/>
              <w:jc w:val="right"/>
            </w:pPr>
            <w:r>
              <w:rPr>
                <w:rFonts w:ascii="宋体" w:hAnsi="宋体" w:eastAsia="宋体" w:cs="宋体"/>
                <w:b w:val="0"/>
              </w:rPr>
              <w:t>-34.06%</w:t>
            </w:r>
          </w:p>
        </w:tc>
        <w:tc>
          <w:tcPr>
            <w:tcW w:w="0" w:type="dxa"/>
            <w:vAlign w:val="center"/>
          </w:tcPr>
          <w:p w14:paraId="5DC5534E">
            <w:pPr>
              <w:spacing w:line="240" w:lineRule="auto"/>
              <w:jc w:val="right"/>
            </w:pPr>
            <w:r>
              <w:rPr>
                <w:rFonts w:ascii="宋体" w:hAnsi="宋体" w:eastAsia="宋体" w:cs="宋体"/>
                <w:b w:val="0"/>
              </w:rPr>
              <w:t>0.47%</w:t>
            </w:r>
          </w:p>
        </w:tc>
      </w:tr>
    </w:tbl>
    <w:p w14:paraId="0430987C">
      <w:pPr>
        <w:jc w:val="left"/>
      </w:pPr>
      <w:r>
        <w:rPr>
          <w:rFonts w:ascii="宋体" w:hAnsi="宋体" w:eastAsia="宋体" w:cs="宋体"/>
          <w:b/>
        </w:rPr>
        <w:t>东方阿尔法兴科一年持有混合C净值表现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285F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736072C">
            <w:pPr>
              <w:spacing w:line="240" w:lineRule="auto"/>
              <w:jc w:val="center"/>
            </w:pPr>
            <w:r>
              <w:rPr>
                <w:rFonts w:ascii="宋体" w:hAnsi="宋体" w:eastAsia="宋体" w:cs="宋体"/>
                <w:b w:val="0"/>
              </w:rPr>
              <w:t>阶段</w:t>
            </w:r>
          </w:p>
        </w:tc>
        <w:tc>
          <w:tcPr>
            <w:tcW w:w="692" w:type="pct"/>
            <w:shd w:val="clear" w:color="auto" w:fill="D9D9D9"/>
            <w:vAlign w:val="center"/>
          </w:tcPr>
          <w:p w14:paraId="18B68469">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04F462FF">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4B1A1E64">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5A8C134F">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45EC9034">
            <w:pPr>
              <w:spacing w:line="240" w:lineRule="auto"/>
              <w:jc w:val="center"/>
            </w:pPr>
            <w:r>
              <w:rPr>
                <w:rFonts w:ascii="宋体" w:hAnsi="宋体" w:eastAsia="宋体" w:cs="宋体"/>
                <w:b w:val="0"/>
              </w:rPr>
              <w:t>①－③</w:t>
            </w:r>
          </w:p>
        </w:tc>
        <w:tc>
          <w:tcPr>
            <w:tcW w:w="692" w:type="pct"/>
            <w:shd w:val="clear" w:color="auto" w:fill="D9D9D9"/>
            <w:vAlign w:val="center"/>
          </w:tcPr>
          <w:p w14:paraId="4ECC8C97">
            <w:pPr>
              <w:spacing w:line="240" w:lineRule="auto"/>
              <w:jc w:val="center"/>
            </w:pPr>
            <w:r>
              <w:rPr>
                <w:rFonts w:ascii="宋体" w:hAnsi="宋体" w:eastAsia="宋体" w:cs="宋体"/>
                <w:b w:val="0"/>
              </w:rPr>
              <w:t>②－④</w:t>
            </w:r>
          </w:p>
        </w:tc>
      </w:tr>
      <w:tr w14:paraId="2B56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74D68B">
            <w:pPr>
              <w:spacing w:line="240" w:lineRule="auto"/>
              <w:jc w:val="left"/>
            </w:pPr>
            <w:r>
              <w:rPr>
                <w:rFonts w:ascii="宋体" w:hAnsi="宋体" w:eastAsia="宋体" w:cs="宋体"/>
                <w:b w:val="0"/>
              </w:rPr>
              <w:t>过去三个月</w:t>
            </w:r>
          </w:p>
        </w:tc>
        <w:tc>
          <w:tcPr>
            <w:tcW w:w="0" w:type="dxa"/>
            <w:vAlign w:val="center"/>
          </w:tcPr>
          <w:p w14:paraId="668BDEF9">
            <w:pPr>
              <w:spacing w:line="240" w:lineRule="auto"/>
              <w:jc w:val="right"/>
            </w:pPr>
            <w:r>
              <w:rPr>
                <w:rFonts w:ascii="宋体" w:hAnsi="宋体" w:eastAsia="宋体" w:cs="宋体"/>
                <w:b w:val="0"/>
              </w:rPr>
              <w:t>-2.13%</w:t>
            </w:r>
          </w:p>
        </w:tc>
        <w:tc>
          <w:tcPr>
            <w:tcW w:w="0" w:type="dxa"/>
            <w:vAlign w:val="center"/>
          </w:tcPr>
          <w:p w14:paraId="4536A52F">
            <w:pPr>
              <w:spacing w:line="240" w:lineRule="auto"/>
              <w:jc w:val="right"/>
            </w:pPr>
            <w:r>
              <w:rPr>
                <w:rFonts w:ascii="宋体" w:hAnsi="宋体" w:eastAsia="宋体" w:cs="宋体"/>
                <w:b w:val="0"/>
              </w:rPr>
              <w:t>0.83%</w:t>
            </w:r>
          </w:p>
        </w:tc>
        <w:tc>
          <w:tcPr>
            <w:tcW w:w="0" w:type="dxa"/>
            <w:vAlign w:val="center"/>
          </w:tcPr>
          <w:p w14:paraId="22072F93">
            <w:pPr>
              <w:spacing w:line="240" w:lineRule="auto"/>
              <w:jc w:val="right"/>
            </w:pPr>
            <w:r>
              <w:rPr>
                <w:rFonts w:ascii="宋体" w:hAnsi="宋体" w:eastAsia="宋体" w:cs="宋体"/>
                <w:b w:val="0"/>
              </w:rPr>
              <w:t>6.34%</w:t>
            </w:r>
          </w:p>
        </w:tc>
        <w:tc>
          <w:tcPr>
            <w:tcW w:w="0" w:type="dxa"/>
            <w:vAlign w:val="center"/>
          </w:tcPr>
          <w:p w14:paraId="1E077A1D">
            <w:pPr>
              <w:spacing w:line="240" w:lineRule="auto"/>
              <w:jc w:val="right"/>
            </w:pPr>
            <w:r>
              <w:rPr>
                <w:rFonts w:ascii="宋体" w:hAnsi="宋体" w:eastAsia="宋体" w:cs="宋体"/>
                <w:b w:val="0"/>
              </w:rPr>
              <w:t>0.95%</w:t>
            </w:r>
          </w:p>
        </w:tc>
        <w:tc>
          <w:tcPr>
            <w:tcW w:w="0" w:type="dxa"/>
            <w:vAlign w:val="center"/>
          </w:tcPr>
          <w:p w14:paraId="7F9ABDA8">
            <w:pPr>
              <w:spacing w:line="240" w:lineRule="auto"/>
              <w:jc w:val="right"/>
            </w:pPr>
            <w:r>
              <w:rPr>
                <w:rFonts w:ascii="宋体" w:hAnsi="宋体" w:eastAsia="宋体" w:cs="宋体"/>
                <w:b w:val="0"/>
              </w:rPr>
              <w:t>-8.47%</w:t>
            </w:r>
          </w:p>
        </w:tc>
        <w:tc>
          <w:tcPr>
            <w:tcW w:w="0" w:type="dxa"/>
            <w:vAlign w:val="center"/>
          </w:tcPr>
          <w:p w14:paraId="63A2A782">
            <w:pPr>
              <w:spacing w:line="240" w:lineRule="auto"/>
              <w:jc w:val="right"/>
            </w:pPr>
            <w:r>
              <w:rPr>
                <w:rFonts w:ascii="宋体" w:hAnsi="宋体" w:eastAsia="宋体" w:cs="宋体"/>
                <w:b w:val="0"/>
              </w:rPr>
              <w:t>-0.12%</w:t>
            </w:r>
          </w:p>
        </w:tc>
      </w:tr>
      <w:tr w14:paraId="1624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BBEA98">
            <w:pPr>
              <w:spacing w:line="240" w:lineRule="auto"/>
              <w:jc w:val="left"/>
            </w:pPr>
            <w:r>
              <w:rPr>
                <w:rFonts w:ascii="宋体" w:hAnsi="宋体" w:eastAsia="宋体" w:cs="宋体"/>
                <w:b w:val="0"/>
              </w:rPr>
              <w:t>过去六个月</w:t>
            </w:r>
          </w:p>
        </w:tc>
        <w:tc>
          <w:tcPr>
            <w:tcW w:w="0" w:type="dxa"/>
            <w:vAlign w:val="center"/>
          </w:tcPr>
          <w:p w14:paraId="50802235">
            <w:pPr>
              <w:spacing w:line="240" w:lineRule="auto"/>
              <w:jc w:val="right"/>
            </w:pPr>
            <w:r>
              <w:rPr>
                <w:rFonts w:ascii="宋体" w:hAnsi="宋体" w:eastAsia="宋体" w:cs="宋体"/>
                <w:b w:val="0"/>
              </w:rPr>
              <w:t>-2.61%</w:t>
            </w:r>
          </w:p>
        </w:tc>
        <w:tc>
          <w:tcPr>
            <w:tcW w:w="0" w:type="dxa"/>
            <w:vAlign w:val="center"/>
          </w:tcPr>
          <w:p w14:paraId="56A7BA9C">
            <w:pPr>
              <w:spacing w:line="240" w:lineRule="auto"/>
              <w:jc w:val="right"/>
            </w:pPr>
            <w:r>
              <w:rPr>
                <w:rFonts w:ascii="宋体" w:hAnsi="宋体" w:eastAsia="宋体" w:cs="宋体"/>
                <w:b w:val="0"/>
              </w:rPr>
              <w:t>0.92%</w:t>
            </w:r>
          </w:p>
        </w:tc>
        <w:tc>
          <w:tcPr>
            <w:tcW w:w="0" w:type="dxa"/>
            <w:vAlign w:val="center"/>
          </w:tcPr>
          <w:p w14:paraId="1A30871F">
            <w:pPr>
              <w:spacing w:line="240" w:lineRule="auto"/>
              <w:jc w:val="right"/>
            </w:pPr>
            <w:r>
              <w:rPr>
                <w:rFonts w:ascii="宋体" w:hAnsi="宋体" w:eastAsia="宋体" w:cs="宋体"/>
                <w:b w:val="0"/>
              </w:rPr>
              <w:t>3.97%</w:t>
            </w:r>
          </w:p>
        </w:tc>
        <w:tc>
          <w:tcPr>
            <w:tcW w:w="0" w:type="dxa"/>
            <w:vAlign w:val="center"/>
          </w:tcPr>
          <w:p w14:paraId="5111A003">
            <w:pPr>
              <w:spacing w:line="240" w:lineRule="auto"/>
              <w:jc w:val="right"/>
            </w:pPr>
            <w:r>
              <w:rPr>
                <w:rFonts w:ascii="宋体" w:hAnsi="宋体" w:eastAsia="宋体" w:cs="宋体"/>
                <w:b w:val="0"/>
              </w:rPr>
              <w:t>0.92%</w:t>
            </w:r>
          </w:p>
        </w:tc>
        <w:tc>
          <w:tcPr>
            <w:tcW w:w="0" w:type="dxa"/>
            <w:vAlign w:val="center"/>
          </w:tcPr>
          <w:p w14:paraId="41CFA670">
            <w:pPr>
              <w:spacing w:line="240" w:lineRule="auto"/>
              <w:jc w:val="right"/>
            </w:pPr>
            <w:r>
              <w:rPr>
                <w:rFonts w:ascii="宋体" w:hAnsi="宋体" w:eastAsia="宋体" w:cs="宋体"/>
                <w:b w:val="0"/>
              </w:rPr>
              <w:t>-6.58%</w:t>
            </w:r>
          </w:p>
        </w:tc>
        <w:tc>
          <w:tcPr>
            <w:tcW w:w="0" w:type="dxa"/>
            <w:vAlign w:val="center"/>
          </w:tcPr>
          <w:p w14:paraId="47EB41DC">
            <w:pPr>
              <w:spacing w:line="240" w:lineRule="auto"/>
              <w:jc w:val="right"/>
            </w:pPr>
            <w:r>
              <w:rPr>
                <w:rFonts w:ascii="宋体" w:hAnsi="宋体" w:eastAsia="宋体" w:cs="宋体"/>
                <w:b w:val="0"/>
              </w:rPr>
              <w:t>0.00%</w:t>
            </w:r>
          </w:p>
        </w:tc>
      </w:tr>
      <w:tr w14:paraId="49B2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F89C4B">
            <w:pPr>
              <w:spacing w:line="240" w:lineRule="auto"/>
              <w:jc w:val="left"/>
            </w:pPr>
            <w:r>
              <w:rPr>
                <w:rFonts w:ascii="宋体" w:hAnsi="宋体" w:eastAsia="宋体" w:cs="宋体"/>
                <w:b w:val="0"/>
              </w:rPr>
              <w:t>过去一年</w:t>
            </w:r>
          </w:p>
        </w:tc>
        <w:tc>
          <w:tcPr>
            <w:tcW w:w="0" w:type="dxa"/>
            <w:vAlign w:val="center"/>
          </w:tcPr>
          <w:p w14:paraId="71127D09">
            <w:pPr>
              <w:spacing w:line="240" w:lineRule="auto"/>
              <w:jc w:val="right"/>
            </w:pPr>
            <w:r>
              <w:rPr>
                <w:rFonts w:ascii="宋体" w:hAnsi="宋体" w:eastAsia="宋体" w:cs="宋体"/>
                <w:b w:val="0"/>
              </w:rPr>
              <w:t>12.03%</w:t>
            </w:r>
          </w:p>
        </w:tc>
        <w:tc>
          <w:tcPr>
            <w:tcW w:w="0" w:type="dxa"/>
            <w:vAlign w:val="center"/>
          </w:tcPr>
          <w:p w14:paraId="22317A92">
            <w:pPr>
              <w:spacing w:line="240" w:lineRule="auto"/>
              <w:jc w:val="right"/>
            </w:pPr>
            <w:r>
              <w:rPr>
                <w:rFonts w:ascii="宋体" w:hAnsi="宋体" w:eastAsia="宋体" w:cs="宋体"/>
                <w:b w:val="0"/>
              </w:rPr>
              <w:t>0.88%</w:t>
            </w:r>
          </w:p>
        </w:tc>
        <w:tc>
          <w:tcPr>
            <w:tcW w:w="0" w:type="dxa"/>
            <w:vAlign w:val="center"/>
          </w:tcPr>
          <w:p w14:paraId="786E0529">
            <w:pPr>
              <w:spacing w:line="240" w:lineRule="auto"/>
              <w:jc w:val="right"/>
            </w:pPr>
            <w:r>
              <w:rPr>
                <w:rFonts w:ascii="宋体" w:hAnsi="宋体" w:eastAsia="宋体" w:cs="宋体"/>
                <w:b w:val="0"/>
              </w:rPr>
              <w:t>17.24%</w:t>
            </w:r>
          </w:p>
        </w:tc>
        <w:tc>
          <w:tcPr>
            <w:tcW w:w="0" w:type="dxa"/>
            <w:vAlign w:val="center"/>
          </w:tcPr>
          <w:p w14:paraId="3F402019">
            <w:pPr>
              <w:spacing w:line="240" w:lineRule="auto"/>
              <w:jc w:val="right"/>
            </w:pPr>
            <w:r>
              <w:rPr>
                <w:rFonts w:ascii="宋体" w:hAnsi="宋体" w:eastAsia="宋体" w:cs="宋体"/>
                <w:b w:val="0"/>
              </w:rPr>
              <w:t>0.82%</w:t>
            </w:r>
          </w:p>
        </w:tc>
        <w:tc>
          <w:tcPr>
            <w:tcW w:w="0" w:type="dxa"/>
            <w:vAlign w:val="center"/>
          </w:tcPr>
          <w:p w14:paraId="709DF64F">
            <w:pPr>
              <w:spacing w:line="240" w:lineRule="auto"/>
              <w:jc w:val="right"/>
            </w:pPr>
            <w:r>
              <w:rPr>
                <w:rFonts w:ascii="宋体" w:hAnsi="宋体" w:eastAsia="宋体" w:cs="宋体"/>
                <w:b w:val="0"/>
              </w:rPr>
              <w:t>-5.21%</w:t>
            </w:r>
          </w:p>
        </w:tc>
        <w:tc>
          <w:tcPr>
            <w:tcW w:w="0" w:type="dxa"/>
            <w:vAlign w:val="center"/>
          </w:tcPr>
          <w:p w14:paraId="6C9B5A09">
            <w:pPr>
              <w:spacing w:line="240" w:lineRule="auto"/>
              <w:jc w:val="right"/>
            </w:pPr>
            <w:r>
              <w:rPr>
                <w:rFonts w:ascii="宋体" w:hAnsi="宋体" w:eastAsia="宋体" w:cs="宋体"/>
                <w:b w:val="0"/>
              </w:rPr>
              <w:t>0.06%</w:t>
            </w:r>
          </w:p>
        </w:tc>
      </w:tr>
      <w:tr w14:paraId="2120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F1D2DE">
            <w:pPr>
              <w:spacing w:line="240" w:lineRule="auto"/>
              <w:jc w:val="left"/>
            </w:pPr>
            <w:r>
              <w:rPr>
                <w:rFonts w:ascii="宋体" w:hAnsi="宋体" w:eastAsia="宋体" w:cs="宋体"/>
                <w:b w:val="0"/>
              </w:rPr>
              <w:t>过去三年</w:t>
            </w:r>
          </w:p>
        </w:tc>
        <w:tc>
          <w:tcPr>
            <w:tcW w:w="0" w:type="dxa"/>
            <w:vAlign w:val="center"/>
          </w:tcPr>
          <w:p w14:paraId="6E2C5289">
            <w:pPr>
              <w:spacing w:line="240" w:lineRule="auto"/>
              <w:jc w:val="right"/>
            </w:pPr>
            <w:r>
              <w:rPr>
                <w:rFonts w:ascii="宋体" w:hAnsi="宋体" w:eastAsia="宋体" w:cs="宋体"/>
                <w:b w:val="0"/>
              </w:rPr>
              <w:t>13.20%</w:t>
            </w:r>
          </w:p>
        </w:tc>
        <w:tc>
          <w:tcPr>
            <w:tcW w:w="0" w:type="dxa"/>
            <w:vAlign w:val="center"/>
          </w:tcPr>
          <w:p w14:paraId="0BB4AC60">
            <w:pPr>
              <w:spacing w:line="240" w:lineRule="auto"/>
              <w:jc w:val="right"/>
            </w:pPr>
            <w:r>
              <w:rPr>
                <w:rFonts w:ascii="宋体" w:hAnsi="宋体" w:eastAsia="宋体" w:cs="宋体"/>
                <w:b w:val="0"/>
              </w:rPr>
              <w:t>1.32%</w:t>
            </w:r>
          </w:p>
        </w:tc>
        <w:tc>
          <w:tcPr>
            <w:tcW w:w="0" w:type="dxa"/>
            <w:vAlign w:val="center"/>
          </w:tcPr>
          <w:p w14:paraId="6D44C6ED">
            <w:pPr>
              <w:spacing w:line="240" w:lineRule="auto"/>
              <w:jc w:val="right"/>
            </w:pPr>
            <w:r>
              <w:rPr>
                <w:rFonts w:ascii="宋体" w:hAnsi="宋体" w:eastAsia="宋体" w:cs="宋体"/>
                <w:b w:val="0"/>
              </w:rPr>
              <w:t>27.92%</w:t>
            </w:r>
          </w:p>
        </w:tc>
        <w:tc>
          <w:tcPr>
            <w:tcW w:w="0" w:type="dxa"/>
            <w:vAlign w:val="center"/>
          </w:tcPr>
          <w:p w14:paraId="6596D640">
            <w:pPr>
              <w:spacing w:line="240" w:lineRule="auto"/>
              <w:jc w:val="right"/>
            </w:pPr>
            <w:r>
              <w:rPr>
                <w:rFonts w:ascii="宋体" w:hAnsi="宋体" w:eastAsia="宋体" w:cs="宋体"/>
                <w:b w:val="0"/>
              </w:rPr>
              <w:t>0.90%</w:t>
            </w:r>
          </w:p>
        </w:tc>
        <w:tc>
          <w:tcPr>
            <w:tcW w:w="0" w:type="dxa"/>
            <w:vAlign w:val="center"/>
          </w:tcPr>
          <w:p w14:paraId="124A3427">
            <w:pPr>
              <w:spacing w:line="240" w:lineRule="auto"/>
              <w:jc w:val="right"/>
            </w:pPr>
            <w:r>
              <w:rPr>
                <w:rFonts w:ascii="宋体" w:hAnsi="宋体" w:eastAsia="宋体" w:cs="宋体"/>
                <w:b w:val="0"/>
              </w:rPr>
              <w:t>-14.72%</w:t>
            </w:r>
          </w:p>
        </w:tc>
        <w:tc>
          <w:tcPr>
            <w:tcW w:w="0" w:type="dxa"/>
            <w:vAlign w:val="center"/>
          </w:tcPr>
          <w:p w14:paraId="4D8554C8">
            <w:pPr>
              <w:spacing w:line="240" w:lineRule="auto"/>
              <w:jc w:val="right"/>
            </w:pPr>
            <w:r>
              <w:rPr>
                <w:rFonts w:ascii="宋体" w:hAnsi="宋体" w:eastAsia="宋体" w:cs="宋体"/>
                <w:b w:val="0"/>
              </w:rPr>
              <w:t>0.42%</w:t>
            </w:r>
          </w:p>
        </w:tc>
      </w:tr>
      <w:tr w14:paraId="557F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10D4BB">
            <w:pPr>
              <w:spacing w:line="240" w:lineRule="auto"/>
              <w:jc w:val="left"/>
            </w:pPr>
            <w:r>
              <w:rPr>
                <w:rFonts w:ascii="宋体" w:hAnsi="宋体" w:eastAsia="宋体" w:cs="宋体"/>
                <w:b w:val="0"/>
              </w:rPr>
              <w:t>自基金合同生效起至今</w:t>
            </w:r>
          </w:p>
        </w:tc>
        <w:tc>
          <w:tcPr>
            <w:tcW w:w="0" w:type="dxa"/>
            <w:vAlign w:val="center"/>
          </w:tcPr>
          <w:p w14:paraId="6FC9A9E0">
            <w:pPr>
              <w:spacing w:line="240" w:lineRule="auto"/>
              <w:jc w:val="right"/>
            </w:pPr>
            <w:r>
              <w:rPr>
                <w:rFonts w:ascii="宋体" w:hAnsi="宋体" w:eastAsia="宋体" w:cs="宋体"/>
                <w:b w:val="0"/>
              </w:rPr>
              <w:t>-5.55%</w:t>
            </w:r>
          </w:p>
        </w:tc>
        <w:tc>
          <w:tcPr>
            <w:tcW w:w="0" w:type="dxa"/>
            <w:vAlign w:val="center"/>
          </w:tcPr>
          <w:p w14:paraId="4189E7B6">
            <w:pPr>
              <w:spacing w:line="240" w:lineRule="auto"/>
              <w:jc w:val="right"/>
            </w:pPr>
            <w:r>
              <w:rPr>
                <w:rFonts w:ascii="宋体" w:hAnsi="宋体" w:eastAsia="宋体" w:cs="宋体"/>
                <w:b w:val="0"/>
              </w:rPr>
              <w:t>1.36%</w:t>
            </w:r>
          </w:p>
        </w:tc>
        <w:tc>
          <w:tcPr>
            <w:tcW w:w="0" w:type="dxa"/>
            <w:vAlign w:val="center"/>
          </w:tcPr>
          <w:p w14:paraId="32236699">
            <w:pPr>
              <w:spacing w:line="240" w:lineRule="auto"/>
              <w:jc w:val="right"/>
            </w:pPr>
            <w:r>
              <w:rPr>
                <w:rFonts w:ascii="宋体" w:hAnsi="宋体" w:eastAsia="宋体" w:cs="宋体"/>
                <w:b w:val="0"/>
              </w:rPr>
              <w:t>30.67%</w:t>
            </w:r>
          </w:p>
        </w:tc>
        <w:tc>
          <w:tcPr>
            <w:tcW w:w="0" w:type="dxa"/>
            <w:vAlign w:val="center"/>
          </w:tcPr>
          <w:p w14:paraId="700587A9">
            <w:pPr>
              <w:spacing w:line="240" w:lineRule="auto"/>
              <w:jc w:val="right"/>
            </w:pPr>
            <w:r>
              <w:rPr>
                <w:rFonts w:ascii="宋体" w:hAnsi="宋体" w:eastAsia="宋体" w:cs="宋体"/>
                <w:b w:val="0"/>
              </w:rPr>
              <w:t>0.89%</w:t>
            </w:r>
          </w:p>
        </w:tc>
        <w:tc>
          <w:tcPr>
            <w:tcW w:w="0" w:type="dxa"/>
            <w:vAlign w:val="center"/>
          </w:tcPr>
          <w:p w14:paraId="64BB28EE">
            <w:pPr>
              <w:spacing w:line="240" w:lineRule="auto"/>
              <w:jc w:val="right"/>
            </w:pPr>
            <w:r>
              <w:rPr>
                <w:rFonts w:ascii="宋体" w:hAnsi="宋体" w:eastAsia="宋体" w:cs="宋体"/>
                <w:b w:val="0"/>
              </w:rPr>
              <w:t>-36.22%</w:t>
            </w:r>
          </w:p>
        </w:tc>
        <w:tc>
          <w:tcPr>
            <w:tcW w:w="0" w:type="dxa"/>
            <w:vAlign w:val="center"/>
          </w:tcPr>
          <w:p w14:paraId="0C562354">
            <w:pPr>
              <w:spacing w:line="240" w:lineRule="auto"/>
              <w:jc w:val="right"/>
            </w:pPr>
            <w:r>
              <w:rPr>
                <w:rFonts w:ascii="宋体" w:hAnsi="宋体" w:eastAsia="宋体" w:cs="宋体"/>
                <w:b w:val="0"/>
              </w:rPr>
              <w:t>0.47%</w:t>
            </w:r>
          </w:p>
        </w:tc>
      </w:tr>
    </w:tbl>
    <w:p w14:paraId="0E790198">
      <w:r>
        <w:rPr>
          <w:rFonts w:ascii="宋体" w:hAnsi="宋体" w:eastAsia="宋体" w:cs="宋体"/>
          <w:b w:val="0"/>
        </w:rPr>
        <w:t>注：本基金业绩比较基准为：中证800指数收益率×60%+中证综合债券指数收益率×20%+恒生指数收益率×20%</w:t>
      </w:r>
    </w:p>
    <w:p w14:paraId="2561B631"/>
    <w:p w14:paraId="45241EFE">
      <w:pPr>
        <w:pStyle w:val="58"/>
      </w:pPr>
      <w:r>
        <w:rPr>
          <w:rFonts w:ascii="宋体" w:hAnsi="宋体" w:eastAsia="宋体" w:cs="宋体"/>
          <w:b/>
        </w:rPr>
        <w:t>3.2.2 自基金合同生效以来基金份额累计净值增长率变动及其与同期业绩比较基准收益率变动的比较</w:t>
      </w:r>
    </w:p>
    <w:p w14:paraId="1A9A44A1">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4D99D044"/>
    <w:p w14:paraId="38255A43">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6FE2A5D6">
      <w:pPr>
        <w:pStyle w:val="2"/>
        <w:jc w:val="center"/>
      </w:pPr>
      <w:bookmarkStart w:id="14" w:name="_Toc13637"/>
      <w:r>
        <w:rPr>
          <w:rFonts w:ascii="宋体" w:hAnsi="宋体" w:eastAsia="宋体" w:cs="宋体"/>
        </w:rPr>
        <w:t>§4 管理人报告</w:t>
      </w:r>
      <w:bookmarkEnd w:id="14"/>
    </w:p>
    <w:p w14:paraId="41E7497E">
      <w:pPr>
        <w:pStyle w:val="3"/>
        <w:jc w:val="left"/>
      </w:pPr>
      <w:bookmarkStart w:id="15" w:name="_Toc13271"/>
      <w:r>
        <w:rPr>
          <w:rFonts w:ascii="宋体" w:hAnsi="宋体" w:eastAsia="宋体" w:cs="宋体"/>
        </w:rPr>
        <w:t>4.1 基金管理人及基金经理情况</w:t>
      </w:r>
      <w:bookmarkEnd w:id="15"/>
    </w:p>
    <w:p w14:paraId="47C4B9C1">
      <w:pPr>
        <w:pStyle w:val="58"/>
      </w:pPr>
      <w:r>
        <w:rPr>
          <w:rFonts w:ascii="宋体" w:hAnsi="宋体" w:eastAsia="宋体" w:cs="宋体"/>
          <w:b/>
        </w:rPr>
        <w:t>4.1.1 基金管理人及其管理基金的经验</w:t>
      </w:r>
    </w:p>
    <w:p w14:paraId="1AF63B41">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710F61A5"/>
    <w:p w14:paraId="7AA5A71E">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7147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5680AA6B">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5D3D69ED">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10AA7B1C">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0DA5B3FA">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2743CD6F">
            <w:pPr>
              <w:spacing w:line="240" w:lineRule="auto"/>
              <w:jc w:val="center"/>
            </w:pPr>
            <w:r>
              <w:rPr>
                <w:rFonts w:ascii="宋体" w:hAnsi="宋体" w:eastAsia="宋体" w:cs="宋体"/>
                <w:b w:val="0"/>
              </w:rPr>
              <w:t>说明</w:t>
            </w:r>
          </w:p>
        </w:tc>
      </w:tr>
      <w:tr w14:paraId="64A9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78A5BE9"/>
        </w:tc>
        <w:tc>
          <w:tcPr>
            <w:vMerge w:val="continue"/>
          </w:tcPr>
          <w:p w14:paraId="57174428"/>
        </w:tc>
        <w:tc>
          <w:tcPr>
            <w:tcW w:w="400" w:type="pct"/>
            <w:shd w:val="clear" w:color="auto" w:fill="D9D9D9"/>
            <w:vAlign w:val="center"/>
          </w:tcPr>
          <w:p w14:paraId="3655C96A">
            <w:pPr>
              <w:spacing w:line="240" w:lineRule="auto"/>
              <w:jc w:val="center"/>
            </w:pPr>
            <w:r>
              <w:rPr>
                <w:rFonts w:ascii="宋体" w:hAnsi="宋体" w:eastAsia="宋体" w:cs="宋体"/>
                <w:b w:val="0"/>
              </w:rPr>
              <w:t>任职日期</w:t>
            </w:r>
          </w:p>
        </w:tc>
        <w:tc>
          <w:tcPr>
            <w:tcW w:w="392" w:type="pct"/>
            <w:shd w:val="clear" w:color="auto" w:fill="D9D9D9"/>
            <w:vAlign w:val="center"/>
          </w:tcPr>
          <w:p w14:paraId="5992B57E">
            <w:pPr>
              <w:spacing w:line="240" w:lineRule="auto"/>
              <w:jc w:val="center"/>
            </w:pPr>
            <w:r>
              <w:rPr>
                <w:rFonts w:ascii="宋体" w:hAnsi="宋体" w:eastAsia="宋体" w:cs="宋体"/>
                <w:b w:val="0"/>
              </w:rPr>
              <w:t>离任日期</w:t>
            </w:r>
          </w:p>
        </w:tc>
        <w:tc>
          <w:tcPr>
            <w:vMerge w:val="continue"/>
          </w:tcPr>
          <w:p w14:paraId="5FA05E75"/>
        </w:tc>
        <w:tc>
          <w:tcPr>
            <w:vMerge w:val="continue"/>
          </w:tcPr>
          <w:p w14:paraId="23191E04"/>
        </w:tc>
      </w:tr>
      <w:tr w14:paraId="31E1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A88A24">
            <w:pPr>
              <w:spacing w:line="240" w:lineRule="auto"/>
              <w:jc w:val="left"/>
            </w:pPr>
            <w:r>
              <w:rPr>
                <w:rFonts w:ascii="宋体" w:hAnsi="宋体" w:eastAsia="宋体" w:cs="宋体"/>
                <w:b w:val="0"/>
              </w:rPr>
              <w:t>尹智斌</w:t>
            </w:r>
          </w:p>
        </w:tc>
        <w:tc>
          <w:tcPr>
            <w:tcW w:w="0" w:type="dxa"/>
            <w:vAlign w:val="center"/>
          </w:tcPr>
          <w:p w14:paraId="4908DA2B">
            <w:pPr>
              <w:spacing w:line="240" w:lineRule="auto"/>
              <w:jc w:val="left"/>
            </w:pPr>
            <w:r>
              <w:rPr>
                <w:rFonts w:ascii="宋体" w:hAnsi="宋体" w:eastAsia="宋体" w:cs="宋体"/>
                <w:b w:val="0"/>
              </w:rPr>
              <w:t>基金经理</w:t>
            </w:r>
          </w:p>
        </w:tc>
        <w:tc>
          <w:tcPr>
            <w:tcW w:w="0" w:type="dxa"/>
            <w:vAlign w:val="center"/>
          </w:tcPr>
          <w:p w14:paraId="654555BB">
            <w:pPr>
              <w:spacing w:line="240" w:lineRule="auto"/>
              <w:jc w:val="left"/>
            </w:pPr>
            <w:r>
              <w:rPr>
                <w:rFonts w:ascii="宋体" w:hAnsi="宋体" w:eastAsia="宋体" w:cs="宋体"/>
                <w:b w:val="0"/>
              </w:rPr>
              <w:t>2023-11-01</w:t>
            </w:r>
          </w:p>
        </w:tc>
        <w:tc>
          <w:tcPr>
            <w:tcW w:w="0" w:type="dxa"/>
            <w:vAlign w:val="center"/>
          </w:tcPr>
          <w:p w14:paraId="7AD8A533">
            <w:pPr>
              <w:spacing w:line="240" w:lineRule="auto"/>
              <w:jc w:val="left"/>
            </w:pPr>
            <w:r>
              <w:rPr>
                <w:rFonts w:ascii="宋体" w:hAnsi="宋体" w:eastAsia="宋体" w:cs="宋体"/>
                <w:b w:val="0"/>
              </w:rPr>
              <w:t>-</w:t>
            </w:r>
          </w:p>
        </w:tc>
        <w:tc>
          <w:tcPr>
            <w:tcW w:w="0" w:type="dxa"/>
            <w:vAlign w:val="center"/>
          </w:tcPr>
          <w:p w14:paraId="3E32D2A6">
            <w:pPr>
              <w:spacing w:line="240" w:lineRule="auto"/>
              <w:jc w:val="left"/>
            </w:pPr>
            <w:r>
              <w:rPr>
                <w:rFonts w:ascii="宋体" w:hAnsi="宋体" w:eastAsia="宋体" w:cs="宋体"/>
                <w:b w:val="0"/>
              </w:rPr>
              <w:t>8年</w:t>
            </w:r>
          </w:p>
        </w:tc>
        <w:tc>
          <w:tcPr>
            <w:tcW w:w="0" w:type="dxa"/>
            <w:vAlign w:val="center"/>
          </w:tcPr>
          <w:p w14:paraId="582E467A">
            <w:pPr>
              <w:spacing w:line="240" w:lineRule="auto"/>
              <w:jc w:val="left"/>
            </w:pPr>
            <w:r>
              <w:rPr>
                <w:rFonts w:ascii="宋体" w:hAnsi="宋体" w:eastAsia="宋体" w:cs="宋体"/>
                <w:b w:val="0"/>
              </w:rPr>
              <w:t>尹智斌先生，清华大学工学及经济学双学士，清华大学工学硕士，历任东方阿尔法基金管理有限公司电子、传媒互联网、建筑建材、社服行业研究员，曾担任东方阿尔法优选混合型发起式证券投资基金基金经理助理。现任东方阿尔法基金管理有限公司基金经理。</w:t>
            </w:r>
          </w:p>
        </w:tc>
      </w:tr>
    </w:tbl>
    <w:p w14:paraId="40163CFE">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351E3DD0"/>
    <w:p w14:paraId="3E7FB5F4">
      <w:pPr>
        <w:pStyle w:val="58"/>
      </w:pPr>
      <w:r>
        <w:rPr>
          <w:rFonts w:ascii="宋体" w:hAnsi="宋体" w:eastAsia="宋体" w:cs="宋体"/>
          <w:b/>
        </w:rPr>
        <w:t>4.1.3 期末兼任私募资产管理计划投资经理的基金经理同时管理的产品情况</w:t>
      </w:r>
    </w:p>
    <w:p w14:paraId="1DE20E7C">
      <w:r>
        <w:rPr>
          <w:rFonts w:ascii="宋体" w:hAnsi="宋体" w:eastAsia="宋体" w:cs="宋体"/>
          <w:b w:val="0"/>
        </w:rPr>
        <w:t xml:space="preserve">    本基金基金经理不存在兼任私募资产管理计划的投资经理的情况。</w:t>
      </w:r>
    </w:p>
    <w:p w14:paraId="39DD8B08"/>
    <w:p w14:paraId="0A848416">
      <w:pPr>
        <w:pStyle w:val="3"/>
        <w:jc w:val="left"/>
      </w:pPr>
      <w:bookmarkStart w:id="16" w:name="_Toc18246"/>
      <w:r>
        <w:rPr>
          <w:rFonts w:ascii="宋体" w:hAnsi="宋体" w:eastAsia="宋体" w:cs="宋体"/>
        </w:rPr>
        <w:t>4.2 管理人对报告期内本基金运作遵规守信情况的说明</w:t>
      </w:r>
      <w:bookmarkEnd w:id="16"/>
    </w:p>
    <w:p w14:paraId="0EABEC3A">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3C9A17F6"/>
    <w:p w14:paraId="199B1391">
      <w:pPr>
        <w:pStyle w:val="3"/>
        <w:jc w:val="left"/>
      </w:pPr>
      <w:bookmarkStart w:id="17" w:name="_Toc3833"/>
      <w:r>
        <w:rPr>
          <w:rFonts w:ascii="宋体" w:hAnsi="宋体" w:eastAsia="宋体" w:cs="宋体"/>
        </w:rPr>
        <w:t>4.3 管理人对报告期内公平交易情况的专项说明</w:t>
      </w:r>
      <w:bookmarkEnd w:id="17"/>
    </w:p>
    <w:p w14:paraId="3ABDB1CF">
      <w:pPr>
        <w:pStyle w:val="58"/>
      </w:pPr>
      <w:r>
        <w:rPr>
          <w:rFonts w:ascii="宋体" w:hAnsi="宋体" w:eastAsia="宋体" w:cs="宋体"/>
          <w:b/>
        </w:rPr>
        <w:t>4.3.1 公平交易制度的执行情况</w:t>
      </w:r>
    </w:p>
    <w:p w14:paraId="2B0137C2">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5947978A"/>
    <w:p w14:paraId="5EE9ED4C">
      <w:pPr>
        <w:pStyle w:val="58"/>
      </w:pPr>
      <w:r>
        <w:rPr>
          <w:rFonts w:ascii="宋体" w:hAnsi="宋体" w:eastAsia="宋体" w:cs="宋体"/>
          <w:b/>
        </w:rPr>
        <w:t>4.3.2 异常交易行为的专项说明</w:t>
      </w:r>
    </w:p>
    <w:p w14:paraId="3FE60DE1">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1228BA40"/>
    <w:p w14:paraId="06670952">
      <w:pPr>
        <w:pStyle w:val="3"/>
        <w:jc w:val="left"/>
      </w:pPr>
      <w:bookmarkStart w:id="18" w:name="_Toc25486"/>
      <w:r>
        <w:rPr>
          <w:rFonts w:ascii="宋体" w:hAnsi="宋体" w:eastAsia="宋体" w:cs="宋体"/>
        </w:rPr>
        <w:t>4.4 管理人对报告期内基金的投资策略和业绩表现的说明</w:t>
      </w:r>
      <w:bookmarkEnd w:id="18"/>
    </w:p>
    <w:p w14:paraId="3CCA3FA3">
      <w:pPr>
        <w:pStyle w:val="58"/>
      </w:pPr>
      <w:r>
        <w:rPr>
          <w:rFonts w:ascii="宋体" w:hAnsi="宋体" w:eastAsia="宋体" w:cs="宋体"/>
          <w:b/>
        </w:rPr>
        <w:t>4.4.1 报告期内基金投资策略和运作分析</w:t>
      </w:r>
    </w:p>
    <w:p w14:paraId="199C04CB">
      <w:pPr>
        <w:jc w:val="left"/>
      </w:pPr>
      <w:r>
        <w:rPr>
          <w:rFonts w:ascii="宋体" w:hAnsi="宋体" w:eastAsia="宋体" w:cs="宋体"/>
          <w:b w:val="0"/>
        </w:rPr>
        <w:t xml:space="preserve">    报告期内，市场风险偏好依然处于较高状态，成长股行情迭起，但基于能力圈及确定性的考虑，依然坚守偏价值、重分红的投资范围，追求稳稳的幸福。自2024年4月，国务院颁发了资本市场新“国九条”，有助于资本市场从融资性市场向投资性市场转变，是历史性的重要拐点，我们应当予以高度重视。纵观其他发达国家资本市场的历史经验，经济进入高质量发展阶段，资本市场逐渐开始重视中小股东利益，逐渐进入慢牛长牛。围绕高质量发展，新“国九条”提出多措并举提高股息率，增强分红稳定性、持续性和可预期性。</w:t>
      </w:r>
      <w:r>
        <w:rPr>
          <w:rFonts w:ascii="宋体" w:hAnsi="宋体" w:eastAsia="宋体" w:cs="宋体"/>
          <w:b w:val="0"/>
        </w:rPr>
        <w:br w:type="textWrapping"/>
      </w:r>
      <w:r>
        <w:rPr>
          <w:rFonts w:ascii="宋体" w:hAnsi="宋体" w:eastAsia="宋体" w:cs="宋体"/>
          <w:b w:val="0"/>
        </w:rPr>
        <w:t xml:space="preserve">    事实上在过去一段时间，上市公司提高分红的程度确实在持续提升，只是在成长股行情的背景下稍显逊色，但其相较于债券市场已经有极强的吸引力，追求稳健回报、回撤可控的投资者应当予以高度重视。</w:t>
      </w:r>
      <w:r>
        <w:rPr>
          <w:rFonts w:ascii="宋体" w:hAnsi="宋体" w:eastAsia="宋体" w:cs="宋体"/>
          <w:b w:val="0"/>
        </w:rPr>
        <w:br w:type="textWrapping"/>
      </w:r>
      <w:r>
        <w:rPr>
          <w:rFonts w:ascii="宋体" w:hAnsi="宋体" w:eastAsia="宋体" w:cs="宋体"/>
          <w:b w:val="0"/>
        </w:rPr>
        <w:t xml:space="preserve">    目前我们运作的整体思路，依然是追求稳稳的幸福，主要结合分红、现金流、低估值、良好竞争格局与商业模式自下而上进行均衡配置。</w:t>
      </w:r>
    </w:p>
    <w:p w14:paraId="0485E9FC"/>
    <w:p w14:paraId="1DF374A4">
      <w:pPr>
        <w:pStyle w:val="58"/>
      </w:pPr>
      <w:r>
        <w:rPr>
          <w:rFonts w:ascii="宋体" w:hAnsi="宋体" w:eastAsia="宋体" w:cs="宋体"/>
          <w:b/>
        </w:rPr>
        <w:t>4.4.2 报告期内基金的业绩表现</w:t>
      </w:r>
    </w:p>
    <w:p w14:paraId="1EB7626D">
      <w:pPr>
        <w:jc w:val="left"/>
      </w:pPr>
      <w:r>
        <w:rPr>
          <w:rFonts w:ascii="宋体" w:hAnsi="宋体" w:eastAsia="宋体" w:cs="宋体"/>
          <w:b w:val="0"/>
        </w:rPr>
        <w:t xml:space="preserve">    截至报告期末东方阿尔法兴科一年持有混合A基金份额净值为0.9661元，本报告期内，该类基金份额净值增长率为-2.33%，同期业绩比较基准收益率为3.97%；截至报告期末东方阿尔法兴科一年持有混合C基金份额净值为0.9445元，本报告期内，该类基金份额净值增长率为-2.61%，同期业绩比较基准收益率为3.97%。</w:t>
      </w:r>
    </w:p>
    <w:p w14:paraId="58DE194C"/>
    <w:p w14:paraId="74ED9C1D">
      <w:pPr>
        <w:pStyle w:val="3"/>
        <w:jc w:val="left"/>
      </w:pPr>
      <w:bookmarkStart w:id="19" w:name="_Toc3507"/>
      <w:r>
        <w:rPr>
          <w:rFonts w:ascii="宋体" w:hAnsi="宋体" w:eastAsia="宋体" w:cs="宋体"/>
        </w:rPr>
        <w:t>4.5 管理人对宏观经济、证券市场及行业走势的简要展望</w:t>
      </w:r>
      <w:bookmarkEnd w:id="19"/>
    </w:p>
    <w:p w14:paraId="6C3078BD">
      <w:pPr>
        <w:jc w:val="left"/>
      </w:pPr>
      <w:r>
        <w:rPr>
          <w:rFonts w:ascii="宋体" w:hAnsi="宋体" w:eastAsia="宋体" w:cs="宋体"/>
          <w:b w:val="0"/>
        </w:rPr>
        <w:t xml:space="preserve">    目前市场基于中国科技的崛起在积极重估，却对内需宏观经济持续悲观，而科技的崛起终将会传导到消费者，惠及普通老百姓的真实需求，因此我们依然看好目前内需低估下的修复，同时增加出海相关仓位敞口，充分享受国内工程师红利的外溢效应：</w:t>
      </w:r>
      <w:r>
        <w:rPr>
          <w:rFonts w:ascii="宋体" w:hAnsi="宋体" w:eastAsia="宋体" w:cs="宋体"/>
          <w:b w:val="0"/>
        </w:rPr>
        <w:br w:type="textWrapping"/>
      </w:r>
      <w:r>
        <w:rPr>
          <w:rFonts w:ascii="宋体" w:hAnsi="宋体" w:eastAsia="宋体" w:cs="宋体"/>
          <w:b w:val="0"/>
        </w:rPr>
        <w:t xml:space="preserve">    （1）出海相关及制造业细分龙头。广义制造业中，如轻工、机械、电子等，已产生众多竞争格局相当稳定且现金流优秀的细分龙头，在目前内需悲观预期下估值较低，这些行业远期资本开支有望大幅度下降，进而自由现金流将逐渐提升，潜在分红能力持续增强。同时，我们也重点关注部分低估值、出海逻辑的制造业龙头，其产品的海外竞争力在持续增强。</w:t>
      </w:r>
      <w:r>
        <w:rPr>
          <w:rFonts w:ascii="宋体" w:hAnsi="宋体" w:eastAsia="宋体" w:cs="宋体"/>
          <w:b w:val="0"/>
        </w:rPr>
        <w:br w:type="textWrapping"/>
      </w:r>
      <w:r>
        <w:rPr>
          <w:rFonts w:ascii="宋体" w:hAnsi="宋体" w:eastAsia="宋体" w:cs="宋体"/>
          <w:b w:val="0"/>
        </w:rPr>
        <w:t xml:space="preserve">    （2）内需相关龙头，包括家电、物业等，在目前市场持续担心内需的背景下，这些公司估值已压到较低位置，在未来超常规逆周期调节下，业绩的悲观预期有望得到明显的修复。</w:t>
      </w:r>
      <w:r>
        <w:rPr>
          <w:rFonts w:ascii="宋体" w:hAnsi="宋体" w:eastAsia="宋体" w:cs="宋体"/>
          <w:b w:val="0"/>
        </w:rPr>
        <w:br w:type="textWrapping"/>
      </w:r>
      <w:r>
        <w:rPr>
          <w:rFonts w:ascii="宋体" w:hAnsi="宋体" w:eastAsia="宋体" w:cs="宋体"/>
          <w:b w:val="0"/>
        </w:rPr>
        <w:t xml:space="preserve">    （3）上游资源类公司，目前主要关注油气相关的低估值、高现金流公司。</w:t>
      </w:r>
      <w:r>
        <w:rPr>
          <w:rFonts w:ascii="宋体" w:hAnsi="宋体" w:eastAsia="宋体" w:cs="宋体"/>
          <w:b w:val="0"/>
        </w:rPr>
        <w:br w:type="textWrapping"/>
      </w:r>
      <w:r>
        <w:rPr>
          <w:rFonts w:ascii="宋体" w:hAnsi="宋体" w:eastAsia="宋体" w:cs="宋体"/>
          <w:b w:val="0"/>
        </w:rPr>
        <w:t xml:space="preserve">    目前许多行业的中小企业仍然有较大的经营压力甚至面临出清，龙头企业压到较低的估值，在未来超常规逆周期调节下，龙头企业将抢占许多中小企业出清的份额，呈现出较大的业绩弹性，后续组合上继续偏好于龙头企业。</w:t>
      </w:r>
    </w:p>
    <w:p w14:paraId="6A78B3ED"/>
    <w:p w14:paraId="33343598">
      <w:pPr>
        <w:pStyle w:val="3"/>
        <w:jc w:val="left"/>
      </w:pPr>
      <w:bookmarkStart w:id="20" w:name="_Toc22211"/>
      <w:r>
        <w:rPr>
          <w:rFonts w:ascii="宋体" w:hAnsi="宋体" w:eastAsia="宋体" w:cs="宋体"/>
        </w:rPr>
        <w:t>4.6 管理人对报告期内基金估值程序等事项的说明</w:t>
      </w:r>
      <w:bookmarkEnd w:id="20"/>
    </w:p>
    <w:p w14:paraId="43696A0D">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53BB3029"/>
    <w:p w14:paraId="568A1E5B">
      <w:pPr>
        <w:pStyle w:val="3"/>
        <w:jc w:val="left"/>
      </w:pPr>
      <w:bookmarkStart w:id="21" w:name="_Toc10122"/>
      <w:r>
        <w:rPr>
          <w:rFonts w:ascii="宋体" w:hAnsi="宋体" w:eastAsia="宋体" w:cs="宋体"/>
        </w:rPr>
        <w:t>4.7 管理人对报告期内基金利润分配情况的说明</w:t>
      </w:r>
      <w:bookmarkEnd w:id="21"/>
    </w:p>
    <w:p w14:paraId="2D4849C1">
      <w:pPr>
        <w:jc w:val="left"/>
      </w:pPr>
      <w:r>
        <w:rPr>
          <w:rFonts w:ascii="宋体" w:hAnsi="宋体" w:eastAsia="宋体" w:cs="宋体"/>
          <w:b w:val="0"/>
        </w:rPr>
        <w:t xml:space="preserve">    本基金本报告期内未实施利润分配。</w:t>
      </w:r>
    </w:p>
    <w:p w14:paraId="497C8372"/>
    <w:p w14:paraId="0D9D243A">
      <w:pPr>
        <w:pStyle w:val="3"/>
        <w:jc w:val="left"/>
      </w:pPr>
      <w:bookmarkStart w:id="22" w:name="_Toc27138"/>
      <w:r>
        <w:rPr>
          <w:rFonts w:ascii="宋体" w:hAnsi="宋体" w:eastAsia="宋体" w:cs="宋体"/>
        </w:rPr>
        <w:t>4.8 报告期内管理人对本基金持有人数或基金资产净值预警情形的说明</w:t>
      </w:r>
      <w:bookmarkEnd w:id="22"/>
    </w:p>
    <w:p w14:paraId="419D15BF">
      <w:pPr>
        <w:jc w:val="left"/>
      </w:pPr>
      <w:r>
        <w:rPr>
          <w:rFonts w:ascii="宋体" w:hAnsi="宋体" w:eastAsia="宋体" w:cs="宋体"/>
          <w:b w:val="0"/>
        </w:rPr>
        <w:t xml:space="preserve">    本报告期内，本基金未出现连续20个工作日基金份额持有人数量不满200人或者基金资产净值低于5000万的情形。</w:t>
      </w:r>
    </w:p>
    <w:p w14:paraId="733369C5">
      <w:pPr>
        <w:pStyle w:val="2"/>
        <w:jc w:val="center"/>
      </w:pPr>
      <w:bookmarkStart w:id="23" w:name="_Toc6692"/>
      <w:r>
        <w:rPr>
          <w:rFonts w:ascii="宋体" w:hAnsi="宋体" w:eastAsia="宋体" w:cs="宋体"/>
        </w:rPr>
        <w:t>§5 托管人报告</w:t>
      </w:r>
      <w:bookmarkEnd w:id="23"/>
    </w:p>
    <w:p w14:paraId="67C52723">
      <w:pPr>
        <w:pStyle w:val="3"/>
        <w:jc w:val="left"/>
      </w:pPr>
      <w:bookmarkStart w:id="24" w:name="_Toc8528"/>
      <w:r>
        <w:rPr>
          <w:rFonts w:ascii="宋体" w:hAnsi="宋体" w:eastAsia="宋体" w:cs="宋体"/>
        </w:rPr>
        <w:t>5.1 报告期内本基金托管人遵规守信情况声明</w:t>
      </w:r>
      <w:bookmarkEnd w:id="24"/>
    </w:p>
    <w:p w14:paraId="4A75B8BB">
      <w:pPr>
        <w:jc w:val="left"/>
      </w:pPr>
      <w:r>
        <w:rPr>
          <w:rFonts w:ascii="宋体" w:hAnsi="宋体" w:eastAsia="宋体" w:cs="宋体"/>
          <w:b w:val="0"/>
        </w:rPr>
        <w:t xml:space="preserve">    报告期内，本托管人严格遵守《中华人民共和国证券投资基金法》及其他有关法律法规、基金合同和托管协议的规定，诚信、尽责地履行了基金托管人义务，不存在损害本基金份额持有人利益的行为。</w:t>
      </w:r>
    </w:p>
    <w:p w14:paraId="0E172BC2"/>
    <w:p w14:paraId="7AA27BD7">
      <w:pPr>
        <w:pStyle w:val="3"/>
        <w:jc w:val="left"/>
      </w:pPr>
      <w:bookmarkStart w:id="25" w:name="_Toc2692"/>
      <w:r>
        <w:rPr>
          <w:rFonts w:ascii="宋体" w:hAnsi="宋体" w:eastAsia="宋体" w:cs="宋体"/>
        </w:rPr>
        <w:t>5.2 托管人对报告期内本基金投资运作遵规守信、净值计算、利润分配等情况的说明</w:t>
      </w:r>
      <w:bookmarkEnd w:id="25"/>
    </w:p>
    <w:p w14:paraId="4F545B37">
      <w:pPr>
        <w:jc w:val="left"/>
      </w:pPr>
      <w:r>
        <w:rPr>
          <w:rFonts w:ascii="宋体" w:hAnsi="宋体" w:eastAsia="宋体" w:cs="宋体"/>
          <w:b w:val="0"/>
        </w:rPr>
        <w:t xml:space="preserve">    报告期内，本托管人根据自身能够获取的数据和信息，依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14:paraId="2876588B"/>
    <w:p w14:paraId="151CCDB6">
      <w:pPr>
        <w:pStyle w:val="3"/>
        <w:jc w:val="left"/>
      </w:pPr>
      <w:bookmarkStart w:id="26" w:name="_Toc17008"/>
      <w:r>
        <w:rPr>
          <w:rFonts w:ascii="宋体" w:hAnsi="宋体" w:eastAsia="宋体" w:cs="宋体"/>
        </w:rPr>
        <w:t>5.3 托管人对本中期报告中财务信息等内容的真实、准确和完整发表意见</w:t>
      </w:r>
      <w:bookmarkEnd w:id="26"/>
    </w:p>
    <w:p w14:paraId="0EEE966A">
      <w:pPr>
        <w:jc w:val="left"/>
      </w:pPr>
      <w:r>
        <w:rPr>
          <w:rFonts w:ascii="宋体" w:hAnsi="宋体" w:eastAsia="宋体" w:cs="宋体"/>
          <w:b w:val="0"/>
        </w:rPr>
        <w:t xml:space="preserve">    本托管人根据自身能够获取的数据和信息，认真复核了本中期报告中的财务指标、净值表现、收益分配情况、财务会计报告、投资组合报告等内容，认为其真实、准确和完整，不存在虚假记载、误导性陈述或者重大遗漏。</w:t>
      </w:r>
    </w:p>
    <w:p w14:paraId="143F9592">
      <w:pPr>
        <w:pStyle w:val="2"/>
        <w:jc w:val="center"/>
      </w:pPr>
      <w:bookmarkStart w:id="27" w:name="_Toc12550"/>
      <w:r>
        <w:rPr>
          <w:rFonts w:ascii="宋体" w:hAnsi="宋体" w:eastAsia="宋体" w:cs="宋体"/>
        </w:rPr>
        <w:t>§6 半年度财务会计报告(未经审计)</w:t>
      </w:r>
      <w:bookmarkEnd w:id="27"/>
    </w:p>
    <w:p w14:paraId="2CC1188B">
      <w:pPr>
        <w:pStyle w:val="3"/>
        <w:jc w:val="left"/>
      </w:pPr>
      <w:bookmarkStart w:id="28" w:name="_Toc3943"/>
      <w:r>
        <w:rPr>
          <w:rFonts w:ascii="宋体" w:hAnsi="宋体" w:eastAsia="宋体" w:cs="宋体"/>
        </w:rPr>
        <w:t>6.1 资产负债表</w:t>
      </w:r>
      <w:bookmarkEnd w:id="28"/>
    </w:p>
    <w:p w14:paraId="10F1713E">
      <w:pPr>
        <w:jc w:val="left"/>
      </w:pPr>
      <w:r>
        <w:rPr>
          <w:rFonts w:ascii="宋体" w:hAnsi="宋体" w:eastAsia="宋体" w:cs="宋体"/>
          <w:b w:val="0"/>
        </w:rPr>
        <w:t>会计主体：东方阿尔法兴科一年持有期混合型证券投资基金</w:t>
      </w:r>
    </w:p>
    <w:p w14:paraId="62600083">
      <w:pPr>
        <w:jc w:val="left"/>
      </w:pPr>
      <w:r>
        <w:rPr>
          <w:rFonts w:ascii="宋体" w:hAnsi="宋体" w:eastAsia="宋体" w:cs="宋体"/>
          <w:b w:val="0"/>
        </w:rPr>
        <w:t>报告截止日：2026年06月30日</w:t>
      </w:r>
    </w:p>
    <w:p w14:paraId="465D1A2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1428"/>
        <w:gridCol w:w="2857"/>
        <w:gridCol w:w="2857"/>
      </w:tblGrid>
      <w:tr w14:paraId="3A31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3DB4F658">
            <w:pPr>
              <w:spacing w:line="240" w:lineRule="auto"/>
              <w:jc w:val="center"/>
            </w:pPr>
            <w:r>
              <w:rPr>
                <w:rFonts w:ascii="宋体" w:hAnsi="宋体" w:eastAsia="宋体" w:cs="宋体"/>
                <w:b/>
              </w:rPr>
              <w:t xml:space="preserve">资 产 </w:t>
            </w:r>
          </w:p>
        </w:tc>
        <w:tc>
          <w:tcPr>
            <w:tcW w:w="769" w:type="pct"/>
            <w:shd w:val="clear" w:color="auto" w:fill="D9D9D9"/>
            <w:vAlign w:val="center"/>
          </w:tcPr>
          <w:p w14:paraId="2C766E13">
            <w:pPr>
              <w:spacing w:line="240" w:lineRule="auto"/>
              <w:jc w:val="center"/>
            </w:pPr>
            <w:r>
              <w:rPr>
                <w:rFonts w:ascii="宋体" w:hAnsi="宋体" w:eastAsia="宋体" w:cs="宋体"/>
                <w:b/>
              </w:rPr>
              <w:t>附注号</w:t>
            </w:r>
          </w:p>
        </w:tc>
        <w:tc>
          <w:tcPr>
            <w:tcW w:w="1538" w:type="pct"/>
            <w:shd w:val="clear" w:color="auto" w:fill="D9D9D9"/>
            <w:vAlign w:val="center"/>
          </w:tcPr>
          <w:p w14:paraId="50F9934B">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0283D539">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201B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31A607">
            <w:pPr>
              <w:spacing w:line="240" w:lineRule="auto"/>
              <w:jc w:val="left"/>
            </w:pPr>
            <w:r>
              <w:rPr>
                <w:rFonts w:ascii="宋体" w:hAnsi="宋体" w:eastAsia="宋体" w:cs="宋体"/>
                <w:b/>
              </w:rPr>
              <w:t>资 产：</w:t>
            </w:r>
          </w:p>
        </w:tc>
        <w:tc>
          <w:tcPr>
            <w:tcW w:w="0" w:type="dxa"/>
            <w:vAlign w:val="center"/>
          </w:tcPr>
          <w:p w14:paraId="630A5FFC">
            <w:pPr>
              <w:spacing w:line="240" w:lineRule="auto"/>
              <w:jc w:val="center"/>
            </w:pPr>
          </w:p>
        </w:tc>
        <w:tc>
          <w:tcPr>
            <w:tcW w:w="0" w:type="dxa"/>
            <w:vAlign w:val="center"/>
          </w:tcPr>
          <w:p w14:paraId="7B2DB070">
            <w:pPr>
              <w:spacing w:line="240" w:lineRule="auto"/>
              <w:jc w:val="center"/>
            </w:pPr>
          </w:p>
        </w:tc>
        <w:tc>
          <w:tcPr>
            <w:tcW w:w="0" w:type="dxa"/>
            <w:vAlign w:val="center"/>
          </w:tcPr>
          <w:p w14:paraId="6E4ABEB0">
            <w:pPr>
              <w:spacing w:line="240" w:lineRule="auto"/>
              <w:jc w:val="center"/>
            </w:pPr>
          </w:p>
        </w:tc>
      </w:tr>
      <w:tr w14:paraId="1282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593A97">
            <w:pPr>
              <w:spacing w:line="240" w:lineRule="auto"/>
              <w:jc w:val="left"/>
            </w:pPr>
            <w:r>
              <w:rPr>
                <w:rFonts w:ascii="宋体" w:hAnsi="宋体" w:eastAsia="宋体" w:cs="宋体"/>
                <w:b w:val="0"/>
              </w:rPr>
              <w:t>货币资金</w:t>
            </w:r>
          </w:p>
        </w:tc>
        <w:tc>
          <w:tcPr>
            <w:tcW w:w="0" w:type="dxa"/>
            <w:vAlign w:val="center"/>
          </w:tcPr>
          <w:p w14:paraId="67355AB6">
            <w:pPr>
              <w:spacing w:line="240" w:lineRule="auto"/>
              <w:jc w:val="center"/>
            </w:pPr>
            <w:r>
              <w:rPr>
                <w:rFonts w:ascii="宋体" w:hAnsi="宋体" w:eastAsia="宋体" w:cs="宋体"/>
                <w:b w:val="0"/>
              </w:rPr>
              <w:t>6.4.7.1</w:t>
            </w:r>
          </w:p>
        </w:tc>
        <w:tc>
          <w:tcPr>
            <w:tcW w:w="0" w:type="dxa"/>
            <w:vAlign w:val="center"/>
          </w:tcPr>
          <w:p w14:paraId="3D50D783">
            <w:pPr>
              <w:spacing w:line="240" w:lineRule="auto"/>
              <w:jc w:val="right"/>
            </w:pPr>
            <w:r>
              <w:rPr>
                <w:rFonts w:ascii="宋体" w:hAnsi="宋体" w:eastAsia="宋体" w:cs="宋体"/>
                <w:b w:val="0"/>
              </w:rPr>
              <w:t>2,820,391.63</w:t>
            </w:r>
          </w:p>
        </w:tc>
        <w:tc>
          <w:tcPr>
            <w:tcW w:w="0" w:type="dxa"/>
            <w:vAlign w:val="center"/>
          </w:tcPr>
          <w:p w14:paraId="084CC3EE">
            <w:pPr>
              <w:spacing w:line="240" w:lineRule="auto"/>
              <w:jc w:val="right"/>
            </w:pPr>
            <w:r>
              <w:rPr>
                <w:rFonts w:ascii="宋体" w:hAnsi="宋体" w:eastAsia="宋体" w:cs="宋体"/>
                <w:b w:val="0"/>
              </w:rPr>
              <w:t>1,103,444.97</w:t>
            </w:r>
          </w:p>
        </w:tc>
      </w:tr>
      <w:tr w14:paraId="2B61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207949">
            <w:pPr>
              <w:spacing w:line="240" w:lineRule="auto"/>
              <w:jc w:val="left"/>
            </w:pPr>
            <w:r>
              <w:rPr>
                <w:rFonts w:ascii="宋体" w:hAnsi="宋体" w:eastAsia="宋体" w:cs="宋体"/>
                <w:b w:val="0"/>
              </w:rPr>
              <w:t>结算备付金</w:t>
            </w:r>
          </w:p>
        </w:tc>
        <w:tc>
          <w:tcPr>
            <w:tcW w:w="0" w:type="dxa"/>
            <w:vAlign w:val="center"/>
          </w:tcPr>
          <w:p w14:paraId="2B37CE26">
            <w:pPr>
              <w:spacing w:line="240" w:lineRule="auto"/>
              <w:jc w:val="center"/>
            </w:pPr>
          </w:p>
        </w:tc>
        <w:tc>
          <w:tcPr>
            <w:tcW w:w="0" w:type="dxa"/>
            <w:vAlign w:val="center"/>
          </w:tcPr>
          <w:p w14:paraId="131127C4">
            <w:pPr>
              <w:spacing w:line="240" w:lineRule="auto"/>
              <w:jc w:val="right"/>
            </w:pPr>
            <w:r>
              <w:rPr>
                <w:rFonts w:ascii="宋体" w:hAnsi="宋体" w:eastAsia="宋体" w:cs="宋体"/>
                <w:b w:val="0"/>
              </w:rPr>
              <w:t>-</w:t>
            </w:r>
          </w:p>
        </w:tc>
        <w:tc>
          <w:tcPr>
            <w:tcW w:w="0" w:type="dxa"/>
            <w:vAlign w:val="center"/>
          </w:tcPr>
          <w:p w14:paraId="28E7AAE0">
            <w:pPr>
              <w:spacing w:line="240" w:lineRule="auto"/>
              <w:jc w:val="right"/>
            </w:pPr>
            <w:r>
              <w:rPr>
                <w:rFonts w:ascii="宋体" w:hAnsi="宋体" w:eastAsia="宋体" w:cs="宋体"/>
                <w:b w:val="0"/>
              </w:rPr>
              <w:t>19.38</w:t>
            </w:r>
          </w:p>
        </w:tc>
      </w:tr>
      <w:tr w14:paraId="0DA6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506E50">
            <w:pPr>
              <w:spacing w:line="240" w:lineRule="auto"/>
              <w:jc w:val="left"/>
            </w:pPr>
            <w:r>
              <w:rPr>
                <w:rFonts w:ascii="宋体" w:hAnsi="宋体" w:eastAsia="宋体" w:cs="宋体"/>
                <w:b w:val="0"/>
              </w:rPr>
              <w:t>存出保证金</w:t>
            </w:r>
          </w:p>
        </w:tc>
        <w:tc>
          <w:tcPr>
            <w:tcW w:w="0" w:type="dxa"/>
            <w:vAlign w:val="center"/>
          </w:tcPr>
          <w:p w14:paraId="1726B91F">
            <w:pPr>
              <w:spacing w:line="240" w:lineRule="auto"/>
              <w:jc w:val="center"/>
            </w:pPr>
          </w:p>
        </w:tc>
        <w:tc>
          <w:tcPr>
            <w:tcW w:w="0" w:type="dxa"/>
            <w:vAlign w:val="center"/>
          </w:tcPr>
          <w:p w14:paraId="5703374F">
            <w:pPr>
              <w:spacing w:line="240" w:lineRule="auto"/>
              <w:jc w:val="right"/>
            </w:pPr>
            <w:r>
              <w:rPr>
                <w:rFonts w:ascii="宋体" w:hAnsi="宋体" w:eastAsia="宋体" w:cs="宋体"/>
                <w:b w:val="0"/>
              </w:rPr>
              <w:t>-</w:t>
            </w:r>
          </w:p>
        </w:tc>
        <w:tc>
          <w:tcPr>
            <w:tcW w:w="0" w:type="dxa"/>
            <w:vAlign w:val="center"/>
          </w:tcPr>
          <w:p w14:paraId="45590124">
            <w:pPr>
              <w:spacing w:line="240" w:lineRule="auto"/>
              <w:jc w:val="right"/>
            </w:pPr>
            <w:r>
              <w:rPr>
                <w:rFonts w:ascii="宋体" w:hAnsi="宋体" w:eastAsia="宋体" w:cs="宋体"/>
                <w:b w:val="0"/>
              </w:rPr>
              <w:t>-</w:t>
            </w:r>
          </w:p>
        </w:tc>
      </w:tr>
      <w:tr w14:paraId="13C6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FAD643">
            <w:pPr>
              <w:spacing w:line="240" w:lineRule="auto"/>
              <w:jc w:val="left"/>
            </w:pPr>
            <w:r>
              <w:rPr>
                <w:rFonts w:ascii="宋体" w:hAnsi="宋体" w:eastAsia="宋体" w:cs="宋体"/>
                <w:b w:val="0"/>
              </w:rPr>
              <w:t>交易性金融资产</w:t>
            </w:r>
          </w:p>
        </w:tc>
        <w:tc>
          <w:tcPr>
            <w:tcW w:w="0" w:type="dxa"/>
            <w:vAlign w:val="center"/>
          </w:tcPr>
          <w:p w14:paraId="6B3343B2">
            <w:pPr>
              <w:spacing w:line="240" w:lineRule="auto"/>
              <w:jc w:val="center"/>
            </w:pPr>
            <w:r>
              <w:rPr>
                <w:rFonts w:ascii="宋体" w:hAnsi="宋体" w:eastAsia="宋体" w:cs="宋体"/>
                <w:b w:val="0"/>
              </w:rPr>
              <w:t>6.4.7.2</w:t>
            </w:r>
          </w:p>
        </w:tc>
        <w:tc>
          <w:tcPr>
            <w:tcW w:w="0" w:type="dxa"/>
            <w:vAlign w:val="center"/>
          </w:tcPr>
          <w:p w14:paraId="535B004C">
            <w:pPr>
              <w:spacing w:line="240" w:lineRule="auto"/>
              <w:jc w:val="right"/>
            </w:pPr>
            <w:r>
              <w:rPr>
                <w:rFonts w:ascii="宋体" w:hAnsi="宋体" w:eastAsia="宋体" w:cs="宋体"/>
                <w:b w:val="0"/>
              </w:rPr>
              <w:t>47,921,679.42</w:t>
            </w:r>
          </w:p>
        </w:tc>
        <w:tc>
          <w:tcPr>
            <w:tcW w:w="0" w:type="dxa"/>
            <w:vAlign w:val="center"/>
          </w:tcPr>
          <w:p w14:paraId="7BAD2048">
            <w:pPr>
              <w:spacing w:line="240" w:lineRule="auto"/>
              <w:jc w:val="right"/>
            </w:pPr>
            <w:r>
              <w:rPr>
                <w:rFonts w:ascii="宋体" w:hAnsi="宋体" w:eastAsia="宋体" w:cs="宋体"/>
                <w:b w:val="0"/>
              </w:rPr>
              <w:t>71,595,474.98</w:t>
            </w:r>
          </w:p>
        </w:tc>
      </w:tr>
      <w:tr w14:paraId="70A8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E91A2E">
            <w:pPr>
              <w:spacing w:line="240" w:lineRule="auto"/>
              <w:jc w:val="left"/>
            </w:pPr>
            <w:r>
              <w:rPr>
                <w:rFonts w:ascii="宋体" w:hAnsi="宋体" w:eastAsia="宋体" w:cs="宋体"/>
                <w:b w:val="0"/>
              </w:rPr>
              <w:t>其中：股票投资</w:t>
            </w:r>
          </w:p>
        </w:tc>
        <w:tc>
          <w:tcPr>
            <w:tcW w:w="0" w:type="dxa"/>
            <w:vAlign w:val="center"/>
          </w:tcPr>
          <w:p w14:paraId="7E933665">
            <w:pPr>
              <w:spacing w:line="240" w:lineRule="auto"/>
              <w:jc w:val="center"/>
            </w:pPr>
          </w:p>
        </w:tc>
        <w:tc>
          <w:tcPr>
            <w:tcW w:w="0" w:type="dxa"/>
            <w:vAlign w:val="center"/>
          </w:tcPr>
          <w:p w14:paraId="2E621BE9">
            <w:pPr>
              <w:spacing w:line="240" w:lineRule="auto"/>
              <w:jc w:val="right"/>
            </w:pPr>
            <w:r>
              <w:rPr>
                <w:rFonts w:ascii="宋体" w:hAnsi="宋体" w:eastAsia="宋体" w:cs="宋体"/>
                <w:b w:val="0"/>
              </w:rPr>
              <w:t>44,985,065.53</w:t>
            </w:r>
          </w:p>
        </w:tc>
        <w:tc>
          <w:tcPr>
            <w:tcW w:w="0" w:type="dxa"/>
            <w:vAlign w:val="center"/>
          </w:tcPr>
          <w:p w14:paraId="7E5C32A7">
            <w:pPr>
              <w:spacing w:line="240" w:lineRule="auto"/>
              <w:jc w:val="right"/>
            </w:pPr>
            <w:r>
              <w:rPr>
                <w:rFonts w:ascii="宋体" w:hAnsi="宋体" w:eastAsia="宋体" w:cs="宋体"/>
                <w:b w:val="0"/>
              </w:rPr>
              <w:t>67,656,098.87</w:t>
            </w:r>
          </w:p>
        </w:tc>
      </w:tr>
      <w:tr w14:paraId="2054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1A5A64">
            <w:pPr>
              <w:spacing w:line="240" w:lineRule="auto"/>
              <w:jc w:val="left"/>
            </w:pPr>
            <w:r>
              <w:rPr>
                <w:rFonts w:ascii="宋体" w:hAnsi="宋体" w:eastAsia="宋体" w:cs="宋体"/>
                <w:b w:val="0"/>
              </w:rPr>
              <w:t xml:space="preserve">      基金投资</w:t>
            </w:r>
          </w:p>
        </w:tc>
        <w:tc>
          <w:tcPr>
            <w:tcW w:w="0" w:type="dxa"/>
            <w:vAlign w:val="center"/>
          </w:tcPr>
          <w:p w14:paraId="3D126DEB">
            <w:pPr>
              <w:spacing w:line="240" w:lineRule="auto"/>
              <w:jc w:val="center"/>
            </w:pPr>
          </w:p>
        </w:tc>
        <w:tc>
          <w:tcPr>
            <w:tcW w:w="0" w:type="dxa"/>
            <w:vAlign w:val="center"/>
          </w:tcPr>
          <w:p w14:paraId="548CB787">
            <w:pPr>
              <w:spacing w:line="240" w:lineRule="auto"/>
              <w:jc w:val="right"/>
            </w:pPr>
            <w:r>
              <w:rPr>
                <w:rFonts w:ascii="宋体" w:hAnsi="宋体" w:eastAsia="宋体" w:cs="宋体"/>
                <w:b w:val="0"/>
              </w:rPr>
              <w:t>-</w:t>
            </w:r>
          </w:p>
        </w:tc>
        <w:tc>
          <w:tcPr>
            <w:tcW w:w="0" w:type="dxa"/>
            <w:vAlign w:val="center"/>
          </w:tcPr>
          <w:p w14:paraId="0A4D3CCE">
            <w:pPr>
              <w:spacing w:line="240" w:lineRule="auto"/>
              <w:jc w:val="right"/>
            </w:pPr>
            <w:r>
              <w:rPr>
                <w:rFonts w:ascii="宋体" w:hAnsi="宋体" w:eastAsia="宋体" w:cs="宋体"/>
                <w:b w:val="0"/>
              </w:rPr>
              <w:t>-</w:t>
            </w:r>
          </w:p>
        </w:tc>
      </w:tr>
      <w:tr w14:paraId="5B47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18739D">
            <w:pPr>
              <w:spacing w:line="240" w:lineRule="auto"/>
              <w:jc w:val="left"/>
            </w:pPr>
            <w:r>
              <w:rPr>
                <w:rFonts w:ascii="宋体" w:hAnsi="宋体" w:eastAsia="宋体" w:cs="宋体"/>
                <w:b w:val="0"/>
              </w:rPr>
              <w:t xml:space="preserve">      债券投资</w:t>
            </w:r>
          </w:p>
        </w:tc>
        <w:tc>
          <w:tcPr>
            <w:tcW w:w="0" w:type="dxa"/>
            <w:vAlign w:val="center"/>
          </w:tcPr>
          <w:p w14:paraId="63CC5AC0">
            <w:pPr>
              <w:spacing w:line="240" w:lineRule="auto"/>
              <w:jc w:val="center"/>
            </w:pPr>
          </w:p>
        </w:tc>
        <w:tc>
          <w:tcPr>
            <w:tcW w:w="0" w:type="dxa"/>
            <w:vAlign w:val="center"/>
          </w:tcPr>
          <w:p w14:paraId="7BB21F2F">
            <w:pPr>
              <w:spacing w:line="240" w:lineRule="auto"/>
              <w:jc w:val="right"/>
            </w:pPr>
            <w:r>
              <w:rPr>
                <w:rFonts w:ascii="宋体" w:hAnsi="宋体" w:eastAsia="宋体" w:cs="宋体"/>
                <w:b w:val="0"/>
              </w:rPr>
              <w:t>2,936,613.89</w:t>
            </w:r>
          </w:p>
        </w:tc>
        <w:tc>
          <w:tcPr>
            <w:tcW w:w="0" w:type="dxa"/>
            <w:vAlign w:val="center"/>
          </w:tcPr>
          <w:p w14:paraId="58D07DC4">
            <w:pPr>
              <w:spacing w:line="240" w:lineRule="auto"/>
              <w:jc w:val="right"/>
            </w:pPr>
            <w:r>
              <w:rPr>
                <w:rFonts w:ascii="宋体" w:hAnsi="宋体" w:eastAsia="宋体" w:cs="宋体"/>
                <w:b w:val="0"/>
              </w:rPr>
              <w:t>3,939,376.11</w:t>
            </w:r>
          </w:p>
        </w:tc>
      </w:tr>
      <w:tr w14:paraId="47D3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67A714">
            <w:pPr>
              <w:spacing w:line="240" w:lineRule="auto"/>
              <w:jc w:val="left"/>
            </w:pPr>
            <w:r>
              <w:rPr>
                <w:rFonts w:ascii="宋体" w:hAnsi="宋体" w:eastAsia="宋体" w:cs="宋体"/>
                <w:b w:val="0"/>
              </w:rPr>
              <w:t xml:space="preserve">      资产支持证券投资</w:t>
            </w:r>
          </w:p>
        </w:tc>
        <w:tc>
          <w:tcPr>
            <w:tcW w:w="0" w:type="dxa"/>
            <w:vAlign w:val="center"/>
          </w:tcPr>
          <w:p w14:paraId="5AA90163">
            <w:pPr>
              <w:spacing w:line="240" w:lineRule="auto"/>
              <w:jc w:val="center"/>
            </w:pPr>
          </w:p>
        </w:tc>
        <w:tc>
          <w:tcPr>
            <w:tcW w:w="0" w:type="dxa"/>
            <w:vAlign w:val="center"/>
          </w:tcPr>
          <w:p w14:paraId="3ACF83BE">
            <w:pPr>
              <w:spacing w:line="240" w:lineRule="auto"/>
              <w:jc w:val="right"/>
            </w:pPr>
            <w:r>
              <w:rPr>
                <w:rFonts w:ascii="宋体" w:hAnsi="宋体" w:eastAsia="宋体" w:cs="宋体"/>
                <w:b w:val="0"/>
              </w:rPr>
              <w:t>-</w:t>
            </w:r>
          </w:p>
        </w:tc>
        <w:tc>
          <w:tcPr>
            <w:tcW w:w="0" w:type="dxa"/>
            <w:vAlign w:val="center"/>
          </w:tcPr>
          <w:p w14:paraId="2955F4FC">
            <w:pPr>
              <w:spacing w:line="240" w:lineRule="auto"/>
              <w:jc w:val="right"/>
            </w:pPr>
            <w:r>
              <w:rPr>
                <w:rFonts w:ascii="宋体" w:hAnsi="宋体" w:eastAsia="宋体" w:cs="宋体"/>
                <w:b w:val="0"/>
              </w:rPr>
              <w:t>-</w:t>
            </w:r>
          </w:p>
        </w:tc>
      </w:tr>
      <w:tr w14:paraId="175A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3C94EF">
            <w:pPr>
              <w:spacing w:line="240" w:lineRule="auto"/>
              <w:jc w:val="left"/>
            </w:pPr>
            <w:r>
              <w:rPr>
                <w:rFonts w:ascii="宋体" w:hAnsi="宋体" w:eastAsia="宋体" w:cs="宋体"/>
                <w:b w:val="0"/>
              </w:rPr>
              <w:t xml:space="preserve">      贵金属投资</w:t>
            </w:r>
          </w:p>
        </w:tc>
        <w:tc>
          <w:tcPr>
            <w:tcW w:w="0" w:type="dxa"/>
            <w:vAlign w:val="center"/>
          </w:tcPr>
          <w:p w14:paraId="3ED254F8">
            <w:pPr>
              <w:spacing w:line="240" w:lineRule="auto"/>
              <w:jc w:val="center"/>
            </w:pPr>
          </w:p>
        </w:tc>
        <w:tc>
          <w:tcPr>
            <w:tcW w:w="0" w:type="dxa"/>
            <w:vAlign w:val="center"/>
          </w:tcPr>
          <w:p w14:paraId="40992559">
            <w:pPr>
              <w:spacing w:line="240" w:lineRule="auto"/>
              <w:jc w:val="right"/>
            </w:pPr>
            <w:r>
              <w:rPr>
                <w:rFonts w:ascii="宋体" w:hAnsi="宋体" w:eastAsia="宋体" w:cs="宋体"/>
                <w:b w:val="0"/>
              </w:rPr>
              <w:t>-</w:t>
            </w:r>
          </w:p>
        </w:tc>
        <w:tc>
          <w:tcPr>
            <w:tcW w:w="0" w:type="dxa"/>
            <w:vAlign w:val="center"/>
          </w:tcPr>
          <w:p w14:paraId="3DE44106">
            <w:pPr>
              <w:spacing w:line="240" w:lineRule="auto"/>
              <w:jc w:val="right"/>
            </w:pPr>
            <w:r>
              <w:rPr>
                <w:rFonts w:ascii="宋体" w:hAnsi="宋体" w:eastAsia="宋体" w:cs="宋体"/>
                <w:b w:val="0"/>
              </w:rPr>
              <w:t>-</w:t>
            </w:r>
          </w:p>
        </w:tc>
      </w:tr>
      <w:tr w14:paraId="5E52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FA1F48">
            <w:pPr>
              <w:spacing w:line="240" w:lineRule="auto"/>
              <w:jc w:val="left"/>
            </w:pPr>
            <w:r>
              <w:rPr>
                <w:rFonts w:ascii="宋体" w:hAnsi="宋体" w:eastAsia="宋体" w:cs="宋体"/>
                <w:b w:val="0"/>
              </w:rPr>
              <w:t xml:space="preserve">      其他投资</w:t>
            </w:r>
          </w:p>
        </w:tc>
        <w:tc>
          <w:tcPr>
            <w:tcW w:w="0" w:type="dxa"/>
            <w:vAlign w:val="center"/>
          </w:tcPr>
          <w:p w14:paraId="3A737CFF">
            <w:pPr>
              <w:spacing w:line="240" w:lineRule="auto"/>
              <w:jc w:val="center"/>
            </w:pPr>
          </w:p>
        </w:tc>
        <w:tc>
          <w:tcPr>
            <w:tcW w:w="0" w:type="dxa"/>
            <w:vAlign w:val="center"/>
          </w:tcPr>
          <w:p w14:paraId="548E006B">
            <w:pPr>
              <w:spacing w:line="240" w:lineRule="auto"/>
              <w:jc w:val="right"/>
            </w:pPr>
            <w:r>
              <w:rPr>
                <w:rFonts w:ascii="宋体" w:hAnsi="宋体" w:eastAsia="宋体" w:cs="宋体"/>
                <w:b w:val="0"/>
              </w:rPr>
              <w:t>-</w:t>
            </w:r>
          </w:p>
        </w:tc>
        <w:tc>
          <w:tcPr>
            <w:tcW w:w="0" w:type="dxa"/>
            <w:vAlign w:val="center"/>
          </w:tcPr>
          <w:p w14:paraId="18ABC752">
            <w:pPr>
              <w:spacing w:line="240" w:lineRule="auto"/>
              <w:jc w:val="right"/>
            </w:pPr>
            <w:r>
              <w:rPr>
                <w:rFonts w:ascii="宋体" w:hAnsi="宋体" w:eastAsia="宋体" w:cs="宋体"/>
                <w:b w:val="0"/>
              </w:rPr>
              <w:t>-</w:t>
            </w:r>
          </w:p>
        </w:tc>
      </w:tr>
      <w:tr w14:paraId="7A9E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DD480A">
            <w:pPr>
              <w:spacing w:line="240" w:lineRule="auto"/>
              <w:jc w:val="left"/>
            </w:pPr>
            <w:r>
              <w:rPr>
                <w:rFonts w:ascii="宋体" w:hAnsi="宋体" w:eastAsia="宋体" w:cs="宋体"/>
                <w:b w:val="0"/>
              </w:rPr>
              <w:t>衍生金融资产</w:t>
            </w:r>
          </w:p>
        </w:tc>
        <w:tc>
          <w:tcPr>
            <w:tcW w:w="0" w:type="dxa"/>
            <w:vAlign w:val="center"/>
          </w:tcPr>
          <w:p w14:paraId="283786C0">
            <w:pPr>
              <w:spacing w:line="240" w:lineRule="auto"/>
              <w:jc w:val="center"/>
            </w:pPr>
            <w:r>
              <w:rPr>
                <w:rFonts w:ascii="宋体" w:hAnsi="宋体" w:eastAsia="宋体" w:cs="宋体"/>
                <w:b w:val="0"/>
              </w:rPr>
              <w:t>6.4.7.3</w:t>
            </w:r>
          </w:p>
        </w:tc>
        <w:tc>
          <w:tcPr>
            <w:tcW w:w="0" w:type="dxa"/>
            <w:vAlign w:val="center"/>
          </w:tcPr>
          <w:p w14:paraId="11AF153B">
            <w:pPr>
              <w:spacing w:line="240" w:lineRule="auto"/>
              <w:jc w:val="right"/>
            </w:pPr>
            <w:r>
              <w:rPr>
                <w:rFonts w:ascii="宋体" w:hAnsi="宋体" w:eastAsia="宋体" w:cs="宋体"/>
                <w:b w:val="0"/>
              </w:rPr>
              <w:t>-</w:t>
            </w:r>
          </w:p>
        </w:tc>
        <w:tc>
          <w:tcPr>
            <w:tcW w:w="0" w:type="dxa"/>
            <w:vAlign w:val="center"/>
          </w:tcPr>
          <w:p w14:paraId="60689250">
            <w:pPr>
              <w:spacing w:line="240" w:lineRule="auto"/>
              <w:jc w:val="right"/>
            </w:pPr>
            <w:r>
              <w:rPr>
                <w:rFonts w:ascii="宋体" w:hAnsi="宋体" w:eastAsia="宋体" w:cs="宋体"/>
                <w:b w:val="0"/>
              </w:rPr>
              <w:t>-</w:t>
            </w:r>
          </w:p>
        </w:tc>
      </w:tr>
      <w:tr w14:paraId="6B35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476251">
            <w:pPr>
              <w:spacing w:line="240" w:lineRule="auto"/>
              <w:jc w:val="left"/>
            </w:pPr>
            <w:r>
              <w:rPr>
                <w:rFonts w:ascii="宋体" w:hAnsi="宋体" w:eastAsia="宋体" w:cs="宋体"/>
                <w:b w:val="0"/>
              </w:rPr>
              <w:t>买入返售金融资产</w:t>
            </w:r>
          </w:p>
        </w:tc>
        <w:tc>
          <w:tcPr>
            <w:tcW w:w="0" w:type="dxa"/>
            <w:vAlign w:val="center"/>
          </w:tcPr>
          <w:p w14:paraId="2C1BB6DF">
            <w:pPr>
              <w:spacing w:line="240" w:lineRule="auto"/>
              <w:jc w:val="center"/>
            </w:pPr>
            <w:r>
              <w:rPr>
                <w:rFonts w:ascii="宋体" w:hAnsi="宋体" w:eastAsia="宋体" w:cs="宋体"/>
                <w:b w:val="0"/>
              </w:rPr>
              <w:t>6.4.7.4</w:t>
            </w:r>
          </w:p>
        </w:tc>
        <w:tc>
          <w:tcPr>
            <w:tcW w:w="0" w:type="dxa"/>
            <w:vAlign w:val="center"/>
          </w:tcPr>
          <w:p w14:paraId="54DF0BB5">
            <w:pPr>
              <w:spacing w:line="240" w:lineRule="auto"/>
              <w:jc w:val="right"/>
            </w:pPr>
            <w:r>
              <w:rPr>
                <w:rFonts w:ascii="宋体" w:hAnsi="宋体" w:eastAsia="宋体" w:cs="宋体"/>
                <w:b w:val="0"/>
              </w:rPr>
              <w:t>-</w:t>
            </w:r>
          </w:p>
        </w:tc>
        <w:tc>
          <w:tcPr>
            <w:tcW w:w="0" w:type="dxa"/>
            <w:vAlign w:val="center"/>
          </w:tcPr>
          <w:p w14:paraId="5A5B0609">
            <w:pPr>
              <w:spacing w:line="240" w:lineRule="auto"/>
              <w:jc w:val="right"/>
            </w:pPr>
            <w:r>
              <w:rPr>
                <w:rFonts w:ascii="宋体" w:hAnsi="宋体" w:eastAsia="宋体" w:cs="宋体"/>
                <w:b w:val="0"/>
              </w:rPr>
              <w:t>-</w:t>
            </w:r>
          </w:p>
        </w:tc>
      </w:tr>
      <w:tr w14:paraId="5602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59589E">
            <w:pPr>
              <w:spacing w:line="240" w:lineRule="auto"/>
              <w:jc w:val="left"/>
            </w:pPr>
            <w:r>
              <w:rPr>
                <w:rFonts w:ascii="宋体" w:hAnsi="宋体" w:eastAsia="宋体" w:cs="宋体"/>
                <w:b w:val="0"/>
              </w:rPr>
              <w:t>应收清算款</w:t>
            </w:r>
          </w:p>
        </w:tc>
        <w:tc>
          <w:tcPr>
            <w:tcW w:w="0" w:type="dxa"/>
            <w:vAlign w:val="center"/>
          </w:tcPr>
          <w:p w14:paraId="6B64F861">
            <w:pPr>
              <w:spacing w:line="240" w:lineRule="auto"/>
              <w:jc w:val="center"/>
            </w:pPr>
          </w:p>
        </w:tc>
        <w:tc>
          <w:tcPr>
            <w:tcW w:w="0" w:type="dxa"/>
            <w:vAlign w:val="center"/>
          </w:tcPr>
          <w:p w14:paraId="55813041">
            <w:pPr>
              <w:spacing w:line="240" w:lineRule="auto"/>
              <w:jc w:val="right"/>
            </w:pPr>
            <w:r>
              <w:rPr>
                <w:rFonts w:ascii="宋体" w:hAnsi="宋体" w:eastAsia="宋体" w:cs="宋体"/>
                <w:b w:val="0"/>
              </w:rPr>
              <w:t>-</w:t>
            </w:r>
          </w:p>
        </w:tc>
        <w:tc>
          <w:tcPr>
            <w:tcW w:w="0" w:type="dxa"/>
            <w:vAlign w:val="center"/>
          </w:tcPr>
          <w:p w14:paraId="0DF7042D">
            <w:pPr>
              <w:spacing w:line="240" w:lineRule="auto"/>
              <w:jc w:val="right"/>
            </w:pPr>
            <w:r>
              <w:rPr>
                <w:rFonts w:ascii="宋体" w:hAnsi="宋体" w:eastAsia="宋体" w:cs="宋体"/>
                <w:b w:val="0"/>
              </w:rPr>
              <w:t>-</w:t>
            </w:r>
          </w:p>
        </w:tc>
      </w:tr>
      <w:tr w14:paraId="2D3C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ADB19">
            <w:pPr>
              <w:spacing w:line="240" w:lineRule="auto"/>
              <w:jc w:val="left"/>
            </w:pPr>
            <w:r>
              <w:rPr>
                <w:rFonts w:ascii="宋体" w:hAnsi="宋体" w:eastAsia="宋体" w:cs="宋体"/>
                <w:b w:val="0"/>
              </w:rPr>
              <w:t>应收股利</w:t>
            </w:r>
          </w:p>
        </w:tc>
        <w:tc>
          <w:tcPr>
            <w:tcW w:w="0" w:type="dxa"/>
            <w:vAlign w:val="center"/>
          </w:tcPr>
          <w:p w14:paraId="0C390552">
            <w:pPr>
              <w:spacing w:line="240" w:lineRule="auto"/>
              <w:jc w:val="center"/>
            </w:pPr>
          </w:p>
        </w:tc>
        <w:tc>
          <w:tcPr>
            <w:tcW w:w="0" w:type="dxa"/>
            <w:vAlign w:val="center"/>
          </w:tcPr>
          <w:p w14:paraId="7F3CE75D">
            <w:pPr>
              <w:spacing w:line="240" w:lineRule="auto"/>
              <w:jc w:val="right"/>
            </w:pPr>
            <w:r>
              <w:rPr>
                <w:rFonts w:ascii="宋体" w:hAnsi="宋体" w:eastAsia="宋体" w:cs="宋体"/>
                <w:b w:val="0"/>
              </w:rPr>
              <w:t>545,554.74</w:t>
            </w:r>
          </w:p>
        </w:tc>
        <w:tc>
          <w:tcPr>
            <w:tcW w:w="0" w:type="dxa"/>
            <w:vAlign w:val="center"/>
          </w:tcPr>
          <w:p w14:paraId="54FBFBB8">
            <w:pPr>
              <w:spacing w:line="240" w:lineRule="auto"/>
              <w:jc w:val="right"/>
            </w:pPr>
            <w:r>
              <w:rPr>
                <w:rFonts w:ascii="宋体" w:hAnsi="宋体" w:eastAsia="宋体" w:cs="宋体"/>
                <w:b w:val="0"/>
              </w:rPr>
              <w:t>-</w:t>
            </w:r>
          </w:p>
        </w:tc>
      </w:tr>
      <w:tr w14:paraId="3319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5924B6">
            <w:pPr>
              <w:spacing w:line="240" w:lineRule="auto"/>
              <w:jc w:val="left"/>
            </w:pPr>
            <w:r>
              <w:rPr>
                <w:rFonts w:ascii="宋体" w:hAnsi="宋体" w:eastAsia="宋体" w:cs="宋体"/>
                <w:b w:val="0"/>
              </w:rPr>
              <w:t>应收申购款</w:t>
            </w:r>
          </w:p>
        </w:tc>
        <w:tc>
          <w:tcPr>
            <w:tcW w:w="0" w:type="dxa"/>
            <w:vAlign w:val="center"/>
          </w:tcPr>
          <w:p w14:paraId="2C380D41">
            <w:pPr>
              <w:spacing w:line="240" w:lineRule="auto"/>
              <w:jc w:val="center"/>
            </w:pPr>
          </w:p>
        </w:tc>
        <w:tc>
          <w:tcPr>
            <w:tcW w:w="0" w:type="dxa"/>
            <w:vAlign w:val="center"/>
          </w:tcPr>
          <w:p w14:paraId="6AA23ED1">
            <w:pPr>
              <w:spacing w:line="240" w:lineRule="auto"/>
              <w:jc w:val="right"/>
            </w:pPr>
            <w:r>
              <w:rPr>
                <w:rFonts w:ascii="宋体" w:hAnsi="宋体" w:eastAsia="宋体" w:cs="宋体"/>
                <w:b w:val="0"/>
              </w:rPr>
              <w:t>31,985.03</w:t>
            </w:r>
          </w:p>
        </w:tc>
        <w:tc>
          <w:tcPr>
            <w:tcW w:w="0" w:type="dxa"/>
            <w:vAlign w:val="center"/>
          </w:tcPr>
          <w:p w14:paraId="6F0D925F">
            <w:pPr>
              <w:spacing w:line="240" w:lineRule="auto"/>
              <w:jc w:val="right"/>
            </w:pPr>
            <w:r>
              <w:rPr>
                <w:rFonts w:ascii="宋体" w:hAnsi="宋体" w:eastAsia="宋体" w:cs="宋体"/>
                <w:b w:val="0"/>
              </w:rPr>
              <w:t>1,347.70</w:t>
            </w:r>
          </w:p>
        </w:tc>
      </w:tr>
      <w:tr w14:paraId="7BC1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0149E8">
            <w:pPr>
              <w:spacing w:line="240" w:lineRule="auto"/>
              <w:jc w:val="left"/>
            </w:pPr>
            <w:r>
              <w:rPr>
                <w:rFonts w:ascii="宋体" w:hAnsi="宋体" w:eastAsia="宋体" w:cs="宋体"/>
                <w:b w:val="0"/>
              </w:rPr>
              <w:t>递延所得税资产</w:t>
            </w:r>
          </w:p>
        </w:tc>
        <w:tc>
          <w:tcPr>
            <w:tcW w:w="0" w:type="dxa"/>
            <w:vAlign w:val="center"/>
          </w:tcPr>
          <w:p w14:paraId="01E42C9E">
            <w:pPr>
              <w:spacing w:line="240" w:lineRule="auto"/>
              <w:jc w:val="center"/>
            </w:pPr>
          </w:p>
        </w:tc>
        <w:tc>
          <w:tcPr>
            <w:tcW w:w="0" w:type="dxa"/>
            <w:vAlign w:val="center"/>
          </w:tcPr>
          <w:p w14:paraId="5DD727A5">
            <w:pPr>
              <w:spacing w:line="240" w:lineRule="auto"/>
              <w:jc w:val="right"/>
            </w:pPr>
            <w:r>
              <w:rPr>
                <w:rFonts w:ascii="宋体" w:hAnsi="宋体" w:eastAsia="宋体" w:cs="宋体"/>
                <w:b w:val="0"/>
              </w:rPr>
              <w:t>-</w:t>
            </w:r>
          </w:p>
        </w:tc>
        <w:tc>
          <w:tcPr>
            <w:tcW w:w="0" w:type="dxa"/>
            <w:vAlign w:val="center"/>
          </w:tcPr>
          <w:p w14:paraId="2D72213A">
            <w:pPr>
              <w:spacing w:line="240" w:lineRule="auto"/>
              <w:jc w:val="right"/>
            </w:pPr>
            <w:r>
              <w:rPr>
                <w:rFonts w:ascii="宋体" w:hAnsi="宋体" w:eastAsia="宋体" w:cs="宋体"/>
                <w:b w:val="0"/>
              </w:rPr>
              <w:t>-</w:t>
            </w:r>
          </w:p>
        </w:tc>
      </w:tr>
      <w:tr w14:paraId="7FA6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546C7B">
            <w:pPr>
              <w:spacing w:line="240" w:lineRule="auto"/>
              <w:jc w:val="left"/>
            </w:pPr>
            <w:r>
              <w:rPr>
                <w:rFonts w:ascii="宋体" w:hAnsi="宋体" w:eastAsia="宋体" w:cs="宋体"/>
                <w:b w:val="0"/>
              </w:rPr>
              <w:t>其他资产</w:t>
            </w:r>
          </w:p>
        </w:tc>
        <w:tc>
          <w:tcPr>
            <w:tcW w:w="0" w:type="dxa"/>
            <w:vAlign w:val="center"/>
          </w:tcPr>
          <w:p w14:paraId="28A38450">
            <w:pPr>
              <w:spacing w:line="240" w:lineRule="auto"/>
              <w:jc w:val="center"/>
            </w:pPr>
            <w:r>
              <w:rPr>
                <w:rFonts w:ascii="宋体" w:hAnsi="宋体" w:eastAsia="宋体" w:cs="宋体"/>
                <w:b w:val="0"/>
              </w:rPr>
              <w:t>6.4.7.5</w:t>
            </w:r>
          </w:p>
        </w:tc>
        <w:tc>
          <w:tcPr>
            <w:tcW w:w="0" w:type="dxa"/>
            <w:vAlign w:val="center"/>
          </w:tcPr>
          <w:p w14:paraId="2DAAC38A">
            <w:pPr>
              <w:spacing w:line="240" w:lineRule="auto"/>
              <w:jc w:val="right"/>
            </w:pPr>
            <w:r>
              <w:rPr>
                <w:rFonts w:ascii="宋体" w:hAnsi="宋体" w:eastAsia="宋体" w:cs="宋体"/>
                <w:b w:val="0"/>
              </w:rPr>
              <w:t>-</w:t>
            </w:r>
          </w:p>
        </w:tc>
        <w:tc>
          <w:tcPr>
            <w:tcW w:w="0" w:type="dxa"/>
            <w:vAlign w:val="center"/>
          </w:tcPr>
          <w:p w14:paraId="4CD05FF4">
            <w:pPr>
              <w:spacing w:line="240" w:lineRule="auto"/>
              <w:jc w:val="right"/>
            </w:pPr>
            <w:r>
              <w:rPr>
                <w:rFonts w:ascii="宋体" w:hAnsi="宋体" w:eastAsia="宋体" w:cs="宋体"/>
                <w:b w:val="0"/>
              </w:rPr>
              <w:t>-</w:t>
            </w:r>
          </w:p>
        </w:tc>
      </w:tr>
      <w:tr w14:paraId="3A55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D185CF">
            <w:pPr>
              <w:spacing w:line="240" w:lineRule="auto"/>
              <w:jc w:val="left"/>
            </w:pPr>
            <w:r>
              <w:rPr>
                <w:rFonts w:ascii="宋体" w:hAnsi="宋体" w:eastAsia="宋体" w:cs="宋体"/>
                <w:b w:val="0"/>
              </w:rPr>
              <w:t>资产总计</w:t>
            </w:r>
          </w:p>
        </w:tc>
        <w:tc>
          <w:tcPr>
            <w:tcW w:w="0" w:type="dxa"/>
            <w:vAlign w:val="center"/>
          </w:tcPr>
          <w:p w14:paraId="4EE0E789">
            <w:pPr>
              <w:spacing w:line="240" w:lineRule="auto"/>
              <w:jc w:val="center"/>
            </w:pPr>
          </w:p>
        </w:tc>
        <w:tc>
          <w:tcPr>
            <w:tcW w:w="0" w:type="dxa"/>
            <w:vAlign w:val="center"/>
          </w:tcPr>
          <w:p w14:paraId="359858AD">
            <w:pPr>
              <w:spacing w:line="240" w:lineRule="auto"/>
              <w:jc w:val="right"/>
            </w:pPr>
            <w:r>
              <w:rPr>
                <w:rFonts w:ascii="宋体" w:hAnsi="宋体" w:eastAsia="宋体" w:cs="宋体"/>
                <w:b w:val="0"/>
              </w:rPr>
              <w:t>51,319,610.82</w:t>
            </w:r>
          </w:p>
        </w:tc>
        <w:tc>
          <w:tcPr>
            <w:tcW w:w="0" w:type="dxa"/>
            <w:vAlign w:val="center"/>
          </w:tcPr>
          <w:p w14:paraId="740EC9EC">
            <w:pPr>
              <w:spacing w:line="240" w:lineRule="auto"/>
              <w:jc w:val="right"/>
            </w:pPr>
            <w:r>
              <w:rPr>
                <w:rFonts w:ascii="宋体" w:hAnsi="宋体" w:eastAsia="宋体" w:cs="宋体"/>
                <w:b w:val="0"/>
              </w:rPr>
              <w:t>72,700,287.03</w:t>
            </w:r>
          </w:p>
        </w:tc>
      </w:tr>
      <w:tr w14:paraId="721C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5BAFD537">
            <w:pPr>
              <w:spacing w:line="240" w:lineRule="auto"/>
              <w:jc w:val="center"/>
            </w:pPr>
            <w:r>
              <w:rPr>
                <w:rFonts w:ascii="宋体" w:hAnsi="宋体" w:eastAsia="宋体" w:cs="宋体"/>
                <w:b/>
              </w:rPr>
              <w:t>负债和净资产</w:t>
            </w:r>
          </w:p>
        </w:tc>
        <w:tc>
          <w:tcPr>
            <w:tcW w:w="0" w:type="dxa"/>
            <w:shd w:val="clear" w:color="auto" w:fill="D9D9D9"/>
            <w:vAlign w:val="center"/>
          </w:tcPr>
          <w:p w14:paraId="500259AC">
            <w:pPr>
              <w:spacing w:line="240" w:lineRule="auto"/>
              <w:jc w:val="center"/>
            </w:pPr>
            <w:r>
              <w:rPr>
                <w:rFonts w:ascii="宋体" w:hAnsi="宋体" w:eastAsia="宋体" w:cs="宋体"/>
                <w:b/>
              </w:rPr>
              <w:t>附注号</w:t>
            </w:r>
          </w:p>
        </w:tc>
        <w:tc>
          <w:tcPr>
            <w:tcW w:w="1538" w:type="pct"/>
            <w:shd w:val="clear" w:color="auto" w:fill="D9D9D9"/>
            <w:vAlign w:val="center"/>
          </w:tcPr>
          <w:p w14:paraId="1B3BA9F6">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618AB1E2">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65AC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0E4A73">
            <w:pPr>
              <w:spacing w:line="240" w:lineRule="auto"/>
              <w:jc w:val="left"/>
            </w:pPr>
            <w:r>
              <w:rPr>
                <w:rFonts w:ascii="宋体" w:hAnsi="宋体" w:eastAsia="宋体" w:cs="宋体"/>
                <w:b/>
              </w:rPr>
              <w:t>负 债：</w:t>
            </w:r>
          </w:p>
        </w:tc>
        <w:tc>
          <w:tcPr>
            <w:tcW w:w="0" w:type="dxa"/>
            <w:vAlign w:val="center"/>
          </w:tcPr>
          <w:p w14:paraId="15E231C8">
            <w:pPr>
              <w:spacing w:line="240" w:lineRule="auto"/>
              <w:jc w:val="center"/>
            </w:pPr>
          </w:p>
        </w:tc>
        <w:tc>
          <w:tcPr>
            <w:tcW w:w="0" w:type="dxa"/>
            <w:vAlign w:val="center"/>
          </w:tcPr>
          <w:p w14:paraId="58D20EED">
            <w:pPr>
              <w:spacing w:line="240" w:lineRule="auto"/>
              <w:jc w:val="center"/>
            </w:pPr>
          </w:p>
        </w:tc>
        <w:tc>
          <w:tcPr>
            <w:tcW w:w="0" w:type="dxa"/>
            <w:vAlign w:val="center"/>
          </w:tcPr>
          <w:p w14:paraId="530BA056">
            <w:pPr>
              <w:spacing w:line="240" w:lineRule="auto"/>
              <w:jc w:val="center"/>
            </w:pPr>
          </w:p>
        </w:tc>
      </w:tr>
      <w:tr w14:paraId="0050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C627A9">
            <w:pPr>
              <w:spacing w:line="240" w:lineRule="auto"/>
              <w:jc w:val="left"/>
            </w:pPr>
            <w:r>
              <w:rPr>
                <w:rFonts w:ascii="宋体" w:hAnsi="宋体" w:eastAsia="宋体" w:cs="宋体"/>
                <w:b w:val="0"/>
              </w:rPr>
              <w:t>短期借款</w:t>
            </w:r>
          </w:p>
        </w:tc>
        <w:tc>
          <w:tcPr>
            <w:tcW w:w="0" w:type="dxa"/>
            <w:vAlign w:val="center"/>
          </w:tcPr>
          <w:p w14:paraId="4713BCF4">
            <w:pPr>
              <w:spacing w:line="240" w:lineRule="auto"/>
              <w:jc w:val="center"/>
            </w:pPr>
          </w:p>
        </w:tc>
        <w:tc>
          <w:tcPr>
            <w:tcW w:w="0" w:type="dxa"/>
            <w:vAlign w:val="center"/>
          </w:tcPr>
          <w:p w14:paraId="014A573A">
            <w:pPr>
              <w:spacing w:line="240" w:lineRule="auto"/>
              <w:jc w:val="right"/>
            </w:pPr>
            <w:r>
              <w:rPr>
                <w:rFonts w:ascii="宋体" w:hAnsi="宋体" w:eastAsia="宋体" w:cs="宋体"/>
                <w:b w:val="0"/>
              </w:rPr>
              <w:t>-</w:t>
            </w:r>
          </w:p>
        </w:tc>
        <w:tc>
          <w:tcPr>
            <w:tcW w:w="0" w:type="dxa"/>
            <w:vAlign w:val="center"/>
          </w:tcPr>
          <w:p w14:paraId="5FA9211D">
            <w:pPr>
              <w:spacing w:line="240" w:lineRule="auto"/>
              <w:jc w:val="right"/>
            </w:pPr>
            <w:r>
              <w:rPr>
                <w:rFonts w:ascii="宋体" w:hAnsi="宋体" w:eastAsia="宋体" w:cs="宋体"/>
                <w:b w:val="0"/>
              </w:rPr>
              <w:t>-</w:t>
            </w:r>
          </w:p>
        </w:tc>
      </w:tr>
      <w:tr w14:paraId="7ADB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923788">
            <w:pPr>
              <w:spacing w:line="240" w:lineRule="auto"/>
              <w:jc w:val="left"/>
            </w:pPr>
            <w:r>
              <w:rPr>
                <w:rFonts w:ascii="宋体" w:hAnsi="宋体" w:eastAsia="宋体" w:cs="宋体"/>
                <w:b w:val="0"/>
              </w:rPr>
              <w:t>交易性金融负债</w:t>
            </w:r>
          </w:p>
        </w:tc>
        <w:tc>
          <w:tcPr>
            <w:tcW w:w="0" w:type="dxa"/>
            <w:vAlign w:val="center"/>
          </w:tcPr>
          <w:p w14:paraId="1C8C0270">
            <w:pPr>
              <w:spacing w:line="240" w:lineRule="auto"/>
              <w:jc w:val="center"/>
            </w:pPr>
          </w:p>
        </w:tc>
        <w:tc>
          <w:tcPr>
            <w:tcW w:w="0" w:type="dxa"/>
            <w:vAlign w:val="center"/>
          </w:tcPr>
          <w:p w14:paraId="0F2D455F">
            <w:pPr>
              <w:spacing w:line="240" w:lineRule="auto"/>
              <w:jc w:val="right"/>
            </w:pPr>
            <w:r>
              <w:rPr>
                <w:rFonts w:ascii="宋体" w:hAnsi="宋体" w:eastAsia="宋体" w:cs="宋体"/>
                <w:b w:val="0"/>
              </w:rPr>
              <w:t>-</w:t>
            </w:r>
          </w:p>
        </w:tc>
        <w:tc>
          <w:tcPr>
            <w:tcW w:w="0" w:type="dxa"/>
            <w:vAlign w:val="center"/>
          </w:tcPr>
          <w:p w14:paraId="734A7CCB">
            <w:pPr>
              <w:spacing w:line="240" w:lineRule="auto"/>
              <w:jc w:val="right"/>
            </w:pPr>
            <w:r>
              <w:rPr>
                <w:rFonts w:ascii="宋体" w:hAnsi="宋体" w:eastAsia="宋体" w:cs="宋体"/>
                <w:b w:val="0"/>
              </w:rPr>
              <w:t>-</w:t>
            </w:r>
          </w:p>
        </w:tc>
      </w:tr>
      <w:tr w14:paraId="7574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B0F54A">
            <w:pPr>
              <w:spacing w:line="240" w:lineRule="auto"/>
              <w:jc w:val="left"/>
            </w:pPr>
            <w:r>
              <w:rPr>
                <w:rFonts w:ascii="宋体" w:hAnsi="宋体" w:eastAsia="宋体" w:cs="宋体"/>
                <w:b w:val="0"/>
              </w:rPr>
              <w:t>衍生金融负债</w:t>
            </w:r>
          </w:p>
        </w:tc>
        <w:tc>
          <w:tcPr>
            <w:tcW w:w="0" w:type="dxa"/>
            <w:vAlign w:val="center"/>
          </w:tcPr>
          <w:p w14:paraId="1CC07137">
            <w:pPr>
              <w:spacing w:line="240" w:lineRule="auto"/>
              <w:jc w:val="center"/>
            </w:pPr>
            <w:r>
              <w:rPr>
                <w:rFonts w:ascii="宋体" w:hAnsi="宋体" w:eastAsia="宋体" w:cs="宋体"/>
                <w:b w:val="0"/>
              </w:rPr>
              <w:t>6.4.7.3</w:t>
            </w:r>
          </w:p>
        </w:tc>
        <w:tc>
          <w:tcPr>
            <w:tcW w:w="0" w:type="dxa"/>
            <w:vAlign w:val="center"/>
          </w:tcPr>
          <w:p w14:paraId="33C2472D">
            <w:pPr>
              <w:spacing w:line="240" w:lineRule="auto"/>
              <w:jc w:val="right"/>
            </w:pPr>
            <w:r>
              <w:rPr>
                <w:rFonts w:ascii="宋体" w:hAnsi="宋体" w:eastAsia="宋体" w:cs="宋体"/>
                <w:b w:val="0"/>
              </w:rPr>
              <w:t>-</w:t>
            </w:r>
          </w:p>
        </w:tc>
        <w:tc>
          <w:tcPr>
            <w:tcW w:w="0" w:type="dxa"/>
            <w:vAlign w:val="center"/>
          </w:tcPr>
          <w:p w14:paraId="013BA76E">
            <w:pPr>
              <w:spacing w:line="240" w:lineRule="auto"/>
              <w:jc w:val="right"/>
            </w:pPr>
            <w:r>
              <w:rPr>
                <w:rFonts w:ascii="宋体" w:hAnsi="宋体" w:eastAsia="宋体" w:cs="宋体"/>
                <w:b w:val="0"/>
              </w:rPr>
              <w:t>-</w:t>
            </w:r>
          </w:p>
        </w:tc>
      </w:tr>
      <w:tr w14:paraId="5556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B14331">
            <w:pPr>
              <w:spacing w:line="240" w:lineRule="auto"/>
              <w:jc w:val="left"/>
            </w:pPr>
            <w:r>
              <w:rPr>
                <w:rFonts w:ascii="宋体" w:hAnsi="宋体" w:eastAsia="宋体" w:cs="宋体"/>
                <w:b w:val="0"/>
              </w:rPr>
              <w:t>卖出回购金融资产款</w:t>
            </w:r>
          </w:p>
        </w:tc>
        <w:tc>
          <w:tcPr>
            <w:tcW w:w="0" w:type="dxa"/>
            <w:vAlign w:val="center"/>
          </w:tcPr>
          <w:p w14:paraId="043225FE">
            <w:pPr>
              <w:spacing w:line="240" w:lineRule="auto"/>
              <w:jc w:val="center"/>
            </w:pPr>
          </w:p>
        </w:tc>
        <w:tc>
          <w:tcPr>
            <w:tcW w:w="0" w:type="dxa"/>
            <w:vAlign w:val="center"/>
          </w:tcPr>
          <w:p w14:paraId="12498E82">
            <w:pPr>
              <w:spacing w:line="240" w:lineRule="auto"/>
              <w:jc w:val="right"/>
            </w:pPr>
            <w:r>
              <w:rPr>
                <w:rFonts w:ascii="宋体" w:hAnsi="宋体" w:eastAsia="宋体" w:cs="宋体"/>
                <w:b w:val="0"/>
              </w:rPr>
              <w:t>-</w:t>
            </w:r>
          </w:p>
        </w:tc>
        <w:tc>
          <w:tcPr>
            <w:tcW w:w="0" w:type="dxa"/>
            <w:vAlign w:val="center"/>
          </w:tcPr>
          <w:p w14:paraId="71E3C759">
            <w:pPr>
              <w:spacing w:line="240" w:lineRule="auto"/>
              <w:jc w:val="right"/>
            </w:pPr>
            <w:r>
              <w:rPr>
                <w:rFonts w:ascii="宋体" w:hAnsi="宋体" w:eastAsia="宋体" w:cs="宋体"/>
                <w:b w:val="0"/>
              </w:rPr>
              <w:t>-</w:t>
            </w:r>
          </w:p>
        </w:tc>
      </w:tr>
      <w:tr w14:paraId="0128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B7C42A">
            <w:pPr>
              <w:spacing w:line="240" w:lineRule="auto"/>
              <w:jc w:val="left"/>
            </w:pPr>
            <w:r>
              <w:rPr>
                <w:rFonts w:ascii="宋体" w:hAnsi="宋体" w:eastAsia="宋体" w:cs="宋体"/>
                <w:b w:val="0"/>
              </w:rPr>
              <w:t>应付清算款</w:t>
            </w:r>
          </w:p>
        </w:tc>
        <w:tc>
          <w:tcPr>
            <w:tcW w:w="0" w:type="dxa"/>
            <w:vAlign w:val="center"/>
          </w:tcPr>
          <w:p w14:paraId="61174372">
            <w:pPr>
              <w:spacing w:line="240" w:lineRule="auto"/>
              <w:jc w:val="center"/>
            </w:pPr>
          </w:p>
        </w:tc>
        <w:tc>
          <w:tcPr>
            <w:tcW w:w="0" w:type="dxa"/>
            <w:vAlign w:val="center"/>
          </w:tcPr>
          <w:p w14:paraId="5ECFECCF">
            <w:pPr>
              <w:spacing w:line="240" w:lineRule="auto"/>
              <w:jc w:val="right"/>
            </w:pPr>
            <w:r>
              <w:rPr>
                <w:rFonts w:ascii="宋体" w:hAnsi="宋体" w:eastAsia="宋体" w:cs="宋体"/>
                <w:b w:val="0"/>
              </w:rPr>
              <w:t>-</w:t>
            </w:r>
          </w:p>
        </w:tc>
        <w:tc>
          <w:tcPr>
            <w:tcW w:w="0" w:type="dxa"/>
            <w:vAlign w:val="center"/>
          </w:tcPr>
          <w:p w14:paraId="70B68B6F">
            <w:pPr>
              <w:spacing w:line="240" w:lineRule="auto"/>
              <w:jc w:val="right"/>
            </w:pPr>
            <w:r>
              <w:rPr>
                <w:rFonts w:ascii="宋体" w:hAnsi="宋体" w:eastAsia="宋体" w:cs="宋体"/>
                <w:b w:val="0"/>
              </w:rPr>
              <w:t>-</w:t>
            </w:r>
          </w:p>
        </w:tc>
      </w:tr>
      <w:tr w14:paraId="0733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83ACBB">
            <w:pPr>
              <w:spacing w:line="240" w:lineRule="auto"/>
              <w:jc w:val="left"/>
            </w:pPr>
            <w:r>
              <w:rPr>
                <w:rFonts w:ascii="宋体" w:hAnsi="宋体" w:eastAsia="宋体" w:cs="宋体"/>
                <w:b w:val="0"/>
              </w:rPr>
              <w:t>应付赎回款</w:t>
            </w:r>
          </w:p>
        </w:tc>
        <w:tc>
          <w:tcPr>
            <w:tcW w:w="0" w:type="dxa"/>
            <w:vAlign w:val="center"/>
          </w:tcPr>
          <w:p w14:paraId="4787D9DA">
            <w:pPr>
              <w:spacing w:line="240" w:lineRule="auto"/>
              <w:jc w:val="center"/>
            </w:pPr>
          </w:p>
        </w:tc>
        <w:tc>
          <w:tcPr>
            <w:tcW w:w="0" w:type="dxa"/>
            <w:vAlign w:val="center"/>
          </w:tcPr>
          <w:p w14:paraId="27B069D0">
            <w:pPr>
              <w:spacing w:line="240" w:lineRule="auto"/>
              <w:jc w:val="right"/>
            </w:pPr>
            <w:r>
              <w:rPr>
                <w:rFonts w:ascii="宋体" w:hAnsi="宋体" w:eastAsia="宋体" w:cs="宋体"/>
                <w:b w:val="0"/>
              </w:rPr>
              <w:t>903.29</w:t>
            </w:r>
          </w:p>
        </w:tc>
        <w:tc>
          <w:tcPr>
            <w:tcW w:w="0" w:type="dxa"/>
            <w:vAlign w:val="center"/>
          </w:tcPr>
          <w:p w14:paraId="4529F85A">
            <w:pPr>
              <w:spacing w:line="240" w:lineRule="auto"/>
              <w:jc w:val="right"/>
            </w:pPr>
            <w:r>
              <w:rPr>
                <w:rFonts w:ascii="宋体" w:hAnsi="宋体" w:eastAsia="宋体" w:cs="宋体"/>
                <w:b w:val="0"/>
              </w:rPr>
              <w:t>30,293.79</w:t>
            </w:r>
          </w:p>
        </w:tc>
      </w:tr>
      <w:tr w14:paraId="3FEA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F07EA0">
            <w:pPr>
              <w:spacing w:line="240" w:lineRule="auto"/>
              <w:jc w:val="left"/>
            </w:pPr>
            <w:r>
              <w:rPr>
                <w:rFonts w:ascii="宋体" w:hAnsi="宋体" w:eastAsia="宋体" w:cs="宋体"/>
                <w:b w:val="0"/>
              </w:rPr>
              <w:t>应付管理人报酬</w:t>
            </w:r>
          </w:p>
        </w:tc>
        <w:tc>
          <w:tcPr>
            <w:tcW w:w="0" w:type="dxa"/>
            <w:vAlign w:val="center"/>
          </w:tcPr>
          <w:p w14:paraId="54979C54">
            <w:pPr>
              <w:spacing w:line="240" w:lineRule="auto"/>
              <w:jc w:val="center"/>
            </w:pPr>
          </w:p>
        </w:tc>
        <w:tc>
          <w:tcPr>
            <w:tcW w:w="0" w:type="dxa"/>
            <w:vAlign w:val="center"/>
          </w:tcPr>
          <w:p w14:paraId="174FB319">
            <w:pPr>
              <w:spacing w:line="240" w:lineRule="auto"/>
              <w:jc w:val="right"/>
            </w:pPr>
            <w:r>
              <w:rPr>
                <w:rFonts w:ascii="宋体" w:hAnsi="宋体" w:eastAsia="宋体" w:cs="宋体"/>
                <w:b w:val="0"/>
              </w:rPr>
              <w:t>55,038.71</w:t>
            </w:r>
          </w:p>
        </w:tc>
        <w:tc>
          <w:tcPr>
            <w:tcW w:w="0" w:type="dxa"/>
            <w:vAlign w:val="center"/>
          </w:tcPr>
          <w:p w14:paraId="6048532C">
            <w:pPr>
              <w:spacing w:line="240" w:lineRule="auto"/>
              <w:jc w:val="right"/>
            </w:pPr>
            <w:r>
              <w:rPr>
                <w:rFonts w:ascii="宋体" w:hAnsi="宋体" w:eastAsia="宋体" w:cs="宋体"/>
                <w:b w:val="0"/>
              </w:rPr>
              <w:t>71,295.58</w:t>
            </w:r>
          </w:p>
        </w:tc>
      </w:tr>
      <w:tr w14:paraId="1904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91F2A7">
            <w:pPr>
              <w:spacing w:line="240" w:lineRule="auto"/>
              <w:jc w:val="left"/>
            </w:pPr>
            <w:r>
              <w:rPr>
                <w:rFonts w:ascii="宋体" w:hAnsi="宋体" w:eastAsia="宋体" w:cs="宋体"/>
                <w:b w:val="0"/>
              </w:rPr>
              <w:t>应付托管费</w:t>
            </w:r>
          </w:p>
        </w:tc>
        <w:tc>
          <w:tcPr>
            <w:tcW w:w="0" w:type="dxa"/>
            <w:vAlign w:val="center"/>
          </w:tcPr>
          <w:p w14:paraId="3CD3D39E">
            <w:pPr>
              <w:spacing w:line="240" w:lineRule="auto"/>
              <w:jc w:val="center"/>
            </w:pPr>
          </w:p>
        </w:tc>
        <w:tc>
          <w:tcPr>
            <w:tcW w:w="0" w:type="dxa"/>
            <w:vAlign w:val="center"/>
          </w:tcPr>
          <w:p w14:paraId="750A794B">
            <w:pPr>
              <w:spacing w:line="240" w:lineRule="auto"/>
              <w:jc w:val="right"/>
            </w:pPr>
            <w:r>
              <w:rPr>
                <w:rFonts w:ascii="宋体" w:hAnsi="宋体" w:eastAsia="宋体" w:cs="宋体"/>
                <w:b w:val="0"/>
              </w:rPr>
              <w:t>9,173.09</w:t>
            </w:r>
          </w:p>
        </w:tc>
        <w:tc>
          <w:tcPr>
            <w:tcW w:w="0" w:type="dxa"/>
            <w:vAlign w:val="center"/>
          </w:tcPr>
          <w:p w14:paraId="63489362">
            <w:pPr>
              <w:spacing w:line="240" w:lineRule="auto"/>
              <w:jc w:val="right"/>
            </w:pPr>
            <w:r>
              <w:rPr>
                <w:rFonts w:ascii="宋体" w:hAnsi="宋体" w:eastAsia="宋体" w:cs="宋体"/>
                <w:b w:val="0"/>
              </w:rPr>
              <w:t>11,882.57</w:t>
            </w:r>
          </w:p>
        </w:tc>
      </w:tr>
      <w:tr w14:paraId="5A05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2C0E07">
            <w:pPr>
              <w:spacing w:line="240" w:lineRule="auto"/>
              <w:jc w:val="left"/>
            </w:pPr>
            <w:r>
              <w:rPr>
                <w:rFonts w:ascii="宋体" w:hAnsi="宋体" w:eastAsia="宋体" w:cs="宋体"/>
                <w:b w:val="0"/>
              </w:rPr>
              <w:t>应付销售服务费</w:t>
            </w:r>
          </w:p>
        </w:tc>
        <w:tc>
          <w:tcPr>
            <w:tcW w:w="0" w:type="dxa"/>
            <w:vAlign w:val="center"/>
          </w:tcPr>
          <w:p w14:paraId="35E1C42C">
            <w:pPr>
              <w:spacing w:line="240" w:lineRule="auto"/>
              <w:jc w:val="center"/>
            </w:pPr>
          </w:p>
        </w:tc>
        <w:tc>
          <w:tcPr>
            <w:tcW w:w="0" w:type="dxa"/>
            <w:vAlign w:val="center"/>
          </w:tcPr>
          <w:p w14:paraId="652F8754">
            <w:pPr>
              <w:spacing w:line="240" w:lineRule="auto"/>
              <w:jc w:val="right"/>
            </w:pPr>
            <w:r>
              <w:rPr>
                <w:rFonts w:ascii="宋体" w:hAnsi="宋体" w:eastAsia="宋体" w:cs="宋体"/>
                <w:b w:val="0"/>
              </w:rPr>
              <w:t>3,993.83</w:t>
            </w:r>
          </w:p>
        </w:tc>
        <w:tc>
          <w:tcPr>
            <w:tcW w:w="0" w:type="dxa"/>
            <w:vAlign w:val="center"/>
          </w:tcPr>
          <w:p w14:paraId="25AE6019">
            <w:pPr>
              <w:spacing w:line="240" w:lineRule="auto"/>
              <w:jc w:val="right"/>
            </w:pPr>
            <w:r>
              <w:rPr>
                <w:rFonts w:ascii="宋体" w:hAnsi="宋体" w:eastAsia="宋体" w:cs="宋体"/>
                <w:b w:val="0"/>
              </w:rPr>
              <w:t>6,342.52</w:t>
            </w:r>
          </w:p>
        </w:tc>
      </w:tr>
      <w:tr w14:paraId="37B3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873220">
            <w:pPr>
              <w:spacing w:line="240" w:lineRule="auto"/>
              <w:jc w:val="left"/>
            </w:pPr>
            <w:r>
              <w:rPr>
                <w:rFonts w:ascii="宋体" w:hAnsi="宋体" w:eastAsia="宋体" w:cs="宋体"/>
                <w:b w:val="0"/>
              </w:rPr>
              <w:t>应付投资顾问费</w:t>
            </w:r>
          </w:p>
        </w:tc>
        <w:tc>
          <w:tcPr>
            <w:tcW w:w="0" w:type="dxa"/>
            <w:vAlign w:val="center"/>
          </w:tcPr>
          <w:p w14:paraId="16CB8538">
            <w:pPr>
              <w:spacing w:line="240" w:lineRule="auto"/>
              <w:jc w:val="center"/>
            </w:pPr>
          </w:p>
        </w:tc>
        <w:tc>
          <w:tcPr>
            <w:tcW w:w="0" w:type="dxa"/>
            <w:vAlign w:val="center"/>
          </w:tcPr>
          <w:p w14:paraId="71D9C863">
            <w:pPr>
              <w:spacing w:line="240" w:lineRule="auto"/>
              <w:jc w:val="right"/>
            </w:pPr>
            <w:r>
              <w:rPr>
                <w:rFonts w:ascii="宋体" w:hAnsi="宋体" w:eastAsia="宋体" w:cs="宋体"/>
                <w:b w:val="0"/>
              </w:rPr>
              <w:t>-</w:t>
            </w:r>
          </w:p>
        </w:tc>
        <w:tc>
          <w:tcPr>
            <w:tcW w:w="0" w:type="dxa"/>
            <w:vAlign w:val="center"/>
          </w:tcPr>
          <w:p w14:paraId="538987FA">
            <w:pPr>
              <w:spacing w:line="240" w:lineRule="auto"/>
              <w:jc w:val="right"/>
            </w:pPr>
            <w:r>
              <w:rPr>
                <w:rFonts w:ascii="宋体" w:hAnsi="宋体" w:eastAsia="宋体" w:cs="宋体"/>
                <w:b w:val="0"/>
              </w:rPr>
              <w:t>-</w:t>
            </w:r>
          </w:p>
        </w:tc>
      </w:tr>
      <w:tr w14:paraId="147D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148C88">
            <w:pPr>
              <w:spacing w:line="240" w:lineRule="auto"/>
              <w:jc w:val="left"/>
            </w:pPr>
            <w:r>
              <w:rPr>
                <w:rFonts w:ascii="宋体" w:hAnsi="宋体" w:eastAsia="宋体" w:cs="宋体"/>
                <w:b w:val="0"/>
              </w:rPr>
              <w:t>应交税费</w:t>
            </w:r>
          </w:p>
        </w:tc>
        <w:tc>
          <w:tcPr>
            <w:tcW w:w="0" w:type="dxa"/>
            <w:vAlign w:val="center"/>
          </w:tcPr>
          <w:p w14:paraId="7D93CF0F">
            <w:pPr>
              <w:spacing w:line="240" w:lineRule="auto"/>
              <w:jc w:val="center"/>
            </w:pPr>
          </w:p>
        </w:tc>
        <w:tc>
          <w:tcPr>
            <w:tcW w:w="0" w:type="dxa"/>
            <w:vAlign w:val="center"/>
          </w:tcPr>
          <w:p w14:paraId="52A164BD">
            <w:pPr>
              <w:spacing w:line="240" w:lineRule="auto"/>
              <w:jc w:val="right"/>
            </w:pPr>
            <w:r>
              <w:rPr>
                <w:rFonts w:ascii="宋体" w:hAnsi="宋体" w:eastAsia="宋体" w:cs="宋体"/>
                <w:b w:val="0"/>
              </w:rPr>
              <w:t>-</w:t>
            </w:r>
          </w:p>
        </w:tc>
        <w:tc>
          <w:tcPr>
            <w:tcW w:w="0" w:type="dxa"/>
            <w:vAlign w:val="center"/>
          </w:tcPr>
          <w:p w14:paraId="2E605640">
            <w:pPr>
              <w:spacing w:line="240" w:lineRule="auto"/>
              <w:jc w:val="right"/>
            </w:pPr>
            <w:r>
              <w:rPr>
                <w:rFonts w:ascii="宋体" w:hAnsi="宋体" w:eastAsia="宋体" w:cs="宋体"/>
                <w:b w:val="0"/>
              </w:rPr>
              <w:t>-</w:t>
            </w:r>
          </w:p>
        </w:tc>
      </w:tr>
      <w:tr w14:paraId="4B97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73896A">
            <w:pPr>
              <w:spacing w:line="240" w:lineRule="auto"/>
              <w:jc w:val="left"/>
            </w:pPr>
            <w:r>
              <w:rPr>
                <w:rFonts w:ascii="宋体" w:hAnsi="宋体" w:eastAsia="宋体" w:cs="宋体"/>
                <w:b w:val="0"/>
              </w:rPr>
              <w:t>应付利润</w:t>
            </w:r>
          </w:p>
        </w:tc>
        <w:tc>
          <w:tcPr>
            <w:tcW w:w="0" w:type="dxa"/>
            <w:vAlign w:val="center"/>
          </w:tcPr>
          <w:p w14:paraId="346C817E">
            <w:pPr>
              <w:spacing w:line="240" w:lineRule="auto"/>
              <w:jc w:val="center"/>
            </w:pPr>
          </w:p>
        </w:tc>
        <w:tc>
          <w:tcPr>
            <w:tcW w:w="0" w:type="dxa"/>
            <w:vAlign w:val="center"/>
          </w:tcPr>
          <w:p w14:paraId="077D286A">
            <w:pPr>
              <w:spacing w:line="240" w:lineRule="auto"/>
              <w:jc w:val="right"/>
            </w:pPr>
            <w:r>
              <w:rPr>
                <w:rFonts w:ascii="宋体" w:hAnsi="宋体" w:eastAsia="宋体" w:cs="宋体"/>
                <w:b w:val="0"/>
              </w:rPr>
              <w:t>-</w:t>
            </w:r>
          </w:p>
        </w:tc>
        <w:tc>
          <w:tcPr>
            <w:tcW w:w="0" w:type="dxa"/>
            <w:vAlign w:val="center"/>
          </w:tcPr>
          <w:p w14:paraId="00398800">
            <w:pPr>
              <w:spacing w:line="240" w:lineRule="auto"/>
              <w:jc w:val="right"/>
            </w:pPr>
            <w:r>
              <w:rPr>
                <w:rFonts w:ascii="宋体" w:hAnsi="宋体" w:eastAsia="宋体" w:cs="宋体"/>
                <w:b w:val="0"/>
              </w:rPr>
              <w:t>-</w:t>
            </w:r>
          </w:p>
        </w:tc>
      </w:tr>
      <w:tr w14:paraId="2B4D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047B4D">
            <w:pPr>
              <w:spacing w:line="240" w:lineRule="auto"/>
              <w:jc w:val="left"/>
            </w:pPr>
            <w:r>
              <w:rPr>
                <w:rFonts w:ascii="宋体" w:hAnsi="宋体" w:eastAsia="宋体" w:cs="宋体"/>
                <w:b w:val="0"/>
              </w:rPr>
              <w:t>递延所得税负债</w:t>
            </w:r>
          </w:p>
        </w:tc>
        <w:tc>
          <w:tcPr>
            <w:tcW w:w="0" w:type="dxa"/>
            <w:vAlign w:val="center"/>
          </w:tcPr>
          <w:p w14:paraId="340D0AE0">
            <w:pPr>
              <w:spacing w:line="240" w:lineRule="auto"/>
              <w:jc w:val="center"/>
            </w:pPr>
          </w:p>
        </w:tc>
        <w:tc>
          <w:tcPr>
            <w:tcW w:w="0" w:type="dxa"/>
            <w:vAlign w:val="center"/>
          </w:tcPr>
          <w:p w14:paraId="40FAFC71">
            <w:pPr>
              <w:spacing w:line="240" w:lineRule="auto"/>
              <w:jc w:val="right"/>
            </w:pPr>
            <w:r>
              <w:rPr>
                <w:rFonts w:ascii="宋体" w:hAnsi="宋体" w:eastAsia="宋体" w:cs="宋体"/>
                <w:b w:val="0"/>
              </w:rPr>
              <w:t>-</w:t>
            </w:r>
          </w:p>
        </w:tc>
        <w:tc>
          <w:tcPr>
            <w:tcW w:w="0" w:type="dxa"/>
            <w:vAlign w:val="center"/>
          </w:tcPr>
          <w:p w14:paraId="2910C07E">
            <w:pPr>
              <w:spacing w:line="240" w:lineRule="auto"/>
              <w:jc w:val="right"/>
            </w:pPr>
            <w:r>
              <w:rPr>
                <w:rFonts w:ascii="宋体" w:hAnsi="宋体" w:eastAsia="宋体" w:cs="宋体"/>
                <w:b w:val="0"/>
              </w:rPr>
              <w:t>-</w:t>
            </w:r>
          </w:p>
        </w:tc>
      </w:tr>
      <w:tr w14:paraId="707E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90CA87">
            <w:pPr>
              <w:spacing w:line="240" w:lineRule="auto"/>
              <w:jc w:val="left"/>
            </w:pPr>
            <w:r>
              <w:rPr>
                <w:rFonts w:ascii="宋体" w:hAnsi="宋体" w:eastAsia="宋体" w:cs="宋体"/>
                <w:b w:val="0"/>
              </w:rPr>
              <w:t>其他负债</w:t>
            </w:r>
          </w:p>
        </w:tc>
        <w:tc>
          <w:tcPr>
            <w:tcW w:w="0" w:type="dxa"/>
            <w:vAlign w:val="center"/>
          </w:tcPr>
          <w:p w14:paraId="1BF74263">
            <w:pPr>
              <w:spacing w:line="240" w:lineRule="auto"/>
              <w:jc w:val="center"/>
            </w:pPr>
            <w:r>
              <w:rPr>
                <w:rFonts w:ascii="宋体" w:hAnsi="宋体" w:eastAsia="宋体" w:cs="宋体"/>
                <w:b w:val="0"/>
              </w:rPr>
              <w:t>6.4.7.6</w:t>
            </w:r>
          </w:p>
        </w:tc>
        <w:tc>
          <w:tcPr>
            <w:tcW w:w="0" w:type="dxa"/>
            <w:vAlign w:val="center"/>
          </w:tcPr>
          <w:p w14:paraId="380D800B">
            <w:pPr>
              <w:spacing w:line="240" w:lineRule="auto"/>
              <w:jc w:val="right"/>
            </w:pPr>
            <w:r>
              <w:rPr>
                <w:rFonts w:ascii="宋体" w:hAnsi="宋体" w:eastAsia="宋体" w:cs="宋体"/>
                <w:b w:val="0"/>
              </w:rPr>
              <w:t>44,630.98</w:t>
            </w:r>
          </w:p>
        </w:tc>
        <w:tc>
          <w:tcPr>
            <w:tcW w:w="0" w:type="dxa"/>
            <w:vAlign w:val="center"/>
          </w:tcPr>
          <w:p w14:paraId="663D1BAA">
            <w:pPr>
              <w:spacing w:line="240" w:lineRule="auto"/>
              <w:jc w:val="right"/>
            </w:pPr>
            <w:r>
              <w:rPr>
                <w:rFonts w:ascii="宋体" w:hAnsi="宋体" w:eastAsia="宋体" w:cs="宋体"/>
                <w:b w:val="0"/>
              </w:rPr>
              <w:t>36,000.00</w:t>
            </w:r>
          </w:p>
        </w:tc>
      </w:tr>
      <w:tr w14:paraId="2EA3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9CCA4E">
            <w:pPr>
              <w:spacing w:line="240" w:lineRule="auto"/>
              <w:jc w:val="left"/>
            </w:pPr>
            <w:r>
              <w:rPr>
                <w:rFonts w:ascii="宋体" w:hAnsi="宋体" w:eastAsia="宋体" w:cs="宋体"/>
                <w:b w:val="0"/>
              </w:rPr>
              <w:t>负债合计</w:t>
            </w:r>
          </w:p>
        </w:tc>
        <w:tc>
          <w:tcPr>
            <w:tcW w:w="0" w:type="dxa"/>
            <w:vAlign w:val="center"/>
          </w:tcPr>
          <w:p w14:paraId="4EC54FD8">
            <w:pPr>
              <w:spacing w:line="240" w:lineRule="auto"/>
              <w:jc w:val="center"/>
            </w:pPr>
          </w:p>
        </w:tc>
        <w:tc>
          <w:tcPr>
            <w:tcW w:w="0" w:type="dxa"/>
            <w:vAlign w:val="center"/>
          </w:tcPr>
          <w:p w14:paraId="50F2CA1B">
            <w:pPr>
              <w:spacing w:line="240" w:lineRule="auto"/>
              <w:jc w:val="right"/>
            </w:pPr>
            <w:r>
              <w:rPr>
                <w:rFonts w:ascii="宋体" w:hAnsi="宋体" w:eastAsia="宋体" w:cs="宋体"/>
                <w:b w:val="0"/>
              </w:rPr>
              <w:t>113,739.90</w:t>
            </w:r>
          </w:p>
        </w:tc>
        <w:tc>
          <w:tcPr>
            <w:tcW w:w="0" w:type="dxa"/>
            <w:vAlign w:val="center"/>
          </w:tcPr>
          <w:p w14:paraId="1F7BFAF6">
            <w:pPr>
              <w:spacing w:line="240" w:lineRule="auto"/>
              <w:jc w:val="right"/>
            </w:pPr>
            <w:r>
              <w:rPr>
                <w:rFonts w:ascii="宋体" w:hAnsi="宋体" w:eastAsia="宋体" w:cs="宋体"/>
                <w:b w:val="0"/>
              </w:rPr>
              <w:t>155,814.46</w:t>
            </w:r>
          </w:p>
        </w:tc>
      </w:tr>
      <w:tr w14:paraId="7A61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FAA3A6">
            <w:pPr>
              <w:spacing w:line="240" w:lineRule="auto"/>
              <w:jc w:val="left"/>
            </w:pPr>
            <w:r>
              <w:rPr>
                <w:rFonts w:ascii="宋体" w:hAnsi="宋体" w:eastAsia="宋体" w:cs="宋体"/>
                <w:b/>
              </w:rPr>
              <w:t>净资产：</w:t>
            </w:r>
          </w:p>
        </w:tc>
        <w:tc>
          <w:tcPr>
            <w:tcW w:w="0" w:type="dxa"/>
            <w:vAlign w:val="center"/>
          </w:tcPr>
          <w:p w14:paraId="443A3FC0">
            <w:pPr>
              <w:spacing w:line="240" w:lineRule="auto"/>
              <w:jc w:val="center"/>
            </w:pPr>
          </w:p>
        </w:tc>
        <w:tc>
          <w:tcPr>
            <w:tcW w:w="0" w:type="dxa"/>
            <w:vAlign w:val="center"/>
          </w:tcPr>
          <w:p w14:paraId="14CC00C2">
            <w:pPr>
              <w:spacing w:line="240" w:lineRule="auto"/>
              <w:jc w:val="center"/>
            </w:pPr>
          </w:p>
        </w:tc>
        <w:tc>
          <w:tcPr>
            <w:tcW w:w="0" w:type="dxa"/>
            <w:vAlign w:val="center"/>
          </w:tcPr>
          <w:p w14:paraId="1865C025">
            <w:pPr>
              <w:spacing w:line="240" w:lineRule="auto"/>
              <w:jc w:val="center"/>
            </w:pPr>
          </w:p>
        </w:tc>
      </w:tr>
      <w:tr w14:paraId="7100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96C8C8">
            <w:pPr>
              <w:spacing w:line="240" w:lineRule="auto"/>
              <w:jc w:val="left"/>
            </w:pPr>
            <w:r>
              <w:rPr>
                <w:rFonts w:ascii="宋体" w:hAnsi="宋体" w:eastAsia="宋体" w:cs="宋体"/>
                <w:b w:val="0"/>
              </w:rPr>
              <w:t>实收基金</w:t>
            </w:r>
          </w:p>
        </w:tc>
        <w:tc>
          <w:tcPr>
            <w:tcW w:w="0" w:type="dxa"/>
            <w:vAlign w:val="center"/>
          </w:tcPr>
          <w:p w14:paraId="1CF0C37B">
            <w:pPr>
              <w:spacing w:line="240" w:lineRule="auto"/>
              <w:jc w:val="center"/>
            </w:pPr>
            <w:r>
              <w:rPr>
                <w:rFonts w:ascii="宋体" w:hAnsi="宋体" w:eastAsia="宋体" w:cs="宋体"/>
                <w:b w:val="0"/>
              </w:rPr>
              <w:t>6.4.7.7</w:t>
            </w:r>
          </w:p>
        </w:tc>
        <w:tc>
          <w:tcPr>
            <w:tcW w:w="0" w:type="dxa"/>
            <w:vAlign w:val="center"/>
          </w:tcPr>
          <w:p w14:paraId="0E8A8D76">
            <w:pPr>
              <w:spacing w:line="240" w:lineRule="auto"/>
              <w:jc w:val="right"/>
            </w:pPr>
            <w:r>
              <w:rPr>
                <w:rFonts w:ascii="宋体" w:hAnsi="宋体" w:eastAsia="宋体" w:cs="宋体"/>
                <w:b w:val="0"/>
              </w:rPr>
              <w:t>53,188,047.49</w:t>
            </w:r>
          </w:p>
        </w:tc>
        <w:tc>
          <w:tcPr>
            <w:tcW w:w="0" w:type="dxa"/>
            <w:vAlign w:val="center"/>
          </w:tcPr>
          <w:p w14:paraId="573E8176">
            <w:pPr>
              <w:spacing w:line="240" w:lineRule="auto"/>
              <w:jc w:val="right"/>
            </w:pPr>
            <w:r>
              <w:rPr>
                <w:rFonts w:ascii="宋体" w:hAnsi="宋体" w:eastAsia="宋体" w:cs="宋体"/>
                <w:b w:val="0"/>
              </w:rPr>
              <w:t>73,590,923.52</w:t>
            </w:r>
          </w:p>
        </w:tc>
      </w:tr>
      <w:tr w14:paraId="40AE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D4B32E">
            <w:pPr>
              <w:spacing w:line="240" w:lineRule="auto"/>
              <w:jc w:val="left"/>
            </w:pPr>
            <w:r>
              <w:rPr>
                <w:rFonts w:ascii="宋体" w:hAnsi="宋体" w:eastAsia="宋体" w:cs="宋体"/>
                <w:b w:val="0"/>
              </w:rPr>
              <w:t>未分配利润</w:t>
            </w:r>
          </w:p>
        </w:tc>
        <w:tc>
          <w:tcPr>
            <w:tcW w:w="0" w:type="dxa"/>
            <w:vAlign w:val="center"/>
          </w:tcPr>
          <w:p w14:paraId="080B0492">
            <w:pPr>
              <w:spacing w:line="240" w:lineRule="auto"/>
              <w:jc w:val="center"/>
            </w:pPr>
            <w:r>
              <w:rPr>
                <w:rFonts w:ascii="宋体" w:hAnsi="宋体" w:eastAsia="宋体" w:cs="宋体"/>
                <w:b w:val="0"/>
              </w:rPr>
              <w:t>6.4.7.8</w:t>
            </w:r>
          </w:p>
        </w:tc>
        <w:tc>
          <w:tcPr>
            <w:tcW w:w="0" w:type="dxa"/>
            <w:vAlign w:val="center"/>
          </w:tcPr>
          <w:p w14:paraId="432FC732">
            <w:pPr>
              <w:spacing w:line="240" w:lineRule="auto"/>
              <w:jc w:val="right"/>
            </w:pPr>
            <w:r>
              <w:rPr>
                <w:rFonts w:ascii="宋体" w:hAnsi="宋体" w:eastAsia="宋体" w:cs="宋体"/>
                <w:b w:val="0"/>
              </w:rPr>
              <w:t>-1,982,176.57</w:t>
            </w:r>
          </w:p>
        </w:tc>
        <w:tc>
          <w:tcPr>
            <w:tcW w:w="0" w:type="dxa"/>
            <w:vAlign w:val="center"/>
          </w:tcPr>
          <w:p w14:paraId="03C7A5DA">
            <w:pPr>
              <w:spacing w:line="240" w:lineRule="auto"/>
              <w:jc w:val="right"/>
            </w:pPr>
            <w:r>
              <w:rPr>
                <w:rFonts w:ascii="宋体" w:hAnsi="宋体" w:eastAsia="宋体" w:cs="宋体"/>
                <w:b w:val="0"/>
              </w:rPr>
              <w:t>-1,046,450.95</w:t>
            </w:r>
          </w:p>
        </w:tc>
      </w:tr>
      <w:tr w14:paraId="647E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B8D4D0">
            <w:pPr>
              <w:spacing w:line="240" w:lineRule="auto"/>
              <w:jc w:val="left"/>
            </w:pPr>
            <w:r>
              <w:rPr>
                <w:rFonts w:ascii="宋体" w:hAnsi="宋体" w:eastAsia="宋体" w:cs="宋体"/>
                <w:b w:val="0"/>
              </w:rPr>
              <w:t>净资产合计</w:t>
            </w:r>
          </w:p>
        </w:tc>
        <w:tc>
          <w:tcPr>
            <w:tcW w:w="0" w:type="dxa"/>
            <w:vAlign w:val="center"/>
          </w:tcPr>
          <w:p w14:paraId="3EDC0031">
            <w:pPr>
              <w:spacing w:line="240" w:lineRule="auto"/>
              <w:jc w:val="center"/>
            </w:pPr>
          </w:p>
        </w:tc>
        <w:tc>
          <w:tcPr>
            <w:tcW w:w="0" w:type="dxa"/>
            <w:vAlign w:val="center"/>
          </w:tcPr>
          <w:p w14:paraId="6166543C">
            <w:pPr>
              <w:spacing w:line="240" w:lineRule="auto"/>
              <w:jc w:val="right"/>
            </w:pPr>
            <w:r>
              <w:rPr>
                <w:rFonts w:ascii="宋体" w:hAnsi="宋体" w:eastAsia="宋体" w:cs="宋体"/>
                <w:b w:val="0"/>
              </w:rPr>
              <w:t>51,205,870.92</w:t>
            </w:r>
          </w:p>
        </w:tc>
        <w:tc>
          <w:tcPr>
            <w:tcW w:w="0" w:type="dxa"/>
            <w:vAlign w:val="center"/>
          </w:tcPr>
          <w:p w14:paraId="54627DF4">
            <w:pPr>
              <w:spacing w:line="240" w:lineRule="auto"/>
              <w:jc w:val="right"/>
            </w:pPr>
            <w:r>
              <w:rPr>
                <w:rFonts w:ascii="宋体" w:hAnsi="宋体" w:eastAsia="宋体" w:cs="宋体"/>
                <w:b w:val="0"/>
              </w:rPr>
              <w:t>72,544,472.57</w:t>
            </w:r>
          </w:p>
        </w:tc>
      </w:tr>
      <w:tr w14:paraId="5EE8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91296D">
            <w:pPr>
              <w:spacing w:line="240" w:lineRule="auto"/>
              <w:jc w:val="left"/>
            </w:pPr>
            <w:r>
              <w:rPr>
                <w:rFonts w:ascii="宋体" w:hAnsi="宋体" w:eastAsia="宋体" w:cs="宋体"/>
                <w:b w:val="0"/>
              </w:rPr>
              <w:t>负债和净资产总计</w:t>
            </w:r>
          </w:p>
        </w:tc>
        <w:tc>
          <w:tcPr>
            <w:tcW w:w="0" w:type="dxa"/>
            <w:vAlign w:val="center"/>
          </w:tcPr>
          <w:p w14:paraId="26E56075">
            <w:pPr>
              <w:spacing w:line="240" w:lineRule="auto"/>
              <w:jc w:val="center"/>
            </w:pPr>
          </w:p>
        </w:tc>
        <w:tc>
          <w:tcPr>
            <w:tcW w:w="0" w:type="dxa"/>
            <w:vAlign w:val="center"/>
          </w:tcPr>
          <w:p w14:paraId="6B3A5C31">
            <w:pPr>
              <w:spacing w:line="240" w:lineRule="auto"/>
              <w:jc w:val="right"/>
            </w:pPr>
            <w:r>
              <w:rPr>
                <w:rFonts w:ascii="宋体" w:hAnsi="宋体" w:eastAsia="宋体" w:cs="宋体"/>
                <w:b w:val="0"/>
              </w:rPr>
              <w:t>51,319,610.82</w:t>
            </w:r>
          </w:p>
        </w:tc>
        <w:tc>
          <w:tcPr>
            <w:tcW w:w="0" w:type="dxa"/>
            <w:vAlign w:val="center"/>
          </w:tcPr>
          <w:p w14:paraId="1A45B895">
            <w:pPr>
              <w:spacing w:line="240" w:lineRule="auto"/>
              <w:jc w:val="right"/>
            </w:pPr>
            <w:r>
              <w:rPr>
                <w:rFonts w:ascii="宋体" w:hAnsi="宋体" w:eastAsia="宋体" w:cs="宋体"/>
                <w:b w:val="0"/>
              </w:rPr>
              <w:t>72,700,287.03</w:t>
            </w:r>
          </w:p>
        </w:tc>
      </w:tr>
    </w:tbl>
    <w:p w14:paraId="3F133C56">
      <w:r>
        <w:rPr>
          <w:rFonts w:ascii="宋体" w:hAnsi="宋体" w:eastAsia="宋体" w:cs="宋体"/>
          <w:b w:val="0"/>
        </w:rPr>
        <w:t>注：报告截止日2026年06月30日，东方阿尔法兴科一年持有期混合型证券投资基金A类基金份额净值0.9661元，C类基金份额净值0.9445元，基金总份额53,188,047.49份，其中A类基金份额44,820,955.67份，C类基金份额8,367,091.82份。</w:t>
      </w:r>
    </w:p>
    <w:p w14:paraId="5DB2CBE3"/>
    <w:p w14:paraId="74BF2F40">
      <w:pPr>
        <w:pStyle w:val="3"/>
        <w:jc w:val="left"/>
      </w:pPr>
      <w:bookmarkStart w:id="29" w:name="_Toc28234"/>
      <w:r>
        <w:rPr>
          <w:rFonts w:ascii="宋体" w:hAnsi="宋体" w:eastAsia="宋体" w:cs="宋体"/>
        </w:rPr>
        <w:t>6.2 利润表</w:t>
      </w:r>
      <w:bookmarkEnd w:id="29"/>
    </w:p>
    <w:p w14:paraId="6301CEB8">
      <w:pPr>
        <w:jc w:val="left"/>
      </w:pPr>
      <w:r>
        <w:rPr>
          <w:rFonts w:ascii="宋体" w:hAnsi="宋体" w:eastAsia="宋体" w:cs="宋体"/>
          <w:b w:val="0"/>
        </w:rPr>
        <w:t>会计主体：东方阿尔法兴科一年持有期混合型证券投资基金</w:t>
      </w:r>
    </w:p>
    <w:p w14:paraId="697C309B">
      <w:pPr>
        <w:jc w:val="left"/>
      </w:pPr>
      <w:r>
        <w:rPr>
          <w:rFonts w:ascii="宋体" w:hAnsi="宋体" w:eastAsia="宋体" w:cs="宋体"/>
          <w:b w:val="0"/>
        </w:rPr>
        <w:t>本报告期：2026年01月01日至2026年06月30日</w:t>
      </w:r>
    </w:p>
    <w:p w14:paraId="0F4BFAB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1547"/>
        <w:gridCol w:w="2322"/>
        <w:gridCol w:w="2322"/>
      </w:tblGrid>
      <w:tr w14:paraId="5D2E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A5478C6">
            <w:pPr>
              <w:spacing w:line="240" w:lineRule="auto"/>
              <w:jc w:val="center"/>
            </w:pPr>
            <w:r>
              <w:rPr>
                <w:rFonts w:ascii="宋体" w:hAnsi="宋体" w:eastAsia="宋体" w:cs="宋体"/>
                <w:b/>
              </w:rPr>
              <w:t>项 目</w:t>
            </w:r>
          </w:p>
        </w:tc>
        <w:tc>
          <w:tcPr>
            <w:tcW w:w="769" w:type="pct"/>
            <w:shd w:val="clear" w:color="auto" w:fill="D9D9D9"/>
            <w:vAlign w:val="center"/>
          </w:tcPr>
          <w:p w14:paraId="0BA97FB8">
            <w:pPr>
              <w:spacing w:line="240" w:lineRule="auto"/>
              <w:jc w:val="center"/>
            </w:pPr>
            <w:r>
              <w:rPr>
                <w:rFonts w:ascii="宋体" w:hAnsi="宋体" w:eastAsia="宋体" w:cs="宋体"/>
                <w:b/>
              </w:rPr>
              <w:t>附注号</w:t>
            </w:r>
          </w:p>
        </w:tc>
        <w:tc>
          <w:tcPr>
            <w:tcW w:w="1154" w:type="pct"/>
            <w:shd w:val="clear" w:color="auto" w:fill="D9D9D9"/>
            <w:vAlign w:val="center"/>
          </w:tcPr>
          <w:p w14:paraId="4A3BF11D">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c>
          <w:tcPr>
            <w:tcW w:w="1154" w:type="pct"/>
            <w:shd w:val="clear" w:color="auto" w:fill="D9D9D9"/>
            <w:vAlign w:val="center"/>
          </w:tcPr>
          <w:p w14:paraId="784FD4FE">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5EDF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ED20D2">
            <w:pPr>
              <w:spacing w:line="240" w:lineRule="auto"/>
              <w:jc w:val="left"/>
            </w:pPr>
            <w:r>
              <w:rPr>
                <w:rFonts w:ascii="宋体" w:hAnsi="宋体" w:eastAsia="宋体" w:cs="宋体"/>
                <w:b/>
              </w:rPr>
              <w:t>一、营业总收入</w:t>
            </w:r>
          </w:p>
        </w:tc>
        <w:tc>
          <w:tcPr>
            <w:tcW w:w="0" w:type="dxa"/>
            <w:vAlign w:val="center"/>
          </w:tcPr>
          <w:p w14:paraId="26E8B65B">
            <w:pPr>
              <w:spacing w:line="240" w:lineRule="auto"/>
              <w:jc w:val="center"/>
            </w:pPr>
          </w:p>
        </w:tc>
        <w:tc>
          <w:tcPr>
            <w:tcW w:w="0" w:type="dxa"/>
            <w:vAlign w:val="center"/>
          </w:tcPr>
          <w:p w14:paraId="33042815">
            <w:pPr>
              <w:spacing w:line="240" w:lineRule="auto"/>
              <w:jc w:val="right"/>
            </w:pPr>
            <w:r>
              <w:rPr>
                <w:rFonts w:ascii="宋体" w:hAnsi="宋体" w:eastAsia="宋体" w:cs="宋体"/>
                <w:b w:val="0"/>
              </w:rPr>
              <w:t>65,515.17</w:t>
            </w:r>
          </w:p>
        </w:tc>
        <w:tc>
          <w:tcPr>
            <w:tcW w:w="0" w:type="dxa"/>
            <w:vAlign w:val="center"/>
          </w:tcPr>
          <w:p w14:paraId="3B49B0AB">
            <w:pPr>
              <w:spacing w:line="240" w:lineRule="auto"/>
              <w:jc w:val="right"/>
            </w:pPr>
            <w:r>
              <w:rPr>
                <w:rFonts w:ascii="宋体" w:hAnsi="宋体" w:eastAsia="宋体" w:cs="宋体"/>
                <w:b w:val="0"/>
              </w:rPr>
              <w:t>357,511.57</w:t>
            </w:r>
          </w:p>
        </w:tc>
      </w:tr>
      <w:tr w14:paraId="0485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834009">
            <w:pPr>
              <w:spacing w:line="240" w:lineRule="auto"/>
              <w:jc w:val="left"/>
            </w:pPr>
            <w:r>
              <w:rPr>
                <w:rFonts w:ascii="宋体" w:hAnsi="宋体" w:eastAsia="宋体" w:cs="宋体"/>
                <w:b w:val="0"/>
              </w:rPr>
              <w:t>1.利息收入</w:t>
            </w:r>
          </w:p>
        </w:tc>
        <w:tc>
          <w:tcPr>
            <w:tcW w:w="0" w:type="dxa"/>
            <w:vAlign w:val="center"/>
          </w:tcPr>
          <w:p w14:paraId="18D0F355">
            <w:pPr>
              <w:spacing w:line="240" w:lineRule="auto"/>
              <w:jc w:val="center"/>
            </w:pPr>
          </w:p>
        </w:tc>
        <w:tc>
          <w:tcPr>
            <w:tcW w:w="0" w:type="dxa"/>
            <w:vAlign w:val="center"/>
          </w:tcPr>
          <w:p w14:paraId="44B26CFB">
            <w:pPr>
              <w:spacing w:line="240" w:lineRule="auto"/>
              <w:jc w:val="right"/>
            </w:pPr>
            <w:r>
              <w:rPr>
                <w:rFonts w:ascii="宋体" w:hAnsi="宋体" w:eastAsia="宋体" w:cs="宋体"/>
                <w:b w:val="0"/>
              </w:rPr>
              <w:t>913.73</w:t>
            </w:r>
          </w:p>
        </w:tc>
        <w:tc>
          <w:tcPr>
            <w:tcW w:w="0" w:type="dxa"/>
            <w:vAlign w:val="center"/>
          </w:tcPr>
          <w:p w14:paraId="38915776">
            <w:pPr>
              <w:spacing w:line="240" w:lineRule="auto"/>
              <w:jc w:val="right"/>
            </w:pPr>
            <w:r>
              <w:rPr>
                <w:rFonts w:ascii="宋体" w:hAnsi="宋体" w:eastAsia="宋体" w:cs="宋体"/>
                <w:b w:val="0"/>
              </w:rPr>
              <w:t>3,646.08</w:t>
            </w:r>
          </w:p>
        </w:tc>
      </w:tr>
      <w:tr w14:paraId="580C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53694E">
            <w:pPr>
              <w:spacing w:line="240" w:lineRule="auto"/>
              <w:jc w:val="left"/>
            </w:pPr>
            <w:r>
              <w:rPr>
                <w:rFonts w:ascii="宋体" w:hAnsi="宋体" w:eastAsia="宋体" w:cs="宋体"/>
                <w:b w:val="0"/>
              </w:rPr>
              <w:t>其中：存款利息收入</w:t>
            </w:r>
          </w:p>
        </w:tc>
        <w:tc>
          <w:tcPr>
            <w:tcW w:w="0" w:type="dxa"/>
            <w:vAlign w:val="center"/>
          </w:tcPr>
          <w:p w14:paraId="5F8EBE7B">
            <w:pPr>
              <w:spacing w:line="240" w:lineRule="auto"/>
              <w:jc w:val="center"/>
            </w:pPr>
            <w:r>
              <w:rPr>
                <w:rFonts w:ascii="宋体" w:hAnsi="宋体" w:eastAsia="宋体" w:cs="宋体"/>
                <w:b w:val="0"/>
              </w:rPr>
              <w:t>6.4.7.9</w:t>
            </w:r>
          </w:p>
        </w:tc>
        <w:tc>
          <w:tcPr>
            <w:tcW w:w="0" w:type="dxa"/>
            <w:vAlign w:val="center"/>
          </w:tcPr>
          <w:p w14:paraId="1EA3A81B">
            <w:pPr>
              <w:spacing w:line="240" w:lineRule="auto"/>
              <w:jc w:val="right"/>
            </w:pPr>
            <w:r>
              <w:rPr>
                <w:rFonts w:ascii="宋体" w:hAnsi="宋体" w:eastAsia="宋体" w:cs="宋体"/>
                <w:b w:val="0"/>
              </w:rPr>
              <w:t>913.73</w:t>
            </w:r>
          </w:p>
        </w:tc>
        <w:tc>
          <w:tcPr>
            <w:tcW w:w="0" w:type="dxa"/>
            <w:vAlign w:val="center"/>
          </w:tcPr>
          <w:p w14:paraId="46AA2F56">
            <w:pPr>
              <w:spacing w:line="240" w:lineRule="auto"/>
              <w:jc w:val="right"/>
            </w:pPr>
            <w:r>
              <w:rPr>
                <w:rFonts w:ascii="宋体" w:hAnsi="宋体" w:eastAsia="宋体" w:cs="宋体"/>
                <w:b w:val="0"/>
              </w:rPr>
              <w:t>3,646.08</w:t>
            </w:r>
          </w:p>
        </w:tc>
      </w:tr>
      <w:tr w14:paraId="5F44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3E02AC">
            <w:pPr>
              <w:spacing w:line="240" w:lineRule="auto"/>
              <w:jc w:val="left"/>
            </w:pPr>
            <w:r>
              <w:rPr>
                <w:rFonts w:ascii="宋体" w:hAnsi="宋体" w:eastAsia="宋体" w:cs="宋体"/>
                <w:b w:val="0"/>
              </w:rPr>
              <w:t xml:space="preserve">      债券利息收入</w:t>
            </w:r>
          </w:p>
        </w:tc>
        <w:tc>
          <w:tcPr>
            <w:tcW w:w="0" w:type="dxa"/>
            <w:vAlign w:val="center"/>
          </w:tcPr>
          <w:p w14:paraId="5774FF25">
            <w:pPr>
              <w:spacing w:line="240" w:lineRule="auto"/>
              <w:jc w:val="center"/>
            </w:pPr>
          </w:p>
        </w:tc>
        <w:tc>
          <w:tcPr>
            <w:tcW w:w="0" w:type="dxa"/>
            <w:vAlign w:val="center"/>
          </w:tcPr>
          <w:p w14:paraId="690FDD30">
            <w:pPr>
              <w:spacing w:line="240" w:lineRule="auto"/>
              <w:jc w:val="right"/>
            </w:pPr>
            <w:r>
              <w:rPr>
                <w:rFonts w:ascii="宋体" w:hAnsi="宋体" w:eastAsia="宋体" w:cs="宋体"/>
                <w:b w:val="0"/>
              </w:rPr>
              <w:t>-</w:t>
            </w:r>
          </w:p>
        </w:tc>
        <w:tc>
          <w:tcPr>
            <w:tcW w:w="0" w:type="dxa"/>
            <w:vAlign w:val="center"/>
          </w:tcPr>
          <w:p w14:paraId="59E4BEFA">
            <w:pPr>
              <w:spacing w:line="240" w:lineRule="auto"/>
              <w:jc w:val="right"/>
            </w:pPr>
            <w:r>
              <w:rPr>
                <w:rFonts w:ascii="宋体" w:hAnsi="宋体" w:eastAsia="宋体" w:cs="宋体"/>
                <w:b w:val="0"/>
              </w:rPr>
              <w:t>-</w:t>
            </w:r>
          </w:p>
        </w:tc>
      </w:tr>
      <w:tr w14:paraId="73C0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F755FB">
            <w:pPr>
              <w:spacing w:line="240" w:lineRule="auto"/>
              <w:jc w:val="left"/>
            </w:pPr>
            <w:r>
              <w:rPr>
                <w:rFonts w:ascii="宋体" w:hAnsi="宋体" w:eastAsia="宋体" w:cs="宋体"/>
                <w:b w:val="0"/>
              </w:rPr>
              <w:t xml:space="preserve">      资产支持证券利息收入</w:t>
            </w:r>
          </w:p>
        </w:tc>
        <w:tc>
          <w:tcPr>
            <w:tcW w:w="0" w:type="dxa"/>
            <w:vAlign w:val="center"/>
          </w:tcPr>
          <w:p w14:paraId="0DA7C09A">
            <w:pPr>
              <w:spacing w:line="240" w:lineRule="auto"/>
              <w:jc w:val="center"/>
            </w:pPr>
          </w:p>
        </w:tc>
        <w:tc>
          <w:tcPr>
            <w:tcW w:w="0" w:type="dxa"/>
            <w:vAlign w:val="center"/>
          </w:tcPr>
          <w:p w14:paraId="1B28C9AF">
            <w:pPr>
              <w:spacing w:line="240" w:lineRule="auto"/>
              <w:jc w:val="right"/>
            </w:pPr>
            <w:r>
              <w:rPr>
                <w:rFonts w:ascii="宋体" w:hAnsi="宋体" w:eastAsia="宋体" w:cs="宋体"/>
                <w:b w:val="0"/>
              </w:rPr>
              <w:t>-</w:t>
            </w:r>
          </w:p>
        </w:tc>
        <w:tc>
          <w:tcPr>
            <w:tcW w:w="0" w:type="dxa"/>
            <w:vAlign w:val="center"/>
          </w:tcPr>
          <w:p w14:paraId="2D9C6358">
            <w:pPr>
              <w:spacing w:line="240" w:lineRule="auto"/>
              <w:jc w:val="right"/>
            </w:pPr>
            <w:r>
              <w:rPr>
                <w:rFonts w:ascii="宋体" w:hAnsi="宋体" w:eastAsia="宋体" w:cs="宋体"/>
                <w:b w:val="0"/>
              </w:rPr>
              <w:t>-</w:t>
            </w:r>
          </w:p>
        </w:tc>
      </w:tr>
      <w:tr w14:paraId="4D01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7ABF5C">
            <w:pPr>
              <w:spacing w:line="240" w:lineRule="auto"/>
              <w:jc w:val="left"/>
            </w:pPr>
            <w:r>
              <w:rPr>
                <w:rFonts w:ascii="宋体" w:hAnsi="宋体" w:eastAsia="宋体" w:cs="宋体"/>
                <w:b w:val="0"/>
              </w:rPr>
              <w:t xml:space="preserve">      买入返售金融资产收入</w:t>
            </w:r>
          </w:p>
        </w:tc>
        <w:tc>
          <w:tcPr>
            <w:tcW w:w="0" w:type="dxa"/>
            <w:vAlign w:val="center"/>
          </w:tcPr>
          <w:p w14:paraId="397C7F5F">
            <w:pPr>
              <w:spacing w:line="240" w:lineRule="auto"/>
              <w:jc w:val="center"/>
            </w:pPr>
          </w:p>
        </w:tc>
        <w:tc>
          <w:tcPr>
            <w:tcW w:w="0" w:type="dxa"/>
            <w:vAlign w:val="center"/>
          </w:tcPr>
          <w:p w14:paraId="0A51E26D">
            <w:pPr>
              <w:spacing w:line="240" w:lineRule="auto"/>
              <w:jc w:val="right"/>
            </w:pPr>
            <w:r>
              <w:rPr>
                <w:rFonts w:ascii="宋体" w:hAnsi="宋体" w:eastAsia="宋体" w:cs="宋体"/>
                <w:b w:val="0"/>
              </w:rPr>
              <w:t>-</w:t>
            </w:r>
          </w:p>
        </w:tc>
        <w:tc>
          <w:tcPr>
            <w:tcW w:w="0" w:type="dxa"/>
            <w:vAlign w:val="center"/>
          </w:tcPr>
          <w:p w14:paraId="12CE8436">
            <w:pPr>
              <w:spacing w:line="240" w:lineRule="auto"/>
              <w:jc w:val="right"/>
            </w:pPr>
            <w:r>
              <w:rPr>
                <w:rFonts w:ascii="宋体" w:hAnsi="宋体" w:eastAsia="宋体" w:cs="宋体"/>
                <w:b w:val="0"/>
              </w:rPr>
              <w:t>-</w:t>
            </w:r>
          </w:p>
        </w:tc>
      </w:tr>
      <w:tr w14:paraId="0CF9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15693F">
            <w:pPr>
              <w:spacing w:line="240" w:lineRule="auto"/>
              <w:jc w:val="left"/>
            </w:pPr>
            <w:r>
              <w:rPr>
                <w:rFonts w:ascii="宋体" w:hAnsi="宋体" w:eastAsia="宋体" w:cs="宋体"/>
                <w:b w:val="0"/>
              </w:rPr>
              <w:t xml:space="preserve">      其他利息收入</w:t>
            </w:r>
          </w:p>
        </w:tc>
        <w:tc>
          <w:tcPr>
            <w:tcW w:w="0" w:type="dxa"/>
            <w:vAlign w:val="center"/>
          </w:tcPr>
          <w:p w14:paraId="60303AA7">
            <w:pPr>
              <w:spacing w:line="240" w:lineRule="auto"/>
              <w:jc w:val="center"/>
            </w:pPr>
          </w:p>
        </w:tc>
        <w:tc>
          <w:tcPr>
            <w:tcW w:w="0" w:type="dxa"/>
            <w:vAlign w:val="center"/>
          </w:tcPr>
          <w:p w14:paraId="0C2EAF55">
            <w:pPr>
              <w:spacing w:line="240" w:lineRule="auto"/>
              <w:jc w:val="right"/>
            </w:pPr>
            <w:r>
              <w:rPr>
                <w:rFonts w:ascii="宋体" w:hAnsi="宋体" w:eastAsia="宋体" w:cs="宋体"/>
                <w:b w:val="0"/>
              </w:rPr>
              <w:t>-</w:t>
            </w:r>
          </w:p>
        </w:tc>
        <w:tc>
          <w:tcPr>
            <w:tcW w:w="0" w:type="dxa"/>
            <w:vAlign w:val="center"/>
          </w:tcPr>
          <w:p w14:paraId="5E1F98E3">
            <w:pPr>
              <w:spacing w:line="240" w:lineRule="auto"/>
              <w:jc w:val="right"/>
            </w:pPr>
            <w:r>
              <w:rPr>
                <w:rFonts w:ascii="宋体" w:hAnsi="宋体" w:eastAsia="宋体" w:cs="宋体"/>
                <w:b w:val="0"/>
              </w:rPr>
              <w:t>-</w:t>
            </w:r>
          </w:p>
        </w:tc>
      </w:tr>
      <w:tr w14:paraId="0714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43A918">
            <w:pPr>
              <w:spacing w:line="240" w:lineRule="auto"/>
              <w:jc w:val="left"/>
            </w:pPr>
            <w:r>
              <w:rPr>
                <w:rFonts w:ascii="宋体" w:hAnsi="宋体" w:eastAsia="宋体" w:cs="宋体"/>
                <w:b w:val="0"/>
              </w:rPr>
              <w:t>2.投资收益（损失以“-”填列）</w:t>
            </w:r>
          </w:p>
        </w:tc>
        <w:tc>
          <w:tcPr>
            <w:tcW w:w="0" w:type="dxa"/>
            <w:vAlign w:val="center"/>
          </w:tcPr>
          <w:p w14:paraId="226ACA93">
            <w:pPr>
              <w:spacing w:line="240" w:lineRule="auto"/>
              <w:jc w:val="center"/>
            </w:pPr>
          </w:p>
        </w:tc>
        <w:tc>
          <w:tcPr>
            <w:tcW w:w="0" w:type="dxa"/>
            <w:vAlign w:val="center"/>
          </w:tcPr>
          <w:p w14:paraId="5C57151D">
            <w:pPr>
              <w:spacing w:line="240" w:lineRule="auto"/>
              <w:jc w:val="right"/>
            </w:pPr>
            <w:r>
              <w:rPr>
                <w:rFonts w:ascii="宋体" w:hAnsi="宋体" w:eastAsia="宋体" w:cs="宋体"/>
                <w:b w:val="0"/>
              </w:rPr>
              <w:t>11,094,895.10</w:t>
            </w:r>
          </w:p>
        </w:tc>
        <w:tc>
          <w:tcPr>
            <w:tcW w:w="0" w:type="dxa"/>
            <w:vAlign w:val="center"/>
          </w:tcPr>
          <w:p w14:paraId="73143707">
            <w:pPr>
              <w:spacing w:line="240" w:lineRule="auto"/>
              <w:jc w:val="right"/>
            </w:pPr>
            <w:r>
              <w:rPr>
                <w:rFonts w:ascii="宋体" w:hAnsi="宋体" w:eastAsia="宋体" w:cs="宋体"/>
                <w:b w:val="0"/>
              </w:rPr>
              <w:t>16,725,696.02</w:t>
            </w:r>
          </w:p>
        </w:tc>
      </w:tr>
      <w:tr w14:paraId="4644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20A3C7">
            <w:pPr>
              <w:spacing w:line="240" w:lineRule="auto"/>
              <w:jc w:val="left"/>
            </w:pPr>
            <w:r>
              <w:rPr>
                <w:rFonts w:ascii="宋体" w:hAnsi="宋体" w:eastAsia="宋体" w:cs="宋体"/>
                <w:b w:val="0"/>
              </w:rPr>
              <w:t>其中：股票投资收益</w:t>
            </w:r>
          </w:p>
        </w:tc>
        <w:tc>
          <w:tcPr>
            <w:tcW w:w="0" w:type="dxa"/>
            <w:vAlign w:val="center"/>
          </w:tcPr>
          <w:p w14:paraId="5AA9ADD1">
            <w:pPr>
              <w:spacing w:line="240" w:lineRule="auto"/>
              <w:jc w:val="center"/>
            </w:pPr>
            <w:r>
              <w:rPr>
                <w:rFonts w:ascii="宋体" w:hAnsi="宋体" w:eastAsia="宋体" w:cs="宋体"/>
                <w:b w:val="0"/>
              </w:rPr>
              <w:t>6.4.7.10</w:t>
            </w:r>
          </w:p>
        </w:tc>
        <w:tc>
          <w:tcPr>
            <w:tcW w:w="0" w:type="dxa"/>
            <w:vAlign w:val="center"/>
          </w:tcPr>
          <w:p w14:paraId="77BEE867">
            <w:pPr>
              <w:spacing w:line="240" w:lineRule="auto"/>
              <w:jc w:val="right"/>
            </w:pPr>
            <w:r>
              <w:rPr>
                <w:rFonts w:ascii="宋体" w:hAnsi="宋体" w:eastAsia="宋体" w:cs="宋体"/>
                <w:b w:val="0"/>
              </w:rPr>
              <w:t>9,870,919.07</w:t>
            </w:r>
          </w:p>
        </w:tc>
        <w:tc>
          <w:tcPr>
            <w:tcW w:w="0" w:type="dxa"/>
            <w:vAlign w:val="center"/>
          </w:tcPr>
          <w:p w14:paraId="51026182">
            <w:pPr>
              <w:spacing w:line="240" w:lineRule="auto"/>
              <w:jc w:val="right"/>
            </w:pPr>
            <w:r>
              <w:rPr>
                <w:rFonts w:ascii="宋体" w:hAnsi="宋体" w:eastAsia="宋体" w:cs="宋体"/>
                <w:b w:val="0"/>
              </w:rPr>
              <w:t>13,830,899.16</w:t>
            </w:r>
          </w:p>
        </w:tc>
      </w:tr>
      <w:tr w14:paraId="63DA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B3C8A3">
            <w:pPr>
              <w:spacing w:line="240" w:lineRule="auto"/>
              <w:jc w:val="left"/>
            </w:pPr>
            <w:r>
              <w:rPr>
                <w:rFonts w:ascii="宋体" w:hAnsi="宋体" w:eastAsia="宋体" w:cs="宋体"/>
                <w:b w:val="0"/>
              </w:rPr>
              <w:t xml:space="preserve">      基金投资收益</w:t>
            </w:r>
          </w:p>
        </w:tc>
        <w:tc>
          <w:tcPr>
            <w:tcW w:w="0" w:type="dxa"/>
            <w:vAlign w:val="center"/>
          </w:tcPr>
          <w:p w14:paraId="4AC4ABE5">
            <w:pPr>
              <w:spacing w:line="240" w:lineRule="auto"/>
              <w:jc w:val="center"/>
            </w:pPr>
            <w:r>
              <w:rPr>
                <w:rFonts w:ascii="宋体" w:hAnsi="宋体" w:eastAsia="宋体" w:cs="宋体"/>
                <w:b w:val="0"/>
              </w:rPr>
              <w:t>6.4.7.11</w:t>
            </w:r>
          </w:p>
        </w:tc>
        <w:tc>
          <w:tcPr>
            <w:tcW w:w="0" w:type="dxa"/>
            <w:vAlign w:val="center"/>
          </w:tcPr>
          <w:p w14:paraId="6936B736">
            <w:pPr>
              <w:spacing w:line="240" w:lineRule="auto"/>
              <w:jc w:val="right"/>
            </w:pPr>
            <w:r>
              <w:rPr>
                <w:rFonts w:ascii="宋体" w:hAnsi="宋体" w:eastAsia="宋体" w:cs="宋体"/>
                <w:b w:val="0"/>
              </w:rPr>
              <w:t>-</w:t>
            </w:r>
          </w:p>
        </w:tc>
        <w:tc>
          <w:tcPr>
            <w:tcW w:w="0" w:type="dxa"/>
            <w:vAlign w:val="center"/>
          </w:tcPr>
          <w:p w14:paraId="0E029124">
            <w:pPr>
              <w:spacing w:line="240" w:lineRule="auto"/>
              <w:jc w:val="right"/>
            </w:pPr>
            <w:r>
              <w:rPr>
                <w:rFonts w:ascii="宋体" w:hAnsi="宋体" w:eastAsia="宋体" w:cs="宋体"/>
                <w:b w:val="0"/>
              </w:rPr>
              <w:t>-</w:t>
            </w:r>
          </w:p>
        </w:tc>
      </w:tr>
      <w:tr w14:paraId="3002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D401F5">
            <w:pPr>
              <w:spacing w:line="240" w:lineRule="auto"/>
              <w:jc w:val="left"/>
            </w:pPr>
            <w:r>
              <w:rPr>
                <w:rFonts w:ascii="宋体" w:hAnsi="宋体" w:eastAsia="宋体" w:cs="宋体"/>
                <w:b w:val="0"/>
              </w:rPr>
              <w:t xml:space="preserve">      债券投资收益</w:t>
            </w:r>
          </w:p>
        </w:tc>
        <w:tc>
          <w:tcPr>
            <w:tcW w:w="0" w:type="dxa"/>
            <w:vAlign w:val="center"/>
          </w:tcPr>
          <w:p w14:paraId="6340FAF2">
            <w:pPr>
              <w:spacing w:line="240" w:lineRule="auto"/>
              <w:jc w:val="center"/>
            </w:pPr>
            <w:r>
              <w:rPr>
                <w:rFonts w:ascii="宋体" w:hAnsi="宋体" w:eastAsia="宋体" w:cs="宋体"/>
                <w:b w:val="0"/>
              </w:rPr>
              <w:t>6.4.7.12</w:t>
            </w:r>
          </w:p>
        </w:tc>
        <w:tc>
          <w:tcPr>
            <w:tcW w:w="0" w:type="dxa"/>
            <w:vAlign w:val="center"/>
          </w:tcPr>
          <w:p w14:paraId="45E075C8">
            <w:pPr>
              <w:spacing w:line="240" w:lineRule="auto"/>
              <w:jc w:val="right"/>
            </w:pPr>
            <w:r>
              <w:rPr>
                <w:rFonts w:ascii="宋体" w:hAnsi="宋体" w:eastAsia="宋体" w:cs="宋体"/>
                <w:b w:val="0"/>
              </w:rPr>
              <w:t>20,242.74</w:t>
            </w:r>
          </w:p>
        </w:tc>
        <w:tc>
          <w:tcPr>
            <w:tcW w:w="0" w:type="dxa"/>
            <w:vAlign w:val="center"/>
          </w:tcPr>
          <w:p w14:paraId="0DF27F7E">
            <w:pPr>
              <w:spacing w:line="240" w:lineRule="auto"/>
              <w:jc w:val="right"/>
            </w:pPr>
            <w:r>
              <w:rPr>
                <w:rFonts w:ascii="宋体" w:hAnsi="宋体" w:eastAsia="宋体" w:cs="宋体"/>
                <w:b w:val="0"/>
              </w:rPr>
              <w:t>29,858.06</w:t>
            </w:r>
          </w:p>
        </w:tc>
      </w:tr>
      <w:tr w14:paraId="6652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92F0A5">
            <w:pPr>
              <w:spacing w:line="240" w:lineRule="auto"/>
              <w:jc w:val="left"/>
            </w:pPr>
            <w:r>
              <w:rPr>
                <w:rFonts w:ascii="宋体" w:hAnsi="宋体" w:eastAsia="宋体" w:cs="宋体"/>
                <w:b w:val="0"/>
              </w:rPr>
              <w:t xml:space="preserve">      资产支持证券投资收益</w:t>
            </w:r>
          </w:p>
        </w:tc>
        <w:tc>
          <w:tcPr>
            <w:tcW w:w="0" w:type="dxa"/>
            <w:vAlign w:val="center"/>
          </w:tcPr>
          <w:p w14:paraId="1BA70993">
            <w:pPr>
              <w:spacing w:line="240" w:lineRule="auto"/>
              <w:jc w:val="center"/>
            </w:pPr>
            <w:r>
              <w:rPr>
                <w:rFonts w:ascii="宋体" w:hAnsi="宋体" w:eastAsia="宋体" w:cs="宋体"/>
                <w:b w:val="0"/>
              </w:rPr>
              <w:t>6.4.7.13</w:t>
            </w:r>
          </w:p>
        </w:tc>
        <w:tc>
          <w:tcPr>
            <w:tcW w:w="0" w:type="dxa"/>
            <w:vAlign w:val="center"/>
          </w:tcPr>
          <w:p w14:paraId="2B11F445">
            <w:pPr>
              <w:spacing w:line="240" w:lineRule="auto"/>
              <w:jc w:val="right"/>
            </w:pPr>
            <w:r>
              <w:rPr>
                <w:rFonts w:ascii="宋体" w:hAnsi="宋体" w:eastAsia="宋体" w:cs="宋体"/>
                <w:b w:val="0"/>
              </w:rPr>
              <w:t>-</w:t>
            </w:r>
          </w:p>
        </w:tc>
        <w:tc>
          <w:tcPr>
            <w:tcW w:w="0" w:type="dxa"/>
            <w:vAlign w:val="center"/>
          </w:tcPr>
          <w:p w14:paraId="2BEAED2F">
            <w:pPr>
              <w:spacing w:line="240" w:lineRule="auto"/>
              <w:jc w:val="right"/>
            </w:pPr>
            <w:r>
              <w:rPr>
                <w:rFonts w:ascii="宋体" w:hAnsi="宋体" w:eastAsia="宋体" w:cs="宋体"/>
                <w:b w:val="0"/>
              </w:rPr>
              <w:t>-</w:t>
            </w:r>
          </w:p>
        </w:tc>
      </w:tr>
      <w:tr w14:paraId="68E0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3EAAD2">
            <w:pPr>
              <w:spacing w:line="240" w:lineRule="auto"/>
              <w:jc w:val="left"/>
            </w:pPr>
            <w:r>
              <w:rPr>
                <w:rFonts w:ascii="宋体" w:hAnsi="宋体" w:eastAsia="宋体" w:cs="宋体"/>
                <w:b w:val="0"/>
              </w:rPr>
              <w:t xml:space="preserve">      贵金属投资收益</w:t>
            </w:r>
          </w:p>
        </w:tc>
        <w:tc>
          <w:tcPr>
            <w:tcW w:w="0" w:type="dxa"/>
            <w:vAlign w:val="center"/>
          </w:tcPr>
          <w:p w14:paraId="617B6974">
            <w:pPr>
              <w:spacing w:line="240" w:lineRule="auto"/>
              <w:jc w:val="center"/>
            </w:pPr>
            <w:r>
              <w:rPr>
                <w:rFonts w:ascii="宋体" w:hAnsi="宋体" w:eastAsia="宋体" w:cs="宋体"/>
                <w:b w:val="0"/>
              </w:rPr>
              <w:t>6.4.7.14</w:t>
            </w:r>
          </w:p>
        </w:tc>
        <w:tc>
          <w:tcPr>
            <w:tcW w:w="0" w:type="dxa"/>
            <w:vAlign w:val="center"/>
          </w:tcPr>
          <w:p w14:paraId="14F104B9">
            <w:pPr>
              <w:spacing w:line="240" w:lineRule="auto"/>
              <w:jc w:val="right"/>
            </w:pPr>
            <w:r>
              <w:rPr>
                <w:rFonts w:ascii="宋体" w:hAnsi="宋体" w:eastAsia="宋体" w:cs="宋体"/>
                <w:b w:val="0"/>
              </w:rPr>
              <w:t>-</w:t>
            </w:r>
          </w:p>
        </w:tc>
        <w:tc>
          <w:tcPr>
            <w:tcW w:w="0" w:type="dxa"/>
            <w:vAlign w:val="center"/>
          </w:tcPr>
          <w:p w14:paraId="64834B54">
            <w:pPr>
              <w:spacing w:line="240" w:lineRule="auto"/>
              <w:jc w:val="right"/>
            </w:pPr>
            <w:r>
              <w:rPr>
                <w:rFonts w:ascii="宋体" w:hAnsi="宋体" w:eastAsia="宋体" w:cs="宋体"/>
                <w:b w:val="0"/>
              </w:rPr>
              <w:t>-</w:t>
            </w:r>
          </w:p>
        </w:tc>
      </w:tr>
      <w:tr w14:paraId="0D72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DA2784">
            <w:pPr>
              <w:spacing w:line="240" w:lineRule="auto"/>
              <w:jc w:val="left"/>
            </w:pPr>
            <w:r>
              <w:rPr>
                <w:rFonts w:ascii="宋体" w:hAnsi="宋体" w:eastAsia="宋体" w:cs="宋体"/>
                <w:b w:val="0"/>
              </w:rPr>
              <w:t xml:space="preserve">      衍生工具收益</w:t>
            </w:r>
          </w:p>
        </w:tc>
        <w:tc>
          <w:tcPr>
            <w:tcW w:w="0" w:type="dxa"/>
            <w:vAlign w:val="center"/>
          </w:tcPr>
          <w:p w14:paraId="191316FC">
            <w:pPr>
              <w:spacing w:line="240" w:lineRule="auto"/>
              <w:jc w:val="center"/>
            </w:pPr>
            <w:r>
              <w:rPr>
                <w:rFonts w:ascii="宋体" w:hAnsi="宋体" w:eastAsia="宋体" w:cs="宋体"/>
                <w:b w:val="0"/>
              </w:rPr>
              <w:t>6.4.7.15</w:t>
            </w:r>
          </w:p>
        </w:tc>
        <w:tc>
          <w:tcPr>
            <w:tcW w:w="0" w:type="dxa"/>
            <w:vAlign w:val="center"/>
          </w:tcPr>
          <w:p w14:paraId="39BFBCCF">
            <w:pPr>
              <w:spacing w:line="240" w:lineRule="auto"/>
              <w:jc w:val="right"/>
            </w:pPr>
            <w:r>
              <w:rPr>
                <w:rFonts w:ascii="宋体" w:hAnsi="宋体" w:eastAsia="宋体" w:cs="宋体"/>
                <w:b w:val="0"/>
              </w:rPr>
              <w:t>-</w:t>
            </w:r>
          </w:p>
        </w:tc>
        <w:tc>
          <w:tcPr>
            <w:tcW w:w="0" w:type="dxa"/>
            <w:vAlign w:val="center"/>
          </w:tcPr>
          <w:p w14:paraId="54E1ADA3">
            <w:pPr>
              <w:spacing w:line="240" w:lineRule="auto"/>
              <w:jc w:val="right"/>
            </w:pPr>
            <w:r>
              <w:rPr>
                <w:rFonts w:ascii="宋体" w:hAnsi="宋体" w:eastAsia="宋体" w:cs="宋体"/>
                <w:b w:val="0"/>
              </w:rPr>
              <w:t>-</w:t>
            </w:r>
          </w:p>
        </w:tc>
      </w:tr>
      <w:tr w14:paraId="6C30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8F6049">
            <w:pPr>
              <w:spacing w:line="240" w:lineRule="auto"/>
              <w:jc w:val="left"/>
            </w:pPr>
            <w:r>
              <w:rPr>
                <w:rFonts w:ascii="宋体" w:hAnsi="宋体" w:eastAsia="宋体" w:cs="宋体"/>
                <w:b w:val="0"/>
              </w:rPr>
              <w:t xml:space="preserve">      股利收益</w:t>
            </w:r>
          </w:p>
        </w:tc>
        <w:tc>
          <w:tcPr>
            <w:tcW w:w="0" w:type="dxa"/>
            <w:vAlign w:val="center"/>
          </w:tcPr>
          <w:p w14:paraId="7CFD4BE9">
            <w:pPr>
              <w:spacing w:line="240" w:lineRule="auto"/>
              <w:jc w:val="center"/>
            </w:pPr>
            <w:r>
              <w:rPr>
                <w:rFonts w:ascii="宋体" w:hAnsi="宋体" w:eastAsia="宋体" w:cs="宋体"/>
                <w:b w:val="0"/>
              </w:rPr>
              <w:t>6.4.7.16</w:t>
            </w:r>
          </w:p>
        </w:tc>
        <w:tc>
          <w:tcPr>
            <w:tcW w:w="0" w:type="dxa"/>
            <w:vAlign w:val="center"/>
          </w:tcPr>
          <w:p w14:paraId="00AEC71B">
            <w:pPr>
              <w:spacing w:line="240" w:lineRule="auto"/>
              <w:jc w:val="right"/>
            </w:pPr>
            <w:r>
              <w:rPr>
                <w:rFonts w:ascii="宋体" w:hAnsi="宋体" w:eastAsia="宋体" w:cs="宋体"/>
                <w:b w:val="0"/>
              </w:rPr>
              <w:t>1,203,733.29</w:t>
            </w:r>
          </w:p>
        </w:tc>
        <w:tc>
          <w:tcPr>
            <w:tcW w:w="0" w:type="dxa"/>
            <w:vAlign w:val="center"/>
          </w:tcPr>
          <w:p w14:paraId="4A3BC5C4">
            <w:pPr>
              <w:spacing w:line="240" w:lineRule="auto"/>
              <w:jc w:val="right"/>
            </w:pPr>
            <w:r>
              <w:rPr>
                <w:rFonts w:ascii="宋体" w:hAnsi="宋体" w:eastAsia="宋体" w:cs="宋体"/>
                <w:b w:val="0"/>
              </w:rPr>
              <w:t>2,864,938.80</w:t>
            </w:r>
          </w:p>
        </w:tc>
      </w:tr>
      <w:tr w14:paraId="34CB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AC4ED6">
            <w:pPr>
              <w:spacing w:line="240" w:lineRule="auto"/>
              <w:jc w:val="left"/>
            </w:pPr>
            <w:r>
              <w:rPr>
                <w:rFonts w:ascii="宋体" w:hAnsi="宋体" w:eastAsia="宋体" w:cs="宋体"/>
                <w:b w:val="0"/>
              </w:rPr>
              <w:t xml:space="preserve">      其他投资收益</w:t>
            </w:r>
          </w:p>
        </w:tc>
        <w:tc>
          <w:tcPr>
            <w:tcW w:w="0" w:type="dxa"/>
            <w:vAlign w:val="center"/>
          </w:tcPr>
          <w:p w14:paraId="6DF295A9">
            <w:pPr>
              <w:spacing w:line="240" w:lineRule="auto"/>
              <w:jc w:val="center"/>
            </w:pPr>
          </w:p>
        </w:tc>
        <w:tc>
          <w:tcPr>
            <w:tcW w:w="0" w:type="dxa"/>
            <w:vAlign w:val="center"/>
          </w:tcPr>
          <w:p w14:paraId="57A196D4">
            <w:pPr>
              <w:spacing w:line="240" w:lineRule="auto"/>
              <w:jc w:val="right"/>
            </w:pPr>
            <w:r>
              <w:rPr>
                <w:rFonts w:ascii="宋体" w:hAnsi="宋体" w:eastAsia="宋体" w:cs="宋体"/>
                <w:b w:val="0"/>
              </w:rPr>
              <w:t>-</w:t>
            </w:r>
          </w:p>
        </w:tc>
        <w:tc>
          <w:tcPr>
            <w:tcW w:w="0" w:type="dxa"/>
            <w:vAlign w:val="center"/>
          </w:tcPr>
          <w:p w14:paraId="67C01991">
            <w:pPr>
              <w:spacing w:line="240" w:lineRule="auto"/>
              <w:jc w:val="right"/>
            </w:pPr>
            <w:r>
              <w:rPr>
                <w:rFonts w:ascii="宋体" w:hAnsi="宋体" w:eastAsia="宋体" w:cs="宋体"/>
                <w:b w:val="0"/>
              </w:rPr>
              <w:t>-</w:t>
            </w:r>
          </w:p>
        </w:tc>
      </w:tr>
      <w:tr w14:paraId="4BBF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E615A4">
            <w:pPr>
              <w:spacing w:line="240" w:lineRule="auto"/>
              <w:jc w:val="left"/>
            </w:pPr>
            <w:r>
              <w:rPr>
                <w:rFonts w:ascii="宋体" w:hAnsi="宋体" w:eastAsia="宋体" w:cs="宋体"/>
                <w:b w:val="0"/>
              </w:rPr>
              <w:t>3.公允价值变动收益（损失以“-”号填列）</w:t>
            </w:r>
          </w:p>
        </w:tc>
        <w:tc>
          <w:tcPr>
            <w:tcW w:w="0" w:type="dxa"/>
            <w:vAlign w:val="center"/>
          </w:tcPr>
          <w:p w14:paraId="0C6B8139">
            <w:pPr>
              <w:spacing w:line="240" w:lineRule="auto"/>
              <w:jc w:val="center"/>
            </w:pPr>
            <w:r>
              <w:rPr>
                <w:rFonts w:ascii="宋体" w:hAnsi="宋体" w:eastAsia="宋体" w:cs="宋体"/>
                <w:b w:val="0"/>
              </w:rPr>
              <w:t>6.4.7.17</w:t>
            </w:r>
          </w:p>
        </w:tc>
        <w:tc>
          <w:tcPr>
            <w:tcW w:w="0" w:type="dxa"/>
            <w:vAlign w:val="center"/>
          </w:tcPr>
          <w:p w14:paraId="4A38FFBE">
            <w:pPr>
              <w:spacing w:line="240" w:lineRule="auto"/>
              <w:jc w:val="right"/>
            </w:pPr>
            <w:r>
              <w:rPr>
                <w:rFonts w:ascii="宋体" w:hAnsi="宋体" w:eastAsia="宋体" w:cs="宋体"/>
                <w:b w:val="0"/>
              </w:rPr>
              <w:t>-11,030,293.66</w:t>
            </w:r>
          </w:p>
        </w:tc>
        <w:tc>
          <w:tcPr>
            <w:tcW w:w="0" w:type="dxa"/>
            <w:vAlign w:val="center"/>
          </w:tcPr>
          <w:p w14:paraId="317D04D0">
            <w:pPr>
              <w:spacing w:line="240" w:lineRule="auto"/>
              <w:jc w:val="right"/>
            </w:pPr>
            <w:r>
              <w:rPr>
                <w:rFonts w:ascii="宋体" w:hAnsi="宋体" w:eastAsia="宋体" w:cs="宋体"/>
                <w:b w:val="0"/>
              </w:rPr>
              <w:t>-16,371,830.53</w:t>
            </w:r>
          </w:p>
        </w:tc>
      </w:tr>
      <w:tr w14:paraId="6018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459663">
            <w:pPr>
              <w:spacing w:line="240" w:lineRule="auto"/>
              <w:jc w:val="left"/>
            </w:pPr>
            <w:r>
              <w:rPr>
                <w:rFonts w:ascii="宋体" w:hAnsi="宋体" w:eastAsia="宋体" w:cs="宋体"/>
                <w:b w:val="0"/>
              </w:rPr>
              <w:t>4.汇兑收益（损失以“-”号填列）</w:t>
            </w:r>
          </w:p>
        </w:tc>
        <w:tc>
          <w:tcPr>
            <w:tcW w:w="0" w:type="dxa"/>
            <w:vAlign w:val="center"/>
          </w:tcPr>
          <w:p w14:paraId="29D9750C">
            <w:pPr>
              <w:spacing w:line="240" w:lineRule="auto"/>
              <w:jc w:val="center"/>
            </w:pPr>
          </w:p>
        </w:tc>
        <w:tc>
          <w:tcPr>
            <w:tcW w:w="0" w:type="dxa"/>
            <w:vAlign w:val="center"/>
          </w:tcPr>
          <w:p w14:paraId="2FF58738">
            <w:pPr>
              <w:spacing w:line="240" w:lineRule="auto"/>
              <w:jc w:val="right"/>
            </w:pPr>
            <w:r>
              <w:rPr>
                <w:rFonts w:ascii="宋体" w:hAnsi="宋体" w:eastAsia="宋体" w:cs="宋体"/>
                <w:b w:val="0"/>
              </w:rPr>
              <w:t>-</w:t>
            </w:r>
          </w:p>
        </w:tc>
        <w:tc>
          <w:tcPr>
            <w:tcW w:w="0" w:type="dxa"/>
            <w:vAlign w:val="center"/>
          </w:tcPr>
          <w:p w14:paraId="78E65FBC">
            <w:pPr>
              <w:spacing w:line="240" w:lineRule="auto"/>
              <w:jc w:val="right"/>
            </w:pPr>
            <w:r>
              <w:rPr>
                <w:rFonts w:ascii="宋体" w:hAnsi="宋体" w:eastAsia="宋体" w:cs="宋体"/>
                <w:b w:val="0"/>
              </w:rPr>
              <w:t>-</w:t>
            </w:r>
          </w:p>
        </w:tc>
      </w:tr>
      <w:tr w14:paraId="0CA4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698D67">
            <w:pPr>
              <w:spacing w:line="240" w:lineRule="auto"/>
              <w:jc w:val="left"/>
            </w:pPr>
            <w:r>
              <w:rPr>
                <w:rFonts w:ascii="宋体" w:hAnsi="宋体" w:eastAsia="宋体" w:cs="宋体"/>
                <w:b w:val="0"/>
              </w:rPr>
              <w:t>5.其他收入（损失以“-”号填列）</w:t>
            </w:r>
          </w:p>
        </w:tc>
        <w:tc>
          <w:tcPr>
            <w:tcW w:w="0" w:type="dxa"/>
            <w:vAlign w:val="center"/>
          </w:tcPr>
          <w:p w14:paraId="0E703FCD">
            <w:pPr>
              <w:spacing w:line="240" w:lineRule="auto"/>
              <w:jc w:val="center"/>
            </w:pPr>
          </w:p>
        </w:tc>
        <w:tc>
          <w:tcPr>
            <w:tcW w:w="0" w:type="dxa"/>
            <w:vAlign w:val="center"/>
          </w:tcPr>
          <w:p w14:paraId="490C256F">
            <w:pPr>
              <w:spacing w:line="240" w:lineRule="auto"/>
              <w:jc w:val="right"/>
            </w:pPr>
            <w:r>
              <w:rPr>
                <w:rFonts w:ascii="宋体" w:hAnsi="宋体" w:eastAsia="宋体" w:cs="宋体"/>
                <w:b w:val="0"/>
              </w:rPr>
              <w:t>-</w:t>
            </w:r>
          </w:p>
        </w:tc>
        <w:tc>
          <w:tcPr>
            <w:tcW w:w="0" w:type="dxa"/>
            <w:vAlign w:val="center"/>
          </w:tcPr>
          <w:p w14:paraId="66BA32F5">
            <w:pPr>
              <w:spacing w:line="240" w:lineRule="auto"/>
              <w:jc w:val="right"/>
            </w:pPr>
            <w:r>
              <w:rPr>
                <w:rFonts w:ascii="宋体" w:hAnsi="宋体" w:eastAsia="宋体" w:cs="宋体"/>
                <w:b w:val="0"/>
              </w:rPr>
              <w:t>-</w:t>
            </w:r>
          </w:p>
        </w:tc>
      </w:tr>
      <w:tr w14:paraId="5E50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BB0447">
            <w:pPr>
              <w:spacing w:line="240" w:lineRule="auto"/>
              <w:jc w:val="left"/>
            </w:pPr>
            <w:r>
              <w:rPr>
                <w:rFonts w:ascii="宋体" w:hAnsi="宋体" w:eastAsia="宋体" w:cs="宋体"/>
                <w:b/>
              </w:rPr>
              <w:t>减：二、营业总支出</w:t>
            </w:r>
          </w:p>
        </w:tc>
        <w:tc>
          <w:tcPr>
            <w:tcW w:w="0" w:type="dxa"/>
            <w:vAlign w:val="center"/>
          </w:tcPr>
          <w:p w14:paraId="7B054B54">
            <w:pPr>
              <w:spacing w:line="240" w:lineRule="auto"/>
              <w:jc w:val="center"/>
            </w:pPr>
          </w:p>
        </w:tc>
        <w:tc>
          <w:tcPr>
            <w:tcW w:w="0" w:type="dxa"/>
            <w:vAlign w:val="center"/>
          </w:tcPr>
          <w:p w14:paraId="10AA0F1B">
            <w:pPr>
              <w:spacing w:line="240" w:lineRule="auto"/>
              <w:jc w:val="right"/>
            </w:pPr>
            <w:r>
              <w:rPr>
                <w:rFonts w:ascii="宋体" w:hAnsi="宋体" w:eastAsia="宋体" w:cs="宋体"/>
                <w:b w:val="0"/>
              </w:rPr>
              <w:t>520,859.01</w:t>
            </w:r>
          </w:p>
        </w:tc>
        <w:tc>
          <w:tcPr>
            <w:tcW w:w="0" w:type="dxa"/>
            <w:vAlign w:val="center"/>
          </w:tcPr>
          <w:p w14:paraId="4B638D6C">
            <w:pPr>
              <w:spacing w:line="240" w:lineRule="auto"/>
              <w:jc w:val="right"/>
            </w:pPr>
            <w:r>
              <w:rPr>
                <w:rFonts w:ascii="宋体" w:hAnsi="宋体" w:eastAsia="宋体" w:cs="宋体"/>
                <w:b w:val="0"/>
              </w:rPr>
              <w:t>1,324,172.18</w:t>
            </w:r>
          </w:p>
        </w:tc>
      </w:tr>
      <w:tr w14:paraId="608A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79F98F">
            <w:pPr>
              <w:spacing w:line="240" w:lineRule="auto"/>
              <w:jc w:val="left"/>
            </w:pPr>
            <w:r>
              <w:rPr>
                <w:rFonts w:ascii="宋体" w:hAnsi="宋体" w:eastAsia="宋体" w:cs="宋体"/>
                <w:b w:val="0"/>
              </w:rPr>
              <w:t>1.管理人报酬</w:t>
            </w:r>
          </w:p>
        </w:tc>
        <w:tc>
          <w:tcPr>
            <w:tcW w:w="0" w:type="dxa"/>
            <w:vAlign w:val="center"/>
          </w:tcPr>
          <w:p w14:paraId="76034828">
            <w:pPr>
              <w:spacing w:line="240" w:lineRule="auto"/>
              <w:jc w:val="center"/>
            </w:pPr>
            <w:r>
              <w:rPr>
                <w:rFonts w:ascii="宋体" w:hAnsi="宋体" w:eastAsia="宋体" w:cs="宋体"/>
                <w:b w:val="0"/>
              </w:rPr>
              <w:t>6.4.10.2.1</w:t>
            </w:r>
          </w:p>
        </w:tc>
        <w:tc>
          <w:tcPr>
            <w:tcW w:w="0" w:type="dxa"/>
            <w:vAlign w:val="center"/>
          </w:tcPr>
          <w:p w14:paraId="31D79BEB">
            <w:pPr>
              <w:spacing w:line="240" w:lineRule="auto"/>
              <w:jc w:val="right"/>
            </w:pPr>
            <w:r>
              <w:rPr>
                <w:rFonts w:ascii="宋体" w:hAnsi="宋体" w:eastAsia="宋体" w:cs="宋体"/>
                <w:b w:val="0"/>
              </w:rPr>
              <w:t>379,992.27</w:t>
            </w:r>
          </w:p>
        </w:tc>
        <w:tc>
          <w:tcPr>
            <w:tcW w:w="0" w:type="dxa"/>
            <w:vAlign w:val="center"/>
          </w:tcPr>
          <w:p w14:paraId="75F9F73E">
            <w:pPr>
              <w:spacing w:line="240" w:lineRule="auto"/>
              <w:jc w:val="right"/>
            </w:pPr>
            <w:r>
              <w:rPr>
                <w:rFonts w:ascii="宋体" w:hAnsi="宋体" w:eastAsia="宋体" w:cs="宋体"/>
                <w:b w:val="0"/>
              </w:rPr>
              <w:t>994,139.86</w:t>
            </w:r>
          </w:p>
        </w:tc>
      </w:tr>
      <w:tr w14:paraId="3CF4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F3D1B1">
            <w:pPr>
              <w:spacing w:line="240" w:lineRule="auto"/>
              <w:jc w:val="left"/>
            </w:pPr>
            <w:r>
              <w:rPr>
                <w:rFonts w:ascii="宋体" w:hAnsi="宋体" w:eastAsia="宋体" w:cs="宋体"/>
                <w:b w:val="0"/>
              </w:rPr>
              <w:t>2.托管费</w:t>
            </w:r>
          </w:p>
        </w:tc>
        <w:tc>
          <w:tcPr>
            <w:tcW w:w="0" w:type="dxa"/>
            <w:vAlign w:val="center"/>
          </w:tcPr>
          <w:p w14:paraId="32821E79">
            <w:pPr>
              <w:spacing w:line="240" w:lineRule="auto"/>
              <w:jc w:val="center"/>
            </w:pPr>
            <w:r>
              <w:rPr>
                <w:rFonts w:ascii="宋体" w:hAnsi="宋体" w:eastAsia="宋体" w:cs="宋体"/>
                <w:b w:val="0"/>
              </w:rPr>
              <w:t>6.4.10.2.2</w:t>
            </w:r>
          </w:p>
        </w:tc>
        <w:tc>
          <w:tcPr>
            <w:tcW w:w="0" w:type="dxa"/>
            <w:vAlign w:val="center"/>
          </w:tcPr>
          <w:p w14:paraId="2BD15DDC">
            <w:pPr>
              <w:spacing w:line="240" w:lineRule="auto"/>
              <w:jc w:val="right"/>
            </w:pPr>
            <w:r>
              <w:rPr>
                <w:rFonts w:ascii="宋体" w:hAnsi="宋体" w:eastAsia="宋体" w:cs="宋体"/>
                <w:b w:val="0"/>
              </w:rPr>
              <w:t>63,332.00</w:t>
            </w:r>
          </w:p>
        </w:tc>
        <w:tc>
          <w:tcPr>
            <w:tcW w:w="0" w:type="dxa"/>
            <w:vAlign w:val="center"/>
          </w:tcPr>
          <w:p w14:paraId="36628C47">
            <w:pPr>
              <w:spacing w:line="240" w:lineRule="auto"/>
              <w:jc w:val="right"/>
            </w:pPr>
            <w:r>
              <w:rPr>
                <w:rFonts w:ascii="宋体" w:hAnsi="宋体" w:eastAsia="宋体" w:cs="宋体"/>
                <w:b w:val="0"/>
              </w:rPr>
              <w:t>165,689.94</w:t>
            </w:r>
          </w:p>
        </w:tc>
      </w:tr>
      <w:tr w14:paraId="7B7F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912D76">
            <w:pPr>
              <w:spacing w:line="240" w:lineRule="auto"/>
              <w:jc w:val="left"/>
            </w:pPr>
            <w:r>
              <w:rPr>
                <w:rFonts w:ascii="宋体" w:hAnsi="宋体" w:eastAsia="宋体" w:cs="宋体"/>
                <w:b w:val="0"/>
              </w:rPr>
              <w:t>3.销售服务费</w:t>
            </w:r>
          </w:p>
        </w:tc>
        <w:tc>
          <w:tcPr>
            <w:tcW w:w="0" w:type="dxa"/>
            <w:vAlign w:val="center"/>
          </w:tcPr>
          <w:p w14:paraId="1C4E8631">
            <w:pPr>
              <w:spacing w:line="240" w:lineRule="auto"/>
              <w:jc w:val="center"/>
            </w:pPr>
            <w:r>
              <w:rPr>
                <w:rFonts w:ascii="宋体" w:hAnsi="宋体" w:eastAsia="宋体" w:cs="宋体"/>
                <w:b w:val="0"/>
              </w:rPr>
              <w:t>6.4.10.2.3</w:t>
            </w:r>
          </w:p>
        </w:tc>
        <w:tc>
          <w:tcPr>
            <w:tcW w:w="0" w:type="dxa"/>
            <w:vAlign w:val="center"/>
          </w:tcPr>
          <w:p w14:paraId="194EFB51">
            <w:pPr>
              <w:spacing w:line="240" w:lineRule="auto"/>
              <w:jc w:val="right"/>
            </w:pPr>
            <w:r>
              <w:rPr>
                <w:rFonts w:ascii="宋体" w:hAnsi="宋体" w:eastAsia="宋体" w:cs="宋体"/>
                <w:b w:val="0"/>
              </w:rPr>
              <w:t>29,055.29</w:t>
            </w:r>
          </w:p>
        </w:tc>
        <w:tc>
          <w:tcPr>
            <w:tcW w:w="0" w:type="dxa"/>
            <w:vAlign w:val="center"/>
          </w:tcPr>
          <w:p w14:paraId="2DDF7456">
            <w:pPr>
              <w:spacing w:line="240" w:lineRule="auto"/>
              <w:jc w:val="right"/>
            </w:pPr>
            <w:r>
              <w:rPr>
                <w:rFonts w:ascii="宋体" w:hAnsi="宋体" w:eastAsia="宋体" w:cs="宋体"/>
                <w:b w:val="0"/>
              </w:rPr>
              <w:t>84,079.14</w:t>
            </w:r>
          </w:p>
        </w:tc>
      </w:tr>
      <w:tr w14:paraId="3F72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D64DF7">
            <w:pPr>
              <w:spacing w:line="240" w:lineRule="auto"/>
              <w:jc w:val="left"/>
            </w:pPr>
            <w:r>
              <w:rPr>
                <w:rFonts w:ascii="宋体" w:hAnsi="宋体" w:eastAsia="宋体" w:cs="宋体"/>
                <w:b w:val="0"/>
              </w:rPr>
              <w:t>4.投资顾问费</w:t>
            </w:r>
          </w:p>
        </w:tc>
        <w:tc>
          <w:tcPr>
            <w:tcW w:w="0" w:type="dxa"/>
            <w:vAlign w:val="center"/>
          </w:tcPr>
          <w:p w14:paraId="025B5EE3">
            <w:pPr>
              <w:spacing w:line="240" w:lineRule="auto"/>
              <w:jc w:val="center"/>
            </w:pPr>
          </w:p>
        </w:tc>
        <w:tc>
          <w:tcPr>
            <w:tcW w:w="0" w:type="dxa"/>
            <w:vAlign w:val="center"/>
          </w:tcPr>
          <w:p w14:paraId="655BF271">
            <w:pPr>
              <w:spacing w:line="240" w:lineRule="auto"/>
              <w:jc w:val="right"/>
            </w:pPr>
            <w:r>
              <w:rPr>
                <w:rFonts w:ascii="宋体" w:hAnsi="宋体" w:eastAsia="宋体" w:cs="宋体"/>
                <w:b w:val="0"/>
              </w:rPr>
              <w:t>-</w:t>
            </w:r>
          </w:p>
        </w:tc>
        <w:tc>
          <w:tcPr>
            <w:tcW w:w="0" w:type="dxa"/>
            <w:vAlign w:val="center"/>
          </w:tcPr>
          <w:p w14:paraId="4D80C142">
            <w:pPr>
              <w:spacing w:line="240" w:lineRule="auto"/>
              <w:jc w:val="right"/>
            </w:pPr>
            <w:r>
              <w:rPr>
                <w:rFonts w:ascii="宋体" w:hAnsi="宋体" w:eastAsia="宋体" w:cs="宋体"/>
                <w:b w:val="0"/>
              </w:rPr>
              <w:t>-</w:t>
            </w:r>
          </w:p>
        </w:tc>
      </w:tr>
      <w:tr w14:paraId="1373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032ED2">
            <w:pPr>
              <w:spacing w:line="240" w:lineRule="auto"/>
              <w:jc w:val="left"/>
            </w:pPr>
            <w:r>
              <w:rPr>
                <w:rFonts w:ascii="宋体" w:hAnsi="宋体" w:eastAsia="宋体" w:cs="宋体"/>
                <w:b w:val="0"/>
              </w:rPr>
              <w:t>5.利息支出</w:t>
            </w:r>
          </w:p>
        </w:tc>
        <w:tc>
          <w:tcPr>
            <w:tcW w:w="0" w:type="dxa"/>
            <w:vAlign w:val="center"/>
          </w:tcPr>
          <w:p w14:paraId="0E9A3CC4">
            <w:pPr>
              <w:spacing w:line="240" w:lineRule="auto"/>
              <w:jc w:val="center"/>
            </w:pPr>
          </w:p>
        </w:tc>
        <w:tc>
          <w:tcPr>
            <w:tcW w:w="0" w:type="dxa"/>
            <w:vAlign w:val="center"/>
          </w:tcPr>
          <w:p w14:paraId="49B8086B">
            <w:pPr>
              <w:spacing w:line="240" w:lineRule="auto"/>
              <w:jc w:val="right"/>
            </w:pPr>
            <w:r>
              <w:rPr>
                <w:rFonts w:ascii="宋体" w:hAnsi="宋体" w:eastAsia="宋体" w:cs="宋体"/>
                <w:b w:val="0"/>
              </w:rPr>
              <w:t>1,529.49</w:t>
            </w:r>
          </w:p>
        </w:tc>
        <w:tc>
          <w:tcPr>
            <w:tcW w:w="0" w:type="dxa"/>
            <w:vAlign w:val="center"/>
          </w:tcPr>
          <w:p w14:paraId="0C868EE4">
            <w:pPr>
              <w:spacing w:line="240" w:lineRule="auto"/>
              <w:jc w:val="right"/>
            </w:pPr>
            <w:r>
              <w:rPr>
                <w:rFonts w:ascii="宋体" w:hAnsi="宋体" w:eastAsia="宋体" w:cs="宋体"/>
                <w:b w:val="0"/>
              </w:rPr>
              <w:t>-</w:t>
            </w:r>
          </w:p>
        </w:tc>
      </w:tr>
      <w:tr w14:paraId="536A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EC937E">
            <w:pPr>
              <w:spacing w:line="240" w:lineRule="auto"/>
              <w:jc w:val="left"/>
            </w:pPr>
            <w:r>
              <w:rPr>
                <w:rFonts w:ascii="宋体" w:hAnsi="宋体" w:eastAsia="宋体" w:cs="宋体"/>
                <w:b w:val="0"/>
              </w:rPr>
              <w:t>其中：卖出回购金融资产支出</w:t>
            </w:r>
          </w:p>
        </w:tc>
        <w:tc>
          <w:tcPr>
            <w:tcW w:w="0" w:type="dxa"/>
            <w:vAlign w:val="center"/>
          </w:tcPr>
          <w:p w14:paraId="31660531">
            <w:pPr>
              <w:spacing w:line="240" w:lineRule="auto"/>
              <w:jc w:val="center"/>
            </w:pPr>
          </w:p>
        </w:tc>
        <w:tc>
          <w:tcPr>
            <w:tcW w:w="0" w:type="dxa"/>
            <w:vAlign w:val="center"/>
          </w:tcPr>
          <w:p w14:paraId="35B824B6">
            <w:pPr>
              <w:spacing w:line="240" w:lineRule="auto"/>
              <w:jc w:val="right"/>
            </w:pPr>
            <w:r>
              <w:rPr>
                <w:rFonts w:ascii="宋体" w:hAnsi="宋体" w:eastAsia="宋体" w:cs="宋体"/>
                <w:b w:val="0"/>
              </w:rPr>
              <w:t>1,529.49</w:t>
            </w:r>
          </w:p>
        </w:tc>
        <w:tc>
          <w:tcPr>
            <w:tcW w:w="0" w:type="dxa"/>
            <w:vAlign w:val="center"/>
          </w:tcPr>
          <w:p w14:paraId="0026DB32">
            <w:pPr>
              <w:spacing w:line="240" w:lineRule="auto"/>
              <w:jc w:val="right"/>
            </w:pPr>
            <w:r>
              <w:rPr>
                <w:rFonts w:ascii="宋体" w:hAnsi="宋体" w:eastAsia="宋体" w:cs="宋体"/>
                <w:b w:val="0"/>
              </w:rPr>
              <w:t>-</w:t>
            </w:r>
          </w:p>
        </w:tc>
      </w:tr>
      <w:tr w14:paraId="3D22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827FAE">
            <w:pPr>
              <w:spacing w:line="240" w:lineRule="auto"/>
              <w:jc w:val="left"/>
            </w:pPr>
            <w:r>
              <w:rPr>
                <w:rFonts w:ascii="宋体" w:hAnsi="宋体" w:eastAsia="宋体" w:cs="宋体"/>
                <w:b w:val="0"/>
              </w:rPr>
              <w:t>6.信用减值损失</w:t>
            </w:r>
          </w:p>
        </w:tc>
        <w:tc>
          <w:tcPr>
            <w:tcW w:w="0" w:type="dxa"/>
            <w:vAlign w:val="center"/>
          </w:tcPr>
          <w:p w14:paraId="2B316093">
            <w:pPr>
              <w:spacing w:line="240" w:lineRule="auto"/>
              <w:jc w:val="center"/>
            </w:pPr>
          </w:p>
        </w:tc>
        <w:tc>
          <w:tcPr>
            <w:tcW w:w="0" w:type="dxa"/>
            <w:vAlign w:val="center"/>
          </w:tcPr>
          <w:p w14:paraId="004850E7">
            <w:pPr>
              <w:spacing w:line="240" w:lineRule="auto"/>
              <w:jc w:val="right"/>
            </w:pPr>
            <w:r>
              <w:rPr>
                <w:rFonts w:ascii="宋体" w:hAnsi="宋体" w:eastAsia="宋体" w:cs="宋体"/>
                <w:b w:val="0"/>
              </w:rPr>
              <w:t>-</w:t>
            </w:r>
          </w:p>
        </w:tc>
        <w:tc>
          <w:tcPr>
            <w:tcW w:w="0" w:type="dxa"/>
            <w:vAlign w:val="center"/>
          </w:tcPr>
          <w:p w14:paraId="66FFEE4A">
            <w:pPr>
              <w:spacing w:line="240" w:lineRule="auto"/>
              <w:jc w:val="right"/>
            </w:pPr>
            <w:r>
              <w:rPr>
                <w:rFonts w:ascii="宋体" w:hAnsi="宋体" w:eastAsia="宋体" w:cs="宋体"/>
                <w:b w:val="0"/>
              </w:rPr>
              <w:t>-</w:t>
            </w:r>
          </w:p>
        </w:tc>
      </w:tr>
      <w:tr w14:paraId="4863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F34E6C">
            <w:pPr>
              <w:spacing w:line="240" w:lineRule="auto"/>
              <w:jc w:val="left"/>
            </w:pPr>
            <w:r>
              <w:rPr>
                <w:rFonts w:ascii="宋体" w:hAnsi="宋体" w:eastAsia="宋体" w:cs="宋体"/>
                <w:b w:val="0"/>
              </w:rPr>
              <w:t>7.税金及附加</w:t>
            </w:r>
          </w:p>
        </w:tc>
        <w:tc>
          <w:tcPr>
            <w:tcW w:w="0" w:type="dxa"/>
            <w:vAlign w:val="center"/>
          </w:tcPr>
          <w:p w14:paraId="415995A5">
            <w:pPr>
              <w:spacing w:line="240" w:lineRule="auto"/>
              <w:jc w:val="center"/>
            </w:pPr>
          </w:p>
        </w:tc>
        <w:tc>
          <w:tcPr>
            <w:tcW w:w="0" w:type="dxa"/>
            <w:vAlign w:val="center"/>
          </w:tcPr>
          <w:p w14:paraId="374F4216">
            <w:pPr>
              <w:spacing w:line="240" w:lineRule="auto"/>
              <w:jc w:val="right"/>
            </w:pPr>
            <w:r>
              <w:rPr>
                <w:rFonts w:ascii="宋体" w:hAnsi="宋体" w:eastAsia="宋体" w:cs="宋体"/>
                <w:b w:val="0"/>
              </w:rPr>
              <w:t>-</w:t>
            </w:r>
          </w:p>
        </w:tc>
        <w:tc>
          <w:tcPr>
            <w:tcW w:w="0" w:type="dxa"/>
            <w:vAlign w:val="center"/>
          </w:tcPr>
          <w:p w14:paraId="7E2652C0">
            <w:pPr>
              <w:spacing w:line="240" w:lineRule="auto"/>
              <w:jc w:val="right"/>
            </w:pPr>
            <w:r>
              <w:rPr>
                <w:rFonts w:ascii="宋体" w:hAnsi="宋体" w:eastAsia="宋体" w:cs="宋体"/>
                <w:b w:val="0"/>
              </w:rPr>
              <w:t>-</w:t>
            </w:r>
          </w:p>
        </w:tc>
      </w:tr>
      <w:tr w14:paraId="32C8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A8BCAF">
            <w:pPr>
              <w:spacing w:line="240" w:lineRule="auto"/>
              <w:jc w:val="left"/>
            </w:pPr>
            <w:r>
              <w:rPr>
                <w:rFonts w:ascii="宋体" w:hAnsi="宋体" w:eastAsia="宋体" w:cs="宋体"/>
                <w:b w:val="0"/>
              </w:rPr>
              <w:t>8.其他费用</w:t>
            </w:r>
          </w:p>
        </w:tc>
        <w:tc>
          <w:tcPr>
            <w:tcW w:w="0" w:type="dxa"/>
            <w:vAlign w:val="center"/>
          </w:tcPr>
          <w:p w14:paraId="133D3CB1">
            <w:pPr>
              <w:spacing w:line="240" w:lineRule="auto"/>
              <w:jc w:val="center"/>
            </w:pPr>
            <w:r>
              <w:rPr>
                <w:rFonts w:ascii="宋体" w:hAnsi="宋体" w:eastAsia="宋体" w:cs="宋体"/>
                <w:b w:val="0"/>
              </w:rPr>
              <w:t>6.4.7.18</w:t>
            </w:r>
          </w:p>
        </w:tc>
        <w:tc>
          <w:tcPr>
            <w:tcW w:w="0" w:type="dxa"/>
            <w:vAlign w:val="center"/>
          </w:tcPr>
          <w:p w14:paraId="35D39A1C">
            <w:pPr>
              <w:spacing w:line="240" w:lineRule="auto"/>
              <w:jc w:val="right"/>
            </w:pPr>
            <w:r>
              <w:rPr>
                <w:rFonts w:ascii="宋体" w:hAnsi="宋体" w:eastAsia="宋体" w:cs="宋体"/>
                <w:b w:val="0"/>
              </w:rPr>
              <w:t>46,949.96</w:t>
            </w:r>
          </w:p>
        </w:tc>
        <w:tc>
          <w:tcPr>
            <w:tcW w:w="0" w:type="dxa"/>
            <w:vAlign w:val="center"/>
          </w:tcPr>
          <w:p w14:paraId="6CA53FB5">
            <w:pPr>
              <w:spacing w:line="240" w:lineRule="auto"/>
              <w:jc w:val="right"/>
            </w:pPr>
            <w:r>
              <w:rPr>
                <w:rFonts w:ascii="宋体" w:hAnsi="宋体" w:eastAsia="宋体" w:cs="宋体"/>
                <w:b w:val="0"/>
              </w:rPr>
              <w:t>80,263.24</w:t>
            </w:r>
          </w:p>
        </w:tc>
      </w:tr>
      <w:tr w14:paraId="121C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645788">
            <w:pPr>
              <w:spacing w:line="240" w:lineRule="auto"/>
              <w:jc w:val="left"/>
            </w:pPr>
            <w:r>
              <w:rPr>
                <w:rFonts w:ascii="宋体" w:hAnsi="宋体" w:eastAsia="宋体" w:cs="宋体"/>
                <w:b/>
              </w:rPr>
              <w:t>三、利润总额（亏损总额以“-”号填列）</w:t>
            </w:r>
          </w:p>
        </w:tc>
        <w:tc>
          <w:tcPr>
            <w:tcW w:w="0" w:type="dxa"/>
            <w:vAlign w:val="center"/>
          </w:tcPr>
          <w:p w14:paraId="60DFB824">
            <w:pPr>
              <w:spacing w:line="240" w:lineRule="auto"/>
              <w:jc w:val="center"/>
            </w:pPr>
          </w:p>
        </w:tc>
        <w:tc>
          <w:tcPr>
            <w:tcW w:w="0" w:type="dxa"/>
            <w:vAlign w:val="center"/>
          </w:tcPr>
          <w:p w14:paraId="60A1B126">
            <w:pPr>
              <w:spacing w:line="240" w:lineRule="auto"/>
              <w:jc w:val="right"/>
            </w:pPr>
            <w:r>
              <w:rPr>
                <w:rFonts w:ascii="宋体" w:hAnsi="宋体" w:eastAsia="宋体" w:cs="宋体"/>
                <w:b w:val="0"/>
              </w:rPr>
              <w:t>-455,343.84</w:t>
            </w:r>
          </w:p>
        </w:tc>
        <w:tc>
          <w:tcPr>
            <w:tcW w:w="0" w:type="dxa"/>
            <w:vAlign w:val="center"/>
          </w:tcPr>
          <w:p w14:paraId="0F45B3E3">
            <w:pPr>
              <w:spacing w:line="240" w:lineRule="auto"/>
              <w:jc w:val="right"/>
            </w:pPr>
            <w:r>
              <w:rPr>
                <w:rFonts w:ascii="宋体" w:hAnsi="宋体" w:eastAsia="宋体" w:cs="宋体"/>
                <w:b w:val="0"/>
              </w:rPr>
              <w:t>-966,660.61</w:t>
            </w:r>
          </w:p>
        </w:tc>
      </w:tr>
      <w:tr w14:paraId="5DCB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848E1A">
            <w:pPr>
              <w:spacing w:line="240" w:lineRule="auto"/>
              <w:jc w:val="left"/>
            </w:pPr>
            <w:r>
              <w:rPr>
                <w:rFonts w:ascii="宋体" w:hAnsi="宋体" w:eastAsia="宋体" w:cs="宋体"/>
                <w:b w:val="0"/>
              </w:rPr>
              <w:t>减：所得税费用</w:t>
            </w:r>
          </w:p>
        </w:tc>
        <w:tc>
          <w:tcPr>
            <w:tcW w:w="0" w:type="dxa"/>
            <w:vAlign w:val="center"/>
          </w:tcPr>
          <w:p w14:paraId="6124ABF4">
            <w:pPr>
              <w:spacing w:line="240" w:lineRule="auto"/>
              <w:jc w:val="center"/>
            </w:pPr>
          </w:p>
        </w:tc>
        <w:tc>
          <w:tcPr>
            <w:tcW w:w="0" w:type="dxa"/>
            <w:vAlign w:val="center"/>
          </w:tcPr>
          <w:p w14:paraId="51B85C7E">
            <w:pPr>
              <w:spacing w:line="240" w:lineRule="auto"/>
              <w:jc w:val="right"/>
            </w:pPr>
            <w:r>
              <w:rPr>
                <w:rFonts w:ascii="宋体" w:hAnsi="宋体" w:eastAsia="宋体" w:cs="宋体"/>
                <w:b w:val="0"/>
              </w:rPr>
              <w:t>-</w:t>
            </w:r>
          </w:p>
        </w:tc>
        <w:tc>
          <w:tcPr>
            <w:tcW w:w="0" w:type="dxa"/>
            <w:vAlign w:val="center"/>
          </w:tcPr>
          <w:p w14:paraId="59ED7B56">
            <w:pPr>
              <w:spacing w:line="240" w:lineRule="auto"/>
              <w:jc w:val="right"/>
            </w:pPr>
            <w:r>
              <w:rPr>
                <w:rFonts w:ascii="宋体" w:hAnsi="宋体" w:eastAsia="宋体" w:cs="宋体"/>
                <w:b w:val="0"/>
              </w:rPr>
              <w:t>-</w:t>
            </w:r>
          </w:p>
        </w:tc>
      </w:tr>
      <w:tr w14:paraId="5352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3C9AC0">
            <w:pPr>
              <w:spacing w:line="240" w:lineRule="auto"/>
              <w:jc w:val="left"/>
            </w:pPr>
            <w:r>
              <w:rPr>
                <w:rFonts w:ascii="宋体" w:hAnsi="宋体" w:eastAsia="宋体" w:cs="宋体"/>
                <w:b/>
              </w:rPr>
              <w:t>四、净利润（净亏损以“-”号填列）</w:t>
            </w:r>
          </w:p>
        </w:tc>
        <w:tc>
          <w:tcPr>
            <w:tcW w:w="0" w:type="dxa"/>
            <w:vAlign w:val="center"/>
          </w:tcPr>
          <w:p w14:paraId="7196C8B4">
            <w:pPr>
              <w:spacing w:line="240" w:lineRule="auto"/>
              <w:jc w:val="center"/>
            </w:pPr>
          </w:p>
        </w:tc>
        <w:tc>
          <w:tcPr>
            <w:tcW w:w="0" w:type="dxa"/>
            <w:vAlign w:val="center"/>
          </w:tcPr>
          <w:p w14:paraId="3002D42B">
            <w:pPr>
              <w:spacing w:line="240" w:lineRule="auto"/>
              <w:jc w:val="right"/>
            </w:pPr>
            <w:r>
              <w:rPr>
                <w:rFonts w:ascii="宋体" w:hAnsi="宋体" w:eastAsia="宋体" w:cs="宋体"/>
                <w:b w:val="0"/>
              </w:rPr>
              <w:t>-455,343.84</w:t>
            </w:r>
          </w:p>
        </w:tc>
        <w:tc>
          <w:tcPr>
            <w:tcW w:w="0" w:type="dxa"/>
            <w:vAlign w:val="center"/>
          </w:tcPr>
          <w:p w14:paraId="5B5FDEAD">
            <w:pPr>
              <w:spacing w:line="240" w:lineRule="auto"/>
              <w:jc w:val="right"/>
            </w:pPr>
            <w:r>
              <w:rPr>
                <w:rFonts w:ascii="宋体" w:hAnsi="宋体" w:eastAsia="宋体" w:cs="宋体"/>
                <w:b w:val="0"/>
              </w:rPr>
              <w:t>-966,660.61</w:t>
            </w:r>
          </w:p>
        </w:tc>
      </w:tr>
      <w:tr w14:paraId="5E3F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D0B788">
            <w:pPr>
              <w:spacing w:line="240" w:lineRule="auto"/>
              <w:jc w:val="left"/>
            </w:pPr>
            <w:r>
              <w:rPr>
                <w:rFonts w:ascii="宋体" w:hAnsi="宋体" w:eastAsia="宋体" w:cs="宋体"/>
                <w:b/>
              </w:rPr>
              <w:t>五、其他综合收益的税后净额</w:t>
            </w:r>
          </w:p>
        </w:tc>
        <w:tc>
          <w:tcPr>
            <w:tcW w:w="0" w:type="dxa"/>
            <w:vAlign w:val="center"/>
          </w:tcPr>
          <w:p w14:paraId="2C22D1DF">
            <w:pPr>
              <w:spacing w:line="240" w:lineRule="auto"/>
              <w:jc w:val="center"/>
            </w:pPr>
          </w:p>
        </w:tc>
        <w:tc>
          <w:tcPr>
            <w:tcW w:w="0" w:type="dxa"/>
            <w:vAlign w:val="center"/>
          </w:tcPr>
          <w:p w14:paraId="0DEC7C63">
            <w:pPr>
              <w:spacing w:line="240" w:lineRule="auto"/>
              <w:jc w:val="right"/>
            </w:pPr>
            <w:r>
              <w:rPr>
                <w:rFonts w:ascii="宋体" w:hAnsi="宋体" w:eastAsia="宋体" w:cs="宋体"/>
                <w:b w:val="0"/>
              </w:rPr>
              <w:t>-</w:t>
            </w:r>
          </w:p>
        </w:tc>
        <w:tc>
          <w:tcPr>
            <w:tcW w:w="0" w:type="dxa"/>
            <w:vAlign w:val="center"/>
          </w:tcPr>
          <w:p w14:paraId="209FF9A0">
            <w:pPr>
              <w:spacing w:line="240" w:lineRule="auto"/>
              <w:jc w:val="right"/>
            </w:pPr>
            <w:r>
              <w:rPr>
                <w:rFonts w:ascii="宋体" w:hAnsi="宋体" w:eastAsia="宋体" w:cs="宋体"/>
                <w:b w:val="0"/>
              </w:rPr>
              <w:t>-</w:t>
            </w:r>
          </w:p>
        </w:tc>
      </w:tr>
      <w:tr w14:paraId="1B76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DB69A0">
            <w:pPr>
              <w:spacing w:line="240" w:lineRule="auto"/>
              <w:jc w:val="left"/>
            </w:pPr>
            <w:r>
              <w:rPr>
                <w:rFonts w:ascii="宋体" w:hAnsi="宋体" w:eastAsia="宋体" w:cs="宋体"/>
                <w:b/>
              </w:rPr>
              <w:t>六、综合收益总额</w:t>
            </w:r>
          </w:p>
        </w:tc>
        <w:tc>
          <w:tcPr>
            <w:tcW w:w="0" w:type="dxa"/>
            <w:vAlign w:val="center"/>
          </w:tcPr>
          <w:p w14:paraId="665E600E">
            <w:pPr>
              <w:spacing w:line="240" w:lineRule="auto"/>
              <w:jc w:val="center"/>
            </w:pPr>
          </w:p>
        </w:tc>
        <w:tc>
          <w:tcPr>
            <w:tcW w:w="0" w:type="dxa"/>
            <w:vAlign w:val="center"/>
          </w:tcPr>
          <w:p w14:paraId="494FE820">
            <w:pPr>
              <w:spacing w:line="240" w:lineRule="auto"/>
              <w:jc w:val="right"/>
            </w:pPr>
            <w:r>
              <w:rPr>
                <w:rFonts w:ascii="宋体" w:hAnsi="宋体" w:eastAsia="宋体" w:cs="宋体"/>
                <w:b w:val="0"/>
              </w:rPr>
              <w:t>-455,343.84</w:t>
            </w:r>
          </w:p>
        </w:tc>
        <w:tc>
          <w:tcPr>
            <w:tcW w:w="0" w:type="dxa"/>
            <w:vAlign w:val="center"/>
          </w:tcPr>
          <w:p w14:paraId="7ABC0A41">
            <w:pPr>
              <w:spacing w:line="240" w:lineRule="auto"/>
              <w:jc w:val="right"/>
            </w:pPr>
            <w:r>
              <w:rPr>
                <w:rFonts w:ascii="宋体" w:hAnsi="宋体" w:eastAsia="宋体" w:cs="宋体"/>
                <w:b w:val="0"/>
              </w:rPr>
              <w:t>-966,660.61</w:t>
            </w:r>
          </w:p>
        </w:tc>
      </w:tr>
    </w:tbl>
    <w:p w14:paraId="3CDE0277"/>
    <w:p w14:paraId="403B7F98">
      <w:pPr>
        <w:pStyle w:val="3"/>
        <w:jc w:val="left"/>
      </w:pPr>
      <w:bookmarkStart w:id="30" w:name="_Toc14912"/>
      <w:r>
        <w:rPr>
          <w:rFonts w:ascii="宋体" w:hAnsi="宋体" w:eastAsia="宋体" w:cs="宋体"/>
        </w:rPr>
        <w:t>6.3 净资产变动表</w:t>
      </w:r>
      <w:bookmarkEnd w:id="30"/>
    </w:p>
    <w:p w14:paraId="77E20ECA">
      <w:pPr>
        <w:jc w:val="left"/>
      </w:pPr>
      <w:r>
        <w:rPr>
          <w:rFonts w:ascii="宋体" w:hAnsi="宋体" w:eastAsia="宋体" w:cs="宋体"/>
          <w:b w:val="0"/>
        </w:rPr>
        <w:t>会计主体：东方阿尔法兴科一年持有期混合型证券投资基金</w:t>
      </w:r>
    </w:p>
    <w:p w14:paraId="4D6644F8">
      <w:pPr>
        <w:jc w:val="left"/>
      </w:pPr>
      <w:r>
        <w:rPr>
          <w:rFonts w:ascii="宋体" w:hAnsi="宋体" w:eastAsia="宋体" w:cs="宋体"/>
          <w:b w:val="0"/>
        </w:rPr>
        <w:t>本报告期：2026年01月01日至2026年06月30日</w:t>
      </w:r>
    </w:p>
    <w:p w14:paraId="5B018DD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5"/>
        <w:gridCol w:w="2000"/>
        <w:gridCol w:w="2000"/>
        <w:gridCol w:w="2001"/>
      </w:tblGrid>
      <w:tr w14:paraId="3C08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6BA1DD6A">
            <w:pPr>
              <w:spacing w:line="240" w:lineRule="auto"/>
              <w:jc w:val="center"/>
            </w:pPr>
            <w:r>
              <w:rPr>
                <w:rFonts w:ascii="宋体" w:hAnsi="宋体" w:eastAsia="宋体" w:cs="宋体"/>
                <w:b/>
              </w:rPr>
              <w:t>项 目</w:t>
            </w:r>
          </w:p>
        </w:tc>
        <w:tc>
          <w:tcPr>
            <w:tcW w:w="3231" w:type="pct"/>
            <w:gridSpan w:val="3"/>
            <w:shd w:val="clear" w:color="auto" w:fill="D9D9D9"/>
            <w:vAlign w:val="center"/>
          </w:tcPr>
          <w:p w14:paraId="5B1E82B5">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3636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1978B43"/>
        </w:tc>
        <w:tc>
          <w:tcPr>
            <w:tcW w:w="1077" w:type="pct"/>
            <w:shd w:val="clear" w:color="auto" w:fill="D9D9D9"/>
            <w:vAlign w:val="center"/>
          </w:tcPr>
          <w:p w14:paraId="5BAC4CDC">
            <w:pPr>
              <w:spacing w:line="240" w:lineRule="auto"/>
              <w:jc w:val="center"/>
            </w:pPr>
            <w:r>
              <w:rPr>
                <w:rFonts w:ascii="宋体" w:hAnsi="宋体" w:eastAsia="宋体" w:cs="宋体"/>
                <w:b/>
              </w:rPr>
              <w:t>实收基金</w:t>
            </w:r>
          </w:p>
        </w:tc>
        <w:tc>
          <w:tcPr>
            <w:tcW w:w="1077" w:type="pct"/>
            <w:shd w:val="clear" w:color="auto" w:fill="D9D9D9"/>
            <w:vAlign w:val="center"/>
          </w:tcPr>
          <w:p w14:paraId="3B4386EA">
            <w:pPr>
              <w:spacing w:line="240" w:lineRule="auto"/>
              <w:jc w:val="center"/>
            </w:pPr>
            <w:r>
              <w:rPr>
                <w:rFonts w:ascii="宋体" w:hAnsi="宋体" w:eastAsia="宋体" w:cs="宋体"/>
                <w:b/>
              </w:rPr>
              <w:t>未分配利润</w:t>
            </w:r>
          </w:p>
        </w:tc>
        <w:tc>
          <w:tcPr>
            <w:tcW w:w="1077" w:type="pct"/>
            <w:shd w:val="clear" w:color="auto" w:fill="D9D9D9"/>
            <w:vAlign w:val="center"/>
          </w:tcPr>
          <w:p w14:paraId="03E3BC21">
            <w:pPr>
              <w:spacing w:line="240" w:lineRule="auto"/>
              <w:jc w:val="center"/>
            </w:pPr>
            <w:r>
              <w:rPr>
                <w:rFonts w:ascii="宋体" w:hAnsi="宋体" w:eastAsia="宋体" w:cs="宋体"/>
                <w:b/>
              </w:rPr>
              <w:t>净资产合计</w:t>
            </w:r>
          </w:p>
        </w:tc>
      </w:tr>
      <w:tr w14:paraId="5225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326874">
            <w:pPr>
              <w:spacing w:line="240" w:lineRule="auto"/>
              <w:jc w:val="left"/>
            </w:pPr>
            <w:r>
              <w:rPr>
                <w:rFonts w:ascii="宋体" w:hAnsi="宋体" w:eastAsia="宋体" w:cs="宋体"/>
                <w:b w:val="0"/>
              </w:rPr>
              <w:t>一、上期期末净资产</w:t>
            </w:r>
          </w:p>
        </w:tc>
        <w:tc>
          <w:tcPr>
            <w:tcW w:w="0" w:type="dxa"/>
            <w:vAlign w:val="center"/>
          </w:tcPr>
          <w:p w14:paraId="09B8FAF7">
            <w:pPr>
              <w:spacing w:line="240" w:lineRule="auto"/>
              <w:jc w:val="right"/>
            </w:pPr>
            <w:r>
              <w:rPr>
                <w:rFonts w:ascii="宋体" w:hAnsi="宋体" w:eastAsia="宋体" w:cs="宋体"/>
                <w:b w:val="0"/>
              </w:rPr>
              <w:t>73,590,923.52</w:t>
            </w:r>
          </w:p>
        </w:tc>
        <w:tc>
          <w:tcPr>
            <w:tcW w:w="0" w:type="dxa"/>
            <w:vAlign w:val="center"/>
          </w:tcPr>
          <w:p w14:paraId="4F9FC38A">
            <w:pPr>
              <w:spacing w:line="240" w:lineRule="auto"/>
              <w:jc w:val="right"/>
            </w:pPr>
            <w:r>
              <w:rPr>
                <w:rFonts w:ascii="宋体" w:hAnsi="宋体" w:eastAsia="宋体" w:cs="宋体"/>
                <w:b w:val="0"/>
              </w:rPr>
              <w:t>-1,046,450.95</w:t>
            </w:r>
          </w:p>
        </w:tc>
        <w:tc>
          <w:tcPr>
            <w:tcW w:w="0" w:type="dxa"/>
            <w:vAlign w:val="center"/>
          </w:tcPr>
          <w:p w14:paraId="41050543">
            <w:pPr>
              <w:spacing w:line="240" w:lineRule="auto"/>
              <w:jc w:val="right"/>
            </w:pPr>
            <w:r>
              <w:rPr>
                <w:rFonts w:ascii="宋体" w:hAnsi="宋体" w:eastAsia="宋体" w:cs="宋体"/>
                <w:b w:val="0"/>
              </w:rPr>
              <w:t>72,544,472.57</w:t>
            </w:r>
          </w:p>
        </w:tc>
      </w:tr>
      <w:tr w14:paraId="5E0D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F2E71E">
            <w:pPr>
              <w:spacing w:line="240" w:lineRule="auto"/>
              <w:jc w:val="left"/>
            </w:pPr>
            <w:r>
              <w:rPr>
                <w:rFonts w:ascii="宋体" w:hAnsi="宋体" w:eastAsia="宋体" w:cs="宋体"/>
                <w:b w:val="0"/>
              </w:rPr>
              <w:t>二、本期期初净资产</w:t>
            </w:r>
          </w:p>
        </w:tc>
        <w:tc>
          <w:tcPr>
            <w:tcW w:w="0" w:type="dxa"/>
            <w:vAlign w:val="center"/>
          </w:tcPr>
          <w:p w14:paraId="1F35A7A0">
            <w:pPr>
              <w:spacing w:line="240" w:lineRule="auto"/>
              <w:jc w:val="right"/>
            </w:pPr>
            <w:r>
              <w:rPr>
                <w:rFonts w:ascii="宋体" w:hAnsi="宋体" w:eastAsia="宋体" w:cs="宋体"/>
                <w:b w:val="0"/>
              </w:rPr>
              <w:t>73,590,923.52</w:t>
            </w:r>
          </w:p>
        </w:tc>
        <w:tc>
          <w:tcPr>
            <w:tcW w:w="0" w:type="dxa"/>
            <w:vAlign w:val="center"/>
          </w:tcPr>
          <w:p w14:paraId="3B011929">
            <w:pPr>
              <w:spacing w:line="240" w:lineRule="auto"/>
              <w:jc w:val="right"/>
            </w:pPr>
            <w:r>
              <w:rPr>
                <w:rFonts w:ascii="宋体" w:hAnsi="宋体" w:eastAsia="宋体" w:cs="宋体"/>
                <w:b w:val="0"/>
              </w:rPr>
              <w:t>-1,046,450.95</w:t>
            </w:r>
          </w:p>
        </w:tc>
        <w:tc>
          <w:tcPr>
            <w:tcW w:w="0" w:type="dxa"/>
            <w:vAlign w:val="center"/>
          </w:tcPr>
          <w:p w14:paraId="3C92C854">
            <w:pPr>
              <w:spacing w:line="240" w:lineRule="auto"/>
              <w:jc w:val="right"/>
            </w:pPr>
            <w:r>
              <w:rPr>
                <w:rFonts w:ascii="宋体" w:hAnsi="宋体" w:eastAsia="宋体" w:cs="宋体"/>
                <w:b w:val="0"/>
              </w:rPr>
              <w:t>72,544,472.57</w:t>
            </w:r>
          </w:p>
        </w:tc>
      </w:tr>
      <w:tr w14:paraId="24E6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BC5A4C">
            <w:pPr>
              <w:spacing w:line="240" w:lineRule="auto"/>
              <w:jc w:val="left"/>
            </w:pPr>
            <w:r>
              <w:rPr>
                <w:rFonts w:ascii="宋体" w:hAnsi="宋体" w:eastAsia="宋体" w:cs="宋体"/>
                <w:b w:val="0"/>
              </w:rPr>
              <w:t>三、本期增减变动额（减少以“-”号填列）</w:t>
            </w:r>
          </w:p>
        </w:tc>
        <w:tc>
          <w:tcPr>
            <w:tcW w:w="0" w:type="dxa"/>
            <w:vAlign w:val="center"/>
          </w:tcPr>
          <w:p w14:paraId="5C31A3E5">
            <w:pPr>
              <w:spacing w:line="240" w:lineRule="auto"/>
              <w:jc w:val="right"/>
            </w:pPr>
            <w:r>
              <w:rPr>
                <w:rFonts w:ascii="宋体" w:hAnsi="宋体" w:eastAsia="宋体" w:cs="宋体"/>
                <w:b w:val="0"/>
              </w:rPr>
              <w:t>-20,402,876.03</w:t>
            </w:r>
          </w:p>
        </w:tc>
        <w:tc>
          <w:tcPr>
            <w:tcW w:w="0" w:type="dxa"/>
            <w:vAlign w:val="center"/>
          </w:tcPr>
          <w:p w14:paraId="39352A1D">
            <w:pPr>
              <w:spacing w:line="240" w:lineRule="auto"/>
              <w:jc w:val="right"/>
            </w:pPr>
            <w:r>
              <w:rPr>
                <w:rFonts w:ascii="宋体" w:hAnsi="宋体" w:eastAsia="宋体" w:cs="宋体"/>
                <w:b w:val="0"/>
              </w:rPr>
              <w:t>-935,725.62</w:t>
            </w:r>
          </w:p>
        </w:tc>
        <w:tc>
          <w:tcPr>
            <w:tcW w:w="0" w:type="dxa"/>
            <w:vAlign w:val="center"/>
          </w:tcPr>
          <w:p w14:paraId="6108BA0D">
            <w:pPr>
              <w:spacing w:line="240" w:lineRule="auto"/>
              <w:jc w:val="right"/>
            </w:pPr>
            <w:r>
              <w:rPr>
                <w:rFonts w:ascii="宋体" w:hAnsi="宋体" w:eastAsia="宋体" w:cs="宋体"/>
                <w:b w:val="0"/>
              </w:rPr>
              <w:t>-21,338,601.65</w:t>
            </w:r>
          </w:p>
        </w:tc>
      </w:tr>
      <w:tr w14:paraId="57E2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2BBDC4">
            <w:pPr>
              <w:spacing w:line="240" w:lineRule="auto"/>
              <w:jc w:val="left"/>
            </w:pPr>
            <w:r>
              <w:rPr>
                <w:rFonts w:ascii="宋体" w:hAnsi="宋体" w:eastAsia="宋体" w:cs="宋体"/>
                <w:b w:val="0"/>
              </w:rPr>
              <w:t>（一）、综合收益总额</w:t>
            </w:r>
          </w:p>
        </w:tc>
        <w:tc>
          <w:tcPr>
            <w:tcW w:w="0" w:type="dxa"/>
            <w:vAlign w:val="center"/>
          </w:tcPr>
          <w:p w14:paraId="1466FB2A">
            <w:pPr>
              <w:spacing w:line="240" w:lineRule="auto"/>
              <w:jc w:val="right"/>
            </w:pPr>
            <w:r>
              <w:rPr>
                <w:rFonts w:ascii="宋体" w:hAnsi="宋体" w:eastAsia="宋体" w:cs="宋体"/>
                <w:b w:val="0"/>
              </w:rPr>
              <w:t>-</w:t>
            </w:r>
          </w:p>
        </w:tc>
        <w:tc>
          <w:tcPr>
            <w:tcW w:w="0" w:type="dxa"/>
            <w:vAlign w:val="center"/>
          </w:tcPr>
          <w:p w14:paraId="09019FA3">
            <w:pPr>
              <w:spacing w:line="240" w:lineRule="auto"/>
              <w:jc w:val="right"/>
            </w:pPr>
            <w:r>
              <w:rPr>
                <w:rFonts w:ascii="宋体" w:hAnsi="宋体" w:eastAsia="宋体" w:cs="宋体"/>
                <w:b w:val="0"/>
              </w:rPr>
              <w:t>-455,343.84</w:t>
            </w:r>
          </w:p>
        </w:tc>
        <w:tc>
          <w:tcPr>
            <w:tcW w:w="0" w:type="dxa"/>
            <w:vAlign w:val="center"/>
          </w:tcPr>
          <w:p w14:paraId="01BEB506">
            <w:pPr>
              <w:spacing w:line="240" w:lineRule="auto"/>
              <w:jc w:val="right"/>
            </w:pPr>
            <w:r>
              <w:rPr>
                <w:rFonts w:ascii="宋体" w:hAnsi="宋体" w:eastAsia="宋体" w:cs="宋体"/>
                <w:b w:val="0"/>
              </w:rPr>
              <w:t>-455,343.84</w:t>
            </w:r>
          </w:p>
        </w:tc>
      </w:tr>
      <w:tr w14:paraId="6052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7B7215">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48D38E7E">
            <w:pPr>
              <w:spacing w:line="240" w:lineRule="auto"/>
              <w:jc w:val="right"/>
            </w:pPr>
            <w:r>
              <w:rPr>
                <w:rFonts w:ascii="宋体" w:hAnsi="宋体" w:eastAsia="宋体" w:cs="宋体"/>
                <w:b w:val="0"/>
              </w:rPr>
              <w:t>-20,402,876.03</w:t>
            </w:r>
          </w:p>
        </w:tc>
        <w:tc>
          <w:tcPr>
            <w:tcW w:w="0" w:type="dxa"/>
            <w:vAlign w:val="center"/>
          </w:tcPr>
          <w:p w14:paraId="2C4F01D3">
            <w:pPr>
              <w:spacing w:line="240" w:lineRule="auto"/>
              <w:jc w:val="right"/>
            </w:pPr>
            <w:r>
              <w:rPr>
                <w:rFonts w:ascii="宋体" w:hAnsi="宋体" w:eastAsia="宋体" w:cs="宋体"/>
                <w:b w:val="0"/>
              </w:rPr>
              <w:t>-480,381.78</w:t>
            </w:r>
          </w:p>
        </w:tc>
        <w:tc>
          <w:tcPr>
            <w:tcW w:w="0" w:type="dxa"/>
            <w:vAlign w:val="center"/>
          </w:tcPr>
          <w:p w14:paraId="731D2768">
            <w:pPr>
              <w:spacing w:line="240" w:lineRule="auto"/>
              <w:jc w:val="right"/>
            </w:pPr>
            <w:r>
              <w:rPr>
                <w:rFonts w:ascii="宋体" w:hAnsi="宋体" w:eastAsia="宋体" w:cs="宋体"/>
                <w:b w:val="0"/>
              </w:rPr>
              <w:t>-20,883,257.81</w:t>
            </w:r>
          </w:p>
        </w:tc>
      </w:tr>
      <w:tr w14:paraId="6E16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FE609D">
            <w:pPr>
              <w:spacing w:line="240" w:lineRule="auto"/>
              <w:jc w:val="left"/>
            </w:pPr>
            <w:r>
              <w:rPr>
                <w:rFonts w:ascii="宋体" w:hAnsi="宋体" w:eastAsia="宋体" w:cs="宋体"/>
                <w:b w:val="0"/>
              </w:rPr>
              <w:t>其中：1.基金申购款</w:t>
            </w:r>
          </w:p>
        </w:tc>
        <w:tc>
          <w:tcPr>
            <w:tcW w:w="0" w:type="dxa"/>
            <w:vAlign w:val="center"/>
          </w:tcPr>
          <w:p w14:paraId="62AB5087">
            <w:pPr>
              <w:spacing w:line="240" w:lineRule="auto"/>
              <w:jc w:val="right"/>
            </w:pPr>
            <w:r>
              <w:rPr>
                <w:rFonts w:ascii="宋体" w:hAnsi="宋体" w:eastAsia="宋体" w:cs="宋体"/>
                <w:b w:val="0"/>
              </w:rPr>
              <w:t>886,266.43</w:t>
            </w:r>
          </w:p>
        </w:tc>
        <w:tc>
          <w:tcPr>
            <w:tcW w:w="0" w:type="dxa"/>
            <w:vAlign w:val="center"/>
          </w:tcPr>
          <w:p w14:paraId="209B8064">
            <w:pPr>
              <w:spacing w:line="240" w:lineRule="auto"/>
              <w:jc w:val="right"/>
            </w:pPr>
            <w:r>
              <w:rPr>
                <w:rFonts w:ascii="宋体" w:hAnsi="宋体" w:eastAsia="宋体" w:cs="宋体"/>
                <w:b w:val="0"/>
              </w:rPr>
              <w:t>-5,049.59</w:t>
            </w:r>
          </w:p>
        </w:tc>
        <w:tc>
          <w:tcPr>
            <w:tcW w:w="0" w:type="dxa"/>
            <w:vAlign w:val="center"/>
          </w:tcPr>
          <w:p w14:paraId="37E421B5">
            <w:pPr>
              <w:spacing w:line="240" w:lineRule="auto"/>
              <w:jc w:val="right"/>
            </w:pPr>
            <w:r>
              <w:rPr>
                <w:rFonts w:ascii="宋体" w:hAnsi="宋体" w:eastAsia="宋体" w:cs="宋体"/>
                <w:b w:val="0"/>
              </w:rPr>
              <w:t>881,216.84</w:t>
            </w:r>
          </w:p>
        </w:tc>
      </w:tr>
      <w:tr w14:paraId="02A0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ED47AC">
            <w:pPr>
              <w:spacing w:line="240" w:lineRule="auto"/>
              <w:jc w:val="left"/>
            </w:pPr>
            <w:r>
              <w:rPr>
                <w:rFonts w:ascii="宋体" w:hAnsi="宋体" w:eastAsia="宋体" w:cs="宋体"/>
                <w:b w:val="0"/>
              </w:rPr>
              <w:t xml:space="preserve">      2.基金赎回款</w:t>
            </w:r>
          </w:p>
        </w:tc>
        <w:tc>
          <w:tcPr>
            <w:tcW w:w="0" w:type="dxa"/>
            <w:vAlign w:val="center"/>
          </w:tcPr>
          <w:p w14:paraId="6B745C5D">
            <w:pPr>
              <w:spacing w:line="240" w:lineRule="auto"/>
              <w:jc w:val="right"/>
            </w:pPr>
            <w:r>
              <w:rPr>
                <w:rFonts w:ascii="宋体" w:hAnsi="宋体" w:eastAsia="宋体" w:cs="宋体"/>
                <w:b w:val="0"/>
              </w:rPr>
              <w:t>-21,289,142.46</w:t>
            </w:r>
          </w:p>
        </w:tc>
        <w:tc>
          <w:tcPr>
            <w:tcW w:w="0" w:type="dxa"/>
            <w:vAlign w:val="center"/>
          </w:tcPr>
          <w:p w14:paraId="2569216E">
            <w:pPr>
              <w:spacing w:line="240" w:lineRule="auto"/>
              <w:jc w:val="right"/>
            </w:pPr>
            <w:r>
              <w:rPr>
                <w:rFonts w:ascii="宋体" w:hAnsi="宋体" w:eastAsia="宋体" w:cs="宋体"/>
                <w:b w:val="0"/>
              </w:rPr>
              <w:t>-475,332.19</w:t>
            </w:r>
          </w:p>
        </w:tc>
        <w:tc>
          <w:tcPr>
            <w:tcW w:w="0" w:type="dxa"/>
            <w:vAlign w:val="center"/>
          </w:tcPr>
          <w:p w14:paraId="48E32105">
            <w:pPr>
              <w:spacing w:line="240" w:lineRule="auto"/>
              <w:jc w:val="right"/>
            </w:pPr>
            <w:r>
              <w:rPr>
                <w:rFonts w:ascii="宋体" w:hAnsi="宋体" w:eastAsia="宋体" w:cs="宋体"/>
                <w:b w:val="0"/>
              </w:rPr>
              <w:t>-21,764,474.65</w:t>
            </w:r>
          </w:p>
        </w:tc>
      </w:tr>
      <w:tr w14:paraId="19D3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BD21C4">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08917928">
            <w:pPr>
              <w:spacing w:line="240" w:lineRule="auto"/>
              <w:jc w:val="right"/>
            </w:pPr>
            <w:r>
              <w:rPr>
                <w:rFonts w:ascii="宋体" w:hAnsi="宋体" w:eastAsia="宋体" w:cs="宋体"/>
                <w:b w:val="0"/>
              </w:rPr>
              <w:t>-</w:t>
            </w:r>
          </w:p>
        </w:tc>
        <w:tc>
          <w:tcPr>
            <w:tcW w:w="0" w:type="dxa"/>
            <w:vAlign w:val="center"/>
          </w:tcPr>
          <w:p w14:paraId="33018A42">
            <w:pPr>
              <w:spacing w:line="240" w:lineRule="auto"/>
              <w:jc w:val="right"/>
            </w:pPr>
            <w:r>
              <w:rPr>
                <w:rFonts w:ascii="宋体" w:hAnsi="宋体" w:eastAsia="宋体" w:cs="宋体"/>
                <w:b w:val="0"/>
              </w:rPr>
              <w:t>-</w:t>
            </w:r>
          </w:p>
        </w:tc>
        <w:tc>
          <w:tcPr>
            <w:tcW w:w="0" w:type="dxa"/>
            <w:vAlign w:val="center"/>
          </w:tcPr>
          <w:p w14:paraId="56CC36F3">
            <w:pPr>
              <w:spacing w:line="240" w:lineRule="auto"/>
              <w:jc w:val="right"/>
            </w:pPr>
            <w:r>
              <w:rPr>
                <w:rFonts w:ascii="宋体" w:hAnsi="宋体" w:eastAsia="宋体" w:cs="宋体"/>
                <w:b w:val="0"/>
              </w:rPr>
              <w:t>-</w:t>
            </w:r>
          </w:p>
        </w:tc>
      </w:tr>
      <w:tr w14:paraId="59AF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F8F708">
            <w:pPr>
              <w:spacing w:line="240" w:lineRule="auto"/>
              <w:jc w:val="left"/>
            </w:pPr>
            <w:r>
              <w:rPr>
                <w:rFonts w:ascii="宋体" w:hAnsi="宋体" w:eastAsia="宋体" w:cs="宋体"/>
                <w:b w:val="0"/>
              </w:rPr>
              <w:t>四、本期期末净资产</w:t>
            </w:r>
          </w:p>
        </w:tc>
        <w:tc>
          <w:tcPr>
            <w:tcW w:w="0" w:type="dxa"/>
            <w:vAlign w:val="center"/>
          </w:tcPr>
          <w:p w14:paraId="7595E99C">
            <w:pPr>
              <w:spacing w:line="240" w:lineRule="auto"/>
              <w:jc w:val="right"/>
            </w:pPr>
            <w:r>
              <w:rPr>
                <w:rFonts w:ascii="宋体" w:hAnsi="宋体" w:eastAsia="宋体" w:cs="宋体"/>
                <w:b w:val="0"/>
              </w:rPr>
              <w:t>53,188,047.49</w:t>
            </w:r>
          </w:p>
        </w:tc>
        <w:tc>
          <w:tcPr>
            <w:tcW w:w="0" w:type="dxa"/>
            <w:vAlign w:val="center"/>
          </w:tcPr>
          <w:p w14:paraId="65504F5E">
            <w:pPr>
              <w:spacing w:line="240" w:lineRule="auto"/>
              <w:jc w:val="right"/>
            </w:pPr>
            <w:r>
              <w:rPr>
                <w:rFonts w:ascii="宋体" w:hAnsi="宋体" w:eastAsia="宋体" w:cs="宋体"/>
                <w:b w:val="0"/>
              </w:rPr>
              <w:t>-1,982,176.57</w:t>
            </w:r>
          </w:p>
        </w:tc>
        <w:tc>
          <w:tcPr>
            <w:tcW w:w="0" w:type="dxa"/>
            <w:vAlign w:val="center"/>
          </w:tcPr>
          <w:p w14:paraId="3136184F">
            <w:pPr>
              <w:spacing w:line="240" w:lineRule="auto"/>
              <w:jc w:val="right"/>
            </w:pPr>
            <w:r>
              <w:rPr>
                <w:rFonts w:ascii="宋体" w:hAnsi="宋体" w:eastAsia="宋体" w:cs="宋体"/>
                <w:b w:val="0"/>
              </w:rPr>
              <w:t>51,205,870.92</w:t>
            </w:r>
          </w:p>
        </w:tc>
      </w:tr>
      <w:tr w14:paraId="4163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635E7C0D">
            <w:pPr>
              <w:spacing w:line="240" w:lineRule="auto"/>
              <w:jc w:val="center"/>
            </w:pPr>
            <w:r>
              <w:rPr>
                <w:rFonts w:ascii="宋体" w:hAnsi="宋体" w:eastAsia="宋体" w:cs="宋体"/>
                <w:b/>
              </w:rPr>
              <w:t>项 目</w:t>
            </w:r>
          </w:p>
        </w:tc>
        <w:tc>
          <w:tcPr>
            <w:tcW w:w="0" w:type="dxa"/>
            <w:gridSpan w:val="3"/>
            <w:shd w:val="clear" w:color="auto" w:fill="D9D9D9"/>
            <w:vAlign w:val="center"/>
          </w:tcPr>
          <w:p w14:paraId="6CFCB746">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1752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6B357EE"/>
        </w:tc>
        <w:tc>
          <w:tcPr>
            <w:tcW w:w="0" w:type="dxa"/>
            <w:shd w:val="clear" w:color="auto" w:fill="D9D9D9"/>
            <w:vAlign w:val="center"/>
          </w:tcPr>
          <w:p w14:paraId="055BA08D">
            <w:pPr>
              <w:spacing w:line="240" w:lineRule="auto"/>
              <w:jc w:val="center"/>
            </w:pPr>
            <w:r>
              <w:rPr>
                <w:rFonts w:ascii="宋体" w:hAnsi="宋体" w:eastAsia="宋体" w:cs="宋体"/>
                <w:b/>
              </w:rPr>
              <w:t>实收基金</w:t>
            </w:r>
          </w:p>
        </w:tc>
        <w:tc>
          <w:tcPr>
            <w:tcW w:w="0" w:type="dxa"/>
            <w:shd w:val="clear" w:color="auto" w:fill="D9D9D9"/>
            <w:vAlign w:val="center"/>
          </w:tcPr>
          <w:p w14:paraId="0FB06F4A">
            <w:pPr>
              <w:spacing w:line="240" w:lineRule="auto"/>
              <w:jc w:val="center"/>
            </w:pPr>
            <w:r>
              <w:rPr>
                <w:rFonts w:ascii="宋体" w:hAnsi="宋体" w:eastAsia="宋体" w:cs="宋体"/>
                <w:b/>
              </w:rPr>
              <w:t>未分配利润</w:t>
            </w:r>
          </w:p>
        </w:tc>
        <w:tc>
          <w:tcPr>
            <w:tcW w:w="0" w:type="dxa"/>
            <w:shd w:val="clear" w:color="auto" w:fill="D9D9D9"/>
            <w:vAlign w:val="center"/>
          </w:tcPr>
          <w:p w14:paraId="09B41EA3">
            <w:pPr>
              <w:spacing w:line="240" w:lineRule="auto"/>
              <w:jc w:val="center"/>
            </w:pPr>
            <w:r>
              <w:rPr>
                <w:rFonts w:ascii="宋体" w:hAnsi="宋体" w:eastAsia="宋体" w:cs="宋体"/>
                <w:b/>
              </w:rPr>
              <w:t>净资产合计</w:t>
            </w:r>
          </w:p>
        </w:tc>
      </w:tr>
      <w:tr w14:paraId="6117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71F19B">
            <w:pPr>
              <w:spacing w:line="240" w:lineRule="auto"/>
              <w:jc w:val="left"/>
            </w:pPr>
            <w:r>
              <w:rPr>
                <w:rFonts w:ascii="宋体" w:hAnsi="宋体" w:eastAsia="宋体" w:cs="宋体"/>
                <w:b w:val="0"/>
              </w:rPr>
              <w:t>一、上期期末净资产</w:t>
            </w:r>
          </w:p>
        </w:tc>
        <w:tc>
          <w:tcPr>
            <w:tcW w:w="0" w:type="dxa"/>
            <w:vAlign w:val="center"/>
          </w:tcPr>
          <w:p w14:paraId="7F5F75EF">
            <w:pPr>
              <w:spacing w:line="240" w:lineRule="auto"/>
              <w:jc w:val="right"/>
            </w:pPr>
            <w:r>
              <w:rPr>
                <w:rFonts w:ascii="宋体" w:hAnsi="宋体" w:eastAsia="宋体" w:cs="宋体"/>
                <w:b w:val="0"/>
              </w:rPr>
              <w:t>200,560,673.23</w:t>
            </w:r>
          </w:p>
        </w:tc>
        <w:tc>
          <w:tcPr>
            <w:tcW w:w="0" w:type="dxa"/>
            <w:vAlign w:val="center"/>
          </w:tcPr>
          <w:p w14:paraId="7440255C">
            <w:pPr>
              <w:spacing w:line="240" w:lineRule="auto"/>
              <w:jc w:val="right"/>
            </w:pPr>
            <w:r>
              <w:rPr>
                <w:rFonts w:ascii="宋体" w:hAnsi="宋体" w:eastAsia="宋体" w:cs="宋体"/>
                <w:b w:val="0"/>
              </w:rPr>
              <w:t>-27,798,148.90</w:t>
            </w:r>
          </w:p>
        </w:tc>
        <w:tc>
          <w:tcPr>
            <w:tcW w:w="0" w:type="dxa"/>
            <w:vAlign w:val="center"/>
          </w:tcPr>
          <w:p w14:paraId="475CC902">
            <w:pPr>
              <w:spacing w:line="240" w:lineRule="auto"/>
              <w:jc w:val="right"/>
            </w:pPr>
            <w:r>
              <w:rPr>
                <w:rFonts w:ascii="宋体" w:hAnsi="宋体" w:eastAsia="宋体" w:cs="宋体"/>
                <w:b w:val="0"/>
              </w:rPr>
              <w:t>172,762,524.33</w:t>
            </w:r>
          </w:p>
        </w:tc>
      </w:tr>
      <w:tr w14:paraId="6205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438F62">
            <w:pPr>
              <w:spacing w:line="240" w:lineRule="auto"/>
              <w:jc w:val="left"/>
            </w:pPr>
            <w:r>
              <w:rPr>
                <w:rFonts w:ascii="宋体" w:hAnsi="宋体" w:eastAsia="宋体" w:cs="宋体"/>
                <w:b w:val="0"/>
              </w:rPr>
              <w:t>二、本期期初净资产</w:t>
            </w:r>
          </w:p>
        </w:tc>
        <w:tc>
          <w:tcPr>
            <w:tcW w:w="0" w:type="dxa"/>
            <w:vAlign w:val="center"/>
          </w:tcPr>
          <w:p w14:paraId="475C7040">
            <w:pPr>
              <w:spacing w:line="240" w:lineRule="auto"/>
              <w:jc w:val="right"/>
            </w:pPr>
            <w:r>
              <w:rPr>
                <w:rFonts w:ascii="宋体" w:hAnsi="宋体" w:eastAsia="宋体" w:cs="宋体"/>
                <w:b w:val="0"/>
              </w:rPr>
              <w:t>200,560,673.23</w:t>
            </w:r>
          </w:p>
        </w:tc>
        <w:tc>
          <w:tcPr>
            <w:tcW w:w="0" w:type="dxa"/>
            <w:vAlign w:val="center"/>
          </w:tcPr>
          <w:p w14:paraId="5A2DBAA3">
            <w:pPr>
              <w:spacing w:line="240" w:lineRule="auto"/>
              <w:jc w:val="right"/>
            </w:pPr>
            <w:r>
              <w:rPr>
                <w:rFonts w:ascii="宋体" w:hAnsi="宋体" w:eastAsia="宋体" w:cs="宋体"/>
                <w:b w:val="0"/>
              </w:rPr>
              <w:t>-27,798,148.90</w:t>
            </w:r>
          </w:p>
        </w:tc>
        <w:tc>
          <w:tcPr>
            <w:tcW w:w="0" w:type="dxa"/>
            <w:vAlign w:val="center"/>
          </w:tcPr>
          <w:p w14:paraId="0B8BB60E">
            <w:pPr>
              <w:spacing w:line="240" w:lineRule="auto"/>
              <w:jc w:val="right"/>
            </w:pPr>
            <w:r>
              <w:rPr>
                <w:rFonts w:ascii="宋体" w:hAnsi="宋体" w:eastAsia="宋体" w:cs="宋体"/>
                <w:b w:val="0"/>
              </w:rPr>
              <w:t>172,762,524.33</w:t>
            </w:r>
          </w:p>
        </w:tc>
      </w:tr>
      <w:tr w14:paraId="0D12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5C9DBB">
            <w:pPr>
              <w:spacing w:line="240" w:lineRule="auto"/>
              <w:jc w:val="left"/>
            </w:pPr>
            <w:r>
              <w:rPr>
                <w:rFonts w:ascii="宋体" w:hAnsi="宋体" w:eastAsia="宋体" w:cs="宋体"/>
                <w:b w:val="0"/>
              </w:rPr>
              <w:t>三、本期增减变动额（减少以“-”号填列）</w:t>
            </w:r>
          </w:p>
        </w:tc>
        <w:tc>
          <w:tcPr>
            <w:tcW w:w="0" w:type="dxa"/>
            <w:vAlign w:val="center"/>
          </w:tcPr>
          <w:p w14:paraId="08F1DAE7">
            <w:pPr>
              <w:spacing w:line="240" w:lineRule="auto"/>
              <w:jc w:val="right"/>
            </w:pPr>
            <w:r>
              <w:rPr>
                <w:rFonts w:ascii="宋体" w:hAnsi="宋体" w:eastAsia="宋体" w:cs="宋体"/>
                <w:b w:val="0"/>
              </w:rPr>
              <w:t>-24,537,534.61</w:t>
            </w:r>
          </w:p>
        </w:tc>
        <w:tc>
          <w:tcPr>
            <w:tcW w:w="0" w:type="dxa"/>
            <w:vAlign w:val="center"/>
          </w:tcPr>
          <w:p w14:paraId="0E0A55E8">
            <w:pPr>
              <w:spacing w:line="240" w:lineRule="auto"/>
              <w:jc w:val="right"/>
            </w:pPr>
            <w:r>
              <w:rPr>
                <w:rFonts w:ascii="宋体" w:hAnsi="宋体" w:eastAsia="宋体" w:cs="宋体"/>
                <w:b w:val="0"/>
              </w:rPr>
              <w:t>2,233,988.58</w:t>
            </w:r>
          </w:p>
        </w:tc>
        <w:tc>
          <w:tcPr>
            <w:tcW w:w="0" w:type="dxa"/>
            <w:vAlign w:val="center"/>
          </w:tcPr>
          <w:p w14:paraId="2FDAA8CD">
            <w:pPr>
              <w:spacing w:line="240" w:lineRule="auto"/>
              <w:jc w:val="right"/>
            </w:pPr>
            <w:r>
              <w:rPr>
                <w:rFonts w:ascii="宋体" w:hAnsi="宋体" w:eastAsia="宋体" w:cs="宋体"/>
                <w:b w:val="0"/>
              </w:rPr>
              <w:t>-22,303,546.03</w:t>
            </w:r>
          </w:p>
        </w:tc>
      </w:tr>
      <w:tr w14:paraId="05AB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31AC57">
            <w:pPr>
              <w:spacing w:line="240" w:lineRule="auto"/>
              <w:jc w:val="left"/>
            </w:pPr>
            <w:r>
              <w:rPr>
                <w:rFonts w:ascii="宋体" w:hAnsi="宋体" w:eastAsia="宋体" w:cs="宋体"/>
                <w:b w:val="0"/>
              </w:rPr>
              <w:t>（一）、综合收益总额</w:t>
            </w:r>
          </w:p>
        </w:tc>
        <w:tc>
          <w:tcPr>
            <w:tcW w:w="0" w:type="dxa"/>
            <w:vAlign w:val="center"/>
          </w:tcPr>
          <w:p w14:paraId="17BC539A">
            <w:pPr>
              <w:spacing w:line="240" w:lineRule="auto"/>
              <w:jc w:val="right"/>
            </w:pPr>
            <w:r>
              <w:rPr>
                <w:rFonts w:ascii="宋体" w:hAnsi="宋体" w:eastAsia="宋体" w:cs="宋体"/>
                <w:b w:val="0"/>
              </w:rPr>
              <w:t>-</w:t>
            </w:r>
          </w:p>
        </w:tc>
        <w:tc>
          <w:tcPr>
            <w:tcW w:w="0" w:type="dxa"/>
            <w:vAlign w:val="center"/>
          </w:tcPr>
          <w:p w14:paraId="038F1076">
            <w:pPr>
              <w:spacing w:line="240" w:lineRule="auto"/>
              <w:jc w:val="right"/>
            </w:pPr>
            <w:r>
              <w:rPr>
                <w:rFonts w:ascii="宋体" w:hAnsi="宋体" w:eastAsia="宋体" w:cs="宋体"/>
                <w:b w:val="0"/>
              </w:rPr>
              <w:t>-966,660.61</w:t>
            </w:r>
          </w:p>
        </w:tc>
        <w:tc>
          <w:tcPr>
            <w:tcW w:w="0" w:type="dxa"/>
            <w:vAlign w:val="center"/>
          </w:tcPr>
          <w:p w14:paraId="514169C7">
            <w:pPr>
              <w:spacing w:line="240" w:lineRule="auto"/>
              <w:jc w:val="right"/>
            </w:pPr>
            <w:r>
              <w:rPr>
                <w:rFonts w:ascii="宋体" w:hAnsi="宋体" w:eastAsia="宋体" w:cs="宋体"/>
                <w:b w:val="0"/>
              </w:rPr>
              <w:t>-966,660.61</w:t>
            </w:r>
          </w:p>
        </w:tc>
      </w:tr>
      <w:tr w14:paraId="1155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1B9399">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0BD2AB23">
            <w:pPr>
              <w:spacing w:line="240" w:lineRule="auto"/>
              <w:jc w:val="right"/>
            </w:pPr>
            <w:r>
              <w:rPr>
                <w:rFonts w:ascii="宋体" w:hAnsi="宋体" w:eastAsia="宋体" w:cs="宋体"/>
                <w:b w:val="0"/>
              </w:rPr>
              <w:t>-24,537,534.61</w:t>
            </w:r>
          </w:p>
        </w:tc>
        <w:tc>
          <w:tcPr>
            <w:tcW w:w="0" w:type="dxa"/>
            <w:vAlign w:val="center"/>
          </w:tcPr>
          <w:p w14:paraId="25143D51">
            <w:pPr>
              <w:spacing w:line="240" w:lineRule="auto"/>
              <w:jc w:val="right"/>
            </w:pPr>
            <w:r>
              <w:rPr>
                <w:rFonts w:ascii="宋体" w:hAnsi="宋体" w:eastAsia="宋体" w:cs="宋体"/>
                <w:b w:val="0"/>
              </w:rPr>
              <w:t>3,200,649.19</w:t>
            </w:r>
          </w:p>
        </w:tc>
        <w:tc>
          <w:tcPr>
            <w:tcW w:w="0" w:type="dxa"/>
            <w:vAlign w:val="center"/>
          </w:tcPr>
          <w:p w14:paraId="3B4E3C1D">
            <w:pPr>
              <w:spacing w:line="240" w:lineRule="auto"/>
              <w:jc w:val="right"/>
            </w:pPr>
            <w:r>
              <w:rPr>
                <w:rFonts w:ascii="宋体" w:hAnsi="宋体" w:eastAsia="宋体" w:cs="宋体"/>
                <w:b w:val="0"/>
              </w:rPr>
              <w:t>-21,336,885.42</w:t>
            </w:r>
          </w:p>
        </w:tc>
      </w:tr>
      <w:tr w14:paraId="331D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EBFCD7">
            <w:pPr>
              <w:spacing w:line="240" w:lineRule="auto"/>
              <w:jc w:val="left"/>
            </w:pPr>
            <w:r>
              <w:rPr>
                <w:rFonts w:ascii="宋体" w:hAnsi="宋体" w:eastAsia="宋体" w:cs="宋体"/>
                <w:b w:val="0"/>
              </w:rPr>
              <w:t>其中：1.基金申购款</w:t>
            </w:r>
          </w:p>
        </w:tc>
        <w:tc>
          <w:tcPr>
            <w:tcW w:w="0" w:type="dxa"/>
            <w:vAlign w:val="center"/>
          </w:tcPr>
          <w:p w14:paraId="12BF3402">
            <w:pPr>
              <w:spacing w:line="240" w:lineRule="auto"/>
              <w:jc w:val="right"/>
            </w:pPr>
            <w:r>
              <w:rPr>
                <w:rFonts w:ascii="宋体" w:hAnsi="宋体" w:eastAsia="宋体" w:cs="宋体"/>
                <w:b w:val="0"/>
              </w:rPr>
              <w:t>1,024,764.17</w:t>
            </w:r>
          </w:p>
        </w:tc>
        <w:tc>
          <w:tcPr>
            <w:tcW w:w="0" w:type="dxa"/>
            <w:vAlign w:val="center"/>
          </w:tcPr>
          <w:p w14:paraId="66931437">
            <w:pPr>
              <w:spacing w:line="240" w:lineRule="auto"/>
              <w:jc w:val="right"/>
            </w:pPr>
            <w:r>
              <w:rPr>
                <w:rFonts w:ascii="宋体" w:hAnsi="宋体" w:eastAsia="宋体" w:cs="宋体"/>
                <w:b w:val="0"/>
              </w:rPr>
              <w:t>-150,371.16</w:t>
            </w:r>
          </w:p>
        </w:tc>
        <w:tc>
          <w:tcPr>
            <w:tcW w:w="0" w:type="dxa"/>
            <w:vAlign w:val="center"/>
          </w:tcPr>
          <w:p w14:paraId="545AAFB2">
            <w:pPr>
              <w:spacing w:line="240" w:lineRule="auto"/>
              <w:jc w:val="right"/>
            </w:pPr>
            <w:r>
              <w:rPr>
                <w:rFonts w:ascii="宋体" w:hAnsi="宋体" w:eastAsia="宋体" w:cs="宋体"/>
                <w:b w:val="0"/>
              </w:rPr>
              <w:t>874,393.01</w:t>
            </w:r>
          </w:p>
        </w:tc>
      </w:tr>
      <w:tr w14:paraId="4FD5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C7B0DB">
            <w:pPr>
              <w:spacing w:line="240" w:lineRule="auto"/>
              <w:jc w:val="left"/>
            </w:pPr>
            <w:r>
              <w:rPr>
                <w:rFonts w:ascii="宋体" w:hAnsi="宋体" w:eastAsia="宋体" w:cs="宋体"/>
                <w:b w:val="0"/>
              </w:rPr>
              <w:t xml:space="preserve">      2.基金赎回款</w:t>
            </w:r>
          </w:p>
        </w:tc>
        <w:tc>
          <w:tcPr>
            <w:tcW w:w="0" w:type="dxa"/>
            <w:vAlign w:val="center"/>
          </w:tcPr>
          <w:p w14:paraId="4728B18D">
            <w:pPr>
              <w:spacing w:line="240" w:lineRule="auto"/>
              <w:jc w:val="right"/>
            </w:pPr>
            <w:r>
              <w:rPr>
                <w:rFonts w:ascii="宋体" w:hAnsi="宋体" w:eastAsia="宋体" w:cs="宋体"/>
                <w:b w:val="0"/>
              </w:rPr>
              <w:t>-25,562,298.78</w:t>
            </w:r>
          </w:p>
        </w:tc>
        <w:tc>
          <w:tcPr>
            <w:tcW w:w="0" w:type="dxa"/>
            <w:vAlign w:val="center"/>
          </w:tcPr>
          <w:p w14:paraId="233E6716">
            <w:pPr>
              <w:spacing w:line="240" w:lineRule="auto"/>
              <w:jc w:val="right"/>
            </w:pPr>
            <w:r>
              <w:rPr>
                <w:rFonts w:ascii="宋体" w:hAnsi="宋体" w:eastAsia="宋体" w:cs="宋体"/>
                <w:b w:val="0"/>
              </w:rPr>
              <w:t>3,351,020.35</w:t>
            </w:r>
          </w:p>
        </w:tc>
        <w:tc>
          <w:tcPr>
            <w:tcW w:w="0" w:type="dxa"/>
            <w:vAlign w:val="center"/>
          </w:tcPr>
          <w:p w14:paraId="4C67A4F5">
            <w:pPr>
              <w:spacing w:line="240" w:lineRule="auto"/>
              <w:jc w:val="right"/>
            </w:pPr>
            <w:r>
              <w:rPr>
                <w:rFonts w:ascii="宋体" w:hAnsi="宋体" w:eastAsia="宋体" w:cs="宋体"/>
                <w:b w:val="0"/>
              </w:rPr>
              <w:t>-22,211,278.43</w:t>
            </w:r>
          </w:p>
        </w:tc>
      </w:tr>
      <w:tr w14:paraId="30D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1E5DE2">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042CF11D">
            <w:pPr>
              <w:spacing w:line="240" w:lineRule="auto"/>
              <w:jc w:val="right"/>
            </w:pPr>
            <w:r>
              <w:rPr>
                <w:rFonts w:ascii="宋体" w:hAnsi="宋体" w:eastAsia="宋体" w:cs="宋体"/>
                <w:b w:val="0"/>
              </w:rPr>
              <w:t>-</w:t>
            </w:r>
          </w:p>
        </w:tc>
        <w:tc>
          <w:tcPr>
            <w:tcW w:w="0" w:type="dxa"/>
            <w:vAlign w:val="center"/>
          </w:tcPr>
          <w:p w14:paraId="3D0FD6DB">
            <w:pPr>
              <w:spacing w:line="240" w:lineRule="auto"/>
              <w:jc w:val="right"/>
            </w:pPr>
            <w:r>
              <w:rPr>
                <w:rFonts w:ascii="宋体" w:hAnsi="宋体" w:eastAsia="宋体" w:cs="宋体"/>
                <w:b w:val="0"/>
              </w:rPr>
              <w:t>-</w:t>
            </w:r>
          </w:p>
        </w:tc>
        <w:tc>
          <w:tcPr>
            <w:tcW w:w="0" w:type="dxa"/>
            <w:vAlign w:val="center"/>
          </w:tcPr>
          <w:p w14:paraId="43D651BC">
            <w:pPr>
              <w:spacing w:line="240" w:lineRule="auto"/>
              <w:jc w:val="right"/>
            </w:pPr>
            <w:r>
              <w:rPr>
                <w:rFonts w:ascii="宋体" w:hAnsi="宋体" w:eastAsia="宋体" w:cs="宋体"/>
                <w:b w:val="0"/>
              </w:rPr>
              <w:t>-</w:t>
            </w:r>
          </w:p>
        </w:tc>
      </w:tr>
      <w:tr w14:paraId="7559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0DF123">
            <w:pPr>
              <w:spacing w:line="240" w:lineRule="auto"/>
              <w:jc w:val="left"/>
            </w:pPr>
            <w:r>
              <w:rPr>
                <w:rFonts w:ascii="宋体" w:hAnsi="宋体" w:eastAsia="宋体" w:cs="宋体"/>
                <w:b w:val="0"/>
              </w:rPr>
              <w:t>四、本期期末净资产</w:t>
            </w:r>
          </w:p>
        </w:tc>
        <w:tc>
          <w:tcPr>
            <w:tcW w:w="0" w:type="dxa"/>
            <w:vAlign w:val="center"/>
          </w:tcPr>
          <w:p w14:paraId="408E5CDE">
            <w:pPr>
              <w:spacing w:line="240" w:lineRule="auto"/>
              <w:jc w:val="right"/>
            </w:pPr>
            <w:r>
              <w:rPr>
                <w:rFonts w:ascii="宋体" w:hAnsi="宋体" w:eastAsia="宋体" w:cs="宋体"/>
                <w:b w:val="0"/>
              </w:rPr>
              <w:t>176,023,138.62</w:t>
            </w:r>
          </w:p>
        </w:tc>
        <w:tc>
          <w:tcPr>
            <w:tcW w:w="0" w:type="dxa"/>
            <w:vAlign w:val="center"/>
          </w:tcPr>
          <w:p w14:paraId="74C7D758">
            <w:pPr>
              <w:spacing w:line="240" w:lineRule="auto"/>
              <w:jc w:val="right"/>
            </w:pPr>
            <w:r>
              <w:rPr>
                <w:rFonts w:ascii="宋体" w:hAnsi="宋体" w:eastAsia="宋体" w:cs="宋体"/>
                <w:b w:val="0"/>
              </w:rPr>
              <w:t>-25,564,160.32</w:t>
            </w:r>
          </w:p>
        </w:tc>
        <w:tc>
          <w:tcPr>
            <w:tcW w:w="0" w:type="dxa"/>
            <w:vAlign w:val="center"/>
          </w:tcPr>
          <w:p w14:paraId="72363116">
            <w:pPr>
              <w:spacing w:line="240" w:lineRule="auto"/>
              <w:jc w:val="right"/>
            </w:pPr>
            <w:r>
              <w:rPr>
                <w:rFonts w:ascii="宋体" w:hAnsi="宋体" w:eastAsia="宋体" w:cs="宋体"/>
                <w:b w:val="0"/>
              </w:rPr>
              <w:t>150,458,978.30</w:t>
            </w:r>
          </w:p>
        </w:tc>
      </w:tr>
    </w:tbl>
    <w:p w14:paraId="4DDBF5F9"/>
    <w:p w14:paraId="4C0D2178">
      <w:pPr>
        <w:jc w:val="left"/>
      </w:pPr>
      <w:r>
        <w:rPr>
          <w:rFonts w:ascii="宋体" w:hAnsi="宋体" w:eastAsia="宋体" w:cs="宋体"/>
          <w:b w:val="0"/>
        </w:rPr>
        <w:t>报表附注为财务报表的组成部分。</w:t>
      </w:r>
    </w:p>
    <w:p w14:paraId="16984327">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40D5C99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696A4DCF">
            <w:pPr>
              <w:spacing w:line="240" w:lineRule="auto"/>
              <w:jc w:val="center"/>
            </w:pPr>
            <w:r>
              <w:rPr>
                <w:rFonts w:ascii="宋体" w:hAnsi="宋体" w:eastAsia="宋体" w:cs="宋体"/>
                <w:b w:val="0"/>
              </w:rPr>
              <w:t>刘明</w:t>
            </w:r>
          </w:p>
        </w:tc>
        <w:tc>
          <w:tcPr>
            <w:tcW w:w="1538" w:type="pct"/>
            <w:vAlign w:val="center"/>
          </w:tcPr>
          <w:p w14:paraId="109A45E9">
            <w:pPr>
              <w:spacing w:line="240" w:lineRule="auto"/>
              <w:jc w:val="center"/>
            </w:pPr>
            <w:r>
              <w:rPr>
                <w:rFonts w:ascii="宋体" w:hAnsi="宋体" w:eastAsia="宋体" w:cs="宋体"/>
                <w:b w:val="0"/>
              </w:rPr>
              <w:t>曹渊</w:t>
            </w:r>
          </w:p>
        </w:tc>
        <w:tc>
          <w:tcPr>
            <w:tcW w:w="1538" w:type="pct"/>
            <w:vAlign w:val="center"/>
          </w:tcPr>
          <w:p w14:paraId="75A1D53F">
            <w:pPr>
              <w:spacing w:line="240" w:lineRule="auto"/>
              <w:jc w:val="center"/>
            </w:pPr>
            <w:r>
              <w:rPr>
                <w:rFonts w:ascii="宋体" w:hAnsi="宋体" w:eastAsia="宋体" w:cs="宋体"/>
                <w:b w:val="0"/>
              </w:rPr>
              <w:t>张珂</w:t>
            </w:r>
          </w:p>
        </w:tc>
      </w:tr>
      <w:tr w14:paraId="1C0CEDA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78EE2694">
            <w:pPr>
              <w:spacing w:line="240" w:lineRule="auto"/>
              <w:jc w:val="center"/>
            </w:pPr>
            <w:r>
              <w:rPr>
                <w:rFonts w:ascii="宋体" w:hAnsi="宋体" w:eastAsia="宋体" w:cs="宋体"/>
                <w:b w:val="0"/>
              </w:rPr>
              <w:t>—————————</w:t>
            </w:r>
          </w:p>
        </w:tc>
        <w:tc>
          <w:tcPr>
            <w:tcW w:w="1538" w:type="pct"/>
            <w:vAlign w:val="center"/>
          </w:tcPr>
          <w:p w14:paraId="6310D331">
            <w:pPr>
              <w:spacing w:line="240" w:lineRule="auto"/>
              <w:jc w:val="center"/>
            </w:pPr>
            <w:r>
              <w:rPr>
                <w:rFonts w:ascii="宋体" w:hAnsi="宋体" w:eastAsia="宋体" w:cs="宋体"/>
                <w:b w:val="0"/>
              </w:rPr>
              <w:t>—————————</w:t>
            </w:r>
          </w:p>
        </w:tc>
        <w:tc>
          <w:tcPr>
            <w:tcW w:w="1538" w:type="pct"/>
            <w:vAlign w:val="center"/>
          </w:tcPr>
          <w:p w14:paraId="5F8C6D99">
            <w:pPr>
              <w:spacing w:line="240" w:lineRule="auto"/>
              <w:jc w:val="center"/>
            </w:pPr>
            <w:r>
              <w:rPr>
                <w:rFonts w:ascii="宋体" w:hAnsi="宋体" w:eastAsia="宋体" w:cs="宋体"/>
                <w:b w:val="0"/>
              </w:rPr>
              <w:t>—————————</w:t>
            </w:r>
          </w:p>
        </w:tc>
      </w:tr>
      <w:tr w14:paraId="675C4AB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7DE5C043">
            <w:pPr>
              <w:spacing w:line="240" w:lineRule="auto"/>
              <w:jc w:val="center"/>
            </w:pPr>
            <w:r>
              <w:rPr>
                <w:rFonts w:ascii="宋体" w:hAnsi="宋体" w:eastAsia="宋体" w:cs="宋体"/>
                <w:b w:val="0"/>
              </w:rPr>
              <w:t>基金管理人负责人</w:t>
            </w:r>
          </w:p>
        </w:tc>
        <w:tc>
          <w:tcPr>
            <w:tcW w:w="1538" w:type="pct"/>
            <w:vAlign w:val="center"/>
          </w:tcPr>
          <w:p w14:paraId="6195F6A1">
            <w:pPr>
              <w:spacing w:line="240" w:lineRule="auto"/>
              <w:jc w:val="center"/>
            </w:pPr>
            <w:r>
              <w:rPr>
                <w:rFonts w:ascii="宋体" w:hAnsi="宋体" w:eastAsia="宋体" w:cs="宋体"/>
                <w:b w:val="0"/>
              </w:rPr>
              <w:t>主管会计工作负责人</w:t>
            </w:r>
          </w:p>
        </w:tc>
        <w:tc>
          <w:tcPr>
            <w:tcW w:w="1538" w:type="pct"/>
            <w:vAlign w:val="center"/>
          </w:tcPr>
          <w:p w14:paraId="132E49FB">
            <w:pPr>
              <w:spacing w:line="240" w:lineRule="auto"/>
              <w:jc w:val="center"/>
            </w:pPr>
            <w:r>
              <w:rPr>
                <w:rFonts w:ascii="宋体" w:hAnsi="宋体" w:eastAsia="宋体" w:cs="宋体"/>
                <w:b w:val="0"/>
              </w:rPr>
              <w:t>会计机构负责人</w:t>
            </w:r>
          </w:p>
        </w:tc>
      </w:tr>
    </w:tbl>
    <w:p w14:paraId="79BD6011"/>
    <w:p w14:paraId="581276FD">
      <w:pPr>
        <w:pStyle w:val="3"/>
        <w:jc w:val="left"/>
      </w:pPr>
      <w:bookmarkStart w:id="31" w:name="_Toc22643"/>
      <w:r>
        <w:rPr>
          <w:rFonts w:ascii="宋体" w:hAnsi="宋体" w:eastAsia="宋体" w:cs="宋体"/>
        </w:rPr>
        <w:t>6.4 报表附注</w:t>
      </w:r>
      <w:bookmarkEnd w:id="31"/>
    </w:p>
    <w:p w14:paraId="28A73D8E">
      <w:pPr>
        <w:pStyle w:val="58"/>
      </w:pPr>
      <w:r>
        <w:rPr>
          <w:rFonts w:ascii="宋体" w:hAnsi="宋体" w:eastAsia="宋体" w:cs="宋体"/>
          <w:b/>
        </w:rPr>
        <w:t>6.4.1 基金基本情况</w:t>
      </w:r>
    </w:p>
    <w:p w14:paraId="0E5D9E10">
      <w:pPr>
        <w:jc w:val="left"/>
      </w:pPr>
      <w:r>
        <w:rPr>
          <w:rFonts w:ascii="宋体" w:hAnsi="宋体" w:eastAsia="宋体" w:cs="宋体"/>
          <w:b w:val="0"/>
        </w:rPr>
        <w:t xml:space="preserve">    东方阿尔法兴科一年持有期混合型证券投资基金(以下简称“本基金”)经中国证券监督管理委员会(以下简称“中国证监会”)证监许可[2022]第475号《关于准予东方阿尔法兴科一年持有期混合型证券投资基金注册的批复》核准，由东方阿尔法基金管理有限公司依照《中华人民共和国证券投资基金法》和《东方阿尔法兴科一年持有期混合型证券投资基金基金合同》负责公开募集。本基金为契约型开放式基金，存续期限不定，首次设立募集不包括认购资金利息共募集人民币266,358,585.68元，业经普华永道中天会计师事务所(特殊普通合伙)普华永道中天验字(2022)第0804号验资报告予以验证。经向中国证监会备案，《东方阿尔法兴科一年持有期混合型证券投资基金基金合同》于2022年9月28日正式生效，基金合同生效日的基金份额总额为266,384,673.44份基金份额，其中认购资金利息折合26,087.76份基金份额。本基金的基金管理人为东方阿尔法基金管理有限公司，基金金融运营服务机构为招商证券股份有限公司，基金托管人为兴业银行股份有限公司。</w:t>
      </w:r>
      <w:r>
        <w:rPr>
          <w:rFonts w:ascii="宋体" w:hAnsi="宋体" w:eastAsia="宋体" w:cs="宋体"/>
          <w:b w:val="0"/>
        </w:rPr>
        <w:br w:type="textWrapping"/>
      </w:r>
      <w:r>
        <w:rPr>
          <w:rFonts w:ascii="宋体" w:hAnsi="宋体" w:eastAsia="宋体" w:cs="宋体"/>
          <w:b w:val="0"/>
        </w:rPr>
        <w:t xml:space="preserve">    根据《东方阿尔法兴科一年持有期混合型证券投资基金基金合同》和《东方阿尔法兴科一年持有期混合型证券投资基金招募说明书》(含更新)，本基金根据所收取认购/申购费用、赎回费用、销售服务费用方式的差异，将基金份额分为不同的类别。收取认购/申购费用、赎回费用而不计提销售服务费，并在赎回时根据持有期限收取赎回费用的基金份额，称为A类基金份额；不收取认购/申购费、赎回时根据持有期限收取赎回费用，且从本类别基金资产中计提销售服务费的基金份额，称为C类基金份额。本基金A类、C类两种收费模式并存，各类基金份额分别计算基金份额净值。投资人可自由选择认购/申购某一类别的基金份额，但各类别基金份额之间不能相互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兴科一年持有期混合型证券投资基金基金合同》的有关规定，本基金的投资范围为具有良好流动性的金融工具，包括国内依法发行上市的股票(包括主板、创业板及其他经中国证监会允许基金投资的股票及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本基金投资组合中股票资产投资比例为基金资产的60%-95%；其中对港股通标的股票(包括沪港通股票及深港通股票)的投资比例不超过股票资产的50%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本基金的业绩比较基准为：中证800指数收益率×60%+中证综合债券指数收益率×20%+恒生指数收益率×20%。</w:t>
      </w:r>
    </w:p>
    <w:p w14:paraId="7582AC8B"/>
    <w:p w14:paraId="24A0158C">
      <w:pPr>
        <w:pStyle w:val="58"/>
      </w:pPr>
      <w:r>
        <w:rPr>
          <w:rFonts w:ascii="宋体" w:hAnsi="宋体" w:eastAsia="宋体" w:cs="宋体"/>
          <w:b/>
        </w:rPr>
        <w:t>6.4.2 会计报表的编制基础</w:t>
      </w:r>
    </w:p>
    <w:p w14:paraId="3AA0491A">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兴科一年持有期混合型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23113677"/>
    <w:p w14:paraId="775C195C">
      <w:pPr>
        <w:pStyle w:val="58"/>
      </w:pPr>
      <w:r>
        <w:rPr>
          <w:rFonts w:ascii="宋体" w:hAnsi="宋体" w:eastAsia="宋体" w:cs="宋体"/>
          <w:b/>
        </w:rPr>
        <w:t>6.4.3 遵循企业会计准则及其他有关规定的声明</w:t>
      </w:r>
    </w:p>
    <w:p w14:paraId="33BA20F4">
      <w:pPr>
        <w:jc w:val="left"/>
      </w:pPr>
      <w:r>
        <w:rPr>
          <w:rFonts w:ascii="宋体" w:hAnsi="宋体" w:eastAsia="宋体" w:cs="宋体"/>
          <w:b w:val="0"/>
        </w:rPr>
        <w:t xml:space="preserve">    本基金2026年度中期财务报表符合企业会计准则的要求，真实、完整地反映了本基金2026年06月30日的财务状况以及2026年度上半年的经营成果和净资产变动情况等有关信息。</w:t>
      </w:r>
    </w:p>
    <w:p w14:paraId="45965B2E"/>
    <w:p w14:paraId="5A6EEBCA">
      <w:pPr>
        <w:pStyle w:val="58"/>
      </w:pPr>
      <w:r>
        <w:rPr>
          <w:rFonts w:ascii="宋体" w:hAnsi="宋体" w:eastAsia="宋体" w:cs="宋体"/>
          <w:b/>
        </w:rPr>
        <w:t>6.4.4 本报告期所采用的会计政策、会计估计与最近一期年度报告相一致的说明</w:t>
      </w:r>
    </w:p>
    <w:p w14:paraId="137530B3">
      <w:pPr>
        <w:jc w:val="left"/>
      </w:pPr>
      <w:r>
        <w:rPr>
          <w:rFonts w:ascii="宋体" w:hAnsi="宋体" w:eastAsia="宋体" w:cs="宋体"/>
          <w:b w:val="0"/>
        </w:rPr>
        <w:t xml:space="preserve">    本基金本报告期所采用的会计政策、会计估计与最近一期年度报告相一致。</w:t>
      </w:r>
    </w:p>
    <w:p w14:paraId="2DFA93DA"/>
    <w:p w14:paraId="54A091C3">
      <w:pPr>
        <w:pStyle w:val="58"/>
      </w:pPr>
      <w:r>
        <w:rPr>
          <w:rFonts w:ascii="宋体" w:hAnsi="宋体" w:eastAsia="宋体" w:cs="宋体"/>
          <w:b/>
        </w:rPr>
        <w:t>6.4.5 会计政策和会计估计变更以及差错更正的说明</w:t>
      </w:r>
    </w:p>
    <w:p w14:paraId="008EDB0B">
      <w:pPr>
        <w:pStyle w:val="58"/>
      </w:pPr>
      <w:r>
        <w:rPr>
          <w:rFonts w:ascii="宋体" w:hAnsi="宋体" w:eastAsia="宋体" w:cs="宋体"/>
          <w:b/>
        </w:rPr>
        <w:t>6.4.5.1 会计政策变更的说明</w:t>
      </w:r>
    </w:p>
    <w:p w14:paraId="66A170D1">
      <w:pPr>
        <w:jc w:val="left"/>
      </w:pPr>
      <w:r>
        <w:rPr>
          <w:rFonts w:ascii="宋体" w:hAnsi="宋体" w:eastAsia="宋体" w:cs="宋体"/>
          <w:b w:val="0"/>
        </w:rPr>
        <w:t xml:space="preserve">    本基金本报告期未发生会计政策变更。</w:t>
      </w:r>
    </w:p>
    <w:p w14:paraId="0710A477"/>
    <w:p w14:paraId="23CF9837">
      <w:pPr>
        <w:pStyle w:val="58"/>
      </w:pPr>
      <w:r>
        <w:rPr>
          <w:rFonts w:ascii="宋体" w:hAnsi="宋体" w:eastAsia="宋体" w:cs="宋体"/>
          <w:b/>
        </w:rPr>
        <w:t>6.4.5.2 会计估计变更的说明</w:t>
      </w:r>
    </w:p>
    <w:p w14:paraId="3D27017C">
      <w:pPr>
        <w:jc w:val="left"/>
      </w:pPr>
      <w:r>
        <w:rPr>
          <w:rFonts w:ascii="宋体" w:hAnsi="宋体" w:eastAsia="宋体" w:cs="宋体"/>
          <w:b w:val="0"/>
        </w:rPr>
        <w:t xml:space="preserve">    本基金本报告期未发生会计估计变更。</w:t>
      </w:r>
    </w:p>
    <w:p w14:paraId="54F311C1"/>
    <w:p w14:paraId="5A2DA807">
      <w:pPr>
        <w:pStyle w:val="58"/>
      </w:pPr>
      <w:r>
        <w:rPr>
          <w:rFonts w:ascii="宋体" w:hAnsi="宋体" w:eastAsia="宋体" w:cs="宋体"/>
          <w:b/>
        </w:rPr>
        <w:t>6.4.5.3 差错更正的说明</w:t>
      </w:r>
    </w:p>
    <w:p w14:paraId="6E8BBB27">
      <w:pPr>
        <w:jc w:val="left"/>
      </w:pPr>
      <w:r>
        <w:rPr>
          <w:rFonts w:ascii="宋体" w:hAnsi="宋体" w:eastAsia="宋体" w:cs="宋体"/>
          <w:b w:val="0"/>
        </w:rPr>
        <w:t xml:space="preserve">    本基金在本报告期间无须说明的会计差错更正。</w:t>
      </w:r>
    </w:p>
    <w:p w14:paraId="75908707"/>
    <w:p w14:paraId="696D6538">
      <w:pPr>
        <w:pStyle w:val="58"/>
      </w:pPr>
      <w:r>
        <w:rPr>
          <w:rFonts w:ascii="宋体" w:hAnsi="宋体" w:eastAsia="宋体" w:cs="宋体"/>
          <w:b/>
        </w:rPr>
        <w:t>6.4.6 税项</w:t>
      </w:r>
    </w:p>
    <w:p w14:paraId="174312F5">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 税务总局关于增值税法施行后增值税优惠政策衔接事项的公告》及其他相关财税法规和实务操作，主要税项列示如下：    </w:t>
      </w:r>
      <w:r>
        <w:rPr>
          <w:rFonts w:ascii="宋体" w:hAnsi="宋体" w:eastAsia="宋体" w:cs="宋体"/>
          <w:b w:val="0"/>
        </w:rPr>
        <w:br w:type="textWrapping"/>
      </w:r>
      <w:r>
        <w:rPr>
          <w:rFonts w:ascii="宋体" w:hAnsi="宋体" w:eastAsia="宋体" w:cs="宋体"/>
          <w:b w:val="0"/>
        </w:rPr>
        <w:t xml:space="preserve">    (1) 资管产品运营过程中发生的增值税应税行为，以资管产品管理人为增值税纳税人。资管产品管理人运营资管产品过程中发生的增值税应税行为，暂适用简易计税方法，按照3%的征收率缴纳增值税。     </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    </w:t>
      </w:r>
      <w:r>
        <w:rPr>
          <w:rFonts w:ascii="宋体" w:hAnsi="宋体" w:eastAsia="宋体" w:cs="宋体"/>
          <w:b w:val="0"/>
        </w:rPr>
        <w:br w:type="textWrapping"/>
      </w:r>
      <w:r>
        <w:rPr>
          <w:rFonts w:ascii="宋体" w:hAnsi="宋体" w:eastAsia="宋体" w:cs="宋体"/>
          <w:b w:val="0"/>
        </w:rPr>
        <w:t xml:space="preserve">    (2) 对基金从证券市场中取得的收入，包括买卖股票、债券的差价收入，股票的股息、红利收入，债券的利息收入及其他收入，暂不征收企业所得税。   </w:t>
      </w:r>
      <w:r>
        <w:rPr>
          <w:rFonts w:ascii="宋体" w:hAnsi="宋体" w:eastAsia="宋体" w:cs="宋体"/>
          <w:b w:val="0"/>
        </w:rPr>
        <w:br w:type="textWrapping"/>
      </w:r>
      <w:r>
        <w:rPr>
          <w:rFonts w:ascii="宋体" w:hAnsi="宋体" w:eastAsia="宋体" w:cs="宋体"/>
          <w:b w:val="0"/>
        </w:rPr>
        <w:t xml:space="preserve">    (3)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对基金通过沪港通或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或深港通投资香港联交所上市的非H股取得的股息红利，由中国结算按照20%的税率代扣个人所得税。</w:t>
      </w:r>
      <w:r>
        <w:rPr>
          <w:rFonts w:ascii="宋体" w:hAnsi="宋体" w:eastAsia="宋体" w:cs="宋体"/>
          <w:b w:val="0"/>
        </w:rPr>
        <w:br w:type="textWrapping"/>
      </w:r>
      <w:r>
        <w:rPr>
          <w:rFonts w:ascii="宋体" w:hAnsi="宋体" w:eastAsia="宋体" w:cs="宋体"/>
          <w:b w:val="0"/>
        </w:rPr>
        <w:t xml:space="preserve">    (4) 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或深港通买卖、继承、赠与联交所上市股票，按照香港特别行政区现行税法规定缴纳印花税。 </w:t>
      </w:r>
      <w:r>
        <w:rPr>
          <w:rFonts w:ascii="宋体" w:hAnsi="宋体" w:eastAsia="宋体" w:cs="宋体"/>
          <w:b w:val="0"/>
        </w:rPr>
        <w:br w:type="textWrapping"/>
      </w:r>
      <w:r>
        <w:rPr>
          <w:rFonts w:ascii="宋体" w:hAnsi="宋体" w:eastAsia="宋体" w:cs="宋体"/>
          <w:b w:val="0"/>
        </w:rPr>
        <w:t xml:space="preserve">    (5) 本基金的城市维护建设税、教育费附加和地方教育附加等税费按照实际缴纳增值税额的适用比例计算缴纳。</w:t>
      </w:r>
    </w:p>
    <w:p w14:paraId="232F701B"/>
    <w:p w14:paraId="7D57F917">
      <w:pPr>
        <w:pStyle w:val="58"/>
      </w:pPr>
      <w:r>
        <w:rPr>
          <w:rFonts w:ascii="宋体" w:hAnsi="宋体" w:eastAsia="宋体" w:cs="宋体"/>
          <w:b/>
        </w:rPr>
        <w:t>6.4.7 重要财务报表项目的说明</w:t>
      </w:r>
    </w:p>
    <w:p w14:paraId="62103421">
      <w:pPr>
        <w:pStyle w:val="58"/>
      </w:pPr>
      <w:r>
        <w:rPr>
          <w:rFonts w:ascii="宋体" w:hAnsi="宋体" w:eastAsia="宋体" w:cs="宋体"/>
          <w:b/>
        </w:rPr>
        <w:t>6.4.7.1 货币资金</w:t>
      </w:r>
    </w:p>
    <w:p w14:paraId="78F0358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58E0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04B7CEC9">
            <w:pPr>
              <w:spacing w:line="240" w:lineRule="auto"/>
              <w:jc w:val="center"/>
            </w:pPr>
            <w:r>
              <w:rPr>
                <w:rFonts w:ascii="宋体" w:hAnsi="宋体" w:eastAsia="宋体" w:cs="宋体"/>
                <w:b w:val="0"/>
              </w:rPr>
              <w:t>项目</w:t>
            </w:r>
          </w:p>
        </w:tc>
        <w:tc>
          <w:tcPr>
            <w:tcW w:w="2308" w:type="pct"/>
            <w:shd w:val="clear" w:color="auto" w:fill="D9D9D9"/>
            <w:vAlign w:val="center"/>
          </w:tcPr>
          <w:p w14:paraId="198E758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1A58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0E45BB">
            <w:pPr>
              <w:spacing w:line="240" w:lineRule="auto"/>
              <w:jc w:val="left"/>
            </w:pPr>
            <w:r>
              <w:rPr>
                <w:rFonts w:ascii="宋体" w:hAnsi="宋体" w:eastAsia="宋体" w:cs="宋体"/>
                <w:b w:val="0"/>
              </w:rPr>
              <w:t>活期存款</w:t>
            </w:r>
          </w:p>
        </w:tc>
        <w:tc>
          <w:tcPr>
            <w:tcW w:w="0" w:type="dxa"/>
            <w:vAlign w:val="center"/>
          </w:tcPr>
          <w:p w14:paraId="7C4206BA">
            <w:pPr>
              <w:spacing w:line="240" w:lineRule="auto"/>
              <w:jc w:val="right"/>
            </w:pPr>
            <w:r>
              <w:rPr>
                <w:rFonts w:ascii="宋体" w:hAnsi="宋体" w:eastAsia="宋体" w:cs="宋体"/>
                <w:b w:val="0"/>
              </w:rPr>
              <w:t>279,692.92</w:t>
            </w:r>
          </w:p>
        </w:tc>
      </w:tr>
      <w:tr w14:paraId="623E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4A9FA1">
            <w:pPr>
              <w:spacing w:line="240" w:lineRule="auto"/>
              <w:jc w:val="left"/>
            </w:pPr>
            <w:r>
              <w:rPr>
                <w:rFonts w:ascii="宋体" w:hAnsi="宋体" w:eastAsia="宋体" w:cs="宋体"/>
                <w:b w:val="0"/>
              </w:rPr>
              <w:t>等于：本金</w:t>
            </w:r>
          </w:p>
        </w:tc>
        <w:tc>
          <w:tcPr>
            <w:tcW w:w="0" w:type="dxa"/>
            <w:vAlign w:val="center"/>
          </w:tcPr>
          <w:p w14:paraId="7788520E">
            <w:pPr>
              <w:spacing w:line="240" w:lineRule="auto"/>
              <w:jc w:val="right"/>
            </w:pPr>
            <w:r>
              <w:rPr>
                <w:rFonts w:ascii="宋体" w:hAnsi="宋体" w:eastAsia="宋体" w:cs="宋体"/>
                <w:b w:val="0"/>
              </w:rPr>
              <w:t>279,665.72</w:t>
            </w:r>
          </w:p>
        </w:tc>
      </w:tr>
      <w:tr w14:paraId="422B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A5326D">
            <w:pPr>
              <w:spacing w:line="240" w:lineRule="auto"/>
              <w:jc w:val="left"/>
            </w:pPr>
            <w:r>
              <w:rPr>
                <w:rFonts w:ascii="宋体" w:hAnsi="宋体" w:eastAsia="宋体" w:cs="宋体"/>
                <w:b w:val="0"/>
              </w:rPr>
              <w:t xml:space="preserve">      加：应计利息</w:t>
            </w:r>
          </w:p>
        </w:tc>
        <w:tc>
          <w:tcPr>
            <w:tcW w:w="0" w:type="dxa"/>
            <w:vAlign w:val="center"/>
          </w:tcPr>
          <w:p w14:paraId="68AE315F">
            <w:pPr>
              <w:spacing w:line="240" w:lineRule="auto"/>
              <w:jc w:val="right"/>
            </w:pPr>
            <w:r>
              <w:rPr>
                <w:rFonts w:ascii="宋体" w:hAnsi="宋体" w:eastAsia="宋体" w:cs="宋体"/>
                <w:b w:val="0"/>
              </w:rPr>
              <w:t>27.20</w:t>
            </w:r>
          </w:p>
        </w:tc>
      </w:tr>
      <w:tr w14:paraId="6AF6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73EE40">
            <w:pPr>
              <w:spacing w:line="240" w:lineRule="auto"/>
              <w:jc w:val="left"/>
            </w:pPr>
            <w:r>
              <w:rPr>
                <w:rFonts w:ascii="宋体" w:hAnsi="宋体" w:eastAsia="宋体" w:cs="宋体"/>
                <w:b w:val="0"/>
              </w:rPr>
              <w:t xml:space="preserve">      减：坏账准备</w:t>
            </w:r>
          </w:p>
        </w:tc>
        <w:tc>
          <w:tcPr>
            <w:tcW w:w="0" w:type="dxa"/>
            <w:vAlign w:val="center"/>
          </w:tcPr>
          <w:p w14:paraId="20C7C687">
            <w:pPr>
              <w:spacing w:line="240" w:lineRule="auto"/>
              <w:jc w:val="right"/>
            </w:pPr>
            <w:r>
              <w:rPr>
                <w:rFonts w:ascii="宋体" w:hAnsi="宋体" w:eastAsia="宋体" w:cs="宋体"/>
                <w:b w:val="0"/>
              </w:rPr>
              <w:t>-</w:t>
            </w:r>
          </w:p>
        </w:tc>
      </w:tr>
      <w:tr w14:paraId="260B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C32585">
            <w:pPr>
              <w:spacing w:line="240" w:lineRule="auto"/>
              <w:jc w:val="left"/>
            </w:pPr>
            <w:r>
              <w:rPr>
                <w:rFonts w:ascii="宋体" w:hAnsi="宋体" w:eastAsia="宋体" w:cs="宋体"/>
                <w:b w:val="0"/>
              </w:rPr>
              <w:t>定期存款</w:t>
            </w:r>
          </w:p>
        </w:tc>
        <w:tc>
          <w:tcPr>
            <w:tcW w:w="0" w:type="dxa"/>
            <w:vAlign w:val="center"/>
          </w:tcPr>
          <w:p w14:paraId="7304BFBC">
            <w:pPr>
              <w:spacing w:line="240" w:lineRule="auto"/>
              <w:jc w:val="right"/>
            </w:pPr>
            <w:r>
              <w:rPr>
                <w:rFonts w:ascii="宋体" w:hAnsi="宋体" w:eastAsia="宋体" w:cs="宋体"/>
                <w:b w:val="0"/>
              </w:rPr>
              <w:t>-</w:t>
            </w:r>
          </w:p>
        </w:tc>
      </w:tr>
      <w:tr w14:paraId="3DC2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9BD92F">
            <w:pPr>
              <w:spacing w:line="240" w:lineRule="auto"/>
              <w:jc w:val="left"/>
            </w:pPr>
            <w:r>
              <w:rPr>
                <w:rFonts w:ascii="宋体" w:hAnsi="宋体" w:eastAsia="宋体" w:cs="宋体"/>
                <w:b w:val="0"/>
              </w:rPr>
              <w:t>等于：本金</w:t>
            </w:r>
          </w:p>
        </w:tc>
        <w:tc>
          <w:tcPr>
            <w:tcW w:w="0" w:type="dxa"/>
            <w:vAlign w:val="center"/>
          </w:tcPr>
          <w:p w14:paraId="64BC2694">
            <w:pPr>
              <w:spacing w:line="240" w:lineRule="auto"/>
              <w:jc w:val="right"/>
            </w:pPr>
            <w:r>
              <w:rPr>
                <w:rFonts w:ascii="宋体" w:hAnsi="宋体" w:eastAsia="宋体" w:cs="宋体"/>
                <w:b w:val="0"/>
              </w:rPr>
              <w:t>-</w:t>
            </w:r>
          </w:p>
        </w:tc>
      </w:tr>
      <w:tr w14:paraId="3DDA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D32510">
            <w:pPr>
              <w:spacing w:line="240" w:lineRule="auto"/>
              <w:jc w:val="left"/>
            </w:pPr>
            <w:r>
              <w:rPr>
                <w:rFonts w:ascii="宋体" w:hAnsi="宋体" w:eastAsia="宋体" w:cs="宋体"/>
                <w:b w:val="0"/>
              </w:rPr>
              <w:t xml:space="preserve">      加：应计利息</w:t>
            </w:r>
          </w:p>
        </w:tc>
        <w:tc>
          <w:tcPr>
            <w:tcW w:w="0" w:type="dxa"/>
            <w:vAlign w:val="center"/>
          </w:tcPr>
          <w:p w14:paraId="4C03365C">
            <w:pPr>
              <w:spacing w:line="240" w:lineRule="auto"/>
              <w:jc w:val="right"/>
            </w:pPr>
            <w:r>
              <w:rPr>
                <w:rFonts w:ascii="宋体" w:hAnsi="宋体" w:eastAsia="宋体" w:cs="宋体"/>
                <w:b w:val="0"/>
              </w:rPr>
              <w:t>-</w:t>
            </w:r>
          </w:p>
        </w:tc>
      </w:tr>
      <w:tr w14:paraId="50BE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511A90">
            <w:pPr>
              <w:spacing w:line="240" w:lineRule="auto"/>
              <w:jc w:val="left"/>
            </w:pPr>
            <w:r>
              <w:rPr>
                <w:rFonts w:ascii="宋体" w:hAnsi="宋体" w:eastAsia="宋体" w:cs="宋体"/>
                <w:b w:val="0"/>
              </w:rPr>
              <w:t xml:space="preserve">      减：坏账准备</w:t>
            </w:r>
          </w:p>
        </w:tc>
        <w:tc>
          <w:tcPr>
            <w:tcW w:w="0" w:type="dxa"/>
            <w:vAlign w:val="center"/>
          </w:tcPr>
          <w:p w14:paraId="35DE0597">
            <w:pPr>
              <w:spacing w:line="240" w:lineRule="auto"/>
              <w:jc w:val="right"/>
            </w:pPr>
            <w:r>
              <w:rPr>
                <w:rFonts w:ascii="宋体" w:hAnsi="宋体" w:eastAsia="宋体" w:cs="宋体"/>
                <w:b w:val="0"/>
              </w:rPr>
              <w:t>-</w:t>
            </w:r>
          </w:p>
        </w:tc>
      </w:tr>
      <w:tr w14:paraId="1ED0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37881D">
            <w:pPr>
              <w:spacing w:line="240" w:lineRule="auto"/>
              <w:jc w:val="left"/>
            </w:pPr>
            <w:r>
              <w:rPr>
                <w:rFonts w:ascii="宋体" w:hAnsi="宋体" w:eastAsia="宋体" w:cs="宋体"/>
                <w:b w:val="0"/>
              </w:rPr>
              <w:t>其中：存款期限1个月以内</w:t>
            </w:r>
          </w:p>
        </w:tc>
        <w:tc>
          <w:tcPr>
            <w:tcW w:w="0" w:type="dxa"/>
            <w:vAlign w:val="center"/>
          </w:tcPr>
          <w:p w14:paraId="2D1ECDC9">
            <w:pPr>
              <w:spacing w:line="240" w:lineRule="auto"/>
              <w:jc w:val="right"/>
            </w:pPr>
            <w:r>
              <w:rPr>
                <w:rFonts w:ascii="宋体" w:hAnsi="宋体" w:eastAsia="宋体" w:cs="宋体"/>
                <w:b w:val="0"/>
              </w:rPr>
              <w:t>-</w:t>
            </w:r>
          </w:p>
        </w:tc>
      </w:tr>
      <w:tr w14:paraId="0F26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3F9093">
            <w:pPr>
              <w:spacing w:line="240" w:lineRule="auto"/>
              <w:jc w:val="left"/>
            </w:pPr>
            <w:r>
              <w:rPr>
                <w:rFonts w:ascii="宋体" w:hAnsi="宋体" w:eastAsia="宋体" w:cs="宋体"/>
                <w:b w:val="0"/>
              </w:rPr>
              <w:t xml:space="preserve">      存款期限1-3个月</w:t>
            </w:r>
          </w:p>
        </w:tc>
        <w:tc>
          <w:tcPr>
            <w:tcW w:w="0" w:type="dxa"/>
            <w:vAlign w:val="center"/>
          </w:tcPr>
          <w:p w14:paraId="7484A4EB">
            <w:pPr>
              <w:spacing w:line="240" w:lineRule="auto"/>
              <w:jc w:val="right"/>
            </w:pPr>
            <w:r>
              <w:rPr>
                <w:rFonts w:ascii="宋体" w:hAnsi="宋体" w:eastAsia="宋体" w:cs="宋体"/>
                <w:b w:val="0"/>
              </w:rPr>
              <w:t>-</w:t>
            </w:r>
          </w:p>
        </w:tc>
      </w:tr>
      <w:tr w14:paraId="68B3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C32B3B">
            <w:pPr>
              <w:spacing w:line="240" w:lineRule="auto"/>
              <w:jc w:val="left"/>
            </w:pPr>
            <w:r>
              <w:rPr>
                <w:rFonts w:ascii="宋体" w:hAnsi="宋体" w:eastAsia="宋体" w:cs="宋体"/>
                <w:b w:val="0"/>
              </w:rPr>
              <w:t xml:space="preserve">      存款期限3个月以上</w:t>
            </w:r>
          </w:p>
        </w:tc>
        <w:tc>
          <w:tcPr>
            <w:tcW w:w="0" w:type="dxa"/>
            <w:vAlign w:val="center"/>
          </w:tcPr>
          <w:p w14:paraId="48B21E1A">
            <w:pPr>
              <w:spacing w:line="240" w:lineRule="auto"/>
              <w:jc w:val="right"/>
            </w:pPr>
            <w:r>
              <w:rPr>
                <w:rFonts w:ascii="宋体" w:hAnsi="宋体" w:eastAsia="宋体" w:cs="宋体"/>
                <w:b w:val="0"/>
              </w:rPr>
              <w:t>-</w:t>
            </w:r>
          </w:p>
        </w:tc>
      </w:tr>
      <w:tr w14:paraId="664E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C28C80">
            <w:pPr>
              <w:spacing w:line="240" w:lineRule="auto"/>
              <w:jc w:val="left"/>
            </w:pPr>
            <w:r>
              <w:rPr>
                <w:rFonts w:ascii="宋体" w:hAnsi="宋体" w:eastAsia="宋体" w:cs="宋体"/>
                <w:b w:val="0"/>
              </w:rPr>
              <w:t>其他存款</w:t>
            </w:r>
          </w:p>
        </w:tc>
        <w:tc>
          <w:tcPr>
            <w:tcW w:w="0" w:type="dxa"/>
            <w:vAlign w:val="center"/>
          </w:tcPr>
          <w:p w14:paraId="7D539D80">
            <w:pPr>
              <w:spacing w:line="240" w:lineRule="auto"/>
              <w:jc w:val="right"/>
            </w:pPr>
            <w:r>
              <w:rPr>
                <w:rFonts w:ascii="宋体" w:hAnsi="宋体" w:eastAsia="宋体" w:cs="宋体"/>
                <w:b w:val="0"/>
              </w:rPr>
              <w:t>2,540,698.71</w:t>
            </w:r>
          </w:p>
        </w:tc>
      </w:tr>
      <w:tr w14:paraId="54DB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CAFE83">
            <w:pPr>
              <w:spacing w:line="240" w:lineRule="auto"/>
              <w:jc w:val="left"/>
            </w:pPr>
            <w:r>
              <w:rPr>
                <w:rFonts w:ascii="宋体" w:hAnsi="宋体" w:eastAsia="宋体" w:cs="宋体"/>
                <w:b w:val="0"/>
              </w:rPr>
              <w:t>等于：本金</w:t>
            </w:r>
          </w:p>
        </w:tc>
        <w:tc>
          <w:tcPr>
            <w:tcW w:w="0" w:type="dxa"/>
            <w:vAlign w:val="center"/>
          </w:tcPr>
          <w:p w14:paraId="5B5E8930">
            <w:pPr>
              <w:spacing w:line="240" w:lineRule="auto"/>
              <w:jc w:val="right"/>
            </w:pPr>
            <w:r>
              <w:rPr>
                <w:rFonts w:ascii="宋体" w:hAnsi="宋体" w:eastAsia="宋体" w:cs="宋体"/>
                <w:b w:val="0"/>
              </w:rPr>
              <w:t>2,540,673.30</w:t>
            </w:r>
          </w:p>
        </w:tc>
      </w:tr>
      <w:tr w14:paraId="1ED3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DD83D9">
            <w:pPr>
              <w:spacing w:line="240" w:lineRule="auto"/>
              <w:jc w:val="left"/>
            </w:pPr>
            <w:r>
              <w:rPr>
                <w:rFonts w:ascii="宋体" w:hAnsi="宋体" w:eastAsia="宋体" w:cs="宋体"/>
                <w:b w:val="0"/>
              </w:rPr>
              <w:t xml:space="preserve">      加：应计利息</w:t>
            </w:r>
          </w:p>
        </w:tc>
        <w:tc>
          <w:tcPr>
            <w:tcW w:w="0" w:type="dxa"/>
            <w:vAlign w:val="center"/>
          </w:tcPr>
          <w:p w14:paraId="7EC57590">
            <w:pPr>
              <w:spacing w:line="240" w:lineRule="auto"/>
              <w:jc w:val="right"/>
            </w:pPr>
            <w:r>
              <w:rPr>
                <w:rFonts w:ascii="宋体" w:hAnsi="宋体" w:eastAsia="宋体" w:cs="宋体"/>
                <w:b w:val="0"/>
              </w:rPr>
              <w:t>25.41</w:t>
            </w:r>
          </w:p>
        </w:tc>
      </w:tr>
      <w:tr w14:paraId="0873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8E125A">
            <w:pPr>
              <w:spacing w:line="240" w:lineRule="auto"/>
              <w:jc w:val="left"/>
            </w:pPr>
            <w:r>
              <w:rPr>
                <w:rFonts w:ascii="宋体" w:hAnsi="宋体" w:eastAsia="宋体" w:cs="宋体"/>
                <w:b w:val="0"/>
              </w:rPr>
              <w:t xml:space="preserve">      减：坏账准备</w:t>
            </w:r>
          </w:p>
        </w:tc>
        <w:tc>
          <w:tcPr>
            <w:tcW w:w="0" w:type="dxa"/>
            <w:vAlign w:val="center"/>
          </w:tcPr>
          <w:p w14:paraId="02E0C39A">
            <w:pPr>
              <w:spacing w:line="240" w:lineRule="auto"/>
              <w:jc w:val="right"/>
            </w:pPr>
            <w:r>
              <w:rPr>
                <w:rFonts w:ascii="宋体" w:hAnsi="宋体" w:eastAsia="宋体" w:cs="宋体"/>
                <w:b w:val="0"/>
              </w:rPr>
              <w:t>-</w:t>
            </w:r>
          </w:p>
        </w:tc>
      </w:tr>
      <w:tr w14:paraId="1227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389F24">
            <w:pPr>
              <w:spacing w:line="240" w:lineRule="auto"/>
              <w:jc w:val="center"/>
            </w:pPr>
            <w:r>
              <w:rPr>
                <w:rFonts w:ascii="宋体" w:hAnsi="宋体" w:eastAsia="宋体" w:cs="宋体"/>
                <w:b w:val="0"/>
              </w:rPr>
              <w:t>合计</w:t>
            </w:r>
          </w:p>
        </w:tc>
        <w:tc>
          <w:tcPr>
            <w:tcW w:w="0" w:type="dxa"/>
            <w:vAlign w:val="center"/>
          </w:tcPr>
          <w:p w14:paraId="025EB1A5">
            <w:pPr>
              <w:spacing w:line="240" w:lineRule="auto"/>
              <w:jc w:val="right"/>
            </w:pPr>
            <w:r>
              <w:rPr>
                <w:rFonts w:ascii="宋体" w:hAnsi="宋体" w:eastAsia="宋体" w:cs="宋体"/>
                <w:b w:val="0"/>
              </w:rPr>
              <w:t>2,820,391.63</w:t>
            </w:r>
          </w:p>
        </w:tc>
      </w:tr>
    </w:tbl>
    <w:p w14:paraId="1838E03D">
      <w:r>
        <w:rPr>
          <w:rFonts w:ascii="宋体" w:hAnsi="宋体" w:eastAsia="宋体" w:cs="宋体"/>
          <w:b w:val="0"/>
        </w:rPr>
        <w:t>注: 本基金持有的其他存款为存放在证券经纪商基金专用证券账户的证券交易结算资金。</w:t>
      </w:r>
    </w:p>
    <w:p w14:paraId="7C3BD817"/>
    <w:p w14:paraId="2183819D">
      <w:pPr>
        <w:pStyle w:val="58"/>
      </w:pPr>
      <w:r>
        <w:rPr>
          <w:rFonts w:ascii="宋体" w:hAnsi="宋体" w:eastAsia="宋体" w:cs="宋体"/>
          <w:b/>
        </w:rPr>
        <w:t>6.4.7.2 交易性金融资产</w:t>
      </w:r>
    </w:p>
    <w:p w14:paraId="26D0D17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28"/>
        <w:gridCol w:w="1787"/>
        <w:gridCol w:w="1787"/>
        <w:gridCol w:w="1787"/>
        <w:gridCol w:w="1783"/>
      </w:tblGrid>
      <w:tr w14:paraId="493E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6DCB8BE7">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750E1DD2">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32D4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18818F82"/>
        </w:tc>
        <w:tc>
          <w:tcPr>
            <w:tcW w:w="962" w:type="pct"/>
            <w:shd w:val="clear" w:color="auto" w:fill="D9D9D9"/>
            <w:vAlign w:val="center"/>
          </w:tcPr>
          <w:p w14:paraId="5C160267">
            <w:pPr>
              <w:spacing w:line="240" w:lineRule="auto"/>
              <w:jc w:val="center"/>
            </w:pPr>
            <w:r>
              <w:rPr>
                <w:rFonts w:ascii="宋体" w:hAnsi="宋体" w:eastAsia="宋体" w:cs="宋体"/>
                <w:b w:val="0"/>
              </w:rPr>
              <w:t>成本</w:t>
            </w:r>
          </w:p>
        </w:tc>
        <w:tc>
          <w:tcPr>
            <w:tcW w:w="962" w:type="pct"/>
            <w:shd w:val="clear" w:color="auto" w:fill="D9D9D9"/>
            <w:vAlign w:val="center"/>
          </w:tcPr>
          <w:p w14:paraId="06678C9D">
            <w:pPr>
              <w:spacing w:line="240" w:lineRule="auto"/>
              <w:jc w:val="center"/>
            </w:pPr>
            <w:r>
              <w:rPr>
                <w:rFonts w:ascii="宋体" w:hAnsi="宋体" w:eastAsia="宋体" w:cs="宋体"/>
                <w:b w:val="0"/>
              </w:rPr>
              <w:t>应计利息</w:t>
            </w:r>
          </w:p>
        </w:tc>
        <w:tc>
          <w:tcPr>
            <w:tcW w:w="962" w:type="pct"/>
            <w:shd w:val="clear" w:color="auto" w:fill="D9D9D9"/>
            <w:vAlign w:val="center"/>
          </w:tcPr>
          <w:p w14:paraId="51A4D6CC">
            <w:pPr>
              <w:spacing w:line="240" w:lineRule="auto"/>
              <w:jc w:val="center"/>
            </w:pPr>
            <w:r>
              <w:rPr>
                <w:rFonts w:ascii="宋体" w:hAnsi="宋体" w:eastAsia="宋体" w:cs="宋体"/>
                <w:b w:val="0"/>
              </w:rPr>
              <w:t>公允价值</w:t>
            </w:r>
          </w:p>
        </w:tc>
        <w:tc>
          <w:tcPr>
            <w:tcW w:w="962" w:type="pct"/>
            <w:shd w:val="clear" w:color="auto" w:fill="D9D9D9"/>
            <w:vAlign w:val="center"/>
          </w:tcPr>
          <w:p w14:paraId="09EDF6BB">
            <w:pPr>
              <w:spacing w:line="240" w:lineRule="auto"/>
              <w:jc w:val="center"/>
            </w:pPr>
            <w:r>
              <w:rPr>
                <w:rFonts w:ascii="宋体" w:hAnsi="宋体" w:eastAsia="宋体" w:cs="宋体"/>
                <w:b w:val="0"/>
              </w:rPr>
              <w:t>公允价值变动</w:t>
            </w:r>
          </w:p>
        </w:tc>
      </w:tr>
      <w:tr w14:paraId="10EC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367828F">
            <w:pPr>
              <w:spacing w:line="240" w:lineRule="auto"/>
              <w:jc w:val="left"/>
            </w:pPr>
            <w:r>
              <w:rPr>
                <w:rFonts w:ascii="宋体" w:hAnsi="宋体" w:eastAsia="宋体" w:cs="宋体"/>
                <w:b w:val="0"/>
              </w:rPr>
              <w:t>股票</w:t>
            </w:r>
          </w:p>
        </w:tc>
        <w:tc>
          <w:tcPr>
            <w:tcW w:w="0" w:type="dxa"/>
            <w:vAlign w:val="center"/>
          </w:tcPr>
          <w:p w14:paraId="27BA900A">
            <w:pPr>
              <w:spacing w:line="240" w:lineRule="auto"/>
              <w:jc w:val="right"/>
            </w:pPr>
            <w:r>
              <w:rPr>
                <w:rFonts w:ascii="宋体" w:hAnsi="宋体" w:eastAsia="宋体" w:cs="宋体"/>
                <w:b w:val="0"/>
              </w:rPr>
              <w:t>52,045,706.84</w:t>
            </w:r>
          </w:p>
        </w:tc>
        <w:tc>
          <w:tcPr>
            <w:tcW w:w="0" w:type="dxa"/>
            <w:vAlign w:val="center"/>
          </w:tcPr>
          <w:p w14:paraId="0657AF1B">
            <w:pPr>
              <w:spacing w:line="240" w:lineRule="auto"/>
              <w:jc w:val="right"/>
            </w:pPr>
            <w:r>
              <w:rPr>
                <w:rFonts w:ascii="宋体" w:hAnsi="宋体" w:eastAsia="宋体" w:cs="宋体"/>
                <w:b w:val="0"/>
              </w:rPr>
              <w:t>-</w:t>
            </w:r>
          </w:p>
        </w:tc>
        <w:tc>
          <w:tcPr>
            <w:tcW w:w="0" w:type="dxa"/>
            <w:vAlign w:val="center"/>
          </w:tcPr>
          <w:p w14:paraId="12352843">
            <w:pPr>
              <w:spacing w:line="240" w:lineRule="auto"/>
              <w:jc w:val="right"/>
            </w:pPr>
            <w:r>
              <w:rPr>
                <w:rFonts w:ascii="宋体" w:hAnsi="宋体" w:eastAsia="宋体" w:cs="宋体"/>
                <w:b w:val="0"/>
              </w:rPr>
              <w:t>44,985,065.53</w:t>
            </w:r>
          </w:p>
        </w:tc>
        <w:tc>
          <w:tcPr>
            <w:tcW w:w="0" w:type="dxa"/>
            <w:vAlign w:val="center"/>
          </w:tcPr>
          <w:p w14:paraId="6C8EECB3">
            <w:pPr>
              <w:spacing w:line="240" w:lineRule="auto"/>
              <w:jc w:val="right"/>
            </w:pPr>
            <w:r>
              <w:rPr>
                <w:rFonts w:ascii="宋体" w:hAnsi="宋体" w:eastAsia="宋体" w:cs="宋体"/>
                <w:b w:val="0"/>
              </w:rPr>
              <w:t>-7,060,641.31</w:t>
            </w:r>
          </w:p>
        </w:tc>
      </w:tr>
      <w:tr w14:paraId="52DF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7A6A551">
            <w:pPr>
              <w:spacing w:line="240" w:lineRule="auto"/>
              <w:jc w:val="left"/>
            </w:pPr>
            <w:r>
              <w:rPr>
                <w:rFonts w:ascii="宋体" w:hAnsi="宋体" w:eastAsia="宋体" w:cs="宋体"/>
                <w:b w:val="0"/>
              </w:rPr>
              <w:t>贵金属投资-金交所黄金合约</w:t>
            </w:r>
          </w:p>
        </w:tc>
        <w:tc>
          <w:tcPr>
            <w:tcW w:w="0" w:type="dxa"/>
            <w:vAlign w:val="center"/>
          </w:tcPr>
          <w:p w14:paraId="65C36C04">
            <w:pPr>
              <w:spacing w:line="240" w:lineRule="auto"/>
              <w:jc w:val="right"/>
            </w:pPr>
            <w:r>
              <w:rPr>
                <w:rFonts w:ascii="宋体" w:hAnsi="宋体" w:eastAsia="宋体" w:cs="宋体"/>
                <w:b w:val="0"/>
              </w:rPr>
              <w:t>-</w:t>
            </w:r>
          </w:p>
        </w:tc>
        <w:tc>
          <w:tcPr>
            <w:tcW w:w="0" w:type="dxa"/>
            <w:vAlign w:val="center"/>
          </w:tcPr>
          <w:p w14:paraId="7DA4458F">
            <w:pPr>
              <w:spacing w:line="240" w:lineRule="auto"/>
              <w:jc w:val="right"/>
            </w:pPr>
            <w:r>
              <w:rPr>
                <w:rFonts w:ascii="宋体" w:hAnsi="宋体" w:eastAsia="宋体" w:cs="宋体"/>
                <w:b w:val="0"/>
              </w:rPr>
              <w:t>-</w:t>
            </w:r>
          </w:p>
        </w:tc>
        <w:tc>
          <w:tcPr>
            <w:tcW w:w="0" w:type="dxa"/>
            <w:vAlign w:val="center"/>
          </w:tcPr>
          <w:p w14:paraId="4440ACB9">
            <w:pPr>
              <w:spacing w:line="240" w:lineRule="auto"/>
              <w:jc w:val="right"/>
            </w:pPr>
            <w:r>
              <w:rPr>
                <w:rFonts w:ascii="宋体" w:hAnsi="宋体" w:eastAsia="宋体" w:cs="宋体"/>
                <w:b w:val="0"/>
              </w:rPr>
              <w:t>-</w:t>
            </w:r>
          </w:p>
        </w:tc>
        <w:tc>
          <w:tcPr>
            <w:tcW w:w="0" w:type="dxa"/>
            <w:vAlign w:val="center"/>
          </w:tcPr>
          <w:p w14:paraId="723FB4AC">
            <w:pPr>
              <w:spacing w:line="240" w:lineRule="auto"/>
              <w:jc w:val="right"/>
            </w:pPr>
            <w:r>
              <w:rPr>
                <w:rFonts w:ascii="宋体" w:hAnsi="宋体" w:eastAsia="宋体" w:cs="宋体"/>
                <w:b w:val="0"/>
              </w:rPr>
              <w:t>-</w:t>
            </w:r>
          </w:p>
        </w:tc>
      </w:tr>
      <w:tr w14:paraId="0D0D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764F33C6">
            <w:pPr>
              <w:spacing w:line="240" w:lineRule="auto"/>
              <w:jc w:val="center"/>
            </w:pPr>
            <w:r>
              <w:rPr>
                <w:rFonts w:ascii="宋体" w:hAnsi="宋体" w:eastAsia="宋体" w:cs="宋体"/>
                <w:b w:val="0"/>
              </w:rPr>
              <w:t>债券</w:t>
            </w:r>
          </w:p>
        </w:tc>
        <w:tc>
          <w:tcPr>
            <w:tcW w:w="769" w:type="pct"/>
            <w:vAlign w:val="center"/>
          </w:tcPr>
          <w:p w14:paraId="2DB65377">
            <w:pPr>
              <w:spacing w:line="240" w:lineRule="auto"/>
              <w:jc w:val="left"/>
            </w:pPr>
            <w:r>
              <w:rPr>
                <w:rFonts w:ascii="宋体" w:hAnsi="宋体" w:eastAsia="宋体" w:cs="宋体"/>
                <w:b w:val="0"/>
              </w:rPr>
              <w:t>交易所市场</w:t>
            </w:r>
          </w:p>
        </w:tc>
        <w:tc>
          <w:tcPr>
            <w:tcW w:w="0" w:type="dxa"/>
            <w:vAlign w:val="center"/>
          </w:tcPr>
          <w:p w14:paraId="6C323055">
            <w:pPr>
              <w:spacing w:line="240" w:lineRule="auto"/>
              <w:jc w:val="right"/>
            </w:pPr>
            <w:r>
              <w:rPr>
                <w:rFonts w:ascii="宋体" w:hAnsi="宋体" w:eastAsia="宋体" w:cs="宋体"/>
                <w:b w:val="0"/>
              </w:rPr>
              <w:t>2,900,783.00</w:t>
            </w:r>
          </w:p>
        </w:tc>
        <w:tc>
          <w:tcPr>
            <w:tcW w:w="0" w:type="dxa"/>
            <w:vAlign w:val="center"/>
          </w:tcPr>
          <w:p w14:paraId="4FB408BF">
            <w:pPr>
              <w:spacing w:line="240" w:lineRule="auto"/>
              <w:jc w:val="right"/>
            </w:pPr>
            <w:r>
              <w:rPr>
                <w:rFonts w:ascii="宋体" w:hAnsi="宋体" w:eastAsia="宋体" w:cs="宋体"/>
                <w:b w:val="0"/>
              </w:rPr>
              <w:t>36,033.89</w:t>
            </w:r>
          </w:p>
        </w:tc>
        <w:tc>
          <w:tcPr>
            <w:tcW w:w="0" w:type="dxa"/>
            <w:vAlign w:val="center"/>
          </w:tcPr>
          <w:p w14:paraId="4A13088B">
            <w:pPr>
              <w:spacing w:line="240" w:lineRule="auto"/>
              <w:jc w:val="right"/>
            </w:pPr>
            <w:r>
              <w:rPr>
                <w:rFonts w:ascii="宋体" w:hAnsi="宋体" w:eastAsia="宋体" w:cs="宋体"/>
                <w:b w:val="0"/>
              </w:rPr>
              <w:t>2,936,613.89</w:t>
            </w:r>
          </w:p>
        </w:tc>
        <w:tc>
          <w:tcPr>
            <w:tcW w:w="0" w:type="dxa"/>
            <w:vAlign w:val="center"/>
          </w:tcPr>
          <w:p w14:paraId="26780581">
            <w:pPr>
              <w:spacing w:line="240" w:lineRule="auto"/>
              <w:jc w:val="right"/>
            </w:pPr>
            <w:r>
              <w:rPr>
                <w:rFonts w:ascii="宋体" w:hAnsi="宋体" w:eastAsia="宋体" w:cs="宋体"/>
                <w:b w:val="0"/>
              </w:rPr>
              <w:t>-203.00</w:t>
            </w:r>
          </w:p>
        </w:tc>
      </w:tr>
      <w:tr w14:paraId="56E2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893C8BB"/>
        </w:tc>
        <w:tc>
          <w:tcPr>
            <w:tcW w:w="0" w:type="dxa"/>
            <w:vAlign w:val="center"/>
          </w:tcPr>
          <w:p w14:paraId="32BF57B5">
            <w:pPr>
              <w:spacing w:line="240" w:lineRule="auto"/>
              <w:jc w:val="left"/>
            </w:pPr>
            <w:r>
              <w:rPr>
                <w:rFonts w:ascii="宋体" w:hAnsi="宋体" w:eastAsia="宋体" w:cs="宋体"/>
                <w:b w:val="0"/>
              </w:rPr>
              <w:t>银行间市场</w:t>
            </w:r>
          </w:p>
        </w:tc>
        <w:tc>
          <w:tcPr>
            <w:tcW w:w="0" w:type="dxa"/>
            <w:vAlign w:val="center"/>
          </w:tcPr>
          <w:p w14:paraId="543443E4">
            <w:pPr>
              <w:spacing w:line="240" w:lineRule="auto"/>
              <w:jc w:val="right"/>
            </w:pPr>
            <w:r>
              <w:rPr>
                <w:rFonts w:ascii="宋体" w:hAnsi="宋体" w:eastAsia="宋体" w:cs="宋体"/>
                <w:b w:val="0"/>
              </w:rPr>
              <w:t>-</w:t>
            </w:r>
          </w:p>
        </w:tc>
        <w:tc>
          <w:tcPr>
            <w:tcW w:w="0" w:type="dxa"/>
            <w:vAlign w:val="center"/>
          </w:tcPr>
          <w:p w14:paraId="707E28B2">
            <w:pPr>
              <w:spacing w:line="240" w:lineRule="auto"/>
              <w:jc w:val="right"/>
            </w:pPr>
            <w:r>
              <w:rPr>
                <w:rFonts w:ascii="宋体" w:hAnsi="宋体" w:eastAsia="宋体" w:cs="宋体"/>
                <w:b w:val="0"/>
              </w:rPr>
              <w:t>-</w:t>
            </w:r>
          </w:p>
        </w:tc>
        <w:tc>
          <w:tcPr>
            <w:tcW w:w="0" w:type="dxa"/>
            <w:vAlign w:val="center"/>
          </w:tcPr>
          <w:p w14:paraId="5DF6CB92">
            <w:pPr>
              <w:spacing w:line="240" w:lineRule="auto"/>
              <w:jc w:val="right"/>
            </w:pPr>
            <w:r>
              <w:rPr>
                <w:rFonts w:ascii="宋体" w:hAnsi="宋体" w:eastAsia="宋体" w:cs="宋体"/>
                <w:b w:val="0"/>
              </w:rPr>
              <w:t>-</w:t>
            </w:r>
          </w:p>
        </w:tc>
        <w:tc>
          <w:tcPr>
            <w:tcW w:w="0" w:type="dxa"/>
            <w:vAlign w:val="center"/>
          </w:tcPr>
          <w:p w14:paraId="3D8124B3">
            <w:pPr>
              <w:spacing w:line="240" w:lineRule="auto"/>
              <w:jc w:val="right"/>
            </w:pPr>
            <w:r>
              <w:rPr>
                <w:rFonts w:ascii="宋体" w:hAnsi="宋体" w:eastAsia="宋体" w:cs="宋体"/>
                <w:b w:val="0"/>
              </w:rPr>
              <w:t>-</w:t>
            </w:r>
          </w:p>
        </w:tc>
      </w:tr>
      <w:tr w14:paraId="22B5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B7139C0"/>
        </w:tc>
        <w:tc>
          <w:tcPr>
            <w:tcW w:w="0" w:type="dxa"/>
            <w:vAlign w:val="center"/>
          </w:tcPr>
          <w:p w14:paraId="4CF3803E">
            <w:pPr>
              <w:spacing w:line="240" w:lineRule="auto"/>
              <w:jc w:val="left"/>
            </w:pPr>
            <w:r>
              <w:rPr>
                <w:rFonts w:ascii="宋体" w:hAnsi="宋体" w:eastAsia="宋体" w:cs="宋体"/>
                <w:b w:val="0"/>
              </w:rPr>
              <w:t>合计</w:t>
            </w:r>
          </w:p>
        </w:tc>
        <w:tc>
          <w:tcPr>
            <w:tcW w:w="0" w:type="dxa"/>
            <w:vAlign w:val="center"/>
          </w:tcPr>
          <w:p w14:paraId="24586FFF">
            <w:pPr>
              <w:spacing w:line="240" w:lineRule="auto"/>
              <w:jc w:val="right"/>
            </w:pPr>
            <w:r>
              <w:rPr>
                <w:rFonts w:ascii="宋体" w:hAnsi="宋体" w:eastAsia="宋体" w:cs="宋体"/>
                <w:b w:val="0"/>
              </w:rPr>
              <w:t>2,900,783.00</w:t>
            </w:r>
          </w:p>
        </w:tc>
        <w:tc>
          <w:tcPr>
            <w:tcW w:w="0" w:type="dxa"/>
            <w:vAlign w:val="center"/>
          </w:tcPr>
          <w:p w14:paraId="4ADCC2A0">
            <w:pPr>
              <w:spacing w:line="240" w:lineRule="auto"/>
              <w:jc w:val="right"/>
            </w:pPr>
            <w:r>
              <w:rPr>
                <w:rFonts w:ascii="宋体" w:hAnsi="宋体" w:eastAsia="宋体" w:cs="宋体"/>
                <w:b w:val="0"/>
              </w:rPr>
              <w:t>36,033.89</w:t>
            </w:r>
          </w:p>
        </w:tc>
        <w:tc>
          <w:tcPr>
            <w:tcW w:w="0" w:type="dxa"/>
            <w:vAlign w:val="center"/>
          </w:tcPr>
          <w:p w14:paraId="5E1BE6C8">
            <w:pPr>
              <w:spacing w:line="240" w:lineRule="auto"/>
              <w:jc w:val="right"/>
            </w:pPr>
            <w:r>
              <w:rPr>
                <w:rFonts w:ascii="宋体" w:hAnsi="宋体" w:eastAsia="宋体" w:cs="宋体"/>
                <w:b w:val="0"/>
              </w:rPr>
              <w:t>2,936,613.89</w:t>
            </w:r>
          </w:p>
        </w:tc>
        <w:tc>
          <w:tcPr>
            <w:tcW w:w="0" w:type="dxa"/>
            <w:vAlign w:val="center"/>
          </w:tcPr>
          <w:p w14:paraId="05E2EA87">
            <w:pPr>
              <w:spacing w:line="240" w:lineRule="auto"/>
              <w:jc w:val="right"/>
            </w:pPr>
            <w:r>
              <w:rPr>
                <w:rFonts w:ascii="宋体" w:hAnsi="宋体" w:eastAsia="宋体" w:cs="宋体"/>
                <w:b w:val="0"/>
              </w:rPr>
              <w:t>-203.00</w:t>
            </w:r>
          </w:p>
        </w:tc>
      </w:tr>
      <w:tr w14:paraId="610B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969E476">
            <w:pPr>
              <w:spacing w:line="240" w:lineRule="auto"/>
              <w:jc w:val="left"/>
            </w:pPr>
            <w:r>
              <w:rPr>
                <w:rFonts w:ascii="宋体" w:hAnsi="宋体" w:eastAsia="宋体" w:cs="宋体"/>
                <w:b w:val="0"/>
              </w:rPr>
              <w:t>资产支持证券</w:t>
            </w:r>
          </w:p>
        </w:tc>
        <w:tc>
          <w:tcPr>
            <w:tcW w:w="0" w:type="dxa"/>
            <w:vAlign w:val="center"/>
          </w:tcPr>
          <w:p w14:paraId="0D4396D9">
            <w:pPr>
              <w:spacing w:line="240" w:lineRule="auto"/>
              <w:jc w:val="right"/>
            </w:pPr>
            <w:r>
              <w:rPr>
                <w:rFonts w:ascii="宋体" w:hAnsi="宋体" w:eastAsia="宋体" w:cs="宋体"/>
                <w:b w:val="0"/>
              </w:rPr>
              <w:t>-</w:t>
            </w:r>
          </w:p>
        </w:tc>
        <w:tc>
          <w:tcPr>
            <w:tcW w:w="0" w:type="dxa"/>
            <w:vAlign w:val="center"/>
          </w:tcPr>
          <w:p w14:paraId="00D2F5EF">
            <w:pPr>
              <w:spacing w:line="240" w:lineRule="auto"/>
              <w:jc w:val="right"/>
            </w:pPr>
            <w:r>
              <w:rPr>
                <w:rFonts w:ascii="宋体" w:hAnsi="宋体" w:eastAsia="宋体" w:cs="宋体"/>
                <w:b w:val="0"/>
              </w:rPr>
              <w:t>-</w:t>
            </w:r>
          </w:p>
        </w:tc>
        <w:tc>
          <w:tcPr>
            <w:tcW w:w="0" w:type="dxa"/>
            <w:vAlign w:val="center"/>
          </w:tcPr>
          <w:p w14:paraId="12B6D14A">
            <w:pPr>
              <w:spacing w:line="240" w:lineRule="auto"/>
              <w:jc w:val="right"/>
            </w:pPr>
            <w:r>
              <w:rPr>
                <w:rFonts w:ascii="宋体" w:hAnsi="宋体" w:eastAsia="宋体" w:cs="宋体"/>
                <w:b w:val="0"/>
              </w:rPr>
              <w:t>-</w:t>
            </w:r>
          </w:p>
        </w:tc>
        <w:tc>
          <w:tcPr>
            <w:tcW w:w="0" w:type="dxa"/>
            <w:vAlign w:val="center"/>
          </w:tcPr>
          <w:p w14:paraId="33D40473">
            <w:pPr>
              <w:spacing w:line="240" w:lineRule="auto"/>
              <w:jc w:val="right"/>
            </w:pPr>
            <w:r>
              <w:rPr>
                <w:rFonts w:ascii="宋体" w:hAnsi="宋体" w:eastAsia="宋体" w:cs="宋体"/>
                <w:b w:val="0"/>
              </w:rPr>
              <w:t>-</w:t>
            </w:r>
          </w:p>
        </w:tc>
      </w:tr>
      <w:tr w14:paraId="0C1A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970E075">
            <w:pPr>
              <w:spacing w:line="240" w:lineRule="auto"/>
              <w:jc w:val="left"/>
            </w:pPr>
            <w:r>
              <w:rPr>
                <w:rFonts w:ascii="宋体" w:hAnsi="宋体" w:eastAsia="宋体" w:cs="宋体"/>
                <w:b w:val="0"/>
              </w:rPr>
              <w:t>基金</w:t>
            </w:r>
          </w:p>
        </w:tc>
        <w:tc>
          <w:tcPr>
            <w:tcW w:w="0" w:type="dxa"/>
            <w:vAlign w:val="center"/>
          </w:tcPr>
          <w:p w14:paraId="76FF425D">
            <w:pPr>
              <w:spacing w:line="240" w:lineRule="auto"/>
              <w:jc w:val="right"/>
            </w:pPr>
            <w:r>
              <w:rPr>
                <w:rFonts w:ascii="宋体" w:hAnsi="宋体" w:eastAsia="宋体" w:cs="宋体"/>
                <w:b w:val="0"/>
              </w:rPr>
              <w:t>-</w:t>
            </w:r>
          </w:p>
        </w:tc>
        <w:tc>
          <w:tcPr>
            <w:tcW w:w="0" w:type="dxa"/>
            <w:vAlign w:val="center"/>
          </w:tcPr>
          <w:p w14:paraId="454C0E59">
            <w:pPr>
              <w:spacing w:line="240" w:lineRule="auto"/>
              <w:jc w:val="right"/>
            </w:pPr>
            <w:r>
              <w:rPr>
                <w:rFonts w:ascii="宋体" w:hAnsi="宋体" w:eastAsia="宋体" w:cs="宋体"/>
                <w:b w:val="0"/>
              </w:rPr>
              <w:t>-</w:t>
            </w:r>
          </w:p>
        </w:tc>
        <w:tc>
          <w:tcPr>
            <w:tcW w:w="0" w:type="dxa"/>
            <w:vAlign w:val="center"/>
          </w:tcPr>
          <w:p w14:paraId="1C6330FF">
            <w:pPr>
              <w:spacing w:line="240" w:lineRule="auto"/>
              <w:jc w:val="right"/>
            </w:pPr>
            <w:r>
              <w:rPr>
                <w:rFonts w:ascii="宋体" w:hAnsi="宋体" w:eastAsia="宋体" w:cs="宋体"/>
                <w:b w:val="0"/>
              </w:rPr>
              <w:t>-</w:t>
            </w:r>
          </w:p>
        </w:tc>
        <w:tc>
          <w:tcPr>
            <w:tcW w:w="0" w:type="dxa"/>
            <w:vAlign w:val="center"/>
          </w:tcPr>
          <w:p w14:paraId="2D9B74E7">
            <w:pPr>
              <w:spacing w:line="240" w:lineRule="auto"/>
              <w:jc w:val="right"/>
            </w:pPr>
            <w:r>
              <w:rPr>
                <w:rFonts w:ascii="宋体" w:hAnsi="宋体" w:eastAsia="宋体" w:cs="宋体"/>
                <w:b w:val="0"/>
              </w:rPr>
              <w:t>-</w:t>
            </w:r>
          </w:p>
        </w:tc>
      </w:tr>
      <w:tr w14:paraId="684C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06B858E2">
            <w:pPr>
              <w:spacing w:line="240" w:lineRule="auto"/>
              <w:jc w:val="left"/>
            </w:pPr>
            <w:r>
              <w:rPr>
                <w:rFonts w:ascii="宋体" w:hAnsi="宋体" w:eastAsia="宋体" w:cs="宋体"/>
                <w:b w:val="0"/>
              </w:rPr>
              <w:t>其他</w:t>
            </w:r>
          </w:p>
        </w:tc>
        <w:tc>
          <w:tcPr>
            <w:tcW w:w="0" w:type="dxa"/>
            <w:vAlign w:val="center"/>
          </w:tcPr>
          <w:p w14:paraId="7E2ADDF6">
            <w:pPr>
              <w:spacing w:line="240" w:lineRule="auto"/>
              <w:jc w:val="right"/>
            </w:pPr>
            <w:r>
              <w:rPr>
                <w:rFonts w:ascii="宋体" w:hAnsi="宋体" w:eastAsia="宋体" w:cs="宋体"/>
                <w:b w:val="0"/>
              </w:rPr>
              <w:t>-</w:t>
            </w:r>
          </w:p>
        </w:tc>
        <w:tc>
          <w:tcPr>
            <w:tcW w:w="0" w:type="dxa"/>
            <w:vAlign w:val="center"/>
          </w:tcPr>
          <w:p w14:paraId="33601A53">
            <w:pPr>
              <w:spacing w:line="240" w:lineRule="auto"/>
              <w:jc w:val="right"/>
            </w:pPr>
            <w:r>
              <w:rPr>
                <w:rFonts w:ascii="宋体" w:hAnsi="宋体" w:eastAsia="宋体" w:cs="宋体"/>
                <w:b w:val="0"/>
              </w:rPr>
              <w:t>-</w:t>
            </w:r>
          </w:p>
        </w:tc>
        <w:tc>
          <w:tcPr>
            <w:tcW w:w="0" w:type="dxa"/>
            <w:vAlign w:val="center"/>
          </w:tcPr>
          <w:p w14:paraId="5A740108">
            <w:pPr>
              <w:spacing w:line="240" w:lineRule="auto"/>
              <w:jc w:val="right"/>
            </w:pPr>
            <w:r>
              <w:rPr>
                <w:rFonts w:ascii="宋体" w:hAnsi="宋体" w:eastAsia="宋体" w:cs="宋体"/>
                <w:b w:val="0"/>
              </w:rPr>
              <w:t>-</w:t>
            </w:r>
          </w:p>
        </w:tc>
        <w:tc>
          <w:tcPr>
            <w:tcW w:w="0" w:type="dxa"/>
            <w:vAlign w:val="center"/>
          </w:tcPr>
          <w:p w14:paraId="172FE8DE">
            <w:pPr>
              <w:spacing w:line="240" w:lineRule="auto"/>
              <w:jc w:val="right"/>
            </w:pPr>
            <w:r>
              <w:rPr>
                <w:rFonts w:ascii="宋体" w:hAnsi="宋体" w:eastAsia="宋体" w:cs="宋体"/>
                <w:b w:val="0"/>
              </w:rPr>
              <w:t>-</w:t>
            </w:r>
          </w:p>
        </w:tc>
      </w:tr>
      <w:tr w14:paraId="0256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41BCB2F">
            <w:pPr>
              <w:spacing w:line="240" w:lineRule="auto"/>
              <w:jc w:val="center"/>
            </w:pPr>
            <w:r>
              <w:rPr>
                <w:rFonts w:ascii="宋体" w:hAnsi="宋体" w:eastAsia="宋体" w:cs="宋体"/>
                <w:b w:val="0"/>
              </w:rPr>
              <w:t>合计</w:t>
            </w:r>
          </w:p>
        </w:tc>
        <w:tc>
          <w:tcPr>
            <w:tcW w:w="0" w:type="dxa"/>
            <w:vAlign w:val="center"/>
          </w:tcPr>
          <w:p w14:paraId="47952A9F">
            <w:pPr>
              <w:spacing w:line="240" w:lineRule="auto"/>
              <w:jc w:val="right"/>
            </w:pPr>
            <w:r>
              <w:rPr>
                <w:rFonts w:ascii="宋体" w:hAnsi="宋体" w:eastAsia="宋体" w:cs="宋体"/>
                <w:b w:val="0"/>
              </w:rPr>
              <w:t>54,946,489.84</w:t>
            </w:r>
          </w:p>
        </w:tc>
        <w:tc>
          <w:tcPr>
            <w:tcW w:w="0" w:type="dxa"/>
            <w:vAlign w:val="center"/>
          </w:tcPr>
          <w:p w14:paraId="3563254F">
            <w:pPr>
              <w:spacing w:line="240" w:lineRule="auto"/>
              <w:jc w:val="right"/>
            </w:pPr>
            <w:r>
              <w:rPr>
                <w:rFonts w:ascii="宋体" w:hAnsi="宋体" w:eastAsia="宋体" w:cs="宋体"/>
                <w:b w:val="0"/>
              </w:rPr>
              <w:t>36,033.89</w:t>
            </w:r>
          </w:p>
        </w:tc>
        <w:tc>
          <w:tcPr>
            <w:tcW w:w="0" w:type="dxa"/>
            <w:vAlign w:val="center"/>
          </w:tcPr>
          <w:p w14:paraId="3AF8B994">
            <w:pPr>
              <w:spacing w:line="240" w:lineRule="auto"/>
              <w:jc w:val="right"/>
            </w:pPr>
            <w:r>
              <w:rPr>
                <w:rFonts w:ascii="宋体" w:hAnsi="宋体" w:eastAsia="宋体" w:cs="宋体"/>
                <w:b w:val="0"/>
              </w:rPr>
              <w:t>47,921,679.42</w:t>
            </w:r>
          </w:p>
        </w:tc>
        <w:tc>
          <w:tcPr>
            <w:tcW w:w="0" w:type="dxa"/>
            <w:vAlign w:val="center"/>
          </w:tcPr>
          <w:p w14:paraId="01EFF2C8">
            <w:pPr>
              <w:spacing w:line="240" w:lineRule="auto"/>
              <w:jc w:val="right"/>
            </w:pPr>
            <w:r>
              <w:rPr>
                <w:rFonts w:ascii="宋体" w:hAnsi="宋体" w:eastAsia="宋体" w:cs="宋体"/>
                <w:b w:val="0"/>
              </w:rPr>
              <w:t>-7,060,844.31</w:t>
            </w:r>
          </w:p>
        </w:tc>
      </w:tr>
    </w:tbl>
    <w:p w14:paraId="168A162A"/>
    <w:p w14:paraId="2BE04179">
      <w:pPr>
        <w:pStyle w:val="58"/>
      </w:pPr>
      <w:r>
        <w:rPr>
          <w:rFonts w:ascii="宋体" w:hAnsi="宋体" w:eastAsia="宋体" w:cs="宋体"/>
          <w:b/>
        </w:rPr>
        <w:t>6.4.7.3 衍生金融资产/负债</w:t>
      </w:r>
    </w:p>
    <w:p w14:paraId="664EE776">
      <w:r>
        <w:rPr>
          <w:rFonts w:ascii="宋体" w:hAnsi="宋体" w:eastAsia="宋体" w:cs="宋体"/>
          <w:b w:val="0"/>
        </w:rPr>
        <w:t xml:space="preserve">    本基金本报告期末未持有衍生金融资产/负债。</w:t>
      </w:r>
    </w:p>
    <w:p w14:paraId="46738A8C"/>
    <w:p w14:paraId="4B4CC4F2">
      <w:pPr>
        <w:pStyle w:val="58"/>
      </w:pPr>
      <w:r>
        <w:rPr>
          <w:rFonts w:ascii="宋体" w:hAnsi="宋体" w:eastAsia="宋体" w:cs="宋体"/>
          <w:b/>
        </w:rPr>
        <w:t>6.4.7.4 买入返售金融资产</w:t>
      </w:r>
    </w:p>
    <w:p w14:paraId="24F45883">
      <w:pPr>
        <w:pStyle w:val="58"/>
      </w:pPr>
      <w:r>
        <w:rPr>
          <w:rFonts w:ascii="宋体" w:hAnsi="宋体" w:eastAsia="宋体" w:cs="宋体"/>
          <w:b/>
        </w:rPr>
        <w:t>6.4.7.4.1 各项买入返售金融资产期末余额</w:t>
      </w:r>
    </w:p>
    <w:p w14:paraId="7103F138">
      <w:r>
        <w:rPr>
          <w:rFonts w:ascii="宋体" w:hAnsi="宋体" w:eastAsia="宋体" w:cs="宋体"/>
          <w:b w:val="0"/>
        </w:rPr>
        <w:t xml:space="preserve">    本基金本报告期末未持有买入返售金融资产。</w:t>
      </w:r>
    </w:p>
    <w:p w14:paraId="3E7D6168"/>
    <w:p w14:paraId="2DBD8443">
      <w:pPr>
        <w:pStyle w:val="58"/>
      </w:pPr>
      <w:r>
        <w:rPr>
          <w:rFonts w:ascii="宋体" w:hAnsi="宋体" w:eastAsia="宋体" w:cs="宋体"/>
          <w:b/>
        </w:rPr>
        <w:t>6.4.7.4.2 期末买断式逆回购交易中取得的债券</w:t>
      </w:r>
    </w:p>
    <w:p w14:paraId="60E1C519">
      <w:r>
        <w:rPr>
          <w:rFonts w:ascii="宋体" w:hAnsi="宋体" w:eastAsia="宋体" w:cs="宋体"/>
          <w:b w:val="0"/>
        </w:rPr>
        <w:t xml:space="preserve">    本基金本报告期末未持有从买断式逆回购交易中取得的债券。</w:t>
      </w:r>
    </w:p>
    <w:p w14:paraId="1DABCBCE"/>
    <w:p w14:paraId="7672DF72">
      <w:pPr>
        <w:pStyle w:val="58"/>
      </w:pPr>
      <w:r>
        <w:rPr>
          <w:rFonts w:ascii="宋体" w:hAnsi="宋体" w:eastAsia="宋体" w:cs="宋体"/>
          <w:b/>
        </w:rPr>
        <w:t>6.4.7.5 其他资产</w:t>
      </w:r>
    </w:p>
    <w:p w14:paraId="5223C749">
      <w:r>
        <w:rPr>
          <w:rFonts w:ascii="宋体" w:hAnsi="宋体" w:eastAsia="宋体" w:cs="宋体"/>
          <w:b w:val="0"/>
        </w:rPr>
        <w:t xml:space="preserve">    本基金本报告期末未持有其他资产。</w:t>
      </w:r>
    </w:p>
    <w:p w14:paraId="7E35FBA7"/>
    <w:p w14:paraId="33B0BA8E">
      <w:pPr>
        <w:pStyle w:val="58"/>
      </w:pPr>
      <w:r>
        <w:rPr>
          <w:rFonts w:ascii="宋体" w:hAnsi="宋体" w:eastAsia="宋体" w:cs="宋体"/>
          <w:b/>
        </w:rPr>
        <w:t>6.4.7.6 其他负债</w:t>
      </w:r>
    </w:p>
    <w:p w14:paraId="40340B4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251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9" w:type="pct"/>
            <w:shd w:val="clear" w:color="auto" w:fill="D9D9D9"/>
            <w:vAlign w:val="center"/>
          </w:tcPr>
          <w:p w14:paraId="64A0B223">
            <w:pPr>
              <w:spacing w:line="240" w:lineRule="auto"/>
              <w:jc w:val="center"/>
            </w:pPr>
            <w:r>
              <w:rPr>
                <w:rFonts w:ascii="宋体" w:hAnsi="宋体" w:eastAsia="宋体" w:cs="宋体"/>
                <w:b w:val="0"/>
              </w:rPr>
              <w:t>项目</w:t>
            </w:r>
          </w:p>
        </w:tc>
        <w:tc>
          <w:tcPr>
            <w:tcW w:w="3077" w:type="pct"/>
            <w:shd w:val="clear" w:color="auto" w:fill="D9D9D9"/>
            <w:vAlign w:val="center"/>
          </w:tcPr>
          <w:p w14:paraId="0A881A6D">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7857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5477BE">
            <w:pPr>
              <w:spacing w:line="240" w:lineRule="auto"/>
              <w:jc w:val="left"/>
            </w:pPr>
            <w:r>
              <w:rPr>
                <w:rFonts w:ascii="宋体" w:hAnsi="宋体" w:eastAsia="宋体" w:cs="宋体"/>
                <w:b w:val="0"/>
              </w:rPr>
              <w:t>应付券商交易单元保证金</w:t>
            </w:r>
          </w:p>
        </w:tc>
        <w:tc>
          <w:tcPr>
            <w:tcW w:w="0" w:type="dxa"/>
            <w:vAlign w:val="center"/>
          </w:tcPr>
          <w:p w14:paraId="48C521F7">
            <w:pPr>
              <w:spacing w:line="240" w:lineRule="auto"/>
              <w:jc w:val="right"/>
            </w:pPr>
            <w:r>
              <w:rPr>
                <w:rFonts w:ascii="宋体" w:hAnsi="宋体" w:eastAsia="宋体" w:cs="宋体"/>
                <w:b w:val="0"/>
              </w:rPr>
              <w:t>-</w:t>
            </w:r>
          </w:p>
        </w:tc>
      </w:tr>
      <w:tr w14:paraId="2BC8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06D3D5">
            <w:pPr>
              <w:spacing w:line="240" w:lineRule="auto"/>
              <w:jc w:val="left"/>
            </w:pPr>
            <w:r>
              <w:rPr>
                <w:rFonts w:ascii="宋体" w:hAnsi="宋体" w:eastAsia="宋体" w:cs="宋体"/>
                <w:b w:val="0"/>
              </w:rPr>
              <w:t>应付赎回费</w:t>
            </w:r>
          </w:p>
        </w:tc>
        <w:tc>
          <w:tcPr>
            <w:tcW w:w="0" w:type="dxa"/>
            <w:vAlign w:val="center"/>
          </w:tcPr>
          <w:p w14:paraId="14645A86">
            <w:pPr>
              <w:spacing w:line="240" w:lineRule="auto"/>
              <w:jc w:val="right"/>
            </w:pPr>
            <w:r>
              <w:rPr>
                <w:rFonts w:ascii="宋体" w:hAnsi="宋体" w:eastAsia="宋体" w:cs="宋体"/>
                <w:b w:val="0"/>
              </w:rPr>
              <w:t>-</w:t>
            </w:r>
          </w:p>
        </w:tc>
      </w:tr>
      <w:tr w14:paraId="26BD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105624">
            <w:pPr>
              <w:spacing w:line="240" w:lineRule="auto"/>
              <w:jc w:val="left"/>
            </w:pPr>
            <w:r>
              <w:rPr>
                <w:rFonts w:ascii="宋体" w:hAnsi="宋体" w:eastAsia="宋体" w:cs="宋体"/>
                <w:b w:val="0"/>
              </w:rPr>
              <w:t>应付证券出借违约金</w:t>
            </w:r>
          </w:p>
        </w:tc>
        <w:tc>
          <w:tcPr>
            <w:tcW w:w="0" w:type="dxa"/>
            <w:vAlign w:val="center"/>
          </w:tcPr>
          <w:p w14:paraId="6214D29B">
            <w:pPr>
              <w:spacing w:line="240" w:lineRule="auto"/>
              <w:jc w:val="right"/>
            </w:pPr>
            <w:r>
              <w:rPr>
                <w:rFonts w:ascii="宋体" w:hAnsi="宋体" w:eastAsia="宋体" w:cs="宋体"/>
                <w:b w:val="0"/>
              </w:rPr>
              <w:t>-</w:t>
            </w:r>
          </w:p>
        </w:tc>
      </w:tr>
      <w:tr w14:paraId="1272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494F96">
            <w:pPr>
              <w:spacing w:line="240" w:lineRule="auto"/>
              <w:jc w:val="left"/>
            </w:pPr>
            <w:r>
              <w:rPr>
                <w:rFonts w:ascii="宋体" w:hAnsi="宋体" w:eastAsia="宋体" w:cs="宋体"/>
                <w:b w:val="0"/>
              </w:rPr>
              <w:t>应付交易费用</w:t>
            </w:r>
          </w:p>
        </w:tc>
        <w:tc>
          <w:tcPr>
            <w:tcW w:w="0" w:type="dxa"/>
            <w:vAlign w:val="center"/>
          </w:tcPr>
          <w:p w14:paraId="28C6EE39">
            <w:pPr>
              <w:spacing w:line="240" w:lineRule="auto"/>
              <w:jc w:val="right"/>
            </w:pPr>
            <w:r>
              <w:rPr>
                <w:rFonts w:ascii="宋体" w:hAnsi="宋体" w:eastAsia="宋体" w:cs="宋体"/>
                <w:b w:val="0"/>
              </w:rPr>
              <w:t>-</w:t>
            </w:r>
          </w:p>
        </w:tc>
      </w:tr>
      <w:tr w14:paraId="588D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0AFA5F">
            <w:pPr>
              <w:spacing w:line="240" w:lineRule="auto"/>
              <w:jc w:val="left"/>
            </w:pPr>
            <w:r>
              <w:rPr>
                <w:rFonts w:ascii="宋体" w:hAnsi="宋体" w:eastAsia="宋体" w:cs="宋体"/>
                <w:b w:val="0"/>
              </w:rPr>
              <w:t>其中：交易所市场</w:t>
            </w:r>
          </w:p>
        </w:tc>
        <w:tc>
          <w:tcPr>
            <w:tcW w:w="0" w:type="dxa"/>
            <w:vAlign w:val="center"/>
          </w:tcPr>
          <w:p w14:paraId="10D2E5F7">
            <w:pPr>
              <w:spacing w:line="240" w:lineRule="auto"/>
              <w:jc w:val="right"/>
            </w:pPr>
            <w:r>
              <w:rPr>
                <w:rFonts w:ascii="宋体" w:hAnsi="宋体" w:eastAsia="宋体" w:cs="宋体"/>
                <w:b w:val="0"/>
              </w:rPr>
              <w:t>-</w:t>
            </w:r>
          </w:p>
        </w:tc>
      </w:tr>
      <w:tr w14:paraId="74E2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94FAEF">
            <w:pPr>
              <w:spacing w:line="240" w:lineRule="auto"/>
              <w:jc w:val="left"/>
            </w:pPr>
            <w:r>
              <w:rPr>
                <w:rFonts w:ascii="宋体" w:hAnsi="宋体" w:eastAsia="宋体" w:cs="宋体"/>
                <w:b w:val="0"/>
              </w:rPr>
              <w:t xml:space="preserve">      银行间市场</w:t>
            </w:r>
          </w:p>
        </w:tc>
        <w:tc>
          <w:tcPr>
            <w:tcW w:w="0" w:type="dxa"/>
            <w:vAlign w:val="center"/>
          </w:tcPr>
          <w:p w14:paraId="6063C884">
            <w:pPr>
              <w:spacing w:line="240" w:lineRule="auto"/>
              <w:jc w:val="right"/>
            </w:pPr>
            <w:r>
              <w:rPr>
                <w:rFonts w:ascii="宋体" w:hAnsi="宋体" w:eastAsia="宋体" w:cs="宋体"/>
                <w:b w:val="0"/>
              </w:rPr>
              <w:t>-</w:t>
            </w:r>
          </w:p>
        </w:tc>
      </w:tr>
      <w:tr w14:paraId="16B8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83BFFD">
            <w:pPr>
              <w:spacing w:line="240" w:lineRule="auto"/>
              <w:jc w:val="left"/>
            </w:pPr>
            <w:r>
              <w:rPr>
                <w:rFonts w:ascii="宋体" w:hAnsi="宋体" w:eastAsia="宋体" w:cs="宋体"/>
                <w:b w:val="0"/>
              </w:rPr>
              <w:t>应付利息</w:t>
            </w:r>
          </w:p>
        </w:tc>
        <w:tc>
          <w:tcPr>
            <w:tcW w:w="0" w:type="dxa"/>
            <w:vAlign w:val="center"/>
          </w:tcPr>
          <w:p w14:paraId="63C4255A">
            <w:pPr>
              <w:spacing w:line="240" w:lineRule="auto"/>
              <w:jc w:val="right"/>
            </w:pPr>
            <w:r>
              <w:rPr>
                <w:rFonts w:ascii="宋体" w:hAnsi="宋体" w:eastAsia="宋体" w:cs="宋体"/>
                <w:b w:val="0"/>
              </w:rPr>
              <w:t>-</w:t>
            </w:r>
          </w:p>
        </w:tc>
      </w:tr>
      <w:tr w14:paraId="7917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ADD8BB">
            <w:pPr>
              <w:spacing w:line="240" w:lineRule="auto"/>
              <w:jc w:val="left"/>
            </w:pPr>
            <w:r>
              <w:rPr>
                <w:rFonts w:ascii="宋体" w:hAnsi="宋体" w:eastAsia="宋体" w:cs="宋体"/>
                <w:b w:val="0"/>
              </w:rPr>
              <w:t>预提费用</w:t>
            </w:r>
          </w:p>
        </w:tc>
        <w:tc>
          <w:tcPr>
            <w:tcW w:w="0" w:type="dxa"/>
            <w:vAlign w:val="center"/>
          </w:tcPr>
          <w:p w14:paraId="1F69A814">
            <w:pPr>
              <w:spacing w:line="240" w:lineRule="auto"/>
              <w:jc w:val="right"/>
            </w:pPr>
            <w:r>
              <w:rPr>
                <w:rFonts w:ascii="宋体" w:hAnsi="宋体" w:eastAsia="宋体" w:cs="宋体"/>
                <w:b w:val="0"/>
              </w:rPr>
              <w:t>44,630.98</w:t>
            </w:r>
          </w:p>
        </w:tc>
      </w:tr>
      <w:tr w14:paraId="050B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FEBFC4">
            <w:pPr>
              <w:spacing w:line="240" w:lineRule="auto"/>
              <w:jc w:val="center"/>
            </w:pPr>
            <w:r>
              <w:rPr>
                <w:rFonts w:ascii="宋体" w:hAnsi="宋体" w:eastAsia="宋体" w:cs="宋体"/>
                <w:b w:val="0"/>
              </w:rPr>
              <w:t>合计</w:t>
            </w:r>
          </w:p>
        </w:tc>
        <w:tc>
          <w:tcPr>
            <w:tcW w:w="0" w:type="dxa"/>
            <w:vAlign w:val="center"/>
          </w:tcPr>
          <w:p w14:paraId="2B582461">
            <w:pPr>
              <w:spacing w:line="240" w:lineRule="auto"/>
              <w:jc w:val="right"/>
            </w:pPr>
            <w:r>
              <w:rPr>
                <w:rFonts w:ascii="宋体" w:hAnsi="宋体" w:eastAsia="宋体" w:cs="宋体"/>
                <w:b w:val="0"/>
              </w:rPr>
              <w:t>44,630.98</w:t>
            </w:r>
          </w:p>
        </w:tc>
      </w:tr>
    </w:tbl>
    <w:p w14:paraId="08EF31D4"/>
    <w:p w14:paraId="287ABE5A">
      <w:pPr>
        <w:pStyle w:val="58"/>
      </w:pPr>
      <w:r>
        <w:rPr>
          <w:rFonts w:ascii="宋体" w:hAnsi="宋体" w:eastAsia="宋体" w:cs="宋体"/>
          <w:b/>
        </w:rPr>
        <w:t>6.4.7.7 实收基金</w:t>
      </w:r>
    </w:p>
    <w:p w14:paraId="3CA5D405">
      <w:pPr>
        <w:jc w:val="left"/>
      </w:pPr>
      <w:r>
        <w:rPr>
          <w:rFonts w:ascii="宋体" w:hAnsi="宋体" w:eastAsia="宋体" w:cs="宋体"/>
          <w:b/>
        </w:rPr>
        <w:t>东方阿尔法兴科一年持有混合A</w:t>
      </w:r>
    </w:p>
    <w:p w14:paraId="07AEC11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7775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622DCB54">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1CF37830">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C69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05A3519"/>
        </w:tc>
        <w:tc>
          <w:tcPr>
            <w:tcW w:w="1538" w:type="pct"/>
            <w:shd w:val="clear" w:color="auto" w:fill="D9D9D9"/>
            <w:vAlign w:val="center"/>
          </w:tcPr>
          <w:p w14:paraId="351830B9">
            <w:pPr>
              <w:spacing w:line="240" w:lineRule="auto"/>
              <w:jc w:val="center"/>
            </w:pPr>
            <w:r>
              <w:rPr>
                <w:rFonts w:ascii="宋体" w:hAnsi="宋体" w:eastAsia="宋体" w:cs="宋体"/>
                <w:b w:val="0"/>
              </w:rPr>
              <w:t>基金份额（份）</w:t>
            </w:r>
          </w:p>
        </w:tc>
        <w:tc>
          <w:tcPr>
            <w:tcW w:w="1538" w:type="pct"/>
            <w:shd w:val="clear" w:color="auto" w:fill="D9D9D9"/>
            <w:vAlign w:val="center"/>
          </w:tcPr>
          <w:p w14:paraId="056F3E3F">
            <w:pPr>
              <w:spacing w:line="240" w:lineRule="auto"/>
              <w:jc w:val="center"/>
            </w:pPr>
            <w:r>
              <w:rPr>
                <w:rFonts w:ascii="宋体" w:hAnsi="宋体" w:eastAsia="宋体" w:cs="宋体"/>
                <w:b w:val="0"/>
              </w:rPr>
              <w:t>账面金额</w:t>
            </w:r>
          </w:p>
        </w:tc>
      </w:tr>
      <w:tr w14:paraId="00E7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C433AD">
            <w:pPr>
              <w:spacing w:line="240" w:lineRule="auto"/>
              <w:jc w:val="left"/>
            </w:pPr>
            <w:r>
              <w:rPr>
                <w:rFonts w:ascii="宋体" w:hAnsi="宋体" w:eastAsia="宋体" w:cs="宋体"/>
                <w:b w:val="0"/>
              </w:rPr>
              <w:t>上年度末</w:t>
            </w:r>
          </w:p>
        </w:tc>
        <w:tc>
          <w:tcPr>
            <w:tcW w:w="0" w:type="dxa"/>
            <w:vAlign w:val="center"/>
          </w:tcPr>
          <w:p w14:paraId="30A2A1EA">
            <w:pPr>
              <w:spacing w:line="240" w:lineRule="auto"/>
              <w:jc w:val="right"/>
            </w:pPr>
            <w:r>
              <w:rPr>
                <w:rFonts w:ascii="宋体" w:hAnsi="宋体" w:eastAsia="宋体" w:cs="宋体"/>
                <w:b w:val="0"/>
              </w:rPr>
              <w:t>60,945,022.14</w:t>
            </w:r>
          </w:p>
        </w:tc>
        <w:tc>
          <w:tcPr>
            <w:tcW w:w="0" w:type="dxa"/>
            <w:vAlign w:val="center"/>
          </w:tcPr>
          <w:p w14:paraId="5009055E">
            <w:pPr>
              <w:spacing w:line="240" w:lineRule="auto"/>
              <w:jc w:val="right"/>
            </w:pPr>
            <w:r>
              <w:rPr>
                <w:rFonts w:ascii="宋体" w:hAnsi="宋体" w:eastAsia="宋体" w:cs="宋体"/>
                <w:b w:val="0"/>
              </w:rPr>
              <w:t>60,945,022.14</w:t>
            </w:r>
          </w:p>
        </w:tc>
      </w:tr>
      <w:tr w14:paraId="2A54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5FA5D9">
            <w:pPr>
              <w:spacing w:line="240" w:lineRule="auto"/>
              <w:jc w:val="left"/>
            </w:pPr>
            <w:r>
              <w:rPr>
                <w:rFonts w:ascii="宋体" w:hAnsi="宋体" w:eastAsia="宋体" w:cs="宋体"/>
                <w:b w:val="0"/>
              </w:rPr>
              <w:t>本期申购</w:t>
            </w:r>
          </w:p>
        </w:tc>
        <w:tc>
          <w:tcPr>
            <w:tcW w:w="0" w:type="dxa"/>
            <w:vAlign w:val="center"/>
          </w:tcPr>
          <w:p w14:paraId="491F57EC">
            <w:pPr>
              <w:spacing w:line="240" w:lineRule="auto"/>
              <w:jc w:val="right"/>
            </w:pPr>
            <w:r>
              <w:rPr>
                <w:rFonts w:ascii="宋体" w:hAnsi="宋体" w:eastAsia="宋体" w:cs="宋体"/>
                <w:b w:val="0"/>
              </w:rPr>
              <w:t>513,929.20</w:t>
            </w:r>
          </w:p>
        </w:tc>
        <w:tc>
          <w:tcPr>
            <w:tcW w:w="0" w:type="dxa"/>
            <w:vAlign w:val="center"/>
          </w:tcPr>
          <w:p w14:paraId="0AA180B1">
            <w:pPr>
              <w:spacing w:line="240" w:lineRule="auto"/>
              <w:jc w:val="right"/>
            </w:pPr>
            <w:r>
              <w:rPr>
                <w:rFonts w:ascii="宋体" w:hAnsi="宋体" w:eastAsia="宋体" w:cs="宋体"/>
                <w:b w:val="0"/>
              </w:rPr>
              <w:t>513,929.20</w:t>
            </w:r>
          </w:p>
        </w:tc>
      </w:tr>
      <w:tr w14:paraId="6A5C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B12E9C">
            <w:pPr>
              <w:spacing w:line="240" w:lineRule="auto"/>
              <w:jc w:val="left"/>
            </w:pPr>
            <w:r>
              <w:rPr>
                <w:rFonts w:ascii="宋体" w:hAnsi="宋体" w:eastAsia="宋体" w:cs="宋体"/>
                <w:b w:val="0"/>
              </w:rPr>
              <w:t>本期赎回（以“-”号填列）</w:t>
            </w:r>
          </w:p>
        </w:tc>
        <w:tc>
          <w:tcPr>
            <w:tcW w:w="0" w:type="dxa"/>
            <w:vAlign w:val="center"/>
          </w:tcPr>
          <w:p w14:paraId="29646D43">
            <w:pPr>
              <w:spacing w:line="240" w:lineRule="auto"/>
              <w:jc w:val="right"/>
            </w:pPr>
            <w:r>
              <w:rPr>
                <w:rFonts w:ascii="宋体" w:hAnsi="宋体" w:eastAsia="宋体" w:cs="宋体"/>
                <w:b w:val="0"/>
              </w:rPr>
              <w:t>-16,637,995.67</w:t>
            </w:r>
          </w:p>
        </w:tc>
        <w:tc>
          <w:tcPr>
            <w:tcW w:w="0" w:type="dxa"/>
            <w:vAlign w:val="center"/>
          </w:tcPr>
          <w:p w14:paraId="0CE543C9">
            <w:pPr>
              <w:spacing w:line="240" w:lineRule="auto"/>
              <w:jc w:val="right"/>
            </w:pPr>
            <w:r>
              <w:rPr>
                <w:rFonts w:ascii="宋体" w:hAnsi="宋体" w:eastAsia="宋体" w:cs="宋体"/>
                <w:b w:val="0"/>
              </w:rPr>
              <w:t>-16,637,995.67</w:t>
            </w:r>
          </w:p>
        </w:tc>
      </w:tr>
      <w:tr w14:paraId="13E6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F7AB31">
            <w:pPr>
              <w:spacing w:line="240" w:lineRule="auto"/>
              <w:jc w:val="left"/>
            </w:pPr>
            <w:r>
              <w:rPr>
                <w:rFonts w:ascii="宋体" w:hAnsi="宋体" w:eastAsia="宋体" w:cs="宋体"/>
                <w:b w:val="0"/>
              </w:rPr>
              <w:t>本期末</w:t>
            </w:r>
          </w:p>
        </w:tc>
        <w:tc>
          <w:tcPr>
            <w:tcW w:w="0" w:type="dxa"/>
            <w:vAlign w:val="center"/>
          </w:tcPr>
          <w:p w14:paraId="5E6BA420">
            <w:pPr>
              <w:spacing w:line="240" w:lineRule="auto"/>
              <w:jc w:val="right"/>
            </w:pPr>
            <w:r>
              <w:rPr>
                <w:rFonts w:ascii="宋体" w:hAnsi="宋体" w:eastAsia="宋体" w:cs="宋体"/>
                <w:b w:val="0"/>
              </w:rPr>
              <w:t>44,820,955.67</w:t>
            </w:r>
          </w:p>
        </w:tc>
        <w:tc>
          <w:tcPr>
            <w:tcW w:w="0" w:type="dxa"/>
            <w:vAlign w:val="center"/>
          </w:tcPr>
          <w:p w14:paraId="5893AAAD">
            <w:pPr>
              <w:spacing w:line="240" w:lineRule="auto"/>
              <w:jc w:val="right"/>
            </w:pPr>
            <w:r>
              <w:rPr>
                <w:rFonts w:ascii="宋体" w:hAnsi="宋体" w:eastAsia="宋体" w:cs="宋体"/>
                <w:b w:val="0"/>
              </w:rPr>
              <w:t>44,820,955.67</w:t>
            </w:r>
          </w:p>
        </w:tc>
      </w:tr>
    </w:tbl>
    <w:p w14:paraId="26D6B386">
      <w:pPr>
        <w:jc w:val="left"/>
      </w:pPr>
      <w:r>
        <w:rPr>
          <w:rFonts w:ascii="宋体" w:hAnsi="宋体" w:eastAsia="宋体" w:cs="宋体"/>
          <w:b/>
        </w:rPr>
        <w:t>东方阿尔法兴科一年持有混合C</w:t>
      </w:r>
    </w:p>
    <w:p w14:paraId="0E3A98AE">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2322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55EDDA1B">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4E749C60">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739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3D0F169"/>
        </w:tc>
        <w:tc>
          <w:tcPr>
            <w:tcW w:w="1538" w:type="pct"/>
            <w:shd w:val="clear" w:color="auto" w:fill="D9D9D9"/>
            <w:vAlign w:val="center"/>
          </w:tcPr>
          <w:p w14:paraId="3E748F46">
            <w:pPr>
              <w:spacing w:line="240" w:lineRule="auto"/>
              <w:jc w:val="center"/>
            </w:pPr>
            <w:r>
              <w:rPr>
                <w:rFonts w:ascii="宋体" w:hAnsi="宋体" w:eastAsia="宋体" w:cs="宋体"/>
                <w:b w:val="0"/>
              </w:rPr>
              <w:t>基金份额（份）</w:t>
            </w:r>
          </w:p>
        </w:tc>
        <w:tc>
          <w:tcPr>
            <w:tcW w:w="1538" w:type="pct"/>
            <w:shd w:val="clear" w:color="auto" w:fill="D9D9D9"/>
            <w:vAlign w:val="center"/>
          </w:tcPr>
          <w:p w14:paraId="32700FFE">
            <w:pPr>
              <w:spacing w:line="240" w:lineRule="auto"/>
              <w:jc w:val="center"/>
            </w:pPr>
            <w:r>
              <w:rPr>
                <w:rFonts w:ascii="宋体" w:hAnsi="宋体" w:eastAsia="宋体" w:cs="宋体"/>
                <w:b w:val="0"/>
              </w:rPr>
              <w:t>账面金额</w:t>
            </w:r>
          </w:p>
        </w:tc>
      </w:tr>
      <w:tr w14:paraId="3443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2D771E">
            <w:pPr>
              <w:spacing w:line="240" w:lineRule="auto"/>
              <w:jc w:val="left"/>
            </w:pPr>
            <w:r>
              <w:rPr>
                <w:rFonts w:ascii="宋体" w:hAnsi="宋体" w:eastAsia="宋体" w:cs="宋体"/>
                <w:b w:val="0"/>
              </w:rPr>
              <w:t>上年度末</w:t>
            </w:r>
          </w:p>
        </w:tc>
        <w:tc>
          <w:tcPr>
            <w:tcW w:w="0" w:type="dxa"/>
            <w:vAlign w:val="center"/>
          </w:tcPr>
          <w:p w14:paraId="42319723">
            <w:pPr>
              <w:spacing w:line="240" w:lineRule="auto"/>
              <w:jc w:val="right"/>
            </w:pPr>
            <w:r>
              <w:rPr>
                <w:rFonts w:ascii="宋体" w:hAnsi="宋体" w:eastAsia="宋体" w:cs="宋体"/>
                <w:b w:val="0"/>
              </w:rPr>
              <w:t>12,645,901.38</w:t>
            </w:r>
          </w:p>
        </w:tc>
        <w:tc>
          <w:tcPr>
            <w:tcW w:w="0" w:type="dxa"/>
            <w:vAlign w:val="center"/>
          </w:tcPr>
          <w:p w14:paraId="7F5D977E">
            <w:pPr>
              <w:spacing w:line="240" w:lineRule="auto"/>
              <w:jc w:val="right"/>
            </w:pPr>
            <w:r>
              <w:rPr>
                <w:rFonts w:ascii="宋体" w:hAnsi="宋体" w:eastAsia="宋体" w:cs="宋体"/>
                <w:b w:val="0"/>
              </w:rPr>
              <w:t>12,645,901.38</w:t>
            </w:r>
          </w:p>
        </w:tc>
      </w:tr>
      <w:tr w14:paraId="56BE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C3C73E">
            <w:pPr>
              <w:spacing w:line="240" w:lineRule="auto"/>
              <w:jc w:val="left"/>
            </w:pPr>
            <w:r>
              <w:rPr>
                <w:rFonts w:ascii="宋体" w:hAnsi="宋体" w:eastAsia="宋体" w:cs="宋体"/>
                <w:b w:val="0"/>
              </w:rPr>
              <w:t>本期申购</w:t>
            </w:r>
          </w:p>
        </w:tc>
        <w:tc>
          <w:tcPr>
            <w:tcW w:w="0" w:type="dxa"/>
            <w:vAlign w:val="center"/>
          </w:tcPr>
          <w:p w14:paraId="374EE91F">
            <w:pPr>
              <w:spacing w:line="240" w:lineRule="auto"/>
              <w:jc w:val="right"/>
            </w:pPr>
            <w:r>
              <w:rPr>
                <w:rFonts w:ascii="宋体" w:hAnsi="宋体" w:eastAsia="宋体" w:cs="宋体"/>
                <w:b w:val="0"/>
              </w:rPr>
              <w:t>372,337.23</w:t>
            </w:r>
          </w:p>
        </w:tc>
        <w:tc>
          <w:tcPr>
            <w:tcW w:w="0" w:type="dxa"/>
            <w:vAlign w:val="center"/>
          </w:tcPr>
          <w:p w14:paraId="27A10B2C">
            <w:pPr>
              <w:spacing w:line="240" w:lineRule="auto"/>
              <w:jc w:val="right"/>
            </w:pPr>
            <w:r>
              <w:rPr>
                <w:rFonts w:ascii="宋体" w:hAnsi="宋体" w:eastAsia="宋体" w:cs="宋体"/>
                <w:b w:val="0"/>
              </w:rPr>
              <w:t>372,337.23</w:t>
            </w:r>
          </w:p>
        </w:tc>
      </w:tr>
      <w:tr w14:paraId="0628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E58A23">
            <w:pPr>
              <w:spacing w:line="240" w:lineRule="auto"/>
              <w:jc w:val="left"/>
            </w:pPr>
            <w:r>
              <w:rPr>
                <w:rFonts w:ascii="宋体" w:hAnsi="宋体" w:eastAsia="宋体" w:cs="宋体"/>
                <w:b w:val="0"/>
              </w:rPr>
              <w:t>本期赎回（以“-”号填列）</w:t>
            </w:r>
          </w:p>
        </w:tc>
        <w:tc>
          <w:tcPr>
            <w:tcW w:w="0" w:type="dxa"/>
            <w:vAlign w:val="center"/>
          </w:tcPr>
          <w:p w14:paraId="115DC74D">
            <w:pPr>
              <w:spacing w:line="240" w:lineRule="auto"/>
              <w:jc w:val="right"/>
            </w:pPr>
            <w:r>
              <w:rPr>
                <w:rFonts w:ascii="宋体" w:hAnsi="宋体" w:eastAsia="宋体" w:cs="宋体"/>
                <w:b w:val="0"/>
              </w:rPr>
              <w:t>-4,651,146.79</w:t>
            </w:r>
          </w:p>
        </w:tc>
        <w:tc>
          <w:tcPr>
            <w:tcW w:w="0" w:type="dxa"/>
            <w:vAlign w:val="center"/>
          </w:tcPr>
          <w:p w14:paraId="54B99E1E">
            <w:pPr>
              <w:spacing w:line="240" w:lineRule="auto"/>
              <w:jc w:val="right"/>
            </w:pPr>
            <w:r>
              <w:rPr>
                <w:rFonts w:ascii="宋体" w:hAnsi="宋体" w:eastAsia="宋体" w:cs="宋体"/>
                <w:b w:val="0"/>
              </w:rPr>
              <w:t>-4,651,146.79</w:t>
            </w:r>
          </w:p>
        </w:tc>
      </w:tr>
      <w:tr w14:paraId="139E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E44F9F">
            <w:pPr>
              <w:spacing w:line="240" w:lineRule="auto"/>
              <w:jc w:val="left"/>
            </w:pPr>
            <w:r>
              <w:rPr>
                <w:rFonts w:ascii="宋体" w:hAnsi="宋体" w:eastAsia="宋体" w:cs="宋体"/>
                <w:b w:val="0"/>
              </w:rPr>
              <w:t>本期末</w:t>
            </w:r>
          </w:p>
        </w:tc>
        <w:tc>
          <w:tcPr>
            <w:tcW w:w="0" w:type="dxa"/>
            <w:vAlign w:val="center"/>
          </w:tcPr>
          <w:p w14:paraId="3C96E0C3">
            <w:pPr>
              <w:spacing w:line="240" w:lineRule="auto"/>
              <w:jc w:val="right"/>
            </w:pPr>
            <w:r>
              <w:rPr>
                <w:rFonts w:ascii="宋体" w:hAnsi="宋体" w:eastAsia="宋体" w:cs="宋体"/>
                <w:b w:val="0"/>
              </w:rPr>
              <w:t>8,367,091.82</w:t>
            </w:r>
          </w:p>
        </w:tc>
        <w:tc>
          <w:tcPr>
            <w:tcW w:w="0" w:type="dxa"/>
            <w:vAlign w:val="center"/>
          </w:tcPr>
          <w:p w14:paraId="6A8A5894">
            <w:pPr>
              <w:spacing w:line="240" w:lineRule="auto"/>
              <w:jc w:val="right"/>
            </w:pPr>
            <w:r>
              <w:rPr>
                <w:rFonts w:ascii="宋体" w:hAnsi="宋体" w:eastAsia="宋体" w:cs="宋体"/>
                <w:b w:val="0"/>
              </w:rPr>
              <w:t>8,367,091.82</w:t>
            </w:r>
          </w:p>
        </w:tc>
      </w:tr>
    </w:tbl>
    <w:p w14:paraId="15D32E86">
      <w:r>
        <w:rPr>
          <w:rFonts w:ascii="宋体" w:hAnsi="宋体" w:eastAsia="宋体" w:cs="宋体"/>
          <w:b w:val="0"/>
        </w:rPr>
        <w:t>注：申购含转换入份额，赎回含转换出份额。</w:t>
      </w:r>
    </w:p>
    <w:p w14:paraId="6D40371D"/>
    <w:p w14:paraId="4D4DF67C">
      <w:pPr>
        <w:pStyle w:val="58"/>
      </w:pPr>
      <w:r>
        <w:rPr>
          <w:rFonts w:ascii="宋体" w:hAnsi="宋体" w:eastAsia="宋体" w:cs="宋体"/>
          <w:b/>
        </w:rPr>
        <w:t>6.4.7.8 未分配利润</w:t>
      </w:r>
    </w:p>
    <w:p w14:paraId="3D6B6209">
      <w:pPr>
        <w:jc w:val="left"/>
      </w:pPr>
      <w:r>
        <w:rPr>
          <w:rFonts w:ascii="宋体" w:hAnsi="宋体" w:eastAsia="宋体" w:cs="宋体"/>
          <w:b/>
        </w:rPr>
        <w:t>东方阿尔法兴科一年持有混合A</w:t>
      </w:r>
    </w:p>
    <w:p w14:paraId="1DAA934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4F45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52A7932E">
            <w:pPr>
              <w:spacing w:line="240" w:lineRule="auto"/>
              <w:jc w:val="center"/>
            </w:pPr>
            <w:r>
              <w:rPr>
                <w:rFonts w:ascii="宋体" w:hAnsi="宋体" w:eastAsia="宋体" w:cs="宋体"/>
                <w:b w:val="0"/>
              </w:rPr>
              <w:t>项目</w:t>
            </w:r>
          </w:p>
        </w:tc>
        <w:tc>
          <w:tcPr>
            <w:tcW w:w="1231" w:type="pct"/>
            <w:shd w:val="clear" w:color="auto" w:fill="D9D9D9"/>
            <w:vAlign w:val="center"/>
          </w:tcPr>
          <w:p w14:paraId="7A8AA9D2">
            <w:pPr>
              <w:spacing w:line="240" w:lineRule="auto"/>
              <w:jc w:val="center"/>
            </w:pPr>
            <w:r>
              <w:rPr>
                <w:rFonts w:ascii="宋体" w:hAnsi="宋体" w:eastAsia="宋体" w:cs="宋体"/>
                <w:b w:val="0"/>
              </w:rPr>
              <w:t>已实现部分</w:t>
            </w:r>
          </w:p>
        </w:tc>
        <w:tc>
          <w:tcPr>
            <w:tcW w:w="1231" w:type="pct"/>
            <w:shd w:val="clear" w:color="auto" w:fill="D9D9D9"/>
            <w:vAlign w:val="center"/>
          </w:tcPr>
          <w:p w14:paraId="6076CAFF">
            <w:pPr>
              <w:spacing w:line="240" w:lineRule="auto"/>
              <w:jc w:val="center"/>
            </w:pPr>
            <w:r>
              <w:rPr>
                <w:rFonts w:ascii="宋体" w:hAnsi="宋体" w:eastAsia="宋体" w:cs="宋体"/>
                <w:b w:val="0"/>
              </w:rPr>
              <w:t>未实现部分</w:t>
            </w:r>
          </w:p>
        </w:tc>
        <w:tc>
          <w:tcPr>
            <w:tcW w:w="1385" w:type="pct"/>
            <w:shd w:val="clear" w:color="auto" w:fill="D9D9D9"/>
            <w:vAlign w:val="center"/>
          </w:tcPr>
          <w:p w14:paraId="5CF47815">
            <w:pPr>
              <w:spacing w:line="240" w:lineRule="auto"/>
              <w:jc w:val="center"/>
            </w:pPr>
            <w:r>
              <w:rPr>
                <w:rFonts w:ascii="宋体" w:hAnsi="宋体" w:eastAsia="宋体" w:cs="宋体"/>
                <w:b w:val="0"/>
              </w:rPr>
              <w:t>未分配利润合计</w:t>
            </w:r>
          </w:p>
        </w:tc>
      </w:tr>
      <w:tr w14:paraId="2164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8E7697">
            <w:pPr>
              <w:spacing w:line="240" w:lineRule="auto"/>
              <w:jc w:val="left"/>
            </w:pPr>
            <w:r>
              <w:rPr>
                <w:rFonts w:ascii="宋体" w:hAnsi="宋体" w:eastAsia="宋体" w:cs="宋体"/>
                <w:b w:val="0"/>
              </w:rPr>
              <w:t>上年度末</w:t>
            </w:r>
          </w:p>
        </w:tc>
        <w:tc>
          <w:tcPr>
            <w:tcW w:w="0" w:type="dxa"/>
            <w:vAlign w:val="center"/>
          </w:tcPr>
          <w:p w14:paraId="16618FB6">
            <w:pPr>
              <w:spacing w:line="240" w:lineRule="auto"/>
              <w:jc w:val="right"/>
            </w:pPr>
            <w:r>
              <w:rPr>
                <w:rFonts w:ascii="宋体" w:hAnsi="宋体" w:eastAsia="宋体" w:cs="宋体"/>
                <w:b w:val="0"/>
              </w:rPr>
              <w:t>-3,501,066.02</w:t>
            </w:r>
          </w:p>
        </w:tc>
        <w:tc>
          <w:tcPr>
            <w:tcW w:w="0" w:type="dxa"/>
            <w:vAlign w:val="center"/>
          </w:tcPr>
          <w:p w14:paraId="152B4A80">
            <w:pPr>
              <w:spacing w:line="240" w:lineRule="auto"/>
              <w:jc w:val="right"/>
            </w:pPr>
            <w:r>
              <w:rPr>
                <w:rFonts w:ascii="宋体" w:hAnsi="宋体" w:eastAsia="宋体" w:cs="宋体"/>
                <w:b w:val="0"/>
              </w:rPr>
              <w:t>2,835,921.97</w:t>
            </w:r>
          </w:p>
        </w:tc>
        <w:tc>
          <w:tcPr>
            <w:tcW w:w="0" w:type="dxa"/>
            <w:vAlign w:val="center"/>
          </w:tcPr>
          <w:p w14:paraId="5B04CBC5">
            <w:pPr>
              <w:spacing w:line="240" w:lineRule="auto"/>
              <w:jc w:val="right"/>
            </w:pPr>
            <w:r>
              <w:rPr>
                <w:rFonts w:ascii="宋体" w:hAnsi="宋体" w:eastAsia="宋体" w:cs="宋体"/>
                <w:b w:val="0"/>
              </w:rPr>
              <w:t>-665,144.05</w:t>
            </w:r>
          </w:p>
        </w:tc>
      </w:tr>
      <w:tr w14:paraId="7DD1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7DFC99">
            <w:pPr>
              <w:spacing w:line="240" w:lineRule="auto"/>
              <w:jc w:val="left"/>
            </w:pPr>
            <w:r>
              <w:rPr>
                <w:rFonts w:ascii="宋体" w:hAnsi="宋体" w:eastAsia="宋体" w:cs="宋体"/>
                <w:b w:val="0"/>
              </w:rPr>
              <w:t>本期期初</w:t>
            </w:r>
          </w:p>
        </w:tc>
        <w:tc>
          <w:tcPr>
            <w:tcW w:w="0" w:type="dxa"/>
            <w:vAlign w:val="center"/>
          </w:tcPr>
          <w:p w14:paraId="3C2AA6C3">
            <w:pPr>
              <w:spacing w:line="240" w:lineRule="auto"/>
              <w:jc w:val="right"/>
            </w:pPr>
            <w:r>
              <w:rPr>
                <w:rFonts w:ascii="宋体" w:hAnsi="宋体" w:eastAsia="宋体" w:cs="宋体"/>
                <w:b w:val="0"/>
              </w:rPr>
              <w:t>-3,501,066.02</w:t>
            </w:r>
          </w:p>
        </w:tc>
        <w:tc>
          <w:tcPr>
            <w:tcW w:w="0" w:type="dxa"/>
            <w:vAlign w:val="center"/>
          </w:tcPr>
          <w:p w14:paraId="0EB288E6">
            <w:pPr>
              <w:spacing w:line="240" w:lineRule="auto"/>
              <w:jc w:val="right"/>
            </w:pPr>
            <w:r>
              <w:rPr>
                <w:rFonts w:ascii="宋体" w:hAnsi="宋体" w:eastAsia="宋体" w:cs="宋体"/>
                <w:b w:val="0"/>
              </w:rPr>
              <w:t>2,835,921.97</w:t>
            </w:r>
          </w:p>
        </w:tc>
        <w:tc>
          <w:tcPr>
            <w:tcW w:w="0" w:type="dxa"/>
            <w:vAlign w:val="center"/>
          </w:tcPr>
          <w:p w14:paraId="3BA53969">
            <w:pPr>
              <w:spacing w:line="240" w:lineRule="auto"/>
              <w:jc w:val="right"/>
            </w:pPr>
            <w:r>
              <w:rPr>
                <w:rFonts w:ascii="宋体" w:hAnsi="宋体" w:eastAsia="宋体" w:cs="宋体"/>
                <w:b w:val="0"/>
              </w:rPr>
              <w:t>-665,144.05</w:t>
            </w:r>
          </w:p>
        </w:tc>
      </w:tr>
      <w:tr w14:paraId="7A2B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A80202">
            <w:pPr>
              <w:spacing w:line="240" w:lineRule="auto"/>
              <w:jc w:val="left"/>
            </w:pPr>
            <w:r>
              <w:rPr>
                <w:rFonts w:ascii="宋体" w:hAnsi="宋体" w:eastAsia="宋体" w:cs="宋体"/>
                <w:b w:val="0"/>
              </w:rPr>
              <w:t>本期利润</w:t>
            </w:r>
          </w:p>
        </w:tc>
        <w:tc>
          <w:tcPr>
            <w:tcW w:w="0" w:type="dxa"/>
            <w:vAlign w:val="center"/>
          </w:tcPr>
          <w:p w14:paraId="329DAB3F">
            <w:pPr>
              <w:spacing w:line="240" w:lineRule="auto"/>
              <w:jc w:val="right"/>
            </w:pPr>
            <w:r>
              <w:rPr>
                <w:rFonts w:ascii="宋体" w:hAnsi="宋体" w:eastAsia="宋体" w:cs="宋体"/>
                <w:b w:val="0"/>
              </w:rPr>
              <w:t>8,989,550.87</w:t>
            </w:r>
          </w:p>
        </w:tc>
        <w:tc>
          <w:tcPr>
            <w:tcW w:w="0" w:type="dxa"/>
            <w:vAlign w:val="center"/>
          </w:tcPr>
          <w:p w14:paraId="39BBD88E">
            <w:pPr>
              <w:spacing w:line="240" w:lineRule="auto"/>
              <w:jc w:val="right"/>
            </w:pPr>
            <w:r>
              <w:rPr>
                <w:rFonts w:ascii="宋体" w:hAnsi="宋体" w:eastAsia="宋体" w:cs="宋体"/>
                <w:b w:val="0"/>
              </w:rPr>
              <w:t>-9,421,278.60</w:t>
            </w:r>
          </w:p>
        </w:tc>
        <w:tc>
          <w:tcPr>
            <w:tcW w:w="0" w:type="dxa"/>
            <w:vAlign w:val="center"/>
          </w:tcPr>
          <w:p w14:paraId="6F573A6F">
            <w:pPr>
              <w:spacing w:line="240" w:lineRule="auto"/>
              <w:jc w:val="right"/>
            </w:pPr>
            <w:r>
              <w:rPr>
                <w:rFonts w:ascii="宋体" w:hAnsi="宋体" w:eastAsia="宋体" w:cs="宋体"/>
                <w:b w:val="0"/>
              </w:rPr>
              <w:t>-431,727.73</w:t>
            </w:r>
          </w:p>
        </w:tc>
      </w:tr>
      <w:tr w14:paraId="6C59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5E4FED">
            <w:pPr>
              <w:spacing w:line="240" w:lineRule="auto"/>
              <w:jc w:val="left"/>
            </w:pPr>
            <w:r>
              <w:rPr>
                <w:rFonts w:ascii="宋体" w:hAnsi="宋体" w:eastAsia="宋体" w:cs="宋体"/>
                <w:b w:val="0"/>
              </w:rPr>
              <w:t>本期基金份额交易产生的变动数</w:t>
            </w:r>
          </w:p>
        </w:tc>
        <w:tc>
          <w:tcPr>
            <w:tcW w:w="0" w:type="dxa"/>
            <w:vAlign w:val="center"/>
          </w:tcPr>
          <w:p w14:paraId="264E8E7A">
            <w:pPr>
              <w:spacing w:line="240" w:lineRule="auto"/>
              <w:jc w:val="right"/>
            </w:pPr>
            <w:r>
              <w:rPr>
                <w:rFonts w:ascii="宋体" w:hAnsi="宋体" w:eastAsia="宋体" w:cs="宋体"/>
                <w:b w:val="0"/>
              </w:rPr>
              <w:t>-543,947.53</w:t>
            </w:r>
          </w:p>
        </w:tc>
        <w:tc>
          <w:tcPr>
            <w:tcW w:w="0" w:type="dxa"/>
            <w:vAlign w:val="center"/>
          </w:tcPr>
          <w:p w14:paraId="16D3C9EA">
            <w:pPr>
              <w:spacing w:line="240" w:lineRule="auto"/>
              <w:jc w:val="right"/>
            </w:pPr>
            <w:r>
              <w:rPr>
                <w:rFonts w:ascii="宋体" w:hAnsi="宋体" w:eastAsia="宋体" w:cs="宋体"/>
                <w:b w:val="0"/>
              </w:rPr>
              <w:t>123,031.03</w:t>
            </w:r>
          </w:p>
        </w:tc>
        <w:tc>
          <w:tcPr>
            <w:tcW w:w="0" w:type="dxa"/>
            <w:vAlign w:val="center"/>
          </w:tcPr>
          <w:p w14:paraId="5C5A827F">
            <w:pPr>
              <w:spacing w:line="240" w:lineRule="auto"/>
              <w:jc w:val="right"/>
            </w:pPr>
            <w:r>
              <w:rPr>
                <w:rFonts w:ascii="宋体" w:hAnsi="宋体" w:eastAsia="宋体" w:cs="宋体"/>
                <w:b w:val="0"/>
              </w:rPr>
              <w:t>-420,916.50</w:t>
            </w:r>
          </w:p>
        </w:tc>
      </w:tr>
      <w:tr w14:paraId="7649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D86384">
            <w:pPr>
              <w:spacing w:line="240" w:lineRule="auto"/>
              <w:jc w:val="left"/>
            </w:pPr>
            <w:r>
              <w:rPr>
                <w:rFonts w:ascii="宋体" w:hAnsi="宋体" w:eastAsia="宋体" w:cs="宋体"/>
                <w:b w:val="0"/>
              </w:rPr>
              <w:t>其中：基金申购款</w:t>
            </w:r>
          </w:p>
        </w:tc>
        <w:tc>
          <w:tcPr>
            <w:tcW w:w="0" w:type="dxa"/>
            <w:vAlign w:val="center"/>
          </w:tcPr>
          <w:p w14:paraId="0E57AF5B">
            <w:pPr>
              <w:spacing w:line="240" w:lineRule="auto"/>
              <w:jc w:val="right"/>
            </w:pPr>
            <w:r>
              <w:rPr>
                <w:rFonts w:ascii="宋体" w:hAnsi="宋体" w:eastAsia="宋体" w:cs="宋体"/>
                <w:b w:val="0"/>
              </w:rPr>
              <w:t>18,894.43</w:t>
            </w:r>
          </w:p>
        </w:tc>
        <w:tc>
          <w:tcPr>
            <w:tcW w:w="0" w:type="dxa"/>
            <w:vAlign w:val="center"/>
          </w:tcPr>
          <w:p w14:paraId="087FD5DB">
            <w:pPr>
              <w:spacing w:line="240" w:lineRule="auto"/>
              <w:jc w:val="right"/>
            </w:pPr>
            <w:r>
              <w:rPr>
                <w:rFonts w:ascii="宋体" w:hAnsi="宋体" w:eastAsia="宋体" w:cs="宋体"/>
                <w:b w:val="0"/>
              </w:rPr>
              <w:t>-11,074.23</w:t>
            </w:r>
          </w:p>
        </w:tc>
        <w:tc>
          <w:tcPr>
            <w:tcW w:w="0" w:type="dxa"/>
            <w:vAlign w:val="center"/>
          </w:tcPr>
          <w:p w14:paraId="1AC57F6E">
            <w:pPr>
              <w:spacing w:line="240" w:lineRule="auto"/>
              <w:jc w:val="right"/>
            </w:pPr>
            <w:r>
              <w:rPr>
                <w:rFonts w:ascii="宋体" w:hAnsi="宋体" w:eastAsia="宋体" w:cs="宋体"/>
                <w:b w:val="0"/>
              </w:rPr>
              <w:t>7,820.20</w:t>
            </w:r>
          </w:p>
        </w:tc>
      </w:tr>
      <w:tr w14:paraId="29A3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655F15">
            <w:pPr>
              <w:spacing w:line="240" w:lineRule="auto"/>
              <w:jc w:val="left"/>
            </w:pPr>
            <w:r>
              <w:rPr>
                <w:rFonts w:ascii="宋体" w:hAnsi="宋体" w:eastAsia="宋体" w:cs="宋体"/>
                <w:b w:val="0"/>
              </w:rPr>
              <w:t xml:space="preserve">      基金赎回款</w:t>
            </w:r>
          </w:p>
        </w:tc>
        <w:tc>
          <w:tcPr>
            <w:tcW w:w="0" w:type="dxa"/>
            <w:vAlign w:val="center"/>
          </w:tcPr>
          <w:p w14:paraId="485C55AA">
            <w:pPr>
              <w:spacing w:line="240" w:lineRule="auto"/>
              <w:jc w:val="right"/>
            </w:pPr>
            <w:r>
              <w:rPr>
                <w:rFonts w:ascii="宋体" w:hAnsi="宋体" w:eastAsia="宋体" w:cs="宋体"/>
                <w:b w:val="0"/>
              </w:rPr>
              <w:t>-562,841.96</w:t>
            </w:r>
          </w:p>
        </w:tc>
        <w:tc>
          <w:tcPr>
            <w:tcW w:w="0" w:type="dxa"/>
            <w:vAlign w:val="center"/>
          </w:tcPr>
          <w:p w14:paraId="3726D743">
            <w:pPr>
              <w:spacing w:line="240" w:lineRule="auto"/>
              <w:jc w:val="right"/>
            </w:pPr>
            <w:r>
              <w:rPr>
                <w:rFonts w:ascii="宋体" w:hAnsi="宋体" w:eastAsia="宋体" w:cs="宋体"/>
                <w:b w:val="0"/>
              </w:rPr>
              <w:t>134,105.26</w:t>
            </w:r>
          </w:p>
        </w:tc>
        <w:tc>
          <w:tcPr>
            <w:tcW w:w="0" w:type="dxa"/>
            <w:vAlign w:val="center"/>
          </w:tcPr>
          <w:p w14:paraId="756420B9">
            <w:pPr>
              <w:spacing w:line="240" w:lineRule="auto"/>
              <w:jc w:val="right"/>
            </w:pPr>
            <w:r>
              <w:rPr>
                <w:rFonts w:ascii="宋体" w:hAnsi="宋体" w:eastAsia="宋体" w:cs="宋体"/>
                <w:b w:val="0"/>
              </w:rPr>
              <w:t>-428,736.70</w:t>
            </w:r>
          </w:p>
        </w:tc>
      </w:tr>
      <w:tr w14:paraId="0CE8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90F335">
            <w:pPr>
              <w:spacing w:line="240" w:lineRule="auto"/>
              <w:jc w:val="left"/>
            </w:pPr>
            <w:r>
              <w:rPr>
                <w:rFonts w:ascii="宋体" w:hAnsi="宋体" w:eastAsia="宋体" w:cs="宋体"/>
                <w:b w:val="0"/>
              </w:rPr>
              <w:t>本期已分配利润</w:t>
            </w:r>
          </w:p>
        </w:tc>
        <w:tc>
          <w:tcPr>
            <w:tcW w:w="0" w:type="dxa"/>
            <w:vAlign w:val="center"/>
          </w:tcPr>
          <w:p w14:paraId="2EB7F7E0">
            <w:pPr>
              <w:spacing w:line="240" w:lineRule="auto"/>
              <w:jc w:val="right"/>
            </w:pPr>
            <w:r>
              <w:rPr>
                <w:rFonts w:ascii="宋体" w:hAnsi="宋体" w:eastAsia="宋体" w:cs="宋体"/>
                <w:b w:val="0"/>
              </w:rPr>
              <w:t>-</w:t>
            </w:r>
          </w:p>
        </w:tc>
        <w:tc>
          <w:tcPr>
            <w:tcW w:w="0" w:type="dxa"/>
            <w:vAlign w:val="center"/>
          </w:tcPr>
          <w:p w14:paraId="5E2440AE">
            <w:pPr>
              <w:spacing w:line="240" w:lineRule="auto"/>
              <w:jc w:val="right"/>
            </w:pPr>
            <w:r>
              <w:rPr>
                <w:rFonts w:ascii="宋体" w:hAnsi="宋体" w:eastAsia="宋体" w:cs="宋体"/>
                <w:b w:val="0"/>
              </w:rPr>
              <w:t>-</w:t>
            </w:r>
          </w:p>
        </w:tc>
        <w:tc>
          <w:tcPr>
            <w:tcW w:w="0" w:type="dxa"/>
            <w:vAlign w:val="center"/>
          </w:tcPr>
          <w:p w14:paraId="1554B248">
            <w:pPr>
              <w:spacing w:line="240" w:lineRule="auto"/>
              <w:jc w:val="right"/>
            </w:pPr>
            <w:r>
              <w:rPr>
                <w:rFonts w:ascii="宋体" w:hAnsi="宋体" w:eastAsia="宋体" w:cs="宋体"/>
                <w:b w:val="0"/>
              </w:rPr>
              <w:t>-</w:t>
            </w:r>
          </w:p>
        </w:tc>
      </w:tr>
      <w:tr w14:paraId="72F3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10DB75">
            <w:pPr>
              <w:spacing w:line="240" w:lineRule="auto"/>
              <w:jc w:val="left"/>
            </w:pPr>
            <w:r>
              <w:rPr>
                <w:rFonts w:ascii="宋体" w:hAnsi="宋体" w:eastAsia="宋体" w:cs="宋体"/>
                <w:b w:val="0"/>
              </w:rPr>
              <w:t>本期末</w:t>
            </w:r>
          </w:p>
        </w:tc>
        <w:tc>
          <w:tcPr>
            <w:tcW w:w="0" w:type="dxa"/>
            <w:vAlign w:val="center"/>
          </w:tcPr>
          <w:p w14:paraId="2719C7F1">
            <w:pPr>
              <w:spacing w:line="240" w:lineRule="auto"/>
              <w:jc w:val="right"/>
            </w:pPr>
            <w:r>
              <w:rPr>
                <w:rFonts w:ascii="宋体" w:hAnsi="宋体" w:eastAsia="宋体" w:cs="宋体"/>
                <w:b w:val="0"/>
              </w:rPr>
              <w:t>4,944,537.32</w:t>
            </w:r>
          </w:p>
        </w:tc>
        <w:tc>
          <w:tcPr>
            <w:tcW w:w="0" w:type="dxa"/>
            <w:vAlign w:val="center"/>
          </w:tcPr>
          <w:p w14:paraId="55C9E054">
            <w:pPr>
              <w:spacing w:line="240" w:lineRule="auto"/>
              <w:jc w:val="right"/>
            </w:pPr>
            <w:r>
              <w:rPr>
                <w:rFonts w:ascii="宋体" w:hAnsi="宋体" w:eastAsia="宋体" w:cs="宋体"/>
                <w:b w:val="0"/>
              </w:rPr>
              <w:t>-6,462,325.60</w:t>
            </w:r>
          </w:p>
        </w:tc>
        <w:tc>
          <w:tcPr>
            <w:tcW w:w="0" w:type="dxa"/>
            <w:vAlign w:val="center"/>
          </w:tcPr>
          <w:p w14:paraId="6FDF4F43">
            <w:pPr>
              <w:spacing w:line="240" w:lineRule="auto"/>
              <w:jc w:val="right"/>
            </w:pPr>
            <w:r>
              <w:rPr>
                <w:rFonts w:ascii="宋体" w:hAnsi="宋体" w:eastAsia="宋体" w:cs="宋体"/>
                <w:b w:val="0"/>
              </w:rPr>
              <w:t>-1,517,788.28</w:t>
            </w:r>
          </w:p>
        </w:tc>
      </w:tr>
    </w:tbl>
    <w:p w14:paraId="18BCD97A">
      <w:pPr>
        <w:jc w:val="left"/>
      </w:pPr>
      <w:r>
        <w:rPr>
          <w:rFonts w:ascii="宋体" w:hAnsi="宋体" w:eastAsia="宋体" w:cs="宋体"/>
          <w:b/>
        </w:rPr>
        <w:t>东方阿尔法兴科一年持有混合C</w:t>
      </w:r>
    </w:p>
    <w:p w14:paraId="6DAE855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3DE5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290525E3">
            <w:pPr>
              <w:spacing w:line="240" w:lineRule="auto"/>
              <w:jc w:val="center"/>
            </w:pPr>
            <w:r>
              <w:rPr>
                <w:rFonts w:ascii="宋体" w:hAnsi="宋体" w:eastAsia="宋体" w:cs="宋体"/>
                <w:b w:val="0"/>
              </w:rPr>
              <w:t>项目</w:t>
            </w:r>
          </w:p>
        </w:tc>
        <w:tc>
          <w:tcPr>
            <w:tcW w:w="1231" w:type="pct"/>
            <w:shd w:val="clear" w:color="auto" w:fill="D9D9D9"/>
            <w:vAlign w:val="center"/>
          </w:tcPr>
          <w:p w14:paraId="7B6A3F26">
            <w:pPr>
              <w:spacing w:line="240" w:lineRule="auto"/>
              <w:jc w:val="center"/>
            </w:pPr>
            <w:r>
              <w:rPr>
                <w:rFonts w:ascii="宋体" w:hAnsi="宋体" w:eastAsia="宋体" w:cs="宋体"/>
                <w:b w:val="0"/>
              </w:rPr>
              <w:t>已实现部分</w:t>
            </w:r>
          </w:p>
        </w:tc>
        <w:tc>
          <w:tcPr>
            <w:tcW w:w="1231" w:type="pct"/>
            <w:shd w:val="clear" w:color="auto" w:fill="D9D9D9"/>
            <w:vAlign w:val="center"/>
          </w:tcPr>
          <w:p w14:paraId="73FE8EC1">
            <w:pPr>
              <w:spacing w:line="240" w:lineRule="auto"/>
              <w:jc w:val="center"/>
            </w:pPr>
            <w:r>
              <w:rPr>
                <w:rFonts w:ascii="宋体" w:hAnsi="宋体" w:eastAsia="宋体" w:cs="宋体"/>
                <w:b w:val="0"/>
              </w:rPr>
              <w:t>未实现部分</w:t>
            </w:r>
          </w:p>
        </w:tc>
        <w:tc>
          <w:tcPr>
            <w:tcW w:w="1385" w:type="pct"/>
            <w:shd w:val="clear" w:color="auto" w:fill="D9D9D9"/>
            <w:vAlign w:val="center"/>
          </w:tcPr>
          <w:p w14:paraId="3D89484A">
            <w:pPr>
              <w:spacing w:line="240" w:lineRule="auto"/>
              <w:jc w:val="center"/>
            </w:pPr>
            <w:r>
              <w:rPr>
                <w:rFonts w:ascii="宋体" w:hAnsi="宋体" w:eastAsia="宋体" w:cs="宋体"/>
                <w:b w:val="0"/>
              </w:rPr>
              <w:t>未分配利润合计</w:t>
            </w:r>
          </w:p>
        </w:tc>
      </w:tr>
      <w:tr w14:paraId="4448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FB3BF9">
            <w:pPr>
              <w:spacing w:line="240" w:lineRule="auto"/>
              <w:jc w:val="left"/>
            </w:pPr>
            <w:r>
              <w:rPr>
                <w:rFonts w:ascii="宋体" w:hAnsi="宋体" w:eastAsia="宋体" w:cs="宋体"/>
                <w:b w:val="0"/>
              </w:rPr>
              <w:t>上年度末</w:t>
            </w:r>
          </w:p>
        </w:tc>
        <w:tc>
          <w:tcPr>
            <w:tcW w:w="0" w:type="dxa"/>
            <w:vAlign w:val="center"/>
          </w:tcPr>
          <w:p w14:paraId="16A51661">
            <w:pPr>
              <w:spacing w:line="240" w:lineRule="auto"/>
              <w:jc w:val="right"/>
            </w:pPr>
            <w:r>
              <w:rPr>
                <w:rFonts w:ascii="宋体" w:hAnsi="宋体" w:eastAsia="宋体" w:cs="宋体"/>
                <w:b w:val="0"/>
              </w:rPr>
              <w:t>-960,510.02</w:t>
            </w:r>
          </w:p>
        </w:tc>
        <w:tc>
          <w:tcPr>
            <w:tcW w:w="0" w:type="dxa"/>
            <w:vAlign w:val="center"/>
          </w:tcPr>
          <w:p w14:paraId="7E0A5A06">
            <w:pPr>
              <w:spacing w:line="240" w:lineRule="auto"/>
              <w:jc w:val="right"/>
            </w:pPr>
            <w:r>
              <w:rPr>
                <w:rFonts w:ascii="宋体" w:hAnsi="宋体" w:eastAsia="宋体" w:cs="宋体"/>
                <w:b w:val="0"/>
              </w:rPr>
              <w:t>579,203.12</w:t>
            </w:r>
          </w:p>
        </w:tc>
        <w:tc>
          <w:tcPr>
            <w:tcW w:w="0" w:type="dxa"/>
            <w:vAlign w:val="center"/>
          </w:tcPr>
          <w:p w14:paraId="78607463">
            <w:pPr>
              <w:spacing w:line="240" w:lineRule="auto"/>
              <w:jc w:val="right"/>
            </w:pPr>
            <w:r>
              <w:rPr>
                <w:rFonts w:ascii="宋体" w:hAnsi="宋体" w:eastAsia="宋体" w:cs="宋体"/>
                <w:b w:val="0"/>
              </w:rPr>
              <w:t>-381,306.90</w:t>
            </w:r>
          </w:p>
        </w:tc>
      </w:tr>
      <w:tr w14:paraId="16AF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443F11">
            <w:pPr>
              <w:spacing w:line="240" w:lineRule="auto"/>
              <w:jc w:val="left"/>
            </w:pPr>
            <w:r>
              <w:rPr>
                <w:rFonts w:ascii="宋体" w:hAnsi="宋体" w:eastAsia="宋体" w:cs="宋体"/>
                <w:b w:val="0"/>
              </w:rPr>
              <w:t>本期期初</w:t>
            </w:r>
          </w:p>
        </w:tc>
        <w:tc>
          <w:tcPr>
            <w:tcW w:w="0" w:type="dxa"/>
            <w:vAlign w:val="center"/>
          </w:tcPr>
          <w:p w14:paraId="601AFC7C">
            <w:pPr>
              <w:spacing w:line="240" w:lineRule="auto"/>
              <w:jc w:val="right"/>
            </w:pPr>
            <w:r>
              <w:rPr>
                <w:rFonts w:ascii="宋体" w:hAnsi="宋体" w:eastAsia="宋体" w:cs="宋体"/>
                <w:b w:val="0"/>
              </w:rPr>
              <w:t>-960,510.02</w:t>
            </w:r>
          </w:p>
        </w:tc>
        <w:tc>
          <w:tcPr>
            <w:tcW w:w="0" w:type="dxa"/>
            <w:vAlign w:val="center"/>
          </w:tcPr>
          <w:p w14:paraId="663784EE">
            <w:pPr>
              <w:spacing w:line="240" w:lineRule="auto"/>
              <w:jc w:val="right"/>
            </w:pPr>
            <w:r>
              <w:rPr>
                <w:rFonts w:ascii="宋体" w:hAnsi="宋体" w:eastAsia="宋体" w:cs="宋体"/>
                <w:b w:val="0"/>
              </w:rPr>
              <w:t>579,203.12</w:t>
            </w:r>
          </w:p>
        </w:tc>
        <w:tc>
          <w:tcPr>
            <w:tcW w:w="0" w:type="dxa"/>
            <w:vAlign w:val="center"/>
          </w:tcPr>
          <w:p w14:paraId="6F08BE80">
            <w:pPr>
              <w:spacing w:line="240" w:lineRule="auto"/>
              <w:jc w:val="right"/>
            </w:pPr>
            <w:r>
              <w:rPr>
                <w:rFonts w:ascii="宋体" w:hAnsi="宋体" w:eastAsia="宋体" w:cs="宋体"/>
                <w:b w:val="0"/>
              </w:rPr>
              <w:t>-381,306.90</w:t>
            </w:r>
          </w:p>
        </w:tc>
      </w:tr>
      <w:tr w14:paraId="03F4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75591E">
            <w:pPr>
              <w:spacing w:line="240" w:lineRule="auto"/>
              <w:jc w:val="left"/>
            </w:pPr>
            <w:r>
              <w:rPr>
                <w:rFonts w:ascii="宋体" w:hAnsi="宋体" w:eastAsia="宋体" w:cs="宋体"/>
                <w:b w:val="0"/>
              </w:rPr>
              <w:t>本期利润</w:t>
            </w:r>
          </w:p>
        </w:tc>
        <w:tc>
          <w:tcPr>
            <w:tcW w:w="0" w:type="dxa"/>
            <w:vAlign w:val="center"/>
          </w:tcPr>
          <w:p w14:paraId="3C4762AB">
            <w:pPr>
              <w:spacing w:line="240" w:lineRule="auto"/>
              <w:jc w:val="right"/>
            </w:pPr>
            <w:r>
              <w:rPr>
                <w:rFonts w:ascii="宋体" w:hAnsi="宋体" w:eastAsia="宋体" w:cs="宋体"/>
                <w:b w:val="0"/>
              </w:rPr>
              <w:t>1,585,398.95</w:t>
            </w:r>
          </w:p>
        </w:tc>
        <w:tc>
          <w:tcPr>
            <w:tcW w:w="0" w:type="dxa"/>
            <w:vAlign w:val="center"/>
          </w:tcPr>
          <w:p w14:paraId="4D1970BF">
            <w:pPr>
              <w:spacing w:line="240" w:lineRule="auto"/>
              <w:jc w:val="right"/>
            </w:pPr>
            <w:r>
              <w:rPr>
                <w:rFonts w:ascii="宋体" w:hAnsi="宋体" w:eastAsia="宋体" w:cs="宋体"/>
                <w:b w:val="0"/>
              </w:rPr>
              <w:t>-1,609,015.06</w:t>
            </w:r>
          </w:p>
        </w:tc>
        <w:tc>
          <w:tcPr>
            <w:tcW w:w="0" w:type="dxa"/>
            <w:vAlign w:val="center"/>
          </w:tcPr>
          <w:p w14:paraId="6ACF2E32">
            <w:pPr>
              <w:spacing w:line="240" w:lineRule="auto"/>
              <w:jc w:val="right"/>
            </w:pPr>
            <w:r>
              <w:rPr>
                <w:rFonts w:ascii="宋体" w:hAnsi="宋体" w:eastAsia="宋体" w:cs="宋体"/>
                <w:b w:val="0"/>
              </w:rPr>
              <w:t>-23,616.11</w:t>
            </w:r>
          </w:p>
        </w:tc>
      </w:tr>
      <w:tr w14:paraId="6DD6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F68A6C">
            <w:pPr>
              <w:spacing w:line="240" w:lineRule="auto"/>
              <w:jc w:val="left"/>
            </w:pPr>
            <w:r>
              <w:rPr>
                <w:rFonts w:ascii="宋体" w:hAnsi="宋体" w:eastAsia="宋体" w:cs="宋体"/>
                <w:b w:val="0"/>
              </w:rPr>
              <w:t>本期基金份额交易产生的变动数</w:t>
            </w:r>
          </w:p>
        </w:tc>
        <w:tc>
          <w:tcPr>
            <w:tcW w:w="0" w:type="dxa"/>
            <w:vAlign w:val="center"/>
          </w:tcPr>
          <w:p w14:paraId="745C678F">
            <w:pPr>
              <w:spacing w:line="240" w:lineRule="auto"/>
              <w:jc w:val="right"/>
            </w:pPr>
            <w:r>
              <w:rPr>
                <w:rFonts w:ascii="宋体" w:hAnsi="宋体" w:eastAsia="宋体" w:cs="宋体"/>
                <w:b w:val="0"/>
              </w:rPr>
              <w:t>89,001.68</w:t>
            </w:r>
          </w:p>
        </w:tc>
        <w:tc>
          <w:tcPr>
            <w:tcW w:w="0" w:type="dxa"/>
            <w:vAlign w:val="center"/>
          </w:tcPr>
          <w:p w14:paraId="2A520300">
            <w:pPr>
              <w:spacing w:line="240" w:lineRule="auto"/>
              <w:jc w:val="right"/>
            </w:pPr>
            <w:r>
              <w:rPr>
                <w:rFonts w:ascii="宋体" w:hAnsi="宋体" w:eastAsia="宋体" w:cs="宋体"/>
                <w:b w:val="0"/>
              </w:rPr>
              <w:t>-148,466.96</w:t>
            </w:r>
          </w:p>
        </w:tc>
        <w:tc>
          <w:tcPr>
            <w:tcW w:w="0" w:type="dxa"/>
            <w:vAlign w:val="center"/>
          </w:tcPr>
          <w:p w14:paraId="4C509D17">
            <w:pPr>
              <w:spacing w:line="240" w:lineRule="auto"/>
              <w:jc w:val="right"/>
            </w:pPr>
            <w:r>
              <w:rPr>
                <w:rFonts w:ascii="宋体" w:hAnsi="宋体" w:eastAsia="宋体" w:cs="宋体"/>
                <w:b w:val="0"/>
              </w:rPr>
              <w:t>-59,465.28</w:t>
            </w:r>
          </w:p>
        </w:tc>
      </w:tr>
      <w:tr w14:paraId="494E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09CC96">
            <w:pPr>
              <w:spacing w:line="240" w:lineRule="auto"/>
              <w:jc w:val="left"/>
            </w:pPr>
            <w:r>
              <w:rPr>
                <w:rFonts w:ascii="宋体" w:hAnsi="宋体" w:eastAsia="宋体" w:cs="宋体"/>
                <w:b w:val="0"/>
              </w:rPr>
              <w:t>其中：基金申购款</w:t>
            </w:r>
          </w:p>
        </w:tc>
        <w:tc>
          <w:tcPr>
            <w:tcW w:w="0" w:type="dxa"/>
            <w:vAlign w:val="center"/>
          </w:tcPr>
          <w:p w14:paraId="20F3272B">
            <w:pPr>
              <w:spacing w:line="240" w:lineRule="auto"/>
              <w:jc w:val="right"/>
            </w:pPr>
            <w:r>
              <w:rPr>
                <w:rFonts w:ascii="宋体" w:hAnsi="宋体" w:eastAsia="宋体" w:cs="宋体"/>
                <w:b w:val="0"/>
              </w:rPr>
              <w:t>17,457.35</w:t>
            </w:r>
          </w:p>
        </w:tc>
        <w:tc>
          <w:tcPr>
            <w:tcW w:w="0" w:type="dxa"/>
            <w:vAlign w:val="center"/>
          </w:tcPr>
          <w:p w14:paraId="1EBFCEA7">
            <w:pPr>
              <w:spacing w:line="240" w:lineRule="auto"/>
              <w:jc w:val="right"/>
            </w:pPr>
            <w:r>
              <w:rPr>
                <w:rFonts w:ascii="宋体" w:hAnsi="宋体" w:eastAsia="宋体" w:cs="宋体"/>
                <w:b w:val="0"/>
              </w:rPr>
              <w:t>-30,327.14</w:t>
            </w:r>
          </w:p>
        </w:tc>
        <w:tc>
          <w:tcPr>
            <w:tcW w:w="0" w:type="dxa"/>
            <w:vAlign w:val="center"/>
          </w:tcPr>
          <w:p w14:paraId="441196B8">
            <w:pPr>
              <w:spacing w:line="240" w:lineRule="auto"/>
              <w:jc w:val="right"/>
            </w:pPr>
            <w:r>
              <w:rPr>
                <w:rFonts w:ascii="宋体" w:hAnsi="宋体" w:eastAsia="宋体" w:cs="宋体"/>
                <w:b w:val="0"/>
              </w:rPr>
              <w:t>-12,869.79</w:t>
            </w:r>
          </w:p>
        </w:tc>
      </w:tr>
      <w:tr w14:paraId="3552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F39A03">
            <w:pPr>
              <w:spacing w:line="240" w:lineRule="auto"/>
              <w:jc w:val="left"/>
            </w:pPr>
            <w:r>
              <w:rPr>
                <w:rFonts w:ascii="宋体" w:hAnsi="宋体" w:eastAsia="宋体" w:cs="宋体"/>
                <w:b w:val="0"/>
              </w:rPr>
              <w:t xml:space="preserve">      基金赎回款</w:t>
            </w:r>
          </w:p>
        </w:tc>
        <w:tc>
          <w:tcPr>
            <w:tcW w:w="0" w:type="dxa"/>
            <w:vAlign w:val="center"/>
          </w:tcPr>
          <w:p w14:paraId="47FA55B2">
            <w:pPr>
              <w:spacing w:line="240" w:lineRule="auto"/>
              <w:jc w:val="right"/>
            </w:pPr>
            <w:r>
              <w:rPr>
                <w:rFonts w:ascii="宋体" w:hAnsi="宋体" w:eastAsia="宋体" w:cs="宋体"/>
                <w:b w:val="0"/>
              </w:rPr>
              <w:t>71,544.33</w:t>
            </w:r>
          </w:p>
        </w:tc>
        <w:tc>
          <w:tcPr>
            <w:tcW w:w="0" w:type="dxa"/>
            <w:vAlign w:val="center"/>
          </w:tcPr>
          <w:p w14:paraId="6F6E9129">
            <w:pPr>
              <w:spacing w:line="240" w:lineRule="auto"/>
              <w:jc w:val="right"/>
            </w:pPr>
            <w:r>
              <w:rPr>
                <w:rFonts w:ascii="宋体" w:hAnsi="宋体" w:eastAsia="宋体" w:cs="宋体"/>
                <w:b w:val="0"/>
              </w:rPr>
              <w:t>-118,139.82</w:t>
            </w:r>
          </w:p>
        </w:tc>
        <w:tc>
          <w:tcPr>
            <w:tcW w:w="0" w:type="dxa"/>
            <w:vAlign w:val="center"/>
          </w:tcPr>
          <w:p w14:paraId="485AD8DD">
            <w:pPr>
              <w:spacing w:line="240" w:lineRule="auto"/>
              <w:jc w:val="right"/>
            </w:pPr>
            <w:r>
              <w:rPr>
                <w:rFonts w:ascii="宋体" w:hAnsi="宋体" w:eastAsia="宋体" w:cs="宋体"/>
                <w:b w:val="0"/>
              </w:rPr>
              <w:t>-46,595.49</w:t>
            </w:r>
          </w:p>
        </w:tc>
      </w:tr>
      <w:tr w14:paraId="3530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C74065">
            <w:pPr>
              <w:spacing w:line="240" w:lineRule="auto"/>
              <w:jc w:val="left"/>
            </w:pPr>
            <w:r>
              <w:rPr>
                <w:rFonts w:ascii="宋体" w:hAnsi="宋体" w:eastAsia="宋体" w:cs="宋体"/>
                <w:b w:val="0"/>
              </w:rPr>
              <w:t>本期已分配利润</w:t>
            </w:r>
          </w:p>
        </w:tc>
        <w:tc>
          <w:tcPr>
            <w:tcW w:w="0" w:type="dxa"/>
            <w:vAlign w:val="center"/>
          </w:tcPr>
          <w:p w14:paraId="668355AB">
            <w:pPr>
              <w:spacing w:line="240" w:lineRule="auto"/>
              <w:jc w:val="right"/>
            </w:pPr>
            <w:r>
              <w:rPr>
                <w:rFonts w:ascii="宋体" w:hAnsi="宋体" w:eastAsia="宋体" w:cs="宋体"/>
                <w:b w:val="0"/>
              </w:rPr>
              <w:t>-</w:t>
            </w:r>
          </w:p>
        </w:tc>
        <w:tc>
          <w:tcPr>
            <w:tcW w:w="0" w:type="dxa"/>
            <w:vAlign w:val="center"/>
          </w:tcPr>
          <w:p w14:paraId="5287B9E4">
            <w:pPr>
              <w:spacing w:line="240" w:lineRule="auto"/>
              <w:jc w:val="right"/>
            </w:pPr>
            <w:r>
              <w:rPr>
                <w:rFonts w:ascii="宋体" w:hAnsi="宋体" w:eastAsia="宋体" w:cs="宋体"/>
                <w:b w:val="0"/>
              </w:rPr>
              <w:t>-</w:t>
            </w:r>
          </w:p>
        </w:tc>
        <w:tc>
          <w:tcPr>
            <w:tcW w:w="0" w:type="dxa"/>
            <w:vAlign w:val="center"/>
          </w:tcPr>
          <w:p w14:paraId="5009A651">
            <w:pPr>
              <w:spacing w:line="240" w:lineRule="auto"/>
              <w:jc w:val="right"/>
            </w:pPr>
            <w:r>
              <w:rPr>
                <w:rFonts w:ascii="宋体" w:hAnsi="宋体" w:eastAsia="宋体" w:cs="宋体"/>
                <w:b w:val="0"/>
              </w:rPr>
              <w:t>-</w:t>
            </w:r>
          </w:p>
        </w:tc>
      </w:tr>
      <w:tr w14:paraId="448D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57067C">
            <w:pPr>
              <w:spacing w:line="240" w:lineRule="auto"/>
              <w:jc w:val="left"/>
            </w:pPr>
            <w:r>
              <w:rPr>
                <w:rFonts w:ascii="宋体" w:hAnsi="宋体" w:eastAsia="宋体" w:cs="宋体"/>
                <w:b w:val="0"/>
              </w:rPr>
              <w:t>本期末</w:t>
            </w:r>
          </w:p>
        </w:tc>
        <w:tc>
          <w:tcPr>
            <w:tcW w:w="0" w:type="dxa"/>
            <w:vAlign w:val="center"/>
          </w:tcPr>
          <w:p w14:paraId="6BA2FE70">
            <w:pPr>
              <w:spacing w:line="240" w:lineRule="auto"/>
              <w:jc w:val="right"/>
            </w:pPr>
            <w:r>
              <w:rPr>
                <w:rFonts w:ascii="宋体" w:hAnsi="宋体" w:eastAsia="宋体" w:cs="宋体"/>
                <w:b w:val="0"/>
              </w:rPr>
              <w:t>713,890.61</w:t>
            </w:r>
          </w:p>
        </w:tc>
        <w:tc>
          <w:tcPr>
            <w:tcW w:w="0" w:type="dxa"/>
            <w:vAlign w:val="center"/>
          </w:tcPr>
          <w:p w14:paraId="0F5B0E6A">
            <w:pPr>
              <w:spacing w:line="240" w:lineRule="auto"/>
              <w:jc w:val="right"/>
            </w:pPr>
            <w:r>
              <w:rPr>
                <w:rFonts w:ascii="宋体" w:hAnsi="宋体" w:eastAsia="宋体" w:cs="宋体"/>
                <w:b w:val="0"/>
              </w:rPr>
              <w:t>-1,178,278.90</w:t>
            </w:r>
          </w:p>
        </w:tc>
        <w:tc>
          <w:tcPr>
            <w:tcW w:w="0" w:type="dxa"/>
            <w:vAlign w:val="center"/>
          </w:tcPr>
          <w:p w14:paraId="258E91CA">
            <w:pPr>
              <w:spacing w:line="240" w:lineRule="auto"/>
              <w:jc w:val="right"/>
            </w:pPr>
            <w:r>
              <w:rPr>
                <w:rFonts w:ascii="宋体" w:hAnsi="宋体" w:eastAsia="宋体" w:cs="宋体"/>
                <w:b w:val="0"/>
              </w:rPr>
              <w:t>-464,388.29</w:t>
            </w:r>
          </w:p>
        </w:tc>
      </w:tr>
    </w:tbl>
    <w:p w14:paraId="4AE20648"/>
    <w:p w14:paraId="1D9DCC9D">
      <w:pPr>
        <w:pStyle w:val="58"/>
      </w:pPr>
      <w:r>
        <w:rPr>
          <w:rFonts w:ascii="宋体" w:hAnsi="宋体" w:eastAsia="宋体" w:cs="宋体"/>
          <w:b/>
        </w:rPr>
        <w:t>6.4.7.9 存款利息收入</w:t>
      </w:r>
    </w:p>
    <w:p w14:paraId="433870D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3473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3C228621">
            <w:pPr>
              <w:spacing w:line="240" w:lineRule="auto"/>
              <w:jc w:val="center"/>
            </w:pPr>
            <w:r>
              <w:rPr>
                <w:rFonts w:ascii="宋体" w:hAnsi="宋体" w:eastAsia="宋体" w:cs="宋体"/>
                <w:b w:val="0"/>
              </w:rPr>
              <w:t>项目</w:t>
            </w:r>
          </w:p>
        </w:tc>
        <w:tc>
          <w:tcPr>
            <w:tcW w:w="3077" w:type="pct"/>
            <w:shd w:val="clear" w:color="auto" w:fill="D9D9D9"/>
            <w:vAlign w:val="center"/>
          </w:tcPr>
          <w:p w14:paraId="1666668C">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03F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9437C9">
            <w:pPr>
              <w:spacing w:line="240" w:lineRule="auto"/>
              <w:jc w:val="left"/>
            </w:pPr>
            <w:r>
              <w:rPr>
                <w:rFonts w:ascii="宋体" w:hAnsi="宋体" w:eastAsia="宋体" w:cs="宋体"/>
                <w:b w:val="0"/>
              </w:rPr>
              <w:t>活期存款利息收入</w:t>
            </w:r>
          </w:p>
        </w:tc>
        <w:tc>
          <w:tcPr>
            <w:tcW w:w="0" w:type="dxa"/>
            <w:vAlign w:val="center"/>
          </w:tcPr>
          <w:p w14:paraId="3D4050B0">
            <w:pPr>
              <w:spacing w:line="240" w:lineRule="auto"/>
              <w:jc w:val="right"/>
            </w:pPr>
            <w:r>
              <w:rPr>
                <w:rFonts w:ascii="宋体" w:hAnsi="宋体" w:eastAsia="宋体" w:cs="宋体"/>
                <w:b w:val="0"/>
              </w:rPr>
              <w:t>539.20</w:t>
            </w:r>
          </w:p>
        </w:tc>
      </w:tr>
      <w:tr w14:paraId="55DA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353676">
            <w:pPr>
              <w:spacing w:line="240" w:lineRule="auto"/>
              <w:jc w:val="left"/>
            </w:pPr>
            <w:r>
              <w:rPr>
                <w:rFonts w:ascii="宋体" w:hAnsi="宋体" w:eastAsia="宋体" w:cs="宋体"/>
                <w:b w:val="0"/>
              </w:rPr>
              <w:t>定期存款利息收入</w:t>
            </w:r>
          </w:p>
        </w:tc>
        <w:tc>
          <w:tcPr>
            <w:tcW w:w="0" w:type="dxa"/>
            <w:vAlign w:val="center"/>
          </w:tcPr>
          <w:p w14:paraId="5C11357F">
            <w:pPr>
              <w:spacing w:line="240" w:lineRule="auto"/>
              <w:jc w:val="right"/>
            </w:pPr>
            <w:r>
              <w:rPr>
                <w:rFonts w:ascii="宋体" w:hAnsi="宋体" w:eastAsia="宋体" w:cs="宋体"/>
                <w:b w:val="0"/>
              </w:rPr>
              <w:t>-</w:t>
            </w:r>
          </w:p>
        </w:tc>
      </w:tr>
      <w:tr w14:paraId="7575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7EEEBE">
            <w:pPr>
              <w:spacing w:line="240" w:lineRule="auto"/>
              <w:jc w:val="left"/>
            </w:pPr>
            <w:r>
              <w:rPr>
                <w:rFonts w:ascii="宋体" w:hAnsi="宋体" w:eastAsia="宋体" w:cs="宋体"/>
                <w:b w:val="0"/>
              </w:rPr>
              <w:t>其他存款利息收入</w:t>
            </w:r>
          </w:p>
        </w:tc>
        <w:tc>
          <w:tcPr>
            <w:tcW w:w="0" w:type="dxa"/>
            <w:vAlign w:val="center"/>
          </w:tcPr>
          <w:p w14:paraId="417DD392">
            <w:pPr>
              <w:spacing w:line="240" w:lineRule="auto"/>
              <w:jc w:val="right"/>
            </w:pPr>
            <w:r>
              <w:rPr>
                <w:rFonts w:ascii="宋体" w:hAnsi="宋体" w:eastAsia="宋体" w:cs="宋体"/>
                <w:b w:val="0"/>
              </w:rPr>
              <w:t>354.75</w:t>
            </w:r>
          </w:p>
        </w:tc>
      </w:tr>
      <w:tr w14:paraId="0387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769B10">
            <w:pPr>
              <w:spacing w:line="240" w:lineRule="auto"/>
              <w:jc w:val="left"/>
            </w:pPr>
            <w:r>
              <w:rPr>
                <w:rFonts w:ascii="宋体" w:hAnsi="宋体" w:eastAsia="宋体" w:cs="宋体"/>
                <w:b w:val="0"/>
              </w:rPr>
              <w:t>结算备付金利息收入</w:t>
            </w:r>
          </w:p>
        </w:tc>
        <w:tc>
          <w:tcPr>
            <w:tcW w:w="0" w:type="dxa"/>
            <w:vAlign w:val="center"/>
          </w:tcPr>
          <w:p w14:paraId="39A5D76F">
            <w:pPr>
              <w:spacing w:line="240" w:lineRule="auto"/>
              <w:jc w:val="right"/>
            </w:pPr>
            <w:r>
              <w:rPr>
                <w:rFonts w:ascii="宋体" w:hAnsi="宋体" w:eastAsia="宋体" w:cs="宋体"/>
                <w:b w:val="0"/>
              </w:rPr>
              <w:t>-</w:t>
            </w:r>
          </w:p>
        </w:tc>
      </w:tr>
      <w:tr w14:paraId="1E69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A25A96">
            <w:pPr>
              <w:spacing w:line="240" w:lineRule="auto"/>
              <w:jc w:val="left"/>
            </w:pPr>
            <w:r>
              <w:rPr>
                <w:rFonts w:ascii="宋体" w:hAnsi="宋体" w:eastAsia="宋体" w:cs="宋体"/>
                <w:b w:val="0"/>
              </w:rPr>
              <w:t>其他</w:t>
            </w:r>
          </w:p>
        </w:tc>
        <w:tc>
          <w:tcPr>
            <w:tcW w:w="0" w:type="dxa"/>
            <w:vAlign w:val="center"/>
          </w:tcPr>
          <w:p w14:paraId="1A1244DC">
            <w:pPr>
              <w:spacing w:line="240" w:lineRule="auto"/>
              <w:jc w:val="right"/>
            </w:pPr>
            <w:r>
              <w:rPr>
                <w:rFonts w:ascii="宋体" w:hAnsi="宋体" w:eastAsia="宋体" w:cs="宋体"/>
                <w:b w:val="0"/>
              </w:rPr>
              <w:t>19.78</w:t>
            </w:r>
          </w:p>
        </w:tc>
      </w:tr>
      <w:tr w14:paraId="0A4A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3CF907">
            <w:pPr>
              <w:spacing w:line="240" w:lineRule="auto"/>
              <w:jc w:val="center"/>
            </w:pPr>
            <w:r>
              <w:rPr>
                <w:rFonts w:ascii="宋体" w:hAnsi="宋体" w:eastAsia="宋体" w:cs="宋体"/>
                <w:b w:val="0"/>
              </w:rPr>
              <w:t>合计</w:t>
            </w:r>
          </w:p>
        </w:tc>
        <w:tc>
          <w:tcPr>
            <w:tcW w:w="0" w:type="dxa"/>
            <w:vAlign w:val="center"/>
          </w:tcPr>
          <w:p w14:paraId="1CA75A55">
            <w:pPr>
              <w:spacing w:line="240" w:lineRule="auto"/>
              <w:jc w:val="right"/>
            </w:pPr>
            <w:r>
              <w:rPr>
                <w:rFonts w:ascii="宋体" w:hAnsi="宋体" w:eastAsia="宋体" w:cs="宋体"/>
                <w:b w:val="0"/>
              </w:rPr>
              <w:t>913.73</w:t>
            </w:r>
          </w:p>
        </w:tc>
      </w:tr>
    </w:tbl>
    <w:p w14:paraId="59B85594">
      <w:r>
        <w:rPr>
          <w:rFonts w:ascii="宋体" w:hAnsi="宋体" w:eastAsia="宋体" w:cs="宋体"/>
          <w:b w:val="0"/>
        </w:rPr>
        <w:t>注：其他存款利息收入为存放在证券经纪商基金专用证券账户的证券交易结算资金产生的利息收入。</w:t>
      </w:r>
    </w:p>
    <w:p w14:paraId="0FD34F6E"/>
    <w:p w14:paraId="1C0B76DD">
      <w:pPr>
        <w:pStyle w:val="58"/>
      </w:pPr>
      <w:r>
        <w:rPr>
          <w:rFonts w:ascii="宋体" w:hAnsi="宋体" w:eastAsia="宋体" w:cs="宋体"/>
          <w:b/>
        </w:rPr>
        <w:t>6.4.7.10 股票投资收益——买卖股票差价收入</w:t>
      </w:r>
    </w:p>
    <w:p w14:paraId="5FC7655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3C4E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77E07F0A">
            <w:pPr>
              <w:spacing w:line="240" w:lineRule="auto"/>
              <w:jc w:val="center"/>
            </w:pPr>
            <w:r>
              <w:rPr>
                <w:rFonts w:ascii="宋体" w:hAnsi="宋体" w:eastAsia="宋体" w:cs="宋体"/>
                <w:b w:val="0"/>
              </w:rPr>
              <w:t>项目</w:t>
            </w:r>
          </w:p>
        </w:tc>
        <w:tc>
          <w:tcPr>
            <w:tcW w:w="3077" w:type="pct"/>
            <w:shd w:val="clear" w:color="auto" w:fill="D9D9D9"/>
            <w:vAlign w:val="center"/>
          </w:tcPr>
          <w:p w14:paraId="7D7166CE">
            <w:pPr>
              <w:spacing w:line="240" w:lineRule="auto"/>
              <w:jc w:val="center"/>
            </w:pPr>
            <w:r>
              <w:rPr>
                <w:rFonts w:ascii="宋体" w:hAnsi="宋体" w:eastAsia="宋体" w:cs="宋体"/>
                <w:b w:val="0"/>
              </w:rPr>
              <w:t>本期2026年01月01日至2026年06月30日</w:t>
            </w:r>
          </w:p>
        </w:tc>
      </w:tr>
      <w:tr w14:paraId="65C1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6B3F6F">
            <w:pPr>
              <w:spacing w:line="240" w:lineRule="auto"/>
              <w:jc w:val="left"/>
            </w:pPr>
            <w:r>
              <w:rPr>
                <w:rFonts w:ascii="宋体" w:hAnsi="宋体" w:eastAsia="宋体" w:cs="宋体"/>
                <w:b w:val="0"/>
              </w:rPr>
              <w:t>卖出股票成交总额</w:t>
            </w:r>
          </w:p>
        </w:tc>
        <w:tc>
          <w:tcPr>
            <w:tcW w:w="0" w:type="dxa"/>
            <w:vAlign w:val="center"/>
          </w:tcPr>
          <w:p w14:paraId="1D22BFA9">
            <w:pPr>
              <w:spacing w:line="240" w:lineRule="auto"/>
              <w:jc w:val="right"/>
            </w:pPr>
            <w:r>
              <w:rPr>
                <w:rFonts w:ascii="宋体" w:hAnsi="宋体" w:eastAsia="宋体" w:cs="宋体"/>
                <w:b w:val="0"/>
              </w:rPr>
              <w:t>47,525,191.08</w:t>
            </w:r>
          </w:p>
        </w:tc>
      </w:tr>
      <w:tr w14:paraId="5BC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8B8493">
            <w:pPr>
              <w:spacing w:line="240" w:lineRule="auto"/>
              <w:jc w:val="left"/>
            </w:pPr>
            <w:r>
              <w:rPr>
                <w:rFonts w:ascii="宋体" w:hAnsi="宋体" w:eastAsia="宋体" w:cs="宋体"/>
                <w:b w:val="0"/>
              </w:rPr>
              <w:t>减：卖出股票成本总额</w:t>
            </w:r>
          </w:p>
        </w:tc>
        <w:tc>
          <w:tcPr>
            <w:tcW w:w="0" w:type="dxa"/>
            <w:vAlign w:val="center"/>
          </w:tcPr>
          <w:p w14:paraId="07B55893">
            <w:pPr>
              <w:spacing w:line="240" w:lineRule="auto"/>
              <w:jc w:val="right"/>
            </w:pPr>
            <w:r>
              <w:rPr>
                <w:rFonts w:ascii="宋体" w:hAnsi="宋体" w:eastAsia="宋体" w:cs="宋体"/>
                <w:b w:val="0"/>
              </w:rPr>
              <w:t>37,579,096.29</w:t>
            </w:r>
          </w:p>
        </w:tc>
      </w:tr>
      <w:tr w14:paraId="77C8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22628C">
            <w:pPr>
              <w:spacing w:line="240" w:lineRule="auto"/>
              <w:jc w:val="left"/>
            </w:pPr>
            <w:r>
              <w:rPr>
                <w:rFonts w:ascii="宋体" w:hAnsi="宋体" w:eastAsia="宋体" w:cs="宋体"/>
                <w:b w:val="0"/>
              </w:rPr>
              <w:t>减：交易费用</w:t>
            </w:r>
          </w:p>
        </w:tc>
        <w:tc>
          <w:tcPr>
            <w:tcW w:w="0" w:type="dxa"/>
            <w:vAlign w:val="center"/>
          </w:tcPr>
          <w:p w14:paraId="3F180A6B">
            <w:pPr>
              <w:spacing w:line="240" w:lineRule="auto"/>
              <w:jc w:val="right"/>
            </w:pPr>
            <w:r>
              <w:rPr>
                <w:rFonts w:ascii="宋体" w:hAnsi="宋体" w:eastAsia="宋体" w:cs="宋体"/>
                <w:b w:val="0"/>
              </w:rPr>
              <w:t>75,175.72</w:t>
            </w:r>
          </w:p>
        </w:tc>
      </w:tr>
      <w:tr w14:paraId="05F0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B8BC57">
            <w:pPr>
              <w:spacing w:line="240" w:lineRule="auto"/>
              <w:jc w:val="left"/>
            </w:pPr>
            <w:r>
              <w:rPr>
                <w:rFonts w:ascii="宋体" w:hAnsi="宋体" w:eastAsia="宋体" w:cs="宋体"/>
                <w:b w:val="0"/>
              </w:rPr>
              <w:t>买卖股票差价收入</w:t>
            </w:r>
          </w:p>
        </w:tc>
        <w:tc>
          <w:tcPr>
            <w:tcW w:w="0" w:type="dxa"/>
            <w:vAlign w:val="center"/>
          </w:tcPr>
          <w:p w14:paraId="1C7899A1">
            <w:pPr>
              <w:spacing w:line="240" w:lineRule="auto"/>
              <w:jc w:val="right"/>
            </w:pPr>
            <w:r>
              <w:rPr>
                <w:rFonts w:ascii="宋体" w:hAnsi="宋体" w:eastAsia="宋体" w:cs="宋体"/>
                <w:b w:val="0"/>
              </w:rPr>
              <w:t>9,870,919.07</w:t>
            </w:r>
          </w:p>
        </w:tc>
      </w:tr>
    </w:tbl>
    <w:p w14:paraId="75886BAD"/>
    <w:p w14:paraId="36694291">
      <w:pPr>
        <w:pStyle w:val="58"/>
      </w:pPr>
      <w:r>
        <w:rPr>
          <w:rFonts w:ascii="宋体" w:hAnsi="宋体" w:eastAsia="宋体" w:cs="宋体"/>
          <w:b/>
        </w:rPr>
        <w:t>6.4.7.11 基金投资收益</w:t>
      </w:r>
    </w:p>
    <w:p w14:paraId="6B290AC5">
      <w:r>
        <w:rPr>
          <w:rFonts w:ascii="宋体" w:hAnsi="宋体" w:eastAsia="宋体" w:cs="宋体"/>
          <w:b w:val="0"/>
        </w:rPr>
        <w:t xml:space="preserve">    本基金本报告期无基金投资收益。</w:t>
      </w:r>
    </w:p>
    <w:p w14:paraId="3C4620B5"/>
    <w:p w14:paraId="19991C96">
      <w:pPr>
        <w:pStyle w:val="58"/>
      </w:pPr>
      <w:r>
        <w:rPr>
          <w:rFonts w:ascii="宋体" w:hAnsi="宋体" w:eastAsia="宋体" w:cs="宋体"/>
          <w:b/>
        </w:rPr>
        <w:t>6.4.7.12 债券投资收益</w:t>
      </w:r>
    </w:p>
    <w:p w14:paraId="5C81B926">
      <w:pPr>
        <w:pStyle w:val="58"/>
      </w:pPr>
      <w:r>
        <w:rPr>
          <w:rFonts w:ascii="宋体" w:hAnsi="宋体" w:eastAsia="宋体" w:cs="宋体"/>
          <w:b/>
        </w:rPr>
        <w:t>6.4.7.12.1 债券投资收益项目构成</w:t>
      </w:r>
    </w:p>
    <w:p w14:paraId="2EF6D78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3E76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21162CFD">
            <w:pPr>
              <w:spacing w:line="240" w:lineRule="auto"/>
              <w:jc w:val="center"/>
            </w:pPr>
            <w:r>
              <w:rPr>
                <w:rFonts w:ascii="宋体" w:hAnsi="宋体" w:eastAsia="宋体" w:cs="宋体"/>
                <w:b w:val="0"/>
              </w:rPr>
              <w:t>项目</w:t>
            </w:r>
          </w:p>
        </w:tc>
        <w:tc>
          <w:tcPr>
            <w:tcW w:w="2500" w:type="pct"/>
            <w:shd w:val="clear" w:color="auto" w:fill="D9D9D9"/>
            <w:vAlign w:val="center"/>
          </w:tcPr>
          <w:p w14:paraId="41FFFD99">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165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883D99">
            <w:pPr>
              <w:spacing w:line="240" w:lineRule="auto"/>
              <w:jc w:val="left"/>
            </w:pPr>
            <w:r>
              <w:rPr>
                <w:rFonts w:ascii="宋体" w:hAnsi="宋体" w:eastAsia="宋体" w:cs="宋体"/>
                <w:b w:val="0"/>
              </w:rPr>
              <w:t>债券投资收益——利息收入</w:t>
            </w:r>
          </w:p>
        </w:tc>
        <w:tc>
          <w:tcPr>
            <w:tcW w:w="0" w:type="dxa"/>
            <w:vAlign w:val="center"/>
          </w:tcPr>
          <w:p w14:paraId="66C6CD8F">
            <w:pPr>
              <w:spacing w:line="240" w:lineRule="auto"/>
              <w:jc w:val="right"/>
            </w:pPr>
            <w:r>
              <w:rPr>
                <w:rFonts w:ascii="宋体" w:hAnsi="宋体" w:eastAsia="宋体" w:cs="宋体"/>
                <w:b w:val="0"/>
              </w:rPr>
              <w:t>22,941.76</w:t>
            </w:r>
          </w:p>
        </w:tc>
      </w:tr>
      <w:tr w14:paraId="03D4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D930C7">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03C760C1">
            <w:pPr>
              <w:spacing w:line="240" w:lineRule="auto"/>
              <w:jc w:val="right"/>
            </w:pPr>
            <w:r>
              <w:rPr>
                <w:rFonts w:ascii="宋体" w:hAnsi="宋体" w:eastAsia="宋体" w:cs="宋体"/>
                <w:b w:val="0"/>
              </w:rPr>
              <w:t>-2,699.02</w:t>
            </w:r>
          </w:p>
        </w:tc>
      </w:tr>
      <w:tr w14:paraId="6C90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5001EB">
            <w:pPr>
              <w:spacing w:line="240" w:lineRule="auto"/>
              <w:jc w:val="left"/>
            </w:pPr>
            <w:r>
              <w:rPr>
                <w:rFonts w:ascii="宋体" w:hAnsi="宋体" w:eastAsia="宋体" w:cs="宋体"/>
                <w:b w:val="0"/>
              </w:rPr>
              <w:t>债券投资收益——赎回差价收入</w:t>
            </w:r>
          </w:p>
        </w:tc>
        <w:tc>
          <w:tcPr>
            <w:tcW w:w="0" w:type="dxa"/>
            <w:vAlign w:val="center"/>
          </w:tcPr>
          <w:p w14:paraId="68A6112D">
            <w:pPr>
              <w:spacing w:line="240" w:lineRule="auto"/>
              <w:jc w:val="right"/>
            </w:pPr>
            <w:r>
              <w:rPr>
                <w:rFonts w:ascii="宋体" w:hAnsi="宋体" w:eastAsia="宋体" w:cs="宋体"/>
                <w:b w:val="0"/>
              </w:rPr>
              <w:t>-</w:t>
            </w:r>
          </w:p>
        </w:tc>
      </w:tr>
      <w:tr w14:paraId="08B2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422DCB">
            <w:pPr>
              <w:spacing w:line="240" w:lineRule="auto"/>
              <w:jc w:val="left"/>
            </w:pPr>
            <w:r>
              <w:rPr>
                <w:rFonts w:ascii="宋体" w:hAnsi="宋体" w:eastAsia="宋体" w:cs="宋体"/>
                <w:b w:val="0"/>
              </w:rPr>
              <w:t>债券投资收益——申购差价收入</w:t>
            </w:r>
          </w:p>
        </w:tc>
        <w:tc>
          <w:tcPr>
            <w:tcW w:w="0" w:type="dxa"/>
            <w:vAlign w:val="center"/>
          </w:tcPr>
          <w:p w14:paraId="73D48DDB">
            <w:pPr>
              <w:spacing w:line="240" w:lineRule="auto"/>
              <w:jc w:val="right"/>
            </w:pPr>
            <w:r>
              <w:rPr>
                <w:rFonts w:ascii="宋体" w:hAnsi="宋体" w:eastAsia="宋体" w:cs="宋体"/>
                <w:b w:val="0"/>
              </w:rPr>
              <w:t>-</w:t>
            </w:r>
          </w:p>
        </w:tc>
      </w:tr>
      <w:tr w14:paraId="5CAA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25CBD8F6">
            <w:pPr>
              <w:spacing w:line="240" w:lineRule="auto"/>
              <w:jc w:val="left"/>
            </w:pPr>
            <w:r>
              <w:rPr>
                <w:rFonts w:ascii="宋体" w:hAnsi="宋体" w:eastAsia="宋体" w:cs="宋体"/>
                <w:b w:val="0"/>
              </w:rPr>
              <w:t>合计</w:t>
            </w:r>
          </w:p>
        </w:tc>
        <w:tc>
          <w:tcPr>
            <w:tcW w:w="0" w:type="dxa"/>
            <w:vAlign w:val="center"/>
          </w:tcPr>
          <w:p w14:paraId="11E71AFA">
            <w:pPr>
              <w:spacing w:line="240" w:lineRule="auto"/>
              <w:jc w:val="right"/>
            </w:pPr>
            <w:r>
              <w:rPr>
                <w:rFonts w:ascii="宋体" w:hAnsi="宋体" w:eastAsia="宋体" w:cs="宋体"/>
                <w:b w:val="0"/>
              </w:rPr>
              <w:t>20,242.74</w:t>
            </w:r>
          </w:p>
        </w:tc>
      </w:tr>
    </w:tbl>
    <w:p w14:paraId="4FF859B4"/>
    <w:p w14:paraId="798290C5">
      <w:pPr>
        <w:pStyle w:val="58"/>
      </w:pPr>
      <w:r>
        <w:rPr>
          <w:rFonts w:ascii="宋体" w:hAnsi="宋体" w:eastAsia="宋体" w:cs="宋体"/>
          <w:b/>
        </w:rPr>
        <w:t>6.4.7.12.2 债券投资收益——买卖债券差价收入</w:t>
      </w:r>
    </w:p>
    <w:p w14:paraId="0326F31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1127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3B48B0D3">
            <w:pPr>
              <w:spacing w:line="240" w:lineRule="auto"/>
              <w:jc w:val="center"/>
            </w:pPr>
            <w:r>
              <w:rPr>
                <w:rFonts w:ascii="宋体" w:hAnsi="宋体" w:eastAsia="宋体" w:cs="宋体"/>
                <w:b w:val="0"/>
              </w:rPr>
              <w:t>项目</w:t>
            </w:r>
          </w:p>
        </w:tc>
        <w:tc>
          <w:tcPr>
            <w:tcW w:w="1500" w:type="pct"/>
            <w:shd w:val="clear" w:color="auto" w:fill="D9D9D9"/>
            <w:vAlign w:val="center"/>
          </w:tcPr>
          <w:p w14:paraId="043A60A6">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79D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A52A31">
            <w:pPr>
              <w:spacing w:line="240" w:lineRule="auto"/>
              <w:jc w:val="left"/>
            </w:pPr>
            <w:r>
              <w:rPr>
                <w:rFonts w:ascii="宋体" w:hAnsi="宋体" w:eastAsia="宋体" w:cs="宋体"/>
                <w:b w:val="0"/>
              </w:rPr>
              <w:t>卖出债券（债转股及债券到期兑付）成交总额</w:t>
            </w:r>
          </w:p>
        </w:tc>
        <w:tc>
          <w:tcPr>
            <w:tcW w:w="0" w:type="dxa"/>
            <w:vAlign w:val="center"/>
          </w:tcPr>
          <w:p w14:paraId="3F657851">
            <w:pPr>
              <w:spacing w:line="240" w:lineRule="auto"/>
              <w:jc w:val="right"/>
            </w:pPr>
            <w:r>
              <w:rPr>
                <w:rFonts w:ascii="宋体" w:hAnsi="宋体" w:eastAsia="宋体" w:cs="宋体"/>
                <w:b w:val="0"/>
              </w:rPr>
              <w:t>4,354,956.64</w:t>
            </w:r>
          </w:p>
        </w:tc>
      </w:tr>
      <w:tr w14:paraId="4F80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926F8E">
            <w:pPr>
              <w:spacing w:line="240" w:lineRule="auto"/>
              <w:jc w:val="left"/>
            </w:pPr>
            <w:r>
              <w:rPr>
                <w:rFonts w:ascii="宋体" w:hAnsi="宋体" w:eastAsia="宋体" w:cs="宋体"/>
                <w:b w:val="0"/>
              </w:rPr>
              <w:t>减：卖出债券（债转股及债券到期兑付）成本总额</w:t>
            </w:r>
          </w:p>
        </w:tc>
        <w:tc>
          <w:tcPr>
            <w:tcW w:w="0" w:type="dxa"/>
            <w:vAlign w:val="center"/>
          </w:tcPr>
          <w:p w14:paraId="7DCB782A">
            <w:pPr>
              <w:spacing w:line="240" w:lineRule="auto"/>
              <w:jc w:val="right"/>
            </w:pPr>
            <w:r>
              <w:rPr>
                <w:rFonts w:ascii="宋体" w:hAnsi="宋体" w:eastAsia="宋体" w:cs="宋体"/>
                <w:b w:val="0"/>
              </w:rPr>
              <w:t>4,301,423.92</w:t>
            </w:r>
          </w:p>
        </w:tc>
      </w:tr>
      <w:tr w14:paraId="2020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1919DF">
            <w:pPr>
              <w:spacing w:line="240" w:lineRule="auto"/>
              <w:jc w:val="left"/>
            </w:pPr>
            <w:r>
              <w:rPr>
                <w:rFonts w:ascii="宋体" w:hAnsi="宋体" w:eastAsia="宋体" w:cs="宋体"/>
                <w:b w:val="0"/>
              </w:rPr>
              <w:t>减：应计利息总额</w:t>
            </w:r>
          </w:p>
        </w:tc>
        <w:tc>
          <w:tcPr>
            <w:tcW w:w="0" w:type="dxa"/>
            <w:vAlign w:val="center"/>
          </w:tcPr>
          <w:p w14:paraId="6CA7CDA4">
            <w:pPr>
              <w:spacing w:line="240" w:lineRule="auto"/>
              <w:jc w:val="right"/>
            </w:pPr>
            <w:r>
              <w:rPr>
                <w:rFonts w:ascii="宋体" w:hAnsi="宋体" w:eastAsia="宋体" w:cs="宋体"/>
                <w:b w:val="0"/>
              </w:rPr>
              <w:t>54,694.64</w:t>
            </w:r>
          </w:p>
        </w:tc>
      </w:tr>
      <w:tr w14:paraId="6C99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24E9EE">
            <w:pPr>
              <w:spacing w:line="240" w:lineRule="auto"/>
              <w:jc w:val="left"/>
            </w:pPr>
            <w:r>
              <w:rPr>
                <w:rFonts w:ascii="宋体" w:hAnsi="宋体" w:eastAsia="宋体" w:cs="宋体"/>
                <w:b w:val="0"/>
              </w:rPr>
              <w:t>减：交易费用</w:t>
            </w:r>
          </w:p>
        </w:tc>
        <w:tc>
          <w:tcPr>
            <w:tcW w:w="0" w:type="dxa"/>
            <w:vAlign w:val="center"/>
          </w:tcPr>
          <w:p w14:paraId="2BD7F85B">
            <w:pPr>
              <w:spacing w:line="240" w:lineRule="auto"/>
              <w:jc w:val="right"/>
            </w:pPr>
            <w:r>
              <w:rPr>
                <w:rFonts w:ascii="宋体" w:hAnsi="宋体" w:eastAsia="宋体" w:cs="宋体"/>
                <w:b w:val="0"/>
              </w:rPr>
              <w:t>1,537.10</w:t>
            </w:r>
          </w:p>
        </w:tc>
      </w:tr>
      <w:tr w14:paraId="5303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C19227">
            <w:pPr>
              <w:spacing w:line="240" w:lineRule="auto"/>
              <w:jc w:val="left"/>
            </w:pPr>
            <w:r>
              <w:rPr>
                <w:rFonts w:ascii="宋体" w:hAnsi="宋体" w:eastAsia="宋体" w:cs="宋体"/>
                <w:b w:val="0"/>
              </w:rPr>
              <w:t>买卖债券差价收入</w:t>
            </w:r>
          </w:p>
        </w:tc>
        <w:tc>
          <w:tcPr>
            <w:tcW w:w="0" w:type="dxa"/>
            <w:vAlign w:val="center"/>
          </w:tcPr>
          <w:p w14:paraId="5D7795E8">
            <w:pPr>
              <w:spacing w:line="240" w:lineRule="auto"/>
              <w:jc w:val="right"/>
            </w:pPr>
            <w:r>
              <w:rPr>
                <w:rFonts w:ascii="宋体" w:hAnsi="宋体" w:eastAsia="宋体" w:cs="宋体"/>
                <w:b w:val="0"/>
              </w:rPr>
              <w:t>-2,699.02</w:t>
            </w:r>
          </w:p>
        </w:tc>
      </w:tr>
    </w:tbl>
    <w:p w14:paraId="4EDCE221"/>
    <w:p w14:paraId="2E02D580">
      <w:pPr>
        <w:pStyle w:val="58"/>
      </w:pPr>
      <w:r>
        <w:rPr>
          <w:rFonts w:ascii="宋体" w:hAnsi="宋体" w:eastAsia="宋体" w:cs="宋体"/>
          <w:b/>
        </w:rPr>
        <w:t>6.4.7.13 资产支持证券投资收益</w:t>
      </w:r>
    </w:p>
    <w:p w14:paraId="5ACBA3C2">
      <w:r>
        <w:rPr>
          <w:rFonts w:ascii="宋体" w:hAnsi="宋体" w:eastAsia="宋体" w:cs="宋体"/>
          <w:b w:val="0"/>
        </w:rPr>
        <w:t xml:space="preserve">    本基金本报告期内无资产支持证券投资收益。</w:t>
      </w:r>
    </w:p>
    <w:p w14:paraId="37E8187A"/>
    <w:p w14:paraId="3274B456">
      <w:pPr>
        <w:pStyle w:val="58"/>
      </w:pPr>
      <w:r>
        <w:rPr>
          <w:rFonts w:ascii="宋体" w:hAnsi="宋体" w:eastAsia="宋体" w:cs="宋体"/>
          <w:b/>
        </w:rPr>
        <w:t>6.4.7.14 贵金属投资收益</w:t>
      </w:r>
    </w:p>
    <w:p w14:paraId="3486CDB1">
      <w:r>
        <w:rPr>
          <w:rFonts w:ascii="宋体" w:hAnsi="宋体" w:eastAsia="宋体" w:cs="宋体"/>
          <w:b w:val="0"/>
        </w:rPr>
        <w:t xml:space="preserve">    本基金本报告期内无贵金属投资收益。</w:t>
      </w:r>
    </w:p>
    <w:p w14:paraId="69967DCD"/>
    <w:p w14:paraId="1FD16F67">
      <w:pPr>
        <w:pStyle w:val="58"/>
      </w:pPr>
      <w:r>
        <w:rPr>
          <w:rFonts w:ascii="宋体" w:hAnsi="宋体" w:eastAsia="宋体" w:cs="宋体"/>
          <w:b/>
        </w:rPr>
        <w:t>6.4.7.15 衍生工具收益</w:t>
      </w:r>
    </w:p>
    <w:p w14:paraId="39F13C03">
      <w:r>
        <w:rPr>
          <w:rFonts w:ascii="宋体" w:hAnsi="宋体" w:eastAsia="宋体" w:cs="宋体"/>
          <w:b w:val="0"/>
        </w:rPr>
        <w:t xml:space="preserve">    本基金本报告期内无衍生工具收益。</w:t>
      </w:r>
    </w:p>
    <w:p w14:paraId="560150C5"/>
    <w:p w14:paraId="5D132DD8">
      <w:pPr>
        <w:pStyle w:val="58"/>
      </w:pPr>
      <w:r>
        <w:rPr>
          <w:rFonts w:ascii="宋体" w:hAnsi="宋体" w:eastAsia="宋体" w:cs="宋体"/>
          <w:b/>
        </w:rPr>
        <w:t>6.4.7.16 股利收益</w:t>
      </w:r>
    </w:p>
    <w:p w14:paraId="0308E25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82D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9" w:type="pct"/>
            <w:shd w:val="clear" w:color="auto" w:fill="D9D9D9"/>
            <w:vAlign w:val="center"/>
          </w:tcPr>
          <w:p w14:paraId="034AA22C">
            <w:pPr>
              <w:spacing w:line="240" w:lineRule="auto"/>
              <w:jc w:val="center"/>
            </w:pPr>
            <w:r>
              <w:rPr>
                <w:rFonts w:ascii="宋体" w:hAnsi="宋体" w:eastAsia="宋体" w:cs="宋体"/>
                <w:b w:val="0"/>
              </w:rPr>
              <w:t>项目</w:t>
            </w:r>
          </w:p>
        </w:tc>
        <w:tc>
          <w:tcPr>
            <w:tcW w:w="3077" w:type="pct"/>
            <w:shd w:val="clear" w:color="auto" w:fill="D9D9D9"/>
            <w:vAlign w:val="center"/>
          </w:tcPr>
          <w:p w14:paraId="6302F43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047D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743A7E">
            <w:pPr>
              <w:spacing w:line="240" w:lineRule="auto"/>
              <w:jc w:val="left"/>
            </w:pPr>
            <w:r>
              <w:rPr>
                <w:rFonts w:ascii="宋体" w:hAnsi="宋体" w:eastAsia="宋体" w:cs="宋体"/>
                <w:b w:val="0"/>
              </w:rPr>
              <w:t>股票投资产生的股利收益</w:t>
            </w:r>
          </w:p>
        </w:tc>
        <w:tc>
          <w:tcPr>
            <w:tcW w:w="0" w:type="dxa"/>
            <w:vAlign w:val="center"/>
          </w:tcPr>
          <w:p w14:paraId="5418C55A">
            <w:pPr>
              <w:spacing w:line="240" w:lineRule="auto"/>
              <w:jc w:val="right"/>
            </w:pPr>
            <w:r>
              <w:rPr>
                <w:rFonts w:ascii="宋体" w:hAnsi="宋体" w:eastAsia="宋体" w:cs="宋体"/>
                <w:b w:val="0"/>
              </w:rPr>
              <w:t>1,203,733.29</w:t>
            </w:r>
          </w:p>
        </w:tc>
      </w:tr>
      <w:tr w14:paraId="566E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4E9EA2">
            <w:pPr>
              <w:spacing w:line="240" w:lineRule="auto"/>
              <w:jc w:val="left"/>
            </w:pPr>
            <w:r>
              <w:rPr>
                <w:rFonts w:ascii="宋体" w:hAnsi="宋体" w:eastAsia="宋体" w:cs="宋体"/>
                <w:b w:val="0"/>
              </w:rPr>
              <w:t>其中：证券出借权益补偿收入</w:t>
            </w:r>
          </w:p>
        </w:tc>
        <w:tc>
          <w:tcPr>
            <w:tcW w:w="0" w:type="dxa"/>
            <w:vAlign w:val="center"/>
          </w:tcPr>
          <w:p w14:paraId="17EE2B9A">
            <w:pPr>
              <w:spacing w:line="240" w:lineRule="auto"/>
              <w:jc w:val="right"/>
            </w:pPr>
            <w:r>
              <w:rPr>
                <w:rFonts w:ascii="宋体" w:hAnsi="宋体" w:eastAsia="宋体" w:cs="宋体"/>
                <w:b w:val="0"/>
              </w:rPr>
              <w:t>-</w:t>
            </w:r>
          </w:p>
        </w:tc>
      </w:tr>
      <w:tr w14:paraId="383C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5B2114">
            <w:pPr>
              <w:spacing w:line="240" w:lineRule="auto"/>
              <w:jc w:val="left"/>
            </w:pPr>
            <w:r>
              <w:rPr>
                <w:rFonts w:ascii="宋体" w:hAnsi="宋体" w:eastAsia="宋体" w:cs="宋体"/>
                <w:b w:val="0"/>
              </w:rPr>
              <w:t>基金投资产生的股利收益</w:t>
            </w:r>
          </w:p>
        </w:tc>
        <w:tc>
          <w:tcPr>
            <w:tcW w:w="0" w:type="dxa"/>
            <w:vAlign w:val="center"/>
          </w:tcPr>
          <w:p w14:paraId="574D53EE">
            <w:pPr>
              <w:spacing w:line="240" w:lineRule="auto"/>
              <w:jc w:val="right"/>
            </w:pPr>
            <w:r>
              <w:rPr>
                <w:rFonts w:ascii="宋体" w:hAnsi="宋体" w:eastAsia="宋体" w:cs="宋体"/>
                <w:b w:val="0"/>
              </w:rPr>
              <w:t>-</w:t>
            </w:r>
          </w:p>
        </w:tc>
      </w:tr>
      <w:tr w14:paraId="6DD3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4C65B4">
            <w:pPr>
              <w:spacing w:line="240" w:lineRule="auto"/>
              <w:jc w:val="center"/>
            </w:pPr>
            <w:r>
              <w:rPr>
                <w:rFonts w:ascii="宋体" w:hAnsi="宋体" w:eastAsia="宋体" w:cs="宋体"/>
                <w:b w:val="0"/>
              </w:rPr>
              <w:t>合计</w:t>
            </w:r>
          </w:p>
        </w:tc>
        <w:tc>
          <w:tcPr>
            <w:tcW w:w="0" w:type="dxa"/>
            <w:vAlign w:val="center"/>
          </w:tcPr>
          <w:p w14:paraId="2BB42F63">
            <w:pPr>
              <w:spacing w:line="240" w:lineRule="auto"/>
              <w:jc w:val="right"/>
            </w:pPr>
            <w:r>
              <w:rPr>
                <w:rFonts w:ascii="宋体" w:hAnsi="宋体" w:eastAsia="宋体" w:cs="宋体"/>
                <w:b w:val="0"/>
              </w:rPr>
              <w:t>1,203,733.29</w:t>
            </w:r>
          </w:p>
        </w:tc>
      </w:tr>
    </w:tbl>
    <w:p w14:paraId="43CABE6B"/>
    <w:p w14:paraId="3CB78DCE">
      <w:pPr>
        <w:pStyle w:val="58"/>
      </w:pPr>
      <w:r>
        <w:rPr>
          <w:rFonts w:ascii="宋体" w:hAnsi="宋体" w:eastAsia="宋体" w:cs="宋体"/>
          <w:b/>
        </w:rPr>
        <w:t>6.4.7.17 公允价值变动收益</w:t>
      </w:r>
    </w:p>
    <w:p w14:paraId="483787A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384A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5085789F">
            <w:pPr>
              <w:spacing w:line="240" w:lineRule="auto"/>
              <w:jc w:val="center"/>
            </w:pPr>
            <w:r>
              <w:rPr>
                <w:rFonts w:ascii="宋体" w:hAnsi="宋体" w:eastAsia="宋体" w:cs="宋体"/>
                <w:b w:val="0"/>
              </w:rPr>
              <w:t>项目名称</w:t>
            </w:r>
          </w:p>
        </w:tc>
        <w:tc>
          <w:tcPr>
            <w:tcW w:w="3000" w:type="pct"/>
            <w:shd w:val="clear" w:color="auto" w:fill="D9D9D9"/>
            <w:vAlign w:val="center"/>
          </w:tcPr>
          <w:p w14:paraId="7CF13FF3">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59A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85BED2">
            <w:pPr>
              <w:spacing w:line="240" w:lineRule="auto"/>
              <w:jc w:val="left"/>
            </w:pPr>
            <w:r>
              <w:rPr>
                <w:rFonts w:ascii="宋体" w:hAnsi="宋体" w:eastAsia="宋体" w:cs="宋体"/>
                <w:b w:val="0"/>
              </w:rPr>
              <w:t>1.交易性金融资产</w:t>
            </w:r>
          </w:p>
        </w:tc>
        <w:tc>
          <w:tcPr>
            <w:tcW w:w="0" w:type="dxa"/>
            <w:vAlign w:val="center"/>
          </w:tcPr>
          <w:p w14:paraId="26AD56F9">
            <w:pPr>
              <w:spacing w:line="240" w:lineRule="auto"/>
              <w:jc w:val="right"/>
            </w:pPr>
            <w:r>
              <w:rPr>
                <w:rFonts w:ascii="宋体" w:hAnsi="宋体" w:eastAsia="宋体" w:cs="宋体"/>
                <w:b w:val="0"/>
              </w:rPr>
              <w:t>-11,030,293.66</w:t>
            </w:r>
          </w:p>
        </w:tc>
      </w:tr>
      <w:tr w14:paraId="0C9E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2072F4">
            <w:pPr>
              <w:spacing w:line="240" w:lineRule="auto"/>
              <w:jc w:val="left"/>
            </w:pPr>
            <w:r>
              <w:rPr>
                <w:rFonts w:ascii="宋体" w:hAnsi="宋体" w:eastAsia="宋体" w:cs="宋体"/>
                <w:b w:val="0"/>
              </w:rPr>
              <w:t>——股票投资</w:t>
            </w:r>
          </w:p>
        </w:tc>
        <w:tc>
          <w:tcPr>
            <w:tcW w:w="0" w:type="dxa"/>
            <w:vAlign w:val="center"/>
          </w:tcPr>
          <w:p w14:paraId="05690DC9">
            <w:pPr>
              <w:spacing w:line="240" w:lineRule="auto"/>
              <w:jc w:val="right"/>
            </w:pPr>
            <w:r>
              <w:rPr>
                <w:rFonts w:ascii="宋体" w:hAnsi="宋体" w:eastAsia="宋体" w:cs="宋体"/>
                <w:b w:val="0"/>
              </w:rPr>
              <w:t>-11,030,236.58</w:t>
            </w:r>
          </w:p>
        </w:tc>
      </w:tr>
      <w:tr w14:paraId="785E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4F3844">
            <w:pPr>
              <w:spacing w:line="240" w:lineRule="auto"/>
              <w:jc w:val="left"/>
            </w:pPr>
            <w:r>
              <w:rPr>
                <w:rFonts w:ascii="宋体" w:hAnsi="宋体" w:eastAsia="宋体" w:cs="宋体"/>
                <w:b w:val="0"/>
              </w:rPr>
              <w:t>——债券投资</w:t>
            </w:r>
          </w:p>
        </w:tc>
        <w:tc>
          <w:tcPr>
            <w:tcW w:w="0" w:type="dxa"/>
            <w:vAlign w:val="center"/>
          </w:tcPr>
          <w:p w14:paraId="63FE4F33">
            <w:pPr>
              <w:spacing w:line="240" w:lineRule="auto"/>
              <w:jc w:val="right"/>
            </w:pPr>
            <w:r>
              <w:rPr>
                <w:rFonts w:ascii="宋体" w:hAnsi="宋体" w:eastAsia="宋体" w:cs="宋体"/>
                <w:b w:val="0"/>
              </w:rPr>
              <w:t>-57.08</w:t>
            </w:r>
          </w:p>
        </w:tc>
      </w:tr>
      <w:tr w14:paraId="6551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98BE99">
            <w:pPr>
              <w:spacing w:line="240" w:lineRule="auto"/>
              <w:jc w:val="left"/>
            </w:pPr>
            <w:r>
              <w:rPr>
                <w:rFonts w:ascii="宋体" w:hAnsi="宋体" w:eastAsia="宋体" w:cs="宋体"/>
                <w:b w:val="0"/>
              </w:rPr>
              <w:t>——资产支持证券投资</w:t>
            </w:r>
          </w:p>
        </w:tc>
        <w:tc>
          <w:tcPr>
            <w:tcW w:w="0" w:type="dxa"/>
            <w:vAlign w:val="center"/>
          </w:tcPr>
          <w:p w14:paraId="4B62E12F">
            <w:pPr>
              <w:spacing w:line="240" w:lineRule="auto"/>
              <w:jc w:val="right"/>
            </w:pPr>
            <w:r>
              <w:rPr>
                <w:rFonts w:ascii="宋体" w:hAnsi="宋体" w:eastAsia="宋体" w:cs="宋体"/>
                <w:b w:val="0"/>
              </w:rPr>
              <w:t>-</w:t>
            </w:r>
          </w:p>
        </w:tc>
      </w:tr>
      <w:tr w14:paraId="250E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588ADF">
            <w:pPr>
              <w:spacing w:line="240" w:lineRule="auto"/>
              <w:jc w:val="left"/>
            </w:pPr>
            <w:r>
              <w:rPr>
                <w:rFonts w:ascii="宋体" w:hAnsi="宋体" w:eastAsia="宋体" w:cs="宋体"/>
                <w:b w:val="0"/>
              </w:rPr>
              <w:t>——贵金属投资</w:t>
            </w:r>
          </w:p>
        </w:tc>
        <w:tc>
          <w:tcPr>
            <w:tcW w:w="0" w:type="dxa"/>
            <w:vAlign w:val="center"/>
          </w:tcPr>
          <w:p w14:paraId="2BFB0D72">
            <w:pPr>
              <w:spacing w:line="240" w:lineRule="auto"/>
              <w:jc w:val="right"/>
            </w:pPr>
            <w:r>
              <w:rPr>
                <w:rFonts w:ascii="宋体" w:hAnsi="宋体" w:eastAsia="宋体" w:cs="宋体"/>
                <w:b w:val="0"/>
              </w:rPr>
              <w:t>-</w:t>
            </w:r>
          </w:p>
        </w:tc>
      </w:tr>
      <w:tr w14:paraId="2509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9CAC73">
            <w:pPr>
              <w:spacing w:line="240" w:lineRule="auto"/>
              <w:jc w:val="left"/>
            </w:pPr>
            <w:r>
              <w:rPr>
                <w:rFonts w:ascii="宋体" w:hAnsi="宋体" w:eastAsia="宋体" w:cs="宋体"/>
                <w:b w:val="0"/>
              </w:rPr>
              <w:t>——其他</w:t>
            </w:r>
          </w:p>
        </w:tc>
        <w:tc>
          <w:tcPr>
            <w:tcW w:w="0" w:type="dxa"/>
            <w:vAlign w:val="center"/>
          </w:tcPr>
          <w:p w14:paraId="5096435D">
            <w:pPr>
              <w:spacing w:line="240" w:lineRule="auto"/>
              <w:jc w:val="right"/>
            </w:pPr>
            <w:r>
              <w:rPr>
                <w:rFonts w:ascii="宋体" w:hAnsi="宋体" w:eastAsia="宋体" w:cs="宋体"/>
                <w:b w:val="0"/>
              </w:rPr>
              <w:t>-</w:t>
            </w:r>
          </w:p>
        </w:tc>
      </w:tr>
      <w:tr w14:paraId="2DDF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B12FC8">
            <w:pPr>
              <w:spacing w:line="240" w:lineRule="auto"/>
              <w:jc w:val="left"/>
            </w:pPr>
            <w:r>
              <w:rPr>
                <w:rFonts w:ascii="宋体" w:hAnsi="宋体" w:eastAsia="宋体" w:cs="宋体"/>
                <w:b w:val="0"/>
              </w:rPr>
              <w:t>2.衍生工具</w:t>
            </w:r>
          </w:p>
        </w:tc>
        <w:tc>
          <w:tcPr>
            <w:tcW w:w="0" w:type="dxa"/>
            <w:vAlign w:val="center"/>
          </w:tcPr>
          <w:p w14:paraId="6AE3FAB3">
            <w:pPr>
              <w:spacing w:line="240" w:lineRule="auto"/>
              <w:jc w:val="right"/>
            </w:pPr>
            <w:r>
              <w:rPr>
                <w:rFonts w:ascii="宋体" w:hAnsi="宋体" w:eastAsia="宋体" w:cs="宋体"/>
                <w:b w:val="0"/>
              </w:rPr>
              <w:t>-</w:t>
            </w:r>
          </w:p>
        </w:tc>
      </w:tr>
      <w:tr w14:paraId="3CBE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CFC144">
            <w:pPr>
              <w:spacing w:line="240" w:lineRule="auto"/>
              <w:jc w:val="left"/>
            </w:pPr>
            <w:r>
              <w:rPr>
                <w:rFonts w:ascii="宋体" w:hAnsi="宋体" w:eastAsia="宋体" w:cs="宋体"/>
                <w:b w:val="0"/>
              </w:rPr>
              <w:t>——权证投资</w:t>
            </w:r>
          </w:p>
        </w:tc>
        <w:tc>
          <w:tcPr>
            <w:tcW w:w="0" w:type="dxa"/>
            <w:vAlign w:val="center"/>
          </w:tcPr>
          <w:p w14:paraId="3C6F072D">
            <w:pPr>
              <w:spacing w:line="240" w:lineRule="auto"/>
              <w:jc w:val="right"/>
            </w:pPr>
            <w:r>
              <w:rPr>
                <w:rFonts w:ascii="宋体" w:hAnsi="宋体" w:eastAsia="宋体" w:cs="宋体"/>
                <w:b w:val="0"/>
              </w:rPr>
              <w:t>-</w:t>
            </w:r>
          </w:p>
        </w:tc>
      </w:tr>
      <w:tr w14:paraId="6F58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93899B">
            <w:pPr>
              <w:spacing w:line="240" w:lineRule="auto"/>
              <w:jc w:val="left"/>
            </w:pPr>
            <w:r>
              <w:rPr>
                <w:rFonts w:ascii="宋体" w:hAnsi="宋体" w:eastAsia="宋体" w:cs="宋体"/>
                <w:b w:val="0"/>
              </w:rPr>
              <w:t>3.其他</w:t>
            </w:r>
          </w:p>
        </w:tc>
        <w:tc>
          <w:tcPr>
            <w:tcW w:w="0" w:type="dxa"/>
            <w:vAlign w:val="center"/>
          </w:tcPr>
          <w:p w14:paraId="42E2139F">
            <w:pPr>
              <w:spacing w:line="240" w:lineRule="auto"/>
              <w:jc w:val="right"/>
            </w:pPr>
            <w:r>
              <w:rPr>
                <w:rFonts w:ascii="宋体" w:hAnsi="宋体" w:eastAsia="宋体" w:cs="宋体"/>
                <w:b w:val="0"/>
              </w:rPr>
              <w:t>-</w:t>
            </w:r>
          </w:p>
        </w:tc>
      </w:tr>
      <w:tr w14:paraId="43C4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88979D">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0A50E29B">
            <w:pPr>
              <w:spacing w:line="240" w:lineRule="auto"/>
              <w:jc w:val="right"/>
            </w:pPr>
            <w:r>
              <w:rPr>
                <w:rFonts w:ascii="宋体" w:hAnsi="宋体" w:eastAsia="宋体" w:cs="宋体"/>
                <w:b w:val="0"/>
              </w:rPr>
              <w:t>-</w:t>
            </w:r>
          </w:p>
        </w:tc>
      </w:tr>
      <w:tr w14:paraId="6D4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A920D5">
            <w:pPr>
              <w:spacing w:line="240" w:lineRule="auto"/>
              <w:jc w:val="left"/>
            </w:pPr>
            <w:r>
              <w:rPr>
                <w:rFonts w:ascii="宋体" w:hAnsi="宋体" w:eastAsia="宋体" w:cs="宋体"/>
                <w:b w:val="0"/>
              </w:rPr>
              <w:t>合计</w:t>
            </w:r>
          </w:p>
        </w:tc>
        <w:tc>
          <w:tcPr>
            <w:tcW w:w="0" w:type="dxa"/>
            <w:vAlign w:val="center"/>
          </w:tcPr>
          <w:p w14:paraId="3F2643D2">
            <w:pPr>
              <w:spacing w:line="240" w:lineRule="auto"/>
              <w:jc w:val="right"/>
            </w:pPr>
            <w:r>
              <w:rPr>
                <w:rFonts w:ascii="宋体" w:hAnsi="宋体" w:eastAsia="宋体" w:cs="宋体"/>
                <w:b w:val="0"/>
              </w:rPr>
              <w:t>-11,030,293.66</w:t>
            </w:r>
          </w:p>
        </w:tc>
      </w:tr>
    </w:tbl>
    <w:p w14:paraId="497DB5F1"/>
    <w:p w14:paraId="4F6921B3">
      <w:pPr>
        <w:pStyle w:val="58"/>
      </w:pPr>
      <w:r>
        <w:rPr>
          <w:rFonts w:ascii="宋体" w:hAnsi="宋体" w:eastAsia="宋体" w:cs="宋体"/>
          <w:b/>
        </w:rPr>
        <w:t>6.4.7.18 其他费用</w:t>
      </w:r>
    </w:p>
    <w:p w14:paraId="405FB20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589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D966CCD">
            <w:pPr>
              <w:spacing w:line="240" w:lineRule="auto"/>
              <w:jc w:val="center"/>
            </w:pPr>
            <w:r>
              <w:rPr>
                <w:rFonts w:ascii="宋体" w:hAnsi="宋体" w:eastAsia="宋体" w:cs="宋体"/>
                <w:b w:val="0"/>
              </w:rPr>
              <w:t>项目</w:t>
            </w:r>
          </w:p>
        </w:tc>
        <w:tc>
          <w:tcPr>
            <w:tcW w:w="3077" w:type="pct"/>
            <w:shd w:val="clear" w:color="auto" w:fill="D9D9D9"/>
            <w:vAlign w:val="center"/>
          </w:tcPr>
          <w:p w14:paraId="12BE7E3C">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E5D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F43B8B">
            <w:pPr>
              <w:spacing w:line="240" w:lineRule="auto"/>
              <w:jc w:val="left"/>
            </w:pPr>
            <w:r>
              <w:rPr>
                <w:rFonts w:ascii="宋体" w:hAnsi="宋体" w:eastAsia="宋体" w:cs="宋体"/>
                <w:b w:val="0"/>
              </w:rPr>
              <w:t>审计费用</w:t>
            </w:r>
          </w:p>
        </w:tc>
        <w:tc>
          <w:tcPr>
            <w:tcW w:w="0" w:type="dxa"/>
            <w:vAlign w:val="center"/>
          </w:tcPr>
          <w:p w14:paraId="29A981DC">
            <w:pPr>
              <w:spacing w:line="240" w:lineRule="auto"/>
              <w:jc w:val="right"/>
            </w:pPr>
            <w:r>
              <w:rPr>
                <w:rFonts w:ascii="宋体" w:hAnsi="宋体" w:eastAsia="宋体" w:cs="宋体"/>
                <w:b w:val="0"/>
              </w:rPr>
              <w:t>4,959.40</w:t>
            </w:r>
          </w:p>
        </w:tc>
      </w:tr>
      <w:tr w14:paraId="182F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FC1F73">
            <w:pPr>
              <w:spacing w:line="240" w:lineRule="auto"/>
              <w:jc w:val="left"/>
            </w:pPr>
            <w:r>
              <w:rPr>
                <w:rFonts w:ascii="宋体" w:hAnsi="宋体" w:eastAsia="宋体" w:cs="宋体"/>
                <w:b w:val="0"/>
              </w:rPr>
              <w:t>信息披露费</w:t>
            </w:r>
          </w:p>
        </w:tc>
        <w:tc>
          <w:tcPr>
            <w:tcW w:w="0" w:type="dxa"/>
            <w:vAlign w:val="center"/>
          </w:tcPr>
          <w:p w14:paraId="22E4EB12">
            <w:pPr>
              <w:spacing w:line="240" w:lineRule="auto"/>
              <w:jc w:val="right"/>
            </w:pPr>
            <w:r>
              <w:rPr>
                <w:rFonts w:ascii="宋体" w:hAnsi="宋体" w:eastAsia="宋体" w:cs="宋体"/>
                <w:b w:val="0"/>
              </w:rPr>
              <w:t>39,671.58</w:t>
            </w:r>
          </w:p>
        </w:tc>
      </w:tr>
      <w:tr w14:paraId="4438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B24006">
            <w:pPr>
              <w:spacing w:line="240" w:lineRule="auto"/>
              <w:jc w:val="left"/>
            </w:pPr>
            <w:r>
              <w:rPr>
                <w:rFonts w:ascii="宋体" w:hAnsi="宋体" w:eastAsia="宋体" w:cs="宋体"/>
                <w:b w:val="0"/>
              </w:rPr>
              <w:t>证券出借违约金</w:t>
            </w:r>
          </w:p>
        </w:tc>
        <w:tc>
          <w:tcPr>
            <w:tcW w:w="0" w:type="dxa"/>
            <w:vAlign w:val="center"/>
          </w:tcPr>
          <w:p w14:paraId="5E695E49">
            <w:pPr>
              <w:spacing w:line="240" w:lineRule="auto"/>
              <w:jc w:val="right"/>
            </w:pPr>
            <w:r>
              <w:rPr>
                <w:rFonts w:ascii="宋体" w:hAnsi="宋体" w:eastAsia="宋体" w:cs="宋体"/>
                <w:b w:val="0"/>
              </w:rPr>
              <w:t>-</w:t>
            </w:r>
          </w:p>
        </w:tc>
      </w:tr>
      <w:tr w14:paraId="39A6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EAD97A">
            <w:pPr>
              <w:spacing w:line="240" w:lineRule="auto"/>
              <w:jc w:val="left"/>
            </w:pPr>
            <w:r>
              <w:rPr>
                <w:rFonts w:ascii="宋体" w:hAnsi="宋体" w:eastAsia="宋体" w:cs="宋体"/>
                <w:b w:val="0"/>
              </w:rPr>
              <w:t>汇划手续费</w:t>
            </w:r>
          </w:p>
        </w:tc>
        <w:tc>
          <w:tcPr>
            <w:tcW w:w="0" w:type="dxa"/>
            <w:vAlign w:val="center"/>
          </w:tcPr>
          <w:p w14:paraId="33081060">
            <w:pPr>
              <w:spacing w:line="240" w:lineRule="auto"/>
              <w:jc w:val="right"/>
            </w:pPr>
            <w:r>
              <w:rPr>
                <w:rFonts w:ascii="宋体" w:hAnsi="宋体" w:eastAsia="宋体" w:cs="宋体"/>
                <w:b w:val="0"/>
              </w:rPr>
              <w:t>1,412.03</w:t>
            </w:r>
          </w:p>
        </w:tc>
      </w:tr>
      <w:tr w14:paraId="4C10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893955">
            <w:pPr>
              <w:spacing w:line="240" w:lineRule="auto"/>
              <w:jc w:val="left"/>
            </w:pPr>
            <w:r>
              <w:rPr>
                <w:rFonts w:ascii="宋体" w:hAnsi="宋体" w:eastAsia="宋体" w:cs="宋体"/>
                <w:b w:val="0"/>
              </w:rPr>
              <w:t>证券组合费</w:t>
            </w:r>
          </w:p>
        </w:tc>
        <w:tc>
          <w:tcPr>
            <w:tcW w:w="0" w:type="dxa"/>
            <w:vAlign w:val="center"/>
          </w:tcPr>
          <w:p w14:paraId="7EE669EA">
            <w:pPr>
              <w:spacing w:line="240" w:lineRule="auto"/>
              <w:jc w:val="right"/>
            </w:pPr>
            <w:r>
              <w:rPr>
                <w:rFonts w:ascii="宋体" w:hAnsi="宋体" w:eastAsia="宋体" w:cs="宋体"/>
                <w:b w:val="0"/>
              </w:rPr>
              <w:t>906.95</w:t>
            </w:r>
          </w:p>
        </w:tc>
      </w:tr>
      <w:tr w14:paraId="18C6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E76B09">
            <w:pPr>
              <w:spacing w:line="240" w:lineRule="auto"/>
              <w:jc w:val="left"/>
            </w:pPr>
            <w:r>
              <w:rPr>
                <w:rFonts w:ascii="宋体" w:hAnsi="宋体" w:eastAsia="宋体" w:cs="宋体"/>
                <w:b w:val="0"/>
              </w:rPr>
              <w:t>合计</w:t>
            </w:r>
          </w:p>
        </w:tc>
        <w:tc>
          <w:tcPr>
            <w:tcW w:w="0" w:type="dxa"/>
            <w:vAlign w:val="center"/>
          </w:tcPr>
          <w:p w14:paraId="18B64D14">
            <w:pPr>
              <w:spacing w:line="240" w:lineRule="auto"/>
              <w:jc w:val="right"/>
            </w:pPr>
            <w:r>
              <w:rPr>
                <w:rFonts w:ascii="宋体" w:hAnsi="宋体" w:eastAsia="宋体" w:cs="宋体"/>
                <w:b w:val="0"/>
              </w:rPr>
              <w:t>46,949.96</w:t>
            </w:r>
          </w:p>
        </w:tc>
      </w:tr>
    </w:tbl>
    <w:p w14:paraId="6BA04AA1"/>
    <w:p w14:paraId="3FC6D66F">
      <w:pPr>
        <w:pStyle w:val="58"/>
      </w:pPr>
      <w:r>
        <w:rPr>
          <w:rFonts w:ascii="宋体" w:hAnsi="宋体" w:eastAsia="宋体" w:cs="宋体"/>
          <w:b/>
        </w:rPr>
        <w:t>6.4.8 或有事项、资产负债表日后事项的说明</w:t>
      </w:r>
    </w:p>
    <w:p w14:paraId="42AD047E">
      <w:pPr>
        <w:pStyle w:val="58"/>
      </w:pPr>
      <w:r>
        <w:rPr>
          <w:rFonts w:ascii="宋体" w:hAnsi="宋体" w:eastAsia="宋体" w:cs="宋体"/>
          <w:b/>
        </w:rPr>
        <w:t>6.4.8.1 或有事项</w:t>
      </w:r>
    </w:p>
    <w:p w14:paraId="32885BAE">
      <w:pPr>
        <w:jc w:val="left"/>
      </w:pPr>
      <w:r>
        <w:rPr>
          <w:rFonts w:ascii="宋体" w:hAnsi="宋体" w:eastAsia="宋体" w:cs="宋体"/>
          <w:b w:val="0"/>
        </w:rPr>
        <w:t xml:space="preserve">    截至资产负债表日，本基金并无须作披露的或有事项。</w:t>
      </w:r>
    </w:p>
    <w:p w14:paraId="4AE5AB1C"/>
    <w:p w14:paraId="5A4952B1">
      <w:pPr>
        <w:pStyle w:val="58"/>
      </w:pPr>
      <w:r>
        <w:rPr>
          <w:rFonts w:ascii="宋体" w:hAnsi="宋体" w:eastAsia="宋体" w:cs="宋体"/>
          <w:b/>
        </w:rPr>
        <w:t>6.4.8.2 资产负债表日后事项</w:t>
      </w:r>
    </w:p>
    <w:p w14:paraId="6DB83B2F">
      <w:pPr>
        <w:jc w:val="left"/>
      </w:pPr>
      <w:r>
        <w:rPr>
          <w:rFonts w:ascii="宋体" w:hAnsi="宋体" w:eastAsia="宋体" w:cs="宋体"/>
          <w:b w:val="0"/>
        </w:rPr>
        <w:t xml:space="preserve">    截至本会计报表批准报出日，本基金无须作披露的资产负债表日后事项。</w:t>
      </w:r>
    </w:p>
    <w:p w14:paraId="13FA052F"/>
    <w:p w14:paraId="5C747160">
      <w:pPr>
        <w:pStyle w:val="58"/>
      </w:pPr>
      <w:r>
        <w:rPr>
          <w:rFonts w:ascii="宋体" w:hAnsi="宋体" w:eastAsia="宋体" w:cs="宋体"/>
          <w:b/>
        </w:rPr>
        <w:t>6.4.9 关联方、关联关系</w:t>
      </w:r>
    </w:p>
    <w:p w14:paraId="646AA8E9">
      <w:pPr>
        <w:pStyle w:val="58"/>
      </w:pPr>
      <w:r>
        <w:rPr>
          <w:rFonts w:ascii="宋体" w:hAnsi="宋体" w:eastAsia="宋体" w:cs="宋体"/>
          <w:b/>
        </w:rPr>
        <w:t>6.4.9.1 本报告期存在控制关系或其他重大利害关系的关联方发生变化的情况</w:t>
      </w:r>
    </w:p>
    <w:p w14:paraId="54FE1191">
      <w:pPr>
        <w:jc w:val="left"/>
      </w:pPr>
      <w:r>
        <w:rPr>
          <w:rFonts w:ascii="宋体" w:hAnsi="宋体" w:eastAsia="宋体" w:cs="宋体"/>
          <w:b w:val="0"/>
        </w:rPr>
        <w:t xml:space="preserve">    本报告期内存在控制关系或其他重大利害关系的关联方未发生变化。</w:t>
      </w:r>
    </w:p>
    <w:p w14:paraId="7656C0E3"/>
    <w:p w14:paraId="47498300">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0109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68EA0632">
            <w:pPr>
              <w:spacing w:line="240" w:lineRule="auto"/>
              <w:jc w:val="center"/>
            </w:pPr>
            <w:r>
              <w:rPr>
                <w:rFonts w:ascii="宋体" w:hAnsi="宋体" w:eastAsia="宋体" w:cs="宋体"/>
                <w:b w:val="0"/>
              </w:rPr>
              <w:t>关联方名称</w:t>
            </w:r>
          </w:p>
        </w:tc>
        <w:tc>
          <w:tcPr>
            <w:tcW w:w="3000" w:type="pct"/>
            <w:shd w:val="clear" w:color="auto" w:fill="D9D9D9"/>
            <w:vAlign w:val="center"/>
          </w:tcPr>
          <w:p w14:paraId="4091CFC5">
            <w:pPr>
              <w:spacing w:line="240" w:lineRule="auto"/>
              <w:jc w:val="center"/>
            </w:pPr>
            <w:r>
              <w:rPr>
                <w:rFonts w:ascii="宋体" w:hAnsi="宋体" w:eastAsia="宋体" w:cs="宋体"/>
                <w:b w:val="0"/>
              </w:rPr>
              <w:t>与本基金的关系</w:t>
            </w:r>
          </w:p>
        </w:tc>
      </w:tr>
      <w:tr w14:paraId="5E9D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A8CD44">
            <w:pPr>
              <w:spacing w:line="240" w:lineRule="auto"/>
              <w:jc w:val="left"/>
            </w:pPr>
            <w:r>
              <w:rPr>
                <w:rFonts w:ascii="宋体" w:hAnsi="宋体" w:eastAsia="宋体" w:cs="宋体"/>
                <w:b w:val="0"/>
              </w:rPr>
              <w:t>东方阿尔法基金管理有限公司(“东方阿尔法基金”)</w:t>
            </w:r>
          </w:p>
        </w:tc>
        <w:tc>
          <w:tcPr>
            <w:tcW w:w="0" w:type="dxa"/>
            <w:vAlign w:val="center"/>
          </w:tcPr>
          <w:p w14:paraId="60D0DCEE">
            <w:pPr>
              <w:spacing w:line="240" w:lineRule="auto"/>
              <w:jc w:val="left"/>
            </w:pPr>
            <w:r>
              <w:rPr>
                <w:rFonts w:ascii="宋体" w:hAnsi="宋体" w:eastAsia="宋体" w:cs="宋体"/>
                <w:b w:val="0"/>
              </w:rPr>
              <w:t>基金管理人、基金销售机构</w:t>
            </w:r>
          </w:p>
        </w:tc>
      </w:tr>
      <w:tr w14:paraId="549A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089F62">
            <w:pPr>
              <w:spacing w:line="240" w:lineRule="auto"/>
              <w:jc w:val="left"/>
            </w:pPr>
            <w:r>
              <w:rPr>
                <w:rFonts w:ascii="宋体" w:hAnsi="宋体" w:eastAsia="宋体" w:cs="宋体"/>
                <w:b w:val="0"/>
              </w:rPr>
              <w:t>兴业银行股份有限公司(“兴业银行”)</w:t>
            </w:r>
          </w:p>
        </w:tc>
        <w:tc>
          <w:tcPr>
            <w:tcW w:w="0" w:type="dxa"/>
            <w:vAlign w:val="center"/>
          </w:tcPr>
          <w:p w14:paraId="6D7256C5">
            <w:pPr>
              <w:spacing w:line="240" w:lineRule="auto"/>
              <w:jc w:val="left"/>
            </w:pPr>
            <w:r>
              <w:rPr>
                <w:rFonts w:ascii="宋体" w:hAnsi="宋体" w:eastAsia="宋体" w:cs="宋体"/>
                <w:b w:val="0"/>
              </w:rPr>
              <w:t>基金托管人、基金销售机构</w:t>
            </w:r>
          </w:p>
        </w:tc>
      </w:tr>
      <w:tr w14:paraId="5F82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5C9843">
            <w:pPr>
              <w:spacing w:line="240" w:lineRule="auto"/>
              <w:jc w:val="left"/>
            </w:pPr>
            <w:r>
              <w:rPr>
                <w:rFonts w:ascii="宋体" w:hAnsi="宋体" w:eastAsia="宋体" w:cs="宋体"/>
                <w:b w:val="0"/>
              </w:rPr>
              <w:t>珠海共同成长投资合伙企业(有限合伙)</w:t>
            </w:r>
          </w:p>
        </w:tc>
        <w:tc>
          <w:tcPr>
            <w:tcW w:w="0" w:type="dxa"/>
            <w:vAlign w:val="center"/>
          </w:tcPr>
          <w:p w14:paraId="6193D9FB">
            <w:pPr>
              <w:spacing w:line="240" w:lineRule="auto"/>
              <w:jc w:val="left"/>
            </w:pPr>
            <w:r>
              <w:rPr>
                <w:rFonts w:ascii="宋体" w:hAnsi="宋体" w:eastAsia="宋体" w:cs="宋体"/>
                <w:b w:val="0"/>
              </w:rPr>
              <w:t>基金管理人的股东</w:t>
            </w:r>
          </w:p>
        </w:tc>
      </w:tr>
      <w:tr w14:paraId="6949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C49829">
            <w:pPr>
              <w:spacing w:line="240" w:lineRule="auto"/>
              <w:jc w:val="left"/>
            </w:pPr>
            <w:r>
              <w:rPr>
                <w:rFonts w:ascii="宋体" w:hAnsi="宋体" w:eastAsia="宋体" w:cs="宋体"/>
                <w:b w:val="0"/>
              </w:rPr>
              <w:t>刘明</w:t>
            </w:r>
          </w:p>
        </w:tc>
        <w:tc>
          <w:tcPr>
            <w:tcW w:w="0" w:type="dxa"/>
            <w:vAlign w:val="center"/>
          </w:tcPr>
          <w:p w14:paraId="38A75BB5">
            <w:pPr>
              <w:spacing w:line="240" w:lineRule="auto"/>
              <w:jc w:val="left"/>
            </w:pPr>
            <w:r>
              <w:rPr>
                <w:rFonts w:ascii="宋体" w:hAnsi="宋体" w:eastAsia="宋体" w:cs="宋体"/>
                <w:b w:val="0"/>
              </w:rPr>
              <w:t>基金管理人的股东</w:t>
            </w:r>
          </w:p>
        </w:tc>
      </w:tr>
      <w:tr w14:paraId="1066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D88A67">
            <w:pPr>
              <w:spacing w:line="240" w:lineRule="auto"/>
              <w:jc w:val="left"/>
            </w:pPr>
            <w:r>
              <w:rPr>
                <w:rFonts w:ascii="宋体" w:hAnsi="宋体" w:eastAsia="宋体" w:cs="宋体"/>
                <w:b w:val="0"/>
              </w:rPr>
              <w:t>肖冰</w:t>
            </w:r>
          </w:p>
        </w:tc>
        <w:tc>
          <w:tcPr>
            <w:tcW w:w="0" w:type="dxa"/>
            <w:vAlign w:val="center"/>
          </w:tcPr>
          <w:p w14:paraId="7B666FD5">
            <w:pPr>
              <w:spacing w:line="240" w:lineRule="auto"/>
              <w:jc w:val="left"/>
            </w:pPr>
            <w:r>
              <w:rPr>
                <w:rFonts w:ascii="宋体" w:hAnsi="宋体" w:eastAsia="宋体" w:cs="宋体"/>
                <w:b w:val="0"/>
              </w:rPr>
              <w:t>基金管理人的股东</w:t>
            </w:r>
          </w:p>
        </w:tc>
      </w:tr>
      <w:tr w14:paraId="4B3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F754F1">
            <w:pPr>
              <w:spacing w:line="240" w:lineRule="auto"/>
              <w:jc w:val="left"/>
            </w:pPr>
            <w:r>
              <w:rPr>
                <w:rFonts w:ascii="宋体" w:hAnsi="宋体" w:eastAsia="宋体" w:cs="宋体"/>
                <w:b w:val="0"/>
              </w:rPr>
              <w:t>曾健</w:t>
            </w:r>
          </w:p>
        </w:tc>
        <w:tc>
          <w:tcPr>
            <w:tcW w:w="0" w:type="dxa"/>
            <w:vAlign w:val="center"/>
          </w:tcPr>
          <w:p w14:paraId="69F05A6A">
            <w:pPr>
              <w:spacing w:line="240" w:lineRule="auto"/>
              <w:jc w:val="left"/>
            </w:pPr>
            <w:r>
              <w:rPr>
                <w:rFonts w:ascii="宋体" w:hAnsi="宋体" w:eastAsia="宋体" w:cs="宋体"/>
                <w:b w:val="0"/>
              </w:rPr>
              <w:t>基金管理人的股东</w:t>
            </w:r>
          </w:p>
        </w:tc>
      </w:tr>
    </w:tbl>
    <w:p w14:paraId="17A7C8F7">
      <w:r>
        <w:rPr>
          <w:rFonts w:ascii="宋体" w:hAnsi="宋体" w:eastAsia="宋体" w:cs="宋体"/>
          <w:b w:val="0"/>
        </w:rPr>
        <w:t>注：下述关联交易均在正常业务范围内按一般商业条款订立。</w:t>
      </w:r>
    </w:p>
    <w:p w14:paraId="564E457D"/>
    <w:p w14:paraId="3A0378F1">
      <w:pPr>
        <w:pStyle w:val="58"/>
      </w:pPr>
      <w:r>
        <w:rPr>
          <w:rFonts w:ascii="宋体" w:hAnsi="宋体" w:eastAsia="宋体" w:cs="宋体"/>
          <w:b/>
        </w:rPr>
        <w:t>6.4.10 本报告期及上年度可比期间的关联方交易</w:t>
      </w:r>
    </w:p>
    <w:p w14:paraId="2237A4F3">
      <w:pPr>
        <w:pStyle w:val="58"/>
      </w:pPr>
      <w:r>
        <w:rPr>
          <w:rFonts w:ascii="宋体" w:hAnsi="宋体" w:eastAsia="宋体" w:cs="宋体"/>
          <w:b/>
        </w:rPr>
        <w:t>6.4.10.1 通过关联方交易单元进行的交易</w:t>
      </w:r>
    </w:p>
    <w:p w14:paraId="0656B42C">
      <w:pPr>
        <w:pStyle w:val="58"/>
      </w:pPr>
      <w:r>
        <w:rPr>
          <w:rFonts w:ascii="宋体" w:hAnsi="宋体" w:eastAsia="宋体" w:cs="宋体"/>
          <w:b/>
        </w:rPr>
        <w:t>6.4.10.1.1 股票交易</w:t>
      </w:r>
    </w:p>
    <w:p w14:paraId="34FFBCD3">
      <w:r>
        <w:rPr>
          <w:rFonts w:ascii="宋体" w:hAnsi="宋体" w:eastAsia="宋体" w:cs="宋体"/>
          <w:b w:val="0"/>
        </w:rPr>
        <w:t xml:space="preserve">    本基金本报告期及上年度可比期间未通过关联方交易单元进行股票交易。</w:t>
      </w:r>
    </w:p>
    <w:p w14:paraId="3CE48D13"/>
    <w:p w14:paraId="0CD63B60">
      <w:pPr>
        <w:pStyle w:val="58"/>
      </w:pPr>
      <w:r>
        <w:rPr>
          <w:rFonts w:ascii="宋体" w:hAnsi="宋体" w:eastAsia="宋体" w:cs="宋体"/>
          <w:b/>
        </w:rPr>
        <w:t>6.4.10.1.2 权证交易</w:t>
      </w:r>
    </w:p>
    <w:p w14:paraId="6515F753">
      <w:r>
        <w:rPr>
          <w:rFonts w:ascii="宋体" w:hAnsi="宋体" w:eastAsia="宋体" w:cs="宋体"/>
          <w:b w:val="0"/>
        </w:rPr>
        <w:t xml:space="preserve">    本基金本报告期及上年度可比期间未通过关联方交易单元进行权证交易。</w:t>
      </w:r>
    </w:p>
    <w:p w14:paraId="52A68779"/>
    <w:p w14:paraId="15FC19FA">
      <w:pPr>
        <w:pStyle w:val="58"/>
      </w:pPr>
      <w:r>
        <w:rPr>
          <w:rFonts w:ascii="宋体" w:hAnsi="宋体" w:eastAsia="宋体" w:cs="宋体"/>
          <w:b/>
        </w:rPr>
        <w:t>6.4.10.1.3 债券交易</w:t>
      </w:r>
    </w:p>
    <w:p w14:paraId="0E7BBB12">
      <w:r>
        <w:rPr>
          <w:rFonts w:ascii="宋体" w:hAnsi="宋体" w:eastAsia="宋体" w:cs="宋体"/>
          <w:b w:val="0"/>
        </w:rPr>
        <w:t xml:space="preserve">    本基金本报告期及上年度可比期间未通过关联方交易单元进行债券交易。</w:t>
      </w:r>
    </w:p>
    <w:p w14:paraId="3F68B5E3"/>
    <w:p w14:paraId="2CE9DCD5">
      <w:pPr>
        <w:pStyle w:val="58"/>
      </w:pPr>
      <w:r>
        <w:rPr>
          <w:rFonts w:ascii="宋体" w:hAnsi="宋体" w:eastAsia="宋体" w:cs="宋体"/>
          <w:b/>
        </w:rPr>
        <w:t>6.4.10.1.4 债券回购交易</w:t>
      </w:r>
    </w:p>
    <w:p w14:paraId="6744C072">
      <w:r>
        <w:rPr>
          <w:rFonts w:ascii="宋体" w:hAnsi="宋体" w:eastAsia="宋体" w:cs="宋体"/>
          <w:b w:val="0"/>
        </w:rPr>
        <w:t xml:space="preserve">    本基金本报告期及上年度可比期间未通过关联方交易单元进行债券回购交易。</w:t>
      </w:r>
    </w:p>
    <w:p w14:paraId="1C5DEC43"/>
    <w:p w14:paraId="3898DD3F">
      <w:pPr>
        <w:pStyle w:val="58"/>
      </w:pPr>
      <w:r>
        <w:rPr>
          <w:rFonts w:ascii="宋体" w:hAnsi="宋体" w:eastAsia="宋体" w:cs="宋体"/>
          <w:b/>
        </w:rPr>
        <w:t>6.4.10.1.5 应支付关联方的佣金</w:t>
      </w:r>
    </w:p>
    <w:p w14:paraId="4EEE76CE">
      <w:r>
        <w:rPr>
          <w:rFonts w:ascii="宋体" w:hAnsi="宋体" w:eastAsia="宋体" w:cs="宋体"/>
          <w:b w:val="0"/>
        </w:rPr>
        <w:t xml:space="preserve">    本基金本报告期及上年度可比期间无应支付关联方的佣金。</w:t>
      </w:r>
    </w:p>
    <w:p w14:paraId="56D021F4"/>
    <w:p w14:paraId="1F75A469">
      <w:pPr>
        <w:pStyle w:val="58"/>
      </w:pPr>
      <w:r>
        <w:rPr>
          <w:rFonts w:ascii="宋体" w:hAnsi="宋体" w:eastAsia="宋体" w:cs="宋体"/>
          <w:b/>
        </w:rPr>
        <w:t>6.4.10.2 关联方报酬</w:t>
      </w:r>
    </w:p>
    <w:p w14:paraId="2CF00341">
      <w:pPr>
        <w:pStyle w:val="58"/>
      </w:pPr>
      <w:r>
        <w:rPr>
          <w:rFonts w:ascii="宋体" w:hAnsi="宋体" w:eastAsia="宋体" w:cs="宋体"/>
          <w:b/>
        </w:rPr>
        <w:t>6.4.10.2.1 基金管理费</w:t>
      </w:r>
    </w:p>
    <w:p w14:paraId="0689E34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3B22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487E45D">
            <w:pPr>
              <w:spacing w:line="240" w:lineRule="auto"/>
              <w:jc w:val="center"/>
            </w:pPr>
            <w:r>
              <w:rPr>
                <w:rFonts w:ascii="宋体" w:hAnsi="宋体" w:eastAsia="宋体" w:cs="宋体"/>
                <w:b w:val="0"/>
              </w:rPr>
              <w:t>项目</w:t>
            </w:r>
          </w:p>
        </w:tc>
        <w:tc>
          <w:tcPr>
            <w:tcW w:w="1538" w:type="pct"/>
            <w:shd w:val="clear" w:color="auto" w:fill="D9D9D9"/>
            <w:vAlign w:val="center"/>
          </w:tcPr>
          <w:p w14:paraId="4B4F436E">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1BBEDC4B">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5C8A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85A47C">
            <w:pPr>
              <w:spacing w:line="240" w:lineRule="auto"/>
              <w:jc w:val="left"/>
            </w:pPr>
            <w:r>
              <w:rPr>
                <w:rFonts w:ascii="宋体" w:hAnsi="宋体" w:eastAsia="宋体" w:cs="宋体"/>
                <w:b w:val="0"/>
              </w:rPr>
              <w:t>当期发生的基金应支付的管理费</w:t>
            </w:r>
          </w:p>
        </w:tc>
        <w:tc>
          <w:tcPr>
            <w:tcW w:w="0" w:type="dxa"/>
            <w:vAlign w:val="center"/>
          </w:tcPr>
          <w:p w14:paraId="3E596CA5">
            <w:pPr>
              <w:spacing w:line="240" w:lineRule="auto"/>
              <w:jc w:val="right"/>
            </w:pPr>
            <w:r>
              <w:rPr>
                <w:rFonts w:ascii="宋体" w:hAnsi="宋体" w:eastAsia="宋体" w:cs="宋体"/>
                <w:b w:val="0"/>
              </w:rPr>
              <w:t>379,992.27</w:t>
            </w:r>
          </w:p>
        </w:tc>
        <w:tc>
          <w:tcPr>
            <w:tcW w:w="0" w:type="dxa"/>
            <w:vAlign w:val="center"/>
          </w:tcPr>
          <w:p w14:paraId="16B8F79D">
            <w:pPr>
              <w:spacing w:line="240" w:lineRule="auto"/>
              <w:jc w:val="right"/>
            </w:pPr>
            <w:r>
              <w:rPr>
                <w:rFonts w:ascii="宋体" w:hAnsi="宋体" w:eastAsia="宋体" w:cs="宋体"/>
                <w:b w:val="0"/>
              </w:rPr>
              <w:t>994,139.86</w:t>
            </w:r>
          </w:p>
        </w:tc>
      </w:tr>
      <w:tr w14:paraId="0895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8BCEEE">
            <w:pPr>
              <w:spacing w:line="240" w:lineRule="auto"/>
              <w:jc w:val="left"/>
            </w:pPr>
            <w:r>
              <w:rPr>
                <w:rFonts w:ascii="宋体" w:hAnsi="宋体" w:eastAsia="宋体" w:cs="宋体"/>
                <w:b w:val="0"/>
              </w:rPr>
              <w:t>其中：应支付销售机构的客户维护费</w:t>
            </w:r>
          </w:p>
        </w:tc>
        <w:tc>
          <w:tcPr>
            <w:tcW w:w="0" w:type="dxa"/>
            <w:vAlign w:val="center"/>
          </w:tcPr>
          <w:p w14:paraId="4F043AF5">
            <w:pPr>
              <w:spacing w:line="240" w:lineRule="auto"/>
              <w:jc w:val="right"/>
            </w:pPr>
            <w:r>
              <w:rPr>
                <w:rFonts w:ascii="宋体" w:hAnsi="宋体" w:eastAsia="宋体" w:cs="宋体"/>
                <w:b w:val="0"/>
              </w:rPr>
              <w:t>68,901.44</w:t>
            </w:r>
          </w:p>
        </w:tc>
        <w:tc>
          <w:tcPr>
            <w:tcW w:w="0" w:type="dxa"/>
            <w:vAlign w:val="center"/>
          </w:tcPr>
          <w:p w14:paraId="52D2FA8E">
            <w:pPr>
              <w:spacing w:line="240" w:lineRule="auto"/>
              <w:jc w:val="right"/>
            </w:pPr>
            <w:r>
              <w:rPr>
                <w:rFonts w:ascii="宋体" w:hAnsi="宋体" w:eastAsia="宋体" w:cs="宋体"/>
                <w:b w:val="0"/>
              </w:rPr>
              <w:t>146,299.38</w:t>
            </w:r>
          </w:p>
        </w:tc>
      </w:tr>
      <w:tr w14:paraId="788B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36063B">
            <w:pPr>
              <w:spacing w:line="240" w:lineRule="auto"/>
              <w:jc w:val="left"/>
            </w:pPr>
            <w:r>
              <w:rPr>
                <w:rFonts w:ascii="宋体" w:hAnsi="宋体" w:eastAsia="宋体" w:cs="宋体"/>
                <w:b w:val="0"/>
              </w:rPr>
              <w:t xml:space="preserve">      应支付基金管理人的净管理费</w:t>
            </w:r>
          </w:p>
        </w:tc>
        <w:tc>
          <w:tcPr>
            <w:tcW w:w="0" w:type="dxa"/>
            <w:vAlign w:val="center"/>
          </w:tcPr>
          <w:p w14:paraId="102163B9">
            <w:pPr>
              <w:spacing w:line="240" w:lineRule="auto"/>
              <w:jc w:val="right"/>
            </w:pPr>
            <w:r>
              <w:rPr>
                <w:rFonts w:ascii="宋体" w:hAnsi="宋体" w:eastAsia="宋体" w:cs="宋体"/>
                <w:b w:val="0"/>
              </w:rPr>
              <w:t>311,090.83</w:t>
            </w:r>
          </w:p>
        </w:tc>
        <w:tc>
          <w:tcPr>
            <w:tcW w:w="0" w:type="dxa"/>
            <w:vAlign w:val="center"/>
          </w:tcPr>
          <w:p w14:paraId="53024243">
            <w:pPr>
              <w:spacing w:line="240" w:lineRule="auto"/>
              <w:jc w:val="right"/>
            </w:pPr>
            <w:r>
              <w:rPr>
                <w:rFonts w:ascii="宋体" w:hAnsi="宋体" w:eastAsia="宋体" w:cs="宋体"/>
                <w:b w:val="0"/>
              </w:rPr>
              <w:t>847,840.48</w:t>
            </w:r>
          </w:p>
        </w:tc>
      </w:tr>
    </w:tbl>
    <w:p w14:paraId="1771DD22">
      <w:r>
        <w:rPr>
          <w:rFonts w:ascii="宋体" w:hAnsi="宋体" w:eastAsia="宋体" w:cs="宋体"/>
          <w:b w:val="0"/>
        </w:rPr>
        <w:t>注：支付基金管理人的管理人报酬按前一日基金资产净值1.20%的年费率计提，逐日累计至每月月底，按月支付。其计算公式为：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日管理人报酬＝前一日基金资产净值×1.20%/当年天数。</w:t>
      </w:r>
    </w:p>
    <w:p w14:paraId="1B313DBF"/>
    <w:p w14:paraId="57A3294C">
      <w:pPr>
        <w:pStyle w:val="58"/>
      </w:pPr>
      <w:r>
        <w:rPr>
          <w:rFonts w:ascii="宋体" w:hAnsi="宋体" w:eastAsia="宋体" w:cs="宋体"/>
          <w:b/>
        </w:rPr>
        <w:t>6.4.10.2.2 基金托管费</w:t>
      </w:r>
    </w:p>
    <w:p w14:paraId="3DB9082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0988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6ECF130A">
            <w:pPr>
              <w:spacing w:line="240" w:lineRule="auto"/>
              <w:jc w:val="center"/>
            </w:pPr>
            <w:r>
              <w:rPr>
                <w:rFonts w:ascii="宋体" w:hAnsi="宋体" w:eastAsia="宋体" w:cs="宋体"/>
                <w:b w:val="0"/>
              </w:rPr>
              <w:t>项目</w:t>
            </w:r>
          </w:p>
        </w:tc>
        <w:tc>
          <w:tcPr>
            <w:tcW w:w="1538" w:type="pct"/>
            <w:shd w:val="clear" w:color="auto" w:fill="D9D9D9"/>
            <w:vAlign w:val="center"/>
          </w:tcPr>
          <w:p w14:paraId="6692010C">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2D638CE8">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5C44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A592B0">
            <w:pPr>
              <w:spacing w:line="240" w:lineRule="auto"/>
              <w:jc w:val="left"/>
            </w:pPr>
            <w:r>
              <w:rPr>
                <w:rFonts w:ascii="宋体" w:hAnsi="宋体" w:eastAsia="宋体" w:cs="宋体"/>
                <w:b w:val="0"/>
              </w:rPr>
              <w:t>当期发生的基金应支付的托管费</w:t>
            </w:r>
          </w:p>
        </w:tc>
        <w:tc>
          <w:tcPr>
            <w:tcW w:w="0" w:type="dxa"/>
            <w:vAlign w:val="center"/>
          </w:tcPr>
          <w:p w14:paraId="6F2B05F0">
            <w:pPr>
              <w:spacing w:line="240" w:lineRule="auto"/>
              <w:jc w:val="right"/>
            </w:pPr>
            <w:r>
              <w:rPr>
                <w:rFonts w:ascii="宋体" w:hAnsi="宋体" w:eastAsia="宋体" w:cs="宋体"/>
                <w:b w:val="0"/>
              </w:rPr>
              <w:t>63,332.00</w:t>
            </w:r>
          </w:p>
        </w:tc>
        <w:tc>
          <w:tcPr>
            <w:tcW w:w="0" w:type="dxa"/>
            <w:vAlign w:val="center"/>
          </w:tcPr>
          <w:p w14:paraId="0EEF76AF">
            <w:pPr>
              <w:spacing w:line="240" w:lineRule="auto"/>
              <w:jc w:val="right"/>
            </w:pPr>
            <w:r>
              <w:rPr>
                <w:rFonts w:ascii="宋体" w:hAnsi="宋体" w:eastAsia="宋体" w:cs="宋体"/>
                <w:b w:val="0"/>
              </w:rPr>
              <w:t>165,689.94</w:t>
            </w:r>
          </w:p>
        </w:tc>
      </w:tr>
    </w:tbl>
    <w:p w14:paraId="797194FD">
      <w:r>
        <w:rPr>
          <w:rFonts w:ascii="宋体" w:hAnsi="宋体" w:eastAsia="宋体" w:cs="宋体"/>
          <w:b w:val="0"/>
        </w:rPr>
        <w:t>注：支付基金托管人的托管费按前一日基金资产净值0.20%的年费率计提，逐日累计至每月月底，按月支付。其计算公式为：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日托管费＝前一日基金资产净值×0.20%/当年天数。</w:t>
      </w:r>
    </w:p>
    <w:p w14:paraId="0441FD87"/>
    <w:p w14:paraId="762071E3">
      <w:pPr>
        <w:pStyle w:val="58"/>
      </w:pPr>
      <w:r>
        <w:rPr>
          <w:rFonts w:ascii="宋体" w:hAnsi="宋体" w:eastAsia="宋体" w:cs="宋体"/>
          <w:b/>
        </w:rPr>
        <w:t>6.4.10.2.3 销售服务费</w:t>
      </w:r>
    </w:p>
    <w:p w14:paraId="0C6C928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00"/>
        <w:gridCol w:w="2500"/>
        <w:gridCol w:w="1430"/>
      </w:tblGrid>
      <w:tr w14:paraId="3834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1099A32">
            <w:pPr>
              <w:spacing w:line="240" w:lineRule="auto"/>
              <w:jc w:val="center"/>
            </w:pPr>
            <w:r>
              <w:rPr>
                <w:rFonts w:ascii="宋体" w:hAnsi="宋体" w:eastAsia="宋体" w:cs="宋体"/>
                <w:b w:val="0"/>
              </w:rPr>
              <w:t>获得销售服务费的各关联方名称</w:t>
            </w:r>
          </w:p>
        </w:tc>
        <w:tc>
          <w:tcPr>
            <w:tcW w:w="3462" w:type="pct"/>
            <w:gridSpan w:val="3"/>
            <w:shd w:val="clear" w:color="auto" w:fill="D9D9D9"/>
            <w:vAlign w:val="center"/>
          </w:tcPr>
          <w:p w14:paraId="3382699B">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E20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B034644"/>
        </w:tc>
        <w:tc>
          <w:tcPr>
            <w:tcW w:w="0" w:type="dxa"/>
            <w:gridSpan w:val="3"/>
            <w:shd w:val="clear" w:color="auto" w:fill="D9D9D9"/>
            <w:vAlign w:val="center"/>
          </w:tcPr>
          <w:p w14:paraId="246FD5E3">
            <w:pPr>
              <w:spacing w:line="240" w:lineRule="auto"/>
              <w:jc w:val="center"/>
            </w:pPr>
            <w:r>
              <w:rPr>
                <w:rFonts w:ascii="宋体" w:hAnsi="宋体" w:eastAsia="宋体" w:cs="宋体"/>
                <w:b w:val="0"/>
              </w:rPr>
              <w:t>当期发生的基金应支付的销售服务费</w:t>
            </w:r>
          </w:p>
        </w:tc>
      </w:tr>
      <w:tr w14:paraId="090C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37C7824"/>
        </w:tc>
        <w:tc>
          <w:tcPr>
            <w:tcW w:w="1346" w:type="pct"/>
            <w:shd w:val="clear" w:color="auto" w:fill="D9D9D9"/>
            <w:vAlign w:val="center"/>
          </w:tcPr>
          <w:p w14:paraId="36EB366E">
            <w:pPr>
              <w:spacing w:line="240" w:lineRule="auto"/>
              <w:jc w:val="center"/>
            </w:pPr>
            <w:r>
              <w:rPr>
                <w:rFonts w:ascii="宋体" w:hAnsi="宋体" w:eastAsia="宋体" w:cs="宋体"/>
                <w:b w:val="0"/>
              </w:rPr>
              <w:t>东方阿尔法兴科一年持有混合A</w:t>
            </w:r>
          </w:p>
        </w:tc>
        <w:tc>
          <w:tcPr>
            <w:tcW w:w="1346" w:type="pct"/>
            <w:shd w:val="clear" w:color="auto" w:fill="D9D9D9"/>
            <w:vAlign w:val="center"/>
          </w:tcPr>
          <w:p w14:paraId="464266BB">
            <w:pPr>
              <w:spacing w:line="240" w:lineRule="auto"/>
              <w:jc w:val="center"/>
            </w:pPr>
            <w:r>
              <w:rPr>
                <w:rFonts w:ascii="宋体" w:hAnsi="宋体" w:eastAsia="宋体" w:cs="宋体"/>
                <w:b w:val="0"/>
              </w:rPr>
              <w:t>东方阿尔法兴科一年持有混合C</w:t>
            </w:r>
          </w:p>
        </w:tc>
        <w:tc>
          <w:tcPr>
            <w:tcW w:w="769" w:type="pct"/>
            <w:shd w:val="clear" w:color="auto" w:fill="D9D9D9"/>
            <w:vAlign w:val="center"/>
          </w:tcPr>
          <w:p w14:paraId="1ECD91D7">
            <w:pPr>
              <w:spacing w:line="240" w:lineRule="auto"/>
              <w:jc w:val="center"/>
            </w:pPr>
            <w:r>
              <w:rPr>
                <w:rFonts w:ascii="宋体" w:hAnsi="宋体" w:eastAsia="宋体" w:cs="宋体"/>
                <w:b w:val="0"/>
              </w:rPr>
              <w:t>合计</w:t>
            </w:r>
          </w:p>
        </w:tc>
      </w:tr>
      <w:tr w14:paraId="3247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2EA06D">
            <w:pPr>
              <w:spacing w:line="240" w:lineRule="auto"/>
              <w:jc w:val="left"/>
            </w:pPr>
            <w:r>
              <w:rPr>
                <w:rFonts w:ascii="宋体" w:hAnsi="宋体" w:eastAsia="宋体" w:cs="宋体"/>
                <w:b w:val="0"/>
              </w:rPr>
              <w:t>兴业银行</w:t>
            </w:r>
          </w:p>
        </w:tc>
        <w:tc>
          <w:tcPr>
            <w:tcW w:w="0" w:type="dxa"/>
            <w:vAlign w:val="center"/>
          </w:tcPr>
          <w:p w14:paraId="10C07812">
            <w:pPr>
              <w:spacing w:line="240" w:lineRule="auto"/>
              <w:jc w:val="right"/>
            </w:pPr>
            <w:r>
              <w:rPr>
                <w:rFonts w:ascii="宋体" w:hAnsi="宋体" w:eastAsia="宋体" w:cs="宋体"/>
                <w:b w:val="0"/>
              </w:rPr>
              <w:t>-</w:t>
            </w:r>
          </w:p>
        </w:tc>
        <w:tc>
          <w:tcPr>
            <w:tcW w:w="0" w:type="dxa"/>
            <w:vAlign w:val="center"/>
          </w:tcPr>
          <w:p w14:paraId="242586A7">
            <w:pPr>
              <w:spacing w:line="240" w:lineRule="auto"/>
              <w:jc w:val="right"/>
            </w:pPr>
            <w:r>
              <w:rPr>
                <w:rFonts w:ascii="宋体" w:hAnsi="宋体" w:eastAsia="宋体" w:cs="宋体"/>
                <w:b w:val="0"/>
              </w:rPr>
              <w:t>10,411.83</w:t>
            </w:r>
          </w:p>
        </w:tc>
        <w:tc>
          <w:tcPr>
            <w:tcW w:w="0" w:type="dxa"/>
            <w:vAlign w:val="center"/>
          </w:tcPr>
          <w:p w14:paraId="2A89DB4C">
            <w:pPr>
              <w:spacing w:line="240" w:lineRule="auto"/>
              <w:jc w:val="right"/>
            </w:pPr>
            <w:r>
              <w:rPr>
                <w:rFonts w:ascii="宋体" w:hAnsi="宋体" w:eastAsia="宋体" w:cs="宋体"/>
                <w:b w:val="0"/>
              </w:rPr>
              <w:t>10,411.83</w:t>
            </w:r>
          </w:p>
        </w:tc>
      </w:tr>
      <w:tr w14:paraId="6CE9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268E84">
            <w:pPr>
              <w:spacing w:line="240" w:lineRule="auto"/>
              <w:jc w:val="left"/>
            </w:pPr>
            <w:r>
              <w:rPr>
                <w:rFonts w:ascii="宋体" w:hAnsi="宋体" w:eastAsia="宋体" w:cs="宋体"/>
                <w:b w:val="0"/>
              </w:rPr>
              <w:t>东方阿尔法基金</w:t>
            </w:r>
          </w:p>
        </w:tc>
        <w:tc>
          <w:tcPr>
            <w:tcW w:w="0" w:type="dxa"/>
            <w:vAlign w:val="center"/>
          </w:tcPr>
          <w:p w14:paraId="2F575015">
            <w:pPr>
              <w:spacing w:line="240" w:lineRule="auto"/>
              <w:jc w:val="right"/>
            </w:pPr>
            <w:r>
              <w:rPr>
                <w:rFonts w:ascii="宋体" w:hAnsi="宋体" w:eastAsia="宋体" w:cs="宋体"/>
                <w:b w:val="0"/>
              </w:rPr>
              <w:t>-</w:t>
            </w:r>
          </w:p>
        </w:tc>
        <w:tc>
          <w:tcPr>
            <w:tcW w:w="0" w:type="dxa"/>
            <w:vAlign w:val="center"/>
          </w:tcPr>
          <w:p w14:paraId="4B62BFD8">
            <w:pPr>
              <w:spacing w:line="240" w:lineRule="auto"/>
              <w:jc w:val="right"/>
            </w:pPr>
            <w:r>
              <w:rPr>
                <w:rFonts w:ascii="宋体" w:hAnsi="宋体" w:eastAsia="宋体" w:cs="宋体"/>
                <w:b w:val="0"/>
              </w:rPr>
              <w:t>7,313.72</w:t>
            </w:r>
          </w:p>
        </w:tc>
        <w:tc>
          <w:tcPr>
            <w:tcW w:w="0" w:type="dxa"/>
            <w:vAlign w:val="center"/>
          </w:tcPr>
          <w:p w14:paraId="140058B0">
            <w:pPr>
              <w:spacing w:line="240" w:lineRule="auto"/>
              <w:jc w:val="right"/>
            </w:pPr>
            <w:r>
              <w:rPr>
                <w:rFonts w:ascii="宋体" w:hAnsi="宋体" w:eastAsia="宋体" w:cs="宋体"/>
                <w:b w:val="0"/>
              </w:rPr>
              <w:t>7,313.72</w:t>
            </w:r>
          </w:p>
        </w:tc>
      </w:tr>
      <w:tr w14:paraId="6E47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28AEF7">
            <w:pPr>
              <w:spacing w:line="240" w:lineRule="auto"/>
              <w:jc w:val="left"/>
            </w:pPr>
            <w:r>
              <w:rPr>
                <w:rFonts w:ascii="宋体" w:hAnsi="宋体" w:eastAsia="宋体" w:cs="宋体"/>
                <w:b w:val="0"/>
              </w:rPr>
              <w:t>合计</w:t>
            </w:r>
          </w:p>
        </w:tc>
        <w:tc>
          <w:tcPr>
            <w:tcW w:w="0" w:type="dxa"/>
            <w:vAlign w:val="center"/>
          </w:tcPr>
          <w:p w14:paraId="707ED838">
            <w:pPr>
              <w:spacing w:line="240" w:lineRule="auto"/>
              <w:jc w:val="right"/>
            </w:pPr>
            <w:r>
              <w:rPr>
                <w:rFonts w:ascii="宋体" w:hAnsi="宋体" w:eastAsia="宋体" w:cs="宋体"/>
                <w:b w:val="0"/>
              </w:rPr>
              <w:t>-</w:t>
            </w:r>
          </w:p>
        </w:tc>
        <w:tc>
          <w:tcPr>
            <w:tcW w:w="0" w:type="dxa"/>
            <w:vAlign w:val="center"/>
          </w:tcPr>
          <w:p w14:paraId="7379B7AE">
            <w:pPr>
              <w:spacing w:line="240" w:lineRule="auto"/>
              <w:jc w:val="right"/>
            </w:pPr>
            <w:r>
              <w:rPr>
                <w:rFonts w:ascii="宋体" w:hAnsi="宋体" w:eastAsia="宋体" w:cs="宋体"/>
                <w:b w:val="0"/>
              </w:rPr>
              <w:t>17,725.55</w:t>
            </w:r>
          </w:p>
        </w:tc>
        <w:tc>
          <w:tcPr>
            <w:tcW w:w="0" w:type="dxa"/>
            <w:vAlign w:val="center"/>
          </w:tcPr>
          <w:p w14:paraId="62C48CDE">
            <w:pPr>
              <w:spacing w:line="240" w:lineRule="auto"/>
              <w:jc w:val="right"/>
            </w:pPr>
            <w:r>
              <w:rPr>
                <w:rFonts w:ascii="宋体" w:hAnsi="宋体" w:eastAsia="宋体" w:cs="宋体"/>
                <w:b w:val="0"/>
              </w:rPr>
              <w:t>17,725.55</w:t>
            </w:r>
          </w:p>
        </w:tc>
      </w:tr>
      <w:tr w14:paraId="0027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18FB488D">
            <w:pPr>
              <w:spacing w:line="240" w:lineRule="auto"/>
              <w:jc w:val="center"/>
            </w:pPr>
            <w:r>
              <w:rPr>
                <w:rFonts w:ascii="宋体" w:hAnsi="宋体" w:eastAsia="宋体" w:cs="宋体"/>
                <w:b w:val="0"/>
              </w:rPr>
              <w:t>获得销售服务费的各关联方名称</w:t>
            </w:r>
          </w:p>
        </w:tc>
        <w:tc>
          <w:tcPr>
            <w:tcW w:w="0" w:type="dxa"/>
            <w:gridSpan w:val="3"/>
            <w:shd w:val="clear" w:color="auto" w:fill="D9D9D9"/>
            <w:vAlign w:val="center"/>
          </w:tcPr>
          <w:p w14:paraId="70273E9B">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5C0C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E797C4D"/>
        </w:tc>
        <w:tc>
          <w:tcPr>
            <w:tcW w:w="0" w:type="dxa"/>
            <w:gridSpan w:val="3"/>
            <w:shd w:val="clear" w:color="auto" w:fill="D9D9D9"/>
            <w:vAlign w:val="center"/>
          </w:tcPr>
          <w:p w14:paraId="17627549">
            <w:pPr>
              <w:spacing w:line="240" w:lineRule="auto"/>
              <w:jc w:val="center"/>
            </w:pPr>
            <w:r>
              <w:rPr>
                <w:rFonts w:ascii="宋体" w:hAnsi="宋体" w:eastAsia="宋体" w:cs="宋体"/>
                <w:b w:val="0"/>
              </w:rPr>
              <w:t>当期发生的基金应支付的销售服务费</w:t>
            </w:r>
          </w:p>
        </w:tc>
      </w:tr>
      <w:tr w14:paraId="4E4B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7D51B51"/>
        </w:tc>
        <w:tc>
          <w:tcPr>
            <w:tcW w:w="0" w:type="dxa"/>
            <w:shd w:val="clear" w:color="auto" w:fill="D9D9D9"/>
            <w:vAlign w:val="center"/>
          </w:tcPr>
          <w:p w14:paraId="256FB9D2">
            <w:pPr>
              <w:spacing w:line="240" w:lineRule="auto"/>
              <w:jc w:val="center"/>
            </w:pPr>
            <w:r>
              <w:rPr>
                <w:rFonts w:ascii="宋体" w:hAnsi="宋体" w:eastAsia="宋体" w:cs="宋体"/>
                <w:b w:val="0"/>
              </w:rPr>
              <w:t>东方阿尔法兴科一年持有混合A</w:t>
            </w:r>
          </w:p>
        </w:tc>
        <w:tc>
          <w:tcPr>
            <w:tcW w:w="0" w:type="dxa"/>
            <w:shd w:val="clear" w:color="auto" w:fill="D9D9D9"/>
            <w:vAlign w:val="center"/>
          </w:tcPr>
          <w:p w14:paraId="1579C1C7">
            <w:pPr>
              <w:spacing w:line="240" w:lineRule="auto"/>
              <w:jc w:val="center"/>
            </w:pPr>
            <w:r>
              <w:rPr>
                <w:rFonts w:ascii="宋体" w:hAnsi="宋体" w:eastAsia="宋体" w:cs="宋体"/>
                <w:b w:val="0"/>
              </w:rPr>
              <w:t>东方阿尔法兴科一年持有混合C</w:t>
            </w:r>
          </w:p>
        </w:tc>
        <w:tc>
          <w:tcPr>
            <w:tcW w:w="0" w:type="dxa"/>
            <w:shd w:val="clear" w:color="auto" w:fill="D9D9D9"/>
            <w:vAlign w:val="center"/>
          </w:tcPr>
          <w:p w14:paraId="725B61E6">
            <w:pPr>
              <w:spacing w:line="240" w:lineRule="auto"/>
              <w:jc w:val="center"/>
            </w:pPr>
            <w:r>
              <w:rPr>
                <w:rFonts w:ascii="宋体" w:hAnsi="宋体" w:eastAsia="宋体" w:cs="宋体"/>
                <w:b w:val="0"/>
              </w:rPr>
              <w:t>合计</w:t>
            </w:r>
          </w:p>
        </w:tc>
      </w:tr>
      <w:tr w14:paraId="128F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B27CF0">
            <w:pPr>
              <w:spacing w:line="240" w:lineRule="auto"/>
              <w:jc w:val="left"/>
            </w:pPr>
            <w:r>
              <w:rPr>
                <w:rFonts w:ascii="宋体" w:hAnsi="宋体" w:eastAsia="宋体" w:cs="宋体"/>
                <w:b w:val="0"/>
              </w:rPr>
              <w:t>兴业银行</w:t>
            </w:r>
          </w:p>
        </w:tc>
        <w:tc>
          <w:tcPr>
            <w:tcW w:w="0" w:type="dxa"/>
            <w:vAlign w:val="center"/>
          </w:tcPr>
          <w:p w14:paraId="4230031C">
            <w:pPr>
              <w:spacing w:line="240" w:lineRule="auto"/>
              <w:jc w:val="right"/>
            </w:pPr>
            <w:r>
              <w:rPr>
                <w:rFonts w:ascii="宋体" w:hAnsi="宋体" w:eastAsia="宋体" w:cs="宋体"/>
                <w:b w:val="0"/>
              </w:rPr>
              <w:t>-</w:t>
            </w:r>
          </w:p>
        </w:tc>
        <w:tc>
          <w:tcPr>
            <w:tcW w:w="0" w:type="dxa"/>
            <w:vAlign w:val="center"/>
          </w:tcPr>
          <w:p w14:paraId="2BD63874">
            <w:pPr>
              <w:spacing w:line="240" w:lineRule="auto"/>
              <w:jc w:val="right"/>
            </w:pPr>
            <w:r>
              <w:rPr>
                <w:rFonts w:ascii="宋体" w:hAnsi="宋体" w:eastAsia="宋体" w:cs="宋体"/>
                <w:b w:val="0"/>
              </w:rPr>
              <w:t>15,726.79</w:t>
            </w:r>
          </w:p>
        </w:tc>
        <w:tc>
          <w:tcPr>
            <w:tcW w:w="0" w:type="dxa"/>
            <w:vAlign w:val="center"/>
          </w:tcPr>
          <w:p w14:paraId="686750CD">
            <w:pPr>
              <w:spacing w:line="240" w:lineRule="auto"/>
              <w:jc w:val="right"/>
            </w:pPr>
            <w:r>
              <w:rPr>
                <w:rFonts w:ascii="宋体" w:hAnsi="宋体" w:eastAsia="宋体" w:cs="宋体"/>
                <w:b w:val="0"/>
              </w:rPr>
              <w:t>15,726.79</w:t>
            </w:r>
          </w:p>
        </w:tc>
      </w:tr>
      <w:tr w14:paraId="514E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81B21B">
            <w:pPr>
              <w:spacing w:line="240" w:lineRule="auto"/>
              <w:jc w:val="left"/>
            </w:pPr>
            <w:r>
              <w:rPr>
                <w:rFonts w:ascii="宋体" w:hAnsi="宋体" w:eastAsia="宋体" w:cs="宋体"/>
                <w:b w:val="0"/>
              </w:rPr>
              <w:t>东方阿尔法基金</w:t>
            </w:r>
          </w:p>
        </w:tc>
        <w:tc>
          <w:tcPr>
            <w:tcW w:w="0" w:type="dxa"/>
            <w:vAlign w:val="center"/>
          </w:tcPr>
          <w:p w14:paraId="6D9B467B">
            <w:pPr>
              <w:spacing w:line="240" w:lineRule="auto"/>
              <w:jc w:val="right"/>
            </w:pPr>
            <w:r>
              <w:rPr>
                <w:rFonts w:ascii="宋体" w:hAnsi="宋体" w:eastAsia="宋体" w:cs="宋体"/>
                <w:b w:val="0"/>
              </w:rPr>
              <w:t>-</w:t>
            </w:r>
          </w:p>
        </w:tc>
        <w:tc>
          <w:tcPr>
            <w:tcW w:w="0" w:type="dxa"/>
            <w:vAlign w:val="center"/>
          </w:tcPr>
          <w:p w14:paraId="2CA0A805">
            <w:pPr>
              <w:spacing w:line="240" w:lineRule="auto"/>
              <w:jc w:val="right"/>
            </w:pPr>
            <w:r>
              <w:rPr>
                <w:rFonts w:ascii="宋体" w:hAnsi="宋体" w:eastAsia="宋体" w:cs="宋体"/>
                <w:b w:val="0"/>
              </w:rPr>
              <w:t>39,560.47</w:t>
            </w:r>
          </w:p>
        </w:tc>
        <w:tc>
          <w:tcPr>
            <w:tcW w:w="0" w:type="dxa"/>
            <w:vAlign w:val="center"/>
          </w:tcPr>
          <w:p w14:paraId="478B7D40">
            <w:pPr>
              <w:spacing w:line="240" w:lineRule="auto"/>
              <w:jc w:val="right"/>
            </w:pPr>
            <w:r>
              <w:rPr>
                <w:rFonts w:ascii="宋体" w:hAnsi="宋体" w:eastAsia="宋体" w:cs="宋体"/>
                <w:b w:val="0"/>
              </w:rPr>
              <w:t>39,560.47</w:t>
            </w:r>
          </w:p>
        </w:tc>
      </w:tr>
      <w:tr w14:paraId="13FB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A0966B">
            <w:pPr>
              <w:spacing w:line="240" w:lineRule="auto"/>
              <w:jc w:val="left"/>
            </w:pPr>
            <w:r>
              <w:rPr>
                <w:rFonts w:ascii="宋体" w:hAnsi="宋体" w:eastAsia="宋体" w:cs="宋体"/>
                <w:b w:val="0"/>
              </w:rPr>
              <w:t>合计</w:t>
            </w:r>
          </w:p>
        </w:tc>
        <w:tc>
          <w:tcPr>
            <w:tcW w:w="0" w:type="dxa"/>
            <w:vAlign w:val="center"/>
          </w:tcPr>
          <w:p w14:paraId="5EF873B2">
            <w:pPr>
              <w:spacing w:line="240" w:lineRule="auto"/>
              <w:jc w:val="right"/>
            </w:pPr>
            <w:r>
              <w:rPr>
                <w:rFonts w:ascii="宋体" w:hAnsi="宋体" w:eastAsia="宋体" w:cs="宋体"/>
                <w:b w:val="0"/>
              </w:rPr>
              <w:t>-</w:t>
            </w:r>
          </w:p>
        </w:tc>
        <w:tc>
          <w:tcPr>
            <w:tcW w:w="0" w:type="dxa"/>
            <w:vAlign w:val="center"/>
          </w:tcPr>
          <w:p w14:paraId="11682B0A">
            <w:pPr>
              <w:spacing w:line="240" w:lineRule="auto"/>
              <w:jc w:val="right"/>
            </w:pPr>
            <w:r>
              <w:rPr>
                <w:rFonts w:ascii="宋体" w:hAnsi="宋体" w:eastAsia="宋体" w:cs="宋体"/>
                <w:b w:val="0"/>
              </w:rPr>
              <w:t>55,287.26</w:t>
            </w:r>
          </w:p>
        </w:tc>
        <w:tc>
          <w:tcPr>
            <w:tcW w:w="0" w:type="dxa"/>
            <w:vAlign w:val="center"/>
          </w:tcPr>
          <w:p w14:paraId="347BF559">
            <w:pPr>
              <w:spacing w:line="240" w:lineRule="auto"/>
              <w:jc w:val="right"/>
            </w:pPr>
            <w:r>
              <w:rPr>
                <w:rFonts w:ascii="宋体" w:hAnsi="宋体" w:eastAsia="宋体" w:cs="宋体"/>
                <w:b w:val="0"/>
              </w:rPr>
              <w:t>55,287.26</w:t>
            </w:r>
          </w:p>
        </w:tc>
      </w:tr>
    </w:tbl>
    <w:p w14:paraId="335625C0">
      <w:r>
        <w:rPr>
          <w:rFonts w:ascii="宋体" w:hAnsi="宋体" w:eastAsia="宋体" w:cs="宋体"/>
          <w:b w:val="0"/>
        </w:rPr>
        <w:t>注：1、本基金A类基金份额不收取销售服务费，C类基金份额的销售服务费年费率为0.60%，逐日累计至每月月底，按月支付给登记机构 ，由登记机构代付给各基金销售机构。</w:t>
      </w:r>
      <w:r>
        <w:rPr>
          <w:rFonts w:ascii="宋体" w:hAnsi="宋体" w:eastAsia="宋体" w:cs="宋体"/>
          <w:b w:val="0"/>
        </w:rPr>
        <w:br w:type="textWrapping"/>
      </w:r>
      <w:r>
        <w:rPr>
          <w:rFonts w:ascii="宋体" w:hAnsi="宋体" w:eastAsia="宋体" w:cs="宋体"/>
          <w:b w:val="0"/>
        </w:rPr>
        <w:t>2、本基金销售服务费将专门用于本基金的销售与基金份额持有人服务。销售服务费计提的计算公式如下：</w:t>
      </w:r>
      <w:r>
        <w:rPr>
          <w:rFonts w:ascii="宋体" w:hAnsi="宋体" w:eastAsia="宋体" w:cs="宋体"/>
          <w:b w:val="0"/>
        </w:rPr>
        <w:br w:type="textWrapping"/>
      </w:r>
      <w:r>
        <w:rPr>
          <w:rFonts w:ascii="宋体" w:hAnsi="宋体" w:eastAsia="宋体" w:cs="宋体"/>
          <w:b w:val="0"/>
        </w:rPr>
        <w:t>日销售服务费=前一日C类基金份额的基金资产净值×0.60%/当年天数。</w:t>
      </w:r>
    </w:p>
    <w:p w14:paraId="419E296C"/>
    <w:p w14:paraId="131CA5B4">
      <w:pPr>
        <w:pStyle w:val="58"/>
      </w:pPr>
      <w:r>
        <w:rPr>
          <w:rFonts w:ascii="宋体" w:hAnsi="宋体" w:eastAsia="宋体" w:cs="宋体"/>
          <w:b/>
        </w:rPr>
        <w:t>6.4.10.3 与关联方进行银行间同业市场的债券(含回购)交易</w:t>
      </w:r>
    </w:p>
    <w:p w14:paraId="50D4CE4B">
      <w:r>
        <w:rPr>
          <w:rFonts w:ascii="宋体" w:hAnsi="宋体" w:eastAsia="宋体" w:cs="宋体"/>
          <w:b w:val="0"/>
        </w:rPr>
        <w:t xml:space="preserve">    本基金本报告期内及上年度可比期间未与关联方进行银行间同业市场的债券(含回购)交易。</w:t>
      </w:r>
    </w:p>
    <w:p w14:paraId="66AA9F5A"/>
    <w:p w14:paraId="0DD38265">
      <w:pPr>
        <w:pStyle w:val="58"/>
      </w:pPr>
      <w:r>
        <w:rPr>
          <w:rFonts w:ascii="宋体" w:hAnsi="宋体" w:eastAsia="宋体" w:cs="宋体"/>
          <w:b/>
        </w:rPr>
        <w:t>6.4.10.4 报告期内转融通证券出借业务发生重大关联交易事项的说明</w:t>
      </w:r>
    </w:p>
    <w:p w14:paraId="2744B6BC">
      <w:pPr>
        <w:pStyle w:val="58"/>
      </w:pPr>
      <w:r>
        <w:rPr>
          <w:rFonts w:ascii="宋体" w:hAnsi="宋体" w:eastAsia="宋体" w:cs="宋体"/>
          <w:b/>
        </w:rPr>
        <w:t>6.4.10.4.1 与关联方通过约定申报方式进行的适用固定期限费率的证券出借业务的情况</w:t>
      </w:r>
    </w:p>
    <w:p w14:paraId="625B6626">
      <w:r>
        <w:rPr>
          <w:rFonts w:ascii="宋体" w:hAnsi="宋体" w:eastAsia="宋体" w:cs="宋体"/>
          <w:b w:val="0"/>
        </w:rPr>
        <w:t xml:space="preserve">    本基金本报告期内及上年度可比期间无与关联方通过约定申报方式进行的适用固定期限费率的证券出借业务的情况。</w:t>
      </w:r>
    </w:p>
    <w:p w14:paraId="1BA59EAE"/>
    <w:p w14:paraId="5A0FB455">
      <w:pPr>
        <w:pStyle w:val="58"/>
      </w:pPr>
      <w:r>
        <w:rPr>
          <w:rFonts w:ascii="宋体" w:hAnsi="宋体" w:eastAsia="宋体" w:cs="宋体"/>
          <w:b/>
        </w:rPr>
        <w:t>6.4.10.4.2 与关联方通过约定申报方式进行的适用市场化期限费率的证券出借业务的情况</w:t>
      </w:r>
    </w:p>
    <w:p w14:paraId="201B951D">
      <w:r>
        <w:rPr>
          <w:rFonts w:ascii="宋体" w:hAnsi="宋体" w:eastAsia="宋体" w:cs="宋体"/>
          <w:b w:val="0"/>
        </w:rPr>
        <w:t xml:space="preserve">    本基金本报告期内及上年度可比期间无与关联方通过约定申报方式进行的适用市场化期限费率的证券出借业务的情况。</w:t>
      </w:r>
    </w:p>
    <w:p w14:paraId="1C767D8D"/>
    <w:p w14:paraId="6DF31432">
      <w:pPr>
        <w:pStyle w:val="58"/>
      </w:pPr>
      <w:r>
        <w:rPr>
          <w:rFonts w:ascii="宋体" w:hAnsi="宋体" w:eastAsia="宋体" w:cs="宋体"/>
          <w:b/>
        </w:rPr>
        <w:t>6.4.10.5 各关联方投资本基金的情况</w:t>
      </w:r>
    </w:p>
    <w:p w14:paraId="75CCB339">
      <w:pPr>
        <w:pStyle w:val="58"/>
      </w:pPr>
      <w:r>
        <w:rPr>
          <w:rFonts w:ascii="宋体" w:hAnsi="宋体" w:eastAsia="宋体" w:cs="宋体"/>
          <w:b/>
        </w:rPr>
        <w:t>6.4.10.5.1 报告期内基金管理人运用固有资金投资本基金的情况</w:t>
      </w:r>
    </w:p>
    <w:p w14:paraId="0C426543">
      <w:pPr>
        <w:jc w:val="left"/>
      </w:pPr>
      <w:r>
        <w:rPr>
          <w:rFonts w:ascii="宋体" w:hAnsi="宋体" w:eastAsia="宋体" w:cs="宋体"/>
          <w:b/>
        </w:rPr>
        <w:t>东方阿尔法兴科一年持有混合A</w:t>
      </w:r>
    </w:p>
    <w:p w14:paraId="72811711">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38F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1C10FF67">
            <w:pPr>
              <w:spacing w:line="240" w:lineRule="auto"/>
              <w:jc w:val="center"/>
            </w:pPr>
            <w:r>
              <w:rPr>
                <w:rFonts w:ascii="宋体" w:hAnsi="宋体" w:eastAsia="宋体" w:cs="宋体"/>
                <w:b w:val="0"/>
              </w:rPr>
              <w:t>项目</w:t>
            </w:r>
          </w:p>
        </w:tc>
        <w:tc>
          <w:tcPr>
            <w:tcW w:w="1538" w:type="pct"/>
            <w:shd w:val="clear" w:color="auto" w:fill="D9D9D9"/>
            <w:vAlign w:val="center"/>
          </w:tcPr>
          <w:p w14:paraId="117BBC9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10ABFF7B">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433C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A73364">
            <w:pPr>
              <w:spacing w:line="240" w:lineRule="auto"/>
              <w:jc w:val="left"/>
            </w:pPr>
            <w:r>
              <w:rPr>
                <w:rFonts w:ascii="宋体" w:hAnsi="宋体" w:eastAsia="宋体" w:cs="宋体"/>
                <w:b w:val="0"/>
              </w:rPr>
              <w:t>报告期初持有的基金份额</w:t>
            </w:r>
          </w:p>
        </w:tc>
        <w:tc>
          <w:tcPr>
            <w:tcW w:w="0" w:type="dxa"/>
            <w:vAlign w:val="center"/>
          </w:tcPr>
          <w:p w14:paraId="0E3DE4E0">
            <w:pPr>
              <w:spacing w:line="240" w:lineRule="auto"/>
              <w:jc w:val="right"/>
            </w:pPr>
            <w:r>
              <w:rPr>
                <w:rFonts w:ascii="宋体" w:hAnsi="宋体" w:eastAsia="宋体" w:cs="宋体"/>
                <w:b w:val="0"/>
              </w:rPr>
              <w:t>-</w:t>
            </w:r>
          </w:p>
        </w:tc>
        <w:tc>
          <w:tcPr>
            <w:tcW w:w="0" w:type="dxa"/>
            <w:vAlign w:val="center"/>
          </w:tcPr>
          <w:p w14:paraId="03AFBA35">
            <w:pPr>
              <w:spacing w:line="240" w:lineRule="auto"/>
              <w:jc w:val="right"/>
            </w:pPr>
            <w:r>
              <w:rPr>
                <w:rFonts w:ascii="宋体" w:hAnsi="宋体" w:eastAsia="宋体" w:cs="宋体"/>
                <w:b w:val="0"/>
              </w:rPr>
              <w:t>5,024,641.70</w:t>
            </w:r>
          </w:p>
        </w:tc>
      </w:tr>
      <w:tr w14:paraId="438E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5F58BA">
            <w:pPr>
              <w:spacing w:line="240" w:lineRule="auto"/>
              <w:jc w:val="left"/>
            </w:pPr>
            <w:r>
              <w:rPr>
                <w:rFonts w:ascii="宋体" w:hAnsi="宋体" w:eastAsia="宋体" w:cs="宋体"/>
                <w:b w:val="0"/>
              </w:rPr>
              <w:t>报告期间申购/买入总份额</w:t>
            </w:r>
          </w:p>
        </w:tc>
        <w:tc>
          <w:tcPr>
            <w:tcW w:w="0" w:type="dxa"/>
            <w:vAlign w:val="center"/>
          </w:tcPr>
          <w:p w14:paraId="252F1127">
            <w:pPr>
              <w:spacing w:line="240" w:lineRule="auto"/>
              <w:jc w:val="right"/>
            </w:pPr>
            <w:r>
              <w:rPr>
                <w:rFonts w:ascii="宋体" w:hAnsi="宋体" w:eastAsia="宋体" w:cs="宋体"/>
                <w:b w:val="0"/>
              </w:rPr>
              <w:t>-</w:t>
            </w:r>
          </w:p>
        </w:tc>
        <w:tc>
          <w:tcPr>
            <w:tcW w:w="0" w:type="dxa"/>
            <w:vAlign w:val="center"/>
          </w:tcPr>
          <w:p w14:paraId="1E26DA39">
            <w:pPr>
              <w:spacing w:line="240" w:lineRule="auto"/>
              <w:jc w:val="right"/>
            </w:pPr>
            <w:r>
              <w:rPr>
                <w:rFonts w:ascii="宋体" w:hAnsi="宋体" w:eastAsia="宋体" w:cs="宋体"/>
                <w:b w:val="0"/>
              </w:rPr>
              <w:t>-</w:t>
            </w:r>
          </w:p>
        </w:tc>
      </w:tr>
      <w:tr w14:paraId="1CAE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E1BE8B">
            <w:pPr>
              <w:spacing w:line="240" w:lineRule="auto"/>
              <w:jc w:val="left"/>
            </w:pPr>
            <w:r>
              <w:rPr>
                <w:rFonts w:ascii="宋体" w:hAnsi="宋体" w:eastAsia="宋体" w:cs="宋体"/>
                <w:b w:val="0"/>
              </w:rPr>
              <w:t>报告期间因拆分变动份额</w:t>
            </w:r>
          </w:p>
        </w:tc>
        <w:tc>
          <w:tcPr>
            <w:tcW w:w="0" w:type="dxa"/>
            <w:vAlign w:val="center"/>
          </w:tcPr>
          <w:p w14:paraId="027EF9DC">
            <w:pPr>
              <w:spacing w:line="240" w:lineRule="auto"/>
              <w:jc w:val="right"/>
            </w:pPr>
            <w:r>
              <w:rPr>
                <w:rFonts w:ascii="宋体" w:hAnsi="宋体" w:eastAsia="宋体" w:cs="宋体"/>
                <w:b w:val="0"/>
              </w:rPr>
              <w:t>-</w:t>
            </w:r>
          </w:p>
        </w:tc>
        <w:tc>
          <w:tcPr>
            <w:tcW w:w="0" w:type="dxa"/>
            <w:vAlign w:val="center"/>
          </w:tcPr>
          <w:p w14:paraId="17E6DF4A">
            <w:pPr>
              <w:spacing w:line="240" w:lineRule="auto"/>
              <w:jc w:val="right"/>
            </w:pPr>
            <w:r>
              <w:rPr>
                <w:rFonts w:ascii="宋体" w:hAnsi="宋体" w:eastAsia="宋体" w:cs="宋体"/>
                <w:b w:val="0"/>
              </w:rPr>
              <w:t>-</w:t>
            </w:r>
          </w:p>
        </w:tc>
      </w:tr>
      <w:tr w14:paraId="4E78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60F47D">
            <w:pPr>
              <w:spacing w:line="240" w:lineRule="auto"/>
              <w:jc w:val="left"/>
            </w:pPr>
            <w:r>
              <w:rPr>
                <w:rFonts w:ascii="宋体" w:hAnsi="宋体" w:eastAsia="宋体" w:cs="宋体"/>
                <w:b w:val="0"/>
              </w:rPr>
              <w:t>减：报告期间赎回/卖出总份额</w:t>
            </w:r>
          </w:p>
        </w:tc>
        <w:tc>
          <w:tcPr>
            <w:tcW w:w="0" w:type="dxa"/>
            <w:vAlign w:val="center"/>
          </w:tcPr>
          <w:p w14:paraId="11264D63">
            <w:pPr>
              <w:spacing w:line="240" w:lineRule="auto"/>
              <w:jc w:val="right"/>
            </w:pPr>
            <w:r>
              <w:rPr>
                <w:rFonts w:ascii="宋体" w:hAnsi="宋体" w:eastAsia="宋体" w:cs="宋体"/>
                <w:b w:val="0"/>
              </w:rPr>
              <w:t>-</w:t>
            </w:r>
          </w:p>
        </w:tc>
        <w:tc>
          <w:tcPr>
            <w:tcW w:w="0" w:type="dxa"/>
            <w:vAlign w:val="center"/>
          </w:tcPr>
          <w:p w14:paraId="1A5BFE76">
            <w:pPr>
              <w:spacing w:line="240" w:lineRule="auto"/>
              <w:jc w:val="right"/>
            </w:pPr>
            <w:r>
              <w:rPr>
                <w:rFonts w:ascii="宋体" w:hAnsi="宋体" w:eastAsia="宋体" w:cs="宋体"/>
                <w:b w:val="0"/>
              </w:rPr>
              <w:t>-</w:t>
            </w:r>
          </w:p>
        </w:tc>
      </w:tr>
      <w:tr w14:paraId="2449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613FE1">
            <w:pPr>
              <w:spacing w:line="240" w:lineRule="auto"/>
              <w:jc w:val="left"/>
            </w:pPr>
            <w:r>
              <w:rPr>
                <w:rFonts w:ascii="宋体" w:hAnsi="宋体" w:eastAsia="宋体" w:cs="宋体"/>
                <w:b w:val="0"/>
              </w:rPr>
              <w:t>报告期末持有的基金份额</w:t>
            </w:r>
          </w:p>
        </w:tc>
        <w:tc>
          <w:tcPr>
            <w:tcW w:w="0" w:type="dxa"/>
            <w:vAlign w:val="center"/>
          </w:tcPr>
          <w:p w14:paraId="5876B186">
            <w:pPr>
              <w:spacing w:line="240" w:lineRule="auto"/>
              <w:jc w:val="right"/>
            </w:pPr>
            <w:r>
              <w:rPr>
                <w:rFonts w:ascii="宋体" w:hAnsi="宋体" w:eastAsia="宋体" w:cs="宋体"/>
                <w:b w:val="0"/>
              </w:rPr>
              <w:t>-</w:t>
            </w:r>
          </w:p>
        </w:tc>
        <w:tc>
          <w:tcPr>
            <w:tcW w:w="0" w:type="dxa"/>
            <w:vAlign w:val="center"/>
          </w:tcPr>
          <w:p w14:paraId="5C9D2942">
            <w:pPr>
              <w:spacing w:line="240" w:lineRule="auto"/>
              <w:jc w:val="right"/>
            </w:pPr>
            <w:r>
              <w:rPr>
                <w:rFonts w:ascii="宋体" w:hAnsi="宋体" w:eastAsia="宋体" w:cs="宋体"/>
                <w:b w:val="0"/>
              </w:rPr>
              <w:t>5,024,641.70</w:t>
            </w:r>
          </w:p>
        </w:tc>
      </w:tr>
      <w:tr w14:paraId="28BA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949C10">
            <w:pPr>
              <w:spacing w:line="240" w:lineRule="auto"/>
              <w:jc w:val="left"/>
            </w:pPr>
            <w:r>
              <w:rPr>
                <w:rFonts w:ascii="宋体" w:hAnsi="宋体" w:eastAsia="宋体" w:cs="宋体"/>
                <w:b w:val="0"/>
              </w:rPr>
              <w:t>报告期末持有的基金份额占基金总份额比例</w:t>
            </w:r>
          </w:p>
        </w:tc>
        <w:tc>
          <w:tcPr>
            <w:tcW w:w="0" w:type="dxa"/>
            <w:vAlign w:val="center"/>
          </w:tcPr>
          <w:p w14:paraId="6BC44D69">
            <w:pPr>
              <w:spacing w:line="240" w:lineRule="auto"/>
              <w:jc w:val="right"/>
            </w:pPr>
            <w:r>
              <w:rPr>
                <w:rFonts w:ascii="宋体" w:hAnsi="宋体" w:eastAsia="宋体" w:cs="宋体"/>
                <w:b w:val="0"/>
              </w:rPr>
              <w:t>-</w:t>
            </w:r>
          </w:p>
        </w:tc>
        <w:tc>
          <w:tcPr>
            <w:tcW w:w="0" w:type="dxa"/>
            <w:vAlign w:val="center"/>
          </w:tcPr>
          <w:p w14:paraId="3315C186">
            <w:pPr>
              <w:spacing w:line="240" w:lineRule="auto"/>
              <w:jc w:val="right"/>
            </w:pPr>
            <w:r>
              <w:rPr>
                <w:rFonts w:ascii="宋体" w:hAnsi="宋体" w:eastAsia="宋体" w:cs="宋体"/>
                <w:b w:val="0"/>
              </w:rPr>
              <w:t>3.46%</w:t>
            </w:r>
          </w:p>
        </w:tc>
      </w:tr>
    </w:tbl>
    <w:p w14:paraId="24F92FA4">
      <w:r>
        <w:rPr>
          <w:rFonts w:ascii="宋体" w:hAnsi="宋体" w:eastAsia="宋体" w:cs="宋体"/>
          <w:b w:val="0"/>
        </w:rPr>
        <w:t>注：1.以上表中“报告期末持有的基金份额占基金总份额比例”的计算中，对下属不同类别基金比例的分母采用各自级别的份额。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2.本报告期内基金管理人未运用固有资金投资“东方阿尔法兴科一年持有混合C”。</w:t>
      </w:r>
    </w:p>
    <w:p w14:paraId="747498DF"/>
    <w:p w14:paraId="0CBEFFE0">
      <w:pPr>
        <w:pStyle w:val="58"/>
      </w:pPr>
      <w:r>
        <w:rPr>
          <w:rFonts w:ascii="宋体" w:hAnsi="宋体" w:eastAsia="宋体" w:cs="宋体"/>
          <w:b/>
        </w:rPr>
        <w:t>6.4.10.5.2 报告期末除基金管理人之外的其他关联方投资本基金的情况</w:t>
      </w:r>
    </w:p>
    <w:p w14:paraId="17A8138A">
      <w:pPr>
        <w:jc w:val="left"/>
      </w:pPr>
      <w:r>
        <w:rPr>
          <w:rFonts w:ascii="宋体" w:hAnsi="宋体" w:eastAsia="宋体" w:cs="宋体"/>
          <w:b/>
        </w:rPr>
        <w:t>东方阿尔法兴科一年持有混合A</w:t>
      </w:r>
    </w:p>
    <w:p w14:paraId="3A30BB51">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1238"/>
        <w:gridCol w:w="1858"/>
        <w:gridCol w:w="1238"/>
        <w:gridCol w:w="1858"/>
      </w:tblGrid>
      <w:tr w14:paraId="01FF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7885938B">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5FCC962C">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542B909F">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4B5F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10B51E0"/>
        </w:tc>
        <w:tc>
          <w:tcPr>
            <w:tcW w:w="615" w:type="pct"/>
            <w:shd w:val="clear" w:color="auto" w:fill="D9D9D9"/>
            <w:vAlign w:val="center"/>
          </w:tcPr>
          <w:p w14:paraId="7E55EA29">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4FDB4A2F">
            <w:pPr>
              <w:spacing w:line="240" w:lineRule="auto"/>
              <w:jc w:val="center"/>
            </w:pPr>
            <w:r>
              <w:rPr>
                <w:rFonts w:ascii="宋体" w:hAnsi="宋体" w:eastAsia="宋体" w:cs="宋体"/>
                <w:b w:val="0"/>
              </w:rPr>
              <w:t>持有的基金份额占基金总份额的比例</w:t>
            </w:r>
          </w:p>
        </w:tc>
        <w:tc>
          <w:tcPr>
            <w:tcW w:w="615" w:type="pct"/>
            <w:shd w:val="clear" w:color="auto" w:fill="D9D9D9"/>
            <w:vAlign w:val="center"/>
          </w:tcPr>
          <w:p w14:paraId="1D30653C">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79BDBA5A">
            <w:pPr>
              <w:spacing w:line="240" w:lineRule="auto"/>
              <w:jc w:val="center"/>
            </w:pPr>
            <w:r>
              <w:rPr>
                <w:rFonts w:ascii="宋体" w:hAnsi="宋体" w:eastAsia="宋体" w:cs="宋体"/>
                <w:b w:val="0"/>
              </w:rPr>
              <w:t>持有的基金份额占基金总份额的比例</w:t>
            </w:r>
          </w:p>
        </w:tc>
      </w:tr>
      <w:tr w14:paraId="25B9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17865C">
            <w:pPr>
              <w:spacing w:line="240" w:lineRule="auto"/>
              <w:jc w:val="left"/>
            </w:pPr>
            <w:r>
              <w:rPr>
                <w:rFonts w:ascii="宋体" w:hAnsi="宋体" w:eastAsia="宋体" w:cs="宋体"/>
                <w:b w:val="0"/>
              </w:rPr>
              <w:t>曾健</w:t>
            </w:r>
          </w:p>
        </w:tc>
        <w:tc>
          <w:tcPr>
            <w:tcW w:w="0" w:type="dxa"/>
            <w:vAlign w:val="center"/>
          </w:tcPr>
          <w:p w14:paraId="541D1648">
            <w:pPr>
              <w:spacing w:line="240" w:lineRule="auto"/>
              <w:jc w:val="right"/>
            </w:pPr>
            <w:r>
              <w:rPr>
                <w:rFonts w:ascii="宋体" w:hAnsi="宋体" w:eastAsia="宋体" w:cs="宋体"/>
                <w:b w:val="0"/>
              </w:rPr>
              <w:t>94,100.67</w:t>
            </w:r>
          </w:p>
        </w:tc>
        <w:tc>
          <w:tcPr>
            <w:tcW w:w="0" w:type="dxa"/>
            <w:vAlign w:val="center"/>
          </w:tcPr>
          <w:p w14:paraId="76D7D059">
            <w:pPr>
              <w:spacing w:line="240" w:lineRule="auto"/>
              <w:jc w:val="right"/>
            </w:pPr>
            <w:r>
              <w:rPr>
                <w:rFonts w:ascii="宋体" w:hAnsi="宋体" w:eastAsia="宋体" w:cs="宋体"/>
                <w:b w:val="0"/>
              </w:rPr>
              <w:t>0.21%</w:t>
            </w:r>
          </w:p>
        </w:tc>
        <w:tc>
          <w:tcPr>
            <w:tcW w:w="0" w:type="dxa"/>
            <w:vAlign w:val="center"/>
          </w:tcPr>
          <w:p w14:paraId="15353EC9">
            <w:pPr>
              <w:spacing w:line="240" w:lineRule="auto"/>
              <w:jc w:val="right"/>
            </w:pPr>
            <w:r>
              <w:rPr>
                <w:rFonts w:ascii="宋体" w:hAnsi="宋体" w:eastAsia="宋体" w:cs="宋体"/>
                <w:b w:val="0"/>
              </w:rPr>
              <w:t>-</w:t>
            </w:r>
          </w:p>
        </w:tc>
        <w:tc>
          <w:tcPr>
            <w:tcW w:w="0" w:type="dxa"/>
            <w:vAlign w:val="center"/>
          </w:tcPr>
          <w:p w14:paraId="781A3CA6">
            <w:pPr>
              <w:spacing w:line="240" w:lineRule="auto"/>
              <w:jc w:val="right"/>
            </w:pPr>
            <w:r>
              <w:rPr>
                <w:rFonts w:ascii="宋体" w:hAnsi="宋体" w:eastAsia="宋体" w:cs="宋体"/>
                <w:b w:val="0"/>
              </w:rPr>
              <w:t>-</w:t>
            </w:r>
          </w:p>
        </w:tc>
      </w:tr>
    </w:tbl>
    <w:p w14:paraId="40719F13">
      <w:r>
        <w:rPr>
          <w:rFonts w:ascii="宋体" w:hAnsi="宋体" w:eastAsia="宋体" w:cs="宋体"/>
          <w:b w:val="0"/>
        </w:rPr>
        <w:t>注: 1.以上表中“持有的基金份额占基金总份额的比例”的计算中，对下属不同类别基金比例的分母采用各自级别的份额。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2.上述关联方投资本基金适用的认购、申购、赎回费率按照本基金招募说明书的费率执行。</w:t>
      </w:r>
      <w:r>
        <w:rPr>
          <w:rFonts w:ascii="宋体" w:hAnsi="宋体" w:eastAsia="宋体" w:cs="宋体"/>
          <w:b w:val="0"/>
        </w:rPr>
        <w:br w:type="textWrapping"/>
      </w:r>
      <w:r>
        <w:rPr>
          <w:rFonts w:ascii="宋体" w:hAnsi="宋体" w:eastAsia="宋体" w:cs="宋体"/>
          <w:b w:val="0"/>
        </w:rPr>
        <w:t>3.报告期末除基金管理人之外的其他关联方未投资“东方阿尔法兴科一年持有期C”。</w:t>
      </w:r>
    </w:p>
    <w:p w14:paraId="4394FDA5"/>
    <w:p w14:paraId="3D66E658">
      <w:pPr>
        <w:pStyle w:val="58"/>
      </w:pPr>
      <w:r>
        <w:rPr>
          <w:rFonts w:ascii="宋体" w:hAnsi="宋体" w:eastAsia="宋体" w:cs="宋体"/>
          <w:b/>
        </w:rPr>
        <w:t>6.4.10.6 由关联方保管的银行存款余额及当期产生的利息收入</w:t>
      </w:r>
    </w:p>
    <w:p w14:paraId="69AEE4C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1548"/>
        <w:gridCol w:w="1548"/>
        <w:gridCol w:w="1548"/>
        <w:gridCol w:w="1548"/>
      </w:tblGrid>
      <w:tr w14:paraId="26CD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735695F3">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7404B6D5">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gridSpan w:val="2"/>
            <w:shd w:val="clear" w:color="auto" w:fill="D9D9D9"/>
            <w:vAlign w:val="center"/>
          </w:tcPr>
          <w:p w14:paraId="238B7ADF">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47ED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0B1432F"/>
        </w:tc>
        <w:tc>
          <w:tcPr>
            <w:tcW w:w="769" w:type="pct"/>
            <w:shd w:val="clear" w:color="auto" w:fill="D9D9D9"/>
            <w:vAlign w:val="center"/>
          </w:tcPr>
          <w:p w14:paraId="6E291B67">
            <w:pPr>
              <w:spacing w:line="240" w:lineRule="auto"/>
              <w:jc w:val="center"/>
            </w:pPr>
            <w:r>
              <w:rPr>
                <w:rFonts w:ascii="宋体" w:hAnsi="宋体" w:eastAsia="宋体" w:cs="宋体"/>
                <w:b w:val="0"/>
              </w:rPr>
              <w:t>期末余额</w:t>
            </w:r>
          </w:p>
        </w:tc>
        <w:tc>
          <w:tcPr>
            <w:tcW w:w="769" w:type="pct"/>
            <w:shd w:val="clear" w:color="auto" w:fill="D9D9D9"/>
            <w:vAlign w:val="center"/>
          </w:tcPr>
          <w:p w14:paraId="7F78EC26">
            <w:pPr>
              <w:spacing w:line="240" w:lineRule="auto"/>
              <w:jc w:val="center"/>
            </w:pPr>
            <w:r>
              <w:rPr>
                <w:rFonts w:ascii="宋体" w:hAnsi="宋体" w:eastAsia="宋体" w:cs="宋体"/>
                <w:b w:val="0"/>
              </w:rPr>
              <w:t>当期利息收入</w:t>
            </w:r>
          </w:p>
        </w:tc>
        <w:tc>
          <w:tcPr>
            <w:tcW w:w="769" w:type="pct"/>
            <w:shd w:val="clear" w:color="auto" w:fill="D9D9D9"/>
            <w:vAlign w:val="center"/>
          </w:tcPr>
          <w:p w14:paraId="12422166">
            <w:pPr>
              <w:spacing w:line="240" w:lineRule="auto"/>
              <w:jc w:val="center"/>
            </w:pPr>
            <w:r>
              <w:rPr>
                <w:rFonts w:ascii="宋体" w:hAnsi="宋体" w:eastAsia="宋体" w:cs="宋体"/>
                <w:b w:val="0"/>
              </w:rPr>
              <w:t>期末余额</w:t>
            </w:r>
          </w:p>
        </w:tc>
        <w:tc>
          <w:tcPr>
            <w:tcW w:w="769" w:type="pct"/>
            <w:shd w:val="clear" w:color="auto" w:fill="D9D9D9"/>
            <w:vAlign w:val="center"/>
          </w:tcPr>
          <w:p w14:paraId="38A0A1FF">
            <w:pPr>
              <w:spacing w:line="240" w:lineRule="auto"/>
              <w:jc w:val="center"/>
            </w:pPr>
            <w:r>
              <w:rPr>
                <w:rFonts w:ascii="宋体" w:hAnsi="宋体" w:eastAsia="宋体" w:cs="宋体"/>
                <w:b w:val="0"/>
              </w:rPr>
              <w:t>当期利息收入</w:t>
            </w:r>
          </w:p>
        </w:tc>
      </w:tr>
      <w:tr w14:paraId="4C7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87F650">
            <w:pPr>
              <w:spacing w:line="240" w:lineRule="auto"/>
              <w:jc w:val="left"/>
            </w:pPr>
            <w:r>
              <w:rPr>
                <w:rFonts w:ascii="宋体" w:hAnsi="宋体" w:eastAsia="宋体" w:cs="宋体"/>
                <w:b w:val="0"/>
              </w:rPr>
              <w:t>兴业银行</w:t>
            </w:r>
          </w:p>
        </w:tc>
        <w:tc>
          <w:tcPr>
            <w:tcW w:w="0" w:type="dxa"/>
            <w:vAlign w:val="center"/>
          </w:tcPr>
          <w:p w14:paraId="72C3C8F9">
            <w:pPr>
              <w:spacing w:line="240" w:lineRule="auto"/>
              <w:jc w:val="right"/>
            </w:pPr>
            <w:r>
              <w:rPr>
                <w:rFonts w:ascii="宋体" w:hAnsi="宋体" w:eastAsia="宋体" w:cs="宋体"/>
                <w:b w:val="0"/>
              </w:rPr>
              <w:t>279,692.92</w:t>
            </w:r>
          </w:p>
        </w:tc>
        <w:tc>
          <w:tcPr>
            <w:tcW w:w="0" w:type="dxa"/>
            <w:vAlign w:val="center"/>
          </w:tcPr>
          <w:p w14:paraId="4FE1C289">
            <w:pPr>
              <w:spacing w:line="240" w:lineRule="auto"/>
              <w:jc w:val="right"/>
            </w:pPr>
            <w:r>
              <w:rPr>
                <w:rFonts w:ascii="宋体" w:hAnsi="宋体" w:eastAsia="宋体" w:cs="宋体"/>
                <w:b w:val="0"/>
              </w:rPr>
              <w:t>539.20</w:t>
            </w:r>
          </w:p>
        </w:tc>
        <w:tc>
          <w:tcPr>
            <w:tcW w:w="0" w:type="dxa"/>
            <w:vAlign w:val="center"/>
          </w:tcPr>
          <w:p w14:paraId="4EE954B3">
            <w:pPr>
              <w:spacing w:line="240" w:lineRule="auto"/>
              <w:jc w:val="right"/>
            </w:pPr>
            <w:r>
              <w:rPr>
                <w:rFonts w:ascii="宋体" w:hAnsi="宋体" w:eastAsia="宋体" w:cs="宋体"/>
                <w:b w:val="0"/>
              </w:rPr>
              <w:t>802,501.02</w:t>
            </w:r>
          </w:p>
        </w:tc>
        <w:tc>
          <w:tcPr>
            <w:tcW w:w="0" w:type="dxa"/>
            <w:vAlign w:val="center"/>
          </w:tcPr>
          <w:p w14:paraId="0346402C">
            <w:pPr>
              <w:spacing w:line="240" w:lineRule="auto"/>
              <w:jc w:val="right"/>
            </w:pPr>
            <w:r>
              <w:rPr>
                <w:rFonts w:ascii="宋体" w:hAnsi="宋体" w:eastAsia="宋体" w:cs="宋体"/>
                <w:b w:val="0"/>
              </w:rPr>
              <w:t>1,296.85</w:t>
            </w:r>
          </w:p>
        </w:tc>
      </w:tr>
    </w:tbl>
    <w:p w14:paraId="76E4C3EE">
      <w:r>
        <w:rPr>
          <w:rFonts w:ascii="宋体" w:hAnsi="宋体" w:eastAsia="宋体" w:cs="宋体"/>
          <w:b w:val="0"/>
        </w:rPr>
        <w:t>注：本基金的银行存款由基金托管人兴业银行保管，按银行同业利率计息。</w:t>
      </w:r>
    </w:p>
    <w:p w14:paraId="6A68E1FF"/>
    <w:p w14:paraId="3245C30B">
      <w:pPr>
        <w:pStyle w:val="58"/>
      </w:pPr>
      <w:r>
        <w:rPr>
          <w:rFonts w:ascii="宋体" w:hAnsi="宋体" w:eastAsia="宋体" w:cs="宋体"/>
          <w:b/>
        </w:rPr>
        <w:t>6.4.10.7 本基金在承销期内参与关联方承销证券的情况</w:t>
      </w:r>
    </w:p>
    <w:p w14:paraId="02CF97EB">
      <w:r>
        <w:rPr>
          <w:rFonts w:ascii="宋体" w:hAnsi="宋体" w:eastAsia="宋体" w:cs="宋体"/>
          <w:b w:val="0"/>
        </w:rPr>
        <w:t xml:space="preserve">    本基金本报告期内及上年度可比期间无在承销期内参与关联方承销证券的情况。</w:t>
      </w:r>
    </w:p>
    <w:p w14:paraId="4E9F7002"/>
    <w:p w14:paraId="2144F1F3">
      <w:pPr>
        <w:pStyle w:val="58"/>
      </w:pPr>
      <w:r>
        <w:rPr>
          <w:rFonts w:ascii="宋体" w:hAnsi="宋体" w:eastAsia="宋体" w:cs="宋体"/>
          <w:b/>
        </w:rPr>
        <w:t>6.4.10.8 其他关联交易事项的说明</w:t>
      </w:r>
    </w:p>
    <w:p w14:paraId="5219AC64">
      <w:pPr>
        <w:jc w:val="left"/>
      </w:pPr>
      <w:r>
        <w:rPr>
          <w:rFonts w:ascii="宋体" w:hAnsi="宋体" w:eastAsia="宋体" w:cs="宋体"/>
          <w:b w:val="0"/>
        </w:rPr>
        <w:t xml:space="preserve">    本基金本报告期内及上年度可比期间无须作说明的其他关联交易事项。</w:t>
      </w:r>
    </w:p>
    <w:p w14:paraId="02F0FC15"/>
    <w:p w14:paraId="77EFF48C">
      <w:pPr>
        <w:pStyle w:val="58"/>
      </w:pPr>
      <w:r>
        <w:rPr>
          <w:rFonts w:ascii="宋体" w:hAnsi="宋体" w:eastAsia="宋体" w:cs="宋体"/>
          <w:b/>
        </w:rPr>
        <w:t>6.4.11 利润分配情况</w:t>
      </w:r>
    </w:p>
    <w:p w14:paraId="66E159A9">
      <w:r>
        <w:rPr>
          <w:rFonts w:ascii="宋体" w:hAnsi="宋体" w:eastAsia="宋体" w:cs="宋体"/>
          <w:b w:val="0"/>
        </w:rPr>
        <w:t xml:space="preserve">    本基金本报告期内未进行利润分配。</w:t>
      </w:r>
    </w:p>
    <w:p w14:paraId="78072A40"/>
    <w:p w14:paraId="67B216DA">
      <w:pPr>
        <w:pStyle w:val="58"/>
      </w:pPr>
      <w:r>
        <w:rPr>
          <w:rFonts w:ascii="宋体" w:hAnsi="宋体" w:eastAsia="宋体" w:cs="宋体"/>
          <w:b/>
        </w:rPr>
        <w:t>6.4.12 期末（2026年06月30日）本基金持有的流通受限证券</w:t>
      </w:r>
    </w:p>
    <w:p w14:paraId="43BE1F9D">
      <w:pPr>
        <w:pStyle w:val="58"/>
      </w:pPr>
      <w:r>
        <w:rPr>
          <w:rFonts w:ascii="宋体" w:hAnsi="宋体" w:eastAsia="宋体" w:cs="宋体"/>
          <w:b/>
        </w:rPr>
        <w:t>6.4.12.1 因认购新发/增发证券而于期末持有的流通受限证券</w:t>
      </w:r>
    </w:p>
    <w:p w14:paraId="043457B5">
      <w:r>
        <w:rPr>
          <w:rFonts w:ascii="宋体" w:hAnsi="宋体" w:eastAsia="宋体" w:cs="宋体"/>
          <w:b w:val="0"/>
        </w:rPr>
        <w:t xml:space="preserve">    本基金本期末未持有因认购新发/增发证券而于期末持有的流通受限证券。</w:t>
      </w:r>
    </w:p>
    <w:p w14:paraId="1A38C37F"/>
    <w:p w14:paraId="7801C3A1">
      <w:pPr>
        <w:pStyle w:val="58"/>
      </w:pPr>
      <w:r>
        <w:rPr>
          <w:rFonts w:ascii="宋体" w:hAnsi="宋体" w:eastAsia="宋体" w:cs="宋体"/>
          <w:b/>
        </w:rPr>
        <w:t>6.4.12.2 期末持有的暂时停牌等流通受限股票</w:t>
      </w:r>
    </w:p>
    <w:p w14:paraId="3FD22CF2">
      <w:r>
        <w:rPr>
          <w:rFonts w:ascii="宋体" w:hAnsi="宋体" w:eastAsia="宋体" w:cs="宋体"/>
          <w:b w:val="0"/>
        </w:rPr>
        <w:t xml:space="preserve">    本基金本期末未持有暂时停牌等流通受限股票。</w:t>
      </w:r>
    </w:p>
    <w:p w14:paraId="0D2B1726"/>
    <w:p w14:paraId="6F19852B">
      <w:pPr>
        <w:pStyle w:val="58"/>
      </w:pPr>
      <w:r>
        <w:rPr>
          <w:rFonts w:ascii="宋体" w:hAnsi="宋体" w:eastAsia="宋体" w:cs="宋体"/>
          <w:b/>
        </w:rPr>
        <w:t>6.4.12.3 期末债券正回购交易中作为抵押的债券</w:t>
      </w:r>
    </w:p>
    <w:p w14:paraId="06162AB6">
      <w:pPr>
        <w:pStyle w:val="58"/>
      </w:pPr>
      <w:r>
        <w:rPr>
          <w:rFonts w:ascii="宋体" w:hAnsi="宋体" w:eastAsia="宋体" w:cs="宋体"/>
          <w:b/>
        </w:rPr>
        <w:t>6.4.12.3.1 银行间市场债券正回购</w:t>
      </w:r>
    </w:p>
    <w:p w14:paraId="099F7057">
      <w:pPr>
        <w:jc w:val="left"/>
      </w:pPr>
      <w:r>
        <w:rPr>
          <w:rFonts w:ascii="宋体" w:hAnsi="宋体" w:eastAsia="宋体" w:cs="宋体"/>
          <w:b w:val="0"/>
        </w:rPr>
        <w:t xml:space="preserve">    本基金本报告期末无从事银行间市场债券正回购交易形成的卖出回购证券款余额。</w:t>
      </w:r>
    </w:p>
    <w:p w14:paraId="5ECFD3A6"/>
    <w:p w14:paraId="15949204">
      <w:pPr>
        <w:pStyle w:val="58"/>
      </w:pPr>
      <w:r>
        <w:rPr>
          <w:rFonts w:ascii="宋体" w:hAnsi="宋体" w:eastAsia="宋体" w:cs="宋体"/>
          <w:b/>
        </w:rPr>
        <w:t>6.4.12.3.2 交易所市场债券正回购</w:t>
      </w:r>
    </w:p>
    <w:p w14:paraId="0AF3661E">
      <w:pPr>
        <w:jc w:val="left"/>
      </w:pPr>
      <w:r>
        <w:rPr>
          <w:rFonts w:ascii="宋体" w:hAnsi="宋体" w:eastAsia="宋体" w:cs="宋体"/>
          <w:b w:val="0"/>
        </w:rPr>
        <w:t xml:space="preserve">    本基金本报告期末无从事交易所债券正回购交易形成的卖出回购证券款余额。</w:t>
      </w:r>
    </w:p>
    <w:p w14:paraId="085A0FEF"/>
    <w:p w14:paraId="07919191">
      <w:pPr>
        <w:pStyle w:val="58"/>
      </w:pPr>
      <w:r>
        <w:rPr>
          <w:rFonts w:ascii="宋体" w:hAnsi="宋体" w:eastAsia="宋体" w:cs="宋体"/>
          <w:b/>
        </w:rPr>
        <w:t>6.4.12.4 期末参与转融通证券出借业务的证券</w:t>
      </w:r>
    </w:p>
    <w:p w14:paraId="0C4235EF">
      <w:r>
        <w:rPr>
          <w:rFonts w:ascii="宋体" w:hAnsi="宋体" w:eastAsia="宋体" w:cs="宋体"/>
          <w:b w:val="0"/>
        </w:rPr>
        <w:t xml:space="preserve">    本基金本报告期末无参与转融通出借业务的证券。</w:t>
      </w:r>
    </w:p>
    <w:p w14:paraId="636EAF77"/>
    <w:p w14:paraId="5878BD9B">
      <w:pPr>
        <w:pStyle w:val="58"/>
      </w:pPr>
      <w:r>
        <w:rPr>
          <w:rFonts w:ascii="宋体" w:hAnsi="宋体" w:eastAsia="宋体" w:cs="宋体"/>
          <w:b/>
        </w:rPr>
        <w:t>6.4.13 金融工具风险及管理</w:t>
      </w:r>
    </w:p>
    <w:p w14:paraId="31C9ABC8">
      <w:pPr>
        <w:pStyle w:val="58"/>
      </w:pPr>
      <w:r>
        <w:rPr>
          <w:rFonts w:ascii="宋体" w:hAnsi="宋体" w:eastAsia="宋体" w:cs="宋体"/>
          <w:b/>
        </w:rPr>
        <w:t>6.4.13.1 风险管理政策和组织架构</w:t>
      </w:r>
    </w:p>
    <w:p w14:paraId="0C9E2E64">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638A0A3C"/>
    <w:p w14:paraId="410D02CE">
      <w:pPr>
        <w:pStyle w:val="58"/>
      </w:pPr>
      <w:r>
        <w:rPr>
          <w:rFonts w:ascii="宋体" w:hAnsi="宋体" w:eastAsia="宋体" w:cs="宋体"/>
          <w:b/>
        </w:rPr>
        <w:t>6.4.13.2 信用风险</w:t>
      </w:r>
    </w:p>
    <w:p w14:paraId="154197F2">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于2026年06月30日，本基金未持有除国债、央行票据和政策性金融债以外的债券(2025年12月31日：同)。</w:t>
      </w:r>
    </w:p>
    <w:p w14:paraId="79887FE7"/>
    <w:p w14:paraId="2B2612D1">
      <w:pPr>
        <w:pStyle w:val="58"/>
      </w:pPr>
      <w:r>
        <w:rPr>
          <w:rFonts w:ascii="宋体" w:hAnsi="宋体" w:eastAsia="宋体" w:cs="宋体"/>
          <w:b/>
        </w:rPr>
        <w:t>6.4.13.3 流动性风险</w:t>
      </w:r>
    </w:p>
    <w:p w14:paraId="58DBF85E">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13B4628B"/>
    <w:p w14:paraId="35D95719">
      <w:pPr>
        <w:pStyle w:val="58"/>
      </w:pPr>
      <w:r>
        <w:rPr>
          <w:rFonts w:ascii="宋体" w:hAnsi="宋体" w:eastAsia="宋体" w:cs="宋体"/>
          <w:b/>
        </w:rPr>
        <w:t>6.4.13.3.1 报告期内本基金组合资产的流动性风险分析</w:t>
      </w:r>
    </w:p>
    <w:p w14:paraId="5C16514B">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于2026年06月30日，本基金主动投资于流动性受限资产的市值合计未超过基金资产净值的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5CF713D"/>
    <w:p w14:paraId="31719C79">
      <w:pPr>
        <w:pStyle w:val="58"/>
      </w:pPr>
      <w:r>
        <w:rPr>
          <w:rFonts w:ascii="宋体" w:hAnsi="宋体" w:eastAsia="宋体" w:cs="宋体"/>
          <w:b/>
        </w:rPr>
        <w:t>6.4.13.4 市场风险</w:t>
      </w:r>
    </w:p>
    <w:p w14:paraId="5827E15E">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3A55F263"/>
    <w:p w14:paraId="7002AAAE">
      <w:pPr>
        <w:pStyle w:val="58"/>
      </w:pPr>
      <w:r>
        <w:rPr>
          <w:rFonts w:ascii="宋体" w:hAnsi="宋体" w:eastAsia="宋体" w:cs="宋体"/>
          <w:b/>
        </w:rPr>
        <w:t>6.4.13.4.1 利率风险</w:t>
      </w:r>
    </w:p>
    <w:p w14:paraId="483445D9">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本基金持有及承担的大部分金融资产和金融负债不计息，因此本基金的收入及经营活动的现金流量在很大程度上独立于市场利率变化。本基金持有的利率敏感性资产主要为银行存款、结算备付金和债券投资等。</w:t>
      </w:r>
    </w:p>
    <w:p w14:paraId="4234A58D"/>
    <w:p w14:paraId="041F79F5">
      <w:pPr>
        <w:pStyle w:val="58"/>
      </w:pPr>
      <w:r>
        <w:rPr>
          <w:rFonts w:ascii="宋体" w:hAnsi="宋体" w:eastAsia="宋体" w:cs="宋体"/>
          <w:b/>
        </w:rPr>
        <w:t>6.4.13.4.1.1 利率风险敞口</w:t>
      </w:r>
    </w:p>
    <w:p w14:paraId="1BB869A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10B4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00911741">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5BB6D494">
            <w:pPr>
              <w:spacing w:line="240" w:lineRule="auto"/>
              <w:jc w:val="center"/>
            </w:pPr>
            <w:r>
              <w:rPr>
                <w:rFonts w:ascii="宋体" w:hAnsi="宋体" w:eastAsia="宋体" w:cs="宋体"/>
                <w:b w:val="0"/>
              </w:rPr>
              <w:t>1个月以内</w:t>
            </w:r>
          </w:p>
        </w:tc>
        <w:tc>
          <w:tcPr>
            <w:tcW w:w="615" w:type="pct"/>
            <w:shd w:val="clear" w:color="auto" w:fill="D9D9D9"/>
            <w:vAlign w:val="center"/>
          </w:tcPr>
          <w:p w14:paraId="429E2375">
            <w:pPr>
              <w:spacing w:line="240" w:lineRule="auto"/>
              <w:jc w:val="center"/>
            </w:pPr>
            <w:r>
              <w:rPr>
                <w:rFonts w:ascii="宋体" w:hAnsi="宋体" w:eastAsia="宋体" w:cs="宋体"/>
                <w:b w:val="0"/>
              </w:rPr>
              <w:t>1-3个月</w:t>
            </w:r>
          </w:p>
        </w:tc>
        <w:tc>
          <w:tcPr>
            <w:tcW w:w="769" w:type="pct"/>
            <w:shd w:val="clear" w:color="auto" w:fill="D9D9D9"/>
            <w:vAlign w:val="center"/>
          </w:tcPr>
          <w:p w14:paraId="3375CBD6">
            <w:pPr>
              <w:spacing w:line="240" w:lineRule="auto"/>
              <w:jc w:val="center"/>
            </w:pPr>
            <w:r>
              <w:rPr>
                <w:rFonts w:ascii="宋体" w:hAnsi="宋体" w:eastAsia="宋体" w:cs="宋体"/>
                <w:b w:val="0"/>
              </w:rPr>
              <w:t>3个月-1年</w:t>
            </w:r>
          </w:p>
        </w:tc>
        <w:tc>
          <w:tcPr>
            <w:tcW w:w="615" w:type="pct"/>
            <w:shd w:val="clear" w:color="auto" w:fill="D9D9D9"/>
            <w:vAlign w:val="center"/>
          </w:tcPr>
          <w:p w14:paraId="5B0B9CD7">
            <w:pPr>
              <w:spacing w:line="240" w:lineRule="auto"/>
              <w:jc w:val="center"/>
            </w:pPr>
            <w:r>
              <w:rPr>
                <w:rFonts w:ascii="宋体" w:hAnsi="宋体" w:eastAsia="宋体" w:cs="宋体"/>
                <w:b w:val="0"/>
              </w:rPr>
              <w:t>1-5年</w:t>
            </w:r>
          </w:p>
        </w:tc>
        <w:tc>
          <w:tcPr>
            <w:tcW w:w="615" w:type="pct"/>
            <w:shd w:val="clear" w:color="auto" w:fill="D9D9D9"/>
            <w:vAlign w:val="center"/>
          </w:tcPr>
          <w:p w14:paraId="7E2999F3">
            <w:pPr>
              <w:spacing w:line="240" w:lineRule="auto"/>
              <w:jc w:val="center"/>
            </w:pPr>
            <w:r>
              <w:rPr>
                <w:rFonts w:ascii="宋体" w:hAnsi="宋体" w:eastAsia="宋体" w:cs="宋体"/>
                <w:b w:val="0"/>
              </w:rPr>
              <w:t>5年以上</w:t>
            </w:r>
          </w:p>
        </w:tc>
        <w:tc>
          <w:tcPr>
            <w:tcW w:w="615" w:type="pct"/>
            <w:shd w:val="clear" w:color="auto" w:fill="D9D9D9"/>
            <w:vAlign w:val="center"/>
          </w:tcPr>
          <w:p w14:paraId="594B14AB">
            <w:pPr>
              <w:spacing w:line="240" w:lineRule="auto"/>
              <w:jc w:val="center"/>
            </w:pPr>
            <w:r>
              <w:rPr>
                <w:rFonts w:ascii="宋体" w:hAnsi="宋体" w:eastAsia="宋体" w:cs="宋体"/>
                <w:b w:val="0"/>
              </w:rPr>
              <w:t>不计息</w:t>
            </w:r>
          </w:p>
        </w:tc>
        <w:tc>
          <w:tcPr>
            <w:tcW w:w="615" w:type="pct"/>
            <w:shd w:val="clear" w:color="auto" w:fill="D9D9D9"/>
            <w:vAlign w:val="center"/>
          </w:tcPr>
          <w:p w14:paraId="7DB84A32">
            <w:pPr>
              <w:spacing w:line="240" w:lineRule="auto"/>
              <w:jc w:val="center"/>
            </w:pPr>
            <w:r>
              <w:rPr>
                <w:rFonts w:ascii="宋体" w:hAnsi="宋体" w:eastAsia="宋体" w:cs="宋体"/>
                <w:b w:val="0"/>
              </w:rPr>
              <w:t>合计</w:t>
            </w:r>
          </w:p>
        </w:tc>
      </w:tr>
      <w:tr w14:paraId="58EF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ABEB7D">
            <w:pPr>
              <w:spacing w:line="240" w:lineRule="auto"/>
              <w:jc w:val="center"/>
            </w:pPr>
            <w:r>
              <w:rPr>
                <w:rFonts w:ascii="宋体" w:hAnsi="宋体" w:eastAsia="宋体" w:cs="宋体"/>
                <w:b w:val="0"/>
              </w:rPr>
              <w:t>资产</w:t>
            </w:r>
          </w:p>
        </w:tc>
        <w:tc>
          <w:tcPr>
            <w:tcW w:w="0" w:type="dxa"/>
            <w:vAlign w:val="center"/>
          </w:tcPr>
          <w:p w14:paraId="4EE0A60A">
            <w:pPr>
              <w:spacing w:line="240" w:lineRule="auto"/>
              <w:jc w:val="right"/>
            </w:pPr>
          </w:p>
        </w:tc>
        <w:tc>
          <w:tcPr>
            <w:tcW w:w="0" w:type="dxa"/>
            <w:vAlign w:val="center"/>
          </w:tcPr>
          <w:p w14:paraId="2BC4DF8A">
            <w:pPr>
              <w:spacing w:line="240" w:lineRule="auto"/>
              <w:jc w:val="right"/>
            </w:pPr>
          </w:p>
        </w:tc>
        <w:tc>
          <w:tcPr>
            <w:tcW w:w="0" w:type="dxa"/>
            <w:vAlign w:val="center"/>
          </w:tcPr>
          <w:p w14:paraId="4A892AAA">
            <w:pPr>
              <w:spacing w:line="240" w:lineRule="auto"/>
              <w:jc w:val="right"/>
            </w:pPr>
          </w:p>
        </w:tc>
        <w:tc>
          <w:tcPr>
            <w:tcW w:w="0" w:type="dxa"/>
            <w:vAlign w:val="center"/>
          </w:tcPr>
          <w:p w14:paraId="6BFE2083">
            <w:pPr>
              <w:spacing w:line="240" w:lineRule="auto"/>
              <w:jc w:val="right"/>
            </w:pPr>
          </w:p>
        </w:tc>
        <w:tc>
          <w:tcPr>
            <w:tcW w:w="0" w:type="dxa"/>
            <w:vAlign w:val="center"/>
          </w:tcPr>
          <w:p w14:paraId="54D8587D">
            <w:pPr>
              <w:spacing w:line="240" w:lineRule="auto"/>
              <w:jc w:val="right"/>
            </w:pPr>
          </w:p>
        </w:tc>
        <w:tc>
          <w:tcPr>
            <w:tcW w:w="0" w:type="dxa"/>
            <w:vAlign w:val="center"/>
          </w:tcPr>
          <w:p w14:paraId="7AE99623">
            <w:pPr>
              <w:spacing w:line="240" w:lineRule="auto"/>
              <w:jc w:val="right"/>
            </w:pPr>
          </w:p>
        </w:tc>
        <w:tc>
          <w:tcPr>
            <w:tcW w:w="0" w:type="dxa"/>
            <w:vAlign w:val="center"/>
          </w:tcPr>
          <w:p w14:paraId="18529618">
            <w:pPr>
              <w:spacing w:line="240" w:lineRule="auto"/>
              <w:jc w:val="right"/>
            </w:pPr>
          </w:p>
        </w:tc>
      </w:tr>
      <w:tr w14:paraId="2FF6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A15CF">
            <w:pPr>
              <w:spacing w:line="240" w:lineRule="auto"/>
              <w:jc w:val="center"/>
            </w:pPr>
            <w:r>
              <w:rPr>
                <w:rFonts w:ascii="宋体" w:hAnsi="宋体" w:eastAsia="宋体" w:cs="宋体"/>
                <w:b w:val="0"/>
              </w:rPr>
              <w:t>货币资金</w:t>
            </w:r>
          </w:p>
        </w:tc>
        <w:tc>
          <w:tcPr>
            <w:tcW w:w="0" w:type="dxa"/>
            <w:vAlign w:val="center"/>
          </w:tcPr>
          <w:p w14:paraId="1D971ADB">
            <w:pPr>
              <w:spacing w:line="240" w:lineRule="auto"/>
              <w:jc w:val="right"/>
            </w:pPr>
            <w:r>
              <w:rPr>
                <w:rFonts w:ascii="宋体" w:hAnsi="宋体" w:eastAsia="宋体" w:cs="宋体"/>
                <w:b w:val="0"/>
              </w:rPr>
              <w:t>2,820,391.63</w:t>
            </w:r>
          </w:p>
        </w:tc>
        <w:tc>
          <w:tcPr>
            <w:tcW w:w="0" w:type="dxa"/>
            <w:vAlign w:val="center"/>
          </w:tcPr>
          <w:p w14:paraId="18CFCDDD">
            <w:pPr>
              <w:spacing w:line="240" w:lineRule="auto"/>
              <w:jc w:val="right"/>
            </w:pPr>
            <w:r>
              <w:rPr>
                <w:rFonts w:ascii="宋体" w:hAnsi="宋体" w:eastAsia="宋体" w:cs="宋体"/>
                <w:b w:val="0"/>
              </w:rPr>
              <w:t>-</w:t>
            </w:r>
          </w:p>
        </w:tc>
        <w:tc>
          <w:tcPr>
            <w:tcW w:w="0" w:type="dxa"/>
            <w:vAlign w:val="center"/>
          </w:tcPr>
          <w:p w14:paraId="3F38E3BE">
            <w:pPr>
              <w:spacing w:line="240" w:lineRule="auto"/>
              <w:jc w:val="right"/>
            </w:pPr>
            <w:r>
              <w:rPr>
                <w:rFonts w:ascii="宋体" w:hAnsi="宋体" w:eastAsia="宋体" w:cs="宋体"/>
                <w:b w:val="0"/>
              </w:rPr>
              <w:t>-</w:t>
            </w:r>
          </w:p>
        </w:tc>
        <w:tc>
          <w:tcPr>
            <w:tcW w:w="0" w:type="dxa"/>
            <w:vAlign w:val="center"/>
          </w:tcPr>
          <w:p w14:paraId="6AF4F314">
            <w:pPr>
              <w:spacing w:line="240" w:lineRule="auto"/>
              <w:jc w:val="right"/>
            </w:pPr>
            <w:r>
              <w:rPr>
                <w:rFonts w:ascii="宋体" w:hAnsi="宋体" w:eastAsia="宋体" w:cs="宋体"/>
                <w:b w:val="0"/>
              </w:rPr>
              <w:t>-</w:t>
            </w:r>
          </w:p>
        </w:tc>
        <w:tc>
          <w:tcPr>
            <w:tcW w:w="0" w:type="dxa"/>
            <w:vAlign w:val="center"/>
          </w:tcPr>
          <w:p w14:paraId="251002B1">
            <w:pPr>
              <w:spacing w:line="240" w:lineRule="auto"/>
              <w:jc w:val="right"/>
            </w:pPr>
            <w:r>
              <w:rPr>
                <w:rFonts w:ascii="宋体" w:hAnsi="宋体" w:eastAsia="宋体" w:cs="宋体"/>
                <w:b w:val="0"/>
              </w:rPr>
              <w:t>-</w:t>
            </w:r>
          </w:p>
        </w:tc>
        <w:tc>
          <w:tcPr>
            <w:tcW w:w="0" w:type="dxa"/>
            <w:vAlign w:val="center"/>
          </w:tcPr>
          <w:p w14:paraId="13FAD246">
            <w:pPr>
              <w:spacing w:line="240" w:lineRule="auto"/>
              <w:jc w:val="right"/>
            </w:pPr>
            <w:r>
              <w:rPr>
                <w:rFonts w:ascii="宋体" w:hAnsi="宋体" w:eastAsia="宋体" w:cs="宋体"/>
                <w:b w:val="0"/>
              </w:rPr>
              <w:t>-</w:t>
            </w:r>
          </w:p>
        </w:tc>
        <w:tc>
          <w:tcPr>
            <w:tcW w:w="0" w:type="dxa"/>
            <w:vAlign w:val="center"/>
          </w:tcPr>
          <w:p w14:paraId="20BDFF23">
            <w:pPr>
              <w:spacing w:line="240" w:lineRule="auto"/>
              <w:jc w:val="right"/>
            </w:pPr>
            <w:r>
              <w:rPr>
                <w:rFonts w:ascii="宋体" w:hAnsi="宋体" w:eastAsia="宋体" w:cs="宋体"/>
                <w:b w:val="0"/>
              </w:rPr>
              <w:t>2,820,391.63</w:t>
            </w:r>
          </w:p>
        </w:tc>
      </w:tr>
      <w:tr w14:paraId="3D4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D89F88">
            <w:pPr>
              <w:spacing w:line="240" w:lineRule="auto"/>
              <w:jc w:val="center"/>
            </w:pPr>
            <w:r>
              <w:rPr>
                <w:rFonts w:ascii="宋体" w:hAnsi="宋体" w:eastAsia="宋体" w:cs="宋体"/>
                <w:b w:val="0"/>
              </w:rPr>
              <w:t>交易性金融资产</w:t>
            </w:r>
          </w:p>
        </w:tc>
        <w:tc>
          <w:tcPr>
            <w:tcW w:w="0" w:type="dxa"/>
            <w:vAlign w:val="center"/>
          </w:tcPr>
          <w:p w14:paraId="380DA495">
            <w:pPr>
              <w:spacing w:line="240" w:lineRule="auto"/>
              <w:jc w:val="right"/>
            </w:pPr>
            <w:r>
              <w:rPr>
                <w:rFonts w:ascii="宋体" w:hAnsi="宋体" w:eastAsia="宋体" w:cs="宋体"/>
                <w:b w:val="0"/>
              </w:rPr>
              <w:t>2,936,613.89</w:t>
            </w:r>
          </w:p>
        </w:tc>
        <w:tc>
          <w:tcPr>
            <w:tcW w:w="0" w:type="dxa"/>
            <w:vAlign w:val="center"/>
          </w:tcPr>
          <w:p w14:paraId="0BE6018D">
            <w:pPr>
              <w:spacing w:line="240" w:lineRule="auto"/>
              <w:jc w:val="right"/>
            </w:pPr>
            <w:r>
              <w:rPr>
                <w:rFonts w:ascii="宋体" w:hAnsi="宋体" w:eastAsia="宋体" w:cs="宋体"/>
                <w:b w:val="0"/>
              </w:rPr>
              <w:t>-</w:t>
            </w:r>
          </w:p>
        </w:tc>
        <w:tc>
          <w:tcPr>
            <w:tcW w:w="0" w:type="dxa"/>
            <w:vAlign w:val="center"/>
          </w:tcPr>
          <w:p w14:paraId="1C08394E">
            <w:pPr>
              <w:spacing w:line="240" w:lineRule="auto"/>
              <w:jc w:val="right"/>
            </w:pPr>
            <w:r>
              <w:rPr>
                <w:rFonts w:ascii="宋体" w:hAnsi="宋体" w:eastAsia="宋体" w:cs="宋体"/>
                <w:b w:val="0"/>
              </w:rPr>
              <w:t>-</w:t>
            </w:r>
          </w:p>
        </w:tc>
        <w:tc>
          <w:tcPr>
            <w:tcW w:w="0" w:type="dxa"/>
            <w:vAlign w:val="center"/>
          </w:tcPr>
          <w:p w14:paraId="3329C6BB">
            <w:pPr>
              <w:spacing w:line="240" w:lineRule="auto"/>
              <w:jc w:val="right"/>
            </w:pPr>
            <w:r>
              <w:rPr>
                <w:rFonts w:ascii="宋体" w:hAnsi="宋体" w:eastAsia="宋体" w:cs="宋体"/>
                <w:b w:val="0"/>
              </w:rPr>
              <w:t>-</w:t>
            </w:r>
          </w:p>
        </w:tc>
        <w:tc>
          <w:tcPr>
            <w:tcW w:w="0" w:type="dxa"/>
            <w:vAlign w:val="center"/>
          </w:tcPr>
          <w:p w14:paraId="54D2E911">
            <w:pPr>
              <w:spacing w:line="240" w:lineRule="auto"/>
              <w:jc w:val="right"/>
            </w:pPr>
            <w:r>
              <w:rPr>
                <w:rFonts w:ascii="宋体" w:hAnsi="宋体" w:eastAsia="宋体" w:cs="宋体"/>
                <w:b w:val="0"/>
              </w:rPr>
              <w:t>-</w:t>
            </w:r>
          </w:p>
        </w:tc>
        <w:tc>
          <w:tcPr>
            <w:tcW w:w="0" w:type="dxa"/>
            <w:vAlign w:val="center"/>
          </w:tcPr>
          <w:p w14:paraId="6BCCFDDA">
            <w:pPr>
              <w:spacing w:line="240" w:lineRule="auto"/>
              <w:jc w:val="right"/>
            </w:pPr>
            <w:r>
              <w:rPr>
                <w:rFonts w:ascii="宋体" w:hAnsi="宋体" w:eastAsia="宋体" w:cs="宋体"/>
                <w:b w:val="0"/>
              </w:rPr>
              <w:t>44,985,065.53</w:t>
            </w:r>
          </w:p>
        </w:tc>
        <w:tc>
          <w:tcPr>
            <w:tcW w:w="0" w:type="dxa"/>
            <w:vAlign w:val="center"/>
          </w:tcPr>
          <w:p w14:paraId="47E97E28">
            <w:pPr>
              <w:spacing w:line="240" w:lineRule="auto"/>
              <w:jc w:val="right"/>
            </w:pPr>
            <w:r>
              <w:rPr>
                <w:rFonts w:ascii="宋体" w:hAnsi="宋体" w:eastAsia="宋体" w:cs="宋体"/>
                <w:b w:val="0"/>
              </w:rPr>
              <w:t>47,921,679.42</w:t>
            </w:r>
          </w:p>
        </w:tc>
      </w:tr>
      <w:tr w14:paraId="2F54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96920C">
            <w:pPr>
              <w:spacing w:line="240" w:lineRule="auto"/>
              <w:jc w:val="center"/>
            </w:pPr>
            <w:r>
              <w:rPr>
                <w:rFonts w:ascii="宋体" w:hAnsi="宋体" w:eastAsia="宋体" w:cs="宋体"/>
                <w:b w:val="0"/>
              </w:rPr>
              <w:t>应收股利</w:t>
            </w:r>
          </w:p>
        </w:tc>
        <w:tc>
          <w:tcPr>
            <w:tcW w:w="0" w:type="dxa"/>
            <w:vAlign w:val="center"/>
          </w:tcPr>
          <w:p w14:paraId="2729979F">
            <w:pPr>
              <w:spacing w:line="240" w:lineRule="auto"/>
              <w:jc w:val="right"/>
            </w:pPr>
            <w:r>
              <w:rPr>
                <w:rFonts w:ascii="宋体" w:hAnsi="宋体" w:eastAsia="宋体" w:cs="宋体"/>
                <w:b w:val="0"/>
              </w:rPr>
              <w:t>-</w:t>
            </w:r>
          </w:p>
        </w:tc>
        <w:tc>
          <w:tcPr>
            <w:tcW w:w="0" w:type="dxa"/>
            <w:vAlign w:val="center"/>
          </w:tcPr>
          <w:p w14:paraId="1A3D9932">
            <w:pPr>
              <w:spacing w:line="240" w:lineRule="auto"/>
              <w:jc w:val="right"/>
            </w:pPr>
            <w:r>
              <w:rPr>
                <w:rFonts w:ascii="宋体" w:hAnsi="宋体" w:eastAsia="宋体" w:cs="宋体"/>
                <w:b w:val="0"/>
              </w:rPr>
              <w:t>-</w:t>
            </w:r>
          </w:p>
        </w:tc>
        <w:tc>
          <w:tcPr>
            <w:tcW w:w="0" w:type="dxa"/>
            <w:vAlign w:val="center"/>
          </w:tcPr>
          <w:p w14:paraId="1418791B">
            <w:pPr>
              <w:spacing w:line="240" w:lineRule="auto"/>
              <w:jc w:val="right"/>
            </w:pPr>
            <w:r>
              <w:rPr>
                <w:rFonts w:ascii="宋体" w:hAnsi="宋体" w:eastAsia="宋体" w:cs="宋体"/>
                <w:b w:val="0"/>
              </w:rPr>
              <w:t>-</w:t>
            </w:r>
          </w:p>
        </w:tc>
        <w:tc>
          <w:tcPr>
            <w:tcW w:w="0" w:type="dxa"/>
            <w:vAlign w:val="center"/>
          </w:tcPr>
          <w:p w14:paraId="3CAB0329">
            <w:pPr>
              <w:spacing w:line="240" w:lineRule="auto"/>
              <w:jc w:val="right"/>
            </w:pPr>
            <w:r>
              <w:rPr>
                <w:rFonts w:ascii="宋体" w:hAnsi="宋体" w:eastAsia="宋体" w:cs="宋体"/>
                <w:b w:val="0"/>
              </w:rPr>
              <w:t>-</w:t>
            </w:r>
          </w:p>
        </w:tc>
        <w:tc>
          <w:tcPr>
            <w:tcW w:w="0" w:type="dxa"/>
            <w:vAlign w:val="center"/>
          </w:tcPr>
          <w:p w14:paraId="5C352833">
            <w:pPr>
              <w:spacing w:line="240" w:lineRule="auto"/>
              <w:jc w:val="right"/>
            </w:pPr>
            <w:r>
              <w:rPr>
                <w:rFonts w:ascii="宋体" w:hAnsi="宋体" w:eastAsia="宋体" w:cs="宋体"/>
                <w:b w:val="0"/>
              </w:rPr>
              <w:t>-</w:t>
            </w:r>
          </w:p>
        </w:tc>
        <w:tc>
          <w:tcPr>
            <w:tcW w:w="0" w:type="dxa"/>
            <w:vAlign w:val="center"/>
          </w:tcPr>
          <w:p w14:paraId="236444B7">
            <w:pPr>
              <w:spacing w:line="240" w:lineRule="auto"/>
              <w:jc w:val="right"/>
            </w:pPr>
            <w:r>
              <w:rPr>
                <w:rFonts w:ascii="宋体" w:hAnsi="宋体" w:eastAsia="宋体" w:cs="宋体"/>
                <w:b w:val="0"/>
              </w:rPr>
              <w:t>545,554.74</w:t>
            </w:r>
          </w:p>
        </w:tc>
        <w:tc>
          <w:tcPr>
            <w:tcW w:w="0" w:type="dxa"/>
            <w:vAlign w:val="center"/>
          </w:tcPr>
          <w:p w14:paraId="57B2935C">
            <w:pPr>
              <w:spacing w:line="240" w:lineRule="auto"/>
              <w:jc w:val="right"/>
            </w:pPr>
            <w:r>
              <w:rPr>
                <w:rFonts w:ascii="宋体" w:hAnsi="宋体" w:eastAsia="宋体" w:cs="宋体"/>
                <w:b w:val="0"/>
              </w:rPr>
              <w:t>545,554.74</w:t>
            </w:r>
          </w:p>
        </w:tc>
      </w:tr>
      <w:tr w14:paraId="351D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B537E4">
            <w:pPr>
              <w:spacing w:line="240" w:lineRule="auto"/>
              <w:jc w:val="center"/>
            </w:pPr>
            <w:r>
              <w:rPr>
                <w:rFonts w:ascii="宋体" w:hAnsi="宋体" w:eastAsia="宋体" w:cs="宋体"/>
                <w:b w:val="0"/>
              </w:rPr>
              <w:t>应收申购款</w:t>
            </w:r>
          </w:p>
        </w:tc>
        <w:tc>
          <w:tcPr>
            <w:tcW w:w="0" w:type="dxa"/>
            <w:vAlign w:val="center"/>
          </w:tcPr>
          <w:p w14:paraId="5A1D7C78">
            <w:pPr>
              <w:spacing w:line="240" w:lineRule="auto"/>
              <w:jc w:val="right"/>
            </w:pPr>
            <w:r>
              <w:rPr>
                <w:rFonts w:ascii="宋体" w:hAnsi="宋体" w:eastAsia="宋体" w:cs="宋体"/>
                <w:b w:val="0"/>
              </w:rPr>
              <w:t>-</w:t>
            </w:r>
          </w:p>
        </w:tc>
        <w:tc>
          <w:tcPr>
            <w:tcW w:w="0" w:type="dxa"/>
            <w:vAlign w:val="center"/>
          </w:tcPr>
          <w:p w14:paraId="78F047F4">
            <w:pPr>
              <w:spacing w:line="240" w:lineRule="auto"/>
              <w:jc w:val="right"/>
            </w:pPr>
            <w:r>
              <w:rPr>
                <w:rFonts w:ascii="宋体" w:hAnsi="宋体" w:eastAsia="宋体" w:cs="宋体"/>
                <w:b w:val="0"/>
              </w:rPr>
              <w:t>-</w:t>
            </w:r>
          </w:p>
        </w:tc>
        <w:tc>
          <w:tcPr>
            <w:tcW w:w="0" w:type="dxa"/>
            <w:vAlign w:val="center"/>
          </w:tcPr>
          <w:p w14:paraId="4A5B3F41">
            <w:pPr>
              <w:spacing w:line="240" w:lineRule="auto"/>
              <w:jc w:val="right"/>
            </w:pPr>
            <w:r>
              <w:rPr>
                <w:rFonts w:ascii="宋体" w:hAnsi="宋体" w:eastAsia="宋体" w:cs="宋体"/>
                <w:b w:val="0"/>
              </w:rPr>
              <w:t>-</w:t>
            </w:r>
          </w:p>
        </w:tc>
        <w:tc>
          <w:tcPr>
            <w:tcW w:w="0" w:type="dxa"/>
            <w:vAlign w:val="center"/>
          </w:tcPr>
          <w:p w14:paraId="4EB4C39E">
            <w:pPr>
              <w:spacing w:line="240" w:lineRule="auto"/>
              <w:jc w:val="right"/>
            </w:pPr>
            <w:r>
              <w:rPr>
                <w:rFonts w:ascii="宋体" w:hAnsi="宋体" w:eastAsia="宋体" w:cs="宋体"/>
                <w:b w:val="0"/>
              </w:rPr>
              <w:t>-</w:t>
            </w:r>
          </w:p>
        </w:tc>
        <w:tc>
          <w:tcPr>
            <w:tcW w:w="0" w:type="dxa"/>
            <w:vAlign w:val="center"/>
          </w:tcPr>
          <w:p w14:paraId="3F49F8F4">
            <w:pPr>
              <w:spacing w:line="240" w:lineRule="auto"/>
              <w:jc w:val="right"/>
            </w:pPr>
            <w:r>
              <w:rPr>
                <w:rFonts w:ascii="宋体" w:hAnsi="宋体" w:eastAsia="宋体" w:cs="宋体"/>
                <w:b w:val="0"/>
              </w:rPr>
              <w:t>-</w:t>
            </w:r>
          </w:p>
        </w:tc>
        <w:tc>
          <w:tcPr>
            <w:tcW w:w="0" w:type="dxa"/>
            <w:vAlign w:val="center"/>
          </w:tcPr>
          <w:p w14:paraId="29214717">
            <w:pPr>
              <w:spacing w:line="240" w:lineRule="auto"/>
              <w:jc w:val="right"/>
            </w:pPr>
            <w:r>
              <w:rPr>
                <w:rFonts w:ascii="宋体" w:hAnsi="宋体" w:eastAsia="宋体" w:cs="宋体"/>
                <w:b w:val="0"/>
              </w:rPr>
              <w:t>31,985.03</w:t>
            </w:r>
          </w:p>
        </w:tc>
        <w:tc>
          <w:tcPr>
            <w:tcW w:w="0" w:type="dxa"/>
            <w:vAlign w:val="center"/>
          </w:tcPr>
          <w:p w14:paraId="244624D7">
            <w:pPr>
              <w:spacing w:line="240" w:lineRule="auto"/>
              <w:jc w:val="right"/>
            </w:pPr>
            <w:r>
              <w:rPr>
                <w:rFonts w:ascii="宋体" w:hAnsi="宋体" w:eastAsia="宋体" w:cs="宋体"/>
                <w:b w:val="0"/>
              </w:rPr>
              <w:t>31,985.03</w:t>
            </w:r>
          </w:p>
        </w:tc>
      </w:tr>
      <w:tr w14:paraId="1A02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C0EAFE">
            <w:pPr>
              <w:spacing w:line="240" w:lineRule="auto"/>
              <w:jc w:val="center"/>
            </w:pPr>
            <w:r>
              <w:rPr>
                <w:rFonts w:ascii="宋体" w:hAnsi="宋体" w:eastAsia="宋体" w:cs="宋体"/>
                <w:b w:val="0"/>
              </w:rPr>
              <w:t>资产总计</w:t>
            </w:r>
          </w:p>
        </w:tc>
        <w:tc>
          <w:tcPr>
            <w:tcW w:w="0" w:type="dxa"/>
            <w:vAlign w:val="center"/>
          </w:tcPr>
          <w:p w14:paraId="2469D9C7">
            <w:pPr>
              <w:spacing w:line="240" w:lineRule="auto"/>
              <w:jc w:val="right"/>
            </w:pPr>
            <w:r>
              <w:rPr>
                <w:rFonts w:ascii="宋体" w:hAnsi="宋体" w:eastAsia="宋体" w:cs="宋体"/>
                <w:b w:val="0"/>
              </w:rPr>
              <w:t>5,757,005.52</w:t>
            </w:r>
          </w:p>
        </w:tc>
        <w:tc>
          <w:tcPr>
            <w:tcW w:w="0" w:type="dxa"/>
            <w:vAlign w:val="center"/>
          </w:tcPr>
          <w:p w14:paraId="175F0511">
            <w:pPr>
              <w:spacing w:line="240" w:lineRule="auto"/>
              <w:jc w:val="right"/>
            </w:pPr>
            <w:r>
              <w:rPr>
                <w:rFonts w:ascii="宋体" w:hAnsi="宋体" w:eastAsia="宋体" w:cs="宋体"/>
                <w:b w:val="0"/>
              </w:rPr>
              <w:t>-</w:t>
            </w:r>
          </w:p>
        </w:tc>
        <w:tc>
          <w:tcPr>
            <w:tcW w:w="0" w:type="dxa"/>
            <w:vAlign w:val="center"/>
          </w:tcPr>
          <w:p w14:paraId="5A831E5D">
            <w:pPr>
              <w:spacing w:line="240" w:lineRule="auto"/>
              <w:jc w:val="right"/>
            </w:pPr>
            <w:r>
              <w:rPr>
                <w:rFonts w:ascii="宋体" w:hAnsi="宋体" w:eastAsia="宋体" w:cs="宋体"/>
                <w:b w:val="0"/>
              </w:rPr>
              <w:t>-</w:t>
            </w:r>
          </w:p>
        </w:tc>
        <w:tc>
          <w:tcPr>
            <w:tcW w:w="0" w:type="dxa"/>
            <w:vAlign w:val="center"/>
          </w:tcPr>
          <w:p w14:paraId="3B35227F">
            <w:pPr>
              <w:spacing w:line="240" w:lineRule="auto"/>
              <w:jc w:val="right"/>
            </w:pPr>
            <w:r>
              <w:rPr>
                <w:rFonts w:ascii="宋体" w:hAnsi="宋体" w:eastAsia="宋体" w:cs="宋体"/>
                <w:b w:val="0"/>
              </w:rPr>
              <w:t>-</w:t>
            </w:r>
          </w:p>
        </w:tc>
        <w:tc>
          <w:tcPr>
            <w:tcW w:w="0" w:type="dxa"/>
            <w:vAlign w:val="center"/>
          </w:tcPr>
          <w:p w14:paraId="7C73BF06">
            <w:pPr>
              <w:spacing w:line="240" w:lineRule="auto"/>
              <w:jc w:val="right"/>
            </w:pPr>
            <w:r>
              <w:rPr>
                <w:rFonts w:ascii="宋体" w:hAnsi="宋体" w:eastAsia="宋体" w:cs="宋体"/>
                <w:b w:val="0"/>
              </w:rPr>
              <w:t>-</w:t>
            </w:r>
          </w:p>
        </w:tc>
        <w:tc>
          <w:tcPr>
            <w:tcW w:w="0" w:type="dxa"/>
            <w:vAlign w:val="center"/>
          </w:tcPr>
          <w:p w14:paraId="381CB52E">
            <w:pPr>
              <w:spacing w:line="240" w:lineRule="auto"/>
              <w:jc w:val="right"/>
            </w:pPr>
            <w:r>
              <w:rPr>
                <w:rFonts w:ascii="宋体" w:hAnsi="宋体" w:eastAsia="宋体" w:cs="宋体"/>
                <w:b w:val="0"/>
              </w:rPr>
              <w:t>45,562,605.30</w:t>
            </w:r>
          </w:p>
        </w:tc>
        <w:tc>
          <w:tcPr>
            <w:tcW w:w="0" w:type="dxa"/>
            <w:vAlign w:val="center"/>
          </w:tcPr>
          <w:p w14:paraId="58FD5B42">
            <w:pPr>
              <w:spacing w:line="240" w:lineRule="auto"/>
              <w:jc w:val="right"/>
            </w:pPr>
            <w:r>
              <w:rPr>
                <w:rFonts w:ascii="宋体" w:hAnsi="宋体" w:eastAsia="宋体" w:cs="宋体"/>
                <w:b w:val="0"/>
              </w:rPr>
              <w:t>51,319,610.82</w:t>
            </w:r>
          </w:p>
        </w:tc>
      </w:tr>
      <w:tr w14:paraId="5B1F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1A41FB">
            <w:pPr>
              <w:spacing w:line="240" w:lineRule="auto"/>
              <w:jc w:val="center"/>
            </w:pPr>
            <w:r>
              <w:rPr>
                <w:rFonts w:ascii="宋体" w:hAnsi="宋体" w:eastAsia="宋体" w:cs="宋体"/>
                <w:b w:val="0"/>
              </w:rPr>
              <w:t>负债</w:t>
            </w:r>
          </w:p>
        </w:tc>
        <w:tc>
          <w:tcPr>
            <w:tcW w:w="0" w:type="dxa"/>
            <w:vAlign w:val="center"/>
          </w:tcPr>
          <w:p w14:paraId="0BAF7A45">
            <w:pPr>
              <w:spacing w:line="240" w:lineRule="auto"/>
              <w:jc w:val="right"/>
            </w:pPr>
          </w:p>
        </w:tc>
        <w:tc>
          <w:tcPr>
            <w:tcW w:w="0" w:type="dxa"/>
            <w:vAlign w:val="center"/>
          </w:tcPr>
          <w:p w14:paraId="1E4924E7">
            <w:pPr>
              <w:spacing w:line="240" w:lineRule="auto"/>
              <w:jc w:val="right"/>
            </w:pPr>
          </w:p>
        </w:tc>
        <w:tc>
          <w:tcPr>
            <w:tcW w:w="0" w:type="dxa"/>
            <w:vAlign w:val="center"/>
          </w:tcPr>
          <w:p w14:paraId="0444E63B">
            <w:pPr>
              <w:spacing w:line="240" w:lineRule="auto"/>
              <w:jc w:val="right"/>
            </w:pPr>
          </w:p>
        </w:tc>
        <w:tc>
          <w:tcPr>
            <w:tcW w:w="0" w:type="dxa"/>
            <w:vAlign w:val="center"/>
          </w:tcPr>
          <w:p w14:paraId="17E8CD68">
            <w:pPr>
              <w:spacing w:line="240" w:lineRule="auto"/>
              <w:jc w:val="right"/>
            </w:pPr>
          </w:p>
        </w:tc>
        <w:tc>
          <w:tcPr>
            <w:tcW w:w="0" w:type="dxa"/>
            <w:vAlign w:val="center"/>
          </w:tcPr>
          <w:p w14:paraId="55FB1A43">
            <w:pPr>
              <w:spacing w:line="240" w:lineRule="auto"/>
              <w:jc w:val="right"/>
            </w:pPr>
          </w:p>
        </w:tc>
        <w:tc>
          <w:tcPr>
            <w:tcW w:w="0" w:type="dxa"/>
            <w:vAlign w:val="center"/>
          </w:tcPr>
          <w:p w14:paraId="770A9760">
            <w:pPr>
              <w:spacing w:line="240" w:lineRule="auto"/>
              <w:jc w:val="right"/>
            </w:pPr>
          </w:p>
        </w:tc>
        <w:tc>
          <w:tcPr>
            <w:tcW w:w="0" w:type="dxa"/>
            <w:vAlign w:val="center"/>
          </w:tcPr>
          <w:p w14:paraId="74833B69">
            <w:pPr>
              <w:spacing w:line="240" w:lineRule="auto"/>
              <w:jc w:val="right"/>
            </w:pPr>
          </w:p>
        </w:tc>
      </w:tr>
      <w:tr w14:paraId="5E88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CA7789">
            <w:pPr>
              <w:spacing w:line="240" w:lineRule="auto"/>
              <w:jc w:val="center"/>
            </w:pPr>
            <w:r>
              <w:rPr>
                <w:rFonts w:ascii="宋体" w:hAnsi="宋体" w:eastAsia="宋体" w:cs="宋体"/>
                <w:b w:val="0"/>
              </w:rPr>
              <w:t>应付赎回款</w:t>
            </w:r>
          </w:p>
        </w:tc>
        <w:tc>
          <w:tcPr>
            <w:tcW w:w="0" w:type="dxa"/>
            <w:vAlign w:val="center"/>
          </w:tcPr>
          <w:p w14:paraId="5B80391C">
            <w:pPr>
              <w:spacing w:line="240" w:lineRule="auto"/>
              <w:jc w:val="right"/>
            </w:pPr>
            <w:r>
              <w:rPr>
                <w:rFonts w:ascii="宋体" w:hAnsi="宋体" w:eastAsia="宋体" w:cs="宋体"/>
                <w:b w:val="0"/>
              </w:rPr>
              <w:t>-</w:t>
            </w:r>
          </w:p>
        </w:tc>
        <w:tc>
          <w:tcPr>
            <w:tcW w:w="0" w:type="dxa"/>
            <w:vAlign w:val="center"/>
          </w:tcPr>
          <w:p w14:paraId="677A20DA">
            <w:pPr>
              <w:spacing w:line="240" w:lineRule="auto"/>
              <w:jc w:val="right"/>
            </w:pPr>
            <w:r>
              <w:rPr>
                <w:rFonts w:ascii="宋体" w:hAnsi="宋体" w:eastAsia="宋体" w:cs="宋体"/>
                <w:b w:val="0"/>
              </w:rPr>
              <w:t>-</w:t>
            </w:r>
          </w:p>
        </w:tc>
        <w:tc>
          <w:tcPr>
            <w:tcW w:w="0" w:type="dxa"/>
            <w:vAlign w:val="center"/>
          </w:tcPr>
          <w:p w14:paraId="6F1B3263">
            <w:pPr>
              <w:spacing w:line="240" w:lineRule="auto"/>
              <w:jc w:val="right"/>
            </w:pPr>
            <w:r>
              <w:rPr>
                <w:rFonts w:ascii="宋体" w:hAnsi="宋体" w:eastAsia="宋体" w:cs="宋体"/>
                <w:b w:val="0"/>
              </w:rPr>
              <w:t>-</w:t>
            </w:r>
          </w:p>
        </w:tc>
        <w:tc>
          <w:tcPr>
            <w:tcW w:w="0" w:type="dxa"/>
            <w:vAlign w:val="center"/>
          </w:tcPr>
          <w:p w14:paraId="02921BE4">
            <w:pPr>
              <w:spacing w:line="240" w:lineRule="auto"/>
              <w:jc w:val="right"/>
            </w:pPr>
            <w:r>
              <w:rPr>
                <w:rFonts w:ascii="宋体" w:hAnsi="宋体" w:eastAsia="宋体" w:cs="宋体"/>
                <w:b w:val="0"/>
              </w:rPr>
              <w:t>-</w:t>
            </w:r>
          </w:p>
        </w:tc>
        <w:tc>
          <w:tcPr>
            <w:tcW w:w="0" w:type="dxa"/>
            <w:vAlign w:val="center"/>
          </w:tcPr>
          <w:p w14:paraId="1DB98A53">
            <w:pPr>
              <w:spacing w:line="240" w:lineRule="auto"/>
              <w:jc w:val="right"/>
            </w:pPr>
            <w:r>
              <w:rPr>
                <w:rFonts w:ascii="宋体" w:hAnsi="宋体" w:eastAsia="宋体" w:cs="宋体"/>
                <w:b w:val="0"/>
              </w:rPr>
              <w:t>-</w:t>
            </w:r>
          </w:p>
        </w:tc>
        <w:tc>
          <w:tcPr>
            <w:tcW w:w="0" w:type="dxa"/>
            <w:vAlign w:val="center"/>
          </w:tcPr>
          <w:p w14:paraId="36522D8F">
            <w:pPr>
              <w:spacing w:line="240" w:lineRule="auto"/>
              <w:jc w:val="right"/>
            </w:pPr>
            <w:r>
              <w:rPr>
                <w:rFonts w:ascii="宋体" w:hAnsi="宋体" w:eastAsia="宋体" w:cs="宋体"/>
                <w:b w:val="0"/>
              </w:rPr>
              <w:t>903.29</w:t>
            </w:r>
          </w:p>
        </w:tc>
        <w:tc>
          <w:tcPr>
            <w:tcW w:w="0" w:type="dxa"/>
            <w:vAlign w:val="center"/>
          </w:tcPr>
          <w:p w14:paraId="16D96587">
            <w:pPr>
              <w:spacing w:line="240" w:lineRule="auto"/>
              <w:jc w:val="right"/>
            </w:pPr>
            <w:r>
              <w:rPr>
                <w:rFonts w:ascii="宋体" w:hAnsi="宋体" w:eastAsia="宋体" w:cs="宋体"/>
                <w:b w:val="0"/>
              </w:rPr>
              <w:t>903.29</w:t>
            </w:r>
          </w:p>
        </w:tc>
      </w:tr>
      <w:tr w14:paraId="3A1F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1DFA41">
            <w:pPr>
              <w:spacing w:line="240" w:lineRule="auto"/>
              <w:jc w:val="center"/>
            </w:pPr>
            <w:r>
              <w:rPr>
                <w:rFonts w:ascii="宋体" w:hAnsi="宋体" w:eastAsia="宋体" w:cs="宋体"/>
                <w:b w:val="0"/>
              </w:rPr>
              <w:t>应付管理人报酬</w:t>
            </w:r>
          </w:p>
        </w:tc>
        <w:tc>
          <w:tcPr>
            <w:tcW w:w="0" w:type="dxa"/>
            <w:vAlign w:val="center"/>
          </w:tcPr>
          <w:p w14:paraId="4BF39C0B">
            <w:pPr>
              <w:spacing w:line="240" w:lineRule="auto"/>
              <w:jc w:val="right"/>
            </w:pPr>
            <w:r>
              <w:rPr>
                <w:rFonts w:ascii="宋体" w:hAnsi="宋体" w:eastAsia="宋体" w:cs="宋体"/>
                <w:b w:val="0"/>
              </w:rPr>
              <w:t>-</w:t>
            </w:r>
          </w:p>
        </w:tc>
        <w:tc>
          <w:tcPr>
            <w:tcW w:w="0" w:type="dxa"/>
            <w:vAlign w:val="center"/>
          </w:tcPr>
          <w:p w14:paraId="1C4400EC">
            <w:pPr>
              <w:spacing w:line="240" w:lineRule="auto"/>
              <w:jc w:val="right"/>
            </w:pPr>
            <w:r>
              <w:rPr>
                <w:rFonts w:ascii="宋体" w:hAnsi="宋体" w:eastAsia="宋体" w:cs="宋体"/>
                <w:b w:val="0"/>
              </w:rPr>
              <w:t>-</w:t>
            </w:r>
          </w:p>
        </w:tc>
        <w:tc>
          <w:tcPr>
            <w:tcW w:w="0" w:type="dxa"/>
            <w:vAlign w:val="center"/>
          </w:tcPr>
          <w:p w14:paraId="08CEA4CF">
            <w:pPr>
              <w:spacing w:line="240" w:lineRule="auto"/>
              <w:jc w:val="right"/>
            </w:pPr>
            <w:r>
              <w:rPr>
                <w:rFonts w:ascii="宋体" w:hAnsi="宋体" w:eastAsia="宋体" w:cs="宋体"/>
                <w:b w:val="0"/>
              </w:rPr>
              <w:t>-</w:t>
            </w:r>
          </w:p>
        </w:tc>
        <w:tc>
          <w:tcPr>
            <w:tcW w:w="0" w:type="dxa"/>
            <w:vAlign w:val="center"/>
          </w:tcPr>
          <w:p w14:paraId="5D95461E">
            <w:pPr>
              <w:spacing w:line="240" w:lineRule="auto"/>
              <w:jc w:val="right"/>
            </w:pPr>
            <w:r>
              <w:rPr>
                <w:rFonts w:ascii="宋体" w:hAnsi="宋体" w:eastAsia="宋体" w:cs="宋体"/>
                <w:b w:val="0"/>
              </w:rPr>
              <w:t>-</w:t>
            </w:r>
          </w:p>
        </w:tc>
        <w:tc>
          <w:tcPr>
            <w:tcW w:w="0" w:type="dxa"/>
            <w:vAlign w:val="center"/>
          </w:tcPr>
          <w:p w14:paraId="0BD3BF8D">
            <w:pPr>
              <w:spacing w:line="240" w:lineRule="auto"/>
              <w:jc w:val="right"/>
            </w:pPr>
            <w:r>
              <w:rPr>
                <w:rFonts w:ascii="宋体" w:hAnsi="宋体" w:eastAsia="宋体" w:cs="宋体"/>
                <w:b w:val="0"/>
              </w:rPr>
              <w:t>-</w:t>
            </w:r>
          </w:p>
        </w:tc>
        <w:tc>
          <w:tcPr>
            <w:tcW w:w="0" w:type="dxa"/>
            <w:vAlign w:val="center"/>
          </w:tcPr>
          <w:p w14:paraId="4C2BB7EB">
            <w:pPr>
              <w:spacing w:line="240" w:lineRule="auto"/>
              <w:jc w:val="right"/>
            </w:pPr>
            <w:r>
              <w:rPr>
                <w:rFonts w:ascii="宋体" w:hAnsi="宋体" w:eastAsia="宋体" w:cs="宋体"/>
                <w:b w:val="0"/>
              </w:rPr>
              <w:t>55,038.71</w:t>
            </w:r>
          </w:p>
        </w:tc>
        <w:tc>
          <w:tcPr>
            <w:tcW w:w="0" w:type="dxa"/>
            <w:vAlign w:val="center"/>
          </w:tcPr>
          <w:p w14:paraId="53D69418">
            <w:pPr>
              <w:spacing w:line="240" w:lineRule="auto"/>
              <w:jc w:val="right"/>
            </w:pPr>
            <w:r>
              <w:rPr>
                <w:rFonts w:ascii="宋体" w:hAnsi="宋体" w:eastAsia="宋体" w:cs="宋体"/>
                <w:b w:val="0"/>
              </w:rPr>
              <w:t>55,038.71</w:t>
            </w:r>
          </w:p>
        </w:tc>
      </w:tr>
      <w:tr w14:paraId="30D8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8DDEF0">
            <w:pPr>
              <w:spacing w:line="240" w:lineRule="auto"/>
              <w:jc w:val="center"/>
            </w:pPr>
            <w:r>
              <w:rPr>
                <w:rFonts w:ascii="宋体" w:hAnsi="宋体" w:eastAsia="宋体" w:cs="宋体"/>
                <w:b w:val="0"/>
              </w:rPr>
              <w:t>应付托管费</w:t>
            </w:r>
          </w:p>
        </w:tc>
        <w:tc>
          <w:tcPr>
            <w:tcW w:w="0" w:type="dxa"/>
            <w:vAlign w:val="center"/>
          </w:tcPr>
          <w:p w14:paraId="63592B86">
            <w:pPr>
              <w:spacing w:line="240" w:lineRule="auto"/>
              <w:jc w:val="right"/>
            </w:pPr>
            <w:r>
              <w:rPr>
                <w:rFonts w:ascii="宋体" w:hAnsi="宋体" w:eastAsia="宋体" w:cs="宋体"/>
                <w:b w:val="0"/>
              </w:rPr>
              <w:t>-</w:t>
            </w:r>
          </w:p>
        </w:tc>
        <w:tc>
          <w:tcPr>
            <w:tcW w:w="0" w:type="dxa"/>
            <w:vAlign w:val="center"/>
          </w:tcPr>
          <w:p w14:paraId="3593FDFD">
            <w:pPr>
              <w:spacing w:line="240" w:lineRule="auto"/>
              <w:jc w:val="right"/>
            </w:pPr>
            <w:r>
              <w:rPr>
                <w:rFonts w:ascii="宋体" w:hAnsi="宋体" w:eastAsia="宋体" w:cs="宋体"/>
                <w:b w:val="0"/>
              </w:rPr>
              <w:t>-</w:t>
            </w:r>
          </w:p>
        </w:tc>
        <w:tc>
          <w:tcPr>
            <w:tcW w:w="0" w:type="dxa"/>
            <w:vAlign w:val="center"/>
          </w:tcPr>
          <w:p w14:paraId="590C3F25">
            <w:pPr>
              <w:spacing w:line="240" w:lineRule="auto"/>
              <w:jc w:val="right"/>
            </w:pPr>
            <w:r>
              <w:rPr>
                <w:rFonts w:ascii="宋体" w:hAnsi="宋体" w:eastAsia="宋体" w:cs="宋体"/>
                <w:b w:val="0"/>
              </w:rPr>
              <w:t>-</w:t>
            </w:r>
          </w:p>
        </w:tc>
        <w:tc>
          <w:tcPr>
            <w:tcW w:w="0" w:type="dxa"/>
            <w:vAlign w:val="center"/>
          </w:tcPr>
          <w:p w14:paraId="68B41438">
            <w:pPr>
              <w:spacing w:line="240" w:lineRule="auto"/>
              <w:jc w:val="right"/>
            </w:pPr>
            <w:r>
              <w:rPr>
                <w:rFonts w:ascii="宋体" w:hAnsi="宋体" w:eastAsia="宋体" w:cs="宋体"/>
                <w:b w:val="0"/>
              </w:rPr>
              <w:t>-</w:t>
            </w:r>
          </w:p>
        </w:tc>
        <w:tc>
          <w:tcPr>
            <w:tcW w:w="0" w:type="dxa"/>
            <w:vAlign w:val="center"/>
          </w:tcPr>
          <w:p w14:paraId="5281A76D">
            <w:pPr>
              <w:spacing w:line="240" w:lineRule="auto"/>
              <w:jc w:val="right"/>
            </w:pPr>
            <w:r>
              <w:rPr>
                <w:rFonts w:ascii="宋体" w:hAnsi="宋体" w:eastAsia="宋体" w:cs="宋体"/>
                <w:b w:val="0"/>
              </w:rPr>
              <w:t>-</w:t>
            </w:r>
          </w:p>
        </w:tc>
        <w:tc>
          <w:tcPr>
            <w:tcW w:w="0" w:type="dxa"/>
            <w:vAlign w:val="center"/>
          </w:tcPr>
          <w:p w14:paraId="7BAB0C74">
            <w:pPr>
              <w:spacing w:line="240" w:lineRule="auto"/>
              <w:jc w:val="right"/>
            </w:pPr>
            <w:r>
              <w:rPr>
                <w:rFonts w:ascii="宋体" w:hAnsi="宋体" w:eastAsia="宋体" w:cs="宋体"/>
                <w:b w:val="0"/>
              </w:rPr>
              <w:t>9,173.09</w:t>
            </w:r>
          </w:p>
        </w:tc>
        <w:tc>
          <w:tcPr>
            <w:tcW w:w="0" w:type="dxa"/>
            <w:vAlign w:val="center"/>
          </w:tcPr>
          <w:p w14:paraId="52553144">
            <w:pPr>
              <w:spacing w:line="240" w:lineRule="auto"/>
              <w:jc w:val="right"/>
            </w:pPr>
            <w:r>
              <w:rPr>
                <w:rFonts w:ascii="宋体" w:hAnsi="宋体" w:eastAsia="宋体" w:cs="宋体"/>
                <w:b w:val="0"/>
              </w:rPr>
              <w:t>9,173.09</w:t>
            </w:r>
          </w:p>
        </w:tc>
      </w:tr>
      <w:tr w14:paraId="7655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08B199">
            <w:pPr>
              <w:spacing w:line="240" w:lineRule="auto"/>
              <w:jc w:val="center"/>
            </w:pPr>
            <w:r>
              <w:rPr>
                <w:rFonts w:ascii="宋体" w:hAnsi="宋体" w:eastAsia="宋体" w:cs="宋体"/>
                <w:b w:val="0"/>
              </w:rPr>
              <w:t>应付销售服务费</w:t>
            </w:r>
          </w:p>
        </w:tc>
        <w:tc>
          <w:tcPr>
            <w:tcW w:w="0" w:type="dxa"/>
            <w:vAlign w:val="center"/>
          </w:tcPr>
          <w:p w14:paraId="6E4808A5">
            <w:pPr>
              <w:spacing w:line="240" w:lineRule="auto"/>
              <w:jc w:val="right"/>
            </w:pPr>
            <w:r>
              <w:rPr>
                <w:rFonts w:ascii="宋体" w:hAnsi="宋体" w:eastAsia="宋体" w:cs="宋体"/>
                <w:b w:val="0"/>
              </w:rPr>
              <w:t>-</w:t>
            </w:r>
          </w:p>
        </w:tc>
        <w:tc>
          <w:tcPr>
            <w:tcW w:w="0" w:type="dxa"/>
            <w:vAlign w:val="center"/>
          </w:tcPr>
          <w:p w14:paraId="5CCF5756">
            <w:pPr>
              <w:spacing w:line="240" w:lineRule="auto"/>
              <w:jc w:val="right"/>
            </w:pPr>
            <w:r>
              <w:rPr>
                <w:rFonts w:ascii="宋体" w:hAnsi="宋体" w:eastAsia="宋体" w:cs="宋体"/>
                <w:b w:val="0"/>
              </w:rPr>
              <w:t>-</w:t>
            </w:r>
          </w:p>
        </w:tc>
        <w:tc>
          <w:tcPr>
            <w:tcW w:w="0" w:type="dxa"/>
            <w:vAlign w:val="center"/>
          </w:tcPr>
          <w:p w14:paraId="3A96833A">
            <w:pPr>
              <w:spacing w:line="240" w:lineRule="auto"/>
              <w:jc w:val="right"/>
            </w:pPr>
            <w:r>
              <w:rPr>
                <w:rFonts w:ascii="宋体" w:hAnsi="宋体" w:eastAsia="宋体" w:cs="宋体"/>
                <w:b w:val="0"/>
              </w:rPr>
              <w:t>-</w:t>
            </w:r>
          </w:p>
        </w:tc>
        <w:tc>
          <w:tcPr>
            <w:tcW w:w="0" w:type="dxa"/>
            <w:vAlign w:val="center"/>
          </w:tcPr>
          <w:p w14:paraId="7C912B22">
            <w:pPr>
              <w:spacing w:line="240" w:lineRule="auto"/>
              <w:jc w:val="right"/>
            </w:pPr>
            <w:r>
              <w:rPr>
                <w:rFonts w:ascii="宋体" w:hAnsi="宋体" w:eastAsia="宋体" w:cs="宋体"/>
                <w:b w:val="0"/>
              </w:rPr>
              <w:t>-</w:t>
            </w:r>
          </w:p>
        </w:tc>
        <w:tc>
          <w:tcPr>
            <w:tcW w:w="0" w:type="dxa"/>
            <w:vAlign w:val="center"/>
          </w:tcPr>
          <w:p w14:paraId="51C1DF04">
            <w:pPr>
              <w:spacing w:line="240" w:lineRule="auto"/>
              <w:jc w:val="right"/>
            </w:pPr>
            <w:r>
              <w:rPr>
                <w:rFonts w:ascii="宋体" w:hAnsi="宋体" w:eastAsia="宋体" w:cs="宋体"/>
                <w:b w:val="0"/>
              </w:rPr>
              <w:t>-</w:t>
            </w:r>
          </w:p>
        </w:tc>
        <w:tc>
          <w:tcPr>
            <w:tcW w:w="0" w:type="dxa"/>
            <w:vAlign w:val="center"/>
          </w:tcPr>
          <w:p w14:paraId="7BD60E8E">
            <w:pPr>
              <w:spacing w:line="240" w:lineRule="auto"/>
              <w:jc w:val="right"/>
            </w:pPr>
            <w:r>
              <w:rPr>
                <w:rFonts w:ascii="宋体" w:hAnsi="宋体" w:eastAsia="宋体" w:cs="宋体"/>
                <w:b w:val="0"/>
              </w:rPr>
              <w:t>3,993.83</w:t>
            </w:r>
          </w:p>
        </w:tc>
        <w:tc>
          <w:tcPr>
            <w:tcW w:w="0" w:type="dxa"/>
            <w:vAlign w:val="center"/>
          </w:tcPr>
          <w:p w14:paraId="6B8E7701">
            <w:pPr>
              <w:spacing w:line="240" w:lineRule="auto"/>
              <w:jc w:val="right"/>
            </w:pPr>
            <w:r>
              <w:rPr>
                <w:rFonts w:ascii="宋体" w:hAnsi="宋体" w:eastAsia="宋体" w:cs="宋体"/>
                <w:b w:val="0"/>
              </w:rPr>
              <w:t>3,993.83</w:t>
            </w:r>
          </w:p>
        </w:tc>
      </w:tr>
      <w:tr w14:paraId="7A26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25EF22">
            <w:pPr>
              <w:spacing w:line="240" w:lineRule="auto"/>
              <w:jc w:val="center"/>
            </w:pPr>
            <w:r>
              <w:rPr>
                <w:rFonts w:ascii="宋体" w:hAnsi="宋体" w:eastAsia="宋体" w:cs="宋体"/>
                <w:b w:val="0"/>
              </w:rPr>
              <w:t>其他负债</w:t>
            </w:r>
          </w:p>
        </w:tc>
        <w:tc>
          <w:tcPr>
            <w:tcW w:w="0" w:type="dxa"/>
            <w:vAlign w:val="center"/>
          </w:tcPr>
          <w:p w14:paraId="187E2D40">
            <w:pPr>
              <w:spacing w:line="240" w:lineRule="auto"/>
              <w:jc w:val="right"/>
            </w:pPr>
            <w:r>
              <w:rPr>
                <w:rFonts w:ascii="宋体" w:hAnsi="宋体" w:eastAsia="宋体" w:cs="宋体"/>
                <w:b w:val="0"/>
              </w:rPr>
              <w:t>-</w:t>
            </w:r>
          </w:p>
        </w:tc>
        <w:tc>
          <w:tcPr>
            <w:tcW w:w="0" w:type="dxa"/>
            <w:vAlign w:val="center"/>
          </w:tcPr>
          <w:p w14:paraId="3E576022">
            <w:pPr>
              <w:spacing w:line="240" w:lineRule="auto"/>
              <w:jc w:val="right"/>
            </w:pPr>
            <w:r>
              <w:rPr>
                <w:rFonts w:ascii="宋体" w:hAnsi="宋体" w:eastAsia="宋体" w:cs="宋体"/>
                <w:b w:val="0"/>
              </w:rPr>
              <w:t>-</w:t>
            </w:r>
          </w:p>
        </w:tc>
        <w:tc>
          <w:tcPr>
            <w:tcW w:w="0" w:type="dxa"/>
            <w:vAlign w:val="center"/>
          </w:tcPr>
          <w:p w14:paraId="5E863C6E">
            <w:pPr>
              <w:spacing w:line="240" w:lineRule="auto"/>
              <w:jc w:val="right"/>
            </w:pPr>
            <w:r>
              <w:rPr>
                <w:rFonts w:ascii="宋体" w:hAnsi="宋体" w:eastAsia="宋体" w:cs="宋体"/>
                <w:b w:val="0"/>
              </w:rPr>
              <w:t>-</w:t>
            </w:r>
          </w:p>
        </w:tc>
        <w:tc>
          <w:tcPr>
            <w:tcW w:w="0" w:type="dxa"/>
            <w:vAlign w:val="center"/>
          </w:tcPr>
          <w:p w14:paraId="68BA7502">
            <w:pPr>
              <w:spacing w:line="240" w:lineRule="auto"/>
              <w:jc w:val="right"/>
            </w:pPr>
            <w:r>
              <w:rPr>
                <w:rFonts w:ascii="宋体" w:hAnsi="宋体" w:eastAsia="宋体" w:cs="宋体"/>
                <w:b w:val="0"/>
              </w:rPr>
              <w:t>-</w:t>
            </w:r>
          </w:p>
        </w:tc>
        <w:tc>
          <w:tcPr>
            <w:tcW w:w="0" w:type="dxa"/>
            <w:vAlign w:val="center"/>
          </w:tcPr>
          <w:p w14:paraId="36B48AF4">
            <w:pPr>
              <w:spacing w:line="240" w:lineRule="auto"/>
              <w:jc w:val="right"/>
            </w:pPr>
            <w:r>
              <w:rPr>
                <w:rFonts w:ascii="宋体" w:hAnsi="宋体" w:eastAsia="宋体" w:cs="宋体"/>
                <w:b w:val="0"/>
              </w:rPr>
              <w:t>-</w:t>
            </w:r>
          </w:p>
        </w:tc>
        <w:tc>
          <w:tcPr>
            <w:tcW w:w="0" w:type="dxa"/>
            <w:vAlign w:val="center"/>
          </w:tcPr>
          <w:p w14:paraId="63CAF6A1">
            <w:pPr>
              <w:spacing w:line="240" w:lineRule="auto"/>
              <w:jc w:val="right"/>
            </w:pPr>
            <w:r>
              <w:rPr>
                <w:rFonts w:ascii="宋体" w:hAnsi="宋体" w:eastAsia="宋体" w:cs="宋体"/>
                <w:b w:val="0"/>
              </w:rPr>
              <w:t>44,630.98</w:t>
            </w:r>
          </w:p>
        </w:tc>
        <w:tc>
          <w:tcPr>
            <w:tcW w:w="0" w:type="dxa"/>
            <w:vAlign w:val="center"/>
          </w:tcPr>
          <w:p w14:paraId="734B6062">
            <w:pPr>
              <w:spacing w:line="240" w:lineRule="auto"/>
              <w:jc w:val="right"/>
            </w:pPr>
            <w:r>
              <w:rPr>
                <w:rFonts w:ascii="宋体" w:hAnsi="宋体" w:eastAsia="宋体" w:cs="宋体"/>
                <w:b w:val="0"/>
              </w:rPr>
              <w:t>44,630.98</w:t>
            </w:r>
          </w:p>
        </w:tc>
      </w:tr>
      <w:tr w14:paraId="08FC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19E97E">
            <w:pPr>
              <w:spacing w:line="240" w:lineRule="auto"/>
              <w:jc w:val="center"/>
            </w:pPr>
            <w:r>
              <w:rPr>
                <w:rFonts w:ascii="宋体" w:hAnsi="宋体" w:eastAsia="宋体" w:cs="宋体"/>
                <w:b w:val="0"/>
              </w:rPr>
              <w:t>负债总计</w:t>
            </w:r>
          </w:p>
        </w:tc>
        <w:tc>
          <w:tcPr>
            <w:tcW w:w="0" w:type="dxa"/>
            <w:vAlign w:val="center"/>
          </w:tcPr>
          <w:p w14:paraId="468F60F9">
            <w:pPr>
              <w:spacing w:line="240" w:lineRule="auto"/>
              <w:jc w:val="right"/>
            </w:pPr>
            <w:r>
              <w:rPr>
                <w:rFonts w:ascii="宋体" w:hAnsi="宋体" w:eastAsia="宋体" w:cs="宋体"/>
                <w:b w:val="0"/>
              </w:rPr>
              <w:t>-</w:t>
            </w:r>
          </w:p>
        </w:tc>
        <w:tc>
          <w:tcPr>
            <w:tcW w:w="0" w:type="dxa"/>
            <w:vAlign w:val="center"/>
          </w:tcPr>
          <w:p w14:paraId="21C78EB8">
            <w:pPr>
              <w:spacing w:line="240" w:lineRule="auto"/>
              <w:jc w:val="right"/>
            </w:pPr>
            <w:r>
              <w:rPr>
                <w:rFonts w:ascii="宋体" w:hAnsi="宋体" w:eastAsia="宋体" w:cs="宋体"/>
                <w:b w:val="0"/>
              </w:rPr>
              <w:t>-</w:t>
            </w:r>
          </w:p>
        </w:tc>
        <w:tc>
          <w:tcPr>
            <w:tcW w:w="0" w:type="dxa"/>
            <w:vAlign w:val="center"/>
          </w:tcPr>
          <w:p w14:paraId="293C4AD6">
            <w:pPr>
              <w:spacing w:line="240" w:lineRule="auto"/>
              <w:jc w:val="right"/>
            </w:pPr>
            <w:r>
              <w:rPr>
                <w:rFonts w:ascii="宋体" w:hAnsi="宋体" w:eastAsia="宋体" w:cs="宋体"/>
                <w:b w:val="0"/>
              </w:rPr>
              <w:t>-</w:t>
            </w:r>
          </w:p>
        </w:tc>
        <w:tc>
          <w:tcPr>
            <w:tcW w:w="0" w:type="dxa"/>
            <w:vAlign w:val="center"/>
          </w:tcPr>
          <w:p w14:paraId="2BFE2294">
            <w:pPr>
              <w:spacing w:line="240" w:lineRule="auto"/>
              <w:jc w:val="right"/>
            </w:pPr>
            <w:r>
              <w:rPr>
                <w:rFonts w:ascii="宋体" w:hAnsi="宋体" w:eastAsia="宋体" w:cs="宋体"/>
                <w:b w:val="0"/>
              </w:rPr>
              <w:t>-</w:t>
            </w:r>
          </w:p>
        </w:tc>
        <w:tc>
          <w:tcPr>
            <w:tcW w:w="0" w:type="dxa"/>
            <w:vAlign w:val="center"/>
          </w:tcPr>
          <w:p w14:paraId="529B320F">
            <w:pPr>
              <w:spacing w:line="240" w:lineRule="auto"/>
              <w:jc w:val="right"/>
            </w:pPr>
            <w:r>
              <w:rPr>
                <w:rFonts w:ascii="宋体" w:hAnsi="宋体" w:eastAsia="宋体" w:cs="宋体"/>
                <w:b w:val="0"/>
              </w:rPr>
              <w:t>-</w:t>
            </w:r>
          </w:p>
        </w:tc>
        <w:tc>
          <w:tcPr>
            <w:tcW w:w="0" w:type="dxa"/>
            <w:vAlign w:val="center"/>
          </w:tcPr>
          <w:p w14:paraId="5FB5ED40">
            <w:pPr>
              <w:spacing w:line="240" w:lineRule="auto"/>
              <w:jc w:val="right"/>
            </w:pPr>
            <w:r>
              <w:rPr>
                <w:rFonts w:ascii="宋体" w:hAnsi="宋体" w:eastAsia="宋体" w:cs="宋体"/>
                <w:b w:val="0"/>
              </w:rPr>
              <w:t>113,739.90</w:t>
            </w:r>
          </w:p>
        </w:tc>
        <w:tc>
          <w:tcPr>
            <w:tcW w:w="0" w:type="dxa"/>
            <w:vAlign w:val="center"/>
          </w:tcPr>
          <w:p w14:paraId="6C92A0F7">
            <w:pPr>
              <w:spacing w:line="240" w:lineRule="auto"/>
              <w:jc w:val="right"/>
            </w:pPr>
            <w:r>
              <w:rPr>
                <w:rFonts w:ascii="宋体" w:hAnsi="宋体" w:eastAsia="宋体" w:cs="宋体"/>
                <w:b w:val="0"/>
              </w:rPr>
              <w:t>113,739.90</w:t>
            </w:r>
          </w:p>
        </w:tc>
      </w:tr>
      <w:tr w14:paraId="09C9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47AA7A">
            <w:pPr>
              <w:spacing w:line="240" w:lineRule="auto"/>
              <w:jc w:val="center"/>
            </w:pPr>
            <w:r>
              <w:rPr>
                <w:rFonts w:ascii="宋体" w:hAnsi="宋体" w:eastAsia="宋体" w:cs="宋体"/>
                <w:b w:val="0"/>
              </w:rPr>
              <w:t>利率敏感度缺口</w:t>
            </w:r>
          </w:p>
        </w:tc>
        <w:tc>
          <w:tcPr>
            <w:tcW w:w="0" w:type="dxa"/>
            <w:vAlign w:val="center"/>
          </w:tcPr>
          <w:p w14:paraId="66D8789A">
            <w:pPr>
              <w:spacing w:line="240" w:lineRule="auto"/>
              <w:jc w:val="right"/>
            </w:pPr>
            <w:r>
              <w:rPr>
                <w:rFonts w:ascii="宋体" w:hAnsi="宋体" w:eastAsia="宋体" w:cs="宋体"/>
                <w:b w:val="0"/>
              </w:rPr>
              <w:t>5,757,005.52</w:t>
            </w:r>
          </w:p>
        </w:tc>
        <w:tc>
          <w:tcPr>
            <w:tcW w:w="0" w:type="dxa"/>
            <w:vAlign w:val="center"/>
          </w:tcPr>
          <w:p w14:paraId="7A9AFB02">
            <w:pPr>
              <w:spacing w:line="240" w:lineRule="auto"/>
              <w:jc w:val="right"/>
            </w:pPr>
            <w:r>
              <w:rPr>
                <w:rFonts w:ascii="宋体" w:hAnsi="宋体" w:eastAsia="宋体" w:cs="宋体"/>
                <w:b w:val="0"/>
              </w:rPr>
              <w:t>-</w:t>
            </w:r>
          </w:p>
        </w:tc>
        <w:tc>
          <w:tcPr>
            <w:tcW w:w="0" w:type="dxa"/>
            <w:vAlign w:val="center"/>
          </w:tcPr>
          <w:p w14:paraId="1F990597">
            <w:pPr>
              <w:spacing w:line="240" w:lineRule="auto"/>
              <w:jc w:val="right"/>
            </w:pPr>
            <w:r>
              <w:rPr>
                <w:rFonts w:ascii="宋体" w:hAnsi="宋体" w:eastAsia="宋体" w:cs="宋体"/>
                <w:b w:val="0"/>
              </w:rPr>
              <w:t>-</w:t>
            </w:r>
          </w:p>
        </w:tc>
        <w:tc>
          <w:tcPr>
            <w:tcW w:w="0" w:type="dxa"/>
            <w:vAlign w:val="center"/>
          </w:tcPr>
          <w:p w14:paraId="6C3B62CC">
            <w:pPr>
              <w:spacing w:line="240" w:lineRule="auto"/>
              <w:jc w:val="right"/>
            </w:pPr>
            <w:r>
              <w:rPr>
                <w:rFonts w:ascii="宋体" w:hAnsi="宋体" w:eastAsia="宋体" w:cs="宋体"/>
                <w:b w:val="0"/>
              </w:rPr>
              <w:t>-</w:t>
            </w:r>
          </w:p>
        </w:tc>
        <w:tc>
          <w:tcPr>
            <w:tcW w:w="0" w:type="dxa"/>
            <w:vAlign w:val="center"/>
          </w:tcPr>
          <w:p w14:paraId="3AD3D9C8">
            <w:pPr>
              <w:spacing w:line="240" w:lineRule="auto"/>
              <w:jc w:val="right"/>
            </w:pPr>
            <w:r>
              <w:rPr>
                <w:rFonts w:ascii="宋体" w:hAnsi="宋体" w:eastAsia="宋体" w:cs="宋体"/>
                <w:b w:val="0"/>
              </w:rPr>
              <w:t>-</w:t>
            </w:r>
          </w:p>
        </w:tc>
        <w:tc>
          <w:tcPr>
            <w:tcW w:w="0" w:type="dxa"/>
            <w:vAlign w:val="center"/>
          </w:tcPr>
          <w:p w14:paraId="7D4309FC">
            <w:pPr>
              <w:spacing w:line="240" w:lineRule="auto"/>
              <w:jc w:val="right"/>
            </w:pPr>
            <w:r>
              <w:rPr>
                <w:rFonts w:ascii="宋体" w:hAnsi="宋体" w:eastAsia="宋体" w:cs="宋体"/>
                <w:b w:val="0"/>
              </w:rPr>
              <w:t>45,448,865.40</w:t>
            </w:r>
          </w:p>
        </w:tc>
        <w:tc>
          <w:tcPr>
            <w:tcW w:w="0" w:type="dxa"/>
            <w:vAlign w:val="center"/>
          </w:tcPr>
          <w:p w14:paraId="2956C36B">
            <w:pPr>
              <w:spacing w:line="240" w:lineRule="auto"/>
              <w:jc w:val="right"/>
            </w:pPr>
            <w:r>
              <w:rPr>
                <w:rFonts w:ascii="宋体" w:hAnsi="宋体" w:eastAsia="宋体" w:cs="宋体"/>
                <w:b w:val="0"/>
              </w:rPr>
              <w:t>51,205,870.92</w:t>
            </w:r>
          </w:p>
        </w:tc>
      </w:tr>
      <w:tr w14:paraId="635A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507A1773">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c>
          <w:tcPr>
            <w:tcW w:w="0" w:type="dxa"/>
            <w:shd w:val="clear" w:color="auto" w:fill="D9D9D9"/>
            <w:vAlign w:val="center"/>
          </w:tcPr>
          <w:p w14:paraId="5645307B">
            <w:pPr>
              <w:spacing w:line="240" w:lineRule="auto"/>
              <w:jc w:val="center"/>
            </w:pPr>
            <w:r>
              <w:rPr>
                <w:rFonts w:ascii="宋体" w:hAnsi="宋体" w:eastAsia="宋体" w:cs="宋体"/>
                <w:b w:val="0"/>
              </w:rPr>
              <w:t>1个月以内</w:t>
            </w:r>
          </w:p>
        </w:tc>
        <w:tc>
          <w:tcPr>
            <w:tcW w:w="0" w:type="dxa"/>
            <w:shd w:val="clear" w:color="auto" w:fill="D9D9D9"/>
            <w:vAlign w:val="center"/>
          </w:tcPr>
          <w:p w14:paraId="5B110FC1">
            <w:pPr>
              <w:spacing w:line="240" w:lineRule="auto"/>
              <w:jc w:val="center"/>
            </w:pPr>
            <w:r>
              <w:rPr>
                <w:rFonts w:ascii="宋体" w:hAnsi="宋体" w:eastAsia="宋体" w:cs="宋体"/>
                <w:b w:val="0"/>
              </w:rPr>
              <w:t>1-3个月</w:t>
            </w:r>
          </w:p>
        </w:tc>
        <w:tc>
          <w:tcPr>
            <w:tcW w:w="0" w:type="dxa"/>
            <w:shd w:val="clear" w:color="auto" w:fill="D9D9D9"/>
            <w:vAlign w:val="center"/>
          </w:tcPr>
          <w:p w14:paraId="6947C856">
            <w:pPr>
              <w:spacing w:line="240" w:lineRule="auto"/>
              <w:jc w:val="center"/>
            </w:pPr>
            <w:r>
              <w:rPr>
                <w:rFonts w:ascii="宋体" w:hAnsi="宋体" w:eastAsia="宋体" w:cs="宋体"/>
                <w:b w:val="0"/>
              </w:rPr>
              <w:t>3个月-1年</w:t>
            </w:r>
          </w:p>
        </w:tc>
        <w:tc>
          <w:tcPr>
            <w:tcW w:w="0" w:type="dxa"/>
            <w:shd w:val="clear" w:color="auto" w:fill="D9D9D9"/>
            <w:vAlign w:val="center"/>
          </w:tcPr>
          <w:p w14:paraId="47D9DF51">
            <w:pPr>
              <w:spacing w:line="240" w:lineRule="auto"/>
              <w:jc w:val="center"/>
            </w:pPr>
            <w:r>
              <w:rPr>
                <w:rFonts w:ascii="宋体" w:hAnsi="宋体" w:eastAsia="宋体" w:cs="宋体"/>
                <w:b w:val="0"/>
              </w:rPr>
              <w:t>1-5年</w:t>
            </w:r>
          </w:p>
        </w:tc>
        <w:tc>
          <w:tcPr>
            <w:tcW w:w="0" w:type="dxa"/>
            <w:shd w:val="clear" w:color="auto" w:fill="D9D9D9"/>
            <w:vAlign w:val="center"/>
          </w:tcPr>
          <w:p w14:paraId="72FEB0A6">
            <w:pPr>
              <w:spacing w:line="240" w:lineRule="auto"/>
              <w:jc w:val="center"/>
            </w:pPr>
            <w:r>
              <w:rPr>
                <w:rFonts w:ascii="宋体" w:hAnsi="宋体" w:eastAsia="宋体" w:cs="宋体"/>
                <w:b w:val="0"/>
              </w:rPr>
              <w:t>5年以上</w:t>
            </w:r>
          </w:p>
        </w:tc>
        <w:tc>
          <w:tcPr>
            <w:tcW w:w="0" w:type="dxa"/>
            <w:shd w:val="clear" w:color="auto" w:fill="D9D9D9"/>
            <w:vAlign w:val="center"/>
          </w:tcPr>
          <w:p w14:paraId="6A787C86">
            <w:pPr>
              <w:spacing w:line="240" w:lineRule="auto"/>
              <w:jc w:val="center"/>
            </w:pPr>
            <w:r>
              <w:rPr>
                <w:rFonts w:ascii="宋体" w:hAnsi="宋体" w:eastAsia="宋体" w:cs="宋体"/>
                <w:b w:val="0"/>
              </w:rPr>
              <w:t>不计息</w:t>
            </w:r>
          </w:p>
        </w:tc>
        <w:tc>
          <w:tcPr>
            <w:tcW w:w="0" w:type="dxa"/>
            <w:shd w:val="clear" w:color="auto" w:fill="D9D9D9"/>
            <w:vAlign w:val="center"/>
          </w:tcPr>
          <w:p w14:paraId="2D4AB172">
            <w:pPr>
              <w:spacing w:line="240" w:lineRule="auto"/>
              <w:jc w:val="center"/>
            </w:pPr>
            <w:r>
              <w:rPr>
                <w:rFonts w:ascii="宋体" w:hAnsi="宋体" w:eastAsia="宋体" w:cs="宋体"/>
                <w:b w:val="0"/>
              </w:rPr>
              <w:t>合计</w:t>
            </w:r>
          </w:p>
        </w:tc>
      </w:tr>
      <w:tr w14:paraId="3719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0212BE">
            <w:pPr>
              <w:spacing w:line="240" w:lineRule="auto"/>
              <w:jc w:val="center"/>
            </w:pPr>
            <w:r>
              <w:rPr>
                <w:rFonts w:ascii="宋体" w:hAnsi="宋体" w:eastAsia="宋体" w:cs="宋体"/>
                <w:b w:val="0"/>
              </w:rPr>
              <w:t>资产</w:t>
            </w:r>
          </w:p>
        </w:tc>
        <w:tc>
          <w:tcPr>
            <w:tcW w:w="0" w:type="dxa"/>
            <w:vAlign w:val="center"/>
          </w:tcPr>
          <w:p w14:paraId="2D1A2BA1">
            <w:pPr>
              <w:spacing w:line="240" w:lineRule="auto"/>
              <w:jc w:val="right"/>
            </w:pPr>
          </w:p>
        </w:tc>
        <w:tc>
          <w:tcPr>
            <w:tcW w:w="0" w:type="dxa"/>
            <w:vAlign w:val="center"/>
          </w:tcPr>
          <w:p w14:paraId="5A92A3A2">
            <w:pPr>
              <w:spacing w:line="240" w:lineRule="auto"/>
              <w:jc w:val="right"/>
            </w:pPr>
          </w:p>
        </w:tc>
        <w:tc>
          <w:tcPr>
            <w:tcW w:w="0" w:type="dxa"/>
            <w:vAlign w:val="center"/>
          </w:tcPr>
          <w:p w14:paraId="5D3125EC">
            <w:pPr>
              <w:spacing w:line="240" w:lineRule="auto"/>
              <w:jc w:val="right"/>
            </w:pPr>
          </w:p>
        </w:tc>
        <w:tc>
          <w:tcPr>
            <w:tcW w:w="0" w:type="dxa"/>
            <w:vAlign w:val="center"/>
          </w:tcPr>
          <w:p w14:paraId="354CAFAF">
            <w:pPr>
              <w:spacing w:line="240" w:lineRule="auto"/>
              <w:jc w:val="right"/>
            </w:pPr>
          </w:p>
        </w:tc>
        <w:tc>
          <w:tcPr>
            <w:tcW w:w="0" w:type="dxa"/>
            <w:vAlign w:val="center"/>
          </w:tcPr>
          <w:p w14:paraId="5352D6F0">
            <w:pPr>
              <w:spacing w:line="240" w:lineRule="auto"/>
              <w:jc w:val="right"/>
            </w:pPr>
          </w:p>
        </w:tc>
        <w:tc>
          <w:tcPr>
            <w:tcW w:w="0" w:type="dxa"/>
            <w:vAlign w:val="center"/>
          </w:tcPr>
          <w:p w14:paraId="6050EF15">
            <w:pPr>
              <w:spacing w:line="240" w:lineRule="auto"/>
              <w:jc w:val="right"/>
            </w:pPr>
          </w:p>
        </w:tc>
        <w:tc>
          <w:tcPr>
            <w:tcW w:w="0" w:type="dxa"/>
            <w:vAlign w:val="center"/>
          </w:tcPr>
          <w:p w14:paraId="56B354F1">
            <w:pPr>
              <w:spacing w:line="240" w:lineRule="auto"/>
              <w:jc w:val="right"/>
            </w:pPr>
          </w:p>
        </w:tc>
      </w:tr>
      <w:tr w14:paraId="7C79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E4EED7">
            <w:pPr>
              <w:spacing w:line="240" w:lineRule="auto"/>
              <w:jc w:val="center"/>
            </w:pPr>
            <w:r>
              <w:rPr>
                <w:rFonts w:ascii="宋体" w:hAnsi="宋体" w:eastAsia="宋体" w:cs="宋体"/>
                <w:b w:val="0"/>
              </w:rPr>
              <w:t>货币资金</w:t>
            </w:r>
          </w:p>
        </w:tc>
        <w:tc>
          <w:tcPr>
            <w:tcW w:w="0" w:type="dxa"/>
            <w:vAlign w:val="center"/>
          </w:tcPr>
          <w:p w14:paraId="74F320C8">
            <w:pPr>
              <w:spacing w:line="240" w:lineRule="auto"/>
              <w:jc w:val="right"/>
            </w:pPr>
            <w:r>
              <w:rPr>
                <w:rFonts w:ascii="宋体" w:hAnsi="宋体" w:eastAsia="宋体" w:cs="宋体"/>
                <w:b w:val="0"/>
              </w:rPr>
              <w:t>1,103,444.97</w:t>
            </w:r>
          </w:p>
        </w:tc>
        <w:tc>
          <w:tcPr>
            <w:tcW w:w="0" w:type="dxa"/>
            <w:vAlign w:val="center"/>
          </w:tcPr>
          <w:p w14:paraId="57077835">
            <w:pPr>
              <w:spacing w:line="240" w:lineRule="auto"/>
              <w:jc w:val="right"/>
            </w:pPr>
            <w:r>
              <w:rPr>
                <w:rFonts w:ascii="宋体" w:hAnsi="宋体" w:eastAsia="宋体" w:cs="宋体"/>
                <w:b w:val="0"/>
              </w:rPr>
              <w:t>-</w:t>
            </w:r>
          </w:p>
        </w:tc>
        <w:tc>
          <w:tcPr>
            <w:tcW w:w="0" w:type="dxa"/>
            <w:vAlign w:val="center"/>
          </w:tcPr>
          <w:p w14:paraId="026EF28A">
            <w:pPr>
              <w:spacing w:line="240" w:lineRule="auto"/>
              <w:jc w:val="right"/>
            </w:pPr>
            <w:r>
              <w:rPr>
                <w:rFonts w:ascii="宋体" w:hAnsi="宋体" w:eastAsia="宋体" w:cs="宋体"/>
                <w:b w:val="0"/>
              </w:rPr>
              <w:t>-</w:t>
            </w:r>
          </w:p>
        </w:tc>
        <w:tc>
          <w:tcPr>
            <w:tcW w:w="0" w:type="dxa"/>
            <w:vAlign w:val="center"/>
          </w:tcPr>
          <w:p w14:paraId="5EB7CF32">
            <w:pPr>
              <w:spacing w:line="240" w:lineRule="auto"/>
              <w:jc w:val="right"/>
            </w:pPr>
            <w:r>
              <w:rPr>
                <w:rFonts w:ascii="宋体" w:hAnsi="宋体" w:eastAsia="宋体" w:cs="宋体"/>
                <w:b w:val="0"/>
              </w:rPr>
              <w:t>-</w:t>
            </w:r>
          </w:p>
        </w:tc>
        <w:tc>
          <w:tcPr>
            <w:tcW w:w="0" w:type="dxa"/>
            <w:vAlign w:val="center"/>
          </w:tcPr>
          <w:p w14:paraId="497D695E">
            <w:pPr>
              <w:spacing w:line="240" w:lineRule="auto"/>
              <w:jc w:val="right"/>
            </w:pPr>
            <w:r>
              <w:rPr>
                <w:rFonts w:ascii="宋体" w:hAnsi="宋体" w:eastAsia="宋体" w:cs="宋体"/>
                <w:b w:val="0"/>
              </w:rPr>
              <w:t>-</w:t>
            </w:r>
          </w:p>
        </w:tc>
        <w:tc>
          <w:tcPr>
            <w:tcW w:w="0" w:type="dxa"/>
            <w:vAlign w:val="center"/>
          </w:tcPr>
          <w:p w14:paraId="61043A3E">
            <w:pPr>
              <w:spacing w:line="240" w:lineRule="auto"/>
              <w:jc w:val="right"/>
            </w:pPr>
            <w:r>
              <w:rPr>
                <w:rFonts w:ascii="宋体" w:hAnsi="宋体" w:eastAsia="宋体" w:cs="宋体"/>
                <w:b w:val="0"/>
              </w:rPr>
              <w:t>-</w:t>
            </w:r>
          </w:p>
        </w:tc>
        <w:tc>
          <w:tcPr>
            <w:tcW w:w="0" w:type="dxa"/>
            <w:vAlign w:val="center"/>
          </w:tcPr>
          <w:p w14:paraId="58AA406C">
            <w:pPr>
              <w:spacing w:line="240" w:lineRule="auto"/>
              <w:jc w:val="right"/>
            </w:pPr>
            <w:r>
              <w:rPr>
                <w:rFonts w:ascii="宋体" w:hAnsi="宋体" w:eastAsia="宋体" w:cs="宋体"/>
                <w:b w:val="0"/>
              </w:rPr>
              <w:t>1,103,444.97</w:t>
            </w:r>
          </w:p>
        </w:tc>
      </w:tr>
      <w:tr w14:paraId="25BF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E01B39">
            <w:pPr>
              <w:spacing w:line="240" w:lineRule="auto"/>
              <w:jc w:val="center"/>
            </w:pPr>
            <w:r>
              <w:rPr>
                <w:rFonts w:ascii="宋体" w:hAnsi="宋体" w:eastAsia="宋体" w:cs="宋体"/>
                <w:b w:val="0"/>
              </w:rPr>
              <w:t>结算备付金</w:t>
            </w:r>
          </w:p>
        </w:tc>
        <w:tc>
          <w:tcPr>
            <w:tcW w:w="0" w:type="dxa"/>
            <w:vAlign w:val="center"/>
          </w:tcPr>
          <w:p w14:paraId="24D0301E">
            <w:pPr>
              <w:spacing w:line="240" w:lineRule="auto"/>
              <w:jc w:val="right"/>
            </w:pPr>
            <w:r>
              <w:rPr>
                <w:rFonts w:ascii="宋体" w:hAnsi="宋体" w:eastAsia="宋体" w:cs="宋体"/>
                <w:b w:val="0"/>
              </w:rPr>
              <w:t>19.38</w:t>
            </w:r>
          </w:p>
        </w:tc>
        <w:tc>
          <w:tcPr>
            <w:tcW w:w="0" w:type="dxa"/>
            <w:vAlign w:val="center"/>
          </w:tcPr>
          <w:p w14:paraId="2420E3E5">
            <w:pPr>
              <w:spacing w:line="240" w:lineRule="auto"/>
              <w:jc w:val="right"/>
            </w:pPr>
            <w:r>
              <w:rPr>
                <w:rFonts w:ascii="宋体" w:hAnsi="宋体" w:eastAsia="宋体" w:cs="宋体"/>
                <w:b w:val="0"/>
              </w:rPr>
              <w:t>-</w:t>
            </w:r>
          </w:p>
        </w:tc>
        <w:tc>
          <w:tcPr>
            <w:tcW w:w="0" w:type="dxa"/>
            <w:vAlign w:val="center"/>
          </w:tcPr>
          <w:p w14:paraId="780C0D66">
            <w:pPr>
              <w:spacing w:line="240" w:lineRule="auto"/>
              <w:jc w:val="right"/>
            </w:pPr>
            <w:r>
              <w:rPr>
                <w:rFonts w:ascii="宋体" w:hAnsi="宋体" w:eastAsia="宋体" w:cs="宋体"/>
                <w:b w:val="0"/>
              </w:rPr>
              <w:t>-</w:t>
            </w:r>
          </w:p>
        </w:tc>
        <w:tc>
          <w:tcPr>
            <w:tcW w:w="0" w:type="dxa"/>
            <w:vAlign w:val="center"/>
          </w:tcPr>
          <w:p w14:paraId="11AB68B7">
            <w:pPr>
              <w:spacing w:line="240" w:lineRule="auto"/>
              <w:jc w:val="right"/>
            </w:pPr>
            <w:r>
              <w:rPr>
                <w:rFonts w:ascii="宋体" w:hAnsi="宋体" w:eastAsia="宋体" w:cs="宋体"/>
                <w:b w:val="0"/>
              </w:rPr>
              <w:t>-</w:t>
            </w:r>
          </w:p>
        </w:tc>
        <w:tc>
          <w:tcPr>
            <w:tcW w:w="0" w:type="dxa"/>
            <w:vAlign w:val="center"/>
          </w:tcPr>
          <w:p w14:paraId="56C5CFD6">
            <w:pPr>
              <w:spacing w:line="240" w:lineRule="auto"/>
              <w:jc w:val="right"/>
            </w:pPr>
            <w:r>
              <w:rPr>
                <w:rFonts w:ascii="宋体" w:hAnsi="宋体" w:eastAsia="宋体" w:cs="宋体"/>
                <w:b w:val="0"/>
              </w:rPr>
              <w:t>-</w:t>
            </w:r>
          </w:p>
        </w:tc>
        <w:tc>
          <w:tcPr>
            <w:tcW w:w="0" w:type="dxa"/>
            <w:vAlign w:val="center"/>
          </w:tcPr>
          <w:p w14:paraId="1D3CD433">
            <w:pPr>
              <w:spacing w:line="240" w:lineRule="auto"/>
              <w:jc w:val="right"/>
            </w:pPr>
            <w:r>
              <w:rPr>
                <w:rFonts w:ascii="宋体" w:hAnsi="宋体" w:eastAsia="宋体" w:cs="宋体"/>
                <w:b w:val="0"/>
              </w:rPr>
              <w:t>-</w:t>
            </w:r>
          </w:p>
        </w:tc>
        <w:tc>
          <w:tcPr>
            <w:tcW w:w="0" w:type="dxa"/>
            <w:vAlign w:val="center"/>
          </w:tcPr>
          <w:p w14:paraId="59580F56">
            <w:pPr>
              <w:spacing w:line="240" w:lineRule="auto"/>
              <w:jc w:val="right"/>
            </w:pPr>
            <w:r>
              <w:rPr>
                <w:rFonts w:ascii="宋体" w:hAnsi="宋体" w:eastAsia="宋体" w:cs="宋体"/>
                <w:b w:val="0"/>
              </w:rPr>
              <w:t>19.38</w:t>
            </w:r>
          </w:p>
        </w:tc>
      </w:tr>
      <w:tr w14:paraId="4774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4234C6">
            <w:pPr>
              <w:spacing w:line="240" w:lineRule="auto"/>
              <w:jc w:val="center"/>
            </w:pPr>
            <w:r>
              <w:rPr>
                <w:rFonts w:ascii="宋体" w:hAnsi="宋体" w:eastAsia="宋体" w:cs="宋体"/>
                <w:b w:val="0"/>
              </w:rPr>
              <w:t>交易性金融资产</w:t>
            </w:r>
          </w:p>
        </w:tc>
        <w:tc>
          <w:tcPr>
            <w:tcW w:w="0" w:type="dxa"/>
            <w:vAlign w:val="center"/>
          </w:tcPr>
          <w:p w14:paraId="76E22FA6">
            <w:pPr>
              <w:spacing w:line="240" w:lineRule="auto"/>
              <w:jc w:val="right"/>
            </w:pPr>
            <w:r>
              <w:rPr>
                <w:rFonts w:ascii="宋体" w:hAnsi="宋体" w:eastAsia="宋体" w:cs="宋体"/>
                <w:b w:val="0"/>
              </w:rPr>
              <w:t>-</w:t>
            </w:r>
          </w:p>
        </w:tc>
        <w:tc>
          <w:tcPr>
            <w:tcW w:w="0" w:type="dxa"/>
            <w:vAlign w:val="center"/>
          </w:tcPr>
          <w:p w14:paraId="468EB307">
            <w:pPr>
              <w:spacing w:line="240" w:lineRule="auto"/>
              <w:jc w:val="right"/>
            </w:pPr>
            <w:r>
              <w:rPr>
                <w:rFonts w:ascii="宋体" w:hAnsi="宋体" w:eastAsia="宋体" w:cs="宋体"/>
                <w:b w:val="0"/>
              </w:rPr>
              <w:t>-</w:t>
            </w:r>
          </w:p>
        </w:tc>
        <w:tc>
          <w:tcPr>
            <w:tcW w:w="0" w:type="dxa"/>
            <w:vAlign w:val="center"/>
          </w:tcPr>
          <w:p w14:paraId="67CD6E3D">
            <w:pPr>
              <w:spacing w:line="240" w:lineRule="auto"/>
              <w:jc w:val="right"/>
            </w:pPr>
            <w:r>
              <w:rPr>
                <w:rFonts w:ascii="宋体" w:hAnsi="宋体" w:eastAsia="宋体" w:cs="宋体"/>
                <w:b w:val="0"/>
              </w:rPr>
              <w:t>3,939,376.11</w:t>
            </w:r>
          </w:p>
        </w:tc>
        <w:tc>
          <w:tcPr>
            <w:tcW w:w="0" w:type="dxa"/>
            <w:vAlign w:val="center"/>
          </w:tcPr>
          <w:p w14:paraId="444D23AB">
            <w:pPr>
              <w:spacing w:line="240" w:lineRule="auto"/>
              <w:jc w:val="right"/>
            </w:pPr>
            <w:r>
              <w:rPr>
                <w:rFonts w:ascii="宋体" w:hAnsi="宋体" w:eastAsia="宋体" w:cs="宋体"/>
                <w:b w:val="0"/>
              </w:rPr>
              <w:t>-</w:t>
            </w:r>
          </w:p>
        </w:tc>
        <w:tc>
          <w:tcPr>
            <w:tcW w:w="0" w:type="dxa"/>
            <w:vAlign w:val="center"/>
          </w:tcPr>
          <w:p w14:paraId="2F08FDCB">
            <w:pPr>
              <w:spacing w:line="240" w:lineRule="auto"/>
              <w:jc w:val="right"/>
            </w:pPr>
            <w:r>
              <w:rPr>
                <w:rFonts w:ascii="宋体" w:hAnsi="宋体" w:eastAsia="宋体" w:cs="宋体"/>
                <w:b w:val="0"/>
              </w:rPr>
              <w:t>-</w:t>
            </w:r>
          </w:p>
        </w:tc>
        <w:tc>
          <w:tcPr>
            <w:tcW w:w="0" w:type="dxa"/>
            <w:vAlign w:val="center"/>
          </w:tcPr>
          <w:p w14:paraId="3A71B98C">
            <w:pPr>
              <w:spacing w:line="240" w:lineRule="auto"/>
              <w:jc w:val="right"/>
            </w:pPr>
            <w:r>
              <w:rPr>
                <w:rFonts w:ascii="宋体" w:hAnsi="宋体" w:eastAsia="宋体" w:cs="宋体"/>
                <w:b w:val="0"/>
              </w:rPr>
              <w:t>67,656,098.87</w:t>
            </w:r>
          </w:p>
        </w:tc>
        <w:tc>
          <w:tcPr>
            <w:tcW w:w="0" w:type="dxa"/>
            <w:vAlign w:val="center"/>
          </w:tcPr>
          <w:p w14:paraId="0B8BA604">
            <w:pPr>
              <w:spacing w:line="240" w:lineRule="auto"/>
              <w:jc w:val="right"/>
            </w:pPr>
            <w:r>
              <w:rPr>
                <w:rFonts w:ascii="宋体" w:hAnsi="宋体" w:eastAsia="宋体" w:cs="宋体"/>
                <w:b w:val="0"/>
              </w:rPr>
              <w:t>71,595,474.98</w:t>
            </w:r>
          </w:p>
        </w:tc>
      </w:tr>
      <w:tr w14:paraId="202A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DC2D73">
            <w:pPr>
              <w:spacing w:line="240" w:lineRule="auto"/>
              <w:jc w:val="center"/>
            </w:pPr>
            <w:r>
              <w:rPr>
                <w:rFonts w:ascii="宋体" w:hAnsi="宋体" w:eastAsia="宋体" w:cs="宋体"/>
                <w:b w:val="0"/>
              </w:rPr>
              <w:t>应收申购款</w:t>
            </w:r>
          </w:p>
        </w:tc>
        <w:tc>
          <w:tcPr>
            <w:tcW w:w="0" w:type="dxa"/>
            <w:vAlign w:val="center"/>
          </w:tcPr>
          <w:p w14:paraId="6F5F7B37">
            <w:pPr>
              <w:spacing w:line="240" w:lineRule="auto"/>
              <w:jc w:val="right"/>
            </w:pPr>
            <w:r>
              <w:rPr>
                <w:rFonts w:ascii="宋体" w:hAnsi="宋体" w:eastAsia="宋体" w:cs="宋体"/>
                <w:b w:val="0"/>
              </w:rPr>
              <w:t>-</w:t>
            </w:r>
          </w:p>
        </w:tc>
        <w:tc>
          <w:tcPr>
            <w:tcW w:w="0" w:type="dxa"/>
            <w:vAlign w:val="center"/>
          </w:tcPr>
          <w:p w14:paraId="268316A3">
            <w:pPr>
              <w:spacing w:line="240" w:lineRule="auto"/>
              <w:jc w:val="right"/>
            </w:pPr>
            <w:r>
              <w:rPr>
                <w:rFonts w:ascii="宋体" w:hAnsi="宋体" w:eastAsia="宋体" w:cs="宋体"/>
                <w:b w:val="0"/>
              </w:rPr>
              <w:t>-</w:t>
            </w:r>
          </w:p>
        </w:tc>
        <w:tc>
          <w:tcPr>
            <w:tcW w:w="0" w:type="dxa"/>
            <w:vAlign w:val="center"/>
          </w:tcPr>
          <w:p w14:paraId="19D9AE26">
            <w:pPr>
              <w:spacing w:line="240" w:lineRule="auto"/>
              <w:jc w:val="right"/>
            </w:pPr>
            <w:r>
              <w:rPr>
                <w:rFonts w:ascii="宋体" w:hAnsi="宋体" w:eastAsia="宋体" w:cs="宋体"/>
                <w:b w:val="0"/>
              </w:rPr>
              <w:t>-</w:t>
            </w:r>
          </w:p>
        </w:tc>
        <w:tc>
          <w:tcPr>
            <w:tcW w:w="0" w:type="dxa"/>
            <w:vAlign w:val="center"/>
          </w:tcPr>
          <w:p w14:paraId="3873A808">
            <w:pPr>
              <w:spacing w:line="240" w:lineRule="auto"/>
              <w:jc w:val="right"/>
            </w:pPr>
            <w:r>
              <w:rPr>
                <w:rFonts w:ascii="宋体" w:hAnsi="宋体" w:eastAsia="宋体" w:cs="宋体"/>
                <w:b w:val="0"/>
              </w:rPr>
              <w:t>-</w:t>
            </w:r>
          </w:p>
        </w:tc>
        <w:tc>
          <w:tcPr>
            <w:tcW w:w="0" w:type="dxa"/>
            <w:vAlign w:val="center"/>
          </w:tcPr>
          <w:p w14:paraId="60D2D601">
            <w:pPr>
              <w:spacing w:line="240" w:lineRule="auto"/>
              <w:jc w:val="right"/>
            </w:pPr>
            <w:r>
              <w:rPr>
                <w:rFonts w:ascii="宋体" w:hAnsi="宋体" w:eastAsia="宋体" w:cs="宋体"/>
                <w:b w:val="0"/>
              </w:rPr>
              <w:t>-</w:t>
            </w:r>
          </w:p>
        </w:tc>
        <w:tc>
          <w:tcPr>
            <w:tcW w:w="0" w:type="dxa"/>
            <w:vAlign w:val="center"/>
          </w:tcPr>
          <w:p w14:paraId="4C0CDFB2">
            <w:pPr>
              <w:spacing w:line="240" w:lineRule="auto"/>
              <w:jc w:val="right"/>
            </w:pPr>
            <w:r>
              <w:rPr>
                <w:rFonts w:ascii="宋体" w:hAnsi="宋体" w:eastAsia="宋体" w:cs="宋体"/>
                <w:b w:val="0"/>
              </w:rPr>
              <w:t>1,347.70</w:t>
            </w:r>
          </w:p>
        </w:tc>
        <w:tc>
          <w:tcPr>
            <w:tcW w:w="0" w:type="dxa"/>
            <w:vAlign w:val="center"/>
          </w:tcPr>
          <w:p w14:paraId="199803AC">
            <w:pPr>
              <w:spacing w:line="240" w:lineRule="auto"/>
              <w:jc w:val="right"/>
            </w:pPr>
            <w:r>
              <w:rPr>
                <w:rFonts w:ascii="宋体" w:hAnsi="宋体" w:eastAsia="宋体" w:cs="宋体"/>
                <w:b w:val="0"/>
              </w:rPr>
              <w:t>1,347.70</w:t>
            </w:r>
          </w:p>
        </w:tc>
      </w:tr>
      <w:tr w14:paraId="5FE8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5F0655">
            <w:pPr>
              <w:spacing w:line="240" w:lineRule="auto"/>
              <w:jc w:val="center"/>
            </w:pPr>
            <w:r>
              <w:rPr>
                <w:rFonts w:ascii="宋体" w:hAnsi="宋体" w:eastAsia="宋体" w:cs="宋体"/>
                <w:b w:val="0"/>
              </w:rPr>
              <w:t>资产总计</w:t>
            </w:r>
          </w:p>
        </w:tc>
        <w:tc>
          <w:tcPr>
            <w:tcW w:w="0" w:type="dxa"/>
            <w:vAlign w:val="center"/>
          </w:tcPr>
          <w:p w14:paraId="7C2CFC74">
            <w:pPr>
              <w:spacing w:line="240" w:lineRule="auto"/>
              <w:jc w:val="right"/>
            </w:pPr>
            <w:r>
              <w:rPr>
                <w:rFonts w:ascii="宋体" w:hAnsi="宋体" w:eastAsia="宋体" w:cs="宋体"/>
                <w:b w:val="0"/>
              </w:rPr>
              <w:t>1,103,464.35</w:t>
            </w:r>
          </w:p>
        </w:tc>
        <w:tc>
          <w:tcPr>
            <w:tcW w:w="0" w:type="dxa"/>
            <w:vAlign w:val="center"/>
          </w:tcPr>
          <w:p w14:paraId="4907685F">
            <w:pPr>
              <w:spacing w:line="240" w:lineRule="auto"/>
              <w:jc w:val="right"/>
            </w:pPr>
            <w:r>
              <w:rPr>
                <w:rFonts w:ascii="宋体" w:hAnsi="宋体" w:eastAsia="宋体" w:cs="宋体"/>
                <w:b w:val="0"/>
              </w:rPr>
              <w:t>-</w:t>
            </w:r>
          </w:p>
        </w:tc>
        <w:tc>
          <w:tcPr>
            <w:tcW w:w="0" w:type="dxa"/>
            <w:vAlign w:val="center"/>
          </w:tcPr>
          <w:p w14:paraId="05BEA36E">
            <w:pPr>
              <w:spacing w:line="240" w:lineRule="auto"/>
              <w:jc w:val="right"/>
            </w:pPr>
            <w:r>
              <w:rPr>
                <w:rFonts w:ascii="宋体" w:hAnsi="宋体" w:eastAsia="宋体" w:cs="宋体"/>
                <w:b w:val="0"/>
              </w:rPr>
              <w:t>3,939,376.11</w:t>
            </w:r>
          </w:p>
        </w:tc>
        <w:tc>
          <w:tcPr>
            <w:tcW w:w="0" w:type="dxa"/>
            <w:vAlign w:val="center"/>
          </w:tcPr>
          <w:p w14:paraId="4E977BF6">
            <w:pPr>
              <w:spacing w:line="240" w:lineRule="auto"/>
              <w:jc w:val="right"/>
            </w:pPr>
            <w:r>
              <w:rPr>
                <w:rFonts w:ascii="宋体" w:hAnsi="宋体" w:eastAsia="宋体" w:cs="宋体"/>
                <w:b w:val="0"/>
              </w:rPr>
              <w:t>-</w:t>
            </w:r>
          </w:p>
        </w:tc>
        <w:tc>
          <w:tcPr>
            <w:tcW w:w="0" w:type="dxa"/>
            <w:vAlign w:val="center"/>
          </w:tcPr>
          <w:p w14:paraId="0EE13CC9">
            <w:pPr>
              <w:spacing w:line="240" w:lineRule="auto"/>
              <w:jc w:val="right"/>
            </w:pPr>
            <w:r>
              <w:rPr>
                <w:rFonts w:ascii="宋体" w:hAnsi="宋体" w:eastAsia="宋体" w:cs="宋体"/>
                <w:b w:val="0"/>
              </w:rPr>
              <w:t>-</w:t>
            </w:r>
          </w:p>
        </w:tc>
        <w:tc>
          <w:tcPr>
            <w:tcW w:w="0" w:type="dxa"/>
            <w:vAlign w:val="center"/>
          </w:tcPr>
          <w:p w14:paraId="7A3B2497">
            <w:pPr>
              <w:spacing w:line="240" w:lineRule="auto"/>
              <w:jc w:val="right"/>
            </w:pPr>
            <w:r>
              <w:rPr>
                <w:rFonts w:ascii="宋体" w:hAnsi="宋体" w:eastAsia="宋体" w:cs="宋体"/>
                <w:b w:val="0"/>
              </w:rPr>
              <w:t>67,657,446.57</w:t>
            </w:r>
          </w:p>
        </w:tc>
        <w:tc>
          <w:tcPr>
            <w:tcW w:w="0" w:type="dxa"/>
            <w:vAlign w:val="center"/>
          </w:tcPr>
          <w:p w14:paraId="1D902E60">
            <w:pPr>
              <w:spacing w:line="240" w:lineRule="auto"/>
              <w:jc w:val="right"/>
            </w:pPr>
            <w:r>
              <w:rPr>
                <w:rFonts w:ascii="宋体" w:hAnsi="宋体" w:eastAsia="宋体" w:cs="宋体"/>
                <w:b w:val="0"/>
              </w:rPr>
              <w:t>72,700,287.03</w:t>
            </w:r>
          </w:p>
        </w:tc>
      </w:tr>
      <w:tr w14:paraId="544D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D19D05">
            <w:pPr>
              <w:spacing w:line="240" w:lineRule="auto"/>
              <w:jc w:val="center"/>
            </w:pPr>
            <w:r>
              <w:rPr>
                <w:rFonts w:ascii="宋体" w:hAnsi="宋体" w:eastAsia="宋体" w:cs="宋体"/>
                <w:b w:val="0"/>
              </w:rPr>
              <w:t>负债</w:t>
            </w:r>
          </w:p>
        </w:tc>
        <w:tc>
          <w:tcPr>
            <w:tcW w:w="0" w:type="dxa"/>
            <w:vAlign w:val="center"/>
          </w:tcPr>
          <w:p w14:paraId="021B1D0A">
            <w:pPr>
              <w:spacing w:line="240" w:lineRule="auto"/>
              <w:jc w:val="right"/>
            </w:pPr>
          </w:p>
        </w:tc>
        <w:tc>
          <w:tcPr>
            <w:tcW w:w="0" w:type="dxa"/>
            <w:vAlign w:val="center"/>
          </w:tcPr>
          <w:p w14:paraId="728E05DE">
            <w:pPr>
              <w:spacing w:line="240" w:lineRule="auto"/>
              <w:jc w:val="right"/>
            </w:pPr>
          </w:p>
        </w:tc>
        <w:tc>
          <w:tcPr>
            <w:tcW w:w="0" w:type="dxa"/>
            <w:vAlign w:val="center"/>
          </w:tcPr>
          <w:p w14:paraId="4797F8C4">
            <w:pPr>
              <w:spacing w:line="240" w:lineRule="auto"/>
              <w:jc w:val="right"/>
            </w:pPr>
          </w:p>
        </w:tc>
        <w:tc>
          <w:tcPr>
            <w:tcW w:w="0" w:type="dxa"/>
            <w:vAlign w:val="center"/>
          </w:tcPr>
          <w:p w14:paraId="63A30F63">
            <w:pPr>
              <w:spacing w:line="240" w:lineRule="auto"/>
              <w:jc w:val="right"/>
            </w:pPr>
          </w:p>
        </w:tc>
        <w:tc>
          <w:tcPr>
            <w:tcW w:w="0" w:type="dxa"/>
            <w:vAlign w:val="center"/>
          </w:tcPr>
          <w:p w14:paraId="227F375C">
            <w:pPr>
              <w:spacing w:line="240" w:lineRule="auto"/>
              <w:jc w:val="right"/>
            </w:pPr>
          </w:p>
        </w:tc>
        <w:tc>
          <w:tcPr>
            <w:tcW w:w="0" w:type="dxa"/>
            <w:vAlign w:val="center"/>
          </w:tcPr>
          <w:p w14:paraId="562E7E8E">
            <w:pPr>
              <w:spacing w:line="240" w:lineRule="auto"/>
              <w:jc w:val="right"/>
            </w:pPr>
          </w:p>
        </w:tc>
        <w:tc>
          <w:tcPr>
            <w:tcW w:w="0" w:type="dxa"/>
            <w:vAlign w:val="center"/>
          </w:tcPr>
          <w:p w14:paraId="3A256A4E">
            <w:pPr>
              <w:spacing w:line="240" w:lineRule="auto"/>
              <w:jc w:val="right"/>
            </w:pPr>
          </w:p>
        </w:tc>
      </w:tr>
      <w:tr w14:paraId="1FA3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4D0E3D">
            <w:pPr>
              <w:spacing w:line="240" w:lineRule="auto"/>
              <w:jc w:val="center"/>
            </w:pPr>
            <w:r>
              <w:rPr>
                <w:rFonts w:ascii="宋体" w:hAnsi="宋体" w:eastAsia="宋体" w:cs="宋体"/>
                <w:b w:val="0"/>
              </w:rPr>
              <w:t>应付赎回款</w:t>
            </w:r>
          </w:p>
        </w:tc>
        <w:tc>
          <w:tcPr>
            <w:tcW w:w="0" w:type="dxa"/>
            <w:vAlign w:val="center"/>
          </w:tcPr>
          <w:p w14:paraId="0E5260B2">
            <w:pPr>
              <w:spacing w:line="240" w:lineRule="auto"/>
              <w:jc w:val="right"/>
            </w:pPr>
            <w:r>
              <w:rPr>
                <w:rFonts w:ascii="宋体" w:hAnsi="宋体" w:eastAsia="宋体" w:cs="宋体"/>
                <w:b w:val="0"/>
              </w:rPr>
              <w:t>-</w:t>
            </w:r>
          </w:p>
        </w:tc>
        <w:tc>
          <w:tcPr>
            <w:tcW w:w="0" w:type="dxa"/>
            <w:vAlign w:val="center"/>
          </w:tcPr>
          <w:p w14:paraId="57E9F8A2">
            <w:pPr>
              <w:spacing w:line="240" w:lineRule="auto"/>
              <w:jc w:val="right"/>
            </w:pPr>
            <w:r>
              <w:rPr>
                <w:rFonts w:ascii="宋体" w:hAnsi="宋体" w:eastAsia="宋体" w:cs="宋体"/>
                <w:b w:val="0"/>
              </w:rPr>
              <w:t>-</w:t>
            </w:r>
          </w:p>
        </w:tc>
        <w:tc>
          <w:tcPr>
            <w:tcW w:w="0" w:type="dxa"/>
            <w:vAlign w:val="center"/>
          </w:tcPr>
          <w:p w14:paraId="4649D396">
            <w:pPr>
              <w:spacing w:line="240" w:lineRule="auto"/>
              <w:jc w:val="right"/>
            </w:pPr>
            <w:r>
              <w:rPr>
                <w:rFonts w:ascii="宋体" w:hAnsi="宋体" w:eastAsia="宋体" w:cs="宋体"/>
                <w:b w:val="0"/>
              </w:rPr>
              <w:t>-</w:t>
            </w:r>
          </w:p>
        </w:tc>
        <w:tc>
          <w:tcPr>
            <w:tcW w:w="0" w:type="dxa"/>
            <w:vAlign w:val="center"/>
          </w:tcPr>
          <w:p w14:paraId="31CBF843">
            <w:pPr>
              <w:spacing w:line="240" w:lineRule="auto"/>
              <w:jc w:val="right"/>
            </w:pPr>
            <w:r>
              <w:rPr>
                <w:rFonts w:ascii="宋体" w:hAnsi="宋体" w:eastAsia="宋体" w:cs="宋体"/>
                <w:b w:val="0"/>
              </w:rPr>
              <w:t>-</w:t>
            </w:r>
          </w:p>
        </w:tc>
        <w:tc>
          <w:tcPr>
            <w:tcW w:w="0" w:type="dxa"/>
            <w:vAlign w:val="center"/>
          </w:tcPr>
          <w:p w14:paraId="3BE26651">
            <w:pPr>
              <w:spacing w:line="240" w:lineRule="auto"/>
              <w:jc w:val="right"/>
            </w:pPr>
            <w:r>
              <w:rPr>
                <w:rFonts w:ascii="宋体" w:hAnsi="宋体" w:eastAsia="宋体" w:cs="宋体"/>
                <w:b w:val="0"/>
              </w:rPr>
              <w:t>-</w:t>
            </w:r>
          </w:p>
        </w:tc>
        <w:tc>
          <w:tcPr>
            <w:tcW w:w="0" w:type="dxa"/>
            <w:vAlign w:val="center"/>
          </w:tcPr>
          <w:p w14:paraId="541AA886">
            <w:pPr>
              <w:spacing w:line="240" w:lineRule="auto"/>
              <w:jc w:val="right"/>
            </w:pPr>
            <w:r>
              <w:rPr>
                <w:rFonts w:ascii="宋体" w:hAnsi="宋体" w:eastAsia="宋体" w:cs="宋体"/>
                <w:b w:val="0"/>
              </w:rPr>
              <w:t>30,293.79</w:t>
            </w:r>
          </w:p>
        </w:tc>
        <w:tc>
          <w:tcPr>
            <w:tcW w:w="0" w:type="dxa"/>
            <w:vAlign w:val="center"/>
          </w:tcPr>
          <w:p w14:paraId="5A75B13C">
            <w:pPr>
              <w:spacing w:line="240" w:lineRule="auto"/>
              <w:jc w:val="right"/>
            </w:pPr>
            <w:r>
              <w:rPr>
                <w:rFonts w:ascii="宋体" w:hAnsi="宋体" w:eastAsia="宋体" w:cs="宋体"/>
                <w:b w:val="0"/>
              </w:rPr>
              <w:t>30,293.79</w:t>
            </w:r>
          </w:p>
        </w:tc>
      </w:tr>
      <w:tr w14:paraId="7B2F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213925">
            <w:pPr>
              <w:spacing w:line="240" w:lineRule="auto"/>
              <w:jc w:val="center"/>
            </w:pPr>
            <w:r>
              <w:rPr>
                <w:rFonts w:ascii="宋体" w:hAnsi="宋体" w:eastAsia="宋体" w:cs="宋体"/>
                <w:b w:val="0"/>
              </w:rPr>
              <w:t>应付管理人报酬</w:t>
            </w:r>
          </w:p>
        </w:tc>
        <w:tc>
          <w:tcPr>
            <w:tcW w:w="0" w:type="dxa"/>
            <w:vAlign w:val="center"/>
          </w:tcPr>
          <w:p w14:paraId="3701C6FC">
            <w:pPr>
              <w:spacing w:line="240" w:lineRule="auto"/>
              <w:jc w:val="right"/>
            </w:pPr>
            <w:r>
              <w:rPr>
                <w:rFonts w:ascii="宋体" w:hAnsi="宋体" w:eastAsia="宋体" w:cs="宋体"/>
                <w:b w:val="0"/>
              </w:rPr>
              <w:t>-</w:t>
            </w:r>
          </w:p>
        </w:tc>
        <w:tc>
          <w:tcPr>
            <w:tcW w:w="0" w:type="dxa"/>
            <w:vAlign w:val="center"/>
          </w:tcPr>
          <w:p w14:paraId="785927A0">
            <w:pPr>
              <w:spacing w:line="240" w:lineRule="auto"/>
              <w:jc w:val="right"/>
            </w:pPr>
            <w:r>
              <w:rPr>
                <w:rFonts w:ascii="宋体" w:hAnsi="宋体" w:eastAsia="宋体" w:cs="宋体"/>
                <w:b w:val="0"/>
              </w:rPr>
              <w:t>-</w:t>
            </w:r>
          </w:p>
        </w:tc>
        <w:tc>
          <w:tcPr>
            <w:tcW w:w="0" w:type="dxa"/>
            <w:vAlign w:val="center"/>
          </w:tcPr>
          <w:p w14:paraId="713CC61F">
            <w:pPr>
              <w:spacing w:line="240" w:lineRule="auto"/>
              <w:jc w:val="right"/>
            </w:pPr>
            <w:r>
              <w:rPr>
                <w:rFonts w:ascii="宋体" w:hAnsi="宋体" w:eastAsia="宋体" w:cs="宋体"/>
                <w:b w:val="0"/>
              </w:rPr>
              <w:t>-</w:t>
            </w:r>
          </w:p>
        </w:tc>
        <w:tc>
          <w:tcPr>
            <w:tcW w:w="0" w:type="dxa"/>
            <w:vAlign w:val="center"/>
          </w:tcPr>
          <w:p w14:paraId="1102C9A4">
            <w:pPr>
              <w:spacing w:line="240" w:lineRule="auto"/>
              <w:jc w:val="right"/>
            </w:pPr>
            <w:r>
              <w:rPr>
                <w:rFonts w:ascii="宋体" w:hAnsi="宋体" w:eastAsia="宋体" w:cs="宋体"/>
                <w:b w:val="0"/>
              </w:rPr>
              <w:t>-</w:t>
            </w:r>
          </w:p>
        </w:tc>
        <w:tc>
          <w:tcPr>
            <w:tcW w:w="0" w:type="dxa"/>
            <w:vAlign w:val="center"/>
          </w:tcPr>
          <w:p w14:paraId="24D4834F">
            <w:pPr>
              <w:spacing w:line="240" w:lineRule="auto"/>
              <w:jc w:val="right"/>
            </w:pPr>
            <w:r>
              <w:rPr>
                <w:rFonts w:ascii="宋体" w:hAnsi="宋体" w:eastAsia="宋体" w:cs="宋体"/>
                <w:b w:val="0"/>
              </w:rPr>
              <w:t>-</w:t>
            </w:r>
          </w:p>
        </w:tc>
        <w:tc>
          <w:tcPr>
            <w:tcW w:w="0" w:type="dxa"/>
            <w:vAlign w:val="center"/>
          </w:tcPr>
          <w:p w14:paraId="01AA3FBD">
            <w:pPr>
              <w:spacing w:line="240" w:lineRule="auto"/>
              <w:jc w:val="right"/>
            </w:pPr>
            <w:r>
              <w:rPr>
                <w:rFonts w:ascii="宋体" w:hAnsi="宋体" w:eastAsia="宋体" w:cs="宋体"/>
                <w:b w:val="0"/>
              </w:rPr>
              <w:t>71,295.58</w:t>
            </w:r>
          </w:p>
        </w:tc>
        <w:tc>
          <w:tcPr>
            <w:tcW w:w="0" w:type="dxa"/>
            <w:vAlign w:val="center"/>
          </w:tcPr>
          <w:p w14:paraId="0AE6AD24">
            <w:pPr>
              <w:spacing w:line="240" w:lineRule="auto"/>
              <w:jc w:val="right"/>
            </w:pPr>
            <w:r>
              <w:rPr>
                <w:rFonts w:ascii="宋体" w:hAnsi="宋体" w:eastAsia="宋体" w:cs="宋体"/>
                <w:b w:val="0"/>
              </w:rPr>
              <w:t>71,295.58</w:t>
            </w:r>
          </w:p>
        </w:tc>
      </w:tr>
      <w:tr w14:paraId="091B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1CBD99">
            <w:pPr>
              <w:spacing w:line="240" w:lineRule="auto"/>
              <w:jc w:val="center"/>
            </w:pPr>
            <w:r>
              <w:rPr>
                <w:rFonts w:ascii="宋体" w:hAnsi="宋体" w:eastAsia="宋体" w:cs="宋体"/>
                <w:b w:val="0"/>
              </w:rPr>
              <w:t>应付托管费</w:t>
            </w:r>
          </w:p>
        </w:tc>
        <w:tc>
          <w:tcPr>
            <w:tcW w:w="0" w:type="dxa"/>
            <w:vAlign w:val="center"/>
          </w:tcPr>
          <w:p w14:paraId="45C559DE">
            <w:pPr>
              <w:spacing w:line="240" w:lineRule="auto"/>
              <w:jc w:val="right"/>
            </w:pPr>
            <w:r>
              <w:rPr>
                <w:rFonts w:ascii="宋体" w:hAnsi="宋体" w:eastAsia="宋体" w:cs="宋体"/>
                <w:b w:val="0"/>
              </w:rPr>
              <w:t>-</w:t>
            </w:r>
          </w:p>
        </w:tc>
        <w:tc>
          <w:tcPr>
            <w:tcW w:w="0" w:type="dxa"/>
            <w:vAlign w:val="center"/>
          </w:tcPr>
          <w:p w14:paraId="351EB3B4">
            <w:pPr>
              <w:spacing w:line="240" w:lineRule="auto"/>
              <w:jc w:val="right"/>
            </w:pPr>
            <w:r>
              <w:rPr>
                <w:rFonts w:ascii="宋体" w:hAnsi="宋体" w:eastAsia="宋体" w:cs="宋体"/>
                <w:b w:val="0"/>
              </w:rPr>
              <w:t>-</w:t>
            </w:r>
          </w:p>
        </w:tc>
        <w:tc>
          <w:tcPr>
            <w:tcW w:w="0" w:type="dxa"/>
            <w:vAlign w:val="center"/>
          </w:tcPr>
          <w:p w14:paraId="51650D59">
            <w:pPr>
              <w:spacing w:line="240" w:lineRule="auto"/>
              <w:jc w:val="right"/>
            </w:pPr>
            <w:r>
              <w:rPr>
                <w:rFonts w:ascii="宋体" w:hAnsi="宋体" w:eastAsia="宋体" w:cs="宋体"/>
                <w:b w:val="0"/>
              </w:rPr>
              <w:t>-</w:t>
            </w:r>
          </w:p>
        </w:tc>
        <w:tc>
          <w:tcPr>
            <w:tcW w:w="0" w:type="dxa"/>
            <w:vAlign w:val="center"/>
          </w:tcPr>
          <w:p w14:paraId="070AF622">
            <w:pPr>
              <w:spacing w:line="240" w:lineRule="auto"/>
              <w:jc w:val="right"/>
            </w:pPr>
            <w:r>
              <w:rPr>
                <w:rFonts w:ascii="宋体" w:hAnsi="宋体" w:eastAsia="宋体" w:cs="宋体"/>
                <w:b w:val="0"/>
              </w:rPr>
              <w:t>-</w:t>
            </w:r>
          </w:p>
        </w:tc>
        <w:tc>
          <w:tcPr>
            <w:tcW w:w="0" w:type="dxa"/>
            <w:vAlign w:val="center"/>
          </w:tcPr>
          <w:p w14:paraId="68A7659E">
            <w:pPr>
              <w:spacing w:line="240" w:lineRule="auto"/>
              <w:jc w:val="right"/>
            </w:pPr>
            <w:r>
              <w:rPr>
                <w:rFonts w:ascii="宋体" w:hAnsi="宋体" w:eastAsia="宋体" w:cs="宋体"/>
                <w:b w:val="0"/>
              </w:rPr>
              <w:t>-</w:t>
            </w:r>
          </w:p>
        </w:tc>
        <w:tc>
          <w:tcPr>
            <w:tcW w:w="0" w:type="dxa"/>
            <w:vAlign w:val="center"/>
          </w:tcPr>
          <w:p w14:paraId="70BF6EB7">
            <w:pPr>
              <w:spacing w:line="240" w:lineRule="auto"/>
              <w:jc w:val="right"/>
            </w:pPr>
            <w:r>
              <w:rPr>
                <w:rFonts w:ascii="宋体" w:hAnsi="宋体" w:eastAsia="宋体" w:cs="宋体"/>
                <w:b w:val="0"/>
              </w:rPr>
              <w:t>11,882.57</w:t>
            </w:r>
          </w:p>
        </w:tc>
        <w:tc>
          <w:tcPr>
            <w:tcW w:w="0" w:type="dxa"/>
            <w:vAlign w:val="center"/>
          </w:tcPr>
          <w:p w14:paraId="1CBA6241">
            <w:pPr>
              <w:spacing w:line="240" w:lineRule="auto"/>
              <w:jc w:val="right"/>
            </w:pPr>
            <w:r>
              <w:rPr>
                <w:rFonts w:ascii="宋体" w:hAnsi="宋体" w:eastAsia="宋体" w:cs="宋体"/>
                <w:b w:val="0"/>
              </w:rPr>
              <w:t>11,882.57</w:t>
            </w:r>
          </w:p>
        </w:tc>
      </w:tr>
      <w:tr w14:paraId="6554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7BF8BE">
            <w:pPr>
              <w:spacing w:line="240" w:lineRule="auto"/>
              <w:jc w:val="center"/>
            </w:pPr>
            <w:r>
              <w:rPr>
                <w:rFonts w:ascii="宋体" w:hAnsi="宋体" w:eastAsia="宋体" w:cs="宋体"/>
                <w:b w:val="0"/>
              </w:rPr>
              <w:t>应付销售服务费</w:t>
            </w:r>
          </w:p>
        </w:tc>
        <w:tc>
          <w:tcPr>
            <w:tcW w:w="0" w:type="dxa"/>
            <w:vAlign w:val="center"/>
          </w:tcPr>
          <w:p w14:paraId="2E30B8C8">
            <w:pPr>
              <w:spacing w:line="240" w:lineRule="auto"/>
              <w:jc w:val="right"/>
            </w:pPr>
            <w:r>
              <w:rPr>
                <w:rFonts w:ascii="宋体" w:hAnsi="宋体" w:eastAsia="宋体" w:cs="宋体"/>
                <w:b w:val="0"/>
              </w:rPr>
              <w:t>-</w:t>
            </w:r>
          </w:p>
        </w:tc>
        <w:tc>
          <w:tcPr>
            <w:tcW w:w="0" w:type="dxa"/>
            <w:vAlign w:val="center"/>
          </w:tcPr>
          <w:p w14:paraId="5FE423D4">
            <w:pPr>
              <w:spacing w:line="240" w:lineRule="auto"/>
              <w:jc w:val="right"/>
            </w:pPr>
            <w:r>
              <w:rPr>
                <w:rFonts w:ascii="宋体" w:hAnsi="宋体" w:eastAsia="宋体" w:cs="宋体"/>
                <w:b w:val="0"/>
              </w:rPr>
              <w:t>-</w:t>
            </w:r>
          </w:p>
        </w:tc>
        <w:tc>
          <w:tcPr>
            <w:tcW w:w="0" w:type="dxa"/>
            <w:vAlign w:val="center"/>
          </w:tcPr>
          <w:p w14:paraId="710C615F">
            <w:pPr>
              <w:spacing w:line="240" w:lineRule="auto"/>
              <w:jc w:val="right"/>
            </w:pPr>
            <w:r>
              <w:rPr>
                <w:rFonts w:ascii="宋体" w:hAnsi="宋体" w:eastAsia="宋体" w:cs="宋体"/>
                <w:b w:val="0"/>
              </w:rPr>
              <w:t>-</w:t>
            </w:r>
          </w:p>
        </w:tc>
        <w:tc>
          <w:tcPr>
            <w:tcW w:w="0" w:type="dxa"/>
            <w:vAlign w:val="center"/>
          </w:tcPr>
          <w:p w14:paraId="5D8ABE9A">
            <w:pPr>
              <w:spacing w:line="240" w:lineRule="auto"/>
              <w:jc w:val="right"/>
            </w:pPr>
            <w:r>
              <w:rPr>
                <w:rFonts w:ascii="宋体" w:hAnsi="宋体" w:eastAsia="宋体" w:cs="宋体"/>
                <w:b w:val="0"/>
              </w:rPr>
              <w:t>-</w:t>
            </w:r>
          </w:p>
        </w:tc>
        <w:tc>
          <w:tcPr>
            <w:tcW w:w="0" w:type="dxa"/>
            <w:vAlign w:val="center"/>
          </w:tcPr>
          <w:p w14:paraId="2A431155">
            <w:pPr>
              <w:spacing w:line="240" w:lineRule="auto"/>
              <w:jc w:val="right"/>
            </w:pPr>
            <w:r>
              <w:rPr>
                <w:rFonts w:ascii="宋体" w:hAnsi="宋体" w:eastAsia="宋体" w:cs="宋体"/>
                <w:b w:val="0"/>
              </w:rPr>
              <w:t>-</w:t>
            </w:r>
          </w:p>
        </w:tc>
        <w:tc>
          <w:tcPr>
            <w:tcW w:w="0" w:type="dxa"/>
            <w:vAlign w:val="center"/>
          </w:tcPr>
          <w:p w14:paraId="1C45CCD3">
            <w:pPr>
              <w:spacing w:line="240" w:lineRule="auto"/>
              <w:jc w:val="right"/>
            </w:pPr>
            <w:r>
              <w:rPr>
                <w:rFonts w:ascii="宋体" w:hAnsi="宋体" w:eastAsia="宋体" w:cs="宋体"/>
                <w:b w:val="0"/>
              </w:rPr>
              <w:t>6,342.52</w:t>
            </w:r>
          </w:p>
        </w:tc>
        <w:tc>
          <w:tcPr>
            <w:tcW w:w="0" w:type="dxa"/>
            <w:vAlign w:val="center"/>
          </w:tcPr>
          <w:p w14:paraId="4090427F">
            <w:pPr>
              <w:spacing w:line="240" w:lineRule="auto"/>
              <w:jc w:val="right"/>
            </w:pPr>
            <w:r>
              <w:rPr>
                <w:rFonts w:ascii="宋体" w:hAnsi="宋体" w:eastAsia="宋体" w:cs="宋体"/>
                <w:b w:val="0"/>
              </w:rPr>
              <w:t>6,342.52</w:t>
            </w:r>
          </w:p>
        </w:tc>
      </w:tr>
      <w:tr w14:paraId="496B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844D08">
            <w:pPr>
              <w:spacing w:line="240" w:lineRule="auto"/>
              <w:jc w:val="center"/>
            </w:pPr>
            <w:r>
              <w:rPr>
                <w:rFonts w:ascii="宋体" w:hAnsi="宋体" w:eastAsia="宋体" w:cs="宋体"/>
                <w:b w:val="0"/>
              </w:rPr>
              <w:t>其他负债</w:t>
            </w:r>
          </w:p>
        </w:tc>
        <w:tc>
          <w:tcPr>
            <w:tcW w:w="0" w:type="dxa"/>
            <w:vAlign w:val="center"/>
          </w:tcPr>
          <w:p w14:paraId="25297E02">
            <w:pPr>
              <w:spacing w:line="240" w:lineRule="auto"/>
              <w:jc w:val="right"/>
            </w:pPr>
            <w:r>
              <w:rPr>
                <w:rFonts w:ascii="宋体" w:hAnsi="宋体" w:eastAsia="宋体" w:cs="宋体"/>
                <w:b w:val="0"/>
              </w:rPr>
              <w:t>-</w:t>
            </w:r>
          </w:p>
        </w:tc>
        <w:tc>
          <w:tcPr>
            <w:tcW w:w="0" w:type="dxa"/>
            <w:vAlign w:val="center"/>
          </w:tcPr>
          <w:p w14:paraId="464658FE">
            <w:pPr>
              <w:spacing w:line="240" w:lineRule="auto"/>
              <w:jc w:val="right"/>
            </w:pPr>
            <w:r>
              <w:rPr>
                <w:rFonts w:ascii="宋体" w:hAnsi="宋体" w:eastAsia="宋体" w:cs="宋体"/>
                <w:b w:val="0"/>
              </w:rPr>
              <w:t>-</w:t>
            </w:r>
          </w:p>
        </w:tc>
        <w:tc>
          <w:tcPr>
            <w:tcW w:w="0" w:type="dxa"/>
            <w:vAlign w:val="center"/>
          </w:tcPr>
          <w:p w14:paraId="306734FB">
            <w:pPr>
              <w:spacing w:line="240" w:lineRule="auto"/>
              <w:jc w:val="right"/>
            </w:pPr>
            <w:r>
              <w:rPr>
                <w:rFonts w:ascii="宋体" w:hAnsi="宋体" w:eastAsia="宋体" w:cs="宋体"/>
                <w:b w:val="0"/>
              </w:rPr>
              <w:t>-</w:t>
            </w:r>
          </w:p>
        </w:tc>
        <w:tc>
          <w:tcPr>
            <w:tcW w:w="0" w:type="dxa"/>
            <w:vAlign w:val="center"/>
          </w:tcPr>
          <w:p w14:paraId="0775A3F4">
            <w:pPr>
              <w:spacing w:line="240" w:lineRule="auto"/>
              <w:jc w:val="right"/>
            </w:pPr>
            <w:r>
              <w:rPr>
                <w:rFonts w:ascii="宋体" w:hAnsi="宋体" w:eastAsia="宋体" w:cs="宋体"/>
                <w:b w:val="0"/>
              </w:rPr>
              <w:t>-</w:t>
            </w:r>
          </w:p>
        </w:tc>
        <w:tc>
          <w:tcPr>
            <w:tcW w:w="0" w:type="dxa"/>
            <w:vAlign w:val="center"/>
          </w:tcPr>
          <w:p w14:paraId="4FC69B9C">
            <w:pPr>
              <w:spacing w:line="240" w:lineRule="auto"/>
              <w:jc w:val="right"/>
            </w:pPr>
            <w:r>
              <w:rPr>
                <w:rFonts w:ascii="宋体" w:hAnsi="宋体" w:eastAsia="宋体" w:cs="宋体"/>
                <w:b w:val="0"/>
              </w:rPr>
              <w:t>-</w:t>
            </w:r>
          </w:p>
        </w:tc>
        <w:tc>
          <w:tcPr>
            <w:tcW w:w="0" w:type="dxa"/>
            <w:vAlign w:val="center"/>
          </w:tcPr>
          <w:p w14:paraId="2EB9F779">
            <w:pPr>
              <w:spacing w:line="240" w:lineRule="auto"/>
              <w:jc w:val="right"/>
            </w:pPr>
            <w:r>
              <w:rPr>
                <w:rFonts w:ascii="宋体" w:hAnsi="宋体" w:eastAsia="宋体" w:cs="宋体"/>
                <w:b w:val="0"/>
              </w:rPr>
              <w:t>36,000.00</w:t>
            </w:r>
          </w:p>
        </w:tc>
        <w:tc>
          <w:tcPr>
            <w:tcW w:w="0" w:type="dxa"/>
            <w:vAlign w:val="center"/>
          </w:tcPr>
          <w:p w14:paraId="62E48BBB">
            <w:pPr>
              <w:spacing w:line="240" w:lineRule="auto"/>
              <w:jc w:val="right"/>
            </w:pPr>
            <w:r>
              <w:rPr>
                <w:rFonts w:ascii="宋体" w:hAnsi="宋体" w:eastAsia="宋体" w:cs="宋体"/>
                <w:b w:val="0"/>
              </w:rPr>
              <w:t>36,000.00</w:t>
            </w:r>
          </w:p>
        </w:tc>
      </w:tr>
      <w:tr w14:paraId="34DD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053758">
            <w:pPr>
              <w:spacing w:line="240" w:lineRule="auto"/>
              <w:jc w:val="center"/>
            </w:pPr>
            <w:r>
              <w:rPr>
                <w:rFonts w:ascii="宋体" w:hAnsi="宋体" w:eastAsia="宋体" w:cs="宋体"/>
                <w:b w:val="0"/>
              </w:rPr>
              <w:t>负债总计</w:t>
            </w:r>
          </w:p>
        </w:tc>
        <w:tc>
          <w:tcPr>
            <w:tcW w:w="0" w:type="dxa"/>
            <w:vAlign w:val="center"/>
          </w:tcPr>
          <w:p w14:paraId="5173166F">
            <w:pPr>
              <w:spacing w:line="240" w:lineRule="auto"/>
              <w:jc w:val="right"/>
            </w:pPr>
            <w:r>
              <w:rPr>
                <w:rFonts w:ascii="宋体" w:hAnsi="宋体" w:eastAsia="宋体" w:cs="宋体"/>
                <w:b w:val="0"/>
              </w:rPr>
              <w:t>-</w:t>
            </w:r>
          </w:p>
        </w:tc>
        <w:tc>
          <w:tcPr>
            <w:tcW w:w="0" w:type="dxa"/>
            <w:vAlign w:val="center"/>
          </w:tcPr>
          <w:p w14:paraId="1B3E75FD">
            <w:pPr>
              <w:spacing w:line="240" w:lineRule="auto"/>
              <w:jc w:val="right"/>
            </w:pPr>
            <w:r>
              <w:rPr>
                <w:rFonts w:ascii="宋体" w:hAnsi="宋体" w:eastAsia="宋体" w:cs="宋体"/>
                <w:b w:val="0"/>
              </w:rPr>
              <w:t>-</w:t>
            </w:r>
          </w:p>
        </w:tc>
        <w:tc>
          <w:tcPr>
            <w:tcW w:w="0" w:type="dxa"/>
            <w:vAlign w:val="center"/>
          </w:tcPr>
          <w:p w14:paraId="0F5919CF">
            <w:pPr>
              <w:spacing w:line="240" w:lineRule="auto"/>
              <w:jc w:val="right"/>
            </w:pPr>
            <w:r>
              <w:rPr>
                <w:rFonts w:ascii="宋体" w:hAnsi="宋体" w:eastAsia="宋体" w:cs="宋体"/>
                <w:b w:val="0"/>
              </w:rPr>
              <w:t>-</w:t>
            </w:r>
          </w:p>
        </w:tc>
        <w:tc>
          <w:tcPr>
            <w:tcW w:w="0" w:type="dxa"/>
            <w:vAlign w:val="center"/>
          </w:tcPr>
          <w:p w14:paraId="04243A83">
            <w:pPr>
              <w:spacing w:line="240" w:lineRule="auto"/>
              <w:jc w:val="right"/>
            </w:pPr>
            <w:r>
              <w:rPr>
                <w:rFonts w:ascii="宋体" w:hAnsi="宋体" w:eastAsia="宋体" w:cs="宋体"/>
                <w:b w:val="0"/>
              </w:rPr>
              <w:t>-</w:t>
            </w:r>
          </w:p>
        </w:tc>
        <w:tc>
          <w:tcPr>
            <w:tcW w:w="0" w:type="dxa"/>
            <w:vAlign w:val="center"/>
          </w:tcPr>
          <w:p w14:paraId="02489009">
            <w:pPr>
              <w:spacing w:line="240" w:lineRule="auto"/>
              <w:jc w:val="right"/>
            </w:pPr>
            <w:r>
              <w:rPr>
                <w:rFonts w:ascii="宋体" w:hAnsi="宋体" w:eastAsia="宋体" w:cs="宋体"/>
                <w:b w:val="0"/>
              </w:rPr>
              <w:t>-</w:t>
            </w:r>
          </w:p>
        </w:tc>
        <w:tc>
          <w:tcPr>
            <w:tcW w:w="0" w:type="dxa"/>
            <w:vAlign w:val="center"/>
          </w:tcPr>
          <w:p w14:paraId="23352C33">
            <w:pPr>
              <w:spacing w:line="240" w:lineRule="auto"/>
              <w:jc w:val="right"/>
            </w:pPr>
            <w:r>
              <w:rPr>
                <w:rFonts w:ascii="宋体" w:hAnsi="宋体" w:eastAsia="宋体" w:cs="宋体"/>
                <w:b w:val="0"/>
              </w:rPr>
              <w:t>155,814.46</w:t>
            </w:r>
          </w:p>
        </w:tc>
        <w:tc>
          <w:tcPr>
            <w:tcW w:w="0" w:type="dxa"/>
            <w:vAlign w:val="center"/>
          </w:tcPr>
          <w:p w14:paraId="253B9877">
            <w:pPr>
              <w:spacing w:line="240" w:lineRule="auto"/>
              <w:jc w:val="right"/>
            </w:pPr>
            <w:r>
              <w:rPr>
                <w:rFonts w:ascii="宋体" w:hAnsi="宋体" w:eastAsia="宋体" w:cs="宋体"/>
                <w:b w:val="0"/>
              </w:rPr>
              <w:t>155,814.46</w:t>
            </w:r>
          </w:p>
        </w:tc>
      </w:tr>
      <w:tr w14:paraId="66AF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FBE46B">
            <w:pPr>
              <w:spacing w:line="240" w:lineRule="auto"/>
              <w:jc w:val="center"/>
            </w:pPr>
            <w:r>
              <w:rPr>
                <w:rFonts w:ascii="宋体" w:hAnsi="宋体" w:eastAsia="宋体" w:cs="宋体"/>
                <w:b w:val="0"/>
              </w:rPr>
              <w:t>利率敏感度缺口</w:t>
            </w:r>
          </w:p>
        </w:tc>
        <w:tc>
          <w:tcPr>
            <w:tcW w:w="0" w:type="dxa"/>
            <w:vAlign w:val="center"/>
          </w:tcPr>
          <w:p w14:paraId="7B254C7A">
            <w:pPr>
              <w:spacing w:line="240" w:lineRule="auto"/>
              <w:jc w:val="right"/>
            </w:pPr>
            <w:r>
              <w:rPr>
                <w:rFonts w:ascii="宋体" w:hAnsi="宋体" w:eastAsia="宋体" w:cs="宋体"/>
                <w:b w:val="0"/>
              </w:rPr>
              <w:t>1,103,464.35</w:t>
            </w:r>
          </w:p>
        </w:tc>
        <w:tc>
          <w:tcPr>
            <w:tcW w:w="0" w:type="dxa"/>
            <w:vAlign w:val="center"/>
          </w:tcPr>
          <w:p w14:paraId="4E6C8367">
            <w:pPr>
              <w:spacing w:line="240" w:lineRule="auto"/>
              <w:jc w:val="right"/>
            </w:pPr>
            <w:r>
              <w:rPr>
                <w:rFonts w:ascii="宋体" w:hAnsi="宋体" w:eastAsia="宋体" w:cs="宋体"/>
                <w:b w:val="0"/>
              </w:rPr>
              <w:t>-</w:t>
            </w:r>
          </w:p>
        </w:tc>
        <w:tc>
          <w:tcPr>
            <w:tcW w:w="0" w:type="dxa"/>
            <w:vAlign w:val="center"/>
          </w:tcPr>
          <w:p w14:paraId="71AB4F87">
            <w:pPr>
              <w:spacing w:line="240" w:lineRule="auto"/>
              <w:jc w:val="right"/>
            </w:pPr>
            <w:r>
              <w:rPr>
                <w:rFonts w:ascii="宋体" w:hAnsi="宋体" w:eastAsia="宋体" w:cs="宋体"/>
                <w:b w:val="0"/>
              </w:rPr>
              <w:t>3,939,376.11</w:t>
            </w:r>
          </w:p>
        </w:tc>
        <w:tc>
          <w:tcPr>
            <w:tcW w:w="0" w:type="dxa"/>
            <w:vAlign w:val="center"/>
          </w:tcPr>
          <w:p w14:paraId="713D9D56">
            <w:pPr>
              <w:spacing w:line="240" w:lineRule="auto"/>
              <w:jc w:val="right"/>
            </w:pPr>
            <w:r>
              <w:rPr>
                <w:rFonts w:ascii="宋体" w:hAnsi="宋体" w:eastAsia="宋体" w:cs="宋体"/>
                <w:b w:val="0"/>
              </w:rPr>
              <w:t>-</w:t>
            </w:r>
          </w:p>
        </w:tc>
        <w:tc>
          <w:tcPr>
            <w:tcW w:w="0" w:type="dxa"/>
            <w:vAlign w:val="center"/>
          </w:tcPr>
          <w:p w14:paraId="18C6DA6D">
            <w:pPr>
              <w:spacing w:line="240" w:lineRule="auto"/>
              <w:jc w:val="right"/>
            </w:pPr>
            <w:r>
              <w:rPr>
                <w:rFonts w:ascii="宋体" w:hAnsi="宋体" w:eastAsia="宋体" w:cs="宋体"/>
                <w:b w:val="0"/>
              </w:rPr>
              <w:t>-</w:t>
            </w:r>
          </w:p>
        </w:tc>
        <w:tc>
          <w:tcPr>
            <w:tcW w:w="0" w:type="dxa"/>
            <w:vAlign w:val="center"/>
          </w:tcPr>
          <w:p w14:paraId="06E255C9">
            <w:pPr>
              <w:spacing w:line="240" w:lineRule="auto"/>
              <w:jc w:val="right"/>
            </w:pPr>
            <w:r>
              <w:rPr>
                <w:rFonts w:ascii="宋体" w:hAnsi="宋体" w:eastAsia="宋体" w:cs="宋体"/>
                <w:b w:val="0"/>
              </w:rPr>
              <w:t>67,501,632.11</w:t>
            </w:r>
          </w:p>
        </w:tc>
        <w:tc>
          <w:tcPr>
            <w:tcW w:w="0" w:type="dxa"/>
            <w:vAlign w:val="center"/>
          </w:tcPr>
          <w:p w14:paraId="14A456FA">
            <w:pPr>
              <w:spacing w:line="240" w:lineRule="auto"/>
              <w:jc w:val="right"/>
            </w:pPr>
            <w:r>
              <w:rPr>
                <w:rFonts w:ascii="宋体" w:hAnsi="宋体" w:eastAsia="宋体" w:cs="宋体"/>
                <w:b w:val="0"/>
              </w:rPr>
              <w:t>72,544,472.57</w:t>
            </w:r>
          </w:p>
        </w:tc>
      </w:tr>
    </w:tbl>
    <w:p w14:paraId="0C3FFC75">
      <w:r>
        <w:rPr>
          <w:rFonts w:ascii="宋体" w:hAnsi="宋体" w:eastAsia="宋体" w:cs="宋体"/>
          <w:b w:val="0"/>
        </w:rPr>
        <w:t>注：表中所示为本基金资产及负债的账面价值，并按照合约规定的利率重新定价日或到期日孰早者予以分类。</w:t>
      </w:r>
    </w:p>
    <w:p w14:paraId="2B57FF68"/>
    <w:p w14:paraId="303FA7A6">
      <w:pPr>
        <w:pStyle w:val="58"/>
      </w:pPr>
      <w:r>
        <w:rPr>
          <w:rFonts w:ascii="宋体" w:hAnsi="宋体" w:eastAsia="宋体" w:cs="宋体"/>
          <w:b/>
        </w:rPr>
        <w:t>6.4.13.4.1.2 利率风险的敏感性分析</w:t>
      </w:r>
    </w:p>
    <w:p w14:paraId="42A18526">
      <w:r>
        <w:rPr>
          <w:rFonts w:ascii="宋体" w:hAnsi="宋体" w:eastAsia="宋体" w:cs="宋体"/>
          <w:b w:val="0"/>
        </w:rPr>
        <w:t xml:space="preserve">    于2026年06月30日，本基金持有的交易性债券投资公允价值占基金资产净值的比例为5.73%(2025年12月31日：5.43%），因此市场利率的变动对于本基金净资产无重大影响(2025年12月31日：同)。</w:t>
      </w:r>
    </w:p>
    <w:p w14:paraId="5F809CBA"/>
    <w:p w14:paraId="28998F20">
      <w:pPr>
        <w:pStyle w:val="58"/>
      </w:pPr>
      <w:r>
        <w:rPr>
          <w:rFonts w:ascii="宋体" w:hAnsi="宋体" w:eastAsia="宋体" w:cs="宋体"/>
          <w:b/>
        </w:rPr>
        <w:t>6.4.13.4.2 外汇风险</w:t>
      </w:r>
    </w:p>
    <w:p w14:paraId="0E3D4568">
      <w:pPr>
        <w:jc w:val="left"/>
      </w:pPr>
      <w:r>
        <w:rPr>
          <w:rFonts w:ascii="宋体" w:hAnsi="宋体" w:eastAsia="宋体" w:cs="宋体"/>
          <w:b w:val="0"/>
        </w:rPr>
        <w:t xml:space="preserve">    外汇风险是指金融工具的公允价值或未来现金流量因外汇汇率变动而发生波动的风险。本基金持有不以记账本位币计价的资产，因此存在相应的外汇风险。本基金管理人每日对本基金的外汇头寸进行监控。</w:t>
      </w:r>
    </w:p>
    <w:p w14:paraId="6B1992B4"/>
    <w:p w14:paraId="48B5E8A2">
      <w:pPr>
        <w:pStyle w:val="58"/>
      </w:pPr>
      <w:r>
        <w:rPr>
          <w:rFonts w:ascii="宋体" w:hAnsi="宋体" w:eastAsia="宋体" w:cs="宋体"/>
          <w:b/>
        </w:rPr>
        <w:t>6.4.13.4.2.1 外汇风险敞口</w:t>
      </w:r>
    </w:p>
    <w:p w14:paraId="19125C5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3"/>
        <w:gridCol w:w="1525"/>
        <w:gridCol w:w="1581"/>
        <w:gridCol w:w="1525"/>
        <w:gridCol w:w="1582"/>
      </w:tblGrid>
      <w:tr w14:paraId="5D8D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8" w:type="pct"/>
            <w:vMerge w:val="restart"/>
            <w:shd w:val="clear" w:color="auto" w:fill="D9D9D9"/>
            <w:vAlign w:val="center"/>
          </w:tcPr>
          <w:p w14:paraId="1FB13D0C">
            <w:pPr>
              <w:spacing w:line="240" w:lineRule="auto"/>
              <w:jc w:val="center"/>
            </w:pPr>
            <w:r>
              <w:rPr>
                <w:rFonts w:ascii="宋体" w:hAnsi="宋体" w:eastAsia="宋体" w:cs="宋体"/>
                <w:b w:val="0"/>
              </w:rPr>
              <w:t>项目</w:t>
            </w:r>
          </w:p>
        </w:tc>
        <w:tc>
          <w:tcPr>
            <w:tcW w:w="3077" w:type="pct"/>
            <w:gridSpan w:val="4"/>
            <w:shd w:val="clear" w:color="auto" w:fill="D9D9D9"/>
            <w:vAlign w:val="center"/>
          </w:tcPr>
          <w:p w14:paraId="076759B1">
            <w:pPr>
              <w:spacing w:line="240" w:lineRule="auto"/>
              <w:jc w:val="center"/>
            </w:pPr>
            <w:r>
              <w:rPr>
                <w:rFonts w:ascii="宋体" w:hAnsi="宋体" w:eastAsia="宋体" w:cs="宋体"/>
                <w:b w:val="0"/>
              </w:rPr>
              <w:t>本期末2026年06月30日</w:t>
            </w:r>
          </w:p>
        </w:tc>
      </w:tr>
      <w:tr w14:paraId="1171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A381386"/>
        </w:tc>
        <w:tc>
          <w:tcPr>
            <w:tcW w:w="769" w:type="pct"/>
            <w:shd w:val="clear" w:color="auto" w:fill="D9D9D9"/>
            <w:vAlign w:val="center"/>
          </w:tcPr>
          <w:p w14:paraId="1E8A0BBE">
            <w:pPr>
              <w:spacing w:line="240" w:lineRule="auto"/>
              <w:jc w:val="center"/>
            </w:pPr>
            <w:r>
              <w:rPr>
                <w:rFonts w:ascii="宋体" w:hAnsi="宋体" w:eastAsia="宋体" w:cs="宋体"/>
                <w:b w:val="0"/>
              </w:rPr>
              <w:t>美元折合人民币</w:t>
            </w:r>
          </w:p>
        </w:tc>
        <w:tc>
          <w:tcPr>
            <w:tcW w:w="769" w:type="pct"/>
            <w:shd w:val="clear" w:color="auto" w:fill="D9D9D9"/>
            <w:vAlign w:val="center"/>
          </w:tcPr>
          <w:p w14:paraId="210FC8D9">
            <w:pPr>
              <w:spacing w:line="240" w:lineRule="auto"/>
              <w:jc w:val="center"/>
            </w:pPr>
            <w:r>
              <w:rPr>
                <w:rFonts w:ascii="宋体" w:hAnsi="宋体" w:eastAsia="宋体" w:cs="宋体"/>
                <w:b w:val="0"/>
              </w:rPr>
              <w:t>港币折合人民币</w:t>
            </w:r>
          </w:p>
        </w:tc>
        <w:tc>
          <w:tcPr>
            <w:tcW w:w="769" w:type="pct"/>
            <w:shd w:val="clear" w:color="auto" w:fill="D9D9D9"/>
            <w:vAlign w:val="center"/>
          </w:tcPr>
          <w:p w14:paraId="6E8DA467">
            <w:pPr>
              <w:spacing w:line="240" w:lineRule="auto"/>
              <w:jc w:val="center"/>
            </w:pPr>
            <w:r>
              <w:rPr>
                <w:rFonts w:ascii="宋体" w:hAnsi="宋体" w:eastAsia="宋体" w:cs="宋体"/>
                <w:b w:val="0"/>
              </w:rPr>
              <w:t>其他币种折合人民币</w:t>
            </w:r>
          </w:p>
        </w:tc>
        <w:tc>
          <w:tcPr>
            <w:tcW w:w="769" w:type="pct"/>
            <w:shd w:val="clear" w:color="auto" w:fill="D9D9D9"/>
            <w:vAlign w:val="center"/>
          </w:tcPr>
          <w:p w14:paraId="37411F6F">
            <w:pPr>
              <w:spacing w:line="240" w:lineRule="auto"/>
              <w:jc w:val="center"/>
            </w:pPr>
            <w:r>
              <w:rPr>
                <w:rFonts w:ascii="宋体" w:hAnsi="宋体" w:eastAsia="宋体" w:cs="宋体"/>
                <w:b w:val="0"/>
              </w:rPr>
              <w:t>合计</w:t>
            </w:r>
          </w:p>
        </w:tc>
      </w:tr>
      <w:tr w14:paraId="6999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A742EF">
            <w:pPr>
              <w:spacing w:line="240" w:lineRule="auto"/>
              <w:jc w:val="left"/>
            </w:pPr>
            <w:r>
              <w:rPr>
                <w:rFonts w:ascii="宋体" w:hAnsi="宋体" w:eastAsia="宋体" w:cs="宋体"/>
                <w:b w:val="0"/>
              </w:rPr>
              <w:t>以外币计价的资产</w:t>
            </w:r>
          </w:p>
        </w:tc>
        <w:tc>
          <w:tcPr>
            <w:tcW w:w="0" w:type="dxa"/>
            <w:vAlign w:val="center"/>
          </w:tcPr>
          <w:p w14:paraId="782104A9">
            <w:pPr>
              <w:spacing w:line="240" w:lineRule="auto"/>
              <w:jc w:val="right"/>
            </w:pPr>
          </w:p>
        </w:tc>
        <w:tc>
          <w:tcPr>
            <w:tcW w:w="0" w:type="dxa"/>
            <w:vAlign w:val="center"/>
          </w:tcPr>
          <w:p w14:paraId="7E8BB3FD">
            <w:pPr>
              <w:spacing w:line="240" w:lineRule="auto"/>
              <w:jc w:val="right"/>
            </w:pPr>
          </w:p>
        </w:tc>
        <w:tc>
          <w:tcPr>
            <w:tcW w:w="0" w:type="dxa"/>
            <w:vAlign w:val="center"/>
          </w:tcPr>
          <w:p w14:paraId="08D72EC6">
            <w:pPr>
              <w:spacing w:line="240" w:lineRule="auto"/>
              <w:jc w:val="right"/>
            </w:pPr>
          </w:p>
        </w:tc>
        <w:tc>
          <w:tcPr>
            <w:tcW w:w="0" w:type="dxa"/>
            <w:vAlign w:val="center"/>
          </w:tcPr>
          <w:p w14:paraId="32BFF4DD">
            <w:pPr>
              <w:spacing w:line="240" w:lineRule="auto"/>
              <w:jc w:val="right"/>
            </w:pPr>
          </w:p>
        </w:tc>
      </w:tr>
      <w:tr w14:paraId="3E79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ABDCFB">
            <w:pPr>
              <w:spacing w:line="240" w:lineRule="auto"/>
              <w:jc w:val="left"/>
            </w:pPr>
            <w:r>
              <w:rPr>
                <w:rFonts w:ascii="宋体" w:hAnsi="宋体" w:eastAsia="宋体" w:cs="宋体"/>
                <w:b w:val="0"/>
              </w:rPr>
              <w:t>交易性金融资产</w:t>
            </w:r>
          </w:p>
        </w:tc>
        <w:tc>
          <w:tcPr>
            <w:tcW w:w="0" w:type="dxa"/>
            <w:vAlign w:val="center"/>
          </w:tcPr>
          <w:p w14:paraId="2A278C2C">
            <w:pPr>
              <w:spacing w:line="240" w:lineRule="auto"/>
              <w:jc w:val="right"/>
            </w:pPr>
            <w:r>
              <w:rPr>
                <w:rFonts w:ascii="宋体" w:hAnsi="宋体" w:eastAsia="宋体" w:cs="宋体"/>
                <w:b w:val="0"/>
              </w:rPr>
              <w:t>-</w:t>
            </w:r>
          </w:p>
        </w:tc>
        <w:tc>
          <w:tcPr>
            <w:tcW w:w="0" w:type="dxa"/>
            <w:vAlign w:val="center"/>
          </w:tcPr>
          <w:p w14:paraId="334959EA">
            <w:pPr>
              <w:spacing w:line="240" w:lineRule="auto"/>
              <w:jc w:val="right"/>
            </w:pPr>
            <w:r>
              <w:rPr>
                <w:rFonts w:ascii="宋体" w:hAnsi="宋体" w:eastAsia="宋体" w:cs="宋体"/>
                <w:b w:val="0"/>
              </w:rPr>
              <w:t>16,727,899.53</w:t>
            </w:r>
          </w:p>
        </w:tc>
        <w:tc>
          <w:tcPr>
            <w:tcW w:w="0" w:type="dxa"/>
            <w:vAlign w:val="center"/>
          </w:tcPr>
          <w:p w14:paraId="212974C9">
            <w:pPr>
              <w:spacing w:line="240" w:lineRule="auto"/>
              <w:jc w:val="right"/>
            </w:pPr>
            <w:r>
              <w:rPr>
                <w:rFonts w:ascii="宋体" w:hAnsi="宋体" w:eastAsia="宋体" w:cs="宋体"/>
                <w:b w:val="0"/>
              </w:rPr>
              <w:t>-</w:t>
            </w:r>
          </w:p>
        </w:tc>
        <w:tc>
          <w:tcPr>
            <w:tcW w:w="0" w:type="dxa"/>
            <w:vAlign w:val="center"/>
          </w:tcPr>
          <w:p w14:paraId="2551E9D2">
            <w:pPr>
              <w:spacing w:line="240" w:lineRule="auto"/>
              <w:jc w:val="right"/>
            </w:pPr>
            <w:r>
              <w:rPr>
                <w:rFonts w:ascii="宋体" w:hAnsi="宋体" w:eastAsia="宋体" w:cs="宋体"/>
                <w:b w:val="0"/>
              </w:rPr>
              <w:t>16,727,899.53</w:t>
            </w:r>
          </w:p>
        </w:tc>
      </w:tr>
      <w:tr w14:paraId="3E2A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1EDBAD">
            <w:pPr>
              <w:spacing w:line="240" w:lineRule="auto"/>
              <w:jc w:val="left"/>
            </w:pPr>
            <w:r>
              <w:rPr>
                <w:rFonts w:ascii="宋体" w:hAnsi="宋体" w:eastAsia="宋体" w:cs="宋体"/>
                <w:b w:val="0"/>
              </w:rPr>
              <w:t>应收股利</w:t>
            </w:r>
          </w:p>
        </w:tc>
        <w:tc>
          <w:tcPr>
            <w:tcW w:w="0" w:type="dxa"/>
            <w:vAlign w:val="center"/>
          </w:tcPr>
          <w:p w14:paraId="0ED69849">
            <w:pPr>
              <w:spacing w:line="240" w:lineRule="auto"/>
              <w:jc w:val="right"/>
            </w:pPr>
            <w:r>
              <w:rPr>
                <w:rFonts w:ascii="宋体" w:hAnsi="宋体" w:eastAsia="宋体" w:cs="宋体"/>
                <w:b w:val="0"/>
              </w:rPr>
              <w:t>-</w:t>
            </w:r>
          </w:p>
        </w:tc>
        <w:tc>
          <w:tcPr>
            <w:tcW w:w="0" w:type="dxa"/>
            <w:vAlign w:val="center"/>
          </w:tcPr>
          <w:p w14:paraId="12BE2E30">
            <w:pPr>
              <w:spacing w:line="240" w:lineRule="auto"/>
              <w:jc w:val="right"/>
            </w:pPr>
            <w:r>
              <w:rPr>
                <w:rFonts w:ascii="宋体" w:hAnsi="宋体" w:eastAsia="宋体" w:cs="宋体"/>
                <w:b w:val="0"/>
              </w:rPr>
              <w:t>545,554.74</w:t>
            </w:r>
          </w:p>
        </w:tc>
        <w:tc>
          <w:tcPr>
            <w:tcW w:w="0" w:type="dxa"/>
            <w:vAlign w:val="center"/>
          </w:tcPr>
          <w:p w14:paraId="2B68E9DC">
            <w:pPr>
              <w:spacing w:line="240" w:lineRule="auto"/>
              <w:jc w:val="right"/>
            </w:pPr>
            <w:r>
              <w:rPr>
                <w:rFonts w:ascii="宋体" w:hAnsi="宋体" w:eastAsia="宋体" w:cs="宋体"/>
                <w:b w:val="0"/>
              </w:rPr>
              <w:t>-</w:t>
            </w:r>
          </w:p>
        </w:tc>
        <w:tc>
          <w:tcPr>
            <w:tcW w:w="0" w:type="dxa"/>
            <w:vAlign w:val="center"/>
          </w:tcPr>
          <w:p w14:paraId="26F04893">
            <w:pPr>
              <w:spacing w:line="240" w:lineRule="auto"/>
              <w:jc w:val="right"/>
            </w:pPr>
            <w:r>
              <w:rPr>
                <w:rFonts w:ascii="宋体" w:hAnsi="宋体" w:eastAsia="宋体" w:cs="宋体"/>
                <w:b w:val="0"/>
              </w:rPr>
              <w:t>545,554.74</w:t>
            </w:r>
          </w:p>
        </w:tc>
      </w:tr>
      <w:tr w14:paraId="22E2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93F827">
            <w:pPr>
              <w:spacing w:line="240" w:lineRule="auto"/>
              <w:jc w:val="left"/>
            </w:pPr>
            <w:r>
              <w:rPr>
                <w:rFonts w:ascii="宋体" w:hAnsi="宋体" w:eastAsia="宋体" w:cs="宋体"/>
                <w:b w:val="0"/>
              </w:rPr>
              <w:t>资产合计</w:t>
            </w:r>
          </w:p>
        </w:tc>
        <w:tc>
          <w:tcPr>
            <w:tcW w:w="0" w:type="dxa"/>
            <w:vAlign w:val="center"/>
          </w:tcPr>
          <w:p w14:paraId="71439990">
            <w:pPr>
              <w:spacing w:line="240" w:lineRule="auto"/>
              <w:jc w:val="right"/>
            </w:pPr>
            <w:r>
              <w:rPr>
                <w:rFonts w:ascii="宋体" w:hAnsi="宋体" w:eastAsia="宋体" w:cs="宋体"/>
                <w:b w:val="0"/>
              </w:rPr>
              <w:t>-</w:t>
            </w:r>
          </w:p>
        </w:tc>
        <w:tc>
          <w:tcPr>
            <w:tcW w:w="0" w:type="dxa"/>
            <w:vAlign w:val="center"/>
          </w:tcPr>
          <w:p w14:paraId="1F008FEF">
            <w:pPr>
              <w:spacing w:line="240" w:lineRule="auto"/>
              <w:jc w:val="right"/>
            </w:pPr>
            <w:r>
              <w:rPr>
                <w:rFonts w:ascii="宋体" w:hAnsi="宋体" w:eastAsia="宋体" w:cs="宋体"/>
                <w:b w:val="0"/>
              </w:rPr>
              <w:t>17,273,454.27</w:t>
            </w:r>
          </w:p>
        </w:tc>
        <w:tc>
          <w:tcPr>
            <w:tcW w:w="0" w:type="dxa"/>
            <w:vAlign w:val="center"/>
          </w:tcPr>
          <w:p w14:paraId="072E53DE">
            <w:pPr>
              <w:spacing w:line="240" w:lineRule="auto"/>
              <w:jc w:val="right"/>
            </w:pPr>
            <w:r>
              <w:rPr>
                <w:rFonts w:ascii="宋体" w:hAnsi="宋体" w:eastAsia="宋体" w:cs="宋体"/>
                <w:b w:val="0"/>
              </w:rPr>
              <w:t>-</w:t>
            </w:r>
          </w:p>
        </w:tc>
        <w:tc>
          <w:tcPr>
            <w:tcW w:w="0" w:type="dxa"/>
            <w:vAlign w:val="center"/>
          </w:tcPr>
          <w:p w14:paraId="3C5658EB">
            <w:pPr>
              <w:spacing w:line="240" w:lineRule="auto"/>
              <w:jc w:val="right"/>
            </w:pPr>
            <w:r>
              <w:rPr>
                <w:rFonts w:ascii="宋体" w:hAnsi="宋体" w:eastAsia="宋体" w:cs="宋体"/>
                <w:b w:val="0"/>
              </w:rPr>
              <w:t>17,273,454.27</w:t>
            </w:r>
          </w:p>
        </w:tc>
      </w:tr>
      <w:tr w14:paraId="150D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4D4165">
            <w:pPr>
              <w:spacing w:line="240" w:lineRule="auto"/>
              <w:jc w:val="left"/>
            </w:pPr>
            <w:r>
              <w:rPr>
                <w:rFonts w:ascii="宋体" w:hAnsi="宋体" w:eastAsia="宋体" w:cs="宋体"/>
                <w:b w:val="0"/>
              </w:rPr>
              <w:t>以外币计价的负债</w:t>
            </w:r>
          </w:p>
        </w:tc>
        <w:tc>
          <w:tcPr>
            <w:tcW w:w="0" w:type="dxa"/>
            <w:vAlign w:val="center"/>
          </w:tcPr>
          <w:p w14:paraId="79E2E64A">
            <w:pPr>
              <w:spacing w:line="240" w:lineRule="auto"/>
              <w:jc w:val="right"/>
            </w:pPr>
          </w:p>
        </w:tc>
        <w:tc>
          <w:tcPr>
            <w:tcW w:w="0" w:type="dxa"/>
            <w:vAlign w:val="center"/>
          </w:tcPr>
          <w:p w14:paraId="65BC7543">
            <w:pPr>
              <w:spacing w:line="240" w:lineRule="auto"/>
              <w:jc w:val="right"/>
            </w:pPr>
          </w:p>
        </w:tc>
        <w:tc>
          <w:tcPr>
            <w:tcW w:w="0" w:type="dxa"/>
            <w:vAlign w:val="center"/>
          </w:tcPr>
          <w:p w14:paraId="51E9089F">
            <w:pPr>
              <w:spacing w:line="240" w:lineRule="auto"/>
              <w:jc w:val="right"/>
            </w:pPr>
          </w:p>
        </w:tc>
        <w:tc>
          <w:tcPr>
            <w:tcW w:w="0" w:type="dxa"/>
            <w:vAlign w:val="center"/>
          </w:tcPr>
          <w:p w14:paraId="55EC3AC2">
            <w:pPr>
              <w:spacing w:line="240" w:lineRule="auto"/>
              <w:jc w:val="right"/>
            </w:pPr>
          </w:p>
        </w:tc>
      </w:tr>
      <w:tr w14:paraId="0C0E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43F1A">
            <w:pPr>
              <w:spacing w:line="240" w:lineRule="auto"/>
              <w:jc w:val="left"/>
            </w:pPr>
            <w:r>
              <w:rPr>
                <w:rFonts w:ascii="宋体" w:hAnsi="宋体" w:eastAsia="宋体" w:cs="宋体"/>
                <w:b w:val="0"/>
              </w:rPr>
              <w:t>负债合计</w:t>
            </w:r>
          </w:p>
        </w:tc>
        <w:tc>
          <w:tcPr>
            <w:tcW w:w="0" w:type="dxa"/>
            <w:vAlign w:val="center"/>
          </w:tcPr>
          <w:p w14:paraId="2749A7DA">
            <w:pPr>
              <w:spacing w:line="240" w:lineRule="auto"/>
              <w:jc w:val="right"/>
            </w:pPr>
            <w:r>
              <w:rPr>
                <w:rFonts w:ascii="宋体" w:hAnsi="宋体" w:eastAsia="宋体" w:cs="宋体"/>
                <w:b w:val="0"/>
              </w:rPr>
              <w:t>-</w:t>
            </w:r>
          </w:p>
        </w:tc>
        <w:tc>
          <w:tcPr>
            <w:tcW w:w="0" w:type="dxa"/>
            <w:vAlign w:val="center"/>
          </w:tcPr>
          <w:p w14:paraId="6AE2D276">
            <w:pPr>
              <w:spacing w:line="240" w:lineRule="auto"/>
              <w:jc w:val="right"/>
            </w:pPr>
            <w:r>
              <w:rPr>
                <w:rFonts w:ascii="宋体" w:hAnsi="宋体" w:eastAsia="宋体" w:cs="宋体"/>
                <w:b w:val="0"/>
              </w:rPr>
              <w:t>-</w:t>
            </w:r>
          </w:p>
        </w:tc>
        <w:tc>
          <w:tcPr>
            <w:tcW w:w="0" w:type="dxa"/>
            <w:vAlign w:val="center"/>
          </w:tcPr>
          <w:p w14:paraId="7C428CFB">
            <w:pPr>
              <w:spacing w:line="240" w:lineRule="auto"/>
              <w:jc w:val="right"/>
            </w:pPr>
            <w:r>
              <w:rPr>
                <w:rFonts w:ascii="宋体" w:hAnsi="宋体" w:eastAsia="宋体" w:cs="宋体"/>
                <w:b w:val="0"/>
              </w:rPr>
              <w:t>-</w:t>
            </w:r>
          </w:p>
        </w:tc>
        <w:tc>
          <w:tcPr>
            <w:tcW w:w="0" w:type="dxa"/>
            <w:vAlign w:val="center"/>
          </w:tcPr>
          <w:p w14:paraId="23151808">
            <w:pPr>
              <w:spacing w:line="240" w:lineRule="auto"/>
              <w:jc w:val="right"/>
            </w:pPr>
            <w:r>
              <w:rPr>
                <w:rFonts w:ascii="宋体" w:hAnsi="宋体" w:eastAsia="宋体" w:cs="宋体"/>
                <w:b w:val="0"/>
              </w:rPr>
              <w:t>-</w:t>
            </w:r>
          </w:p>
        </w:tc>
      </w:tr>
      <w:tr w14:paraId="2F7E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7AA09C">
            <w:pPr>
              <w:spacing w:line="240" w:lineRule="auto"/>
              <w:jc w:val="left"/>
            </w:pPr>
            <w:r>
              <w:rPr>
                <w:rFonts w:ascii="宋体" w:hAnsi="宋体" w:eastAsia="宋体" w:cs="宋体"/>
                <w:b w:val="0"/>
              </w:rPr>
              <w:t>资产负债表外汇风险敞口净额</w:t>
            </w:r>
          </w:p>
        </w:tc>
        <w:tc>
          <w:tcPr>
            <w:tcW w:w="0" w:type="dxa"/>
            <w:vAlign w:val="center"/>
          </w:tcPr>
          <w:p w14:paraId="6588C0BF">
            <w:pPr>
              <w:spacing w:line="240" w:lineRule="auto"/>
              <w:jc w:val="right"/>
            </w:pPr>
            <w:r>
              <w:rPr>
                <w:rFonts w:ascii="宋体" w:hAnsi="宋体" w:eastAsia="宋体" w:cs="宋体"/>
                <w:b w:val="0"/>
              </w:rPr>
              <w:t>-</w:t>
            </w:r>
          </w:p>
        </w:tc>
        <w:tc>
          <w:tcPr>
            <w:tcW w:w="0" w:type="dxa"/>
            <w:vAlign w:val="center"/>
          </w:tcPr>
          <w:p w14:paraId="1F1A07BF">
            <w:pPr>
              <w:spacing w:line="240" w:lineRule="auto"/>
              <w:jc w:val="right"/>
            </w:pPr>
            <w:r>
              <w:rPr>
                <w:rFonts w:ascii="宋体" w:hAnsi="宋体" w:eastAsia="宋体" w:cs="宋体"/>
                <w:b w:val="0"/>
              </w:rPr>
              <w:t>17,273,454.27</w:t>
            </w:r>
          </w:p>
        </w:tc>
        <w:tc>
          <w:tcPr>
            <w:tcW w:w="0" w:type="dxa"/>
            <w:vAlign w:val="center"/>
          </w:tcPr>
          <w:p w14:paraId="628CBFE8">
            <w:pPr>
              <w:spacing w:line="240" w:lineRule="auto"/>
              <w:jc w:val="right"/>
            </w:pPr>
            <w:r>
              <w:rPr>
                <w:rFonts w:ascii="宋体" w:hAnsi="宋体" w:eastAsia="宋体" w:cs="宋体"/>
                <w:b w:val="0"/>
              </w:rPr>
              <w:t>-</w:t>
            </w:r>
          </w:p>
        </w:tc>
        <w:tc>
          <w:tcPr>
            <w:tcW w:w="0" w:type="dxa"/>
            <w:vAlign w:val="center"/>
          </w:tcPr>
          <w:p w14:paraId="55D21D75">
            <w:pPr>
              <w:spacing w:line="240" w:lineRule="auto"/>
              <w:jc w:val="right"/>
            </w:pPr>
            <w:r>
              <w:rPr>
                <w:rFonts w:ascii="宋体" w:hAnsi="宋体" w:eastAsia="宋体" w:cs="宋体"/>
                <w:b w:val="0"/>
              </w:rPr>
              <w:t>17,273,454.27</w:t>
            </w:r>
          </w:p>
        </w:tc>
      </w:tr>
      <w:tr w14:paraId="1FB7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64F90F02">
            <w:pPr>
              <w:spacing w:line="240" w:lineRule="auto"/>
              <w:jc w:val="center"/>
            </w:pPr>
            <w:r>
              <w:rPr>
                <w:rFonts w:ascii="宋体" w:hAnsi="宋体" w:eastAsia="宋体" w:cs="宋体"/>
                <w:b w:val="0"/>
              </w:rPr>
              <w:t>项目</w:t>
            </w:r>
          </w:p>
        </w:tc>
        <w:tc>
          <w:tcPr>
            <w:tcW w:w="0" w:type="dxa"/>
            <w:gridSpan w:val="4"/>
            <w:shd w:val="clear" w:color="auto" w:fill="D9D9D9"/>
            <w:vAlign w:val="center"/>
          </w:tcPr>
          <w:p w14:paraId="1B94D2CB">
            <w:pPr>
              <w:spacing w:line="240" w:lineRule="auto"/>
              <w:jc w:val="center"/>
            </w:pPr>
            <w:r>
              <w:rPr>
                <w:rFonts w:ascii="宋体" w:hAnsi="宋体" w:eastAsia="宋体" w:cs="宋体"/>
                <w:b w:val="0"/>
              </w:rPr>
              <w:t>上年度末2025年12月31日</w:t>
            </w:r>
          </w:p>
        </w:tc>
      </w:tr>
      <w:tr w14:paraId="47B0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BE6EA6B"/>
        </w:tc>
        <w:tc>
          <w:tcPr>
            <w:tcW w:w="0" w:type="dxa"/>
            <w:shd w:val="clear" w:color="auto" w:fill="D9D9D9"/>
            <w:vAlign w:val="center"/>
          </w:tcPr>
          <w:p w14:paraId="11D0A552">
            <w:pPr>
              <w:spacing w:line="240" w:lineRule="auto"/>
              <w:jc w:val="center"/>
            </w:pPr>
            <w:r>
              <w:rPr>
                <w:rFonts w:ascii="宋体" w:hAnsi="宋体" w:eastAsia="宋体" w:cs="宋体"/>
                <w:b w:val="0"/>
              </w:rPr>
              <w:t>美元折合人民币</w:t>
            </w:r>
          </w:p>
        </w:tc>
        <w:tc>
          <w:tcPr>
            <w:tcW w:w="0" w:type="dxa"/>
            <w:shd w:val="clear" w:color="auto" w:fill="D9D9D9"/>
            <w:vAlign w:val="center"/>
          </w:tcPr>
          <w:p w14:paraId="4331AC4A">
            <w:pPr>
              <w:spacing w:line="240" w:lineRule="auto"/>
              <w:jc w:val="center"/>
            </w:pPr>
            <w:r>
              <w:rPr>
                <w:rFonts w:ascii="宋体" w:hAnsi="宋体" w:eastAsia="宋体" w:cs="宋体"/>
                <w:b w:val="0"/>
              </w:rPr>
              <w:t>港币折合人民币</w:t>
            </w:r>
          </w:p>
        </w:tc>
        <w:tc>
          <w:tcPr>
            <w:tcW w:w="0" w:type="dxa"/>
            <w:shd w:val="clear" w:color="auto" w:fill="D9D9D9"/>
            <w:vAlign w:val="center"/>
          </w:tcPr>
          <w:p w14:paraId="0FC90FEE">
            <w:pPr>
              <w:spacing w:line="240" w:lineRule="auto"/>
              <w:jc w:val="center"/>
            </w:pPr>
            <w:r>
              <w:rPr>
                <w:rFonts w:ascii="宋体" w:hAnsi="宋体" w:eastAsia="宋体" w:cs="宋体"/>
                <w:b w:val="0"/>
              </w:rPr>
              <w:t>其他币种折合人民币</w:t>
            </w:r>
          </w:p>
        </w:tc>
        <w:tc>
          <w:tcPr>
            <w:tcW w:w="0" w:type="dxa"/>
            <w:shd w:val="clear" w:color="auto" w:fill="D9D9D9"/>
            <w:vAlign w:val="center"/>
          </w:tcPr>
          <w:p w14:paraId="29EF54A4">
            <w:pPr>
              <w:spacing w:line="240" w:lineRule="auto"/>
              <w:jc w:val="center"/>
            </w:pPr>
            <w:r>
              <w:rPr>
                <w:rFonts w:ascii="宋体" w:hAnsi="宋体" w:eastAsia="宋体" w:cs="宋体"/>
                <w:b w:val="0"/>
              </w:rPr>
              <w:t>合计</w:t>
            </w:r>
          </w:p>
        </w:tc>
      </w:tr>
      <w:tr w14:paraId="49CF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8FAF3E">
            <w:pPr>
              <w:spacing w:line="240" w:lineRule="auto"/>
              <w:jc w:val="left"/>
            </w:pPr>
            <w:r>
              <w:rPr>
                <w:rFonts w:ascii="宋体" w:hAnsi="宋体" w:eastAsia="宋体" w:cs="宋体"/>
                <w:b w:val="0"/>
              </w:rPr>
              <w:t>以外币计价的资产</w:t>
            </w:r>
          </w:p>
        </w:tc>
        <w:tc>
          <w:tcPr>
            <w:tcW w:w="0" w:type="dxa"/>
            <w:vAlign w:val="center"/>
          </w:tcPr>
          <w:p w14:paraId="30127990">
            <w:pPr>
              <w:spacing w:line="240" w:lineRule="auto"/>
              <w:jc w:val="right"/>
            </w:pPr>
          </w:p>
        </w:tc>
        <w:tc>
          <w:tcPr>
            <w:tcW w:w="0" w:type="dxa"/>
            <w:vAlign w:val="center"/>
          </w:tcPr>
          <w:p w14:paraId="66A1E5BA">
            <w:pPr>
              <w:spacing w:line="240" w:lineRule="auto"/>
              <w:jc w:val="right"/>
            </w:pPr>
          </w:p>
        </w:tc>
        <w:tc>
          <w:tcPr>
            <w:tcW w:w="0" w:type="dxa"/>
            <w:vAlign w:val="center"/>
          </w:tcPr>
          <w:p w14:paraId="6A2F906B">
            <w:pPr>
              <w:spacing w:line="240" w:lineRule="auto"/>
              <w:jc w:val="right"/>
            </w:pPr>
          </w:p>
        </w:tc>
        <w:tc>
          <w:tcPr>
            <w:tcW w:w="0" w:type="dxa"/>
            <w:vAlign w:val="center"/>
          </w:tcPr>
          <w:p w14:paraId="65C7399C">
            <w:pPr>
              <w:spacing w:line="240" w:lineRule="auto"/>
              <w:jc w:val="right"/>
            </w:pPr>
          </w:p>
        </w:tc>
      </w:tr>
      <w:tr w14:paraId="0F9C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7BA400">
            <w:pPr>
              <w:spacing w:line="240" w:lineRule="auto"/>
              <w:jc w:val="left"/>
            </w:pPr>
            <w:r>
              <w:rPr>
                <w:rFonts w:ascii="宋体" w:hAnsi="宋体" w:eastAsia="宋体" w:cs="宋体"/>
                <w:b w:val="0"/>
              </w:rPr>
              <w:t>交易性金融资产</w:t>
            </w:r>
          </w:p>
        </w:tc>
        <w:tc>
          <w:tcPr>
            <w:tcW w:w="0" w:type="dxa"/>
            <w:vAlign w:val="center"/>
          </w:tcPr>
          <w:p w14:paraId="4E36A120">
            <w:pPr>
              <w:spacing w:line="240" w:lineRule="auto"/>
              <w:jc w:val="right"/>
            </w:pPr>
            <w:r>
              <w:rPr>
                <w:rFonts w:ascii="宋体" w:hAnsi="宋体" w:eastAsia="宋体" w:cs="宋体"/>
                <w:b w:val="0"/>
              </w:rPr>
              <w:t>-</w:t>
            </w:r>
          </w:p>
        </w:tc>
        <w:tc>
          <w:tcPr>
            <w:tcW w:w="0" w:type="dxa"/>
            <w:vAlign w:val="center"/>
          </w:tcPr>
          <w:p w14:paraId="3B3B9C33">
            <w:pPr>
              <w:spacing w:line="240" w:lineRule="auto"/>
              <w:jc w:val="right"/>
            </w:pPr>
            <w:r>
              <w:rPr>
                <w:rFonts w:ascii="宋体" w:hAnsi="宋体" w:eastAsia="宋体" w:cs="宋体"/>
                <w:b w:val="0"/>
              </w:rPr>
              <w:t>21,397,335.99</w:t>
            </w:r>
          </w:p>
        </w:tc>
        <w:tc>
          <w:tcPr>
            <w:tcW w:w="0" w:type="dxa"/>
            <w:vAlign w:val="center"/>
          </w:tcPr>
          <w:p w14:paraId="717B42E8">
            <w:pPr>
              <w:spacing w:line="240" w:lineRule="auto"/>
              <w:jc w:val="right"/>
            </w:pPr>
            <w:r>
              <w:rPr>
                <w:rFonts w:ascii="宋体" w:hAnsi="宋体" w:eastAsia="宋体" w:cs="宋体"/>
                <w:b w:val="0"/>
              </w:rPr>
              <w:t>-</w:t>
            </w:r>
          </w:p>
        </w:tc>
        <w:tc>
          <w:tcPr>
            <w:tcW w:w="0" w:type="dxa"/>
            <w:vAlign w:val="center"/>
          </w:tcPr>
          <w:p w14:paraId="02795930">
            <w:pPr>
              <w:spacing w:line="240" w:lineRule="auto"/>
              <w:jc w:val="right"/>
            </w:pPr>
            <w:r>
              <w:rPr>
                <w:rFonts w:ascii="宋体" w:hAnsi="宋体" w:eastAsia="宋体" w:cs="宋体"/>
                <w:b w:val="0"/>
              </w:rPr>
              <w:t>21,397,335.99</w:t>
            </w:r>
          </w:p>
        </w:tc>
      </w:tr>
      <w:tr w14:paraId="03C5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B3C04D">
            <w:pPr>
              <w:spacing w:line="240" w:lineRule="auto"/>
              <w:jc w:val="left"/>
            </w:pPr>
            <w:r>
              <w:rPr>
                <w:rFonts w:ascii="宋体" w:hAnsi="宋体" w:eastAsia="宋体" w:cs="宋体"/>
                <w:b w:val="0"/>
              </w:rPr>
              <w:t>资产合计</w:t>
            </w:r>
          </w:p>
        </w:tc>
        <w:tc>
          <w:tcPr>
            <w:tcW w:w="0" w:type="dxa"/>
            <w:vAlign w:val="center"/>
          </w:tcPr>
          <w:p w14:paraId="7CB586F7">
            <w:pPr>
              <w:spacing w:line="240" w:lineRule="auto"/>
              <w:jc w:val="right"/>
            </w:pPr>
            <w:r>
              <w:rPr>
                <w:rFonts w:ascii="宋体" w:hAnsi="宋体" w:eastAsia="宋体" w:cs="宋体"/>
                <w:b w:val="0"/>
              </w:rPr>
              <w:t>-</w:t>
            </w:r>
          </w:p>
        </w:tc>
        <w:tc>
          <w:tcPr>
            <w:tcW w:w="0" w:type="dxa"/>
            <w:vAlign w:val="center"/>
          </w:tcPr>
          <w:p w14:paraId="2459D90F">
            <w:pPr>
              <w:spacing w:line="240" w:lineRule="auto"/>
              <w:jc w:val="right"/>
            </w:pPr>
            <w:r>
              <w:rPr>
                <w:rFonts w:ascii="宋体" w:hAnsi="宋体" w:eastAsia="宋体" w:cs="宋体"/>
                <w:b w:val="0"/>
              </w:rPr>
              <w:t>21,397,335.99</w:t>
            </w:r>
          </w:p>
        </w:tc>
        <w:tc>
          <w:tcPr>
            <w:tcW w:w="0" w:type="dxa"/>
            <w:vAlign w:val="center"/>
          </w:tcPr>
          <w:p w14:paraId="73C79640">
            <w:pPr>
              <w:spacing w:line="240" w:lineRule="auto"/>
              <w:jc w:val="right"/>
            </w:pPr>
            <w:r>
              <w:rPr>
                <w:rFonts w:ascii="宋体" w:hAnsi="宋体" w:eastAsia="宋体" w:cs="宋体"/>
                <w:b w:val="0"/>
              </w:rPr>
              <w:t>-</w:t>
            </w:r>
          </w:p>
        </w:tc>
        <w:tc>
          <w:tcPr>
            <w:tcW w:w="0" w:type="dxa"/>
            <w:vAlign w:val="center"/>
          </w:tcPr>
          <w:p w14:paraId="17277FB9">
            <w:pPr>
              <w:spacing w:line="240" w:lineRule="auto"/>
              <w:jc w:val="right"/>
            </w:pPr>
            <w:r>
              <w:rPr>
                <w:rFonts w:ascii="宋体" w:hAnsi="宋体" w:eastAsia="宋体" w:cs="宋体"/>
                <w:b w:val="0"/>
              </w:rPr>
              <w:t>21,397,335.99</w:t>
            </w:r>
          </w:p>
        </w:tc>
      </w:tr>
      <w:tr w14:paraId="2B50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DE181F">
            <w:pPr>
              <w:spacing w:line="240" w:lineRule="auto"/>
              <w:jc w:val="left"/>
            </w:pPr>
            <w:r>
              <w:rPr>
                <w:rFonts w:ascii="宋体" w:hAnsi="宋体" w:eastAsia="宋体" w:cs="宋体"/>
                <w:b w:val="0"/>
              </w:rPr>
              <w:t>以外币计价的负债</w:t>
            </w:r>
          </w:p>
        </w:tc>
        <w:tc>
          <w:tcPr>
            <w:tcW w:w="0" w:type="dxa"/>
            <w:vAlign w:val="center"/>
          </w:tcPr>
          <w:p w14:paraId="4D61BC8D">
            <w:pPr>
              <w:spacing w:line="240" w:lineRule="auto"/>
              <w:jc w:val="right"/>
            </w:pPr>
          </w:p>
        </w:tc>
        <w:tc>
          <w:tcPr>
            <w:tcW w:w="0" w:type="dxa"/>
            <w:vAlign w:val="center"/>
          </w:tcPr>
          <w:p w14:paraId="67CDA782">
            <w:pPr>
              <w:spacing w:line="240" w:lineRule="auto"/>
              <w:jc w:val="right"/>
            </w:pPr>
          </w:p>
        </w:tc>
        <w:tc>
          <w:tcPr>
            <w:tcW w:w="0" w:type="dxa"/>
            <w:vAlign w:val="center"/>
          </w:tcPr>
          <w:p w14:paraId="5C37544D">
            <w:pPr>
              <w:spacing w:line="240" w:lineRule="auto"/>
              <w:jc w:val="right"/>
            </w:pPr>
          </w:p>
        </w:tc>
        <w:tc>
          <w:tcPr>
            <w:tcW w:w="0" w:type="dxa"/>
            <w:vAlign w:val="center"/>
          </w:tcPr>
          <w:p w14:paraId="588C0376">
            <w:pPr>
              <w:spacing w:line="240" w:lineRule="auto"/>
              <w:jc w:val="right"/>
            </w:pPr>
          </w:p>
        </w:tc>
      </w:tr>
      <w:tr w14:paraId="51E5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C5AF4C">
            <w:pPr>
              <w:spacing w:line="240" w:lineRule="auto"/>
              <w:jc w:val="left"/>
            </w:pPr>
            <w:r>
              <w:rPr>
                <w:rFonts w:ascii="宋体" w:hAnsi="宋体" w:eastAsia="宋体" w:cs="宋体"/>
                <w:b w:val="0"/>
              </w:rPr>
              <w:t>负债合计</w:t>
            </w:r>
          </w:p>
        </w:tc>
        <w:tc>
          <w:tcPr>
            <w:tcW w:w="0" w:type="dxa"/>
            <w:vAlign w:val="center"/>
          </w:tcPr>
          <w:p w14:paraId="0A3FEB27">
            <w:pPr>
              <w:spacing w:line="240" w:lineRule="auto"/>
              <w:jc w:val="right"/>
            </w:pPr>
            <w:r>
              <w:rPr>
                <w:rFonts w:ascii="宋体" w:hAnsi="宋体" w:eastAsia="宋体" w:cs="宋体"/>
                <w:b w:val="0"/>
              </w:rPr>
              <w:t>-</w:t>
            </w:r>
          </w:p>
        </w:tc>
        <w:tc>
          <w:tcPr>
            <w:tcW w:w="0" w:type="dxa"/>
            <w:vAlign w:val="center"/>
          </w:tcPr>
          <w:p w14:paraId="36E30506">
            <w:pPr>
              <w:spacing w:line="240" w:lineRule="auto"/>
              <w:jc w:val="right"/>
            </w:pPr>
            <w:r>
              <w:rPr>
                <w:rFonts w:ascii="宋体" w:hAnsi="宋体" w:eastAsia="宋体" w:cs="宋体"/>
                <w:b w:val="0"/>
              </w:rPr>
              <w:t>-</w:t>
            </w:r>
          </w:p>
        </w:tc>
        <w:tc>
          <w:tcPr>
            <w:tcW w:w="0" w:type="dxa"/>
            <w:vAlign w:val="center"/>
          </w:tcPr>
          <w:p w14:paraId="093AE25D">
            <w:pPr>
              <w:spacing w:line="240" w:lineRule="auto"/>
              <w:jc w:val="right"/>
            </w:pPr>
            <w:r>
              <w:rPr>
                <w:rFonts w:ascii="宋体" w:hAnsi="宋体" w:eastAsia="宋体" w:cs="宋体"/>
                <w:b w:val="0"/>
              </w:rPr>
              <w:t>-</w:t>
            </w:r>
          </w:p>
        </w:tc>
        <w:tc>
          <w:tcPr>
            <w:tcW w:w="0" w:type="dxa"/>
            <w:vAlign w:val="center"/>
          </w:tcPr>
          <w:p w14:paraId="30E954F4">
            <w:pPr>
              <w:spacing w:line="240" w:lineRule="auto"/>
              <w:jc w:val="right"/>
            </w:pPr>
            <w:r>
              <w:rPr>
                <w:rFonts w:ascii="宋体" w:hAnsi="宋体" w:eastAsia="宋体" w:cs="宋体"/>
                <w:b w:val="0"/>
              </w:rPr>
              <w:t>-</w:t>
            </w:r>
          </w:p>
        </w:tc>
      </w:tr>
      <w:tr w14:paraId="3E18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81C177">
            <w:pPr>
              <w:spacing w:line="240" w:lineRule="auto"/>
              <w:jc w:val="left"/>
            </w:pPr>
            <w:r>
              <w:rPr>
                <w:rFonts w:ascii="宋体" w:hAnsi="宋体" w:eastAsia="宋体" w:cs="宋体"/>
                <w:b w:val="0"/>
              </w:rPr>
              <w:t>资产负债表外汇风险敞口净额</w:t>
            </w:r>
          </w:p>
        </w:tc>
        <w:tc>
          <w:tcPr>
            <w:tcW w:w="0" w:type="dxa"/>
            <w:vAlign w:val="center"/>
          </w:tcPr>
          <w:p w14:paraId="10D86F33">
            <w:pPr>
              <w:spacing w:line="240" w:lineRule="auto"/>
              <w:jc w:val="right"/>
            </w:pPr>
            <w:r>
              <w:rPr>
                <w:rFonts w:ascii="宋体" w:hAnsi="宋体" w:eastAsia="宋体" w:cs="宋体"/>
                <w:b w:val="0"/>
              </w:rPr>
              <w:t>-</w:t>
            </w:r>
          </w:p>
        </w:tc>
        <w:tc>
          <w:tcPr>
            <w:tcW w:w="0" w:type="dxa"/>
            <w:vAlign w:val="center"/>
          </w:tcPr>
          <w:p w14:paraId="7C43EAF5">
            <w:pPr>
              <w:spacing w:line="240" w:lineRule="auto"/>
              <w:jc w:val="right"/>
            </w:pPr>
            <w:r>
              <w:rPr>
                <w:rFonts w:ascii="宋体" w:hAnsi="宋体" w:eastAsia="宋体" w:cs="宋体"/>
                <w:b w:val="0"/>
              </w:rPr>
              <w:t>21,397,335.99</w:t>
            </w:r>
          </w:p>
        </w:tc>
        <w:tc>
          <w:tcPr>
            <w:tcW w:w="0" w:type="dxa"/>
            <w:vAlign w:val="center"/>
          </w:tcPr>
          <w:p w14:paraId="46859805">
            <w:pPr>
              <w:spacing w:line="240" w:lineRule="auto"/>
              <w:jc w:val="right"/>
            </w:pPr>
            <w:r>
              <w:rPr>
                <w:rFonts w:ascii="宋体" w:hAnsi="宋体" w:eastAsia="宋体" w:cs="宋体"/>
                <w:b w:val="0"/>
              </w:rPr>
              <w:t>-</w:t>
            </w:r>
          </w:p>
        </w:tc>
        <w:tc>
          <w:tcPr>
            <w:tcW w:w="0" w:type="dxa"/>
            <w:vAlign w:val="center"/>
          </w:tcPr>
          <w:p w14:paraId="1C440CE6">
            <w:pPr>
              <w:spacing w:line="240" w:lineRule="auto"/>
              <w:jc w:val="right"/>
            </w:pPr>
            <w:r>
              <w:rPr>
                <w:rFonts w:ascii="宋体" w:hAnsi="宋体" w:eastAsia="宋体" w:cs="宋体"/>
                <w:b w:val="0"/>
              </w:rPr>
              <w:t>21,397,335.99</w:t>
            </w:r>
          </w:p>
        </w:tc>
      </w:tr>
    </w:tbl>
    <w:p w14:paraId="5A3F6ACF"/>
    <w:p w14:paraId="7EBF2E04">
      <w:pPr>
        <w:pStyle w:val="58"/>
      </w:pPr>
      <w:r>
        <w:rPr>
          <w:rFonts w:ascii="宋体" w:hAnsi="宋体" w:eastAsia="宋体" w:cs="宋体"/>
          <w:b/>
        </w:rPr>
        <w:t>6.4.13.4.2.2 外汇风险的敏感性分析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2322"/>
        <w:gridCol w:w="2708"/>
        <w:gridCol w:w="2709"/>
      </w:tblGrid>
      <w:tr w14:paraId="060C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Align w:val="center"/>
          </w:tcPr>
          <w:p w14:paraId="33F9E327">
            <w:pPr>
              <w:spacing w:line="240" w:lineRule="auto"/>
              <w:jc w:val="center"/>
            </w:pPr>
            <w:r>
              <w:rPr>
                <w:rFonts w:ascii="宋体" w:hAnsi="宋体" w:eastAsia="宋体" w:cs="宋体"/>
                <w:b w:val="0"/>
              </w:rPr>
              <w:t>假设</w:t>
            </w:r>
          </w:p>
        </w:tc>
        <w:tc>
          <w:tcPr>
            <w:tcW w:w="3846" w:type="pct"/>
            <w:gridSpan w:val="3"/>
            <w:vAlign w:val="center"/>
          </w:tcPr>
          <w:p w14:paraId="6E497307">
            <w:pPr>
              <w:spacing w:line="240" w:lineRule="auto"/>
              <w:jc w:val="left"/>
            </w:pPr>
            <w:r>
              <w:rPr>
                <w:rFonts w:ascii="宋体" w:hAnsi="宋体" w:eastAsia="宋体" w:cs="宋体"/>
                <w:b w:val="0"/>
              </w:rPr>
              <w:t>除汇率以外的其他市场变量保持不变</w:t>
            </w:r>
          </w:p>
        </w:tc>
      </w:tr>
      <w:tr w14:paraId="4A96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01AE7025">
            <w:pPr>
              <w:spacing w:line="240" w:lineRule="auto"/>
              <w:jc w:val="center"/>
            </w:pPr>
            <w:r>
              <w:rPr>
                <w:rFonts w:ascii="宋体" w:hAnsi="宋体" w:eastAsia="宋体" w:cs="宋体"/>
                <w:b w:val="0"/>
              </w:rPr>
              <w:t>分析</w:t>
            </w:r>
          </w:p>
        </w:tc>
        <w:tc>
          <w:tcPr>
            <w:tcW w:w="1154" w:type="pct"/>
            <w:vMerge w:val="restart"/>
            <w:vAlign w:val="center"/>
          </w:tcPr>
          <w:p w14:paraId="03C83FA1">
            <w:pPr>
              <w:spacing w:line="240" w:lineRule="auto"/>
              <w:jc w:val="center"/>
            </w:pPr>
            <w:r>
              <w:rPr>
                <w:rFonts w:ascii="宋体" w:hAnsi="宋体" w:eastAsia="宋体" w:cs="宋体"/>
                <w:b w:val="0"/>
              </w:rPr>
              <w:t>相关风险变量的变动</w:t>
            </w:r>
          </w:p>
        </w:tc>
        <w:tc>
          <w:tcPr>
            <w:tcW w:w="2692" w:type="pct"/>
            <w:gridSpan w:val="2"/>
            <w:vAlign w:val="center"/>
          </w:tcPr>
          <w:p w14:paraId="73657D9C">
            <w:pPr>
              <w:spacing w:line="240" w:lineRule="auto"/>
              <w:jc w:val="center"/>
            </w:pPr>
            <w:r>
              <w:rPr>
                <w:rFonts w:ascii="宋体" w:hAnsi="宋体" w:eastAsia="宋体" w:cs="宋体"/>
                <w:b w:val="0"/>
              </w:rPr>
              <w:t>对资产负债表日基金资产净值的影响金额（单位：人民币元）</w:t>
            </w:r>
          </w:p>
        </w:tc>
      </w:tr>
      <w:tr w14:paraId="4165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C2A51A8"/>
        </w:tc>
        <w:tc>
          <w:tcPr>
            <w:vMerge w:val="continue"/>
          </w:tcPr>
          <w:p w14:paraId="20E0DE74"/>
        </w:tc>
        <w:tc>
          <w:tcPr>
            <w:tcW w:w="1346" w:type="pct"/>
            <w:vAlign w:val="center"/>
          </w:tcPr>
          <w:p w14:paraId="1EDC75EA">
            <w:pPr>
              <w:spacing w:line="240" w:lineRule="auto"/>
              <w:jc w:val="center"/>
            </w:pPr>
            <w:r>
              <w:rPr>
                <w:rFonts w:ascii="宋体" w:hAnsi="宋体" w:eastAsia="宋体" w:cs="宋体"/>
                <w:b w:val="0"/>
              </w:rPr>
              <w:t>本期末2026年06月30日</w:t>
            </w:r>
          </w:p>
        </w:tc>
        <w:tc>
          <w:tcPr>
            <w:tcW w:w="1346" w:type="pct"/>
            <w:vAlign w:val="center"/>
          </w:tcPr>
          <w:p w14:paraId="1FA43324">
            <w:pPr>
              <w:spacing w:line="240" w:lineRule="auto"/>
              <w:jc w:val="center"/>
            </w:pPr>
            <w:r>
              <w:rPr>
                <w:rFonts w:ascii="宋体" w:hAnsi="宋体" w:eastAsia="宋体" w:cs="宋体"/>
                <w:b w:val="0"/>
              </w:rPr>
              <w:t>上年度末2025年12月31日</w:t>
            </w:r>
          </w:p>
        </w:tc>
      </w:tr>
      <w:tr w14:paraId="03C9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586252B"/>
        </w:tc>
        <w:tc>
          <w:tcPr>
            <w:tcW w:w="0" w:type="dxa"/>
            <w:vAlign w:val="center"/>
          </w:tcPr>
          <w:p w14:paraId="7497390D">
            <w:pPr>
              <w:spacing w:line="240" w:lineRule="auto"/>
              <w:jc w:val="left"/>
            </w:pPr>
            <w:r>
              <w:rPr>
                <w:rFonts w:ascii="宋体" w:hAnsi="宋体" w:eastAsia="宋体" w:cs="宋体"/>
                <w:b w:val="0"/>
              </w:rPr>
              <w:t>1. 所有外币相对人民币升值5%</w:t>
            </w:r>
          </w:p>
        </w:tc>
        <w:tc>
          <w:tcPr>
            <w:tcW w:w="0" w:type="dxa"/>
            <w:vAlign w:val="center"/>
          </w:tcPr>
          <w:p w14:paraId="5143BB17">
            <w:pPr>
              <w:spacing w:line="240" w:lineRule="auto"/>
              <w:jc w:val="right"/>
            </w:pPr>
            <w:r>
              <w:rPr>
                <w:rFonts w:ascii="宋体" w:hAnsi="宋体" w:eastAsia="宋体" w:cs="宋体"/>
                <w:b w:val="0"/>
              </w:rPr>
              <w:t>863,672.71</w:t>
            </w:r>
          </w:p>
        </w:tc>
        <w:tc>
          <w:tcPr>
            <w:tcW w:w="0" w:type="dxa"/>
            <w:vAlign w:val="center"/>
          </w:tcPr>
          <w:p w14:paraId="1EC47662">
            <w:pPr>
              <w:spacing w:line="240" w:lineRule="auto"/>
              <w:jc w:val="right"/>
            </w:pPr>
            <w:r>
              <w:rPr>
                <w:rFonts w:ascii="宋体" w:hAnsi="宋体" w:eastAsia="宋体" w:cs="宋体"/>
                <w:b w:val="0"/>
              </w:rPr>
              <w:t>1,069,866.80</w:t>
            </w:r>
          </w:p>
        </w:tc>
      </w:tr>
      <w:tr w14:paraId="7266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2039C93"/>
        </w:tc>
        <w:tc>
          <w:tcPr>
            <w:tcW w:w="0" w:type="dxa"/>
            <w:vAlign w:val="center"/>
          </w:tcPr>
          <w:p w14:paraId="229CCD25">
            <w:pPr>
              <w:spacing w:line="240" w:lineRule="auto"/>
              <w:jc w:val="left"/>
            </w:pPr>
            <w:r>
              <w:rPr>
                <w:rFonts w:ascii="宋体" w:hAnsi="宋体" w:eastAsia="宋体" w:cs="宋体"/>
                <w:b w:val="0"/>
              </w:rPr>
              <w:t>2. 所有外币相对人民币贬值5%</w:t>
            </w:r>
          </w:p>
        </w:tc>
        <w:tc>
          <w:tcPr>
            <w:tcW w:w="0" w:type="dxa"/>
            <w:vAlign w:val="center"/>
          </w:tcPr>
          <w:p w14:paraId="69CA719A">
            <w:pPr>
              <w:spacing w:line="240" w:lineRule="auto"/>
              <w:jc w:val="right"/>
            </w:pPr>
            <w:r>
              <w:rPr>
                <w:rFonts w:ascii="宋体" w:hAnsi="宋体" w:eastAsia="宋体" w:cs="宋体"/>
                <w:b w:val="0"/>
              </w:rPr>
              <w:t>-863,672.71</w:t>
            </w:r>
          </w:p>
        </w:tc>
        <w:tc>
          <w:tcPr>
            <w:tcW w:w="0" w:type="dxa"/>
            <w:vAlign w:val="center"/>
          </w:tcPr>
          <w:p w14:paraId="5992DFA1">
            <w:pPr>
              <w:spacing w:line="240" w:lineRule="auto"/>
              <w:jc w:val="right"/>
            </w:pPr>
            <w:r>
              <w:rPr>
                <w:rFonts w:ascii="宋体" w:hAnsi="宋体" w:eastAsia="宋体" w:cs="宋体"/>
                <w:b w:val="0"/>
              </w:rPr>
              <w:t>-1,069,866.80</w:t>
            </w:r>
          </w:p>
        </w:tc>
      </w:tr>
    </w:tbl>
    <w:p w14:paraId="6C15A94B"/>
    <w:p w14:paraId="17D2D0E2">
      <w:pPr>
        <w:pStyle w:val="58"/>
      </w:pPr>
      <w:r>
        <w:rPr>
          <w:rFonts w:ascii="宋体" w:hAnsi="宋体" w:eastAsia="宋体" w:cs="宋体"/>
          <w:b/>
        </w:rPr>
        <w:t>6.4.13.4.3 其他价格风险</w:t>
      </w:r>
    </w:p>
    <w:p w14:paraId="7324FE09">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60%-95%，其中对港股通标的股票（包括沪港通股票及深港通股票）的投资比例不超过股票资产的50%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14:paraId="5F7E5E6A"/>
    <w:p w14:paraId="0EB0D059">
      <w:pPr>
        <w:pStyle w:val="58"/>
      </w:pPr>
      <w:r>
        <w:rPr>
          <w:rFonts w:ascii="宋体" w:hAnsi="宋体" w:eastAsia="宋体" w:cs="宋体"/>
          <w:b/>
        </w:rPr>
        <w:t>6.4.13.4.3.1 其他价格风险敞口</w:t>
      </w:r>
    </w:p>
    <w:p w14:paraId="71B001E9">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6"/>
        <w:gridCol w:w="1581"/>
        <w:gridCol w:w="1629"/>
        <w:gridCol w:w="1581"/>
        <w:gridCol w:w="1629"/>
      </w:tblGrid>
      <w:tr w14:paraId="7F85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52AF2C3">
            <w:pPr>
              <w:spacing w:line="240" w:lineRule="auto"/>
              <w:jc w:val="center"/>
            </w:pPr>
            <w:r>
              <w:rPr>
                <w:rFonts w:ascii="宋体" w:hAnsi="宋体" w:eastAsia="宋体" w:cs="宋体"/>
                <w:b w:val="0"/>
              </w:rPr>
              <w:t>项目</w:t>
            </w:r>
          </w:p>
        </w:tc>
        <w:tc>
          <w:tcPr>
            <w:tcW w:w="1538" w:type="pct"/>
            <w:gridSpan w:val="2"/>
            <w:shd w:val="clear" w:color="auto" w:fill="D9D9D9"/>
            <w:vAlign w:val="center"/>
          </w:tcPr>
          <w:p w14:paraId="2DB6276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2A38A743">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24B2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1430B19"/>
        </w:tc>
        <w:tc>
          <w:tcPr>
            <w:tcW w:w="615" w:type="pct"/>
            <w:shd w:val="clear" w:color="auto" w:fill="D9D9D9"/>
            <w:vAlign w:val="center"/>
          </w:tcPr>
          <w:p w14:paraId="13196FD2">
            <w:pPr>
              <w:spacing w:line="240" w:lineRule="auto"/>
              <w:jc w:val="center"/>
            </w:pPr>
            <w:r>
              <w:rPr>
                <w:rFonts w:ascii="宋体" w:hAnsi="宋体" w:eastAsia="宋体" w:cs="宋体"/>
                <w:b w:val="0"/>
              </w:rPr>
              <w:t>公允价值</w:t>
            </w:r>
          </w:p>
        </w:tc>
        <w:tc>
          <w:tcPr>
            <w:tcW w:w="923" w:type="pct"/>
            <w:shd w:val="clear" w:color="auto" w:fill="D9D9D9"/>
            <w:vAlign w:val="center"/>
          </w:tcPr>
          <w:p w14:paraId="72E7F383">
            <w:pPr>
              <w:spacing w:line="240" w:lineRule="auto"/>
              <w:jc w:val="center"/>
            </w:pPr>
            <w:r>
              <w:rPr>
                <w:rFonts w:ascii="宋体" w:hAnsi="宋体" w:eastAsia="宋体" w:cs="宋体"/>
                <w:b w:val="0"/>
              </w:rPr>
              <w:t>占基金资产净值比例(%)</w:t>
            </w:r>
          </w:p>
        </w:tc>
        <w:tc>
          <w:tcPr>
            <w:tcW w:w="615" w:type="pct"/>
            <w:shd w:val="clear" w:color="auto" w:fill="D9D9D9"/>
            <w:vAlign w:val="center"/>
          </w:tcPr>
          <w:p w14:paraId="310A7A30">
            <w:pPr>
              <w:spacing w:line="240" w:lineRule="auto"/>
              <w:jc w:val="center"/>
            </w:pPr>
            <w:r>
              <w:rPr>
                <w:rFonts w:ascii="宋体" w:hAnsi="宋体" w:eastAsia="宋体" w:cs="宋体"/>
                <w:b w:val="0"/>
              </w:rPr>
              <w:t>公允价值</w:t>
            </w:r>
          </w:p>
        </w:tc>
        <w:tc>
          <w:tcPr>
            <w:tcW w:w="923" w:type="pct"/>
            <w:shd w:val="clear" w:color="auto" w:fill="D9D9D9"/>
            <w:vAlign w:val="center"/>
          </w:tcPr>
          <w:p w14:paraId="22603E9D">
            <w:pPr>
              <w:spacing w:line="240" w:lineRule="auto"/>
              <w:jc w:val="center"/>
            </w:pPr>
            <w:r>
              <w:rPr>
                <w:rFonts w:ascii="宋体" w:hAnsi="宋体" w:eastAsia="宋体" w:cs="宋体"/>
                <w:b w:val="0"/>
              </w:rPr>
              <w:t>占基金资产净值比例(%)</w:t>
            </w:r>
          </w:p>
        </w:tc>
      </w:tr>
      <w:tr w14:paraId="3B18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4395B7">
            <w:pPr>
              <w:spacing w:line="240" w:lineRule="auto"/>
              <w:jc w:val="left"/>
            </w:pPr>
            <w:r>
              <w:rPr>
                <w:rFonts w:ascii="宋体" w:hAnsi="宋体" w:eastAsia="宋体" w:cs="宋体"/>
                <w:b w:val="0"/>
              </w:rPr>
              <w:t>交易性金融资产－股票投资</w:t>
            </w:r>
          </w:p>
        </w:tc>
        <w:tc>
          <w:tcPr>
            <w:tcW w:w="0" w:type="dxa"/>
            <w:vAlign w:val="center"/>
          </w:tcPr>
          <w:p w14:paraId="347E3F3D">
            <w:pPr>
              <w:spacing w:line="240" w:lineRule="auto"/>
              <w:jc w:val="right"/>
            </w:pPr>
            <w:r>
              <w:rPr>
                <w:rFonts w:ascii="宋体" w:hAnsi="宋体" w:eastAsia="宋体" w:cs="宋体"/>
                <w:b w:val="0"/>
              </w:rPr>
              <w:t>44,985,065.53</w:t>
            </w:r>
          </w:p>
        </w:tc>
        <w:tc>
          <w:tcPr>
            <w:tcW w:w="0" w:type="dxa"/>
            <w:vAlign w:val="center"/>
          </w:tcPr>
          <w:p w14:paraId="627EB52D">
            <w:pPr>
              <w:spacing w:line="240" w:lineRule="auto"/>
              <w:jc w:val="right"/>
            </w:pPr>
            <w:r>
              <w:rPr>
                <w:rFonts w:ascii="宋体" w:hAnsi="宋体" w:eastAsia="宋体" w:cs="宋体"/>
                <w:b w:val="0"/>
              </w:rPr>
              <w:t>87.85</w:t>
            </w:r>
          </w:p>
        </w:tc>
        <w:tc>
          <w:tcPr>
            <w:tcW w:w="0" w:type="dxa"/>
            <w:vAlign w:val="center"/>
          </w:tcPr>
          <w:p w14:paraId="3BEFCA74">
            <w:pPr>
              <w:spacing w:line="240" w:lineRule="auto"/>
              <w:jc w:val="right"/>
            </w:pPr>
            <w:r>
              <w:rPr>
                <w:rFonts w:ascii="宋体" w:hAnsi="宋体" w:eastAsia="宋体" w:cs="宋体"/>
                <w:b w:val="0"/>
              </w:rPr>
              <w:t>67,656,098.87</w:t>
            </w:r>
          </w:p>
        </w:tc>
        <w:tc>
          <w:tcPr>
            <w:tcW w:w="0" w:type="dxa"/>
            <w:vAlign w:val="center"/>
          </w:tcPr>
          <w:p w14:paraId="7FD5C43B">
            <w:pPr>
              <w:spacing w:line="240" w:lineRule="auto"/>
              <w:jc w:val="right"/>
            </w:pPr>
            <w:r>
              <w:rPr>
                <w:rFonts w:ascii="宋体" w:hAnsi="宋体" w:eastAsia="宋体" w:cs="宋体"/>
                <w:b w:val="0"/>
              </w:rPr>
              <w:t>93.26</w:t>
            </w:r>
          </w:p>
        </w:tc>
      </w:tr>
      <w:tr w14:paraId="57C2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51C4E7">
            <w:pPr>
              <w:spacing w:line="240" w:lineRule="auto"/>
              <w:jc w:val="left"/>
            </w:pPr>
            <w:r>
              <w:rPr>
                <w:rFonts w:ascii="宋体" w:hAnsi="宋体" w:eastAsia="宋体" w:cs="宋体"/>
                <w:b w:val="0"/>
              </w:rPr>
              <w:t>交易性金融资产－基金投资</w:t>
            </w:r>
          </w:p>
        </w:tc>
        <w:tc>
          <w:tcPr>
            <w:tcW w:w="0" w:type="dxa"/>
            <w:vAlign w:val="center"/>
          </w:tcPr>
          <w:p w14:paraId="47B087A5">
            <w:pPr>
              <w:spacing w:line="240" w:lineRule="auto"/>
              <w:jc w:val="right"/>
            </w:pPr>
            <w:r>
              <w:rPr>
                <w:rFonts w:ascii="宋体" w:hAnsi="宋体" w:eastAsia="宋体" w:cs="宋体"/>
                <w:b w:val="0"/>
              </w:rPr>
              <w:t>-</w:t>
            </w:r>
          </w:p>
        </w:tc>
        <w:tc>
          <w:tcPr>
            <w:tcW w:w="0" w:type="dxa"/>
            <w:vAlign w:val="center"/>
          </w:tcPr>
          <w:p w14:paraId="5AEE562A">
            <w:pPr>
              <w:spacing w:line="240" w:lineRule="auto"/>
              <w:jc w:val="right"/>
            </w:pPr>
            <w:r>
              <w:rPr>
                <w:rFonts w:ascii="宋体" w:hAnsi="宋体" w:eastAsia="宋体" w:cs="宋体"/>
                <w:b w:val="0"/>
              </w:rPr>
              <w:t>-</w:t>
            </w:r>
          </w:p>
        </w:tc>
        <w:tc>
          <w:tcPr>
            <w:tcW w:w="0" w:type="dxa"/>
            <w:vAlign w:val="center"/>
          </w:tcPr>
          <w:p w14:paraId="2005799A">
            <w:pPr>
              <w:spacing w:line="240" w:lineRule="auto"/>
              <w:jc w:val="right"/>
            </w:pPr>
            <w:r>
              <w:rPr>
                <w:rFonts w:ascii="宋体" w:hAnsi="宋体" w:eastAsia="宋体" w:cs="宋体"/>
                <w:b w:val="0"/>
              </w:rPr>
              <w:t>-</w:t>
            </w:r>
          </w:p>
        </w:tc>
        <w:tc>
          <w:tcPr>
            <w:tcW w:w="0" w:type="dxa"/>
            <w:vAlign w:val="center"/>
          </w:tcPr>
          <w:p w14:paraId="2BAE6021">
            <w:pPr>
              <w:spacing w:line="240" w:lineRule="auto"/>
              <w:jc w:val="right"/>
            </w:pPr>
            <w:r>
              <w:rPr>
                <w:rFonts w:ascii="宋体" w:hAnsi="宋体" w:eastAsia="宋体" w:cs="宋体"/>
                <w:b w:val="0"/>
              </w:rPr>
              <w:t>-</w:t>
            </w:r>
          </w:p>
        </w:tc>
      </w:tr>
      <w:tr w14:paraId="6F3C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2BEA79">
            <w:pPr>
              <w:spacing w:line="240" w:lineRule="auto"/>
              <w:jc w:val="left"/>
            </w:pPr>
            <w:r>
              <w:rPr>
                <w:rFonts w:ascii="宋体" w:hAnsi="宋体" w:eastAsia="宋体" w:cs="宋体"/>
                <w:b w:val="0"/>
              </w:rPr>
              <w:t>交易性金融资产－贵金属投资</w:t>
            </w:r>
          </w:p>
        </w:tc>
        <w:tc>
          <w:tcPr>
            <w:tcW w:w="0" w:type="dxa"/>
            <w:vAlign w:val="center"/>
          </w:tcPr>
          <w:p w14:paraId="06A94EC5">
            <w:pPr>
              <w:spacing w:line="240" w:lineRule="auto"/>
              <w:jc w:val="right"/>
            </w:pPr>
            <w:r>
              <w:rPr>
                <w:rFonts w:ascii="宋体" w:hAnsi="宋体" w:eastAsia="宋体" w:cs="宋体"/>
                <w:b w:val="0"/>
              </w:rPr>
              <w:t>-</w:t>
            </w:r>
          </w:p>
        </w:tc>
        <w:tc>
          <w:tcPr>
            <w:tcW w:w="0" w:type="dxa"/>
            <w:vAlign w:val="center"/>
          </w:tcPr>
          <w:p w14:paraId="2ED0CC8B">
            <w:pPr>
              <w:spacing w:line="240" w:lineRule="auto"/>
              <w:jc w:val="right"/>
            </w:pPr>
            <w:r>
              <w:rPr>
                <w:rFonts w:ascii="宋体" w:hAnsi="宋体" w:eastAsia="宋体" w:cs="宋体"/>
                <w:b w:val="0"/>
              </w:rPr>
              <w:t>-</w:t>
            </w:r>
          </w:p>
        </w:tc>
        <w:tc>
          <w:tcPr>
            <w:tcW w:w="0" w:type="dxa"/>
            <w:vAlign w:val="center"/>
          </w:tcPr>
          <w:p w14:paraId="1CECDD63">
            <w:pPr>
              <w:spacing w:line="240" w:lineRule="auto"/>
              <w:jc w:val="right"/>
            </w:pPr>
            <w:r>
              <w:rPr>
                <w:rFonts w:ascii="宋体" w:hAnsi="宋体" w:eastAsia="宋体" w:cs="宋体"/>
                <w:b w:val="0"/>
              </w:rPr>
              <w:t>-</w:t>
            </w:r>
          </w:p>
        </w:tc>
        <w:tc>
          <w:tcPr>
            <w:tcW w:w="0" w:type="dxa"/>
            <w:vAlign w:val="center"/>
          </w:tcPr>
          <w:p w14:paraId="0232225A">
            <w:pPr>
              <w:spacing w:line="240" w:lineRule="auto"/>
              <w:jc w:val="right"/>
            </w:pPr>
            <w:r>
              <w:rPr>
                <w:rFonts w:ascii="宋体" w:hAnsi="宋体" w:eastAsia="宋体" w:cs="宋体"/>
                <w:b w:val="0"/>
              </w:rPr>
              <w:t>-</w:t>
            </w:r>
          </w:p>
        </w:tc>
      </w:tr>
      <w:tr w14:paraId="4A63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08B64A">
            <w:pPr>
              <w:spacing w:line="240" w:lineRule="auto"/>
              <w:jc w:val="left"/>
            </w:pPr>
            <w:r>
              <w:rPr>
                <w:rFonts w:ascii="宋体" w:hAnsi="宋体" w:eastAsia="宋体" w:cs="宋体"/>
                <w:b w:val="0"/>
              </w:rPr>
              <w:t>衍生金融资产－权证投资</w:t>
            </w:r>
          </w:p>
        </w:tc>
        <w:tc>
          <w:tcPr>
            <w:tcW w:w="0" w:type="dxa"/>
            <w:vAlign w:val="center"/>
          </w:tcPr>
          <w:p w14:paraId="48B03B40">
            <w:pPr>
              <w:spacing w:line="240" w:lineRule="auto"/>
              <w:jc w:val="right"/>
            </w:pPr>
            <w:r>
              <w:rPr>
                <w:rFonts w:ascii="宋体" w:hAnsi="宋体" w:eastAsia="宋体" w:cs="宋体"/>
                <w:b w:val="0"/>
              </w:rPr>
              <w:t>-</w:t>
            </w:r>
          </w:p>
        </w:tc>
        <w:tc>
          <w:tcPr>
            <w:tcW w:w="0" w:type="dxa"/>
            <w:vAlign w:val="center"/>
          </w:tcPr>
          <w:p w14:paraId="01B7E560">
            <w:pPr>
              <w:spacing w:line="240" w:lineRule="auto"/>
              <w:jc w:val="right"/>
            </w:pPr>
            <w:r>
              <w:rPr>
                <w:rFonts w:ascii="宋体" w:hAnsi="宋体" w:eastAsia="宋体" w:cs="宋体"/>
                <w:b w:val="0"/>
              </w:rPr>
              <w:t>-</w:t>
            </w:r>
          </w:p>
        </w:tc>
        <w:tc>
          <w:tcPr>
            <w:tcW w:w="0" w:type="dxa"/>
            <w:vAlign w:val="center"/>
          </w:tcPr>
          <w:p w14:paraId="7007D371">
            <w:pPr>
              <w:spacing w:line="240" w:lineRule="auto"/>
              <w:jc w:val="right"/>
            </w:pPr>
            <w:r>
              <w:rPr>
                <w:rFonts w:ascii="宋体" w:hAnsi="宋体" w:eastAsia="宋体" w:cs="宋体"/>
                <w:b w:val="0"/>
              </w:rPr>
              <w:t>-</w:t>
            </w:r>
          </w:p>
        </w:tc>
        <w:tc>
          <w:tcPr>
            <w:tcW w:w="0" w:type="dxa"/>
            <w:vAlign w:val="center"/>
          </w:tcPr>
          <w:p w14:paraId="7B7149CE">
            <w:pPr>
              <w:spacing w:line="240" w:lineRule="auto"/>
              <w:jc w:val="right"/>
            </w:pPr>
            <w:r>
              <w:rPr>
                <w:rFonts w:ascii="宋体" w:hAnsi="宋体" w:eastAsia="宋体" w:cs="宋体"/>
                <w:b w:val="0"/>
              </w:rPr>
              <w:t>-</w:t>
            </w:r>
          </w:p>
        </w:tc>
      </w:tr>
      <w:tr w14:paraId="7E53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98D874">
            <w:pPr>
              <w:spacing w:line="240" w:lineRule="auto"/>
              <w:jc w:val="left"/>
            </w:pPr>
            <w:r>
              <w:rPr>
                <w:rFonts w:ascii="宋体" w:hAnsi="宋体" w:eastAsia="宋体" w:cs="宋体"/>
                <w:b w:val="0"/>
              </w:rPr>
              <w:t>其他</w:t>
            </w:r>
          </w:p>
        </w:tc>
        <w:tc>
          <w:tcPr>
            <w:tcW w:w="0" w:type="dxa"/>
            <w:vAlign w:val="center"/>
          </w:tcPr>
          <w:p w14:paraId="34DE4BE2">
            <w:pPr>
              <w:spacing w:line="240" w:lineRule="auto"/>
              <w:jc w:val="right"/>
            </w:pPr>
            <w:r>
              <w:rPr>
                <w:rFonts w:ascii="宋体" w:hAnsi="宋体" w:eastAsia="宋体" w:cs="宋体"/>
                <w:b w:val="0"/>
              </w:rPr>
              <w:t>-</w:t>
            </w:r>
          </w:p>
        </w:tc>
        <w:tc>
          <w:tcPr>
            <w:tcW w:w="0" w:type="dxa"/>
            <w:vAlign w:val="center"/>
          </w:tcPr>
          <w:p w14:paraId="5E8ADD24">
            <w:pPr>
              <w:spacing w:line="240" w:lineRule="auto"/>
              <w:jc w:val="right"/>
            </w:pPr>
            <w:r>
              <w:rPr>
                <w:rFonts w:ascii="宋体" w:hAnsi="宋体" w:eastAsia="宋体" w:cs="宋体"/>
                <w:b w:val="0"/>
              </w:rPr>
              <w:t>-</w:t>
            </w:r>
          </w:p>
        </w:tc>
        <w:tc>
          <w:tcPr>
            <w:tcW w:w="0" w:type="dxa"/>
            <w:vAlign w:val="center"/>
          </w:tcPr>
          <w:p w14:paraId="01B95F3B">
            <w:pPr>
              <w:spacing w:line="240" w:lineRule="auto"/>
              <w:jc w:val="right"/>
            </w:pPr>
            <w:r>
              <w:rPr>
                <w:rFonts w:ascii="宋体" w:hAnsi="宋体" w:eastAsia="宋体" w:cs="宋体"/>
                <w:b w:val="0"/>
              </w:rPr>
              <w:t>-</w:t>
            </w:r>
          </w:p>
        </w:tc>
        <w:tc>
          <w:tcPr>
            <w:tcW w:w="0" w:type="dxa"/>
            <w:vAlign w:val="center"/>
          </w:tcPr>
          <w:p w14:paraId="7E36090D">
            <w:pPr>
              <w:spacing w:line="240" w:lineRule="auto"/>
              <w:jc w:val="right"/>
            </w:pPr>
            <w:r>
              <w:rPr>
                <w:rFonts w:ascii="宋体" w:hAnsi="宋体" w:eastAsia="宋体" w:cs="宋体"/>
                <w:b w:val="0"/>
              </w:rPr>
              <w:t>-</w:t>
            </w:r>
          </w:p>
        </w:tc>
      </w:tr>
      <w:tr w14:paraId="4266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F7102B">
            <w:pPr>
              <w:spacing w:line="240" w:lineRule="auto"/>
              <w:jc w:val="center"/>
            </w:pPr>
            <w:r>
              <w:rPr>
                <w:rFonts w:ascii="宋体" w:hAnsi="宋体" w:eastAsia="宋体" w:cs="宋体"/>
                <w:b w:val="0"/>
              </w:rPr>
              <w:t>合计</w:t>
            </w:r>
          </w:p>
        </w:tc>
        <w:tc>
          <w:tcPr>
            <w:tcW w:w="0" w:type="dxa"/>
            <w:vAlign w:val="center"/>
          </w:tcPr>
          <w:p w14:paraId="61736801">
            <w:pPr>
              <w:spacing w:line="240" w:lineRule="auto"/>
              <w:jc w:val="right"/>
            </w:pPr>
            <w:r>
              <w:rPr>
                <w:rFonts w:ascii="宋体" w:hAnsi="宋体" w:eastAsia="宋体" w:cs="宋体"/>
                <w:b w:val="0"/>
              </w:rPr>
              <w:t>44,985,065.53</w:t>
            </w:r>
          </w:p>
        </w:tc>
        <w:tc>
          <w:tcPr>
            <w:tcW w:w="0" w:type="dxa"/>
            <w:vAlign w:val="center"/>
          </w:tcPr>
          <w:p w14:paraId="3C0E0D7D">
            <w:pPr>
              <w:spacing w:line="240" w:lineRule="auto"/>
              <w:jc w:val="right"/>
            </w:pPr>
            <w:r>
              <w:rPr>
                <w:rFonts w:ascii="宋体" w:hAnsi="宋体" w:eastAsia="宋体" w:cs="宋体"/>
                <w:b w:val="0"/>
              </w:rPr>
              <w:t>87.85</w:t>
            </w:r>
          </w:p>
        </w:tc>
        <w:tc>
          <w:tcPr>
            <w:tcW w:w="0" w:type="dxa"/>
            <w:vAlign w:val="center"/>
          </w:tcPr>
          <w:p w14:paraId="76DEA0E4">
            <w:pPr>
              <w:spacing w:line="240" w:lineRule="auto"/>
              <w:jc w:val="right"/>
            </w:pPr>
            <w:r>
              <w:rPr>
                <w:rFonts w:ascii="宋体" w:hAnsi="宋体" w:eastAsia="宋体" w:cs="宋体"/>
                <w:b w:val="0"/>
              </w:rPr>
              <w:t>67,656,098.87</w:t>
            </w:r>
          </w:p>
        </w:tc>
        <w:tc>
          <w:tcPr>
            <w:tcW w:w="0" w:type="dxa"/>
            <w:vAlign w:val="center"/>
          </w:tcPr>
          <w:p w14:paraId="4082DA42">
            <w:pPr>
              <w:spacing w:line="240" w:lineRule="auto"/>
              <w:jc w:val="right"/>
            </w:pPr>
            <w:r>
              <w:rPr>
                <w:rFonts w:ascii="宋体" w:hAnsi="宋体" w:eastAsia="宋体" w:cs="宋体"/>
                <w:b w:val="0"/>
              </w:rPr>
              <w:t>93.26</w:t>
            </w:r>
          </w:p>
        </w:tc>
      </w:tr>
    </w:tbl>
    <w:p w14:paraId="6EB93E48"/>
    <w:p w14:paraId="0F3E4A54">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2856"/>
        <w:gridCol w:w="2859"/>
      </w:tblGrid>
      <w:tr w14:paraId="1EA1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2EF3A3F2">
            <w:pPr>
              <w:spacing w:line="240" w:lineRule="auto"/>
              <w:jc w:val="center"/>
            </w:pPr>
            <w:r>
              <w:rPr>
                <w:rFonts w:ascii="宋体" w:hAnsi="宋体" w:eastAsia="宋体" w:cs="宋体"/>
                <w:b w:val="0"/>
              </w:rPr>
              <w:t>假设</w:t>
            </w:r>
          </w:p>
        </w:tc>
        <w:tc>
          <w:tcPr>
            <w:tcW w:w="4615" w:type="pct"/>
            <w:gridSpan w:val="3"/>
            <w:vAlign w:val="center"/>
          </w:tcPr>
          <w:p w14:paraId="2F5F8913">
            <w:pPr>
              <w:spacing w:line="240" w:lineRule="auto"/>
              <w:jc w:val="left"/>
            </w:pPr>
            <w:r>
              <w:rPr>
                <w:rFonts w:ascii="宋体" w:hAnsi="宋体" w:eastAsia="宋体" w:cs="宋体"/>
                <w:b w:val="0"/>
              </w:rPr>
              <w:t>除沪深300指数以外的其他市场变量保持不变</w:t>
            </w:r>
          </w:p>
        </w:tc>
      </w:tr>
      <w:tr w14:paraId="4231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3A4A7300">
            <w:pPr>
              <w:spacing w:line="240" w:lineRule="auto"/>
              <w:jc w:val="center"/>
            </w:pPr>
            <w:r>
              <w:rPr>
                <w:rFonts w:ascii="宋体" w:hAnsi="宋体" w:eastAsia="宋体" w:cs="宋体"/>
                <w:b w:val="0"/>
              </w:rPr>
              <w:t>分析</w:t>
            </w:r>
          </w:p>
        </w:tc>
        <w:tc>
          <w:tcPr>
            <w:tcW w:w="1538" w:type="pct"/>
            <w:vMerge w:val="restart"/>
            <w:vAlign w:val="center"/>
          </w:tcPr>
          <w:p w14:paraId="1B048F21">
            <w:pPr>
              <w:spacing w:line="240" w:lineRule="auto"/>
              <w:jc w:val="center"/>
            </w:pPr>
            <w:r>
              <w:rPr>
                <w:rFonts w:ascii="宋体" w:hAnsi="宋体" w:eastAsia="宋体" w:cs="宋体"/>
                <w:b w:val="0"/>
              </w:rPr>
              <w:t>相关风险变量的变动</w:t>
            </w:r>
          </w:p>
        </w:tc>
        <w:tc>
          <w:tcPr>
            <w:tcW w:w="3077" w:type="pct"/>
            <w:gridSpan w:val="2"/>
            <w:vAlign w:val="center"/>
          </w:tcPr>
          <w:p w14:paraId="2C086D51">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7202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87B7E94"/>
        </w:tc>
        <w:tc>
          <w:tcPr>
            <w:vMerge w:val="continue"/>
          </w:tcPr>
          <w:p w14:paraId="0CD79BEA"/>
        </w:tc>
        <w:tc>
          <w:tcPr>
            <w:tcW w:w="1538" w:type="pct"/>
            <w:vAlign w:val="center"/>
          </w:tcPr>
          <w:p w14:paraId="38C69B81">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vAlign w:val="center"/>
          </w:tcPr>
          <w:p w14:paraId="29A7D37E">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62AA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AE76F16"/>
        </w:tc>
        <w:tc>
          <w:tcPr>
            <w:tcW w:w="0" w:type="dxa"/>
            <w:vAlign w:val="center"/>
          </w:tcPr>
          <w:p w14:paraId="75B57857">
            <w:pPr>
              <w:spacing w:line="240" w:lineRule="auto"/>
              <w:jc w:val="left"/>
            </w:pPr>
            <w:r>
              <w:rPr>
                <w:rFonts w:ascii="宋体" w:hAnsi="宋体" w:eastAsia="宋体" w:cs="宋体"/>
                <w:b w:val="0"/>
              </w:rPr>
              <w:t>1.沪深300指数上升5%</w:t>
            </w:r>
          </w:p>
        </w:tc>
        <w:tc>
          <w:tcPr>
            <w:tcW w:w="0" w:type="dxa"/>
            <w:vAlign w:val="center"/>
          </w:tcPr>
          <w:p w14:paraId="433A72AA">
            <w:pPr>
              <w:spacing w:line="240" w:lineRule="auto"/>
              <w:jc w:val="right"/>
            </w:pPr>
            <w:r>
              <w:rPr>
                <w:rFonts w:ascii="宋体" w:hAnsi="宋体" w:eastAsia="宋体" w:cs="宋体"/>
                <w:b w:val="0"/>
              </w:rPr>
              <w:t>1,085,839.46</w:t>
            </w:r>
          </w:p>
        </w:tc>
        <w:tc>
          <w:tcPr>
            <w:tcW w:w="0" w:type="dxa"/>
            <w:vAlign w:val="center"/>
          </w:tcPr>
          <w:p w14:paraId="2BD2544F">
            <w:pPr>
              <w:spacing w:line="240" w:lineRule="auto"/>
              <w:jc w:val="right"/>
            </w:pPr>
            <w:r>
              <w:rPr>
                <w:rFonts w:ascii="宋体" w:hAnsi="宋体" w:eastAsia="宋体" w:cs="宋体"/>
                <w:b w:val="0"/>
              </w:rPr>
              <w:t>1,391,537.51</w:t>
            </w:r>
          </w:p>
        </w:tc>
      </w:tr>
      <w:tr w14:paraId="1005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0B1EAA7"/>
        </w:tc>
        <w:tc>
          <w:tcPr>
            <w:tcW w:w="0" w:type="dxa"/>
            <w:vAlign w:val="center"/>
          </w:tcPr>
          <w:p w14:paraId="3A68AD22">
            <w:pPr>
              <w:spacing w:line="240" w:lineRule="auto"/>
              <w:jc w:val="left"/>
            </w:pPr>
            <w:r>
              <w:rPr>
                <w:rFonts w:ascii="宋体" w:hAnsi="宋体" w:eastAsia="宋体" w:cs="宋体"/>
                <w:b w:val="0"/>
              </w:rPr>
              <w:t>2.沪深300指数下降5%</w:t>
            </w:r>
          </w:p>
        </w:tc>
        <w:tc>
          <w:tcPr>
            <w:tcW w:w="0" w:type="dxa"/>
            <w:vAlign w:val="center"/>
          </w:tcPr>
          <w:p w14:paraId="65C4096E">
            <w:pPr>
              <w:spacing w:line="240" w:lineRule="auto"/>
              <w:jc w:val="right"/>
            </w:pPr>
            <w:r>
              <w:rPr>
                <w:rFonts w:ascii="宋体" w:hAnsi="宋体" w:eastAsia="宋体" w:cs="宋体"/>
                <w:b w:val="0"/>
              </w:rPr>
              <w:t>-1,085,839.46</w:t>
            </w:r>
          </w:p>
        </w:tc>
        <w:tc>
          <w:tcPr>
            <w:tcW w:w="0" w:type="dxa"/>
            <w:vAlign w:val="center"/>
          </w:tcPr>
          <w:p w14:paraId="76B92054">
            <w:pPr>
              <w:spacing w:line="240" w:lineRule="auto"/>
              <w:jc w:val="right"/>
            </w:pPr>
            <w:r>
              <w:rPr>
                <w:rFonts w:ascii="宋体" w:hAnsi="宋体" w:eastAsia="宋体" w:cs="宋体"/>
                <w:b w:val="0"/>
              </w:rPr>
              <w:t>-1,391,537.51</w:t>
            </w:r>
          </w:p>
        </w:tc>
      </w:tr>
    </w:tbl>
    <w:p w14:paraId="6AA9F34D"/>
    <w:p w14:paraId="0280FA72">
      <w:pPr>
        <w:pStyle w:val="58"/>
      </w:pPr>
      <w:r>
        <w:rPr>
          <w:rFonts w:ascii="宋体" w:hAnsi="宋体" w:eastAsia="宋体" w:cs="宋体"/>
          <w:b/>
        </w:rPr>
        <w:t>6.4.14 公允价值</w:t>
      </w:r>
    </w:p>
    <w:p w14:paraId="1CB3DC8F">
      <w:pPr>
        <w:pStyle w:val="58"/>
      </w:pPr>
      <w:r>
        <w:rPr>
          <w:rFonts w:ascii="宋体" w:hAnsi="宋体" w:eastAsia="宋体" w:cs="宋体"/>
          <w:b/>
        </w:rPr>
        <w:t>6.4.14.1 金融工具公允价值计量的方法</w:t>
      </w:r>
    </w:p>
    <w:p w14:paraId="42675011">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69757781"/>
    <w:p w14:paraId="725347CE">
      <w:pPr>
        <w:pStyle w:val="58"/>
      </w:pPr>
      <w:r>
        <w:rPr>
          <w:rFonts w:ascii="宋体" w:hAnsi="宋体" w:eastAsia="宋体" w:cs="宋体"/>
          <w:b/>
        </w:rPr>
        <w:t>6.4.14.2 持续的以公允价值计量的金融工具</w:t>
      </w:r>
    </w:p>
    <w:p w14:paraId="3AE561D7">
      <w:pPr>
        <w:pStyle w:val="58"/>
      </w:pPr>
      <w:r>
        <w:rPr>
          <w:rFonts w:ascii="宋体" w:hAnsi="宋体" w:eastAsia="宋体" w:cs="宋体"/>
          <w:b/>
        </w:rPr>
        <w:t>6.4.14.2.1 各层次金融工具的公允价值</w:t>
      </w:r>
    </w:p>
    <w:p w14:paraId="7828A76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857"/>
        <w:gridCol w:w="2857"/>
      </w:tblGrid>
      <w:tr w14:paraId="05E4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shd w:val="clear" w:color="auto" w:fill="D9D9D9"/>
            <w:vAlign w:val="center"/>
          </w:tcPr>
          <w:p w14:paraId="370A5DD7">
            <w:pPr>
              <w:spacing w:line="240" w:lineRule="auto"/>
              <w:jc w:val="center"/>
            </w:pPr>
            <w:r>
              <w:rPr>
                <w:rFonts w:ascii="宋体" w:hAnsi="宋体" w:eastAsia="宋体" w:cs="宋体"/>
                <w:b w:val="0"/>
              </w:rPr>
              <w:t>公允价值计量结果所属的层次</w:t>
            </w:r>
          </w:p>
        </w:tc>
        <w:tc>
          <w:tcPr>
            <w:tcW w:w="1538" w:type="pct"/>
            <w:shd w:val="clear" w:color="auto" w:fill="D9D9D9"/>
            <w:vAlign w:val="center"/>
          </w:tcPr>
          <w:p w14:paraId="5C35F50D">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shd w:val="clear" w:color="auto" w:fill="D9D9D9"/>
            <w:vAlign w:val="center"/>
          </w:tcPr>
          <w:p w14:paraId="389C62F0">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4547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0BB1BCDE">
            <w:pPr>
              <w:spacing w:line="240" w:lineRule="auto"/>
              <w:jc w:val="left"/>
            </w:pPr>
            <w:r>
              <w:rPr>
                <w:rFonts w:ascii="宋体" w:hAnsi="宋体" w:eastAsia="宋体" w:cs="宋体"/>
                <w:b w:val="0"/>
              </w:rPr>
              <w:t>第一层次</w:t>
            </w:r>
          </w:p>
        </w:tc>
        <w:tc>
          <w:tcPr>
            <w:tcW w:w="1538" w:type="pct"/>
            <w:vAlign w:val="center"/>
          </w:tcPr>
          <w:p w14:paraId="495C7FC0">
            <w:pPr>
              <w:spacing w:line="240" w:lineRule="auto"/>
              <w:jc w:val="right"/>
            </w:pPr>
            <w:r>
              <w:rPr>
                <w:rFonts w:ascii="宋体" w:hAnsi="宋体" w:eastAsia="宋体" w:cs="宋体"/>
                <w:b w:val="0"/>
              </w:rPr>
              <w:t>44,985,065.53</w:t>
            </w:r>
          </w:p>
        </w:tc>
        <w:tc>
          <w:tcPr>
            <w:tcW w:w="1538" w:type="pct"/>
            <w:vAlign w:val="center"/>
          </w:tcPr>
          <w:p w14:paraId="71F28401">
            <w:pPr>
              <w:spacing w:line="240" w:lineRule="auto"/>
              <w:jc w:val="right"/>
            </w:pPr>
            <w:r>
              <w:rPr>
                <w:rFonts w:ascii="宋体" w:hAnsi="宋体" w:eastAsia="宋体" w:cs="宋体"/>
                <w:b w:val="0"/>
              </w:rPr>
              <w:t>67,631,596.45</w:t>
            </w:r>
          </w:p>
        </w:tc>
      </w:tr>
      <w:tr w14:paraId="400F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38051EB1">
            <w:pPr>
              <w:spacing w:line="240" w:lineRule="auto"/>
              <w:jc w:val="left"/>
            </w:pPr>
            <w:r>
              <w:rPr>
                <w:rFonts w:ascii="宋体" w:hAnsi="宋体" w:eastAsia="宋体" w:cs="宋体"/>
                <w:b w:val="0"/>
              </w:rPr>
              <w:t>第二层次</w:t>
            </w:r>
          </w:p>
        </w:tc>
        <w:tc>
          <w:tcPr>
            <w:tcW w:w="1538" w:type="pct"/>
            <w:vAlign w:val="center"/>
          </w:tcPr>
          <w:p w14:paraId="52463F2F">
            <w:pPr>
              <w:spacing w:line="240" w:lineRule="auto"/>
              <w:jc w:val="right"/>
            </w:pPr>
            <w:r>
              <w:rPr>
                <w:rFonts w:ascii="宋体" w:hAnsi="宋体" w:eastAsia="宋体" w:cs="宋体"/>
                <w:b w:val="0"/>
              </w:rPr>
              <w:t>2,936,613.89</w:t>
            </w:r>
          </w:p>
        </w:tc>
        <w:tc>
          <w:tcPr>
            <w:tcW w:w="1538" w:type="pct"/>
            <w:vAlign w:val="center"/>
          </w:tcPr>
          <w:p w14:paraId="610CA96C">
            <w:pPr>
              <w:spacing w:line="240" w:lineRule="auto"/>
              <w:jc w:val="right"/>
            </w:pPr>
            <w:r>
              <w:rPr>
                <w:rFonts w:ascii="宋体" w:hAnsi="宋体" w:eastAsia="宋体" w:cs="宋体"/>
                <w:b w:val="0"/>
              </w:rPr>
              <w:t>3,939,376.11</w:t>
            </w:r>
          </w:p>
        </w:tc>
      </w:tr>
      <w:tr w14:paraId="3EB0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4EB04175">
            <w:pPr>
              <w:spacing w:line="240" w:lineRule="auto"/>
              <w:jc w:val="left"/>
            </w:pPr>
            <w:r>
              <w:rPr>
                <w:rFonts w:ascii="宋体" w:hAnsi="宋体" w:eastAsia="宋体" w:cs="宋体"/>
                <w:b w:val="0"/>
              </w:rPr>
              <w:t>第三层次</w:t>
            </w:r>
          </w:p>
        </w:tc>
        <w:tc>
          <w:tcPr>
            <w:tcW w:w="1538" w:type="pct"/>
            <w:vAlign w:val="center"/>
          </w:tcPr>
          <w:p w14:paraId="391DB70F">
            <w:pPr>
              <w:spacing w:line="240" w:lineRule="auto"/>
              <w:jc w:val="right"/>
            </w:pPr>
            <w:r>
              <w:rPr>
                <w:rFonts w:ascii="宋体" w:hAnsi="宋体" w:eastAsia="宋体" w:cs="宋体"/>
                <w:b w:val="0"/>
              </w:rPr>
              <w:t>-</w:t>
            </w:r>
          </w:p>
        </w:tc>
        <w:tc>
          <w:tcPr>
            <w:tcW w:w="1538" w:type="pct"/>
            <w:vAlign w:val="center"/>
          </w:tcPr>
          <w:p w14:paraId="1B1AB2AA">
            <w:pPr>
              <w:spacing w:line="240" w:lineRule="auto"/>
              <w:jc w:val="right"/>
            </w:pPr>
            <w:r>
              <w:rPr>
                <w:rFonts w:ascii="宋体" w:hAnsi="宋体" w:eastAsia="宋体" w:cs="宋体"/>
                <w:b w:val="0"/>
              </w:rPr>
              <w:t>24,502.42</w:t>
            </w:r>
          </w:p>
        </w:tc>
      </w:tr>
      <w:tr w14:paraId="1673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4BA9C4DA">
            <w:pPr>
              <w:spacing w:line="240" w:lineRule="auto"/>
              <w:jc w:val="center"/>
            </w:pPr>
            <w:r>
              <w:rPr>
                <w:rFonts w:ascii="宋体" w:hAnsi="宋体" w:eastAsia="宋体" w:cs="宋体"/>
                <w:b w:val="0"/>
              </w:rPr>
              <w:t>合计</w:t>
            </w:r>
          </w:p>
        </w:tc>
        <w:tc>
          <w:tcPr>
            <w:tcW w:w="1538" w:type="pct"/>
            <w:vAlign w:val="center"/>
          </w:tcPr>
          <w:p w14:paraId="4802E159">
            <w:pPr>
              <w:spacing w:line="240" w:lineRule="auto"/>
              <w:jc w:val="right"/>
            </w:pPr>
            <w:r>
              <w:rPr>
                <w:rFonts w:ascii="宋体" w:hAnsi="宋体" w:eastAsia="宋体" w:cs="宋体"/>
                <w:b w:val="0"/>
              </w:rPr>
              <w:t>47,921,679.42</w:t>
            </w:r>
          </w:p>
        </w:tc>
        <w:tc>
          <w:tcPr>
            <w:tcW w:w="1538" w:type="pct"/>
            <w:vAlign w:val="center"/>
          </w:tcPr>
          <w:p w14:paraId="45352EF8">
            <w:pPr>
              <w:spacing w:line="240" w:lineRule="auto"/>
              <w:jc w:val="right"/>
            </w:pPr>
            <w:r>
              <w:rPr>
                <w:rFonts w:ascii="宋体" w:hAnsi="宋体" w:eastAsia="宋体" w:cs="宋体"/>
                <w:b w:val="0"/>
              </w:rPr>
              <w:t>71,595,474.98</w:t>
            </w:r>
          </w:p>
        </w:tc>
      </w:tr>
    </w:tbl>
    <w:p w14:paraId="042D661D"/>
    <w:p w14:paraId="3EBEEC76">
      <w:pPr>
        <w:pStyle w:val="58"/>
      </w:pPr>
      <w:r>
        <w:rPr>
          <w:rFonts w:ascii="宋体" w:hAnsi="宋体" w:eastAsia="宋体" w:cs="宋体"/>
          <w:b/>
        </w:rPr>
        <w:t>6.4.14.2.2 公允价值所属层次间的重大变动</w:t>
      </w:r>
    </w:p>
    <w:p w14:paraId="0A77D776">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07F8908C"/>
    <w:p w14:paraId="5C04A102">
      <w:pPr>
        <w:pStyle w:val="58"/>
      </w:pPr>
      <w:r>
        <w:rPr>
          <w:rFonts w:ascii="宋体" w:hAnsi="宋体" w:eastAsia="宋体" w:cs="宋体"/>
          <w:b/>
        </w:rPr>
        <w:t>6.4.14.3 非持续的以公允价值计量的金融工具的说明</w:t>
      </w:r>
    </w:p>
    <w:p w14:paraId="56969DEA">
      <w:r>
        <w:rPr>
          <w:rFonts w:ascii="宋体" w:hAnsi="宋体" w:eastAsia="宋体" w:cs="宋体"/>
          <w:b w:val="0"/>
        </w:rPr>
        <w:t xml:space="preserve">    于2026年06月30日，本基金未持有非持续的以公允价值计量的金融资产（2025年12月31日：同）。</w:t>
      </w:r>
    </w:p>
    <w:p w14:paraId="34E5FDF0"/>
    <w:p w14:paraId="563F5B60">
      <w:pPr>
        <w:pStyle w:val="58"/>
      </w:pPr>
      <w:r>
        <w:rPr>
          <w:rFonts w:ascii="宋体" w:hAnsi="宋体" w:eastAsia="宋体" w:cs="宋体"/>
          <w:b/>
        </w:rPr>
        <w:t>6.4.14.4 不以公允价值计量的金融工具的相关说明</w:t>
      </w:r>
    </w:p>
    <w:p w14:paraId="6A6537F8">
      <w:r>
        <w:rPr>
          <w:rFonts w:ascii="宋体" w:hAnsi="宋体" w:eastAsia="宋体" w:cs="宋体"/>
          <w:b w:val="0"/>
        </w:rPr>
        <w:t xml:space="preserve">    不以公允价值计量的金融资产和负债主要包括应收款项和其他金融负债，其账面价值与公允价值相差很小。</w:t>
      </w:r>
    </w:p>
    <w:p w14:paraId="75C82094"/>
    <w:p w14:paraId="210D5D32">
      <w:pPr>
        <w:pStyle w:val="58"/>
      </w:pPr>
      <w:r>
        <w:rPr>
          <w:rFonts w:ascii="宋体" w:hAnsi="宋体" w:eastAsia="宋体" w:cs="宋体"/>
          <w:b/>
        </w:rPr>
        <w:t>6.4.15 有助于理解和分析会计报表需要说明的其他事项</w:t>
      </w:r>
    </w:p>
    <w:p w14:paraId="5DAA36B1">
      <w:pPr>
        <w:jc w:val="left"/>
      </w:pPr>
      <w:r>
        <w:rPr>
          <w:rFonts w:ascii="宋体" w:hAnsi="宋体" w:eastAsia="宋体" w:cs="宋体"/>
          <w:b w:val="0"/>
        </w:rPr>
        <w:t xml:space="preserve">    截至资产负债表日本基金无需要说明的其他重要事项。</w:t>
      </w:r>
    </w:p>
    <w:p w14:paraId="67DD7A15">
      <w:pPr>
        <w:pStyle w:val="2"/>
        <w:jc w:val="center"/>
      </w:pPr>
      <w:bookmarkStart w:id="32" w:name="_Toc969"/>
      <w:r>
        <w:rPr>
          <w:rFonts w:ascii="宋体" w:hAnsi="宋体" w:eastAsia="宋体" w:cs="宋体"/>
        </w:rPr>
        <w:t>§7 投资组合报告</w:t>
      </w:r>
      <w:bookmarkEnd w:id="32"/>
    </w:p>
    <w:p w14:paraId="5615FED8">
      <w:pPr>
        <w:pStyle w:val="3"/>
        <w:jc w:val="left"/>
      </w:pPr>
      <w:bookmarkStart w:id="33" w:name="_Toc2917"/>
      <w:r>
        <w:rPr>
          <w:rFonts w:ascii="宋体" w:hAnsi="宋体" w:eastAsia="宋体" w:cs="宋体"/>
        </w:rPr>
        <w:t>7.1 期末基金资产组合情况</w:t>
      </w:r>
      <w:bookmarkEnd w:id="33"/>
    </w:p>
    <w:p w14:paraId="220926D8">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3316"/>
        <w:gridCol w:w="1658"/>
        <w:gridCol w:w="3316"/>
      </w:tblGrid>
      <w:tr w14:paraId="6F5F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1482CA4C">
            <w:pPr>
              <w:spacing w:line="240" w:lineRule="auto"/>
              <w:jc w:val="center"/>
            </w:pPr>
            <w:r>
              <w:rPr>
                <w:rFonts w:ascii="宋体" w:hAnsi="宋体" w:eastAsia="宋体" w:cs="宋体"/>
                <w:b w:val="0"/>
              </w:rPr>
              <w:t>序号</w:t>
            </w:r>
          </w:p>
        </w:tc>
        <w:tc>
          <w:tcPr>
            <w:tcW w:w="1538" w:type="pct"/>
            <w:shd w:val="clear" w:color="auto" w:fill="D9D9D9"/>
            <w:vAlign w:val="center"/>
          </w:tcPr>
          <w:p w14:paraId="27882B8C">
            <w:pPr>
              <w:spacing w:line="240" w:lineRule="auto"/>
              <w:jc w:val="center"/>
            </w:pPr>
            <w:r>
              <w:rPr>
                <w:rFonts w:ascii="宋体" w:hAnsi="宋体" w:eastAsia="宋体" w:cs="宋体"/>
                <w:b w:val="0"/>
              </w:rPr>
              <w:t>项目</w:t>
            </w:r>
          </w:p>
        </w:tc>
        <w:tc>
          <w:tcPr>
            <w:tcW w:w="769" w:type="pct"/>
            <w:shd w:val="clear" w:color="auto" w:fill="D9D9D9"/>
            <w:vAlign w:val="center"/>
          </w:tcPr>
          <w:p w14:paraId="43FA8633">
            <w:pPr>
              <w:spacing w:line="240" w:lineRule="auto"/>
              <w:jc w:val="center"/>
            </w:pPr>
            <w:r>
              <w:rPr>
                <w:rFonts w:ascii="宋体" w:hAnsi="宋体" w:eastAsia="宋体" w:cs="宋体"/>
                <w:b w:val="0"/>
              </w:rPr>
              <w:t>金额</w:t>
            </w:r>
          </w:p>
        </w:tc>
        <w:tc>
          <w:tcPr>
            <w:tcW w:w="1538" w:type="pct"/>
            <w:shd w:val="clear" w:color="auto" w:fill="D9D9D9"/>
            <w:vAlign w:val="center"/>
          </w:tcPr>
          <w:p w14:paraId="75B5CA96">
            <w:pPr>
              <w:spacing w:line="240" w:lineRule="auto"/>
              <w:jc w:val="center"/>
            </w:pPr>
            <w:r>
              <w:rPr>
                <w:rFonts w:ascii="宋体" w:hAnsi="宋体" w:eastAsia="宋体" w:cs="宋体"/>
                <w:b w:val="0"/>
              </w:rPr>
              <w:t>占基金总资产的比例(%)</w:t>
            </w:r>
          </w:p>
        </w:tc>
      </w:tr>
      <w:tr w14:paraId="1C6C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76D89D">
            <w:pPr>
              <w:spacing w:line="240" w:lineRule="auto"/>
              <w:jc w:val="center"/>
            </w:pPr>
            <w:r>
              <w:rPr>
                <w:rFonts w:ascii="宋体" w:hAnsi="宋体" w:eastAsia="宋体" w:cs="宋体"/>
                <w:b w:val="0"/>
              </w:rPr>
              <w:t>1</w:t>
            </w:r>
          </w:p>
        </w:tc>
        <w:tc>
          <w:tcPr>
            <w:tcW w:w="0" w:type="dxa"/>
            <w:vAlign w:val="center"/>
          </w:tcPr>
          <w:p w14:paraId="3CBA34EE">
            <w:pPr>
              <w:spacing w:line="240" w:lineRule="auto"/>
              <w:jc w:val="left"/>
            </w:pPr>
            <w:r>
              <w:rPr>
                <w:rFonts w:ascii="宋体" w:hAnsi="宋体" w:eastAsia="宋体" w:cs="宋体"/>
                <w:b w:val="0"/>
              </w:rPr>
              <w:t>权益投资</w:t>
            </w:r>
          </w:p>
        </w:tc>
        <w:tc>
          <w:tcPr>
            <w:tcW w:w="0" w:type="dxa"/>
            <w:vAlign w:val="center"/>
          </w:tcPr>
          <w:p w14:paraId="521932DA">
            <w:pPr>
              <w:spacing w:line="240" w:lineRule="auto"/>
              <w:jc w:val="right"/>
            </w:pPr>
            <w:r>
              <w:rPr>
                <w:rFonts w:ascii="宋体" w:hAnsi="宋体" w:eastAsia="宋体" w:cs="宋体"/>
                <w:b w:val="0"/>
              </w:rPr>
              <w:t>44,985,065.53</w:t>
            </w:r>
          </w:p>
        </w:tc>
        <w:tc>
          <w:tcPr>
            <w:tcW w:w="0" w:type="dxa"/>
            <w:vAlign w:val="center"/>
          </w:tcPr>
          <w:p w14:paraId="06AD2CA1">
            <w:pPr>
              <w:spacing w:line="240" w:lineRule="auto"/>
              <w:jc w:val="right"/>
            </w:pPr>
            <w:r>
              <w:rPr>
                <w:rFonts w:ascii="宋体" w:hAnsi="宋体" w:eastAsia="宋体" w:cs="宋体"/>
                <w:b w:val="0"/>
              </w:rPr>
              <w:t>87.66</w:t>
            </w:r>
          </w:p>
        </w:tc>
      </w:tr>
      <w:tr w14:paraId="0B8C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1210D9">
            <w:pPr>
              <w:spacing w:line="240" w:lineRule="auto"/>
              <w:jc w:val="center"/>
            </w:pPr>
          </w:p>
        </w:tc>
        <w:tc>
          <w:tcPr>
            <w:tcW w:w="0" w:type="dxa"/>
            <w:vAlign w:val="center"/>
          </w:tcPr>
          <w:p w14:paraId="6E61C0B6">
            <w:pPr>
              <w:spacing w:line="240" w:lineRule="auto"/>
              <w:jc w:val="left"/>
            </w:pPr>
            <w:r>
              <w:rPr>
                <w:rFonts w:ascii="宋体" w:hAnsi="宋体" w:eastAsia="宋体" w:cs="宋体"/>
                <w:b w:val="0"/>
              </w:rPr>
              <w:t>其中：股票</w:t>
            </w:r>
          </w:p>
        </w:tc>
        <w:tc>
          <w:tcPr>
            <w:tcW w:w="0" w:type="dxa"/>
            <w:vAlign w:val="center"/>
          </w:tcPr>
          <w:p w14:paraId="2730E7AA">
            <w:pPr>
              <w:spacing w:line="240" w:lineRule="auto"/>
              <w:jc w:val="right"/>
            </w:pPr>
            <w:r>
              <w:rPr>
                <w:rFonts w:ascii="宋体" w:hAnsi="宋体" w:eastAsia="宋体" w:cs="宋体"/>
                <w:b w:val="0"/>
              </w:rPr>
              <w:t>44,985,065.53</w:t>
            </w:r>
          </w:p>
        </w:tc>
        <w:tc>
          <w:tcPr>
            <w:tcW w:w="0" w:type="dxa"/>
            <w:vAlign w:val="center"/>
          </w:tcPr>
          <w:p w14:paraId="6DA26649">
            <w:pPr>
              <w:spacing w:line="240" w:lineRule="auto"/>
              <w:jc w:val="right"/>
            </w:pPr>
            <w:r>
              <w:rPr>
                <w:rFonts w:ascii="宋体" w:hAnsi="宋体" w:eastAsia="宋体" w:cs="宋体"/>
                <w:b w:val="0"/>
              </w:rPr>
              <w:t>87.66</w:t>
            </w:r>
          </w:p>
        </w:tc>
      </w:tr>
      <w:tr w14:paraId="24AC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E0291D">
            <w:pPr>
              <w:spacing w:line="240" w:lineRule="auto"/>
              <w:jc w:val="center"/>
            </w:pPr>
            <w:r>
              <w:rPr>
                <w:rFonts w:ascii="宋体" w:hAnsi="宋体" w:eastAsia="宋体" w:cs="宋体"/>
                <w:b w:val="0"/>
              </w:rPr>
              <w:t>2</w:t>
            </w:r>
          </w:p>
        </w:tc>
        <w:tc>
          <w:tcPr>
            <w:tcW w:w="0" w:type="dxa"/>
            <w:vAlign w:val="center"/>
          </w:tcPr>
          <w:p w14:paraId="2859234C">
            <w:pPr>
              <w:spacing w:line="240" w:lineRule="auto"/>
              <w:jc w:val="left"/>
            </w:pPr>
            <w:r>
              <w:rPr>
                <w:rFonts w:ascii="宋体" w:hAnsi="宋体" w:eastAsia="宋体" w:cs="宋体"/>
                <w:b w:val="0"/>
              </w:rPr>
              <w:t>基金投资</w:t>
            </w:r>
          </w:p>
        </w:tc>
        <w:tc>
          <w:tcPr>
            <w:tcW w:w="0" w:type="dxa"/>
            <w:vAlign w:val="center"/>
          </w:tcPr>
          <w:p w14:paraId="113FB333">
            <w:pPr>
              <w:spacing w:line="240" w:lineRule="auto"/>
              <w:jc w:val="right"/>
            </w:pPr>
            <w:r>
              <w:rPr>
                <w:rFonts w:ascii="宋体" w:hAnsi="宋体" w:eastAsia="宋体" w:cs="宋体"/>
                <w:b w:val="0"/>
              </w:rPr>
              <w:t>-</w:t>
            </w:r>
          </w:p>
        </w:tc>
        <w:tc>
          <w:tcPr>
            <w:tcW w:w="0" w:type="dxa"/>
            <w:vAlign w:val="center"/>
          </w:tcPr>
          <w:p w14:paraId="46DFB944">
            <w:pPr>
              <w:spacing w:line="240" w:lineRule="auto"/>
              <w:jc w:val="right"/>
            </w:pPr>
            <w:r>
              <w:rPr>
                <w:rFonts w:ascii="宋体" w:hAnsi="宋体" w:eastAsia="宋体" w:cs="宋体"/>
                <w:b w:val="0"/>
              </w:rPr>
              <w:t>-</w:t>
            </w:r>
          </w:p>
        </w:tc>
      </w:tr>
      <w:tr w14:paraId="5756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CF0F78">
            <w:pPr>
              <w:spacing w:line="240" w:lineRule="auto"/>
              <w:jc w:val="center"/>
            </w:pPr>
            <w:r>
              <w:rPr>
                <w:rFonts w:ascii="宋体" w:hAnsi="宋体" w:eastAsia="宋体" w:cs="宋体"/>
                <w:b w:val="0"/>
              </w:rPr>
              <w:t>3</w:t>
            </w:r>
          </w:p>
        </w:tc>
        <w:tc>
          <w:tcPr>
            <w:tcW w:w="0" w:type="dxa"/>
            <w:vAlign w:val="center"/>
          </w:tcPr>
          <w:p w14:paraId="07074637">
            <w:pPr>
              <w:spacing w:line="240" w:lineRule="auto"/>
              <w:jc w:val="left"/>
            </w:pPr>
            <w:r>
              <w:rPr>
                <w:rFonts w:ascii="宋体" w:hAnsi="宋体" w:eastAsia="宋体" w:cs="宋体"/>
                <w:b w:val="0"/>
              </w:rPr>
              <w:t>固定收益投资</w:t>
            </w:r>
          </w:p>
        </w:tc>
        <w:tc>
          <w:tcPr>
            <w:tcW w:w="0" w:type="dxa"/>
            <w:vAlign w:val="center"/>
          </w:tcPr>
          <w:p w14:paraId="5DEE1971">
            <w:pPr>
              <w:spacing w:line="240" w:lineRule="auto"/>
              <w:jc w:val="right"/>
            </w:pPr>
            <w:r>
              <w:rPr>
                <w:rFonts w:ascii="宋体" w:hAnsi="宋体" w:eastAsia="宋体" w:cs="宋体"/>
                <w:b w:val="0"/>
              </w:rPr>
              <w:t>2,936,613.89</w:t>
            </w:r>
          </w:p>
        </w:tc>
        <w:tc>
          <w:tcPr>
            <w:tcW w:w="0" w:type="dxa"/>
            <w:vAlign w:val="center"/>
          </w:tcPr>
          <w:p w14:paraId="70EB5CB8">
            <w:pPr>
              <w:spacing w:line="240" w:lineRule="auto"/>
              <w:jc w:val="right"/>
            </w:pPr>
            <w:r>
              <w:rPr>
                <w:rFonts w:ascii="宋体" w:hAnsi="宋体" w:eastAsia="宋体" w:cs="宋体"/>
                <w:b w:val="0"/>
              </w:rPr>
              <w:t>5.72</w:t>
            </w:r>
          </w:p>
        </w:tc>
      </w:tr>
      <w:tr w14:paraId="6B85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427594">
            <w:pPr>
              <w:spacing w:line="240" w:lineRule="auto"/>
              <w:jc w:val="center"/>
            </w:pPr>
          </w:p>
        </w:tc>
        <w:tc>
          <w:tcPr>
            <w:tcW w:w="0" w:type="dxa"/>
            <w:vAlign w:val="center"/>
          </w:tcPr>
          <w:p w14:paraId="10181F9A">
            <w:pPr>
              <w:spacing w:line="240" w:lineRule="auto"/>
              <w:jc w:val="left"/>
            </w:pPr>
            <w:r>
              <w:rPr>
                <w:rFonts w:ascii="宋体" w:hAnsi="宋体" w:eastAsia="宋体" w:cs="宋体"/>
                <w:b w:val="0"/>
              </w:rPr>
              <w:t>其中：债券</w:t>
            </w:r>
          </w:p>
        </w:tc>
        <w:tc>
          <w:tcPr>
            <w:tcW w:w="0" w:type="dxa"/>
            <w:vAlign w:val="center"/>
          </w:tcPr>
          <w:p w14:paraId="419B3683">
            <w:pPr>
              <w:spacing w:line="240" w:lineRule="auto"/>
              <w:jc w:val="right"/>
            </w:pPr>
            <w:r>
              <w:rPr>
                <w:rFonts w:ascii="宋体" w:hAnsi="宋体" w:eastAsia="宋体" w:cs="宋体"/>
                <w:b w:val="0"/>
              </w:rPr>
              <w:t>2,936,613.89</w:t>
            </w:r>
          </w:p>
        </w:tc>
        <w:tc>
          <w:tcPr>
            <w:tcW w:w="0" w:type="dxa"/>
            <w:vAlign w:val="center"/>
          </w:tcPr>
          <w:p w14:paraId="1D5E76E7">
            <w:pPr>
              <w:spacing w:line="240" w:lineRule="auto"/>
              <w:jc w:val="right"/>
            </w:pPr>
            <w:r>
              <w:rPr>
                <w:rFonts w:ascii="宋体" w:hAnsi="宋体" w:eastAsia="宋体" w:cs="宋体"/>
                <w:b w:val="0"/>
              </w:rPr>
              <w:t>5.72</w:t>
            </w:r>
          </w:p>
        </w:tc>
      </w:tr>
      <w:tr w14:paraId="1068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E903D8">
            <w:pPr>
              <w:spacing w:line="240" w:lineRule="auto"/>
              <w:jc w:val="center"/>
            </w:pPr>
          </w:p>
        </w:tc>
        <w:tc>
          <w:tcPr>
            <w:tcW w:w="0" w:type="dxa"/>
            <w:vAlign w:val="center"/>
          </w:tcPr>
          <w:p w14:paraId="661811AB">
            <w:pPr>
              <w:spacing w:line="240" w:lineRule="auto"/>
              <w:jc w:val="left"/>
            </w:pPr>
            <w:r>
              <w:rPr>
                <w:rFonts w:ascii="宋体" w:hAnsi="宋体" w:eastAsia="宋体" w:cs="宋体"/>
                <w:b w:val="0"/>
              </w:rPr>
              <w:t xml:space="preserve">      资产支持证券</w:t>
            </w:r>
          </w:p>
        </w:tc>
        <w:tc>
          <w:tcPr>
            <w:tcW w:w="0" w:type="dxa"/>
            <w:vAlign w:val="center"/>
          </w:tcPr>
          <w:p w14:paraId="3E993EEE">
            <w:pPr>
              <w:spacing w:line="240" w:lineRule="auto"/>
              <w:jc w:val="right"/>
            </w:pPr>
            <w:r>
              <w:rPr>
                <w:rFonts w:ascii="宋体" w:hAnsi="宋体" w:eastAsia="宋体" w:cs="宋体"/>
                <w:b w:val="0"/>
              </w:rPr>
              <w:t>-</w:t>
            </w:r>
          </w:p>
        </w:tc>
        <w:tc>
          <w:tcPr>
            <w:tcW w:w="0" w:type="dxa"/>
            <w:vAlign w:val="center"/>
          </w:tcPr>
          <w:p w14:paraId="4E4C3F0D">
            <w:pPr>
              <w:spacing w:line="240" w:lineRule="auto"/>
              <w:jc w:val="right"/>
            </w:pPr>
            <w:r>
              <w:rPr>
                <w:rFonts w:ascii="宋体" w:hAnsi="宋体" w:eastAsia="宋体" w:cs="宋体"/>
                <w:b w:val="0"/>
              </w:rPr>
              <w:t>-</w:t>
            </w:r>
          </w:p>
        </w:tc>
      </w:tr>
      <w:tr w14:paraId="1E94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E7179C">
            <w:pPr>
              <w:spacing w:line="240" w:lineRule="auto"/>
              <w:jc w:val="center"/>
            </w:pPr>
            <w:r>
              <w:rPr>
                <w:rFonts w:ascii="宋体" w:hAnsi="宋体" w:eastAsia="宋体" w:cs="宋体"/>
                <w:b w:val="0"/>
              </w:rPr>
              <w:t>4</w:t>
            </w:r>
          </w:p>
        </w:tc>
        <w:tc>
          <w:tcPr>
            <w:tcW w:w="0" w:type="dxa"/>
            <w:vAlign w:val="center"/>
          </w:tcPr>
          <w:p w14:paraId="22EB8BCE">
            <w:pPr>
              <w:spacing w:line="240" w:lineRule="auto"/>
              <w:jc w:val="left"/>
            </w:pPr>
            <w:r>
              <w:rPr>
                <w:rFonts w:ascii="宋体" w:hAnsi="宋体" w:eastAsia="宋体" w:cs="宋体"/>
                <w:b w:val="0"/>
              </w:rPr>
              <w:t>贵金属投资</w:t>
            </w:r>
          </w:p>
        </w:tc>
        <w:tc>
          <w:tcPr>
            <w:tcW w:w="0" w:type="dxa"/>
            <w:vAlign w:val="center"/>
          </w:tcPr>
          <w:p w14:paraId="6D39882C">
            <w:pPr>
              <w:spacing w:line="240" w:lineRule="auto"/>
              <w:jc w:val="right"/>
            </w:pPr>
            <w:r>
              <w:rPr>
                <w:rFonts w:ascii="宋体" w:hAnsi="宋体" w:eastAsia="宋体" w:cs="宋体"/>
                <w:b w:val="0"/>
              </w:rPr>
              <w:t>-</w:t>
            </w:r>
          </w:p>
        </w:tc>
        <w:tc>
          <w:tcPr>
            <w:tcW w:w="0" w:type="dxa"/>
            <w:vAlign w:val="center"/>
          </w:tcPr>
          <w:p w14:paraId="55BB79C2">
            <w:pPr>
              <w:spacing w:line="240" w:lineRule="auto"/>
              <w:jc w:val="right"/>
            </w:pPr>
            <w:r>
              <w:rPr>
                <w:rFonts w:ascii="宋体" w:hAnsi="宋体" w:eastAsia="宋体" w:cs="宋体"/>
                <w:b w:val="0"/>
              </w:rPr>
              <w:t>-</w:t>
            </w:r>
          </w:p>
        </w:tc>
      </w:tr>
      <w:tr w14:paraId="2D9E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AC44D1">
            <w:pPr>
              <w:spacing w:line="240" w:lineRule="auto"/>
              <w:jc w:val="center"/>
            </w:pPr>
            <w:r>
              <w:rPr>
                <w:rFonts w:ascii="宋体" w:hAnsi="宋体" w:eastAsia="宋体" w:cs="宋体"/>
                <w:b w:val="0"/>
              </w:rPr>
              <w:t>5</w:t>
            </w:r>
          </w:p>
        </w:tc>
        <w:tc>
          <w:tcPr>
            <w:tcW w:w="0" w:type="dxa"/>
            <w:vAlign w:val="center"/>
          </w:tcPr>
          <w:p w14:paraId="209772F5">
            <w:pPr>
              <w:spacing w:line="240" w:lineRule="auto"/>
              <w:jc w:val="left"/>
            </w:pPr>
            <w:r>
              <w:rPr>
                <w:rFonts w:ascii="宋体" w:hAnsi="宋体" w:eastAsia="宋体" w:cs="宋体"/>
                <w:b w:val="0"/>
              </w:rPr>
              <w:t>金融衍生品投资</w:t>
            </w:r>
          </w:p>
        </w:tc>
        <w:tc>
          <w:tcPr>
            <w:tcW w:w="0" w:type="dxa"/>
            <w:vAlign w:val="center"/>
          </w:tcPr>
          <w:p w14:paraId="5A533B2D">
            <w:pPr>
              <w:spacing w:line="240" w:lineRule="auto"/>
              <w:jc w:val="right"/>
            </w:pPr>
            <w:r>
              <w:rPr>
                <w:rFonts w:ascii="宋体" w:hAnsi="宋体" w:eastAsia="宋体" w:cs="宋体"/>
                <w:b w:val="0"/>
              </w:rPr>
              <w:t>-</w:t>
            </w:r>
          </w:p>
        </w:tc>
        <w:tc>
          <w:tcPr>
            <w:tcW w:w="0" w:type="dxa"/>
            <w:vAlign w:val="center"/>
          </w:tcPr>
          <w:p w14:paraId="0C79BB95">
            <w:pPr>
              <w:spacing w:line="240" w:lineRule="auto"/>
              <w:jc w:val="right"/>
            </w:pPr>
            <w:r>
              <w:rPr>
                <w:rFonts w:ascii="宋体" w:hAnsi="宋体" w:eastAsia="宋体" w:cs="宋体"/>
                <w:b w:val="0"/>
              </w:rPr>
              <w:t>-</w:t>
            </w:r>
          </w:p>
        </w:tc>
      </w:tr>
      <w:tr w14:paraId="0A93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5C198D">
            <w:pPr>
              <w:spacing w:line="240" w:lineRule="auto"/>
              <w:jc w:val="center"/>
            </w:pPr>
            <w:r>
              <w:rPr>
                <w:rFonts w:ascii="宋体" w:hAnsi="宋体" w:eastAsia="宋体" w:cs="宋体"/>
                <w:b w:val="0"/>
              </w:rPr>
              <w:t>6</w:t>
            </w:r>
          </w:p>
        </w:tc>
        <w:tc>
          <w:tcPr>
            <w:tcW w:w="0" w:type="dxa"/>
            <w:vAlign w:val="center"/>
          </w:tcPr>
          <w:p w14:paraId="475C8DAA">
            <w:pPr>
              <w:spacing w:line="240" w:lineRule="auto"/>
              <w:jc w:val="left"/>
            </w:pPr>
            <w:r>
              <w:rPr>
                <w:rFonts w:ascii="宋体" w:hAnsi="宋体" w:eastAsia="宋体" w:cs="宋体"/>
                <w:b w:val="0"/>
              </w:rPr>
              <w:t>买入返售金融资产</w:t>
            </w:r>
          </w:p>
        </w:tc>
        <w:tc>
          <w:tcPr>
            <w:tcW w:w="0" w:type="dxa"/>
            <w:vAlign w:val="center"/>
          </w:tcPr>
          <w:p w14:paraId="49AA3E20">
            <w:pPr>
              <w:spacing w:line="240" w:lineRule="auto"/>
              <w:jc w:val="right"/>
            </w:pPr>
            <w:r>
              <w:rPr>
                <w:rFonts w:ascii="宋体" w:hAnsi="宋体" w:eastAsia="宋体" w:cs="宋体"/>
                <w:b w:val="0"/>
              </w:rPr>
              <w:t>-</w:t>
            </w:r>
          </w:p>
        </w:tc>
        <w:tc>
          <w:tcPr>
            <w:tcW w:w="0" w:type="dxa"/>
            <w:vAlign w:val="center"/>
          </w:tcPr>
          <w:p w14:paraId="6E3B14F7">
            <w:pPr>
              <w:spacing w:line="240" w:lineRule="auto"/>
              <w:jc w:val="right"/>
            </w:pPr>
            <w:r>
              <w:rPr>
                <w:rFonts w:ascii="宋体" w:hAnsi="宋体" w:eastAsia="宋体" w:cs="宋体"/>
                <w:b w:val="0"/>
              </w:rPr>
              <w:t>-</w:t>
            </w:r>
          </w:p>
        </w:tc>
      </w:tr>
      <w:tr w14:paraId="7604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DA3468">
            <w:pPr>
              <w:spacing w:line="240" w:lineRule="auto"/>
              <w:jc w:val="center"/>
            </w:pPr>
          </w:p>
        </w:tc>
        <w:tc>
          <w:tcPr>
            <w:tcW w:w="0" w:type="dxa"/>
            <w:vAlign w:val="center"/>
          </w:tcPr>
          <w:p w14:paraId="49FB0FC2">
            <w:pPr>
              <w:spacing w:line="240" w:lineRule="auto"/>
              <w:jc w:val="left"/>
            </w:pPr>
            <w:r>
              <w:rPr>
                <w:rFonts w:ascii="宋体" w:hAnsi="宋体" w:eastAsia="宋体" w:cs="宋体"/>
                <w:b w:val="0"/>
              </w:rPr>
              <w:t>其中：买断式回购的买入返售金融资产</w:t>
            </w:r>
          </w:p>
        </w:tc>
        <w:tc>
          <w:tcPr>
            <w:tcW w:w="0" w:type="dxa"/>
            <w:vAlign w:val="center"/>
          </w:tcPr>
          <w:p w14:paraId="34E714CC">
            <w:pPr>
              <w:spacing w:line="240" w:lineRule="auto"/>
              <w:jc w:val="right"/>
            </w:pPr>
            <w:r>
              <w:rPr>
                <w:rFonts w:ascii="宋体" w:hAnsi="宋体" w:eastAsia="宋体" w:cs="宋体"/>
                <w:b w:val="0"/>
              </w:rPr>
              <w:t>-</w:t>
            </w:r>
          </w:p>
        </w:tc>
        <w:tc>
          <w:tcPr>
            <w:tcW w:w="0" w:type="dxa"/>
            <w:vAlign w:val="center"/>
          </w:tcPr>
          <w:p w14:paraId="08EFBD78">
            <w:pPr>
              <w:spacing w:line="240" w:lineRule="auto"/>
              <w:jc w:val="right"/>
            </w:pPr>
            <w:r>
              <w:rPr>
                <w:rFonts w:ascii="宋体" w:hAnsi="宋体" w:eastAsia="宋体" w:cs="宋体"/>
                <w:b w:val="0"/>
              </w:rPr>
              <w:t>-</w:t>
            </w:r>
          </w:p>
        </w:tc>
      </w:tr>
      <w:tr w14:paraId="6CDE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817EA4">
            <w:pPr>
              <w:spacing w:line="240" w:lineRule="auto"/>
              <w:jc w:val="center"/>
            </w:pPr>
            <w:r>
              <w:rPr>
                <w:rFonts w:ascii="宋体" w:hAnsi="宋体" w:eastAsia="宋体" w:cs="宋体"/>
                <w:b w:val="0"/>
              </w:rPr>
              <w:t>7</w:t>
            </w:r>
          </w:p>
        </w:tc>
        <w:tc>
          <w:tcPr>
            <w:tcW w:w="0" w:type="dxa"/>
            <w:vAlign w:val="center"/>
          </w:tcPr>
          <w:p w14:paraId="7A969D00">
            <w:pPr>
              <w:spacing w:line="240" w:lineRule="auto"/>
              <w:jc w:val="left"/>
            </w:pPr>
            <w:r>
              <w:rPr>
                <w:rFonts w:ascii="宋体" w:hAnsi="宋体" w:eastAsia="宋体" w:cs="宋体"/>
                <w:b w:val="0"/>
              </w:rPr>
              <w:t>银行存款和结算备付金合计</w:t>
            </w:r>
          </w:p>
        </w:tc>
        <w:tc>
          <w:tcPr>
            <w:tcW w:w="0" w:type="dxa"/>
            <w:vAlign w:val="center"/>
          </w:tcPr>
          <w:p w14:paraId="7997CB46">
            <w:pPr>
              <w:spacing w:line="240" w:lineRule="auto"/>
              <w:jc w:val="right"/>
            </w:pPr>
            <w:r>
              <w:rPr>
                <w:rFonts w:ascii="宋体" w:hAnsi="宋体" w:eastAsia="宋体" w:cs="宋体"/>
                <w:b w:val="0"/>
              </w:rPr>
              <w:t>2,820,391.63</w:t>
            </w:r>
          </w:p>
        </w:tc>
        <w:tc>
          <w:tcPr>
            <w:tcW w:w="0" w:type="dxa"/>
            <w:vAlign w:val="center"/>
          </w:tcPr>
          <w:p w14:paraId="31B8998D">
            <w:pPr>
              <w:spacing w:line="240" w:lineRule="auto"/>
              <w:jc w:val="right"/>
            </w:pPr>
            <w:r>
              <w:rPr>
                <w:rFonts w:ascii="宋体" w:hAnsi="宋体" w:eastAsia="宋体" w:cs="宋体"/>
                <w:b w:val="0"/>
              </w:rPr>
              <w:t>5.50</w:t>
            </w:r>
          </w:p>
        </w:tc>
      </w:tr>
      <w:tr w14:paraId="7684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0BEF58">
            <w:pPr>
              <w:spacing w:line="240" w:lineRule="auto"/>
              <w:jc w:val="center"/>
            </w:pPr>
            <w:r>
              <w:rPr>
                <w:rFonts w:ascii="宋体" w:hAnsi="宋体" w:eastAsia="宋体" w:cs="宋体"/>
                <w:b w:val="0"/>
              </w:rPr>
              <w:t>8</w:t>
            </w:r>
          </w:p>
        </w:tc>
        <w:tc>
          <w:tcPr>
            <w:tcW w:w="0" w:type="dxa"/>
            <w:vAlign w:val="center"/>
          </w:tcPr>
          <w:p w14:paraId="4CE22A6A">
            <w:pPr>
              <w:spacing w:line="240" w:lineRule="auto"/>
              <w:jc w:val="left"/>
            </w:pPr>
            <w:r>
              <w:rPr>
                <w:rFonts w:ascii="宋体" w:hAnsi="宋体" w:eastAsia="宋体" w:cs="宋体"/>
                <w:b w:val="0"/>
              </w:rPr>
              <w:t>其他各项资产</w:t>
            </w:r>
          </w:p>
        </w:tc>
        <w:tc>
          <w:tcPr>
            <w:tcW w:w="0" w:type="dxa"/>
            <w:vAlign w:val="center"/>
          </w:tcPr>
          <w:p w14:paraId="694ED170">
            <w:pPr>
              <w:spacing w:line="240" w:lineRule="auto"/>
              <w:jc w:val="right"/>
            </w:pPr>
            <w:r>
              <w:rPr>
                <w:rFonts w:ascii="宋体" w:hAnsi="宋体" w:eastAsia="宋体" w:cs="宋体"/>
                <w:b w:val="0"/>
              </w:rPr>
              <w:t>577,539.77</w:t>
            </w:r>
          </w:p>
        </w:tc>
        <w:tc>
          <w:tcPr>
            <w:tcW w:w="0" w:type="dxa"/>
            <w:vAlign w:val="center"/>
          </w:tcPr>
          <w:p w14:paraId="2E5337A4">
            <w:pPr>
              <w:spacing w:line="240" w:lineRule="auto"/>
              <w:jc w:val="right"/>
            </w:pPr>
            <w:r>
              <w:rPr>
                <w:rFonts w:ascii="宋体" w:hAnsi="宋体" w:eastAsia="宋体" w:cs="宋体"/>
                <w:b w:val="0"/>
              </w:rPr>
              <w:t>1.13</w:t>
            </w:r>
          </w:p>
        </w:tc>
      </w:tr>
      <w:tr w14:paraId="6E64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7C24CF">
            <w:pPr>
              <w:spacing w:line="240" w:lineRule="auto"/>
              <w:jc w:val="center"/>
            </w:pPr>
            <w:r>
              <w:rPr>
                <w:rFonts w:ascii="宋体" w:hAnsi="宋体" w:eastAsia="宋体" w:cs="宋体"/>
                <w:b w:val="0"/>
              </w:rPr>
              <w:t>9</w:t>
            </w:r>
          </w:p>
        </w:tc>
        <w:tc>
          <w:tcPr>
            <w:tcW w:w="0" w:type="dxa"/>
            <w:vAlign w:val="center"/>
          </w:tcPr>
          <w:p w14:paraId="7C23FCB6">
            <w:pPr>
              <w:spacing w:line="240" w:lineRule="auto"/>
              <w:jc w:val="left"/>
            </w:pPr>
            <w:r>
              <w:rPr>
                <w:rFonts w:ascii="宋体" w:hAnsi="宋体" w:eastAsia="宋体" w:cs="宋体"/>
                <w:b w:val="0"/>
              </w:rPr>
              <w:t>合计</w:t>
            </w:r>
          </w:p>
        </w:tc>
        <w:tc>
          <w:tcPr>
            <w:tcW w:w="0" w:type="dxa"/>
            <w:vAlign w:val="center"/>
          </w:tcPr>
          <w:p w14:paraId="35B5D986">
            <w:pPr>
              <w:spacing w:line="240" w:lineRule="auto"/>
              <w:jc w:val="right"/>
            </w:pPr>
            <w:r>
              <w:rPr>
                <w:rFonts w:ascii="宋体" w:hAnsi="宋体" w:eastAsia="宋体" w:cs="宋体"/>
                <w:b w:val="0"/>
              </w:rPr>
              <w:t>51,319,610.82</w:t>
            </w:r>
          </w:p>
        </w:tc>
        <w:tc>
          <w:tcPr>
            <w:tcW w:w="0" w:type="dxa"/>
            <w:vAlign w:val="center"/>
          </w:tcPr>
          <w:p w14:paraId="54BA067D">
            <w:pPr>
              <w:spacing w:line="240" w:lineRule="auto"/>
              <w:jc w:val="right"/>
            </w:pPr>
            <w:r>
              <w:rPr>
                <w:rFonts w:ascii="宋体" w:hAnsi="宋体" w:eastAsia="宋体" w:cs="宋体"/>
                <w:b w:val="0"/>
              </w:rPr>
              <w:t>100.00</w:t>
            </w:r>
          </w:p>
        </w:tc>
      </w:tr>
    </w:tbl>
    <w:p w14:paraId="1C65537E">
      <w:r>
        <w:rPr>
          <w:rFonts w:ascii="宋体" w:hAnsi="宋体" w:eastAsia="宋体" w:cs="宋体"/>
          <w:b w:val="0"/>
        </w:rPr>
        <w:t>注：报告期末本基金通过港股通交易机制投资的港股公允价值合计16,727,899.53元，占基金资产净值的比例为32.67%。</w:t>
      </w:r>
    </w:p>
    <w:p w14:paraId="39780C5B"/>
    <w:p w14:paraId="4BC230AB">
      <w:pPr>
        <w:pStyle w:val="3"/>
        <w:jc w:val="left"/>
      </w:pPr>
      <w:bookmarkStart w:id="34" w:name="_Toc17763"/>
      <w:r>
        <w:rPr>
          <w:rFonts w:ascii="宋体" w:hAnsi="宋体" w:eastAsia="宋体" w:cs="宋体"/>
        </w:rPr>
        <w:t>7.2 报告期末按行业分类的股票投资组合</w:t>
      </w:r>
      <w:bookmarkEnd w:id="34"/>
    </w:p>
    <w:p w14:paraId="7D29D0F0">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4B59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54A9E02D">
            <w:pPr>
              <w:spacing w:line="240" w:lineRule="auto"/>
              <w:jc w:val="center"/>
            </w:pPr>
            <w:r>
              <w:rPr>
                <w:rFonts w:ascii="宋体" w:hAnsi="宋体" w:eastAsia="宋体" w:cs="宋体"/>
                <w:b w:val="0"/>
              </w:rPr>
              <w:t>代码</w:t>
            </w:r>
          </w:p>
        </w:tc>
        <w:tc>
          <w:tcPr>
            <w:tcW w:w="2000" w:type="pct"/>
            <w:shd w:val="clear" w:color="auto" w:fill="D9D9D9"/>
            <w:vAlign w:val="center"/>
          </w:tcPr>
          <w:p w14:paraId="313EE17A">
            <w:pPr>
              <w:spacing w:line="240" w:lineRule="auto"/>
              <w:jc w:val="center"/>
            </w:pPr>
            <w:r>
              <w:rPr>
                <w:rFonts w:ascii="宋体" w:hAnsi="宋体" w:eastAsia="宋体" w:cs="宋体"/>
                <w:b w:val="0"/>
              </w:rPr>
              <w:t>行业类别</w:t>
            </w:r>
          </w:p>
        </w:tc>
        <w:tc>
          <w:tcPr>
            <w:tcW w:w="1538" w:type="pct"/>
            <w:shd w:val="clear" w:color="auto" w:fill="D9D9D9"/>
            <w:vAlign w:val="center"/>
          </w:tcPr>
          <w:p w14:paraId="0D7B7202">
            <w:pPr>
              <w:spacing w:line="240" w:lineRule="auto"/>
              <w:jc w:val="center"/>
            </w:pPr>
            <w:r>
              <w:rPr>
                <w:rFonts w:ascii="宋体" w:hAnsi="宋体" w:eastAsia="宋体" w:cs="宋体"/>
                <w:b w:val="0"/>
              </w:rPr>
              <w:t>公允价值（元）</w:t>
            </w:r>
          </w:p>
        </w:tc>
        <w:tc>
          <w:tcPr>
            <w:tcW w:w="1385" w:type="pct"/>
            <w:shd w:val="clear" w:color="auto" w:fill="D9D9D9"/>
            <w:vAlign w:val="center"/>
          </w:tcPr>
          <w:p w14:paraId="758A26C4">
            <w:pPr>
              <w:spacing w:line="240" w:lineRule="auto"/>
              <w:jc w:val="center"/>
            </w:pPr>
            <w:r>
              <w:rPr>
                <w:rFonts w:ascii="宋体" w:hAnsi="宋体" w:eastAsia="宋体" w:cs="宋体"/>
                <w:b w:val="0"/>
              </w:rPr>
              <w:t>占基金资产净值比例(%)</w:t>
            </w:r>
          </w:p>
        </w:tc>
      </w:tr>
      <w:tr w14:paraId="3544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E2FE6D">
            <w:pPr>
              <w:spacing w:line="240" w:lineRule="auto"/>
              <w:jc w:val="center"/>
            </w:pPr>
            <w:r>
              <w:rPr>
                <w:rFonts w:ascii="宋体" w:hAnsi="宋体" w:eastAsia="宋体" w:cs="宋体"/>
                <w:b w:val="0"/>
              </w:rPr>
              <w:t>A</w:t>
            </w:r>
          </w:p>
        </w:tc>
        <w:tc>
          <w:tcPr>
            <w:tcW w:w="0" w:type="dxa"/>
            <w:vAlign w:val="center"/>
          </w:tcPr>
          <w:p w14:paraId="72717B54">
            <w:pPr>
              <w:spacing w:line="240" w:lineRule="auto"/>
              <w:jc w:val="left"/>
            </w:pPr>
            <w:r>
              <w:rPr>
                <w:rFonts w:ascii="宋体" w:hAnsi="宋体" w:eastAsia="宋体" w:cs="宋体"/>
                <w:b w:val="0"/>
              </w:rPr>
              <w:t>农、林、牧、渔业</w:t>
            </w:r>
          </w:p>
        </w:tc>
        <w:tc>
          <w:tcPr>
            <w:tcW w:w="0" w:type="dxa"/>
            <w:vAlign w:val="center"/>
          </w:tcPr>
          <w:p w14:paraId="115BBEAC">
            <w:pPr>
              <w:spacing w:line="240" w:lineRule="auto"/>
              <w:jc w:val="right"/>
            </w:pPr>
            <w:r>
              <w:rPr>
                <w:rFonts w:ascii="宋体" w:hAnsi="宋体" w:eastAsia="宋体" w:cs="宋体"/>
                <w:b w:val="0"/>
              </w:rPr>
              <w:t>-</w:t>
            </w:r>
          </w:p>
        </w:tc>
        <w:tc>
          <w:tcPr>
            <w:tcW w:w="0" w:type="dxa"/>
            <w:vAlign w:val="center"/>
          </w:tcPr>
          <w:p w14:paraId="4BFA4C4C">
            <w:pPr>
              <w:spacing w:line="240" w:lineRule="auto"/>
              <w:jc w:val="right"/>
            </w:pPr>
            <w:r>
              <w:rPr>
                <w:rFonts w:ascii="宋体" w:hAnsi="宋体" w:eastAsia="宋体" w:cs="宋体"/>
                <w:b w:val="0"/>
              </w:rPr>
              <w:t>-</w:t>
            </w:r>
          </w:p>
        </w:tc>
      </w:tr>
      <w:tr w14:paraId="0D03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1840F2">
            <w:pPr>
              <w:spacing w:line="240" w:lineRule="auto"/>
              <w:jc w:val="center"/>
            </w:pPr>
            <w:r>
              <w:rPr>
                <w:rFonts w:ascii="宋体" w:hAnsi="宋体" w:eastAsia="宋体" w:cs="宋体"/>
                <w:b w:val="0"/>
              </w:rPr>
              <w:t>B</w:t>
            </w:r>
          </w:p>
        </w:tc>
        <w:tc>
          <w:tcPr>
            <w:tcW w:w="0" w:type="dxa"/>
            <w:vAlign w:val="center"/>
          </w:tcPr>
          <w:p w14:paraId="4288CCC8">
            <w:pPr>
              <w:spacing w:line="240" w:lineRule="auto"/>
              <w:jc w:val="left"/>
            </w:pPr>
            <w:r>
              <w:rPr>
                <w:rFonts w:ascii="宋体" w:hAnsi="宋体" w:eastAsia="宋体" w:cs="宋体"/>
                <w:b w:val="0"/>
              </w:rPr>
              <w:t>采矿业</w:t>
            </w:r>
          </w:p>
        </w:tc>
        <w:tc>
          <w:tcPr>
            <w:tcW w:w="0" w:type="dxa"/>
            <w:vAlign w:val="center"/>
          </w:tcPr>
          <w:p w14:paraId="66F760C5">
            <w:pPr>
              <w:spacing w:line="240" w:lineRule="auto"/>
              <w:jc w:val="right"/>
            </w:pPr>
            <w:r>
              <w:rPr>
                <w:rFonts w:ascii="宋体" w:hAnsi="宋体" w:eastAsia="宋体" w:cs="宋体"/>
                <w:b w:val="0"/>
              </w:rPr>
              <w:t>-</w:t>
            </w:r>
          </w:p>
        </w:tc>
        <w:tc>
          <w:tcPr>
            <w:tcW w:w="0" w:type="dxa"/>
            <w:vAlign w:val="center"/>
          </w:tcPr>
          <w:p w14:paraId="1DB7D46F">
            <w:pPr>
              <w:spacing w:line="240" w:lineRule="auto"/>
              <w:jc w:val="right"/>
            </w:pPr>
            <w:r>
              <w:rPr>
                <w:rFonts w:ascii="宋体" w:hAnsi="宋体" w:eastAsia="宋体" w:cs="宋体"/>
                <w:b w:val="0"/>
              </w:rPr>
              <w:t>-</w:t>
            </w:r>
          </w:p>
        </w:tc>
      </w:tr>
      <w:tr w14:paraId="06F3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6464AD">
            <w:pPr>
              <w:spacing w:line="240" w:lineRule="auto"/>
              <w:jc w:val="center"/>
            </w:pPr>
            <w:r>
              <w:rPr>
                <w:rFonts w:ascii="宋体" w:hAnsi="宋体" w:eastAsia="宋体" w:cs="宋体"/>
                <w:b w:val="0"/>
              </w:rPr>
              <w:t>C</w:t>
            </w:r>
          </w:p>
        </w:tc>
        <w:tc>
          <w:tcPr>
            <w:tcW w:w="0" w:type="dxa"/>
            <w:vAlign w:val="center"/>
          </w:tcPr>
          <w:p w14:paraId="4FC799B1">
            <w:pPr>
              <w:spacing w:line="240" w:lineRule="auto"/>
              <w:jc w:val="left"/>
            </w:pPr>
            <w:r>
              <w:rPr>
                <w:rFonts w:ascii="宋体" w:hAnsi="宋体" w:eastAsia="宋体" w:cs="宋体"/>
                <w:b w:val="0"/>
              </w:rPr>
              <w:t>制造业</w:t>
            </w:r>
          </w:p>
        </w:tc>
        <w:tc>
          <w:tcPr>
            <w:tcW w:w="0" w:type="dxa"/>
            <w:vAlign w:val="center"/>
          </w:tcPr>
          <w:p w14:paraId="25F39C8F">
            <w:pPr>
              <w:spacing w:line="240" w:lineRule="auto"/>
              <w:jc w:val="right"/>
            </w:pPr>
            <w:r>
              <w:rPr>
                <w:rFonts w:ascii="宋体" w:hAnsi="宋体" w:eastAsia="宋体" w:cs="宋体"/>
                <w:b w:val="0"/>
              </w:rPr>
              <w:t>28,257,166.00</w:t>
            </w:r>
          </w:p>
        </w:tc>
        <w:tc>
          <w:tcPr>
            <w:tcW w:w="0" w:type="dxa"/>
            <w:vAlign w:val="center"/>
          </w:tcPr>
          <w:p w14:paraId="1FA832B7">
            <w:pPr>
              <w:spacing w:line="240" w:lineRule="auto"/>
              <w:jc w:val="right"/>
            </w:pPr>
            <w:r>
              <w:rPr>
                <w:rFonts w:ascii="宋体" w:hAnsi="宋体" w:eastAsia="宋体" w:cs="宋体"/>
                <w:b w:val="0"/>
              </w:rPr>
              <w:t>55.18</w:t>
            </w:r>
          </w:p>
        </w:tc>
      </w:tr>
      <w:tr w14:paraId="61AA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53784C">
            <w:pPr>
              <w:spacing w:line="240" w:lineRule="auto"/>
              <w:jc w:val="center"/>
            </w:pPr>
            <w:r>
              <w:rPr>
                <w:rFonts w:ascii="宋体" w:hAnsi="宋体" w:eastAsia="宋体" w:cs="宋体"/>
                <w:b w:val="0"/>
              </w:rPr>
              <w:t>D</w:t>
            </w:r>
          </w:p>
        </w:tc>
        <w:tc>
          <w:tcPr>
            <w:tcW w:w="0" w:type="dxa"/>
            <w:vAlign w:val="center"/>
          </w:tcPr>
          <w:p w14:paraId="7D6A411B">
            <w:pPr>
              <w:spacing w:line="240" w:lineRule="auto"/>
              <w:jc w:val="left"/>
            </w:pPr>
            <w:r>
              <w:rPr>
                <w:rFonts w:ascii="宋体" w:hAnsi="宋体" w:eastAsia="宋体" w:cs="宋体"/>
                <w:b w:val="0"/>
              </w:rPr>
              <w:t>电力、热力、燃气及水生产和供应业</w:t>
            </w:r>
          </w:p>
        </w:tc>
        <w:tc>
          <w:tcPr>
            <w:tcW w:w="0" w:type="dxa"/>
            <w:vAlign w:val="center"/>
          </w:tcPr>
          <w:p w14:paraId="73F0A111">
            <w:pPr>
              <w:spacing w:line="240" w:lineRule="auto"/>
              <w:jc w:val="right"/>
            </w:pPr>
            <w:r>
              <w:rPr>
                <w:rFonts w:ascii="宋体" w:hAnsi="宋体" w:eastAsia="宋体" w:cs="宋体"/>
                <w:b w:val="0"/>
              </w:rPr>
              <w:t>-</w:t>
            </w:r>
          </w:p>
        </w:tc>
        <w:tc>
          <w:tcPr>
            <w:tcW w:w="0" w:type="dxa"/>
            <w:vAlign w:val="center"/>
          </w:tcPr>
          <w:p w14:paraId="6D551A6A">
            <w:pPr>
              <w:spacing w:line="240" w:lineRule="auto"/>
              <w:jc w:val="right"/>
            </w:pPr>
            <w:r>
              <w:rPr>
                <w:rFonts w:ascii="宋体" w:hAnsi="宋体" w:eastAsia="宋体" w:cs="宋体"/>
                <w:b w:val="0"/>
              </w:rPr>
              <w:t>-</w:t>
            </w:r>
          </w:p>
        </w:tc>
      </w:tr>
      <w:tr w14:paraId="27C3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F6E34B">
            <w:pPr>
              <w:spacing w:line="240" w:lineRule="auto"/>
              <w:jc w:val="center"/>
            </w:pPr>
            <w:r>
              <w:rPr>
                <w:rFonts w:ascii="宋体" w:hAnsi="宋体" w:eastAsia="宋体" w:cs="宋体"/>
                <w:b w:val="0"/>
              </w:rPr>
              <w:t>E</w:t>
            </w:r>
          </w:p>
        </w:tc>
        <w:tc>
          <w:tcPr>
            <w:tcW w:w="0" w:type="dxa"/>
            <w:vAlign w:val="center"/>
          </w:tcPr>
          <w:p w14:paraId="52891F35">
            <w:pPr>
              <w:spacing w:line="240" w:lineRule="auto"/>
              <w:jc w:val="left"/>
            </w:pPr>
            <w:r>
              <w:rPr>
                <w:rFonts w:ascii="宋体" w:hAnsi="宋体" w:eastAsia="宋体" w:cs="宋体"/>
                <w:b w:val="0"/>
              </w:rPr>
              <w:t>建筑业</w:t>
            </w:r>
          </w:p>
        </w:tc>
        <w:tc>
          <w:tcPr>
            <w:tcW w:w="0" w:type="dxa"/>
            <w:vAlign w:val="center"/>
          </w:tcPr>
          <w:p w14:paraId="0EDA7E43">
            <w:pPr>
              <w:spacing w:line="240" w:lineRule="auto"/>
              <w:jc w:val="right"/>
            </w:pPr>
            <w:r>
              <w:rPr>
                <w:rFonts w:ascii="宋体" w:hAnsi="宋体" w:eastAsia="宋体" w:cs="宋体"/>
                <w:b w:val="0"/>
              </w:rPr>
              <w:t>-</w:t>
            </w:r>
          </w:p>
        </w:tc>
        <w:tc>
          <w:tcPr>
            <w:tcW w:w="0" w:type="dxa"/>
            <w:vAlign w:val="center"/>
          </w:tcPr>
          <w:p w14:paraId="68CBC36B">
            <w:pPr>
              <w:spacing w:line="240" w:lineRule="auto"/>
              <w:jc w:val="right"/>
            </w:pPr>
            <w:r>
              <w:rPr>
                <w:rFonts w:ascii="宋体" w:hAnsi="宋体" w:eastAsia="宋体" w:cs="宋体"/>
                <w:b w:val="0"/>
              </w:rPr>
              <w:t>-</w:t>
            </w:r>
          </w:p>
        </w:tc>
      </w:tr>
      <w:tr w14:paraId="589F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4B0910">
            <w:pPr>
              <w:spacing w:line="240" w:lineRule="auto"/>
              <w:jc w:val="center"/>
            </w:pPr>
            <w:r>
              <w:rPr>
                <w:rFonts w:ascii="宋体" w:hAnsi="宋体" w:eastAsia="宋体" w:cs="宋体"/>
                <w:b w:val="0"/>
              </w:rPr>
              <w:t>F</w:t>
            </w:r>
          </w:p>
        </w:tc>
        <w:tc>
          <w:tcPr>
            <w:tcW w:w="0" w:type="dxa"/>
            <w:vAlign w:val="center"/>
          </w:tcPr>
          <w:p w14:paraId="6636BAC0">
            <w:pPr>
              <w:spacing w:line="240" w:lineRule="auto"/>
              <w:jc w:val="left"/>
            </w:pPr>
            <w:r>
              <w:rPr>
                <w:rFonts w:ascii="宋体" w:hAnsi="宋体" w:eastAsia="宋体" w:cs="宋体"/>
                <w:b w:val="0"/>
              </w:rPr>
              <w:t>批发和零售业</w:t>
            </w:r>
          </w:p>
        </w:tc>
        <w:tc>
          <w:tcPr>
            <w:tcW w:w="0" w:type="dxa"/>
            <w:vAlign w:val="center"/>
          </w:tcPr>
          <w:p w14:paraId="01C20298">
            <w:pPr>
              <w:spacing w:line="240" w:lineRule="auto"/>
              <w:jc w:val="right"/>
            </w:pPr>
            <w:r>
              <w:rPr>
                <w:rFonts w:ascii="宋体" w:hAnsi="宋体" w:eastAsia="宋体" w:cs="宋体"/>
                <w:b w:val="0"/>
              </w:rPr>
              <w:t>-</w:t>
            </w:r>
          </w:p>
        </w:tc>
        <w:tc>
          <w:tcPr>
            <w:tcW w:w="0" w:type="dxa"/>
            <w:vAlign w:val="center"/>
          </w:tcPr>
          <w:p w14:paraId="0D28CFF8">
            <w:pPr>
              <w:spacing w:line="240" w:lineRule="auto"/>
              <w:jc w:val="right"/>
            </w:pPr>
            <w:r>
              <w:rPr>
                <w:rFonts w:ascii="宋体" w:hAnsi="宋体" w:eastAsia="宋体" w:cs="宋体"/>
                <w:b w:val="0"/>
              </w:rPr>
              <w:t>-</w:t>
            </w:r>
          </w:p>
        </w:tc>
      </w:tr>
      <w:tr w14:paraId="625E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AF56E3">
            <w:pPr>
              <w:spacing w:line="240" w:lineRule="auto"/>
              <w:jc w:val="center"/>
            </w:pPr>
            <w:r>
              <w:rPr>
                <w:rFonts w:ascii="宋体" w:hAnsi="宋体" w:eastAsia="宋体" w:cs="宋体"/>
                <w:b w:val="0"/>
              </w:rPr>
              <w:t>G</w:t>
            </w:r>
          </w:p>
        </w:tc>
        <w:tc>
          <w:tcPr>
            <w:tcW w:w="0" w:type="dxa"/>
            <w:vAlign w:val="center"/>
          </w:tcPr>
          <w:p w14:paraId="5148857C">
            <w:pPr>
              <w:spacing w:line="240" w:lineRule="auto"/>
              <w:jc w:val="left"/>
            </w:pPr>
            <w:r>
              <w:rPr>
                <w:rFonts w:ascii="宋体" w:hAnsi="宋体" w:eastAsia="宋体" w:cs="宋体"/>
                <w:b w:val="0"/>
              </w:rPr>
              <w:t>交通运输、仓储和邮政业</w:t>
            </w:r>
          </w:p>
        </w:tc>
        <w:tc>
          <w:tcPr>
            <w:tcW w:w="0" w:type="dxa"/>
            <w:vAlign w:val="center"/>
          </w:tcPr>
          <w:p w14:paraId="7505B6E6">
            <w:pPr>
              <w:spacing w:line="240" w:lineRule="auto"/>
              <w:jc w:val="right"/>
            </w:pPr>
            <w:r>
              <w:rPr>
                <w:rFonts w:ascii="宋体" w:hAnsi="宋体" w:eastAsia="宋体" w:cs="宋体"/>
                <w:b w:val="0"/>
              </w:rPr>
              <w:t>-</w:t>
            </w:r>
          </w:p>
        </w:tc>
        <w:tc>
          <w:tcPr>
            <w:tcW w:w="0" w:type="dxa"/>
            <w:vAlign w:val="center"/>
          </w:tcPr>
          <w:p w14:paraId="2C8EAE63">
            <w:pPr>
              <w:spacing w:line="240" w:lineRule="auto"/>
              <w:jc w:val="right"/>
            </w:pPr>
            <w:r>
              <w:rPr>
                <w:rFonts w:ascii="宋体" w:hAnsi="宋体" w:eastAsia="宋体" w:cs="宋体"/>
                <w:b w:val="0"/>
              </w:rPr>
              <w:t>-</w:t>
            </w:r>
          </w:p>
        </w:tc>
      </w:tr>
      <w:tr w14:paraId="10DD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3C2EE4">
            <w:pPr>
              <w:spacing w:line="240" w:lineRule="auto"/>
              <w:jc w:val="center"/>
            </w:pPr>
            <w:r>
              <w:rPr>
                <w:rFonts w:ascii="宋体" w:hAnsi="宋体" w:eastAsia="宋体" w:cs="宋体"/>
                <w:b w:val="0"/>
              </w:rPr>
              <w:t>H</w:t>
            </w:r>
          </w:p>
        </w:tc>
        <w:tc>
          <w:tcPr>
            <w:tcW w:w="0" w:type="dxa"/>
            <w:vAlign w:val="center"/>
          </w:tcPr>
          <w:p w14:paraId="56A5E6DA">
            <w:pPr>
              <w:spacing w:line="240" w:lineRule="auto"/>
              <w:jc w:val="left"/>
            </w:pPr>
            <w:r>
              <w:rPr>
                <w:rFonts w:ascii="宋体" w:hAnsi="宋体" w:eastAsia="宋体" w:cs="宋体"/>
                <w:b w:val="0"/>
              </w:rPr>
              <w:t>住宿和餐饮业</w:t>
            </w:r>
          </w:p>
        </w:tc>
        <w:tc>
          <w:tcPr>
            <w:tcW w:w="0" w:type="dxa"/>
            <w:vAlign w:val="center"/>
          </w:tcPr>
          <w:p w14:paraId="65654E81">
            <w:pPr>
              <w:spacing w:line="240" w:lineRule="auto"/>
              <w:jc w:val="right"/>
            </w:pPr>
            <w:r>
              <w:rPr>
                <w:rFonts w:ascii="宋体" w:hAnsi="宋体" w:eastAsia="宋体" w:cs="宋体"/>
                <w:b w:val="0"/>
              </w:rPr>
              <w:t>-</w:t>
            </w:r>
          </w:p>
        </w:tc>
        <w:tc>
          <w:tcPr>
            <w:tcW w:w="0" w:type="dxa"/>
            <w:vAlign w:val="center"/>
          </w:tcPr>
          <w:p w14:paraId="46439651">
            <w:pPr>
              <w:spacing w:line="240" w:lineRule="auto"/>
              <w:jc w:val="right"/>
            </w:pPr>
            <w:r>
              <w:rPr>
                <w:rFonts w:ascii="宋体" w:hAnsi="宋体" w:eastAsia="宋体" w:cs="宋体"/>
                <w:b w:val="0"/>
              </w:rPr>
              <w:t>-</w:t>
            </w:r>
          </w:p>
        </w:tc>
      </w:tr>
      <w:tr w14:paraId="0A7B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1D7F40">
            <w:pPr>
              <w:spacing w:line="240" w:lineRule="auto"/>
              <w:jc w:val="center"/>
            </w:pPr>
            <w:r>
              <w:rPr>
                <w:rFonts w:ascii="宋体" w:hAnsi="宋体" w:eastAsia="宋体" w:cs="宋体"/>
                <w:b w:val="0"/>
              </w:rPr>
              <w:t>I</w:t>
            </w:r>
          </w:p>
        </w:tc>
        <w:tc>
          <w:tcPr>
            <w:tcW w:w="0" w:type="dxa"/>
            <w:vAlign w:val="center"/>
          </w:tcPr>
          <w:p w14:paraId="0C7D8F78">
            <w:pPr>
              <w:spacing w:line="240" w:lineRule="auto"/>
              <w:jc w:val="left"/>
            </w:pPr>
            <w:r>
              <w:rPr>
                <w:rFonts w:ascii="宋体" w:hAnsi="宋体" w:eastAsia="宋体" w:cs="宋体"/>
                <w:b w:val="0"/>
              </w:rPr>
              <w:t>信息传输、软件和信息技术服务业</w:t>
            </w:r>
          </w:p>
        </w:tc>
        <w:tc>
          <w:tcPr>
            <w:tcW w:w="0" w:type="dxa"/>
            <w:vAlign w:val="center"/>
          </w:tcPr>
          <w:p w14:paraId="0E2B853B">
            <w:pPr>
              <w:spacing w:line="240" w:lineRule="auto"/>
              <w:jc w:val="right"/>
            </w:pPr>
            <w:r>
              <w:rPr>
                <w:rFonts w:ascii="宋体" w:hAnsi="宋体" w:eastAsia="宋体" w:cs="宋体"/>
                <w:b w:val="0"/>
              </w:rPr>
              <w:t>-</w:t>
            </w:r>
          </w:p>
        </w:tc>
        <w:tc>
          <w:tcPr>
            <w:tcW w:w="0" w:type="dxa"/>
            <w:vAlign w:val="center"/>
          </w:tcPr>
          <w:p w14:paraId="252A0B6F">
            <w:pPr>
              <w:spacing w:line="240" w:lineRule="auto"/>
              <w:jc w:val="right"/>
            </w:pPr>
            <w:r>
              <w:rPr>
                <w:rFonts w:ascii="宋体" w:hAnsi="宋体" w:eastAsia="宋体" w:cs="宋体"/>
                <w:b w:val="0"/>
              </w:rPr>
              <w:t>-</w:t>
            </w:r>
          </w:p>
        </w:tc>
      </w:tr>
      <w:tr w14:paraId="064C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195EED">
            <w:pPr>
              <w:spacing w:line="240" w:lineRule="auto"/>
              <w:jc w:val="center"/>
            </w:pPr>
            <w:r>
              <w:rPr>
                <w:rFonts w:ascii="宋体" w:hAnsi="宋体" w:eastAsia="宋体" w:cs="宋体"/>
                <w:b w:val="0"/>
              </w:rPr>
              <w:t>J</w:t>
            </w:r>
          </w:p>
        </w:tc>
        <w:tc>
          <w:tcPr>
            <w:tcW w:w="0" w:type="dxa"/>
            <w:vAlign w:val="center"/>
          </w:tcPr>
          <w:p w14:paraId="369689BD">
            <w:pPr>
              <w:spacing w:line="240" w:lineRule="auto"/>
              <w:jc w:val="left"/>
            </w:pPr>
            <w:r>
              <w:rPr>
                <w:rFonts w:ascii="宋体" w:hAnsi="宋体" w:eastAsia="宋体" w:cs="宋体"/>
                <w:b w:val="0"/>
              </w:rPr>
              <w:t>金融业</w:t>
            </w:r>
          </w:p>
        </w:tc>
        <w:tc>
          <w:tcPr>
            <w:tcW w:w="0" w:type="dxa"/>
            <w:vAlign w:val="center"/>
          </w:tcPr>
          <w:p w14:paraId="500398B0">
            <w:pPr>
              <w:spacing w:line="240" w:lineRule="auto"/>
              <w:jc w:val="right"/>
            </w:pPr>
            <w:r>
              <w:rPr>
                <w:rFonts w:ascii="宋体" w:hAnsi="宋体" w:eastAsia="宋体" w:cs="宋体"/>
                <w:b w:val="0"/>
              </w:rPr>
              <w:t>-</w:t>
            </w:r>
          </w:p>
        </w:tc>
        <w:tc>
          <w:tcPr>
            <w:tcW w:w="0" w:type="dxa"/>
            <w:vAlign w:val="center"/>
          </w:tcPr>
          <w:p w14:paraId="7547A6CA">
            <w:pPr>
              <w:spacing w:line="240" w:lineRule="auto"/>
              <w:jc w:val="right"/>
            </w:pPr>
            <w:r>
              <w:rPr>
                <w:rFonts w:ascii="宋体" w:hAnsi="宋体" w:eastAsia="宋体" w:cs="宋体"/>
                <w:b w:val="0"/>
              </w:rPr>
              <w:t>-</w:t>
            </w:r>
          </w:p>
        </w:tc>
      </w:tr>
      <w:tr w14:paraId="1B3F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5FA58F">
            <w:pPr>
              <w:spacing w:line="240" w:lineRule="auto"/>
              <w:jc w:val="center"/>
            </w:pPr>
            <w:r>
              <w:rPr>
                <w:rFonts w:ascii="宋体" w:hAnsi="宋体" w:eastAsia="宋体" w:cs="宋体"/>
                <w:b w:val="0"/>
              </w:rPr>
              <w:t>K</w:t>
            </w:r>
          </w:p>
        </w:tc>
        <w:tc>
          <w:tcPr>
            <w:tcW w:w="0" w:type="dxa"/>
            <w:vAlign w:val="center"/>
          </w:tcPr>
          <w:p w14:paraId="3EE99578">
            <w:pPr>
              <w:spacing w:line="240" w:lineRule="auto"/>
              <w:jc w:val="left"/>
            </w:pPr>
            <w:r>
              <w:rPr>
                <w:rFonts w:ascii="宋体" w:hAnsi="宋体" w:eastAsia="宋体" w:cs="宋体"/>
                <w:b w:val="0"/>
              </w:rPr>
              <w:t>房地产业</w:t>
            </w:r>
          </w:p>
        </w:tc>
        <w:tc>
          <w:tcPr>
            <w:tcW w:w="0" w:type="dxa"/>
            <w:vAlign w:val="center"/>
          </w:tcPr>
          <w:p w14:paraId="1BEF73DB">
            <w:pPr>
              <w:spacing w:line="240" w:lineRule="auto"/>
              <w:jc w:val="right"/>
            </w:pPr>
            <w:r>
              <w:rPr>
                <w:rFonts w:ascii="宋体" w:hAnsi="宋体" w:eastAsia="宋体" w:cs="宋体"/>
                <w:b w:val="0"/>
              </w:rPr>
              <w:t>-</w:t>
            </w:r>
          </w:p>
        </w:tc>
        <w:tc>
          <w:tcPr>
            <w:tcW w:w="0" w:type="dxa"/>
            <w:vAlign w:val="center"/>
          </w:tcPr>
          <w:p w14:paraId="1E96DF39">
            <w:pPr>
              <w:spacing w:line="240" w:lineRule="auto"/>
              <w:jc w:val="right"/>
            </w:pPr>
            <w:r>
              <w:rPr>
                <w:rFonts w:ascii="宋体" w:hAnsi="宋体" w:eastAsia="宋体" w:cs="宋体"/>
                <w:b w:val="0"/>
              </w:rPr>
              <w:t>-</w:t>
            </w:r>
          </w:p>
        </w:tc>
      </w:tr>
      <w:tr w14:paraId="6AF9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6C4696">
            <w:pPr>
              <w:spacing w:line="240" w:lineRule="auto"/>
              <w:jc w:val="center"/>
            </w:pPr>
            <w:r>
              <w:rPr>
                <w:rFonts w:ascii="宋体" w:hAnsi="宋体" w:eastAsia="宋体" w:cs="宋体"/>
                <w:b w:val="0"/>
              </w:rPr>
              <w:t>L</w:t>
            </w:r>
          </w:p>
        </w:tc>
        <w:tc>
          <w:tcPr>
            <w:tcW w:w="0" w:type="dxa"/>
            <w:vAlign w:val="center"/>
          </w:tcPr>
          <w:p w14:paraId="0BE6BEC6">
            <w:pPr>
              <w:spacing w:line="240" w:lineRule="auto"/>
              <w:jc w:val="left"/>
            </w:pPr>
            <w:r>
              <w:rPr>
                <w:rFonts w:ascii="宋体" w:hAnsi="宋体" w:eastAsia="宋体" w:cs="宋体"/>
                <w:b w:val="0"/>
              </w:rPr>
              <w:t>租赁和商务服务业</w:t>
            </w:r>
          </w:p>
        </w:tc>
        <w:tc>
          <w:tcPr>
            <w:tcW w:w="0" w:type="dxa"/>
            <w:vAlign w:val="center"/>
          </w:tcPr>
          <w:p w14:paraId="11AC85AF">
            <w:pPr>
              <w:spacing w:line="240" w:lineRule="auto"/>
              <w:jc w:val="right"/>
            </w:pPr>
            <w:r>
              <w:rPr>
                <w:rFonts w:ascii="宋体" w:hAnsi="宋体" w:eastAsia="宋体" w:cs="宋体"/>
                <w:b w:val="0"/>
              </w:rPr>
              <w:t>-</w:t>
            </w:r>
          </w:p>
        </w:tc>
        <w:tc>
          <w:tcPr>
            <w:tcW w:w="0" w:type="dxa"/>
            <w:vAlign w:val="center"/>
          </w:tcPr>
          <w:p w14:paraId="0091EB3D">
            <w:pPr>
              <w:spacing w:line="240" w:lineRule="auto"/>
              <w:jc w:val="right"/>
            </w:pPr>
            <w:r>
              <w:rPr>
                <w:rFonts w:ascii="宋体" w:hAnsi="宋体" w:eastAsia="宋体" w:cs="宋体"/>
                <w:b w:val="0"/>
              </w:rPr>
              <w:t>-</w:t>
            </w:r>
          </w:p>
        </w:tc>
      </w:tr>
      <w:tr w14:paraId="0EBB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18EF7A">
            <w:pPr>
              <w:spacing w:line="240" w:lineRule="auto"/>
              <w:jc w:val="center"/>
            </w:pPr>
            <w:r>
              <w:rPr>
                <w:rFonts w:ascii="宋体" w:hAnsi="宋体" w:eastAsia="宋体" w:cs="宋体"/>
                <w:b w:val="0"/>
              </w:rPr>
              <w:t>M</w:t>
            </w:r>
          </w:p>
        </w:tc>
        <w:tc>
          <w:tcPr>
            <w:tcW w:w="0" w:type="dxa"/>
            <w:vAlign w:val="center"/>
          </w:tcPr>
          <w:p w14:paraId="64D1E762">
            <w:pPr>
              <w:spacing w:line="240" w:lineRule="auto"/>
              <w:jc w:val="left"/>
            </w:pPr>
            <w:r>
              <w:rPr>
                <w:rFonts w:ascii="宋体" w:hAnsi="宋体" w:eastAsia="宋体" w:cs="宋体"/>
                <w:b w:val="0"/>
              </w:rPr>
              <w:t>科学研究和技术服务业</w:t>
            </w:r>
          </w:p>
        </w:tc>
        <w:tc>
          <w:tcPr>
            <w:tcW w:w="0" w:type="dxa"/>
            <w:vAlign w:val="center"/>
          </w:tcPr>
          <w:p w14:paraId="760F9EBF">
            <w:pPr>
              <w:spacing w:line="240" w:lineRule="auto"/>
              <w:jc w:val="right"/>
            </w:pPr>
            <w:r>
              <w:rPr>
                <w:rFonts w:ascii="宋体" w:hAnsi="宋体" w:eastAsia="宋体" w:cs="宋体"/>
                <w:b w:val="0"/>
              </w:rPr>
              <w:t>-</w:t>
            </w:r>
          </w:p>
        </w:tc>
        <w:tc>
          <w:tcPr>
            <w:tcW w:w="0" w:type="dxa"/>
            <w:vAlign w:val="center"/>
          </w:tcPr>
          <w:p w14:paraId="04C6A47F">
            <w:pPr>
              <w:spacing w:line="240" w:lineRule="auto"/>
              <w:jc w:val="right"/>
            </w:pPr>
            <w:r>
              <w:rPr>
                <w:rFonts w:ascii="宋体" w:hAnsi="宋体" w:eastAsia="宋体" w:cs="宋体"/>
                <w:b w:val="0"/>
              </w:rPr>
              <w:t>-</w:t>
            </w:r>
          </w:p>
        </w:tc>
      </w:tr>
      <w:tr w14:paraId="5683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1CD4C8">
            <w:pPr>
              <w:spacing w:line="240" w:lineRule="auto"/>
              <w:jc w:val="center"/>
            </w:pPr>
            <w:r>
              <w:rPr>
                <w:rFonts w:ascii="宋体" w:hAnsi="宋体" w:eastAsia="宋体" w:cs="宋体"/>
                <w:b w:val="0"/>
              </w:rPr>
              <w:t>N</w:t>
            </w:r>
          </w:p>
        </w:tc>
        <w:tc>
          <w:tcPr>
            <w:tcW w:w="0" w:type="dxa"/>
            <w:vAlign w:val="center"/>
          </w:tcPr>
          <w:p w14:paraId="4808581D">
            <w:pPr>
              <w:spacing w:line="240" w:lineRule="auto"/>
              <w:jc w:val="left"/>
            </w:pPr>
            <w:r>
              <w:rPr>
                <w:rFonts w:ascii="宋体" w:hAnsi="宋体" w:eastAsia="宋体" w:cs="宋体"/>
                <w:b w:val="0"/>
              </w:rPr>
              <w:t>水利、环境和公共设施管理业</w:t>
            </w:r>
          </w:p>
        </w:tc>
        <w:tc>
          <w:tcPr>
            <w:tcW w:w="0" w:type="dxa"/>
            <w:vAlign w:val="center"/>
          </w:tcPr>
          <w:p w14:paraId="4B0F52F3">
            <w:pPr>
              <w:spacing w:line="240" w:lineRule="auto"/>
              <w:jc w:val="right"/>
            </w:pPr>
            <w:r>
              <w:rPr>
                <w:rFonts w:ascii="宋体" w:hAnsi="宋体" w:eastAsia="宋体" w:cs="宋体"/>
                <w:b w:val="0"/>
              </w:rPr>
              <w:t>-</w:t>
            </w:r>
          </w:p>
        </w:tc>
        <w:tc>
          <w:tcPr>
            <w:tcW w:w="0" w:type="dxa"/>
            <w:vAlign w:val="center"/>
          </w:tcPr>
          <w:p w14:paraId="36C4CA0A">
            <w:pPr>
              <w:spacing w:line="240" w:lineRule="auto"/>
              <w:jc w:val="right"/>
            </w:pPr>
            <w:r>
              <w:rPr>
                <w:rFonts w:ascii="宋体" w:hAnsi="宋体" w:eastAsia="宋体" w:cs="宋体"/>
                <w:b w:val="0"/>
              </w:rPr>
              <w:t>-</w:t>
            </w:r>
          </w:p>
        </w:tc>
      </w:tr>
      <w:tr w14:paraId="2445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A47915">
            <w:pPr>
              <w:spacing w:line="240" w:lineRule="auto"/>
              <w:jc w:val="center"/>
            </w:pPr>
            <w:r>
              <w:rPr>
                <w:rFonts w:ascii="宋体" w:hAnsi="宋体" w:eastAsia="宋体" w:cs="宋体"/>
                <w:b w:val="0"/>
              </w:rPr>
              <w:t>O</w:t>
            </w:r>
          </w:p>
        </w:tc>
        <w:tc>
          <w:tcPr>
            <w:tcW w:w="0" w:type="dxa"/>
            <w:vAlign w:val="center"/>
          </w:tcPr>
          <w:p w14:paraId="58167C85">
            <w:pPr>
              <w:spacing w:line="240" w:lineRule="auto"/>
              <w:jc w:val="left"/>
            </w:pPr>
            <w:r>
              <w:rPr>
                <w:rFonts w:ascii="宋体" w:hAnsi="宋体" w:eastAsia="宋体" w:cs="宋体"/>
                <w:b w:val="0"/>
              </w:rPr>
              <w:t>居民服务、修理和其他服务业</w:t>
            </w:r>
          </w:p>
        </w:tc>
        <w:tc>
          <w:tcPr>
            <w:tcW w:w="0" w:type="dxa"/>
            <w:vAlign w:val="center"/>
          </w:tcPr>
          <w:p w14:paraId="638C9660">
            <w:pPr>
              <w:spacing w:line="240" w:lineRule="auto"/>
              <w:jc w:val="right"/>
            </w:pPr>
            <w:r>
              <w:rPr>
                <w:rFonts w:ascii="宋体" w:hAnsi="宋体" w:eastAsia="宋体" w:cs="宋体"/>
                <w:b w:val="0"/>
              </w:rPr>
              <w:t>-</w:t>
            </w:r>
          </w:p>
        </w:tc>
        <w:tc>
          <w:tcPr>
            <w:tcW w:w="0" w:type="dxa"/>
            <w:vAlign w:val="center"/>
          </w:tcPr>
          <w:p w14:paraId="02EBFC95">
            <w:pPr>
              <w:spacing w:line="240" w:lineRule="auto"/>
              <w:jc w:val="right"/>
            </w:pPr>
            <w:r>
              <w:rPr>
                <w:rFonts w:ascii="宋体" w:hAnsi="宋体" w:eastAsia="宋体" w:cs="宋体"/>
                <w:b w:val="0"/>
              </w:rPr>
              <w:t>-</w:t>
            </w:r>
          </w:p>
        </w:tc>
      </w:tr>
      <w:tr w14:paraId="51DE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E27959">
            <w:pPr>
              <w:spacing w:line="240" w:lineRule="auto"/>
              <w:jc w:val="center"/>
            </w:pPr>
            <w:r>
              <w:rPr>
                <w:rFonts w:ascii="宋体" w:hAnsi="宋体" w:eastAsia="宋体" w:cs="宋体"/>
                <w:b w:val="0"/>
              </w:rPr>
              <w:t>P</w:t>
            </w:r>
          </w:p>
        </w:tc>
        <w:tc>
          <w:tcPr>
            <w:tcW w:w="0" w:type="dxa"/>
            <w:vAlign w:val="center"/>
          </w:tcPr>
          <w:p w14:paraId="23882A73">
            <w:pPr>
              <w:spacing w:line="240" w:lineRule="auto"/>
              <w:jc w:val="left"/>
            </w:pPr>
            <w:r>
              <w:rPr>
                <w:rFonts w:ascii="宋体" w:hAnsi="宋体" w:eastAsia="宋体" w:cs="宋体"/>
                <w:b w:val="0"/>
              </w:rPr>
              <w:t>教育</w:t>
            </w:r>
          </w:p>
        </w:tc>
        <w:tc>
          <w:tcPr>
            <w:tcW w:w="0" w:type="dxa"/>
            <w:vAlign w:val="center"/>
          </w:tcPr>
          <w:p w14:paraId="38930DC5">
            <w:pPr>
              <w:spacing w:line="240" w:lineRule="auto"/>
              <w:jc w:val="right"/>
            </w:pPr>
            <w:r>
              <w:rPr>
                <w:rFonts w:ascii="宋体" w:hAnsi="宋体" w:eastAsia="宋体" w:cs="宋体"/>
                <w:b w:val="0"/>
              </w:rPr>
              <w:t>-</w:t>
            </w:r>
          </w:p>
        </w:tc>
        <w:tc>
          <w:tcPr>
            <w:tcW w:w="0" w:type="dxa"/>
            <w:vAlign w:val="center"/>
          </w:tcPr>
          <w:p w14:paraId="5C74CB70">
            <w:pPr>
              <w:spacing w:line="240" w:lineRule="auto"/>
              <w:jc w:val="right"/>
            </w:pPr>
            <w:r>
              <w:rPr>
                <w:rFonts w:ascii="宋体" w:hAnsi="宋体" w:eastAsia="宋体" w:cs="宋体"/>
                <w:b w:val="0"/>
              </w:rPr>
              <w:t>-</w:t>
            </w:r>
          </w:p>
        </w:tc>
      </w:tr>
      <w:tr w14:paraId="3FE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03EA41">
            <w:pPr>
              <w:spacing w:line="240" w:lineRule="auto"/>
              <w:jc w:val="center"/>
            </w:pPr>
            <w:r>
              <w:rPr>
                <w:rFonts w:ascii="宋体" w:hAnsi="宋体" w:eastAsia="宋体" w:cs="宋体"/>
                <w:b w:val="0"/>
              </w:rPr>
              <w:t>Q</w:t>
            </w:r>
          </w:p>
        </w:tc>
        <w:tc>
          <w:tcPr>
            <w:tcW w:w="0" w:type="dxa"/>
            <w:vAlign w:val="center"/>
          </w:tcPr>
          <w:p w14:paraId="78ABFA43">
            <w:pPr>
              <w:spacing w:line="240" w:lineRule="auto"/>
              <w:jc w:val="left"/>
            </w:pPr>
            <w:r>
              <w:rPr>
                <w:rFonts w:ascii="宋体" w:hAnsi="宋体" w:eastAsia="宋体" w:cs="宋体"/>
                <w:b w:val="0"/>
              </w:rPr>
              <w:t>卫生和社会工作</w:t>
            </w:r>
          </w:p>
        </w:tc>
        <w:tc>
          <w:tcPr>
            <w:tcW w:w="0" w:type="dxa"/>
            <w:vAlign w:val="center"/>
          </w:tcPr>
          <w:p w14:paraId="340A1D44">
            <w:pPr>
              <w:spacing w:line="240" w:lineRule="auto"/>
              <w:jc w:val="right"/>
            </w:pPr>
            <w:r>
              <w:rPr>
                <w:rFonts w:ascii="宋体" w:hAnsi="宋体" w:eastAsia="宋体" w:cs="宋体"/>
                <w:b w:val="0"/>
              </w:rPr>
              <w:t>-</w:t>
            </w:r>
          </w:p>
        </w:tc>
        <w:tc>
          <w:tcPr>
            <w:tcW w:w="0" w:type="dxa"/>
            <w:vAlign w:val="center"/>
          </w:tcPr>
          <w:p w14:paraId="16306B80">
            <w:pPr>
              <w:spacing w:line="240" w:lineRule="auto"/>
              <w:jc w:val="right"/>
            </w:pPr>
            <w:r>
              <w:rPr>
                <w:rFonts w:ascii="宋体" w:hAnsi="宋体" w:eastAsia="宋体" w:cs="宋体"/>
                <w:b w:val="0"/>
              </w:rPr>
              <w:t>-</w:t>
            </w:r>
          </w:p>
        </w:tc>
      </w:tr>
      <w:tr w14:paraId="0793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E2A1E7">
            <w:pPr>
              <w:spacing w:line="240" w:lineRule="auto"/>
              <w:jc w:val="center"/>
            </w:pPr>
            <w:r>
              <w:rPr>
                <w:rFonts w:ascii="宋体" w:hAnsi="宋体" w:eastAsia="宋体" w:cs="宋体"/>
                <w:b w:val="0"/>
              </w:rPr>
              <w:t>R</w:t>
            </w:r>
          </w:p>
        </w:tc>
        <w:tc>
          <w:tcPr>
            <w:tcW w:w="0" w:type="dxa"/>
            <w:vAlign w:val="center"/>
          </w:tcPr>
          <w:p w14:paraId="60B58BE8">
            <w:pPr>
              <w:spacing w:line="240" w:lineRule="auto"/>
              <w:jc w:val="left"/>
            </w:pPr>
            <w:r>
              <w:rPr>
                <w:rFonts w:ascii="宋体" w:hAnsi="宋体" w:eastAsia="宋体" w:cs="宋体"/>
                <w:b w:val="0"/>
              </w:rPr>
              <w:t>文化、体育和娱乐业</w:t>
            </w:r>
          </w:p>
        </w:tc>
        <w:tc>
          <w:tcPr>
            <w:tcW w:w="0" w:type="dxa"/>
            <w:vAlign w:val="center"/>
          </w:tcPr>
          <w:p w14:paraId="64B3E18C">
            <w:pPr>
              <w:spacing w:line="240" w:lineRule="auto"/>
              <w:jc w:val="right"/>
            </w:pPr>
            <w:r>
              <w:rPr>
                <w:rFonts w:ascii="宋体" w:hAnsi="宋体" w:eastAsia="宋体" w:cs="宋体"/>
                <w:b w:val="0"/>
              </w:rPr>
              <w:t>-</w:t>
            </w:r>
          </w:p>
        </w:tc>
        <w:tc>
          <w:tcPr>
            <w:tcW w:w="0" w:type="dxa"/>
            <w:vAlign w:val="center"/>
          </w:tcPr>
          <w:p w14:paraId="0E4B9515">
            <w:pPr>
              <w:spacing w:line="240" w:lineRule="auto"/>
              <w:jc w:val="right"/>
            </w:pPr>
            <w:r>
              <w:rPr>
                <w:rFonts w:ascii="宋体" w:hAnsi="宋体" w:eastAsia="宋体" w:cs="宋体"/>
                <w:b w:val="0"/>
              </w:rPr>
              <w:t>-</w:t>
            </w:r>
          </w:p>
        </w:tc>
      </w:tr>
      <w:tr w14:paraId="463F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8665ED">
            <w:pPr>
              <w:spacing w:line="240" w:lineRule="auto"/>
              <w:jc w:val="center"/>
            </w:pPr>
            <w:r>
              <w:rPr>
                <w:rFonts w:ascii="宋体" w:hAnsi="宋体" w:eastAsia="宋体" w:cs="宋体"/>
                <w:b w:val="0"/>
              </w:rPr>
              <w:t>S</w:t>
            </w:r>
          </w:p>
        </w:tc>
        <w:tc>
          <w:tcPr>
            <w:tcW w:w="0" w:type="dxa"/>
            <w:vAlign w:val="center"/>
          </w:tcPr>
          <w:p w14:paraId="2AA71A97">
            <w:pPr>
              <w:spacing w:line="240" w:lineRule="auto"/>
              <w:jc w:val="left"/>
            </w:pPr>
            <w:r>
              <w:rPr>
                <w:rFonts w:ascii="宋体" w:hAnsi="宋体" w:eastAsia="宋体" w:cs="宋体"/>
                <w:b w:val="0"/>
              </w:rPr>
              <w:t>综合</w:t>
            </w:r>
          </w:p>
        </w:tc>
        <w:tc>
          <w:tcPr>
            <w:tcW w:w="0" w:type="dxa"/>
            <w:vAlign w:val="center"/>
          </w:tcPr>
          <w:p w14:paraId="632E32DA">
            <w:pPr>
              <w:spacing w:line="240" w:lineRule="auto"/>
              <w:jc w:val="right"/>
            </w:pPr>
            <w:r>
              <w:rPr>
                <w:rFonts w:ascii="宋体" w:hAnsi="宋体" w:eastAsia="宋体" w:cs="宋体"/>
                <w:b w:val="0"/>
              </w:rPr>
              <w:t>-</w:t>
            </w:r>
          </w:p>
        </w:tc>
        <w:tc>
          <w:tcPr>
            <w:tcW w:w="0" w:type="dxa"/>
            <w:vAlign w:val="center"/>
          </w:tcPr>
          <w:p w14:paraId="74C9B00C">
            <w:pPr>
              <w:spacing w:line="240" w:lineRule="auto"/>
              <w:jc w:val="right"/>
            </w:pPr>
            <w:r>
              <w:rPr>
                <w:rFonts w:ascii="宋体" w:hAnsi="宋体" w:eastAsia="宋体" w:cs="宋体"/>
                <w:b w:val="0"/>
              </w:rPr>
              <w:t>-</w:t>
            </w:r>
          </w:p>
        </w:tc>
      </w:tr>
      <w:tr w14:paraId="7048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34215C">
            <w:pPr>
              <w:spacing w:line="240" w:lineRule="auto"/>
              <w:jc w:val="center"/>
            </w:pPr>
          </w:p>
        </w:tc>
        <w:tc>
          <w:tcPr>
            <w:tcW w:w="0" w:type="dxa"/>
            <w:vAlign w:val="center"/>
          </w:tcPr>
          <w:p w14:paraId="540B2A17">
            <w:pPr>
              <w:spacing w:line="240" w:lineRule="auto"/>
              <w:jc w:val="left"/>
            </w:pPr>
            <w:r>
              <w:rPr>
                <w:rFonts w:ascii="宋体" w:hAnsi="宋体" w:eastAsia="宋体" w:cs="宋体"/>
                <w:b w:val="0"/>
              </w:rPr>
              <w:t>合计</w:t>
            </w:r>
          </w:p>
        </w:tc>
        <w:tc>
          <w:tcPr>
            <w:tcW w:w="0" w:type="dxa"/>
            <w:vAlign w:val="center"/>
          </w:tcPr>
          <w:p w14:paraId="22D6B4A7">
            <w:pPr>
              <w:spacing w:line="240" w:lineRule="auto"/>
              <w:jc w:val="right"/>
            </w:pPr>
            <w:r>
              <w:rPr>
                <w:rFonts w:ascii="宋体" w:hAnsi="宋体" w:eastAsia="宋体" w:cs="宋体"/>
                <w:b w:val="0"/>
              </w:rPr>
              <w:t>28,257,166.00</w:t>
            </w:r>
          </w:p>
        </w:tc>
        <w:tc>
          <w:tcPr>
            <w:tcW w:w="0" w:type="dxa"/>
            <w:vAlign w:val="center"/>
          </w:tcPr>
          <w:p w14:paraId="1EC769CD">
            <w:pPr>
              <w:spacing w:line="240" w:lineRule="auto"/>
              <w:jc w:val="right"/>
            </w:pPr>
            <w:r>
              <w:rPr>
                <w:rFonts w:ascii="宋体" w:hAnsi="宋体" w:eastAsia="宋体" w:cs="宋体"/>
                <w:b w:val="0"/>
              </w:rPr>
              <w:t>55.18</w:t>
            </w:r>
          </w:p>
        </w:tc>
      </w:tr>
    </w:tbl>
    <w:p w14:paraId="2ECD4C21"/>
    <w:p w14:paraId="12D70089">
      <w:pPr>
        <w:pStyle w:val="58"/>
      </w:pPr>
      <w:r>
        <w:rPr>
          <w:rFonts w:ascii="宋体" w:hAnsi="宋体" w:eastAsia="宋体" w:cs="宋体"/>
          <w:b/>
        </w:rPr>
        <w:t>7.2.2 报告期末按行业分类的港股通投资股票投资组合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7D15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5C7316C">
            <w:pPr>
              <w:spacing w:line="240" w:lineRule="auto"/>
              <w:jc w:val="center"/>
            </w:pPr>
            <w:r>
              <w:rPr>
                <w:rFonts w:ascii="宋体" w:hAnsi="宋体" w:eastAsia="宋体" w:cs="宋体"/>
                <w:b w:val="0"/>
              </w:rPr>
              <w:t>行业类别</w:t>
            </w:r>
          </w:p>
        </w:tc>
        <w:tc>
          <w:tcPr>
            <w:tcW w:w="1538" w:type="pct"/>
            <w:shd w:val="clear" w:color="auto" w:fill="D9D9D9"/>
            <w:vAlign w:val="center"/>
          </w:tcPr>
          <w:p w14:paraId="4799F1C5">
            <w:pPr>
              <w:spacing w:line="240" w:lineRule="auto"/>
              <w:jc w:val="center"/>
            </w:pPr>
            <w:r>
              <w:rPr>
                <w:rFonts w:ascii="宋体" w:hAnsi="宋体" w:eastAsia="宋体" w:cs="宋体"/>
                <w:b w:val="0"/>
              </w:rPr>
              <w:t>公允价值（人民币元）</w:t>
            </w:r>
          </w:p>
        </w:tc>
        <w:tc>
          <w:tcPr>
            <w:tcW w:w="1538" w:type="pct"/>
            <w:shd w:val="clear" w:color="auto" w:fill="D9D9D9"/>
            <w:vAlign w:val="center"/>
          </w:tcPr>
          <w:p w14:paraId="4EA93E0E">
            <w:pPr>
              <w:spacing w:line="240" w:lineRule="auto"/>
              <w:jc w:val="center"/>
            </w:pPr>
            <w:r>
              <w:rPr>
                <w:rFonts w:ascii="宋体" w:hAnsi="宋体" w:eastAsia="宋体" w:cs="宋体"/>
                <w:b w:val="0"/>
              </w:rPr>
              <w:t>占基金资产净值比例（％）</w:t>
            </w:r>
          </w:p>
        </w:tc>
      </w:tr>
      <w:tr w14:paraId="32CE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DF79F1">
            <w:pPr>
              <w:spacing w:line="240" w:lineRule="auto"/>
              <w:jc w:val="left"/>
            </w:pPr>
            <w:r>
              <w:rPr>
                <w:rFonts w:ascii="宋体" w:hAnsi="宋体" w:eastAsia="宋体" w:cs="宋体"/>
                <w:b w:val="0"/>
              </w:rPr>
              <w:t>能源</w:t>
            </w:r>
          </w:p>
        </w:tc>
        <w:tc>
          <w:tcPr>
            <w:tcW w:w="0" w:type="dxa"/>
            <w:vAlign w:val="center"/>
          </w:tcPr>
          <w:p w14:paraId="59E8665D">
            <w:pPr>
              <w:spacing w:line="240" w:lineRule="auto"/>
              <w:jc w:val="right"/>
            </w:pPr>
            <w:r>
              <w:rPr>
                <w:rFonts w:ascii="宋体" w:hAnsi="宋体" w:eastAsia="宋体" w:cs="宋体"/>
                <w:b w:val="0"/>
              </w:rPr>
              <w:t>3,459,191.46</w:t>
            </w:r>
          </w:p>
        </w:tc>
        <w:tc>
          <w:tcPr>
            <w:tcW w:w="0" w:type="dxa"/>
            <w:vAlign w:val="center"/>
          </w:tcPr>
          <w:p w14:paraId="472E74A3">
            <w:pPr>
              <w:spacing w:line="240" w:lineRule="auto"/>
              <w:jc w:val="right"/>
            </w:pPr>
            <w:r>
              <w:rPr>
                <w:rFonts w:ascii="宋体" w:hAnsi="宋体" w:eastAsia="宋体" w:cs="宋体"/>
                <w:b w:val="0"/>
              </w:rPr>
              <w:t>6.76</w:t>
            </w:r>
          </w:p>
        </w:tc>
      </w:tr>
      <w:tr w14:paraId="21BA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89B23B">
            <w:pPr>
              <w:spacing w:line="240" w:lineRule="auto"/>
              <w:jc w:val="left"/>
            </w:pPr>
            <w:r>
              <w:rPr>
                <w:rFonts w:ascii="宋体" w:hAnsi="宋体" w:eastAsia="宋体" w:cs="宋体"/>
                <w:b w:val="0"/>
              </w:rPr>
              <w:t>医疗保健</w:t>
            </w:r>
          </w:p>
        </w:tc>
        <w:tc>
          <w:tcPr>
            <w:tcW w:w="0" w:type="dxa"/>
            <w:vAlign w:val="center"/>
          </w:tcPr>
          <w:p w14:paraId="3B4D174C">
            <w:pPr>
              <w:spacing w:line="240" w:lineRule="auto"/>
              <w:jc w:val="right"/>
            </w:pPr>
            <w:r>
              <w:rPr>
                <w:rFonts w:ascii="宋体" w:hAnsi="宋体" w:eastAsia="宋体" w:cs="宋体"/>
                <w:b w:val="0"/>
              </w:rPr>
              <w:t>2,686,946.28</w:t>
            </w:r>
          </w:p>
        </w:tc>
        <w:tc>
          <w:tcPr>
            <w:tcW w:w="0" w:type="dxa"/>
            <w:vAlign w:val="center"/>
          </w:tcPr>
          <w:p w14:paraId="60BF5B3C">
            <w:pPr>
              <w:spacing w:line="240" w:lineRule="auto"/>
              <w:jc w:val="right"/>
            </w:pPr>
            <w:r>
              <w:rPr>
                <w:rFonts w:ascii="宋体" w:hAnsi="宋体" w:eastAsia="宋体" w:cs="宋体"/>
                <w:b w:val="0"/>
              </w:rPr>
              <w:t>5.25</w:t>
            </w:r>
          </w:p>
        </w:tc>
      </w:tr>
      <w:tr w14:paraId="67BE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BF8CDC">
            <w:pPr>
              <w:spacing w:line="240" w:lineRule="auto"/>
              <w:jc w:val="left"/>
            </w:pPr>
            <w:r>
              <w:rPr>
                <w:rFonts w:ascii="宋体" w:hAnsi="宋体" w:eastAsia="宋体" w:cs="宋体"/>
                <w:b w:val="0"/>
              </w:rPr>
              <w:t>工业</w:t>
            </w:r>
          </w:p>
        </w:tc>
        <w:tc>
          <w:tcPr>
            <w:tcW w:w="0" w:type="dxa"/>
            <w:vAlign w:val="center"/>
          </w:tcPr>
          <w:p w14:paraId="16B564C0">
            <w:pPr>
              <w:spacing w:line="240" w:lineRule="auto"/>
              <w:jc w:val="right"/>
            </w:pPr>
            <w:r>
              <w:rPr>
                <w:rFonts w:ascii="宋体" w:hAnsi="宋体" w:eastAsia="宋体" w:cs="宋体"/>
                <w:b w:val="0"/>
              </w:rPr>
              <w:t>3,346,905.31</w:t>
            </w:r>
          </w:p>
        </w:tc>
        <w:tc>
          <w:tcPr>
            <w:tcW w:w="0" w:type="dxa"/>
            <w:vAlign w:val="center"/>
          </w:tcPr>
          <w:p w14:paraId="1018F441">
            <w:pPr>
              <w:spacing w:line="240" w:lineRule="auto"/>
              <w:jc w:val="right"/>
            </w:pPr>
            <w:r>
              <w:rPr>
                <w:rFonts w:ascii="宋体" w:hAnsi="宋体" w:eastAsia="宋体" w:cs="宋体"/>
                <w:b w:val="0"/>
              </w:rPr>
              <w:t>6.54</w:t>
            </w:r>
          </w:p>
        </w:tc>
      </w:tr>
      <w:tr w14:paraId="40C4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DC0212">
            <w:pPr>
              <w:spacing w:line="240" w:lineRule="auto"/>
              <w:jc w:val="left"/>
            </w:pPr>
            <w:r>
              <w:rPr>
                <w:rFonts w:ascii="宋体" w:hAnsi="宋体" w:eastAsia="宋体" w:cs="宋体"/>
                <w:b w:val="0"/>
              </w:rPr>
              <w:t>房地产</w:t>
            </w:r>
          </w:p>
        </w:tc>
        <w:tc>
          <w:tcPr>
            <w:tcW w:w="0" w:type="dxa"/>
            <w:vAlign w:val="center"/>
          </w:tcPr>
          <w:p w14:paraId="116F1864">
            <w:pPr>
              <w:spacing w:line="240" w:lineRule="auto"/>
              <w:jc w:val="right"/>
            </w:pPr>
            <w:r>
              <w:rPr>
                <w:rFonts w:ascii="宋体" w:hAnsi="宋体" w:eastAsia="宋体" w:cs="宋体"/>
                <w:b w:val="0"/>
              </w:rPr>
              <w:t>7,234,856.48</w:t>
            </w:r>
          </w:p>
        </w:tc>
        <w:tc>
          <w:tcPr>
            <w:tcW w:w="0" w:type="dxa"/>
            <w:vAlign w:val="center"/>
          </w:tcPr>
          <w:p w14:paraId="489FA3DA">
            <w:pPr>
              <w:spacing w:line="240" w:lineRule="auto"/>
              <w:jc w:val="right"/>
            </w:pPr>
            <w:r>
              <w:rPr>
                <w:rFonts w:ascii="宋体" w:hAnsi="宋体" w:eastAsia="宋体" w:cs="宋体"/>
                <w:b w:val="0"/>
              </w:rPr>
              <w:t>14.13</w:t>
            </w:r>
          </w:p>
        </w:tc>
      </w:tr>
      <w:tr w14:paraId="3635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AAE746">
            <w:pPr>
              <w:spacing w:line="240" w:lineRule="auto"/>
              <w:jc w:val="left"/>
            </w:pPr>
            <w:r>
              <w:rPr>
                <w:rFonts w:ascii="宋体" w:hAnsi="宋体" w:eastAsia="宋体" w:cs="宋体"/>
                <w:b w:val="0"/>
              </w:rPr>
              <w:t>合计</w:t>
            </w:r>
          </w:p>
        </w:tc>
        <w:tc>
          <w:tcPr>
            <w:tcW w:w="0" w:type="dxa"/>
            <w:vAlign w:val="center"/>
          </w:tcPr>
          <w:p w14:paraId="1456E399">
            <w:pPr>
              <w:spacing w:line="240" w:lineRule="auto"/>
              <w:jc w:val="right"/>
            </w:pPr>
            <w:r>
              <w:rPr>
                <w:rFonts w:ascii="宋体" w:hAnsi="宋体" w:eastAsia="宋体" w:cs="宋体"/>
                <w:b w:val="0"/>
              </w:rPr>
              <w:t>16,727,899.53</w:t>
            </w:r>
          </w:p>
        </w:tc>
        <w:tc>
          <w:tcPr>
            <w:tcW w:w="0" w:type="dxa"/>
            <w:vAlign w:val="center"/>
          </w:tcPr>
          <w:p w14:paraId="04EF8BCF">
            <w:pPr>
              <w:spacing w:line="240" w:lineRule="auto"/>
              <w:jc w:val="right"/>
            </w:pPr>
            <w:r>
              <w:rPr>
                <w:rFonts w:ascii="宋体" w:hAnsi="宋体" w:eastAsia="宋体" w:cs="宋体"/>
                <w:b w:val="0"/>
              </w:rPr>
              <w:t>32.67</w:t>
            </w:r>
          </w:p>
        </w:tc>
      </w:tr>
    </w:tbl>
    <w:p w14:paraId="053238FC"/>
    <w:p w14:paraId="4587BAC4">
      <w:pPr>
        <w:pStyle w:val="3"/>
        <w:jc w:val="left"/>
      </w:pPr>
      <w:bookmarkStart w:id="35" w:name="_Toc7142"/>
      <w:r>
        <w:rPr>
          <w:rFonts w:ascii="宋体" w:hAnsi="宋体" w:eastAsia="宋体" w:cs="宋体"/>
        </w:rPr>
        <w:t>7.3 期末按公允价值占基金资产净值比例大小排序的所有股票投资明细</w:t>
      </w:r>
      <w:bookmarkEnd w:id="35"/>
    </w:p>
    <w:p w14:paraId="19BAD6B9">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548"/>
        <w:gridCol w:w="2168"/>
      </w:tblGrid>
      <w:tr w14:paraId="31D6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25587E1">
            <w:pPr>
              <w:spacing w:line="240" w:lineRule="auto"/>
              <w:jc w:val="center"/>
            </w:pPr>
            <w:r>
              <w:rPr>
                <w:rFonts w:ascii="宋体" w:hAnsi="宋体" w:eastAsia="宋体" w:cs="宋体"/>
                <w:b w:val="0"/>
              </w:rPr>
              <w:t>序号</w:t>
            </w:r>
          </w:p>
        </w:tc>
        <w:tc>
          <w:tcPr>
            <w:tcW w:w="769" w:type="pct"/>
            <w:shd w:val="clear" w:color="auto" w:fill="D9D9D9"/>
            <w:vAlign w:val="center"/>
          </w:tcPr>
          <w:p w14:paraId="15CDB47F">
            <w:pPr>
              <w:spacing w:line="240" w:lineRule="auto"/>
              <w:jc w:val="center"/>
            </w:pPr>
            <w:r>
              <w:rPr>
                <w:rFonts w:ascii="宋体" w:hAnsi="宋体" w:eastAsia="宋体" w:cs="宋体"/>
                <w:b w:val="0"/>
              </w:rPr>
              <w:t>股票代码</w:t>
            </w:r>
          </w:p>
        </w:tc>
        <w:tc>
          <w:tcPr>
            <w:tcW w:w="769" w:type="pct"/>
            <w:shd w:val="clear" w:color="auto" w:fill="D9D9D9"/>
            <w:vAlign w:val="center"/>
          </w:tcPr>
          <w:p w14:paraId="386ACB0B">
            <w:pPr>
              <w:spacing w:line="240" w:lineRule="auto"/>
              <w:jc w:val="center"/>
            </w:pPr>
            <w:r>
              <w:rPr>
                <w:rFonts w:ascii="宋体" w:hAnsi="宋体" w:eastAsia="宋体" w:cs="宋体"/>
                <w:b w:val="0"/>
              </w:rPr>
              <w:t>股票名称</w:t>
            </w:r>
          </w:p>
        </w:tc>
        <w:tc>
          <w:tcPr>
            <w:tcW w:w="615" w:type="pct"/>
            <w:shd w:val="clear" w:color="auto" w:fill="D9D9D9"/>
            <w:vAlign w:val="center"/>
          </w:tcPr>
          <w:p w14:paraId="2FAD4379">
            <w:pPr>
              <w:spacing w:line="240" w:lineRule="auto"/>
              <w:jc w:val="center"/>
            </w:pPr>
            <w:r>
              <w:rPr>
                <w:rFonts w:ascii="宋体" w:hAnsi="宋体" w:eastAsia="宋体" w:cs="宋体"/>
                <w:b w:val="0"/>
              </w:rPr>
              <w:t>数量(股)</w:t>
            </w:r>
          </w:p>
        </w:tc>
        <w:tc>
          <w:tcPr>
            <w:tcW w:w="769" w:type="pct"/>
            <w:shd w:val="clear" w:color="auto" w:fill="D9D9D9"/>
            <w:vAlign w:val="center"/>
          </w:tcPr>
          <w:p w14:paraId="7514F360">
            <w:pPr>
              <w:spacing w:line="240" w:lineRule="auto"/>
              <w:jc w:val="center"/>
            </w:pPr>
            <w:r>
              <w:rPr>
                <w:rFonts w:ascii="宋体" w:hAnsi="宋体" w:eastAsia="宋体" w:cs="宋体"/>
                <w:b w:val="0"/>
              </w:rPr>
              <w:t>公允价值</w:t>
            </w:r>
          </w:p>
        </w:tc>
        <w:tc>
          <w:tcPr>
            <w:tcW w:w="1077" w:type="pct"/>
            <w:shd w:val="clear" w:color="auto" w:fill="D9D9D9"/>
            <w:vAlign w:val="center"/>
          </w:tcPr>
          <w:p w14:paraId="0AF32090">
            <w:pPr>
              <w:spacing w:line="240" w:lineRule="auto"/>
              <w:jc w:val="center"/>
            </w:pPr>
            <w:r>
              <w:rPr>
                <w:rFonts w:ascii="宋体" w:hAnsi="宋体" w:eastAsia="宋体" w:cs="宋体"/>
                <w:b w:val="0"/>
              </w:rPr>
              <w:t>占基金资产净值比例(%)</w:t>
            </w:r>
          </w:p>
        </w:tc>
      </w:tr>
      <w:tr w14:paraId="2863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0CACCD">
            <w:pPr>
              <w:spacing w:line="240" w:lineRule="auto"/>
              <w:jc w:val="center"/>
            </w:pPr>
            <w:r>
              <w:rPr>
                <w:rFonts w:ascii="宋体" w:hAnsi="宋体" w:eastAsia="宋体" w:cs="宋体"/>
                <w:b w:val="0"/>
              </w:rPr>
              <w:t>1</w:t>
            </w:r>
          </w:p>
        </w:tc>
        <w:tc>
          <w:tcPr>
            <w:tcW w:w="0" w:type="dxa"/>
            <w:vAlign w:val="center"/>
          </w:tcPr>
          <w:p w14:paraId="21616CE1">
            <w:pPr>
              <w:spacing w:line="240" w:lineRule="auto"/>
              <w:jc w:val="left"/>
            </w:pPr>
            <w:r>
              <w:rPr>
                <w:rFonts w:ascii="宋体" w:hAnsi="宋体" w:eastAsia="宋体" w:cs="宋体"/>
                <w:b w:val="0"/>
              </w:rPr>
              <w:t>600690</w:t>
            </w:r>
          </w:p>
        </w:tc>
        <w:tc>
          <w:tcPr>
            <w:tcW w:w="0" w:type="dxa"/>
            <w:vAlign w:val="center"/>
          </w:tcPr>
          <w:p w14:paraId="7D1A0084">
            <w:pPr>
              <w:spacing w:line="240" w:lineRule="auto"/>
              <w:jc w:val="left"/>
            </w:pPr>
            <w:r>
              <w:rPr>
                <w:rFonts w:ascii="宋体" w:hAnsi="宋体" w:eastAsia="宋体" w:cs="宋体"/>
                <w:b w:val="0"/>
              </w:rPr>
              <w:t>海尔智家</w:t>
            </w:r>
          </w:p>
        </w:tc>
        <w:tc>
          <w:tcPr>
            <w:tcW w:w="0" w:type="dxa"/>
            <w:vAlign w:val="center"/>
          </w:tcPr>
          <w:p w14:paraId="4524B6C4">
            <w:pPr>
              <w:spacing w:line="240" w:lineRule="auto"/>
              <w:jc w:val="right"/>
            </w:pPr>
            <w:r>
              <w:rPr>
                <w:rFonts w:ascii="宋体" w:hAnsi="宋体" w:eastAsia="宋体" w:cs="宋体"/>
                <w:b w:val="0"/>
              </w:rPr>
              <w:t>240,000</w:t>
            </w:r>
          </w:p>
        </w:tc>
        <w:tc>
          <w:tcPr>
            <w:tcW w:w="0" w:type="dxa"/>
            <w:vAlign w:val="center"/>
          </w:tcPr>
          <w:p w14:paraId="6D2683FC">
            <w:pPr>
              <w:spacing w:line="240" w:lineRule="auto"/>
              <w:jc w:val="right"/>
            </w:pPr>
            <w:r>
              <w:rPr>
                <w:rFonts w:ascii="宋体" w:hAnsi="宋体" w:eastAsia="宋体" w:cs="宋体"/>
                <w:b w:val="0"/>
              </w:rPr>
              <w:t>4,898,400.00</w:t>
            </w:r>
          </w:p>
        </w:tc>
        <w:tc>
          <w:tcPr>
            <w:tcW w:w="0" w:type="dxa"/>
            <w:vAlign w:val="center"/>
          </w:tcPr>
          <w:p w14:paraId="655888D6">
            <w:pPr>
              <w:spacing w:line="240" w:lineRule="auto"/>
              <w:jc w:val="right"/>
            </w:pPr>
            <w:r>
              <w:rPr>
                <w:rFonts w:ascii="宋体" w:hAnsi="宋体" w:eastAsia="宋体" w:cs="宋体"/>
                <w:b w:val="0"/>
              </w:rPr>
              <w:t>9.57</w:t>
            </w:r>
          </w:p>
        </w:tc>
      </w:tr>
      <w:tr w14:paraId="11C3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53B8A2">
            <w:pPr>
              <w:spacing w:line="240" w:lineRule="auto"/>
              <w:jc w:val="center"/>
            </w:pPr>
            <w:r>
              <w:rPr>
                <w:rFonts w:ascii="宋体" w:hAnsi="宋体" w:eastAsia="宋体" w:cs="宋体"/>
                <w:b w:val="0"/>
              </w:rPr>
              <w:t>2</w:t>
            </w:r>
          </w:p>
        </w:tc>
        <w:tc>
          <w:tcPr>
            <w:tcW w:w="0" w:type="dxa"/>
            <w:vAlign w:val="center"/>
          </w:tcPr>
          <w:p w14:paraId="0EB03A19">
            <w:pPr>
              <w:spacing w:line="240" w:lineRule="auto"/>
              <w:jc w:val="left"/>
            </w:pPr>
            <w:r>
              <w:rPr>
                <w:rFonts w:ascii="宋体" w:hAnsi="宋体" w:eastAsia="宋体" w:cs="宋体"/>
                <w:b w:val="0"/>
              </w:rPr>
              <w:t>603129</w:t>
            </w:r>
          </w:p>
        </w:tc>
        <w:tc>
          <w:tcPr>
            <w:tcW w:w="0" w:type="dxa"/>
            <w:vAlign w:val="center"/>
          </w:tcPr>
          <w:p w14:paraId="59DDAC44">
            <w:pPr>
              <w:spacing w:line="240" w:lineRule="auto"/>
              <w:jc w:val="left"/>
            </w:pPr>
            <w:r>
              <w:rPr>
                <w:rFonts w:ascii="宋体" w:hAnsi="宋体" w:eastAsia="宋体" w:cs="宋体"/>
                <w:b w:val="0"/>
              </w:rPr>
              <w:t>春风动力</w:t>
            </w:r>
          </w:p>
        </w:tc>
        <w:tc>
          <w:tcPr>
            <w:tcW w:w="0" w:type="dxa"/>
            <w:vAlign w:val="center"/>
          </w:tcPr>
          <w:p w14:paraId="05C6E9E5">
            <w:pPr>
              <w:spacing w:line="240" w:lineRule="auto"/>
              <w:jc w:val="right"/>
            </w:pPr>
            <w:r>
              <w:rPr>
                <w:rFonts w:ascii="宋体" w:hAnsi="宋体" w:eastAsia="宋体" w:cs="宋体"/>
                <w:b w:val="0"/>
              </w:rPr>
              <w:t>19,000</w:t>
            </w:r>
          </w:p>
        </w:tc>
        <w:tc>
          <w:tcPr>
            <w:tcW w:w="0" w:type="dxa"/>
            <w:vAlign w:val="center"/>
          </w:tcPr>
          <w:p w14:paraId="775DAEFE">
            <w:pPr>
              <w:spacing w:line="240" w:lineRule="auto"/>
              <w:jc w:val="right"/>
            </w:pPr>
            <w:r>
              <w:rPr>
                <w:rFonts w:ascii="宋体" w:hAnsi="宋体" w:eastAsia="宋体" w:cs="宋体"/>
                <w:b w:val="0"/>
              </w:rPr>
              <w:t>4,860,200.00</w:t>
            </w:r>
          </w:p>
        </w:tc>
        <w:tc>
          <w:tcPr>
            <w:tcW w:w="0" w:type="dxa"/>
            <w:vAlign w:val="center"/>
          </w:tcPr>
          <w:p w14:paraId="69854C90">
            <w:pPr>
              <w:spacing w:line="240" w:lineRule="auto"/>
              <w:jc w:val="right"/>
            </w:pPr>
            <w:r>
              <w:rPr>
                <w:rFonts w:ascii="宋体" w:hAnsi="宋体" w:eastAsia="宋体" w:cs="宋体"/>
                <w:b w:val="0"/>
              </w:rPr>
              <w:t>9.49</w:t>
            </w:r>
          </w:p>
        </w:tc>
      </w:tr>
      <w:tr w14:paraId="5F46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9F59E7">
            <w:pPr>
              <w:spacing w:line="240" w:lineRule="auto"/>
              <w:jc w:val="center"/>
            </w:pPr>
            <w:r>
              <w:rPr>
                <w:rFonts w:ascii="宋体" w:hAnsi="宋体" w:eastAsia="宋体" w:cs="宋体"/>
                <w:b w:val="0"/>
              </w:rPr>
              <w:t>3</w:t>
            </w:r>
          </w:p>
        </w:tc>
        <w:tc>
          <w:tcPr>
            <w:tcW w:w="0" w:type="dxa"/>
            <w:vAlign w:val="center"/>
          </w:tcPr>
          <w:p w14:paraId="54EED9CD">
            <w:pPr>
              <w:spacing w:line="240" w:lineRule="auto"/>
              <w:jc w:val="left"/>
            </w:pPr>
            <w:r>
              <w:rPr>
                <w:rFonts w:ascii="宋体" w:hAnsi="宋体" w:eastAsia="宋体" w:cs="宋体"/>
                <w:b w:val="0"/>
              </w:rPr>
              <w:t>000333</w:t>
            </w:r>
          </w:p>
        </w:tc>
        <w:tc>
          <w:tcPr>
            <w:tcW w:w="0" w:type="dxa"/>
            <w:vAlign w:val="center"/>
          </w:tcPr>
          <w:p w14:paraId="5510CF44">
            <w:pPr>
              <w:spacing w:line="240" w:lineRule="auto"/>
              <w:jc w:val="left"/>
            </w:pPr>
            <w:r>
              <w:rPr>
                <w:rFonts w:ascii="宋体" w:hAnsi="宋体" w:eastAsia="宋体" w:cs="宋体"/>
                <w:b w:val="0"/>
              </w:rPr>
              <w:t>美的集团</w:t>
            </w:r>
          </w:p>
        </w:tc>
        <w:tc>
          <w:tcPr>
            <w:tcW w:w="0" w:type="dxa"/>
            <w:vAlign w:val="center"/>
          </w:tcPr>
          <w:p w14:paraId="048E30CF">
            <w:pPr>
              <w:spacing w:line="240" w:lineRule="auto"/>
              <w:jc w:val="right"/>
            </w:pPr>
            <w:r>
              <w:rPr>
                <w:rFonts w:ascii="宋体" w:hAnsi="宋体" w:eastAsia="宋体" w:cs="宋体"/>
                <w:b w:val="0"/>
              </w:rPr>
              <w:t>60,000</w:t>
            </w:r>
          </w:p>
        </w:tc>
        <w:tc>
          <w:tcPr>
            <w:tcW w:w="0" w:type="dxa"/>
            <w:vAlign w:val="center"/>
          </w:tcPr>
          <w:p w14:paraId="2AF75EF2">
            <w:pPr>
              <w:spacing w:line="240" w:lineRule="auto"/>
              <w:jc w:val="right"/>
            </w:pPr>
            <w:r>
              <w:rPr>
                <w:rFonts w:ascii="宋体" w:hAnsi="宋体" w:eastAsia="宋体" w:cs="宋体"/>
                <w:b w:val="0"/>
              </w:rPr>
              <w:t>4,531,800.00</w:t>
            </w:r>
          </w:p>
        </w:tc>
        <w:tc>
          <w:tcPr>
            <w:tcW w:w="0" w:type="dxa"/>
            <w:vAlign w:val="center"/>
          </w:tcPr>
          <w:p w14:paraId="0FEEB9A7">
            <w:pPr>
              <w:spacing w:line="240" w:lineRule="auto"/>
              <w:jc w:val="right"/>
            </w:pPr>
            <w:r>
              <w:rPr>
                <w:rFonts w:ascii="宋体" w:hAnsi="宋体" w:eastAsia="宋体" w:cs="宋体"/>
                <w:b w:val="0"/>
              </w:rPr>
              <w:t>8.85</w:t>
            </w:r>
          </w:p>
        </w:tc>
      </w:tr>
      <w:tr w14:paraId="0E51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A4DFEC">
            <w:pPr>
              <w:spacing w:line="240" w:lineRule="auto"/>
              <w:jc w:val="center"/>
            </w:pPr>
            <w:r>
              <w:rPr>
                <w:rFonts w:ascii="宋体" w:hAnsi="宋体" w:eastAsia="宋体" w:cs="宋体"/>
                <w:b w:val="0"/>
              </w:rPr>
              <w:t>4</w:t>
            </w:r>
          </w:p>
        </w:tc>
        <w:tc>
          <w:tcPr>
            <w:tcW w:w="0" w:type="dxa"/>
            <w:vAlign w:val="center"/>
          </w:tcPr>
          <w:p w14:paraId="6B843500">
            <w:pPr>
              <w:spacing w:line="240" w:lineRule="auto"/>
              <w:jc w:val="left"/>
            </w:pPr>
            <w:r>
              <w:rPr>
                <w:rFonts w:ascii="宋体" w:hAnsi="宋体" w:eastAsia="宋体" w:cs="宋体"/>
                <w:b w:val="0"/>
              </w:rPr>
              <w:t>300833</w:t>
            </w:r>
          </w:p>
        </w:tc>
        <w:tc>
          <w:tcPr>
            <w:tcW w:w="0" w:type="dxa"/>
            <w:vAlign w:val="center"/>
          </w:tcPr>
          <w:p w14:paraId="08F85257">
            <w:pPr>
              <w:spacing w:line="240" w:lineRule="auto"/>
              <w:jc w:val="left"/>
            </w:pPr>
            <w:r>
              <w:rPr>
                <w:rFonts w:ascii="宋体" w:hAnsi="宋体" w:eastAsia="宋体" w:cs="宋体"/>
                <w:b w:val="0"/>
              </w:rPr>
              <w:t>浩洋股份</w:t>
            </w:r>
          </w:p>
        </w:tc>
        <w:tc>
          <w:tcPr>
            <w:tcW w:w="0" w:type="dxa"/>
            <w:vAlign w:val="center"/>
          </w:tcPr>
          <w:p w14:paraId="7E0D3472">
            <w:pPr>
              <w:spacing w:line="240" w:lineRule="auto"/>
              <w:jc w:val="right"/>
            </w:pPr>
            <w:r>
              <w:rPr>
                <w:rFonts w:ascii="宋体" w:hAnsi="宋体" w:eastAsia="宋体" w:cs="宋体"/>
                <w:b w:val="0"/>
              </w:rPr>
              <w:t>147,300</w:t>
            </w:r>
          </w:p>
        </w:tc>
        <w:tc>
          <w:tcPr>
            <w:tcW w:w="0" w:type="dxa"/>
            <w:vAlign w:val="center"/>
          </w:tcPr>
          <w:p w14:paraId="6146FC06">
            <w:pPr>
              <w:spacing w:line="240" w:lineRule="auto"/>
              <w:jc w:val="right"/>
            </w:pPr>
            <w:r>
              <w:rPr>
                <w:rFonts w:ascii="宋体" w:hAnsi="宋体" w:eastAsia="宋体" w:cs="宋体"/>
                <w:b w:val="0"/>
              </w:rPr>
              <w:t>4,445,514.00</w:t>
            </w:r>
          </w:p>
        </w:tc>
        <w:tc>
          <w:tcPr>
            <w:tcW w:w="0" w:type="dxa"/>
            <w:vAlign w:val="center"/>
          </w:tcPr>
          <w:p w14:paraId="0B8D118C">
            <w:pPr>
              <w:spacing w:line="240" w:lineRule="auto"/>
              <w:jc w:val="right"/>
            </w:pPr>
            <w:r>
              <w:rPr>
                <w:rFonts w:ascii="宋体" w:hAnsi="宋体" w:eastAsia="宋体" w:cs="宋体"/>
                <w:b w:val="0"/>
              </w:rPr>
              <w:t>8.68</w:t>
            </w:r>
          </w:p>
        </w:tc>
      </w:tr>
      <w:tr w14:paraId="254F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A3A0CB">
            <w:pPr>
              <w:spacing w:line="240" w:lineRule="auto"/>
              <w:jc w:val="center"/>
            </w:pPr>
            <w:r>
              <w:rPr>
                <w:rFonts w:ascii="宋体" w:hAnsi="宋体" w:eastAsia="宋体" w:cs="宋体"/>
                <w:b w:val="0"/>
              </w:rPr>
              <w:t>5</w:t>
            </w:r>
          </w:p>
        </w:tc>
        <w:tc>
          <w:tcPr>
            <w:tcW w:w="0" w:type="dxa"/>
            <w:vAlign w:val="center"/>
          </w:tcPr>
          <w:p w14:paraId="7E834CDB">
            <w:pPr>
              <w:spacing w:line="240" w:lineRule="auto"/>
              <w:jc w:val="left"/>
            </w:pPr>
            <w:r>
              <w:rPr>
                <w:rFonts w:ascii="宋体" w:hAnsi="宋体" w:eastAsia="宋体" w:cs="宋体"/>
                <w:b w:val="0"/>
              </w:rPr>
              <w:t>002003</w:t>
            </w:r>
          </w:p>
        </w:tc>
        <w:tc>
          <w:tcPr>
            <w:tcW w:w="0" w:type="dxa"/>
            <w:vAlign w:val="center"/>
          </w:tcPr>
          <w:p w14:paraId="3D1B6096">
            <w:pPr>
              <w:spacing w:line="240" w:lineRule="auto"/>
              <w:jc w:val="left"/>
            </w:pPr>
            <w:r>
              <w:rPr>
                <w:rFonts w:ascii="宋体" w:hAnsi="宋体" w:eastAsia="宋体" w:cs="宋体"/>
                <w:b w:val="0"/>
              </w:rPr>
              <w:t>伟星股份</w:t>
            </w:r>
          </w:p>
        </w:tc>
        <w:tc>
          <w:tcPr>
            <w:tcW w:w="0" w:type="dxa"/>
            <w:vAlign w:val="center"/>
          </w:tcPr>
          <w:p w14:paraId="3FAB55DA">
            <w:pPr>
              <w:spacing w:line="240" w:lineRule="auto"/>
              <w:jc w:val="right"/>
            </w:pPr>
            <w:r>
              <w:rPr>
                <w:rFonts w:ascii="宋体" w:hAnsi="宋体" w:eastAsia="宋体" w:cs="宋体"/>
                <w:b w:val="0"/>
              </w:rPr>
              <w:t>520,600</w:t>
            </w:r>
          </w:p>
        </w:tc>
        <w:tc>
          <w:tcPr>
            <w:tcW w:w="0" w:type="dxa"/>
            <w:vAlign w:val="center"/>
          </w:tcPr>
          <w:p w14:paraId="136826E0">
            <w:pPr>
              <w:spacing w:line="240" w:lineRule="auto"/>
              <w:jc w:val="right"/>
            </w:pPr>
            <w:r>
              <w:rPr>
                <w:rFonts w:ascii="宋体" w:hAnsi="宋体" w:eastAsia="宋体" w:cs="宋体"/>
                <w:b w:val="0"/>
              </w:rPr>
              <w:t>4,383,452.00</w:t>
            </w:r>
          </w:p>
        </w:tc>
        <w:tc>
          <w:tcPr>
            <w:tcW w:w="0" w:type="dxa"/>
            <w:vAlign w:val="center"/>
          </w:tcPr>
          <w:p w14:paraId="0106CCF3">
            <w:pPr>
              <w:spacing w:line="240" w:lineRule="auto"/>
              <w:jc w:val="right"/>
            </w:pPr>
            <w:r>
              <w:rPr>
                <w:rFonts w:ascii="宋体" w:hAnsi="宋体" w:eastAsia="宋体" w:cs="宋体"/>
                <w:b w:val="0"/>
              </w:rPr>
              <w:t>8.56</w:t>
            </w:r>
          </w:p>
        </w:tc>
      </w:tr>
      <w:tr w14:paraId="5FE1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803B0">
            <w:pPr>
              <w:spacing w:line="240" w:lineRule="auto"/>
              <w:jc w:val="center"/>
            </w:pPr>
            <w:r>
              <w:rPr>
                <w:rFonts w:ascii="宋体" w:hAnsi="宋体" w:eastAsia="宋体" w:cs="宋体"/>
                <w:b w:val="0"/>
              </w:rPr>
              <w:t>6</w:t>
            </w:r>
          </w:p>
        </w:tc>
        <w:tc>
          <w:tcPr>
            <w:tcW w:w="0" w:type="dxa"/>
            <w:vAlign w:val="center"/>
          </w:tcPr>
          <w:p w14:paraId="6C6DC80D">
            <w:pPr>
              <w:spacing w:line="240" w:lineRule="auto"/>
              <w:jc w:val="left"/>
            </w:pPr>
            <w:r>
              <w:rPr>
                <w:rFonts w:ascii="宋体" w:hAnsi="宋体" w:eastAsia="宋体" w:cs="宋体"/>
                <w:b w:val="0"/>
              </w:rPr>
              <w:t>06049</w:t>
            </w:r>
          </w:p>
        </w:tc>
        <w:tc>
          <w:tcPr>
            <w:tcW w:w="0" w:type="dxa"/>
            <w:vAlign w:val="center"/>
          </w:tcPr>
          <w:p w14:paraId="5AB0A871">
            <w:pPr>
              <w:spacing w:line="240" w:lineRule="auto"/>
              <w:jc w:val="left"/>
            </w:pPr>
            <w:r>
              <w:rPr>
                <w:rFonts w:ascii="宋体" w:hAnsi="宋体" w:eastAsia="宋体" w:cs="宋体"/>
                <w:b w:val="0"/>
              </w:rPr>
              <w:t>保利物业</w:t>
            </w:r>
          </w:p>
        </w:tc>
        <w:tc>
          <w:tcPr>
            <w:tcW w:w="0" w:type="dxa"/>
            <w:vAlign w:val="center"/>
          </w:tcPr>
          <w:p w14:paraId="5CDA2661">
            <w:pPr>
              <w:spacing w:line="240" w:lineRule="auto"/>
              <w:jc w:val="right"/>
            </w:pPr>
            <w:r>
              <w:rPr>
                <w:rFonts w:ascii="宋体" w:hAnsi="宋体" w:eastAsia="宋体" w:cs="宋体"/>
                <w:b w:val="0"/>
              </w:rPr>
              <w:t>166,000</w:t>
            </w:r>
          </w:p>
        </w:tc>
        <w:tc>
          <w:tcPr>
            <w:tcW w:w="0" w:type="dxa"/>
            <w:vAlign w:val="center"/>
          </w:tcPr>
          <w:p w14:paraId="52DAB2DC">
            <w:pPr>
              <w:spacing w:line="240" w:lineRule="auto"/>
              <w:jc w:val="right"/>
            </w:pPr>
            <w:r>
              <w:rPr>
                <w:rFonts w:ascii="宋体" w:hAnsi="宋体" w:eastAsia="宋体" w:cs="宋体"/>
                <w:b w:val="0"/>
              </w:rPr>
              <w:t>3,714,058.77</w:t>
            </w:r>
          </w:p>
        </w:tc>
        <w:tc>
          <w:tcPr>
            <w:tcW w:w="0" w:type="dxa"/>
            <w:vAlign w:val="center"/>
          </w:tcPr>
          <w:p w14:paraId="6586890C">
            <w:pPr>
              <w:spacing w:line="240" w:lineRule="auto"/>
              <w:jc w:val="right"/>
            </w:pPr>
            <w:r>
              <w:rPr>
                <w:rFonts w:ascii="宋体" w:hAnsi="宋体" w:eastAsia="宋体" w:cs="宋体"/>
                <w:b w:val="0"/>
              </w:rPr>
              <w:t>7.25</w:t>
            </w:r>
          </w:p>
        </w:tc>
      </w:tr>
      <w:tr w14:paraId="7F27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712804">
            <w:pPr>
              <w:spacing w:line="240" w:lineRule="auto"/>
              <w:jc w:val="center"/>
            </w:pPr>
            <w:r>
              <w:rPr>
                <w:rFonts w:ascii="宋体" w:hAnsi="宋体" w:eastAsia="宋体" w:cs="宋体"/>
                <w:b w:val="0"/>
              </w:rPr>
              <w:t>7</w:t>
            </w:r>
          </w:p>
        </w:tc>
        <w:tc>
          <w:tcPr>
            <w:tcW w:w="0" w:type="dxa"/>
            <w:vAlign w:val="center"/>
          </w:tcPr>
          <w:p w14:paraId="4D0C28BE">
            <w:pPr>
              <w:spacing w:line="240" w:lineRule="auto"/>
              <w:jc w:val="left"/>
            </w:pPr>
            <w:r>
              <w:rPr>
                <w:rFonts w:ascii="宋体" w:hAnsi="宋体" w:eastAsia="宋体" w:cs="宋体"/>
                <w:b w:val="0"/>
              </w:rPr>
              <w:t>02669</w:t>
            </w:r>
          </w:p>
        </w:tc>
        <w:tc>
          <w:tcPr>
            <w:tcW w:w="0" w:type="dxa"/>
            <w:vAlign w:val="center"/>
          </w:tcPr>
          <w:p w14:paraId="528C680D">
            <w:pPr>
              <w:spacing w:line="240" w:lineRule="auto"/>
              <w:jc w:val="left"/>
            </w:pPr>
            <w:r>
              <w:rPr>
                <w:rFonts w:ascii="宋体" w:hAnsi="宋体" w:eastAsia="宋体" w:cs="宋体"/>
                <w:b w:val="0"/>
              </w:rPr>
              <w:t>中海物业</w:t>
            </w:r>
          </w:p>
        </w:tc>
        <w:tc>
          <w:tcPr>
            <w:tcW w:w="0" w:type="dxa"/>
            <w:vAlign w:val="center"/>
          </w:tcPr>
          <w:p w14:paraId="50E429CD">
            <w:pPr>
              <w:spacing w:line="240" w:lineRule="auto"/>
              <w:jc w:val="right"/>
            </w:pPr>
            <w:r>
              <w:rPr>
                <w:rFonts w:ascii="宋体" w:hAnsi="宋体" w:eastAsia="宋体" w:cs="宋体"/>
                <w:b w:val="0"/>
              </w:rPr>
              <w:t>1,255,000</w:t>
            </w:r>
          </w:p>
        </w:tc>
        <w:tc>
          <w:tcPr>
            <w:tcW w:w="0" w:type="dxa"/>
            <w:vAlign w:val="center"/>
          </w:tcPr>
          <w:p w14:paraId="300C788C">
            <w:pPr>
              <w:spacing w:line="240" w:lineRule="auto"/>
              <w:jc w:val="right"/>
            </w:pPr>
            <w:r>
              <w:rPr>
                <w:rFonts w:ascii="宋体" w:hAnsi="宋体" w:eastAsia="宋体" w:cs="宋体"/>
                <w:b w:val="0"/>
              </w:rPr>
              <w:t>3,520,797.71</w:t>
            </w:r>
          </w:p>
        </w:tc>
        <w:tc>
          <w:tcPr>
            <w:tcW w:w="0" w:type="dxa"/>
            <w:vAlign w:val="center"/>
          </w:tcPr>
          <w:p w14:paraId="1952E91E">
            <w:pPr>
              <w:spacing w:line="240" w:lineRule="auto"/>
              <w:jc w:val="right"/>
            </w:pPr>
            <w:r>
              <w:rPr>
                <w:rFonts w:ascii="宋体" w:hAnsi="宋体" w:eastAsia="宋体" w:cs="宋体"/>
                <w:b w:val="0"/>
              </w:rPr>
              <w:t>6.88</w:t>
            </w:r>
          </w:p>
        </w:tc>
      </w:tr>
      <w:tr w14:paraId="0DD7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1B056E">
            <w:pPr>
              <w:spacing w:line="240" w:lineRule="auto"/>
              <w:jc w:val="center"/>
            </w:pPr>
            <w:r>
              <w:rPr>
                <w:rFonts w:ascii="宋体" w:hAnsi="宋体" w:eastAsia="宋体" w:cs="宋体"/>
                <w:b w:val="0"/>
              </w:rPr>
              <w:t>8</w:t>
            </w:r>
          </w:p>
        </w:tc>
        <w:tc>
          <w:tcPr>
            <w:tcW w:w="0" w:type="dxa"/>
            <w:vAlign w:val="center"/>
          </w:tcPr>
          <w:p w14:paraId="2EF79E4C">
            <w:pPr>
              <w:spacing w:line="240" w:lineRule="auto"/>
              <w:jc w:val="left"/>
            </w:pPr>
            <w:r>
              <w:rPr>
                <w:rFonts w:ascii="宋体" w:hAnsi="宋体" w:eastAsia="宋体" w:cs="宋体"/>
                <w:b w:val="0"/>
              </w:rPr>
              <w:t>00883</w:t>
            </w:r>
          </w:p>
        </w:tc>
        <w:tc>
          <w:tcPr>
            <w:tcW w:w="0" w:type="dxa"/>
            <w:vAlign w:val="center"/>
          </w:tcPr>
          <w:p w14:paraId="6BB3893D">
            <w:pPr>
              <w:spacing w:line="240" w:lineRule="auto"/>
              <w:jc w:val="left"/>
            </w:pPr>
            <w:r>
              <w:rPr>
                <w:rFonts w:ascii="宋体" w:hAnsi="宋体" w:eastAsia="宋体" w:cs="宋体"/>
                <w:b w:val="0"/>
              </w:rPr>
              <w:t>中国海洋石油</w:t>
            </w:r>
          </w:p>
        </w:tc>
        <w:tc>
          <w:tcPr>
            <w:tcW w:w="0" w:type="dxa"/>
            <w:vAlign w:val="center"/>
          </w:tcPr>
          <w:p w14:paraId="2FE5A1E8">
            <w:pPr>
              <w:spacing w:line="240" w:lineRule="auto"/>
              <w:jc w:val="right"/>
            </w:pPr>
            <w:r>
              <w:rPr>
                <w:rFonts w:ascii="宋体" w:hAnsi="宋体" w:eastAsia="宋体" w:cs="宋体"/>
                <w:b w:val="0"/>
              </w:rPr>
              <w:t>196,000</w:t>
            </w:r>
          </w:p>
        </w:tc>
        <w:tc>
          <w:tcPr>
            <w:tcW w:w="0" w:type="dxa"/>
            <w:vAlign w:val="center"/>
          </w:tcPr>
          <w:p w14:paraId="3B51EB30">
            <w:pPr>
              <w:spacing w:line="240" w:lineRule="auto"/>
              <w:jc w:val="right"/>
            </w:pPr>
            <w:r>
              <w:rPr>
                <w:rFonts w:ascii="宋体" w:hAnsi="宋体" w:eastAsia="宋体" w:cs="宋体"/>
                <w:b w:val="0"/>
              </w:rPr>
              <w:t>3,459,191.46</w:t>
            </w:r>
          </w:p>
        </w:tc>
        <w:tc>
          <w:tcPr>
            <w:tcW w:w="0" w:type="dxa"/>
            <w:vAlign w:val="center"/>
          </w:tcPr>
          <w:p w14:paraId="2D421E4E">
            <w:pPr>
              <w:spacing w:line="240" w:lineRule="auto"/>
              <w:jc w:val="right"/>
            </w:pPr>
            <w:r>
              <w:rPr>
                <w:rFonts w:ascii="宋体" w:hAnsi="宋体" w:eastAsia="宋体" w:cs="宋体"/>
                <w:b w:val="0"/>
              </w:rPr>
              <w:t>6.76</w:t>
            </w:r>
          </w:p>
        </w:tc>
      </w:tr>
      <w:tr w14:paraId="5BD2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C7460A">
            <w:pPr>
              <w:spacing w:line="240" w:lineRule="auto"/>
              <w:jc w:val="center"/>
            </w:pPr>
            <w:r>
              <w:rPr>
                <w:rFonts w:ascii="宋体" w:hAnsi="宋体" w:eastAsia="宋体" w:cs="宋体"/>
                <w:b w:val="0"/>
              </w:rPr>
              <w:t>9</w:t>
            </w:r>
          </w:p>
        </w:tc>
        <w:tc>
          <w:tcPr>
            <w:tcW w:w="0" w:type="dxa"/>
            <w:vAlign w:val="center"/>
          </w:tcPr>
          <w:p w14:paraId="58C19B85">
            <w:pPr>
              <w:spacing w:line="240" w:lineRule="auto"/>
              <w:jc w:val="left"/>
            </w:pPr>
            <w:r>
              <w:rPr>
                <w:rFonts w:ascii="宋体" w:hAnsi="宋体" w:eastAsia="宋体" w:cs="宋体"/>
                <w:b w:val="0"/>
              </w:rPr>
              <w:t>00038</w:t>
            </w:r>
          </w:p>
        </w:tc>
        <w:tc>
          <w:tcPr>
            <w:tcW w:w="0" w:type="dxa"/>
            <w:vAlign w:val="center"/>
          </w:tcPr>
          <w:p w14:paraId="5970B39D">
            <w:pPr>
              <w:spacing w:line="240" w:lineRule="auto"/>
              <w:jc w:val="left"/>
            </w:pPr>
            <w:r>
              <w:rPr>
                <w:rFonts w:ascii="宋体" w:hAnsi="宋体" w:eastAsia="宋体" w:cs="宋体"/>
                <w:b w:val="0"/>
              </w:rPr>
              <w:t>第一拖拉机股份</w:t>
            </w:r>
          </w:p>
        </w:tc>
        <w:tc>
          <w:tcPr>
            <w:tcW w:w="0" w:type="dxa"/>
            <w:vAlign w:val="center"/>
          </w:tcPr>
          <w:p w14:paraId="0AD8D716">
            <w:pPr>
              <w:spacing w:line="240" w:lineRule="auto"/>
              <w:jc w:val="right"/>
            </w:pPr>
            <w:r>
              <w:rPr>
                <w:rFonts w:ascii="宋体" w:hAnsi="宋体" w:eastAsia="宋体" w:cs="宋体"/>
                <w:b w:val="0"/>
              </w:rPr>
              <w:t>576,000</w:t>
            </w:r>
          </w:p>
        </w:tc>
        <w:tc>
          <w:tcPr>
            <w:tcW w:w="0" w:type="dxa"/>
            <w:vAlign w:val="center"/>
          </w:tcPr>
          <w:p w14:paraId="30940B63">
            <w:pPr>
              <w:spacing w:line="240" w:lineRule="auto"/>
              <w:jc w:val="right"/>
            </w:pPr>
            <w:r>
              <w:rPr>
                <w:rFonts w:ascii="宋体" w:hAnsi="宋体" w:eastAsia="宋体" w:cs="宋体"/>
                <w:b w:val="0"/>
              </w:rPr>
              <w:t>3,346,905.31</w:t>
            </w:r>
          </w:p>
        </w:tc>
        <w:tc>
          <w:tcPr>
            <w:tcW w:w="0" w:type="dxa"/>
            <w:vAlign w:val="center"/>
          </w:tcPr>
          <w:p w14:paraId="1CBB7B7A">
            <w:pPr>
              <w:spacing w:line="240" w:lineRule="auto"/>
              <w:jc w:val="right"/>
            </w:pPr>
            <w:r>
              <w:rPr>
                <w:rFonts w:ascii="宋体" w:hAnsi="宋体" w:eastAsia="宋体" w:cs="宋体"/>
                <w:b w:val="0"/>
              </w:rPr>
              <w:t>6.54</w:t>
            </w:r>
          </w:p>
        </w:tc>
      </w:tr>
      <w:tr w14:paraId="240E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4B4509">
            <w:pPr>
              <w:spacing w:line="240" w:lineRule="auto"/>
              <w:jc w:val="center"/>
            </w:pPr>
            <w:r>
              <w:rPr>
                <w:rFonts w:ascii="宋体" w:hAnsi="宋体" w:eastAsia="宋体" w:cs="宋体"/>
                <w:b w:val="0"/>
              </w:rPr>
              <w:t>10</w:t>
            </w:r>
          </w:p>
        </w:tc>
        <w:tc>
          <w:tcPr>
            <w:tcW w:w="0" w:type="dxa"/>
            <w:vAlign w:val="center"/>
          </w:tcPr>
          <w:p w14:paraId="2BB85471">
            <w:pPr>
              <w:spacing w:line="240" w:lineRule="auto"/>
              <w:jc w:val="left"/>
            </w:pPr>
            <w:r>
              <w:rPr>
                <w:rFonts w:ascii="宋体" w:hAnsi="宋体" w:eastAsia="宋体" w:cs="宋体"/>
                <w:b w:val="0"/>
              </w:rPr>
              <w:t>002444</w:t>
            </w:r>
          </w:p>
        </w:tc>
        <w:tc>
          <w:tcPr>
            <w:tcW w:w="0" w:type="dxa"/>
            <w:vAlign w:val="center"/>
          </w:tcPr>
          <w:p w14:paraId="2B237AD9">
            <w:pPr>
              <w:spacing w:line="240" w:lineRule="auto"/>
              <w:jc w:val="left"/>
            </w:pPr>
            <w:r>
              <w:rPr>
                <w:rFonts w:ascii="宋体" w:hAnsi="宋体" w:eastAsia="宋体" w:cs="宋体"/>
                <w:b w:val="0"/>
              </w:rPr>
              <w:t>巨星科技</w:t>
            </w:r>
          </w:p>
        </w:tc>
        <w:tc>
          <w:tcPr>
            <w:tcW w:w="0" w:type="dxa"/>
            <w:vAlign w:val="center"/>
          </w:tcPr>
          <w:p w14:paraId="29039AE2">
            <w:pPr>
              <w:spacing w:line="240" w:lineRule="auto"/>
              <w:jc w:val="right"/>
            </w:pPr>
            <w:r>
              <w:rPr>
                <w:rFonts w:ascii="宋体" w:hAnsi="宋体" w:eastAsia="宋体" w:cs="宋体"/>
                <w:b w:val="0"/>
              </w:rPr>
              <w:t>98,000</w:t>
            </w:r>
          </w:p>
        </w:tc>
        <w:tc>
          <w:tcPr>
            <w:tcW w:w="0" w:type="dxa"/>
            <w:vAlign w:val="center"/>
          </w:tcPr>
          <w:p w14:paraId="2689A6E0">
            <w:pPr>
              <w:spacing w:line="240" w:lineRule="auto"/>
              <w:jc w:val="right"/>
            </w:pPr>
            <w:r>
              <w:rPr>
                <w:rFonts w:ascii="宋体" w:hAnsi="宋体" w:eastAsia="宋体" w:cs="宋体"/>
                <w:b w:val="0"/>
              </w:rPr>
              <w:t>3,047,800.00</w:t>
            </w:r>
          </w:p>
        </w:tc>
        <w:tc>
          <w:tcPr>
            <w:tcW w:w="0" w:type="dxa"/>
            <w:vAlign w:val="center"/>
          </w:tcPr>
          <w:p w14:paraId="2791B03F">
            <w:pPr>
              <w:spacing w:line="240" w:lineRule="auto"/>
              <w:jc w:val="right"/>
            </w:pPr>
            <w:r>
              <w:rPr>
                <w:rFonts w:ascii="宋体" w:hAnsi="宋体" w:eastAsia="宋体" w:cs="宋体"/>
                <w:b w:val="0"/>
              </w:rPr>
              <w:t>5.95</w:t>
            </w:r>
          </w:p>
        </w:tc>
      </w:tr>
      <w:tr w14:paraId="3596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F38052">
            <w:pPr>
              <w:spacing w:line="240" w:lineRule="auto"/>
              <w:jc w:val="center"/>
            </w:pPr>
            <w:r>
              <w:rPr>
                <w:rFonts w:ascii="宋体" w:hAnsi="宋体" w:eastAsia="宋体" w:cs="宋体"/>
                <w:b w:val="0"/>
              </w:rPr>
              <w:t>11</w:t>
            </w:r>
          </w:p>
        </w:tc>
        <w:tc>
          <w:tcPr>
            <w:tcW w:w="0" w:type="dxa"/>
            <w:vAlign w:val="center"/>
          </w:tcPr>
          <w:p w14:paraId="0F123758">
            <w:pPr>
              <w:spacing w:line="240" w:lineRule="auto"/>
              <w:jc w:val="left"/>
            </w:pPr>
            <w:r>
              <w:rPr>
                <w:rFonts w:ascii="宋体" w:hAnsi="宋体" w:eastAsia="宋体" w:cs="宋体"/>
                <w:b w:val="0"/>
              </w:rPr>
              <w:t>02273</w:t>
            </w:r>
          </w:p>
        </w:tc>
        <w:tc>
          <w:tcPr>
            <w:tcW w:w="0" w:type="dxa"/>
            <w:vAlign w:val="center"/>
          </w:tcPr>
          <w:p w14:paraId="5A675891">
            <w:pPr>
              <w:spacing w:line="240" w:lineRule="auto"/>
              <w:jc w:val="left"/>
            </w:pPr>
            <w:r>
              <w:rPr>
                <w:rFonts w:ascii="宋体" w:hAnsi="宋体" w:eastAsia="宋体" w:cs="宋体"/>
                <w:b w:val="0"/>
              </w:rPr>
              <w:t>固生堂</w:t>
            </w:r>
          </w:p>
        </w:tc>
        <w:tc>
          <w:tcPr>
            <w:tcW w:w="0" w:type="dxa"/>
            <w:vAlign w:val="center"/>
          </w:tcPr>
          <w:p w14:paraId="649626CA">
            <w:pPr>
              <w:spacing w:line="240" w:lineRule="auto"/>
              <w:jc w:val="right"/>
            </w:pPr>
            <w:r>
              <w:rPr>
                <w:rFonts w:ascii="宋体" w:hAnsi="宋体" w:eastAsia="宋体" w:cs="宋体"/>
                <w:b w:val="0"/>
              </w:rPr>
              <w:t>120,000</w:t>
            </w:r>
          </w:p>
        </w:tc>
        <w:tc>
          <w:tcPr>
            <w:tcW w:w="0" w:type="dxa"/>
            <w:vAlign w:val="center"/>
          </w:tcPr>
          <w:p w14:paraId="7C94C76C">
            <w:pPr>
              <w:spacing w:line="240" w:lineRule="auto"/>
              <w:jc w:val="right"/>
            </w:pPr>
            <w:r>
              <w:rPr>
                <w:rFonts w:ascii="宋体" w:hAnsi="宋体" w:eastAsia="宋体" w:cs="宋体"/>
                <w:b w:val="0"/>
              </w:rPr>
              <w:t>2,686,946.28</w:t>
            </w:r>
          </w:p>
        </w:tc>
        <w:tc>
          <w:tcPr>
            <w:tcW w:w="0" w:type="dxa"/>
            <w:vAlign w:val="center"/>
          </w:tcPr>
          <w:p w14:paraId="0965347A">
            <w:pPr>
              <w:spacing w:line="240" w:lineRule="auto"/>
              <w:jc w:val="right"/>
            </w:pPr>
            <w:r>
              <w:rPr>
                <w:rFonts w:ascii="宋体" w:hAnsi="宋体" w:eastAsia="宋体" w:cs="宋体"/>
                <w:b w:val="0"/>
              </w:rPr>
              <w:t>5.25</w:t>
            </w:r>
          </w:p>
        </w:tc>
      </w:tr>
      <w:tr w14:paraId="711E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514DE0">
            <w:pPr>
              <w:spacing w:line="240" w:lineRule="auto"/>
              <w:jc w:val="center"/>
            </w:pPr>
            <w:r>
              <w:rPr>
                <w:rFonts w:ascii="宋体" w:hAnsi="宋体" w:eastAsia="宋体" w:cs="宋体"/>
                <w:b w:val="0"/>
              </w:rPr>
              <w:t>12</w:t>
            </w:r>
          </w:p>
        </w:tc>
        <w:tc>
          <w:tcPr>
            <w:tcW w:w="0" w:type="dxa"/>
            <w:vAlign w:val="center"/>
          </w:tcPr>
          <w:p w14:paraId="6E4A4C2E">
            <w:pPr>
              <w:spacing w:line="240" w:lineRule="auto"/>
              <w:jc w:val="left"/>
            </w:pPr>
            <w:r>
              <w:rPr>
                <w:rFonts w:ascii="宋体" w:hAnsi="宋体" w:eastAsia="宋体" w:cs="宋体"/>
                <w:b w:val="0"/>
              </w:rPr>
              <w:t>300866</w:t>
            </w:r>
          </w:p>
        </w:tc>
        <w:tc>
          <w:tcPr>
            <w:tcW w:w="0" w:type="dxa"/>
            <w:vAlign w:val="center"/>
          </w:tcPr>
          <w:p w14:paraId="7CF51E16">
            <w:pPr>
              <w:spacing w:line="240" w:lineRule="auto"/>
              <w:jc w:val="left"/>
            </w:pPr>
            <w:r>
              <w:rPr>
                <w:rFonts w:ascii="宋体" w:hAnsi="宋体" w:eastAsia="宋体" w:cs="宋体"/>
                <w:b w:val="0"/>
              </w:rPr>
              <w:t>安克创新</w:t>
            </w:r>
          </w:p>
        </w:tc>
        <w:tc>
          <w:tcPr>
            <w:tcW w:w="0" w:type="dxa"/>
            <w:vAlign w:val="center"/>
          </w:tcPr>
          <w:p w14:paraId="4E95B2B6">
            <w:pPr>
              <w:spacing w:line="240" w:lineRule="auto"/>
              <w:jc w:val="right"/>
            </w:pPr>
            <w:r>
              <w:rPr>
                <w:rFonts w:ascii="宋体" w:hAnsi="宋体" w:eastAsia="宋体" w:cs="宋体"/>
                <w:b w:val="0"/>
              </w:rPr>
              <w:t>20,000</w:t>
            </w:r>
          </w:p>
        </w:tc>
        <w:tc>
          <w:tcPr>
            <w:tcW w:w="0" w:type="dxa"/>
            <w:vAlign w:val="center"/>
          </w:tcPr>
          <w:p w14:paraId="2113A24F">
            <w:pPr>
              <w:spacing w:line="240" w:lineRule="auto"/>
              <w:jc w:val="right"/>
            </w:pPr>
            <w:r>
              <w:rPr>
                <w:rFonts w:ascii="宋体" w:hAnsi="宋体" w:eastAsia="宋体" w:cs="宋体"/>
                <w:b w:val="0"/>
              </w:rPr>
              <w:t>2,090,000.00</w:t>
            </w:r>
          </w:p>
        </w:tc>
        <w:tc>
          <w:tcPr>
            <w:tcW w:w="0" w:type="dxa"/>
            <w:vAlign w:val="center"/>
          </w:tcPr>
          <w:p w14:paraId="2CF437E6">
            <w:pPr>
              <w:spacing w:line="240" w:lineRule="auto"/>
              <w:jc w:val="right"/>
            </w:pPr>
            <w:r>
              <w:rPr>
                <w:rFonts w:ascii="宋体" w:hAnsi="宋体" w:eastAsia="宋体" w:cs="宋体"/>
                <w:b w:val="0"/>
              </w:rPr>
              <w:t>4.08</w:t>
            </w:r>
          </w:p>
        </w:tc>
      </w:tr>
    </w:tbl>
    <w:p w14:paraId="5FB962AC"/>
    <w:p w14:paraId="39DA49CE">
      <w:pPr>
        <w:pStyle w:val="3"/>
        <w:jc w:val="left"/>
      </w:pPr>
      <w:bookmarkStart w:id="36" w:name="_Toc26134"/>
      <w:r>
        <w:rPr>
          <w:rFonts w:ascii="宋体" w:hAnsi="宋体" w:eastAsia="宋体" w:cs="宋体"/>
        </w:rPr>
        <w:t>7.4 报告期内股票投资组合的重大变动</w:t>
      </w:r>
      <w:bookmarkEnd w:id="36"/>
    </w:p>
    <w:p w14:paraId="295EC5F5">
      <w:pPr>
        <w:pStyle w:val="58"/>
      </w:pPr>
      <w:r>
        <w:rPr>
          <w:rFonts w:ascii="宋体" w:hAnsi="宋体" w:eastAsia="宋体" w:cs="宋体"/>
          <w:b/>
        </w:rPr>
        <w:t>7.4.1 累计买入金额超出期初基金资产净值2%或前20名的股票明细</w:t>
      </w:r>
    </w:p>
    <w:p w14:paraId="394C20F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7FEA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F12305A">
            <w:pPr>
              <w:spacing w:line="240" w:lineRule="auto"/>
              <w:jc w:val="center"/>
            </w:pPr>
            <w:r>
              <w:rPr>
                <w:rFonts w:ascii="宋体" w:hAnsi="宋体" w:eastAsia="宋体" w:cs="宋体"/>
                <w:b w:val="0"/>
              </w:rPr>
              <w:t>序号</w:t>
            </w:r>
          </w:p>
        </w:tc>
        <w:tc>
          <w:tcPr>
            <w:tcW w:w="769" w:type="pct"/>
            <w:shd w:val="clear" w:color="auto" w:fill="D9D9D9"/>
            <w:vAlign w:val="center"/>
          </w:tcPr>
          <w:p w14:paraId="3ADD3AA0">
            <w:pPr>
              <w:spacing w:line="240" w:lineRule="auto"/>
              <w:jc w:val="center"/>
            </w:pPr>
            <w:r>
              <w:rPr>
                <w:rFonts w:ascii="宋体" w:hAnsi="宋体" w:eastAsia="宋体" w:cs="宋体"/>
                <w:b w:val="0"/>
              </w:rPr>
              <w:t>股票代码</w:t>
            </w:r>
          </w:p>
        </w:tc>
        <w:tc>
          <w:tcPr>
            <w:tcW w:w="769" w:type="pct"/>
            <w:shd w:val="clear" w:color="auto" w:fill="D9D9D9"/>
            <w:vAlign w:val="center"/>
          </w:tcPr>
          <w:p w14:paraId="22FC1E67">
            <w:pPr>
              <w:spacing w:line="240" w:lineRule="auto"/>
              <w:jc w:val="center"/>
            </w:pPr>
            <w:r>
              <w:rPr>
                <w:rFonts w:ascii="宋体" w:hAnsi="宋体" w:eastAsia="宋体" w:cs="宋体"/>
                <w:b w:val="0"/>
              </w:rPr>
              <w:t>股票名称</w:t>
            </w:r>
          </w:p>
        </w:tc>
        <w:tc>
          <w:tcPr>
            <w:tcW w:w="769" w:type="pct"/>
            <w:shd w:val="clear" w:color="auto" w:fill="D9D9D9"/>
            <w:vAlign w:val="center"/>
          </w:tcPr>
          <w:p w14:paraId="41E68E55">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45C2D610">
            <w:pPr>
              <w:spacing w:line="240" w:lineRule="auto"/>
              <w:jc w:val="center"/>
            </w:pPr>
            <w:r>
              <w:rPr>
                <w:rFonts w:ascii="宋体" w:hAnsi="宋体" w:eastAsia="宋体" w:cs="宋体"/>
                <w:b w:val="0"/>
              </w:rPr>
              <w:t>占期初基金资产净值比例（％）</w:t>
            </w:r>
          </w:p>
        </w:tc>
      </w:tr>
      <w:tr w14:paraId="1273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FFF3A1">
            <w:pPr>
              <w:spacing w:line="240" w:lineRule="auto"/>
              <w:jc w:val="center"/>
            </w:pPr>
            <w:r>
              <w:rPr>
                <w:rFonts w:ascii="宋体" w:hAnsi="宋体" w:eastAsia="宋体" w:cs="宋体"/>
                <w:b w:val="0"/>
              </w:rPr>
              <w:t>1</w:t>
            </w:r>
          </w:p>
        </w:tc>
        <w:tc>
          <w:tcPr>
            <w:tcW w:w="0" w:type="dxa"/>
            <w:vAlign w:val="center"/>
          </w:tcPr>
          <w:p w14:paraId="7A2C97A1">
            <w:pPr>
              <w:spacing w:line="240" w:lineRule="auto"/>
              <w:jc w:val="left"/>
            </w:pPr>
            <w:r>
              <w:rPr>
                <w:rFonts w:ascii="宋体" w:hAnsi="宋体" w:eastAsia="宋体" w:cs="宋体"/>
                <w:b w:val="0"/>
              </w:rPr>
              <w:t>000725</w:t>
            </w:r>
          </w:p>
        </w:tc>
        <w:tc>
          <w:tcPr>
            <w:tcW w:w="0" w:type="dxa"/>
            <w:vAlign w:val="center"/>
          </w:tcPr>
          <w:p w14:paraId="2D331532">
            <w:pPr>
              <w:spacing w:line="240" w:lineRule="auto"/>
              <w:jc w:val="left"/>
            </w:pPr>
            <w:r>
              <w:rPr>
                <w:rFonts w:ascii="宋体" w:hAnsi="宋体" w:eastAsia="宋体" w:cs="宋体"/>
                <w:b w:val="0"/>
              </w:rPr>
              <w:t>京东方Ａ</w:t>
            </w:r>
          </w:p>
        </w:tc>
        <w:tc>
          <w:tcPr>
            <w:tcW w:w="0" w:type="dxa"/>
            <w:vAlign w:val="center"/>
          </w:tcPr>
          <w:p w14:paraId="17AEAEE5">
            <w:pPr>
              <w:spacing w:line="240" w:lineRule="auto"/>
              <w:jc w:val="right"/>
            </w:pPr>
            <w:r>
              <w:rPr>
                <w:rFonts w:ascii="宋体" w:hAnsi="宋体" w:eastAsia="宋体" w:cs="宋体"/>
                <w:b w:val="0"/>
              </w:rPr>
              <w:t>5,474,750.00</w:t>
            </w:r>
          </w:p>
        </w:tc>
        <w:tc>
          <w:tcPr>
            <w:tcW w:w="0" w:type="dxa"/>
            <w:vAlign w:val="center"/>
          </w:tcPr>
          <w:p w14:paraId="012643CC">
            <w:pPr>
              <w:spacing w:line="240" w:lineRule="auto"/>
              <w:jc w:val="right"/>
            </w:pPr>
            <w:r>
              <w:rPr>
                <w:rFonts w:ascii="宋体" w:hAnsi="宋体" w:eastAsia="宋体" w:cs="宋体"/>
                <w:b w:val="0"/>
              </w:rPr>
              <w:t>7.55</w:t>
            </w:r>
          </w:p>
        </w:tc>
      </w:tr>
      <w:tr w14:paraId="01C2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B58687">
            <w:pPr>
              <w:spacing w:line="240" w:lineRule="auto"/>
              <w:jc w:val="center"/>
            </w:pPr>
            <w:r>
              <w:rPr>
                <w:rFonts w:ascii="宋体" w:hAnsi="宋体" w:eastAsia="宋体" w:cs="宋体"/>
                <w:b w:val="0"/>
              </w:rPr>
              <w:t>2</w:t>
            </w:r>
          </w:p>
        </w:tc>
        <w:tc>
          <w:tcPr>
            <w:tcW w:w="0" w:type="dxa"/>
            <w:vAlign w:val="center"/>
          </w:tcPr>
          <w:p w14:paraId="43C79458">
            <w:pPr>
              <w:spacing w:line="240" w:lineRule="auto"/>
              <w:jc w:val="left"/>
            </w:pPr>
            <w:r>
              <w:rPr>
                <w:rFonts w:ascii="宋体" w:hAnsi="宋体" w:eastAsia="宋体" w:cs="宋体"/>
                <w:b w:val="0"/>
              </w:rPr>
              <w:t>603129</w:t>
            </w:r>
          </w:p>
        </w:tc>
        <w:tc>
          <w:tcPr>
            <w:tcW w:w="0" w:type="dxa"/>
            <w:vAlign w:val="center"/>
          </w:tcPr>
          <w:p w14:paraId="27DD3838">
            <w:pPr>
              <w:spacing w:line="240" w:lineRule="auto"/>
              <w:jc w:val="left"/>
            </w:pPr>
            <w:r>
              <w:rPr>
                <w:rFonts w:ascii="宋体" w:hAnsi="宋体" w:eastAsia="宋体" w:cs="宋体"/>
                <w:b w:val="0"/>
              </w:rPr>
              <w:t>春风动力</w:t>
            </w:r>
          </w:p>
        </w:tc>
        <w:tc>
          <w:tcPr>
            <w:tcW w:w="0" w:type="dxa"/>
            <w:vAlign w:val="center"/>
          </w:tcPr>
          <w:p w14:paraId="3280671B">
            <w:pPr>
              <w:spacing w:line="240" w:lineRule="auto"/>
              <w:jc w:val="right"/>
            </w:pPr>
            <w:r>
              <w:rPr>
                <w:rFonts w:ascii="宋体" w:hAnsi="宋体" w:eastAsia="宋体" w:cs="宋体"/>
                <w:b w:val="0"/>
              </w:rPr>
              <w:t>5,108,600.50</w:t>
            </w:r>
          </w:p>
        </w:tc>
        <w:tc>
          <w:tcPr>
            <w:tcW w:w="0" w:type="dxa"/>
            <w:vAlign w:val="center"/>
          </w:tcPr>
          <w:p w14:paraId="57610DBE">
            <w:pPr>
              <w:spacing w:line="240" w:lineRule="auto"/>
              <w:jc w:val="right"/>
            </w:pPr>
            <w:r>
              <w:rPr>
                <w:rFonts w:ascii="宋体" w:hAnsi="宋体" w:eastAsia="宋体" w:cs="宋体"/>
                <w:b w:val="0"/>
              </w:rPr>
              <w:t>7.04</w:t>
            </w:r>
          </w:p>
        </w:tc>
      </w:tr>
      <w:tr w14:paraId="6BBE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4F31C4">
            <w:pPr>
              <w:spacing w:line="240" w:lineRule="auto"/>
              <w:jc w:val="center"/>
            </w:pPr>
            <w:r>
              <w:rPr>
                <w:rFonts w:ascii="宋体" w:hAnsi="宋体" w:eastAsia="宋体" w:cs="宋体"/>
                <w:b w:val="0"/>
              </w:rPr>
              <w:t>3</w:t>
            </w:r>
          </w:p>
        </w:tc>
        <w:tc>
          <w:tcPr>
            <w:tcW w:w="0" w:type="dxa"/>
            <w:vAlign w:val="center"/>
          </w:tcPr>
          <w:p w14:paraId="071B3AE3">
            <w:pPr>
              <w:spacing w:line="240" w:lineRule="auto"/>
              <w:jc w:val="left"/>
            </w:pPr>
            <w:r>
              <w:rPr>
                <w:rFonts w:ascii="宋体" w:hAnsi="宋体" w:eastAsia="宋体" w:cs="宋体"/>
                <w:b w:val="0"/>
              </w:rPr>
              <w:t>02273</w:t>
            </w:r>
          </w:p>
        </w:tc>
        <w:tc>
          <w:tcPr>
            <w:tcW w:w="0" w:type="dxa"/>
            <w:vAlign w:val="center"/>
          </w:tcPr>
          <w:p w14:paraId="55416A30">
            <w:pPr>
              <w:spacing w:line="240" w:lineRule="auto"/>
              <w:jc w:val="left"/>
            </w:pPr>
            <w:r>
              <w:rPr>
                <w:rFonts w:ascii="宋体" w:hAnsi="宋体" w:eastAsia="宋体" w:cs="宋体"/>
                <w:b w:val="0"/>
              </w:rPr>
              <w:t>固生堂</w:t>
            </w:r>
          </w:p>
        </w:tc>
        <w:tc>
          <w:tcPr>
            <w:tcW w:w="0" w:type="dxa"/>
            <w:vAlign w:val="center"/>
          </w:tcPr>
          <w:p w14:paraId="181021B2">
            <w:pPr>
              <w:spacing w:line="240" w:lineRule="auto"/>
              <w:jc w:val="right"/>
            </w:pPr>
            <w:r>
              <w:rPr>
                <w:rFonts w:ascii="宋体" w:hAnsi="宋体" w:eastAsia="宋体" w:cs="宋体"/>
                <w:b w:val="0"/>
              </w:rPr>
              <w:t>3,498,105.91</w:t>
            </w:r>
          </w:p>
        </w:tc>
        <w:tc>
          <w:tcPr>
            <w:tcW w:w="0" w:type="dxa"/>
            <w:vAlign w:val="center"/>
          </w:tcPr>
          <w:p w14:paraId="47932342">
            <w:pPr>
              <w:spacing w:line="240" w:lineRule="auto"/>
              <w:jc w:val="right"/>
            </w:pPr>
            <w:r>
              <w:rPr>
                <w:rFonts w:ascii="宋体" w:hAnsi="宋体" w:eastAsia="宋体" w:cs="宋体"/>
                <w:b w:val="0"/>
              </w:rPr>
              <w:t>4.82</w:t>
            </w:r>
          </w:p>
        </w:tc>
      </w:tr>
      <w:tr w14:paraId="0EB1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90A0E1">
            <w:pPr>
              <w:spacing w:line="240" w:lineRule="auto"/>
              <w:jc w:val="center"/>
            </w:pPr>
            <w:r>
              <w:rPr>
                <w:rFonts w:ascii="宋体" w:hAnsi="宋体" w:eastAsia="宋体" w:cs="宋体"/>
                <w:b w:val="0"/>
              </w:rPr>
              <w:t>4</w:t>
            </w:r>
          </w:p>
        </w:tc>
        <w:tc>
          <w:tcPr>
            <w:tcW w:w="0" w:type="dxa"/>
            <w:vAlign w:val="center"/>
          </w:tcPr>
          <w:p w14:paraId="278E7E37">
            <w:pPr>
              <w:spacing w:line="240" w:lineRule="auto"/>
              <w:jc w:val="left"/>
            </w:pPr>
            <w:r>
              <w:rPr>
                <w:rFonts w:ascii="宋体" w:hAnsi="宋体" w:eastAsia="宋体" w:cs="宋体"/>
                <w:b w:val="0"/>
              </w:rPr>
              <w:t>06049</w:t>
            </w:r>
          </w:p>
        </w:tc>
        <w:tc>
          <w:tcPr>
            <w:tcW w:w="0" w:type="dxa"/>
            <w:vAlign w:val="center"/>
          </w:tcPr>
          <w:p w14:paraId="17E28FBB">
            <w:pPr>
              <w:spacing w:line="240" w:lineRule="auto"/>
              <w:jc w:val="left"/>
            </w:pPr>
            <w:r>
              <w:rPr>
                <w:rFonts w:ascii="宋体" w:hAnsi="宋体" w:eastAsia="宋体" w:cs="宋体"/>
                <w:b w:val="0"/>
              </w:rPr>
              <w:t>保利物业</w:t>
            </w:r>
          </w:p>
        </w:tc>
        <w:tc>
          <w:tcPr>
            <w:tcW w:w="0" w:type="dxa"/>
            <w:vAlign w:val="center"/>
          </w:tcPr>
          <w:p w14:paraId="130FED95">
            <w:pPr>
              <w:spacing w:line="240" w:lineRule="auto"/>
              <w:jc w:val="right"/>
            </w:pPr>
            <w:r>
              <w:rPr>
                <w:rFonts w:ascii="宋体" w:hAnsi="宋体" w:eastAsia="宋体" w:cs="宋体"/>
                <w:b w:val="0"/>
              </w:rPr>
              <w:t>3,442,630.84</w:t>
            </w:r>
          </w:p>
        </w:tc>
        <w:tc>
          <w:tcPr>
            <w:tcW w:w="0" w:type="dxa"/>
            <w:vAlign w:val="center"/>
          </w:tcPr>
          <w:p w14:paraId="672E990A">
            <w:pPr>
              <w:spacing w:line="240" w:lineRule="auto"/>
              <w:jc w:val="right"/>
            </w:pPr>
            <w:r>
              <w:rPr>
                <w:rFonts w:ascii="宋体" w:hAnsi="宋体" w:eastAsia="宋体" w:cs="宋体"/>
                <w:b w:val="0"/>
              </w:rPr>
              <w:t>4.75</w:t>
            </w:r>
          </w:p>
        </w:tc>
      </w:tr>
      <w:tr w14:paraId="4558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439DAE">
            <w:pPr>
              <w:spacing w:line="240" w:lineRule="auto"/>
              <w:jc w:val="center"/>
            </w:pPr>
            <w:r>
              <w:rPr>
                <w:rFonts w:ascii="宋体" w:hAnsi="宋体" w:eastAsia="宋体" w:cs="宋体"/>
                <w:b w:val="0"/>
              </w:rPr>
              <w:t>5</w:t>
            </w:r>
          </w:p>
        </w:tc>
        <w:tc>
          <w:tcPr>
            <w:tcW w:w="0" w:type="dxa"/>
            <w:vAlign w:val="center"/>
          </w:tcPr>
          <w:p w14:paraId="719E1FC4">
            <w:pPr>
              <w:spacing w:line="240" w:lineRule="auto"/>
              <w:jc w:val="left"/>
            </w:pPr>
            <w:r>
              <w:rPr>
                <w:rFonts w:ascii="宋体" w:hAnsi="宋体" w:eastAsia="宋体" w:cs="宋体"/>
                <w:b w:val="0"/>
              </w:rPr>
              <w:t>002444</w:t>
            </w:r>
          </w:p>
        </w:tc>
        <w:tc>
          <w:tcPr>
            <w:tcW w:w="0" w:type="dxa"/>
            <w:vAlign w:val="center"/>
          </w:tcPr>
          <w:p w14:paraId="425F49C9">
            <w:pPr>
              <w:spacing w:line="240" w:lineRule="auto"/>
              <w:jc w:val="left"/>
            </w:pPr>
            <w:r>
              <w:rPr>
                <w:rFonts w:ascii="宋体" w:hAnsi="宋体" w:eastAsia="宋体" w:cs="宋体"/>
                <w:b w:val="0"/>
              </w:rPr>
              <w:t>巨星科技</w:t>
            </w:r>
          </w:p>
        </w:tc>
        <w:tc>
          <w:tcPr>
            <w:tcW w:w="0" w:type="dxa"/>
            <w:vAlign w:val="center"/>
          </w:tcPr>
          <w:p w14:paraId="6E85DB37">
            <w:pPr>
              <w:spacing w:line="240" w:lineRule="auto"/>
              <w:jc w:val="right"/>
            </w:pPr>
            <w:r>
              <w:rPr>
                <w:rFonts w:ascii="宋体" w:hAnsi="宋体" w:eastAsia="宋体" w:cs="宋体"/>
                <w:b w:val="0"/>
              </w:rPr>
              <w:t>2,949,370.00</w:t>
            </w:r>
          </w:p>
        </w:tc>
        <w:tc>
          <w:tcPr>
            <w:tcW w:w="0" w:type="dxa"/>
            <w:vAlign w:val="center"/>
          </w:tcPr>
          <w:p w14:paraId="0784FF9C">
            <w:pPr>
              <w:spacing w:line="240" w:lineRule="auto"/>
              <w:jc w:val="right"/>
            </w:pPr>
            <w:r>
              <w:rPr>
                <w:rFonts w:ascii="宋体" w:hAnsi="宋体" w:eastAsia="宋体" w:cs="宋体"/>
                <w:b w:val="0"/>
              </w:rPr>
              <w:t>4.07</w:t>
            </w:r>
          </w:p>
        </w:tc>
      </w:tr>
      <w:tr w14:paraId="76C7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ECF8AB">
            <w:pPr>
              <w:spacing w:line="240" w:lineRule="auto"/>
              <w:jc w:val="center"/>
            </w:pPr>
            <w:r>
              <w:rPr>
                <w:rFonts w:ascii="宋体" w:hAnsi="宋体" w:eastAsia="宋体" w:cs="宋体"/>
                <w:b w:val="0"/>
              </w:rPr>
              <w:t>6</w:t>
            </w:r>
          </w:p>
        </w:tc>
        <w:tc>
          <w:tcPr>
            <w:tcW w:w="0" w:type="dxa"/>
            <w:vAlign w:val="center"/>
          </w:tcPr>
          <w:p w14:paraId="419CF66A">
            <w:pPr>
              <w:spacing w:line="240" w:lineRule="auto"/>
              <w:jc w:val="left"/>
            </w:pPr>
            <w:r>
              <w:rPr>
                <w:rFonts w:ascii="宋体" w:hAnsi="宋体" w:eastAsia="宋体" w:cs="宋体"/>
                <w:b w:val="0"/>
              </w:rPr>
              <w:t>300866</w:t>
            </w:r>
          </w:p>
        </w:tc>
        <w:tc>
          <w:tcPr>
            <w:tcW w:w="0" w:type="dxa"/>
            <w:vAlign w:val="center"/>
          </w:tcPr>
          <w:p w14:paraId="72117751">
            <w:pPr>
              <w:spacing w:line="240" w:lineRule="auto"/>
              <w:jc w:val="left"/>
            </w:pPr>
            <w:r>
              <w:rPr>
                <w:rFonts w:ascii="宋体" w:hAnsi="宋体" w:eastAsia="宋体" w:cs="宋体"/>
                <w:b w:val="0"/>
              </w:rPr>
              <w:t>安克创新</w:t>
            </w:r>
          </w:p>
        </w:tc>
        <w:tc>
          <w:tcPr>
            <w:tcW w:w="0" w:type="dxa"/>
            <w:vAlign w:val="center"/>
          </w:tcPr>
          <w:p w14:paraId="3C4DB8AF">
            <w:pPr>
              <w:spacing w:line="240" w:lineRule="auto"/>
              <w:jc w:val="right"/>
            </w:pPr>
            <w:r>
              <w:rPr>
                <w:rFonts w:ascii="宋体" w:hAnsi="宋体" w:eastAsia="宋体" w:cs="宋体"/>
                <w:b w:val="0"/>
              </w:rPr>
              <w:t>2,152,103.00</w:t>
            </w:r>
          </w:p>
        </w:tc>
        <w:tc>
          <w:tcPr>
            <w:tcW w:w="0" w:type="dxa"/>
            <w:vAlign w:val="center"/>
          </w:tcPr>
          <w:p w14:paraId="1D40089C">
            <w:pPr>
              <w:spacing w:line="240" w:lineRule="auto"/>
              <w:jc w:val="right"/>
            </w:pPr>
            <w:r>
              <w:rPr>
                <w:rFonts w:ascii="宋体" w:hAnsi="宋体" w:eastAsia="宋体" w:cs="宋体"/>
                <w:b w:val="0"/>
              </w:rPr>
              <w:t>2.97</w:t>
            </w:r>
          </w:p>
        </w:tc>
      </w:tr>
      <w:tr w14:paraId="1553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785657">
            <w:pPr>
              <w:spacing w:line="240" w:lineRule="auto"/>
              <w:jc w:val="center"/>
            </w:pPr>
            <w:r>
              <w:rPr>
                <w:rFonts w:ascii="宋体" w:hAnsi="宋体" w:eastAsia="宋体" w:cs="宋体"/>
                <w:b w:val="0"/>
              </w:rPr>
              <w:t>7</w:t>
            </w:r>
          </w:p>
        </w:tc>
        <w:tc>
          <w:tcPr>
            <w:tcW w:w="0" w:type="dxa"/>
            <w:vAlign w:val="center"/>
          </w:tcPr>
          <w:p w14:paraId="7B4456F9">
            <w:pPr>
              <w:spacing w:line="240" w:lineRule="auto"/>
              <w:jc w:val="left"/>
            </w:pPr>
            <w:r>
              <w:rPr>
                <w:rFonts w:ascii="宋体" w:hAnsi="宋体" w:eastAsia="宋体" w:cs="宋体"/>
                <w:b w:val="0"/>
              </w:rPr>
              <w:t>300833</w:t>
            </w:r>
          </w:p>
        </w:tc>
        <w:tc>
          <w:tcPr>
            <w:tcW w:w="0" w:type="dxa"/>
            <w:vAlign w:val="center"/>
          </w:tcPr>
          <w:p w14:paraId="49EEE58C">
            <w:pPr>
              <w:spacing w:line="240" w:lineRule="auto"/>
              <w:jc w:val="left"/>
            </w:pPr>
            <w:r>
              <w:rPr>
                <w:rFonts w:ascii="宋体" w:hAnsi="宋体" w:eastAsia="宋体" w:cs="宋体"/>
                <w:b w:val="0"/>
              </w:rPr>
              <w:t>浩洋股份</w:t>
            </w:r>
          </w:p>
        </w:tc>
        <w:tc>
          <w:tcPr>
            <w:tcW w:w="0" w:type="dxa"/>
            <w:vAlign w:val="center"/>
          </w:tcPr>
          <w:p w14:paraId="1A73E10E">
            <w:pPr>
              <w:spacing w:line="240" w:lineRule="auto"/>
              <w:jc w:val="right"/>
            </w:pPr>
            <w:r>
              <w:rPr>
                <w:rFonts w:ascii="宋体" w:hAnsi="宋体" w:eastAsia="宋体" w:cs="宋体"/>
                <w:b w:val="0"/>
              </w:rPr>
              <w:t>1,552,214.00</w:t>
            </w:r>
          </w:p>
        </w:tc>
        <w:tc>
          <w:tcPr>
            <w:tcW w:w="0" w:type="dxa"/>
            <w:vAlign w:val="center"/>
          </w:tcPr>
          <w:p w14:paraId="4EC473A4">
            <w:pPr>
              <w:spacing w:line="240" w:lineRule="auto"/>
              <w:jc w:val="right"/>
            </w:pPr>
            <w:r>
              <w:rPr>
                <w:rFonts w:ascii="宋体" w:hAnsi="宋体" w:eastAsia="宋体" w:cs="宋体"/>
                <w:b w:val="0"/>
              </w:rPr>
              <w:t>2.14</w:t>
            </w:r>
          </w:p>
        </w:tc>
      </w:tr>
      <w:tr w14:paraId="52C7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CB47E0">
            <w:pPr>
              <w:spacing w:line="240" w:lineRule="auto"/>
              <w:jc w:val="center"/>
            </w:pPr>
            <w:r>
              <w:rPr>
                <w:rFonts w:ascii="宋体" w:hAnsi="宋体" w:eastAsia="宋体" w:cs="宋体"/>
                <w:b w:val="0"/>
              </w:rPr>
              <w:t>8</w:t>
            </w:r>
          </w:p>
        </w:tc>
        <w:tc>
          <w:tcPr>
            <w:tcW w:w="0" w:type="dxa"/>
            <w:vAlign w:val="center"/>
          </w:tcPr>
          <w:p w14:paraId="1629860E">
            <w:pPr>
              <w:spacing w:line="240" w:lineRule="auto"/>
              <w:jc w:val="left"/>
            </w:pPr>
            <w:r>
              <w:rPr>
                <w:rFonts w:ascii="宋体" w:hAnsi="宋体" w:eastAsia="宋体" w:cs="宋体"/>
                <w:b w:val="0"/>
              </w:rPr>
              <w:t>02669</w:t>
            </w:r>
          </w:p>
        </w:tc>
        <w:tc>
          <w:tcPr>
            <w:tcW w:w="0" w:type="dxa"/>
            <w:vAlign w:val="center"/>
          </w:tcPr>
          <w:p w14:paraId="5A1CD708">
            <w:pPr>
              <w:spacing w:line="240" w:lineRule="auto"/>
              <w:jc w:val="left"/>
            </w:pPr>
            <w:r>
              <w:rPr>
                <w:rFonts w:ascii="宋体" w:hAnsi="宋体" w:eastAsia="宋体" w:cs="宋体"/>
                <w:b w:val="0"/>
              </w:rPr>
              <w:t>中海物业</w:t>
            </w:r>
          </w:p>
        </w:tc>
        <w:tc>
          <w:tcPr>
            <w:tcW w:w="0" w:type="dxa"/>
            <w:vAlign w:val="center"/>
          </w:tcPr>
          <w:p w14:paraId="6B2F1DC2">
            <w:pPr>
              <w:spacing w:line="240" w:lineRule="auto"/>
              <w:jc w:val="right"/>
            </w:pPr>
            <w:r>
              <w:rPr>
                <w:rFonts w:ascii="宋体" w:hAnsi="宋体" w:eastAsia="宋体" w:cs="宋体"/>
                <w:b w:val="0"/>
              </w:rPr>
              <w:t>1,137,186.28</w:t>
            </w:r>
          </w:p>
        </w:tc>
        <w:tc>
          <w:tcPr>
            <w:tcW w:w="0" w:type="dxa"/>
            <w:vAlign w:val="center"/>
          </w:tcPr>
          <w:p w14:paraId="4C63B516">
            <w:pPr>
              <w:spacing w:line="240" w:lineRule="auto"/>
              <w:jc w:val="right"/>
            </w:pPr>
            <w:r>
              <w:rPr>
                <w:rFonts w:ascii="宋体" w:hAnsi="宋体" w:eastAsia="宋体" w:cs="宋体"/>
                <w:b w:val="0"/>
              </w:rPr>
              <w:t>1.57</w:t>
            </w:r>
          </w:p>
        </w:tc>
      </w:tr>
      <w:tr w14:paraId="3828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5A261F">
            <w:pPr>
              <w:spacing w:line="240" w:lineRule="auto"/>
              <w:jc w:val="center"/>
            </w:pPr>
            <w:r>
              <w:rPr>
                <w:rFonts w:ascii="宋体" w:hAnsi="宋体" w:eastAsia="宋体" w:cs="宋体"/>
                <w:b w:val="0"/>
              </w:rPr>
              <w:t>9</w:t>
            </w:r>
          </w:p>
        </w:tc>
        <w:tc>
          <w:tcPr>
            <w:tcW w:w="0" w:type="dxa"/>
            <w:vAlign w:val="center"/>
          </w:tcPr>
          <w:p w14:paraId="0BB9A7E4">
            <w:pPr>
              <w:spacing w:line="240" w:lineRule="auto"/>
              <w:jc w:val="left"/>
            </w:pPr>
            <w:r>
              <w:rPr>
                <w:rFonts w:ascii="宋体" w:hAnsi="宋体" w:eastAsia="宋体" w:cs="宋体"/>
                <w:b w:val="0"/>
              </w:rPr>
              <w:t>002003</w:t>
            </w:r>
          </w:p>
        </w:tc>
        <w:tc>
          <w:tcPr>
            <w:tcW w:w="0" w:type="dxa"/>
            <w:vAlign w:val="center"/>
          </w:tcPr>
          <w:p w14:paraId="6AB965EE">
            <w:pPr>
              <w:spacing w:line="240" w:lineRule="auto"/>
              <w:jc w:val="left"/>
            </w:pPr>
            <w:r>
              <w:rPr>
                <w:rFonts w:ascii="宋体" w:hAnsi="宋体" w:eastAsia="宋体" w:cs="宋体"/>
                <w:b w:val="0"/>
              </w:rPr>
              <w:t>伟星股份</w:t>
            </w:r>
          </w:p>
        </w:tc>
        <w:tc>
          <w:tcPr>
            <w:tcW w:w="0" w:type="dxa"/>
            <w:vAlign w:val="center"/>
          </w:tcPr>
          <w:p w14:paraId="220652D2">
            <w:pPr>
              <w:spacing w:line="240" w:lineRule="auto"/>
              <w:jc w:val="right"/>
            </w:pPr>
            <w:r>
              <w:rPr>
                <w:rFonts w:ascii="宋体" w:hAnsi="宋体" w:eastAsia="宋体" w:cs="宋体"/>
                <w:b w:val="0"/>
              </w:rPr>
              <w:t>623,339.00</w:t>
            </w:r>
          </w:p>
        </w:tc>
        <w:tc>
          <w:tcPr>
            <w:tcW w:w="0" w:type="dxa"/>
            <w:vAlign w:val="center"/>
          </w:tcPr>
          <w:p w14:paraId="01B825F3">
            <w:pPr>
              <w:spacing w:line="240" w:lineRule="auto"/>
              <w:jc w:val="right"/>
            </w:pPr>
            <w:r>
              <w:rPr>
                <w:rFonts w:ascii="宋体" w:hAnsi="宋体" w:eastAsia="宋体" w:cs="宋体"/>
                <w:b w:val="0"/>
              </w:rPr>
              <w:t>0.86</w:t>
            </w:r>
          </w:p>
        </w:tc>
      </w:tr>
    </w:tbl>
    <w:p w14:paraId="4EC0B148">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472F4F8C"/>
    <w:p w14:paraId="57ADF750">
      <w:pPr>
        <w:pStyle w:val="58"/>
      </w:pPr>
      <w:r>
        <w:rPr>
          <w:rFonts w:ascii="宋体" w:hAnsi="宋体" w:eastAsia="宋体" w:cs="宋体"/>
          <w:b/>
        </w:rPr>
        <w:t>7.4.2 累计卖出金额超出期初基金资产净值2%或前20名的股票明细</w:t>
      </w:r>
    </w:p>
    <w:p w14:paraId="412AB5D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6634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5" w:type="pct"/>
            <w:shd w:val="clear" w:color="auto" w:fill="D9D9D9"/>
            <w:vAlign w:val="center"/>
          </w:tcPr>
          <w:p w14:paraId="794AE970">
            <w:pPr>
              <w:spacing w:line="240" w:lineRule="auto"/>
              <w:jc w:val="center"/>
            </w:pPr>
            <w:r>
              <w:rPr>
                <w:rFonts w:ascii="宋体" w:hAnsi="宋体" w:eastAsia="宋体" w:cs="宋体"/>
                <w:b w:val="0"/>
              </w:rPr>
              <w:t>序号</w:t>
            </w:r>
          </w:p>
        </w:tc>
        <w:tc>
          <w:tcPr>
            <w:tcW w:w="769" w:type="pct"/>
            <w:shd w:val="clear" w:color="auto" w:fill="D9D9D9"/>
            <w:vAlign w:val="center"/>
          </w:tcPr>
          <w:p w14:paraId="58298416">
            <w:pPr>
              <w:spacing w:line="240" w:lineRule="auto"/>
              <w:jc w:val="center"/>
            </w:pPr>
            <w:r>
              <w:rPr>
                <w:rFonts w:ascii="宋体" w:hAnsi="宋体" w:eastAsia="宋体" w:cs="宋体"/>
                <w:b w:val="0"/>
              </w:rPr>
              <w:t>股票代码</w:t>
            </w:r>
          </w:p>
        </w:tc>
        <w:tc>
          <w:tcPr>
            <w:tcW w:w="769" w:type="pct"/>
            <w:shd w:val="clear" w:color="auto" w:fill="D9D9D9"/>
            <w:vAlign w:val="center"/>
          </w:tcPr>
          <w:p w14:paraId="68D51E23">
            <w:pPr>
              <w:spacing w:line="240" w:lineRule="auto"/>
              <w:jc w:val="center"/>
            </w:pPr>
            <w:r>
              <w:rPr>
                <w:rFonts w:ascii="宋体" w:hAnsi="宋体" w:eastAsia="宋体" w:cs="宋体"/>
                <w:b w:val="0"/>
              </w:rPr>
              <w:t>股票名称</w:t>
            </w:r>
          </w:p>
        </w:tc>
        <w:tc>
          <w:tcPr>
            <w:tcW w:w="769" w:type="pct"/>
            <w:shd w:val="clear" w:color="auto" w:fill="D9D9D9"/>
            <w:vAlign w:val="center"/>
          </w:tcPr>
          <w:p w14:paraId="45625263">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3220293C">
            <w:pPr>
              <w:spacing w:line="240" w:lineRule="auto"/>
              <w:jc w:val="center"/>
            </w:pPr>
            <w:r>
              <w:rPr>
                <w:rFonts w:ascii="宋体" w:hAnsi="宋体" w:eastAsia="宋体" w:cs="宋体"/>
                <w:b w:val="0"/>
              </w:rPr>
              <w:t>占期初基金资产净值比例（％）</w:t>
            </w:r>
          </w:p>
        </w:tc>
      </w:tr>
      <w:tr w14:paraId="0702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F2513A">
            <w:pPr>
              <w:spacing w:line="240" w:lineRule="auto"/>
              <w:jc w:val="center"/>
            </w:pPr>
            <w:r>
              <w:rPr>
                <w:rFonts w:ascii="宋体" w:hAnsi="宋体" w:eastAsia="宋体" w:cs="宋体"/>
                <w:b w:val="0"/>
              </w:rPr>
              <w:t>1</w:t>
            </w:r>
          </w:p>
        </w:tc>
        <w:tc>
          <w:tcPr>
            <w:tcW w:w="0" w:type="dxa"/>
            <w:vAlign w:val="center"/>
          </w:tcPr>
          <w:p w14:paraId="351CCC6A">
            <w:pPr>
              <w:spacing w:line="240" w:lineRule="auto"/>
              <w:jc w:val="left"/>
            </w:pPr>
            <w:r>
              <w:rPr>
                <w:rFonts w:ascii="宋体" w:hAnsi="宋体" w:eastAsia="宋体" w:cs="宋体"/>
                <w:b w:val="0"/>
              </w:rPr>
              <w:t>002043</w:t>
            </w:r>
          </w:p>
        </w:tc>
        <w:tc>
          <w:tcPr>
            <w:tcW w:w="0" w:type="dxa"/>
            <w:vAlign w:val="center"/>
          </w:tcPr>
          <w:p w14:paraId="713B8A9D">
            <w:pPr>
              <w:spacing w:line="240" w:lineRule="auto"/>
              <w:jc w:val="left"/>
            </w:pPr>
            <w:r>
              <w:rPr>
                <w:rFonts w:ascii="宋体" w:hAnsi="宋体" w:eastAsia="宋体" w:cs="宋体"/>
                <w:b w:val="0"/>
              </w:rPr>
              <w:t>兔 宝 宝</w:t>
            </w:r>
          </w:p>
        </w:tc>
        <w:tc>
          <w:tcPr>
            <w:tcW w:w="0" w:type="dxa"/>
            <w:vAlign w:val="center"/>
          </w:tcPr>
          <w:p w14:paraId="793E52A2">
            <w:pPr>
              <w:spacing w:line="240" w:lineRule="auto"/>
              <w:jc w:val="right"/>
            </w:pPr>
            <w:r>
              <w:rPr>
                <w:rFonts w:ascii="宋体" w:hAnsi="宋体" w:eastAsia="宋体" w:cs="宋体"/>
                <w:b w:val="0"/>
              </w:rPr>
              <w:t>7,942,073.00</w:t>
            </w:r>
          </w:p>
        </w:tc>
        <w:tc>
          <w:tcPr>
            <w:tcW w:w="0" w:type="dxa"/>
            <w:vAlign w:val="center"/>
          </w:tcPr>
          <w:p w14:paraId="58B5FC11">
            <w:pPr>
              <w:spacing w:line="240" w:lineRule="auto"/>
              <w:jc w:val="right"/>
            </w:pPr>
            <w:r>
              <w:rPr>
                <w:rFonts w:ascii="宋体" w:hAnsi="宋体" w:eastAsia="宋体" w:cs="宋体"/>
                <w:b w:val="0"/>
              </w:rPr>
              <w:t>10.95</w:t>
            </w:r>
          </w:p>
        </w:tc>
      </w:tr>
      <w:tr w14:paraId="02B6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DDDE07">
            <w:pPr>
              <w:spacing w:line="240" w:lineRule="auto"/>
              <w:jc w:val="center"/>
            </w:pPr>
            <w:r>
              <w:rPr>
                <w:rFonts w:ascii="宋体" w:hAnsi="宋体" w:eastAsia="宋体" w:cs="宋体"/>
                <w:b w:val="0"/>
              </w:rPr>
              <w:t>2</w:t>
            </w:r>
          </w:p>
        </w:tc>
        <w:tc>
          <w:tcPr>
            <w:tcW w:w="0" w:type="dxa"/>
            <w:vAlign w:val="center"/>
          </w:tcPr>
          <w:p w14:paraId="2C341C7E">
            <w:pPr>
              <w:spacing w:line="240" w:lineRule="auto"/>
              <w:jc w:val="left"/>
            </w:pPr>
            <w:r>
              <w:rPr>
                <w:rFonts w:ascii="宋体" w:hAnsi="宋体" w:eastAsia="宋体" w:cs="宋体"/>
                <w:b w:val="0"/>
              </w:rPr>
              <w:t>000725</w:t>
            </w:r>
          </w:p>
        </w:tc>
        <w:tc>
          <w:tcPr>
            <w:tcW w:w="0" w:type="dxa"/>
            <w:vAlign w:val="center"/>
          </w:tcPr>
          <w:p w14:paraId="7C44D337">
            <w:pPr>
              <w:spacing w:line="240" w:lineRule="auto"/>
              <w:jc w:val="left"/>
            </w:pPr>
            <w:r>
              <w:rPr>
                <w:rFonts w:ascii="宋体" w:hAnsi="宋体" w:eastAsia="宋体" w:cs="宋体"/>
                <w:b w:val="0"/>
              </w:rPr>
              <w:t>京东方Ａ</w:t>
            </w:r>
          </w:p>
        </w:tc>
        <w:tc>
          <w:tcPr>
            <w:tcW w:w="0" w:type="dxa"/>
            <w:vAlign w:val="center"/>
          </w:tcPr>
          <w:p w14:paraId="00F18A18">
            <w:pPr>
              <w:spacing w:line="240" w:lineRule="auto"/>
              <w:jc w:val="right"/>
            </w:pPr>
            <w:r>
              <w:rPr>
                <w:rFonts w:ascii="宋体" w:hAnsi="宋体" w:eastAsia="宋体" w:cs="宋体"/>
                <w:b w:val="0"/>
              </w:rPr>
              <w:t>7,879,253.00</w:t>
            </w:r>
          </w:p>
        </w:tc>
        <w:tc>
          <w:tcPr>
            <w:tcW w:w="0" w:type="dxa"/>
            <w:vAlign w:val="center"/>
          </w:tcPr>
          <w:p w14:paraId="5F4A8816">
            <w:pPr>
              <w:spacing w:line="240" w:lineRule="auto"/>
              <w:jc w:val="right"/>
            </w:pPr>
            <w:r>
              <w:rPr>
                <w:rFonts w:ascii="宋体" w:hAnsi="宋体" w:eastAsia="宋体" w:cs="宋体"/>
                <w:b w:val="0"/>
              </w:rPr>
              <w:t>10.86</w:t>
            </w:r>
          </w:p>
        </w:tc>
      </w:tr>
      <w:tr w14:paraId="232C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BE6B2C">
            <w:pPr>
              <w:spacing w:line="240" w:lineRule="auto"/>
              <w:jc w:val="center"/>
            </w:pPr>
            <w:r>
              <w:rPr>
                <w:rFonts w:ascii="宋体" w:hAnsi="宋体" w:eastAsia="宋体" w:cs="宋体"/>
                <w:b w:val="0"/>
              </w:rPr>
              <w:t>3</w:t>
            </w:r>
          </w:p>
        </w:tc>
        <w:tc>
          <w:tcPr>
            <w:tcW w:w="0" w:type="dxa"/>
            <w:vAlign w:val="center"/>
          </w:tcPr>
          <w:p w14:paraId="12AD0901">
            <w:pPr>
              <w:spacing w:line="240" w:lineRule="auto"/>
              <w:jc w:val="left"/>
            </w:pPr>
            <w:r>
              <w:rPr>
                <w:rFonts w:ascii="宋体" w:hAnsi="宋体" w:eastAsia="宋体" w:cs="宋体"/>
                <w:b w:val="0"/>
              </w:rPr>
              <w:t>002223</w:t>
            </w:r>
          </w:p>
        </w:tc>
        <w:tc>
          <w:tcPr>
            <w:tcW w:w="0" w:type="dxa"/>
            <w:vAlign w:val="center"/>
          </w:tcPr>
          <w:p w14:paraId="5C43E5FD">
            <w:pPr>
              <w:spacing w:line="240" w:lineRule="auto"/>
              <w:jc w:val="left"/>
            </w:pPr>
            <w:r>
              <w:rPr>
                <w:rFonts w:ascii="宋体" w:hAnsi="宋体" w:eastAsia="宋体" w:cs="宋体"/>
                <w:b w:val="0"/>
              </w:rPr>
              <w:t>鱼跃医疗</w:t>
            </w:r>
          </w:p>
        </w:tc>
        <w:tc>
          <w:tcPr>
            <w:tcW w:w="0" w:type="dxa"/>
            <w:vAlign w:val="center"/>
          </w:tcPr>
          <w:p w14:paraId="34FAEBB4">
            <w:pPr>
              <w:spacing w:line="240" w:lineRule="auto"/>
              <w:jc w:val="right"/>
            </w:pPr>
            <w:r>
              <w:rPr>
                <w:rFonts w:ascii="宋体" w:hAnsi="宋体" w:eastAsia="宋体" w:cs="宋体"/>
                <w:b w:val="0"/>
              </w:rPr>
              <w:t>7,150,056.00</w:t>
            </w:r>
          </w:p>
        </w:tc>
        <w:tc>
          <w:tcPr>
            <w:tcW w:w="0" w:type="dxa"/>
            <w:vAlign w:val="center"/>
          </w:tcPr>
          <w:p w14:paraId="528B3529">
            <w:pPr>
              <w:spacing w:line="240" w:lineRule="auto"/>
              <w:jc w:val="right"/>
            </w:pPr>
            <w:r>
              <w:rPr>
                <w:rFonts w:ascii="宋体" w:hAnsi="宋体" w:eastAsia="宋体" w:cs="宋体"/>
                <w:b w:val="0"/>
              </w:rPr>
              <w:t>9.86</w:t>
            </w:r>
          </w:p>
        </w:tc>
      </w:tr>
      <w:tr w14:paraId="00F0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ACB831">
            <w:pPr>
              <w:spacing w:line="240" w:lineRule="auto"/>
              <w:jc w:val="center"/>
            </w:pPr>
            <w:r>
              <w:rPr>
                <w:rFonts w:ascii="宋体" w:hAnsi="宋体" w:eastAsia="宋体" w:cs="宋体"/>
                <w:b w:val="0"/>
              </w:rPr>
              <w:t>4</w:t>
            </w:r>
          </w:p>
        </w:tc>
        <w:tc>
          <w:tcPr>
            <w:tcW w:w="0" w:type="dxa"/>
            <w:vAlign w:val="center"/>
          </w:tcPr>
          <w:p w14:paraId="35D2F97F">
            <w:pPr>
              <w:spacing w:line="240" w:lineRule="auto"/>
              <w:jc w:val="left"/>
            </w:pPr>
            <w:r>
              <w:rPr>
                <w:rFonts w:ascii="宋体" w:hAnsi="宋体" w:eastAsia="宋体" w:cs="宋体"/>
                <w:b w:val="0"/>
              </w:rPr>
              <w:t>002833</w:t>
            </w:r>
          </w:p>
        </w:tc>
        <w:tc>
          <w:tcPr>
            <w:tcW w:w="0" w:type="dxa"/>
            <w:vAlign w:val="center"/>
          </w:tcPr>
          <w:p w14:paraId="7FC8E298">
            <w:pPr>
              <w:spacing w:line="240" w:lineRule="auto"/>
              <w:jc w:val="left"/>
            </w:pPr>
            <w:r>
              <w:rPr>
                <w:rFonts w:ascii="宋体" w:hAnsi="宋体" w:eastAsia="宋体" w:cs="宋体"/>
                <w:b w:val="0"/>
              </w:rPr>
              <w:t>弘亚数控</w:t>
            </w:r>
          </w:p>
        </w:tc>
        <w:tc>
          <w:tcPr>
            <w:tcW w:w="0" w:type="dxa"/>
            <w:vAlign w:val="center"/>
          </w:tcPr>
          <w:p w14:paraId="1BC04F5B">
            <w:pPr>
              <w:spacing w:line="240" w:lineRule="auto"/>
              <w:jc w:val="right"/>
            </w:pPr>
            <w:r>
              <w:rPr>
                <w:rFonts w:ascii="宋体" w:hAnsi="宋体" w:eastAsia="宋体" w:cs="宋体"/>
                <w:b w:val="0"/>
              </w:rPr>
              <w:t>6,536,000.84</w:t>
            </w:r>
          </w:p>
        </w:tc>
        <w:tc>
          <w:tcPr>
            <w:tcW w:w="0" w:type="dxa"/>
            <w:vAlign w:val="center"/>
          </w:tcPr>
          <w:p w14:paraId="33F9C60E">
            <w:pPr>
              <w:spacing w:line="240" w:lineRule="auto"/>
              <w:jc w:val="right"/>
            </w:pPr>
            <w:r>
              <w:rPr>
                <w:rFonts w:ascii="宋体" w:hAnsi="宋体" w:eastAsia="宋体" w:cs="宋体"/>
                <w:b w:val="0"/>
              </w:rPr>
              <w:t>9.01</w:t>
            </w:r>
          </w:p>
        </w:tc>
      </w:tr>
      <w:tr w14:paraId="2B77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EECEE9">
            <w:pPr>
              <w:spacing w:line="240" w:lineRule="auto"/>
              <w:jc w:val="center"/>
            </w:pPr>
            <w:r>
              <w:rPr>
                <w:rFonts w:ascii="宋体" w:hAnsi="宋体" w:eastAsia="宋体" w:cs="宋体"/>
                <w:b w:val="0"/>
              </w:rPr>
              <w:t>5</w:t>
            </w:r>
          </w:p>
        </w:tc>
        <w:tc>
          <w:tcPr>
            <w:tcW w:w="0" w:type="dxa"/>
            <w:vAlign w:val="center"/>
          </w:tcPr>
          <w:p w14:paraId="477C3AF1">
            <w:pPr>
              <w:spacing w:line="240" w:lineRule="auto"/>
              <w:jc w:val="left"/>
            </w:pPr>
            <w:r>
              <w:rPr>
                <w:rFonts w:ascii="宋体" w:hAnsi="宋体" w:eastAsia="宋体" w:cs="宋体"/>
                <w:b w:val="0"/>
              </w:rPr>
              <w:t>688087</w:t>
            </w:r>
          </w:p>
        </w:tc>
        <w:tc>
          <w:tcPr>
            <w:tcW w:w="0" w:type="dxa"/>
            <w:vAlign w:val="center"/>
          </w:tcPr>
          <w:p w14:paraId="634E1AC5">
            <w:pPr>
              <w:spacing w:line="240" w:lineRule="auto"/>
              <w:jc w:val="left"/>
            </w:pPr>
            <w:r>
              <w:rPr>
                <w:rFonts w:ascii="宋体" w:hAnsi="宋体" w:eastAsia="宋体" w:cs="宋体"/>
                <w:b w:val="0"/>
              </w:rPr>
              <w:t>英科再生</w:t>
            </w:r>
          </w:p>
        </w:tc>
        <w:tc>
          <w:tcPr>
            <w:tcW w:w="0" w:type="dxa"/>
            <w:vAlign w:val="center"/>
          </w:tcPr>
          <w:p w14:paraId="25F58EA3">
            <w:pPr>
              <w:spacing w:line="240" w:lineRule="auto"/>
              <w:jc w:val="right"/>
            </w:pPr>
            <w:r>
              <w:rPr>
                <w:rFonts w:ascii="宋体" w:hAnsi="宋体" w:eastAsia="宋体" w:cs="宋体"/>
                <w:b w:val="0"/>
              </w:rPr>
              <w:t>4,489,319.73</w:t>
            </w:r>
          </w:p>
        </w:tc>
        <w:tc>
          <w:tcPr>
            <w:tcW w:w="0" w:type="dxa"/>
            <w:vAlign w:val="center"/>
          </w:tcPr>
          <w:p w14:paraId="700060B6">
            <w:pPr>
              <w:spacing w:line="240" w:lineRule="auto"/>
              <w:jc w:val="right"/>
            </w:pPr>
            <w:r>
              <w:rPr>
                <w:rFonts w:ascii="宋体" w:hAnsi="宋体" w:eastAsia="宋体" w:cs="宋体"/>
                <w:b w:val="0"/>
              </w:rPr>
              <w:t>6.19</w:t>
            </w:r>
          </w:p>
        </w:tc>
      </w:tr>
      <w:tr w14:paraId="658F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D24222">
            <w:pPr>
              <w:spacing w:line="240" w:lineRule="auto"/>
              <w:jc w:val="center"/>
            </w:pPr>
            <w:r>
              <w:rPr>
                <w:rFonts w:ascii="宋体" w:hAnsi="宋体" w:eastAsia="宋体" w:cs="宋体"/>
                <w:b w:val="0"/>
              </w:rPr>
              <w:t>6</w:t>
            </w:r>
          </w:p>
        </w:tc>
        <w:tc>
          <w:tcPr>
            <w:tcW w:w="0" w:type="dxa"/>
            <w:vAlign w:val="center"/>
          </w:tcPr>
          <w:p w14:paraId="73F401BE">
            <w:pPr>
              <w:spacing w:line="240" w:lineRule="auto"/>
              <w:jc w:val="left"/>
            </w:pPr>
            <w:r>
              <w:rPr>
                <w:rFonts w:ascii="宋体" w:hAnsi="宋体" w:eastAsia="宋体" w:cs="宋体"/>
                <w:b w:val="0"/>
              </w:rPr>
              <w:t>00883</w:t>
            </w:r>
          </w:p>
        </w:tc>
        <w:tc>
          <w:tcPr>
            <w:tcW w:w="0" w:type="dxa"/>
            <w:vAlign w:val="center"/>
          </w:tcPr>
          <w:p w14:paraId="22A415EA">
            <w:pPr>
              <w:spacing w:line="240" w:lineRule="auto"/>
              <w:jc w:val="left"/>
            </w:pPr>
            <w:r>
              <w:rPr>
                <w:rFonts w:ascii="宋体" w:hAnsi="宋体" w:eastAsia="宋体" w:cs="宋体"/>
                <w:b w:val="0"/>
              </w:rPr>
              <w:t>中国海洋石油</w:t>
            </w:r>
          </w:p>
        </w:tc>
        <w:tc>
          <w:tcPr>
            <w:tcW w:w="0" w:type="dxa"/>
            <w:vAlign w:val="center"/>
          </w:tcPr>
          <w:p w14:paraId="01976901">
            <w:pPr>
              <w:spacing w:line="240" w:lineRule="auto"/>
              <w:jc w:val="right"/>
            </w:pPr>
            <w:r>
              <w:rPr>
                <w:rFonts w:ascii="宋体" w:hAnsi="宋体" w:eastAsia="宋体" w:cs="宋体"/>
                <w:b w:val="0"/>
              </w:rPr>
              <w:t>3,469,229.98</w:t>
            </w:r>
          </w:p>
        </w:tc>
        <w:tc>
          <w:tcPr>
            <w:tcW w:w="0" w:type="dxa"/>
            <w:vAlign w:val="center"/>
          </w:tcPr>
          <w:p w14:paraId="57B22CD3">
            <w:pPr>
              <w:spacing w:line="240" w:lineRule="auto"/>
              <w:jc w:val="right"/>
            </w:pPr>
            <w:r>
              <w:rPr>
                <w:rFonts w:ascii="宋体" w:hAnsi="宋体" w:eastAsia="宋体" w:cs="宋体"/>
                <w:b w:val="0"/>
              </w:rPr>
              <w:t>4.78</w:t>
            </w:r>
          </w:p>
        </w:tc>
      </w:tr>
      <w:tr w14:paraId="648B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D77704">
            <w:pPr>
              <w:spacing w:line="240" w:lineRule="auto"/>
              <w:jc w:val="center"/>
            </w:pPr>
            <w:r>
              <w:rPr>
                <w:rFonts w:ascii="宋体" w:hAnsi="宋体" w:eastAsia="宋体" w:cs="宋体"/>
                <w:b w:val="0"/>
              </w:rPr>
              <w:t>7</w:t>
            </w:r>
          </w:p>
        </w:tc>
        <w:tc>
          <w:tcPr>
            <w:tcW w:w="0" w:type="dxa"/>
            <w:vAlign w:val="center"/>
          </w:tcPr>
          <w:p w14:paraId="61990645">
            <w:pPr>
              <w:spacing w:line="240" w:lineRule="auto"/>
              <w:jc w:val="left"/>
            </w:pPr>
            <w:r>
              <w:rPr>
                <w:rFonts w:ascii="宋体" w:hAnsi="宋体" w:eastAsia="宋体" w:cs="宋体"/>
                <w:b w:val="0"/>
              </w:rPr>
              <w:t>000333</w:t>
            </w:r>
          </w:p>
        </w:tc>
        <w:tc>
          <w:tcPr>
            <w:tcW w:w="0" w:type="dxa"/>
            <w:vAlign w:val="center"/>
          </w:tcPr>
          <w:p w14:paraId="58E0A60C">
            <w:pPr>
              <w:spacing w:line="240" w:lineRule="auto"/>
              <w:jc w:val="left"/>
            </w:pPr>
            <w:r>
              <w:rPr>
                <w:rFonts w:ascii="宋体" w:hAnsi="宋体" w:eastAsia="宋体" w:cs="宋体"/>
                <w:b w:val="0"/>
              </w:rPr>
              <w:t>美的集团</w:t>
            </w:r>
          </w:p>
        </w:tc>
        <w:tc>
          <w:tcPr>
            <w:tcW w:w="0" w:type="dxa"/>
            <w:vAlign w:val="center"/>
          </w:tcPr>
          <w:p w14:paraId="3EA9C977">
            <w:pPr>
              <w:spacing w:line="240" w:lineRule="auto"/>
              <w:jc w:val="right"/>
            </w:pPr>
            <w:r>
              <w:rPr>
                <w:rFonts w:ascii="宋体" w:hAnsi="宋体" w:eastAsia="宋体" w:cs="宋体"/>
                <w:b w:val="0"/>
              </w:rPr>
              <w:t>2,265,750.00</w:t>
            </w:r>
          </w:p>
        </w:tc>
        <w:tc>
          <w:tcPr>
            <w:tcW w:w="0" w:type="dxa"/>
            <w:vAlign w:val="center"/>
          </w:tcPr>
          <w:p w14:paraId="76650FE0">
            <w:pPr>
              <w:spacing w:line="240" w:lineRule="auto"/>
              <w:jc w:val="right"/>
            </w:pPr>
            <w:r>
              <w:rPr>
                <w:rFonts w:ascii="宋体" w:hAnsi="宋体" w:eastAsia="宋体" w:cs="宋体"/>
                <w:b w:val="0"/>
              </w:rPr>
              <w:t>3.12</w:t>
            </w:r>
          </w:p>
        </w:tc>
      </w:tr>
      <w:tr w14:paraId="6043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5D3048">
            <w:pPr>
              <w:spacing w:line="240" w:lineRule="auto"/>
              <w:jc w:val="center"/>
            </w:pPr>
            <w:r>
              <w:rPr>
                <w:rFonts w:ascii="宋体" w:hAnsi="宋体" w:eastAsia="宋体" w:cs="宋体"/>
                <w:b w:val="0"/>
              </w:rPr>
              <w:t>8</w:t>
            </w:r>
          </w:p>
        </w:tc>
        <w:tc>
          <w:tcPr>
            <w:tcW w:w="0" w:type="dxa"/>
            <w:vAlign w:val="center"/>
          </w:tcPr>
          <w:p w14:paraId="3EDFF6F2">
            <w:pPr>
              <w:spacing w:line="240" w:lineRule="auto"/>
              <w:jc w:val="left"/>
            </w:pPr>
            <w:r>
              <w:rPr>
                <w:rFonts w:ascii="宋体" w:hAnsi="宋体" w:eastAsia="宋体" w:cs="宋体"/>
                <w:b w:val="0"/>
              </w:rPr>
              <w:t>00038</w:t>
            </w:r>
          </w:p>
        </w:tc>
        <w:tc>
          <w:tcPr>
            <w:tcW w:w="0" w:type="dxa"/>
            <w:vAlign w:val="center"/>
          </w:tcPr>
          <w:p w14:paraId="55821F26">
            <w:pPr>
              <w:spacing w:line="240" w:lineRule="auto"/>
              <w:jc w:val="left"/>
            </w:pPr>
            <w:r>
              <w:rPr>
                <w:rFonts w:ascii="宋体" w:hAnsi="宋体" w:eastAsia="宋体" w:cs="宋体"/>
                <w:b w:val="0"/>
              </w:rPr>
              <w:t>第一拖拉机股份</w:t>
            </w:r>
          </w:p>
        </w:tc>
        <w:tc>
          <w:tcPr>
            <w:tcW w:w="0" w:type="dxa"/>
            <w:vAlign w:val="center"/>
          </w:tcPr>
          <w:p w14:paraId="0595D864">
            <w:pPr>
              <w:spacing w:line="240" w:lineRule="auto"/>
              <w:jc w:val="right"/>
            </w:pPr>
            <w:r>
              <w:rPr>
                <w:rFonts w:ascii="宋体" w:hAnsi="宋体" w:eastAsia="宋体" w:cs="宋体"/>
                <w:b w:val="0"/>
              </w:rPr>
              <w:t>1,856,829.07</w:t>
            </w:r>
          </w:p>
        </w:tc>
        <w:tc>
          <w:tcPr>
            <w:tcW w:w="0" w:type="dxa"/>
            <w:vAlign w:val="center"/>
          </w:tcPr>
          <w:p w14:paraId="482372A8">
            <w:pPr>
              <w:spacing w:line="240" w:lineRule="auto"/>
              <w:jc w:val="right"/>
            </w:pPr>
            <w:r>
              <w:rPr>
                <w:rFonts w:ascii="宋体" w:hAnsi="宋体" w:eastAsia="宋体" w:cs="宋体"/>
                <w:b w:val="0"/>
              </w:rPr>
              <w:t>2.56</w:t>
            </w:r>
          </w:p>
        </w:tc>
      </w:tr>
      <w:tr w14:paraId="4CD4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30CE87">
            <w:pPr>
              <w:spacing w:line="240" w:lineRule="auto"/>
              <w:jc w:val="center"/>
            </w:pPr>
            <w:r>
              <w:rPr>
                <w:rFonts w:ascii="宋体" w:hAnsi="宋体" w:eastAsia="宋体" w:cs="宋体"/>
                <w:b w:val="0"/>
              </w:rPr>
              <w:t>9</w:t>
            </w:r>
          </w:p>
        </w:tc>
        <w:tc>
          <w:tcPr>
            <w:tcW w:w="0" w:type="dxa"/>
            <w:vAlign w:val="center"/>
          </w:tcPr>
          <w:p w14:paraId="3A030BE1">
            <w:pPr>
              <w:spacing w:line="240" w:lineRule="auto"/>
              <w:jc w:val="left"/>
            </w:pPr>
            <w:r>
              <w:rPr>
                <w:rFonts w:ascii="宋体" w:hAnsi="宋体" w:eastAsia="宋体" w:cs="宋体"/>
                <w:b w:val="0"/>
              </w:rPr>
              <w:t>06049</w:t>
            </w:r>
          </w:p>
        </w:tc>
        <w:tc>
          <w:tcPr>
            <w:tcW w:w="0" w:type="dxa"/>
            <w:vAlign w:val="center"/>
          </w:tcPr>
          <w:p w14:paraId="07E65590">
            <w:pPr>
              <w:spacing w:line="240" w:lineRule="auto"/>
              <w:jc w:val="left"/>
            </w:pPr>
            <w:r>
              <w:rPr>
                <w:rFonts w:ascii="宋体" w:hAnsi="宋体" w:eastAsia="宋体" w:cs="宋体"/>
                <w:b w:val="0"/>
              </w:rPr>
              <w:t>保利物业</w:t>
            </w:r>
          </w:p>
        </w:tc>
        <w:tc>
          <w:tcPr>
            <w:tcW w:w="0" w:type="dxa"/>
            <w:vAlign w:val="center"/>
          </w:tcPr>
          <w:p w14:paraId="23BD2697">
            <w:pPr>
              <w:spacing w:line="240" w:lineRule="auto"/>
              <w:jc w:val="right"/>
            </w:pPr>
            <w:r>
              <w:rPr>
                <w:rFonts w:ascii="宋体" w:hAnsi="宋体" w:eastAsia="宋体" w:cs="宋体"/>
                <w:b w:val="0"/>
              </w:rPr>
              <w:t>1,635,362.53</w:t>
            </w:r>
          </w:p>
        </w:tc>
        <w:tc>
          <w:tcPr>
            <w:tcW w:w="0" w:type="dxa"/>
            <w:vAlign w:val="center"/>
          </w:tcPr>
          <w:p w14:paraId="6A5C9B44">
            <w:pPr>
              <w:spacing w:line="240" w:lineRule="auto"/>
              <w:jc w:val="right"/>
            </w:pPr>
            <w:r>
              <w:rPr>
                <w:rFonts w:ascii="宋体" w:hAnsi="宋体" w:eastAsia="宋体" w:cs="宋体"/>
                <w:b w:val="0"/>
              </w:rPr>
              <w:t>2.25</w:t>
            </w:r>
          </w:p>
        </w:tc>
      </w:tr>
      <w:tr w14:paraId="46B5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96F86F">
            <w:pPr>
              <w:spacing w:line="240" w:lineRule="auto"/>
              <w:jc w:val="center"/>
            </w:pPr>
            <w:r>
              <w:rPr>
                <w:rFonts w:ascii="宋体" w:hAnsi="宋体" w:eastAsia="宋体" w:cs="宋体"/>
                <w:b w:val="0"/>
              </w:rPr>
              <w:t>10</w:t>
            </w:r>
          </w:p>
        </w:tc>
        <w:tc>
          <w:tcPr>
            <w:tcW w:w="0" w:type="dxa"/>
            <w:vAlign w:val="center"/>
          </w:tcPr>
          <w:p w14:paraId="10253856">
            <w:pPr>
              <w:spacing w:line="240" w:lineRule="auto"/>
              <w:jc w:val="left"/>
            </w:pPr>
            <w:r>
              <w:rPr>
                <w:rFonts w:ascii="宋体" w:hAnsi="宋体" w:eastAsia="宋体" w:cs="宋体"/>
                <w:b w:val="0"/>
              </w:rPr>
              <w:t>02669</w:t>
            </w:r>
          </w:p>
        </w:tc>
        <w:tc>
          <w:tcPr>
            <w:tcW w:w="0" w:type="dxa"/>
            <w:vAlign w:val="center"/>
          </w:tcPr>
          <w:p w14:paraId="43A1D15D">
            <w:pPr>
              <w:spacing w:line="240" w:lineRule="auto"/>
              <w:jc w:val="left"/>
            </w:pPr>
            <w:r>
              <w:rPr>
                <w:rFonts w:ascii="宋体" w:hAnsi="宋体" w:eastAsia="宋体" w:cs="宋体"/>
                <w:b w:val="0"/>
              </w:rPr>
              <w:t>中海物业</w:t>
            </w:r>
          </w:p>
        </w:tc>
        <w:tc>
          <w:tcPr>
            <w:tcW w:w="0" w:type="dxa"/>
            <w:vAlign w:val="center"/>
          </w:tcPr>
          <w:p w14:paraId="3631A5DA">
            <w:pPr>
              <w:spacing w:line="240" w:lineRule="auto"/>
              <w:jc w:val="right"/>
            </w:pPr>
            <w:r>
              <w:rPr>
                <w:rFonts w:ascii="宋体" w:hAnsi="宋体" w:eastAsia="宋体" w:cs="宋体"/>
                <w:b w:val="0"/>
              </w:rPr>
              <w:t>1,523,898.87</w:t>
            </w:r>
          </w:p>
        </w:tc>
        <w:tc>
          <w:tcPr>
            <w:tcW w:w="0" w:type="dxa"/>
            <w:vAlign w:val="center"/>
          </w:tcPr>
          <w:p w14:paraId="6E8ADCD0">
            <w:pPr>
              <w:spacing w:line="240" w:lineRule="auto"/>
              <w:jc w:val="right"/>
            </w:pPr>
            <w:r>
              <w:rPr>
                <w:rFonts w:ascii="宋体" w:hAnsi="宋体" w:eastAsia="宋体" w:cs="宋体"/>
                <w:b w:val="0"/>
              </w:rPr>
              <w:t>2.10</w:t>
            </w:r>
          </w:p>
        </w:tc>
      </w:tr>
      <w:tr w14:paraId="460C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18CC4D">
            <w:pPr>
              <w:spacing w:line="240" w:lineRule="auto"/>
              <w:jc w:val="center"/>
            </w:pPr>
            <w:r>
              <w:rPr>
                <w:rFonts w:ascii="宋体" w:hAnsi="宋体" w:eastAsia="宋体" w:cs="宋体"/>
                <w:b w:val="0"/>
              </w:rPr>
              <w:t>11</w:t>
            </w:r>
          </w:p>
        </w:tc>
        <w:tc>
          <w:tcPr>
            <w:tcW w:w="0" w:type="dxa"/>
            <w:vAlign w:val="center"/>
          </w:tcPr>
          <w:p w14:paraId="5E742ECA">
            <w:pPr>
              <w:spacing w:line="240" w:lineRule="auto"/>
              <w:jc w:val="left"/>
            </w:pPr>
            <w:r>
              <w:rPr>
                <w:rFonts w:ascii="宋体" w:hAnsi="宋体" w:eastAsia="宋体" w:cs="宋体"/>
                <w:b w:val="0"/>
              </w:rPr>
              <w:t>300833</w:t>
            </w:r>
          </w:p>
        </w:tc>
        <w:tc>
          <w:tcPr>
            <w:tcW w:w="0" w:type="dxa"/>
            <w:vAlign w:val="center"/>
          </w:tcPr>
          <w:p w14:paraId="18ADC9A7">
            <w:pPr>
              <w:spacing w:line="240" w:lineRule="auto"/>
              <w:jc w:val="left"/>
            </w:pPr>
            <w:r>
              <w:rPr>
                <w:rFonts w:ascii="宋体" w:hAnsi="宋体" w:eastAsia="宋体" w:cs="宋体"/>
                <w:b w:val="0"/>
              </w:rPr>
              <w:t>浩洋股份</w:t>
            </w:r>
          </w:p>
        </w:tc>
        <w:tc>
          <w:tcPr>
            <w:tcW w:w="0" w:type="dxa"/>
            <w:vAlign w:val="center"/>
          </w:tcPr>
          <w:p w14:paraId="02DA7099">
            <w:pPr>
              <w:spacing w:line="240" w:lineRule="auto"/>
              <w:jc w:val="right"/>
            </w:pPr>
            <w:r>
              <w:rPr>
                <w:rFonts w:ascii="宋体" w:hAnsi="宋体" w:eastAsia="宋体" w:cs="宋体"/>
                <w:b w:val="0"/>
              </w:rPr>
              <w:t>1,492,851.00</w:t>
            </w:r>
          </w:p>
        </w:tc>
        <w:tc>
          <w:tcPr>
            <w:tcW w:w="0" w:type="dxa"/>
            <w:vAlign w:val="center"/>
          </w:tcPr>
          <w:p w14:paraId="4D728B5E">
            <w:pPr>
              <w:spacing w:line="240" w:lineRule="auto"/>
              <w:jc w:val="right"/>
            </w:pPr>
            <w:r>
              <w:rPr>
                <w:rFonts w:ascii="宋体" w:hAnsi="宋体" w:eastAsia="宋体" w:cs="宋体"/>
                <w:b w:val="0"/>
              </w:rPr>
              <w:t>2.06</w:t>
            </w:r>
          </w:p>
        </w:tc>
      </w:tr>
      <w:tr w14:paraId="1F88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A64C64">
            <w:pPr>
              <w:spacing w:line="240" w:lineRule="auto"/>
              <w:jc w:val="center"/>
            </w:pPr>
            <w:r>
              <w:rPr>
                <w:rFonts w:ascii="宋体" w:hAnsi="宋体" w:eastAsia="宋体" w:cs="宋体"/>
                <w:b w:val="0"/>
              </w:rPr>
              <w:t>12</w:t>
            </w:r>
          </w:p>
        </w:tc>
        <w:tc>
          <w:tcPr>
            <w:tcW w:w="0" w:type="dxa"/>
            <w:vAlign w:val="center"/>
          </w:tcPr>
          <w:p w14:paraId="059DBA14">
            <w:pPr>
              <w:spacing w:line="240" w:lineRule="auto"/>
              <w:jc w:val="left"/>
            </w:pPr>
            <w:r>
              <w:rPr>
                <w:rFonts w:ascii="宋体" w:hAnsi="宋体" w:eastAsia="宋体" w:cs="宋体"/>
                <w:b w:val="0"/>
              </w:rPr>
              <w:t>603129</w:t>
            </w:r>
          </w:p>
        </w:tc>
        <w:tc>
          <w:tcPr>
            <w:tcW w:w="0" w:type="dxa"/>
            <w:vAlign w:val="center"/>
          </w:tcPr>
          <w:p w14:paraId="6A763D96">
            <w:pPr>
              <w:spacing w:line="240" w:lineRule="auto"/>
              <w:jc w:val="left"/>
            </w:pPr>
            <w:r>
              <w:rPr>
                <w:rFonts w:ascii="宋体" w:hAnsi="宋体" w:eastAsia="宋体" w:cs="宋体"/>
                <w:b w:val="0"/>
              </w:rPr>
              <w:t>春风动力</w:t>
            </w:r>
          </w:p>
        </w:tc>
        <w:tc>
          <w:tcPr>
            <w:tcW w:w="0" w:type="dxa"/>
            <w:vAlign w:val="center"/>
          </w:tcPr>
          <w:p w14:paraId="77A1F165">
            <w:pPr>
              <w:spacing w:line="240" w:lineRule="auto"/>
              <w:jc w:val="right"/>
            </w:pPr>
            <w:r>
              <w:rPr>
                <w:rFonts w:ascii="宋体" w:hAnsi="宋体" w:eastAsia="宋体" w:cs="宋体"/>
                <w:b w:val="0"/>
              </w:rPr>
              <w:t>636,190.00</w:t>
            </w:r>
          </w:p>
        </w:tc>
        <w:tc>
          <w:tcPr>
            <w:tcW w:w="0" w:type="dxa"/>
            <w:vAlign w:val="center"/>
          </w:tcPr>
          <w:p w14:paraId="46E3156F">
            <w:pPr>
              <w:spacing w:line="240" w:lineRule="auto"/>
              <w:jc w:val="right"/>
            </w:pPr>
            <w:r>
              <w:rPr>
                <w:rFonts w:ascii="宋体" w:hAnsi="宋体" w:eastAsia="宋体" w:cs="宋体"/>
                <w:b w:val="0"/>
              </w:rPr>
              <w:t>0.88</w:t>
            </w:r>
          </w:p>
        </w:tc>
      </w:tr>
      <w:tr w14:paraId="5AD2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BB4ED4">
            <w:pPr>
              <w:spacing w:line="240" w:lineRule="auto"/>
              <w:jc w:val="center"/>
            </w:pPr>
            <w:r>
              <w:rPr>
                <w:rFonts w:ascii="宋体" w:hAnsi="宋体" w:eastAsia="宋体" w:cs="宋体"/>
                <w:b w:val="0"/>
              </w:rPr>
              <w:t>13</w:t>
            </w:r>
          </w:p>
        </w:tc>
        <w:tc>
          <w:tcPr>
            <w:tcW w:w="0" w:type="dxa"/>
            <w:vAlign w:val="center"/>
          </w:tcPr>
          <w:p w14:paraId="73D6F57B">
            <w:pPr>
              <w:spacing w:line="240" w:lineRule="auto"/>
              <w:jc w:val="left"/>
            </w:pPr>
            <w:r>
              <w:rPr>
                <w:rFonts w:ascii="宋体" w:hAnsi="宋体" w:eastAsia="宋体" w:cs="宋体"/>
                <w:b w:val="0"/>
              </w:rPr>
              <w:t>02273</w:t>
            </w:r>
          </w:p>
        </w:tc>
        <w:tc>
          <w:tcPr>
            <w:tcW w:w="0" w:type="dxa"/>
            <w:vAlign w:val="center"/>
          </w:tcPr>
          <w:p w14:paraId="4C59AB60">
            <w:pPr>
              <w:spacing w:line="240" w:lineRule="auto"/>
              <w:jc w:val="left"/>
            </w:pPr>
            <w:r>
              <w:rPr>
                <w:rFonts w:ascii="宋体" w:hAnsi="宋体" w:eastAsia="宋体" w:cs="宋体"/>
                <w:b w:val="0"/>
              </w:rPr>
              <w:t>固生堂</w:t>
            </w:r>
          </w:p>
        </w:tc>
        <w:tc>
          <w:tcPr>
            <w:tcW w:w="0" w:type="dxa"/>
            <w:vAlign w:val="center"/>
          </w:tcPr>
          <w:p w14:paraId="3C25C97F">
            <w:pPr>
              <w:spacing w:line="240" w:lineRule="auto"/>
              <w:jc w:val="right"/>
            </w:pPr>
            <w:r>
              <w:rPr>
                <w:rFonts w:ascii="宋体" w:hAnsi="宋体" w:eastAsia="宋体" w:cs="宋体"/>
                <w:b w:val="0"/>
              </w:rPr>
              <w:t>467,115.13</w:t>
            </w:r>
          </w:p>
        </w:tc>
        <w:tc>
          <w:tcPr>
            <w:tcW w:w="0" w:type="dxa"/>
            <w:vAlign w:val="center"/>
          </w:tcPr>
          <w:p w14:paraId="04E6D74E">
            <w:pPr>
              <w:spacing w:line="240" w:lineRule="auto"/>
              <w:jc w:val="right"/>
            </w:pPr>
            <w:r>
              <w:rPr>
                <w:rFonts w:ascii="宋体" w:hAnsi="宋体" w:eastAsia="宋体" w:cs="宋体"/>
                <w:b w:val="0"/>
              </w:rPr>
              <w:t>0.64</w:t>
            </w:r>
          </w:p>
        </w:tc>
      </w:tr>
      <w:tr w14:paraId="1C3B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544A13">
            <w:pPr>
              <w:spacing w:line="240" w:lineRule="auto"/>
              <w:jc w:val="center"/>
            </w:pPr>
            <w:r>
              <w:rPr>
                <w:rFonts w:ascii="宋体" w:hAnsi="宋体" w:eastAsia="宋体" w:cs="宋体"/>
                <w:b w:val="0"/>
              </w:rPr>
              <w:t>14</w:t>
            </w:r>
          </w:p>
        </w:tc>
        <w:tc>
          <w:tcPr>
            <w:tcW w:w="0" w:type="dxa"/>
            <w:vAlign w:val="center"/>
          </w:tcPr>
          <w:p w14:paraId="2F4A885E">
            <w:pPr>
              <w:spacing w:line="240" w:lineRule="auto"/>
              <w:jc w:val="left"/>
            </w:pPr>
            <w:r>
              <w:rPr>
                <w:rFonts w:ascii="宋体" w:hAnsi="宋体" w:eastAsia="宋体" w:cs="宋体"/>
                <w:b w:val="0"/>
              </w:rPr>
              <w:t>002003</w:t>
            </w:r>
          </w:p>
        </w:tc>
        <w:tc>
          <w:tcPr>
            <w:tcW w:w="0" w:type="dxa"/>
            <w:vAlign w:val="center"/>
          </w:tcPr>
          <w:p w14:paraId="7AC23DFC">
            <w:pPr>
              <w:spacing w:line="240" w:lineRule="auto"/>
              <w:jc w:val="left"/>
            </w:pPr>
            <w:r>
              <w:rPr>
                <w:rFonts w:ascii="宋体" w:hAnsi="宋体" w:eastAsia="宋体" w:cs="宋体"/>
                <w:b w:val="0"/>
              </w:rPr>
              <w:t>伟星股份</w:t>
            </w:r>
          </w:p>
        </w:tc>
        <w:tc>
          <w:tcPr>
            <w:tcW w:w="0" w:type="dxa"/>
            <w:vAlign w:val="center"/>
          </w:tcPr>
          <w:p w14:paraId="0054F0E8">
            <w:pPr>
              <w:spacing w:line="240" w:lineRule="auto"/>
              <w:jc w:val="right"/>
            </w:pPr>
            <w:r>
              <w:rPr>
                <w:rFonts w:ascii="宋体" w:hAnsi="宋体" w:eastAsia="宋体" w:cs="宋体"/>
                <w:b w:val="0"/>
              </w:rPr>
              <w:t>154,950.00</w:t>
            </w:r>
          </w:p>
        </w:tc>
        <w:tc>
          <w:tcPr>
            <w:tcW w:w="0" w:type="dxa"/>
            <w:vAlign w:val="center"/>
          </w:tcPr>
          <w:p w14:paraId="25A3F482">
            <w:pPr>
              <w:spacing w:line="240" w:lineRule="auto"/>
              <w:jc w:val="right"/>
            </w:pPr>
            <w:r>
              <w:rPr>
                <w:rFonts w:ascii="宋体" w:hAnsi="宋体" w:eastAsia="宋体" w:cs="宋体"/>
                <w:b w:val="0"/>
              </w:rPr>
              <w:t>0.21</w:t>
            </w:r>
          </w:p>
        </w:tc>
      </w:tr>
      <w:tr w14:paraId="6E38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048057">
            <w:pPr>
              <w:spacing w:line="240" w:lineRule="auto"/>
              <w:jc w:val="center"/>
            </w:pPr>
            <w:r>
              <w:rPr>
                <w:rFonts w:ascii="宋体" w:hAnsi="宋体" w:eastAsia="宋体" w:cs="宋体"/>
                <w:b w:val="0"/>
              </w:rPr>
              <w:t>15</w:t>
            </w:r>
          </w:p>
        </w:tc>
        <w:tc>
          <w:tcPr>
            <w:tcW w:w="0" w:type="dxa"/>
            <w:vAlign w:val="center"/>
          </w:tcPr>
          <w:p w14:paraId="020AD479">
            <w:pPr>
              <w:spacing w:line="240" w:lineRule="auto"/>
              <w:jc w:val="left"/>
            </w:pPr>
            <w:r>
              <w:rPr>
                <w:rFonts w:ascii="宋体" w:hAnsi="宋体" w:eastAsia="宋体" w:cs="宋体"/>
                <w:b w:val="0"/>
              </w:rPr>
              <w:t>301632</w:t>
            </w:r>
          </w:p>
        </w:tc>
        <w:tc>
          <w:tcPr>
            <w:tcW w:w="0" w:type="dxa"/>
            <w:vAlign w:val="center"/>
          </w:tcPr>
          <w:p w14:paraId="6358587D">
            <w:pPr>
              <w:spacing w:line="240" w:lineRule="auto"/>
              <w:jc w:val="left"/>
            </w:pPr>
            <w:r>
              <w:rPr>
                <w:rFonts w:ascii="宋体" w:hAnsi="宋体" w:eastAsia="宋体" w:cs="宋体"/>
                <w:b w:val="0"/>
              </w:rPr>
              <w:t>广东建科</w:t>
            </w:r>
          </w:p>
        </w:tc>
        <w:tc>
          <w:tcPr>
            <w:tcW w:w="0" w:type="dxa"/>
            <w:vAlign w:val="center"/>
          </w:tcPr>
          <w:p w14:paraId="3905D28F">
            <w:pPr>
              <w:spacing w:line="240" w:lineRule="auto"/>
              <w:jc w:val="right"/>
            </w:pPr>
            <w:r>
              <w:rPr>
                <w:rFonts w:ascii="宋体" w:hAnsi="宋体" w:eastAsia="宋体" w:cs="宋体"/>
                <w:b w:val="0"/>
              </w:rPr>
              <w:t>9,420.95</w:t>
            </w:r>
          </w:p>
        </w:tc>
        <w:tc>
          <w:tcPr>
            <w:tcW w:w="0" w:type="dxa"/>
            <w:vAlign w:val="center"/>
          </w:tcPr>
          <w:p w14:paraId="4803A74D">
            <w:pPr>
              <w:spacing w:line="240" w:lineRule="auto"/>
              <w:jc w:val="right"/>
            </w:pPr>
            <w:r>
              <w:rPr>
                <w:rFonts w:ascii="宋体" w:hAnsi="宋体" w:eastAsia="宋体" w:cs="宋体"/>
                <w:b w:val="0"/>
              </w:rPr>
              <w:t>0.01</w:t>
            </w:r>
          </w:p>
        </w:tc>
      </w:tr>
      <w:tr w14:paraId="1280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0FC90A">
            <w:pPr>
              <w:spacing w:line="240" w:lineRule="auto"/>
              <w:jc w:val="center"/>
            </w:pPr>
            <w:r>
              <w:rPr>
                <w:rFonts w:ascii="宋体" w:hAnsi="宋体" w:eastAsia="宋体" w:cs="宋体"/>
                <w:b w:val="0"/>
              </w:rPr>
              <w:t>16</w:t>
            </w:r>
          </w:p>
        </w:tc>
        <w:tc>
          <w:tcPr>
            <w:tcW w:w="0" w:type="dxa"/>
            <w:vAlign w:val="center"/>
          </w:tcPr>
          <w:p w14:paraId="5F7FD4A1">
            <w:pPr>
              <w:spacing w:line="240" w:lineRule="auto"/>
              <w:jc w:val="left"/>
            </w:pPr>
            <w:r>
              <w:rPr>
                <w:rFonts w:ascii="宋体" w:hAnsi="宋体" w:eastAsia="宋体" w:cs="宋体"/>
                <w:b w:val="0"/>
              </w:rPr>
              <w:t>001221</w:t>
            </w:r>
          </w:p>
        </w:tc>
        <w:tc>
          <w:tcPr>
            <w:tcW w:w="0" w:type="dxa"/>
            <w:vAlign w:val="center"/>
          </w:tcPr>
          <w:p w14:paraId="00BEE684">
            <w:pPr>
              <w:spacing w:line="240" w:lineRule="auto"/>
              <w:jc w:val="left"/>
            </w:pPr>
            <w:r>
              <w:rPr>
                <w:rFonts w:ascii="宋体" w:hAnsi="宋体" w:eastAsia="宋体" w:cs="宋体"/>
                <w:b w:val="0"/>
              </w:rPr>
              <w:t>悍高集团</w:t>
            </w:r>
          </w:p>
        </w:tc>
        <w:tc>
          <w:tcPr>
            <w:tcW w:w="0" w:type="dxa"/>
            <w:vAlign w:val="center"/>
          </w:tcPr>
          <w:p w14:paraId="28ED26E6">
            <w:pPr>
              <w:spacing w:line="240" w:lineRule="auto"/>
              <w:jc w:val="right"/>
            </w:pPr>
            <w:r>
              <w:rPr>
                <w:rFonts w:ascii="宋体" w:hAnsi="宋体" w:eastAsia="宋体" w:cs="宋体"/>
                <w:b w:val="0"/>
              </w:rPr>
              <w:t>6,514.52</w:t>
            </w:r>
          </w:p>
        </w:tc>
        <w:tc>
          <w:tcPr>
            <w:tcW w:w="0" w:type="dxa"/>
            <w:vAlign w:val="center"/>
          </w:tcPr>
          <w:p w14:paraId="7A4BD9C7">
            <w:pPr>
              <w:spacing w:line="240" w:lineRule="auto"/>
              <w:jc w:val="right"/>
            </w:pPr>
            <w:r>
              <w:rPr>
                <w:rFonts w:ascii="宋体" w:hAnsi="宋体" w:eastAsia="宋体" w:cs="宋体"/>
                <w:b w:val="0"/>
              </w:rPr>
              <w:t>0.01</w:t>
            </w:r>
          </w:p>
        </w:tc>
      </w:tr>
      <w:tr w14:paraId="56F5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0341EE">
            <w:pPr>
              <w:spacing w:line="240" w:lineRule="auto"/>
              <w:jc w:val="center"/>
            </w:pPr>
            <w:r>
              <w:rPr>
                <w:rFonts w:ascii="宋体" w:hAnsi="宋体" w:eastAsia="宋体" w:cs="宋体"/>
                <w:b w:val="0"/>
              </w:rPr>
              <w:t>17</w:t>
            </w:r>
          </w:p>
        </w:tc>
        <w:tc>
          <w:tcPr>
            <w:tcW w:w="0" w:type="dxa"/>
            <w:vAlign w:val="center"/>
          </w:tcPr>
          <w:p w14:paraId="14C22DBB">
            <w:pPr>
              <w:spacing w:line="240" w:lineRule="auto"/>
              <w:jc w:val="left"/>
            </w:pPr>
            <w:r>
              <w:rPr>
                <w:rFonts w:ascii="宋体" w:hAnsi="宋体" w:eastAsia="宋体" w:cs="宋体"/>
                <w:b w:val="0"/>
              </w:rPr>
              <w:t>301491</w:t>
            </w:r>
          </w:p>
        </w:tc>
        <w:tc>
          <w:tcPr>
            <w:tcW w:w="0" w:type="dxa"/>
            <w:vAlign w:val="center"/>
          </w:tcPr>
          <w:p w14:paraId="51116ECF">
            <w:pPr>
              <w:spacing w:line="240" w:lineRule="auto"/>
              <w:jc w:val="left"/>
            </w:pPr>
            <w:r>
              <w:rPr>
                <w:rFonts w:ascii="宋体" w:hAnsi="宋体" w:eastAsia="宋体" w:cs="宋体"/>
                <w:b w:val="0"/>
              </w:rPr>
              <w:t>汉桑科技</w:t>
            </w:r>
          </w:p>
        </w:tc>
        <w:tc>
          <w:tcPr>
            <w:tcW w:w="0" w:type="dxa"/>
            <w:vAlign w:val="center"/>
          </w:tcPr>
          <w:p w14:paraId="301BE229">
            <w:pPr>
              <w:spacing w:line="240" w:lineRule="auto"/>
              <w:jc w:val="right"/>
            </w:pPr>
            <w:r>
              <w:rPr>
                <w:rFonts w:ascii="宋体" w:hAnsi="宋体" w:eastAsia="宋体" w:cs="宋体"/>
                <w:b w:val="0"/>
              </w:rPr>
              <w:t>6,491.16</w:t>
            </w:r>
          </w:p>
        </w:tc>
        <w:tc>
          <w:tcPr>
            <w:tcW w:w="0" w:type="dxa"/>
            <w:vAlign w:val="center"/>
          </w:tcPr>
          <w:p w14:paraId="3664BAD2">
            <w:pPr>
              <w:spacing w:line="240" w:lineRule="auto"/>
              <w:jc w:val="right"/>
            </w:pPr>
            <w:r>
              <w:rPr>
                <w:rFonts w:ascii="宋体" w:hAnsi="宋体" w:eastAsia="宋体" w:cs="宋体"/>
                <w:b w:val="0"/>
              </w:rPr>
              <w:t>0.01</w:t>
            </w:r>
          </w:p>
        </w:tc>
      </w:tr>
      <w:tr w14:paraId="1C4C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582817">
            <w:pPr>
              <w:spacing w:line="240" w:lineRule="auto"/>
              <w:jc w:val="center"/>
            </w:pPr>
            <w:r>
              <w:rPr>
                <w:rFonts w:ascii="宋体" w:hAnsi="宋体" w:eastAsia="宋体" w:cs="宋体"/>
                <w:b w:val="0"/>
              </w:rPr>
              <w:t>18</w:t>
            </w:r>
          </w:p>
        </w:tc>
        <w:tc>
          <w:tcPr>
            <w:tcW w:w="0" w:type="dxa"/>
            <w:vAlign w:val="center"/>
          </w:tcPr>
          <w:p w14:paraId="2983E781">
            <w:pPr>
              <w:spacing w:line="240" w:lineRule="auto"/>
              <w:jc w:val="left"/>
            </w:pPr>
            <w:r>
              <w:rPr>
                <w:rFonts w:ascii="宋体" w:hAnsi="宋体" w:eastAsia="宋体" w:cs="宋体"/>
                <w:b w:val="0"/>
              </w:rPr>
              <w:t>001388</w:t>
            </w:r>
          </w:p>
        </w:tc>
        <w:tc>
          <w:tcPr>
            <w:tcW w:w="0" w:type="dxa"/>
            <w:vAlign w:val="center"/>
          </w:tcPr>
          <w:p w14:paraId="16D43DAB">
            <w:pPr>
              <w:spacing w:line="240" w:lineRule="auto"/>
              <w:jc w:val="left"/>
            </w:pPr>
            <w:r>
              <w:rPr>
                <w:rFonts w:ascii="宋体" w:hAnsi="宋体" w:eastAsia="宋体" w:cs="宋体"/>
                <w:b w:val="0"/>
              </w:rPr>
              <w:t>信通电子</w:t>
            </w:r>
          </w:p>
        </w:tc>
        <w:tc>
          <w:tcPr>
            <w:tcW w:w="0" w:type="dxa"/>
            <w:vAlign w:val="center"/>
          </w:tcPr>
          <w:p w14:paraId="029BAD5B">
            <w:pPr>
              <w:spacing w:line="240" w:lineRule="auto"/>
              <w:jc w:val="right"/>
            </w:pPr>
            <w:r>
              <w:rPr>
                <w:rFonts w:ascii="宋体" w:hAnsi="宋体" w:eastAsia="宋体" w:cs="宋体"/>
                <w:b w:val="0"/>
              </w:rPr>
              <w:t>3,885.30</w:t>
            </w:r>
          </w:p>
        </w:tc>
        <w:tc>
          <w:tcPr>
            <w:tcW w:w="0" w:type="dxa"/>
            <w:vAlign w:val="center"/>
          </w:tcPr>
          <w:p w14:paraId="61676203">
            <w:pPr>
              <w:spacing w:line="240" w:lineRule="auto"/>
              <w:jc w:val="right"/>
            </w:pPr>
            <w:r>
              <w:rPr>
                <w:rFonts w:ascii="宋体" w:hAnsi="宋体" w:eastAsia="宋体" w:cs="宋体"/>
                <w:b w:val="0"/>
              </w:rPr>
              <w:t>0.01</w:t>
            </w:r>
          </w:p>
        </w:tc>
      </w:tr>
    </w:tbl>
    <w:p w14:paraId="3D8D675D">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5BDEBBCD"/>
    <w:p w14:paraId="5AF87F25">
      <w:pPr>
        <w:pStyle w:val="58"/>
      </w:pPr>
      <w:r>
        <w:rPr>
          <w:rFonts w:ascii="宋体" w:hAnsi="宋体" w:eastAsia="宋体" w:cs="宋体"/>
          <w:b/>
        </w:rPr>
        <w:t>7.4.3 买入股票的成本总额及卖出股票的收入总额</w:t>
      </w:r>
    </w:p>
    <w:p w14:paraId="51058F2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3D94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5AE34B87">
            <w:pPr>
              <w:spacing w:line="240" w:lineRule="auto"/>
              <w:jc w:val="left"/>
            </w:pPr>
            <w:r>
              <w:rPr>
                <w:rFonts w:ascii="宋体" w:hAnsi="宋体" w:eastAsia="宋体" w:cs="宋体"/>
                <w:b w:val="0"/>
              </w:rPr>
              <w:t>买入股票成本（成交）总额</w:t>
            </w:r>
          </w:p>
        </w:tc>
        <w:tc>
          <w:tcPr>
            <w:tcW w:w="2308" w:type="pct"/>
            <w:vAlign w:val="center"/>
          </w:tcPr>
          <w:p w14:paraId="4509B6BC">
            <w:pPr>
              <w:spacing w:line="240" w:lineRule="auto"/>
              <w:jc w:val="right"/>
            </w:pPr>
            <w:r>
              <w:rPr>
                <w:rFonts w:ascii="宋体" w:hAnsi="宋体" w:eastAsia="宋体" w:cs="宋体"/>
                <w:b w:val="0"/>
              </w:rPr>
              <w:t>25,938,299.53</w:t>
            </w:r>
          </w:p>
        </w:tc>
      </w:tr>
      <w:tr w14:paraId="7D1B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65E86A">
            <w:pPr>
              <w:spacing w:line="240" w:lineRule="auto"/>
              <w:jc w:val="left"/>
            </w:pPr>
            <w:r>
              <w:rPr>
                <w:rFonts w:ascii="宋体" w:hAnsi="宋体" w:eastAsia="宋体" w:cs="宋体"/>
                <w:b w:val="0"/>
              </w:rPr>
              <w:t>卖出股票收入（成交）总额</w:t>
            </w:r>
          </w:p>
        </w:tc>
        <w:tc>
          <w:tcPr>
            <w:tcW w:w="0" w:type="dxa"/>
            <w:vAlign w:val="center"/>
          </w:tcPr>
          <w:p w14:paraId="6FA87A01">
            <w:pPr>
              <w:spacing w:line="240" w:lineRule="auto"/>
              <w:jc w:val="right"/>
            </w:pPr>
            <w:r>
              <w:rPr>
                <w:rFonts w:ascii="宋体" w:hAnsi="宋体" w:eastAsia="宋体" w:cs="宋体"/>
                <w:b w:val="0"/>
              </w:rPr>
              <w:t>47,525,191.08</w:t>
            </w:r>
          </w:p>
        </w:tc>
      </w:tr>
    </w:tbl>
    <w:p w14:paraId="7916B5D8">
      <w:r>
        <w:rPr>
          <w:rFonts w:ascii="宋体" w:hAnsi="宋体" w:eastAsia="宋体" w:cs="宋体"/>
          <w:b w:val="0"/>
        </w:rPr>
        <w:t>注：本项 "买入股票成本"、 "卖出股票收入"均按买卖成交金额（成交单价乘以成交数量）填列，不考虑相关交易费用。</w:t>
      </w:r>
    </w:p>
    <w:p w14:paraId="66EEF75D"/>
    <w:p w14:paraId="3D649593">
      <w:pPr>
        <w:pStyle w:val="3"/>
        <w:jc w:val="left"/>
      </w:pPr>
      <w:bookmarkStart w:id="37" w:name="_Toc19660"/>
      <w:r>
        <w:rPr>
          <w:rFonts w:ascii="宋体" w:hAnsi="宋体" w:eastAsia="宋体" w:cs="宋体"/>
        </w:rPr>
        <w:t>7.5 期末按债券品种分类的债券投资组合</w:t>
      </w:r>
      <w:bookmarkEnd w:id="37"/>
    </w:p>
    <w:p w14:paraId="0F1234D9">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098D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5AC8592C">
            <w:pPr>
              <w:spacing w:line="240" w:lineRule="auto"/>
              <w:jc w:val="center"/>
            </w:pPr>
            <w:r>
              <w:rPr>
                <w:rFonts w:ascii="宋体" w:hAnsi="宋体" w:eastAsia="宋体" w:cs="宋体"/>
                <w:b w:val="0"/>
              </w:rPr>
              <w:t>序号</w:t>
            </w:r>
          </w:p>
        </w:tc>
        <w:tc>
          <w:tcPr>
            <w:tcW w:w="1154" w:type="pct"/>
            <w:shd w:val="clear" w:color="auto" w:fill="D9D9D9"/>
            <w:vAlign w:val="center"/>
          </w:tcPr>
          <w:p w14:paraId="385522A4">
            <w:pPr>
              <w:spacing w:line="240" w:lineRule="auto"/>
              <w:jc w:val="center"/>
            </w:pPr>
            <w:r>
              <w:rPr>
                <w:rFonts w:ascii="宋体" w:hAnsi="宋体" w:eastAsia="宋体" w:cs="宋体"/>
                <w:b w:val="0"/>
              </w:rPr>
              <w:t>债券品种</w:t>
            </w:r>
          </w:p>
        </w:tc>
        <w:tc>
          <w:tcPr>
            <w:tcW w:w="769" w:type="pct"/>
            <w:shd w:val="clear" w:color="auto" w:fill="D9D9D9"/>
            <w:vAlign w:val="center"/>
          </w:tcPr>
          <w:p w14:paraId="17BE81F1">
            <w:pPr>
              <w:spacing w:line="240" w:lineRule="auto"/>
              <w:jc w:val="center"/>
            </w:pPr>
            <w:r>
              <w:rPr>
                <w:rFonts w:ascii="宋体" w:hAnsi="宋体" w:eastAsia="宋体" w:cs="宋体"/>
                <w:b w:val="0"/>
              </w:rPr>
              <w:t>公允价值</w:t>
            </w:r>
          </w:p>
        </w:tc>
        <w:tc>
          <w:tcPr>
            <w:tcW w:w="1154" w:type="pct"/>
            <w:shd w:val="clear" w:color="auto" w:fill="D9D9D9"/>
            <w:vAlign w:val="center"/>
          </w:tcPr>
          <w:p w14:paraId="2F49C5C2">
            <w:pPr>
              <w:spacing w:line="240" w:lineRule="auto"/>
              <w:jc w:val="center"/>
            </w:pPr>
            <w:r>
              <w:rPr>
                <w:rFonts w:ascii="宋体" w:hAnsi="宋体" w:eastAsia="宋体" w:cs="宋体"/>
                <w:b w:val="0"/>
              </w:rPr>
              <w:t>占基金资产净值比例(%)</w:t>
            </w:r>
          </w:p>
        </w:tc>
      </w:tr>
      <w:tr w14:paraId="4913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E9ACC0">
            <w:pPr>
              <w:spacing w:line="240" w:lineRule="auto"/>
              <w:jc w:val="center"/>
            </w:pPr>
            <w:r>
              <w:rPr>
                <w:rFonts w:ascii="宋体" w:hAnsi="宋体" w:eastAsia="宋体" w:cs="宋体"/>
                <w:b w:val="0"/>
              </w:rPr>
              <w:t>1</w:t>
            </w:r>
          </w:p>
        </w:tc>
        <w:tc>
          <w:tcPr>
            <w:tcW w:w="0" w:type="dxa"/>
            <w:vAlign w:val="center"/>
          </w:tcPr>
          <w:p w14:paraId="652B2FC6">
            <w:pPr>
              <w:spacing w:line="240" w:lineRule="auto"/>
              <w:jc w:val="left"/>
            </w:pPr>
            <w:r>
              <w:rPr>
                <w:rFonts w:ascii="宋体" w:hAnsi="宋体" w:eastAsia="宋体" w:cs="宋体"/>
                <w:b w:val="0"/>
              </w:rPr>
              <w:t>国家债券</w:t>
            </w:r>
          </w:p>
        </w:tc>
        <w:tc>
          <w:tcPr>
            <w:tcW w:w="0" w:type="dxa"/>
            <w:vAlign w:val="center"/>
          </w:tcPr>
          <w:p w14:paraId="6F6BB0C4">
            <w:pPr>
              <w:spacing w:line="240" w:lineRule="auto"/>
              <w:jc w:val="right"/>
            </w:pPr>
            <w:r>
              <w:rPr>
                <w:rFonts w:ascii="宋体" w:hAnsi="宋体" w:eastAsia="宋体" w:cs="宋体"/>
                <w:b w:val="0"/>
              </w:rPr>
              <w:t>2,936,613.89</w:t>
            </w:r>
          </w:p>
        </w:tc>
        <w:tc>
          <w:tcPr>
            <w:tcW w:w="0" w:type="dxa"/>
            <w:vAlign w:val="center"/>
          </w:tcPr>
          <w:p w14:paraId="0299F6A6">
            <w:pPr>
              <w:spacing w:line="240" w:lineRule="auto"/>
              <w:jc w:val="right"/>
            </w:pPr>
            <w:r>
              <w:rPr>
                <w:rFonts w:ascii="宋体" w:hAnsi="宋体" w:eastAsia="宋体" w:cs="宋体"/>
                <w:b w:val="0"/>
              </w:rPr>
              <w:t>5.73</w:t>
            </w:r>
          </w:p>
        </w:tc>
      </w:tr>
      <w:tr w14:paraId="0236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0BFE9B">
            <w:pPr>
              <w:spacing w:line="240" w:lineRule="auto"/>
              <w:jc w:val="center"/>
            </w:pPr>
            <w:r>
              <w:rPr>
                <w:rFonts w:ascii="宋体" w:hAnsi="宋体" w:eastAsia="宋体" w:cs="宋体"/>
                <w:b w:val="0"/>
              </w:rPr>
              <w:t>2</w:t>
            </w:r>
          </w:p>
        </w:tc>
        <w:tc>
          <w:tcPr>
            <w:tcW w:w="0" w:type="dxa"/>
            <w:vAlign w:val="center"/>
          </w:tcPr>
          <w:p w14:paraId="538C42DB">
            <w:pPr>
              <w:spacing w:line="240" w:lineRule="auto"/>
              <w:jc w:val="left"/>
            </w:pPr>
            <w:r>
              <w:rPr>
                <w:rFonts w:ascii="宋体" w:hAnsi="宋体" w:eastAsia="宋体" w:cs="宋体"/>
                <w:b w:val="0"/>
              </w:rPr>
              <w:t>央行票据</w:t>
            </w:r>
          </w:p>
        </w:tc>
        <w:tc>
          <w:tcPr>
            <w:tcW w:w="0" w:type="dxa"/>
            <w:vAlign w:val="center"/>
          </w:tcPr>
          <w:p w14:paraId="4A59D0EF">
            <w:pPr>
              <w:spacing w:line="240" w:lineRule="auto"/>
              <w:jc w:val="right"/>
            </w:pPr>
            <w:r>
              <w:rPr>
                <w:rFonts w:ascii="宋体" w:hAnsi="宋体" w:eastAsia="宋体" w:cs="宋体"/>
                <w:b w:val="0"/>
              </w:rPr>
              <w:t>-</w:t>
            </w:r>
          </w:p>
        </w:tc>
        <w:tc>
          <w:tcPr>
            <w:tcW w:w="0" w:type="dxa"/>
            <w:vAlign w:val="center"/>
          </w:tcPr>
          <w:p w14:paraId="770358FB">
            <w:pPr>
              <w:spacing w:line="240" w:lineRule="auto"/>
              <w:jc w:val="right"/>
            </w:pPr>
            <w:r>
              <w:rPr>
                <w:rFonts w:ascii="宋体" w:hAnsi="宋体" w:eastAsia="宋体" w:cs="宋体"/>
                <w:b w:val="0"/>
              </w:rPr>
              <w:t>-</w:t>
            </w:r>
          </w:p>
        </w:tc>
      </w:tr>
      <w:tr w14:paraId="5734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C4785E">
            <w:pPr>
              <w:spacing w:line="240" w:lineRule="auto"/>
              <w:jc w:val="center"/>
            </w:pPr>
            <w:r>
              <w:rPr>
                <w:rFonts w:ascii="宋体" w:hAnsi="宋体" w:eastAsia="宋体" w:cs="宋体"/>
                <w:b w:val="0"/>
              </w:rPr>
              <w:t>3</w:t>
            </w:r>
          </w:p>
        </w:tc>
        <w:tc>
          <w:tcPr>
            <w:tcW w:w="0" w:type="dxa"/>
            <w:vAlign w:val="center"/>
          </w:tcPr>
          <w:p w14:paraId="15E4AD3B">
            <w:pPr>
              <w:spacing w:line="240" w:lineRule="auto"/>
              <w:jc w:val="left"/>
            </w:pPr>
            <w:r>
              <w:rPr>
                <w:rFonts w:ascii="宋体" w:hAnsi="宋体" w:eastAsia="宋体" w:cs="宋体"/>
                <w:b w:val="0"/>
              </w:rPr>
              <w:t>金融债券</w:t>
            </w:r>
          </w:p>
        </w:tc>
        <w:tc>
          <w:tcPr>
            <w:tcW w:w="0" w:type="dxa"/>
            <w:vAlign w:val="center"/>
          </w:tcPr>
          <w:p w14:paraId="0C2A57C2">
            <w:pPr>
              <w:spacing w:line="240" w:lineRule="auto"/>
              <w:jc w:val="right"/>
            </w:pPr>
            <w:r>
              <w:rPr>
                <w:rFonts w:ascii="宋体" w:hAnsi="宋体" w:eastAsia="宋体" w:cs="宋体"/>
                <w:b w:val="0"/>
              </w:rPr>
              <w:t>-</w:t>
            </w:r>
          </w:p>
        </w:tc>
        <w:tc>
          <w:tcPr>
            <w:tcW w:w="0" w:type="dxa"/>
            <w:vAlign w:val="center"/>
          </w:tcPr>
          <w:p w14:paraId="5F1003D3">
            <w:pPr>
              <w:spacing w:line="240" w:lineRule="auto"/>
              <w:jc w:val="right"/>
            </w:pPr>
            <w:r>
              <w:rPr>
                <w:rFonts w:ascii="宋体" w:hAnsi="宋体" w:eastAsia="宋体" w:cs="宋体"/>
                <w:b w:val="0"/>
              </w:rPr>
              <w:t>-</w:t>
            </w:r>
          </w:p>
        </w:tc>
      </w:tr>
      <w:tr w14:paraId="1D5D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95CD06">
            <w:pPr>
              <w:spacing w:line="240" w:lineRule="auto"/>
              <w:jc w:val="center"/>
            </w:pPr>
          </w:p>
        </w:tc>
        <w:tc>
          <w:tcPr>
            <w:tcW w:w="0" w:type="dxa"/>
            <w:vAlign w:val="center"/>
          </w:tcPr>
          <w:p w14:paraId="1A2A4A4D">
            <w:pPr>
              <w:spacing w:line="240" w:lineRule="auto"/>
              <w:jc w:val="left"/>
            </w:pPr>
            <w:r>
              <w:rPr>
                <w:rFonts w:ascii="宋体" w:hAnsi="宋体" w:eastAsia="宋体" w:cs="宋体"/>
                <w:b w:val="0"/>
              </w:rPr>
              <w:t>其中：政策性金融债</w:t>
            </w:r>
          </w:p>
        </w:tc>
        <w:tc>
          <w:tcPr>
            <w:tcW w:w="0" w:type="dxa"/>
            <w:vAlign w:val="center"/>
          </w:tcPr>
          <w:p w14:paraId="0638E97F">
            <w:pPr>
              <w:spacing w:line="240" w:lineRule="auto"/>
              <w:jc w:val="right"/>
            </w:pPr>
            <w:r>
              <w:rPr>
                <w:rFonts w:ascii="宋体" w:hAnsi="宋体" w:eastAsia="宋体" w:cs="宋体"/>
                <w:b w:val="0"/>
              </w:rPr>
              <w:t>-</w:t>
            </w:r>
          </w:p>
        </w:tc>
        <w:tc>
          <w:tcPr>
            <w:tcW w:w="0" w:type="dxa"/>
            <w:vAlign w:val="center"/>
          </w:tcPr>
          <w:p w14:paraId="60A18A6F">
            <w:pPr>
              <w:spacing w:line="240" w:lineRule="auto"/>
              <w:jc w:val="right"/>
            </w:pPr>
            <w:r>
              <w:rPr>
                <w:rFonts w:ascii="宋体" w:hAnsi="宋体" w:eastAsia="宋体" w:cs="宋体"/>
                <w:b w:val="0"/>
              </w:rPr>
              <w:t>-</w:t>
            </w:r>
          </w:p>
        </w:tc>
      </w:tr>
      <w:tr w14:paraId="574D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F8AFE3">
            <w:pPr>
              <w:spacing w:line="240" w:lineRule="auto"/>
              <w:jc w:val="center"/>
            </w:pPr>
            <w:r>
              <w:rPr>
                <w:rFonts w:ascii="宋体" w:hAnsi="宋体" w:eastAsia="宋体" w:cs="宋体"/>
                <w:b w:val="0"/>
              </w:rPr>
              <w:t>4</w:t>
            </w:r>
          </w:p>
        </w:tc>
        <w:tc>
          <w:tcPr>
            <w:tcW w:w="0" w:type="dxa"/>
            <w:vAlign w:val="center"/>
          </w:tcPr>
          <w:p w14:paraId="6B747560">
            <w:pPr>
              <w:spacing w:line="240" w:lineRule="auto"/>
              <w:jc w:val="left"/>
            </w:pPr>
            <w:r>
              <w:rPr>
                <w:rFonts w:ascii="宋体" w:hAnsi="宋体" w:eastAsia="宋体" w:cs="宋体"/>
                <w:b w:val="0"/>
              </w:rPr>
              <w:t>企业债券</w:t>
            </w:r>
          </w:p>
        </w:tc>
        <w:tc>
          <w:tcPr>
            <w:tcW w:w="0" w:type="dxa"/>
            <w:vAlign w:val="center"/>
          </w:tcPr>
          <w:p w14:paraId="0A1A2FAD">
            <w:pPr>
              <w:spacing w:line="240" w:lineRule="auto"/>
              <w:jc w:val="right"/>
            </w:pPr>
            <w:r>
              <w:rPr>
                <w:rFonts w:ascii="宋体" w:hAnsi="宋体" w:eastAsia="宋体" w:cs="宋体"/>
                <w:b w:val="0"/>
              </w:rPr>
              <w:t>-</w:t>
            </w:r>
          </w:p>
        </w:tc>
        <w:tc>
          <w:tcPr>
            <w:tcW w:w="0" w:type="dxa"/>
            <w:vAlign w:val="center"/>
          </w:tcPr>
          <w:p w14:paraId="526B845D">
            <w:pPr>
              <w:spacing w:line="240" w:lineRule="auto"/>
              <w:jc w:val="right"/>
            </w:pPr>
            <w:r>
              <w:rPr>
                <w:rFonts w:ascii="宋体" w:hAnsi="宋体" w:eastAsia="宋体" w:cs="宋体"/>
                <w:b w:val="0"/>
              </w:rPr>
              <w:t>-</w:t>
            </w:r>
          </w:p>
        </w:tc>
      </w:tr>
      <w:tr w14:paraId="22FF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039F1F">
            <w:pPr>
              <w:spacing w:line="240" w:lineRule="auto"/>
              <w:jc w:val="center"/>
            </w:pPr>
            <w:r>
              <w:rPr>
                <w:rFonts w:ascii="宋体" w:hAnsi="宋体" w:eastAsia="宋体" w:cs="宋体"/>
                <w:b w:val="0"/>
              </w:rPr>
              <w:t>5</w:t>
            </w:r>
          </w:p>
        </w:tc>
        <w:tc>
          <w:tcPr>
            <w:tcW w:w="0" w:type="dxa"/>
            <w:vAlign w:val="center"/>
          </w:tcPr>
          <w:p w14:paraId="03BA8CEA">
            <w:pPr>
              <w:spacing w:line="240" w:lineRule="auto"/>
              <w:jc w:val="left"/>
            </w:pPr>
            <w:r>
              <w:rPr>
                <w:rFonts w:ascii="宋体" w:hAnsi="宋体" w:eastAsia="宋体" w:cs="宋体"/>
                <w:b w:val="0"/>
              </w:rPr>
              <w:t>企业短期融资券</w:t>
            </w:r>
          </w:p>
        </w:tc>
        <w:tc>
          <w:tcPr>
            <w:tcW w:w="0" w:type="dxa"/>
            <w:vAlign w:val="center"/>
          </w:tcPr>
          <w:p w14:paraId="3E2955C2">
            <w:pPr>
              <w:spacing w:line="240" w:lineRule="auto"/>
              <w:jc w:val="right"/>
            </w:pPr>
            <w:r>
              <w:rPr>
                <w:rFonts w:ascii="宋体" w:hAnsi="宋体" w:eastAsia="宋体" w:cs="宋体"/>
                <w:b w:val="0"/>
              </w:rPr>
              <w:t>-</w:t>
            </w:r>
          </w:p>
        </w:tc>
        <w:tc>
          <w:tcPr>
            <w:tcW w:w="0" w:type="dxa"/>
            <w:vAlign w:val="center"/>
          </w:tcPr>
          <w:p w14:paraId="159ED330">
            <w:pPr>
              <w:spacing w:line="240" w:lineRule="auto"/>
              <w:jc w:val="right"/>
            </w:pPr>
            <w:r>
              <w:rPr>
                <w:rFonts w:ascii="宋体" w:hAnsi="宋体" w:eastAsia="宋体" w:cs="宋体"/>
                <w:b w:val="0"/>
              </w:rPr>
              <w:t>-</w:t>
            </w:r>
          </w:p>
        </w:tc>
      </w:tr>
      <w:tr w14:paraId="39F1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B384BA">
            <w:pPr>
              <w:spacing w:line="240" w:lineRule="auto"/>
              <w:jc w:val="center"/>
            </w:pPr>
            <w:r>
              <w:rPr>
                <w:rFonts w:ascii="宋体" w:hAnsi="宋体" w:eastAsia="宋体" w:cs="宋体"/>
                <w:b w:val="0"/>
              </w:rPr>
              <w:t>6</w:t>
            </w:r>
          </w:p>
        </w:tc>
        <w:tc>
          <w:tcPr>
            <w:tcW w:w="0" w:type="dxa"/>
            <w:vAlign w:val="center"/>
          </w:tcPr>
          <w:p w14:paraId="17A1E4B1">
            <w:pPr>
              <w:spacing w:line="240" w:lineRule="auto"/>
              <w:jc w:val="left"/>
            </w:pPr>
            <w:r>
              <w:rPr>
                <w:rFonts w:ascii="宋体" w:hAnsi="宋体" w:eastAsia="宋体" w:cs="宋体"/>
                <w:b w:val="0"/>
              </w:rPr>
              <w:t>中期票据</w:t>
            </w:r>
          </w:p>
        </w:tc>
        <w:tc>
          <w:tcPr>
            <w:tcW w:w="0" w:type="dxa"/>
            <w:vAlign w:val="center"/>
          </w:tcPr>
          <w:p w14:paraId="70C569B5">
            <w:pPr>
              <w:spacing w:line="240" w:lineRule="auto"/>
              <w:jc w:val="right"/>
            </w:pPr>
            <w:r>
              <w:rPr>
                <w:rFonts w:ascii="宋体" w:hAnsi="宋体" w:eastAsia="宋体" w:cs="宋体"/>
                <w:b w:val="0"/>
              </w:rPr>
              <w:t>-</w:t>
            </w:r>
          </w:p>
        </w:tc>
        <w:tc>
          <w:tcPr>
            <w:tcW w:w="0" w:type="dxa"/>
            <w:vAlign w:val="center"/>
          </w:tcPr>
          <w:p w14:paraId="405E7225">
            <w:pPr>
              <w:spacing w:line="240" w:lineRule="auto"/>
              <w:jc w:val="right"/>
            </w:pPr>
            <w:r>
              <w:rPr>
                <w:rFonts w:ascii="宋体" w:hAnsi="宋体" w:eastAsia="宋体" w:cs="宋体"/>
                <w:b w:val="0"/>
              </w:rPr>
              <w:t>-</w:t>
            </w:r>
          </w:p>
        </w:tc>
      </w:tr>
      <w:tr w14:paraId="0953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B0123C">
            <w:pPr>
              <w:spacing w:line="240" w:lineRule="auto"/>
              <w:jc w:val="center"/>
            </w:pPr>
            <w:r>
              <w:rPr>
                <w:rFonts w:ascii="宋体" w:hAnsi="宋体" w:eastAsia="宋体" w:cs="宋体"/>
                <w:b w:val="0"/>
              </w:rPr>
              <w:t>7</w:t>
            </w:r>
          </w:p>
        </w:tc>
        <w:tc>
          <w:tcPr>
            <w:tcW w:w="0" w:type="dxa"/>
            <w:vAlign w:val="center"/>
          </w:tcPr>
          <w:p w14:paraId="6A924623">
            <w:pPr>
              <w:spacing w:line="240" w:lineRule="auto"/>
              <w:jc w:val="left"/>
            </w:pPr>
            <w:r>
              <w:rPr>
                <w:rFonts w:ascii="宋体" w:hAnsi="宋体" w:eastAsia="宋体" w:cs="宋体"/>
                <w:b w:val="0"/>
              </w:rPr>
              <w:t>可转债(可交换债)</w:t>
            </w:r>
          </w:p>
        </w:tc>
        <w:tc>
          <w:tcPr>
            <w:tcW w:w="0" w:type="dxa"/>
            <w:vAlign w:val="center"/>
          </w:tcPr>
          <w:p w14:paraId="51F2583A">
            <w:pPr>
              <w:spacing w:line="240" w:lineRule="auto"/>
              <w:jc w:val="right"/>
            </w:pPr>
            <w:r>
              <w:rPr>
                <w:rFonts w:ascii="宋体" w:hAnsi="宋体" w:eastAsia="宋体" w:cs="宋体"/>
                <w:b w:val="0"/>
              </w:rPr>
              <w:t>-</w:t>
            </w:r>
          </w:p>
        </w:tc>
        <w:tc>
          <w:tcPr>
            <w:tcW w:w="0" w:type="dxa"/>
            <w:vAlign w:val="center"/>
          </w:tcPr>
          <w:p w14:paraId="64D7BC9A">
            <w:pPr>
              <w:spacing w:line="240" w:lineRule="auto"/>
              <w:jc w:val="right"/>
            </w:pPr>
            <w:r>
              <w:rPr>
                <w:rFonts w:ascii="宋体" w:hAnsi="宋体" w:eastAsia="宋体" w:cs="宋体"/>
                <w:b w:val="0"/>
              </w:rPr>
              <w:t>-</w:t>
            </w:r>
          </w:p>
        </w:tc>
      </w:tr>
      <w:tr w14:paraId="5B32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358701">
            <w:pPr>
              <w:spacing w:line="240" w:lineRule="auto"/>
              <w:jc w:val="center"/>
            </w:pPr>
            <w:r>
              <w:rPr>
                <w:rFonts w:ascii="宋体" w:hAnsi="宋体" w:eastAsia="宋体" w:cs="宋体"/>
                <w:b w:val="0"/>
              </w:rPr>
              <w:t>8</w:t>
            </w:r>
          </w:p>
        </w:tc>
        <w:tc>
          <w:tcPr>
            <w:tcW w:w="0" w:type="dxa"/>
            <w:vAlign w:val="center"/>
          </w:tcPr>
          <w:p w14:paraId="4F507400">
            <w:pPr>
              <w:spacing w:line="240" w:lineRule="auto"/>
              <w:jc w:val="left"/>
            </w:pPr>
            <w:r>
              <w:rPr>
                <w:rFonts w:ascii="宋体" w:hAnsi="宋体" w:eastAsia="宋体" w:cs="宋体"/>
                <w:b w:val="0"/>
              </w:rPr>
              <w:t>同业存单</w:t>
            </w:r>
          </w:p>
        </w:tc>
        <w:tc>
          <w:tcPr>
            <w:tcW w:w="0" w:type="dxa"/>
            <w:vAlign w:val="center"/>
          </w:tcPr>
          <w:p w14:paraId="7383E03D">
            <w:pPr>
              <w:spacing w:line="240" w:lineRule="auto"/>
              <w:jc w:val="right"/>
            </w:pPr>
            <w:r>
              <w:rPr>
                <w:rFonts w:ascii="宋体" w:hAnsi="宋体" w:eastAsia="宋体" w:cs="宋体"/>
                <w:b w:val="0"/>
              </w:rPr>
              <w:t>-</w:t>
            </w:r>
          </w:p>
        </w:tc>
        <w:tc>
          <w:tcPr>
            <w:tcW w:w="0" w:type="dxa"/>
            <w:vAlign w:val="center"/>
          </w:tcPr>
          <w:p w14:paraId="630007D4">
            <w:pPr>
              <w:spacing w:line="240" w:lineRule="auto"/>
              <w:jc w:val="right"/>
            </w:pPr>
            <w:r>
              <w:rPr>
                <w:rFonts w:ascii="宋体" w:hAnsi="宋体" w:eastAsia="宋体" w:cs="宋体"/>
                <w:b w:val="0"/>
              </w:rPr>
              <w:t>-</w:t>
            </w:r>
          </w:p>
        </w:tc>
      </w:tr>
      <w:tr w14:paraId="4431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362FC8">
            <w:pPr>
              <w:spacing w:line="240" w:lineRule="auto"/>
              <w:jc w:val="center"/>
            </w:pPr>
            <w:r>
              <w:rPr>
                <w:rFonts w:ascii="宋体" w:hAnsi="宋体" w:eastAsia="宋体" w:cs="宋体"/>
                <w:b w:val="0"/>
              </w:rPr>
              <w:t>9</w:t>
            </w:r>
          </w:p>
        </w:tc>
        <w:tc>
          <w:tcPr>
            <w:tcW w:w="0" w:type="dxa"/>
            <w:vAlign w:val="center"/>
          </w:tcPr>
          <w:p w14:paraId="790FC903">
            <w:pPr>
              <w:spacing w:line="240" w:lineRule="auto"/>
              <w:jc w:val="left"/>
            </w:pPr>
            <w:r>
              <w:rPr>
                <w:rFonts w:ascii="宋体" w:hAnsi="宋体" w:eastAsia="宋体" w:cs="宋体"/>
                <w:b w:val="0"/>
              </w:rPr>
              <w:t>其他</w:t>
            </w:r>
          </w:p>
        </w:tc>
        <w:tc>
          <w:tcPr>
            <w:tcW w:w="0" w:type="dxa"/>
            <w:vAlign w:val="center"/>
          </w:tcPr>
          <w:p w14:paraId="29284DAC">
            <w:pPr>
              <w:spacing w:line="240" w:lineRule="auto"/>
              <w:jc w:val="right"/>
            </w:pPr>
            <w:r>
              <w:rPr>
                <w:rFonts w:ascii="宋体" w:hAnsi="宋体" w:eastAsia="宋体" w:cs="宋体"/>
                <w:b w:val="0"/>
              </w:rPr>
              <w:t>-</w:t>
            </w:r>
          </w:p>
        </w:tc>
        <w:tc>
          <w:tcPr>
            <w:tcW w:w="0" w:type="dxa"/>
            <w:vAlign w:val="center"/>
          </w:tcPr>
          <w:p w14:paraId="0E997C74">
            <w:pPr>
              <w:spacing w:line="240" w:lineRule="auto"/>
              <w:jc w:val="right"/>
            </w:pPr>
            <w:r>
              <w:rPr>
                <w:rFonts w:ascii="宋体" w:hAnsi="宋体" w:eastAsia="宋体" w:cs="宋体"/>
                <w:b w:val="0"/>
              </w:rPr>
              <w:t>-</w:t>
            </w:r>
          </w:p>
        </w:tc>
      </w:tr>
      <w:tr w14:paraId="5A21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7BDEC9">
            <w:pPr>
              <w:spacing w:line="240" w:lineRule="auto"/>
              <w:jc w:val="center"/>
            </w:pPr>
            <w:r>
              <w:rPr>
                <w:rFonts w:ascii="宋体" w:hAnsi="宋体" w:eastAsia="宋体" w:cs="宋体"/>
                <w:b w:val="0"/>
              </w:rPr>
              <w:t>10</w:t>
            </w:r>
          </w:p>
        </w:tc>
        <w:tc>
          <w:tcPr>
            <w:tcW w:w="0" w:type="dxa"/>
            <w:vAlign w:val="center"/>
          </w:tcPr>
          <w:p w14:paraId="5A964369">
            <w:pPr>
              <w:spacing w:line="240" w:lineRule="auto"/>
              <w:jc w:val="left"/>
            </w:pPr>
            <w:r>
              <w:rPr>
                <w:rFonts w:ascii="宋体" w:hAnsi="宋体" w:eastAsia="宋体" w:cs="宋体"/>
                <w:b w:val="0"/>
              </w:rPr>
              <w:t>合计</w:t>
            </w:r>
          </w:p>
        </w:tc>
        <w:tc>
          <w:tcPr>
            <w:tcW w:w="0" w:type="dxa"/>
            <w:vAlign w:val="center"/>
          </w:tcPr>
          <w:p w14:paraId="339FE994">
            <w:pPr>
              <w:spacing w:line="240" w:lineRule="auto"/>
              <w:jc w:val="right"/>
            </w:pPr>
            <w:r>
              <w:rPr>
                <w:rFonts w:ascii="宋体" w:hAnsi="宋体" w:eastAsia="宋体" w:cs="宋体"/>
                <w:b w:val="0"/>
              </w:rPr>
              <w:t>2,936,613.89</w:t>
            </w:r>
          </w:p>
        </w:tc>
        <w:tc>
          <w:tcPr>
            <w:tcW w:w="0" w:type="dxa"/>
            <w:vAlign w:val="center"/>
          </w:tcPr>
          <w:p w14:paraId="3E72FFB7">
            <w:pPr>
              <w:spacing w:line="240" w:lineRule="auto"/>
              <w:jc w:val="right"/>
            </w:pPr>
            <w:r>
              <w:rPr>
                <w:rFonts w:ascii="宋体" w:hAnsi="宋体" w:eastAsia="宋体" w:cs="宋体"/>
                <w:b w:val="0"/>
              </w:rPr>
              <w:t>5.73</w:t>
            </w:r>
          </w:p>
        </w:tc>
      </w:tr>
    </w:tbl>
    <w:p w14:paraId="6393615B"/>
    <w:p w14:paraId="08887E20">
      <w:pPr>
        <w:pStyle w:val="3"/>
        <w:jc w:val="left"/>
      </w:pPr>
      <w:bookmarkStart w:id="38" w:name="_Toc32138"/>
      <w:r>
        <w:rPr>
          <w:rFonts w:ascii="宋体" w:hAnsi="宋体" w:eastAsia="宋体" w:cs="宋体"/>
        </w:rPr>
        <w:t>7.6 期末按公允价值占基金资产净值比例大小排序的前五名债券投资明细</w:t>
      </w:r>
      <w:bookmarkEnd w:id="38"/>
    </w:p>
    <w:p w14:paraId="4E3DBE9C">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548"/>
        <w:gridCol w:w="2168"/>
      </w:tblGrid>
      <w:tr w14:paraId="7440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46AC0DF1">
            <w:pPr>
              <w:spacing w:line="240" w:lineRule="auto"/>
              <w:jc w:val="center"/>
            </w:pPr>
            <w:r>
              <w:rPr>
                <w:rFonts w:ascii="宋体" w:hAnsi="宋体" w:eastAsia="宋体" w:cs="宋体"/>
                <w:b w:val="0"/>
              </w:rPr>
              <w:t>序号</w:t>
            </w:r>
          </w:p>
        </w:tc>
        <w:tc>
          <w:tcPr>
            <w:tcW w:w="769" w:type="pct"/>
            <w:shd w:val="clear" w:color="auto" w:fill="D9D9D9"/>
            <w:vAlign w:val="center"/>
          </w:tcPr>
          <w:p w14:paraId="17239911">
            <w:pPr>
              <w:spacing w:line="240" w:lineRule="auto"/>
              <w:jc w:val="center"/>
            </w:pPr>
            <w:r>
              <w:rPr>
                <w:rFonts w:ascii="宋体" w:hAnsi="宋体" w:eastAsia="宋体" w:cs="宋体"/>
                <w:b w:val="0"/>
              </w:rPr>
              <w:t>债券代码</w:t>
            </w:r>
          </w:p>
        </w:tc>
        <w:tc>
          <w:tcPr>
            <w:tcW w:w="769" w:type="pct"/>
            <w:shd w:val="clear" w:color="auto" w:fill="D9D9D9"/>
            <w:vAlign w:val="center"/>
          </w:tcPr>
          <w:p w14:paraId="29D07C3E">
            <w:pPr>
              <w:spacing w:line="240" w:lineRule="auto"/>
              <w:jc w:val="center"/>
            </w:pPr>
            <w:r>
              <w:rPr>
                <w:rFonts w:ascii="宋体" w:hAnsi="宋体" w:eastAsia="宋体" w:cs="宋体"/>
                <w:b w:val="0"/>
              </w:rPr>
              <w:t>债券名称</w:t>
            </w:r>
          </w:p>
        </w:tc>
        <w:tc>
          <w:tcPr>
            <w:tcW w:w="615" w:type="pct"/>
            <w:shd w:val="clear" w:color="auto" w:fill="D9D9D9"/>
            <w:vAlign w:val="center"/>
          </w:tcPr>
          <w:p w14:paraId="3234CF4D">
            <w:pPr>
              <w:spacing w:line="240" w:lineRule="auto"/>
              <w:jc w:val="center"/>
            </w:pPr>
            <w:r>
              <w:rPr>
                <w:rFonts w:ascii="宋体" w:hAnsi="宋体" w:eastAsia="宋体" w:cs="宋体"/>
                <w:b w:val="0"/>
              </w:rPr>
              <w:t>数量(张)</w:t>
            </w:r>
          </w:p>
        </w:tc>
        <w:tc>
          <w:tcPr>
            <w:tcW w:w="769" w:type="pct"/>
            <w:shd w:val="clear" w:color="auto" w:fill="D9D9D9"/>
            <w:vAlign w:val="center"/>
          </w:tcPr>
          <w:p w14:paraId="493AD81B">
            <w:pPr>
              <w:spacing w:line="240" w:lineRule="auto"/>
              <w:jc w:val="center"/>
            </w:pPr>
            <w:r>
              <w:rPr>
                <w:rFonts w:ascii="宋体" w:hAnsi="宋体" w:eastAsia="宋体" w:cs="宋体"/>
                <w:b w:val="0"/>
              </w:rPr>
              <w:t>公允价值</w:t>
            </w:r>
          </w:p>
        </w:tc>
        <w:tc>
          <w:tcPr>
            <w:tcW w:w="1077" w:type="pct"/>
            <w:shd w:val="clear" w:color="auto" w:fill="D9D9D9"/>
            <w:vAlign w:val="center"/>
          </w:tcPr>
          <w:p w14:paraId="00ED5AA4">
            <w:pPr>
              <w:spacing w:line="240" w:lineRule="auto"/>
              <w:jc w:val="center"/>
            </w:pPr>
            <w:r>
              <w:rPr>
                <w:rFonts w:ascii="宋体" w:hAnsi="宋体" w:eastAsia="宋体" w:cs="宋体"/>
                <w:b w:val="0"/>
              </w:rPr>
              <w:t>占基金资产净值比例(%)</w:t>
            </w:r>
          </w:p>
        </w:tc>
      </w:tr>
      <w:tr w14:paraId="4025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180CD1">
            <w:pPr>
              <w:spacing w:line="240" w:lineRule="auto"/>
              <w:jc w:val="center"/>
            </w:pPr>
            <w:r>
              <w:rPr>
                <w:rFonts w:ascii="宋体" w:hAnsi="宋体" w:eastAsia="宋体" w:cs="宋体"/>
                <w:b w:val="0"/>
              </w:rPr>
              <w:t>1</w:t>
            </w:r>
          </w:p>
        </w:tc>
        <w:tc>
          <w:tcPr>
            <w:tcW w:w="0" w:type="dxa"/>
            <w:vAlign w:val="center"/>
          </w:tcPr>
          <w:p w14:paraId="37AE871A">
            <w:pPr>
              <w:spacing w:line="240" w:lineRule="auto"/>
              <w:jc w:val="left"/>
            </w:pPr>
            <w:r>
              <w:rPr>
                <w:rFonts w:ascii="宋体" w:hAnsi="宋体" w:eastAsia="宋体" w:cs="宋体"/>
                <w:b w:val="0"/>
              </w:rPr>
              <w:t>019785</w:t>
            </w:r>
          </w:p>
        </w:tc>
        <w:tc>
          <w:tcPr>
            <w:tcW w:w="0" w:type="dxa"/>
            <w:vAlign w:val="center"/>
          </w:tcPr>
          <w:p w14:paraId="637D02B6">
            <w:pPr>
              <w:spacing w:line="240" w:lineRule="auto"/>
              <w:jc w:val="left"/>
            </w:pPr>
            <w:r>
              <w:rPr>
                <w:rFonts w:ascii="宋体" w:hAnsi="宋体" w:eastAsia="宋体" w:cs="宋体"/>
                <w:b w:val="0"/>
              </w:rPr>
              <w:t>25国债13</w:t>
            </w:r>
          </w:p>
        </w:tc>
        <w:tc>
          <w:tcPr>
            <w:tcW w:w="0" w:type="dxa"/>
            <w:vAlign w:val="center"/>
          </w:tcPr>
          <w:p w14:paraId="30767A57">
            <w:pPr>
              <w:spacing w:line="240" w:lineRule="auto"/>
              <w:jc w:val="right"/>
            </w:pPr>
            <w:r>
              <w:rPr>
                <w:rFonts w:ascii="宋体" w:hAnsi="宋体" w:eastAsia="宋体" w:cs="宋体"/>
                <w:b w:val="0"/>
              </w:rPr>
              <w:t>29,000</w:t>
            </w:r>
          </w:p>
        </w:tc>
        <w:tc>
          <w:tcPr>
            <w:tcW w:w="0" w:type="dxa"/>
            <w:vAlign w:val="center"/>
          </w:tcPr>
          <w:p w14:paraId="2912FA1B">
            <w:pPr>
              <w:spacing w:line="240" w:lineRule="auto"/>
              <w:jc w:val="right"/>
            </w:pPr>
            <w:r>
              <w:rPr>
                <w:rFonts w:ascii="宋体" w:hAnsi="宋体" w:eastAsia="宋体" w:cs="宋体"/>
                <w:b w:val="0"/>
              </w:rPr>
              <w:t>2,936,613.89</w:t>
            </w:r>
          </w:p>
        </w:tc>
        <w:tc>
          <w:tcPr>
            <w:tcW w:w="0" w:type="dxa"/>
            <w:vAlign w:val="center"/>
          </w:tcPr>
          <w:p w14:paraId="5DF0179F">
            <w:pPr>
              <w:spacing w:line="240" w:lineRule="auto"/>
              <w:jc w:val="right"/>
            </w:pPr>
            <w:r>
              <w:rPr>
                <w:rFonts w:ascii="宋体" w:hAnsi="宋体" w:eastAsia="宋体" w:cs="宋体"/>
                <w:b w:val="0"/>
              </w:rPr>
              <w:t>5.73</w:t>
            </w:r>
          </w:p>
        </w:tc>
      </w:tr>
    </w:tbl>
    <w:p w14:paraId="655109A3">
      <w:r>
        <w:rPr>
          <w:rFonts w:ascii="宋体" w:hAnsi="宋体" w:eastAsia="宋体" w:cs="宋体"/>
          <w:b w:val="0"/>
        </w:rPr>
        <w:t>注：截止至报告期末，本基金仅持有上述债券。</w:t>
      </w:r>
    </w:p>
    <w:p w14:paraId="72EF559D"/>
    <w:p w14:paraId="3AAB19D3">
      <w:pPr>
        <w:pStyle w:val="3"/>
        <w:jc w:val="left"/>
      </w:pPr>
      <w:bookmarkStart w:id="39" w:name="_Toc24224"/>
      <w:r>
        <w:rPr>
          <w:rFonts w:ascii="宋体" w:hAnsi="宋体" w:eastAsia="宋体" w:cs="宋体"/>
        </w:rPr>
        <w:t>7.7 期末按公允价值占基金资产净值比例大小排序的所有资产支持证券投资明细</w:t>
      </w:r>
      <w:bookmarkEnd w:id="39"/>
    </w:p>
    <w:p w14:paraId="2FA08AAB">
      <w:r>
        <w:rPr>
          <w:rFonts w:ascii="宋体" w:hAnsi="宋体" w:eastAsia="宋体" w:cs="宋体"/>
          <w:b w:val="0"/>
        </w:rPr>
        <w:t xml:space="preserve">    本基金本报告期末未持有资产支持证券。</w:t>
      </w:r>
    </w:p>
    <w:p w14:paraId="25B52E0D"/>
    <w:p w14:paraId="4A162B9C">
      <w:pPr>
        <w:pStyle w:val="3"/>
        <w:jc w:val="left"/>
      </w:pPr>
      <w:bookmarkStart w:id="40" w:name="_Toc15259"/>
      <w:r>
        <w:rPr>
          <w:rFonts w:ascii="宋体" w:hAnsi="宋体" w:eastAsia="宋体" w:cs="宋体"/>
        </w:rPr>
        <w:t>7.8 报告期末按公允价值占基金资产净值比例大小排序的前五名贵金属投资明细</w:t>
      </w:r>
      <w:bookmarkEnd w:id="40"/>
    </w:p>
    <w:p w14:paraId="4A908D67">
      <w:r>
        <w:rPr>
          <w:rFonts w:ascii="宋体" w:hAnsi="宋体" w:eastAsia="宋体" w:cs="宋体"/>
          <w:b w:val="0"/>
        </w:rPr>
        <w:t xml:space="preserve">    本基金本报告期末未持有贵金属。</w:t>
      </w:r>
    </w:p>
    <w:p w14:paraId="196AAA66"/>
    <w:p w14:paraId="064892ED">
      <w:pPr>
        <w:pStyle w:val="3"/>
        <w:jc w:val="left"/>
      </w:pPr>
      <w:bookmarkStart w:id="41" w:name="_Toc21858"/>
      <w:r>
        <w:rPr>
          <w:rFonts w:ascii="宋体" w:hAnsi="宋体" w:eastAsia="宋体" w:cs="宋体"/>
        </w:rPr>
        <w:t>7.9 期末按公允价值占基金资产净值比例大小排序的前五名权证投资明细</w:t>
      </w:r>
      <w:bookmarkEnd w:id="41"/>
    </w:p>
    <w:p w14:paraId="63A48DE1">
      <w:r>
        <w:rPr>
          <w:rFonts w:ascii="宋体" w:hAnsi="宋体" w:eastAsia="宋体" w:cs="宋体"/>
          <w:b w:val="0"/>
        </w:rPr>
        <w:t xml:space="preserve">    本基金本报告期末未持有权证。</w:t>
      </w:r>
    </w:p>
    <w:p w14:paraId="392B4AF3"/>
    <w:p w14:paraId="21D91BC3">
      <w:pPr>
        <w:pStyle w:val="3"/>
        <w:jc w:val="left"/>
      </w:pPr>
      <w:bookmarkStart w:id="42" w:name="_Toc8598"/>
      <w:r>
        <w:rPr>
          <w:rFonts w:ascii="宋体" w:hAnsi="宋体" w:eastAsia="宋体" w:cs="宋体"/>
        </w:rPr>
        <w:t>7.10 本基金投资股指期货的投资政策</w:t>
      </w:r>
      <w:bookmarkEnd w:id="42"/>
    </w:p>
    <w:p w14:paraId="75E0F9CF">
      <w:pPr>
        <w:jc w:val="left"/>
      </w:pPr>
      <w:r>
        <w:rPr>
          <w:rFonts w:ascii="宋体" w:hAnsi="宋体" w:eastAsia="宋体" w:cs="宋体"/>
          <w:b w:val="0"/>
        </w:rPr>
        <w:t xml:space="preserve">    本基金本报告期内未参与股指期货投资，报告期末无股指期货持仓。</w:t>
      </w:r>
    </w:p>
    <w:p w14:paraId="1C70D817"/>
    <w:p w14:paraId="521CFC2C">
      <w:pPr>
        <w:pStyle w:val="3"/>
        <w:jc w:val="left"/>
      </w:pPr>
      <w:bookmarkStart w:id="43" w:name="_Toc11595"/>
      <w:r>
        <w:rPr>
          <w:rFonts w:ascii="宋体" w:hAnsi="宋体" w:eastAsia="宋体" w:cs="宋体"/>
        </w:rPr>
        <w:t>7.11 报告期末本基金投资的国债期货交易情况说明</w:t>
      </w:r>
      <w:bookmarkEnd w:id="43"/>
    </w:p>
    <w:p w14:paraId="7E04F704">
      <w:pPr>
        <w:jc w:val="left"/>
      </w:pPr>
      <w:r>
        <w:rPr>
          <w:rFonts w:ascii="宋体" w:hAnsi="宋体" w:eastAsia="宋体" w:cs="宋体"/>
          <w:b w:val="0"/>
        </w:rPr>
        <w:t xml:space="preserve">    本基金本报告期内未参与国债期货投资，报告期末无国债期货持仓。</w:t>
      </w:r>
    </w:p>
    <w:p w14:paraId="5365F5DA"/>
    <w:p w14:paraId="286DF4BB">
      <w:pPr>
        <w:pStyle w:val="3"/>
        <w:jc w:val="left"/>
      </w:pPr>
      <w:bookmarkStart w:id="44" w:name="_Toc17003"/>
      <w:r>
        <w:rPr>
          <w:rFonts w:ascii="宋体" w:hAnsi="宋体" w:eastAsia="宋体" w:cs="宋体"/>
        </w:rPr>
        <w:t>7.12 投资组合报告附注</w:t>
      </w:r>
      <w:bookmarkEnd w:id="44"/>
    </w:p>
    <w:p w14:paraId="6F6F8CFD">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400E02F8">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2230B1F1"/>
    <w:p w14:paraId="289D15C6">
      <w:pPr>
        <w:pStyle w:val="58"/>
      </w:pPr>
      <w:r>
        <w:rPr>
          <w:rFonts w:ascii="宋体" w:hAnsi="宋体" w:eastAsia="宋体" w:cs="宋体"/>
          <w:b/>
        </w:rPr>
        <w:t>7.12.2 基金投资的前十名股票超出基金合同约定的备选股票库情况的说明</w:t>
      </w:r>
    </w:p>
    <w:p w14:paraId="518D7033">
      <w:pPr>
        <w:jc w:val="left"/>
      </w:pPr>
      <w:r>
        <w:rPr>
          <w:rFonts w:ascii="宋体" w:hAnsi="宋体" w:eastAsia="宋体" w:cs="宋体"/>
          <w:b w:val="0"/>
        </w:rPr>
        <w:t xml:space="preserve">    基金投资的前十名股票，均为基金合同约定备选股票库之内的股票。</w:t>
      </w:r>
    </w:p>
    <w:p w14:paraId="5E96525D"/>
    <w:p w14:paraId="6E2EF2D0">
      <w:pPr>
        <w:pStyle w:val="58"/>
      </w:pPr>
      <w:r>
        <w:rPr>
          <w:rFonts w:ascii="宋体" w:hAnsi="宋体" w:eastAsia="宋体" w:cs="宋体"/>
          <w:b/>
        </w:rPr>
        <w:t>7.12.3 期末其他各项资产构成</w:t>
      </w:r>
    </w:p>
    <w:p w14:paraId="132E7C2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35E9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61F56910">
            <w:pPr>
              <w:spacing w:line="240" w:lineRule="auto"/>
              <w:jc w:val="center"/>
            </w:pPr>
            <w:r>
              <w:rPr>
                <w:rFonts w:ascii="宋体" w:hAnsi="宋体" w:eastAsia="宋体" w:cs="宋体"/>
                <w:b w:val="0"/>
              </w:rPr>
              <w:t>序号</w:t>
            </w:r>
          </w:p>
        </w:tc>
        <w:tc>
          <w:tcPr>
            <w:tcW w:w="1692" w:type="pct"/>
            <w:shd w:val="clear" w:color="auto" w:fill="D9D9D9"/>
            <w:vAlign w:val="center"/>
          </w:tcPr>
          <w:p w14:paraId="01FE3E20">
            <w:pPr>
              <w:spacing w:line="240" w:lineRule="auto"/>
              <w:jc w:val="center"/>
            </w:pPr>
            <w:r>
              <w:rPr>
                <w:rFonts w:ascii="宋体" w:hAnsi="宋体" w:eastAsia="宋体" w:cs="宋体"/>
                <w:b w:val="0"/>
              </w:rPr>
              <w:t>名称</w:t>
            </w:r>
          </w:p>
        </w:tc>
        <w:tc>
          <w:tcPr>
            <w:tcW w:w="1769" w:type="pct"/>
            <w:shd w:val="clear" w:color="auto" w:fill="D9D9D9"/>
            <w:vAlign w:val="center"/>
          </w:tcPr>
          <w:p w14:paraId="02F0F10C">
            <w:pPr>
              <w:spacing w:line="240" w:lineRule="auto"/>
              <w:jc w:val="center"/>
            </w:pPr>
            <w:r>
              <w:rPr>
                <w:rFonts w:ascii="宋体" w:hAnsi="宋体" w:eastAsia="宋体" w:cs="宋体"/>
                <w:b w:val="0"/>
              </w:rPr>
              <w:t>金额</w:t>
            </w:r>
          </w:p>
        </w:tc>
      </w:tr>
      <w:tr w14:paraId="5561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61969D">
            <w:pPr>
              <w:spacing w:line="240" w:lineRule="auto"/>
              <w:jc w:val="center"/>
            </w:pPr>
            <w:r>
              <w:rPr>
                <w:rFonts w:ascii="宋体" w:hAnsi="宋体" w:eastAsia="宋体" w:cs="宋体"/>
                <w:b w:val="0"/>
              </w:rPr>
              <w:t>1</w:t>
            </w:r>
          </w:p>
        </w:tc>
        <w:tc>
          <w:tcPr>
            <w:tcW w:w="0" w:type="dxa"/>
            <w:vAlign w:val="center"/>
          </w:tcPr>
          <w:p w14:paraId="4F0A316E">
            <w:pPr>
              <w:spacing w:line="240" w:lineRule="auto"/>
              <w:jc w:val="left"/>
            </w:pPr>
            <w:r>
              <w:rPr>
                <w:rFonts w:ascii="宋体" w:hAnsi="宋体" w:eastAsia="宋体" w:cs="宋体"/>
                <w:b w:val="0"/>
              </w:rPr>
              <w:t>存出保证金</w:t>
            </w:r>
          </w:p>
        </w:tc>
        <w:tc>
          <w:tcPr>
            <w:tcW w:w="0" w:type="dxa"/>
            <w:vAlign w:val="center"/>
          </w:tcPr>
          <w:p w14:paraId="4C83971E">
            <w:pPr>
              <w:spacing w:line="240" w:lineRule="auto"/>
              <w:jc w:val="right"/>
            </w:pPr>
            <w:r>
              <w:rPr>
                <w:rFonts w:ascii="宋体" w:hAnsi="宋体" w:eastAsia="宋体" w:cs="宋体"/>
                <w:b w:val="0"/>
              </w:rPr>
              <w:t>-</w:t>
            </w:r>
          </w:p>
        </w:tc>
      </w:tr>
      <w:tr w14:paraId="18EB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EBAA12">
            <w:pPr>
              <w:spacing w:line="240" w:lineRule="auto"/>
              <w:jc w:val="center"/>
            </w:pPr>
            <w:r>
              <w:rPr>
                <w:rFonts w:ascii="宋体" w:hAnsi="宋体" w:eastAsia="宋体" w:cs="宋体"/>
                <w:b w:val="0"/>
              </w:rPr>
              <w:t>2</w:t>
            </w:r>
          </w:p>
        </w:tc>
        <w:tc>
          <w:tcPr>
            <w:tcW w:w="0" w:type="dxa"/>
            <w:vAlign w:val="center"/>
          </w:tcPr>
          <w:p w14:paraId="6554476A">
            <w:pPr>
              <w:spacing w:line="240" w:lineRule="auto"/>
              <w:jc w:val="left"/>
            </w:pPr>
            <w:r>
              <w:rPr>
                <w:rFonts w:ascii="宋体" w:hAnsi="宋体" w:eastAsia="宋体" w:cs="宋体"/>
                <w:b w:val="0"/>
              </w:rPr>
              <w:t>应收清算款</w:t>
            </w:r>
          </w:p>
        </w:tc>
        <w:tc>
          <w:tcPr>
            <w:tcW w:w="0" w:type="dxa"/>
            <w:vAlign w:val="center"/>
          </w:tcPr>
          <w:p w14:paraId="2691E30A">
            <w:pPr>
              <w:spacing w:line="240" w:lineRule="auto"/>
              <w:jc w:val="right"/>
            </w:pPr>
            <w:r>
              <w:rPr>
                <w:rFonts w:ascii="宋体" w:hAnsi="宋体" w:eastAsia="宋体" w:cs="宋体"/>
                <w:b w:val="0"/>
              </w:rPr>
              <w:t>-</w:t>
            </w:r>
          </w:p>
        </w:tc>
      </w:tr>
      <w:tr w14:paraId="7717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91B711">
            <w:pPr>
              <w:spacing w:line="240" w:lineRule="auto"/>
              <w:jc w:val="center"/>
            </w:pPr>
            <w:r>
              <w:rPr>
                <w:rFonts w:ascii="宋体" w:hAnsi="宋体" w:eastAsia="宋体" w:cs="宋体"/>
                <w:b w:val="0"/>
              </w:rPr>
              <w:t>3</w:t>
            </w:r>
          </w:p>
        </w:tc>
        <w:tc>
          <w:tcPr>
            <w:tcW w:w="0" w:type="dxa"/>
            <w:vAlign w:val="center"/>
          </w:tcPr>
          <w:p w14:paraId="133CC483">
            <w:pPr>
              <w:spacing w:line="240" w:lineRule="auto"/>
              <w:jc w:val="left"/>
            </w:pPr>
            <w:r>
              <w:rPr>
                <w:rFonts w:ascii="宋体" w:hAnsi="宋体" w:eastAsia="宋体" w:cs="宋体"/>
                <w:b w:val="0"/>
              </w:rPr>
              <w:t>应收股利</w:t>
            </w:r>
          </w:p>
        </w:tc>
        <w:tc>
          <w:tcPr>
            <w:tcW w:w="0" w:type="dxa"/>
            <w:vAlign w:val="center"/>
          </w:tcPr>
          <w:p w14:paraId="52644A7E">
            <w:pPr>
              <w:spacing w:line="240" w:lineRule="auto"/>
              <w:jc w:val="right"/>
            </w:pPr>
            <w:r>
              <w:rPr>
                <w:rFonts w:ascii="宋体" w:hAnsi="宋体" w:eastAsia="宋体" w:cs="宋体"/>
                <w:b w:val="0"/>
              </w:rPr>
              <w:t>545,554.74</w:t>
            </w:r>
          </w:p>
        </w:tc>
      </w:tr>
      <w:tr w14:paraId="27A1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749221">
            <w:pPr>
              <w:spacing w:line="240" w:lineRule="auto"/>
              <w:jc w:val="center"/>
            </w:pPr>
            <w:r>
              <w:rPr>
                <w:rFonts w:ascii="宋体" w:hAnsi="宋体" w:eastAsia="宋体" w:cs="宋体"/>
                <w:b w:val="0"/>
              </w:rPr>
              <w:t>4</w:t>
            </w:r>
          </w:p>
        </w:tc>
        <w:tc>
          <w:tcPr>
            <w:tcW w:w="0" w:type="dxa"/>
            <w:vAlign w:val="center"/>
          </w:tcPr>
          <w:p w14:paraId="15FC87C5">
            <w:pPr>
              <w:spacing w:line="240" w:lineRule="auto"/>
              <w:jc w:val="left"/>
            </w:pPr>
            <w:r>
              <w:rPr>
                <w:rFonts w:ascii="宋体" w:hAnsi="宋体" w:eastAsia="宋体" w:cs="宋体"/>
                <w:b w:val="0"/>
              </w:rPr>
              <w:t>应收利息</w:t>
            </w:r>
          </w:p>
        </w:tc>
        <w:tc>
          <w:tcPr>
            <w:tcW w:w="0" w:type="dxa"/>
            <w:vAlign w:val="center"/>
          </w:tcPr>
          <w:p w14:paraId="445726EE">
            <w:pPr>
              <w:spacing w:line="240" w:lineRule="auto"/>
              <w:jc w:val="right"/>
            </w:pPr>
            <w:r>
              <w:rPr>
                <w:rFonts w:ascii="宋体" w:hAnsi="宋体" w:eastAsia="宋体" w:cs="宋体"/>
                <w:b w:val="0"/>
              </w:rPr>
              <w:t>-</w:t>
            </w:r>
          </w:p>
        </w:tc>
      </w:tr>
      <w:tr w14:paraId="2DF2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AB1601">
            <w:pPr>
              <w:spacing w:line="240" w:lineRule="auto"/>
              <w:jc w:val="center"/>
            </w:pPr>
            <w:r>
              <w:rPr>
                <w:rFonts w:ascii="宋体" w:hAnsi="宋体" w:eastAsia="宋体" w:cs="宋体"/>
                <w:b w:val="0"/>
              </w:rPr>
              <w:t>5</w:t>
            </w:r>
          </w:p>
        </w:tc>
        <w:tc>
          <w:tcPr>
            <w:tcW w:w="0" w:type="dxa"/>
            <w:vAlign w:val="center"/>
          </w:tcPr>
          <w:p w14:paraId="236E6299">
            <w:pPr>
              <w:spacing w:line="240" w:lineRule="auto"/>
              <w:jc w:val="left"/>
            </w:pPr>
            <w:r>
              <w:rPr>
                <w:rFonts w:ascii="宋体" w:hAnsi="宋体" w:eastAsia="宋体" w:cs="宋体"/>
                <w:b w:val="0"/>
              </w:rPr>
              <w:t>应收申购款</w:t>
            </w:r>
          </w:p>
        </w:tc>
        <w:tc>
          <w:tcPr>
            <w:tcW w:w="0" w:type="dxa"/>
            <w:vAlign w:val="center"/>
          </w:tcPr>
          <w:p w14:paraId="32BEA988">
            <w:pPr>
              <w:spacing w:line="240" w:lineRule="auto"/>
              <w:jc w:val="right"/>
            </w:pPr>
            <w:r>
              <w:rPr>
                <w:rFonts w:ascii="宋体" w:hAnsi="宋体" w:eastAsia="宋体" w:cs="宋体"/>
                <w:b w:val="0"/>
              </w:rPr>
              <w:t>31,985.03</w:t>
            </w:r>
          </w:p>
        </w:tc>
      </w:tr>
      <w:tr w14:paraId="7FF2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E6547C">
            <w:pPr>
              <w:spacing w:line="240" w:lineRule="auto"/>
              <w:jc w:val="center"/>
            </w:pPr>
            <w:r>
              <w:rPr>
                <w:rFonts w:ascii="宋体" w:hAnsi="宋体" w:eastAsia="宋体" w:cs="宋体"/>
                <w:b w:val="0"/>
              </w:rPr>
              <w:t>6</w:t>
            </w:r>
          </w:p>
        </w:tc>
        <w:tc>
          <w:tcPr>
            <w:tcW w:w="0" w:type="dxa"/>
            <w:vAlign w:val="center"/>
          </w:tcPr>
          <w:p w14:paraId="5A1FD8EE">
            <w:pPr>
              <w:spacing w:line="240" w:lineRule="auto"/>
              <w:jc w:val="left"/>
            </w:pPr>
            <w:r>
              <w:rPr>
                <w:rFonts w:ascii="宋体" w:hAnsi="宋体" w:eastAsia="宋体" w:cs="宋体"/>
                <w:b w:val="0"/>
              </w:rPr>
              <w:t>其他应收款</w:t>
            </w:r>
          </w:p>
        </w:tc>
        <w:tc>
          <w:tcPr>
            <w:tcW w:w="0" w:type="dxa"/>
            <w:vAlign w:val="center"/>
          </w:tcPr>
          <w:p w14:paraId="53DCB44C">
            <w:pPr>
              <w:spacing w:line="240" w:lineRule="auto"/>
              <w:jc w:val="right"/>
            </w:pPr>
            <w:r>
              <w:rPr>
                <w:rFonts w:ascii="宋体" w:hAnsi="宋体" w:eastAsia="宋体" w:cs="宋体"/>
                <w:b w:val="0"/>
              </w:rPr>
              <w:t>-</w:t>
            </w:r>
          </w:p>
        </w:tc>
      </w:tr>
      <w:tr w14:paraId="7250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3C2990">
            <w:pPr>
              <w:spacing w:line="240" w:lineRule="auto"/>
              <w:jc w:val="center"/>
            </w:pPr>
            <w:r>
              <w:rPr>
                <w:rFonts w:ascii="宋体" w:hAnsi="宋体" w:eastAsia="宋体" w:cs="宋体"/>
                <w:b w:val="0"/>
              </w:rPr>
              <w:t>7</w:t>
            </w:r>
          </w:p>
        </w:tc>
        <w:tc>
          <w:tcPr>
            <w:tcW w:w="0" w:type="dxa"/>
            <w:vAlign w:val="center"/>
          </w:tcPr>
          <w:p w14:paraId="34D5191C">
            <w:pPr>
              <w:spacing w:line="240" w:lineRule="auto"/>
              <w:jc w:val="left"/>
            </w:pPr>
            <w:r>
              <w:rPr>
                <w:rFonts w:ascii="宋体" w:hAnsi="宋体" w:eastAsia="宋体" w:cs="宋体"/>
                <w:b w:val="0"/>
              </w:rPr>
              <w:t>待摊费用</w:t>
            </w:r>
          </w:p>
        </w:tc>
        <w:tc>
          <w:tcPr>
            <w:tcW w:w="0" w:type="dxa"/>
            <w:vAlign w:val="center"/>
          </w:tcPr>
          <w:p w14:paraId="41DA1D75">
            <w:pPr>
              <w:spacing w:line="240" w:lineRule="auto"/>
              <w:jc w:val="right"/>
            </w:pPr>
            <w:r>
              <w:rPr>
                <w:rFonts w:ascii="宋体" w:hAnsi="宋体" w:eastAsia="宋体" w:cs="宋体"/>
                <w:b w:val="0"/>
              </w:rPr>
              <w:t>-</w:t>
            </w:r>
          </w:p>
        </w:tc>
      </w:tr>
      <w:tr w14:paraId="1B40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BE3862">
            <w:pPr>
              <w:spacing w:line="240" w:lineRule="auto"/>
              <w:jc w:val="center"/>
            </w:pPr>
            <w:r>
              <w:rPr>
                <w:rFonts w:ascii="宋体" w:hAnsi="宋体" w:eastAsia="宋体" w:cs="宋体"/>
                <w:b w:val="0"/>
              </w:rPr>
              <w:t>8</w:t>
            </w:r>
          </w:p>
        </w:tc>
        <w:tc>
          <w:tcPr>
            <w:tcW w:w="0" w:type="dxa"/>
            <w:vAlign w:val="center"/>
          </w:tcPr>
          <w:p w14:paraId="01CA4FB5">
            <w:pPr>
              <w:spacing w:line="240" w:lineRule="auto"/>
              <w:jc w:val="left"/>
            </w:pPr>
            <w:r>
              <w:rPr>
                <w:rFonts w:ascii="宋体" w:hAnsi="宋体" w:eastAsia="宋体" w:cs="宋体"/>
                <w:b w:val="0"/>
              </w:rPr>
              <w:t>其他</w:t>
            </w:r>
          </w:p>
        </w:tc>
        <w:tc>
          <w:tcPr>
            <w:tcW w:w="0" w:type="dxa"/>
            <w:vAlign w:val="center"/>
          </w:tcPr>
          <w:p w14:paraId="5E6004E3">
            <w:pPr>
              <w:spacing w:line="240" w:lineRule="auto"/>
              <w:jc w:val="right"/>
            </w:pPr>
            <w:r>
              <w:rPr>
                <w:rFonts w:ascii="宋体" w:hAnsi="宋体" w:eastAsia="宋体" w:cs="宋体"/>
                <w:b w:val="0"/>
              </w:rPr>
              <w:t>-</w:t>
            </w:r>
          </w:p>
        </w:tc>
      </w:tr>
      <w:tr w14:paraId="7823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214EA5">
            <w:pPr>
              <w:spacing w:line="240" w:lineRule="auto"/>
              <w:jc w:val="center"/>
            </w:pPr>
            <w:r>
              <w:rPr>
                <w:rFonts w:ascii="宋体" w:hAnsi="宋体" w:eastAsia="宋体" w:cs="宋体"/>
                <w:b w:val="0"/>
              </w:rPr>
              <w:t>9</w:t>
            </w:r>
          </w:p>
        </w:tc>
        <w:tc>
          <w:tcPr>
            <w:tcW w:w="0" w:type="dxa"/>
            <w:vAlign w:val="center"/>
          </w:tcPr>
          <w:p w14:paraId="46E5433F">
            <w:pPr>
              <w:spacing w:line="240" w:lineRule="auto"/>
              <w:jc w:val="left"/>
            </w:pPr>
            <w:r>
              <w:rPr>
                <w:rFonts w:ascii="宋体" w:hAnsi="宋体" w:eastAsia="宋体" w:cs="宋体"/>
                <w:b w:val="0"/>
              </w:rPr>
              <w:t>合计</w:t>
            </w:r>
          </w:p>
        </w:tc>
        <w:tc>
          <w:tcPr>
            <w:tcW w:w="0" w:type="dxa"/>
            <w:vAlign w:val="center"/>
          </w:tcPr>
          <w:p w14:paraId="0B49F0EB">
            <w:pPr>
              <w:spacing w:line="240" w:lineRule="auto"/>
              <w:jc w:val="right"/>
            </w:pPr>
            <w:r>
              <w:rPr>
                <w:rFonts w:ascii="宋体" w:hAnsi="宋体" w:eastAsia="宋体" w:cs="宋体"/>
                <w:b w:val="0"/>
              </w:rPr>
              <w:t>577,539.77</w:t>
            </w:r>
          </w:p>
        </w:tc>
      </w:tr>
    </w:tbl>
    <w:p w14:paraId="126E0902"/>
    <w:p w14:paraId="6CE2B3CE">
      <w:pPr>
        <w:pStyle w:val="58"/>
      </w:pPr>
      <w:r>
        <w:rPr>
          <w:rFonts w:ascii="宋体" w:hAnsi="宋体" w:eastAsia="宋体" w:cs="宋体"/>
          <w:b/>
        </w:rPr>
        <w:t>7.12.4 期末持有的处于转股期的可转换债券明细</w:t>
      </w:r>
    </w:p>
    <w:p w14:paraId="362D07FA">
      <w:r>
        <w:rPr>
          <w:rFonts w:ascii="宋体" w:hAnsi="宋体" w:eastAsia="宋体" w:cs="宋体"/>
          <w:b w:val="0"/>
        </w:rPr>
        <w:t xml:space="preserve">    本基金本报告期末未持有处于转股期的可转换债券。</w:t>
      </w:r>
    </w:p>
    <w:p w14:paraId="175FA871"/>
    <w:p w14:paraId="3F09FBE5">
      <w:pPr>
        <w:pStyle w:val="58"/>
      </w:pPr>
      <w:r>
        <w:rPr>
          <w:rFonts w:ascii="宋体" w:hAnsi="宋体" w:eastAsia="宋体" w:cs="宋体"/>
          <w:b/>
        </w:rPr>
        <w:t>7.12.5 期末前十名股票中存在流通受限情况的说明</w:t>
      </w:r>
    </w:p>
    <w:p w14:paraId="49595FD5">
      <w:r>
        <w:rPr>
          <w:rFonts w:ascii="宋体" w:hAnsi="宋体" w:eastAsia="宋体" w:cs="宋体"/>
          <w:b w:val="0"/>
        </w:rPr>
        <w:t xml:space="preserve">    本基金本报告期末前十名股票中不存在流通受限情况。</w:t>
      </w:r>
    </w:p>
    <w:p w14:paraId="6C35A5F7"/>
    <w:p w14:paraId="3F798EE7">
      <w:pPr>
        <w:pStyle w:val="58"/>
      </w:pPr>
      <w:r>
        <w:rPr>
          <w:rFonts w:ascii="宋体" w:hAnsi="宋体" w:eastAsia="宋体" w:cs="宋体"/>
          <w:b/>
        </w:rPr>
        <w:t>7.12.6 投资组合报告附注的其他文字描述部分</w:t>
      </w:r>
    </w:p>
    <w:p w14:paraId="68761094">
      <w:pPr>
        <w:jc w:val="left"/>
      </w:pPr>
      <w:r>
        <w:rPr>
          <w:rFonts w:ascii="宋体" w:hAnsi="宋体" w:eastAsia="宋体" w:cs="宋体"/>
          <w:b w:val="0"/>
        </w:rPr>
        <w:t xml:space="preserve">    由于四舍五入的原因，分项之和与合计项之间可能存在尾差。</w:t>
      </w:r>
    </w:p>
    <w:p w14:paraId="0B5CA9E2">
      <w:pPr>
        <w:pStyle w:val="2"/>
        <w:jc w:val="center"/>
      </w:pPr>
      <w:bookmarkStart w:id="45" w:name="_Toc32449"/>
      <w:r>
        <w:rPr>
          <w:rFonts w:ascii="宋体" w:hAnsi="宋体" w:eastAsia="宋体" w:cs="宋体"/>
        </w:rPr>
        <w:t>§8 基金份额持有人信息</w:t>
      </w:r>
      <w:bookmarkEnd w:id="45"/>
    </w:p>
    <w:p w14:paraId="1C2DD8B8">
      <w:pPr>
        <w:pStyle w:val="3"/>
        <w:jc w:val="left"/>
      </w:pPr>
      <w:bookmarkStart w:id="46" w:name="_Toc10576"/>
      <w:r>
        <w:rPr>
          <w:rFonts w:ascii="宋体" w:hAnsi="宋体" w:eastAsia="宋体" w:cs="宋体"/>
        </w:rPr>
        <w:t>8.1 期末基金份额持有人户数及持有人结构</w:t>
      </w:r>
      <w:bookmarkEnd w:id="46"/>
    </w:p>
    <w:p w14:paraId="3606157D">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1121"/>
        <w:gridCol w:w="1161"/>
        <w:gridCol w:w="1476"/>
        <w:gridCol w:w="1393"/>
        <w:gridCol w:w="1581"/>
        <w:gridCol w:w="1433"/>
      </w:tblGrid>
      <w:tr w14:paraId="13D5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3EB30CE8">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7F62A224">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1378843B">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7D391216">
            <w:pPr>
              <w:spacing w:line="240" w:lineRule="auto"/>
              <w:jc w:val="center"/>
            </w:pPr>
            <w:r>
              <w:rPr>
                <w:rFonts w:ascii="宋体" w:hAnsi="宋体" w:eastAsia="宋体" w:cs="宋体"/>
                <w:b w:val="0"/>
              </w:rPr>
              <w:t>持有人结构</w:t>
            </w:r>
          </w:p>
        </w:tc>
      </w:tr>
      <w:tr w14:paraId="77AC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871AEAB"/>
        </w:tc>
        <w:tc>
          <w:tcPr>
            <w:vMerge w:val="continue"/>
          </w:tcPr>
          <w:p w14:paraId="7EF917CB"/>
        </w:tc>
        <w:tc>
          <w:tcPr>
            <w:vMerge w:val="continue"/>
          </w:tcPr>
          <w:p w14:paraId="358D4730"/>
        </w:tc>
        <w:tc>
          <w:tcPr>
            <w:tcW w:w="1385" w:type="pct"/>
            <w:gridSpan w:val="2"/>
            <w:shd w:val="clear" w:color="auto" w:fill="D9D9D9"/>
            <w:vAlign w:val="center"/>
          </w:tcPr>
          <w:p w14:paraId="452CACF1">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6A2F810E">
            <w:pPr>
              <w:spacing w:line="240" w:lineRule="auto"/>
              <w:jc w:val="center"/>
            </w:pPr>
            <w:r>
              <w:rPr>
                <w:rFonts w:ascii="宋体" w:hAnsi="宋体" w:eastAsia="宋体" w:cs="宋体"/>
                <w:b w:val="0"/>
              </w:rPr>
              <w:t>个人投资者</w:t>
            </w:r>
          </w:p>
        </w:tc>
      </w:tr>
      <w:tr w14:paraId="34BA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BCFDE02"/>
        </w:tc>
        <w:tc>
          <w:tcPr>
            <w:vMerge w:val="continue"/>
          </w:tcPr>
          <w:p w14:paraId="17C9AF8C"/>
        </w:tc>
        <w:tc>
          <w:tcPr>
            <w:vMerge w:val="continue"/>
          </w:tcPr>
          <w:p w14:paraId="649FDB0E"/>
        </w:tc>
        <w:tc>
          <w:tcPr>
            <w:tcW w:w="615" w:type="pct"/>
            <w:shd w:val="clear" w:color="auto" w:fill="D9D9D9"/>
            <w:vAlign w:val="center"/>
          </w:tcPr>
          <w:p w14:paraId="67AC31E6">
            <w:pPr>
              <w:spacing w:line="240" w:lineRule="auto"/>
              <w:jc w:val="center"/>
            </w:pPr>
            <w:r>
              <w:rPr>
                <w:rFonts w:ascii="宋体" w:hAnsi="宋体" w:eastAsia="宋体" w:cs="宋体"/>
                <w:b w:val="0"/>
              </w:rPr>
              <w:t>持有份额</w:t>
            </w:r>
          </w:p>
        </w:tc>
        <w:tc>
          <w:tcPr>
            <w:tcW w:w="769" w:type="pct"/>
            <w:shd w:val="clear" w:color="auto" w:fill="D9D9D9"/>
            <w:vAlign w:val="center"/>
          </w:tcPr>
          <w:p w14:paraId="26FD840E">
            <w:pPr>
              <w:spacing w:line="240" w:lineRule="auto"/>
              <w:jc w:val="center"/>
            </w:pPr>
            <w:r>
              <w:rPr>
                <w:rFonts w:ascii="宋体" w:hAnsi="宋体" w:eastAsia="宋体" w:cs="宋体"/>
                <w:b w:val="0"/>
              </w:rPr>
              <w:t>占总份额比例</w:t>
            </w:r>
          </w:p>
        </w:tc>
        <w:tc>
          <w:tcPr>
            <w:tcW w:w="615" w:type="pct"/>
            <w:shd w:val="clear" w:color="auto" w:fill="D9D9D9"/>
            <w:vAlign w:val="center"/>
          </w:tcPr>
          <w:p w14:paraId="63B0D2A3">
            <w:pPr>
              <w:spacing w:line="240" w:lineRule="auto"/>
              <w:jc w:val="center"/>
            </w:pPr>
            <w:r>
              <w:rPr>
                <w:rFonts w:ascii="宋体" w:hAnsi="宋体" w:eastAsia="宋体" w:cs="宋体"/>
                <w:b w:val="0"/>
              </w:rPr>
              <w:t>持有份额</w:t>
            </w:r>
          </w:p>
        </w:tc>
        <w:tc>
          <w:tcPr>
            <w:tcW w:w="769" w:type="pct"/>
            <w:shd w:val="clear" w:color="auto" w:fill="D9D9D9"/>
            <w:vAlign w:val="center"/>
          </w:tcPr>
          <w:p w14:paraId="114AF4A6">
            <w:pPr>
              <w:spacing w:line="240" w:lineRule="auto"/>
              <w:jc w:val="center"/>
            </w:pPr>
            <w:r>
              <w:rPr>
                <w:rFonts w:ascii="宋体" w:hAnsi="宋体" w:eastAsia="宋体" w:cs="宋体"/>
                <w:b w:val="0"/>
              </w:rPr>
              <w:t>占总份额比例</w:t>
            </w:r>
          </w:p>
        </w:tc>
      </w:tr>
      <w:tr w14:paraId="6530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88AE19">
            <w:pPr>
              <w:spacing w:line="240" w:lineRule="auto"/>
              <w:jc w:val="center"/>
            </w:pPr>
            <w:r>
              <w:rPr>
                <w:rFonts w:ascii="宋体" w:hAnsi="宋体" w:eastAsia="宋体" w:cs="宋体"/>
                <w:b w:val="0"/>
              </w:rPr>
              <w:t>东方阿尔法兴科一年持有混合A</w:t>
            </w:r>
          </w:p>
        </w:tc>
        <w:tc>
          <w:tcPr>
            <w:tcW w:w="0" w:type="dxa"/>
            <w:vAlign w:val="center"/>
          </w:tcPr>
          <w:p w14:paraId="5C0A6F6E">
            <w:pPr>
              <w:spacing w:line="240" w:lineRule="auto"/>
              <w:jc w:val="right"/>
            </w:pPr>
            <w:r>
              <w:rPr>
                <w:rFonts w:ascii="宋体" w:hAnsi="宋体" w:eastAsia="宋体" w:cs="宋体"/>
                <w:b w:val="0"/>
              </w:rPr>
              <w:t>721</w:t>
            </w:r>
          </w:p>
        </w:tc>
        <w:tc>
          <w:tcPr>
            <w:tcW w:w="0" w:type="dxa"/>
            <w:vAlign w:val="center"/>
          </w:tcPr>
          <w:p w14:paraId="49552BF8">
            <w:pPr>
              <w:spacing w:line="240" w:lineRule="auto"/>
              <w:jc w:val="right"/>
            </w:pPr>
            <w:r>
              <w:rPr>
                <w:rFonts w:ascii="宋体" w:hAnsi="宋体" w:eastAsia="宋体" w:cs="宋体"/>
                <w:b w:val="0"/>
              </w:rPr>
              <w:t>62,164.99</w:t>
            </w:r>
          </w:p>
        </w:tc>
        <w:tc>
          <w:tcPr>
            <w:tcW w:w="0" w:type="dxa"/>
            <w:vAlign w:val="center"/>
          </w:tcPr>
          <w:p w14:paraId="675675E8">
            <w:pPr>
              <w:spacing w:line="240" w:lineRule="auto"/>
              <w:jc w:val="right"/>
            </w:pPr>
            <w:r>
              <w:rPr>
                <w:rFonts w:ascii="宋体" w:hAnsi="宋体" w:eastAsia="宋体" w:cs="宋体"/>
                <w:b w:val="0"/>
              </w:rPr>
              <w:t>1,984,216.98</w:t>
            </w:r>
          </w:p>
        </w:tc>
        <w:tc>
          <w:tcPr>
            <w:tcW w:w="0" w:type="dxa"/>
            <w:vAlign w:val="center"/>
          </w:tcPr>
          <w:p w14:paraId="787DA5C7">
            <w:pPr>
              <w:spacing w:line="240" w:lineRule="auto"/>
              <w:jc w:val="right"/>
            </w:pPr>
            <w:r>
              <w:rPr>
                <w:rFonts w:ascii="宋体" w:hAnsi="宋体" w:eastAsia="宋体" w:cs="宋体"/>
                <w:b w:val="0"/>
              </w:rPr>
              <w:t>4.43%</w:t>
            </w:r>
          </w:p>
        </w:tc>
        <w:tc>
          <w:tcPr>
            <w:tcW w:w="0" w:type="dxa"/>
            <w:vAlign w:val="center"/>
          </w:tcPr>
          <w:p w14:paraId="2010EB39">
            <w:pPr>
              <w:spacing w:line="240" w:lineRule="auto"/>
              <w:jc w:val="right"/>
            </w:pPr>
            <w:r>
              <w:rPr>
                <w:rFonts w:ascii="宋体" w:hAnsi="宋体" w:eastAsia="宋体" w:cs="宋体"/>
                <w:b w:val="0"/>
              </w:rPr>
              <w:t>42,836,738.69</w:t>
            </w:r>
          </w:p>
        </w:tc>
        <w:tc>
          <w:tcPr>
            <w:tcW w:w="0" w:type="dxa"/>
            <w:vAlign w:val="center"/>
          </w:tcPr>
          <w:p w14:paraId="6A730151">
            <w:pPr>
              <w:spacing w:line="240" w:lineRule="auto"/>
              <w:jc w:val="right"/>
            </w:pPr>
            <w:r>
              <w:rPr>
                <w:rFonts w:ascii="宋体" w:hAnsi="宋体" w:eastAsia="宋体" w:cs="宋体"/>
                <w:b w:val="0"/>
              </w:rPr>
              <w:t>95.57%</w:t>
            </w:r>
          </w:p>
        </w:tc>
      </w:tr>
      <w:tr w14:paraId="74F9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E6C44E">
            <w:pPr>
              <w:spacing w:line="240" w:lineRule="auto"/>
              <w:jc w:val="center"/>
            </w:pPr>
            <w:r>
              <w:rPr>
                <w:rFonts w:ascii="宋体" w:hAnsi="宋体" w:eastAsia="宋体" w:cs="宋体"/>
                <w:b w:val="0"/>
              </w:rPr>
              <w:t>东方阿尔法兴科一年持有混合C</w:t>
            </w:r>
          </w:p>
        </w:tc>
        <w:tc>
          <w:tcPr>
            <w:tcW w:w="0" w:type="dxa"/>
            <w:vAlign w:val="center"/>
          </w:tcPr>
          <w:p w14:paraId="4B4C3861">
            <w:pPr>
              <w:spacing w:line="240" w:lineRule="auto"/>
              <w:jc w:val="right"/>
            </w:pPr>
            <w:r>
              <w:rPr>
                <w:rFonts w:ascii="宋体" w:hAnsi="宋体" w:eastAsia="宋体" w:cs="宋体"/>
                <w:b w:val="0"/>
              </w:rPr>
              <w:t>445</w:t>
            </w:r>
          </w:p>
        </w:tc>
        <w:tc>
          <w:tcPr>
            <w:tcW w:w="0" w:type="dxa"/>
            <w:vAlign w:val="center"/>
          </w:tcPr>
          <w:p w14:paraId="29D988F9">
            <w:pPr>
              <w:spacing w:line="240" w:lineRule="auto"/>
              <w:jc w:val="right"/>
            </w:pPr>
            <w:r>
              <w:rPr>
                <w:rFonts w:ascii="宋体" w:hAnsi="宋体" w:eastAsia="宋体" w:cs="宋体"/>
                <w:b w:val="0"/>
              </w:rPr>
              <w:t>18,802.45</w:t>
            </w:r>
          </w:p>
        </w:tc>
        <w:tc>
          <w:tcPr>
            <w:tcW w:w="0" w:type="dxa"/>
            <w:vAlign w:val="center"/>
          </w:tcPr>
          <w:p w14:paraId="21224D5C">
            <w:pPr>
              <w:spacing w:line="240" w:lineRule="auto"/>
              <w:jc w:val="right"/>
            </w:pPr>
            <w:r>
              <w:rPr>
                <w:rFonts w:ascii="宋体" w:hAnsi="宋体" w:eastAsia="宋体" w:cs="宋体"/>
                <w:b w:val="0"/>
              </w:rPr>
              <w:t>0.00</w:t>
            </w:r>
          </w:p>
        </w:tc>
        <w:tc>
          <w:tcPr>
            <w:tcW w:w="0" w:type="dxa"/>
            <w:vAlign w:val="center"/>
          </w:tcPr>
          <w:p w14:paraId="39BBC904">
            <w:pPr>
              <w:spacing w:line="240" w:lineRule="auto"/>
              <w:jc w:val="right"/>
            </w:pPr>
            <w:r>
              <w:rPr>
                <w:rFonts w:ascii="宋体" w:hAnsi="宋体" w:eastAsia="宋体" w:cs="宋体"/>
                <w:b w:val="0"/>
              </w:rPr>
              <w:t>0.00%</w:t>
            </w:r>
          </w:p>
        </w:tc>
        <w:tc>
          <w:tcPr>
            <w:tcW w:w="0" w:type="dxa"/>
            <w:vAlign w:val="center"/>
          </w:tcPr>
          <w:p w14:paraId="4A005160">
            <w:pPr>
              <w:spacing w:line="240" w:lineRule="auto"/>
              <w:jc w:val="right"/>
            </w:pPr>
            <w:r>
              <w:rPr>
                <w:rFonts w:ascii="宋体" w:hAnsi="宋体" w:eastAsia="宋体" w:cs="宋体"/>
                <w:b w:val="0"/>
              </w:rPr>
              <w:t>8,367,091.82</w:t>
            </w:r>
          </w:p>
        </w:tc>
        <w:tc>
          <w:tcPr>
            <w:tcW w:w="0" w:type="dxa"/>
            <w:vAlign w:val="center"/>
          </w:tcPr>
          <w:p w14:paraId="6C1FFFD6">
            <w:pPr>
              <w:spacing w:line="240" w:lineRule="auto"/>
              <w:jc w:val="right"/>
            </w:pPr>
            <w:r>
              <w:rPr>
                <w:rFonts w:ascii="宋体" w:hAnsi="宋体" w:eastAsia="宋体" w:cs="宋体"/>
                <w:b w:val="0"/>
              </w:rPr>
              <w:t>100.00%</w:t>
            </w:r>
          </w:p>
        </w:tc>
      </w:tr>
      <w:tr w14:paraId="1991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1DE6A7">
            <w:pPr>
              <w:spacing w:line="240" w:lineRule="auto"/>
              <w:jc w:val="center"/>
            </w:pPr>
            <w:r>
              <w:rPr>
                <w:rFonts w:ascii="宋体" w:hAnsi="宋体" w:eastAsia="宋体" w:cs="宋体"/>
                <w:b w:val="0"/>
              </w:rPr>
              <w:t>合计</w:t>
            </w:r>
          </w:p>
        </w:tc>
        <w:tc>
          <w:tcPr>
            <w:tcW w:w="0" w:type="dxa"/>
            <w:vAlign w:val="center"/>
          </w:tcPr>
          <w:p w14:paraId="25CE0816">
            <w:pPr>
              <w:spacing w:line="240" w:lineRule="auto"/>
              <w:jc w:val="right"/>
            </w:pPr>
            <w:r>
              <w:rPr>
                <w:rFonts w:ascii="宋体" w:hAnsi="宋体" w:eastAsia="宋体" w:cs="宋体"/>
                <w:b w:val="0"/>
              </w:rPr>
              <w:t>1,166</w:t>
            </w:r>
          </w:p>
        </w:tc>
        <w:tc>
          <w:tcPr>
            <w:tcW w:w="0" w:type="dxa"/>
            <w:vAlign w:val="center"/>
          </w:tcPr>
          <w:p w14:paraId="51056F5D">
            <w:pPr>
              <w:spacing w:line="240" w:lineRule="auto"/>
              <w:jc w:val="right"/>
            </w:pPr>
            <w:r>
              <w:rPr>
                <w:rFonts w:ascii="宋体" w:hAnsi="宋体" w:eastAsia="宋体" w:cs="宋体"/>
                <w:b w:val="0"/>
              </w:rPr>
              <w:t>45,615.82</w:t>
            </w:r>
          </w:p>
        </w:tc>
        <w:tc>
          <w:tcPr>
            <w:tcW w:w="0" w:type="dxa"/>
            <w:vAlign w:val="center"/>
          </w:tcPr>
          <w:p w14:paraId="1BD7B48E">
            <w:pPr>
              <w:spacing w:line="240" w:lineRule="auto"/>
              <w:jc w:val="right"/>
            </w:pPr>
            <w:r>
              <w:rPr>
                <w:rFonts w:ascii="宋体" w:hAnsi="宋体" w:eastAsia="宋体" w:cs="宋体"/>
                <w:b w:val="0"/>
              </w:rPr>
              <w:t>1,984,216.98</w:t>
            </w:r>
          </w:p>
        </w:tc>
        <w:tc>
          <w:tcPr>
            <w:tcW w:w="0" w:type="dxa"/>
            <w:vAlign w:val="center"/>
          </w:tcPr>
          <w:p w14:paraId="561520E8">
            <w:pPr>
              <w:spacing w:line="240" w:lineRule="auto"/>
              <w:jc w:val="right"/>
            </w:pPr>
            <w:r>
              <w:rPr>
                <w:rFonts w:ascii="宋体" w:hAnsi="宋体" w:eastAsia="宋体" w:cs="宋体"/>
                <w:b w:val="0"/>
              </w:rPr>
              <w:t>3.73%</w:t>
            </w:r>
          </w:p>
        </w:tc>
        <w:tc>
          <w:tcPr>
            <w:tcW w:w="0" w:type="dxa"/>
            <w:vAlign w:val="center"/>
          </w:tcPr>
          <w:p w14:paraId="5C1C7891">
            <w:pPr>
              <w:spacing w:line="240" w:lineRule="auto"/>
              <w:jc w:val="right"/>
            </w:pPr>
            <w:r>
              <w:rPr>
                <w:rFonts w:ascii="宋体" w:hAnsi="宋体" w:eastAsia="宋体" w:cs="宋体"/>
                <w:b w:val="0"/>
              </w:rPr>
              <w:t>51,203,830.51</w:t>
            </w:r>
          </w:p>
        </w:tc>
        <w:tc>
          <w:tcPr>
            <w:tcW w:w="0" w:type="dxa"/>
            <w:vAlign w:val="center"/>
          </w:tcPr>
          <w:p w14:paraId="2B84D5F8">
            <w:pPr>
              <w:spacing w:line="240" w:lineRule="auto"/>
              <w:jc w:val="right"/>
            </w:pPr>
            <w:r>
              <w:rPr>
                <w:rFonts w:ascii="宋体" w:hAnsi="宋体" w:eastAsia="宋体" w:cs="宋体"/>
                <w:b w:val="0"/>
              </w:rPr>
              <w:t>96.27%</w:t>
            </w:r>
          </w:p>
        </w:tc>
      </w:tr>
    </w:tbl>
    <w:p w14:paraId="115D09B9">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11A6FAEC"/>
    <w:p w14:paraId="78F4070C">
      <w:pPr>
        <w:pStyle w:val="3"/>
        <w:jc w:val="left"/>
      </w:pPr>
      <w:bookmarkStart w:id="47" w:name="_Toc21214"/>
      <w:r>
        <w:rPr>
          <w:rFonts w:ascii="宋体" w:hAnsi="宋体" w:eastAsia="宋体" w:cs="宋体"/>
        </w:rPr>
        <w:t>8.2 盈利投资者数量占比</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6"/>
        <w:gridCol w:w="5000"/>
      </w:tblGrid>
      <w:tr w14:paraId="5300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35056C00">
            <w:pPr>
              <w:spacing w:line="240" w:lineRule="auto"/>
              <w:jc w:val="center"/>
            </w:pPr>
            <w:r>
              <w:rPr>
                <w:rFonts w:ascii="宋体" w:hAnsi="宋体" w:eastAsia="宋体" w:cs="宋体"/>
                <w:b w:val="0"/>
              </w:rPr>
              <w:t>项目</w:t>
            </w:r>
          </w:p>
        </w:tc>
        <w:tc>
          <w:tcPr>
            <w:tcW w:w="2692" w:type="pct"/>
            <w:shd w:val="clear" w:color="auto" w:fill="D9D9D9"/>
            <w:vAlign w:val="center"/>
          </w:tcPr>
          <w:p w14:paraId="124AF19C">
            <w:pPr>
              <w:spacing w:line="240" w:lineRule="auto"/>
              <w:jc w:val="center"/>
            </w:pPr>
            <w:r>
              <w:rPr>
                <w:rFonts w:ascii="宋体" w:hAnsi="宋体" w:eastAsia="宋体" w:cs="宋体"/>
                <w:b w:val="0"/>
              </w:rPr>
              <w:t>过去一年（2025年07月01日-2026年06月30日）</w:t>
            </w:r>
          </w:p>
        </w:tc>
      </w:tr>
      <w:tr w14:paraId="4F36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5E7A01">
            <w:pPr>
              <w:spacing w:line="240" w:lineRule="auto"/>
              <w:jc w:val="center"/>
            </w:pPr>
            <w:r>
              <w:rPr>
                <w:rFonts w:ascii="宋体" w:hAnsi="宋体" w:eastAsia="宋体" w:cs="宋体"/>
                <w:b w:val="0"/>
              </w:rPr>
              <w:t>盈利投资者数量占比</w:t>
            </w:r>
          </w:p>
        </w:tc>
        <w:tc>
          <w:tcPr>
            <w:tcW w:w="0" w:type="dxa"/>
            <w:vAlign w:val="center"/>
          </w:tcPr>
          <w:p w14:paraId="2EFE827F">
            <w:pPr>
              <w:spacing w:line="240" w:lineRule="auto"/>
              <w:jc w:val="right"/>
            </w:pPr>
            <w:r>
              <w:rPr>
                <w:rFonts w:ascii="宋体" w:hAnsi="宋体" w:eastAsia="宋体" w:cs="宋体"/>
                <w:b w:val="0"/>
              </w:rPr>
              <w:t>90.83%</w:t>
            </w:r>
          </w:p>
        </w:tc>
      </w:tr>
    </w:tbl>
    <w:p w14:paraId="0E550B63"/>
    <w:p w14:paraId="661001B4">
      <w:pPr>
        <w:pStyle w:val="3"/>
        <w:jc w:val="left"/>
      </w:pPr>
      <w:bookmarkStart w:id="48" w:name="_Toc17073"/>
      <w:r>
        <w:rPr>
          <w:rFonts w:ascii="宋体" w:hAnsi="宋体" w:eastAsia="宋体" w:cs="宋体"/>
        </w:rPr>
        <w:t>8.3 期末基金管理人的从业人员持有本基金的情况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4792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74AA5527">
            <w:pPr>
              <w:spacing w:line="240" w:lineRule="auto"/>
              <w:jc w:val="center"/>
            </w:pPr>
            <w:r>
              <w:rPr>
                <w:rFonts w:ascii="宋体" w:hAnsi="宋体" w:eastAsia="宋体" w:cs="宋体"/>
                <w:b w:val="0"/>
              </w:rPr>
              <w:t>项目</w:t>
            </w:r>
          </w:p>
        </w:tc>
        <w:tc>
          <w:tcPr>
            <w:tcW w:w="1385" w:type="pct"/>
            <w:shd w:val="clear" w:color="auto" w:fill="D9D9D9"/>
            <w:vAlign w:val="center"/>
          </w:tcPr>
          <w:p w14:paraId="419DA050">
            <w:pPr>
              <w:spacing w:line="240" w:lineRule="auto"/>
              <w:jc w:val="center"/>
            </w:pPr>
            <w:r>
              <w:rPr>
                <w:rFonts w:ascii="宋体" w:hAnsi="宋体" w:eastAsia="宋体" w:cs="宋体"/>
                <w:b w:val="0"/>
              </w:rPr>
              <w:t>份额级别</w:t>
            </w:r>
          </w:p>
        </w:tc>
        <w:tc>
          <w:tcPr>
            <w:tcW w:w="1000" w:type="pct"/>
            <w:shd w:val="clear" w:color="auto" w:fill="D9D9D9"/>
            <w:vAlign w:val="center"/>
          </w:tcPr>
          <w:p w14:paraId="51D1CA82">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44030A18">
            <w:pPr>
              <w:spacing w:line="240" w:lineRule="auto"/>
              <w:jc w:val="center"/>
            </w:pPr>
            <w:r>
              <w:rPr>
                <w:rFonts w:ascii="宋体" w:hAnsi="宋体" w:eastAsia="宋体" w:cs="宋体"/>
                <w:b w:val="0"/>
              </w:rPr>
              <w:t>占基金总份额比例</w:t>
            </w:r>
          </w:p>
        </w:tc>
      </w:tr>
      <w:tr w14:paraId="766B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35C1AD99">
            <w:pPr>
              <w:spacing w:line="240" w:lineRule="auto"/>
              <w:jc w:val="left"/>
            </w:pPr>
            <w:r>
              <w:rPr>
                <w:rFonts w:ascii="宋体" w:hAnsi="宋体" w:eastAsia="宋体" w:cs="宋体"/>
                <w:b w:val="0"/>
              </w:rPr>
              <w:t>基金管理人所有从业人员持有本基金</w:t>
            </w:r>
          </w:p>
        </w:tc>
        <w:tc>
          <w:tcPr>
            <w:tcW w:w="0" w:type="dxa"/>
            <w:vAlign w:val="center"/>
          </w:tcPr>
          <w:p w14:paraId="1576090A">
            <w:pPr>
              <w:spacing w:line="240" w:lineRule="auto"/>
              <w:jc w:val="left"/>
            </w:pPr>
            <w:r>
              <w:rPr>
                <w:rFonts w:ascii="宋体" w:hAnsi="宋体" w:eastAsia="宋体" w:cs="宋体"/>
                <w:b w:val="0"/>
              </w:rPr>
              <w:t>东方阿尔法兴科一年持有混合A</w:t>
            </w:r>
          </w:p>
        </w:tc>
        <w:tc>
          <w:tcPr>
            <w:tcW w:w="0" w:type="dxa"/>
            <w:vAlign w:val="center"/>
          </w:tcPr>
          <w:p w14:paraId="09B23511">
            <w:pPr>
              <w:spacing w:line="240" w:lineRule="auto"/>
              <w:jc w:val="right"/>
            </w:pPr>
            <w:r>
              <w:rPr>
                <w:rFonts w:ascii="宋体" w:hAnsi="宋体" w:eastAsia="宋体" w:cs="宋体"/>
                <w:b w:val="0"/>
              </w:rPr>
              <w:t>17,012,058.60</w:t>
            </w:r>
          </w:p>
        </w:tc>
        <w:tc>
          <w:tcPr>
            <w:tcW w:w="0" w:type="dxa"/>
            <w:vAlign w:val="center"/>
          </w:tcPr>
          <w:p w14:paraId="23FC2A19">
            <w:pPr>
              <w:spacing w:line="240" w:lineRule="auto"/>
              <w:jc w:val="right"/>
            </w:pPr>
            <w:r>
              <w:rPr>
                <w:rFonts w:ascii="宋体" w:hAnsi="宋体" w:eastAsia="宋体" w:cs="宋体"/>
                <w:b w:val="0"/>
              </w:rPr>
              <w:t>37.96%</w:t>
            </w:r>
          </w:p>
        </w:tc>
      </w:tr>
      <w:tr w14:paraId="2877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8975FEE"/>
        </w:tc>
        <w:tc>
          <w:tcPr>
            <w:tcW w:w="0" w:type="dxa"/>
            <w:vAlign w:val="center"/>
          </w:tcPr>
          <w:p w14:paraId="78A7BE74">
            <w:pPr>
              <w:spacing w:line="240" w:lineRule="auto"/>
              <w:jc w:val="left"/>
            </w:pPr>
            <w:r>
              <w:rPr>
                <w:rFonts w:ascii="宋体" w:hAnsi="宋体" w:eastAsia="宋体" w:cs="宋体"/>
                <w:b w:val="0"/>
              </w:rPr>
              <w:t>东方阿尔法兴科一年持有混合C</w:t>
            </w:r>
          </w:p>
        </w:tc>
        <w:tc>
          <w:tcPr>
            <w:tcW w:w="0" w:type="dxa"/>
            <w:vAlign w:val="center"/>
          </w:tcPr>
          <w:p w14:paraId="6E7C5207">
            <w:pPr>
              <w:spacing w:line="240" w:lineRule="auto"/>
              <w:jc w:val="right"/>
            </w:pPr>
            <w:r>
              <w:rPr>
                <w:rFonts w:ascii="宋体" w:hAnsi="宋体" w:eastAsia="宋体" w:cs="宋体"/>
                <w:b w:val="0"/>
              </w:rPr>
              <w:t>2,457,167.95</w:t>
            </w:r>
          </w:p>
        </w:tc>
        <w:tc>
          <w:tcPr>
            <w:tcW w:w="0" w:type="dxa"/>
            <w:vAlign w:val="center"/>
          </w:tcPr>
          <w:p w14:paraId="0598DC70">
            <w:pPr>
              <w:spacing w:line="240" w:lineRule="auto"/>
              <w:jc w:val="right"/>
            </w:pPr>
            <w:r>
              <w:rPr>
                <w:rFonts w:ascii="宋体" w:hAnsi="宋体" w:eastAsia="宋体" w:cs="宋体"/>
                <w:b w:val="0"/>
              </w:rPr>
              <w:t>29.37%</w:t>
            </w:r>
          </w:p>
        </w:tc>
      </w:tr>
      <w:tr w14:paraId="7B57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6D0BCCF"/>
        </w:tc>
        <w:tc>
          <w:tcPr>
            <w:tcW w:w="0" w:type="dxa"/>
            <w:vAlign w:val="center"/>
          </w:tcPr>
          <w:p w14:paraId="06482210">
            <w:pPr>
              <w:spacing w:line="240" w:lineRule="auto"/>
              <w:jc w:val="center"/>
            </w:pPr>
            <w:r>
              <w:rPr>
                <w:rFonts w:ascii="宋体" w:hAnsi="宋体" w:eastAsia="宋体" w:cs="宋体"/>
                <w:b w:val="0"/>
              </w:rPr>
              <w:t>合计</w:t>
            </w:r>
          </w:p>
        </w:tc>
        <w:tc>
          <w:tcPr>
            <w:tcW w:w="0" w:type="dxa"/>
            <w:vAlign w:val="center"/>
          </w:tcPr>
          <w:p w14:paraId="2E30532D">
            <w:pPr>
              <w:spacing w:line="240" w:lineRule="auto"/>
              <w:jc w:val="right"/>
            </w:pPr>
            <w:r>
              <w:rPr>
                <w:rFonts w:ascii="宋体" w:hAnsi="宋体" w:eastAsia="宋体" w:cs="宋体"/>
                <w:b w:val="0"/>
              </w:rPr>
              <w:t>19,469,226.55</w:t>
            </w:r>
          </w:p>
        </w:tc>
        <w:tc>
          <w:tcPr>
            <w:tcW w:w="0" w:type="dxa"/>
            <w:vAlign w:val="center"/>
          </w:tcPr>
          <w:p w14:paraId="6380BFB0">
            <w:pPr>
              <w:spacing w:line="240" w:lineRule="auto"/>
              <w:jc w:val="right"/>
            </w:pPr>
            <w:r>
              <w:rPr>
                <w:rFonts w:ascii="宋体" w:hAnsi="宋体" w:eastAsia="宋体" w:cs="宋体"/>
                <w:b w:val="0"/>
              </w:rPr>
              <w:t>36.60%</w:t>
            </w:r>
          </w:p>
        </w:tc>
      </w:tr>
    </w:tbl>
    <w:p w14:paraId="0A7EF99F">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4E145838"/>
    <w:p w14:paraId="5435D496">
      <w:pPr>
        <w:pStyle w:val="3"/>
        <w:jc w:val="left"/>
      </w:pPr>
      <w:bookmarkStart w:id="49" w:name="_Toc13622"/>
      <w:r>
        <w:rPr>
          <w:rFonts w:ascii="宋体" w:hAnsi="宋体" w:eastAsia="宋体" w:cs="宋体"/>
        </w:rPr>
        <w:t>8.4 期末基金管理人的从业人员持有本开放式基金份额总量区间情况</w:t>
      </w:r>
      <w:bookmarkEnd w:id="4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3EB1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3116EAEC">
            <w:pPr>
              <w:spacing w:line="240" w:lineRule="auto"/>
              <w:jc w:val="center"/>
            </w:pPr>
            <w:r>
              <w:rPr>
                <w:rFonts w:ascii="宋体" w:hAnsi="宋体" w:eastAsia="宋体" w:cs="宋体"/>
                <w:b w:val="0"/>
              </w:rPr>
              <w:t>项目</w:t>
            </w:r>
          </w:p>
        </w:tc>
        <w:tc>
          <w:tcPr>
            <w:tcW w:w="1538" w:type="pct"/>
            <w:shd w:val="clear" w:color="auto" w:fill="D9D9D9"/>
            <w:vAlign w:val="center"/>
          </w:tcPr>
          <w:p w14:paraId="62E22018">
            <w:pPr>
              <w:spacing w:line="240" w:lineRule="auto"/>
              <w:jc w:val="center"/>
            </w:pPr>
            <w:r>
              <w:rPr>
                <w:rFonts w:ascii="宋体" w:hAnsi="宋体" w:eastAsia="宋体" w:cs="宋体"/>
                <w:b w:val="0"/>
              </w:rPr>
              <w:t>份额级别</w:t>
            </w:r>
          </w:p>
        </w:tc>
        <w:tc>
          <w:tcPr>
            <w:tcW w:w="1538" w:type="pct"/>
            <w:shd w:val="clear" w:color="auto" w:fill="D9D9D9"/>
            <w:vAlign w:val="center"/>
          </w:tcPr>
          <w:p w14:paraId="1E7CCC99">
            <w:pPr>
              <w:spacing w:line="240" w:lineRule="auto"/>
              <w:jc w:val="center"/>
            </w:pPr>
            <w:r>
              <w:rPr>
                <w:rFonts w:ascii="宋体" w:hAnsi="宋体" w:eastAsia="宋体" w:cs="宋体"/>
                <w:b w:val="0"/>
              </w:rPr>
              <w:t>持有基金份额总量的数量区间（万份）</w:t>
            </w:r>
          </w:p>
        </w:tc>
      </w:tr>
      <w:tr w14:paraId="6A1D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18DAE4ED">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70F9ADAB">
            <w:pPr>
              <w:spacing w:line="240" w:lineRule="auto"/>
              <w:jc w:val="left"/>
            </w:pPr>
            <w:r>
              <w:rPr>
                <w:rFonts w:ascii="宋体" w:hAnsi="宋体" w:eastAsia="宋体" w:cs="宋体"/>
                <w:b w:val="0"/>
              </w:rPr>
              <w:t>东方阿尔法兴科一年持有混合A</w:t>
            </w:r>
          </w:p>
        </w:tc>
        <w:tc>
          <w:tcPr>
            <w:tcW w:w="0" w:type="dxa"/>
            <w:vAlign w:val="center"/>
          </w:tcPr>
          <w:p w14:paraId="71C317DD">
            <w:pPr>
              <w:spacing w:line="240" w:lineRule="auto"/>
              <w:jc w:val="right"/>
            </w:pPr>
            <w:r>
              <w:rPr>
                <w:rFonts w:ascii="宋体" w:hAnsi="宋体" w:eastAsia="宋体" w:cs="宋体"/>
                <w:b w:val="0"/>
              </w:rPr>
              <w:t>0~10</w:t>
            </w:r>
          </w:p>
        </w:tc>
      </w:tr>
      <w:tr w14:paraId="3B45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095AA84"/>
        </w:tc>
        <w:tc>
          <w:tcPr>
            <w:tcW w:w="0" w:type="dxa"/>
            <w:vAlign w:val="center"/>
          </w:tcPr>
          <w:p w14:paraId="56EBF4B0">
            <w:pPr>
              <w:spacing w:line="240" w:lineRule="auto"/>
              <w:jc w:val="left"/>
            </w:pPr>
            <w:r>
              <w:rPr>
                <w:rFonts w:ascii="宋体" w:hAnsi="宋体" w:eastAsia="宋体" w:cs="宋体"/>
                <w:b w:val="0"/>
              </w:rPr>
              <w:t>东方阿尔法兴科一年持有混合C</w:t>
            </w:r>
          </w:p>
        </w:tc>
        <w:tc>
          <w:tcPr>
            <w:tcW w:w="0" w:type="dxa"/>
            <w:vAlign w:val="center"/>
          </w:tcPr>
          <w:p w14:paraId="49FAB213">
            <w:pPr>
              <w:spacing w:line="240" w:lineRule="auto"/>
              <w:jc w:val="right"/>
            </w:pPr>
            <w:r>
              <w:rPr>
                <w:rFonts w:ascii="宋体" w:hAnsi="宋体" w:eastAsia="宋体" w:cs="宋体"/>
                <w:b w:val="0"/>
              </w:rPr>
              <w:t>0</w:t>
            </w:r>
          </w:p>
        </w:tc>
      </w:tr>
      <w:tr w14:paraId="68F0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00686E4"/>
        </w:tc>
        <w:tc>
          <w:tcPr>
            <w:tcW w:w="0" w:type="dxa"/>
            <w:vAlign w:val="center"/>
          </w:tcPr>
          <w:p w14:paraId="1F2BCA08">
            <w:pPr>
              <w:spacing w:line="240" w:lineRule="auto"/>
              <w:jc w:val="center"/>
            </w:pPr>
            <w:r>
              <w:rPr>
                <w:rFonts w:ascii="宋体" w:hAnsi="宋体" w:eastAsia="宋体" w:cs="宋体"/>
                <w:b w:val="0"/>
              </w:rPr>
              <w:t>合计</w:t>
            </w:r>
          </w:p>
        </w:tc>
        <w:tc>
          <w:tcPr>
            <w:tcW w:w="0" w:type="dxa"/>
            <w:vAlign w:val="center"/>
          </w:tcPr>
          <w:p w14:paraId="546E564C">
            <w:pPr>
              <w:spacing w:line="240" w:lineRule="auto"/>
              <w:jc w:val="right"/>
            </w:pPr>
            <w:r>
              <w:rPr>
                <w:rFonts w:ascii="宋体" w:hAnsi="宋体" w:eastAsia="宋体" w:cs="宋体"/>
                <w:b w:val="0"/>
              </w:rPr>
              <w:t>0~10</w:t>
            </w:r>
          </w:p>
        </w:tc>
      </w:tr>
      <w:tr w14:paraId="0605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086E6B4">
            <w:pPr>
              <w:spacing w:line="240" w:lineRule="auto"/>
              <w:jc w:val="left"/>
            </w:pPr>
            <w:r>
              <w:rPr>
                <w:rFonts w:ascii="宋体" w:hAnsi="宋体" w:eastAsia="宋体" w:cs="宋体"/>
                <w:b w:val="0"/>
              </w:rPr>
              <w:t>本基金基金经理持有本开放式基金</w:t>
            </w:r>
          </w:p>
        </w:tc>
        <w:tc>
          <w:tcPr>
            <w:tcW w:w="0" w:type="dxa"/>
            <w:vAlign w:val="center"/>
          </w:tcPr>
          <w:p w14:paraId="2B134847">
            <w:pPr>
              <w:spacing w:line="240" w:lineRule="auto"/>
              <w:jc w:val="left"/>
            </w:pPr>
            <w:r>
              <w:rPr>
                <w:rFonts w:ascii="宋体" w:hAnsi="宋体" w:eastAsia="宋体" w:cs="宋体"/>
                <w:b w:val="0"/>
              </w:rPr>
              <w:t>东方阿尔法兴科一年持有混合A</w:t>
            </w:r>
          </w:p>
        </w:tc>
        <w:tc>
          <w:tcPr>
            <w:tcW w:w="0" w:type="dxa"/>
            <w:vAlign w:val="center"/>
          </w:tcPr>
          <w:p w14:paraId="2960BE91">
            <w:pPr>
              <w:spacing w:line="240" w:lineRule="auto"/>
              <w:jc w:val="right"/>
            </w:pPr>
            <w:r>
              <w:rPr>
                <w:rFonts w:ascii="宋体" w:hAnsi="宋体" w:eastAsia="宋体" w:cs="宋体"/>
                <w:b w:val="0"/>
              </w:rPr>
              <w:t>&gt;100</w:t>
            </w:r>
          </w:p>
        </w:tc>
      </w:tr>
      <w:tr w14:paraId="6904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9521744"/>
        </w:tc>
        <w:tc>
          <w:tcPr>
            <w:tcW w:w="0" w:type="dxa"/>
            <w:vAlign w:val="center"/>
          </w:tcPr>
          <w:p w14:paraId="587EF8B0">
            <w:pPr>
              <w:spacing w:line="240" w:lineRule="auto"/>
              <w:jc w:val="left"/>
            </w:pPr>
            <w:r>
              <w:rPr>
                <w:rFonts w:ascii="宋体" w:hAnsi="宋体" w:eastAsia="宋体" w:cs="宋体"/>
                <w:b w:val="0"/>
              </w:rPr>
              <w:t>东方阿尔法兴科一年持有混合C</w:t>
            </w:r>
          </w:p>
        </w:tc>
        <w:tc>
          <w:tcPr>
            <w:tcW w:w="0" w:type="dxa"/>
            <w:vAlign w:val="center"/>
          </w:tcPr>
          <w:p w14:paraId="5100B2A1">
            <w:pPr>
              <w:spacing w:line="240" w:lineRule="auto"/>
              <w:jc w:val="right"/>
            </w:pPr>
            <w:r>
              <w:rPr>
                <w:rFonts w:ascii="宋体" w:hAnsi="宋体" w:eastAsia="宋体" w:cs="宋体"/>
                <w:b w:val="0"/>
              </w:rPr>
              <w:t>&gt;100</w:t>
            </w:r>
          </w:p>
        </w:tc>
      </w:tr>
      <w:tr w14:paraId="5B20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9E3889F"/>
        </w:tc>
        <w:tc>
          <w:tcPr>
            <w:tcW w:w="0" w:type="dxa"/>
            <w:vAlign w:val="center"/>
          </w:tcPr>
          <w:p w14:paraId="663F624E">
            <w:pPr>
              <w:spacing w:line="240" w:lineRule="auto"/>
              <w:jc w:val="center"/>
            </w:pPr>
            <w:r>
              <w:rPr>
                <w:rFonts w:ascii="宋体" w:hAnsi="宋体" w:eastAsia="宋体" w:cs="宋体"/>
                <w:b w:val="0"/>
              </w:rPr>
              <w:t>合计</w:t>
            </w:r>
          </w:p>
        </w:tc>
        <w:tc>
          <w:tcPr>
            <w:tcW w:w="0" w:type="dxa"/>
            <w:vAlign w:val="center"/>
          </w:tcPr>
          <w:p w14:paraId="628E5FD5">
            <w:pPr>
              <w:spacing w:line="240" w:lineRule="auto"/>
              <w:jc w:val="right"/>
            </w:pPr>
            <w:r>
              <w:rPr>
                <w:rFonts w:ascii="宋体" w:hAnsi="宋体" w:eastAsia="宋体" w:cs="宋体"/>
                <w:b w:val="0"/>
              </w:rPr>
              <w:t>&gt;100</w:t>
            </w:r>
          </w:p>
        </w:tc>
      </w:tr>
    </w:tbl>
    <w:p w14:paraId="584912C6">
      <w:pPr>
        <w:pStyle w:val="2"/>
        <w:jc w:val="center"/>
      </w:pPr>
      <w:bookmarkStart w:id="50" w:name="_Toc16731"/>
      <w:r>
        <w:rPr>
          <w:rFonts w:ascii="宋体" w:hAnsi="宋体" w:eastAsia="宋体" w:cs="宋体"/>
        </w:rPr>
        <w:t>§9 开放式基金份额变动</w:t>
      </w:r>
      <w:bookmarkEnd w:id="50"/>
    </w:p>
    <w:p w14:paraId="2FB45D76">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21FF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222B5A6A">
            <w:pPr>
              <w:spacing w:line="240" w:lineRule="auto"/>
              <w:jc w:val="center"/>
            </w:pPr>
          </w:p>
        </w:tc>
        <w:tc>
          <w:tcPr>
            <w:tcW w:w="1300" w:type="pct"/>
            <w:vAlign w:val="center"/>
          </w:tcPr>
          <w:p w14:paraId="64ADAA6A">
            <w:pPr>
              <w:spacing w:line="240" w:lineRule="auto"/>
              <w:jc w:val="center"/>
            </w:pPr>
            <w:r>
              <w:rPr>
                <w:rFonts w:ascii="宋体" w:hAnsi="宋体" w:eastAsia="宋体" w:cs="宋体"/>
                <w:b w:val="0"/>
              </w:rPr>
              <w:t>东方阿尔法兴科一年持有混合A</w:t>
            </w:r>
          </w:p>
        </w:tc>
        <w:tc>
          <w:tcPr>
            <w:tcW w:w="1300" w:type="pct"/>
            <w:vAlign w:val="center"/>
          </w:tcPr>
          <w:p w14:paraId="134B94FC">
            <w:pPr>
              <w:spacing w:line="240" w:lineRule="auto"/>
              <w:jc w:val="center"/>
            </w:pPr>
            <w:r>
              <w:rPr>
                <w:rFonts w:ascii="宋体" w:hAnsi="宋体" w:eastAsia="宋体" w:cs="宋体"/>
                <w:b w:val="0"/>
              </w:rPr>
              <w:t>东方阿尔法兴科一年持有混合C</w:t>
            </w:r>
          </w:p>
        </w:tc>
      </w:tr>
      <w:tr w14:paraId="75E9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0BDDBA">
            <w:pPr>
              <w:spacing w:line="240" w:lineRule="auto"/>
              <w:jc w:val="left"/>
            </w:pPr>
            <w:r>
              <w:rPr>
                <w:rFonts w:ascii="宋体" w:hAnsi="宋体" w:eastAsia="宋体" w:cs="宋体"/>
                <w:b w:val="0"/>
              </w:rPr>
              <w:t>基金合同生效日（2022年09月28日）基金份额总额</w:t>
            </w:r>
          </w:p>
        </w:tc>
        <w:tc>
          <w:tcPr>
            <w:tcW w:w="1300" w:type="pct"/>
            <w:vAlign w:val="center"/>
          </w:tcPr>
          <w:p w14:paraId="71A9E35A">
            <w:pPr>
              <w:spacing w:line="240" w:lineRule="auto"/>
              <w:jc w:val="right"/>
            </w:pPr>
            <w:r>
              <w:rPr>
                <w:rFonts w:ascii="宋体" w:hAnsi="宋体" w:eastAsia="宋体" w:cs="宋体"/>
                <w:b w:val="0"/>
              </w:rPr>
              <w:t>215,870,933.14</w:t>
            </w:r>
          </w:p>
        </w:tc>
        <w:tc>
          <w:tcPr>
            <w:tcW w:w="1300" w:type="pct"/>
            <w:vAlign w:val="center"/>
          </w:tcPr>
          <w:p w14:paraId="67DCF17B">
            <w:pPr>
              <w:spacing w:line="240" w:lineRule="auto"/>
              <w:jc w:val="right"/>
            </w:pPr>
            <w:r>
              <w:rPr>
                <w:rFonts w:ascii="宋体" w:hAnsi="宋体" w:eastAsia="宋体" w:cs="宋体"/>
                <w:b w:val="0"/>
              </w:rPr>
              <w:t>50,513,740.30</w:t>
            </w:r>
          </w:p>
        </w:tc>
      </w:tr>
      <w:tr w14:paraId="614F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54503C">
            <w:pPr>
              <w:spacing w:line="240" w:lineRule="auto"/>
              <w:jc w:val="left"/>
            </w:pPr>
            <w:r>
              <w:rPr>
                <w:rFonts w:ascii="宋体" w:hAnsi="宋体" w:eastAsia="宋体" w:cs="宋体"/>
                <w:b w:val="0"/>
              </w:rPr>
              <w:t>本报告期期初基金份额总额</w:t>
            </w:r>
          </w:p>
        </w:tc>
        <w:tc>
          <w:tcPr>
            <w:tcW w:w="1300" w:type="pct"/>
            <w:vAlign w:val="center"/>
          </w:tcPr>
          <w:p w14:paraId="176E1D17">
            <w:pPr>
              <w:spacing w:line="240" w:lineRule="auto"/>
              <w:jc w:val="right"/>
            </w:pPr>
            <w:r>
              <w:rPr>
                <w:rFonts w:ascii="宋体" w:hAnsi="宋体" w:eastAsia="宋体" w:cs="宋体"/>
                <w:b w:val="0"/>
              </w:rPr>
              <w:t>60,945,022.14</w:t>
            </w:r>
          </w:p>
        </w:tc>
        <w:tc>
          <w:tcPr>
            <w:tcW w:w="1300" w:type="pct"/>
            <w:vAlign w:val="center"/>
          </w:tcPr>
          <w:p w14:paraId="7A810347">
            <w:pPr>
              <w:spacing w:line="240" w:lineRule="auto"/>
              <w:jc w:val="right"/>
            </w:pPr>
            <w:r>
              <w:rPr>
                <w:rFonts w:ascii="宋体" w:hAnsi="宋体" w:eastAsia="宋体" w:cs="宋体"/>
                <w:b w:val="0"/>
              </w:rPr>
              <w:t>12,645,901.38</w:t>
            </w:r>
          </w:p>
        </w:tc>
      </w:tr>
      <w:tr w14:paraId="153A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6244F0">
            <w:pPr>
              <w:spacing w:line="240" w:lineRule="auto"/>
              <w:jc w:val="left"/>
            </w:pPr>
            <w:r>
              <w:rPr>
                <w:rFonts w:ascii="宋体" w:hAnsi="宋体" w:eastAsia="宋体" w:cs="宋体"/>
                <w:b w:val="0"/>
              </w:rPr>
              <w:t>本报告期基金总申购份额</w:t>
            </w:r>
          </w:p>
        </w:tc>
        <w:tc>
          <w:tcPr>
            <w:tcW w:w="1300" w:type="pct"/>
            <w:vAlign w:val="center"/>
          </w:tcPr>
          <w:p w14:paraId="21EB959A">
            <w:pPr>
              <w:spacing w:line="240" w:lineRule="auto"/>
              <w:jc w:val="right"/>
            </w:pPr>
            <w:r>
              <w:rPr>
                <w:rFonts w:ascii="宋体" w:hAnsi="宋体" w:eastAsia="宋体" w:cs="宋体"/>
                <w:b w:val="0"/>
              </w:rPr>
              <w:t>513,929.20</w:t>
            </w:r>
          </w:p>
        </w:tc>
        <w:tc>
          <w:tcPr>
            <w:tcW w:w="1300" w:type="pct"/>
            <w:vAlign w:val="center"/>
          </w:tcPr>
          <w:p w14:paraId="7323BDF6">
            <w:pPr>
              <w:spacing w:line="240" w:lineRule="auto"/>
              <w:jc w:val="right"/>
            </w:pPr>
            <w:r>
              <w:rPr>
                <w:rFonts w:ascii="宋体" w:hAnsi="宋体" w:eastAsia="宋体" w:cs="宋体"/>
                <w:b w:val="0"/>
              </w:rPr>
              <w:t>372,337.23</w:t>
            </w:r>
          </w:p>
        </w:tc>
      </w:tr>
      <w:tr w14:paraId="16C2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654AA4">
            <w:pPr>
              <w:spacing w:line="240" w:lineRule="auto"/>
              <w:jc w:val="left"/>
            </w:pPr>
            <w:r>
              <w:rPr>
                <w:rFonts w:ascii="宋体" w:hAnsi="宋体" w:eastAsia="宋体" w:cs="宋体"/>
                <w:b w:val="0"/>
              </w:rPr>
              <w:t>减：本报告期基金总赎回份额</w:t>
            </w:r>
          </w:p>
        </w:tc>
        <w:tc>
          <w:tcPr>
            <w:tcW w:w="1300" w:type="pct"/>
            <w:vAlign w:val="center"/>
          </w:tcPr>
          <w:p w14:paraId="34CD31F0">
            <w:pPr>
              <w:spacing w:line="240" w:lineRule="auto"/>
              <w:jc w:val="right"/>
            </w:pPr>
            <w:r>
              <w:rPr>
                <w:rFonts w:ascii="宋体" w:hAnsi="宋体" w:eastAsia="宋体" w:cs="宋体"/>
                <w:b w:val="0"/>
              </w:rPr>
              <w:t>16,637,995.67</w:t>
            </w:r>
          </w:p>
        </w:tc>
        <w:tc>
          <w:tcPr>
            <w:tcW w:w="1300" w:type="pct"/>
            <w:vAlign w:val="center"/>
          </w:tcPr>
          <w:p w14:paraId="6C588EBA">
            <w:pPr>
              <w:spacing w:line="240" w:lineRule="auto"/>
              <w:jc w:val="right"/>
            </w:pPr>
            <w:r>
              <w:rPr>
                <w:rFonts w:ascii="宋体" w:hAnsi="宋体" w:eastAsia="宋体" w:cs="宋体"/>
                <w:b w:val="0"/>
              </w:rPr>
              <w:t>4,651,146.79</w:t>
            </w:r>
          </w:p>
        </w:tc>
      </w:tr>
      <w:tr w14:paraId="474E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83FB82">
            <w:pPr>
              <w:spacing w:line="240" w:lineRule="auto"/>
              <w:jc w:val="left"/>
            </w:pPr>
            <w:r>
              <w:rPr>
                <w:rFonts w:ascii="宋体" w:hAnsi="宋体" w:eastAsia="宋体" w:cs="宋体"/>
                <w:b w:val="0"/>
              </w:rPr>
              <w:t>本报告期基金拆分变动份额</w:t>
            </w:r>
          </w:p>
        </w:tc>
        <w:tc>
          <w:tcPr>
            <w:tcW w:w="1300" w:type="pct"/>
            <w:vAlign w:val="center"/>
          </w:tcPr>
          <w:p w14:paraId="21A921D8">
            <w:pPr>
              <w:spacing w:line="240" w:lineRule="auto"/>
              <w:jc w:val="right"/>
            </w:pPr>
            <w:r>
              <w:rPr>
                <w:rFonts w:ascii="宋体" w:hAnsi="宋体" w:eastAsia="宋体" w:cs="宋体"/>
                <w:b w:val="0"/>
              </w:rPr>
              <w:t>-</w:t>
            </w:r>
          </w:p>
        </w:tc>
        <w:tc>
          <w:tcPr>
            <w:tcW w:w="1300" w:type="pct"/>
            <w:vAlign w:val="center"/>
          </w:tcPr>
          <w:p w14:paraId="3D6A06D0">
            <w:pPr>
              <w:spacing w:line="240" w:lineRule="auto"/>
              <w:jc w:val="right"/>
            </w:pPr>
            <w:r>
              <w:rPr>
                <w:rFonts w:ascii="宋体" w:hAnsi="宋体" w:eastAsia="宋体" w:cs="宋体"/>
                <w:b w:val="0"/>
              </w:rPr>
              <w:t>-</w:t>
            </w:r>
          </w:p>
        </w:tc>
      </w:tr>
      <w:tr w14:paraId="3B4D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58234D">
            <w:pPr>
              <w:spacing w:line="240" w:lineRule="auto"/>
              <w:jc w:val="left"/>
            </w:pPr>
            <w:r>
              <w:rPr>
                <w:rFonts w:ascii="宋体" w:hAnsi="宋体" w:eastAsia="宋体" w:cs="宋体"/>
                <w:b w:val="0"/>
              </w:rPr>
              <w:t>本报告期期末基金份额总额</w:t>
            </w:r>
          </w:p>
        </w:tc>
        <w:tc>
          <w:tcPr>
            <w:tcW w:w="1300" w:type="pct"/>
            <w:vAlign w:val="center"/>
          </w:tcPr>
          <w:p w14:paraId="603ED9E7">
            <w:pPr>
              <w:spacing w:line="240" w:lineRule="auto"/>
              <w:jc w:val="right"/>
            </w:pPr>
            <w:r>
              <w:rPr>
                <w:rFonts w:ascii="宋体" w:hAnsi="宋体" w:eastAsia="宋体" w:cs="宋体"/>
                <w:b w:val="0"/>
              </w:rPr>
              <w:t>44,820,955.67</w:t>
            </w:r>
          </w:p>
        </w:tc>
        <w:tc>
          <w:tcPr>
            <w:tcW w:w="1300" w:type="pct"/>
            <w:vAlign w:val="center"/>
          </w:tcPr>
          <w:p w14:paraId="609D9349">
            <w:pPr>
              <w:spacing w:line="240" w:lineRule="auto"/>
              <w:jc w:val="right"/>
            </w:pPr>
            <w:r>
              <w:rPr>
                <w:rFonts w:ascii="宋体" w:hAnsi="宋体" w:eastAsia="宋体" w:cs="宋体"/>
                <w:b w:val="0"/>
              </w:rPr>
              <w:t>8,367,091.82</w:t>
            </w:r>
          </w:p>
        </w:tc>
      </w:tr>
    </w:tbl>
    <w:p w14:paraId="1959D843">
      <w:pPr>
        <w:pStyle w:val="2"/>
        <w:jc w:val="center"/>
      </w:pPr>
      <w:bookmarkStart w:id="51" w:name="_Toc13504"/>
      <w:r>
        <w:rPr>
          <w:rFonts w:ascii="宋体" w:hAnsi="宋体" w:eastAsia="宋体" w:cs="宋体"/>
        </w:rPr>
        <w:t>§10 重大事件揭示</w:t>
      </w:r>
      <w:bookmarkEnd w:id="51"/>
    </w:p>
    <w:p w14:paraId="49DA382B">
      <w:pPr>
        <w:pStyle w:val="3"/>
        <w:jc w:val="left"/>
      </w:pPr>
      <w:bookmarkStart w:id="52" w:name="_Toc2628"/>
      <w:r>
        <w:rPr>
          <w:rFonts w:ascii="宋体" w:hAnsi="宋体" w:eastAsia="宋体" w:cs="宋体"/>
        </w:rPr>
        <w:t>10.1 基金份额持有人大会决议</w:t>
      </w:r>
      <w:bookmarkEnd w:id="52"/>
    </w:p>
    <w:p w14:paraId="1DD8EE06">
      <w:pPr>
        <w:jc w:val="left"/>
      </w:pPr>
      <w:r>
        <w:rPr>
          <w:rFonts w:ascii="宋体" w:hAnsi="宋体" w:eastAsia="宋体" w:cs="宋体"/>
          <w:b w:val="0"/>
        </w:rPr>
        <w:t xml:space="preserve">    本报告期内无基金份额持有人大会决议。</w:t>
      </w:r>
    </w:p>
    <w:p w14:paraId="756E90CB"/>
    <w:p w14:paraId="7975A745">
      <w:pPr>
        <w:pStyle w:val="3"/>
        <w:jc w:val="left"/>
      </w:pPr>
      <w:bookmarkStart w:id="53" w:name="_Toc21772"/>
      <w:r>
        <w:rPr>
          <w:rFonts w:ascii="宋体" w:hAnsi="宋体" w:eastAsia="宋体" w:cs="宋体"/>
        </w:rPr>
        <w:t>10.2 基金管理人、基金托管人的专门基金托管部门的重大人事变动</w:t>
      </w:r>
      <w:bookmarkEnd w:id="53"/>
    </w:p>
    <w:p w14:paraId="316B2C80">
      <w:pPr>
        <w:jc w:val="left"/>
      </w:pPr>
      <w:r>
        <w:rPr>
          <w:rFonts w:ascii="宋体" w:hAnsi="宋体" w:eastAsia="宋体" w:cs="宋体"/>
          <w:b w:val="0"/>
        </w:rPr>
        <w:t xml:space="preserve">    本报告期内，基金管理人、托管人的专门基金托管部门无重大人事变动。</w:t>
      </w:r>
    </w:p>
    <w:p w14:paraId="23AAF726"/>
    <w:p w14:paraId="740D5464">
      <w:pPr>
        <w:pStyle w:val="3"/>
        <w:jc w:val="left"/>
      </w:pPr>
      <w:bookmarkStart w:id="54" w:name="_Toc17255"/>
      <w:r>
        <w:rPr>
          <w:rFonts w:ascii="宋体" w:hAnsi="宋体" w:eastAsia="宋体" w:cs="宋体"/>
        </w:rPr>
        <w:t>10.3 涉及基金管理人、基金财产、基金托管业务的诉讼</w:t>
      </w:r>
      <w:bookmarkEnd w:id="54"/>
    </w:p>
    <w:p w14:paraId="22CC84C6">
      <w:pPr>
        <w:jc w:val="left"/>
      </w:pPr>
      <w:r>
        <w:rPr>
          <w:rFonts w:ascii="宋体" w:hAnsi="宋体" w:eastAsia="宋体" w:cs="宋体"/>
          <w:b w:val="0"/>
        </w:rPr>
        <w:t xml:space="preserve">    本报告期内，无涉及基金管理人、基金财产、基金托管业务的诉讼。</w:t>
      </w:r>
    </w:p>
    <w:p w14:paraId="0DD3731E"/>
    <w:p w14:paraId="583BF022">
      <w:pPr>
        <w:pStyle w:val="3"/>
        <w:jc w:val="left"/>
      </w:pPr>
      <w:bookmarkStart w:id="55" w:name="_Toc14896"/>
      <w:r>
        <w:rPr>
          <w:rFonts w:ascii="宋体" w:hAnsi="宋体" w:eastAsia="宋体" w:cs="宋体"/>
        </w:rPr>
        <w:t>10.4 基金投资策略的改变</w:t>
      </w:r>
      <w:bookmarkEnd w:id="55"/>
    </w:p>
    <w:p w14:paraId="61072A2F">
      <w:pPr>
        <w:jc w:val="left"/>
      </w:pPr>
      <w:r>
        <w:rPr>
          <w:rFonts w:ascii="宋体" w:hAnsi="宋体" w:eastAsia="宋体" w:cs="宋体"/>
          <w:b w:val="0"/>
        </w:rPr>
        <w:t xml:space="preserve">    本报告期内本基金投资策略未改变。</w:t>
      </w:r>
    </w:p>
    <w:p w14:paraId="1A4D7E03"/>
    <w:p w14:paraId="582B41B6">
      <w:pPr>
        <w:pStyle w:val="3"/>
        <w:jc w:val="left"/>
      </w:pPr>
      <w:bookmarkStart w:id="56" w:name="_Toc18044"/>
      <w:r>
        <w:rPr>
          <w:rFonts w:ascii="宋体" w:hAnsi="宋体" w:eastAsia="宋体" w:cs="宋体"/>
        </w:rPr>
        <w:t>10.5 为基金进行审计的会计师事务所情况</w:t>
      </w:r>
      <w:bookmarkEnd w:id="56"/>
    </w:p>
    <w:p w14:paraId="245195E6">
      <w:pPr>
        <w:jc w:val="left"/>
      </w:pPr>
      <w:r>
        <w:rPr>
          <w:rFonts w:ascii="宋体" w:hAnsi="宋体" w:eastAsia="宋体" w:cs="宋体"/>
          <w:b w:val="0"/>
        </w:rPr>
        <w:t xml:space="preserve">    本报告期内本基金未更换会计师事务所。</w:t>
      </w:r>
    </w:p>
    <w:p w14:paraId="0A8FCB79"/>
    <w:p w14:paraId="0497EEA3">
      <w:pPr>
        <w:pStyle w:val="3"/>
        <w:jc w:val="left"/>
      </w:pPr>
      <w:bookmarkStart w:id="57" w:name="_Toc27918"/>
      <w:r>
        <w:rPr>
          <w:rFonts w:ascii="宋体" w:hAnsi="宋体" w:eastAsia="宋体" w:cs="宋体"/>
        </w:rPr>
        <w:t>10.6 管理人、托管人及相关从业人员受调查或处罚等情况</w:t>
      </w:r>
      <w:bookmarkEnd w:id="57"/>
    </w:p>
    <w:p w14:paraId="7F299209">
      <w:pPr>
        <w:pStyle w:val="58"/>
      </w:pPr>
      <w:r>
        <w:rPr>
          <w:rFonts w:ascii="宋体" w:hAnsi="宋体" w:eastAsia="宋体" w:cs="宋体"/>
          <w:b/>
        </w:rPr>
        <w:t>10.6.1 管理人受调查或处罚等情况</w:t>
      </w:r>
    </w:p>
    <w:p w14:paraId="52CC9083">
      <w:pPr>
        <w:jc w:val="left"/>
      </w:pPr>
      <w:r>
        <w:rPr>
          <w:rFonts w:ascii="宋体" w:hAnsi="宋体" w:eastAsia="宋体" w:cs="宋体"/>
          <w:b w:val="0"/>
        </w:rPr>
        <w:t xml:space="preserve">    本报告期内，基金管理人没有受到监管部门调查或处罚。</w:t>
      </w:r>
    </w:p>
    <w:p w14:paraId="0509A373"/>
    <w:p w14:paraId="3BAB2BB4">
      <w:pPr>
        <w:pStyle w:val="58"/>
      </w:pPr>
      <w:r>
        <w:rPr>
          <w:rFonts w:ascii="宋体" w:hAnsi="宋体" w:eastAsia="宋体" w:cs="宋体"/>
          <w:b/>
        </w:rPr>
        <w:t>10.6.2 管理人相关从业人员受调查或处罚等情况</w:t>
      </w:r>
    </w:p>
    <w:p w14:paraId="0BBE711B">
      <w:pPr>
        <w:jc w:val="left"/>
      </w:pPr>
      <w:r>
        <w:rPr>
          <w:rFonts w:ascii="宋体" w:hAnsi="宋体" w:eastAsia="宋体" w:cs="宋体"/>
          <w:b w:val="0"/>
        </w:rPr>
        <w:t xml:space="preserve">    本报告期内，管理人高级管理人员、本基金基金经理等相关从业人员没有受到监管部门调查或处罚。</w:t>
      </w:r>
    </w:p>
    <w:p w14:paraId="3B939E16"/>
    <w:p w14:paraId="0FF7AA5F">
      <w:pPr>
        <w:pStyle w:val="58"/>
      </w:pPr>
      <w:r>
        <w:rPr>
          <w:rFonts w:ascii="宋体" w:hAnsi="宋体" w:eastAsia="宋体" w:cs="宋体"/>
          <w:b/>
        </w:rPr>
        <w:t>10.6.3 托管人受调查或处罚等情况</w:t>
      </w:r>
    </w:p>
    <w:p w14:paraId="6CA44347">
      <w:pPr>
        <w:jc w:val="left"/>
      </w:pPr>
      <w:r>
        <w:rPr>
          <w:rFonts w:ascii="宋体" w:hAnsi="宋体" w:eastAsia="宋体" w:cs="宋体"/>
          <w:b w:val="0"/>
        </w:rPr>
        <w:t xml:space="preserve">    报告期内，本基金托管人在开展基金托管业务过程中无受调查或处罚等情况。</w:t>
      </w:r>
    </w:p>
    <w:p w14:paraId="55BE26E8"/>
    <w:p w14:paraId="59B2765B">
      <w:pPr>
        <w:pStyle w:val="58"/>
      </w:pPr>
      <w:r>
        <w:rPr>
          <w:rFonts w:ascii="宋体" w:hAnsi="宋体" w:eastAsia="宋体" w:cs="宋体"/>
          <w:b/>
        </w:rPr>
        <w:t>10.6.4 托管人相关从业人员受调查或处罚等情况</w:t>
      </w:r>
    </w:p>
    <w:p w14:paraId="1C0157C4">
      <w:pPr>
        <w:jc w:val="left"/>
      </w:pPr>
      <w:r>
        <w:rPr>
          <w:rFonts w:ascii="宋体" w:hAnsi="宋体" w:eastAsia="宋体" w:cs="宋体"/>
          <w:b w:val="0"/>
        </w:rPr>
        <w:t xml:space="preserve">    报告期内，本基金托管人相关从业人员在开展基金托管业务过程中无受调查或处罚等情况。</w:t>
      </w:r>
    </w:p>
    <w:p w14:paraId="1FDA7C7D"/>
    <w:p w14:paraId="52F8A652">
      <w:pPr>
        <w:pStyle w:val="3"/>
        <w:jc w:val="left"/>
      </w:pPr>
      <w:bookmarkStart w:id="58" w:name="_Toc32422"/>
      <w:r>
        <w:rPr>
          <w:rFonts w:ascii="宋体" w:hAnsi="宋体" w:eastAsia="宋体" w:cs="宋体"/>
        </w:rPr>
        <w:t>10.7 基金租用或者通过证券公司交易单元进行证券投资的相关情况</w:t>
      </w:r>
      <w:bookmarkEnd w:id="58"/>
    </w:p>
    <w:p w14:paraId="41050FD3">
      <w:pPr>
        <w:pStyle w:val="58"/>
      </w:pPr>
      <w:r>
        <w:rPr>
          <w:rFonts w:ascii="宋体" w:hAnsi="宋体" w:eastAsia="宋体" w:cs="宋体"/>
          <w:b/>
        </w:rPr>
        <w:t>10.7.1 基金租用或者通过证券公司交易单元进行股票投资及佣金支付情况</w:t>
      </w:r>
    </w:p>
    <w:p w14:paraId="42B147A2">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1116"/>
        <w:gridCol w:w="1581"/>
        <w:gridCol w:w="1437"/>
        <w:gridCol w:w="1161"/>
        <w:gridCol w:w="1437"/>
        <w:gridCol w:w="1438"/>
      </w:tblGrid>
      <w:tr w14:paraId="7E0D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32CE90BF">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6BB23E5C">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46C6E603">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3588157B">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55C2EDF2">
            <w:pPr>
              <w:spacing w:line="240" w:lineRule="auto"/>
              <w:jc w:val="center"/>
            </w:pPr>
            <w:r>
              <w:rPr>
                <w:rFonts w:ascii="宋体" w:hAnsi="宋体" w:eastAsia="宋体" w:cs="宋体"/>
                <w:b w:val="0"/>
              </w:rPr>
              <w:t>备注</w:t>
            </w:r>
          </w:p>
        </w:tc>
      </w:tr>
      <w:tr w14:paraId="1D9E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C38BBC6"/>
        </w:tc>
        <w:tc>
          <w:tcPr>
            <w:vMerge w:val="continue"/>
          </w:tcPr>
          <w:p w14:paraId="2F75F928"/>
        </w:tc>
        <w:tc>
          <w:tcPr>
            <w:tcW w:w="462" w:type="pct"/>
            <w:shd w:val="clear" w:color="auto" w:fill="D9D9D9"/>
            <w:vAlign w:val="center"/>
          </w:tcPr>
          <w:p w14:paraId="1FC15E26">
            <w:pPr>
              <w:spacing w:line="240" w:lineRule="auto"/>
              <w:jc w:val="center"/>
            </w:pPr>
            <w:r>
              <w:rPr>
                <w:rFonts w:ascii="宋体" w:hAnsi="宋体" w:eastAsia="宋体" w:cs="宋体"/>
                <w:b w:val="0"/>
              </w:rPr>
              <w:t>成交金额</w:t>
            </w:r>
          </w:p>
        </w:tc>
        <w:tc>
          <w:tcPr>
            <w:tcW w:w="769" w:type="pct"/>
            <w:shd w:val="clear" w:color="auto" w:fill="D9D9D9"/>
            <w:vAlign w:val="center"/>
          </w:tcPr>
          <w:p w14:paraId="39B2D2E2">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5C3780A5">
            <w:pPr>
              <w:spacing w:line="240" w:lineRule="auto"/>
              <w:jc w:val="center"/>
            </w:pPr>
            <w:r>
              <w:rPr>
                <w:rFonts w:ascii="宋体" w:hAnsi="宋体" w:eastAsia="宋体" w:cs="宋体"/>
                <w:b w:val="0"/>
              </w:rPr>
              <w:t>佣金</w:t>
            </w:r>
          </w:p>
        </w:tc>
        <w:tc>
          <w:tcPr>
            <w:tcW w:w="769" w:type="pct"/>
            <w:shd w:val="clear" w:color="auto" w:fill="D9D9D9"/>
            <w:vAlign w:val="center"/>
          </w:tcPr>
          <w:p w14:paraId="0245A024">
            <w:pPr>
              <w:spacing w:line="240" w:lineRule="auto"/>
              <w:jc w:val="center"/>
            </w:pPr>
            <w:r>
              <w:rPr>
                <w:rFonts w:ascii="宋体" w:hAnsi="宋体" w:eastAsia="宋体" w:cs="宋体"/>
                <w:b w:val="0"/>
              </w:rPr>
              <w:t>占当期佣金总量的比例</w:t>
            </w:r>
          </w:p>
        </w:tc>
        <w:tc>
          <w:tcPr>
            <w:vMerge w:val="continue"/>
          </w:tcPr>
          <w:p w14:paraId="57AA5CFF"/>
        </w:tc>
      </w:tr>
      <w:tr w14:paraId="1E6D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8850CA">
            <w:pPr>
              <w:spacing w:line="240" w:lineRule="auto"/>
              <w:jc w:val="left"/>
            </w:pPr>
            <w:r>
              <w:rPr>
                <w:rFonts w:ascii="宋体" w:hAnsi="宋体" w:eastAsia="宋体" w:cs="宋体"/>
                <w:b w:val="0"/>
              </w:rPr>
              <w:t>东方财富证券</w:t>
            </w:r>
          </w:p>
        </w:tc>
        <w:tc>
          <w:tcPr>
            <w:tcW w:w="0" w:type="dxa"/>
            <w:vAlign w:val="center"/>
          </w:tcPr>
          <w:p w14:paraId="7CD7970E">
            <w:pPr>
              <w:spacing w:line="240" w:lineRule="auto"/>
              <w:jc w:val="right"/>
            </w:pPr>
            <w:r>
              <w:rPr>
                <w:rFonts w:ascii="宋体" w:hAnsi="宋体" w:eastAsia="宋体" w:cs="宋体"/>
                <w:b w:val="0"/>
              </w:rPr>
              <w:t>3</w:t>
            </w:r>
          </w:p>
        </w:tc>
        <w:tc>
          <w:tcPr>
            <w:tcW w:w="0" w:type="dxa"/>
            <w:vAlign w:val="center"/>
          </w:tcPr>
          <w:p w14:paraId="0A2FAAD8">
            <w:pPr>
              <w:spacing w:line="240" w:lineRule="auto"/>
              <w:jc w:val="right"/>
            </w:pPr>
            <w:r>
              <w:rPr>
                <w:rFonts w:ascii="宋体" w:hAnsi="宋体" w:eastAsia="宋体" w:cs="宋体"/>
                <w:b w:val="0"/>
              </w:rPr>
              <w:t>34,182,255.57</w:t>
            </w:r>
          </w:p>
        </w:tc>
        <w:tc>
          <w:tcPr>
            <w:tcW w:w="0" w:type="dxa"/>
            <w:vAlign w:val="center"/>
          </w:tcPr>
          <w:p w14:paraId="1FFA26C0">
            <w:pPr>
              <w:spacing w:line="240" w:lineRule="auto"/>
              <w:jc w:val="right"/>
            </w:pPr>
            <w:r>
              <w:rPr>
                <w:rFonts w:ascii="宋体" w:hAnsi="宋体" w:eastAsia="宋体" w:cs="宋体"/>
                <w:b w:val="0"/>
              </w:rPr>
              <w:t>46.53%</w:t>
            </w:r>
          </w:p>
        </w:tc>
        <w:tc>
          <w:tcPr>
            <w:tcW w:w="0" w:type="dxa"/>
            <w:vAlign w:val="center"/>
          </w:tcPr>
          <w:p w14:paraId="1A456E48">
            <w:pPr>
              <w:spacing w:line="240" w:lineRule="auto"/>
              <w:jc w:val="right"/>
            </w:pPr>
            <w:r>
              <w:rPr>
                <w:rFonts w:ascii="宋体" w:hAnsi="宋体" w:eastAsia="宋体" w:cs="宋体"/>
                <w:b w:val="0"/>
              </w:rPr>
              <w:t>16,711.82</w:t>
            </w:r>
          </w:p>
        </w:tc>
        <w:tc>
          <w:tcPr>
            <w:tcW w:w="0" w:type="dxa"/>
            <w:vAlign w:val="center"/>
          </w:tcPr>
          <w:p w14:paraId="59BBF6C0">
            <w:pPr>
              <w:spacing w:line="240" w:lineRule="auto"/>
              <w:jc w:val="right"/>
            </w:pPr>
            <w:r>
              <w:rPr>
                <w:rFonts w:ascii="宋体" w:hAnsi="宋体" w:eastAsia="宋体" w:cs="宋体"/>
                <w:b w:val="0"/>
              </w:rPr>
              <w:t>48.62%</w:t>
            </w:r>
          </w:p>
        </w:tc>
        <w:tc>
          <w:tcPr>
            <w:tcW w:w="0" w:type="dxa"/>
            <w:vAlign w:val="center"/>
          </w:tcPr>
          <w:p w14:paraId="0CB86C3E">
            <w:pPr>
              <w:spacing w:line="240" w:lineRule="auto"/>
              <w:jc w:val="left"/>
            </w:pPr>
            <w:r>
              <w:rPr>
                <w:rFonts w:ascii="宋体" w:hAnsi="宋体" w:eastAsia="宋体" w:cs="宋体"/>
                <w:b w:val="0"/>
              </w:rPr>
              <w:t>-</w:t>
            </w:r>
          </w:p>
        </w:tc>
      </w:tr>
      <w:tr w14:paraId="32D1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69573B">
            <w:pPr>
              <w:spacing w:line="240" w:lineRule="auto"/>
              <w:jc w:val="left"/>
            </w:pPr>
            <w:r>
              <w:rPr>
                <w:rFonts w:ascii="宋体" w:hAnsi="宋体" w:eastAsia="宋体" w:cs="宋体"/>
                <w:b w:val="0"/>
              </w:rPr>
              <w:t>国泰海通证券</w:t>
            </w:r>
          </w:p>
        </w:tc>
        <w:tc>
          <w:tcPr>
            <w:tcW w:w="0" w:type="dxa"/>
            <w:vAlign w:val="center"/>
          </w:tcPr>
          <w:p w14:paraId="45E48EDE">
            <w:pPr>
              <w:spacing w:line="240" w:lineRule="auto"/>
              <w:jc w:val="right"/>
            </w:pPr>
            <w:r>
              <w:rPr>
                <w:rFonts w:ascii="宋体" w:hAnsi="宋体" w:eastAsia="宋体" w:cs="宋体"/>
                <w:b w:val="0"/>
              </w:rPr>
              <w:t>1</w:t>
            </w:r>
          </w:p>
        </w:tc>
        <w:tc>
          <w:tcPr>
            <w:tcW w:w="0" w:type="dxa"/>
            <w:vAlign w:val="center"/>
          </w:tcPr>
          <w:p w14:paraId="560B035A">
            <w:pPr>
              <w:spacing w:line="240" w:lineRule="auto"/>
              <w:jc w:val="right"/>
            </w:pPr>
            <w:r>
              <w:rPr>
                <w:rFonts w:ascii="宋体" w:hAnsi="宋体" w:eastAsia="宋体" w:cs="宋体"/>
                <w:b w:val="0"/>
              </w:rPr>
              <w:t>19,259,564.85</w:t>
            </w:r>
          </w:p>
        </w:tc>
        <w:tc>
          <w:tcPr>
            <w:tcW w:w="0" w:type="dxa"/>
            <w:vAlign w:val="center"/>
          </w:tcPr>
          <w:p w14:paraId="1194B2C9">
            <w:pPr>
              <w:spacing w:line="240" w:lineRule="auto"/>
              <w:jc w:val="right"/>
            </w:pPr>
            <w:r>
              <w:rPr>
                <w:rFonts w:ascii="宋体" w:hAnsi="宋体" w:eastAsia="宋体" w:cs="宋体"/>
                <w:b w:val="0"/>
              </w:rPr>
              <w:t>26.22%</w:t>
            </w:r>
          </w:p>
        </w:tc>
        <w:tc>
          <w:tcPr>
            <w:tcW w:w="0" w:type="dxa"/>
            <w:vAlign w:val="center"/>
          </w:tcPr>
          <w:p w14:paraId="6C00813F">
            <w:pPr>
              <w:spacing w:line="240" w:lineRule="auto"/>
              <w:jc w:val="right"/>
            </w:pPr>
            <w:r>
              <w:rPr>
                <w:rFonts w:ascii="宋体" w:hAnsi="宋体" w:eastAsia="宋体" w:cs="宋体"/>
                <w:b w:val="0"/>
              </w:rPr>
              <w:t>8,546.21</w:t>
            </w:r>
          </w:p>
        </w:tc>
        <w:tc>
          <w:tcPr>
            <w:tcW w:w="0" w:type="dxa"/>
            <w:vAlign w:val="center"/>
          </w:tcPr>
          <w:p w14:paraId="2E53ED86">
            <w:pPr>
              <w:spacing w:line="240" w:lineRule="auto"/>
              <w:jc w:val="right"/>
            </w:pPr>
            <w:r>
              <w:rPr>
                <w:rFonts w:ascii="宋体" w:hAnsi="宋体" w:eastAsia="宋体" w:cs="宋体"/>
                <w:b w:val="0"/>
              </w:rPr>
              <w:t>24.86%</w:t>
            </w:r>
          </w:p>
        </w:tc>
        <w:tc>
          <w:tcPr>
            <w:tcW w:w="0" w:type="dxa"/>
            <w:vAlign w:val="center"/>
          </w:tcPr>
          <w:p w14:paraId="5EC4E801">
            <w:pPr>
              <w:spacing w:line="240" w:lineRule="auto"/>
              <w:jc w:val="left"/>
            </w:pPr>
            <w:r>
              <w:rPr>
                <w:rFonts w:ascii="宋体" w:hAnsi="宋体" w:eastAsia="宋体" w:cs="宋体"/>
                <w:b w:val="0"/>
              </w:rPr>
              <w:t>-</w:t>
            </w:r>
          </w:p>
        </w:tc>
      </w:tr>
      <w:tr w14:paraId="1F7E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48B3C4">
            <w:pPr>
              <w:spacing w:line="240" w:lineRule="auto"/>
              <w:jc w:val="left"/>
            </w:pPr>
            <w:r>
              <w:rPr>
                <w:rFonts w:ascii="宋体" w:hAnsi="宋体" w:eastAsia="宋体" w:cs="宋体"/>
                <w:b w:val="0"/>
              </w:rPr>
              <w:t>国联民生证券</w:t>
            </w:r>
          </w:p>
        </w:tc>
        <w:tc>
          <w:tcPr>
            <w:tcW w:w="0" w:type="dxa"/>
            <w:vAlign w:val="center"/>
          </w:tcPr>
          <w:p w14:paraId="1FC9F0A1">
            <w:pPr>
              <w:spacing w:line="240" w:lineRule="auto"/>
              <w:jc w:val="right"/>
            </w:pPr>
            <w:r>
              <w:rPr>
                <w:rFonts w:ascii="宋体" w:hAnsi="宋体" w:eastAsia="宋体" w:cs="宋体"/>
                <w:b w:val="0"/>
              </w:rPr>
              <w:t>3</w:t>
            </w:r>
          </w:p>
        </w:tc>
        <w:tc>
          <w:tcPr>
            <w:tcW w:w="0" w:type="dxa"/>
            <w:vAlign w:val="center"/>
          </w:tcPr>
          <w:p w14:paraId="4AA5B660">
            <w:pPr>
              <w:spacing w:line="240" w:lineRule="auto"/>
              <w:jc w:val="right"/>
            </w:pPr>
            <w:r>
              <w:rPr>
                <w:rFonts w:ascii="宋体" w:hAnsi="宋体" w:eastAsia="宋体" w:cs="宋体"/>
                <w:b w:val="0"/>
              </w:rPr>
              <w:t>13,146,275.98</w:t>
            </w:r>
          </w:p>
        </w:tc>
        <w:tc>
          <w:tcPr>
            <w:tcW w:w="0" w:type="dxa"/>
            <w:vAlign w:val="center"/>
          </w:tcPr>
          <w:p w14:paraId="78020D36">
            <w:pPr>
              <w:spacing w:line="240" w:lineRule="auto"/>
              <w:jc w:val="right"/>
            </w:pPr>
            <w:r>
              <w:rPr>
                <w:rFonts w:ascii="宋体" w:hAnsi="宋体" w:eastAsia="宋体" w:cs="宋体"/>
                <w:b w:val="0"/>
              </w:rPr>
              <w:t>17.89%</w:t>
            </w:r>
          </w:p>
        </w:tc>
        <w:tc>
          <w:tcPr>
            <w:tcW w:w="0" w:type="dxa"/>
            <w:vAlign w:val="center"/>
          </w:tcPr>
          <w:p w14:paraId="79FB4448">
            <w:pPr>
              <w:spacing w:line="240" w:lineRule="auto"/>
              <w:jc w:val="right"/>
            </w:pPr>
            <w:r>
              <w:rPr>
                <w:rFonts w:ascii="宋体" w:hAnsi="宋体" w:eastAsia="宋体" w:cs="宋体"/>
                <w:b w:val="0"/>
              </w:rPr>
              <w:t>6,233.07</w:t>
            </w:r>
          </w:p>
        </w:tc>
        <w:tc>
          <w:tcPr>
            <w:tcW w:w="0" w:type="dxa"/>
            <w:vAlign w:val="center"/>
          </w:tcPr>
          <w:p w14:paraId="16CC3B83">
            <w:pPr>
              <w:spacing w:line="240" w:lineRule="auto"/>
              <w:jc w:val="right"/>
            </w:pPr>
            <w:r>
              <w:rPr>
                <w:rFonts w:ascii="宋体" w:hAnsi="宋体" w:eastAsia="宋体" w:cs="宋体"/>
                <w:b w:val="0"/>
              </w:rPr>
              <w:t>18.13%</w:t>
            </w:r>
          </w:p>
        </w:tc>
        <w:tc>
          <w:tcPr>
            <w:tcW w:w="0" w:type="dxa"/>
            <w:vAlign w:val="center"/>
          </w:tcPr>
          <w:p w14:paraId="57452C4B">
            <w:pPr>
              <w:spacing w:line="240" w:lineRule="auto"/>
              <w:jc w:val="left"/>
            </w:pPr>
            <w:r>
              <w:rPr>
                <w:rFonts w:ascii="宋体" w:hAnsi="宋体" w:eastAsia="宋体" w:cs="宋体"/>
                <w:b w:val="0"/>
              </w:rPr>
              <w:t>-</w:t>
            </w:r>
          </w:p>
        </w:tc>
      </w:tr>
      <w:tr w14:paraId="2C7A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AFD911">
            <w:pPr>
              <w:spacing w:line="240" w:lineRule="auto"/>
              <w:jc w:val="left"/>
            </w:pPr>
            <w:r>
              <w:rPr>
                <w:rFonts w:ascii="宋体" w:hAnsi="宋体" w:eastAsia="宋体" w:cs="宋体"/>
                <w:b w:val="0"/>
              </w:rPr>
              <w:t>国投证券</w:t>
            </w:r>
          </w:p>
        </w:tc>
        <w:tc>
          <w:tcPr>
            <w:tcW w:w="0" w:type="dxa"/>
            <w:vAlign w:val="center"/>
          </w:tcPr>
          <w:p w14:paraId="3A633295">
            <w:pPr>
              <w:spacing w:line="240" w:lineRule="auto"/>
              <w:jc w:val="right"/>
            </w:pPr>
            <w:r>
              <w:rPr>
                <w:rFonts w:ascii="宋体" w:hAnsi="宋体" w:eastAsia="宋体" w:cs="宋体"/>
                <w:b w:val="0"/>
              </w:rPr>
              <w:t>3</w:t>
            </w:r>
          </w:p>
        </w:tc>
        <w:tc>
          <w:tcPr>
            <w:tcW w:w="0" w:type="dxa"/>
            <w:vAlign w:val="center"/>
          </w:tcPr>
          <w:p w14:paraId="5B6A61F7">
            <w:pPr>
              <w:spacing w:line="240" w:lineRule="auto"/>
              <w:jc w:val="right"/>
            </w:pPr>
            <w:r>
              <w:rPr>
                <w:rFonts w:ascii="宋体" w:hAnsi="宋体" w:eastAsia="宋体" w:cs="宋体"/>
                <w:b w:val="0"/>
              </w:rPr>
              <w:t>6,875,394.21</w:t>
            </w:r>
          </w:p>
        </w:tc>
        <w:tc>
          <w:tcPr>
            <w:tcW w:w="0" w:type="dxa"/>
            <w:vAlign w:val="center"/>
          </w:tcPr>
          <w:p w14:paraId="62C1CF07">
            <w:pPr>
              <w:spacing w:line="240" w:lineRule="auto"/>
              <w:jc w:val="right"/>
            </w:pPr>
            <w:r>
              <w:rPr>
                <w:rFonts w:ascii="宋体" w:hAnsi="宋体" w:eastAsia="宋体" w:cs="宋体"/>
                <w:b w:val="0"/>
              </w:rPr>
              <w:t>9.36%</w:t>
            </w:r>
          </w:p>
        </w:tc>
        <w:tc>
          <w:tcPr>
            <w:tcW w:w="0" w:type="dxa"/>
            <w:vAlign w:val="center"/>
          </w:tcPr>
          <w:p w14:paraId="6D0463EB">
            <w:pPr>
              <w:spacing w:line="240" w:lineRule="auto"/>
              <w:jc w:val="right"/>
            </w:pPr>
            <w:r>
              <w:rPr>
                <w:rFonts w:ascii="宋体" w:hAnsi="宋体" w:eastAsia="宋体" w:cs="宋体"/>
                <w:b w:val="0"/>
              </w:rPr>
              <w:t>2,882.49</w:t>
            </w:r>
          </w:p>
        </w:tc>
        <w:tc>
          <w:tcPr>
            <w:tcW w:w="0" w:type="dxa"/>
            <w:vAlign w:val="center"/>
          </w:tcPr>
          <w:p w14:paraId="3DA4E33A">
            <w:pPr>
              <w:spacing w:line="240" w:lineRule="auto"/>
              <w:jc w:val="right"/>
            </w:pPr>
            <w:r>
              <w:rPr>
                <w:rFonts w:ascii="宋体" w:hAnsi="宋体" w:eastAsia="宋体" w:cs="宋体"/>
                <w:b w:val="0"/>
              </w:rPr>
              <w:t>8.39%</w:t>
            </w:r>
          </w:p>
        </w:tc>
        <w:tc>
          <w:tcPr>
            <w:tcW w:w="0" w:type="dxa"/>
            <w:vAlign w:val="center"/>
          </w:tcPr>
          <w:p w14:paraId="191C1597">
            <w:pPr>
              <w:spacing w:line="240" w:lineRule="auto"/>
              <w:jc w:val="left"/>
            </w:pPr>
            <w:r>
              <w:rPr>
                <w:rFonts w:ascii="宋体" w:hAnsi="宋体" w:eastAsia="宋体" w:cs="宋体"/>
                <w:b w:val="0"/>
              </w:rPr>
              <w:t>-</w:t>
            </w:r>
          </w:p>
        </w:tc>
      </w:tr>
    </w:tbl>
    <w:p w14:paraId="12E94A92">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 xml:space="preserve">（1）本基金报告期内新增租用交易单元情况：无。 </w:t>
      </w:r>
      <w:r>
        <w:rPr>
          <w:rFonts w:ascii="宋体" w:hAnsi="宋体" w:eastAsia="宋体" w:cs="宋体"/>
          <w:b w:val="0"/>
        </w:rPr>
        <w:br w:type="textWrapping"/>
      </w:r>
      <w:r>
        <w:rPr>
          <w:rFonts w:ascii="宋体" w:hAnsi="宋体" w:eastAsia="宋体" w:cs="宋体"/>
          <w:b w:val="0"/>
        </w:rPr>
        <w:t>（2）本基金报告期内停止租用交易单元情况：停止渤海证券深圳交易单元1个。</w:t>
      </w:r>
    </w:p>
    <w:p w14:paraId="44ECEB61"/>
    <w:p w14:paraId="3A439131">
      <w:pPr>
        <w:pStyle w:val="58"/>
      </w:pPr>
      <w:r>
        <w:rPr>
          <w:rFonts w:ascii="宋体" w:hAnsi="宋体" w:eastAsia="宋体" w:cs="宋体"/>
          <w:b/>
        </w:rPr>
        <w:t>10.7.2 基金租用或者通过证券公司交易单元进行其他证券投资的情况</w:t>
      </w:r>
    </w:p>
    <w:p w14:paraId="370F5E2E">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476"/>
        <w:gridCol w:w="951"/>
        <w:gridCol w:w="1476"/>
        <w:gridCol w:w="951"/>
        <w:gridCol w:w="691"/>
        <w:gridCol w:w="865"/>
        <w:gridCol w:w="863"/>
        <w:gridCol w:w="865"/>
      </w:tblGrid>
      <w:tr w14:paraId="7D96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74C6444D">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247421D8">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439E3388">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7AAC16AD">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1284B8A5">
            <w:pPr>
              <w:spacing w:line="240" w:lineRule="auto"/>
              <w:jc w:val="center"/>
            </w:pPr>
            <w:r>
              <w:rPr>
                <w:rFonts w:ascii="宋体" w:hAnsi="宋体" w:eastAsia="宋体" w:cs="宋体"/>
                <w:b w:val="0"/>
              </w:rPr>
              <w:t>基金交易</w:t>
            </w:r>
          </w:p>
        </w:tc>
      </w:tr>
      <w:tr w14:paraId="668A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F090222"/>
        </w:tc>
        <w:tc>
          <w:tcPr>
            <w:tcW w:w="538" w:type="pct"/>
            <w:shd w:val="clear" w:color="auto" w:fill="D9D9D9"/>
            <w:vAlign w:val="center"/>
          </w:tcPr>
          <w:p w14:paraId="72F08C11">
            <w:pPr>
              <w:spacing w:line="240" w:lineRule="auto"/>
              <w:jc w:val="center"/>
            </w:pPr>
            <w:r>
              <w:rPr>
                <w:rFonts w:ascii="宋体" w:hAnsi="宋体" w:eastAsia="宋体" w:cs="宋体"/>
                <w:b w:val="0"/>
              </w:rPr>
              <w:t>成交金额</w:t>
            </w:r>
          </w:p>
        </w:tc>
        <w:tc>
          <w:tcPr>
            <w:tcW w:w="538" w:type="pct"/>
            <w:shd w:val="clear" w:color="auto" w:fill="D9D9D9"/>
            <w:vAlign w:val="center"/>
          </w:tcPr>
          <w:p w14:paraId="67C20715">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14F3B6AE">
            <w:pPr>
              <w:spacing w:line="240" w:lineRule="auto"/>
              <w:jc w:val="center"/>
            </w:pPr>
            <w:r>
              <w:rPr>
                <w:rFonts w:ascii="宋体" w:hAnsi="宋体" w:eastAsia="宋体" w:cs="宋体"/>
                <w:b w:val="0"/>
              </w:rPr>
              <w:t>成交金额</w:t>
            </w:r>
          </w:p>
        </w:tc>
        <w:tc>
          <w:tcPr>
            <w:tcW w:w="538" w:type="pct"/>
            <w:shd w:val="clear" w:color="auto" w:fill="D9D9D9"/>
            <w:vAlign w:val="center"/>
          </w:tcPr>
          <w:p w14:paraId="59E1150A">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4BF8ADFF">
            <w:pPr>
              <w:spacing w:line="240" w:lineRule="auto"/>
              <w:jc w:val="center"/>
            </w:pPr>
            <w:r>
              <w:rPr>
                <w:rFonts w:ascii="宋体" w:hAnsi="宋体" w:eastAsia="宋体" w:cs="宋体"/>
                <w:b w:val="0"/>
              </w:rPr>
              <w:t>成交金额</w:t>
            </w:r>
          </w:p>
        </w:tc>
        <w:tc>
          <w:tcPr>
            <w:tcW w:w="538" w:type="pct"/>
            <w:shd w:val="clear" w:color="auto" w:fill="D9D9D9"/>
            <w:vAlign w:val="center"/>
          </w:tcPr>
          <w:p w14:paraId="58A800F8">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467E0B1C">
            <w:pPr>
              <w:spacing w:line="240" w:lineRule="auto"/>
              <w:jc w:val="center"/>
            </w:pPr>
            <w:r>
              <w:rPr>
                <w:rFonts w:ascii="宋体" w:hAnsi="宋体" w:eastAsia="宋体" w:cs="宋体"/>
                <w:b w:val="0"/>
              </w:rPr>
              <w:t>成交金额</w:t>
            </w:r>
          </w:p>
        </w:tc>
        <w:tc>
          <w:tcPr>
            <w:tcW w:w="538" w:type="pct"/>
            <w:shd w:val="clear" w:color="auto" w:fill="D9D9D9"/>
            <w:vAlign w:val="center"/>
          </w:tcPr>
          <w:p w14:paraId="1F9AE69F">
            <w:pPr>
              <w:spacing w:line="240" w:lineRule="auto"/>
              <w:jc w:val="center"/>
            </w:pPr>
            <w:r>
              <w:rPr>
                <w:rFonts w:ascii="宋体" w:hAnsi="宋体" w:eastAsia="宋体" w:cs="宋体"/>
                <w:b w:val="0"/>
              </w:rPr>
              <w:t>占当期基金成交总额的比例</w:t>
            </w:r>
          </w:p>
        </w:tc>
      </w:tr>
      <w:tr w14:paraId="33A9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4020031D">
            <w:pPr>
              <w:spacing w:line="240" w:lineRule="auto"/>
              <w:jc w:val="left"/>
            </w:pPr>
            <w:r>
              <w:rPr>
                <w:rFonts w:ascii="宋体" w:hAnsi="宋体" w:eastAsia="宋体" w:cs="宋体"/>
                <w:b w:val="0"/>
              </w:rPr>
              <w:t>东方财富证券</w:t>
            </w:r>
          </w:p>
        </w:tc>
        <w:tc>
          <w:tcPr>
            <w:tcW w:w="538" w:type="pct"/>
            <w:vAlign w:val="center"/>
          </w:tcPr>
          <w:p w14:paraId="41F68A76">
            <w:pPr>
              <w:spacing w:line="240" w:lineRule="auto"/>
              <w:jc w:val="right"/>
            </w:pPr>
            <w:r>
              <w:rPr>
                <w:rFonts w:ascii="宋体" w:hAnsi="宋体" w:eastAsia="宋体" w:cs="宋体"/>
                <w:b w:val="0"/>
              </w:rPr>
              <w:t>7,685,428.30</w:t>
            </w:r>
          </w:p>
        </w:tc>
        <w:tc>
          <w:tcPr>
            <w:tcW w:w="538" w:type="pct"/>
            <w:vAlign w:val="center"/>
          </w:tcPr>
          <w:p w14:paraId="5A3137D0">
            <w:pPr>
              <w:spacing w:line="240" w:lineRule="auto"/>
              <w:jc w:val="right"/>
            </w:pPr>
            <w:r>
              <w:rPr>
                <w:rFonts w:ascii="宋体" w:hAnsi="宋体" w:eastAsia="宋体" w:cs="宋体"/>
                <w:b w:val="0"/>
              </w:rPr>
              <w:t>100.00%</w:t>
            </w:r>
          </w:p>
        </w:tc>
        <w:tc>
          <w:tcPr>
            <w:tcW w:w="538" w:type="pct"/>
            <w:vAlign w:val="center"/>
          </w:tcPr>
          <w:p w14:paraId="6BD214F0">
            <w:pPr>
              <w:spacing w:line="240" w:lineRule="auto"/>
              <w:jc w:val="right"/>
            </w:pPr>
            <w:r>
              <w:rPr>
                <w:rFonts w:ascii="宋体" w:hAnsi="宋体" w:eastAsia="宋体" w:cs="宋体"/>
                <w:b w:val="0"/>
              </w:rPr>
              <w:t>9,700,000.00</w:t>
            </w:r>
          </w:p>
        </w:tc>
        <w:tc>
          <w:tcPr>
            <w:tcW w:w="538" w:type="pct"/>
            <w:vAlign w:val="center"/>
          </w:tcPr>
          <w:p w14:paraId="2AA00A6A">
            <w:pPr>
              <w:spacing w:line="240" w:lineRule="auto"/>
              <w:jc w:val="right"/>
            </w:pPr>
            <w:r>
              <w:rPr>
                <w:rFonts w:ascii="宋体" w:hAnsi="宋体" w:eastAsia="宋体" w:cs="宋体"/>
                <w:b w:val="0"/>
              </w:rPr>
              <w:t>100.00%</w:t>
            </w:r>
          </w:p>
        </w:tc>
        <w:tc>
          <w:tcPr>
            <w:tcW w:w="538" w:type="pct"/>
            <w:vAlign w:val="center"/>
          </w:tcPr>
          <w:p w14:paraId="07210521">
            <w:pPr>
              <w:spacing w:line="240" w:lineRule="auto"/>
              <w:jc w:val="right"/>
            </w:pPr>
            <w:r>
              <w:rPr>
                <w:rFonts w:ascii="宋体" w:hAnsi="宋体" w:eastAsia="宋体" w:cs="宋体"/>
                <w:b w:val="0"/>
              </w:rPr>
              <w:t>-</w:t>
            </w:r>
          </w:p>
        </w:tc>
        <w:tc>
          <w:tcPr>
            <w:tcW w:w="538" w:type="pct"/>
            <w:vAlign w:val="center"/>
          </w:tcPr>
          <w:p w14:paraId="70E80DB1">
            <w:pPr>
              <w:spacing w:line="240" w:lineRule="auto"/>
              <w:jc w:val="right"/>
            </w:pPr>
            <w:r>
              <w:rPr>
                <w:rFonts w:ascii="宋体" w:hAnsi="宋体" w:eastAsia="宋体" w:cs="宋体"/>
                <w:b w:val="0"/>
              </w:rPr>
              <w:t>-</w:t>
            </w:r>
          </w:p>
        </w:tc>
        <w:tc>
          <w:tcPr>
            <w:tcW w:w="538" w:type="pct"/>
            <w:vAlign w:val="center"/>
          </w:tcPr>
          <w:p w14:paraId="4F3E6447">
            <w:pPr>
              <w:spacing w:line="240" w:lineRule="auto"/>
              <w:jc w:val="right"/>
            </w:pPr>
            <w:r>
              <w:rPr>
                <w:rFonts w:ascii="宋体" w:hAnsi="宋体" w:eastAsia="宋体" w:cs="宋体"/>
                <w:b w:val="0"/>
              </w:rPr>
              <w:t>-</w:t>
            </w:r>
          </w:p>
        </w:tc>
        <w:tc>
          <w:tcPr>
            <w:tcW w:w="538" w:type="pct"/>
            <w:vAlign w:val="center"/>
          </w:tcPr>
          <w:p w14:paraId="21BB9F4B">
            <w:pPr>
              <w:spacing w:line="240" w:lineRule="auto"/>
              <w:jc w:val="right"/>
            </w:pPr>
            <w:r>
              <w:rPr>
                <w:rFonts w:ascii="宋体" w:hAnsi="宋体" w:eastAsia="宋体" w:cs="宋体"/>
                <w:b w:val="0"/>
              </w:rPr>
              <w:t>-</w:t>
            </w:r>
          </w:p>
        </w:tc>
      </w:tr>
      <w:tr w14:paraId="3B3E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28B1561A">
            <w:pPr>
              <w:spacing w:line="240" w:lineRule="auto"/>
              <w:jc w:val="left"/>
            </w:pPr>
            <w:r>
              <w:rPr>
                <w:rFonts w:ascii="宋体" w:hAnsi="宋体" w:eastAsia="宋体" w:cs="宋体"/>
                <w:b w:val="0"/>
              </w:rPr>
              <w:t>国泰海通证券</w:t>
            </w:r>
          </w:p>
        </w:tc>
        <w:tc>
          <w:tcPr>
            <w:tcW w:w="538" w:type="pct"/>
            <w:vAlign w:val="center"/>
          </w:tcPr>
          <w:p w14:paraId="6D4F23D3">
            <w:pPr>
              <w:spacing w:line="240" w:lineRule="auto"/>
              <w:jc w:val="right"/>
            </w:pPr>
            <w:r>
              <w:rPr>
                <w:rFonts w:ascii="宋体" w:hAnsi="宋体" w:eastAsia="宋体" w:cs="宋体"/>
                <w:b w:val="0"/>
              </w:rPr>
              <w:t>-</w:t>
            </w:r>
          </w:p>
        </w:tc>
        <w:tc>
          <w:tcPr>
            <w:tcW w:w="538" w:type="pct"/>
            <w:vAlign w:val="center"/>
          </w:tcPr>
          <w:p w14:paraId="0C72BD0D">
            <w:pPr>
              <w:spacing w:line="240" w:lineRule="auto"/>
              <w:jc w:val="right"/>
            </w:pPr>
            <w:r>
              <w:rPr>
                <w:rFonts w:ascii="宋体" w:hAnsi="宋体" w:eastAsia="宋体" w:cs="宋体"/>
                <w:b w:val="0"/>
              </w:rPr>
              <w:t>-</w:t>
            </w:r>
          </w:p>
        </w:tc>
        <w:tc>
          <w:tcPr>
            <w:tcW w:w="538" w:type="pct"/>
            <w:vAlign w:val="center"/>
          </w:tcPr>
          <w:p w14:paraId="4AE5E893">
            <w:pPr>
              <w:spacing w:line="240" w:lineRule="auto"/>
              <w:jc w:val="right"/>
            </w:pPr>
            <w:r>
              <w:rPr>
                <w:rFonts w:ascii="宋体" w:hAnsi="宋体" w:eastAsia="宋体" w:cs="宋体"/>
                <w:b w:val="0"/>
              </w:rPr>
              <w:t>-</w:t>
            </w:r>
          </w:p>
        </w:tc>
        <w:tc>
          <w:tcPr>
            <w:tcW w:w="538" w:type="pct"/>
            <w:vAlign w:val="center"/>
          </w:tcPr>
          <w:p w14:paraId="6AC96676">
            <w:pPr>
              <w:spacing w:line="240" w:lineRule="auto"/>
              <w:jc w:val="right"/>
            </w:pPr>
            <w:r>
              <w:rPr>
                <w:rFonts w:ascii="宋体" w:hAnsi="宋体" w:eastAsia="宋体" w:cs="宋体"/>
                <w:b w:val="0"/>
              </w:rPr>
              <w:t>-</w:t>
            </w:r>
          </w:p>
        </w:tc>
        <w:tc>
          <w:tcPr>
            <w:tcW w:w="538" w:type="pct"/>
            <w:vAlign w:val="center"/>
          </w:tcPr>
          <w:p w14:paraId="3DF8ADD7">
            <w:pPr>
              <w:spacing w:line="240" w:lineRule="auto"/>
              <w:jc w:val="right"/>
            </w:pPr>
            <w:r>
              <w:rPr>
                <w:rFonts w:ascii="宋体" w:hAnsi="宋体" w:eastAsia="宋体" w:cs="宋体"/>
                <w:b w:val="0"/>
              </w:rPr>
              <w:t>-</w:t>
            </w:r>
          </w:p>
        </w:tc>
        <w:tc>
          <w:tcPr>
            <w:tcW w:w="538" w:type="pct"/>
            <w:vAlign w:val="center"/>
          </w:tcPr>
          <w:p w14:paraId="618F096F">
            <w:pPr>
              <w:spacing w:line="240" w:lineRule="auto"/>
              <w:jc w:val="right"/>
            </w:pPr>
            <w:r>
              <w:rPr>
                <w:rFonts w:ascii="宋体" w:hAnsi="宋体" w:eastAsia="宋体" w:cs="宋体"/>
                <w:b w:val="0"/>
              </w:rPr>
              <w:t>-</w:t>
            </w:r>
          </w:p>
        </w:tc>
        <w:tc>
          <w:tcPr>
            <w:tcW w:w="538" w:type="pct"/>
            <w:vAlign w:val="center"/>
          </w:tcPr>
          <w:p w14:paraId="44A681C0">
            <w:pPr>
              <w:spacing w:line="240" w:lineRule="auto"/>
              <w:jc w:val="right"/>
            </w:pPr>
            <w:r>
              <w:rPr>
                <w:rFonts w:ascii="宋体" w:hAnsi="宋体" w:eastAsia="宋体" w:cs="宋体"/>
                <w:b w:val="0"/>
              </w:rPr>
              <w:t>-</w:t>
            </w:r>
          </w:p>
        </w:tc>
        <w:tc>
          <w:tcPr>
            <w:tcW w:w="538" w:type="pct"/>
            <w:vAlign w:val="center"/>
          </w:tcPr>
          <w:p w14:paraId="4F6F8FD2">
            <w:pPr>
              <w:spacing w:line="240" w:lineRule="auto"/>
              <w:jc w:val="right"/>
            </w:pPr>
            <w:r>
              <w:rPr>
                <w:rFonts w:ascii="宋体" w:hAnsi="宋体" w:eastAsia="宋体" w:cs="宋体"/>
                <w:b w:val="0"/>
              </w:rPr>
              <w:t>-</w:t>
            </w:r>
          </w:p>
        </w:tc>
      </w:tr>
      <w:tr w14:paraId="714B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1C79EBBF">
            <w:pPr>
              <w:spacing w:line="240" w:lineRule="auto"/>
              <w:jc w:val="left"/>
            </w:pPr>
            <w:r>
              <w:rPr>
                <w:rFonts w:ascii="宋体" w:hAnsi="宋体" w:eastAsia="宋体" w:cs="宋体"/>
                <w:b w:val="0"/>
              </w:rPr>
              <w:t>国联民生证券</w:t>
            </w:r>
          </w:p>
        </w:tc>
        <w:tc>
          <w:tcPr>
            <w:tcW w:w="538" w:type="pct"/>
            <w:vAlign w:val="center"/>
          </w:tcPr>
          <w:p w14:paraId="467E4BC7">
            <w:pPr>
              <w:spacing w:line="240" w:lineRule="auto"/>
              <w:jc w:val="right"/>
            </w:pPr>
            <w:r>
              <w:rPr>
                <w:rFonts w:ascii="宋体" w:hAnsi="宋体" w:eastAsia="宋体" w:cs="宋体"/>
                <w:b w:val="0"/>
              </w:rPr>
              <w:t>-</w:t>
            </w:r>
          </w:p>
        </w:tc>
        <w:tc>
          <w:tcPr>
            <w:tcW w:w="538" w:type="pct"/>
            <w:vAlign w:val="center"/>
          </w:tcPr>
          <w:p w14:paraId="10F82EF5">
            <w:pPr>
              <w:spacing w:line="240" w:lineRule="auto"/>
              <w:jc w:val="right"/>
            </w:pPr>
            <w:r>
              <w:rPr>
                <w:rFonts w:ascii="宋体" w:hAnsi="宋体" w:eastAsia="宋体" w:cs="宋体"/>
                <w:b w:val="0"/>
              </w:rPr>
              <w:t>-</w:t>
            </w:r>
          </w:p>
        </w:tc>
        <w:tc>
          <w:tcPr>
            <w:tcW w:w="538" w:type="pct"/>
            <w:vAlign w:val="center"/>
          </w:tcPr>
          <w:p w14:paraId="2A2A4763">
            <w:pPr>
              <w:spacing w:line="240" w:lineRule="auto"/>
              <w:jc w:val="right"/>
            </w:pPr>
            <w:r>
              <w:rPr>
                <w:rFonts w:ascii="宋体" w:hAnsi="宋体" w:eastAsia="宋体" w:cs="宋体"/>
                <w:b w:val="0"/>
              </w:rPr>
              <w:t>-</w:t>
            </w:r>
          </w:p>
        </w:tc>
        <w:tc>
          <w:tcPr>
            <w:tcW w:w="538" w:type="pct"/>
            <w:vAlign w:val="center"/>
          </w:tcPr>
          <w:p w14:paraId="3C547E71">
            <w:pPr>
              <w:spacing w:line="240" w:lineRule="auto"/>
              <w:jc w:val="right"/>
            </w:pPr>
            <w:r>
              <w:rPr>
                <w:rFonts w:ascii="宋体" w:hAnsi="宋体" w:eastAsia="宋体" w:cs="宋体"/>
                <w:b w:val="0"/>
              </w:rPr>
              <w:t>-</w:t>
            </w:r>
          </w:p>
        </w:tc>
        <w:tc>
          <w:tcPr>
            <w:tcW w:w="538" w:type="pct"/>
            <w:vAlign w:val="center"/>
          </w:tcPr>
          <w:p w14:paraId="65152BF5">
            <w:pPr>
              <w:spacing w:line="240" w:lineRule="auto"/>
              <w:jc w:val="right"/>
            </w:pPr>
            <w:r>
              <w:rPr>
                <w:rFonts w:ascii="宋体" w:hAnsi="宋体" w:eastAsia="宋体" w:cs="宋体"/>
                <w:b w:val="0"/>
              </w:rPr>
              <w:t>-</w:t>
            </w:r>
          </w:p>
        </w:tc>
        <w:tc>
          <w:tcPr>
            <w:tcW w:w="538" w:type="pct"/>
            <w:vAlign w:val="center"/>
          </w:tcPr>
          <w:p w14:paraId="13ADAB87">
            <w:pPr>
              <w:spacing w:line="240" w:lineRule="auto"/>
              <w:jc w:val="right"/>
            </w:pPr>
            <w:r>
              <w:rPr>
                <w:rFonts w:ascii="宋体" w:hAnsi="宋体" w:eastAsia="宋体" w:cs="宋体"/>
                <w:b w:val="0"/>
              </w:rPr>
              <w:t>-</w:t>
            </w:r>
          </w:p>
        </w:tc>
        <w:tc>
          <w:tcPr>
            <w:tcW w:w="538" w:type="pct"/>
            <w:vAlign w:val="center"/>
          </w:tcPr>
          <w:p w14:paraId="7D5DCB23">
            <w:pPr>
              <w:spacing w:line="240" w:lineRule="auto"/>
              <w:jc w:val="right"/>
            </w:pPr>
            <w:r>
              <w:rPr>
                <w:rFonts w:ascii="宋体" w:hAnsi="宋体" w:eastAsia="宋体" w:cs="宋体"/>
                <w:b w:val="0"/>
              </w:rPr>
              <w:t>-</w:t>
            </w:r>
          </w:p>
        </w:tc>
        <w:tc>
          <w:tcPr>
            <w:tcW w:w="538" w:type="pct"/>
            <w:vAlign w:val="center"/>
          </w:tcPr>
          <w:p w14:paraId="7373C01C">
            <w:pPr>
              <w:spacing w:line="240" w:lineRule="auto"/>
              <w:jc w:val="right"/>
            </w:pPr>
            <w:r>
              <w:rPr>
                <w:rFonts w:ascii="宋体" w:hAnsi="宋体" w:eastAsia="宋体" w:cs="宋体"/>
                <w:b w:val="0"/>
              </w:rPr>
              <w:t>-</w:t>
            </w:r>
          </w:p>
        </w:tc>
      </w:tr>
      <w:tr w14:paraId="6A3B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68A041C0">
            <w:pPr>
              <w:spacing w:line="240" w:lineRule="auto"/>
              <w:jc w:val="left"/>
            </w:pPr>
            <w:r>
              <w:rPr>
                <w:rFonts w:ascii="宋体" w:hAnsi="宋体" w:eastAsia="宋体" w:cs="宋体"/>
                <w:b w:val="0"/>
              </w:rPr>
              <w:t>国投证券</w:t>
            </w:r>
          </w:p>
        </w:tc>
        <w:tc>
          <w:tcPr>
            <w:tcW w:w="538" w:type="pct"/>
            <w:vAlign w:val="center"/>
          </w:tcPr>
          <w:p w14:paraId="38E62F3E">
            <w:pPr>
              <w:spacing w:line="240" w:lineRule="auto"/>
              <w:jc w:val="right"/>
            </w:pPr>
            <w:r>
              <w:rPr>
                <w:rFonts w:ascii="宋体" w:hAnsi="宋体" w:eastAsia="宋体" w:cs="宋体"/>
                <w:b w:val="0"/>
              </w:rPr>
              <w:t>-</w:t>
            </w:r>
          </w:p>
        </w:tc>
        <w:tc>
          <w:tcPr>
            <w:tcW w:w="538" w:type="pct"/>
            <w:vAlign w:val="center"/>
          </w:tcPr>
          <w:p w14:paraId="3B27441E">
            <w:pPr>
              <w:spacing w:line="240" w:lineRule="auto"/>
              <w:jc w:val="right"/>
            </w:pPr>
            <w:r>
              <w:rPr>
                <w:rFonts w:ascii="宋体" w:hAnsi="宋体" w:eastAsia="宋体" w:cs="宋体"/>
                <w:b w:val="0"/>
              </w:rPr>
              <w:t>-</w:t>
            </w:r>
          </w:p>
        </w:tc>
        <w:tc>
          <w:tcPr>
            <w:tcW w:w="538" w:type="pct"/>
            <w:vAlign w:val="center"/>
          </w:tcPr>
          <w:p w14:paraId="1AFB61CE">
            <w:pPr>
              <w:spacing w:line="240" w:lineRule="auto"/>
              <w:jc w:val="right"/>
            </w:pPr>
            <w:r>
              <w:rPr>
                <w:rFonts w:ascii="宋体" w:hAnsi="宋体" w:eastAsia="宋体" w:cs="宋体"/>
                <w:b w:val="0"/>
              </w:rPr>
              <w:t>-</w:t>
            </w:r>
          </w:p>
        </w:tc>
        <w:tc>
          <w:tcPr>
            <w:tcW w:w="538" w:type="pct"/>
            <w:vAlign w:val="center"/>
          </w:tcPr>
          <w:p w14:paraId="12132E85">
            <w:pPr>
              <w:spacing w:line="240" w:lineRule="auto"/>
              <w:jc w:val="right"/>
            </w:pPr>
            <w:r>
              <w:rPr>
                <w:rFonts w:ascii="宋体" w:hAnsi="宋体" w:eastAsia="宋体" w:cs="宋体"/>
                <w:b w:val="0"/>
              </w:rPr>
              <w:t>-</w:t>
            </w:r>
          </w:p>
        </w:tc>
        <w:tc>
          <w:tcPr>
            <w:tcW w:w="538" w:type="pct"/>
            <w:vAlign w:val="center"/>
          </w:tcPr>
          <w:p w14:paraId="0DB3202F">
            <w:pPr>
              <w:spacing w:line="240" w:lineRule="auto"/>
              <w:jc w:val="right"/>
            </w:pPr>
            <w:r>
              <w:rPr>
                <w:rFonts w:ascii="宋体" w:hAnsi="宋体" w:eastAsia="宋体" w:cs="宋体"/>
                <w:b w:val="0"/>
              </w:rPr>
              <w:t>-</w:t>
            </w:r>
          </w:p>
        </w:tc>
        <w:tc>
          <w:tcPr>
            <w:tcW w:w="538" w:type="pct"/>
            <w:vAlign w:val="center"/>
          </w:tcPr>
          <w:p w14:paraId="31251DE6">
            <w:pPr>
              <w:spacing w:line="240" w:lineRule="auto"/>
              <w:jc w:val="right"/>
            </w:pPr>
            <w:r>
              <w:rPr>
                <w:rFonts w:ascii="宋体" w:hAnsi="宋体" w:eastAsia="宋体" w:cs="宋体"/>
                <w:b w:val="0"/>
              </w:rPr>
              <w:t>-</w:t>
            </w:r>
          </w:p>
        </w:tc>
        <w:tc>
          <w:tcPr>
            <w:tcW w:w="538" w:type="pct"/>
            <w:vAlign w:val="center"/>
          </w:tcPr>
          <w:p w14:paraId="6D51F34B">
            <w:pPr>
              <w:spacing w:line="240" w:lineRule="auto"/>
              <w:jc w:val="right"/>
            </w:pPr>
            <w:r>
              <w:rPr>
                <w:rFonts w:ascii="宋体" w:hAnsi="宋体" w:eastAsia="宋体" w:cs="宋体"/>
                <w:b w:val="0"/>
              </w:rPr>
              <w:t>-</w:t>
            </w:r>
          </w:p>
        </w:tc>
        <w:tc>
          <w:tcPr>
            <w:tcW w:w="538" w:type="pct"/>
            <w:vAlign w:val="center"/>
          </w:tcPr>
          <w:p w14:paraId="7EAFF203">
            <w:pPr>
              <w:spacing w:line="240" w:lineRule="auto"/>
              <w:jc w:val="right"/>
            </w:pPr>
            <w:r>
              <w:rPr>
                <w:rFonts w:ascii="宋体" w:hAnsi="宋体" w:eastAsia="宋体" w:cs="宋体"/>
                <w:b w:val="0"/>
              </w:rPr>
              <w:t>-</w:t>
            </w:r>
          </w:p>
        </w:tc>
      </w:tr>
    </w:tbl>
    <w:p w14:paraId="4899BF20">
      <w:r>
        <w:rPr>
          <w:rFonts w:ascii="宋体" w:hAnsi="宋体" w:eastAsia="宋体" w:cs="宋体"/>
          <w:b w:val="0"/>
        </w:rPr>
        <w:t>注：该表格中的债券成交金额是按全价计算的金额。</w:t>
      </w:r>
    </w:p>
    <w:p w14:paraId="433C150D"/>
    <w:p w14:paraId="1D342698">
      <w:pPr>
        <w:pStyle w:val="3"/>
        <w:jc w:val="left"/>
      </w:pPr>
      <w:bookmarkStart w:id="59" w:name="_Toc17124"/>
      <w:r>
        <w:rPr>
          <w:rFonts w:ascii="宋体" w:hAnsi="宋体" w:eastAsia="宋体" w:cs="宋体"/>
        </w:rPr>
        <w:t>10.8 其他重大事件</w:t>
      </w:r>
      <w:bookmarkEnd w:id="5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128B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0A443DF">
            <w:pPr>
              <w:spacing w:line="240" w:lineRule="auto"/>
              <w:jc w:val="center"/>
            </w:pPr>
            <w:r>
              <w:rPr>
                <w:rFonts w:ascii="宋体" w:hAnsi="宋体" w:eastAsia="宋体" w:cs="宋体"/>
                <w:b w:val="0"/>
              </w:rPr>
              <w:t>序号</w:t>
            </w:r>
          </w:p>
        </w:tc>
        <w:tc>
          <w:tcPr>
            <w:tcW w:w="2385" w:type="pct"/>
            <w:shd w:val="clear" w:color="auto" w:fill="D9D9D9"/>
            <w:vAlign w:val="center"/>
          </w:tcPr>
          <w:p w14:paraId="78B4EA0F">
            <w:pPr>
              <w:spacing w:line="240" w:lineRule="auto"/>
              <w:jc w:val="center"/>
            </w:pPr>
            <w:r>
              <w:rPr>
                <w:rFonts w:ascii="宋体" w:hAnsi="宋体" w:eastAsia="宋体" w:cs="宋体"/>
                <w:b w:val="0"/>
              </w:rPr>
              <w:t>公告事项</w:t>
            </w:r>
          </w:p>
        </w:tc>
        <w:tc>
          <w:tcPr>
            <w:tcW w:w="1077" w:type="pct"/>
            <w:shd w:val="clear" w:color="auto" w:fill="D9D9D9"/>
            <w:vAlign w:val="center"/>
          </w:tcPr>
          <w:p w14:paraId="372D6A9E">
            <w:pPr>
              <w:spacing w:line="240" w:lineRule="auto"/>
              <w:jc w:val="center"/>
            </w:pPr>
            <w:r>
              <w:rPr>
                <w:rFonts w:ascii="宋体" w:hAnsi="宋体" w:eastAsia="宋体" w:cs="宋体"/>
                <w:b w:val="0"/>
              </w:rPr>
              <w:t>法定披露方式</w:t>
            </w:r>
          </w:p>
        </w:tc>
        <w:tc>
          <w:tcPr>
            <w:tcW w:w="923" w:type="pct"/>
            <w:shd w:val="clear" w:color="auto" w:fill="D9D9D9"/>
            <w:vAlign w:val="center"/>
          </w:tcPr>
          <w:p w14:paraId="5C9862E8">
            <w:pPr>
              <w:spacing w:line="240" w:lineRule="auto"/>
              <w:jc w:val="center"/>
            </w:pPr>
            <w:r>
              <w:rPr>
                <w:rFonts w:ascii="宋体" w:hAnsi="宋体" w:eastAsia="宋体" w:cs="宋体"/>
                <w:b w:val="0"/>
              </w:rPr>
              <w:t>法定披露日期</w:t>
            </w:r>
          </w:p>
        </w:tc>
      </w:tr>
      <w:tr w14:paraId="755B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D42BB4">
            <w:pPr>
              <w:spacing w:line="240" w:lineRule="auto"/>
              <w:jc w:val="center"/>
            </w:pPr>
            <w:r>
              <w:rPr>
                <w:rFonts w:ascii="宋体" w:hAnsi="宋体" w:eastAsia="宋体" w:cs="宋体"/>
                <w:b w:val="0"/>
              </w:rPr>
              <w:t>1</w:t>
            </w:r>
          </w:p>
        </w:tc>
        <w:tc>
          <w:tcPr>
            <w:tcW w:w="0" w:type="dxa"/>
            <w:vAlign w:val="center"/>
          </w:tcPr>
          <w:p w14:paraId="6E175B7C">
            <w:pPr>
              <w:spacing w:line="240" w:lineRule="auto"/>
              <w:jc w:val="left"/>
            </w:pPr>
            <w:r>
              <w:rPr>
                <w:rFonts w:ascii="宋体" w:hAnsi="宋体" w:eastAsia="宋体" w:cs="宋体"/>
                <w:b w:val="0"/>
              </w:rPr>
              <w:t>东方阿尔法兴科一年持有期混合型证券投资基金2025年第四季度报告</w:t>
            </w:r>
          </w:p>
        </w:tc>
        <w:tc>
          <w:tcPr>
            <w:tcW w:w="0" w:type="dxa"/>
            <w:vAlign w:val="center"/>
          </w:tcPr>
          <w:p w14:paraId="0D90B29C">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10281EB">
            <w:pPr>
              <w:spacing w:line="240" w:lineRule="auto"/>
              <w:jc w:val="center"/>
            </w:pPr>
            <w:r>
              <w:rPr>
                <w:rFonts w:ascii="宋体" w:hAnsi="宋体" w:eastAsia="宋体" w:cs="宋体"/>
                <w:b w:val="0"/>
              </w:rPr>
              <w:t>2026-01-22</w:t>
            </w:r>
          </w:p>
        </w:tc>
      </w:tr>
      <w:tr w14:paraId="406B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A136E3">
            <w:pPr>
              <w:spacing w:line="240" w:lineRule="auto"/>
              <w:jc w:val="center"/>
            </w:pPr>
            <w:r>
              <w:rPr>
                <w:rFonts w:ascii="宋体" w:hAnsi="宋体" w:eastAsia="宋体" w:cs="宋体"/>
                <w:b w:val="0"/>
              </w:rPr>
              <w:t>2</w:t>
            </w:r>
          </w:p>
        </w:tc>
        <w:tc>
          <w:tcPr>
            <w:tcW w:w="0" w:type="dxa"/>
            <w:vAlign w:val="center"/>
          </w:tcPr>
          <w:p w14:paraId="74CCEDE8">
            <w:pPr>
              <w:spacing w:line="240" w:lineRule="auto"/>
              <w:jc w:val="left"/>
            </w:pPr>
            <w:r>
              <w:rPr>
                <w:rFonts w:ascii="宋体" w:hAnsi="宋体" w:eastAsia="宋体" w:cs="宋体"/>
                <w:b w:val="0"/>
              </w:rPr>
              <w:t>东方阿尔法基金管理有限公司旗下部分公募基金2025年第四季度报告提示性公告</w:t>
            </w:r>
          </w:p>
        </w:tc>
        <w:tc>
          <w:tcPr>
            <w:tcW w:w="0" w:type="dxa"/>
            <w:vAlign w:val="center"/>
          </w:tcPr>
          <w:p w14:paraId="3CCC846E">
            <w:pPr>
              <w:spacing w:line="240" w:lineRule="auto"/>
              <w:jc w:val="left"/>
            </w:pPr>
            <w:r>
              <w:rPr>
                <w:rFonts w:ascii="宋体" w:hAnsi="宋体" w:eastAsia="宋体" w:cs="宋体"/>
                <w:b w:val="0"/>
              </w:rPr>
              <w:t>中国证监会规定报刊</w:t>
            </w:r>
          </w:p>
        </w:tc>
        <w:tc>
          <w:tcPr>
            <w:tcW w:w="0" w:type="dxa"/>
            <w:vAlign w:val="center"/>
          </w:tcPr>
          <w:p w14:paraId="6CDE721F">
            <w:pPr>
              <w:spacing w:line="240" w:lineRule="auto"/>
              <w:jc w:val="center"/>
            </w:pPr>
            <w:r>
              <w:rPr>
                <w:rFonts w:ascii="宋体" w:hAnsi="宋体" w:eastAsia="宋体" w:cs="宋体"/>
                <w:b w:val="0"/>
              </w:rPr>
              <w:t>2026-01-22</w:t>
            </w:r>
          </w:p>
        </w:tc>
      </w:tr>
      <w:tr w14:paraId="14E3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29BC26">
            <w:pPr>
              <w:spacing w:line="240" w:lineRule="auto"/>
              <w:jc w:val="center"/>
            </w:pPr>
            <w:r>
              <w:rPr>
                <w:rFonts w:ascii="宋体" w:hAnsi="宋体" w:eastAsia="宋体" w:cs="宋体"/>
                <w:b w:val="0"/>
              </w:rPr>
              <w:t>3</w:t>
            </w:r>
          </w:p>
        </w:tc>
        <w:tc>
          <w:tcPr>
            <w:tcW w:w="0" w:type="dxa"/>
            <w:vAlign w:val="center"/>
          </w:tcPr>
          <w:p w14:paraId="473429F1">
            <w:pPr>
              <w:spacing w:line="240" w:lineRule="auto"/>
              <w:jc w:val="left"/>
            </w:pPr>
            <w:r>
              <w:rPr>
                <w:rFonts w:ascii="宋体" w:hAnsi="宋体" w:eastAsia="宋体" w:cs="宋体"/>
                <w:b w:val="0"/>
              </w:rPr>
              <w:t>东方阿尔法基金管理有限公司旗下公募基金通过证券公司交易及佣金支付情况（2025年度）</w:t>
            </w:r>
          </w:p>
        </w:tc>
        <w:tc>
          <w:tcPr>
            <w:tcW w:w="0" w:type="dxa"/>
            <w:vAlign w:val="center"/>
          </w:tcPr>
          <w:p w14:paraId="674B0585">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C14C135">
            <w:pPr>
              <w:spacing w:line="240" w:lineRule="auto"/>
              <w:jc w:val="center"/>
            </w:pPr>
            <w:r>
              <w:rPr>
                <w:rFonts w:ascii="宋体" w:hAnsi="宋体" w:eastAsia="宋体" w:cs="宋体"/>
                <w:b w:val="0"/>
              </w:rPr>
              <w:t>2026-03-27</w:t>
            </w:r>
          </w:p>
        </w:tc>
      </w:tr>
      <w:tr w14:paraId="12D1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08937C">
            <w:pPr>
              <w:spacing w:line="240" w:lineRule="auto"/>
              <w:jc w:val="center"/>
            </w:pPr>
            <w:r>
              <w:rPr>
                <w:rFonts w:ascii="宋体" w:hAnsi="宋体" w:eastAsia="宋体" w:cs="宋体"/>
                <w:b w:val="0"/>
              </w:rPr>
              <w:t>4</w:t>
            </w:r>
          </w:p>
        </w:tc>
        <w:tc>
          <w:tcPr>
            <w:tcW w:w="0" w:type="dxa"/>
            <w:vAlign w:val="center"/>
          </w:tcPr>
          <w:p w14:paraId="4A863F18">
            <w:pPr>
              <w:spacing w:line="240" w:lineRule="auto"/>
              <w:jc w:val="left"/>
            </w:pPr>
            <w:r>
              <w:rPr>
                <w:rFonts w:ascii="宋体" w:hAnsi="宋体" w:eastAsia="宋体" w:cs="宋体"/>
                <w:b w:val="0"/>
              </w:rPr>
              <w:t>东方阿尔法基金管理有限公司旗下公募基金2025年年度报告提示性公告</w:t>
            </w:r>
          </w:p>
        </w:tc>
        <w:tc>
          <w:tcPr>
            <w:tcW w:w="0" w:type="dxa"/>
            <w:vAlign w:val="center"/>
          </w:tcPr>
          <w:p w14:paraId="67ACDF60">
            <w:pPr>
              <w:spacing w:line="240" w:lineRule="auto"/>
              <w:jc w:val="left"/>
            </w:pPr>
            <w:r>
              <w:rPr>
                <w:rFonts w:ascii="宋体" w:hAnsi="宋体" w:eastAsia="宋体" w:cs="宋体"/>
                <w:b w:val="0"/>
              </w:rPr>
              <w:t>中国证监会规定报刊</w:t>
            </w:r>
          </w:p>
        </w:tc>
        <w:tc>
          <w:tcPr>
            <w:tcW w:w="0" w:type="dxa"/>
            <w:vAlign w:val="center"/>
          </w:tcPr>
          <w:p w14:paraId="48423E47">
            <w:pPr>
              <w:spacing w:line="240" w:lineRule="auto"/>
              <w:jc w:val="center"/>
            </w:pPr>
            <w:r>
              <w:rPr>
                <w:rFonts w:ascii="宋体" w:hAnsi="宋体" w:eastAsia="宋体" w:cs="宋体"/>
                <w:b w:val="0"/>
              </w:rPr>
              <w:t>2026-03-30</w:t>
            </w:r>
          </w:p>
        </w:tc>
      </w:tr>
      <w:tr w14:paraId="5386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197280">
            <w:pPr>
              <w:spacing w:line="240" w:lineRule="auto"/>
              <w:jc w:val="center"/>
            </w:pPr>
            <w:r>
              <w:rPr>
                <w:rFonts w:ascii="宋体" w:hAnsi="宋体" w:eastAsia="宋体" w:cs="宋体"/>
                <w:b w:val="0"/>
              </w:rPr>
              <w:t>5</w:t>
            </w:r>
          </w:p>
        </w:tc>
        <w:tc>
          <w:tcPr>
            <w:tcW w:w="0" w:type="dxa"/>
            <w:vAlign w:val="center"/>
          </w:tcPr>
          <w:p w14:paraId="575D202B">
            <w:pPr>
              <w:spacing w:line="240" w:lineRule="auto"/>
              <w:jc w:val="left"/>
            </w:pPr>
            <w:r>
              <w:rPr>
                <w:rFonts w:ascii="宋体" w:hAnsi="宋体" w:eastAsia="宋体" w:cs="宋体"/>
                <w:b w:val="0"/>
              </w:rPr>
              <w:t>东方阿尔法兴科一年持有期混合型证券投资基金2025年年度报告</w:t>
            </w:r>
          </w:p>
        </w:tc>
        <w:tc>
          <w:tcPr>
            <w:tcW w:w="0" w:type="dxa"/>
            <w:vAlign w:val="center"/>
          </w:tcPr>
          <w:p w14:paraId="1E1CF24E">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82E3350">
            <w:pPr>
              <w:spacing w:line="240" w:lineRule="auto"/>
              <w:jc w:val="center"/>
            </w:pPr>
            <w:r>
              <w:rPr>
                <w:rFonts w:ascii="宋体" w:hAnsi="宋体" w:eastAsia="宋体" w:cs="宋体"/>
                <w:b w:val="0"/>
              </w:rPr>
              <w:t>2026-03-30</w:t>
            </w:r>
          </w:p>
        </w:tc>
      </w:tr>
      <w:tr w14:paraId="1DE5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5DD98B">
            <w:pPr>
              <w:spacing w:line="240" w:lineRule="auto"/>
              <w:jc w:val="center"/>
            </w:pPr>
            <w:r>
              <w:rPr>
                <w:rFonts w:ascii="宋体" w:hAnsi="宋体" w:eastAsia="宋体" w:cs="宋体"/>
                <w:b w:val="0"/>
              </w:rPr>
              <w:t>6</w:t>
            </w:r>
          </w:p>
        </w:tc>
        <w:tc>
          <w:tcPr>
            <w:tcW w:w="0" w:type="dxa"/>
            <w:vAlign w:val="center"/>
          </w:tcPr>
          <w:p w14:paraId="0917EE30">
            <w:pPr>
              <w:spacing w:line="240" w:lineRule="auto"/>
              <w:jc w:val="left"/>
            </w:pPr>
            <w:r>
              <w:rPr>
                <w:rFonts w:ascii="宋体" w:hAnsi="宋体" w:eastAsia="宋体" w:cs="宋体"/>
                <w:b w:val="0"/>
              </w:rPr>
              <w:t>东方阿尔法基金管理有限公司旗下部分公募基金2026年第一季度报告提示性公告</w:t>
            </w:r>
          </w:p>
        </w:tc>
        <w:tc>
          <w:tcPr>
            <w:tcW w:w="0" w:type="dxa"/>
            <w:vAlign w:val="center"/>
          </w:tcPr>
          <w:p w14:paraId="447B6783">
            <w:pPr>
              <w:spacing w:line="240" w:lineRule="auto"/>
              <w:jc w:val="left"/>
            </w:pPr>
            <w:r>
              <w:rPr>
                <w:rFonts w:ascii="宋体" w:hAnsi="宋体" w:eastAsia="宋体" w:cs="宋体"/>
                <w:b w:val="0"/>
              </w:rPr>
              <w:t>中国证监会规定报刊</w:t>
            </w:r>
          </w:p>
        </w:tc>
        <w:tc>
          <w:tcPr>
            <w:tcW w:w="0" w:type="dxa"/>
            <w:vAlign w:val="center"/>
          </w:tcPr>
          <w:p w14:paraId="52CA4D46">
            <w:pPr>
              <w:spacing w:line="240" w:lineRule="auto"/>
              <w:jc w:val="center"/>
            </w:pPr>
            <w:r>
              <w:rPr>
                <w:rFonts w:ascii="宋体" w:hAnsi="宋体" w:eastAsia="宋体" w:cs="宋体"/>
                <w:b w:val="0"/>
              </w:rPr>
              <w:t>2026-04-22</w:t>
            </w:r>
          </w:p>
        </w:tc>
      </w:tr>
      <w:tr w14:paraId="6AE9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7B2CF6">
            <w:pPr>
              <w:spacing w:line="240" w:lineRule="auto"/>
              <w:jc w:val="center"/>
            </w:pPr>
            <w:r>
              <w:rPr>
                <w:rFonts w:ascii="宋体" w:hAnsi="宋体" w:eastAsia="宋体" w:cs="宋体"/>
                <w:b w:val="0"/>
              </w:rPr>
              <w:t>7</w:t>
            </w:r>
          </w:p>
        </w:tc>
        <w:tc>
          <w:tcPr>
            <w:tcW w:w="0" w:type="dxa"/>
            <w:vAlign w:val="center"/>
          </w:tcPr>
          <w:p w14:paraId="539B1F03">
            <w:pPr>
              <w:spacing w:line="240" w:lineRule="auto"/>
              <w:jc w:val="left"/>
            </w:pPr>
            <w:r>
              <w:rPr>
                <w:rFonts w:ascii="宋体" w:hAnsi="宋体" w:eastAsia="宋体" w:cs="宋体"/>
                <w:b w:val="0"/>
              </w:rPr>
              <w:t>东方阿尔法兴科一年持有期混合型证券投资基金2026年第一季度报告</w:t>
            </w:r>
          </w:p>
        </w:tc>
        <w:tc>
          <w:tcPr>
            <w:tcW w:w="0" w:type="dxa"/>
            <w:vAlign w:val="center"/>
          </w:tcPr>
          <w:p w14:paraId="4E73B7D1">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70D19F1">
            <w:pPr>
              <w:spacing w:line="240" w:lineRule="auto"/>
              <w:jc w:val="center"/>
            </w:pPr>
            <w:r>
              <w:rPr>
                <w:rFonts w:ascii="宋体" w:hAnsi="宋体" w:eastAsia="宋体" w:cs="宋体"/>
                <w:b w:val="0"/>
              </w:rPr>
              <w:t>2026-04-22</w:t>
            </w:r>
          </w:p>
        </w:tc>
      </w:tr>
      <w:tr w14:paraId="6153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4FAD82">
            <w:pPr>
              <w:spacing w:line="240" w:lineRule="auto"/>
              <w:jc w:val="center"/>
            </w:pPr>
            <w:r>
              <w:rPr>
                <w:rFonts w:ascii="宋体" w:hAnsi="宋体" w:eastAsia="宋体" w:cs="宋体"/>
                <w:b w:val="0"/>
              </w:rPr>
              <w:t>8</w:t>
            </w:r>
          </w:p>
        </w:tc>
        <w:tc>
          <w:tcPr>
            <w:tcW w:w="0" w:type="dxa"/>
            <w:vAlign w:val="center"/>
          </w:tcPr>
          <w:p w14:paraId="18FE0B3C">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339569F0">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055C9940">
            <w:pPr>
              <w:spacing w:line="240" w:lineRule="auto"/>
              <w:jc w:val="center"/>
            </w:pPr>
            <w:r>
              <w:rPr>
                <w:rFonts w:ascii="宋体" w:hAnsi="宋体" w:eastAsia="宋体" w:cs="宋体"/>
                <w:b w:val="0"/>
              </w:rPr>
              <w:t>2026-04-28</w:t>
            </w:r>
          </w:p>
        </w:tc>
      </w:tr>
      <w:tr w14:paraId="523F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B32BFE">
            <w:pPr>
              <w:spacing w:line="240" w:lineRule="auto"/>
              <w:jc w:val="center"/>
            </w:pPr>
            <w:r>
              <w:rPr>
                <w:rFonts w:ascii="宋体" w:hAnsi="宋体" w:eastAsia="宋体" w:cs="宋体"/>
                <w:b w:val="0"/>
              </w:rPr>
              <w:t>9</w:t>
            </w:r>
          </w:p>
        </w:tc>
        <w:tc>
          <w:tcPr>
            <w:tcW w:w="0" w:type="dxa"/>
            <w:vAlign w:val="center"/>
          </w:tcPr>
          <w:p w14:paraId="350ECA60">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284AACE5">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11AB1F69">
            <w:pPr>
              <w:spacing w:line="240" w:lineRule="auto"/>
              <w:jc w:val="center"/>
            </w:pPr>
            <w:r>
              <w:rPr>
                <w:rFonts w:ascii="宋体" w:hAnsi="宋体" w:eastAsia="宋体" w:cs="宋体"/>
                <w:b w:val="0"/>
              </w:rPr>
              <w:t>2026-05-08</w:t>
            </w:r>
          </w:p>
        </w:tc>
      </w:tr>
      <w:tr w14:paraId="38D4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F89F39">
            <w:pPr>
              <w:spacing w:line="240" w:lineRule="auto"/>
              <w:jc w:val="center"/>
            </w:pPr>
            <w:r>
              <w:rPr>
                <w:rFonts w:ascii="宋体" w:hAnsi="宋体" w:eastAsia="宋体" w:cs="宋体"/>
                <w:b w:val="0"/>
              </w:rPr>
              <w:t>10</w:t>
            </w:r>
          </w:p>
        </w:tc>
        <w:tc>
          <w:tcPr>
            <w:tcW w:w="0" w:type="dxa"/>
            <w:vAlign w:val="center"/>
          </w:tcPr>
          <w:p w14:paraId="1A6EF726">
            <w:pPr>
              <w:spacing w:line="240" w:lineRule="auto"/>
              <w:jc w:val="left"/>
            </w:pPr>
            <w:r>
              <w:rPr>
                <w:rFonts w:ascii="宋体" w:hAnsi="宋体" w:eastAsia="宋体" w:cs="宋体"/>
                <w:b w:val="0"/>
              </w:rPr>
              <w:t>东方阿尔法基金管理有限公司关于旗下部分公募基金更新招募说明书及基金产品资料概要的提示性公告</w:t>
            </w:r>
          </w:p>
        </w:tc>
        <w:tc>
          <w:tcPr>
            <w:tcW w:w="0" w:type="dxa"/>
            <w:vAlign w:val="center"/>
          </w:tcPr>
          <w:p w14:paraId="0DF6CF21">
            <w:pPr>
              <w:spacing w:line="240" w:lineRule="auto"/>
              <w:jc w:val="left"/>
            </w:pPr>
            <w:r>
              <w:rPr>
                <w:rFonts w:ascii="宋体" w:hAnsi="宋体" w:eastAsia="宋体" w:cs="宋体"/>
                <w:b w:val="0"/>
              </w:rPr>
              <w:t>中国证监会规定报刊</w:t>
            </w:r>
          </w:p>
        </w:tc>
        <w:tc>
          <w:tcPr>
            <w:tcW w:w="0" w:type="dxa"/>
            <w:vAlign w:val="center"/>
          </w:tcPr>
          <w:p w14:paraId="47B34D52">
            <w:pPr>
              <w:spacing w:line="240" w:lineRule="auto"/>
              <w:jc w:val="center"/>
            </w:pPr>
            <w:r>
              <w:rPr>
                <w:rFonts w:ascii="宋体" w:hAnsi="宋体" w:eastAsia="宋体" w:cs="宋体"/>
                <w:b w:val="0"/>
              </w:rPr>
              <w:t>2026-05-13</w:t>
            </w:r>
          </w:p>
        </w:tc>
      </w:tr>
      <w:tr w14:paraId="3809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41C2CA">
            <w:pPr>
              <w:spacing w:line="240" w:lineRule="auto"/>
              <w:jc w:val="center"/>
            </w:pPr>
            <w:r>
              <w:rPr>
                <w:rFonts w:ascii="宋体" w:hAnsi="宋体" w:eastAsia="宋体" w:cs="宋体"/>
                <w:b w:val="0"/>
              </w:rPr>
              <w:t>11</w:t>
            </w:r>
          </w:p>
        </w:tc>
        <w:tc>
          <w:tcPr>
            <w:tcW w:w="0" w:type="dxa"/>
            <w:vAlign w:val="center"/>
          </w:tcPr>
          <w:p w14:paraId="6E69D488">
            <w:pPr>
              <w:spacing w:line="240" w:lineRule="auto"/>
              <w:jc w:val="left"/>
            </w:pPr>
            <w:r>
              <w:rPr>
                <w:rFonts w:ascii="宋体" w:hAnsi="宋体" w:eastAsia="宋体" w:cs="宋体"/>
                <w:b w:val="0"/>
              </w:rPr>
              <w:t>东方阿尔法兴科一年持有期混合型证券投资基金招募说明书（更新）（2026年第1期）</w:t>
            </w:r>
          </w:p>
        </w:tc>
        <w:tc>
          <w:tcPr>
            <w:tcW w:w="0" w:type="dxa"/>
            <w:vAlign w:val="center"/>
          </w:tcPr>
          <w:p w14:paraId="5DCB18C6">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65027154">
            <w:pPr>
              <w:spacing w:line="240" w:lineRule="auto"/>
              <w:jc w:val="center"/>
            </w:pPr>
            <w:r>
              <w:rPr>
                <w:rFonts w:ascii="宋体" w:hAnsi="宋体" w:eastAsia="宋体" w:cs="宋体"/>
                <w:b w:val="0"/>
              </w:rPr>
              <w:t>2026-05-13</w:t>
            </w:r>
          </w:p>
        </w:tc>
      </w:tr>
      <w:tr w14:paraId="60BE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0C85D9">
            <w:pPr>
              <w:spacing w:line="240" w:lineRule="auto"/>
              <w:jc w:val="center"/>
            </w:pPr>
            <w:r>
              <w:rPr>
                <w:rFonts w:ascii="宋体" w:hAnsi="宋体" w:eastAsia="宋体" w:cs="宋体"/>
                <w:b w:val="0"/>
              </w:rPr>
              <w:t>12</w:t>
            </w:r>
          </w:p>
        </w:tc>
        <w:tc>
          <w:tcPr>
            <w:tcW w:w="0" w:type="dxa"/>
            <w:vAlign w:val="center"/>
          </w:tcPr>
          <w:p w14:paraId="651B8269">
            <w:pPr>
              <w:spacing w:line="240" w:lineRule="auto"/>
              <w:jc w:val="left"/>
            </w:pPr>
            <w:r>
              <w:rPr>
                <w:rFonts w:ascii="宋体" w:hAnsi="宋体" w:eastAsia="宋体" w:cs="宋体"/>
                <w:b w:val="0"/>
              </w:rPr>
              <w:t>东方阿尔法兴科一年持有期混合型证券投资基金基金产品资料概要更新（2026年第1期）（A类份额/C类份额）</w:t>
            </w:r>
          </w:p>
        </w:tc>
        <w:tc>
          <w:tcPr>
            <w:tcW w:w="0" w:type="dxa"/>
            <w:vAlign w:val="center"/>
          </w:tcPr>
          <w:p w14:paraId="4670A8EC">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A1B6962">
            <w:pPr>
              <w:spacing w:line="240" w:lineRule="auto"/>
              <w:jc w:val="center"/>
            </w:pPr>
            <w:r>
              <w:rPr>
                <w:rFonts w:ascii="宋体" w:hAnsi="宋体" w:eastAsia="宋体" w:cs="宋体"/>
                <w:b w:val="0"/>
              </w:rPr>
              <w:t>2026-05-13</w:t>
            </w:r>
          </w:p>
        </w:tc>
      </w:tr>
    </w:tbl>
    <w:p w14:paraId="62C6779B">
      <w:pPr>
        <w:pStyle w:val="2"/>
        <w:jc w:val="center"/>
      </w:pPr>
      <w:bookmarkStart w:id="60" w:name="_Toc12357"/>
      <w:r>
        <w:rPr>
          <w:rFonts w:ascii="宋体" w:hAnsi="宋体" w:eastAsia="宋体" w:cs="宋体"/>
        </w:rPr>
        <w:t>§11 影响投资者决策的其他重要信息</w:t>
      </w:r>
      <w:bookmarkEnd w:id="60"/>
    </w:p>
    <w:p w14:paraId="13E32695">
      <w:pPr>
        <w:pStyle w:val="3"/>
        <w:jc w:val="left"/>
      </w:pPr>
      <w:bookmarkStart w:id="61" w:name="_Toc2631"/>
      <w:r>
        <w:rPr>
          <w:rFonts w:ascii="宋体" w:hAnsi="宋体" w:eastAsia="宋体" w:cs="宋体"/>
        </w:rPr>
        <w:t>11.1 报告期内单一投资者持有基金份额比例达到或超过20%的情况</w:t>
      </w:r>
      <w:bookmarkEnd w:id="61"/>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2177"/>
        <w:gridCol w:w="1581"/>
        <w:gridCol w:w="1266"/>
        <w:gridCol w:w="982"/>
        <w:gridCol w:w="1581"/>
        <w:gridCol w:w="847"/>
      </w:tblGrid>
      <w:tr w14:paraId="66D9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vMerge w:val="restart"/>
            <w:shd w:val="clear" w:color="auto" w:fill="D9D9D9"/>
            <w:vAlign w:val="center"/>
          </w:tcPr>
          <w:p w14:paraId="3C1EFE13">
            <w:pPr>
              <w:spacing w:line="240" w:lineRule="auto"/>
              <w:jc w:val="center"/>
            </w:pPr>
            <w:r>
              <w:rPr>
                <w:rFonts w:ascii="宋体" w:hAnsi="宋体" w:eastAsia="宋体" w:cs="宋体"/>
                <w:b w:val="0"/>
              </w:rPr>
              <w:t>投资者类别</w:t>
            </w:r>
          </w:p>
        </w:tc>
        <w:tc>
          <w:tcPr>
            <w:tcW w:w="3192" w:type="pct"/>
            <w:gridSpan w:val="5"/>
            <w:shd w:val="clear" w:color="auto" w:fill="D9D9D9"/>
            <w:vAlign w:val="center"/>
          </w:tcPr>
          <w:p w14:paraId="79BC2F34">
            <w:pPr>
              <w:spacing w:line="240" w:lineRule="auto"/>
              <w:jc w:val="center"/>
            </w:pPr>
            <w:r>
              <w:rPr>
                <w:rFonts w:ascii="宋体" w:hAnsi="宋体" w:eastAsia="宋体" w:cs="宋体"/>
                <w:b w:val="0"/>
              </w:rPr>
              <w:t>报告期内持有基金份额变化情况</w:t>
            </w:r>
          </w:p>
        </w:tc>
        <w:tc>
          <w:tcPr>
            <w:tcW w:w="1154" w:type="pct"/>
            <w:gridSpan w:val="2"/>
            <w:shd w:val="clear" w:color="auto" w:fill="D9D9D9"/>
            <w:vAlign w:val="center"/>
          </w:tcPr>
          <w:p w14:paraId="6D9BCC3E">
            <w:pPr>
              <w:spacing w:line="240" w:lineRule="auto"/>
              <w:jc w:val="center"/>
            </w:pPr>
            <w:r>
              <w:rPr>
                <w:rFonts w:ascii="宋体" w:hAnsi="宋体" w:eastAsia="宋体" w:cs="宋体"/>
                <w:b w:val="0"/>
              </w:rPr>
              <w:t>报告期末持有基金情况</w:t>
            </w:r>
          </w:p>
        </w:tc>
      </w:tr>
      <w:tr w14:paraId="79D9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8B878B2"/>
        </w:tc>
        <w:tc>
          <w:tcPr>
            <w:tcW w:w="269" w:type="pct"/>
            <w:shd w:val="clear" w:color="auto" w:fill="D9D9D9"/>
            <w:vAlign w:val="center"/>
          </w:tcPr>
          <w:p w14:paraId="2D617061">
            <w:pPr>
              <w:spacing w:line="240" w:lineRule="auto"/>
              <w:jc w:val="center"/>
            </w:pPr>
            <w:r>
              <w:rPr>
                <w:rFonts w:ascii="宋体" w:hAnsi="宋体" w:eastAsia="宋体" w:cs="宋体"/>
                <w:b w:val="0"/>
              </w:rPr>
              <w:t>序号</w:t>
            </w:r>
          </w:p>
        </w:tc>
        <w:tc>
          <w:tcPr>
            <w:tcW w:w="1346" w:type="pct"/>
            <w:shd w:val="clear" w:color="auto" w:fill="D9D9D9"/>
            <w:vAlign w:val="center"/>
          </w:tcPr>
          <w:p w14:paraId="66096737">
            <w:pPr>
              <w:spacing w:line="240" w:lineRule="auto"/>
              <w:jc w:val="center"/>
            </w:pPr>
            <w:r>
              <w:rPr>
                <w:rFonts w:ascii="宋体" w:hAnsi="宋体" w:eastAsia="宋体" w:cs="宋体"/>
                <w:b w:val="0"/>
              </w:rPr>
              <w:t>持有基金份额比例达到或者超过20%的时间区间</w:t>
            </w:r>
          </w:p>
        </w:tc>
        <w:tc>
          <w:tcPr>
            <w:tcW w:w="615" w:type="pct"/>
            <w:shd w:val="clear" w:color="auto" w:fill="D9D9D9"/>
            <w:vAlign w:val="center"/>
          </w:tcPr>
          <w:p w14:paraId="60E975DB">
            <w:pPr>
              <w:spacing w:line="240" w:lineRule="auto"/>
              <w:jc w:val="center"/>
            </w:pPr>
            <w:r>
              <w:rPr>
                <w:rFonts w:ascii="宋体" w:hAnsi="宋体" w:eastAsia="宋体" w:cs="宋体"/>
                <w:b w:val="0"/>
              </w:rPr>
              <w:t>期初份额</w:t>
            </w:r>
          </w:p>
        </w:tc>
        <w:tc>
          <w:tcPr>
            <w:tcW w:w="615" w:type="pct"/>
            <w:shd w:val="clear" w:color="auto" w:fill="D9D9D9"/>
            <w:vAlign w:val="center"/>
          </w:tcPr>
          <w:p w14:paraId="27DF94ED">
            <w:pPr>
              <w:spacing w:line="240" w:lineRule="auto"/>
              <w:jc w:val="center"/>
            </w:pPr>
            <w:r>
              <w:rPr>
                <w:rFonts w:ascii="宋体" w:hAnsi="宋体" w:eastAsia="宋体" w:cs="宋体"/>
                <w:b w:val="0"/>
              </w:rPr>
              <w:t>申购份额</w:t>
            </w:r>
          </w:p>
        </w:tc>
        <w:tc>
          <w:tcPr>
            <w:tcW w:w="615" w:type="pct"/>
            <w:shd w:val="clear" w:color="auto" w:fill="D9D9D9"/>
            <w:vAlign w:val="center"/>
          </w:tcPr>
          <w:p w14:paraId="276EDB64">
            <w:pPr>
              <w:spacing w:line="240" w:lineRule="auto"/>
              <w:jc w:val="center"/>
            </w:pPr>
            <w:r>
              <w:rPr>
                <w:rFonts w:ascii="宋体" w:hAnsi="宋体" w:eastAsia="宋体" w:cs="宋体"/>
                <w:b w:val="0"/>
              </w:rPr>
              <w:t>赎回份额</w:t>
            </w:r>
          </w:p>
        </w:tc>
        <w:tc>
          <w:tcPr>
            <w:tcW w:w="615" w:type="pct"/>
            <w:shd w:val="clear" w:color="auto" w:fill="D9D9D9"/>
            <w:vAlign w:val="center"/>
          </w:tcPr>
          <w:p w14:paraId="111BEBE2">
            <w:pPr>
              <w:spacing w:line="240" w:lineRule="auto"/>
              <w:jc w:val="center"/>
            </w:pPr>
            <w:r>
              <w:rPr>
                <w:rFonts w:ascii="宋体" w:hAnsi="宋体" w:eastAsia="宋体" w:cs="宋体"/>
                <w:b w:val="0"/>
              </w:rPr>
              <w:t>持有份额</w:t>
            </w:r>
          </w:p>
        </w:tc>
        <w:tc>
          <w:tcPr>
            <w:tcW w:w="538" w:type="pct"/>
            <w:shd w:val="clear" w:color="auto" w:fill="D9D9D9"/>
            <w:vAlign w:val="center"/>
          </w:tcPr>
          <w:p w14:paraId="0293756E">
            <w:pPr>
              <w:spacing w:line="240" w:lineRule="auto"/>
              <w:jc w:val="center"/>
            </w:pPr>
            <w:r>
              <w:rPr>
                <w:rFonts w:ascii="宋体" w:hAnsi="宋体" w:eastAsia="宋体" w:cs="宋体"/>
                <w:b w:val="0"/>
              </w:rPr>
              <w:t>份额占比</w:t>
            </w:r>
          </w:p>
        </w:tc>
      </w:tr>
      <w:tr w14:paraId="5FBB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784A6553">
            <w:pPr>
              <w:spacing w:line="240" w:lineRule="auto"/>
              <w:jc w:val="center"/>
            </w:pPr>
            <w:r>
              <w:rPr>
                <w:rFonts w:ascii="宋体" w:hAnsi="宋体" w:eastAsia="宋体" w:cs="宋体"/>
                <w:b w:val="0"/>
              </w:rPr>
              <w:t>个人</w:t>
            </w:r>
          </w:p>
        </w:tc>
        <w:tc>
          <w:tcPr>
            <w:tcW w:w="0" w:type="dxa"/>
            <w:vAlign w:val="center"/>
          </w:tcPr>
          <w:p w14:paraId="3541EE8C">
            <w:pPr>
              <w:spacing w:line="240" w:lineRule="auto"/>
              <w:jc w:val="center"/>
            </w:pPr>
            <w:r>
              <w:rPr>
                <w:rFonts w:ascii="宋体" w:hAnsi="宋体" w:eastAsia="宋体" w:cs="宋体"/>
                <w:b w:val="0"/>
              </w:rPr>
              <w:t>1</w:t>
            </w:r>
          </w:p>
        </w:tc>
        <w:tc>
          <w:tcPr>
            <w:tcW w:w="0" w:type="dxa"/>
            <w:vAlign w:val="center"/>
          </w:tcPr>
          <w:p w14:paraId="5A30067F">
            <w:pPr>
              <w:spacing w:line="240" w:lineRule="auto"/>
              <w:jc w:val="center"/>
            </w:pPr>
            <w:r>
              <w:rPr>
                <w:rFonts w:ascii="宋体" w:hAnsi="宋体" w:eastAsia="宋体" w:cs="宋体"/>
                <w:b w:val="0"/>
              </w:rPr>
              <w:t>2026年01月01日-2026年06月30日</w:t>
            </w:r>
          </w:p>
        </w:tc>
        <w:tc>
          <w:tcPr>
            <w:tcW w:w="0" w:type="dxa"/>
            <w:vAlign w:val="center"/>
          </w:tcPr>
          <w:p w14:paraId="689978EB">
            <w:pPr>
              <w:spacing w:line="240" w:lineRule="auto"/>
              <w:jc w:val="right"/>
            </w:pPr>
            <w:r>
              <w:rPr>
                <w:rFonts w:ascii="宋体" w:hAnsi="宋体" w:eastAsia="宋体" w:cs="宋体"/>
                <w:b w:val="0"/>
              </w:rPr>
              <w:t>19,132,126.80</w:t>
            </w:r>
          </w:p>
        </w:tc>
        <w:tc>
          <w:tcPr>
            <w:tcW w:w="0" w:type="dxa"/>
            <w:vAlign w:val="center"/>
          </w:tcPr>
          <w:p w14:paraId="03D8A056">
            <w:pPr>
              <w:spacing w:line="240" w:lineRule="auto"/>
              <w:jc w:val="right"/>
            </w:pPr>
            <w:r>
              <w:rPr>
                <w:rFonts w:ascii="宋体" w:hAnsi="宋体" w:eastAsia="宋体" w:cs="宋体"/>
                <w:b w:val="0"/>
              </w:rPr>
              <w:t>101,649.41</w:t>
            </w:r>
          </w:p>
        </w:tc>
        <w:tc>
          <w:tcPr>
            <w:tcW w:w="0" w:type="dxa"/>
            <w:vAlign w:val="center"/>
          </w:tcPr>
          <w:p w14:paraId="3D5DA86C">
            <w:pPr>
              <w:spacing w:line="240" w:lineRule="auto"/>
              <w:jc w:val="right"/>
            </w:pPr>
            <w:r>
              <w:rPr>
                <w:rFonts w:ascii="宋体" w:hAnsi="宋体" w:eastAsia="宋体" w:cs="宋体"/>
                <w:b w:val="0"/>
              </w:rPr>
              <w:t>-</w:t>
            </w:r>
          </w:p>
        </w:tc>
        <w:tc>
          <w:tcPr>
            <w:tcW w:w="0" w:type="dxa"/>
            <w:vAlign w:val="center"/>
          </w:tcPr>
          <w:p w14:paraId="6E9B708F">
            <w:pPr>
              <w:spacing w:line="240" w:lineRule="auto"/>
              <w:jc w:val="right"/>
            </w:pPr>
            <w:r>
              <w:rPr>
                <w:rFonts w:ascii="宋体" w:hAnsi="宋体" w:eastAsia="宋体" w:cs="宋体"/>
                <w:b w:val="0"/>
              </w:rPr>
              <w:t>19,233,776.21</w:t>
            </w:r>
          </w:p>
        </w:tc>
        <w:tc>
          <w:tcPr>
            <w:tcW w:w="0" w:type="dxa"/>
            <w:vAlign w:val="center"/>
          </w:tcPr>
          <w:p w14:paraId="76C23018">
            <w:pPr>
              <w:spacing w:line="240" w:lineRule="auto"/>
              <w:jc w:val="right"/>
            </w:pPr>
            <w:r>
              <w:rPr>
                <w:rFonts w:ascii="宋体" w:hAnsi="宋体" w:eastAsia="宋体" w:cs="宋体"/>
                <w:b w:val="0"/>
              </w:rPr>
              <w:t>36.16%</w:t>
            </w:r>
          </w:p>
        </w:tc>
      </w:tr>
      <w:tr w14:paraId="1760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7C9EB47"/>
        </w:tc>
        <w:tc>
          <w:tcPr>
            <w:tcW w:w="0" w:type="dxa"/>
            <w:vAlign w:val="center"/>
          </w:tcPr>
          <w:p w14:paraId="4942E888">
            <w:pPr>
              <w:spacing w:line="240" w:lineRule="auto"/>
              <w:jc w:val="center"/>
            </w:pPr>
            <w:r>
              <w:rPr>
                <w:rFonts w:ascii="宋体" w:hAnsi="宋体" w:eastAsia="宋体" w:cs="宋体"/>
                <w:b w:val="0"/>
              </w:rPr>
              <w:t>2</w:t>
            </w:r>
          </w:p>
        </w:tc>
        <w:tc>
          <w:tcPr>
            <w:tcW w:w="0" w:type="dxa"/>
            <w:vAlign w:val="center"/>
          </w:tcPr>
          <w:p w14:paraId="0351B328">
            <w:pPr>
              <w:spacing w:line="240" w:lineRule="auto"/>
              <w:jc w:val="center"/>
            </w:pPr>
            <w:r>
              <w:rPr>
                <w:rFonts w:ascii="宋体" w:hAnsi="宋体" w:eastAsia="宋体" w:cs="宋体"/>
                <w:b w:val="0"/>
              </w:rPr>
              <w:t>2026年04月24日-2026年06月30日</w:t>
            </w:r>
          </w:p>
        </w:tc>
        <w:tc>
          <w:tcPr>
            <w:tcW w:w="0" w:type="dxa"/>
            <w:vAlign w:val="center"/>
          </w:tcPr>
          <w:p w14:paraId="2E90EE86">
            <w:pPr>
              <w:spacing w:line="240" w:lineRule="auto"/>
              <w:jc w:val="right"/>
            </w:pPr>
            <w:r>
              <w:rPr>
                <w:rFonts w:ascii="宋体" w:hAnsi="宋体" w:eastAsia="宋体" w:cs="宋体"/>
                <w:b w:val="0"/>
              </w:rPr>
              <w:t>12,278,619.18</w:t>
            </w:r>
          </w:p>
        </w:tc>
        <w:tc>
          <w:tcPr>
            <w:tcW w:w="0" w:type="dxa"/>
            <w:vAlign w:val="center"/>
          </w:tcPr>
          <w:p w14:paraId="6A734B36">
            <w:pPr>
              <w:spacing w:line="240" w:lineRule="auto"/>
              <w:jc w:val="right"/>
            </w:pPr>
            <w:r>
              <w:rPr>
                <w:rFonts w:ascii="宋体" w:hAnsi="宋体" w:eastAsia="宋体" w:cs="宋体"/>
                <w:b w:val="0"/>
              </w:rPr>
              <w:t>-</w:t>
            </w:r>
          </w:p>
        </w:tc>
        <w:tc>
          <w:tcPr>
            <w:tcW w:w="0" w:type="dxa"/>
            <w:vAlign w:val="center"/>
          </w:tcPr>
          <w:p w14:paraId="3E586CD7">
            <w:pPr>
              <w:spacing w:line="240" w:lineRule="auto"/>
              <w:jc w:val="right"/>
            </w:pPr>
            <w:r>
              <w:rPr>
                <w:rFonts w:ascii="宋体" w:hAnsi="宋体" w:eastAsia="宋体" w:cs="宋体"/>
                <w:b w:val="0"/>
              </w:rPr>
              <w:t>-</w:t>
            </w:r>
          </w:p>
        </w:tc>
        <w:tc>
          <w:tcPr>
            <w:tcW w:w="0" w:type="dxa"/>
            <w:vAlign w:val="center"/>
          </w:tcPr>
          <w:p w14:paraId="6CAFE1B4">
            <w:pPr>
              <w:spacing w:line="240" w:lineRule="auto"/>
              <w:jc w:val="right"/>
            </w:pPr>
            <w:r>
              <w:rPr>
                <w:rFonts w:ascii="宋体" w:hAnsi="宋体" w:eastAsia="宋体" w:cs="宋体"/>
                <w:b w:val="0"/>
              </w:rPr>
              <w:t>12,278,619.18</w:t>
            </w:r>
          </w:p>
        </w:tc>
        <w:tc>
          <w:tcPr>
            <w:tcW w:w="0" w:type="dxa"/>
            <w:vAlign w:val="center"/>
          </w:tcPr>
          <w:p w14:paraId="5E52D5C8">
            <w:pPr>
              <w:spacing w:line="240" w:lineRule="auto"/>
              <w:jc w:val="right"/>
            </w:pPr>
            <w:r>
              <w:rPr>
                <w:rFonts w:ascii="宋体" w:hAnsi="宋体" w:eastAsia="宋体" w:cs="宋体"/>
                <w:b w:val="0"/>
              </w:rPr>
              <w:t>23.09%</w:t>
            </w:r>
          </w:p>
        </w:tc>
      </w:tr>
      <w:tr w14:paraId="1E87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01E4F027">
            <w:pPr>
              <w:spacing w:line="240" w:lineRule="auto"/>
              <w:jc w:val="center"/>
            </w:pPr>
            <w:r>
              <w:rPr>
                <w:rFonts w:ascii="宋体" w:hAnsi="宋体" w:eastAsia="宋体" w:cs="宋体"/>
                <w:b w:val="0"/>
              </w:rPr>
              <w:t>产品特有风险</w:t>
            </w:r>
          </w:p>
        </w:tc>
      </w:tr>
      <w:tr w14:paraId="0316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63B019B2">
            <w:pPr>
              <w:spacing w:line="240" w:lineRule="auto"/>
              <w:jc w:val="left"/>
            </w:pPr>
            <w:r>
              <w:rPr>
                <w:rFonts w:ascii="宋体" w:hAnsi="宋体" w:eastAsia="宋体" w:cs="宋体"/>
                <w:b w:val="0"/>
              </w:rPr>
              <w:t xml:space="preserve">    基金管理人秉承谨慎勤勉、独立决策、规范运作、充分披露原则，公平对待投资者，保障投资者合法权益。当单一投资者持有基金份额比例达到或超过20%时，由此可能导致的特有风险主要包括：</w:t>
            </w:r>
            <w:r>
              <w:rPr>
                <w:rFonts w:ascii="宋体" w:hAnsi="宋体" w:eastAsia="宋体" w:cs="宋体"/>
                <w:b w:val="0"/>
              </w:rPr>
              <w:br w:type="textWrapping"/>
            </w:r>
            <w:r>
              <w:rPr>
                <w:rFonts w:ascii="宋体" w:hAnsi="宋体" w:eastAsia="宋体" w:cs="宋体"/>
                <w:b w:val="0"/>
              </w:rPr>
              <w:t xml:space="preserve">    1、本基金单一投资者所持有的基金份额占比较大，单一投资者的巨额赎回，可能导致基金管理人被迫抛售证券以应付基金赎回的现金需要，对本基金的投资运作及净值表现产生较大影响。</w:t>
            </w:r>
            <w:r>
              <w:rPr>
                <w:rFonts w:ascii="宋体" w:hAnsi="宋体" w:eastAsia="宋体" w:cs="宋体"/>
                <w:b w:val="0"/>
              </w:rPr>
              <w:br w:type="textWrapping"/>
            </w:r>
            <w:r>
              <w:rPr>
                <w:rFonts w:ascii="宋体" w:hAnsi="宋体" w:eastAsia="宋体" w:cs="宋体"/>
                <w:b w:val="0"/>
              </w:rPr>
              <w:t xml:space="preserve">    2、持有基金份额占比较高的投资者大额赎回时容易造成本基金发生巨额赎回。在发生巨额赎回情形时，在符合基金合同约定情况下，如基金管理人认为有必要，可延期办理本基金的赎回申请，投资者可能面临赎回申请被延期办理的风险；如果连续2个开放日以上（含）发生巨额赎回，基金管理人可能根据《基金合同》的约定暂停接受基金的赎回申请，对剩余投资者的赎回办理造成影响。</w:t>
            </w:r>
            <w:r>
              <w:rPr>
                <w:rFonts w:ascii="宋体" w:hAnsi="宋体" w:eastAsia="宋体" w:cs="宋体"/>
                <w:b w:val="0"/>
              </w:rPr>
              <w:br w:type="textWrapping"/>
            </w:r>
            <w:r>
              <w:rPr>
                <w:rFonts w:ascii="宋体" w:hAnsi="宋体" w:eastAsia="宋体" w:cs="宋体"/>
                <w:b w:val="0"/>
              </w:rPr>
              <w:t xml:space="preserve">    3、单一投资者巨额赎回可能导致本基金在短时间内无法变现足够的资产予以应对，可能会导致基金仓位调整困难，发生流动性风险。</w:t>
            </w:r>
            <w:r>
              <w:rPr>
                <w:rFonts w:ascii="宋体" w:hAnsi="宋体" w:eastAsia="宋体" w:cs="宋体"/>
                <w:b w:val="0"/>
              </w:rPr>
              <w:br w:type="textWrapping"/>
            </w:r>
            <w:r>
              <w:rPr>
                <w:rFonts w:ascii="宋体" w:hAnsi="宋体" w:eastAsia="宋体" w:cs="宋体"/>
                <w:b w:val="0"/>
              </w:rPr>
              <w:t xml:space="preserve">    4、持有基金份额占比较高的投资者在召开基金份额持有人大会并对重大事项进行投票表决时，可能拥有较大话语权。</w:t>
            </w:r>
            <w:r>
              <w:rPr>
                <w:rFonts w:ascii="宋体" w:hAnsi="宋体" w:eastAsia="宋体" w:cs="宋体"/>
                <w:b w:val="0"/>
              </w:rPr>
              <w:br w:type="textWrapping"/>
            </w:r>
            <w:r>
              <w:rPr>
                <w:rFonts w:ascii="宋体" w:hAnsi="宋体" w:eastAsia="宋体" w:cs="宋体"/>
                <w:b w:val="0"/>
              </w:rPr>
              <w:t xml:space="preserve">    5、超出基金管理人允许的单一投资者持有基金份额比例的申购申请不被确认的风险。</w:t>
            </w:r>
          </w:p>
        </w:tc>
      </w:tr>
    </w:tbl>
    <w:p w14:paraId="567566D9"/>
    <w:p w14:paraId="0E98A425">
      <w:pPr>
        <w:pStyle w:val="3"/>
        <w:jc w:val="left"/>
      </w:pPr>
      <w:bookmarkStart w:id="62" w:name="_Toc25732"/>
      <w:r>
        <w:rPr>
          <w:rFonts w:ascii="宋体" w:hAnsi="宋体" w:eastAsia="宋体" w:cs="宋体"/>
        </w:rPr>
        <w:t>11.2 影响投资者决策的其他重要信息</w:t>
      </w:r>
      <w:bookmarkEnd w:id="62"/>
    </w:p>
    <w:p w14:paraId="79FA5F0A">
      <w:pPr>
        <w:jc w:val="left"/>
      </w:pPr>
      <w:r>
        <w:rPr>
          <w:rFonts w:ascii="宋体" w:hAnsi="宋体" w:eastAsia="宋体" w:cs="宋体"/>
          <w:b w:val="0"/>
        </w:rPr>
        <w:t xml:space="preserve">    无。</w:t>
      </w:r>
    </w:p>
    <w:p w14:paraId="465A1237">
      <w:pPr>
        <w:pStyle w:val="2"/>
        <w:jc w:val="center"/>
      </w:pPr>
      <w:bookmarkStart w:id="63" w:name="_Toc28912"/>
      <w:r>
        <w:rPr>
          <w:rFonts w:ascii="宋体" w:hAnsi="宋体" w:eastAsia="宋体" w:cs="宋体"/>
        </w:rPr>
        <w:t>§12 备查文件目录</w:t>
      </w:r>
      <w:bookmarkEnd w:id="63"/>
    </w:p>
    <w:p w14:paraId="2D4057CF">
      <w:pPr>
        <w:pStyle w:val="3"/>
        <w:jc w:val="left"/>
      </w:pPr>
      <w:bookmarkStart w:id="64" w:name="_Toc15985"/>
      <w:r>
        <w:rPr>
          <w:rFonts w:ascii="宋体" w:hAnsi="宋体" w:eastAsia="宋体" w:cs="宋体"/>
        </w:rPr>
        <w:t>12.1 备查文件目录</w:t>
      </w:r>
      <w:bookmarkEnd w:id="64"/>
    </w:p>
    <w:p w14:paraId="37924162">
      <w:pPr>
        <w:jc w:val="left"/>
      </w:pPr>
      <w:r>
        <w:rPr>
          <w:rFonts w:ascii="宋体" w:hAnsi="宋体" w:eastAsia="宋体" w:cs="宋体"/>
          <w:b w:val="0"/>
        </w:rPr>
        <w:t xml:space="preserve">    1、中国证券监督管理委员会批准的东方阿尔法兴科一年持有期混合型证券投资基金设立的文件；</w:t>
      </w:r>
      <w:r>
        <w:rPr>
          <w:rFonts w:ascii="宋体" w:hAnsi="宋体" w:eastAsia="宋体" w:cs="宋体"/>
          <w:b w:val="0"/>
        </w:rPr>
        <w:br w:type="textWrapping"/>
      </w:r>
      <w:r>
        <w:rPr>
          <w:rFonts w:ascii="宋体" w:hAnsi="宋体" w:eastAsia="宋体" w:cs="宋体"/>
          <w:b w:val="0"/>
        </w:rPr>
        <w:t xml:space="preserve">    2、《东方阿尔法兴科一年持有期混合型证券投资基金基金合同》；</w:t>
      </w:r>
      <w:r>
        <w:rPr>
          <w:rFonts w:ascii="宋体" w:hAnsi="宋体" w:eastAsia="宋体" w:cs="宋体"/>
          <w:b w:val="0"/>
        </w:rPr>
        <w:br w:type="textWrapping"/>
      </w:r>
      <w:r>
        <w:rPr>
          <w:rFonts w:ascii="宋体" w:hAnsi="宋体" w:eastAsia="宋体" w:cs="宋体"/>
          <w:b w:val="0"/>
        </w:rPr>
        <w:t xml:space="preserve">    3、《东方阿尔法兴科一年持有期混合型证券投资基金托管协议》；</w:t>
      </w:r>
      <w:r>
        <w:rPr>
          <w:rFonts w:ascii="宋体" w:hAnsi="宋体" w:eastAsia="宋体" w:cs="宋体"/>
          <w:b w:val="0"/>
        </w:rPr>
        <w:br w:type="textWrapping"/>
      </w:r>
      <w:r>
        <w:rPr>
          <w:rFonts w:ascii="宋体" w:hAnsi="宋体" w:eastAsia="宋体" w:cs="宋体"/>
          <w:b w:val="0"/>
        </w:rPr>
        <w:t xml:space="preserve">    4、《东方阿尔法兴科一年持有期混合型证券投资基金招募说明书》（含更新）；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62831E90"/>
    <w:p w14:paraId="5273AC39">
      <w:pPr>
        <w:pStyle w:val="3"/>
        <w:jc w:val="left"/>
      </w:pPr>
      <w:bookmarkStart w:id="65" w:name="_Toc28940"/>
      <w:r>
        <w:rPr>
          <w:rFonts w:ascii="宋体" w:hAnsi="宋体" w:eastAsia="宋体" w:cs="宋体"/>
        </w:rPr>
        <w:t>12.2 存放地点</w:t>
      </w:r>
      <w:bookmarkEnd w:id="65"/>
    </w:p>
    <w:p w14:paraId="2EFD2650">
      <w:pPr>
        <w:jc w:val="left"/>
      </w:pPr>
      <w:r>
        <w:rPr>
          <w:rFonts w:ascii="宋体" w:hAnsi="宋体" w:eastAsia="宋体" w:cs="宋体"/>
          <w:b w:val="0"/>
        </w:rPr>
        <w:t xml:space="preserve">    基金管理人和基金托管人的住所。</w:t>
      </w:r>
    </w:p>
    <w:p w14:paraId="04A789C4"/>
    <w:p w14:paraId="725F0223">
      <w:pPr>
        <w:pStyle w:val="3"/>
        <w:jc w:val="left"/>
      </w:pPr>
      <w:bookmarkStart w:id="66" w:name="_Toc28051"/>
      <w:r>
        <w:rPr>
          <w:rFonts w:ascii="宋体" w:hAnsi="宋体" w:eastAsia="宋体" w:cs="宋体"/>
        </w:rPr>
        <w:t>12.3 查阅方式</w:t>
      </w:r>
      <w:bookmarkEnd w:id="66"/>
    </w:p>
    <w:p w14:paraId="402DC8B7">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02849478"/>
    <w:p w14:paraId="2E4EB9B7"/>
    <w:p w14:paraId="0D2F6858"/>
    <w:p w14:paraId="7E0DE3C9">
      <w:pPr>
        <w:jc w:val="right"/>
      </w:pPr>
      <w:r>
        <w:rPr>
          <w:rFonts w:ascii="宋体" w:hAnsi="宋体" w:eastAsia="宋体" w:cs="宋体"/>
          <w:b/>
        </w:rPr>
        <w:t>东方阿尔法基金管理有限公司</w:t>
      </w:r>
    </w:p>
    <w:p w14:paraId="08A929B0">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东方阿尔法兴科一年持有期混合型证券投资基金2026年中期报告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312016A7"/>
    <w:rsid w:val="328572ED"/>
    <w:rsid w:val="3E9A1429"/>
    <w:rsid w:val="5EE34946"/>
    <w:rsid w:val="62671060"/>
    <w:rsid w:val="67517C74"/>
    <w:rsid w:val="791E22E2"/>
    <w:rsid w:val="7A382AC9"/>
    <w:rsid w:val="7EF675CB"/>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autoRedefine/>
    <w:unhideWhenUsed/>
    <w:qFormat/>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qFormat/>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qFormat/>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qFormat/>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qFormat/>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2026-08-27T08:21:50Z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0D36EBA1A49B46679D8AA2061D3B5F5A_12</vt:lpwstr>
  </property>
</Properties>
</file>