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C650C">
      <w:pPr>
        <w:pStyle w:val="19"/>
        <w:tabs>
          <w:tab w:val="right" w:leader="dot" w:pos="9080"/>
        </w:tabs>
        <w:spacing w:before="72" w:after="120"/>
        <w:jc w:val="center"/>
        <w:rPr>
          <w:rFonts w:ascii="宋体" w:hAnsi="宋体"/>
          <w:b/>
          <w:bCs/>
          <w:sz w:val="24"/>
        </w:rPr>
      </w:pPr>
      <w:bookmarkStart w:id="66" w:name="_GoBack"/>
      <w:bookmarkEnd w:id="66"/>
    </w:p>
    <w:p w14:paraId="506D74B8">
      <w:pPr>
        <w:pStyle w:val="19"/>
        <w:tabs>
          <w:tab w:val="right" w:leader="dot" w:pos="9080"/>
        </w:tabs>
        <w:spacing w:before="72" w:after="120"/>
        <w:jc w:val="center"/>
        <w:rPr>
          <w:rFonts w:ascii="宋体" w:hAnsi="宋体"/>
          <w:b/>
          <w:bCs/>
          <w:sz w:val="24"/>
        </w:rPr>
      </w:pPr>
    </w:p>
    <w:p w14:paraId="12239E3F">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东方阿尔法增利债券型发起式证券投资基金</w:t>
      </w:r>
    </w:p>
    <w:p w14:paraId="7B7AA3D6">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2026年中期报告</w:t>
      </w:r>
    </w:p>
    <w:p w14:paraId="2AEC377D">
      <w:pPr>
        <w:pStyle w:val="19"/>
        <w:tabs>
          <w:tab w:val="right" w:leader="dot" w:pos="9080"/>
        </w:tabs>
        <w:spacing w:line="480" w:lineRule="auto"/>
        <w:jc w:val="center"/>
        <w:rPr>
          <w:rFonts w:ascii="宋体" w:hAnsi="宋体" w:eastAsia="宋体" w:cs="宋体"/>
          <w:b/>
          <w:bCs/>
          <w:sz w:val="24"/>
        </w:rPr>
      </w:pPr>
      <w:r>
        <w:rPr>
          <w:rFonts w:hint="eastAsia" w:ascii="宋体" w:hAnsi="宋体" w:eastAsia="宋体" w:cs="宋体"/>
          <w:b/>
          <w:bCs/>
          <w:sz w:val="24"/>
        </w:rPr>
        <w:t>2026年06月30日</w:t>
      </w:r>
    </w:p>
    <w:p w14:paraId="43197BDE">
      <w:pPr>
        <w:pStyle w:val="19"/>
        <w:tabs>
          <w:tab w:val="right" w:leader="dot" w:pos="9080"/>
        </w:tabs>
        <w:spacing w:before="72" w:after="120"/>
        <w:jc w:val="center"/>
        <w:rPr>
          <w:rFonts w:ascii="宋体" w:hAnsi="宋体"/>
          <w:b/>
          <w:bCs/>
          <w:sz w:val="24"/>
        </w:rPr>
      </w:pPr>
    </w:p>
    <w:p w14:paraId="43B1DC19">
      <w:pPr>
        <w:pStyle w:val="19"/>
        <w:tabs>
          <w:tab w:val="right" w:leader="dot" w:pos="9080"/>
        </w:tabs>
        <w:spacing w:before="72" w:after="120"/>
        <w:jc w:val="center"/>
        <w:rPr>
          <w:rFonts w:ascii="宋体" w:hAnsi="宋体"/>
          <w:b/>
          <w:bCs/>
          <w:sz w:val="24"/>
        </w:rPr>
      </w:pPr>
    </w:p>
    <w:p w14:paraId="19558CDE">
      <w:pPr>
        <w:pStyle w:val="19"/>
        <w:tabs>
          <w:tab w:val="right" w:leader="dot" w:pos="9080"/>
        </w:tabs>
        <w:spacing w:before="72" w:after="120"/>
        <w:jc w:val="center"/>
        <w:rPr>
          <w:rFonts w:ascii="宋体" w:hAnsi="宋体"/>
          <w:b/>
          <w:bCs/>
          <w:sz w:val="24"/>
        </w:rPr>
      </w:pPr>
    </w:p>
    <w:p w14:paraId="0209D5B4">
      <w:pPr>
        <w:pStyle w:val="19"/>
        <w:tabs>
          <w:tab w:val="right" w:leader="dot" w:pos="9080"/>
        </w:tabs>
        <w:spacing w:before="72" w:after="120"/>
        <w:jc w:val="center"/>
        <w:rPr>
          <w:rFonts w:ascii="宋体" w:hAnsi="宋体"/>
          <w:b/>
          <w:bCs/>
          <w:sz w:val="24"/>
        </w:rPr>
      </w:pPr>
    </w:p>
    <w:p w14:paraId="4E57FE95">
      <w:pPr>
        <w:pStyle w:val="19"/>
        <w:tabs>
          <w:tab w:val="right" w:leader="dot" w:pos="9080"/>
        </w:tabs>
        <w:spacing w:before="72" w:after="120"/>
        <w:jc w:val="center"/>
        <w:rPr>
          <w:rFonts w:ascii="宋体" w:hAnsi="宋体"/>
          <w:b/>
          <w:bCs/>
          <w:sz w:val="24"/>
        </w:rPr>
      </w:pPr>
    </w:p>
    <w:p w14:paraId="20CE69B5">
      <w:pPr>
        <w:pStyle w:val="19"/>
        <w:tabs>
          <w:tab w:val="right" w:leader="dot" w:pos="9080"/>
        </w:tabs>
        <w:spacing w:before="72" w:after="120"/>
        <w:jc w:val="center"/>
        <w:rPr>
          <w:rFonts w:ascii="宋体" w:hAnsi="宋体"/>
          <w:b/>
          <w:bCs/>
          <w:sz w:val="24"/>
        </w:rPr>
      </w:pPr>
    </w:p>
    <w:p w14:paraId="29BA0B7D">
      <w:pPr>
        <w:pStyle w:val="19"/>
        <w:tabs>
          <w:tab w:val="right" w:leader="dot" w:pos="9080"/>
        </w:tabs>
        <w:spacing w:before="72" w:after="120"/>
        <w:jc w:val="center"/>
        <w:rPr>
          <w:rFonts w:ascii="宋体" w:hAnsi="宋体"/>
          <w:b/>
          <w:bCs/>
          <w:sz w:val="24"/>
        </w:rPr>
      </w:pPr>
    </w:p>
    <w:p w14:paraId="61577FDE">
      <w:pPr>
        <w:pStyle w:val="19"/>
        <w:tabs>
          <w:tab w:val="right" w:leader="dot" w:pos="9080"/>
        </w:tabs>
        <w:spacing w:before="72" w:after="120"/>
        <w:jc w:val="center"/>
        <w:rPr>
          <w:rFonts w:ascii="宋体" w:hAnsi="宋体"/>
          <w:b/>
          <w:bCs/>
          <w:sz w:val="24"/>
        </w:rPr>
      </w:pPr>
    </w:p>
    <w:p w14:paraId="74D15018">
      <w:pPr>
        <w:pStyle w:val="19"/>
        <w:tabs>
          <w:tab w:val="right" w:leader="dot" w:pos="9080"/>
        </w:tabs>
        <w:spacing w:before="72" w:after="120"/>
        <w:jc w:val="center"/>
        <w:rPr>
          <w:rFonts w:ascii="宋体" w:hAnsi="宋体"/>
          <w:b/>
          <w:bCs/>
          <w:sz w:val="24"/>
        </w:rPr>
      </w:pPr>
    </w:p>
    <w:p w14:paraId="1CFAB0DE">
      <w:pPr>
        <w:pStyle w:val="19"/>
        <w:tabs>
          <w:tab w:val="right" w:leader="dot" w:pos="9080"/>
        </w:tabs>
        <w:spacing w:before="72" w:after="120"/>
        <w:jc w:val="center"/>
        <w:rPr>
          <w:rFonts w:ascii="宋体" w:hAnsi="宋体"/>
          <w:b/>
          <w:bCs/>
          <w:sz w:val="24"/>
        </w:rPr>
      </w:pPr>
    </w:p>
    <w:p w14:paraId="585FE9C5">
      <w:pPr>
        <w:pStyle w:val="19"/>
        <w:tabs>
          <w:tab w:val="right" w:leader="dot" w:pos="9080"/>
        </w:tabs>
        <w:spacing w:before="72" w:after="120"/>
        <w:jc w:val="center"/>
        <w:rPr>
          <w:rFonts w:ascii="宋体" w:hAnsi="宋体"/>
          <w:b/>
          <w:bCs/>
          <w:sz w:val="24"/>
        </w:rPr>
      </w:pPr>
    </w:p>
    <w:p w14:paraId="72982273">
      <w:pPr>
        <w:pStyle w:val="19"/>
        <w:tabs>
          <w:tab w:val="right" w:leader="dot" w:pos="9080"/>
        </w:tabs>
        <w:spacing w:before="72" w:after="120"/>
        <w:jc w:val="center"/>
        <w:rPr>
          <w:rFonts w:ascii="宋体" w:hAnsi="宋体"/>
          <w:b/>
          <w:bCs/>
          <w:sz w:val="24"/>
        </w:rPr>
      </w:pPr>
    </w:p>
    <w:p w14:paraId="516E8798">
      <w:pPr>
        <w:pStyle w:val="19"/>
        <w:tabs>
          <w:tab w:val="right" w:leader="dot" w:pos="9080"/>
        </w:tabs>
        <w:spacing w:before="72" w:after="120"/>
        <w:jc w:val="center"/>
        <w:rPr>
          <w:rFonts w:ascii="宋体" w:hAnsi="宋体"/>
          <w:b/>
          <w:bCs/>
          <w:sz w:val="24"/>
        </w:rPr>
      </w:pPr>
    </w:p>
    <w:p w14:paraId="1854A8C4">
      <w:pPr>
        <w:pStyle w:val="19"/>
        <w:tabs>
          <w:tab w:val="right" w:leader="dot" w:pos="9080"/>
        </w:tabs>
        <w:spacing w:before="72" w:after="120"/>
        <w:jc w:val="center"/>
        <w:rPr>
          <w:rFonts w:ascii="宋体" w:hAnsi="宋体"/>
          <w:b/>
          <w:bCs/>
          <w:sz w:val="24"/>
        </w:rPr>
      </w:pPr>
    </w:p>
    <w:p w14:paraId="02DB12D1">
      <w:pPr>
        <w:pStyle w:val="19"/>
        <w:tabs>
          <w:tab w:val="right" w:leader="dot" w:pos="9080"/>
        </w:tabs>
        <w:spacing w:before="72" w:after="120"/>
        <w:jc w:val="center"/>
        <w:rPr>
          <w:rFonts w:ascii="宋体" w:hAnsi="宋体"/>
          <w:b/>
          <w:bCs/>
          <w:sz w:val="24"/>
        </w:rPr>
      </w:pPr>
    </w:p>
    <w:p w14:paraId="296D8477">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基金管理人:</w:t>
      </w:r>
      <w:r>
        <w:rPr>
          <w:rFonts w:ascii="宋体" w:hAnsi="宋体" w:eastAsia="宋体" w:cs="宋体"/>
          <w:b/>
          <w:color w:val="auto"/>
          <w:sz w:val="24"/>
          <w:u w:val="none"/>
        </w:rPr>
        <w:t>东方阿尔法基金管理有限公司</w:t>
      </w:r>
    </w:p>
    <w:p w14:paraId="697F86F9">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基金托管人:</w:t>
      </w:r>
      <w:r>
        <w:rPr>
          <w:rFonts w:ascii="宋体" w:hAnsi="宋体" w:eastAsia="宋体" w:cs="宋体"/>
          <w:b/>
          <w:color w:val="auto"/>
          <w:sz w:val="24"/>
          <w:u w:val="none"/>
        </w:rPr>
        <w:t>招商银行股份有限公司</w:t>
      </w:r>
    </w:p>
    <w:p w14:paraId="5C69E2B6">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报告送出日期:</w:t>
      </w:r>
      <w:r>
        <w:rPr>
          <w:rFonts w:ascii="宋体" w:hAnsi="宋体" w:eastAsia="宋体" w:cs="宋体"/>
          <w:b/>
          <w:color w:val="auto"/>
          <w:sz w:val="24"/>
          <w:u w:val="none"/>
        </w:rPr>
        <w:t>2026年08月31日</w:t>
      </w:r>
    </w:p>
    <w:p w14:paraId="652B3B4E">
      <w:pPr>
        <w:jc w:val="center"/>
      </w:pPr>
      <w:r>
        <w:br w:type="page"/>
      </w:r>
    </w:p>
    <w:p w14:paraId="468EFB59">
      <w:pPr>
        <w:pStyle w:val="2"/>
        <w:rPr>
          <w:rFonts w:ascii="宋体" w:hAnsi="宋体"/>
        </w:rPr>
      </w:pPr>
      <w:bookmarkStart w:id="0" w:name="_Toc35266759"/>
      <w:bookmarkStart w:id="1" w:name="_Toc22869"/>
      <w:r>
        <w:rPr>
          <w:rFonts w:hint="eastAsia" w:ascii="宋体" w:hAnsi="宋体"/>
          <w:color w:val="000000"/>
        </w:rPr>
        <w:t>§1 重要提示及目录</w:t>
      </w:r>
      <w:bookmarkEnd w:id="0"/>
      <w:bookmarkEnd w:id="1"/>
    </w:p>
    <w:p w14:paraId="764D6144">
      <w:pPr>
        <w:pStyle w:val="3"/>
        <w:adjustRightInd w:val="0"/>
        <w:rPr>
          <w:rFonts w:ascii="宋体" w:hAnsi="宋体"/>
        </w:rPr>
      </w:pPr>
      <w:bookmarkStart w:id="2" w:name="_Toc35266760"/>
      <w:bookmarkStart w:id="3" w:name="_Toc16453"/>
      <w:r>
        <w:rPr>
          <w:rFonts w:hint="eastAsia" w:ascii="宋体" w:hAnsi="宋体"/>
        </w:rPr>
        <w:t>1.1 重要提示</w:t>
      </w:r>
      <w:bookmarkEnd w:id="2"/>
      <w:bookmarkEnd w:id="3"/>
    </w:p>
    <w:p w14:paraId="75ACFCE0">
      <w:pPr>
        <w:widowControl/>
        <w:jc w:val="left"/>
        <w:rPr>
          <w:rFonts w:hint="eastAsia" w:ascii="宋体" w:hAnsi="宋体" w:eastAsia="宋体"/>
          <w:b/>
          <w:sz w:val="24"/>
          <w:szCs w:val="24"/>
        </w:rPr>
      </w:pPr>
      <w:r>
        <w:t xml:space="preserve">    基金管理人的董事会、董事保证本报告所载资料不存在虚假记载、误导性陈述或重大遗漏，并对其内容的真实性、准确性和完整性承担个别及连带的法律责任。本中期报告已经三分之二以上独立董事签字同意。 </w:t>
      </w:r>
      <w:r>
        <w:cr/>
      </w:r>
      <w:r>
        <w:t xml:space="preserve">    基金托管人招商银行股份有限公司根据本基金合同约定，于2026年08月28日复核了本报告中的财务指标、净值表现、利润分配情况、财务会计报告、投资组合报告等内容，保证复核内容不存在虚假记载、误导性陈述或者重大遗漏。</w:t>
      </w:r>
      <w:r>
        <w:cr/>
      </w:r>
      <w:r>
        <w:t xml:space="preserve">    基金管理人承诺以诚实信用、勤勉尽责的原则管理和运用基金资产，但不保证基金一定盈利。 </w:t>
      </w:r>
      <w:r>
        <w:cr/>
      </w:r>
      <w:r>
        <w:t xml:space="preserve">    基金的过往业绩并不代表其未来表现。投资有风险，投资者在作出投资决策前应仔细阅读本基金的招募说明书及其更新。 </w:t>
      </w:r>
      <w:r>
        <w:cr/>
      </w:r>
      <w:r>
        <w:t xml:space="preserve">    本报告中的财务资料未经审计。</w:t>
      </w:r>
      <w:r>
        <w:cr/>
      </w:r>
      <w:r>
        <w:t xml:space="preserve">    本报告期自2026年06月02日（基金合同生效日）起至2026年06月30日止。</w:t>
      </w:r>
    </w:p>
    <w:p w14:paraId="086E17BD">
      <w:r>
        <w:br w:type="page"/>
      </w:r>
    </w:p>
    <w:p w14:paraId="0291529B">
      <w:pPr>
        <w:pStyle w:val="3"/>
        <w:rPr>
          <w:rFonts w:ascii="宋体" w:hAnsi="宋体"/>
        </w:rPr>
      </w:pPr>
      <w:bookmarkStart w:id="4" w:name="_Toc15020"/>
      <w:r>
        <w:rPr>
          <w:rFonts w:hint="eastAsia" w:ascii="宋体" w:hAnsi="宋体"/>
        </w:rPr>
        <w:t>1</w:t>
      </w:r>
      <w:r>
        <w:rPr>
          <w:rFonts w:ascii="宋体" w:hAnsi="宋体"/>
        </w:rPr>
        <w:t xml:space="preserve">.2 </w:t>
      </w:r>
      <w:r>
        <w:rPr>
          <w:rFonts w:hint="eastAsia" w:ascii="宋体" w:hAnsi="宋体"/>
        </w:rPr>
        <w:t>目录</w:t>
      </w:r>
      <w:bookmarkEnd w:id="4"/>
    </w:p>
    <w:p w14:paraId="1D40ADB4">
      <w:pPr>
        <w:pStyle w:val="19"/>
        <w:tabs>
          <w:tab w:val="right" w:leader="dot" w:pos="9070"/>
          <w:tab w:val="clear" w:pos="9060"/>
        </w:tabs>
      </w:pPr>
      <w:r>
        <w:fldChar w:fldCharType="begin"/>
      </w:r>
      <w:r>
        <w:instrText xml:space="preserve">TOC \o "1-2" \h \z \u </w:instrText>
      </w:r>
      <w:r>
        <w:fldChar w:fldCharType="separate"/>
      </w:r>
      <w:r>
        <w:fldChar w:fldCharType="begin"/>
      </w:r>
      <w:r>
        <w:instrText xml:space="preserve"> HYPERLINK \l _Toc22869 </w:instrText>
      </w:r>
      <w:r>
        <w:fldChar w:fldCharType="separate"/>
      </w:r>
      <w:r>
        <w:rPr>
          <w:rFonts w:hint="eastAsia" w:ascii="宋体" w:hAnsi="宋体"/>
        </w:rPr>
        <w:t>§1 重要提示及目录</w:t>
      </w:r>
      <w:r>
        <w:tab/>
      </w:r>
      <w:r>
        <w:fldChar w:fldCharType="begin"/>
      </w:r>
      <w:r>
        <w:instrText xml:space="preserve"> PAGEREF _Toc22869 \h </w:instrText>
      </w:r>
      <w:r>
        <w:fldChar w:fldCharType="separate"/>
      </w:r>
      <w:r>
        <w:t>1</w:t>
      </w:r>
      <w:r>
        <w:fldChar w:fldCharType="end"/>
      </w:r>
      <w:r>
        <w:fldChar w:fldCharType="end"/>
      </w:r>
    </w:p>
    <w:p w14:paraId="781FC263">
      <w:pPr>
        <w:pStyle w:val="22"/>
        <w:tabs>
          <w:tab w:val="right" w:leader="dot" w:pos="9070"/>
        </w:tabs>
      </w:pPr>
      <w:r>
        <w:fldChar w:fldCharType="begin"/>
      </w:r>
      <w:r>
        <w:instrText xml:space="preserve"> HYPERLINK \l _Toc16453 </w:instrText>
      </w:r>
      <w:r>
        <w:fldChar w:fldCharType="separate"/>
      </w:r>
      <w:r>
        <w:rPr>
          <w:rFonts w:hint="eastAsia" w:ascii="宋体" w:hAnsi="宋体"/>
        </w:rPr>
        <w:t>1.1 重要提示</w:t>
      </w:r>
      <w:r>
        <w:tab/>
      </w:r>
      <w:r>
        <w:fldChar w:fldCharType="begin"/>
      </w:r>
      <w:r>
        <w:instrText xml:space="preserve"> PAGEREF _Toc16453 \h </w:instrText>
      </w:r>
      <w:r>
        <w:fldChar w:fldCharType="separate"/>
      </w:r>
      <w:r>
        <w:t>1</w:t>
      </w:r>
      <w:r>
        <w:fldChar w:fldCharType="end"/>
      </w:r>
      <w:r>
        <w:fldChar w:fldCharType="end"/>
      </w:r>
    </w:p>
    <w:p w14:paraId="486DB223">
      <w:pPr>
        <w:pStyle w:val="22"/>
        <w:tabs>
          <w:tab w:val="right" w:leader="dot" w:pos="9070"/>
        </w:tabs>
      </w:pPr>
      <w:r>
        <w:fldChar w:fldCharType="begin"/>
      </w:r>
      <w:r>
        <w:instrText xml:space="preserve"> HYPERLINK \l _Toc15020 </w:instrText>
      </w:r>
      <w:r>
        <w:fldChar w:fldCharType="separate"/>
      </w:r>
      <w:r>
        <w:rPr>
          <w:rFonts w:hint="eastAsia" w:ascii="宋体" w:hAnsi="宋体"/>
        </w:rPr>
        <w:t>1</w:t>
      </w:r>
      <w:r>
        <w:rPr>
          <w:rFonts w:ascii="宋体" w:hAnsi="宋体"/>
        </w:rPr>
        <w:t xml:space="preserve">.2 </w:t>
      </w:r>
      <w:r>
        <w:rPr>
          <w:rFonts w:hint="eastAsia" w:ascii="宋体" w:hAnsi="宋体"/>
        </w:rPr>
        <w:t>目录</w:t>
      </w:r>
      <w:r>
        <w:tab/>
      </w:r>
      <w:r>
        <w:fldChar w:fldCharType="begin"/>
      </w:r>
      <w:r>
        <w:instrText xml:space="preserve"> PAGEREF _Toc15020 \h </w:instrText>
      </w:r>
      <w:r>
        <w:fldChar w:fldCharType="separate"/>
      </w:r>
      <w:r>
        <w:t>2</w:t>
      </w:r>
      <w:r>
        <w:fldChar w:fldCharType="end"/>
      </w:r>
      <w:r>
        <w:fldChar w:fldCharType="end"/>
      </w:r>
    </w:p>
    <w:p w14:paraId="4B9A08C1">
      <w:pPr>
        <w:pStyle w:val="19"/>
        <w:tabs>
          <w:tab w:val="right" w:leader="dot" w:pos="9070"/>
          <w:tab w:val="clear" w:pos="9060"/>
        </w:tabs>
      </w:pPr>
      <w:r>
        <w:fldChar w:fldCharType="begin"/>
      </w:r>
      <w:r>
        <w:instrText xml:space="preserve"> HYPERLINK \l _Toc8962 </w:instrText>
      </w:r>
      <w:r>
        <w:fldChar w:fldCharType="separate"/>
      </w:r>
      <w:r>
        <w:rPr>
          <w:rFonts w:ascii="宋体" w:hAnsi="宋体" w:eastAsia="宋体" w:cs="宋体"/>
        </w:rPr>
        <w:t>§2 基金简介</w:t>
      </w:r>
      <w:r>
        <w:tab/>
      </w:r>
      <w:r>
        <w:fldChar w:fldCharType="begin"/>
      </w:r>
      <w:r>
        <w:instrText xml:space="preserve"> PAGEREF _Toc8962 \h </w:instrText>
      </w:r>
      <w:r>
        <w:fldChar w:fldCharType="separate"/>
      </w:r>
      <w:r>
        <w:t>4</w:t>
      </w:r>
      <w:r>
        <w:fldChar w:fldCharType="end"/>
      </w:r>
      <w:r>
        <w:fldChar w:fldCharType="end"/>
      </w:r>
    </w:p>
    <w:p w14:paraId="09532371">
      <w:pPr>
        <w:pStyle w:val="22"/>
        <w:tabs>
          <w:tab w:val="right" w:leader="dot" w:pos="9070"/>
        </w:tabs>
      </w:pPr>
      <w:r>
        <w:fldChar w:fldCharType="begin"/>
      </w:r>
      <w:r>
        <w:instrText xml:space="preserve"> HYPERLINK \l _Toc29650 </w:instrText>
      </w:r>
      <w:r>
        <w:fldChar w:fldCharType="separate"/>
      </w:r>
      <w:r>
        <w:rPr>
          <w:rFonts w:ascii="宋体" w:hAnsi="宋体" w:eastAsia="宋体" w:cs="宋体"/>
        </w:rPr>
        <w:t>2.1 基金基本情况</w:t>
      </w:r>
      <w:r>
        <w:tab/>
      </w:r>
      <w:r>
        <w:fldChar w:fldCharType="begin"/>
      </w:r>
      <w:r>
        <w:instrText xml:space="preserve"> PAGEREF _Toc29650 \h </w:instrText>
      </w:r>
      <w:r>
        <w:fldChar w:fldCharType="separate"/>
      </w:r>
      <w:r>
        <w:t>4</w:t>
      </w:r>
      <w:r>
        <w:fldChar w:fldCharType="end"/>
      </w:r>
      <w:r>
        <w:fldChar w:fldCharType="end"/>
      </w:r>
    </w:p>
    <w:p w14:paraId="721F23F8">
      <w:pPr>
        <w:pStyle w:val="22"/>
        <w:tabs>
          <w:tab w:val="right" w:leader="dot" w:pos="9070"/>
        </w:tabs>
      </w:pPr>
      <w:r>
        <w:fldChar w:fldCharType="begin"/>
      </w:r>
      <w:r>
        <w:instrText xml:space="preserve"> HYPERLINK \l _Toc29335 </w:instrText>
      </w:r>
      <w:r>
        <w:fldChar w:fldCharType="separate"/>
      </w:r>
      <w:r>
        <w:rPr>
          <w:rFonts w:ascii="宋体" w:hAnsi="宋体" w:eastAsia="宋体" w:cs="宋体"/>
        </w:rPr>
        <w:t>2.2 基金产品说明</w:t>
      </w:r>
      <w:r>
        <w:tab/>
      </w:r>
      <w:r>
        <w:fldChar w:fldCharType="begin"/>
      </w:r>
      <w:r>
        <w:instrText xml:space="preserve"> PAGEREF _Toc29335 \h </w:instrText>
      </w:r>
      <w:r>
        <w:fldChar w:fldCharType="separate"/>
      </w:r>
      <w:r>
        <w:t>4</w:t>
      </w:r>
      <w:r>
        <w:fldChar w:fldCharType="end"/>
      </w:r>
      <w:r>
        <w:fldChar w:fldCharType="end"/>
      </w:r>
    </w:p>
    <w:p w14:paraId="57A9D28D">
      <w:pPr>
        <w:pStyle w:val="22"/>
        <w:tabs>
          <w:tab w:val="right" w:leader="dot" w:pos="9070"/>
        </w:tabs>
      </w:pPr>
      <w:r>
        <w:fldChar w:fldCharType="begin"/>
      </w:r>
      <w:r>
        <w:instrText xml:space="preserve"> HYPERLINK \l _Toc13980 </w:instrText>
      </w:r>
      <w:r>
        <w:fldChar w:fldCharType="separate"/>
      </w:r>
      <w:r>
        <w:rPr>
          <w:rFonts w:ascii="宋体" w:hAnsi="宋体" w:eastAsia="宋体" w:cs="宋体"/>
        </w:rPr>
        <w:t>2.3 基金管理人和基金托管人</w:t>
      </w:r>
      <w:r>
        <w:tab/>
      </w:r>
      <w:r>
        <w:fldChar w:fldCharType="begin"/>
      </w:r>
      <w:r>
        <w:instrText xml:space="preserve"> PAGEREF _Toc13980 \h </w:instrText>
      </w:r>
      <w:r>
        <w:fldChar w:fldCharType="separate"/>
      </w:r>
      <w:r>
        <w:t>5</w:t>
      </w:r>
      <w:r>
        <w:fldChar w:fldCharType="end"/>
      </w:r>
      <w:r>
        <w:fldChar w:fldCharType="end"/>
      </w:r>
    </w:p>
    <w:p w14:paraId="2DC7B26F">
      <w:pPr>
        <w:pStyle w:val="22"/>
        <w:tabs>
          <w:tab w:val="right" w:leader="dot" w:pos="9070"/>
        </w:tabs>
      </w:pPr>
      <w:r>
        <w:fldChar w:fldCharType="begin"/>
      </w:r>
      <w:r>
        <w:instrText xml:space="preserve"> HYPERLINK \l _Toc11713 </w:instrText>
      </w:r>
      <w:r>
        <w:fldChar w:fldCharType="separate"/>
      </w:r>
      <w:r>
        <w:rPr>
          <w:rFonts w:ascii="宋体" w:hAnsi="宋体" w:eastAsia="宋体" w:cs="宋体"/>
        </w:rPr>
        <w:t>2.4 信息披露方式</w:t>
      </w:r>
      <w:r>
        <w:tab/>
      </w:r>
      <w:r>
        <w:fldChar w:fldCharType="begin"/>
      </w:r>
      <w:r>
        <w:instrText xml:space="preserve"> PAGEREF _Toc11713 \h </w:instrText>
      </w:r>
      <w:r>
        <w:fldChar w:fldCharType="separate"/>
      </w:r>
      <w:r>
        <w:t>5</w:t>
      </w:r>
      <w:r>
        <w:fldChar w:fldCharType="end"/>
      </w:r>
      <w:r>
        <w:fldChar w:fldCharType="end"/>
      </w:r>
    </w:p>
    <w:p w14:paraId="27D1CCF4">
      <w:pPr>
        <w:pStyle w:val="19"/>
        <w:tabs>
          <w:tab w:val="right" w:leader="dot" w:pos="9070"/>
          <w:tab w:val="clear" w:pos="9060"/>
        </w:tabs>
      </w:pPr>
      <w:r>
        <w:fldChar w:fldCharType="begin"/>
      </w:r>
      <w:r>
        <w:instrText xml:space="preserve"> HYPERLINK \l _Toc12832 </w:instrText>
      </w:r>
      <w:r>
        <w:fldChar w:fldCharType="separate"/>
      </w:r>
      <w:r>
        <w:rPr>
          <w:rFonts w:ascii="宋体" w:hAnsi="宋体" w:eastAsia="宋体" w:cs="宋体"/>
        </w:rPr>
        <w:t>§3 主要财务指标和基金净值表现</w:t>
      </w:r>
      <w:r>
        <w:tab/>
      </w:r>
      <w:r>
        <w:fldChar w:fldCharType="begin"/>
      </w:r>
      <w:r>
        <w:instrText xml:space="preserve"> PAGEREF _Toc12832 \h </w:instrText>
      </w:r>
      <w:r>
        <w:fldChar w:fldCharType="separate"/>
      </w:r>
      <w:r>
        <w:t>5</w:t>
      </w:r>
      <w:r>
        <w:fldChar w:fldCharType="end"/>
      </w:r>
      <w:r>
        <w:fldChar w:fldCharType="end"/>
      </w:r>
    </w:p>
    <w:p w14:paraId="7D4B2F7B">
      <w:pPr>
        <w:pStyle w:val="22"/>
        <w:tabs>
          <w:tab w:val="right" w:leader="dot" w:pos="9070"/>
        </w:tabs>
      </w:pPr>
      <w:r>
        <w:fldChar w:fldCharType="begin"/>
      </w:r>
      <w:r>
        <w:instrText xml:space="preserve"> HYPERLINK \l _Toc3402 </w:instrText>
      </w:r>
      <w:r>
        <w:fldChar w:fldCharType="separate"/>
      </w:r>
      <w:r>
        <w:rPr>
          <w:rFonts w:ascii="宋体" w:hAnsi="宋体" w:eastAsia="宋体" w:cs="宋体"/>
        </w:rPr>
        <w:t>3.1 主要会计数据和财务指标</w:t>
      </w:r>
      <w:r>
        <w:tab/>
      </w:r>
      <w:r>
        <w:fldChar w:fldCharType="begin"/>
      </w:r>
      <w:r>
        <w:instrText xml:space="preserve"> PAGEREF _Toc3402 \h </w:instrText>
      </w:r>
      <w:r>
        <w:fldChar w:fldCharType="separate"/>
      </w:r>
      <w:r>
        <w:t>5</w:t>
      </w:r>
      <w:r>
        <w:fldChar w:fldCharType="end"/>
      </w:r>
      <w:r>
        <w:fldChar w:fldCharType="end"/>
      </w:r>
    </w:p>
    <w:p w14:paraId="7688ECC6">
      <w:pPr>
        <w:pStyle w:val="22"/>
        <w:tabs>
          <w:tab w:val="right" w:leader="dot" w:pos="9070"/>
        </w:tabs>
      </w:pPr>
      <w:r>
        <w:fldChar w:fldCharType="begin"/>
      </w:r>
      <w:r>
        <w:instrText xml:space="preserve"> HYPERLINK \l _Toc4584 </w:instrText>
      </w:r>
      <w:r>
        <w:fldChar w:fldCharType="separate"/>
      </w:r>
      <w:r>
        <w:rPr>
          <w:rFonts w:ascii="宋体" w:hAnsi="宋体" w:eastAsia="宋体" w:cs="宋体"/>
        </w:rPr>
        <w:t>3.2 基金净值表现</w:t>
      </w:r>
      <w:r>
        <w:tab/>
      </w:r>
      <w:r>
        <w:fldChar w:fldCharType="begin"/>
      </w:r>
      <w:r>
        <w:instrText xml:space="preserve"> PAGEREF _Toc4584 \h </w:instrText>
      </w:r>
      <w:r>
        <w:fldChar w:fldCharType="separate"/>
      </w:r>
      <w:r>
        <w:t>6</w:t>
      </w:r>
      <w:r>
        <w:fldChar w:fldCharType="end"/>
      </w:r>
      <w:r>
        <w:fldChar w:fldCharType="end"/>
      </w:r>
    </w:p>
    <w:p w14:paraId="24484C02">
      <w:pPr>
        <w:pStyle w:val="19"/>
        <w:tabs>
          <w:tab w:val="right" w:leader="dot" w:pos="9070"/>
          <w:tab w:val="clear" w:pos="9060"/>
        </w:tabs>
      </w:pPr>
      <w:r>
        <w:fldChar w:fldCharType="begin"/>
      </w:r>
      <w:r>
        <w:instrText xml:space="preserve"> HYPERLINK \l _Toc5358 </w:instrText>
      </w:r>
      <w:r>
        <w:fldChar w:fldCharType="separate"/>
      </w:r>
      <w:r>
        <w:rPr>
          <w:rFonts w:ascii="宋体" w:hAnsi="宋体" w:eastAsia="宋体" w:cs="宋体"/>
        </w:rPr>
        <w:t>§4 管理人报告</w:t>
      </w:r>
      <w:r>
        <w:tab/>
      </w:r>
      <w:r>
        <w:fldChar w:fldCharType="begin"/>
      </w:r>
      <w:r>
        <w:instrText xml:space="preserve"> PAGEREF _Toc5358 \h </w:instrText>
      </w:r>
      <w:r>
        <w:fldChar w:fldCharType="separate"/>
      </w:r>
      <w:r>
        <w:t>7</w:t>
      </w:r>
      <w:r>
        <w:fldChar w:fldCharType="end"/>
      </w:r>
      <w:r>
        <w:fldChar w:fldCharType="end"/>
      </w:r>
    </w:p>
    <w:p w14:paraId="509CC037">
      <w:pPr>
        <w:pStyle w:val="22"/>
        <w:tabs>
          <w:tab w:val="right" w:leader="dot" w:pos="9070"/>
        </w:tabs>
      </w:pPr>
      <w:r>
        <w:fldChar w:fldCharType="begin"/>
      </w:r>
      <w:r>
        <w:instrText xml:space="preserve"> HYPERLINK \l _Toc8111 </w:instrText>
      </w:r>
      <w:r>
        <w:fldChar w:fldCharType="separate"/>
      </w:r>
      <w:r>
        <w:rPr>
          <w:rFonts w:ascii="宋体" w:hAnsi="宋体" w:eastAsia="宋体" w:cs="宋体"/>
        </w:rPr>
        <w:t>4.1 基金管理人及基金经理情况</w:t>
      </w:r>
      <w:r>
        <w:tab/>
      </w:r>
      <w:r>
        <w:fldChar w:fldCharType="begin"/>
      </w:r>
      <w:r>
        <w:instrText xml:space="preserve"> PAGEREF _Toc8111 \h </w:instrText>
      </w:r>
      <w:r>
        <w:fldChar w:fldCharType="separate"/>
      </w:r>
      <w:r>
        <w:t>7</w:t>
      </w:r>
      <w:r>
        <w:fldChar w:fldCharType="end"/>
      </w:r>
      <w:r>
        <w:fldChar w:fldCharType="end"/>
      </w:r>
    </w:p>
    <w:p w14:paraId="0CA67FE2">
      <w:pPr>
        <w:pStyle w:val="22"/>
        <w:tabs>
          <w:tab w:val="right" w:leader="dot" w:pos="9070"/>
        </w:tabs>
      </w:pPr>
      <w:r>
        <w:fldChar w:fldCharType="begin"/>
      </w:r>
      <w:r>
        <w:instrText xml:space="preserve"> HYPERLINK \l _Toc12450 </w:instrText>
      </w:r>
      <w:r>
        <w:fldChar w:fldCharType="separate"/>
      </w:r>
      <w:r>
        <w:rPr>
          <w:rFonts w:ascii="宋体" w:hAnsi="宋体" w:eastAsia="宋体" w:cs="宋体"/>
        </w:rPr>
        <w:t>4.2 管理人对报告期内本基金运作遵规守信情况的说明</w:t>
      </w:r>
      <w:r>
        <w:tab/>
      </w:r>
      <w:r>
        <w:fldChar w:fldCharType="begin"/>
      </w:r>
      <w:r>
        <w:instrText xml:space="preserve"> PAGEREF _Toc12450 \h </w:instrText>
      </w:r>
      <w:r>
        <w:fldChar w:fldCharType="separate"/>
      </w:r>
      <w:r>
        <w:t>8</w:t>
      </w:r>
      <w:r>
        <w:fldChar w:fldCharType="end"/>
      </w:r>
      <w:r>
        <w:fldChar w:fldCharType="end"/>
      </w:r>
    </w:p>
    <w:p w14:paraId="04C5AFEE">
      <w:pPr>
        <w:pStyle w:val="22"/>
        <w:tabs>
          <w:tab w:val="right" w:leader="dot" w:pos="9070"/>
        </w:tabs>
      </w:pPr>
      <w:r>
        <w:fldChar w:fldCharType="begin"/>
      </w:r>
      <w:r>
        <w:instrText xml:space="preserve"> HYPERLINK \l _Toc25624 </w:instrText>
      </w:r>
      <w:r>
        <w:fldChar w:fldCharType="separate"/>
      </w:r>
      <w:r>
        <w:rPr>
          <w:rFonts w:ascii="宋体" w:hAnsi="宋体" w:eastAsia="宋体" w:cs="宋体"/>
        </w:rPr>
        <w:t>4.3 管理人对报告期内公平交易情况的专项说明</w:t>
      </w:r>
      <w:r>
        <w:tab/>
      </w:r>
      <w:r>
        <w:fldChar w:fldCharType="begin"/>
      </w:r>
      <w:r>
        <w:instrText xml:space="preserve"> PAGEREF _Toc25624 \h </w:instrText>
      </w:r>
      <w:r>
        <w:fldChar w:fldCharType="separate"/>
      </w:r>
      <w:r>
        <w:t>9</w:t>
      </w:r>
      <w:r>
        <w:fldChar w:fldCharType="end"/>
      </w:r>
      <w:r>
        <w:fldChar w:fldCharType="end"/>
      </w:r>
    </w:p>
    <w:p w14:paraId="344B783E">
      <w:pPr>
        <w:pStyle w:val="22"/>
        <w:tabs>
          <w:tab w:val="right" w:leader="dot" w:pos="9070"/>
        </w:tabs>
      </w:pPr>
      <w:r>
        <w:fldChar w:fldCharType="begin"/>
      </w:r>
      <w:r>
        <w:instrText xml:space="preserve"> HYPERLINK \l _Toc26872 </w:instrText>
      </w:r>
      <w:r>
        <w:fldChar w:fldCharType="separate"/>
      </w:r>
      <w:r>
        <w:rPr>
          <w:rFonts w:ascii="宋体" w:hAnsi="宋体" w:eastAsia="宋体" w:cs="宋体"/>
        </w:rPr>
        <w:t>4.4 管理人对报告期内基金的投资策略和业绩表现的说明</w:t>
      </w:r>
      <w:r>
        <w:tab/>
      </w:r>
      <w:r>
        <w:fldChar w:fldCharType="begin"/>
      </w:r>
      <w:r>
        <w:instrText xml:space="preserve"> PAGEREF _Toc26872 \h </w:instrText>
      </w:r>
      <w:r>
        <w:fldChar w:fldCharType="separate"/>
      </w:r>
      <w:r>
        <w:t>9</w:t>
      </w:r>
      <w:r>
        <w:fldChar w:fldCharType="end"/>
      </w:r>
      <w:r>
        <w:fldChar w:fldCharType="end"/>
      </w:r>
    </w:p>
    <w:p w14:paraId="3C45BF87">
      <w:pPr>
        <w:pStyle w:val="22"/>
        <w:tabs>
          <w:tab w:val="right" w:leader="dot" w:pos="9070"/>
        </w:tabs>
      </w:pPr>
      <w:r>
        <w:fldChar w:fldCharType="begin"/>
      </w:r>
      <w:r>
        <w:instrText xml:space="preserve"> HYPERLINK \l _Toc17916 </w:instrText>
      </w:r>
      <w:r>
        <w:fldChar w:fldCharType="separate"/>
      </w:r>
      <w:r>
        <w:rPr>
          <w:rFonts w:ascii="宋体" w:hAnsi="宋体" w:eastAsia="宋体" w:cs="宋体"/>
        </w:rPr>
        <w:t>4.5 管理人对宏观经济、证券市场及行业走势的简要展望</w:t>
      </w:r>
      <w:r>
        <w:tab/>
      </w:r>
      <w:r>
        <w:fldChar w:fldCharType="begin"/>
      </w:r>
      <w:r>
        <w:instrText xml:space="preserve"> PAGEREF _Toc17916 \h </w:instrText>
      </w:r>
      <w:r>
        <w:fldChar w:fldCharType="separate"/>
      </w:r>
      <w:r>
        <w:t>10</w:t>
      </w:r>
      <w:r>
        <w:fldChar w:fldCharType="end"/>
      </w:r>
      <w:r>
        <w:fldChar w:fldCharType="end"/>
      </w:r>
    </w:p>
    <w:p w14:paraId="62D850C4">
      <w:pPr>
        <w:pStyle w:val="22"/>
        <w:tabs>
          <w:tab w:val="right" w:leader="dot" w:pos="9070"/>
        </w:tabs>
      </w:pPr>
      <w:r>
        <w:fldChar w:fldCharType="begin"/>
      </w:r>
      <w:r>
        <w:instrText xml:space="preserve"> HYPERLINK \l _Toc20401 </w:instrText>
      </w:r>
      <w:r>
        <w:fldChar w:fldCharType="separate"/>
      </w:r>
      <w:r>
        <w:rPr>
          <w:rFonts w:ascii="宋体" w:hAnsi="宋体" w:eastAsia="宋体" w:cs="宋体"/>
        </w:rPr>
        <w:t>4.6 管理人对报告期内基金估值程序等事项的说明</w:t>
      </w:r>
      <w:r>
        <w:tab/>
      </w:r>
      <w:r>
        <w:fldChar w:fldCharType="begin"/>
      </w:r>
      <w:r>
        <w:instrText xml:space="preserve"> PAGEREF _Toc20401 \h </w:instrText>
      </w:r>
      <w:r>
        <w:fldChar w:fldCharType="separate"/>
      </w:r>
      <w:r>
        <w:t>10</w:t>
      </w:r>
      <w:r>
        <w:fldChar w:fldCharType="end"/>
      </w:r>
      <w:r>
        <w:fldChar w:fldCharType="end"/>
      </w:r>
    </w:p>
    <w:p w14:paraId="4C8612DD">
      <w:pPr>
        <w:pStyle w:val="22"/>
        <w:tabs>
          <w:tab w:val="right" w:leader="dot" w:pos="9070"/>
        </w:tabs>
      </w:pPr>
      <w:r>
        <w:fldChar w:fldCharType="begin"/>
      </w:r>
      <w:r>
        <w:instrText xml:space="preserve"> HYPERLINK \l _Toc25921 </w:instrText>
      </w:r>
      <w:r>
        <w:fldChar w:fldCharType="separate"/>
      </w:r>
      <w:r>
        <w:rPr>
          <w:rFonts w:ascii="宋体" w:hAnsi="宋体" w:eastAsia="宋体" w:cs="宋体"/>
        </w:rPr>
        <w:t>4.7 管理人对报告期内基金利润分配情况的说明</w:t>
      </w:r>
      <w:r>
        <w:tab/>
      </w:r>
      <w:r>
        <w:fldChar w:fldCharType="begin"/>
      </w:r>
      <w:r>
        <w:instrText xml:space="preserve"> PAGEREF _Toc25921 \h </w:instrText>
      </w:r>
      <w:r>
        <w:fldChar w:fldCharType="separate"/>
      </w:r>
      <w:r>
        <w:t>10</w:t>
      </w:r>
      <w:r>
        <w:fldChar w:fldCharType="end"/>
      </w:r>
      <w:r>
        <w:fldChar w:fldCharType="end"/>
      </w:r>
    </w:p>
    <w:p w14:paraId="3BFE25FB">
      <w:pPr>
        <w:pStyle w:val="22"/>
        <w:tabs>
          <w:tab w:val="right" w:leader="dot" w:pos="9070"/>
        </w:tabs>
      </w:pPr>
      <w:r>
        <w:fldChar w:fldCharType="begin"/>
      </w:r>
      <w:r>
        <w:instrText xml:space="preserve"> HYPERLINK \l _Toc3510 </w:instrText>
      </w:r>
      <w:r>
        <w:fldChar w:fldCharType="separate"/>
      </w:r>
      <w:r>
        <w:rPr>
          <w:rFonts w:ascii="宋体" w:hAnsi="宋体" w:eastAsia="宋体" w:cs="宋体"/>
        </w:rPr>
        <w:t>4.8 报告期内管理人对本基金持有人数或基金资产净值预警情形的说明</w:t>
      </w:r>
      <w:r>
        <w:tab/>
      </w:r>
      <w:r>
        <w:fldChar w:fldCharType="begin"/>
      </w:r>
      <w:r>
        <w:instrText xml:space="preserve"> PAGEREF _Toc3510 \h </w:instrText>
      </w:r>
      <w:r>
        <w:fldChar w:fldCharType="separate"/>
      </w:r>
      <w:r>
        <w:t>10</w:t>
      </w:r>
      <w:r>
        <w:fldChar w:fldCharType="end"/>
      </w:r>
      <w:r>
        <w:fldChar w:fldCharType="end"/>
      </w:r>
    </w:p>
    <w:p w14:paraId="2FF5C579">
      <w:pPr>
        <w:pStyle w:val="19"/>
        <w:tabs>
          <w:tab w:val="right" w:leader="dot" w:pos="9070"/>
          <w:tab w:val="clear" w:pos="9060"/>
        </w:tabs>
      </w:pPr>
      <w:r>
        <w:fldChar w:fldCharType="begin"/>
      </w:r>
      <w:r>
        <w:instrText xml:space="preserve"> HYPERLINK \l _Toc5467 </w:instrText>
      </w:r>
      <w:r>
        <w:fldChar w:fldCharType="separate"/>
      </w:r>
      <w:r>
        <w:rPr>
          <w:rFonts w:ascii="宋体" w:hAnsi="宋体" w:eastAsia="宋体" w:cs="宋体"/>
        </w:rPr>
        <w:t>§5 托管人报告</w:t>
      </w:r>
      <w:r>
        <w:tab/>
      </w:r>
      <w:r>
        <w:fldChar w:fldCharType="begin"/>
      </w:r>
      <w:r>
        <w:instrText xml:space="preserve"> PAGEREF _Toc5467 \h </w:instrText>
      </w:r>
      <w:r>
        <w:fldChar w:fldCharType="separate"/>
      </w:r>
      <w:r>
        <w:t>11</w:t>
      </w:r>
      <w:r>
        <w:fldChar w:fldCharType="end"/>
      </w:r>
      <w:r>
        <w:fldChar w:fldCharType="end"/>
      </w:r>
    </w:p>
    <w:p w14:paraId="108A26AD">
      <w:pPr>
        <w:pStyle w:val="22"/>
        <w:tabs>
          <w:tab w:val="right" w:leader="dot" w:pos="9070"/>
        </w:tabs>
      </w:pPr>
      <w:r>
        <w:fldChar w:fldCharType="begin"/>
      </w:r>
      <w:r>
        <w:instrText xml:space="preserve"> HYPERLINK \l _Toc1555 </w:instrText>
      </w:r>
      <w:r>
        <w:fldChar w:fldCharType="separate"/>
      </w:r>
      <w:r>
        <w:rPr>
          <w:rFonts w:ascii="宋体" w:hAnsi="宋体" w:eastAsia="宋体" w:cs="宋体"/>
        </w:rPr>
        <w:t>5.1 报告期内本基金托管人遵规守信情况声明</w:t>
      </w:r>
      <w:r>
        <w:tab/>
      </w:r>
      <w:r>
        <w:fldChar w:fldCharType="begin"/>
      </w:r>
      <w:r>
        <w:instrText xml:space="preserve"> PAGEREF _Toc1555 \h </w:instrText>
      </w:r>
      <w:r>
        <w:fldChar w:fldCharType="separate"/>
      </w:r>
      <w:r>
        <w:t>11</w:t>
      </w:r>
      <w:r>
        <w:fldChar w:fldCharType="end"/>
      </w:r>
      <w:r>
        <w:fldChar w:fldCharType="end"/>
      </w:r>
    </w:p>
    <w:p w14:paraId="7810D6FD">
      <w:pPr>
        <w:pStyle w:val="22"/>
        <w:tabs>
          <w:tab w:val="right" w:leader="dot" w:pos="9070"/>
        </w:tabs>
      </w:pPr>
      <w:r>
        <w:fldChar w:fldCharType="begin"/>
      </w:r>
      <w:r>
        <w:instrText xml:space="preserve"> HYPERLINK \l _Toc15588 </w:instrText>
      </w:r>
      <w:r>
        <w:fldChar w:fldCharType="separate"/>
      </w:r>
      <w:r>
        <w:rPr>
          <w:rFonts w:ascii="宋体" w:hAnsi="宋体" w:eastAsia="宋体" w:cs="宋体"/>
        </w:rPr>
        <w:t>5.2 托管人对报告期内本基金投资运作遵规守信、净值计算、利润分配等情况的说明</w:t>
      </w:r>
      <w:r>
        <w:tab/>
      </w:r>
      <w:r>
        <w:fldChar w:fldCharType="begin"/>
      </w:r>
      <w:r>
        <w:instrText xml:space="preserve"> PAGEREF _Toc15588 \h </w:instrText>
      </w:r>
      <w:r>
        <w:fldChar w:fldCharType="separate"/>
      </w:r>
      <w:r>
        <w:t>11</w:t>
      </w:r>
      <w:r>
        <w:fldChar w:fldCharType="end"/>
      </w:r>
      <w:r>
        <w:fldChar w:fldCharType="end"/>
      </w:r>
    </w:p>
    <w:p w14:paraId="31CF6CFE">
      <w:pPr>
        <w:pStyle w:val="22"/>
        <w:tabs>
          <w:tab w:val="right" w:leader="dot" w:pos="9070"/>
        </w:tabs>
      </w:pPr>
      <w:r>
        <w:fldChar w:fldCharType="begin"/>
      </w:r>
      <w:r>
        <w:instrText xml:space="preserve"> HYPERLINK \l _Toc23987 </w:instrText>
      </w:r>
      <w:r>
        <w:fldChar w:fldCharType="separate"/>
      </w:r>
      <w:r>
        <w:rPr>
          <w:rFonts w:ascii="宋体" w:hAnsi="宋体" w:eastAsia="宋体" w:cs="宋体"/>
        </w:rPr>
        <w:t>5.3 托管人对本中期报告中财务信息等内容的真实、准确和完整发表意见</w:t>
      </w:r>
      <w:r>
        <w:tab/>
      </w:r>
      <w:r>
        <w:fldChar w:fldCharType="begin"/>
      </w:r>
      <w:r>
        <w:instrText xml:space="preserve"> PAGEREF _Toc23987 \h </w:instrText>
      </w:r>
      <w:r>
        <w:fldChar w:fldCharType="separate"/>
      </w:r>
      <w:r>
        <w:t>11</w:t>
      </w:r>
      <w:r>
        <w:fldChar w:fldCharType="end"/>
      </w:r>
      <w:r>
        <w:fldChar w:fldCharType="end"/>
      </w:r>
    </w:p>
    <w:p w14:paraId="14BE7B4E">
      <w:pPr>
        <w:pStyle w:val="19"/>
        <w:tabs>
          <w:tab w:val="right" w:leader="dot" w:pos="9070"/>
          <w:tab w:val="clear" w:pos="9060"/>
        </w:tabs>
      </w:pPr>
      <w:r>
        <w:fldChar w:fldCharType="begin"/>
      </w:r>
      <w:r>
        <w:instrText xml:space="preserve"> HYPERLINK \l _Toc19187 </w:instrText>
      </w:r>
      <w:r>
        <w:fldChar w:fldCharType="separate"/>
      </w:r>
      <w:r>
        <w:rPr>
          <w:rFonts w:ascii="宋体" w:hAnsi="宋体" w:eastAsia="宋体" w:cs="宋体"/>
        </w:rPr>
        <w:t>§6 半年度财务会计报告(未经审计)</w:t>
      </w:r>
      <w:r>
        <w:tab/>
      </w:r>
      <w:r>
        <w:fldChar w:fldCharType="begin"/>
      </w:r>
      <w:r>
        <w:instrText xml:space="preserve"> PAGEREF _Toc19187 \h </w:instrText>
      </w:r>
      <w:r>
        <w:fldChar w:fldCharType="separate"/>
      </w:r>
      <w:r>
        <w:t>11</w:t>
      </w:r>
      <w:r>
        <w:fldChar w:fldCharType="end"/>
      </w:r>
      <w:r>
        <w:fldChar w:fldCharType="end"/>
      </w:r>
    </w:p>
    <w:p w14:paraId="2C24743D">
      <w:pPr>
        <w:pStyle w:val="22"/>
        <w:tabs>
          <w:tab w:val="right" w:leader="dot" w:pos="9070"/>
        </w:tabs>
      </w:pPr>
      <w:r>
        <w:fldChar w:fldCharType="begin"/>
      </w:r>
      <w:r>
        <w:instrText xml:space="preserve"> HYPERLINK \l _Toc30172 </w:instrText>
      </w:r>
      <w:r>
        <w:fldChar w:fldCharType="separate"/>
      </w:r>
      <w:r>
        <w:rPr>
          <w:rFonts w:ascii="宋体" w:hAnsi="宋体" w:eastAsia="宋体" w:cs="宋体"/>
        </w:rPr>
        <w:t>6.1 资产负债表</w:t>
      </w:r>
      <w:r>
        <w:tab/>
      </w:r>
      <w:r>
        <w:fldChar w:fldCharType="begin"/>
      </w:r>
      <w:r>
        <w:instrText xml:space="preserve"> PAGEREF _Toc30172 \h </w:instrText>
      </w:r>
      <w:r>
        <w:fldChar w:fldCharType="separate"/>
      </w:r>
      <w:r>
        <w:t>11</w:t>
      </w:r>
      <w:r>
        <w:fldChar w:fldCharType="end"/>
      </w:r>
      <w:r>
        <w:fldChar w:fldCharType="end"/>
      </w:r>
    </w:p>
    <w:p w14:paraId="77042B89">
      <w:pPr>
        <w:pStyle w:val="22"/>
        <w:tabs>
          <w:tab w:val="right" w:leader="dot" w:pos="9070"/>
        </w:tabs>
      </w:pPr>
      <w:r>
        <w:fldChar w:fldCharType="begin"/>
      </w:r>
      <w:r>
        <w:instrText xml:space="preserve"> HYPERLINK \l _Toc14355 </w:instrText>
      </w:r>
      <w:r>
        <w:fldChar w:fldCharType="separate"/>
      </w:r>
      <w:r>
        <w:rPr>
          <w:rFonts w:ascii="宋体" w:hAnsi="宋体" w:eastAsia="宋体" w:cs="宋体"/>
        </w:rPr>
        <w:t>6.2 利润表</w:t>
      </w:r>
      <w:r>
        <w:tab/>
      </w:r>
      <w:r>
        <w:fldChar w:fldCharType="begin"/>
      </w:r>
      <w:r>
        <w:instrText xml:space="preserve"> PAGEREF _Toc14355 \h </w:instrText>
      </w:r>
      <w:r>
        <w:fldChar w:fldCharType="separate"/>
      </w:r>
      <w:r>
        <w:t>13</w:t>
      </w:r>
      <w:r>
        <w:fldChar w:fldCharType="end"/>
      </w:r>
      <w:r>
        <w:fldChar w:fldCharType="end"/>
      </w:r>
    </w:p>
    <w:p w14:paraId="1FD2DC38">
      <w:pPr>
        <w:pStyle w:val="22"/>
        <w:tabs>
          <w:tab w:val="right" w:leader="dot" w:pos="9070"/>
        </w:tabs>
      </w:pPr>
      <w:r>
        <w:fldChar w:fldCharType="begin"/>
      </w:r>
      <w:r>
        <w:instrText xml:space="preserve"> HYPERLINK \l _Toc6089 </w:instrText>
      </w:r>
      <w:r>
        <w:fldChar w:fldCharType="separate"/>
      </w:r>
      <w:r>
        <w:rPr>
          <w:rFonts w:ascii="宋体" w:hAnsi="宋体" w:eastAsia="宋体" w:cs="宋体"/>
        </w:rPr>
        <w:t>6.3 净资产变动表</w:t>
      </w:r>
      <w:r>
        <w:tab/>
      </w:r>
      <w:r>
        <w:fldChar w:fldCharType="begin"/>
      </w:r>
      <w:r>
        <w:instrText xml:space="preserve"> PAGEREF _Toc6089 \h </w:instrText>
      </w:r>
      <w:r>
        <w:fldChar w:fldCharType="separate"/>
      </w:r>
      <w:r>
        <w:t>14</w:t>
      </w:r>
      <w:r>
        <w:fldChar w:fldCharType="end"/>
      </w:r>
      <w:r>
        <w:fldChar w:fldCharType="end"/>
      </w:r>
    </w:p>
    <w:p w14:paraId="21EE2208">
      <w:pPr>
        <w:pStyle w:val="22"/>
        <w:tabs>
          <w:tab w:val="right" w:leader="dot" w:pos="9070"/>
        </w:tabs>
      </w:pPr>
      <w:r>
        <w:fldChar w:fldCharType="begin"/>
      </w:r>
      <w:r>
        <w:instrText xml:space="preserve"> HYPERLINK \l _Toc30730 </w:instrText>
      </w:r>
      <w:r>
        <w:fldChar w:fldCharType="separate"/>
      </w:r>
      <w:r>
        <w:rPr>
          <w:rFonts w:ascii="宋体" w:hAnsi="宋体" w:eastAsia="宋体" w:cs="宋体"/>
        </w:rPr>
        <w:t>6.4 报表附注</w:t>
      </w:r>
      <w:r>
        <w:tab/>
      </w:r>
      <w:r>
        <w:fldChar w:fldCharType="begin"/>
      </w:r>
      <w:r>
        <w:instrText xml:space="preserve"> PAGEREF _Toc30730 \h </w:instrText>
      </w:r>
      <w:r>
        <w:fldChar w:fldCharType="separate"/>
      </w:r>
      <w:r>
        <w:t>14</w:t>
      </w:r>
      <w:r>
        <w:fldChar w:fldCharType="end"/>
      </w:r>
      <w:r>
        <w:fldChar w:fldCharType="end"/>
      </w:r>
    </w:p>
    <w:p w14:paraId="6B6BB3EE">
      <w:pPr>
        <w:pStyle w:val="19"/>
        <w:tabs>
          <w:tab w:val="right" w:leader="dot" w:pos="9070"/>
          <w:tab w:val="clear" w:pos="9060"/>
        </w:tabs>
      </w:pPr>
      <w:r>
        <w:fldChar w:fldCharType="begin"/>
      </w:r>
      <w:r>
        <w:instrText xml:space="preserve"> HYPERLINK \l _Toc16847 </w:instrText>
      </w:r>
      <w:r>
        <w:fldChar w:fldCharType="separate"/>
      </w:r>
      <w:r>
        <w:rPr>
          <w:rFonts w:ascii="宋体" w:hAnsi="宋体" w:eastAsia="宋体" w:cs="宋体"/>
        </w:rPr>
        <w:t>§7 投资组合报告</w:t>
      </w:r>
      <w:r>
        <w:tab/>
      </w:r>
      <w:r>
        <w:fldChar w:fldCharType="begin"/>
      </w:r>
      <w:r>
        <w:instrText xml:space="preserve"> PAGEREF _Toc16847 \h </w:instrText>
      </w:r>
      <w:r>
        <w:fldChar w:fldCharType="separate"/>
      </w:r>
      <w:r>
        <w:t>37</w:t>
      </w:r>
      <w:r>
        <w:fldChar w:fldCharType="end"/>
      </w:r>
      <w:r>
        <w:fldChar w:fldCharType="end"/>
      </w:r>
    </w:p>
    <w:p w14:paraId="72BA7C25">
      <w:pPr>
        <w:pStyle w:val="22"/>
        <w:tabs>
          <w:tab w:val="right" w:leader="dot" w:pos="9070"/>
        </w:tabs>
      </w:pPr>
      <w:r>
        <w:fldChar w:fldCharType="begin"/>
      </w:r>
      <w:r>
        <w:instrText xml:space="preserve"> HYPERLINK \l _Toc10965 </w:instrText>
      </w:r>
      <w:r>
        <w:fldChar w:fldCharType="separate"/>
      </w:r>
      <w:r>
        <w:rPr>
          <w:rFonts w:ascii="宋体" w:hAnsi="宋体" w:eastAsia="宋体" w:cs="宋体"/>
        </w:rPr>
        <w:t>7.1 期末基金资产组合情况</w:t>
      </w:r>
      <w:r>
        <w:tab/>
      </w:r>
      <w:r>
        <w:fldChar w:fldCharType="begin"/>
      </w:r>
      <w:r>
        <w:instrText xml:space="preserve"> PAGEREF _Toc10965 \h </w:instrText>
      </w:r>
      <w:r>
        <w:fldChar w:fldCharType="separate"/>
      </w:r>
      <w:r>
        <w:t>37</w:t>
      </w:r>
      <w:r>
        <w:fldChar w:fldCharType="end"/>
      </w:r>
      <w:r>
        <w:fldChar w:fldCharType="end"/>
      </w:r>
    </w:p>
    <w:p w14:paraId="4425E383">
      <w:pPr>
        <w:pStyle w:val="22"/>
        <w:tabs>
          <w:tab w:val="right" w:leader="dot" w:pos="9070"/>
        </w:tabs>
      </w:pPr>
      <w:r>
        <w:fldChar w:fldCharType="begin"/>
      </w:r>
      <w:r>
        <w:instrText xml:space="preserve"> HYPERLINK \l _Toc19185 </w:instrText>
      </w:r>
      <w:r>
        <w:fldChar w:fldCharType="separate"/>
      </w:r>
      <w:r>
        <w:rPr>
          <w:rFonts w:ascii="宋体" w:hAnsi="宋体" w:eastAsia="宋体" w:cs="宋体"/>
        </w:rPr>
        <w:t>7.2 报告期末按行业分类的股票投资组合</w:t>
      </w:r>
      <w:r>
        <w:tab/>
      </w:r>
      <w:r>
        <w:fldChar w:fldCharType="begin"/>
      </w:r>
      <w:r>
        <w:instrText xml:space="preserve"> PAGEREF _Toc19185 \h </w:instrText>
      </w:r>
      <w:r>
        <w:fldChar w:fldCharType="separate"/>
      </w:r>
      <w:r>
        <w:t>37</w:t>
      </w:r>
      <w:r>
        <w:fldChar w:fldCharType="end"/>
      </w:r>
      <w:r>
        <w:fldChar w:fldCharType="end"/>
      </w:r>
    </w:p>
    <w:p w14:paraId="5CD98559">
      <w:pPr>
        <w:pStyle w:val="22"/>
        <w:tabs>
          <w:tab w:val="right" w:leader="dot" w:pos="9070"/>
        </w:tabs>
      </w:pPr>
      <w:r>
        <w:fldChar w:fldCharType="begin"/>
      </w:r>
      <w:r>
        <w:instrText xml:space="preserve"> HYPERLINK \l _Toc3715 </w:instrText>
      </w:r>
      <w:r>
        <w:fldChar w:fldCharType="separate"/>
      </w:r>
      <w:r>
        <w:rPr>
          <w:rFonts w:ascii="宋体" w:hAnsi="宋体" w:eastAsia="宋体" w:cs="宋体"/>
        </w:rPr>
        <w:t>7.3 期末按公允价值占基金资产净值比例大小排序的所有股票投资明细</w:t>
      </w:r>
      <w:r>
        <w:tab/>
      </w:r>
      <w:r>
        <w:fldChar w:fldCharType="begin"/>
      </w:r>
      <w:r>
        <w:instrText xml:space="preserve"> PAGEREF _Toc3715 \h </w:instrText>
      </w:r>
      <w:r>
        <w:fldChar w:fldCharType="separate"/>
      </w:r>
      <w:r>
        <w:t>38</w:t>
      </w:r>
      <w:r>
        <w:fldChar w:fldCharType="end"/>
      </w:r>
      <w:r>
        <w:fldChar w:fldCharType="end"/>
      </w:r>
    </w:p>
    <w:p w14:paraId="097E9C32">
      <w:pPr>
        <w:pStyle w:val="22"/>
        <w:tabs>
          <w:tab w:val="right" w:leader="dot" w:pos="9070"/>
        </w:tabs>
      </w:pPr>
      <w:r>
        <w:fldChar w:fldCharType="begin"/>
      </w:r>
      <w:r>
        <w:instrText xml:space="preserve"> HYPERLINK \l _Toc30673 </w:instrText>
      </w:r>
      <w:r>
        <w:fldChar w:fldCharType="separate"/>
      </w:r>
      <w:r>
        <w:rPr>
          <w:rFonts w:ascii="宋体" w:hAnsi="宋体" w:eastAsia="宋体" w:cs="宋体"/>
        </w:rPr>
        <w:t>7.4 报告期内股票投资组合的重大变动</w:t>
      </w:r>
      <w:r>
        <w:tab/>
      </w:r>
      <w:r>
        <w:fldChar w:fldCharType="begin"/>
      </w:r>
      <w:r>
        <w:instrText xml:space="preserve"> PAGEREF _Toc30673 \h </w:instrText>
      </w:r>
      <w:r>
        <w:fldChar w:fldCharType="separate"/>
      </w:r>
      <w:r>
        <w:t>38</w:t>
      </w:r>
      <w:r>
        <w:fldChar w:fldCharType="end"/>
      </w:r>
      <w:r>
        <w:fldChar w:fldCharType="end"/>
      </w:r>
    </w:p>
    <w:p w14:paraId="52D4EDBB">
      <w:pPr>
        <w:pStyle w:val="22"/>
        <w:tabs>
          <w:tab w:val="right" w:leader="dot" w:pos="9070"/>
        </w:tabs>
      </w:pPr>
      <w:r>
        <w:fldChar w:fldCharType="begin"/>
      </w:r>
      <w:r>
        <w:instrText xml:space="preserve"> HYPERLINK \l _Toc204 </w:instrText>
      </w:r>
      <w:r>
        <w:fldChar w:fldCharType="separate"/>
      </w:r>
      <w:r>
        <w:rPr>
          <w:rFonts w:ascii="宋体" w:hAnsi="宋体" w:eastAsia="宋体" w:cs="宋体"/>
        </w:rPr>
        <w:t>7.5 期末按债券品种分类的债券投资组合</w:t>
      </w:r>
      <w:r>
        <w:tab/>
      </w:r>
      <w:r>
        <w:fldChar w:fldCharType="begin"/>
      </w:r>
      <w:r>
        <w:instrText xml:space="preserve"> PAGEREF _Toc204 \h </w:instrText>
      </w:r>
      <w:r>
        <w:fldChar w:fldCharType="separate"/>
      </w:r>
      <w:r>
        <w:t>39</w:t>
      </w:r>
      <w:r>
        <w:fldChar w:fldCharType="end"/>
      </w:r>
      <w:r>
        <w:fldChar w:fldCharType="end"/>
      </w:r>
    </w:p>
    <w:p w14:paraId="7938BA19">
      <w:pPr>
        <w:pStyle w:val="22"/>
        <w:tabs>
          <w:tab w:val="right" w:leader="dot" w:pos="9070"/>
        </w:tabs>
      </w:pPr>
      <w:r>
        <w:fldChar w:fldCharType="begin"/>
      </w:r>
      <w:r>
        <w:instrText xml:space="preserve"> HYPERLINK \l _Toc13401 </w:instrText>
      </w:r>
      <w:r>
        <w:fldChar w:fldCharType="separate"/>
      </w:r>
      <w:r>
        <w:rPr>
          <w:rFonts w:ascii="宋体" w:hAnsi="宋体" w:eastAsia="宋体" w:cs="宋体"/>
        </w:rPr>
        <w:t>7.6 期末按公允价值占基金资产净值比例大小排序的前五名债券投资明细</w:t>
      </w:r>
      <w:r>
        <w:tab/>
      </w:r>
      <w:r>
        <w:fldChar w:fldCharType="begin"/>
      </w:r>
      <w:r>
        <w:instrText xml:space="preserve"> PAGEREF _Toc13401 \h </w:instrText>
      </w:r>
      <w:r>
        <w:fldChar w:fldCharType="separate"/>
      </w:r>
      <w:r>
        <w:t>40</w:t>
      </w:r>
      <w:r>
        <w:fldChar w:fldCharType="end"/>
      </w:r>
      <w:r>
        <w:fldChar w:fldCharType="end"/>
      </w:r>
    </w:p>
    <w:p w14:paraId="5442670E">
      <w:pPr>
        <w:pStyle w:val="22"/>
        <w:tabs>
          <w:tab w:val="right" w:leader="dot" w:pos="9070"/>
        </w:tabs>
      </w:pPr>
      <w:r>
        <w:fldChar w:fldCharType="begin"/>
      </w:r>
      <w:r>
        <w:instrText xml:space="preserve"> HYPERLINK \l _Toc5796 </w:instrText>
      </w:r>
      <w:r>
        <w:fldChar w:fldCharType="separate"/>
      </w:r>
      <w:r>
        <w:rPr>
          <w:rFonts w:ascii="宋体" w:hAnsi="宋体" w:eastAsia="宋体" w:cs="宋体"/>
        </w:rPr>
        <w:t>7.7 期末按公允价值占基金资产净值比例大小排序的所有资产支持证券投资明细</w:t>
      </w:r>
      <w:r>
        <w:tab/>
      </w:r>
      <w:r>
        <w:fldChar w:fldCharType="begin"/>
      </w:r>
      <w:r>
        <w:instrText xml:space="preserve"> PAGEREF _Toc5796 \h </w:instrText>
      </w:r>
      <w:r>
        <w:fldChar w:fldCharType="separate"/>
      </w:r>
      <w:r>
        <w:t>40</w:t>
      </w:r>
      <w:r>
        <w:fldChar w:fldCharType="end"/>
      </w:r>
      <w:r>
        <w:fldChar w:fldCharType="end"/>
      </w:r>
    </w:p>
    <w:p w14:paraId="456FBB24">
      <w:pPr>
        <w:pStyle w:val="22"/>
        <w:tabs>
          <w:tab w:val="right" w:leader="dot" w:pos="9070"/>
        </w:tabs>
      </w:pPr>
      <w:r>
        <w:fldChar w:fldCharType="begin"/>
      </w:r>
      <w:r>
        <w:instrText xml:space="preserve"> HYPERLINK \l _Toc32669 </w:instrText>
      </w:r>
      <w:r>
        <w:fldChar w:fldCharType="separate"/>
      </w:r>
      <w:r>
        <w:rPr>
          <w:rFonts w:ascii="宋体" w:hAnsi="宋体" w:eastAsia="宋体" w:cs="宋体"/>
        </w:rPr>
        <w:t>7.8 报告期末按公允价值占基金资产净值比例大小排序的前五名贵金属投资明细</w:t>
      </w:r>
      <w:r>
        <w:tab/>
      </w:r>
      <w:r>
        <w:fldChar w:fldCharType="begin"/>
      </w:r>
      <w:r>
        <w:instrText xml:space="preserve"> PAGEREF _Toc32669 \h </w:instrText>
      </w:r>
      <w:r>
        <w:fldChar w:fldCharType="separate"/>
      </w:r>
      <w:r>
        <w:t>40</w:t>
      </w:r>
      <w:r>
        <w:fldChar w:fldCharType="end"/>
      </w:r>
      <w:r>
        <w:fldChar w:fldCharType="end"/>
      </w:r>
    </w:p>
    <w:p w14:paraId="7D7F73A3">
      <w:pPr>
        <w:pStyle w:val="22"/>
        <w:tabs>
          <w:tab w:val="right" w:leader="dot" w:pos="9070"/>
        </w:tabs>
      </w:pPr>
      <w:r>
        <w:fldChar w:fldCharType="begin"/>
      </w:r>
      <w:r>
        <w:instrText xml:space="preserve"> HYPERLINK \l _Toc16661 </w:instrText>
      </w:r>
      <w:r>
        <w:fldChar w:fldCharType="separate"/>
      </w:r>
      <w:r>
        <w:rPr>
          <w:rFonts w:ascii="宋体" w:hAnsi="宋体" w:eastAsia="宋体" w:cs="宋体"/>
        </w:rPr>
        <w:t>7.9 期末按公允价值占基金资产净值比例大小排序的前五名权证投资明细</w:t>
      </w:r>
      <w:r>
        <w:tab/>
      </w:r>
      <w:r>
        <w:fldChar w:fldCharType="begin"/>
      </w:r>
      <w:r>
        <w:instrText xml:space="preserve"> PAGEREF _Toc16661 \h </w:instrText>
      </w:r>
      <w:r>
        <w:fldChar w:fldCharType="separate"/>
      </w:r>
      <w:r>
        <w:t>40</w:t>
      </w:r>
      <w:r>
        <w:fldChar w:fldCharType="end"/>
      </w:r>
      <w:r>
        <w:fldChar w:fldCharType="end"/>
      </w:r>
    </w:p>
    <w:p w14:paraId="5C071399">
      <w:pPr>
        <w:pStyle w:val="22"/>
        <w:tabs>
          <w:tab w:val="right" w:leader="dot" w:pos="9070"/>
        </w:tabs>
      </w:pPr>
      <w:r>
        <w:fldChar w:fldCharType="begin"/>
      </w:r>
      <w:r>
        <w:instrText xml:space="preserve"> HYPERLINK \l _Toc17335 </w:instrText>
      </w:r>
      <w:r>
        <w:fldChar w:fldCharType="separate"/>
      </w:r>
      <w:r>
        <w:rPr>
          <w:rFonts w:ascii="宋体" w:hAnsi="宋体" w:eastAsia="宋体" w:cs="宋体"/>
        </w:rPr>
        <w:t>7.10 本基金投资股指期货的投资政策</w:t>
      </w:r>
      <w:r>
        <w:tab/>
      </w:r>
      <w:r>
        <w:fldChar w:fldCharType="begin"/>
      </w:r>
      <w:r>
        <w:instrText xml:space="preserve"> PAGEREF _Toc17335 \h </w:instrText>
      </w:r>
      <w:r>
        <w:fldChar w:fldCharType="separate"/>
      </w:r>
      <w:r>
        <w:t>40</w:t>
      </w:r>
      <w:r>
        <w:fldChar w:fldCharType="end"/>
      </w:r>
      <w:r>
        <w:fldChar w:fldCharType="end"/>
      </w:r>
    </w:p>
    <w:p w14:paraId="51D8A0C8">
      <w:pPr>
        <w:pStyle w:val="22"/>
        <w:tabs>
          <w:tab w:val="right" w:leader="dot" w:pos="9070"/>
        </w:tabs>
      </w:pPr>
      <w:r>
        <w:fldChar w:fldCharType="begin"/>
      </w:r>
      <w:r>
        <w:instrText xml:space="preserve"> HYPERLINK \l _Toc29213 </w:instrText>
      </w:r>
      <w:r>
        <w:fldChar w:fldCharType="separate"/>
      </w:r>
      <w:r>
        <w:rPr>
          <w:rFonts w:ascii="宋体" w:hAnsi="宋体" w:eastAsia="宋体" w:cs="宋体"/>
        </w:rPr>
        <w:t>7.11 报告期末本基金投资的国债期货交易情况说明</w:t>
      </w:r>
      <w:r>
        <w:tab/>
      </w:r>
      <w:r>
        <w:fldChar w:fldCharType="begin"/>
      </w:r>
      <w:r>
        <w:instrText xml:space="preserve"> PAGEREF _Toc29213 \h </w:instrText>
      </w:r>
      <w:r>
        <w:fldChar w:fldCharType="separate"/>
      </w:r>
      <w:r>
        <w:t>40</w:t>
      </w:r>
      <w:r>
        <w:fldChar w:fldCharType="end"/>
      </w:r>
      <w:r>
        <w:fldChar w:fldCharType="end"/>
      </w:r>
    </w:p>
    <w:p w14:paraId="17140BFB">
      <w:pPr>
        <w:pStyle w:val="22"/>
        <w:tabs>
          <w:tab w:val="right" w:leader="dot" w:pos="9070"/>
        </w:tabs>
      </w:pPr>
      <w:r>
        <w:fldChar w:fldCharType="begin"/>
      </w:r>
      <w:r>
        <w:instrText xml:space="preserve"> HYPERLINK \l _Toc25016 </w:instrText>
      </w:r>
      <w:r>
        <w:fldChar w:fldCharType="separate"/>
      </w:r>
      <w:r>
        <w:rPr>
          <w:rFonts w:ascii="宋体" w:hAnsi="宋体" w:eastAsia="宋体" w:cs="宋体"/>
        </w:rPr>
        <w:t>7.12 投资组合报告附注</w:t>
      </w:r>
      <w:r>
        <w:tab/>
      </w:r>
      <w:r>
        <w:fldChar w:fldCharType="begin"/>
      </w:r>
      <w:r>
        <w:instrText xml:space="preserve"> PAGEREF _Toc25016 \h </w:instrText>
      </w:r>
      <w:r>
        <w:fldChar w:fldCharType="separate"/>
      </w:r>
      <w:r>
        <w:t>41</w:t>
      </w:r>
      <w:r>
        <w:fldChar w:fldCharType="end"/>
      </w:r>
      <w:r>
        <w:fldChar w:fldCharType="end"/>
      </w:r>
    </w:p>
    <w:p w14:paraId="086EE8E1">
      <w:pPr>
        <w:pStyle w:val="19"/>
        <w:tabs>
          <w:tab w:val="right" w:leader="dot" w:pos="9070"/>
          <w:tab w:val="clear" w:pos="9060"/>
        </w:tabs>
      </w:pPr>
      <w:r>
        <w:fldChar w:fldCharType="begin"/>
      </w:r>
      <w:r>
        <w:instrText xml:space="preserve"> HYPERLINK \l _Toc2416 </w:instrText>
      </w:r>
      <w:r>
        <w:fldChar w:fldCharType="separate"/>
      </w:r>
      <w:r>
        <w:rPr>
          <w:rFonts w:ascii="宋体" w:hAnsi="宋体" w:eastAsia="宋体" w:cs="宋体"/>
        </w:rPr>
        <w:t>§8 基金份额持有人信息</w:t>
      </w:r>
      <w:r>
        <w:tab/>
      </w:r>
      <w:r>
        <w:fldChar w:fldCharType="begin"/>
      </w:r>
      <w:r>
        <w:instrText xml:space="preserve"> PAGEREF _Toc2416 \h </w:instrText>
      </w:r>
      <w:r>
        <w:fldChar w:fldCharType="separate"/>
      </w:r>
      <w:r>
        <w:t>41</w:t>
      </w:r>
      <w:r>
        <w:fldChar w:fldCharType="end"/>
      </w:r>
      <w:r>
        <w:fldChar w:fldCharType="end"/>
      </w:r>
    </w:p>
    <w:p w14:paraId="0467A172">
      <w:pPr>
        <w:pStyle w:val="22"/>
        <w:tabs>
          <w:tab w:val="right" w:leader="dot" w:pos="9070"/>
        </w:tabs>
      </w:pPr>
      <w:r>
        <w:fldChar w:fldCharType="begin"/>
      </w:r>
      <w:r>
        <w:instrText xml:space="preserve"> HYPERLINK \l _Toc14814 </w:instrText>
      </w:r>
      <w:r>
        <w:fldChar w:fldCharType="separate"/>
      </w:r>
      <w:r>
        <w:rPr>
          <w:rFonts w:ascii="宋体" w:hAnsi="宋体" w:eastAsia="宋体" w:cs="宋体"/>
        </w:rPr>
        <w:t>8.1 期末基金份额持有人户数及持有人结构</w:t>
      </w:r>
      <w:r>
        <w:tab/>
      </w:r>
      <w:r>
        <w:fldChar w:fldCharType="begin"/>
      </w:r>
      <w:r>
        <w:instrText xml:space="preserve"> PAGEREF _Toc14814 \h </w:instrText>
      </w:r>
      <w:r>
        <w:fldChar w:fldCharType="separate"/>
      </w:r>
      <w:r>
        <w:t>42</w:t>
      </w:r>
      <w:r>
        <w:fldChar w:fldCharType="end"/>
      </w:r>
      <w:r>
        <w:fldChar w:fldCharType="end"/>
      </w:r>
    </w:p>
    <w:p w14:paraId="4B7BCF5F">
      <w:pPr>
        <w:pStyle w:val="22"/>
        <w:tabs>
          <w:tab w:val="right" w:leader="dot" w:pos="9070"/>
        </w:tabs>
      </w:pPr>
      <w:r>
        <w:fldChar w:fldCharType="begin"/>
      </w:r>
      <w:r>
        <w:instrText xml:space="preserve"> HYPERLINK \l _Toc20550 </w:instrText>
      </w:r>
      <w:r>
        <w:fldChar w:fldCharType="separate"/>
      </w:r>
      <w:r>
        <w:rPr>
          <w:rFonts w:ascii="宋体" w:hAnsi="宋体" w:eastAsia="宋体" w:cs="宋体"/>
        </w:rPr>
        <w:t>8.2 期末基金管理人的从业人员持有本基金的情况</w:t>
      </w:r>
      <w:r>
        <w:tab/>
      </w:r>
      <w:r>
        <w:fldChar w:fldCharType="begin"/>
      </w:r>
      <w:r>
        <w:instrText xml:space="preserve"> PAGEREF _Toc20550 \h </w:instrText>
      </w:r>
      <w:r>
        <w:fldChar w:fldCharType="separate"/>
      </w:r>
      <w:r>
        <w:t>42</w:t>
      </w:r>
      <w:r>
        <w:fldChar w:fldCharType="end"/>
      </w:r>
      <w:r>
        <w:fldChar w:fldCharType="end"/>
      </w:r>
    </w:p>
    <w:p w14:paraId="3E82DEBC">
      <w:pPr>
        <w:pStyle w:val="22"/>
        <w:tabs>
          <w:tab w:val="right" w:leader="dot" w:pos="9070"/>
        </w:tabs>
      </w:pPr>
      <w:r>
        <w:fldChar w:fldCharType="begin"/>
      </w:r>
      <w:r>
        <w:instrText xml:space="preserve"> HYPERLINK \l _Toc31400 </w:instrText>
      </w:r>
      <w:r>
        <w:fldChar w:fldCharType="separate"/>
      </w:r>
      <w:r>
        <w:rPr>
          <w:rFonts w:ascii="宋体" w:hAnsi="宋体" w:eastAsia="宋体" w:cs="宋体"/>
        </w:rPr>
        <w:t>8.3 期末基金管理人的从业人员持有本开放式基金份额总量区间情况</w:t>
      </w:r>
      <w:r>
        <w:tab/>
      </w:r>
      <w:r>
        <w:fldChar w:fldCharType="begin"/>
      </w:r>
      <w:r>
        <w:instrText xml:space="preserve"> PAGEREF _Toc31400 \h </w:instrText>
      </w:r>
      <w:r>
        <w:fldChar w:fldCharType="separate"/>
      </w:r>
      <w:r>
        <w:t>42</w:t>
      </w:r>
      <w:r>
        <w:fldChar w:fldCharType="end"/>
      </w:r>
      <w:r>
        <w:fldChar w:fldCharType="end"/>
      </w:r>
    </w:p>
    <w:p w14:paraId="6883495B">
      <w:pPr>
        <w:pStyle w:val="22"/>
        <w:tabs>
          <w:tab w:val="right" w:leader="dot" w:pos="9070"/>
        </w:tabs>
      </w:pPr>
      <w:r>
        <w:fldChar w:fldCharType="begin"/>
      </w:r>
      <w:r>
        <w:instrText xml:space="preserve"> HYPERLINK \l _Toc17569 </w:instrText>
      </w:r>
      <w:r>
        <w:fldChar w:fldCharType="separate"/>
      </w:r>
      <w:r>
        <w:rPr>
          <w:rFonts w:ascii="宋体" w:hAnsi="宋体" w:eastAsia="宋体" w:cs="宋体"/>
        </w:rPr>
        <w:t>8.4 发起式基金发起资金持有份额情况</w:t>
      </w:r>
      <w:r>
        <w:tab/>
      </w:r>
      <w:r>
        <w:fldChar w:fldCharType="begin"/>
      </w:r>
      <w:r>
        <w:instrText xml:space="preserve"> PAGEREF _Toc17569 \h </w:instrText>
      </w:r>
      <w:r>
        <w:fldChar w:fldCharType="separate"/>
      </w:r>
      <w:r>
        <w:t>42</w:t>
      </w:r>
      <w:r>
        <w:fldChar w:fldCharType="end"/>
      </w:r>
      <w:r>
        <w:fldChar w:fldCharType="end"/>
      </w:r>
    </w:p>
    <w:p w14:paraId="359C94B0">
      <w:pPr>
        <w:pStyle w:val="19"/>
        <w:tabs>
          <w:tab w:val="right" w:leader="dot" w:pos="9070"/>
          <w:tab w:val="clear" w:pos="9060"/>
        </w:tabs>
      </w:pPr>
      <w:r>
        <w:fldChar w:fldCharType="begin"/>
      </w:r>
      <w:r>
        <w:instrText xml:space="preserve"> HYPERLINK \l _Toc5518 </w:instrText>
      </w:r>
      <w:r>
        <w:fldChar w:fldCharType="separate"/>
      </w:r>
      <w:r>
        <w:rPr>
          <w:rFonts w:ascii="宋体" w:hAnsi="宋体" w:eastAsia="宋体" w:cs="宋体"/>
        </w:rPr>
        <w:t>§9 开放式基金份额变动</w:t>
      </w:r>
      <w:r>
        <w:tab/>
      </w:r>
      <w:r>
        <w:fldChar w:fldCharType="begin"/>
      </w:r>
      <w:r>
        <w:instrText xml:space="preserve"> PAGEREF _Toc5518 \h </w:instrText>
      </w:r>
      <w:r>
        <w:fldChar w:fldCharType="separate"/>
      </w:r>
      <w:r>
        <w:t>43</w:t>
      </w:r>
      <w:r>
        <w:fldChar w:fldCharType="end"/>
      </w:r>
      <w:r>
        <w:fldChar w:fldCharType="end"/>
      </w:r>
    </w:p>
    <w:p w14:paraId="0F34AC8D">
      <w:pPr>
        <w:pStyle w:val="19"/>
        <w:tabs>
          <w:tab w:val="right" w:leader="dot" w:pos="9070"/>
          <w:tab w:val="clear" w:pos="9060"/>
        </w:tabs>
      </w:pPr>
      <w:r>
        <w:fldChar w:fldCharType="begin"/>
      </w:r>
      <w:r>
        <w:instrText xml:space="preserve"> HYPERLINK \l _Toc14249 </w:instrText>
      </w:r>
      <w:r>
        <w:fldChar w:fldCharType="separate"/>
      </w:r>
      <w:r>
        <w:rPr>
          <w:rFonts w:ascii="宋体" w:hAnsi="宋体" w:eastAsia="宋体" w:cs="宋体"/>
        </w:rPr>
        <w:t>§10 重大事件揭示</w:t>
      </w:r>
      <w:r>
        <w:tab/>
      </w:r>
      <w:r>
        <w:fldChar w:fldCharType="begin"/>
      </w:r>
      <w:r>
        <w:instrText xml:space="preserve"> PAGEREF _Toc14249 \h </w:instrText>
      </w:r>
      <w:r>
        <w:fldChar w:fldCharType="separate"/>
      </w:r>
      <w:r>
        <w:t>43</w:t>
      </w:r>
      <w:r>
        <w:fldChar w:fldCharType="end"/>
      </w:r>
      <w:r>
        <w:fldChar w:fldCharType="end"/>
      </w:r>
    </w:p>
    <w:p w14:paraId="2AE94066">
      <w:pPr>
        <w:pStyle w:val="22"/>
        <w:tabs>
          <w:tab w:val="right" w:leader="dot" w:pos="9070"/>
        </w:tabs>
      </w:pPr>
      <w:r>
        <w:fldChar w:fldCharType="begin"/>
      </w:r>
      <w:r>
        <w:instrText xml:space="preserve"> HYPERLINK \l _Toc28257 </w:instrText>
      </w:r>
      <w:r>
        <w:fldChar w:fldCharType="separate"/>
      </w:r>
      <w:r>
        <w:rPr>
          <w:rFonts w:ascii="宋体" w:hAnsi="宋体" w:eastAsia="宋体" w:cs="宋体"/>
        </w:rPr>
        <w:t>10.1 基金份额持有人大会决议</w:t>
      </w:r>
      <w:r>
        <w:tab/>
      </w:r>
      <w:r>
        <w:fldChar w:fldCharType="begin"/>
      </w:r>
      <w:r>
        <w:instrText xml:space="preserve"> PAGEREF _Toc28257 \h </w:instrText>
      </w:r>
      <w:r>
        <w:fldChar w:fldCharType="separate"/>
      </w:r>
      <w:r>
        <w:t>43</w:t>
      </w:r>
      <w:r>
        <w:fldChar w:fldCharType="end"/>
      </w:r>
      <w:r>
        <w:fldChar w:fldCharType="end"/>
      </w:r>
    </w:p>
    <w:p w14:paraId="62BFACAB">
      <w:pPr>
        <w:pStyle w:val="22"/>
        <w:tabs>
          <w:tab w:val="right" w:leader="dot" w:pos="9070"/>
        </w:tabs>
      </w:pPr>
      <w:r>
        <w:fldChar w:fldCharType="begin"/>
      </w:r>
      <w:r>
        <w:instrText xml:space="preserve"> HYPERLINK \l _Toc8214 </w:instrText>
      </w:r>
      <w:r>
        <w:fldChar w:fldCharType="separate"/>
      </w:r>
      <w:r>
        <w:rPr>
          <w:rFonts w:ascii="宋体" w:hAnsi="宋体" w:eastAsia="宋体" w:cs="宋体"/>
        </w:rPr>
        <w:t>10.2 基金管理人、基金托管人的专门基金托管部门的重大人事变动</w:t>
      </w:r>
      <w:r>
        <w:tab/>
      </w:r>
      <w:r>
        <w:fldChar w:fldCharType="begin"/>
      </w:r>
      <w:r>
        <w:instrText xml:space="preserve"> PAGEREF _Toc8214 \h </w:instrText>
      </w:r>
      <w:r>
        <w:fldChar w:fldCharType="separate"/>
      </w:r>
      <w:r>
        <w:t>43</w:t>
      </w:r>
      <w:r>
        <w:fldChar w:fldCharType="end"/>
      </w:r>
      <w:r>
        <w:fldChar w:fldCharType="end"/>
      </w:r>
    </w:p>
    <w:p w14:paraId="74913C5C">
      <w:pPr>
        <w:pStyle w:val="22"/>
        <w:tabs>
          <w:tab w:val="right" w:leader="dot" w:pos="9070"/>
        </w:tabs>
      </w:pPr>
      <w:r>
        <w:fldChar w:fldCharType="begin"/>
      </w:r>
      <w:r>
        <w:instrText xml:space="preserve"> HYPERLINK \l _Toc17041 </w:instrText>
      </w:r>
      <w:r>
        <w:fldChar w:fldCharType="separate"/>
      </w:r>
      <w:r>
        <w:rPr>
          <w:rFonts w:ascii="宋体" w:hAnsi="宋体" w:eastAsia="宋体" w:cs="宋体"/>
        </w:rPr>
        <w:t>10.3 涉及基金管理人、基金财产、基金托管业务的诉讼</w:t>
      </w:r>
      <w:r>
        <w:tab/>
      </w:r>
      <w:r>
        <w:fldChar w:fldCharType="begin"/>
      </w:r>
      <w:r>
        <w:instrText xml:space="preserve"> PAGEREF _Toc17041 \h </w:instrText>
      </w:r>
      <w:r>
        <w:fldChar w:fldCharType="separate"/>
      </w:r>
      <w:r>
        <w:t>43</w:t>
      </w:r>
      <w:r>
        <w:fldChar w:fldCharType="end"/>
      </w:r>
      <w:r>
        <w:fldChar w:fldCharType="end"/>
      </w:r>
    </w:p>
    <w:p w14:paraId="696ADA76">
      <w:pPr>
        <w:pStyle w:val="22"/>
        <w:tabs>
          <w:tab w:val="right" w:leader="dot" w:pos="9070"/>
        </w:tabs>
      </w:pPr>
      <w:r>
        <w:fldChar w:fldCharType="begin"/>
      </w:r>
      <w:r>
        <w:instrText xml:space="preserve"> HYPERLINK \l _Toc18624 </w:instrText>
      </w:r>
      <w:r>
        <w:fldChar w:fldCharType="separate"/>
      </w:r>
      <w:r>
        <w:rPr>
          <w:rFonts w:ascii="宋体" w:hAnsi="宋体" w:eastAsia="宋体" w:cs="宋体"/>
        </w:rPr>
        <w:t>10.4 基金投资策略的改变</w:t>
      </w:r>
      <w:r>
        <w:tab/>
      </w:r>
      <w:r>
        <w:fldChar w:fldCharType="begin"/>
      </w:r>
      <w:r>
        <w:instrText xml:space="preserve"> PAGEREF _Toc18624 \h </w:instrText>
      </w:r>
      <w:r>
        <w:fldChar w:fldCharType="separate"/>
      </w:r>
      <w:r>
        <w:t>44</w:t>
      </w:r>
      <w:r>
        <w:fldChar w:fldCharType="end"/>
      </w:r>
      <w:r>
        <w:fldChar w:fldCharType="end"/>
      </w:r>
    </w:p>
    <w:p w14:paraId="5460F4AF">
      <w:pPr>
        <w:pStyle w:val="22"/>
        <w:tabs>
          <w:tab w:val="right" w:leader="dot" w:pos="9070"/>
        </w:tabs>
      </w:pPr>
      <w:r>
        <w:fldChar w:fldCharType="begin"/>
      </w:r>
      <w:r>
        <w:instrText xml:space="preserve"> HYPERLINK \l _Toc28672 </w:instrText>
      </w:r>
      <w:r>
        <w:fldChar w:fldCharType="separate"/>
      </w:r>
      <w:r>
        <w:rPr>
          <w:rFonts w:ascii="宋体" w:hAnsi="宋体" w:eastAsia="宋体" w:cs="宋体"/>
        </w:rPr>
        <w:t>10.5 为基金进行审计的会计师事务所情况</w:t>
      </w:r>
      <w:r>
        <w:tab/>
      </w:r>
      <w:r>
        <w:fldChar w:fldCharType="begin"/>
      </w:r>
      <w:r>
        <w:instrText xml:space="preserve"> PAGEREF _Toc28672 \h </w:instrText>
      </w:r>
      <w:r>
        <w:fldChar w:fldCharType="separate"/>
      </w:r>
      <w:r>
        <w:t>44</w:t>
      </w:r>
      <w:r>
        <w:fldChar w:fldCharType="end"/>
      </w:r>
      <w:r>
        <w:fldChar w:fldCharType="end"/>
      </w:r>
    </w:p>
    <w:p w14:paraId="76CE5795">
      <w:pPr>
        <w:pStyle w:val="22"/>
        <w:tabs>
          <w:tab w:val="right" w:leader="dot" w:pos="9070"/>
        </w:tabs>
      </w:pPr>
      <w:r>
        <w:fldChar w:fldCharType="begin"/>
      </w:r>
      <w:r>
        <w:instrText xml:space="preserve"> HYPERLINK \l _Toc1225 </w:instrText>
      </w:r>
      <w:r>
        <w:fldChar w:fldCharType="separate"/>
      </w:r>
      <w:r>
        <w:rPr>
          <w:rFonts w:ascii="宋体" w:hAnsi="宋体" w:eastAsia="宋体" w:cs="宋体"/>
        </w:rPr>
        <w:t>10.6 管理人、托管人及相关从业人员受调查或处罚等情况</w:t>
      </w:r>
      <w:r>
        <w:tab/>
      </w:r>
      <w:r>
        <w:fldChar w:fldCharType="begin"/>
      </w:r>
      <w:r>
        <w:instrText xml:space="preserve"> PAGEREF _Toc1225 \h </w:instrText>
      </w:r>
      <w:r>
        <w:fldChar w:fldCharType="separate"/>
      </w:r>
      <w:r>
        <w:t>44</w:t>
      </w:r>
      <w:r>
        <w:fldChar w:fldCharType="end"/>
      </w:r>
      <w:r>
        <w:fldChar w:fldCharType="end"/>
      </w:r>
    </w:p>
    <w:p w14:paraId="2A1FFD56">
      <w:pPr>
        <w:pStyle w:val="22"/>
        <w:tabs>
          <w:tab w:val="right" w:leader="dot" w:pos="9070"/>
        </w:tabs>
      </w:pPr>
      <w:r>
        <w:fldChar w:fldCharType="begin"/>
      </w:r>
      <w:r>
        <w:instrText xml:space="preserve"> HYPERLINK \l _Toc16131 </w:instrText>
      </w:r>
      <w:r>
        <w:fldChar w:fldCharType="separate"/>
      </w:r>
      <w:r>
        <w:rPr>
          <w:rFonts w:ascii="宋体" w:hAnsi="宋体" w:eastAsia="宋体" w:cs="宋体"/>
        </w:rPr>
        <w:t>10.7 基金租用或者通过证券公司交易单元进行证券投资的相关情况</w:t>
      </w:r>
      <w:r>
        <w:tab/>
      </w:r>
      <w:r>
        <w:fldChar w:fldCharType="begin"/>
      </w:r>
      <w:r>
        <w:instrText xml:space="preserve"> PAGEREF _Toc16131 \h </w:instrText>
      </w:r>
      <w:r>
        <w:fldChar w:fldCharType="separate"/>
      </w:r>
      <w:r>
        <w:t>44</w:t>
      </w:r>
      <w:r>
        <w:fldChar w:fldCharType="end"/>
      </w:r>
      <w:r>
        <w:fldChar w:fldCharType="end"/>
      </w:r>
    </w:p>
    <w:p w14:paraId="09F4853C">
      <w:pPr>
        <w:pStyle w:val="22"/>
        <w:tabs>
          <w:tab w:val="right" w:leader="dot" w:pos="9070"/>
        </w:tabs>
      </w:pPr>
      <w:r>
        <w:fldChar w:fldCharType="begin"/>
      </w:r>
      <w:r>
        <w:instrText xml:space="preserve"> HYPERLINK \l _Toc7680 </w:instrText>
      </w:r>
      <w:r>
        <w:fldChar w:fldCharType="separate"/>
      </w:r>
      <w:r>
        <w:rPr>
          <w:rFonts w:ascii="宋体" w:hAnsi="宋体" w:eastAsia="宋体" w:cs="宋体"/>
        </w:rPr>
        <w:t>10.8 其他重大事件</w:t>
      </w:r>
      <w:r>
        <w:tab/>
      </w:r>
      <w:r>
        <w:fldChar w:fldCharType="begin"/>
      </w:r>
      <w:r>
        <w:instrText xml:space="preserve"> PAGEREF _Toc7680 \h </w:instrText>
      </w:r>
      <w:r>
        <w:fldChar w:fldCharType="separate"/>
      </w:r>
      <w:r>
        <w:t>45</w:t>
      </w:r>
      <w:r>
        <w:fldChar w:fldCharType="end"/>
      </w:r>
      <w:r>
        <w:fldChar w:fldCharType="end"/>
      </w:r>
    </w:p>
    <w:p w14:paraId="62ED546D">
      <w:pPr>
        <w:pStyle w:val="19"/>
        <w:tabs>
          <w:tab w:val="right" w:leader="dot" w:pos="9070"/>
          <w:tab w:val="clear" w:pos="9060"/>
        </w:tabs>
      </w:pPr>
      <w:r>
        <w:fldChar w:fldCharType="begin"/>
      </w:r>
      <w:r>
        <w:instrText xml:space="preserve"> HYPERLINK \l _Toc12731 </w:instrText>
      </w:r>
      <w:r>
        <w:fldChar w:fldCharType="separate"/>
      </w:r>
      <w:r>
        <w:rPr>
          <w:rFonts w:ascii="宋体" w:hAnsi="宋体" w:eastAsia="宋体" w:cs="宋体"/>
        </w:rPr>
        <w:t>§11 影响投资者决策的其他重要信息</w:t>
      </w:r>
      <w:r>
        <w:tab/>
      </w:r>
      <w:r>
        <w:fldChar w:fldCharType="begin"/>
      </w:r>
      <w:r>
        <w:instrText xml:space="preserve"> PAGEREF _Toc12731 \h </w:instrText>
      </w:r>
      <w:r>
        <w:fldChar w:fldCharType="separate"/>
      </w:r>
      <w:r>
        <w:t>46</w:t>
      </w:r>
      <w:r>
        <w:fldChar w:fldCharType="end"/>
      </w:r>
      <w:r>
        <w:fldChar w:fldCharType="end"/>
      </w:r>
    </w:p>
    <w:p w14:paraId="69013D4C">
      <w:pPr>
        <w:pStyle w:val="22"/>
        <w:tabs>
          <w:tab w:val="right" w:leader="dot" w:pos="9070"/>
        </w:tabs>
      </w:pPr>
      <w:r>
        <w:fldChar w:fldCharType="begin"/>
      </w:r>
      <w:r>
        <w:instrText xml:space="preserve"> HYPERLINK \l _Toc5992 </w:instrText>
      </w:r>
      <w:r>
        <w:fldChar w:fldCharType="separate"/>
      </w:r>
      <w:r>
        <w:rPr>
          <w:rFonts w:ascii="宋体" w:hAnsi="宋体" w:eastAsia="宋体" w:cs="宋体"/>
        </w:rPr>
        <w:t>11.1 报告期内单一投资者持有基金份额比例达到或超过20%的情况</w:t>
      </w:r>
      <w:r>
        <w:tab/>
      </w:r>
      <w:r>
        <w:fldChar w:fldCharType="begin"/>
      </w:r>
      <w:r>
        <w:instrText xml:space="preserve"> PAGEREF _Toc5992 \h </w:instrText>
      </w:r>
      <w:r>
        <w:fldChar w:fldCharType="separate"/>
      </w:r>
      <w:r>
        <w:t>46</w:t>
      </w:r>
      <w:r>
        <w:fldChar w:fldCharType="end"/>
      </w:r>
      <w:r>
        <w:fldChar w:fldCharType="end"/>
      </w:r>
    </w:p>
    <w:p w14:paraId="1DEF1DA1">
      <w:pPr>
        <w:pStyle w:val="22"/>
        <w:tabs>
          <w:tab w:val="right" w:leader="dot" w:pos="9070"/>
        </w:tabs>
      </w:pPr>
      <w:r>
        <w:fldChar w:fldCharType="begin"/>
      </w:r>
      <w:r>
        <w:instrText xml:space="preserve"> HYPERLINK \l _Toc10994 </w:instrText>
      </w:r>
      <w:r>
        <w:fldChar w:fldCharType="separate"/>
      </w:r>
      <w:r>
        <w:rPr>
          <w:rFonts w:ascii="宋体" w:hAnsi="宋体" w:eastAsia="宋体" w:cs="宋体"/>
        </w:rPr>
        <w:t>11.2 影响投资者决策的其他重要信息</w:t>
      </w:r>
      <w:r>
        <w:tab/>
      </w:r>
      <w:r>
        <w:fldChar w:fldCharType="begin"/>
      </w:r>
      <w:r>
        <w:instrText xml:space="preserve"> PAGEREF _Toc10994 \h </w:instrText>
      </w:r>
      <w:r>
        <w:fldChar w:fldCharType="separate"/>
      </w:r>
      <w:r>
        <w:t>47</w:t>
      </w:r>
      <w:r>
        <w:fldChar w:fldCharType="end"/>
      </w:r>
      <w:r>
        <w:fldChar w:fldCharType="end"/>
      </w:r>
    </w:p>
    <w:p w14:paraId="4698B5CF">
      <w:pPr>
        <w:pStyle w:val="19"/>
        <w:tabs>
          <w:tab w:val="right" w:leader="dot" w:pos="9070"/>
          <w:tab w:val="clear" w:pos="9060"/>
        </w:tabs>
      </w:pPr>
      <w:r>
        <w:fldChar w:fldCharType="begin"/>
      </w:r>
      <w:r>
        <w:instrText xml:space="preserve"> HYPERLINK \l _Toc27926 </w:instrText>
      </w:r>
      <w:r>
        <w:fldChar w:fldCharType="separate"/>
      </w:r>
      <w:r>
        <w:rPr>
          <w:rFonts w:ascii="宋体" w:hAnsi="宋体" w:eastAsia="宋体" w:cs="宋体"/>
        </w:rPr>
        <w:t>§12 备查文件目录</w:t>
      </w:r>
      <w:r>
        <w:tab/>
      </w:r>
      <w:r>
        <w:fldChar w:fldCharType="begin"/>
      </w:r>
      <w:r>
        <w:instrText xml:space="preserve"> PAGEREF _Toc27926 \h </w:instrText>
      </w:r>
      <w:r>
        <w:fldChar w:fldCharType="separate"/>
      </w:r>
      <w:r>
        <w:t>47</w:t>
      </w:r>
      <w:r>
        <w:fldChar w:fldCharType="end"/>
      </w:r>
      <w:r>
        <w:fldChar w:fldCharType="end"/>
      </w:r>
    </w:p>
    <w:p w14:paraId="0E0863E6">
      <w:pPr>
        <w:pStyle w:val="22"/>
        <w:tabs>
          <w:tab w:val="right" w:leader="dot" w:pos="9070"/>
        </w:tabs>
      </w:pPr>
      <w:r>
        <w:fldChar w:fldCharType="begin"/>
      </w:r>
      <w:r>
        <w:instrText xml:space="preserve"> HYPERLINK \l _Toc4376 </w:instrText>
      </w:r>
      <w:r>
        <w:fldChar w:fldCharType="separate"/>
      </w:r>
      <w:r>
        <w:rPr>
          <w:rFonts w:ascii="宋体" w:hAnsi="宋体" w:eastAsia="宋体" w:cs="宋体"/>
        </w:rPr>
        <w:t>12.1 备查文件目录</w:t>
      </w:r>
      <w:r>
        <w:tab/>
      </w:r>
      <w:r>
        <w:fldChar w:fldCharType="begin"/>
      </w:r>
      <w:r>
        <w:instrText xml:space="preserve"> PAGEREF _Toc4376 \h </w:instrText>
      </w:r>
      <w:r>
        <w:fldChar w:fldCharType="separate"/>
      </w:r>
      <w:r>
        <w:t>47</w:t>
      </w:r>
      <w:r>
        <w:fldChar w:fldCharType="end"/>
      </w:r>
      <w:r>
        <w:fldChar w:fldCharType="end"/>
      </w:r>
    </w:p>
    <w:p w14:paraId="089156AF">
      <w:pPr>
        <w:pStyle w:val="22"/>
        <w:tabs>
          <w:tab w:val="right" w:leader="dot" w:pos="9070"/>
        </w:tabs>
      </w:pPr>
      <w:r>
        <w:fldChar w:fldCharType="begin"/>
      </w:r>
      <w:r>
        <w:instrText xml:space="preserve"> HYPERLINK \l _Toc948 </w:instrText>
      </w:r>
      <w:r>
        <w:fldChar w:fldCharType="separate"/>
      </w:r>
      <w:r>
        <w:rPr>
          <w:rFonts w:ascii="宋体" w:hAnsi="宋体" w:eastAsia="宋体" w:cs="宋体"/>
        </w:rPr>
        <w:t>12.2 存放地点</w:t>
      </w:r>
      <w:r>
        <w:tab/>
      </w:r>
      <w:r>
        <w:fldChar w:fldCharType="begin"/>
      </w:r>
      <w:r>
        <w:instrText xml:space="preserve"> PAGEREF _Toc948 \h </w:instrText>
      </w:r>
      <w:r>
        <w:fldChar w:fldCharType="separate"/>
      </w:r>
      <w:r>
        <w:t>47</w:t>
      </w:r>
      <w:r>
        <w:fldChar w:fldCharType="end"/>
      </w:r>
      <w:r>
        <w:fldChar w:fldCharType="end"/>
      </w:r>
    </w:p>
    <w:p w14:paraId="04C7FBF3">
      <w:pPr>
        <w:pStyle w:val="22"/>
        <w:tabs>
          <w:tab w:val="right" w:leader="dot" w:pos="9070"/>
        </w:tabs>
      </w:pPr>
      <w:r>
        <w:fldChar w:fldCharType="begin"/>
      </w:r>
      <w:r>
        <w:instrText xml:space="preserve"> HYPERLINK \l _Toc30247 </w:instrText>
      </w:r>
      <w:r>
        <w:fldChar w:fldCharType="separate"/>
      </w:r>
      <w:r>
        <w:rPr>
          <w:rFonts w:ascii="宋体" w:hAnsi="宋体" w:eastAsia="宋体" w:cs="宋体"/>
        </w:rPr>
        <w:t>12.3 查阅方式</w:t>
      </w:r>
      <w:r>
        <w:tab/>
      </w:r>
      <w:r>
        <w:fldChar w:fldCharType="begin"/>
      </w:r>
      <w:r>
        <w:instrText xml:space="preserve"> PAGEREF _Toc30247 \h </w:instrText>
      </w:r>
      <w:r>
        <w:fldChar w:fldCharType="separate"/>
      </w:r>
      <w:r>
        <w:t>47</w:t>
      </w:r>
      <w:r>
        <w:fldChar w:fldCharType="end"/>
      </w:r>
      <w:r>
        <w:fldChar w:fldCharType="end"/>
      </w:r>
    </w:p>
    <w:p w14:paraId="1C1AA67A">
      <w:pPr>
        <w:rPr>
          <w:rFonts w:ascii="宋体" w:hAnsi="宋体" w:eastAsia="宋体"/>
        </w:rPr>
      </w:pPr>
      <w:r>
        <w:fldChar w:fldCharType="end"/>
      </w:r>
    </w:p>
    <w:p w14:paraId="45716991">
      <w:r>
        <w:br w:type="page"/>
      </w:r>
    </w:p>
    <w:p w14:paraId="67E42B15">
      <w:pPr>
        <w:pStyle w:val="2"/>
        <w:jc w:val="center"/>
      </w:pPr>
      <w:bookmarkStart w:id="5" w:name="_Toc8962"/>
      <w:r>
        <w:rPr>
          <w:rFonts w:ascii="宋体" w:hAnsi="宋体" w:eastAsia="宋体" w:cs="宋体"/>
        </w:rPr>
        <w:t>§2 基金简介</w:t>
      </w:r>
      <w:bookmarkEnd w:id="5"/>
    </w:p>
    <w:p w14:paraId="336670F2">
      <w:pPr>
        <w:pStyle w:val="3"/>
        <w:jc w:val="left"/>
      </w:pPr>
      <w:bookmarkStart w:id="6" w:name="_Toc29650"/>
      <w:r>
        <w:rPr>
          <w:rFonts w:ascii="宋体" w:hAnsi="宋体" w:eastAsia="宋体" w:cs="宋体"/>
        </w:rPr>
        <w:t>2.1 基金基本情况</w:t>
      </w:r>
      <w:bookmarkEnd w:id="6"/>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3157"/>
        <w:gridCol w:w="3273"/>
      </w:tblGrid>
      <w:tr w14:paraId="444A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Align w:val="center"/>
          </w:tcPr>
          <w:p w14:paraId="36ABDA8E">
            <w:pPr>
              <w:spacing w:line="240" w:lineRule="auto"/>
              <w:jc w:val="left"/>
            </w:pPr>
            <w:r>
              <w:rPr>
                <w:rFonts w:ascii="宋体" w:hAnsi="宋体" w:eastAsia="宋体" w:cs="宋体"/>
                <w:b w:val="0"/>
              </w:rPr>
              <w:t>基金名称</w:t>
            </w:r>
          </w:p>
        </w:tc>
        <w:tc>
          <w:tcPr>
            <w:tcW w:w="3462" w:type="pct"/>
            <w:gridSpan w:val="2"/>
            <w:vAlign w:val="center"/>
          </w:tcPr>
          <w:p w14:paraId="0104CE37">
            <w:pPr>
              <w:spacing w:line="240" w:lineRule="auto"/>
              <w:jc w:val="left"/>
            </w:pPr>
            <w:r>
              <w:rPr>
                <w:rFonts w:ascii="宋体" w:hAnsi="宋体" w:eastAsia="宋体" w:cs="宋体"/>
                <w:b w:val="0"/>
              </w:rPr>
              <w:t>东方阿尔法增利债券型发起式证券投资基金</w:t>
            </w:r>
          </w:p>
        </w:tc>
      </w:tr>
      <w:tr w14:paraId="10E4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2C9758">
            <w:pPr>
              <w:spacing w:line="240" w:lineRule="auto"/>
              <w:jc w:val="left"/>
            </w:pPr>
            <w:r>
              <w:rPr>
                <w:rFonts w:ascii="宋体" w:hAnsi="宋体" w:eastAsia="宋体" w:cs="宋体"/>
                <w:b w:val="0"/>
              </w:rPr>
              <w:t>基金简称</w:t>
            </w:r>
          </w:p>
        </w:tc>
        <w:tc>
          <w:tcPr>
            <w:tcW w:w="0" w:type="dxa"/>
            <w:gridSpan w:val="2"/>
            <w:vAlign w:val="center"/>
          </w:tcPr>
          <w:p w14:paraId="73E3307E">
            <w:pPr>
              <w:spacing w:line="240" w:lineRule="auto"/>
              <w:jc w:val="left"/>
            </w:pPr>
            <w:r>
              <w:rPr>
                <w:rFonts w:ascii="宋体" w:hAnsi="宋体" w:eastAsia="宋体" w:cs="宋体"/>
                <w:b w:val="0"/>
              </w:rPr>
              <w:t>东方阿尔法增利债券发起</w:t>
            </w:r>
          </w:p>
        </w:tc>
      </w:tr>
      <w:tr w14:paraId="4157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B172B5">
            <w:pPr>
              <w:spacing w:line="240" w:lineRule="auto"/>
              <w:jc w:val="left"/>
            </w:pPr>
            <w:r>
              <w:rPr>
                <w:rFonts w:ascii="宋体" w:hAnsi="宋体" w:eastAsia="宋体" w:cs="宋体"/>
                <w:b w:val="0"/>
              </w:rPr>
              <w:t>基金主代码</w:t>
            </w:r>
          </w:p>
        </w:tc>
        <w:tc>
          <w:tcPr>
            <w:tcW w:w="0" w:type="dxa"/>
            <w:gridSpan w:val="2"/>
            <w:vAlign w:val="center"/>
          </w:tcPr>
          <w:p w14:paraId="7C32005B">
            <w:pPr>
              <w:spacing w:line="240" w:lineRule="auto"/>
              <w:jc w:val="left"/>
            </w:pPr>
            <w:r>
              <w:rPr>
                <w:rFonts w:ascii="宋体" w:hAnsi="宋体" w:eastAsia="宋体" w:cs="宋体"/>
                <w:b w:val="0"/>
              </w:rPr>
              <w:t>027654</w:t>
            </w:r>
          </w:p>
        </w:tc>
      </w:tr>
      <w:tr w14:paraId="3762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9A82B9">
            <w:pPr>
              <w:spacing w:line="240" w:lineRule="auto"/>
              <w:jc w:val="left"/>
            </w:pPr>
            <w:r>
              <w:rPr>
                <w:rFonts w:ascii="宋体" w:hAnsi="宋体" w:eastAsia="宋体" w:cs="宋体"/>
                <w:b w:val="0"/>
              </w:rPr>
              <w:t>基金运作方式</w:t>
            </w:r>
          </w:p>
        </w:tc>
        <w:tc>
          <w:tcPr>
            <w:tcW w:w="0" w:type="dxa"/>
            <w:gridSpan w:val="2"/>
            <w:vAlign w:val="center"/>
          </w:tcPr>
          <w:p w14:paraId="423943DB">
            <w:pPr>
              <w:spacing w:line="240" w:lineRule="auto"/>
              <w:jc w:val="left"/>
            </w:pPr>
            <w:r>
              <w:rPr>
                <w:rFonts w:ascii="宋体" w:hAnsi="宋体" w:eastAsia="宋体" w:cs="宋体"/>
                <w:b w:val="0"/>
              </w:rPr>
              <w:t>契约型开放式</w:t>
            </w:r>
          </w:p>
        </w:tc>
      </w:tr>
      <w:tr w14:paraId="73A5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012926">
            <w:pPr>
              <w:spacing w:line="240" w:lineRule="auto"/>
              <w:jc w:val="left"/>
            </w:pPr>
            <w:r>
              <w:rPr>
                <w:rFonts w:ascii="宋体" w:hAnsi="宋体" w:eastAsia="宋体" w:cs="宋体"/>
                <w:b w:val="0"/>
              </w:rPr>
              <w:t>基金合同生效日</w:t>
            </w:r>
          </w:p>
        </w:tc>
        <w:tc>
          <w:tcPr>
            <w:tcW w:w="0" w:type="dxa"/>
            <w:gridSpan w:val="2"/>
            <w:vAlign w:val="center"/>
          </w:tcPr>
          <w:p w14:paraId="1F49A852">
            <w:pPr>
              <w:spacing w:line="240" w:lineRule="auto"/>
              <w:jc w:val="left"/>
            </w:pPr>
            <w:r>
              <w:rPr>
                <w:rFonts w:ascii="宋体" w:hAnsi="宋体" w:eastAsia="宋体" w:cs="宋体"/>
                <w:b w:val="0"/>
              </w:rPr>
              <w:t>2026年06月02日</w:t>
            </w:r>
          </w:p>
        </w:tc>
      </w:tr>
      <w:tr w14:paraId="1D3F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7FE4A6">
            <w:pPr>
              <w:spacing w:line="240" w:lineRule="auto"/>
              <w:jc w:val="left"/>
            </w:pPr>
            <w:r>
              <w:rPr>
                <w:rFonts w:ascii="宋体" w:hAnsi="宋体" w:eastAsia="宋体" w:cs="宋体"/>
                <w:b w:val="0"/>
              </w:rPr>
              <w:t>基金管理人</w:t>
            </w:r>
          </w:p>
        </w:tc>
        <w:tc>
          <w:tcPr>
            <w:tcW w:w="0" w:type="dxa"/>
            <w:gridSpan w:val="2"/>
            <w:vAlign w:val="center"/>
          </w:tcPr>
          <w:p w14:paraId="54D70CDD">
            <w:pPr>
              <w:spacing w:line="240" w:lineRule="auto"/>
              <w:jc w:val="left"/>
            </w:pPr>
            <w:r>
              <w:rPr>
                <w:rFonts w:ascii="宋体" w:hAnsi="宋体" w:eastAsia="宋体" w:cs="宋体"/>
                <w:b w:val="0"/>
              </w:rPr>
              <w:t>东方阿尔法基金管理有限公司</w:t>
            </w:r>
          </w:p>
        </w:tc>
      </w:tr>
      <w:tr w14:paraId="5165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67AE83">
            <w:pPr>
              <w:spacing w:line="240" w:lineRule="auto"/>
              <w:jc w:val="left"/>
            </w:pPr>
            <w:r>
              <w:rPr>
                <w:rFonts w:ascii="宋体" w:hAnsi="宋体" w:eastAsia="宋体" w:cs="宋体"/>
                <w:b w:val="0"/>
              </w:rPr>
              <w:t>基金托管人</w:t>
            </w:r>
          </w:p>
        </w:tc>
        <w:tc>
          <w:tcPr>
            <w:tcW w:w="0" w:type="dxa"/>
            <w:gridSpan w:val="2"/>
            <w:vAlign w:val="center"/>
          </w:tcPr>
          <w:p w14:paraId="417DED1D">
            <w:pPr>
              <w:spacing w:line="240" w:lineRule="auto"/>
              <w:jc w:val="left"/>
            </w:pPr>
            <w:r>
              <w:rPr>
                <w:rFonts w:ascii="宋体" w:hAnsi="宋体" w:eastAsia="宋体" w:cs="宋体"/>
                <w:b w:val="0"/>
              </w:rPr>
              <w:t>招商银行股份有限公司</w:t>
            </w:r>
          </w:p>
        </w:tc>
      </w:tr>
      <w:tr w14:paraId="31B9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5D5FE4">
            <w:pPr>
              <w:spacing w:line="240" w:lineRule="auto"/>
              <w:jc w:val="left"/>
            </w:pPr>
            <w:r>
              <w:rPr>
                <w:rFonts w:ascii="宋体" w:hAnsi="宋体" w:eastAsia="宋体" w:cs="宋体"/>
                <w:b w:val="0"/>
              </w:rPr>
              <w:t>报告期末基金份额总额</w:t>
            </w:r>
          </w:p>
        </w:tc>
        <w:tc>
          <w:tcPr>
            <w:tcW w:w="0" w:type="dxa"/>
            <w:gridSpan w:val="2"/>
            <w:vAlign w:val="center"/>
          </w:tcPr>
          <w:p w14:paraId="6DDC60C5">
            <w:pPr>
              <w:spacing w:line="240" w:lineRule="auto"/>
              <w:jc w:val="left"/>
            </w:pPr>
            <w:r>
              <w:rPr>
                <w:rFonts w:ascii="宋体" w:hAnsi="宋体" w:eastAsia="宋体" w:cs="宋体"/>
                <w:b w:val="0"/>
              </w:rPr>
              <w:t>10,911,725.73份</w:t>
            </w:r>
          </w:p>
        </w:tc>
      </w:tr>
      <w:tr w14:paraId="33DF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72B4FB">
            <w:pPr>
              <w:spacing w:line="240" w:lineRule="auto"/>
              <w:jc w:val="left"/>
            </w:pPr>
            <w:r>
              <w:rPr>
                <w:rFonts w:ascii="宋体" w:hAnsi="宋体" w:eastAsia="宋体" w:cs="宋体"/>
                <w:b w:val="0"/>
              </w:rPr>
              <w:t>基金合同存续期</w:t>
            </w:r>
          </w:p>
        </w:tc>
        <w:tc>
          <w:tcPr>
            <w:tcW w:w="0" w:type="dxa"/>
            <w:gridSpan w:val="2"/>
            <w:vAlign w:val="center"/>
          </w:tcPr>
          <w:p w14:paraId="0023ED2E">
            <w:pPr>
              <w:spacing w:line="240" w:lineRule="auto"/>
              <w:jc w:val="left"/>
            </w:pPr>
            <w:r>
              <w:rPr>
                <w:rFonts w:ascii="宋体" w:hAnsi="宋体" w:eastAsia="宋体" w:cs="宋体"/>
                <w:b w:val="0"/>
              </w:rPr>
              <w:t>不定期</w:t>
            </w:r>
          </w:p>
        </w:tc>
      </w:tr>
      <w:tr w14:paraId="4860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BF589A">
            <w:pPr>
              <w:spacing w:line="240" w:lineRule="auto"/>
              <w:jc w:val="left"/>
            </w:pPr>
            <w:r>
              <w:rPr>
                <w:rFonts w:ascii="宋体" w:hAnsi="宋体" w:eastAsia="宋体" w:cs="宋体"/>
                <w:b w:val="0"/>
              </w:rPr>
              <w:t>下属分级基金的基金简称</w:t>
            </w:r>
          </w:p>
        </w:tc>
        <w:tc>
          <w:tcPr>
            <w:tcW w:w="1700" w:type="pct"/>
            <w:vAlign w:val="center"/>
          </w:tcPr>
          <w:p w14:paraId="11664461">
            <w:pPr>
              <w:spacing w:line="240" w:lineRule="auto"/>
              <w:jc w:val="left"/>
            </w:pPr>
            <w:r>
              <w:rPr>
                <w:rFonts w:ascii="宋体" w:hAnsi="宋体" w:eastAsia="宋体" w:cs="宋体"/>
                <w:b w:val="0"/>
              </w:rPr>
              <w:t>东方阿尔法增利债券发起A</w:t>
            </w:r>
          </w:p>
        </w:tc>
        <w:tc>
          <w:tcPr>
            <w:tcW w:w="1700" w:type="pct"/>
            <w:vAlign w:val="center"/>
          </w:tcPr>
          <w:p w14:paraId="6710C16D">
            <w:pPr>
              <w:spacing w:line="240" w:lineRule="auto"/>
              <w:jc w:val="left"/>
            </w:pPr>
            <w:r>
              <w:rPr>
                <w:rFonts w:ascii="宋体" w:hAnsi="宋体" w:eastAsia="宋体" w:cs="宋体"/>
                <w:b w:val="0"/>
              </w:rPr>
              <w:t>东方阿尔法增利债券发起C</w:t>
            </w:r>
          </w:p>
        </w:tc>
      </w:tr>
      <w:tr w14:paraId="2B98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8E32A6">
            <w:pPr>
              <w:spacing w:line="240" w:lineRule="auto"/>
              <w:jc w:val="left"/>
            </w:pPr>
            <w:r>
              <w:rPr>
                <w:rFonts w:ascii="宋体" w:hAnsi="宋体" w:eastAsia="宋体" w:cs="宋体"/>
                <w:b w:val="0"/>
              </w:rPr>
              <w:t>下属分级基金的交易代码</w:t>
            </w:r>
          </w:p>
        </w:tc>
        <w:tc>
          <w:tcPr>
            <w:tcW w:w="1700" w:type="pct"/>
            <w:vAlign w:val="center"/>
          </w:tcPr>
          <w:p w14:paraId="1D5BD933">
            <w:pPr>
              <w:spacing w:line="240" w:lineRule="auto"/>
              <w:jc w:val="left"/>
            </w:pPr>
            <w:r>
              <w:rPr>
                <w:rFonts w:ascii="宋体" w:hAnsi="宋体" w:eastAsia="宋体" w:cs="宋体"/>
                <w:b w:val="0"/>
              </w:rPr>
              <w:t>027654</w:t>
            </w:r>
          </w:p>
        </w:tc>
        <w:tc>
          <w:tcPr>
            <w:tcW w:w="1700" w:type="pct"/>
            <w:vAlign w:val="center"/>
          </w:tcPr>
          <w:p w14:paraId="37B99449">
            <w:pPr>
              <w:spacing w:line="240" w:lineRule="auto"/>
              <w:jc w:val="left"/>
            </w:pPr>
            <w:r>
              <w:rPr>
                <w:rFonts w:ascii="宋体" w:hAnsi="宋体" w:eastAsia="宋体" w:cs="宋体"/>
                <w:b w:val="0"/>
              </w:rPr>
              <w:t>027655</w:t>
            </w:r>
          </w:p>
        </w:tc>
      </w:tr>
      <w:tr w14:paraId="451A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286CFB">
            <w:pPr>
              <w:spacing w:line="240" w:lineRule="auto"/>
              <w:jc w:val="left"/>
            </w:pPr>
            <w:r>
              <w:rPr>
                <w:rFonts w:ascii="宋体" w:hAnsi="宋体" w:eastAsia="宋体" w:cs="宋体"/>
                <w:b w:val="0"/>
              </w:rPr>
              <w:t>报告期末下属分级基金的份额总额</w:t>
            </w:r>
          </w:p>
        </w:tc>
        <w:tc>
          <w:tcPr>
            <w:tcW w:w="1700" w:type="pct"/>
            <w:vAlign w:val="center"/>
          </w:tcPr>
          <w:p w14:paraId="79DDE934">
            <w:pPr>
              <w:spacing w:line="240" w:lineRule="auto"/>
              <w:jc w:val="left"/>
            </w:pPr>
            <w:r>
              <w:rPr>
                <w:rFonts w:ascii="宋体" w:hAnsi="宋体" w:eastAsia="宋体" w:cs="宋体"/>
                <w:b w:val="0"/>
              </w:rPr>
              <w:t>10,410,237.96份</w:t>
            </w:r>
          </w:p>
        </w:tc>
        <w:tc>
          <w:tcPr>
            <w:tcW w:w="1700" w:type="pct"/>
            <w:vAlign w:val="center"/>
          </w:tcPr>
          <w:p w14:paraId="7A688C93">
            <w:pPr>
              <w:spacing w:line="240" w:lineRule="auto"/>
              <w:jc w:val="left"/>
            </w:pPr>
            <w:r>
              <w:rPr>
                <w:rFonts w:ascii="宋体" w:hAnsi="宋体" w:eastAsia="宋体" w:cs="宋体"/>
                <w:b w:val="0"/>
              </w:rPr>
              <w:t>501,487.77份</w:t>
            </w:r>
          </w:p>
        </w:tc>
      </w:tr>
    </w:tbl>
    <w:p w14:paraId="278AFDD8"/>
    <w:p w14:paraId="13BDF027">
      <w:pPr>
        <w:pStyle w:val="3"/>
        <w:jc w:val="left"/>
      </w:pPr>
      <w:bookmarkStart w:id="7" w:name="_Toc29335"/>
      <w:r>
        <w:rPr>
          <w:rFonts w:ascii="宋体" w:hAnsi="宋体" w:eastAsia="宋体" w:cs="宋体"/>
        </w:rPr>
        <w:t>2.2 基金产品说明</w:t>
      </w:r>
      <w:bookmarkEnd w:id="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5715"/>
      </w:tblGrid>
      <w:tr w14:paraId="2872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134D295F">
            <w:pPr>
              <w:spacing w:line="240" w:lineRule="auto"/>
              <w:jc w:val="left"/>
            </w:pPr>
            <w:r>
              <w:rPr>
                <w:rFonts w:ascii="宋体" w:hAnsi="宋体" w:eastAsia="宋体" w:cs="宋体"/>
                <w:b w:val="0"/>
              </w:rPr>
              <w:t>投资目标</w:t>
            </w:r>
          </w:p>
        </w:tc>
        <w:tc>
          <w:tcPr>
            <w:tcW w:w="3077" w:type="pct"/>
            <w:vAlign w:val="center"/>
          </w:tcPr>
          <w:p w14:paraId="0BF553EC">
            <w:pPr>
              <w:spacing w:line="240" w:lineRule="auto"/>
              <w:jc w:val="left"/>
            </w:pPr>
            <w:r>
              <w:rPr>
                <w:rFonts w:ascii="宋体" w:hAnsi="宋体" w:eastAsia="宋体" w:cs="宋体"/>
                <w:b w:val="0"/>
              </w:rPr>
              <w:t xml:space="preserve">    本基金在严格的风险控制的基础上,力争实现基金资产的稳健增值。</w:t>
            </w:r>
          </w:p>
        </w:tc>
      </w:tr>
      <w:tr w14:paraId="48DC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4C9ED7">
            <w:pPr>
              <w:spacing w:line="240" w:lineRule="auto"/>
              <w:jc w:val="left"/>
            </w:pPr>
            <w:r>
              <w:rPr>
                <w:rFonts w:ascii="宋体" w:hAnsi="宋体" w:eastAsia="宋体" w:cs="宋体"/>
                <w:b w:val="0"/>
              </w:rPr>
              <w:t>投资策略</w:t>
            </w:r>
          </w:p>
        </w:tc>
        <w:tc>
          <w:tcPr>
            <w:tcW w:w="0" w:type="dxa"/>
            <w:vAlign w:val="center"/>
          </w:tcPr>
          <w:p w14:paraId="1AB54687">
            <w:pPr>
              <w:spacing w:line="240" w:lineRule="auto"/>
              <w:jc w:val="left"/>
            </w:pPr>
            <w:r>
              <w:rPr>
                <w:rFonts w:ascii="宋体" w:hAnsi="宋体" w:eastAsia="宋体" w:cs="宋体"/>
                <w:b w:val="0"/>
              </w:rPr>
              <w:t xml:space="preserve">    本基金的投资策略主要有以7个方面内容：</w:t>
            </w:r>
            <w:r>
              <w:rPr>
                <w:rFonts w:ascii="宋体" w:hAnsi="宋体" w:eastAsia="宋体" w:cs="宋体"/>
                <w:b w:val="0"/>
              </w:rPr>
              <w:br w:type="textWrapping"/>
            </w:r>
            <w:r>
              <w:rPr>
                <w:rFonts w:ascii="宋体" w:hAnsi="宋体" w:eastAsia="宋体" w:cs="宋体"/>
                <w:b w:val="0"/>
              </w:rPr>
              <w:t xml:space="preserve">    1、资产配置策略</w:t>
            </w:r>
            <w:r>
              <w:rPr>
                <w:rFonts w:ascii="宋体" w:hAnsi="宋体" w:eastAsia="宋体" w:cs="宋体"/>
                <w:b w:val="0"/>
              </w:rPr>
              <w:br w:type="textWrapping"/>
            </w:r>
            <w:r>
              <w:rPr>
                <w:rFonts w:ascii="宋体" w:hAnsi="宋体" w:eastAsia="宋体" w:cs="宋体"/>
                <w:b w:val="0"/>
              </w:rPr>
              <w:t xml:space="preserve">    本基金将根据国内外宏观经济、政策环境、利率走势、市场技术指标、市场资金构成及流动性情况不断调整权益类资产和其他资产之间的大类资产配置比例。</w:t>
            </w:r>
            <w:r>
              <w:rPr>
                <w:rFonts w:ascii="宋体" w:hAnsi="宋体" w:eastAsia="宋体" w:cs="宋体"/>
                <w:b w:val="0"/>
              </w:rPr>
              <w:br w:type="textWrapping"/>
            </w:r>
            <w:r>
              <w:rPr>
                <w:rFonts w:ascii="宋体" w:hAnsi="宋体" w:eastAsia="宋体" w:cs="宋体"/>
                <w:b w:val="0"/>
              </w:rPr>
              <w:t xml:space="preserve">    2、债券投资策略</w:t>
            </w:r>
            <w:r>
              <w:rPr>
                <w:rFonts w:ascii="宋体" w:hAnsi="宋体" w:eastAsia="宋体" w:cs="宋体"/>
                <w:b w:val="0"/>
              </w:rPr>
              <w:br w:type="textWrapping"/>
            </w:r>
            <w:r>
              <w:rPr>
                <w:rFonts w:ascii="宋体" w:hAnsi="宋体" w:eastAsia="宋体" w:cs="宋体"/>
                <w:b w:val="0"/>
              </w:rPr>
              <w:t xml:space="preserve">    本基金主要采用债券类属配置策略、久期管理策略、收益率曲线策略、信用策略（含资产支持证券）、可转换债券和可交换债券投资策略以及回购策略，对债券投资进行管理。</w:t>
            </w:r>
            <w:r>
              <w:rPr>
                <w:rFonts w:ascii="宋体" w:hAnsi="宋体" w:eastAsia="宋体" w:cs="宋体"/>
                <w:b w:val="0"/>
              </w:rPr>
              <w:br w:type="textWrapping"/>
            </w:r>
            <w:r>
              <w:rPr>
                <w:rFonts w:ascii="宋体" w:hAnsi="宋体" w:eastAsia="宋体" w:cs="宋体"/>
                <w:b w:val="0"/>
              </w:rPr>
              <w:t xml:space="preserve">    3、股票投资策略</w:t>
            </w:r>
            <w:r>
              <w:rPr>
                <w:rFonts w:ascii="宋体" w:hAnsi="宋体" w:eastAsia="宋体" w:cs="宋体"/>
                <w:b w:val="0"/>
              </w:rPr>
              <w:br w:type="textWrapping"/>
            </w:r>
            <w:r>
              <w:rPr>
                <w:rFonts w:ascii="宋体" w:hAnsi="宋体" w:eastAsia="宋体" w:cs="宋体"/>
                <w:b w:val="0"/>
              </w:rPr>
              <w:t xml:space="preserve">    采用“自下而上”的个股精选策略，基于公司内部研究团队对于个股的基本面的深入研究和细致的实地调研，有效挖掘价值低估及具有增长潜力的个股。</w:t>
            </w:r>
            <w:r>
              <w:rPr>
                <w:rFonts w:ascii="宋体" w:hAnsi="宋体" w:eastAsia="宋体" w:cs="宋体"/>
                <w:b w:val="0"/>
              </w:rPr>
              <w:br w:type="textWrapping"/>
            </w:r>
            <w:r>
              <w:rPr>
                <w:rFonts w:ascii="宋体" w:hAnsi="宋体" w:eastAsia="宋体" w:cs="宋体"/>
                <w:b w:val="0"/>
              </w:rPr>
              <w:t xml:space="preserve">    4、存托凭证投资策略</w:t>
            </w:r>
            <w:r>
              <w:rPr>
                <w:rFonts w:ascii="宋体" w:hAnsi="宋体" w:eastAsia="宋体" w:cs="宋体"/>
                <w:b w:val="0"/>
              </w:rPr>
              <w:br w:type="textWrapping"/>
            </w:r>
            <w:r>
              <w:rPr>
                <w:rFonts w:ascii="宋体" w:hAnsi="宋体" w:eastAsia="宋体" w:cs="宋体"/>
                <w:b w:val="0"/>
              </w:rPr>
              <w:t xml:space="preserve">    本基金将根据本基金的投资目标和股票投资策略，基于对基础证券投资价值的深入研究判断，进行存托凭证的投资。</w:t>
            </w:r>
            <w:r>
              <w:rPr>
                <w:rFonts w:ascii="宋体" w:hAnsi="宋体" w:eastAsia="宋体" w:cs="宋体"/>
                <w:b w:val="0"/>
              </w:rPr>
              <w:br w:type="textWrapping"/>
            </w:r>
            <w:r>
              <w:rPr>
                <w:rFonts w:ascii="宋体" w:hAnsi="宋体" w:eastAsia="宋体" w:cs="宋体"/>
                <w:b w:val="0"/>
              </w:rPr>
              <w:t xml:space="preserve">    5、港股投资策略</w:t>
            </w:r>
            <w:r>
              <w:rPr>
                <w:rFonts w:ascii="宋体" w:hAnsi="宋体" w:eastAsia="宋体" w:cs="宋体"/>
                <w:b w:val="0"/>
              </w:rPr>
              <w:br w:type="textWrapping"/>
            </w:r>
            <w:r>
              <w:rPr>
                <w:rFonts w:ascii="宋体" w:hAnsi="宋体" w:eastAsia="宋体" w:cs="宋体"/>
                <w:b w:val="0"/>
              </w:rPr>
              <w:t xml:space="preserve">    本基金通过港股通投资港股，结合宏观基本面与资金流向，依托产业趋势，从企业商业模式、竞争力、营收情况等多维度自下而上精选优质港股标的。</w:t>
            </w:r>
            <w:r>
              <w:rPr>
                <w:rFonts w:ascii="宋体" w:hAnsi="宋体" w:eastAsia="宋体" w:cs="宋体"/>
                <w:b w:val="0"/>
              </w:rPr>
              <w:br w:type="textWrapping"/>
            </w:r>
            <w:r>
              <w:rPr>
                <w:rFonts w:ascii="宋体" w:hAnsi="宋体" w:eastAsia="宋体" w:cs="宋体"/>
                <w:b w:val="0"/>
              </w:rPr>
              <w:t xml:space="preserve">    6、基金投资策略</w:t>
            </w:r>
            <w:r>
              <w:rPr>
                <w:rFonts w:ascii="宋体" w:hAnsi="宋体" w:eastAsia="宋体" w:cs="宋体"/>
                <w:b w:val="0"/>
              </w:rPr>
              <w:br w:type="textWrapping"/>
            </w:r>
            <w:r>
              <w:rPr>
                <w:rFonts w:ascii="宋体" w:hAnsi="宋体" w:eastAsia="宋体" w:cs="宋体"/>
                <w:b w:val="0"/>
              </w:rPr>
              <w:t xml:space="preserve">    本基金投资权益类基金采取分类施策策略，对主动管理型基金以定量与定性结合的自下而上方式精选业绩稳、风格明确的优质标的，对被动指数型基金结合宏观与政策研判，布局长期景气指数并捕捉各类指数阶段性机会增厚收益。</w:t>
            </w:r>
            <w:r>
              <w:rPr>
                <w:rFonts w:ascii="宋体" w:hAnsi="宋体" w:eastAsia="宋体" w:cs="宋体"/>
                <w:b w:val="0"/>
              </w:rPr>
              <w:br w:type="textWrapping"/>
            </w:r>
            <w:r>
              <w:rPr>
                <w:rFonts w:ascii="宋体" w:hAnsi="宋体" w:eastAsia="宋体" w:cs="宋体"/>
                <w:b w:val="0"/>
              </w:rPr>
              <w:t xml:space="preserve">    7、国债期货投资策略</w:t>
            </w:r>
            <w:r>
              <w:rPr>
                <w:rFonts w:ascii="宋体" w:hAnsi="宋体" w:eastAsia="宋体" w:cs="宋体"/>
                <w:b w:val="0"/>
              </w:rPr>
              <w:br w:type="textWrapping"/>
            </w:r>
            <w:r>
              <w:rPr>
                <w:rFonts w:ascii="宋体" w:hAnsi="宋体" w:eastAsia="宋体" w:cs="宋体"/>
                <w:b w:val="0"/>
              </w:rPr>
              <w:t xml:space="preserve">    本基金以套期保值为主要目的，参与国债期货的投资，以管理投资组合的系统性风险，改善组合的风险收益特性。</w:t>
            </w:r>
          </w:p>
        </w:tc>
      </w:tr>
      <w:tr w14:paraId="572B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DDBBB2">
            <w:pPr>
              <w:spacing w:line="240" w:lineRule="auto"/>
              <w:jc w:val="left"/>
            </w:pPr>
            <w:r>
              <w:rPr>
                <w:rFonts w:ascii="宋体" w:hAnsi="宋体" w:eastAsia="宋体" w:cs="宋体"/>
                <w:b w:val="0"/>
              </w:rPr>
              <w:t>业绩比较基准</w:t>
            </w:r>
          </w:p>
        </w:tc>
        <w:tc>
          <w:tcPr>
            <w:tcW w:w="0" w:type="dxa"/>
            <w:vAlign w:val="center"/>
          </w:tcPr>
          <w:p w14:paraId="4BACD05C">
            <w:pPr>
              <w:spacing w:line="240" w:lineRule="auto"/>
              <w:jc w:val="left"/>
            </w:pPr>
            <w:r>
              <w:rPr>
                <w:rFonts w:ascii="宋体" w:hAnsi="宋体" w:eastAsia="宋体" w:cs="宋体"/>
                <w:b w:val="0"/>
              </w:rPr>
              <w:t xml:space="preserve">    中债-综合全价（总值）指数收益率×85%+沪深300指数收益率×10%+中证港股通综合指数（人民币）收益率*5%</w:t>
            </w:r>
          </w:p>
        </w:tc>
      </w:tr>
      <w:tr w14:paraId="7946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AD2AF5">
            <w:pPr>
              <w:spacing w:line="240" w:lineRule="auto"/>
              <w:jc w:val="left"/>
            </w:pPr>
            <w:r>
              <w:rPr>
                <w:rFonts w:ascii="宋体" w:hAnsi="宋体" w:eastAsia="宋体" w:cs="宋体"/>
                <w:b w:val="0"/>
              </w:rPr>
              <w:t>风险收益特征</w:t>
            </w:r>
          </w:p>
        </w:tc>
        <w:tc>
          <w:tcPr>
            <w:tcW w:w="0" w:type="dxa"/>
            <w:vAlign w:val="center"/>
          </w:tcPr>
          <w:p w14:paraId="31309326">
            <w:pPr>
              <w:spacing w:line="240" w:lineRule="auto"/>
              <w:jc w:val="left"/>
            </w:pPr>
            <w:r>
              <w:rPr>
                <w:rFonts w:ascii="宋体" w:hAnsi="宋体" w:eastAsia="宋体" w:cs="宋体"/>
                <w:b w:val="0"/>
              </w:rPr>
              <w:t xml:space="preserve">    本基金为债券型基金，其预期风险与预期收益高于货币市场基金，低于混合型基金和股票型基金。本基金如果投资港股通标的股票，需承担汇率风险以及境外市场的风险。</w:t>
            </w:r>
          </w:p>
        </w:tc>
      </w:tr>
    </w:tbl>
    <w:p w14:paraId="6344B6D0"/>
    <w:p w14:paraId="0FD72E03">
      <w:pPr>
        <w:pStyle w:val="3"/>
        <w:jc w:val="left"/>
      </w:pPr>
      <w:bookmarkStart w:id="8" w:name="_Toc13980"/>
      <w:r>
        <w:rPr>
          <w:rFonts w:ascii="宋体" w:hAnsi="宋体" w:eastAsia="宋体" w:cs="宋体"/>
        </w:rPr>
        <w:t>2.3 基金管理人和基金托管人</w:t>
      </w:r>
      <w:bookmarkEnd w:id="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498"/>
        <w:gridCol w:w="3145"/>
        <w:gridCol w:w="3145"/>
      </w:tblGrid>
      <w:tr w14:paraId="79D1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gridSpan w:val="2"/>
            <w:shd w:val="clear" w:color="auto" w:fill="D9D9D9"/>
            <w:vAlign w:val="center"/>
          </w:tcPr>
          <w:p w14:paraId="2A12CDE8">
            <w:pPr>
              <w:spacing w:line="240" w:lineRule="auto"/>
              <w:jc w:val="center"/>
            </w:pPr>
            <w:r>
              <w:rPr>
                <w:rFonts w:ascii="宋体" w:hAnsi="宋体" w:eastAsia="宋体" w:cs="宋体"/>
                <w:b w:val="0"/>
              </w:rPr>
              <w:t>项目</w:t>
            </w:r>
          </w:p>
        </w:tc>
        <w:tc>
          <w:tcPr>
            <w:tcW w:w="1615" w:type="pct"/>
            <w:shd w:val="clear" w:color="auto" w:fill="D9D9D9"/>
            <w:vAlign w:val="center"/>
          </w:tcPr>
          <w:p w14:paraId="38D96A1B">
            <w:pPr>
              <w:spacing w:line="240" w:lineRule="auto"/>
              <w:jc w:val="center"/>
            </w:pPr>
            <w:r>
              <w:rPr>
                <w:rFonts w:ascii="宋体" w:hAnsi="宋体" w:eastAsia="宋体" w:cs="宋体"/>
                <w:b w:val="0"/>
              </w:rPr>
              <w:t>基金管理人</w:t>
            </w:r>
          </w:p>
        </w:tc>
        <w:tc>
          <w:tcPr>
            <w:tcW w:w="1615" w:type="pct"/>
            <w:shd w:val="clear" w:color="auto" w:fill="D9D9D9"/>
            <w:vAlign w:val="center"/>
          </w:tcPr>
          <w:p w14:paraId="2428A495">
            <w:pPr>
              <w:spacing w:line="240" w:lineRule="auto"/>
              <w:jc w:val="center"/>
            </w:pPr>
            <w:r>
              <w:rPr>
                <w:rFonts w:ascii="宋体" w:hAnsi="宋体" w:eastAsia="宋体" w:cs="宋体"/>
                <w:b w:val="0"/>
              </w:rPr>
              <w:t>基金托管人</w:t>
            </w:r>
          </w:p>
        </w:tc>
      </w:tr>
      <w:tr w14:paraId="5490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1C73207">
            <w:pPr>
              <w:spacing w:line="240" w:lineRule="auto"/>
              <w:jc w:val="left"/>
            </w:pPr>
            <w:r>
              <w:rPr>
                <w:rFonts w:ascii="宋体" w:hAnsi="宋体" w:eastAsia="宋体" w:cs="宋体"/>
                <w:b w:val="0"/>
              </w:rPr>
              <w:t>名称</w:t>
            </w:r>
          </w:p>
        </w:tc>
        <w:tc>
          <w:tcPr>
            <w:tcW w:w="0" w:type="dxa"/>
            <w:vAlign w:val="center"/>
          </w:tcPr>
          <w:p w14:paraId="36197E9B">
            <w:pPr>
              <w:spacing w:line="240" w:lineRule="auto"/>
              <w:jc w:val="left"/>
            </w:pPr>
            <w:r>
              <w:rPr>
                <w:rFonts w:ascii="宋体" w:hAnsi="宋体" w:eastAsia="宋体" w:cs="宋体"/>
                <w:b w:val="0"/>
              </w:rPr>
              <w:t>东方阿尔法基金管理有限公司</w:t>
            </w:r>
          </w:p>
        </w:tc>
        <w:tc>
          <w:tcPr>
            <w:tcW w:w="0" w:type="dxa"/>
            <w:vAlign w:val="center"/>
          </w:tcPr>
          <w:p w14:paraId="74E78490">
            <w:pPr>
              <w:spacing w:line="240" w:lineRule="auto"/>
              <w:jc w:val="left"/>
            </w:pPr>
            <w:r>
              <w:rPr>
                <w:rFonts w:ascii="宋体" w:hAnsi="宋体" w:eastAsia="宋体" w:cs="宋体"/>
                <w:b w:val="0"/>
              </w:rPr>
              <w:t>招商银行股份有限公司</w:t>
            </w:r>
          </w:p>
        </w:tc>
      </w:tr>
      <w:tr w14:paraId="7BC0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Merge w:val="restart"/>
            <w:vAlign w:val="center"/>
          </w:tcPr>
          <w:p w14:paraId="4ADBB10A">
            <w:pPr>
              <w:spacing w:line="240" w:lineRule="auto"/>
              <w:jc w:val="left"/>
            </w:pPr>
            <w:r>
              <w:rPr>
                <w:rFonts w:ascii="宋体" w:hAnsi="宋体" w:eastAsia="宋体" w:cs="宋体"/>
                <w:b w:val="0"/>
              </w:rPr>
              <w:t>信息披露负责人</w:t>
            </w:r>
          </w:p>
        </w:tc>
        <w:tc>
          <w:tcPr>
            <w:tcW w:w="769" w:type="pct"/>
            <w:vAlign w:val="center"/>
          </w:tcPr>
          <w:p w14:paraId="0E67D385">
            <w:pPr>
              <w:spacing w:line="240" w:lineRule="auto"/>
              <w:jc w:val="left"/>
            </w:pPr>
            <w:r>
              <w:rPr>
                <w:rFonts w:ascii="宋体" w:hAnsi="宋体" w:eastAsia="宋体" w:cs="宋体"/>
                <w:b w:val="0"/>
              </w:rPr>
              <w:t>姓名</w:t>
            </w:r>
          </w:p>
        </w:tc>
        <w:tc>
          <w:tcPr>
            <w:tcW w:w="0" w:type="dxa"/>
            <w:vAlign w:val="center"/>
          </w:tcPr>
          <w:p w14:paraId="4BB9BAB4">
            <w:pPr>
              <w:spacing w:line="240" w:lineRule="auto"/>
              <w:jc w:val="left"/>
            </w:pPr>
            <w:r>
              <w:rPr>
                <w:rFonts w:ascii="宋体" w:hAnsi="宋体" w:eastAsia="宋体" w:cs="宋体"/>
                <w:b w:val="0"/>
              </w:rPr>
              <w:t>曾健</w:t>
            </w:r>
          </w:p>
        </w:tc>
        <w:tc>
          <w:tcPr>
            <w:tcW w:w="0" w:type="dxa"/>
            <w:vAlign w:val="center"/>
          </w:tcPr>
          <w:p w14:paraId="0A3A8F84">
            <w:pPr>
              <w:spacing w:line="240" w:lineRule="auto"/>
              <w:jc w:val="left"/>
            </w:pPr>
            <w:r>
              <w:rPr>
                <w:rFonts w:ascii="宋体" w:hAnsi="宋体" w:eastAsia="宋体" w:cs="宋体"/>
                <w:b w:val="0"/>
              </w:rPr>
              <w:t>张姗</w:t>
            </w:r>
          </w:p>
        </w:tc>
      </w:tr>
      <w:tr w14:paraId="3730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9827037"/>
        </w:tc>
        <w:tc>
          <w:tcPr>
            <w:tcW w:w="0" w:type="dxa"/>
            <w:vAlign w:val="center"/>
          </w:tcPr>
          <w:p w14:paraId="0673D344">
            <w:pPr>
              <w:spacing w:line="240" w:lineRule="auto"/>
              <w:jc w:val="left"/>
            </w:pPr>
            <w:r>
              <w:rPr>
                <w:rFonts w:ascii="宋体" w:hAnsi="宋体" w:eastAsia="宋体" w:cs="宋体"/>
                <w:b w:val="0"/>
              </w:rPr>
              <w:t>联系电话</w:t>
            </w:r>
          </w:p>
        </w:tc>
        <w:tc>
          <w:tcPr>
            <w:tcW w:w="0" w:type="dxa"/>
            <w:vAlign w:val="center"/>
          </w:tcPr>
          <w:p w14:paraId="2D317BE4">
            <w:pPr>
              <w:spacing w:line="240" w:lineRule="auto"/>
              <w:jc w:val="left"/>
            </w:pPr>
            <w:r>
              <w:rPr>
                <w:rFonts w:ascii="宋体" w:hAnsi="宋体" w:eastAsia="宋体" w:cs="宋体"/>
                <w:b w:val="0"/>
              </w:rPr>
              <w:t>0755-21872900</w:t>
            </w:r>
          </w:p>
        </w:tc>
        <w:tc>
          <w:tcPr>
            <w:tcW w:w="0" w:type="dxa"/>
            <w:vAlign w:val="center"/>
          </w:tcPr>
          <w:p w14:paraId="064D411E">
            <w:pPr>
              <w:spacing w:line="240" w:lineRule="auto"/>
              <w:jc w:val="left"/>
            </w:pPr>
            <w:r>
              <w:rPr>
                <w:rFonts w:ascii="宋体" w:hAnsi="宋体" w:eastAsia="宋体" w:cs="宋体"/>
                <w:b w:val="0"/>
              </w:rPr>
              <w:t>400-61-95555</w:t>
            </w:r>
          </w:p>
        </w:tc>
      </w:tr>
      <w:tr w14:paraId="793D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C360866"/>
        </w:tc>
        <w:tc>
          <w:tcPr>
            <w:tcW w:w="0" w:type="dxa"/>
            <w:vAlign w:val="center"/>
          </w:tcPr>
          <w:p w14:paraId="32497FC6">
            <w:pPr>
              <w:spacing w:line="240" w:lineRule="auto"/>
              <w:jc w:val="left"/>
            </w:pPr>
            <w:r>
              <w:rPr>
                <w:rFonts w:ascii="宋体" w:hAnsi="宋体" w:eastAsia="宋体" w:cs="宋体"/>
                <w:b w:val="0"/>
              </w:rPr>
              <w:t>电子邮箱</w:t>
            </w:r>
          </w:p>
        </w:tc>
        <w:tc>
          <w:tcPr>
            <w:tcW w:w="0" w:type="dxa"/>
            <w:vAlign w:val="center"/>
          </w:tcPr>
          <w:p w14:paraId="6DDE1A89">
            <w:pPr>
              <w:spacing w:line="240" w:lineRule="auto"/>
              <w:jc w:val="left"/>
            </w:pPr>
            <w:r>
              <w:rPr>
                <w:rFonts w:ascii="宋体" w:hAnsi="宋体" w:eastAsia="宋体" w:cs="宋体"/>
                <w:b w:val="0"/>
              </w:rPr>
              <w:t>service@dfa66.com</w:t>
            </w:r>
          </w:p>
        </w:tc>
        <w:tc>
          <w:tcPr>
            <w:tcW w:w="0" w:type="dxa"/>
            <w:vAlign w:val="center"/>
          </w:tcPr>
          <w:p w14:paraId="35BD60C3">
            <w:pPr>
              <w:spacing w:line="240" w:lineRule="auto"/>
              <w:jc w:val="left"/>
            </w:pPr>
            <w:r>
              <w:rPr>
                <w:rFonts w:ascii="宋体" w:hAnsi="宋体" w:eastAsia="宋体" w:cs="宋体"/>
                <w:b w:val="0"/>
              </w:rPr>
              <w:t>zhangshan_1027@cmbchina.com</w:t>
            </w:r>
          </w:p>
        </w:tc>
      </w:tr>
      <w:tr w14:paraId="5C4E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DD14860">
            <w:pPr>
              <w:spacing w:line="240" w:lineRule="auto"/>
              <w:jc w:val="left"/>
            </w:pPr>
            <w:r>
              <w:rPr>
                <w:rFonts w:ascii="宋体" w:hAnsi="宋体" w:eastAsia="宋体" w:cs="宋体"/>
                <w:b w:val="0"/>
              </w:rPr>
              <w:t>客户服务电话</w:t>
            </w:r>
          </w:p>
        </w:tc>
        <w:tc>
          <w:tcPr>
            <w:tcW w:w="0" w:type="dxa"/>
            <w:vAlign w:val="center"/>
          </w:tcPr>
          <w:p w14:paraId="14710EA8">
            <w:pPr>
              <w:spacing w:line="240" w:lineRule="auto"/>
              <w:jc w:val="left"/>
            </w:pPr>
            <w:r>
              <w:rPr>
                <w:rFonts w:ascii="宋体" w:hAnsi="宋体" w:eastAsia="宋体" w:cs="宋体"/>
                <w:b w:val="0"/>
              </w:rPr>
              <w:t>400-930-6677</w:t>
            </w:r>
          </w:p>
        </w:tc>
        <w:tc>
          <w:tcPr>
            <w:tcW w:w="0" w:type="dxa"/>
            <w:vAlign w:val="center"/>
          </w:tcPr>
          <w:p w14:paraId="35B6378A">
            <w:pPr>
              <w:spacing w:line="240" w:lineRule="auto"/>
              <w:jc w:val="left"/>
            </w:pPr>
            <w:r>
              <w:rPr>
                <w:rFonts w:ascii="宋体" w:hAnsi="宋体" w:eastAsia="宋体" w:cs="宋体"/>
                <w:b w:val="0"/>
              </w:rPr>
              <w:t>400-61-95555</w:t>
            </w:r>
          </w:p>
        </w:tc>
      </w:tr>
      <w:tr w14:paraId="07AB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A7327DD">
            <w:pPr>
              <w:spacing w:line="240" w:lineRule="auto"/>
              <w:jc w:val="left"/>
            </w:pPr>
            <w:r>
              <w:rPr>
                <w:rFonts w:ascii="宋体" w:hAnsi="宋体" w:eastAsia="宋体" w:cs="宋体"/>
                <w:b w:val="0"/>
              </w:rPr>
              <w:t>传真</w:t>
            </w:r>
          </w:p>
        </w:tc>
        <w:tc>
          <w:tcPr>
            <w:tcW w:w="0" w:type="dxa"/>
            <w:vAlign w:val="center"/>
          </w:tcPr>
          <w:p w14:paraId="7C44817B">
            <w:pPr>
              <w:spacing w:line="240" w:lineRule="auto"/>
              <w:jc w:val="left"/>
            </w:pPr>
            <w:r>
              <w:rPr>
                <w:rFonts w:ascii="宋体" w:hAnsi="宋体" w:eastAsia="宋体" w:cs="宋体"/>
                <w:b w:val="0"/>
              </w:rPr>
              <w:t>0755-21872902</w:t>
            </w:r>
          </w:p>
        </w:tc>
        <w:tc>
          <w:tcPr>
            <w:tcW w:w="0" w:type="dxa"/>
            <w:vAlign w:val="center"/>
          </w:tcPr>
          <w:p w14:paraId="2F726BA6">
            <w:pPr>
              <w:spacing w:line="240" w:lineRule="auto"/>
              <w:jc w:val="left"/>
            </w:pPr>
            <w:r>
              <w:rPr>
                <w:rFonts w:ascii="宋体" w:hAnsi="宋体" w:eastAsia="宋体" w:cs="宋体"/>
                <w:b w:val="0"/>
              </w:rPr>
              <w:t>0755-83195201</w:t>
            </w:r>
          </w:p>
        </w:tc>
      </w:tr>
      <w:tr w14:paraId="24B2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AEABBE5">
            <w:pPr>
              <w:spacing w:line="240" w:lineRule="auto"/>
              <w:jc w:val="left"/>
            </w:pPr>
            <w:r>
              <w:rPr>
                <w:rFonts w:ascii="宋体" w:hAnsi="宋体" w:eastAsia="宋体" w:cs="宋体"/>
                <w:b w:val="0"/>
              </w:rPr>
              <w:t>注册地址</w:t>
            </w:r>
          </w:p>
        </w:tc>
        <w:tc>
          <w:tcPr>
            <w:tcW w:w="0" w:type="dxa"/>
            <w:vAlign w:val="center"/>
          </w:tcPr>
          <w:p w14:paraId="256F5FA4">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22853BF0">
            <w:pPr>
              <w:spacing w:line="240" w:lineRule="auto"/>
              <w:jc w:val="left"/>
            </w:pPr>
            <w:r>
              <w:rPr>
                <w:rFonts w:ascii="宋体" w:hAnsi="宋体" w:eastAsia="宋体" w:cs="宋体"/>
                <w:b w:val="0"/>
              </w:rPr>
              <w:t>深圳市深南大道7088号招商银行大厦</w:t>
            </w:r>
          </w:p>
        </w:tc>
      </w:tr>
      <w:tr w14:paraId="7458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6B94988">
            <w:pPr>
              <w:spacing w:line="240" w:lineRule="auto"/>
              <w:jc w:val="left"/>
            </w:pPr>
            <w:r>
              <w:rPr>
                <w:rFonts w:ascii="宋体" w:hAnsi="宋体" w:eastAsia="宋体" w:cs="宋体"/>
                <w:b w:val="0"/>
              </w:rPr>
              <w:t>办公地址</w:t>
            </w:r>
          </w:p>
        </w:tc>
        <w:tc>
          <w:tcPr>
            <w:tcW w:w="0" w:type="dxa"/>
            <w:vAlign w:val="center"/>
          </w:tcPr>
          <w:p w14:paraId="4F8D4774">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1BBD6C96">
            <w:pPr>
              <w:spacing w:line="240" w:lineRule="auto"/>
              <w:jc w:val="left"/>
            </w:pPr>
            <w:r>
              <w:rPr>
                <w:rFonts w:ascii="宋体" w:hAnsi="宋体" w:eastAsia="宋体" w:cs="宋体"/>
                <w:b w:val="0"/>
              </w:rPr>
              <w:t>深圳市深南大道7088号招商银行大厦</w:t>
            </w:r>
          </w:p>
        </w:tc>
      </w:tr>
      <w:tr w14:paraId="7BA3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5F6B07E">
            <w:pPr>
              <w:spacing w:line="240" w:lineRule="auto"/>
              <w:jc w:val="left"/>
            </w:pPr>
            <w:r>
              <w:rPr>
                <w:rFonts w:ascii="宋体" w:hAnsi="宋体" w:eastAsia="宋体" w:cs="宋体"/>
                <w:b w:val="0"/>
              </w:rPr>
              <w:t>邮政编码</w:t>
            </w:r>
          </w:p>
        </w:tc>
        <w:tc>
          <w:tcPr>
            <w:tcW w:w="0" w:type="dxa"/>
            <w:vAlign w:val="center"/>
          </w:tcPr>
          <w:p w14:paraId="2D5FE832">
            <w:pPr>
              <w:spacing w:line="240" w:lineRule="auto"/>
              <w:jc w:val="left"/>
            </w:pPr>
            <w:r>
              <w:rPr>
                <w:rFonts w:ascii="宋体" w:hAnsi="宋体" w:eastAsia="宋体" w:cs="宋体"/>
                <w:b w:val="0"/>
              </w:rPr>
              <w:t>518034</w:t>
            </w:r>
          </w:p>
        </w:tc>
        <w:tc>
          <w:tcPr>
            <w:tcW w:w="0" w:type="dxa"/>
            <w:vAlign w:val="center"/>
          </w:tcPr>
          <w:p w14:paraId="111EB51C">
            <w:pPr>
              <w:spacing w:line="240" w:lineRule="auto"/>
              <w:jc w:val="left"/>
            </w:pPr>
            <w:r>
              <w:rPr>
                <w:rFonts w:ascii="宋体" w:hAnsi="宋体" w:eastAsia="宋体" w:cs="宋体"/>
                <w:b w:val="0"/>
              </w:rPr>
              <w:t>518040</w:t>
            </w:r>
          </w:p>
        </w:tc>
      </w:tr>
      <w:tr w14:paraId="5ADC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9551F0E">
            <w:pPr>
              <w:spacing w:line="240" w:lineRule="auto"/>
              <w:jc w:val="left"/>
            </w:pPr>
            <w:r>
              <w:rPr>
                <w:rFonts w:ascii="宋体" w:hAnsi="宋体" w:eastAsia="宋体" w:cs="宋体"/>
                <w:b w:val="0"/>
              </w:rPr>
              <w:t>法定代表人</w:t>
            </w:r>
          </w:p>
        </w:tc>
        <w:tc>
          <w:tcPr>
            <w:tcW w:w="0" w:type="dxa"/>
            <w:vAlign w:val="center"/>
          </w:tcPr>
          <w:p w14:paraId="70A94AA8">
            <w:pPr>
              <w:spacing w:line="240" w:lineRule="auto"/>
              <w:jc w:val="left"/>
            </w:pPr>
            <w:r>
              <w:rPr>
                <w:rFonts w:ascii="宋体" w:hAnsi="宋体" w:eastAsia="宋体" w:cs="宋体"/>
                <w:b w:val="0"/>
              </w:rPr>
              <w:t>刘明</w:t>
            </w:r>
          </w:p>
        </w:tc>
        <w:tc>
          <w:tcPr>
            <w:tcW w:w="0" w:type="dxa"/>
            <w:vAlign w:val="center"/>
          </w:tcPr>
          <w:p w14:paraId="386542C6">
            <w:pPr>
              <w:spacing w:line="240" w:lineRule="auto"/>
              <w:jc w:val="left"/>
            </w:pPr>
            <w:r>
              <w:rPr>
                <w:rFonts w:ascii="宋体" w:hAnsi="宋体" w:eastAsia="宋体" w:cs="宋体"/>
                <w:b w:val="0"/>
              </w:rPr>
              <w:t>缪建民</w:t>
            </w:r>
          </w:p>
        </w:tc>
      </w:tr>
    </w:tbl>
    <w:p w14:paraId="1EAD6A3C"/>
    <w:p w14:paraId="5AB2869C">
      <w:pPr>
        <w:pStyle w:val="3"/>
        <w:jc w:val="left"/>
      </w:pPr>
      <w:bookmarkStart w:id="9" w:name="_Toc11713"/>
      <w:r>
        <w:rPr>
          <w:rFonts w:ascii="宋体" w:hAnsi="宋体" w:eastAsia="宋体" w:cs="宋体"/>
        </w:rPr>
        <w:t>2.4 信息披露方式</w:t>
      </w:r>
      <w:bookmarkEnd w:id="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78DB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4BDB5D88">
            <w:pPr>
              <w:spacing w:line="240" w:lineRule="auto"/>
              <w:jc w:val="left"/>
            </w:pPr>
            <w:r>
              <w:rPr>
                <w:rFonts w:ascii="宋体" w:hAnsi="宋体" w:eastAsia="宋体" w:cs="宋体"/>
                <w:b w:val="0"/>
              </w:rPr>
              <w:t>本基金选定的信息披露报纸名称</w:t>
            </w:r>
          </w:p>
        </w:tc>
        <w:tc>
          <w:tcPr>
            <w:tcW w:w="2500" w:type="pct"/>
            <w:vAlign w:val="center"/>
          </w:tcPr>
          <w:p w14:paraId="1B315791">
            <w:pPr>
              <w:spacing w:line="240" w:lineRule="auto"/>
              <w:jc w:val="left"/>
            </w:pPr>
            <w:r>
              <w:rPr>
                <w:rFonts w:ascii="宋体" w:hAnsi="宋体" w:eastAsia="宋体" w:cs="宋体"/>
                <w:b w:val="0"/>
              </w:rPr>
              <w:t>上海证券报</w:t>
            </w:r>
          </w:p>
        </w:tc>
      </w:tr>
      <w:tr w14:paraId="5E1A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2A3853">
            <w:pPr>
              <w:spacing w:line="240" w:lineRule="auto"/>
              <w:jc w:val="left"/>
            </w:pPr>
            <w:r>
              <w:rPr>
                <w:rFonts w:ascii="宋体" w:hAnsi="宋体" w:eastAsia="宋体" w:cs="宋体"/>
                <w:b w:val="0"/>
              </w:rPr>
              <w:t>登载基金中期报告的管理人互联网网址</w:t>
            </w:r>
          </w:p>
        </w:tc>
        <w:tc>
          <w:tcPr>
            <w:tcW w:w="0" w:type="dxa"/>
            <w:vAlign w:val="center"/>
          </w:tcPr>
          <w:p w14:paraId="272C8AD5">
            <w:pPr>
              <w:spacing w:line="240" w:lineRule="auto"/>
              <w:jc w:val="left"/>
            </w:pPr>
            <w:r>
              <w:rPr>
                <w:rFonts w:ascii="宋体" w:hAnsi="宋体" w:eastAsia="宋体" w:cs="宋体"/>
                <w:b w:val="0"/>
              </w:rPr>
              <w:t>https://www.dfa66.com</w:t>
            </w:r>
          </w:p>
        </w:tc>
      </w:tr>
      <w:tr w14:paraId="04E9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827048">
            <w:pPr>
              <w:spacing w:line="240" w:lineRule="auto"/>
              <w:jc w:val="left"/>
            </w:pPr>
            <w:r>
              <w:rPr>
                <w:rFonts w:ascii="宋体" w:hAnsi="宋体" w:eastAsia="宋体" w:cs="宋体"/>
                <w:b w:val="0"/>
              </w:rPr>
              <w:t>基金中期报告置备地点</w:t>
            </w:r>
          </w:p>
        </w:tc>
        <w:tc>
          <w:tcPr>
            <w:tcW w:w="0" w:type="dxa"/>
            <w:vAlign w:val="center"/>
          </w:tcPr>
          <w:p w14:paraId="08ED8DA0">
            <w:pPr>
              <w:spacing w:line="240" w:lineRule="auto"/>
              <w:jc w:val="left"/>
            </w:pPr>
            <w:r>
              <w:rPr>
                <w:rFonts w:ascii="宋体" w:hAnsi="宋体" w:eastAsia="宋体" w:cs="宋体"/>
                <w:b w:val="0"/>
              </w:rPr>
              <w:t>基金管理人的办公场所</w:t>
            </w:r>
          </w:p>
        </w:tc>
      </w:tr>
    </w:tbl>
    <w:p w14:paraId="740B880A">
      <w:pPr>
        <w:pStyle w:val="2"/>
        <w:jc w:val="center"/>
      </w:pPr>
      <w:bookmarkStart w:id="10" w:name="_Toc12832"/>
      <w:r>
        <w:rPr>
          <w:rFonts w:ascii="宋体" w:hAnsi="宋体" w:eastAsia="宋体" w:cs="宋体"/>
        </w:rPr>
        <w:t>§3 主要财务指标和基金净值表现</w:t>
      </w:r>
      <w:bookmarkEnd w:id="10"/>
    </w:p>
    <w:p w14:paraId="03C879CE">
      <w:pPr>
        <w:pStyle w:val="3"/>
        <w:jc w:val="left"/>
      </w:pPr>
      <w:bookmarkStart w:id="11" w:name="_Toc3402"/>
      <w:r>
        <w:rPr>
          <w:rFonts w:ascii="宋体" w:hAnsi="宋体" w:eastAsia="宋体" w:cs="宋体"/>
        </w:rPr>
        <w:t>3.1 主要会计数据和财务指标</w:t>
      </w:r>
      <w:bookmarkEnd w:id="11"/>
    </w:p>
    <w:p w14:paraId="28CEE9C6">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14:paraId="1AF6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14:paraId="4E6E1728">
            <w:pPr>
              <w:spacing w:line="240" w:lineRule="auto"/>
              <w:jc w:val="left"/>
            </w:pPr>
            <w:r>
              <w:rPr>
                <w:rFonts w:ascii="宋体" w:hAnsi="宋体" w:eastAsia="宋体" w:cs="宋体"/>
                <w:b/>
              </w:rPr>
              <w:t>3.1.1期间数据和指标</w:t>
            </w:r>
          </w:p>
        </w:tc>
        <w:tc>
          <w:tcPr>
            <w:tcW w:w="3077" w:type="pct"/>
            <w:gridSpan w:val="2"/>
            <w:shd w:val="clear" w:color="auto" w:fill="D9D9D9"/>
            <w:vAlign w:val="center"/>
          </w:tcPr>
          <w:p w14:paraId="4F0F4C84">
            <w:pPr>
              <w:spacing w:line="240" w:lineRule="auto"/>
              <w:jc w:val="center"/>
            </w:pPr>
            <w:r>
              <w:rPr>
                <w:rFonts w:ascii="宋体" w:hAnsi="宋体" w:eastAsia="宋体" w:cs="宋体"/>
                <w:b w:val="0"/>
              </w:rPr>
              <w:t>报告期（2026年06月02日（基金合同生效日）-2026年06月30日）</w:t>
            </w:r>
          </w:p>
        </w:tc>
      </w:tr>
      <w:tr w14:paraId="1FB4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2B4B64A"/>
        </w:tc>
        <w:tc>
          <w:tcPr>
            <w:tcW w:w="1500" w:type="pct"/>
            <w:shd w:val="clear" w:color="auto" w:fill="D9D9D9"/>
            <w:vAlign w:val="center"/>
          </w:tcPr>
          <w:p w14:paraId="02D4B24F">
            <w:pPr>
              <w:spacing w:line="240" w:lineRule="auto"/>
              <w:jc w:val="center"/>
            </w:pPr>
            <w:r>
              <w:rPr>
                <w:rFonts w:ascii="宋体" w:hAnsi="宋体" w:eastAsia="宋体" w:cs="宋体"/>
                <w:b w:val="0"/>
              </w:rPr>
              <w:t>东方阿尔法增利债券发起A</w:t>
            </w:r>
          </w:p>
        </w:tc>
        <w:tc>
          <w:tcPr>
            <w:tcW w:w="1500" w:type="pct"/>
            <w:shd w:val="clear" w:color="auto" w:fill="D9D9D9"/>
            <w:vAlign w:val="center"/>
          </w:tcPr>
          <w:p w14:paraId="337AE4CD">
            <w:pPr>
              <w:spacing w:line="240" w:lineRule="auto"/>
              <w:jc w:val="center"/>
            </w:pPr>
            <w:r>
              <w:rPr>
                <w:rFonts w:ascii="宋体" w:hAnsi="宋体" w:eastAsia="宋体" w:cs="宋体"/>
                <w:b w:val="0"/>
              </w:rPr>
              <w:t>东方阿尔法增利债券发起C</w:t>
            </w:r>
          </w:p>
        </w:tc>
      </w:tr>
      <w:tr w14:paraId="7BEB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CED894">
            <w:pPr>
              <w:spacing w:line="240" w:lineRule="auto"/>
              <w:jc w:val="left"/>
            </w:pPr>
            <w:r>
              <w:rPr>
                <w:rFonts w:ascii="宋体" w:hAnsi="宋体" w:eastAsia="宋体" w:cs="宋体"/>
                <w:b w:val="0"/>
              </w:rPr>
              <w:t xml:space="preserve">本期已实现收益 </w:t>
            </w:r>
          </w:p>
        </w:tc>
        <w:tc>
          <w:tcPr>
            <w:tcW w:w="1500" w:type="pct"/>
            <w:vAlign w:val="center"/>
          </w:tcPr>
          <w:p w14:paraId="62C62398">
            <w:pPr>
              <w:spacing w:line="240" w:lineRule="auto"/>
              <w:jc w:val="right"/>
            </w:pPr>
            <w:r>
              <w:rPr>
                <w:rFonts w:ascii="宋体" w:hAnsi="宋体" w:eastAsia="宋体" w:cs="宋体"/>
                <w:b w:val="0"/>
              </w:rPr>
              <w:t>-8,804.18</w:t>
            </w:r>
          </w:p>
        </w:tc>
        <w:tc>
          <w:tcPr>
            <w:tcW w:w="1500" w:type="pct"/>
            <w:vAlign w:val="center"/>
          </w:tcPr>
          <w:p w14:paraId="6C49222F">
            <w:pPr>
              <w:spacing w:line="240" w:lineRule="auto"/>
              <w:jc w:val="right"/>
            </w:pPr>
            <w:r>
              <w:rPr>
                <w:rFonts w:ascii="宋体" w:hAnsi="宋体" w:eastAsia="宋体" w:cs="宋体"/>
                <w:b w:val="0"/>
              </w:rPr>
              <w:t>-945.47</w:t>
            </w:r>
          </w:p>
        </w:tc>
      </w:tr>
      <w:tr w14:paraId="5B8A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08F010">
            <w:pPr>
              <w:spacing w:line="240" w:lineRule="auto"/>
              <w:jc w:val="left"/>
            </w:pPr>
            <w:r>
              <w:rPr>
                <w:rFonts w:ascii="宋体" w:hAnsi="宋体" w:eastAsia="宋体" w:cs="宋体"/>
                <w:b w:val="0"/>
              </w:rPr>
              <w:t xml:space="preserve">本期利润 </w:t>
            </w:r>
          </w:p>
        </w:tc>
        <w:tc>
          <w:tcPr>
            <w:tcW w:w="1500" w:type="pct"/>
            <w:vAlign w:val="center"/>
          </w:tcPr>
          <w:p w14:paraId="1366CE03">
            <w:pPr>
              <w:spacing w:line="240" w:lineRule="auto"/>
              <w:jc w:val="right"/>
            </w:pPr>
            <w:r>
              <w:rPr>
                <w:rFonts w:ascii="宋体" w:hAnsi="宋体" w:eastAsia="宋体" w:cs="宋体"/>
                <w:b w:val="0"/>
              </w:rPr>
              <w:t>138,971.56</w:t>
            </w:r>
          </w:p>
        </w:tc>
        <w:tc>
          <w:tcPr>
            <w:tcW w:w="1500" w:type="pct"/>
            <w:vAlign w:val="center"/>
          </w:tcPr>
          <w:p w14:paraId="27D17E73">
            <w:pPr>
              <w:spacing w:line="240" w:lineRule="auto"/>
              <w:jc w:val="right"/>
            </w:pPr>
            <w:r>
              <w:rPr>
                <w:rFonts w:ascii="宋体" w:hAnsi="宋体" w:eastAsia="宋体" w:cs="宋体"/>
                <w:b w:val="0"/>
              </w:rPr>
              <w:t>3,055.34</w:t>
            </w:r>
          </w:p>
        </w:tc>
      </w:tr>
      <w:tr w14:paraId="0E4C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036A98">
            <w:pPr>
              <w:spacing w:line="240" w:lineRule="auto"/>
              <w:jc w:val="left"/>
            </w:pPr>
            <w:r>
              <w:rPr>
                <w:rFonts w:ascii="宋体" w:hAnsi="宋体" w:eastAsia="宋体" w:cs="宋体"/>
                <w:b w:val="0"/>
              </w:rPr>
              <w:t xml:space="preserve">加权平均基金份额本期利润 </w:t>
            </w:r>
          </w:p>
        </w:tc>
        <w:tc>
          <w:tcPr>
            <w:tcW w:w="1500" w:type="pct"/>
            <w:vAlign w:val="center"/>
          </w:tcPr>
          <w:p w14:paraId="2DD5E445">
            <w:pPr>
              <w:spacing w:line="240" w:lineRule="auto"/>
              <w:jc w:val="right"/>
            </w:pPr>
            <w:r>
              <w:rPr>
                <w:rFonts w:ascii="宋体" w:hAnsi="宋体" w:eastAsia="宋体" w:cs="宋体"/>
                <w:b w:val="0"/>
              </w:rPr>
              <w:t>0.0135</w:t>
            </w:r>
          </w:p>
        </w:tc>
        <w:tc>
          <w:tcPr>
            <w:tcW w:w="1500" w:type="pct"/>
            <w:vAlign w:val="center"/>
          </w:tcPr>
          <w:p w14:paraId="739E4B97">
            <w:pPr>
              <w:spacing w:line="240" w:lineRule="auto"/>
              <w:jc w:val="right"/>
            </w:pPr>
            <w:r>
              <w:rPr>
                <w:rFonts w:ascii="宋体" w:hAnsi="宋体" w:eastAsia="宋体" w:cs="宋体"/>
                <w:b w:val="0"/>
              </w:rPr>
              <w:t>0.0183</w:t>
            </w:r>
          </w:p>
        </w:tc>
      </w:tr>
      <w:tr w14:paraId="6191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F01BEA">
            <w:pPr>
              <w:spacing w:line="240" w:lineRule="auto"/>
              <w:jc w:val="left"/>
            </w:pPr>
            <w:r>
              <w:rPr>
                <w:rFonts w:ascii="宋体" w:hAnsi="宋体" w:eastAsia="宋体" w:cs="宋体"/>
                <w:b w:val="0"/>
              </w:rPr>
              <w:t>本期加权平均净值利润率</w:t>
            </w:r>
          </w:p>
        </w:tc>
        <w:tc>
          <w:tcPr>
            <w:tcW w:w="1500" w:type="pct"/>
            <w:vAlign w:val="center"/>
          </w:tcPr>
          <w:p w14:paraId="5D007CCD">
            <w:pPr>
              <w:spacing w:line="240" w:lineRule="auto"/>
              <w:jc w:val="right"/>
            </w:pPr>
            <w:r>
              <w:rPr>
                <w:rFonts w:ascii="宋体" w:hAnsi="宋体" w:eastAsia="宋体" w:cs="宋体"/>
                <w:b w:val="0"/>
              </w:rPr>
              <w:t>1.34%</w:t>
            </w:r>
          </w:p>
        </w:tc>
        <w:tc>
          <w:tcPr>
            <w:tcW w:w="1500" w:type="pct"/>
            <w:vAlign w:val="center"/>
          </w:tcPr>
          <w:p w14:paraId="173B3553">
            <w:pPr>
              <w:spacing w:line="240" w:lineRule="auto"/>
              <w:jc w:val="right"/>
            </w:pPr>
            <w:r>
              <w:rPr>
                <w:rFonts w:ascii="宋体" w:hAnsi="宋体" w:eastAsia="宋体" w:cs="宋体"/>
                <w:b w:val="0"/>
              </w:rPr>
              <w:t>1.81%</w:t>
            </w:r>
          </w:p>
        </w:tc>
      </w:tr>
      <w:tr w14:paraId="1C9C3E91">
        <w:tblPrEx>
          <w:tblCellMar>
            <w:top w:w="0" w:type="dxa"/>
            <w:left w:w="108" w:type="dxa"/>
            <w:bottom w:w="0" w:type="dxa"/>
            <w:right w:w="108" w:type="dxa"/>
          </w:tblCellMar>
        </w:tblPrEx>
        <w:tc>
          <w:tcPr>
            <w:tcW w:w="0" w:type="dxa"/>
            <w:vAlign w:val="center"/>
          </w:tcPr>
          <w:p w14:paraId="3A423E34">
            <w:pPr>
              <w:spacing w:line="240" w:lineRule="auto"/>
              <w:jc w:val="left"/>
            </w:pPr>
            <w:r>
              <w:rPr>
                <w:rFonts w:ascii="宋体" w:hAnsi="宋体" w:eastAsia="宋体" w:cs="宋体"/>
                <w:b w:val="0"/>
              </w:rPr>
              <w:t>本期基金份额净值增长率</w:t>
            </w:r>
          </w:p>
        </w:tc>
        <w:tc>
          <w:tcPr>
            <w:tcW w:w="1500" w:type="pct"/>
            <w:vAlign w:val="center"/>
          </w:tcPr>
          <w:p w14:paraId="146E9B3A">
            <w:pPr>
              <w:spacing w:line="240" w:lineRule="auto"/>
              <w:jc w:val="right"/>
            </w:pPr>
            <w:r>
              <w:rPr>
                <w:rFonts w:ascii="宋体" w:hAnsi="宋体" w:eastAsia="宋体" w:cs="宋体"/>
                <w:b w:val="0"/>
              </w:rPr>
              <w:t>1.35%</w:t>
            </w:r>
          </w:p>
        </w:tc>
        <w:tc>
          <w:tcPr>
            <w:tcW w:w="1500" w:type="pct"/>
            <w:vAlign w:val="center"/>
          </w:tcPr>
          <w:p w14:paraId="796629CE">
            <w:pPr>
              <w:spacing w:line="240" w:lineRule="auto"/>
              <w:jc w:val="right"/>
            </w:pPr>
            <w:r>
              <w:rPr>
                <w:rFonts w:ascii="宋体" w:hAnsi="宋体" w:eastAsia="宋体" w:cs="宋体"/>
                <w:b w:val="0"/>
              </w:rPr>
              <w:t>1.34%</w:t>
            </w:r>
          </w:p>
        </w:tc>
      </w:tr>
      <w:tr w14:paraId="767A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2C2C3464">
            <w:pPr>
              <w:spacing w:line="240" w:lineRule="auto"/>
              <w:jc w:val="left"/>
            </w:pPr>
            <w:r>
              <w:rPr>
                <w:rFonts w:ascii="宋体" w:hAnsi="宋体" w:eastAsia="宋体" w:cs="宋体"/>
                <w:b/>
              </w:rPr>
              <w:t>3.1.2期末数据和指标</w:t>
            </w:r>
          </w:p>
        </w:tc>
        <w:tc>
          <w:tcPr>
            <w:tcW w:w="0" w:type="dxa"/>
            <w:gridSpan w:val="2"/>
            <w:shd w:val="clear" w:color="auto" w:fill="D9D9D9"/>
            <w:vAlign w:val="center"/>
          </w:tcPr>
          <w:p w14:paraId="7834B968">
            <w:pPr>
              <w:spacing w:line="240" w:lineRule="auto"/>
              <w:jc w:val="center"/>
            </w:pPr>
            <w:r>
              <w:rPr>
                <w:rFonts w:ascii="宋体" w:hAnsi="宋体" w:eastAsia="宋体" w:cs="宋体"/>
                <w:b w:val="0"/>
              </w:rPr>
              <w:t>报告期末（2026年06月30日）</w:t>
            </w:r>
          </w:p>
        </w:tc>
      </w:tr>
      <w:tr w14:paraId="48BA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FBDC39">
            <w:pPr>
              <w:spacing w:line="240" w:lineRule="auto"/>
              <w:jc w:val="left"/>
            </w:pPr>
            <w:r>
              <w:rPr>
                <w:rFonts w:ascii="宋体" w:hAnsi="宋体" w:eastAsia="宋体" w:cs="宋体"/>
                <w:b w:val="0"/>
              </w:rPr>
              <w:t xml:space="preserve">期末可供分配利润 </w:t>
            </w:r>
          </w:p>
        </w:tc>
        <w:tc>
          <w:tcPr>
            <w:tcW w:w="1500" w:type="pct"/>
            <w:vAlign w:val="center"/>
          </w:tcPr>
          <w:p w14:paraId="7CF84942">
            <w:pPr>
              <w:spacing w:line="240" w:lineRule="auto"/>
              <w:jc w:val="right"/>
            </w:pPr>
            <w:r>
              <w:rPr>
                <w:rFonts w:ascii="宋体" w:hAnsi="宋体" w:eastAsia="宋体" w:cs="宋体"/>
                <w:b w:val="0"/>
              </w:rPr>
              <w:t>-8,724.23</w:t>
            </w:r>
          </w:p>
        </w:tc>
        <w:tc>
          <w:tcPr>
            <w:tcW w:w="1500" w:type="pct"/>
            <w:vAlign w:val="center"/>
          </w:tcPr>
          <w:p w14:paraId="586640D1">
            <w:pPr>
              <w:spacing w:line="240" w:lineRule="auto"/>
              <w:jc w:val="right"/>
            </w:pPr>
            <w:r>
              <w:rPr>
                <w:rFonts w:ascii="宋体" w:hAnsi="宋体" w:eastAsia="宋体" w:cs="宋体"/>
                <w:b w:val="0"/>
              </w:rPr>
              <w:t>-490.97</w:t>
            </w:r>
          </w:p>
        </w:tc>
      </w:tr>
      <w:tr w14:paraId="0E5E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A471F2">
            <w:pPr>
              <w:spacing w:line="240" w:lineRule="auto"/>
              <w:jc w:val="left"/>
            </w:pPr>
            <w:r>
              <w:rPr>
                <w:rFonts w:ascii="宋体" w:hAnsi="宋体" w:eastAsia="宋体" w:cs="宋体"/>
                <w:b w:val="0"/>
              </w:rPr>
              <w:t>期末可供分配基金份额利润</w:t>
            </w:r>
          </w:p>
        </w:tc>
        <w:tc>
          <w:tcPr>
            <w:tcW w:w="1500" w:type="pct"/>
            <w:vAlign w:val="center"/>
          </w:tcPr>
          <w:p w14:paraId="3FBF1E64">
            <w:pPr>
              <w:spacing w:line="240" w:lineRule="auto"/>
              <w:jc w:val="right"/>
            </w:pPr>
            <w:r>
              <w:rPr>
                <w:rFonts w:ascii="宋体" w:hAnsi="宋体" w:eastAsia="宋体" w:cs="宋体"/>
                <w:b w:val="0"/>
              </w:rPr>
              <w:t>-0.0008</w:t>
            </w:r>
          </w:p>
        </w:tc>
        <w:tc>
          <w:tcPr>
            <w:tcW w:w="1500" w:type="pct"/>
            <w:vAlign w:val="center"/>
          </w:tcPr>
          <w:p w14:paraId="0E965C6E">
            <w:pPr>
              <w:spacing w:line="240" w:lineRule="auto"/>
              <w:jc w:val="right"/>
            </w:pPr>
            <w:r>
              <w:rPr>
                <w:rFonts w:ascii="宋体" w:hAnsi="宋体" w:eastAsia="宋体" w:cs="宋体"/>
                <w:b w:val="0"/>
              </w:rPr>
              <w:t>-0.0010</w:t>
            </w:r>
          </w:p>
        </w:tc>
      </w:tr>
      <w:tr w14:paraId="4F04F039">
        <w:tblPrEx>
          <w:tblCellMar>
            <w:top w:w="0" w:type="dxa"/>
            <w:left w:w="108" w:type="dxa"/>
            <w:bottom w:w="0" w:type="dxa"/>
            <w:right w:w="108" w:type="dxa"/>
          </w:tblCellMar>
        </w:tblPrEx>
        <w:tc>
          <w:tcPr>
            <w:tcW w:w="0" w:type="dxa"/>
            <w:vAlign w:val="center"/>
          </w:tcPr>
          <w:p w14:paraId="343452C3">
            <w:pPr>
              <w:spacing w:line="240" w:lineRule="auto"/>
              <w:jc w:val="left"/>
            </w:pPr>
            <w:r>
              <w:rPr>
                <w:rFonts w:ascii="宋体" w:hAnsi="宋体" w:eastAsia="宋体" w:cs="宋体"/>
                <w:b w:val="0"/>
              </w:rPr>
              <w:t>期末基金资产净值</w:t>
            </w:r>
          </w:p>
        </w:tc>
        <w:tc>
          <w:tcPr>
            <w:tcW w:w="1500" w:type="pct"/>
            <w:vAlign w:val="center"/>
          </w:tcPr>
          <w:p w14:paraId="152FC250">
            <w:pPr>
              <w:spacing w:line="240" w:lineRule="auto"/>
              <w:jc w:val="right"/>
            </w:pPr>
            <w:r>
              <w:rPr>
                <w:rFonts w:ascii="宋体" w:hAnsi="宋体" w:eastAsia="宋体" w:cs="宋体"/>
                <w:b w:val="0"/>
              </w:rPr>
              <w:t>10,550,817.70</w:t>
            </w:r>
          </w:p>
        </w:tc>
        <w:tc>
          <w:tcPr>
            <w:tcW w:w="1500" w:type="pct"/>
            <w:vAlign w:val="center"/>
          </w:tcPr>
          <w:p w14:paraId="2C572794">
            <w:pPr>
              <w:spacing w:line="240" w:lineRule="auto"/>
              <w:jc w:val="right"/>
            </w:pPr>
            <w:r>
              <w:rPr>
                <w:rFonts w:ascii="宋体" w:hAnsi="宋体" w:eastAsia="宋体" w:cs="宋体"/>
                <w:b w:val="0"/>
              </w:rPr>
              <w:t>508,188.63</w:t>
            </w:r>
          </w:p>
        </w:tc>
      </w:tr>
      <w:tr w14:paraId="351B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5F7F12">
            <w:pPr>
              <w:spacing w:line="240" w:lineRule="auto"/>
              <w:jc w:val="left"/>
            </w:pPr>
            <w:r>
              <w:rPr>
                <w:rFonts w:ascii="宋体" w:hAnsi="宋体" w:eastAsia="宋体" w:cs="宋体"/>
                <w:b w:val="0"/>
              </w:rPr>
              <w:t>期末基金份额净值</w:t>
            </w:r>
          </w:p>
        </w:tc>
        <w:tc>
          <w:tcPr>
            <w:tcW w:w="1500" w:type="pct"/>
            <w:vAlign w:val="center"/>
          </w:tcPr>
          <w:p w14:paraId="0A2E1606">
            <w:pPr>
              <w:spacing w:line="240" w:lineRule="auto"/>
              <w:jc w:val="right"/>
            </w:pPr>
            <w:r>
              <w:rPr>
                <w:rFonts w:ascii="宋体" w:hAnsi="宋体" w:eastAsia="宋体" w:cs="宋体"/>
                <w:b w:val="0"/>
              </w:rPr>
              <w:t>1.0135</w:t>
            </w:r>
          </w:p>
        </w:tc>
        <w:tc>
          <w:tcPr>
            <w:tcW w:w="1500" w:type="pct"/>
            <w:vAlign w:val="center"/>
          </w:tcPr>
          <w:p w14:paraId="5F64ABD6">
            <w:pPr>
              <w:spacing w:line="240" w:lineRule="auto"/>
              <w:jc w:val="right"/>
            </w:pPr>
            <w:r>
              <w:rPr>
                <w:rFonts w:ascii="宋体" w:hAnsi="宋体" w:eastAsia="宋体" w:cs="宋体"/>
                <w:b w:val="0"/>
              </w:rPr>
              <w:t>1.0134</w:t>
            </w:r>
          </w:p>
        </w:tc>
      </w:tr>
      <w:tr w14:paraId="2D3C2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1BDCC071">
            <w:pPr>
              <w:spacing w:line="240" w:lineRule="auto"/>
              <w:jc w:val="left"/>
            </w:pPr>
            <w:r>
              <w:rPr>
                <w:rFonts w:ascii="宋体" w:hAnsi="宋体" w:eastAsia="宋体" w:cs="宋体"/>
                <w:b/>
              </w:rPr>
              <w:t>3.1.3累计期末指标</w:t>
            </w:r>
          </w:p>
        </w:tc>
        <w:tc>
          <w:tcPr>
            <w:tcW w:w="0" w:type="dxa"/>
            <w:gridSpan w:val="2"/>
            <w:shd w:val="clear" w:color="auto" w:fill="D9D9D9"/>
            <w:vAlign w:val="center"/>
          </w:tcPr>
          <w:p w14:paraId="78E38305">
            <w:pPr>
              <w:spacing w:line="240" w:lineRule="auto"/>
              <w:jc w:val="center"/>
            </w:pPr>
            <w:r>
              <w:rPr>
                <w:rFonts w:ascii="宋体" w:hAnsi="宋体" w:eastAsia="宋体" w:cs="宋体"/>
                <w:b w:val="0"/>
              </w:rPr>
              <w:t>报告期末（2026年06月30日）</w:t>
            </w:r>
          </w:p>
        </w:tc>
      </w:tr>
      <w:tr w14:paraId="29FB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D6C993">
            <w:pPr>
              <w:spacing w:line="240" w:lineRule="auto"/>
              <w:jc w:val="left"/>
            </w:pPr>
            <w:r>
              <w:rPr>
                <w:rFonts w:ascii="宋体" w:hAnsi="宋体" w:eastAsia="宋体" w:cs="宋体"/>
                <w:b w:val="0"/>
              </w:rPr>
              <w:t>基金份额累计净值增长率</w:t>
            </w:r>
          </w:p>
        </w:tc>
        <w:tc>
          <w:tcPr>
            <w:tcW w:w="1500" w:type="pct"/>
            <w:vAlign w:val="center"/>
          </w:tcPr>
          <w:p w14:paraId="2E450B9D">
            <w:pPr>
              <w:spacing w:line="240" w:lineRule="auto"/>
              <w:jc w:val="right"/>
            </w:pPr>
            <w:r>
              <w:rPr>
                <w:rFonts w:ascii="宋体" w:hAnsi="宋体" w:eastAsia="宋体" w:cs="宋体"/>
                <w:b w:val="0"/>
              </w:rPr>
              <w:t>1.35%</w:t>
            </w:r>
          </w:p>
        </w:tc>
        <w:tc>
          <w:tcPr>
            <w:tcW w:w="1500" w:type="pct"/>
            <w:vAlign w:val="center"/>
          </w:tcPr>
          <w:p w14:paraId="0524343C">
            <w:pPr>
              <w:spacing w:line="240" w:lineRule="auto"/>
              <w:jc w:val="right"/>
            </w:pPr>
            <w:r>
              <w:rPr>
                <w:rFonts w:ascii="宋体" w:hAnsi="宋体" w:eastAsia="宋体" w:cs="宋体"/>
                <w:b w:val="0"/>
              </w:rPr>
              <w:t>1.34%</w:t>
            </w:r>
          </w:p>
        </w:tc>
      </w:tr>
    </w:tbl>
    <w:p w14:paraId="0620B4FB">
      <w:r>
        <w:rPr>
          <w:rFonts w:ascii="宋体" w:hAnsi="宋体" w:eastAsia="宋体" w:cs="宋体"/>
          <w:b w:val="0"/>
        </w:rPr>
        <w:t>注：1.本期已实现收益指基金本期利息收入、投资收益、其他收入(不含公允价值变动收益)扣除相关费用和信用减值损失后的余额,本期利润为本期已实现收益加上本期公允价值变动收益。</w:t>
      </w:r>
      <w:r>
        <w:rPr>
          <w:rFonts w:ascii="宋体" w:hAnsi="宋体" w:eastAsia="宋体" w:cs="宋体"/>
          <w:b w:val="0"/>
        </w:rPr>
        <w:br w:type="textWrapping"/>
      </w:r>
      <w:r>
        <w:rPr>
          <w:rFonts w:ascii="宋体" w:hAnsi="宋体" w:eastAsia="宋体" w:cs="宋体"/>
          <w:b w:val="0"/>
        </w:rPr>
        <w:t>2.期末可供分配利润，采用期末资产负债表中未分配利润与未分配利润中已实现部分的孰低数（为期末余额，不是当期发生数）。</w:t>
      </w:r>
      <w:r>
        <w:rPr>
          <w:rFonts w:ascii="宋体" w:hAnsi="宋体" w:eastAsia="宋体" w:cs="宋体"/>
          <w:b w:val="0"/>
        </w:rPr>
        <w:br w:type="textWrapping"/>
      </w:r>
      <w:r>
        <w:rPr>
          <w:rFonts w:ascii="宋体" w:hAnsi="宋体" w:eastAsia="宋体" w:cs="宋体"/>
          <w:b w:val="0"/>
        </w:rPr>
        <w:t xml:space="preserve">3.所述基金业绩指标不包括持有人认购或交易基金的各项费用，计入费用后实际收益水平要低于所列数字。 </w:t>
      </w:r>
      <w:r>
        <w:rPr>
          <w:rFonts w:ascii="宋体" w:hAnsi="宋体" w:eastAsia="宋体" w:cs="宋体"/>
          <w:b w:val="0"/>
        </w:rPr>
        <w:br w:type="textWrapping"/>
      </w:r>
      <w:r>
        <w:rPr>
          <w:rFonts w:ascii="宋体" w:hAnsi="宋体" w:eastAsia="宋体" w:cs="宋体"/>
          <w:b w:val="0"/>
        </w:rPr>
        <w:t>4.本基金基金合同于2026年06月02日生效，截至2026年06月30日，本基金运作时间未满1年。</w:t>
      </w:r>
    </w:p>
    <w:p w14:paraId="00D3A6B3"/>
    <w:p w14:paraId="566093AD">
      <w:pPr>
        <w:pStyle w:val="3"/>
        <w:jc w:val="left"/>
      </w:pPr>
      <w:bookmarkStart w:id="12" w:name="_Toc4584"/>
      <w:r>
        <w:rPr>
          <w:rFonts w:ascii="宋体" w:hAnsi="宋体" w:eastAsia="宋体" w:cs="宋体"/>
        </w:rPr>
        <w:t>3.2 基金净值表现</w:t>
      </w:r>
      <w:bookmarkEnd w:id="12"/>
    </w:p>
    <w:p w14:paraId="04CE7007">
      <w:pPr>
        <w:pStyle w:val="58"/>
      </w:pPr>
      <w:r>
        <w:rPr>
          <w:rFonts w:ascii="宋体" w:hAnsi="宋体" w:eastAsia="宋体" w:cs="宋体"/>
          <w:b/>
        </w:rPr>
        <w:t>3.2.1 基金份额净值增长率及其与同期业绩比较基准收益率的比较</w:t>
      </w:r>
    </w:p>
    <w:p w14:paraId="32962D7E">
      <w:pPr>
        <w:jc w:val="left"/>
      </w:pPr>
      <w:r>
        <w:rPr>
          <w:rFonts w:ascii="宋体" w:hAnsi="宋体" w:eastAsia="宋体" w:cs="宋体"/>
          <w:b/>
        </w:rPr>
        <w:t>东方阿尔法增利债券发起A净值表现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5694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1A5EBA63">
            <w:pPr>
              <w:spacing w:line="240" w:lineRule="auto"/>
              <w:jc w:val="center"/>
            </w:pPr>
            <w:r>
              <w:rPr>
                <w:rFonts w:ascii="宋体" w:hAnsi="宋体" w:eastAsia="宋体" w:cs="宋体"/>
                <w:b w:val="0"/>
              </w:rPr>
              <w:t>阶段</w:t>
            </w:r>
          </w:p>
        </w:tc>
        <w:tc>
          <w:tcPr>
            <w:tcW w:w="692" w:type="pct"/>
            <w:shd w:val="clear" w:color="auto" w:fill="D9D9D9"/>
            <w:vAlign w:val="center"/>
          </w:tcPr>
          <w:p w14:paraId="77A47990">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520324DF">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7E257A34">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6DB2FFF7">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13409BAA">
            <w:pPr>
              <w:spacing w:line="240" w:lineRule="auto"/>
              <w:jc w:val="center"/>
            </w:pPr>
            <w:r>
              <w:rPr>
                <w:rFonts w:ascii="宋体" w:hAnsi="宋体" w:eastAsia="宋体" w:cs="宋体"/>
                <w:b w:val="0"/>
              </w:rPr>
              <w:t>①－③</w:t>
            </w:r>
          </w:p>
        </w:tc>
        <w:tc>
          <w:tcPr>
            <w:tcW w:w="692" w:type="pct"/>
            <w:shd w:val="clear" w:color="auto" w:fill="D9D9D9"/>
            <w:vAlign w:val="center"/>
          </w:tcPr>
          <w:p w14:paraId="5237330F">
            <w:pPr>
              <w:spacing w:line="240" w:lineRule="auto"/>
              <w:jc w:val="center"/>
            </w:pPr>
            <w:r>
              <w:rPr>
                <w:rFonts w:ascii="宋体" w:hAnsi="宋体" w:eastAsia="宋体" w:cs="宋体"/>
                <w:b w:val="0"/>
              </w:rPr>
              <w:t>②－④</w:t>
            </w:r>
          </w:p>
        </w:tc>
      </w:tr>
      <w:tr w14:paraId="0B53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FCC52A">
            <w:pPr>
              <w:spacing w:line="240" w:lineRule="auto"/>
              <w:jc w:val="left"/>
            </w:pPr>
            <w:r>
              <w:rPr>
                <w:rFonts w:ascii="宋体" w:hAnsi="宋体" w:eastAsia="宋体" w:cs="宋体"/>
                <w:b w:val="0"/>
              </w:rPr>
              <w:t>自基金合同生效起至今</w:t>
            </w:r>
          </w:p>
        </w:tc>
        <w:tc>
          <w:tcPr>
            <w:tcW w:w="0" w:type="dxa"/>
            <w:vAlign w:val="center"/>
          </w:tcPr>
          <w:p w14:paraId="638343D4">
            <w:pPr>
              <w:spacing w:line="240" w:lineRule="auto"/>
              <w:jc w:val="right"/>
            </w:pPr>
            <w:r>
              <w:rPr>
                <w:rFonts w:ascii="宋体" w:hAnsi="宋体" w:eastAsia="宋体" w:cs="宋体"/>
                <w:b w:val="0"/>
              </w:rPr>
              <w:t>1.35%</w:t>
            </w:r>
          </w:p>
        </w:tc>
        <w:tc>
          <w:tcPr>
            <w:tcW w:w="0" w:type="dxa"/>
            <w:vAlign w:val="center"/>
          </w:tcPr>
          <w:p w14:paraId="05FDCAAE">
            <w:pPr>
              <w:spacing w:line="240" w:lineRule="auto"/>
              <w:jc w:val="right"/>
            </w:pPr>
            <w:r>
              <w:rPr>
                <w:rFonts w:ascii="宋体" w:hAnsi="宋体" w:eastAsia="宋体" w:cs="宋体"/>
                <w:b w:val="0"/>
              </w:rPr>
              <w:t>0.52%</w:t>
            </w:r>
          </w:p>
        </w:tc>
        <w:tc>
          <w:tcPr>
            <w:tcW w:w="0" w:type="dxa"/>
            <w:vAlign w:val="center"/>
          </w:tcPr>
          <w:p w14:paraId="6EE4D59C">
            <w:pPr>
              <w:spacing w:line="240" w:lineRule="auto"/>
              <w:jc w:val="right"/>
            </w:pPr>
            <w:r>
              <w:rPr>
                <w:rFonts w:ascii="宋体" w:hAnsi="宋体" w:eastAsia="宋体" w:cs="宋体"/>
                <w:b w:val="0"/>
              </w:rPr>
              <w:t>-0.26%</w:t>
            </w:r>
          </w:p>
        </w:tc>
        <w:tc>
          <w:tcPr>
            <w:tcW w:w="0" w:type="dxa"/>
            <w:vAlign w:val="center"/>
          </w:tcPr>
          <w:p w14:paraId="7D3540EF">
            <w:pPr>
              <w:spacing w:line="240" w:lineRule="auto"/>
              <w:jc w:val="right"/>
            </w:pPr>
            <w:r>
              <w:rPr>
                <w:rFonts w:ascii="宋体" w:hAnsi="宋体" w:eastAsia="宋体" w:cs="宋体"/>
                <w:b w:val="0"/>
              </w:rPr>
              <w:t>0.22%</w:t>
            </w:r>
          </w:p>
        </w:tc>
        <w:tc>
          <w:tcPr>
            <w:tcW w:w="0" w:type="dxa"/>
            <w:vAlign w:val="center"/>
          </w:tcPr>
          <w:p w14:paraId="0FFE9C19">
            <w:pPr>
              <w:spacing w:line="240" w:lineRule="auto"/>
              <w:jc w:val="right"/>
            </w:pPr>
            <w:r>
              <w:rPr>
                <w:rFonts w:ascii="宋体" w:hAnsi="宋体" w:eastAsia="宋体" w:cs="宋体"/>
                <w:b w:val="0"/>
              </w:rPr>
              <w:t>1.61%</w:t>
            </w:r>
          </w:p>
        </w:tc>
        <w:tc>
          <w:tcPr>
            <w:tcW w:w="0" w:type="dxa"/>
            <w:vAlign w:val="center"/>
          </w:tcPr>
          <w:p w14:paraId="210FA5D3">
            <w:pPr>
              <w:spacing w:line="240" w:lineRule="auto"/>
              <w:jc w:val="right"/>
            </w:pPr>
            <w:r>
              <w:rPr>
                <w:rFonts w:ascii="宋体" w:hAnsi="宋体" w:eastAsia="宋体" w:cs="宋体"/>
                <w:b w:val="0"/>
              </w:rPr>
              <w:t>0.30%</w:t>
            </w:r>
          </w:p>
        </w:tc>
      </w:tr>
    </w:tbl>
    <w:p w14:paraId="3D3C0973">
      <w:pPr>
        <w:jc w:val="left"/>
      </w:pPr>
      <w:r>
        <w:rPr>
          <w:rFonts w:ascii="宋体" w:hAnsi="宋体" w:eastAsia="宋体" w:cs="宋体"/>
          <w:b/>
        </w:rPr>
        <w:t>东方阿尔法增利债券发起C净值表现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3D19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341455A5">
            <w:pPr>
              <w:spacing w:line="240" w:lineRule="auto"/>
              <w:jc w:val="center"/>
            </w:pPr>
            <w:r>
              <w:rPr>
                <w:rFonts w:ascii="宋体" w:hAnsi="宋体" w:eastAsia="宋体" w:cs="宋体"/>
                <w:b w:val="0"/>
              </w:rPr>
              <w:t>阶段</w:t>
            </w:r>
          </w:p>
        </w:tc>
        <w:tc>
          <w:tcPr>
            <w:tcW w:w="692" w:type="pct"/>
            <w:shd w:val="clear" w:color="auto" w:fill="D9D9D9"/>
            <w:vAlign w:val="center"/>
          </w:tcPr>
          <w:p w14:paraId="35FD1C7A">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142697E1">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0ACEFD13">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0169CB2C">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493CE181">
            <w:pPr>
              <w:spacing w:line="240" w:lineRule="auto"/>
              <w:jc w:val="center"/>
            </w:pPr>
            <w:r>
              <w:rPr>
                <w:rFonts w:ascii="宋体" w:hAnsi="宋体" w:eastAsia="宋体" w:cs="宋体"/>
                <w:b w:val="0"/>
              </w:rPr>
              <w:t>①－③</w:t>
            </w:r>
          </w:p>
        </w:tc>
        <w:tc>
          <w:tcPr>
            <w:tcW w:w="692" w:type="pct"/>
            <w:shd w:val="clear" w:color="auto" w:fill="D9D9D9"/>
            <w:vAlign w:val="center"/>
          </w:tcPr>
          <w:p w14:paraId="111C9A81">
            <w:pPr>
              <w:spacing w:line="240" w:lineRule="auto"/>
              <w:jc w:val="center"/>
            </w:pPr>
            <w:r>
              <w:rPr>
                <w:rFonts w:ascii="宋体" w:hAnsi="宋体" w:eastAsia="宋体" w:cs="宋体"/>
                <w:b w:val="0"/>
              </w:rPr>
              <w:t>②－④</w:t>
            </w:r>
          </w:p>
        </w:tc>
      </w:tr>
      <w:tr w14:paraId="156C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51B7F7">
            <w:pPr>
              <w:spacing w:line="240" w:lineRule="auto"/>
              <w:jc w:val="left"/>
            </w:pPr>
            <w:r>
              <w:rPr>
                <w:rFonts w:ascii="宋体" w:hAnsi="宋体" w:eastAsia="宋体" w:cs="宋体"/>
                <w:b w:val="0"/>
              </w:rPr>
              <w:t>自基金合同生效起至今</w:t>
            </w:r>
          </w:p>
        </w:tc>
        <w:tc>
          <w:tcPr>
            <w:tcW w:w="0" w:type="dxa"/>
            <w:vAlign w:val="center"/>
          </w:tcPr>
          <w:p w14:paraId="78DC16CB">
            <w:pPr>
              <w:spacing w:line="240" w:lineRule="auto"/>
              <w:jc w:val="right"/>
            </w:pPr>
            <w:r>
              <w:rPr>
                <w:rFonts w:ascii="宋体" w:hAnsi="宋体" w:eastAsia="宋体" w:cs="宋体"/>
                <w:b w:val="0"/>
              </w:rPr>
              <w:t>1.34%</w:t>
            </w:r>
          </w:p>
        </w:tc>
        <w:tc>
          <w:tcPr>
            <w:tcW w:w="0" w:type="dxa"/>
            <w:vAlign w:val="center"/>
          </w:tcPr>
          <w:p w14:paraId="58ACBE48">
            <w:pPr>
              <w:spacing w:line="240" w:lineRule="auto"/>
              <w:jc w:val="right"/>
            </w:pPr>
            <w:r>
              <w:rPr>
                <w:rFonts w:ascii="宋体" w:hAnsi="宋体" w:eastAsia="宋体" w:cs="宋体"/>
                <w:b w:val="0"/>
              </w:rPr>
              <w:t>0.52%</w:t>
            </w:r>
          </w:p>
        </w:tc>
        <w:tc>
          <w:tcPr>
            <w:tcW w:w="0" w:type="dxa"/>
            <w:vAlign w:val="center"/>
          </w:tcPr>
          <w:p w14:paraId="25B88492">
            <w:pPr>
              <w:spacing w:line="240" w:lineRule="auto"/>
              <w:jc w:val="right"/>
            </w:pPr>
            <w:r>
              <w:rPr>
                <w:rFonts w:ascii="宋体" w:hAnsi="宋体" w:eastAsia="宋体" w:cs="宋体"/>
                <w:b w:val="0"/>
              </w:rPr>
              <w:t>-0.26%</w:t>
            </w:r>
          </w:p>
        </w:tc>
        <w:tc>
          <w:tcPr>
            <w:tcW w:w="0" w:type="dxa"/>
            <w:vAlign w:val="center"/>
          </w:tcPr>
          <w:p w14:paraId="243F5250">
            <w:pPr>
              <w:spacing w:line="240" w:lineRule="auto"/>
              <w:jc w:val="right"/>
            </w:pPr>
            <w:r>
              <w:rPr>
                <w:rFonts w:ascii="宋体" w:hAnsi="宋体" w:eastAsia="宋体" w:cs="宋体"/>
                <w:b w:val="0"/>
              </w:rPr>
              <w:t>0.22%</w:t>
            </w:r>
          </w:p>
        </w:tc>
        <w:tc>
          <w:tcPr>
            <w:tcW w:w="0" w:type="dxa"/>
            <w:vAlign w:val="center"/>
          </w:tcPr>
          <w:p w14:paraId="59A1CBA3">
            <w:pPr>
              <w:spacing w:line="240" w:lineRule="auto"/>
              <w:jc w:val="right"/>
            </w:pPr>
            <w:r>
              <w:rPr>
                <w:rFonts w:ascii="宋体" w:hAnsi="宋体" w:eastAsia="宋体" w:cs="宋体"/>
                <w:b w:val="0"/>
              </w:rPr>
              <w:t>1.60%</w:t>
            </w:r>
          </w:p>
        </w:tc>
        <w:tc>
          <w:tcPr>
            <w:tcW w:w="0" w:type="dxa"/>
            <w:vAlign w:val="center"/>
          </w:tcPr>
          <w:p w14:paraId="5A920F57">
            <w:pPr>
              <w:spacing w:line="240" w:lineRule="auto"/>
              <w:jc w:val="right"/>
            </w:pPr>
            <w:r>
              <w:rPr>
                <w:rFonts w:ascii="宋体" w:hAnsi="宋体" w:eastAsia="宋体" w:cs="宋体"/>
                <w:b w:val="0"/>
              </w:rPr>
              <w:t>0.30%</w:t>
            </w:r>
          </w:p>
        </w:tc>
      </w:tr>
    </w:tbl>
    <w:p w14:paraId="39B79AEE">
      <w:r>
        <w:rPr>
          <w:rFonts w:ascii="宋体" w:hAnsi="宋体" w:eastAsia="宋体" w:cs="宋体"/>
          <w:b w:val="0"/>
        </w:rPr>
        <w:t>注：本基金业绩比较基准为：中债-综合全价（总值）指数收益率×85%+沪深300指数收益率×10%+中证港股通综合指数（人民币）收益率*5%</w:t>
      </w:r>
    </w:p>
    <w:p w14:paraId="51034B54"/>
    <w:p w14:paraId="22B7899E">
      <w:pPr>
        <w:pStyle w:val="58"/>
      </w:pPr>
      <w:r>
        <w:rPr>
          <w:rFonts w:ascii="宋体" w:hAnsi="宋体" w:eastAsia="宋体" w:cs="宋体"/>
          <w:b/>
        </w:rPr>
        <w:t>3.2.2 自基金合同生效以来基金份额累计净值增长率变动及其与同期业绩比较基准收益率变动的比较</w:t>
      </w:r>
    </w:p>
    <w:p w14:paraId="06F80D76">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2"/>
                    <a:stretch>
                      <a:fillRect/>
                    </a:stretch>
                  </pic:blipFill>
                  <pic:spPr>
                    <a:xfrm>
                      <a:off x="0" y="0"/>
                      <a:ext cx="5715000" cy="3048000"/>
                    </a:xfrm>
                    <a:prstGeom prst="rect">
                      <a:avLst/>
                    </a:prstGeom>
                  </pic:spPr>
                </pic:pic>
              </a:graphicData>
            </a:graphic>
          </wp:inline>
        </w:drawing>
      </w:r>
    </w:p>
    <w:p w14:paraId="2AD476A0"/>
    <w:p w14:paraId="653D506D">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3"/>
                    <a:stretch>
                      <a:fillRect/>
                    </a:stretch>
                  </pic:blipFill>
                  <pic:spPr>
                    <a:xfrm>
                      <a:off x="0" y="0"/>
                      <a:ext cx="5715000" cy="3048000"/>
                    </a:xfrm>
                    <a:prstGeom prst="rect">
                      <a:avLst/>
                    </a:prstGeom>
                  </pic:spPr>
                </pic:pic>
              </a:graphicData>
            </a:graphic>
          </wp:inline>
        </w:drawing>
      </w:r>
    </w:p>
    <w:p w14:paraId="03F9D837">
      <w:r>
        <w:rPr>
          <w:rFonts w:ascii="宋体" w:hAnsi="宋体" w:eastAsia="宋体" w:cs="宋体"/>
          <w:b w:val="0"/>
        </w:rPr>
        <w:t>注：本基金的基金合同于2026年06月02日生效，截至本报告期末，本基金成立未满1年。2026本基金净值增长率与同期业绩比较基准收益率按本基金实际存续期计算。</w:t>
      </w:r>
    </w:p>
    <w:p w14:paraId="472C19A6">
      <w:pPr>
        <w:pStyle w:val="2"/>
        <w:jc w:val="center"/>
      </w:pPr>
      <w:bookmarkStart w:id="13" w:name="_Toc5358"/>
      <w:r>
        <w:rPr>
          <w:rFonts w:ascii="宋体" w:hAnsi="宋体" w:eastAsia="宋体" w:cs="宋体"/>
        </w:rPr>
        <w:t>§4 管理人报告</w:t>
      </w:r>
      <w:bookmarkEnd w:id="13"/>
    </w:p>
    <w:p w14:paraId="69198B4A">
      <w:pPr>
        <w:pStyle w:val="3"/>
        <w:jc w:val="left"/>
      </w:pPr>
      <w:bookmarkStart w:id="14" w:name="_Toc8111"/>
      <w:r>
        <w:rPr>
          <w:rFonts w:ascii="宋体" w:hAnsi="宋体" w:eastAsia="宋体" w:cs="宋体"/>
        </w:rPr>
        <w:t>4.1 基金管理人及基金经理情况</w:t>
      </w:r>
      <w:bookmarkEnd w:id="14"/>
    </w:p>
    <w:p w14:paraId="332D7B67">
      <w:pPr>
        <w:pStyle w:val="58"/>
      </w:pPr>
      <w:r>
        <w:rPr>
          <w:rFonts w:ascii="宋体" w:hAnsi="宋体" w:eastAsia="宋体" w:cs="宋体"/>
          <w:b/>
        </w:rPr>
        <w:t>4.1.1 基金管理人及其管理基金的经验</w:t>
      </w:r>
    </w:p>
    <w:p w14:paraId="0CB8CD53">
      <w:pPr>
        <w:jc w:val="left"/>
      </w:pPr>
      <w:r>
        <w:rPr>
          <w:rFonts w:ascii="宋体" w:hAnsi="宋体" w:eastAsia="宋体" w:cs="宋体"/>
          <w:b w:val="0"/>
        </w:rPr>
        <w:t xml:space="preserve">    东方阿尔法基金管理有限公司（以下简称"东方阿尔法基金"）于2017年6月24日经中国证监会批准，2017年7月4日注册成立，公司总部设在广东省深圳市，证券期货业务范围包括公开募集证券投资基金管理、基金销售、特定客户资产管理。截至报告期末，注册资本为1亿元人民币。</w:t>
      </w:r>
      <w:r>
        <w:rPr>
          <w:rFonts w:ascii="宋体" w:hAnsi="宋体" w:eastAsia="宋体" w:cs="宋体"/>
          <w:b w:val="0"/>
        </w:rPr>
        <w:br w:type="textWrapping"/>
      </w:r>
      <w:r>
        <w:rPr>
          <w:rFonts w:ascii="宋体" w:hAnsi="宋体" w:eastAsia="宋体" w:cs="宋体"/>
          <w:b w:val="0"/>
        </w:rPr>
        <w:t xml:space="preserve">    东方阿尔法基金作为华南地区首家纯员工持股的公募基金管理公司，公司股权结构为刘明、珠海共同成长投资合伙企业（有限合伙）、肖冰、曾健分别持有公司44.46%、39.56%、13.98%、2%的股权。</w:t>
      </w:r>
      <w:r>
        <w:rPr>
          <w:rFonts w:ascii="宋体" w:hAnsi="宋体" w:eastAsia="宋体" w:cs="宋体"/>
          <w:b w:val="0"/>
        </w:rPr>
        <w:br w:type="textWrapping"/>
      </w:r>
      <w:r>
        <w:rPr>
          <w:rFonts w:ascii="宋体" w:hAnsi="宋体" w:eastAsia="宋体" w:cs="宋体"/>
          <w:b w:val="0"/>
        </w:rPr>
        <w:t xml:space="preserve">    截至报告期末，东方阿尔法基金管理资产规模275.33亿元，旗下管理15只公开募集证券投资基金和3只私募资产管理计划。</w:t>
      </w:r>
    </w:p>
    <w:p w14:paraId="0E7B40CB"/>
    <w:p w14:paraId="55681C0B">
      <w:pPr>
        <w:pStyle w:val="58"/>
      </w:pPr>
      <w:r>
        <w:rPr>
          <w:rFonts w:ascii="宋体" w:hAnsi="宋体" w:eastAsia="宋体" w:cs="宋体"/>
          <w:b/>
        </w:rPr>
        <w:t>4.1.2 基金经理（或基金经理小组）及基金经理助理简介</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2547"/>
        <w:gridCol w:w="1266"/>
        <w:gridCol w:w="790"/>
        <w:gridCol w:w="576"/>
        <w:gridCol w:w="3041"/>
      </w:tblGrid>
      <w:tr w14:paraId="6B8B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pct"/>
            <w:vMerge w:val="restart"/>
            <w:shd w:val="clear" w:color="auto" w:fill="D9D9D9"/>
            <w:vAlign w:val="center"/>
          </w:tcPr>
          <w:p w14:paraId="75DA948E">
            <w:pPr>
              <w:spacing w:line="240" w:lineRule="auto"/>
              <w:jc w:val="center"/>
            </w:pPr>
            <w:r>
              <w:rPr>
                <w:rFonts w:ascii="宋体" w:hAnsi="宋体" w:eastAsia="宋体" w:cs="宋体"/>
                <w:b w:val="0"/>
              </w:rPr>
              <w:t>姓名</w:t>
            </w:r>
          </w:p>
        </w:tc>
        <w:tc>
          <w:tcPr>
            <w:tcW w:w="1231" w:type="pct"/>
            <w:vMerge w:val="restart"/>
            <w:shd w:val="clear" w:color="auto" w:fill="D9D9D9"/>
            <w:vAlign w:val="center"/>
          </w:tcPr>
          <w:p w14:paraId="06D6FCF0">
            <w:pPr>
              <w:spacing w:line="240" w:lineRule="auto"/>
              <w:jc w:val="center"/>
            </w:pPr>
            <w:r>
              <w:rPr>
                <w:rFonts w:ascii="宋体" w:hAnsi="宋体" w:eastAsia="宋体" w:cs="宋体"/>
                <w:b w:val="0"/>
              </w:rPr>
              <w:t>职务</w:t>
            </w:r>
          </w:p>
        </w:tc>
        <w:tc>
          <w:tcPr>
            <w:tcW w:w="808" w:type="pct"/>
            <w:gridSpan w:val="2"/>
            <w:shd w:val="clear" w:color="auto" w:fill="D9D9D9"/>
            <w:vAlign w:val="center"/>
          </w:tcPr>
          <w:p w14:paraId="04B21F5E">
            <w:pPr>
              <w:spacing w:line="240" w:lineRule="auto"/>
              <w:jc w:val="center"/>
            </w:pPr>
            <w:r>
              <w:rPr>
                <w:rFonts w:ascii="宋体" w:hAnsi="宋体" w:eastAsia="宋体" w:cs="宋体"/>
                <w:b w:val="0"/>
              </w:rPr>
              <w:t>任本基金的基金经理（助理）期限</w:t>
            </w:r>
          </w:p>
        </w:tc>
        <w:tc>
          <w:tcPr>
            <w:tcW w:w="308" w:type="pct"/>
            <w:vMerge w:val="restart"/>
            <w:shd w:val="clear" w:color="auto" w:fill="D9D9D9"/>
            <w:vAlign w:val="center"/>
          </w:tcPr>
          <w:p w14:paraId="71928ED1">
            <w:pPr>
              <w:spacing w:line="240" w:lineRule="auto"/>
              <w:jc w:val="center"/>
            </w:pPr>
            <w:r>
              <w:rPr>
                <w:rFonts w:ascii="宋体" w:hAnsi="宋体" w:eastAsia="宋体" w:cs="宋体"/>
                <w:b w:val="0"/>
              </w:rPr>
              <w:t>证券从业年限</w:t>
            </w:r>
          </w:p>
        </w:tc>
        <w:tc>
          <w:tcPr>
            <w:tcW w:w="1462" w:type="pct"/>
            <w:vMerge w:val="restart"/>
            <w:shd w:val="clear" w:color="auto" w:fill="D9D9D9"/>
            <w:vAlign w:val="center"/>
          </w:tcPr>
          <w:p w14:paraId="6D9E9E3B">
            <w:pPr>
              <w:spacing w:line="240" w:lineRule="auto"/>
              <w:jc w:val="center"/>
            </w:pPr>
            <w:r>
              <w:rPr>
                <w:rFonts w:ascii="宋体" w:hAnsi="宋体" w:eastAsia="宋体" w:cs="宋体"/>
                <w:b w:val="0"/>
              </w:rPr>
              <w:t>说明</w:t>
            </w:r>
          </w:p>
        </w:tc>
      </w:tr>
      <w:tr w14:paraId="3798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EB3443A"/>
        </w:tc>
        <w:tc>
          <w:tcPr>
            <w:vMerge w:val="continue"/>
          </w:tcPr>
          <w:p w14:paraId="3CCF1CE7"/>
        </w:tc>
        <w:tc>
          <w:tcPr>
            <w:tcW w:w="400" w:type="pct"/>
            <w:shd w:val="clear" w:color="auto" w:fill="D9D9D9"/>
            <w:vAlign w:val="center"/>
          </w:tcPr>
          <w:p w14:paraId="2CB506A3">
            <w:pPr>
              <w:spacing w:line="240" w:lineRule="auto"/>
              <w:jc w:val="center"/>
            </w:pPr>
            <w:r>
              <w:rPr>
                <w:rFonts w:ascii="宋体" w:hAnsi="宋体" w:eastAsia="宋体" w:cs="宋体"/>
                <w:b w:val="0"/>
              </w:rPr>
              <w:t>任职日期</w:t>
            </w:r>
          </w:p>
        </w:tc>
        <w:tc>
          <w:tcPr>
            <w:tcW w:w="392" w:type="pct"/>
            <w:shd w:val="clear" w:color="auto" w:fill="D9D9D9"/>
            <w:vAlign w:val="center"/>
          </w:tcPr>
          <w:p w14:paraId="7E70CC67">
            <w:pPr>
              <w:spacing w:line="240" w:lineRule="auto"/>
              <w:jc w:val="center"/>
            </w:pPr>
            <w:r>
              <w:rPr>
                <w:rFonts w:ascii="宋体" w:hAnsi="宋体" w:eastAsia="宋体" w:cs="宋体"/>
                <w:b w:val="0"/>
              </w:rPr>
              <w:t>离任日期</w:t>
            </w:r>
          </w:p>
        </w:tc>
        <w:tc>
          <w:tcPr>
            <w:vMerge w:val="continue"/>
          </w:tcPr>
          <w:p w14:paraId="09B6A23A"/>
        </w:tc>
        <w:tc>
          <w:tcPr>
            <w:vMerge w:val="continue"/>
          </w:tcPr>
          <w:p w14:paraId="394A5B28"/>
        </w:tc>
      </w:tr>
      <w:tr w14:paraId="237C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151649">
            <w:pPr>
              <w:spacing w:line="240" w:lineRule="auto"/>
              <w:jc w:val="left"/>
            </w:pPr>
            <w:r>
              <w:rPr>
                <w:rFonts w:ascii="宋体" w:hAnsi="宋体" w:eastAsia="宋体" w:cs="宋体"/>
                <w:b w:val="0"/>
              </w:rPr>
              <w:t>吴秋松</w:t>
            </w:r>
          </w:p>
        </w:tc>
        <w:tc>
          <w:tcPr>
            <w:tcW w:w="0" w:type="dxa"/>
            <w:vAlign w:val="center"/>
          </w:tcPr>
          <w:p w14:paraId="566510E3">
            <w:pPr>
              <w:spacing w:line="240" w:lineRule="auto"/>
              <w:jc w:val="left"/>
            </w:pPr>
            <w:r>
              <w:rPr>
                <w:rFonts w:ascii="宋体" w:hAnsi="宋体" w:eastAsia="宋体" w:cs="宋体"/>
                <w:b w:val="0"/>
              </w:rPr>
              <w:t>基金经理</w:t>
            </w:r>
          </w:p>
        </w:tc>
        <w:tc>
          <w:tcPr>
            <w:tcW w:w="0" w:type="dxa"/>
            <w:vAlign w:val="center"/>
          </w:tcPr>
          <w:p w14:paraId="5AA28D81">
            <w:pPr>
              <w:spacing w:line="240" w:lineRule="auto"/>
              <w:jc w:val="left"/>
            </w:pPr>
            <w:r>
              <w:rPr>
                <w:rFonts w:ascii="宋体" w:hAnsi="宋体" w:eastAsia="宋体" w:cs="宋体"/>
                <w:b w:val="0"/>
              </w:rPr>
              <w:t>2026-06-02</w:t>
            </w:r>
          </w:p>
        </w:tc>
        <w:tc>
          <w:tcPr>
            <w:tcW w:w="0" w:type="dxa"/>
            <w:vAlign w:val="center"/>
          </w:tcPr>
          <w:p w14:paraId="0CBC0286">
            <w:pPr>
              <w:spacing w:line="240" w:lineRule="auto"/>
              <w:jc w:val="left"/>
            </w:pPr>
            <w:r>
              <w:rPr>
                <w:rFonts w:ascii="宋体" w:hAnsi="宋体" w:eastAsia="宋体" w:cs="宋体"/>
                <w:b w:val="0"/>
              </w:rPr>
              <w:t>-</w:t>
            </w:r>
          </w:p>
        </w:tc>
        <w:tc>
          <w:tcPr>
            <w:tcW w:w="0" w:type="dxa"/>
            <w:vAlign w:val="center"/>
          </w:tcPr>
          <w:p w14:paraId="3CB44AC9">
            <w:pPr>
              <w:spacing w:line="240" w:lineRule="auto"/>
              <w:jc w:val="left"/>
            </w:pPr>
            <w:r>
              <w:rPr>
                <w:rFonts w:ascii="宋体" w:hAnsi="宋体" w:eastAsia="宋体" w:cs="宋体"/>
                <w:b w:val="0"/>
              </w:rPr>
              <w:t>10年</w:t>
            </w:r>
          </w:p>
        </w:tc>
        <w:tc>
          <w:tcPr>
            <w:tcW w:w="0" w:type="dxa"/>
            <w:vAlign w:val="center"/>
          </w:tcPr>
          <w:p w14:paraId="184DBA4C">
            <w:pPr>
              <w:spacing w:line="240" w:lineRule="auto"/>
              <w:jc w:val="left"/>
            </w:pPr>
            <w:r>
              <w:rPr>
                <w:rFonts w:ascii="宋体" w:hAnsi="宋体" w:eastAsia="宋体" w:cs="宋体"/>
                <w:b w:val="0"/>
              </w:rPr>
              <w:t>吴秋松先生，哈尔滨工业大学工学学士， 复旦大学管理学硕士。多年证券行业投研经验，曾任职于君证资本管理有限公司、银泰证券有限责任公司。2017年10月至2024年9月，在红塔红土基金管理有限公司工作，历任研究部研究员 、投资部基金经理助理、基金经理。现担任东方阿尔法基金管理有限公司基金经理。</w:t>
            </w:r>
          </w:p>
        </w:tc>
      </w:tr>
    </w:tbl>
    <w:p w14:paraId="58AA2770">
      <w:r>
        <w:rPr>
          <w:rFonts w:ascii="宋体" w:hAnsi="宋体" w:eastAsia="宋体" w:cs="宋体"/>
          <w:b w:val="0"/>
        </w:rPr>
        <w:t>注：1.对基金的首任基金经理，其"任职日期"为基金合同生效日，"离任日期"为根据公告确定的解聘日期；对此后的非首任基金经理，"任职日期"和"离任日期"分别指公告确定的任职日期和离任日期。</w:t>
      </w:r>
      <w:r>
        <w:rPr>
          <w:rFonts w:ascii="宋体" w:hAnsi="宋体" w:eastAsia="宋体" w:cs="宋体"/>
          <w:b w:val="0"/>
        </w:rPr>
        <w:br w:type="textWrapping"/>
      </w:r>
      <w:r>
        <w:rPr>
          <w:rFonts w:ascii="宋体" w:hAnsi="宋体" w:eastAsia="宋体" w:cs="宋体"/>
          <w:b w:val="0"/>
        </w:rPr>
        <w:t>2.证券从业的含义遵从《证券基金经营机构董事、监事、高级管理人员及从业人员监督管理办法》的相关规定。</w:t>
      </w:r>
    </w:p>
    <w:p w14:paraId="35A6C31D"/>
    <w:p w14:paraId="72BF25E5">
      <w:pPr>
        <w:pStyle w:val="58"/>
      </w:pPr>
      <w:r>
        <w:rPr>
          <w:rFonts w:ascii="宋体" w:hAnsi="宋体" w:eastAsia="宋体" w:cs="宋体"/>
          <w:b/>
        </w:rPr>
        <w:t>4.1.3 期末兼任私募资产管理计划投资经理的基金经理同时管理的产品情况</w:t>
      </w:r>
    </w:p>
    <w:p w14:paraId="10A05FAB">
      <w:r>
        <w:rPr>
          <w:rFonts w:ascii="宋体" w:hAnsi="宋体" w:eastAsia="宋体" w:cs="宋体"/>
          <w:b w:val="0"/>
        </w:rPr>
        <w:t xml:space="preserve">    本基金基金经理不存在兼任私募资产管理计划的投资经理的情况。</w:t>
      </w:r>
    </w:p>
    <w:p w14:paraId="5E0AA4FE"/>
    <w:p w14:paraId="1AE33F57">
      <w:pPr>
        <w:pStyle w:val="3"/>
        <w:jc w:val="left"/>
      </w:pPr>
      <w:bookmarkStart w:id="15" w:name="_Toc12450"/>
      <w:r>
        <w:rPr>
          <w:rFonts w:ascii="宋体" w:hAnsi="宋体" w:eastAsia="宋体" w:cs="宋体"/>
        </w:rPr>
        <w:t>4.2 管理人对报告期内本基金运作遵规守信情况的说明</w:t>
      </w:r>
      <w:bookmarkEnd w:id="15"/>
    </w:p>
    <w:p w14:paraId="4DFD2C58">
      <w:pPr>
        <w:jc w:val="left"/>
      </w:pPr>
      <w:r>
        <w:rPr>
          <w:rFonts w:ascii="宋体" w:hAnsi="宋体" w:eastAsia="宋体" w:cs="宋体"/>
          <w:b w:val="0"/>
        </w:rPr>
        <w:t xml:space="preserve">    本报告期内，本基金管理人严格遵守《中华人民共和国证券投资基金法》、《公开募集证券投资基金运作管理办法》、《公开募集证券投资基金销售机构监督管理办法》和《公开募集证券投资基金信息披露管理办法》等有关法律法规及各项实施准则、本基金《基金合同》和其他有关法律法规的规定，本着诚实信用、勤勉尽责的原则管理和运用基金资产，在严格控制风险的基础上，为基金份额持有人谋求最大利益。本报告期内，基金运作整体合法合规，没有损害基金份额持有人利益。基金的投资范围、投资比例及投资组合符合有关法律法规及基金合同的规定。</w:t>
      </w:r>
    </w:p>
    <w:p w14:paraId="131F2179"/>
    <w:p w14:paraId="39AD5AF0">
      <w:pPr>
        <w:pStyle w:val="3"/>
        <w:jc w:val="left"/>
      </w:pPr>
      <w:bookmarkStart w:id="16" w:name="_Toc25624"/>
      <w:r>
        <w:rPr>
          <w:rFonts w:ascii="宋体" w:hAnsi="宋体" w:eastAsia="宋体" w:cs="宋体"/>
        </w:rPr>
        <w:t>4.3 管理人对报告期内公平交易情况的专项说明</w:t>
      </w:r>
      <w:bookmarkEnd w:id="16"/>
    </w:p>
    <w:p w14:paraId="1CCF51A4">
      <w:pPr>
        <w:pStyle w:val="58"/>
      </w:pPr>
      <w:r>
        <w:rPr>
          <w:rFonts w:ascii="宋体" w:hAnsi="宋体" w:eastAsia="宋体" w:cs="宋体"/>
          <w:b/>
        </w:rPr>
        <w:t>4.3.1 公平交易制度的执行情况</w:t>
      </w:r>
    </w:p>
    <w:p w14:paraId="7608C00B">
      <w:pPr>
        <w:jc w:val="left"/>
      </w:pPr>
      <w:r>
        <w:rPr>
          <w:rFonts w:ascii="宋体" w:hAnsi="宋体" w:eastAsia="宋体" w:cs="宋体"/>
          <w:b w:val="0"/>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r>
      <w:r>
        <w:rPr>
          <w:rFonts w:ascii="宋体" w:hAnsi="宋体" w:eastAsia="宋体" w:cs="宋体"/>
          <w:b w:val="0"/>
        </w:rPr>
        <w:br w:type="textWrapping"/>
      </w:r>
      <w:r>
        <w:rPr>
          <w:rFonts w:ascii="宋体" w:hAnsi="宋体" w:eastAsia="宋体" w:cs="宋体"/>
          <w:b w:val="0"/>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14:paraId="7E96AFFF"/>
    <w:p w14:paraId="07DE41A4">
      <w:pPr>
        <w:pStyle w:val="58"/>
      </w:pPr>
      <w:r>
        <w:rPr>
          <w:rFonts w:ascii="宋体" w:hAnsi="宋体" w:eastAsia="宋体" w:cs="宋体"/>
          <w:b/>
        </w:rPr>
        <w:t>4.3.2 异常交易行为的专项说明</w:t>
      </w:r>
    </w:p>
    <w:p w14:paraId="6FF75F90">
      <w:pPr>
        <w:jc w:val="left"/>
      </w:pPr>
      <w:r>
        <w:rPr>
          <w:rFonts w:ascii="宋体" w:hAnsi="宋体" w:eastAsia="宋体" w:cs="宋体"/>
          <w:b w:val="0"/>
        </w:rPr>
        <w:t xml:space="preserve">    报告期内，本基金不存在参与交易所公开竞价同日反向交易成交较少的单边交易量超过该证券当日成交量的5%的情况，且不存在其他可能导致非公平交易和利益输送的异常交易行为。</w:t>
      </w:r>
    </w:p>
    <w:p w14:paraId="4D4C93DE"/>
    <w:p w14:paraId="70CBBEF4">
      <w:pPr>
        <w:pStyle w:val="3"/>
        <w:jc w:val="left"/>
      </w:pPr>
      <w:bookmarkStart w:id="17" w:name="_Toc26872"/>
      <w:r>
        <w:rPr>
          <w:rFonts w:ascii="宋体" w:hAnsi="宋体" w:eastAsia="宋体" w:cs="宋体"/>
        </w:rPr>
        <w:t>4.4 管理人对报告期内基金的投资策略和业绩表现的说明</w:t>
      </w:r>
      <w:bookmarkEnd w:id="17"/>
    </w:p>
    <w:p w14:paraId="01A4D34C">
      <w:pPr>
        <w:pStyle w:val="58"/>
      </w:pPr>
      <w:r>
        <w:rPr>
          <w:rFonts w:ascii="宋体" w:hAnsi="宋体" w:eastAsia="宋体" w:cs="宋体"/>
          <w:b/>
        </w:rPr>
        <w:t>4.4.1 报告期内基金投资策略和运作分析</w:t>
      </w:r>
    </w:p>
    <w:p w14:paraId="49A29A0E">
      <w:pPr>
        <w:jc w:val="left"/>
      </w:pPr>
      <w:r>
        <w:rPr>
          <w:rFonts w:ascii="宋体" w:hAnsi="宋体" w:eastAsia="宋体" w:cs="宋体"/>
          <w:b w:val="0"/>
        </w:rPr>
        <w:t xml:space="preserve">    2026年上半年，虽然国际环境不确定因素较多，但国内实际GDP实现了4.7%的增长，落在全年4.5-5.0%的增长目标之内。其中，规模以上工业增加值同比增长5.4%，出口实现了高速增长，同比增长17.6%（以美元计价），是拉动国内制造业增长的主要贡献项；固定资产投资同比下降5.7%，其中房地产投资同比下降18.0%，仍是主要拖累项，制造业投资同比下降1.2%，基础设施投资同比下降2.4%。货币流动性方面，央行继续实施适度宽松的货币政策，货币流动性整体保持较为充裕。</w:t>
      </w:r>
      <w:r>
        <w:rPr>
          <w:rFonts w:ascii="宋体" w:hAnsi="宋体" w:eastAsia="宋体" w:cs="宋体"/>
          <w:b w:val="0"/>
        </w:rPr>
        <w:br w:type="textWrapping"/>
      </w:r>
      <w:r>
        <w:rPr>
          <w:rFonts w:ascii="宋体" w:hAnsi="宋体" w:eastAsia="宋体" w:cs="宋体"/>
          <w:b w:val="0"/>
        </w:rPr>
        <w:t xml:space="preserve">    2026年上半年债券市场整体表现较强，10年期国债收益率从年初的1.85%震荡下行至1.73%。本基金于6月开始运作，当月债券市场先抑后扬，10年期国债收益率全月小幅下行2bp。信用利差维持在较低水平，可转债估值高企，在此背景下，我们采取了较为审慎的策略，阶段性采取纯利率债配置，逐步建仓中短久期利率债，并以部分仓位博弈长端利率的波段机会。</w:t>
      </w:r>
      <w:r>
        <w:rPr>
          <w:rFonts w:ascii="宋体" w:hAnsi="宋体" w:eastAsia="宋体" w:cs="宋体"/>
          <w:b w:val="0"/>
        </w:rPr>
        <w:br w:type="textWrapping"/>
      </w:r>
      <w:r>
        <w:rPr>
          <w:rFonts w:ascii="宋体" w:hAnsi="宋体" w:eastAsia="宋体" w:cs="宋体"/>
          <w:b w:val="0"/>
        </w:rPr>
        <w:t xml:space="preserve">    经济基本面呈K型分化，新旧动能转换，结构性特征较为明显，A股市场在2026年上半年整体呈现震荡的结构性行情，上证指数上涨3.16%，沪深300上涨7.55%，创业板指上涨35.58%，科创50上涨64.25%，中证500上涨20.97%，中证2000上涨9.10%；具体申万一级行业来看，行业指数表现差异明显，电子、通信行业指数涨幅大幅领先，涨幅都超过了70%，而商贸零售、农林牧渔、美容护理行业指数跌幅靠前，跌幅均超过了20%。报告期内，我们根据对宏观经济、货币流动性与市场风险偏好等因素的判断，来配置权益资产的投资比例；行业配置方面，我们相对看好AI产业链与半导体两大方向，也是本报告期内主要配置方向。</w:t>
      </w:r>
    </w:p>
    <w:p w14:paraId="670D87A7"/>
    <w:p w14:paraId="49CC15BE">
      <w:pPr>
        <w:pStyle w:val="58"/>
      </w:pPr>
      <w:r>
        <w:rPr>
          <w:rFonts w:ascii="宋体" w:hAnsi="宋体" w:eastAsia="宋体" w:cs="宋体"/>
          <w:b/>
        </w:rPr>
        <w:t>4.4.2 报告期内基金的业绩表现</w:t>
      </w:r>
    </w:p>
    <w:p w14:paraId="0CD8F90B">
      <w:pPr>
        <w:jc w:val="left"/>
      </w:pPr>
      <w:r>
        <w:rPr>
          <w:rFonts w:ascii="宋体" w:hAnsi="宋体" w:eastAsia="宋体" w:cs="宋体"/>
          <w:b w:val="0"/>
        </w:rPr>
        <w:t xml:space="preserve">    截至报告期末东方阿尔法增利债券发起A基金份额净值为1.0135元，本报告期内，该类基金份额净值增长率为1.35%，同期业绩比较基准收益率为-0.26%；截至报告期末东方阿尔法增利债券发起C基金份额净值为1.0134元，本报告期内，该类基金份额净值增长率为1.34%，同期业绩比较基准收益率为-0.26%。</w:t>
      </w:r>
    </w:p>
    <w:p w14:paraId="34D37393"/>
    <w:p w14:paraId="018DA432">
      <w:pPr>
        <w:pStyle w:val="3"/>
        <w:jc w:val="left"/>
      </w:pPr>
      <w:bookmarkStart w:id="18" w:name="_Toc17916"/>
      <w:r>
        <w:rPr>
          <w:rFonts w:ascii="宋体" w:hAnsi="宋体" w:eastAsia="宋体" w:cs="宋体"/>
        </w:rPr>
        <w:t>4.5 管理人对宏观经济、证券市场及行业走势的简要展望</w:t>
      </w:r>
      <w:bookmarkEnd w:id="18"/>
    </w:p>
    <w:p w14:paraId="1A79CB53">
      <w:pPr>
        <w:jc w:val="left"/>
      </w:pPr>
      <w:r>
        <w:rPr>
          <w:rFonts w:ascii="宋体" w:hAnsi="宋体" w:eastAsia="宋体" w:cs="宋体"/>
          <w:b w:val="0"/>
        </w:rPr>
        <w:t xml:space="preserve">    展望2026年下半年，外部环境不确定因素仍较多，但随着“六张网”和“十五五”重大工程等项目的落地与推进，国内全年经济增长目标有较大概率能实现。全球AI产业预计维持高景气的发展态势，有利于我国高科技制造业的出口，此外全球对新能源的需求也仍将保持增长，所以下半年出口大概率维持较高的增速。货币政策方面，总体基调预计仍是“适度宽松”，下半年仍有降准降息的可能性，货币流动性整体仍将保持较为充裕。</w:t>
      </w:r>
      <w:r>
        <w:rPr>
          <w:rFonts w:ascii="宋体" w:hAnsi="宋体" w:eastAsia="宋体" w:cs="宋体"/>
          <w:b w:val="0"/>
        </w:rPr>
        <w:br w:type="textWrapping"/>
      </w:r>
      <w:r>
        <w:rPr>
          <w:rFonts w:ascii="宋体" w:hAnsi="宋体" w:eastAsia="宋体" w:cs="宋体"/>
          <w:b w:val="0"/>
        </w:rPr>
        <w:t xml:space="preserve">    2026年下半年债券市场流动性环境预计维持宽松，收益率上行空间相对有限。我们将继续实施稳健的债券久期管理，灵活捕捉市场交易机会，力争增厚组合收益。结合对宏观经济、货币流动性与市场风险偏好等因素的判断，预计A股市场在2026年下半年整体仍将呈现震荡的结构性行情。在行业配置方面，我们相对看好AI产业链与半导体两大方向，争取把握其中从0到1、从1到N的投资机会，努力为持有人带来超额收益。</w:t>
      </w:r>
    </w:p>
    <w:p w14:paraId="16D94F64"/>
    <w:p w14:paraId="5AAD0241">
      <w:pPr>
        <w:pStyle w:val="3"/>
        <w:jc w:val="left"/>
      </w:pPr>
      <w:bookmarkStart w:id="19" w:name="_Toc20401"/>
      <w:r>
        <w:rPr>
          <w:rFonts w:ascii="宋体" w:hAnsi="宋体" w:eastAsia="宋体" w:cs="宋体"/>
        </w:rPr>
        <w:t>4.6 管理人对报告期内基金估值程序等事项的说明</w:t>
      </w:r>
      <w:bookmarkEnd w:id="19"/>
    </w:p>
    <w:p w14:paraId="009CFC82">
      <w:pPr>
        <w:jc w:val="left"/>
      </w:pPr>
      <w:r>
        <w:rPr>
          <w:rFonts w:ascii="宋体" w:hAnsi="宋体" w:eastAsia="宋体" w:cs="宋体"/>
          <w:b w:val="0"/>
        </w:rPr>
        <w:t xml:space="preserve">    本基金管理人已将本基金的基金估值核算业务外包给本基金的金融运营服务机构--招商证券股份有限公司。本基金金融运营服务机构按照企业会计准则、中国证监会相关规定和基金合同关于估值的约定，对基金所持有的投资品种进行估值。本基金金融运营服务机构使用可靠的估值业务系统，估值人员熟悉各类投资品种的估值原则和具体估值程序。估值流程中包含风险监测、控制和报告机制。金融运营服务机构改变估值技术，导致基金资产净值的变化在0.25%以上的，对所采用的相关估值技术、假设及输入值的适当性咨询会计师事务所的专业意见。本基金托管人根据法律法规要求履行估值及净值计算的复核责任。</w:t>
      </w:r>
      <w:r>
        <w:rPr>
          <w:rFonts w:ascii="宋体" w:hAnsi="宋体" w:eastAsia="宋体" w:cs="宋体"/>
          <w:b w:val="0"/>
        </w:rPr>
        <w:br w:type="textWrapping"/>
      </w:r>
      <w:r>
        <w:rPr>
          <w:rFonts w:ascii="宋体" w:hAnsi="宋体" w:eastAsia="宋体" w:cs="宋体"/>
          <w:b w:val="0"/>
        </w:rPr>
        <w:t xml:space="preserve">    本基金管理人建立了估值小组，成员由运作保障部、投资部门、研究部和监察稽核部业务骨干组成，负责指导和监督整个估值流程。该等人员均具备专业胜任能力和相关从业资格，精通各领域的理论知识，熟悉相关政策法规，并具有丰富的实践经验。基金经理可参与估值原则和方法的讨论，但不参与估值原则和方法的最终决策和日常估值的执行。</w:t>
      </w:r>
      <w:r>
        <w:rPr>
          <w:rFonts w:ascii="宋体" w:hAnsi="宋体" w:eastAsia="宋体" w:cs="宋体"/>
          <w:b w:val="0"/>
        </w:rPr>
        <w:br w:type="textWrapping"/>
      </w:r>
      <w:r>
        <w:rPr>
          <w:rFonts w:ascii="宋体" w:hAnsi="宋体" w:eastAsia="宋体" w:cs="宋体"/>
          <w:b w:val="0"/>
        </w:rPr>
        <w:t xml:space="preserve">    本基金本报告期内，参与估值流程各方之间无重大利益冲突。</w:t>
      </w:r>
    </w:p>
    <w:p w14:paraId="4FB88DFC"/>
    <w:p w14:paraId="205D1679">
      <w:pPr>
        <w:pStyle w:val="3"/>
        <w:jc w:val="left"/>
      </w:pPr>
      <w:bookmarkStart w:id="20" w:name="_Toc25921"/>
      <w:r>
        <w:rPr>
          <w:rFonts w:ascii="宋体" w:hAnsi="宋体" w:eastAsia="宋体" w:cs="宋体"/>
        </w:rPr>
        <w:t>4.7 管理人对报告期内基金利润分配情况的说明</w:t>
      </w:r>
      <w:bookmarkEnd w:id="20"/>
    </w:p>
    <w:p w14:paraId="340CA4FB">
      <w:pPr>
        <w:jc w:val="left"/>
      </w:pPr>
      <w:r>
        <w:rPr>
          <w:rFonts w:ascii="宋体" w:hAnsi="宋体" w:eastAsia="宋体" w:cs="宋体"/>
          <w:b w:val="0"/>
        </w:rPr>
        <w:t xml:space="preserve">    本基金本报告期内未实施利润分配。</w:t>
      </w:r>
    </w:p>
    <w:p w14:paraId="1E9FB499"/>
    <w:p w14:paraId="365E90A9">
      <w:pPr>
        <w:pStyle w:val="3"/>
        <w:jc w:val="left"/>
      </w:pPr>
      <w:bookmarkStart w:id="21" w:name="_Toc3510"/>
      <w:r>
        <w:rPr>
          <w:rFonts w:ascii="宋体" w:hAnsi="宋体" w:eastAsia="宋体" w:cs="宋体"/>
        </w:rPr>
        <w:t>4.8 报告期内管理人对本基金持有人数或基金资产净值预警情形的说明</w:t>
      </w:r>
      <w:bookmarkEnd w:id="21"/>
    </w:p>
    <w:p w14:paraId="62E4A495">
      <w:pPr>
        <w:jc w:val="left"/>
      </w:pPr>
      <w:r>
        <w:rPr>
          <w:rFonts w:ascii="宋体" w:hAnsi="宋体" w:eastAsia="宋体" w:cs="宋体"/>
          <w:b w:val="0"/>
        </w:rPr>
        <w:t xml:space="preserve">    本基金为发起式基金，且截至本报告期末，本基金基金合同生效未满3年，暂不适用《公开募集证券投资基金运作管理办法》第四十一条第一款的规定。</w:t>
      </w:r>
    </w:p>
    <w:p w14:paraId="53F12C1B">
      <w:pPr>
        <w:pStyle w:val="2"/>
        <w:jc w:val="center"/>
      </w:pPr>
      <w:bookmarkStart w:id="22" w:name="_Toc5467"/>
      <w:r>
        <w:rPr>
          <w:rFonts w:ascii="宋体" w:hAnsi="宋体" w:eastAsia="宋体" w:cs="宋体"/>
        </w:rPr>
        <w:t>§5 托管人报告</w:t>
      </w:r>
      <w:bookmarkEnd w:id="22"/>
    </w:p>
    <w:p w14:paraId="689A9BCC">
      <w:pPr>
        <w:pStyle w:val="3"/>
        <w:jc w:val="left"/>
      </w:pPr>
      <w:bookmarkStart w:id="23" w:name="_Toc1555"/>
      <w:r>
        <w:rPr>
          <w:rFonts w:ascii="宋体" w:hAnsi="宋体" w:eastAsia="宋体" w:cs="宋体"/>
        </w:rPr>
        <w:t>5.1 报告期内本基金托管人遵规守信情况声明</w:t>
      </w:r>
      <w:bookmarkEnd w:id="23"/>
    </w:p>
    <w:p w14:paraId="3593C218">
      <w:pPr>
        <w:jc w:val="left"/>
      </w:pPr>
      <w:r>
        <w:rPr>
          <w:rFonts w:ascii="宋体" w:hAnsi="宋体" w:eastAsia="宋体" w:cs="宋体"/>
          <w:b w:val="0"/>
        </w:rPr>
        <w:t xml:space="preserve">    托管人声明：招商银行具备完善的公司治理结构、内部稽核监控制度和风险控制制度，我行在履行托管职责中，严格遵守有关法律法规、托管协议的规定，尽职尽责地履行托管义务并安全保管托管资产。</w:t>
      </w:r>
    </w:p>
    <w:p w14:paraId="5771A49C"/>
    <w:p w14:paraId="07F9DE1D">
      <w:pPr>
        <w:pStyle w:val="3"/>
        <w:jc w:val="left"/>
      </w:pPr>
      <w:bookmarkStart w:id="24" w:name="_Toc15588"/>
      <w:r>
        <w:rPr>
          <w:rFonts w:ascii="宋体" w:hAnsi="宋体" w:eastAsia="宋体" w:cs="宋体"/>
        </w:rPr>
        <w:t>5.2 托管人对报告期内本基金投资运作遵规守信、净值计算、利润分配等情况的说明</w:t>
      </w:r>
      <w:bookmarkEnd w:id="24"/>
    </w:p>
    <w:p w14:paraId="780FA147">
      <w:pPr>
        <w:jc w:val="left"/>
      </w:pPr>
      <w:r>
        <w:rPr>
          <w:rFonts w:ascii="宋体" w:hAnsi="宋体" w:eastAsia="宋体" w:cs="宋体"/>
          <w:b w:val="0"/>
        </w:rPr>
        <w:t xml:space="preserve">    招商银行根据法律法规、托管协议约定的投资监督条款，对托管产品的投资行为进行监督，并根据监管要求履行报告义务。</w:t>
      </w:r>
      <w:r>
        <w:rPr>
          <w:rFonts w:ascii="宋体" w:hAnsi="宋体" w:eastAsia="宋体" w:cs="宋体"/>
          <w:b w:val="0"/>
        </w:rPr>
        <w:br w:type="textWrapping"/>
      </w:r>
      <w:r>
        <w:rPr>
          <w:rFonts w:ascii="宋体" w:hAnsi="宋体" w:eastAsia="宋体" w:cs="宋体"/>
          <w:b w:val="0"/>
        </w:rPr>
        <w:t xml:space="preserve">    招商银行按照托管协议约定的统一记账方法和会计处理原则，独立地设置、登录和保管本产品的全套账册，进行会计核算和资产估值并与管理人建立对账机制。</w:t>
      </w:r>
      <w:r>
        <w:rPr>
          <w:rFonts w:ascii="宋体" w:hAnsi="宋体" w:eastAsia="宋体" w:cs="宋体"/>
          <w:b w:val="0"/>
        </w:rPr>
        <w:br w:type="textWrapping"/>
      </w:r>
      <w:r>
        <w:rPr>
          <w:rFonts w:ascii="宋体" w:hAnsi="宋体" w:eastAsia="宋体" w:cs="宋体"/>
          <w:b w:val="0"/>
        </w:rPr>
        <w:t xml:space="preserve">    本中期报告中利润分配情况真实、准确。</w:t>
      </w:r>
    </w:p>
    <w:p w14:paraId="6BBF2D11"/>
    <w:p w14:paraId="5562301F">
      <w:pPr>
        <w:pStyle w:val="3"/>
        <w:jc w:val="left"/>
      </w:pPr>
      <w:bookmarkStart w:id="25" w:name="_Toc23987"/>
      <w:r>
        <w:rPr>
          <w:rFonts w:ascii="宋体" w:hAnsi="宋体" w:eastAsia="宋体" w:cs="宋体"/>
        </w:rPr>
        <w:t>5.3 托管人对本中期报告中财务信息等内容的真实、准确和完整发表意见</w:t>
      </w:r>
      <w:bookmarkEnd w:id="25"/>
    </w:p>
    <w:p w14:paraId="2CFFA03F">
      <w:pPr>
        <w:jc w:val="left"/>
      </w:pPr>
      <w:r>
        <w:rPr>
          <w:rFonts w:ascii="宋体" w:hAnsi="宋体" w:eastAsia="宋体" w:cs="宋体"/>
          <w:b w:val="0"/>
        </w:rPr>
        <w:t xml:space="preserve">    本中期报告中财务指标、净值表现、财务会计报告、投资组合报告内容真实、准确，不存在虚假记载、误导性陈述或者重大遗漏。</w:t>
      </w:r>
    </w:p>
    <w:p w14:paraId="4651AE4B">
      <w:pPr>
        <w:pStyle w:val="2"/>
        <w:jc w:val="center"/>
      </w:pPr>
      <w:bookmarkStart w:id="26" w:name="_Toc19187"/>
      <w:r>
        <w:rPr>
          <w:rFonts w:ascii="宋体" w:hAnsi="宋体" w:eastAsia="宋体" w:cs="宋体"/>
        </w:rPr>
        <w:t>§6 半年度财务会计报告(未经审计)</w:t>
      </w:r>
      <w:bookmarkEnd w:id="26"/>
    </w:p>
    <w:p w14:paraId="70E9DBCE">
      <w:pPr>
        <w:pStyle w:val="3"/>
        <w:jc w:val="left"/>
      </w:pPr>
      <w:bookmarkStart w:id="27" w:name="_Toc30172"/>
      <w:r>
        <w:rPr>
          <w:rFonts w:ascii="宋体" w:hAnsi="宋体" w:eastAsia="宋体" w:cs="宋体"/>
        </w:rPr>
        <w:t>6.1 资产负债表</w:t>
      </w:r>
      <w:bookmarkEnd w:id="27"/>
    </w:p>
    <w:p w14:paraId="321E480E">
      <w:pPr>
        <w:jc w:val="left"/>
      </w:pPr>
      <w:r>
        <w:rPr>
          <w:rFonts w:ascii="宋体" w:hAnsi="宋体" w:eastAsia="宋体" w:cs="宋体"/>
          <w:b w:val="0"/>
        </w:rPr>
        <w:t>会计主体：东方阿尔法增利债券型发起式证券投资基金</w:t>
      </w:r>
    </w:p>
    <w:p w14:paraId="1E9F8704">
      <w:pPr>
        <w:jc w:val="left"/>
      </w:pPr>
      <w:r>
        <w:rPr>
          <w:rFonts w:ascii="宋体" w:hAnsi="宋体" w:eastAsia="宋体" w:cs="宋体"/>
          <w:b w:val="0"/>
        </w:rPr>
        <w:t>报告截止日：2026年06月30日</w:t>
      </w:r>
    </w:p>
    <w:p w14:paraId="743CCC6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1547"/>
        <w:gridCol w:w="3095"/>
      </w:tblGrid>
      <w:tr w14:paraId="4ADD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544CDD9D">
            <w:pPr>
              <w:spacing w:line="240" w:lineRule="auto"/>
              <w:jc w:val="center"/>
            </w:pPr>
            <w:r>
              <w:rPr>
                <w:rFonts w:ascii="宋体" w:hAnsi="宋体" w:eastAsia="宋体" w:cs="宋体"/>
                <w:b/>
              </w:rPr>
              <w:t xml:space="preserve">资 产 </w:t>
            </w:r>
          </w:p>
        </w:tc>
        <w:tc>
          <w:tcPr>
            <w:tcW w:w="769" w:type="pct"/>
            <w:shd w:val="clear" w:color="auto" w:fill="D9D9D9"/>
            <w:vAlign w:val="center"/>
          </w:tcPr>
          <w:p w14:paraId="6237F976">
            <w:pPr>
              <w:spacing w:line="240" w:lineRule="auto"/>
              <w:jc w:val="center"/>
            </w:pPr>
            <w:r>
              <w:rPr>
                <w:rFonts w:ascii="宋体" w:hAnsi="宋体" w:eastAsia="宋体" w:cs="宋体"/>
                <w:b/>
              </w:rPr>
              <w:t>附注号</w:t>
            </w:r>
          </w:p>
        </w:tc>
        <w:tc>
          <w:tcPr>
            <w:tcW w:w="1538" w:type="pct"/>
            <w:shd w:val="clear" w:color="auto" w:fill="D9D9D9"/>
            <w:vAlign w:val="center"/>
          </w:tcPr>
          <w:p w14:paraId="4C70D727">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r>
      <w:tr w14:paraId="2311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7C5281">
            <w:pPr>
              <w:spacing w:line="240" w:lineRule="auto"/>
              <w:jc w:val="left"/>
            </w:pPr>
            <w:r>
              <w:rPr>
                <w:rFonts w:ascii="宋体" w:hAnsi="宋体" w:eastAsia="宋体" w:cs="宋体"/>
                <w:b/>
              </w:rPr>
              <w:t>资 产：</w:t>
            </w:r>
          </w:p>
        </w:tc>
        <w:tc>
          <w:tcPr>
            <w:tcW w:w="0" w:type="dxa"/>
            <w:vAlign w:val="center"/>
          </w:tcPr>
          <w:p w14:paraId="2457CA9F">
            <w:pPr>
              <w:spacing w:line="240" w:lineRule="auto"/>
              <w:jc w:val="center"/>
            </w:pPr>
          </w:p>
        </w:tc>
        <w:tc>
          <w:tcPr>
            <w:tcW w:w="0" w:type="dxa"/>
            <w:vAlign w:val="center"/>
          </w:tcPr>
          <w:p w14:paraId="062DD6FF">
            <w:pPr>
              <w:spacing w:line="240" w:lineRule="auto"/>
              <w:jc w:val="center"/>
            </w:pPr>
          </w:p>
        </w:tc>
      </w:tr>
      <w:tr w14:paraId="6CEB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F3079E">
            <w:pPr>
              <w:spacing w:line="240" w:lineRule="auto"/>
              <w:jc w:val="left"/>
            </w:pPr>
            <w:r>
              <w:rPr>
                <w:rFonts w:ascii="宋体" w:hAnsi="宋体" w:eastAsia="宋体" w:cs="宋体"/>
                <w:b w:val="0"/>
              </w:rPr>
              <w:t>货币资金</w:t>
            </w:r>
          </w:p>
        </w:tc>
        <w:tc>
          <w:tcPr>
            <w:tcW w:w="0" w:type="dxa"/>
            <w:vAlign w:val="center"/>
          </w:tcPr>
          <w:p w14:paraId="138680C2">
            <w:pPr>
              <w:spacing w:line="240" w:lineRule="auto"/>
              <w:jc w:val="center"/>
            </w:pPr>
            <w:r>
              <w:rPr>
                <w:rFonts w:ascii="宋体" w:hAnsi="宋体" w:eastAsia="宋体" w:cs="宋体"/>
                <w:b w:val="0"/>
              </w:rPr>
              <w:t>6.4.7.1</w:t>
            </w:r>
          </w:p>
        </w:tc>
        <w:tc>
          <w:tcPr>
            <w:tcW w:w="0" w:type="dxa"/>
            <w:vAlign w:val="center"/>
          </w:tcPr>
          <w:p w14:paraId="2512F976">
            <w:pPr>
              <w:spacing w:line="240" w:lineRule="auto"/>
              <w:jc w:val="right"/>
            </w:pPr>
            <w:r>
              <w:rPr>
                <w:rFonts w:ascii="宋体" w:hAnsi="宋体" w:eastAsia="宋体" w:cs="宋体"/>
                <w:b w:val="0"/>
              </w:rPr>
              <w:t>79,406.67</w:t>
            </w:r>
          </w:p>
        </w:tc>
      </w:tr>
      <w:tr w14:paraId="256D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05CEF7">
            <w:pPr>
              <w:spacing w:line="240" w:lineRule="auto"/>
              <w:jc w:val="left"/>
            </w:pPr>
            <w:r>
              <w:rPr>
                <w:rFonts w:ascii="宋体" w:hAnsi="宋体" w:eastAsia="宋体" w:cs="宋体"/>
                <w:b w:val="0"/>
              </w:rPr>
              <w:t>结算备付金</w:t>
            </w:r>
          </w:p>
        </w:tc>
        <w:tc>
          <w:tcPr>
            <w:tcW w:w="0" w:type="dxa"/>
            <w:vAlign w:val="center"/>
          </w:tcPr>
          <w:p w14:paraId="05B9320B">
            <w:pPr>
              <w:spacing w:line="240" w:lineRule="auto"/>
              <w:jc w:val="center"/>
            </w:pPr>
          </w:p>
        </w:tc>
        <w:tc>
          <w:tcPr>
            <w:tcW w:w="0" w:type="dxa"/>
            <w:vAlign w:val="center"/>
          </w:tcPr>
          <w:p w14:paraId="510E4BDD">
            <w:pPr>
              <w:spacing w:line="240" w:lineRule="auto"/>
              <w:jc w:val="right"/>
            </w:pPr>
            <w:r>
              <w:rPr>
                <w:rFonts w:ascii="宋体" w:hAnsi="宋体" w:eastAsia="宋体" w:cs="宋体"/>
                <w:b w:val="0"/>
              </w:rPr>
              <w:t>-</w:t>
            </w:r>
          </w:p>
        </w:tc>
      </w:tr>
      <w:tr w14:paraId="5A02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175C98">
            <w:pPr>
              <w:spacing w:line="240" w:lineRule="auto"/>
              <w:jc w:val="left"/>
            </w:pPr>
            <w:r>
              <w:rPr>
                <w:rFonts w:ascii="宋体" w:hAnsi="宋体" w:eastAsia="宋体" w:cs="宋体"/>
                <w:b w:val="0"/>
              </w:rPr>
              <w:t>存出保证金</w:t>
            </w:r>
          </w:p>
        </w:tc>
        <w:tc>
          <w:tcPr>
            <w:tcW w:w="0" w:type="dxa"/>
            <w:vAlign w:val="center"/>
          </w:tcPr>
          <w:p w14:paraId="7C97D5B5">
            <w:pPr>
              <w:spacing w:line="240" w:lineRule="auto"/>
              <w:jc w:val="center"/>
            </w:pPr>
          </w:p>
        </w:tc>
        <w:tc>
          <w:tcPr>
            <w:tcW w:w="0" w:type="dxa"/>
            <w:vAlign w:val="center"/>
          </w:tcPr>
          <w:p w14:paraId="0AA5D310">
            <w:pPr>
              <w:spacing w:line="240" w:lineRule="auto"/>
              <w:jc w:val="right"/>
            </w:pPr>
            <w:r>
              <w:rPr>
                <w:rFonts w:ascii="宋体" w:hAnsi="宋体" w:eastAsia="宋体" w:cs="宋体"/>
                <w:b w:val="0"/>
              </w:rPr>
              <w:t>-</w:t>
            </w:r>
          </w:p>
        </w:tc>
      </w:tr>
      <w:tr w14:paraId="1226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9BAE61">
            <w:pPr>
              <w:spacing w:line="240" w:lineRule="auto"/>
              <w:jc w:val="left"/>
            </w:pPr>
            <w:r>
              <w:rPr>
                <w:rFonts w:ascii="宋体" w:hAnsi="宋体" w:eastAsia="宋体" w:cs="宋体"/>
                <w:b w:val="0"/>
              </w:rPr>
              <w:t>交易性金融资产</w:t>
            </w:r>
          </w:p>
        </w:tc>
        <w:tc>
          <w:tcPr>
            <w:tcW w:w="0" w:type="dxa"/>
            <w:vAlign w:val="center"/>
          </w:tcPr>
          <w:p w14:paraId="78E4C62B">
            <w:pPr>
              <w:spacing w:line="240" w:lineRule="auto"/>
              <w:jc w:val="center"/>
            </w:pPr>
            <w:r>
              <w:rPr>
                <w:rFonts w:ascii="宋体" w:hAnsi="宋体" w:eastAsia="宋体" w:cs="宋体"/>
                <w:b w:val="0"/>
              </w:rPr>
              <w:t>6.4.7.2</w:t>
            </w:r>
          </w:p>
        </w:tc>
        <w:tc>
          <w:tcPr>
            <w:tcW w:w="0" w:type="dxa"/>
            <w:vAlign w:val="center"/>
          </w:tcPr>
          <w:p w14:paraId="7913A638">
            <w:pPr>
              <w:spacing w:line="240" w:lineRule="auto"/>
              <w:jc w:val="right"/>
            </w:pPr>
            <w:r>
              <w:rPr>
                <w:rFonts w:ascii="宋体" w:hAnsi="宋体" w:eastAsia="宋体" w:cs="宋体"/>
                <w:b w:val="0"/>
              </w:rPr>
              <w:t>7,870,913.88</w:t>
            </w:r>
          </w:p>
        </w:tc>
      </w:tr>
      <w:tr w14:paraId="3509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913531">
            <w:pPr>
              <w:spacing w:line="240" w:lineRule="auto"/>
              <w:jc w:val="left"/>
            </w:pPr>
            <w:r>
              <w:rPr>
                <w:rFonts w:ascii="宋体" w:hAnsi="宋体" w:eastAsia="宋体" w:cs="宋体"/>
                <w:b w:val="0"/>
              </w:rPr>
              <w:t>其中：股票投资</w:t>
            </w:r>
          </w:p>
        </w:tc>
        <w:tc>
          <w:tcPr>
            <w:tcW w:w="0" w:type="dxa"/>
            <w:vAlign w:val="center"/>
          </w:tcPr>
          <w:p w14:paraId="2EA4EE1A">
            <w:pPr>
              <w:spacing w:line="240" w:lineRule="auto"/>
              <w:jc w:val="center"/>
            </w:pPr>
          </w:p>
        </w:tc>
        <w:tc>
          <w:tcPr>
            <w:tcW w:w="0" w:type="dxa"/>
            <w:vAlign w:val="center"/>
          </w:tcPr>
          <w:p w14:paraId="6399BE2B">
            <w:pPr>
              <w:spacing w:line="240" w:lineRule="auto"/>
              <w:jc w:val="right"/>
            </w:pPr>
            <w:r>
              <w:rPr>
                <w:rFonts w:ascii="宋体" w:hAnsi="宋体" w:eastAsia="宋体" w:cs="宋体"/>
                <w:b w:val="0"/>
              </w:rPr>
              <w:t>1,853,513.00</w:t>
            </w:r>
          </w:p>
        </w:tc>
      </w:tr>
      <w:tr w14:paraId="4240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A4C47D">
            <w:pPr>
              <w:spacing w:line="240" w:lineRule="auto"/>
              <w:jc w:val="left"/>
            </w:pPr>
            <w:r>
              <w:rPr>
                <w:rFonts w:ascii="宋体" w:hAnsi="宋体" w:eastAsia="宋体" w:cs="宋体"/>
                <w:b w:val="0"/>
              </w:rPr>
              <w:t xml:space="preserve">      基金投资</w:t>
            </w:r>
          </w:p>
        </w:tc>
        <w:tc>
          <w:tcPr>
            <w:tcW w:w="0" w:type="dxa"/>
            <w:vAlign w:val="center"/>
          </w:tcPr>
          <w:p w14:paraId="73F1CAE1">
            <w:pPr>
              <w:spacing w:line="240" w:lineRule="auto"/>
              <w:jc w:val="center"/>
            </w:pPr>
          </w:p>
        </w:tc>
        <w:tc>
          <w:tcPr>
            <w:tcW w:w="0" w:type="dxa"/>
            <w:vAlign w:val="center"/>
          </w:tcPr>
          <w:p w14:paraId="0867FB89">
            <w:pPr>
              <w:spacing w:line="240" w:lineRule="auto"/>
              <w:jc w:val="right"/>
            </w:pPr>
            <w:r>
              <w:rPr>
                <w:rFonts w:ascii="宋体" w:hAnsi="宋体" w:eastAsia="宋体" w:cs="宋体"/>
                <w:b w:val="0"/>
              </w:rPr>
              <w:t>-</w:t>
            </w:r>
          </w:p>
        </w:tc>
      </w:tr>
      <w:tr w14:paraId="5E61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84560B">
            <w:pPr>
              <w:spacing w:line="240" w:lineRule="auto"/>
              <w:jc w:val="left"/>
            </w:pPr>
            <w:r>
              <w:rPr>
                <w:rFonts w:ascii="宋体" w:hAnsi="宋体" w:eastAsia="宋体" w:cs="宋体"/>
                <w:b w:val="0"/>
              </w:rPr>
              <w:t xml:space="preserve">      债券投资</w:t>
            </w:r>
          </w:p>
        </w:tc>
        <w:tc>
          <w:tcPr>
            <w:tcW w:w="0" w:type="dxa"/>
            <w:vAlign w:val="center"/>
          </w:tcPr>
          <w:p w14:paraId="6081DF7A">
            <w:pPr>
              <w:spacing w:line="240" w:lineRule="auto"/>
              <w:jc w:val="center"/>
            </w:pPr>
          </w:p>
        </w:tc>
        <w:tc>
          <w:tcPr>
            <w:tcW w:w="0" w:type="dxa"/>
            <w:vAlign w:val="center"/>
          </w:tcPr>
          <w:p w14:paraId="4A0BC03F">
            <w:pPr>
              <w:spacing w:line="240" w:lineRule="auto"/>
              <w:jc w:val="right"/>
            </w:pPr>
            <w:r>
              <w:rPr>
                <w:rFonts w:ascii="宋体" w:hAnsi="宋体" w:eastAsia="宋体" w:cs="宋体"/>
                <w:b w:val="0"/>
              </w:rPr>
              <w:t>6,017,400.88</w:t>
            </w:r>
          </w:p>
        </w:tc>
      </w:tr>
      <w:tr w14:paraId="6783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F56F40">
            <w:pPr>
              <w:spacing w:line="240" w:lineRule="auto"/>
              <w:jc w:val="left"/>
            </w:pPr>
            <w:r>
              <w:rPr>
                <w:rFonts w:ascii="宋体" w:hAnsi="宋体" w:eastAsia="宋体" w:cs="宋体"/>
                <w:b w:val="0"/>
              </w:rPr>
              <w:t xml:space="preserve">      资产支持证券投资</w:t>
            </w:r>
          </w:p>
        </w:tc>
        <w:tc>
          <w:tcPr>
            <w:tcW w:w="0" w:type="dxa"/>
            <w:vAlign w:val="center"/>
          </w:tcPr>
          <w:p w14:paraId="0527F536">
            <w:pPr>
              <w:spacing w:line="240" w:lineRule="auto"/>
              <w:jc w:val="center"/>
            </w:pPr>
          </w:p>
        </w:tc>
        <w:tc>
          <w:tcPr>
            <w:tcW w:w="0" w:type="dxa"/>
            <w:vAlign w:val="center"/>
          </w:tcPr>
          <w:p w14:paraId="1B09CF2E">
            <w:pPr>
              <w:spacing w:line="240" w:lineRule="auto"/>
              <w:jc w:val="right"/>
            </w:pPr>
            <w:r>
              <w:rPr>
                <w:rFonts w:ascii="宋体" w:hAnsi="宋体" w:eastAsia="宋体" w:cs="宋体"/>
                <w:b w:val="0"/>
              </w:rPr>
              <w:t>-</w:t>
            </w:r>
          </w:p>
        </w:tc>
      </w:tr>
      <w:tr w14:paraId="62E2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E08806">
            <w:pPr>
              <w:spacing w:line="240" w:lineRule="auto"/>
              <w:jc w:val="left"/>
            </w:pPr>
            <w:r>
              <w:rPr>
                <w:rFonts w:ascii="宋体" w:hAnsi="宋体" w:eastAsia="宋体" w:cs="宋体"/>
                <w:b w:val="0"/>
              </w:rPr>
              <w:t xml:space="preserve">      贵金属投资</w:t>
            </w:r>
          </w:p>
        </w:tc>
        <w:tc>
          <w:tcPr>
            <w:tcW w:w="0" w:type="dxa"/>
            <w:vAlign w:val="center"/>
          </w:tcPr>
          <w:p w14:paraId="79243C1B">
            <w:pPr>
              <w:spacing w:line="240" w:lineRule="auto"/>
              <w:jc w:val="center"/>
            </w:pPr>
          </w:p>
        </w:tc>
        <w:tc>
          <w:tcPr>
            <w:tcW w:w="0" w:type="dxa"/>
            <w:vAlign w:val="center"/>
          </w:tcPr>
          <w:p w14:paraId="21E245B9">
            <w:pPr>
              <w:spacing w:line="240" w:lineRule="auto"/>
              <w:jc w:val="right"/>
            </w:pPr>
            <w:r>
              <w:rPr>
                <w:rFonts w:ascii="宋体" w:hAnsi="宋体" w:eastAsia="宋体" w:cs="宋体"/>
                <w:b w:val="0"/>
              </w:rPr>
              <w:t>-</w:t>
            </w:r>
          </w:p>
        </w:tc>
      </w:tr>
      <w:tr w14:paraId="4C79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6D9C58">
            <w:pPr>
              <w:spacing w:line="240" w:lineRule="auto"/>
              <w:jc w:val="left"/>
            </w:pPr>
            <w:r>
              <w:rPr>
                <w:rFonts w:ascii="宋体" w:hAnsi="宋体" w:eastAsia="宋体" w:cs="宋体"/>
                <w:b w:val="0"/>
              </w:rPr>
              <w:t xml:space="preserve">      其他投资</w:t>
            </w:r>
          </w:p>
        </w:tc>
        <w:tc>
          <w:tcPr>
            <w:tcW w:w="0" w:type="dxa"/>
            <w:vAlign w:val="center"/>
          </w:tcPr>
          <w:p w14:paraId="5E820585">
            <w:pPr>
              <w:spacing w:line="240" w:lineRule="auto"/>
              <w:jc w:val="center"/>
            </w:pPr>
          </w:p>
        </w:tc>
        <w:tc>
          <w:tcPr>
            <w:tcW w:w="0" w:type="dxa"/>
            <w:vAlign w:val="center"/>
          </w:tcPr>
          <w:p w14:paraId="4F0F47CA">
            <w:pPr>
              <w:spacing w:line="240" w:lineRule="auto"/>
              <w:jc w:val="right"/>
            </w:pPr>
            <w:r>
              <w:rPr>
                <w:rFonts w:ascii="宋体" w:hAnsi="宋体" w:eastAsia="宋体" w:cs="宋体"/>
                <w:b w:val="0"/>
              </w:rPr>
              <w:t>-</w:t>
            </w:r>
          </w:p>
        </w:tc>
      </w:tr>
      <w:tr w14:paraId="1FC1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101D56">
            <w:pPr>
              <w:spacing w:line="240" w:lineRule="auto"/>
              <w:jc w:val="left"/>
            </w:pPr>
            <w:r>
              <w:rPr>
                <w:rFonts w:ascii="宋体" w:hAnsi="宋体" w:eastAsia="宋体" w:cs="宋体"/>
                <w:b w:val="0"/>
              </w:rPr>
              <w:t>衍生金融资产</w:t>
            </w:r>
          </w:p>
        </w:tc>
        <w:tc>
          <w:tcPr>
            <w:tcW w:w="0" w:type="dxa"/>
            <w:vAlign w:val="center"/>
          </w:tcPr>
          <w:p w14:paraId="02DD26AA">
            <w:pPr>
              <w:spacing w:line="240" w:lineRule="auto"/>
              <w:jc w:val="center"/>
            </w:pPr>
            <w:r>
              <w:rPr>
                <w:rFonts w:ascii="宋体" w:hAnsi="宋体" w:eastAsia="宋体" w:cs="宋体"/>
                <w:b w:val="0"/>
              </w:rPr>
              <w:t>6.4.7.3</w:t>
            </w:r>
          </w:p>
        </w:tc>
        <w:tc>
          <w:tcPr>
            <w:tcW w:w="0" w:type="dxa"/>
            <w:vAlign w:val="center"/>
          </w:tcPr>
          <w:p w14:paraId="7B5DAD9F">
            <w:pPr>
              <w:spacing w:line="240" w:lineRule="auto"/>
              <w:jc w:val="right"/>
            </w:pPr>
            <w:r>
              <w:rPr>
                <w:rFonts w:ascii="宋体" w:hAnsi="宋体" w:eastAsia="宋体" w:cs="宋体"/>
                <w:b w:val="0"/>
              </w:rPr>
              <w:t>-</w:t>
            </w:r>
          </w:p>
        </w:tc>
      </w:tr>
      <w:tr w14:paraId="2D79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35C896">
            <w:pPr>
              <w:spacing w:line="240" w:lineRule="auto"/>
              <w:jc w:val="left"/>
            </w:pPr>
            <w:r>
              <w:rPr>
                <w:rFonts w:ascii="宋体" w:hAnsi="宋体" w:eastAsia="宋体" w:cs="宋体"/>
                <w:b w:val="0"/>
              </w:rPr>
              <w:t>买入返售金融资产</w:t>
            </w:r>
          </w:p>
        </w:tc>
        <w:tc>
          <w:tcPr>
            <w:tcW w:w="0" w:type="dxa"/>
            <w:vAlign w:val="center"/>
          </w:tcPr>
          <w:p w14:paraId="43DD723D">
            <w:pPr>
              <w:spacing w:line="240" w:lineRule="auto"/>
              <w:jc w:val="center"/>
            </w:pPr>
            <w:r>
              <w:rPr>
                <w:rFonts w:ascii="宋体" w:hAnsi="宋体" w:eastAsia="宋体" w:cs="宋体"/>
                <w:b w:val="0"/>
              </w:rPr>
              <w:t>6.4.7.4</w:t>
            </w:r>
          </w:p>
        </w:tc>
        <w:tc>
          <w:tcPr>
            <w:tcW w:w="0" w:type="dxa"/>
            <w:vAlign w:val="center"/>
          </w:tcPr>
          <w:p w14:paraId="734197AB">
            <w:pPr>
              <w:spacing w:line="240" w:lineRule="auto"/>
              <w:jc w:val="right"/>
            </w:pPr>
            <w:r>
              <w:rPr>
                <w:rFonts w:ascii="宋体" w:hAnsi="宋体" w:eastAsia="宋体" w:cs="宋体"/>
                <w:b w:val="0"/>
              </w:rPr>
              <w:t>3,000,000.00</w:t>
            </w:r>
          </w:p>
        </w:tc>
      </w:tr>
      <w:tr w14:paraId="7F70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316089">
            <w:pPr>
              <w:spacing w:line="240" w:lineRule="auto"/>
              <w:jc w:val="left"/>
            </w:pPr>
            <w:r>
              <w:rPr>
                <w:rFonts w:ascii="宋体" w:hAnsi="宋体" w:eastAsia="宋体" w:cs="宋体"/>
                <w:b w:val="0"/>
              </w:rPr>
              <w:t>应收清算款</w:t>
            </w:r>
          </w:p>
        </w:tc>
        <w:tc>
          <w:tcPr>
            <w:tcW w:w="0" w:type="dxa"/>
            <w:vAlign w:val="center"/>
          </w:tcPr>
          <w:p w14:paraId="0AE9524D">
            <w:pPr>
              <w:spacing w:line="240" w:lineRule="auto"/>
              <w:jc w:val="center"/>
            </w:pPr>
          </w:p>
        </w:tc>
        <w:tc>
          <w:tcPr>
            <w:tcW w:w="0" w:type="dxa"/>
            <w:vAlign w:val="center"/>
          </w:tcPr>
          <w:p w14:paraId="101BDA4D">
            <w:pPr>
              <w:spacing w:line="240" w:lineRule="auto"/>
              <w:jc w:val="right"/>
            </w:pPr>
            <w:r>
              <w:rPr>
                <w:rFonts w:ascii="宋体" w:hAnsi="宋体" w:eastAsia="宋体" w:cs="宋体"/>
                <w:b w:val="0"/>
              </w:rPr>
              <w:t>-</w:t>
            </w:r>
          </w:p>
        </w:tc>
      </w:tr>
      <w:tr w14:paraId="0396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F4C0B8">
            <w:pPr>
              <w:spacing w:line="240" w:lineRule="auto"/>
              <w:jc w:val="left"/>
            </w:pPr>
            <w:r>
              <w:rPr>
                <w:rFonts w:ascii="宋体" w:hAnsi="宋体" w:eastAsia="宋体" w:cs="宋体"/>
                <w:b w:val="0"/>
              </w:rPr>
              <w:t>应收股利</w:t>
            </w:r>
          </w:p>
        </w:tc>
        <w:tc>
          <w:tcPr>
            <w:tcW w:w="0" w:type="dxa"/>
            <w:vAlign w:val="center"/>
          </w:tcPr>
          <w:p w14:paraId="0CF47961">
            <w:pPr>
              <w:spacing w:line="240" w:lineRule="auto"/>
              <w:jc w:val="center"/>
            </w:pPr>
          </w:p>
        </w:tc>
        <w:tc>
          <w:tcPr>
            <w:tcW w:w="0" w:type="dxa"/>
            <w:vAlign w:val="center"/>
          </w:tcPr>
          <w:p w14:paraId="5377381D">
            <w:pPr>
              <w:spacing w:line="240" w:lineRule="auto"/>
              <w:jc w:val="right"/>
            </w:pPr>
            <w:r>
              <w:rPr>
                <w:rFonts w:ascii="宋体" w:hAnsi="宋体" w:eastAsia="宋体" w:cs="宋体"/>
                <w:b w:val="0"/>
              </w:rPr>
              <w:t>-</w:t>
            </w:r>
          </w:p>
        </w:tc>
      </w:tr>
      <w:tr w14:paraId="20ED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AED48A">
            <w:pPr>
              <w:spacing w:line="240" w:lineRule="auto"/>
              <w:jc w:val="left"/>
            </w:pPr>
            <w:r>
              <w:rPr>
                <w:rFonts w:ascii="宋体" w:hAnsi="宋体" w:eastAsia="宋体" w:cs="宋体"/>
                <w:b w:val="0"/>
              </w:rPr>
              <w:t>应收申购款</w:t>
            </w:r>
          </w:p>
        </w:tc>
        <w:tc>
          <w:tcPr>
            <w:tcW w:w="0" w:type="dxa"/>
            <w:vAlign w:val="center"/>
          </w:tcPr>
          <w:p w14:paraId="66AACCF5">
            <w:pPr>
              <w:spacing w:line="240" w:lineRule="auto"/>
              <w:jc w:val="center"/>
            </w:pPr>
          </w:p>
        </w:tc>
        <w:tc>
          <w:tcPr>
            <w:tcW w:w="0" w:type="dxa"/>
            <w:vAlign w:val="center"/>
          </w:tcPr>
          <w:p w14:paraId="5508EB6D">
            <w:pPr>
              <w:spacing w:line="240" w:lineRule="auto"/>
              <w:jc w:val="right"/>
            </w:pPr>
            <w:r>
              <w:rPr>
                <w:rFonts w:ascii="宋体" w:hAnsi="宋体" w:eastAsia="宋体" w:cs="宋体"/>
                <w:b w:val="0"/>
              </w:rPr>
              <w:t>122,236.98</w:t>
            </w:r>
          </w:p>
        </w:tc>
      </w:tr>
      <w:tr w14:paraId="1B30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3FFADF">
            <w:pPr>
              <w:spacing w:line="240" w:lineRule="auto"/>
              <w:jc w:val="left"/>
            </w:pPr>
            <w:r>
              <w:rPr>
                <w:rFonts w:ascii="宋体" w:hAnsi="宋体" w:eastAsia="宋体" w:cs="宋体"/>
                <w:b w:val="0"/>
              </w:rPr>
              <w:t>递延所得税资产</w:t>
            </w:r>
          </w:p>
        </w:tc>
        <w:tc>
          <w:tcPr>
            <w:tcW w:w="0" w:type="dxa"/>
            <w:vAlign w:val="center"/>
          </w:tcPr>
          <w:p w14:paraId="7CCE963B">
            <w:pPr>
              <w:spacing w:line="240" w:lineRule="auto"/>
              <w:jc w:val="center"/>
            </w:pPr>
          </w:p>
        </w:tc>
        <w:tc>
          <w:tcPr>
            <w:tcW w:w="0" w:type="dxa"/>
            <w:vAlign w:val="center"/>
          </w:tcPr>
          <w:p w14:paraId="3E08F85B">
            <w:pPr>
              <w:spacing w:line="240" w:lineRule="auto"/>
              <w:jc w:val="right"/>
            </w:pPr>
            <w:r>
              <w:rPr>
                <w:rFonts w:ascii="宋体" w:hAnsi="宋体" w:eastAsia="宋体" w:cs="宋体"/>
                <w:b w:val="0"/>
              </w:rPr>
              <w:t>-</w:t>
            </w:r>
          </w:p>
        </w:tc>
      </w:tr>
      <w:tr w14:paraId="2B4A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80362A">
            <w:pPr>
              <w:spacing w:line="240" w:lineRule="auto"/>
              <w:jc w:val="left"/>
            </w:pPr>
            <w:r>
              <w:rPr>
                <w:rFonts w:ascii="宋体" w:hAnsi="宋体" w:eastAsia="宋体" w:cs="宋体"/>
                <w:b w:val="0"/>
              </w:rPr>
              <w:t>其他资产</w:t>
            </w:r>
          </w:p>
        </w:tc>
        <w:tc>
          <w:tcPr>
            <w:tcW w:w="0" w:type="dxa"/>
            <w:vAlign w:val="center"/>
          </w:tcPr>
          <w:p w14:paraId="0E671EF2">
            <w:pPr>
              <w:spacing w:line="240" w:lineRule="auto"/>
              <w:jc w:val="center"/>
            </w:pPr>
            <w:r>
              <w:rPr>
                <w:rFonts w:ascii="宋体" w:hAnsi="宋体" w:eastAsia="宋体" w:cs="宋体"/>
                <w:b w:val="0"/>
              </w:rPr>
              <w:t>6.4.7.5</w:t>
            </w:r>
          </w:p>
        </w:tc>
        <w:tc>
          <w:tcPr>
            <w:tcW w:w="0" w:type="dxa"/>
            <w:vAlign w:val="center"/>
          </w:tcPr>
          <w:p w14:paraId="734D403E">
            <w:pPr>
              <w:spacing w:line="240" w:lineRule="auto"/>
              <w:jc w:val="right"/>
            </w:pPr>
            <w:r>
              <w:rPr>
                <w:rFonts w:ascii="宋体" w:hAnsi="宋体" w:eastAsia="宋体" w:cs="宋体"/>
                <w:b w:val="0"/>
              </w:rPr>
              <w:t>-</w:t>
            </w:r>
          </w:p>
        </w:tc>
      </w:tr>
      <w:tr w14:paraId="6AED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84C74A">
            <w:pPr>
              <w:spacing w:line="240" w:lineRule="auto"/>
              <w:jc w:val="left"/>
            </w:pPr>
            <w:r>
              <w:rPr>
                <w:rFonts w:ascii="宋体" w:hAnsi="宋体" w:eastAsia="宋体" w:cs="宋体"/>
                <w:b w:val="0"/>
              </w:rPr>
              <w:t>资产总计</w:t>
            </w:r>
          </w:p>
        </w:tc>
        <w:tc>
          <w:tcPr>
            <w:tcW w:w="0" w:type="dxa"/>
            <w:vAlign w:val="center"/>
          </w:tcPr>
          <w:p w14:paraId="0381548A">
            <w:pPr>
              <w:spacing w:line="240" w:lineRule="auto"/>
              <w:jc w:val="center"/>
            </w:pPr>
          </w:p>
        </w:tc>
        <w:tc>
          <w:tcPr>
            <w:tcW w:w="0" w:type="dxa"/>
            <w:vAlign w:val="center"/>
          </w:tcPr>
          <w:p w14:paraId="0286E916">
            <w:pPr>
              <w:spacing w:line="240" w:lineRule="auto"/>
              <w:jc w:val="right"/>
            </w:pPr>
            <w:r>
              <w:rPr>
                <w:rFonts w:ascii="宋体" w:hAnsi="宋体" w:eastAsia="宋体" w:cs="宋体"/>
                <w:b w:val="0"/>
              </w:rPr>
              <w:t>11,072,557.53</w:t>
            </w:r>
          </w:p>
        </w:tc>
      </w:tr>
      <w:tr w14:paraId="664B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6DD13D3A">
            <w:pPr>
              <w:spacing w:line="240" w:lineRule="auto"/>
              <w:jc w:val="center"/>
            </w:pPr>
            <w:r>
              <w:rPr>
                <w:rFonts w:ascii="宋体" w:hAnsi="宋体" w:eastAsia="宋体" w:cs="宋体"/>
                <w:b/>
              </w:rPr>
              <w:t>负债和净资产</w:t>
            </w:r>
          </w:p>
        </w:tc>
        <w:tc>
          <w:tcPr>
            <w:tcW w:w="0" w:type="dxa"/>
            <w:shd w:val="clear" w:color="auto" w:fill="D9D9D9"/>
            <w:vAlign w:val="center"/>
          </w:tcPr>
          <w:p w14:paraId="75F62364">
            <w:pPr>
              <w:spacing w:line="240" w:lineRule="auto"/>
              <w:jc w:val="center"/>
            </w:pPr>
            <w:r>
              <w:rPr>
                <w:rFonts w:ascii="宋体" w:hAnsi="宋体" w:eastAsia="宋体" w:cs="宋体"/>
                <w:b/>
              </w:rPr>
              <w:t>附注号</w:t>
            </w:r>
          </w:p>
        </w:tc>
        <w:tc>
          <w:tcPr>
            <w:tcW w:w="0" w:type="dxa"/>
            <w:shd w:val="clear" w:color="auto" w:fill="D9D9D9"/>
            <w:vAlign w:val="center"/>
          </w:tcPr>
          <w:p w14:paraId="068287F7">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r>
      <w:tr w14:paraId="199C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D14601">
            <w:pPr>
              <w:spacing w:line="240" w:lineRule="auto"/>
              <w:jc w:val="left"/>
            </w:pPr>
            <w:r>
              <w:rPr>
                <w:rFonts w:ascii="宋体" w:hAnsi="宋体" w:eastAsia="宋体" w:cs="宋体"/>
                <w:b/>
              </w:rPr>
              <w:t>负 债：</w:t>
            </w:r>
          </w:p>
        </w:tc>
        <w:tc>
          <w:tcPr>
            <w:tcW w:w="0" w:type="dxa"/>
            <w:vAlign w:val="center"/>
          </w:tcPr>
          <w:p w14:paraId="0F6BA538">
            <w:pPr>
              <w:spacing w:line="240" w:lineRule="auto"/>
              <w:jc w:val="center"/>
            </w:pPr>
          </w:p>
        </w:tc>
        <w:tc>
          <w:tcPr>
            <w:tcW w:w="0" w:type="dxa"/>
            <w:vAlign w:val="center"/>
          </w:tcPr>
          <w:p w14:paraId="1A502D89">
            <w:pPr>
              <w:spacing w:line="240" w:lineRule="auto"/>
              <w:jc w:val="center"/>
            </w:pPr>
          </w:p>
        </w:tc>
      </w:tr>
      <w:tr w14:paraId="2581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00D447">
            <w:pPr>
              <w:spacing w:line="240" w:lineRule="auto"/>
              <w:jc w:val="left"/>
            </w:pPr>
            <w:r>
              <w:rPr>
                <w:rFonts w:ascii="宋体" w:hAnsi="宋体" w:eastAsia="宋体" w:cs="宋体"/>
                <w:b w:val="0"/>
              </w:rPr>
              <w:t>短期借款</w:t>
            </w:r>
          </w:p>
        </w:tc>
        <w:tc>
          <w:tcPr>
            <w:tcW w:w="0" w:type="dxa"/>
            <w:vAlign w:val="center"/>
          </w:tcPr>
          <w:p w14:paraId="433C8E35">
            <w:pPr>
              <w:spacing w:line="240" w:lineRule="auto"/>
              <w:jc w:val="center"/>
            </w:pPr>
          </w:p>
        </w:tc>
        <w:tc>
          <w:tcPr>
            <w:tcW w:w="0" w:type="dxa"/>
            <w:vAlign w:val="center"/>
          </w:tcPr>
          <w:p w14:paraId="4C7B1611">
            <w:pPr>
              <w:spacing w:line="240" w:lineRule="auto"/>
              <w:jc w:val="right"/>
            </w:pPr>
            <w:r>
              <w:rPr>
                <w:rFonts w:ascii="宋体" w:hAnsi="宋体" w:eastAsia="宋体" w:cs="宋体"/>
                <w:b w:val="0"/>
              </w:rPr>
              <w:t>-</w:t>
            </w:r>
          </w:p>
        </w:tc>
      </w:tr>
      <w:tr w14:paraId="48EF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74556F">
            <w:pPr>
              <w:spacing w:line="240" w:lineRule="auto"/>
              <w:jc w:val="left"/>
            </w:pPr>
            <w:r>
              <w:rPr>
                <w:rFonts w:ascii="宋体" w:hAnsi="宋体" w:eastAsia="宋体" w:cs="宋体"/>
                <w:b w:val="0"/>
              </w:rPr>
              <w:t>交易性金融负债</w:t>
            </w:r>
          </w:p>
        </w:tc>
        <w:tc>
          <w:tcPr>
            <w:tcW w:w="0" w:type="dxa"/>
            <w:vAlign w:val="center"/>
          </w:tcPr>
          <w:p w14:paraId="3CC8CD81">
            <w:pPr>
              <w:spacing w:line="240" w:lineRule="auto"/>
              <w:jc w:val="center"/>
            </w:pPr>
          </w:p>
        </w:tc>
        <w:tc>
          <w:tcPr>
            <w:tcW w:w="0" w:type="dxa"/>
            <w:vAlign w:val="center"/>
          </w:tcPr>
          <w:p w14:paraId="182B906E">
            <w:pPr>
              <w:spacing w:line="240" w:lineRule="auto"/>
              <w:jc w:val="right"/>
            </w:pPr>
            <w:r>
              <w:rPr>
                <w:rFonts w:ascii="宋体" w:hAnsi="宋体" w:eastAsia="宋体" w:cs="宋体"/>
                <w:b w:val="0"/>
              </w:rPr>
              <w:t>-</w:t>
            </w:r>
          </w:p>
        </w:tc>
      </w:tr>
      <w:tr w14:paraId="2597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43EA2D">
            <w:pPr>
              <w:spacing w:line="240" w:lineRule="auto"/>
              <w:jc w:val="left"/>
            </w:pPr>
            <w:r>
              <w:rPr>
                <w:rFonts w:ascii="宋体" w:hAnsi="宋体" w:eastAsia="宋体" w:cs="宋体"/>
                <w:b w:val="0"/>
              </w:rPr>
              <w:t>衍生金融负债</w:t>
            </w:r>
          </w:p>
        </w:tc>
        <w:tc>
          <w:tcPr>
            <w:tcW w:w="0" w:type="dxa"/>
            <w:vAlign w:val="center"/>
          </w:tcPr>
          <w:p w14:paraId="368296C3">
            <w:pPr>
              <w:spacing w:line="240" w:lineRule="auto"/>
              <w:jc w:val="center"/>
            </w:pPr>
            <w:r>
              <w:rPr>
                <w:rFonts w:ascii="宋体" w:hAnsi="宋体" w:eastAsia="宋体" w:cs="宋体"/>
                <w:b w:val="0"/>
              </w:rPr>
              <w:t>6.4.7.3</w:t>
            </w:r>
          </w:p>
        </w:tc>
        <w:tc>
          <w:tcPr>
            <w:tcW w:w="0" w:type="dxa"/>
            <w:vAlign w:val="center"/>
          </w:tcPr>
          <w:p w14:paraId="0E2BA856">
            <w:pPr>
              <w:spacing w:line="240" w:lineRule="auto"/>
              <w:jc w:val="right"/>
            </w:pPr>
            <w:r>
              <w:rPr>
                <w:rFonts w:ascii="宋体" w:hAnsi="宋体" w:eastAsia="宋体" w:cs="宋体"/>
                <w:b w:val="0"/>
              </w:rPr>
              <w:t>-</w:t>
            </w:r>
          </w:p>
        </w:tc>
      </w:tr>
      <w:tr w14:paraId="29F3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AC9882">
            <w:pPr>
              <w:spacing w:line="240" w:lineRule="auto"/>
              <w:jc w:val="left"/>
            </w:pPr>
            <w:r>
              <w:rPr>
                <w:rFonts w:ascii="宋体" w:hAnsi="宋体" w:eastAsia="宋体" w:cs="宋体"/>
                <w:b w:val="0"/>
              </w:rPr>
              <w:t>卖出回购金融资产款</w:t>
            </w:r>
          </w:p>
        </w:tc>
        <w:tc>
          <w:tcPr>
            <w:tcW w:w="0" w:type="dxa"/>
            <w:vAlign w:val="center"/>
          </w:tcPr>
          <w:p w14:paraId="32421CF0">
            <w:pPr>
              <w:spacing w:line="240" w:lineRule="auto"/>
              <w:jc w:val="center"/>
            </w:pPr>
          </w:p>
        </w:tc>
        <w:tc>
          <w:tcPr>
            <w:tcW w:w="0" w:type="dxa"/>
            <w:vAlign w:val="center"/>
          </w:tcPr>
          <w:p w14:paraId="260DE197">
            <w:pPr>
              <w:spacing w:line="240" w:lineRule="auto"/>
              <w:jc w:val="right"/>
            </w:pPr>
            <w:r>
              <w:rPr>
                <w:rFonts w:ascii="宋体" w:hAnsi="宋体" w:eastAsia="宋体" w:cs="宋体"/>
                <w:b w:val="0"/>
              </w:rPr>
              <w:t>-</w:t>
            </w:r>
          </w:p>
        </w:tc>
      </w:tr>
      <w:tr w14:paraId="0E57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8925BA">
            <w:pPr>
              <w:spacing w:line="240" w:lineRule="auto"/>
              <w:jc w:val="left"/>
            </w:pPr>
            <w:r>
              <w:rPr>
                <w:rFonts w:ascii="宋体" w:hAnsi="宋体" w:eastAsia="宋体" w:cs="宋体"/>
                <w:b w:val="0"/>
              </w:rPr>
              <w:t>应付清算款</w:t>
            </w:r>
          </w:p>
        </w:tc>
        <w:tc>
          <w:tcPr>
            <w:tcW w:w="0" w:type="dxa"/>
            <w:vAlign w:val="center"/>
          </w:tcPr>
          <w:p w14:paraId="33417E60">
            <w:pPr>
              <w:spacing w:line="240" w:lineRule="auto"/>
              <w:jc w:val="center"/>
            </w:pPr>
          </w:p>
        </w:tc>
        <w:tc>
          <w:tcPr>
            <w:tcW w:w="0" w:type="dxa"/>
            <w:vAlign w:val="center"/>
          </w:tcPr>
          <w:p w14:paraId="14AC05BA">
            <w:pPr>
              <w:spacing w:line="240" w:lineRule="auto"/>
              <w:jc w:val="right"/>
            </w:pPr>
            <w:r>
              <w:rPr>
                <w:rFonts w:ascii="宋体" w:hAnsi="宋体" w:eastAsia="宋体" w:cs="宋体"/>
                <w:b w:val="0"/>
              </w:rPr>
              <w:t>-</w:t>
            </w:r>
          </w:p>
        </w:tc>
      </w:tr>
      <w:tr w14:paraId="2E3C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D39DF7">
            <w:pPr>
              <w:spacing w:line="240" w:lineRule="auto"/>
              <w:jc w:val="left"/>
            </w:pPr>
            <w:r>
              <w:rPr>
                <w:rFonts w:ascii="宋体" w:hAnsi="宋体" w:eastAsia="宋体" w:cs="宋体"/>
                <w:b w:val="0"/>
              </w:rPr>
              <w:t>应付赎回款</w:t>
            </w:r>
          </w:p>
        </w:tc>
        <w:tc>
          <w:tcPr>
            <w:tcW w:w="0" w:type="dxa"/>
            <w:vAlign w:val="center"/>
          </w:tcPr>
          <w:p w14:paraId="17450DDC">
            <w:pPr>
              <w:spacing w:line="240" w:lineRule="auto"/>
              <w:jc w:val="center"/>
            </w:pPr>
          </w:p>
        </w:tc>
        <w:tc>
          <w:tcPr>
            <w:tcW w:w="0" w:type="dxa"/>
            <w:vAlign w:val="center"/>
          </w:tcPr>
          <w:p w14:paraId="6209FDF5">
            <w:pPr>
              <w:spacing w:line="240" w:lineRule="auto"/>
              <w:jc w:val="right"/>
            </w:pPr>
            <w:r>
              <w:rPr>
                <w:rFonts w:ascii="宋体" w:hAnsi="宋体" w:eastAsia="宋体" w:cs="宋体"/>
                <w:b w:val="0"/>
              </w:rPr>
              <w:t>207.16</w:t>
            </w:r>
          </w:p>
        </w:tc>
      </w:tr>
      <w:tr w14:paraId="471D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4F6512">
            <w:pPr>
              <w:spacing w:line="240" w:lineRule="auto"/>
              <w:jc w:val="left"/>
            </w:pPr>
            <w:r>
              <w:rPr>
                <w:rFonts w:ascii="宋体" w:hAnsi="宋体" w:eastAsia="宋体" w:cs="宋体"/>
                <w:b w:val="0"/>
              </w:rPr>
              <w:t>应付管理人报酬</w:t>
            </w:r>
          </w:p>
        </w:tc>
        <w:tc>
          <w:tcPr>
            <w:tcW w:w="0" w:type="dxa"/>
            <w:vAlign w:val="center"/>
          </w:tcPr>
          <w:p w14:paraId="7E34CFBE">
            <w:pPr>
              <w:spacing w:line="240" w:lineRule="auto"/>
              <w:jc w:val="center"/>
            </w:pPr>
          </w:p>
        </w:tc>
        <w:tc>
          <w:tcPr>
            <w:tcW w:w="0" w:type="dxa"/>
            <w:vAlign w:val="center"/>
          </w:tcPr>
          <w:p w14:paraId="542424F7">
            <w:pPr>
              <w:spacing w:line="240" w:lineRule="auto"/>
              <w:jc w:val="right"/>
            </w:pPr>
            <w:r>
              <w:rPr>
                <w:rFonts w:ascii="宋体" w:hAnsi="宋体" w:eastAsia="宋体" w:cs="宋体"/>
                <w:b w:val="0"/>
              </w:rPr>
              <w:t>4,863.33</w:t>
            </w:r>
          </w:p>
        </w:tc>
      </w:tr>
      <w:tr w14:paraId="7572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5C5E20">
            <w:pPr>
              <w:spacing w:line="240" w:lineRule="auto"/>
              <w:jc w:val="left"/>
            </w:pPr>
            <w:r>
              <w:rPr>
                <w:rFonts w:ascii="宋体" w:hAnsi="宋体" w:eastAsia="宋体" w:cs="宋体"/>
                <w:b w:val="0"/>
              </w:rPr>
              <w:t>应付托管费</w:t>
            </w:r>
          </w:p>
        </w:tc>
        <w:tc>
          <w:tcPr>
            <w:tcW w:w="0" w:type="dxa"/>
            <w:vAlign w:val="center"/>
          </w:tcPr>
          <w:p w14:paraId="475F7484">
            <w:pPr>
              <w:spacing w:line="240" w:lineRule="auto"/>
              <w:jc w:val="center"/>
            </w:pPr>
          </w:p>
        </w:tc>
        <w:tc>
          <w:tcPr>
            <w:tcW w:w="0" w:type="dxa"/>
            <w:vAlign w:val="center"/>
          </w:tcPr>
          <w:p w14:paraId="529EB8D4">
            <w:pPr>
              <w:spacing w:line="240" w:lineRule="auto"/>
              <w:jc w:val="right"/>
            </w:pPr>
            <w:r>
              <w:rPr>
                <w:rFonts w:ascii="宋体" w:hAnsi="宋体" w:eastAsia="宋体" w:cs="宋体"/>
                <w:b w:val="0"/>
              </w:rPr>
              <w:t>810.58</w:t>
            </w:r>
          </w:p>
        </w:tc>
      </w:tr>
      <w:tr w14:paraId="61D3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ABDF19">
            <w:pPr>
              <w:spacing w:line="240" w:lineRule="auto"/>
              <w:jc w:val="left"/>
            </w:pPr>
            <w:r>
              <w:rPr>
                <w:rFonts w:ascii="宋体" w:hAnsi="宋体" w:eastAsia="宋体" w:cs="宋体"/>
                <w:b w:val="0"/>
              </w:rPr>
              <w:t>应付销售服务费</w:t>
            </w:r>
          </w:p>
        </w:tc>
        <w:tc>
          <w:tcPr>
            <w:tcW w:w="0" w:type="dxa"/>
            <w:vAlign w:val="center"/>
          </w:tcPr>
          <w:p w14:paraId="327D2235">
            <w:pPr>
              <w:spacing w:line="240" w:lineRule="auto"/>
              <w:jc w:val="center"/>
            </w:pPr>
          </w:p>
        </w:tc>
        <w:tc>
          <w:tcPr>
            <w:tcW w:w="0" w:type="dxa"/>
            <w:vAlign w:val="center"/>
          </w:tcPr>
          <w:p w14:paraId="3C2C6640">
            <w:pPr>
              <w:spacing w:line="240" w:lineRule="auto"/>
              <w:jc w:val="right"/>
            </w:pPr>
            <w:r>
              <w:rPr>
                <w:rFonts w:ascii="宋体" w:hAnsi="宋体" w:eastAsia="宋体" w:cs="宋体"/>
                <w:b w:val="0"/>
              </w:rPr>
              <w:t>27.23</w:t>
            </w:r>
          </w:p>
        </w:tc>
      </w:tr>
      <w:tr w14:paraId="4ABC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AFE499">
            <w:pPr>
              <w:spacing w:line="240" w:lineRule="auto"/>
              <w:jc w:val="left"/>
            </w:pPr>
            <w:r>
              <w:rPr>
                <w:rFonts w:ascii="宋体" w:hAnsi="宋体" w:eastAsia="宋体" w:cs="宋体"/>
                <w:b w:val="0"/>
              </w:rPr>
              <w:t>应付投资顾问费</w:t>
            </w:r>
          </w:p>
        </w:tc>
        <w:tc>
          <w:tcPr>
            <w:tcW w:w="0" w:type="dxa"/>
            <w:vAlign w:val="center"/>
          </w:tcPr>
          <w:p w14:paraId="1D0638C9">
            <w:pPr>
              <w:spacing w:line="240" w:lineRule="auto"/>
              <w:jc w:val="center"/>
            </w:pPr>
          </w:p>
        </w:tc>
        <w:tc>
          <w:tcPr>
            <w:tcW w:w="0" w:type="dxa"/>
            <w:vAlign w:val="center"/>
          </w:tcPr>
          <w:p w14:paraId="6F2C7846">
            <w:pPr>
              <w:spacing w:line="240" w:lineRule="auto"/>
              <w:jc w:val="right"/>
            </w:pPr>
            <w:r>
              <w:rPr>
                <w:rFonts w:ascii="宋体" w:hAnsi="宋体" w:eastAsia="宋体" w:cs="宋体"/>
                <w:b w:val="0"/>
              </w:rPr>
              <w:t>-</w:t>
            </w:r>
          </w:p>
        </w:tc>
      </w:tr>
      <w:tr w14:paraId="5662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3ADF36">
            <w:pPr>
              <w:spacing w:line="240" w:lineRule="auto"/>
              <w:jc w:val="left"/>
            </w:pPr>
            <w:r>
              <w:rPr>
                <w:rFonts w:ascii="宋体" w:hAnsi="宋体" w:eastAsia="宋体" w:cs="宋体"/>
                <w:b w:val="0"/>
              </w:rPr>
              <w:t>应交税费</w:t>
            </w:r>
          </w:p>
        </w:tc>
        <w:tc>
          <w:tcPr>
            <w:tcW w:w="0" w:type="dxa"/>
            <w:vAlign w:val="center"/>
          </w:tcPr>
          <w:p w14:paraId="318CC35B">
            <w:pPr>
              <w:spacing w:line="240" w:lineRule="auto"/>
              <w:jc w:val="center"/>
            </w:pPr>
          </w:p>
        </w:tc>
        <w:tc>
          <w:tcPr>
            <w:tcW w:w="0" w:type="dxa"/>
            <w:vAlign w:val="center"/>
          </w:tcPr>
          <w:p w14:paraId="2C215A99">
            <w:pPr>
              <w:spacing w:line="240" w:lineRule="auto"/>
              <w:jc w:val="right"/>
            </w:pPr>
            <w:r>
              <w:rPr>
                <w:rFonts w:ascii="宋体" w:hAnsi="宋体" w:eastAsia="宋体" w:cs="宋体"/>
                <w:b w:val="0"/>
              </w:rPr>
              <w:t>154.81</w:t>
            </w:r>
          </w:p>
        </w:tc>
      </w:tr>
      <w:tr w14:paraId="70F4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213C48">
            <w:pPr>
              <w:spacing w:line="240" w:lineRule="auto"/>
              <w:jc w:val="left"/>
            </w:pPr>
            <w:r>
              <w:rPr>
                <w:rFonts w:ascii="宋体" w:hAnsi="宋体" w:eastAsia="宋体" w:cs="宋体"/>
                <w:b w:val="0"/>
              </w:rPr>
              <w:t>应付利润</w:t>
            </w:r>
          </w:p>
        </w:tc>
        <w:tc>
          <w:tcPr>
            <w:tcW w:w="0" w:type="dxa"/>
            <w:vAlign w:val="center"/>
          </w:tcPr>
          <w:p w14:paraId="0E347846">
            <w:pPr>
              <w:spacing w:line="240" w:lineRule="auto"/>
              <w:jc w:val="center"/>
            </w:pPr>
          </w:p>
        </w:tc>
        <w:tc>
          <w:tcPr>
            <w:tcW w:w="0" w:type="dxa"/>
            <w:vAlign w:val="center"/>
          </w:tcPr>
          <w:p w14:paraId="1EFAFEF0">
            <w:pPr>
              <w:spacing w:line="240" w:lineRule="auto"/>
              <w:jc w:val="right"/>
            </w:pPr>
            <w:r>
              <w:rPr>
                <w:rFonts w:ascii="宋体" w:hAnsi="宋体" w:eastAsia="宋体" w:cs="宋体"/>
                <w:b w:val="0"/>
              </w:rPr>
              <w:t>-</w:t>
            </w:r>
          </w:p>
        </w:tc>
      </w:tr>
      <w:tr w14:paraId="52C4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A84D51">
            <w:pPr>
              <w:spacing w:line="240" w:lineRule="auto"/>
              <w:jc w:val="left"/>
            </w:pPr>
            <w:r>
              <w:rPr>
                <w:rFonts w:ascii="宋体" w:hAnsi="宋体" w:eastAsia="宋体" w:cs="宋体"/>
                <w:b w:val="0"/>
              </w:rPr>
              <w:t>递延所得税负债</w:t>
            </w:r>
          </w:p>
        </w:tc>
        <w:tc>
          <w:tcPr>
            <w:tcW w:w="0" w:type="dxa"/>
            <w:vAlign w:val="center"/>
          </w:tcPr>
          <w:p w14:paraId="70FCEDCD">
            <w:pPr>
              <w:spacing w:line="240" w:lineRule="auto"/>
              <w:jc w:val="center"/>
            </w:pPr>
          </w:p>
        </w:tc>
        <w:tc>
          <w:tcPr>
            <w:tcW w:w="0" w:type="dxa"/>
            <w:vAlign w:val="center"/>
          </w:tcPr>
          <w:p w14:paraId="0F608D56">
            <w:pPr>
              <w:spacing w:line="240" w:lineRule="auto"/>
              <w:jc w:val="right"/>
            </w:pPr>
            <w:r>
              <w:rPr>
                <w:rFonts w:ascii="宋体" w:hAnsi="宋体" w:eastAsia="宋体" w:cs="宋体"/>
                <w:b w:val="0"/>
              </w:rPr>
              <w:t>-</w:t>
            </w:r>
          </w:p>
        </w:tc>
      </w:tr>
      <w:tr w14:paraId="58AF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6249BE">
            <w:pPr>
              <w:spacing w:line="240" w:lineRule="auto"/>
              <w:jc w:val="left"/>
            </w:pPr>
            <w:r>
              <w:rPr>
                <w:rFonts w:ascii="宋体" w:hAnsi="宋体" w:eastAsia="宋体" w:cs="宋体"/>
                <w:b w:val="0"/>
              </w:rPr>
              <w:t>其他负债</w:t>
            </w:r>
          </w:p>
        </w:tc>
        <w:tc>
          <w:tcPr>
            <w:tcW w:w="0" w:type="dxa"/>
            <w:vAlign w:val="center"/>
          </w:tcPr>
          <w:p w14:paraId="1DC61F14">
            <w:pPr>
              <w:spacing w:line="240" w:lineRule="auto"/>
              <w:jc w:val="center"/>
            </w:pPr>
            <w:r>
              <w:rPr>
                <w:rFonts w:ascii="宋体" w:hAnsi="宋体" w:eastAsia="宋体" w:cs="宋体"/>
                <w:b w:val="0"/>
              </w:rPr>
              <w:t>6.4.7.6</w:t>
            </w:r>
          </w:p>
        </w:tc>
        <w:tc>
          <w:tcPr>
            <w:tcW w:w="0" w:type="dxa"/>
            <w:vAlign w:val="center"/>
          </w:tcPr>
          <w:p w14:paraId="16B4F1D9">
            <w:pPr>
              <w:spacing w:line="240" w:lineRule="auto"/>
              <w:jc w:val="right"/>
            </w:pPr>
            <w:r>
              <w:rPr>
                <w:rFonts w:ascii="宋体" w:hAnsi="宋体" w:eastAsia="宋体" w:cs="宋体"/>
                <w:b w:val="0"/>
              </w:rPr>
              <w:t>7,488.09</w:t>
            </w:r>
          </w:p>
        </w:tc>
      </w:tr>
      <w:tr w14:paraId="7608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75597B">
            <w:pPr>
              <w:spacing w:line="240" w:lineRule="auto"/>
              <w:jc w:val="left"/>
            </w:pPr>
            <w:r>
              <w:rPr>
                <w:rFonts w:ascii="宋体" w:hAnsi="宋体" w:eastAsia="宋体" w:cs="宋体"/>
                <w:b w:val="0"/>
              </w:rPr>
              <w:t>负债合计</w:t>
            </w:r>
          </w:p>
        </w:tc>
        <w:tc>
          <w:tcPr>
            <w:tcW w:w="0" w:type="dxa"/>
            <w:vAlign w:val="center"/>
          </w:tcPr>
          <w:p w14:paraId="5204742C">
            <w:pPr>
              <w:spacing w:line="240" w:lineRule="auto"/>
              <w:jc w:val="center"/>
            </w:pPr>
          </w:p>
        </w:tc>
        <w:tc>
          <w:tcPr>
            <w:tcW w:w="0" w:type="dxa"/>
            <w:vAlign w:val="center"/>
          </w:tcPr>
          <w:p w14:paraId="3A1B7E8C">
            <w:pPr>
              <w:spacing w:line="240" w:lineRule="auto"/>
              <w:jc w:val="right"/>
            </w:pPr>
            <w:r>
              <w:rPr>
                <w:rFonts w:ascii="宋体" w:hAnsi="宋体" w:eastAsia="宋体" w:cs="宋体"/>
                <w:b w:val="0"/>
              </w:rPr>
              <w:t>13,551.20</w:t>
            </w:r>
          </w:p>
        </w:tc>
      </w:tr>
      <w:tr w14:paraId="10AC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E05108">
            <w:pPr>
              <w:spacing w:line="240" w:lineRule="auto"/>
              <w:jc w:val="left"/>
            </w:pPr>
            <w:r>
              <w:rPr>
                <w:rFonts w:ascii="宋体" w:hAnsi="宋体" w:eastAsia="宋体" w:cs="宋体"/>
                <w:b/>
              </w:rPr>
              <w:t>净资产：</w:t>
            </w:r>
          </w:p>
        </w:tc>
        <w:tc>
          <w:tcPr>
            <w:tcW w:w="0" w:type="dxa"/>
            <w:vAlign w:val="center"/>
          </w:tcPr>
          <w:p w14:paraId="494E5122">
            <w:pPr>
              <w:spacing w:line="240" w:lineRule="auto"/>
              <w:jc w:val="center"/>
            </w:pPr>
          </w:p>
        </w:tc>
        <w:tc>
          <w:tcPr>
            <w:tcW w:w="0" w:type="dxa"/>
            <w:vAlign w:val="center"/>
          </w:tcPr>
          <w:p w14:paraId="13BF4B2F">
            <w:pPr>
              <w:spacing w:line="240" w:lineRule="auto"/>
              <w:jc w:val="center"/>
            </w:pPr>
          </w:p>
        </w:tc>
      </w:tr>
      <w:tr w14:paraId="53AA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9B6ECF">
            <w:pPr>
              <w:spacing w:line="240" w:lineRule="auto"/>
              <w:jc w:val="left"/>
            </w:pPr>
            <w:r>
              <w:rPr>
                <w:rFonts w:ascii="宋体" w:hAnsi="宋体" w:eastAsia="宋体" w:cs="宋体"/>
                <w:b w:val="0"/>
              </w:rPr>
              <w:t>实收基金</w:t>
            </w:r>
          </w:p>
        </w:tc>
        <w:tc>
          <w:tcPr>
            <w:tcW w:w="0" w:type="dxa"/>
            <w:vAlign w:val="center"/>
          </w:tcPr>
          <w:p w14:paraId="0EBF711D">
            <w:pPr>
              <w:spacing w:line="240" w:lineRule="auto"/>
              <w:jc w:val="center"/>
            </w:pPr>
            <w:r>
              <w:rPr>
                <w:rFonts w:ascii="宋体" w:hAnsi="宋体" w:eastAsia="宋体" w:cs="宋体"/>
                <w:b w:val="0"/>
              </w:rPr>
              <w:t>6.4.7.7</w:t>
            </w:r>
          </w:p>
        </w:tc>
        <w:tc>
          <w:tcPr>
            <w:tcW w:w="0" w:type="dxa"/>
            <w:vAlign w:val="center"/>
          </w:tcPr>
          <w:p w14:paraId="53D33B10">
            <w:pPr>
              <w:spacing w:line="240" w:lineRule="auto"/>
              <w:jc w:val="right"/>
            </w:pPr>
            <w:r>
              <w:rPr>
                <w:rFonts w:ascii="宋体" w:hAnsi="宋体" w:eastAsia="宋体" w:cs="宋体"/>
                <w:b w:val="0"/>
              </w:rPr>
              <w:t>10,911,725.73</w:t>
            </w:r>
          </w:p>
        </w:tc>
      </w:tr>
      <w:tr w14:paraId="1BA7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1FB459">
            <w:pPr>
              <w:spacing w:line="240" w:lineRule="auto"/>
              <w:jc w:val="left"/>
            </w:pPr>
            <w:r>
              <w:rPr>
                <w:rFonts w:ascii="宋体" w:hAnsi="宋体" w:eastAsia="宋体" w:cs="宋体"/>
                <w:b w:val="0"/>
              </w:rPr>
              <w:t>未分配利润</w:t>
            </w:r>
          </w:p>
        </w:tc>
        <w:tc>
          <w:tcPr>
            <w:tcW w:w="0" w:type="dxa"/>
            <w:vAlign w:val="center"/>
          </w:tcPr>
          <w:p w14:paraId="1FC290A2">
            <w:pPr>
              <w:spacing w:line="240" w:lineRule="auto"/>
              <w:jc w:val="center"/>
            </w:pPr>
            <w:r>
              <w:rPr>
                <w:rFonts w:ascii="宋体" w:hAnsi="宋体" w:eastAsia="宋体" w:cs="宋体"/>
                <w:b w:val="0"/>
              </w:rPr>
              <w:t>6.4.7.8</w:t>
            </w:r>
          </w:p>
        </w:tc>
        <w:tc>
          <w:tcPr>
            <w:tcW w:w="0" w:type="dxa"/>
            <w:vAlign w:val="center"/>
          </w:tcPr>
          <w:p w14:paraId="0E29C84F">
            <w:pPr>
              <w:spacing w:line="240" w:lineRule="auto"/>
              <w:jc w:val="right"/>
            </w:pPr>
            <w:r>
              <w:rPr>
                <w:rFonts w:ascii="宋体" w:hAnsi="宋体" w:eastAsia="宋体" w:cs="宋体"/>
                <w:b w:val="0"/>
              </w:rPr>
              <w:t>147,280.60</w:t>
            </w:r>
          </w:p>
        </w:tc>
      </w:tr>
      <w:tr w14:paraId="542A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B74A08">
            <w:pPr>
              <w:spacing w:line="240" w:lineRule="auto"/>
              <w:jc w:val="left"/>
            </w:pPr>
            <w:r>
              <w:rPr>
                <w:rFonts w:ascii="宋体" w:hAnsi="宋体" w:eastAsia="宋体" w:cs="宋体"/>
                <w:b w:val="0"/>
              </w:rPr>
              <w:t>净资产合计</w:t>
            </w:r>
          </w:p>
        </w:tc>
        <w:tc>
          <w:tcPr>
            <w:tcW w:w="0" w:type="dxa"/>
            <w:vAlign w:val="center"/>
          </w:tcPr>
          <w:p w14:paraId="1ACAF845">
            <w:pPr>
              <w:spacing w:line="240" w:lineRule="auto"/>
              <w:jc w:val="center"/>
            </w:pPr>
          </w:p>
        </w:tc>
        <w:tc>
          <w:tcPr>
            <w:tcW w:w="0" w:type="dxa"/>
            <w:vAlign w:val="center"/>
          </w:tcPr>
          <w:p w14:paraId="3458C5D1">
            <w:pPr>
              <w:spacing w:line="240" w:lineRule="auto"/>
              <w:jc w:val="right"/>
            </w:pPr>
            <w:r>
              <w:rPr>
                <w:rFonts w:ascii="宋体" w:hAnsi="宋体" w:eastAsia="宋体" w:cs="宋体"/>
                <w:b w:val="0"/>
              </w:rPr>
              <w:t>11,059,006.33</w:t>
            </w:r>
          </w:p>
        </w:tc>
      </w:tr>
      <w:tr w14:paraId="4AB5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F950E1">
            <w:pPr>
              <w:spacing w:line="240" w:lineRule="auto"/>
              <w:jc w:val="left"/>
            </w:pPr>
            <w:r>
              <w:rPr>
                <w:rFonts w:ascii="宋体" w:hAnsi="宋体" w:eastAsia="宋体" w:cs="宋体"/>
                <w:b w:val="0"/>
              </w:rPr>
              <w:t>负债和净资产总计</w:t>
            </w:r>
          </w:p>
        </w:tc>
        <w:tc>
          <w:tcPr>
            <w:tcW w:w="0" w:type="dxa"/>
            <w:vAlign w:val="center"/>
          </w:tcPr>
          <w:p w14:paraId="656BA6B5">
            <w:pPr>
              <w:spacing w:line="240" w:lineRule="auto"/>
              <w:jc w:val="center"/>
            </w:pPr>
          </w:p>
        </w:tc>
        <w:tc>
          <w:tcPr>
            <w:tcW w:w="0" w:type="dxa"/>
            <w:vAlign w:val="center"/>
          </w:tcPr>
          <w:p w14:paraId="48489082">
            <w:pPr>
              <w:spacing w:line="240" w:lineRule="auto"/>
              <w:jc w:val="right"/>
            </w:pPr>
            <w:r>
              <w:rPr>
                <w:rFonts w:ascii="宋体" w:hAnsi="宋体" w:eastAsia="宋体" w:cs="宋体"/>
                <w:b w:val="0"/>
              </w:rPr>
              <w:t>11,072,557.53</w:t>
            </w:r>
          </w:p>
        </w:tc>
      </w:tr>
    </w:tbl>
    <w:p w14:paraId="0D982EAD">
      <w:r>
        <w:rPr>
          <w:rFonts w:ascii="宋体" w:hAnsi="宋体" w:eastAsia="宋体" w:cs="宋体"/>
          <w:b w:val="0"/>
        </w:rPr>
        <w:t>注：1、报告截止日2026年06月30日，东方阿尔法增利债券发起A类基金份额净值1.0135元，东方阿尔法增利债券发起C类基金份额净值1.0134元，基金份额总额10,911,725.73份，其中东方阿尔法增利债券发起A类基金份额10,410,237.96份，东方阿尔法增利债券发起C类基金份额501,487.77份。</w:t>
      </w:r>
      <w:r>
        <w:rPr>
          <w:rFonts w:ascii="宋体" w:hAnsi="宋体" w:eastAsia="宋体" w:cs="宋体"/>
          <w:b w:val="0"/>
        </w:rPr>
        <w:br w:type="textWrapping"/>
      </w:r>
      <w:r>
        <w:rPr>
          <w:rFonts w:ascii="宋体" w:hAnsi="宋体" w:eastAsia="宋体" w:cs="宋体"/>
          <w:b w:val="0"/>
        </w:rPr>
        <w:t>2、本基金合同生效日为2026年06月02日，本报告期实际报告期间为2026年06月02日至2026年06月30日。截至报告期末本基金合同生效未满半年，本报告期的财务报表及报表附注均无同期对比数据。</w:t>
      </w:r>
    </w:p>
    <w:p w14:paraId="2B463531"/>
    <w:p w14:paraId="397FA2EA">
      <w:pPr>
        <w:pStyle w:val="3"/>
        <w:jc w:val="left"/>
      </w:pPr>
      <w:bookmarkStart w:id="28" w:name="_Toc14355"/>
      <w:r>
        <w:rPr>
          <w:rFonts w:ascii="宋体" w:hAnsi="宋体" w:eastAsia="宋体" w:cs="宋体"/>
        </w:rPr>
        <w:t>6.2 利润表</w:t>
      </w:r>
      <w:bookmarkEnd w:id="28"/>
    </w:p>
    <w:p w14:paraId="1D56177B">
      <w:pPr>
        <w:jc w:val="left"/>
      </w:pPr>
      <w:r>
        <w:rPr>
          <w:rFonts w:ascii="宋体" w:hAnsi="宋体" w:eastAsia="宋体" w:cs="宋体"/>
          <w:b w:val="0"/>
        </w:rPr>
        <w:t>会计主体：东方阿尔法增利债券型发起式证券投资基金</w:t>
      </w:r>
    </w:p>
    <w:p w14:paraId="15D64FEF">
      <w:pPr>
        <w:jc w:val="left"/>
      </w:pPr>
      <w:r>
        <w:rPr>
          <w:rFonts w:ascii="宋体" w:hAnsi="宋体" w:eastAsia="宋体" w:cs="宋体"/>
          <w:b w:val="0"/>
        </w:rPr>
        <w:t>本报告期：2026年06月02日（基金合同生效日）至2026年06月30日</w:t>
      </w:r>
    </w:p>
    <w:p w14:paraId="4DB5C85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1547"/>
        <w:gridCol w:w="3095"/>
      </w:tblGrid>
      <w:tr w14:paraId="0B1A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297339D3">
            <w:pPr>
              <w:spacing w:line="240" w:lineRule="auto"/>
              <w:jc w:val="center"/>
            </w:pPr>
            <w:r>
              <w:rPr>
                <w:rFonts w:ascii="宋体" w:hAnsi="宋体" w:eastAsia="宋体" w:cs="宋体"/>
                <w:b/>
              </w:rPr>
              <w:t>项 目</w:t>
            </w:r>
          </w:p>
        </w:tc>
        <w:tc>
          <w:tcPr>
            <w:tcW w:w="769" w:type="pct"/>
            <w:shd w:val="clear" w:color="auto" w:fill="D9D9D9"/>
            <w:vAlign w:val="center"/>
          </w:tcPr>
          <w:p w14:paraId="5A3D1CAD">
            <w:pPr>
              <w:spacing w:line="240" w:lineRule="auto"/>
              <w:jc w:val="center"/>
            </w:pPr>
            <w:r>
              <w:rPr>
                <w:rFonts w:ascii="宋体" w:hAnsi="宋体" w:eastAsia="宋体" w:cs="宋体"/>
                <w:b/>
              </w:rPr>
              <w:t>附注号</w:t>
            </w:r>
          </w:p>
        </w:tc>
        <w:tc>
          <w:tcPr>
            <w:tcW w:w="1538" w:type="pct"/>
            <w:shd w:val="clear" w:color="auto" w:fill="D9D9D9"/>
            <w:vAlign w:val="center"/>
          </w:tcPr>
          <w:p w14:paraId="21127544">
            <w:pPr>
              <w:spacing w:line="240" w:lineRule="auto"/>
              <w:jc w:val="center"/>
            </w:pPr>
            <w:r>
              <w:rPr>
                <w:rFonts w:ascii="宋体" w:hAnsi="宋体" w:eastAsia="宋体" w:cs="宋体"/>
                <w:b/>
              </w:rPr>
              <w:t>本期</w:t>
            </w:r>
            <w:r>
              <w:br w:type="textWrapping"/>
            </w:r>
            <w:r>
              <w:rPr>
                <w:rFonts w:ascii="宋体" w:hAnsi="宋体" w:eastAsia="宋体" w:cs="宋体"/>
                <w:b/>
              </w:rPr>
              <w:t>2026年06月02日（基金合同生效日）至2026年06月30日</w:t>
            </w:r>
          </w:p>
        </w:tc>
      </w:tr>
      <w:tr w14:paraId="2399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19A353">
            <w:pPr>
              <w:spacing w:line="240" w:lineRule="auto"/>
              <w:jc w:val="left"/>
            </w:pPr>
            <w:r>
              <w:rPr>
                <w:rFonts w:ascii="宋体" w:hAnsi="宋体" w:eastAsia="宋体" w:cs="宋体"/>
                <w:b/>
              </w:rPr>
              <w:t>一、营业总收入</w:t>
            </w:r>
          </w:p>
        </w:tc>
        <w:tc>
          <w:tcPr>
            <w:tcW w:w="0" w:type="dxa"/>
            <w:vAlign w:val="center"/>
          </w:tcPr>
          <w:p w14:paraId="79AE0446">
            <w:pPr>
              <w:spacing w:line="240" w:lineRule="auto"/>
              <w:jc w:val="center"/>
            </w:pPr>
          </w:p>
        </w:tc>
        <w:tc>
          <w:tcPr>
            <w:tcW w:w="0" w:type="dxa"/>
            <w:vAlign w:val="center"/>
          </w:tcPr>
          <w:p w14:paraId="4D68AF83">
            <w:pPr>
              <w:spacing w:line="240" w:lineRule="auto"/>
              <w:jc w:val="right"/>
            </w:pPr>
            <w:r>
              <w:rPr>
                <w:rFonts w:ascii="宋体" w:hAnsi="宋体" w:eastAsia="宋体" w:cs="宋体"/>
                <w:b w:val="0"/>
              </w:rPr>
              <w:t>156,432.72</w:t>
            </w:r>
          </w:p>
        </w:tc>
      </w:tr>
      <w:tr w14:paraId="3CC0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00FF44">
            <w:pPr>
              <w:spacing w:line="240" w:lineRule="auto"/>
              <w:jc w:val="left"/>
            </w:pPr>
            <w:r>
              <w:rPr>
                <w:rFonts w:ascii="宋体" w:hAnsi="宋体" w:eastAsia="宋体" w:cs="宋体"/>
                <w:b w:val="0"/>
              </w:rPr>
              <w:t>1.利息收入</w:t>
            </w:r>
          </w:p>
        </w:tc>
        <w:tc>
          <w:tcPr>
            <w:tcW w:w="0" w:type="dxa"/>
            <w:vAlign w:val="center"/>
          </w:tcPr>
          <w:p w14:paraId="5DB0C062">
            <w:pPr>
              <w:spacing w:line="240" w:lineRule="auto"/>
              <w:jc w:val="center"/>
            </w:pPr>
          </w:p>
        </w:tc>
        <w:tc>
          <w:tcPr>
            <w:tcW w:w="0" w:type="dxa"/>
            <w:vAlign w:val="center"/>
          </w:tcPr>
          <w:p w14:paraId="6EE1457B">
            <w:pPr>
              <w:spacing w:line="240" w:lineRule="auto"/>
              <w:jc w:val="right"/>
            </w:pPr>
            <w:r>
              <w:rPr>
                <w:rFonts w:ascii="宋体" w:hAnsi="宋体" w:eastAsia="宋体" w:cs="宋体"/>
                <w:b w:val="0"/>
              </w:rPr>
              <w:t>1,960.07</w:t>
            </w:r>
          </w:p>
        </w:tc>
      </w:tr>
      <w:tr w14:paraId="1DBF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F4C019">
            <w:pPr>
              <w:spacing w:line="240" w:lineRule="auto"/>
              <w:jc w:val="left"/>
            </w:pPr>
            <w:r>
              <w:rPr>
                <w:rFonts w:ascii="宋体" w:hAnsi="宋体" w:eastAsia="宋体" w:cs="宋体"/>
                <w:b w:val="0"/>
              </w:rPr>
              <w:t>其中：存款利息收入</w:t>
            </w:r>
          </w:p>
        </w:tc>
        <w:tc>
          <w:tcPr>
            <w:tcW w:w="0" w:type="dxa"/>
            <w:vAlign w:val="center"/>
          </w:tcPr>
          <w:p w14:paraId="3661484B">
            <w:pPr>
              <w:spacing w:line="240" w:lineRule="auto"/>
              <w:jc w:val="center"/>
            </w:pPr>
            <w:r>
              <w:rPr>
                <w:rFonts w:ascii="宋体" w:hAnsi="宋体" w:eastAsia="宋体" w:cs="宋体"/>
                <w:b w:val="0"/>
              </w:rPr>
              <w:t>6.4.7.9</w:t>
            </w:r>
          </w:p>
        </w:tc>
        <w:tc>
          <w:tcPr>
            <w:tcW w:w="0" w:type="dxa"/>
            <w:vAlign w:val="center"/>
          </w:tcPr>
          <w:p w14:paraId="1C0C2C66">
            <w:pPr>
              <w:spacing w:line="240" w:lineRule="auto"/>
              <w:jc w:val="right"/>
            </w:pPr>
            <w:r>
              <w:rPr>
                <w:rFonts w:ascii="宋体" w:hAnsi="宋体" w:eastAsia="宋体" w:cs="宋体"/>
                <w:b w:val="0"/>
              </w:rPr>
              <w:t>188.21</w:t>
            </w:r>
          </w:p>
        </w:tc>
      </w:tr>
      <w:tr w14:paraId="697D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79FC86">
            <w:pPr>
              <w:spacing w:line="240" w:lineRule="auto"/>
              <w:jc w:val="left"/>
            </w:pPr>
            <w:r>
              <w:rPr>
                <w:rFonts w:ascii="宋体" w:hAnsi="宋体" w:eastAsia="宋体" w:cs="宋体"/>
                <w:b w:val="0"/>
              </w:rPr>
              <w:t xml:space="preserve">      债券利息收入</w:t>
            </w:r>
          </w:p>
        </w:tc>
        <w:tc>
          <w:tcPr>
            <w:tcW w:w="0" w:type="dxa"/>
            <w:vAlign w:val="center"/>
          </w:tcPr>
          <w:p w14:paraId="52AA67AF">
            <w:pPr>
              <w:spacing w:line="240" w:lineRule="auto"/>
              <w:jc w:val="center"/>
            </w:pPr>
          </w:p>
        </w:tc>
        <w:tc>
          <w:tcPr>
            <w:tcW w:w="0" w:type="dxa"/>
            <w:vAlign w:val="center"/>
          </w:tcPr>
          <w:p w14:paraId="1193739A">
            <w:pPr>
              <w:spacing w:line="240" w:lineRule="auto"/>
              <w:jc w:val="right"/>
            </w:pPr>
            <w:r>
              <w:rPr>
                <w:rFonts w:ascii="宋体" w:hAnsi="宋体" w:eastAsia="宋体" w:cs="宋体"/>
                <w:b w:val="0"/>
              </w:rPr>
              <w:t>-</w:t>
            </w:r>
          </w:p>
        </w:tc>
      </w:tr>
      <w:tr w14:paraId="18F3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BF6C00">
            <w:pPr>
              <w:spacing w:line="240" w:lineRule="auto"/>
              <w:jc w:val="left"/>
            </w:pPr>
            <w:r>
              <w:rPr>
                <w:rFonts w:ascii="宋体" w:hAnsi="宋体" w:eastAsia="宋体" w:cs="宋体"/>
                <w:b w:val="0"/>
              </w:rPr>
              <w:t xml:space="preserve">      资产支持证券利息收入</w:t>
            </w:r>
          </w:p>
        </w:tc>
        <w:tc>
          <w:tcPr>
            <w:tcW w:w="0" w:type="dxa"/>
            <w:vAlign w:val="center"/>
          </w:tcPr>
          <w:p w14:paraId="2AA0101B">
            <w:pPr>
              <w:spacing w:line="240" w:lineRule="auto"/>
              <w:jc w:val="center"/>
            </w:pPr>
          </w:p>
        </w:tc>
        <w:tc>
          <w:tcPr>
            <w:tcW w:w="0" w:type="dxa"/>
            <w:vAlign w:val="center"/>
          </w:tcPr>
          <w:p w14:paraId="700F6F10">
            <w:pPr>
              <w:spacing w:line="240" w:lineRule="auto"/>
              <w:jc w:val="right"/>
            </w:pPr>
            <w:r>
              <w:rPr>
                <w:rFonts w:ascii="宋体" w:hAnsi="宋体" w:eastAsia="宋体" w:cs="宋体"/>
                <w:b w:val="0"/>
              </w:rPr>
              <w:t>-</w:t>
            </w:r>
          </w:p>
        </w:tc>
      </w:tr>
      <w:tr w14:paraId="44B4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19EAF3">
            <w:pPr>
              <w:spacing w:line="240" w:lineRule="auto"/>
              <w:jc w:val="left"/>
            </w:pPr>
            <w:r>
              <w:rPr>
                <w:rFonts w:ascii="宋体" w:hAnsi="宋体" w:eastAsia="宋体" w:cs="宋体"/>
                <w:b w:val="0"/>
              </w:rPr>
              <w:t xml:space="preserve">      买入返售金融资产收入</w:t>
            </w:r>
          </w:p>
        </w:tc>
        <w:tc>
          <w:tcPr>
            <w:tcW w:w="0" w:type="dxa"/>
            <w:vAlign w:val="center"/>
          </w:tcPr>
          <w:p w14:paraId="28732183">
            <w:pPr>
              <w:spacing w:line="240" w:lineRule="auto"/>
              <w:jc w:val="center"/>
            </w:pPr>
          </w:p>
        </w:tc>
        <w:tc>
          <w:tcPr>
            <w:tcW w:w="0" w:type="dxa"/>
            <w:vAlign w:val="center"/>
          </w:tcPr>
          <w:p w14:paraId="6A6EB280">
            <w:pPr>
              <w:spacing w:line="240" w:lineRule="auto"/>
              <w:jc w:val="right"/>
            </w:pPr>
            <w:r>
              <w:rPr>
                <w:rFonts w:ascii="宋体" w:hAnsi="宋体" w:eastAsia="宋体" w:cs="宋体"/>
                <w:b w:val="0"/>
              </w:rPr>
              <w:t>1,771.86</w:t>
            </w:r>
          </w:p>
        </w:tc>
      </w:tr>
      <w:tr w14:paraId="2E48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084456">
            <w:pPr>
              <w:spacing w:line="240" w:lineRule="auto"/>
              <w:jc w:val="left"/>
            </w:pPr>
            <w:r>
              <w:rPr>
                <w:rFonts w:ascii="宋体" w:hAnsi="宋体" w:eastAsia="宋体" w:cs="宋体"/>
                <w:b w:val="0"/>
              </w:rPr>
              <w:t xml:space="preserve">      其他利息收入</w:t>
            </w:r>
          </w:p>
        </w:tc>
        <w:tc>
          <w:tcPr>
            <w:tcW w:w="0" w:type="dxa"/>
            <w:vAlign w:val="center"/>
          </w:tcPr>
          <w:p w14:paraId="042F4F22">
            <w:pPr>
              <w:spacing w:line="240" w:lineRule="auto"/>
              <w:jc w:val="center"/>
            </w:pPr>
          </w:p>
        </w:tc>
        <w:tc>
          <w:tcPr>
            <w:tcW w:w="0" w:type="dxa"/>
            <w:vAlign w:val="center"/>
          </w:tcPr>
          <w:p w14:paraId="160EDDF9">
            <w:pPr>
              <w:spacing w:line="240" w:lineRule="auto"/>
              <w:jc w:val="right"/>
            </w:pPr>
            <w:r>
              <w:rPr>
                <w:rFonts w:ascii="宋体" w:hAnsi="宋体" w:eastAsia="宋体" w:cs="宋体"/>
                <w:b w:val="0"/>
              </w:rPr>
              <w:t>-</w:t>
            </w:r>
          </w:p>
        </w:tc>
      </w:tr>
      <w:tr w14:paraId="6044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9CB482">
            <w:pPr>
              <w:spacing w:line="240" w:lineRule="auto"/>
              <w:jc w:val="left"/>
            </w:pPr>
            <w:r>
              <w:rPr>
                <w:rFonts w:ascii="宋体" w:hAnsi="宋体" w:eastAsia="宋体" w:cs="宋体"/>
                <w:b w:val="0"/>
              </w:rPr>
              <w:t>2.投资收益（损失以“-”填列）</w:t>
            </w:r>
          </w:p>
        </w:tc>
        <w:tc>
          <w:tcPr>
            <w:tcW w:w="0" w:type="dxa"/>
            <w:vAlign w:val="center"/>
          </w:tcPr>
          <w:p w14:paraId="76002290">
            <w:pPr>
              <w:spacing w:line="240" w:lineRule="auto"/>
              <w:jc w:val="center"/>
            </w:pPr>
          </w:p>
        </w:tc>
        <w:tc>
          <w:tcPr>
            <w:tcW w:w="0" w:type="dxa"/>
            <w:vAlign w:val="center"/>
          </w:tcPr>
          <w:p w14:paraId="27585E35">
            <w:pPr>
              <w:spacing w:line="240" w:lineRule="auto"/>
              <w:jc w:val="right"/>
            </w:pPr>
            <w:r>
              <w:rPr>
                <w:rFonts w:ascii="宋体" w:hAnsi="宋体" w:eastAsia="宋体" w:cs="宋体"/>
                <w:b w:val="0"/>
              </w:rPr>
              <w:t>2,610.79</w:t>
            </w:r>
          </w:p>
        </w:tc>
      </w:tr>
      <w:tr w14:paraId="07DF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5EC784">
            <w:pPr>
              <w:spacing w:line="240" w:lineRule="auto"/>
              <w:jc w:val="left"/>
            </w:pPr>
            <w:r>
              <w:rPr>
                <w:rFonts w:ascii="宋体" w:hAnsi="宋体" w:eastAsia="宋体" w:cs="宋体"/>
                <w:b w:val="0"/>
              </w:rPr>
              <w:t>其中：股票投资收益</w:t>
            </w:r>
          </w:p>
        </w:tc>
        <w:tc>
          <w:tcPr>
            <w:tcW w:w="0" w:type="dxa"/>
            <w:vAlign w:val="center"/>
          </w:tcPr>
          <w:p w14:paraId="2043E496">
            <w:pPr>
              <w:spacing w:line="240" w:lineRule="auto"/>
              <w:jc w:val="center"/>
            </w:pPr>
            <w:r>
              <w:rPr>
                <w:rFonts w:ascii="宋体" w:hAnsi="宋体" w:eastAsia="宋体" w:cs="宋体"/>
                <w:b w:val="0"/>
              </w:rPr>
              <w:t>6.4.7.10</w:t>
            </w:r>
          </w:p>
        </w:tc>
        <w:tc>
          <w:tcPr>
            <w:tcW w:w="0" w:type="dxa"/>
            <w:vAlign w:val="center"/>
          </w:tcPr>
          <w:p w14:paraId="6149F49F">
            <w:pPr>
              <w:spacing w:line="240" w:lineRule="auto"/>
              <w:jc w:val="right"/>
            </w:pPr>
            <w:r>
              <w:rPr>
                <w:rFonts w:ascii="宋体" w:hAnsi="宋体" w:eastAsia="宋体" w:cs="宋体"/>
                <w:b w:val="0"/>
              </w:rPr>
              <w:t>-9,395.36</w:t>
            </w:r>
          </w:p>
        </w:tc>
      </w:tr>
      <w:tr w14:paraId="736E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CF8610">
            <w:pPr>
              <w:spacing w:line="240" w:lineRule="auto"/>
              <w:jc w:val="left"/>
            </w:pPr>
            <w:r>
              <w:rPr>
                <w:rFonts w:ascii="宋体" w:hAnsi="宋体" w:eastAsia="宋体" w:cs="宋体"/>
                <w:b w:val="0"/>
              </w:rPr>
              <w:t xml:space="preserve">      基金投资收益</w:t>
            </w:r>
          </w:p>
        </w:tc>
        <w:tc>
          <w:tcPr>
            <w:tcW w:w="0" w:type="dxa"/>
            <w:vAlign w:val="center"/>
          </w:tcPr>
          <w:p w14:paraId="50CEC3B2">
            <w:pPr>
              <w:spacing w:line="240" w:lineRule="auto"/>
              <w:jc w:val="center"/>
            </w:pPr>
            <w:r>
              <w:rPr>
                <w:rFonts w:ascii="宋体" w:hAnsi="宋体" w:eastAsia="宋体" w:cs="宋体"/>
                <w:b w:val="0"/>
              </w:rPr>
              <w:t>6.4.7.11</w:t>
            </w:r>
          </w:p>
        </w:tc>
        <w:tc>
          <w:tcPr>
            <w:tcW w:w="0" w:type="dxa"/>
            <w:vAlign w:val="center"/>
          </w:tcPr>
          <w:p w14:paraId="01A981D6">
            <w:pPr>
              <w:spacing w:line="240" w:lineRule="auto"/>
              <w:jc w:val="right"/>
            </w:pPr>
            <w:r>
              <w:rPr>
                <w:rFonts w:ascii="宋体" w:hAnsi="宋体" w:eastAsia="宋体" w:cs="宋体"/>
                <w:b w:val="0"/>
              </w:rPr>
              <w:t>-</w:t>
            </w:r>
          </w:p>
        </w:tc>
      </w:tr>
      <w:tr w14:paraId="4F9D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207821">
            <w:pPr>
              <w:spacing w:line="240" w:lineRule="auto"/>
              <w:jc w:val="left"/>
            </w:pPr>
            <w:r>
              <w:rPr>
                <w:rFonts w:ascii="宋体" w:hAnsi="宋体" w:eastAsia="宋体" w:cs="宋体"/>
                <w:b w:val="0"/>
              </w:rPr>
              <w:t xml:space="preserve">      债券投资收益</w:t>
            </w:r>
          </w:p>
        </w:tc>
        <w:tc>
          <w:tcPr>
            <w:tcW w:w="0" w:type="dxa"/>
            <w:vAlign w:val="center"/>
          </w:tcPr>
          <w:p w14:paraId="5980BADB">
            <w:pPr>
              <w:spacing w:line="240" w:lineRule="auto"/>
              <w:jc w:val="center"/>
            </w:pPr>
            <w:r>
              <w:rPr>
                <w:rFonts w:ascii="宋体" w:hAnsi="宋体" w:eastAsia="宋体" w:cs="宋体"/>
                <w:b w:val="0"/>
              </w:rPr>
              <w:t>6.4.7.12</w:t>
            </w:r>
          </w:p>
        </w:tc>
        <w:tc>
          <w:tcPr>
            <w:tcW w:w="0" w:type="dxa"/>
            <w:vAlign w:val="center"/>
          </w:tcPr>
          <w:p w14:paraId="021B3E51">
            <w:pPr>
              <w:spacing w:line="240" w:lineRule="auto"/>
              <w:jc w:val="right"/>
            </w:pPr>
            <w:r>
              <w:rPr>
                <w:rFonts w:ascii="宋体" w:hAnsi="宋体" w:eastAsia="宋体" w:cs="宋体"/>
                <w:b w:val="0"/>
              </w:rPr>
              <w:t>11,383.40</w:t>
            </w:r>
          </w:p>
        </w:tc>
      </w:tr>
      <w:tr w14:paraId="663F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A6BC2B">
            <w:pPr>
              <w:spacing w:line="240" w:lineRule="auto"/>
              <w:jc w:val="left"/>
            </w:pPr>
            <w:r>
              <w:rPr>
                <w:rFonts w:ascii="宋体" w:hAnsi="宋体" w:eastAsia="宋体" w:cs="宋体"/>
                <w:b w:val="0"/>
              </w:rPr>
              <w:t xml:space="preserve">      资产支持证券投资收益</w:t>
            </w:r>
          </w:p>
        </w:tc>
        <w:tc>
          <w:tcPr>
            <w:tcW w:w="0" w:type="dxa"/>
            <w:vAlign w:val="center"/>
          </w:tcPr>
          <w:p w14:paraId="70140FD2">
            <w:pPr>
              <w:spacing w:line="240" w:lineRule="auto"/>
              <w:jc w:val="center"/>
            </w:pPr>
            <w:r>
              <w:rPr>
                <w:rFonts w:ascii="宋体" w:hAnsi="宋体" w:eastAsia="宋体" w:cs="宋体"/>
                <w:b w:val="0"/>
              </w:rPr>
              <w:t>6.4.7.13</w:t>
            </w:r>
          </w:p>
        </w:tc>
        <w:tc>
          <w:tcPr>
            <w:tcW w:w="0" w:type="dxa"/>
            <w:vAlign w:val="center"/>
          </w:tcPr>
          <w:p w14:paraId="2E6E3A7C">
            <w:pPr>
              <w:spacing w:line="240" w:lineRule="auto"/>
              <w:jc w:val="right"/>
            </w:pPr>
            <w:r>
              <w:rPr>
                <w:rFonts w:ascii="宋体" w:hAnsi="宋体" w:eastAsia="宋体" w:cs="宋体"/>
                <w:b w:val="0"/>
              </w:rPr>
              <w:t>-</w:t>
            </w:r>
          </w:p>
        </w:tc>
      </w:tr>
      <w:tr w14:paraId="4163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A28199">
            <w:pPr>
              <w:spacing w:line="240" w:lineRule="auto"/>
              <w:jc w:val="left"/>
            </w:pPr>
            <w:r>
              <w:rPr>
                <w:rFonts w:ascii="宋体" w:hAnsi="宋体" w:eastAsia="宋体" w:cs="宋体"/>
                <w:b w:val="0"/>
              </w:rPr>
              <w:t xml:space="preserve">      贵金属投资收益</w:t>
            </w:r>
          </w:p>
        </w:tc>
        <w:tc>
          <w:tcPr>
            <w:tcW w:w="0" w:type="dxa"/>
            <w:vAlign w:val="center"/>
          </w:tcPr>
          <w:p w14:paraId="2A2C2140">
            <w:pPr>
              <w:spacing w:line="240" w:lineRule="auto"/>
              <w:jc w:val="center"/>
            </w:pPr>
            <w:r>
              <w:rPr>
                <w:rFonts w:ascii="宋体" w:hAnsi="宋体" w:eastAsia="宋体" w:cs="宋体"/>
                <w:b w:val="0"/>
              </w:rPr>
              <w:t>6.4.7.14</w:t>
            </w:r>
          </w:p>
        </w:tc>
        <w:tc>
          <w:tcPr>
            <w:tcW w:w="0" w:type="dxa"/>
            <w:vAlign w:val="center"/>
          </w:tcPr>
          <w:p w14:paraId="66C40D57">
            <w:pPr>
              <w:spacing w:line="240" w:lineRule="auto"/>
              <w:jc w:val="right"/>
            </w:pPr>
            <w:r>
              <w:rPr>
                <w:rFonts w:ascii="宋体" w:hAnsi="宋体" w:eastAsia="宋体" w:cs="宋体"/>
                <w:b w:val="0"/>
              </w:rPr>
              <w:t>-</w:t>
            </w:r>
          </w:p>
        </w:tc>
      </w:tr>
      <w:tr w14:paraId="3D3C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63AB23">
            <w:pPr>
              <w:spacing w:line="240" w:lineRule="auto"/>
              <w:jc w:val="left"/>
            </w:pPr>
            <w:r>
              <w:rPr>
                <w:rFonts w:ascii="宋体" w:hAnsi="宋体" w:eastAsia="宋体" w:cs="宋体"/>
                <w:b w:val="0"/>
              </w:rPr>
              <w:t xml:space="preserve">      衍生工具收益</w:t>
            </w:r>
          </w:p>
        </w:tc>
        <w:tc>
          <w:tcPr>
            <w:tcW w:w="0" w:type="dxa"/>
            <w:vAlign w:val="center"/>
          </w:tcPr>
          <w:p w14:paraId="677214F6">
            <w:pPr>
              <w:spacing w:line="240" w:lineRule="auto"/>
              <w:jc w:val="center"/>
            </w:pPr>
            <w:r>
              <w:rPr>
                <w:rFonts w:ascii="宋体" w:hAnsi="宋体" w:eastAsia="宋体" w:cs="宋体"/>
                <w:b w:val="0"/>
              </w:rPr>
              <w:t>6.4.7.15</w:t>
            </w:r>
          </w:p>
        </w:tc>
        <w:tc>
          <w:tcPr>
            <w:tcW w:w="0" w:type="dxa"/>
            <w:vAlign w:val="center"/>
          </w:tcPr>
          <w:p w14:paraId="3EF08A8C">
            <w:pPr>
              <w:spacing w:line="240" w:lineRule="auto"/>
              <w:jc w:val="right"/>
            </w:pPr>
            <w:r>
              <w:rPr>
                <w:rFonts w:ascii="宋体" w:hAnsi="宋体" w:eastAsia="宋体" w:cs="宋体"/>
                <w:b w:val="0"/>
              </w:rPr>
              <w:t>-</w:t>
            </w:r>
          </w:p>
        </w:tc>
      </w:tr>
      <w:tr w14:paraId="10FC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63B09D">
            <w:pPr>
              <w:spacing w:line="240" w:lineRule="auto"/>
              <w:jc w:val="left"/>
            </w:pPr>
            <w:r>
              <w:rPr>
                <w:rFonts w:ascii="宋体" w:hAnsi="宋体" w:eastAsia="宋体" w:cs="宋体"/>
                <w:b w:val="0"/>
              </w:rPr>
              <w:t xml:space="preserve">      股利收益</w:t>
            </w:r>
          </w:p>
        </w:tc>
        <w:tc>
          <w:tcPr>
            <w:tcW w:w="0" w:type="dxa"/>
            <w:vAlign w:val="center"/>
          </w:tcPr>
          <w:p w14:paraId="0312E89E">
            <w:pPr>
              <w:spacing w:line="240" w:lineRule="auto"/>
              <w:jc w:val="center"/>
            </w:pPr>
            <w:r>
              <w:rPr>
                <w:rFonts w:ascii="宋体" w:hAnsi="宋体" w:eastAsia="宋体" w:cs="宋体"/>
                <w:b w:val="0"/>
              </w:rPr>
              <w:t>6.4.7.16</w:t>
            </w:r>
          </w:p>
        </w:tc>
        <w:tc>
          <w:tcPr>
            <w:tcW w:w="0" w:type="dxa"/>
            <w:vAlign w:val="center"/>
          </w:tcPr>
          <w:p w14:paraId="7414E8D7">
            <w:pPr>
              <w:spacing w:line="240" w:lineRule="auto"/>
              <w:jc w:val="right"/>
            </w:pPr>
            <w:r>
              <w:rPr>
                <w:rFonts w:ascii="宋体" w:hAnsi="宋体" w:eastAsia="宋体" w:cs="宋体"/>
                <w:b w:val="0"/>
              </w:rPr>
              <w:t>622.75</w:t>
            </w:r>
          </w:p>
        </w:tc>
      </w:tr>
      <w:tr w14:paraId="19D3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6C07D7">
            <w:pPr>
              <w:spacing w:line="240" w:lineRule="auto"/>
              <w:jc w:val="left"/>
            </w:pPr>
            <w:r>
              <w:rPr>
                <w:rFonts w:ascii="宋体" w:hAnsi="宋体" w:eastAsia="宋体" w:cs="宋体"/>
                <w:b w:val="0"/>
              </w:rPr>
              <w:t xml:space="preserve">      其他投资收益</w:t>
            </w:r>
          </w:p>
        </w:tc>
        <w:tc>
          <w:tcPr>
            <w:tcW w:w="0" w:type="dxa"/>
            <w:vAlign w:val="center"/>
          </w:tcPr>
          <w:p w14:paraId="72939A8B">
            <w:pPr>
              <w:spacing w:line="240" w:lineRule="auto"/>
              <w:jc w:val="center"/>
            </w:pPr>
          </w:p>
        </w:tc>
        <w:tc>
          <w:tcPr>
            <w:tcW w:w="0" w:type="dxa"/>
            <w:vAlign w:val="center"/>
          </w:tcPr>
          <w:p w14:paraId="478E3209">
            <w:pPr>
              <w:spacing w:line="240" w:lineRule="auto"/>
              <w:jc w:val="right"/>
            </w:pPr>
            <w:r>
              <w:rPr>
                <w:rFonts w:ascii="宋体" w:hAnsi="宋体" w:eastAsia="宋体" w:cs="宋体"/>
                <w:b w:val="0"/>
              </w:rPr>
              <w:t>-</w:t>
            </w:r>
          </w:p>
        </w:tc>
      </w:tr>
      <w:tr w14:paraId="5B11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9590B9">
            <w:pPr>
              <w:spacing w:line="240" w:lineRule="auto"/>
              <w:jc w:val="left"/>
            </w:pPr>
            <w:r>
              <w:rPr>
                <w:rFonts w:ascii="宋体" w:hAnsi="宋体" w:eastAsia="宋体" w:cs="宋体"/>
                <w:b w:val="0"/>
              </w:rPr>
              <w:t>3.公允价值变动收益（损失以“-”号填列）</w:t>
            </w:r>
          </w:p>
        </w:tc>
        <w:tc>
          <w:tcPr>
            <w:tcW w:w="0" w:type="dxa"/>
            <w:vAlign w:val="center"/>
          </w:tcPr>
          <w:p w14:paraId="0ABDE5B1">
            <w:pPr>
              <w:spacing w:line="240" w:lineRule="auto"/>
              <w:jc w:val="center"/>
            </w:pPr>
            <w:r>
              <w:rPr>
                <w:rFonts w:ascii="宋体" w:hAnsi="宋体" w:eastAsia="宋体" w:cs="宋体"/>
                <w:b w:val="0"/>
              </w:rPr>
              <w:t>6.4.7.17</w:t>
            </w:r>
          </w:p>
        </w:tc>
        <w:tc>
          <w:tcPr>
            <w:tcW w:w="0" w:type="dxa"/>
            <w:vAlign w:val="center"/>
          </w:tcPr>
          <w:p w14:paraId="475FAE1F">
            <w:pPr>
              <w:spacing w:line="240" w:lineRule="auto"/>
              <w:jc w:val="right"/>
            </w:pPr>
            <w:r>
              <w:rPr>
                <w:rFonts w:ascii="宋体" w:hAnsi="宋体" w:eastAsia="宋体" w:cs="宋体"/>
                <w:b w:val="0"/>
              </w:rPr>
              <w:t>151,776.55</w:t>
            </w:r>
          </w:p>
        </w:tc>
      </w:tr>
      <w:tr w14:paraId="0019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231043">
            <w:pPr>
              <w:spacing w:line="240" w:lineRule="auto"/>
              <w:jc w:val="left"/>
            </w:pPr>
            <w:r>
              <w:rPr>
                <w:rFonts w:ascii="宋体" w:hAnsi="宋体" w:eastAsia="宋体" w:cs="宋体"/>
                <w:b w:val="0"/>
              </w:rPr>
              <w:t>4.汇兑收益（损失以“-”号填列）</w:t>
            </w:r>
          </w:p>
        </w:tc>
        <w:tc>
          <w:tcPr>
            <w:tcW w:w="0" w:type="dxa"/>
            <w:vAlign w:val="center"/>
          </w:tcPr>
          <w:p w14:paraId="7E342EC6">
            <w:pPr>
              <w:spacing w:line="240" w:lineRule="auto"/>
              <w:jc w:val="center"/>
            </w:pPr>
          </w:p>
        </w:tc>
        <w:tc>
          <w:tcPr>
            <w:tcW w:w="0" w:type="dxa"/>
            <w:vAlign w:val="center"/>
          </w:tcPr>
          <w:p w14:paraId="1E7DAAFD">
            <w:pPr>
              <w:spacing w:line="240" w:lineRule="auto"/>
              <w:jc w:val="right"/>
            </w:pPr>
            <w:r>
              <w:rPr>
                <w:rFonts w:ascii="宋体" w:hAnsi="宋体" w:eastAsia="宋体" w:cs="宋体"/>
                <w:b w:val="0"/>
              </w:rPr>
              <w:t>-</w:t>
            </w:r>
          </w:p>
        </w:tc>
      </w:tr>
      <w:tr w14:paraId="4B83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039570">
            <w:pPr>
              <w:spacing w:line="240" w:lineRule="auto"/>
              <w:jc w:val="left"/>
            </w:pPr>
            <w:r>
              <w:rPr>
                <w:rFonts w:ascii="宋体" w:hAnsi="宋体" w:eastAsia="宋体" w:cs="宋体"/>
                <w:b w:val="0"/>
              </w:rPr>
              <w:t>5.其他收入（损失以“-”号填列）</w:t>
            </w:r>
          </w:p>
        </w:tc>
        <w:tc>
          <w:tcPr>
            <w:tcW w:w="0" w:type="dxa"/>
            <w:vAlign w:val="center"/>
          </w:tcPr>
          <w:p w14:paraId="338ABFE2">
            <w:pPr>
              <w:spacing w:line="240" w:lineRule="auto"/>
              <w:jc w:val="center"/>
            </w:pPr>
            <w:r>
              <w:rPr>
                <w:rFonts w:ascii="宋体" w:hAnsi="宋体" w:eastAsia="宋体" w:cs="宋体"/>
                <w:b w:val="0"/>
              </w:rPr>
              <w:t>6.4.7.18</w:t>
            </w:r>
          </w:p>
        </w:tc>
        <w:tc>
          <w:tcPr>
            <w:tcW w:w="0" w:type="dxa"/>
            <w:vAlign w:val="center"/>
          </w:tcPr>
          <w:p w14:paraId="5CADF44A">
            <w:pPr>
              <w:spacing w:line="240" w:lineRule="auto"/>
              <w:jc w:val="right"/>
            </w:pPr>
            <w:r>
              <w:rPr>
                <w:rFonts w:ascii="宋体" w:hAnsi="宋体" w:eastAsia="宋体" w:cs="宋体"/>
                <w:b w:val="0"/>
              </w:rPr>
              <w:t>85.31</w:t>
            </w:r>
          </w:p>
        </w:tc>
      </w:tr>
      <w:tr w14:paraId="4636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980136">
            <w:pPr>
              <w:spacing w:line="240" w:lineRule="auto"/>
              <w:jc w:val="left"/>
            </w:pPr>
            <w:r>
              <w:rPr>
                <w:rFonts w:ascii="宋体" w:hAnsi="宋体" w:eastAsia="宋体" w:cs="宋体"/>
                <w:b/>
              </w:rPr>
              <w:t>减：二、营业总支出</w:t>
            </w:r>
          </w:p>
        </w:tc>
        <w:tc>
          <w:tcPr>
            <w:tcW w:w="0" w:type="dxa"/>
            <w:vAlign w:val="center"/>
          </w:tcPr>
          <w:p w14:paraId="37D40FC3">
            <w:pPr>
              <w:spacing w:line="240" w:lineRule="auto"/>
              <w:jc w:val="center"/>
            </w:pPr>
          </w:p>
        </w:tc>
        <w:tc>
          <w:tcPr>
            <w:tcW w:w="0" w:type="dxa"/>
            <w:vAlign w:val="center"/>
          </w:tcPr>
          <w:p w14:paraId="2CFDE321">
            <w:pPr>
              <w:spacing w:line="240" w:lineRule="auto"/>
              <w:jc w:val="right"/>
            </w:pPr>
            <w:r>
              <w:rPr>
                <w:rFonts w:ascii="宋体" w:hAnsi="宋体" w:eastAsia="宋体" w:cs="宋体"/>
                <w:b w:val="0"/>
              </w:rPr>
              <w:t>14,405.82</w:t>
            </w:r>
          </w:p>
        </w:tc>
      </w:tr>
      <w:tr w14:paraId="2A40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CE1410">
            <w:pPr>
              <w:spacing w:line="240" w:lineRule="auto"/>
              <w:jc w:val="left"/>
            </w:pPr>
            <w:r>
              <w:rPr>
                <w:rFonts w:ascii="宋体" w:hAnsi="宋体" w:eastAsia="宋体" w:cs="宋体"/>
                <w:b w:val="0"/>
              </w:rPr>
              <w:t>1．管理人报酬</w:t>
            </w:r>
          </w:p>
        </w:tc>
        <w:tc>
          <w:tcPr>
            <w:tcW w:w="0" w:type="dxa"/>
            <w:vAlign w:val="center"/>
          </w:tcPr>
          <w:p w14:paraId="7BDD0254">
            <w:pPr>
              <w:spacing w:line="240" w:lineRule="auto"/>
              <w:jc w:val="center"/>
            </w:pPr>
            <w:r>
              <w:rPr>
                <w:rFonts w:ascii="宋体" w:hAnsi="宋体" w:eastAsia="宋体" w:cs="宋体"/>
                <w:b w:val="0"/>
              </w:rPr>
              <w:t>6.4.10.2.1</w:t>
            </w:r>
          </w:p>
        </w:tc>
        <w:tc>
          <w:tcPr>
            <w:tcW w:w="0" w:type="dxa"/>
            <w:vAlign w:val="center"/>
          </w:tcPr>
          <w:p w14:paraId="64808632">
            <w:pPr>
              <w:spacing w:line="240" w:lineRule="auto"/>
              <w:jc w:val="right"/>
            </w:pPr>
            <w:r>
              <w:rPr>
                <w:rFonts w:ascii="宋体" w:hAnsi="宋体" w:eastAsia="宋体" w:cs="宋体"/>
                <w:b w:val="0"/>
              </w:rPr>
              <w:t>4,863.33</w:t>
            </w:r>
          </w:p>
        </w:tc>
      </w:tr>
      <w:tr w14:paraId="3FDA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ED206F">
            <w:pPr>
              <w:spacing w:line="240" w:lineRule="auto"/>
              <w:jc w:val="left"/>
            </w:pPr>
            <w:r>
              <w:rPr>
                <w:rFonts w:ascii="宋体" w:hAnsi="宋体" w:eastAsia="宋体" w:cs="宋体"/>
                <w:b w:val="0"/>
              </w:rPr>
              <w:t>2．托管费</w:t>
            </w:r>
          </w:p>
        </w:tc>
        <w:tc>
          <w:tcPr>
            <w:tcW w:w="0" w:type="dxa"/>
            <w:vAlign w:val="center"/>
          </w:tcPr>
          <w:p w14:paraId="1ED17C89">
            <w:pPr>
              <w:spacing w:line="240" w:lineRule="auto"/>
              <w:jc w:val="center"/>
            </w:pPr>
            <w:r>
              <w:rPr>
                <w:rFonts w:ascii="宋体" w:hAnsi="宋体" w:eastAsia="宋体" w:cs="宋体"/>
                <w:b w:val="0"/>
              </w:rPr>
              <w:t>6.4.10.2.2</w:t>
            </w:r>
          </w:p>
        </w:tc>
        <w:tc>
          <w:tcPr>
            <w:tcW w:w="0" w:type="dxa"/>
            <w:vAlign w:val="center"/>
          </w:tcPr>
          <w:p w14:paraId="22B74D6C">
            <w:pPr>
              <w:spacing w:line="240" w:lineRule="auto"/>
              <w:jc w:val="right"/>
            </w:pPr>
            <w:r>
              <w:rPr>
                <w:rFonts w:ascii="宋体" w:hAnsi="宋体" w:eastAsia="宋体" w:cs="宋体"/>
                <w:b w:val="0"/>
              </w:rPr>
              <w:t>810.58</w:t>
            </w:r>
          </w:p>
        </w:tc>
      </w:tr>
      <w:tr w14:paraId="5BB2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AFEAC5">
            <w:pPr>
              <w:spacing w:line="240" w:lineRule="auto"/>
              <w:jc w:val="left"/>
            </w:pPr>
            <w:r>
              <w:rPr>
                <w:rFonts w:ascii="宋体" w:hAnsi="宋体" w:eastAsia="宋体" w:cs="宋体"/>
                <w:b w:val="0"/>
              </w:rPr>
              <w:t>3．销售服务费</w:t>
            </w:r>
          </w:p>
        </w:tc>
        <w:tc>
          <w:tcPr>
            <w:tcW w:w="0" w:type="dxa"/>
            <w:vAlign w:val="center"/>
          </w:tcPr>
          <w:p w14:paraId="20ED0709">
            <w:pPr>
              <w:spacing w:line="240" w:lineRule="auto"/>
              <w:jc w:val="center"/>
            </w:pPr>
            <w:r>
              <w:rPr>
                <w:rFonts w:ascii="宋体" w:hAnsi="宋体" w:eastAsia="宋体" w:cs="宋体"/>
                <w:b w:val="0"/>
              </w:rPr>
              <w:t>6.4.10.2.3</w:t>
            </w:r>
          </w:p>
        </w:tc>
        <w:tc>
          <w:tcPr>
            <w:tcW w:w="0" w:type="dxa"/>
            <w:vAlign w:val="center"/>
          </w:tcPr>
          <w:p w14:paraId="1793B4FB">
            <w:pPr>
              <w:spacing w:line="240" w:lineRule="auto"/>
              <w:jc w:val="right"/>
            </w:pPr>
            <w:r>
              <w:rPr>
                <w:rFonts w:ascii="宋体" w:hAnsi="宋体" w:eastAsia="宋体" w:cs="宋体"/>
                <w:b w:val="0"/>
              </w:rPr>
              <w:t>27.23</w:t>
            </w:r>
          </w:p>
        </w:tc>
      </w:tr>
      <w:tr w14:paraId="179B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88AEFB">
            <w:pPr>
              <w:spacing w:line="240" w:lineRule="auto"/>
              <w:jc w:val="left"/>
            </w:pPr>
            <w:r>
              <w:rPr>
                <w:rFonts w:ascii="宋体" w:hAnsi="宋体" w:eastAsia="宋体" w:cs="宋体"/>
                <w:b w:val="0"/>
              </w:rPr>
              <w:t>4．投资顾问费</w:t>
            </w:r>
          </w:p>
        </w:tc>
        <w:tc>
          <w:tcPr>
            <w:tcW w:w="0" w:type="dxa"/>
            <w:vAlign w:val="center"/>
          </w:tcPr>
          <w:p w14:paraId="5790D1F5">
            <w:pPr>
              <w:spacing w:line="240" w:lineRule="auto"/>
              <w:jc w:val="center"/>
            </w:pPr>
          </w:p>
        </w:tc>
        <w:tc>
          <w:tcPr>
            <w:tcW w:w="0" w:type="dxa"/>
            <w:vAlign w:val="center"/>
          </w:tcPr>
          <w:p w14:paraId="4134CB1D">
            <w:pPr>
              <w:spacing w:line="240" w:lineRule="auto"/>
              <w:jc w:val="right"/>
            </w:pPr>
            <w:r>
              <w:rPr>
                <w:rFonts w:ascii="宋体" w:hAnsi="宋体" w:eastAsia="宋体" w:cs="宋体"/>
                <w:b w:val="0"/>
              </w:rPr>
              <w:t>-</w:t>
            </w:r>
          </w:p>
        </w:tc>
      </w:tr>
      <w:tr w14:paraId="25EC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C2B091">
            <w:pPr>
              <w:spacing w:line="240" w:lineRule="auto"/>
              <w:jc w:val="left"/>
            </w:pPr>
            <w:r>
              <w:rPr>
                <w:rFonts w:ascii="宋体" w:hAnsi="宋体" w:eastAsia="宋体" w:cs="宋体"/>
                <w:b w:val="0"/>
              </w:rPr>
              <w:t>5．利息支出</w:t>
            </w:r>
          </w:p>
        </w:tc>
        <w:tc>
          <w:tcPr>
            <w:tcW w:w="0" w:type="dxa"/>
            <w:vAlign w:val="center"/>
          </w:tcPr>
          <w:p w14:paraId="67FA28BA">
            <w:pPr>
              <w:spacing w:line="240" w:lineRule="auto"/>
              <w:jc w:val="center"/>
            </w:pPr>
          </w:p>
        </w:tc>
        <w:tc>
          <w:tcPr>
            <w:tcW w:w="0" w:type="dxa"/>
            <w:vAlign w:val="center"/>
          </w:tcPr>
          <w:p w14:paraId="7AEDA115">
            <w:pPr>
              <w:spacing w:line="240" w:lineRule="auto"/>
              <w:jc w:val="right"/>
            </w:pPr>
            <w:r>
              <w:rPr>
                <w:rFonts w:ascii="宋体" w:hAnsi="宋体" w:eastAsia="宋体" w:cs="宋体"/>
                <w:b w:val="0"/>
              </w:rPr>
              <w:t>-</w:t>
            </w:r>
          </w:p>
        </w:tc>
      </w:tr>
      <w:tr w14:paraId="524E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847619">
            <w:pPr>
              <w:spacing w:line="240" w:lineRule="auto"/>
              <w:jc w:val="left"/>
            </w:pPr>
            <w:r>
              <w:rPr>
                <w:rFonts w:ascii="宋体" w:hAnsi="宋体" w:eastAsia="宋体" w:cs="宋体"/>
                <w:b w:val="0"/>
              </w:rPr>
              <w:t>其中：卖出回购金融资产支出</w:t>
            </w:r>
          </w:p>
        </w:tc>
        <w:tc>
          <w:tcPr>
            <w:tcW w:w="0" w:type="dxa"/>
            <w:vAlign w:val="center"/>
          </w:tcPr>
          <w:p w14:paraId="214003E0">
            <w:pPr>
              <w:spacing w:line="240" w:lineRule="auto"/>
              <w:jc w:val="center"/>
            </w:pPr>
          </w:p>
        </w:tc>
        <w:tc>
          <w:tcPr>
            <w:tcW w:w="0" w:type="dxa"/>
            <w:vAlign w:val="center"/>
          </w:tcPr>
          <w:p w14:paraId="03F17546">
            <w:pPr>
              <w:spacing w:line="240" w:lineRule="auto"/>
              <w:jc w:val="right"/>
            </w:pPr>
            <w:r>
              <w:rPr>
                <w:rFonts w:ascii="宋体" w:hAnsi="宋体" w:eastAsia="宋体" w:cs="宋体"/>
                <w:b w:val="0"/>
              </w:rPr>
              <w:t>-</w:t>
            </w:r>
          </w:p>
        </w:tc>
      </w:tr>
      <w:tr w14:paraId="5DAF567D">
        <w:tblPrEx>
          <w:tblCellMar>
            <w:top w:w="0" w:type="dxa"/>
            <w:left w:w="108" w:type="dxa"/>
            <w:bottom w:w="0" w:type="dxa"/>
            <w:right w:w="108" w:type="dxa"/>
          </w:tblCellMar>
        </w:tblPrEx>
        <w:tc>
          <w:tcPr>
            <w:tcW w:w="0" w:type="dxa"/>
            <w:vAlign w:val="center"/>
          </w:tcPr>
          <w:p w14:paraId="1E5B9099">
            <w:pPr>
              <w:spacing w:line="240" w:lineRule="auto"/>
              <w:jc w:val="left"/>
            </w:pPr>
            <w:r>
              <w:rPr>
                <w:rFonts w:ascii="宋体" w:hAnsi="宋体" w:eastAsia="宋体" w:cs="宋体"/>
                <w:b w:val="0"/>
              </w:rPr>
              <w:t>6．信用减值损失</w:t>
            </w:r>
          </w:p>
        </w:tc>
        <w:tc>
          <w:tcPr>
            <w:tcW w:w="0" w:type="dxa"/>
            <w:vAlign w:val="center"/>
          </w:tcPr>
          <w:p w14:paraId="6986E938">
            <w:pPr>
              <w:spacing w:line="240" w:lineRule="auto"/>
              <w:jc w:val="center"/>
            </w:pPr>
            <w:r>
              <w:rPr>
                <w:rFonts w:ascii="宋体" w:hAnsi="宋体" w:eastAsia="宋体" w:cs="宋体"/>
                <w:b w:val="0"/>
              </w:rPr>
              <w:t>6.4.7.19</w:t>
            </w:r>
          </w:p>
        </w:tc>
        <w:tc>
          <w:tcPr>
            <w:tcW w:w="0" w:type="dxa"/>
            <w:vAlign w:val="center"/>
          </w:tcPr>
          <w:p w14:paraId="353CA071">
            <w:pPr>
              <w:spacing w:line="240" w:lineRule="auto"/>
              <w:jc w:val="right"/>
            </w:pPr>
            <w:r>
              <w:rPr>
                <w:rFonts w:ascii="宋体" w:hAnsi="宋体" w:eastAsia="宋体" w:cs="宋体"/>
                <w:b w:val="0"/>
              </w:rPr>
              <w:t>-</w:t>
            </w:r>
          </w:p>
        </w:tc>
      </w:tr>
      <w:tr w14:paraId="6300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DCA939">
            <w:pPr>
              <w:spacing w:line="240" w:lineRule="auto"/>
              <w:jc w:val="left"/>
            </w:pPr>
            <w:r>
              <w:rPr>
                <w:rFonts w:ascii="宋体" w:hAnsi="宋体" w:eastAsia="宋体" w:cs="宋体"/>
                <w:b w:val="0"/>
              </w:rPr>
              <w:t>7．税金及附加</w:t>
            </w:r>
          </w:p>
        </w:tc>
        <w:tc>
          <w:tcPr>
            <w:tcW w:w="0" w:type="dxa"/>
            <w:vAlign w:val="center"/>
          </w:tcPr>
          <w:p w14:paraId="236C0C3F">
            <w:pPr>
              <w:spacing w:line="240" w:lineRule="auto"/>
              <w:jc w:val="center"/>
            </w:pPr>
          </w:p>
        </w:tc>
        <w:tc>
          <w:tcPr>
            <w:tcW w:w="0" w:type="dxa"/>
            <w:vAlign w:val="center"/>
          </w:tcPr>
          <w:p w14:paraId="74AAA59E">
            <w:pPr>
              <w:spacing w:line="240" w:lineRule="auto"/>
              <w:jc w:val="right"/>
            </w:pPr>
            <w:r>
              <w:rPr>
                <w:rFonts w:ascii="宋体" w:hAnsi="宋体" w:eastAsia="宋体" w:cs="宋体"/>
                <w:b w:val="0"/>
              </w:rPr>
              <w:t>16.59</w:t>
            </w:r>
          </w:p>
        </w:tc>
      </w:tr>
      <w:tr w14:paraId="168FC3B6">
        <w:tblPrEx>
          <w:tblCellMar>
            <w:top w:w="0" w:type="dxa"/>
            <w:left w:w="108" w:type="dxa"/>
            <w:bottom w:w="0" w:type="dxa"/>
            <w:right w:w="108" w:type="dxa"/>
          </w:tblCellMar>
        </w:tblPrEx>
        <w:tc>
          <w:tcPr>
            <w:tcW w:w="0" w:type="dxa"/>
            <w:vAlign w:val="center"/>
          </w:tcPr>
          <w:p w14:paraId="15FB83A3">
            <w:pPr>
              <w:spacing w:line="240" w:lineRule="auto"/>
              <w:jc w:val="left"/>
            </w:pPr>
            <w:r>
              <w:rPr>
                <w:rFonts w:ascii="宋体" w:hAnsi="宋体" w:eastAsia="宋体" w:cs="宋体"/>
                <w:b w:val="0"/>
              </w:rPr>
              <w:t>8．其他费用</w:t>
            </w:r>
          </w:p>
        </w:tc>
        <w:tc>
          <w:tcPr>
            <w:tcW w:w="0" w:type="dxa"/>
            <w:vAlign w:val="center"/>
          </w:tcPr>
          <w:p w14:paraId="481A6F92">
            <w:pPr>
              <w:spacing w:line="240" w:lineRule="auto"/>
              <w:jc w:val="center"/>
            </w:pPr>
            <w:r>
              <w:rPr>
                <w:rFonts w:ascii="宋体" w:hAnsi="宋体" w:eastAsia="宋体" w:cs="宋体"/>
                <w:b w:val="0"/>
              </w:rPr>
              <w:t>6.4.7.20</w:t>
            </w:r>
          </w:p>
        </w:tc>
        <w:tc>
          <w:tcPr>
            <w:tcW w:w="0" w:type="dxa"/>
            <w:vAlign w:val="center"/>
          </w:tcPr>
          <w:p w14:paraId="7386C480">
            <w:pPr>
              <w:spacing w:line="240" w:lineRule="auto"/>
              <w:jc w:val="right"/>
            </w:pPr>
            <w:r>
              <w:rPr>
                <w:rFonts w:ascii="宋体" w:hAnsi="宋体" w:eastAsia="宋体" w:cs="宋体"/>
                <w:b w:val="0"/>
              </w:rPr>
              <w:t>8,688.09</w:t>
            </w:r>
          </w:p>
        </w:tc>
      </w:tr>
      <w:tr w14:paraId="5B36221F">
        <w:tblPrEx>
          <w:tblCellMar>
            <w:top w:w="0" w:type="dxa"/>
            <w:left w:w="108" w:type="dxa"/>
            <w:bottom w:w="0" w:type="dxa"/>
            <w:right w:w="108" w:type="dxa"/>
          </w:tblCellMar>
        </w:tblPrEx>
        <w:tc>
          <w:tcPr>
            <w:tcW w:w="0" w:type="dxa"/>
            <w:vAlign w:val="center"/>
          </w:tcPr>
          <w:p w14:paraId="25DC90FD">
            <w:pPr>
              <w:spacing w:line="240" w:lineRule="auto"/>
              <w:jc w:val="left"/>
            </w:pPr>
            <w:r>
              <w:rPr>
                <w:rFonts w:ascii="宋体" w:hAnsi="宋体" w:eastAsia="宋体" w:cs="宋体"/>
                <w:b/>
              </w:rPr>
              <w:t>三、利润总额（亏损总额以“-”号填列）</w:t>
            </w:r>
          </w:p>
        </w:tc>
        <w:tc>
          <w:tcPr>
            <w:tcW w:w="0" w:type="dxa"/>
            <w:vAlign w:val="center"/>
          </w:tcPr>
          <w:p w14:paraId="3B2A96CD">
            <w:pPr>
              <w:spacing w:line="240" w:lineRule="auto"/>
              <w:jc w:val="center"/>
            </w:pPr>
          </w:p>
        </w:tc>
        <w:tc>
          <w:tcPr>
            <w:tcW w:w="0" w:type="dxa"/>
            <w:vAlign w:val="center"/>
          </w:tcPr>
          <w:p w14:paraId="70D2F4A9">
            <w:pPr>
              <w:spacing w:line="240" w:lineRule="auto"/>
              <w:jc w:val="right"/>
            </w:pPr>
            <w:r>
              <w:rPr>
                <w:rFonts w:ascii="宋体" w:hAnsi="宋体" w:eastAsia="宋体" w:cs="宋体"/>
                <w:b w:val="0"/>
              </w:rPr>
              <w:t>142,026.90</w:t>
            </w:r>
          </w:p>
        </w:tc>
      </w:tr>
      <w:tr w14:paraId="6C0F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3016CD">
            <w:pPr>
              <w:spacing w:line="240" w:lineRule="auto"/>
              <w:jc w:val="left"/>
            </w:pPr>
            <w:r>
              <w:rPr>
                <w:rFonts w:ascii="宋体" w:hAnsi="宋体" w:eastAsia="宋体" w:cs="宋体"/>
                <w:b w:val="0"/>
              </w:rPr>
              <w:t>减：所得税费用</w:t>
            </w:r>
          </w:p>
        </w:tc>
        <w:tc>
          <w:tcPr>
            <w:tcW w:w="0" w:type="dxa"/>
            <w:vAlign w:val="center"/>
          </w:tcPr>
          <w:p w14:paraId="438BAC67">
            <w:pPr>
              <w:spacing w:line="240" w:lineRule="auto"/>
              <w:jc w:val="center"/>
            </w:pPr>
          </w:p>
        </w:tc>
        <w:tc>
          <w:tcPr>
            <w:tcW w:w="0" w:type="dxa"/>
            <w:vAlign w:val="center"/>
          </w:tcPr>
          <w:p w14:paraId="7A7A2241">
            <w:pPr>
              <w:spacing w:line="240" w:lineRule="auto"/>
              <w:jc w:val="right"/>
            </w:pPr>
            <w:r>
              <w:rPr>
                <w:rFonts w:ascii="宋体" w:hAnsi="宋体" w:eastAsia="宋体" w:cs="宋体"/>
                <w:b w:val="0"/>
              </w:rPr>
              <w:t>-</w:t>
            </w:r>
          </w:p>
        </w:tc>
      </w:tr>
      <w:tr w14:paraId="262B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E59A8B">
            <w:pPr>
              <w:spacing w:line="240" w:lineRule="auto"/>
              <w:jc w:val="left"/>
            </w:pPr>
            <w:r>
              <w:rPr>
                <w:rFonts w:ascii="宋体" w:hAnsi="宋体" w:eastAsia="宋体" w:cs="宋体"/>
                <w:b/>
              </w:rPr>
              <w:t>四、净利润（净亏损以“-”号填列）</w:t>
            </w:r>
          </w:p>
        </w:tc>
        <w:tc>
          <w:tcPr>
            <w:tcW w:w="0" w:type="dxa"/>
            <w:vAlign w:val="center"/>
          </w:tcPr>
          <w:p w14:paraId="67CA08D4">
            <w:pPr>
              <w:spacing w:line="240" w:lineRule="auto"/>
              <w:jc w:val="center"/>
            </w:pPr>
          </w:p>
        </w:tc>
        <w:tc>
          <w:tcPr>
            <w:tcW w:w="0" w:type="dxa"/>
            <w:vAlign w:val="center"/>
          </w:tcPr>
          <w:p w14:paraId="5B9F38BE">
            <w:pPr>
              <w:spacing w:line="240" w:lineRule="auto"/>
              <w:jc w:val="right"/>
            </w:pPr>
            <w:r>
              <w:rPr>
                <w:rFonts w:ascii="宋体" w:hAnsi="宋体" w:eastAsia="宋体" w:cs="宋体"/>
                <w:b w:val="0"/>
              </w:rPr>
              <w:t>142,026.90</w:t>
            </w:r>
          </w:p>
        </w:tc>
      </w:tr>
      <w:tr w14:paraId="1469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21AF37">
            <w:pPr>
              <w:spacing w:line="240" w:lineRule="auto"/>
              <w:jc w:val="left"/>
            </w:pPr>
            <w:r>
              <w:rPr>
                <w:rFonts w:ascii="宋体" w:hAnsi="宋体" w:eastAsia="宋体" w:cs="宋体"/>
                <w:b/>
              </w:rPr>
              <w:t>五、其他综合收益的税后净额</w:t>
            </w:r>
          </w:p>
        </w:tc>
        <w:tc>
          <w:tcPr>
            <w:tcW w:w="0" w:type="dxa"/>
            <w:vAlign w:val="center"/>
          </w:tcPr>
          <w:p w14:paraId="5F1A2FBD">
            <w:pPr>
              <w:spacing w:line="240" w:lineRule="auto"/>
              <w:jc w:val="center"/>
            </w:pPr>
          </w:p>
        </w:tc>
        <w:tc>
          <w:tcPr>
            <w:tcW w:w="0" w:type="dxa"/>
            <w:vAlign w:val="center"/>
          </w:tcPr>
          <w:p w14:paraId="44A0ECDF">
            <w:pPr>
              <w:spacing w:line="240" w:lineRule="auto"/>
              <w:jc w:val="right"/>
            </w:pPr>
            <w:r>
              <w:rPr>
                <w:rFonts w:ascii="宋体" w:hAnsi="宋体" w:eastAsia="宋体" w:cs="宋体"/>
                <w:b w:val="0"/>
              </w:rPr>
              <w:t>-</w:t>
            </w:r>
          </w:p>
        </w:tc>
      </w:tr>
      <w:tr w14:paraId="0140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2405EE">
            <w:pPr>
              <w:spacing w:line="240" w:lineRule="auto"/>
              <w:jc w:val="left"/>
            </w:pPr>
            <w:r>
              <w:rPr>
                <w:rFonts w:ascii="宋体" w:hAnsi="宋体" w:eastAsia="宋体" w:cs="宋体"/>
                <w:b/>
              </w:rPr>
              <w:t>六、综合收益总额</w:t>
            </w:r>
          </w:p>
        </w:tc>
        <w:tc>
          <w:tcPr>
            <w:tcW w:w="0" w:type="dxa"/>
            <w:vAlign w:val="center"/>
          </w:tcPr>
          <w:p w14:paraId="783FDCFF">
            <w:pPr>
              <w:spacing w:line="240" w:lineRule="auto"/>
              <w:jc w:val="center"/>
            </w:pPr>
          </w:p>
        </w:tc>
        <w:tc>
          <w:tcPr>
            <w:tcW w:w="0" w:type="dxa"/>
            <w:vAlign w:val="center"/>
          </w:tcPr>
          <w:p w14:paraId="7251167D">
            <w:pPr>
              <w:spacing w:line="240" w:lineRule="auto"/>
              <w:jc w:val="right"/>
            </w:pPr>
            <w:r>
              <w:rPr>
                <w:rFonts w:ascii="宋体" w:hAnsi="宋体" w:eastAsia="宋体" w:cs="宋体"/>
                <w:b w:val="0"/>
              </w:rPr>
              <w:t>142,026.90</w:t>
            </w:r>
          </w:p>
        </w:tc>
      </w:tr>
    </w:tbl>
    <w:p w14:paraId="45F9251A">
      <w:r>
        <w:rPr>
          <w:rFonts w:ascii="宋体" w:hAnsi="宋体" w:eastAsia="宋体" w:cs="宋体"/>
          <w:b w:val="0"/>
        </w:rPr>
        <w:t>注：本基金合同生效日为2026年06月02日，本报告期实际报告期间为2026年06月02日至2026年06月30日。截至报告期末本基金合同生效未满半年，本报告期的财务报表及报表附注均无同期对比数据。</w:t>
      </w:r>
    </w:p>
    <w:p w14:paraId="2DB65FE9"/>
    <w:p w14:paraId="788897F9">
      <w:pPr>
        <w:pStyle w:val="3"/>
        <w:jc w:val="left"/>
      </w:pPr>
      <w:bookmarkStart w:id="29" w:name="_Toc6089"/>
      <w:r>
        <w:rPr>
          <w:rFonts w:ascii="宋体" w:hAnsi="宋体" w:eastAsia="宋体" w:cs="宋体"/>
        </w:rPr>
        <w:t>6.3 净资产变动表</w:t>
      </w:r>
      <w:bookmarkEnd w:id="29"/>
    </w:p>
    <w:p w14:paraId="728C0C3F">
      <w:pPr>
        <w:jc w:val="left"/>
      </w:pPr>
      <w:r>
        <w:rPr>
          <w:rFonts w:ascii="宋体" w:hAnsi="宋体" w:eastAsia="宋体" w:cs="宋体"/>
          <w:b w:val="0"/>
        </w:rPr>
        <w:t>会计主体：东方阿尔法增利债券型发起式证券投资基金</w:t>
      </w:r>
    </w:p>
    <w:p w14:paraId="7D2902B9">
      <w:pPr>
        <w:jc w:val="left"/>
      </w:pPr>
      <w:r>
        <w:rPr>
          <w:rFonts w:ascii="宋体" w:hAnsi="宋体" w:eastAsia="宋体" w:cs="宋体"/>
          <w:b w:val="0"/>
        </w:rPr>
        <w:t>本报告期：2026年06月02日（基金合同生效日）至2026年06月30日</w:t>
      </w:r>
    </w:p>
    <w:p w14:paraId="5C052277">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5"/>
        <w:gridCol w:w="2000"/>
        <w:gridCol w:w="2000"/>
        <w:gridCol w:w="2001"/>
      </w:tblGrid>
      <w:tr w14:paraId="223E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9" w:type="pct"/>
            <w:vMerge w:val="restart"/>
            <w:shd w:val="clear" w:color="auto" w:fill="D9D9D9"/>
            <w:vAlign w:val="center"/>
          </w:tcPr>
          <w:p w14:paraId="55060C62">
            <w:pPr>
              <w:spacing w:line="240" w:lineRule="auto"/>
              <w:jc w:val="center"/>
            </w:pPr>
            <w:r>
              <w:rPr>
                <w:rFonts w:ascii="宋体" w:hAnsi="宋体" w:eastAsia="宋体" w:cs="宋体"/>
                <w:b/>
              </w:rPr>
              <w:t>项 目</w:t>
            </w:r>
          </w:p>
        </w:tc>
        <w:tc>
          <w:tcPr>
            <w:tcW w:w="3231" w:type="pct"/>
            <w:gridSpan w:val="3"/>
            <w:shd w:val="clear" w:color="auto" w:fill="D9D9D9"/>
            <w:vAlign w:val="center"/>
          </w:tcPr>
          <w:p w14:paraId="4C404F28">
            <w:pPr>
              <w:spacing w:line="240" w:lineRule="auto"/>
              <w:jc w:val="center"/>
            </w:pPr>
            <w:r>
              <w:rPr>
                <w:rFonts w:ascii="宋体" w:hAnsi="宋体" w:eastAsia="宋体" w:cs="宋体"/>
                <w:b/>
              </w:rPr>
              <w:t>本期</w:t>
            </w:r>
            <w:r>
              <w:br w:type="textWrapping"/>
            </w:r>
            <w:r>
              <w:rPr>
                <w:rFonts w:ascii="宋体" w:hAnsi="宋体" w:eastAsia="宋体" w:cs="宋体"/>
                <w:b/>
              </w:rPr>
              <w:t>2026年06月02日（基金合同生效日）至2026年06月30日</w:t>
            </w:r>
          </w:p>
        </w:tc>
      </w:tr>
      <w:tr w14:paraId="0FA6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DCC3D44"/>
        </w:tc>
        <w:tc>
          <w:tcPr>
            <w:tcW w:w="1077" w:type="pct"/>
            <w:shd w:val="clear" w:color="auto" w:fill="D9D9D9"/>
            <w:vAlign w:val="center"/>
          </w:tcPr>
          <w:p w14:paraId="5571E4FD">
            <w:pPr>
              <w:spacing w:line="240" w:lineRule="auto"/>
              <w:jc w:val="center"/>
            </w:pPr>
            <w:r>
              <w:rPr>
                <w:rFonts w:ascii="宋体" w:hAnsi="宋体" w:eastAsia="宋体" w:cs="宋体"/>
                <w:b/>
              </w:rPr>
              <w:t>实收基金</w:t>
            </w:r>
          </w:p>
        </w:tc>
        <w:tc>
          <w:tcPr>
            <w:tcW w:w="1077" w:type="pct"/>
            <w:shd w:val="clear" w:color="auto" w:fill="D9D9D9"/>
            <w:vAlign w:val="center"/>
          </w:tcPr>
          <w:p w14:paraId="443AAABF">
            <w:pPr>
              <w:spacing w:line="240" w:lineRule="auto"/>
              <w:jc w:val="center"/>
            </w:pPr>
            <w:r>
              <w:rPr>
                <w:rFonts w:ascii="宋体" w:hAnsi="宋体" w:eastAsia="宋体" w:cs="宋体"/>
                <w:b/>
              </w:rPr>
              <w:t>未分配利润</w:t>
            </w:r>
          </w:p>
        </w:tc>
        <w:tc>
          <w:tcPr>
            <w:tcW w:w="1077" w:type="pct"/>
            <w:shd w:val="clear" w:color="auto" w:fill="D9D9D9"/>
            <w:vAlign w:val="center"/>
          </w:tcPr>
          <w:p w14:paraId="0A62588C">
            <w:pPr>
              <w:spacing w:line="240" w:lineRule="auto"/>
              <w:jc w:val="center"/>
            </w:pPr>
            <w:r>
              <w:rPr>
                <w:rFonts w:ascii="宋体" w:hAnsi="宋体" w:eastAsia="宋体" w:cs="宋体"/>
                <w:b/>
              </w:rPr>
              <w:t>净资产合计</w:t>
            </w:r>
          </w:p>
        </w:tc>
      </w:tr>
      <w:tr w14:paraId="4415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B068D9">
            <w:pPr>
              <w:spacing w:line="240" w:lineRule="auto"/>
              <w:jc w:val="left"/>
            </w:pPr>
            <w:r>
              <w:rPr>
                <w:rFonts w:ascii="宋体" w:hAnsi="宋体" w:eastAsia="宋体" w:cs="宋体"/>
                <w:b w:val="0"/>
              </w:rPr>
              <w:t>一、上期期末净资产</w:t>
            </w:r>
          </w:p>
        </w:tc>
        <w:tc>
          <w:tcPr>
            <w:tcW w:w="0" w:type="dxa"/>
            <w:vAlign w:val="center"/>
          </w:tcPr>
          <w:p w14:paraId="565D70BA">
            <w:pPr>
              <w:spacing w:line="240" w:lineRule="auto"/>
              <w:jc w:val="right"/>
            </w:pPr>
            <w:r>
              <w:rPr>
                <w:rFonts w:ascii="宋体" w:hAnsi="宋体" w:eastAsia="宋体" w:cs="宋体"/>
                <w:b w:val="0"/>
              </w:rPr>
              <w:t>-</w:t>
            </w:r>
          </w:p>
        </w:tc>
        <w:tc>
          <w:tcPr>
            <w:tcW w:w="0" w:type="dxa"/>
            <w:vAlign w:val="center"/>
          </w:tcPr>
          <w:p w14:paraId="6B9F794D">
            <w:pPr>
              <w:spacing w:line="240" w:lineRule="auto"/>
              <w:jc w:val="right"/>
            </w:pPr>
            <w:r>
              <w:rPr>
                <w:rFonts w:ascii="宋体" w:hAnsi="宋体" w:eastAsia="宋体" w:cs="宋体"/>
                <w:b w:val="0"/>
              </w:rPr>
              <w:t>-</w:t>
            </w:r>
          </w:p>
        </w:tc>
        <w:tc>
          <w:tcPr>
            <w:tcW w:w="0" w:type="dxa"/>
            <w:vAlign w:val="center"/>
          </w:tcPr>
          <w:p w14:paraId="6493BFC1">
            <w:pPr>
              <w:spacing w:line="240" w:lineRule="auto"/>
              <w:jc w:val="right"/>
            </w:pPr>
            <w:r>
              <w:rPr>
                <w:rFonts w:ascii="宋体" w:hAnsi="宋体" w:eastAsia="宋体" w:cs="宋体"/>
                <w:b w:val="0"/>
              </w:rPr>
              <w:t>-</w:t>
            </w:r>
          </w:p>
        </w:tc>
      </w:tr>
      <w:tr w14:paraId="7262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74E245">
            <w:pPr>
              <w:spacing w:line="240" w:lineRule="auto"/>
              <w:jc w:val="left"/>
            </w:pPr>
            <w:r>
              <w:rPr>
                <w:rFonts w:ascii="宋体" w:hAnsi="宋体" w:eastAsia="宋体" w:cs="宋体"/>
                <w:b w:val="0"/>
              </w:rPr>
              <w:t>二、本期期初净资产</w:t>
            </w:r>
          </w:p>
        </w:tc>
        <w:tc>
          <w:tcPr>
            <w:tcW w:w="0" w:type="dxa"/>
            <w:vAlign w:val="center"/>
          </w:tcPr>
          <w:p w14:paraId="7F86891E">
            <w:pPr>
              <w:spacing w:line="240" w:lineRule="auto"/>
              <w:jc w:val="right"/>
            </w:pPr>
            <w:r>
              <w:rPr>
                <w:rFonts w:ascii="宋体" w:hAnsi="宋体" w:eastAsia="宋体" w:cs="宋体"/>
                <w:b w:val="0"/>
              </w:rPr>
              <w:t>10,328,946.45</w:t>
            </w:r>
          </w:p>
        </w:tc>
        <w:tc>
          <w:tcPr>
            <w:tcW w:w="0" w:type="dxa"/>
            <w:vAlign w:val="center"/>
          </w:tcPr>
          <w:p w14:paraId="67E52732">
            <w:pPr>
              <w:spacing w:line="240" w:lineRule="auto"/>
              <w:jc w:val="right"/>
            </w:pPr>
            <w:r>
              <w:rPr>
                <w:rFonts w:ascii="宋体" w:hAnsi="宋体" w:eastAsia="宋体" w:cs="宋体"/>
                <w:b w:val="0"/>
              </w:rPr>
              <w:t>-</w:t>
            </w:r>
          </w:p>
        </w:tc>
        <w:tc>
          <w:tcPr>
            <w:tcW w:w="0" w:type="dxa"/>
            <w:vAlign w:val="center"/>
          </w:tcPr>
          <w:p w14:paraId="383B41B8">
            <w:pPr>
              <w:spacing w:line="240" w:lineRule="auto"/>
              <w:jc w:val="right"/>
            </w:pPr>
            <w:r>
              <w:rPr>
                <w:rFonts w:ascii="宋体" w:hAnsi="宋体" w:eastAsia="宋体" w:cs="宋体"/>
                <w:b w:val="0"/>
              </w:rPr>
              <w:t>10,328,946.45</w:t>
            </w:r>
          </w:p>
        </w:tc>
      </w:tr>
      <w:tr w14:paraId="1917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9ED4EF">
            <w:pPr>
              <w:spacing w:line="240" w:lineRule="auto"/>
              <w:jc w:val="left"/>
            </w:pPr>
            <w:r>
              <w:rPr>
                <w:rFonts w:ascii="宋体" w:hAnsi="宋体" w:eastAsia="宋体" w:cs="宋体"/>
                <w:b w:val="0"/>
              </w:rPr>
              <w:t>三、本期增减变动额（减少以“-”号填列）</w:t>
            </w:r>
          </w:p>
        </w:tc>
        <w:tc>
          <w:tcPr>
            <w:tcW w:w="0" w:type="dxa"/>
            <w:vAlign w:val="center"/>
          </w:tcPr>
          <w:p w14:paraId="04FA7020">
            <w:pPr>
              <w:spacing w:line="240" w:lineRule="auto"/>
              <w:jc w:val="right"/>
            </w:pPr>
            <w:r>
              <w:rPr>
                <w:rFonts w:ascii="宋体" w:hAnsi="宋体" w:eastAsia="宋体" w:cs="宋体"/>
                <w:b w:val="0"/>
              </w:rPr>
              <w:t>582,779.28</w:t>
            </w:r>
          </w:p>
        </w:tc>
        <w:tc>
          <w:tcPr>
            <w:tcW w:w="0" w:type="dxa"/>
            <w:vAlign w:val="center"/>
          </w:tcPr>
          <w:p w14:paraId="28850825">
            <w:pPr>
              <w:spacing w:line="240" w:lineRule="auto"/>
              <w:jc w:val="right"/>
            </w:pPr>
            <w:r>
              <w:rPr>
                <w:rFonts w:ascii="宋体" w:hAnsi="宋体" w:eastAsia="宋体" w:cs="宋体"/>
                <w:b w:val="0"/>
              </w:rPr>
              <w:t>147,280.60</w:t>
            </w:r>
          </w:p>
        </w:tc>
        <w:tc>
          <w:tcPr>
            <w:tcW w:w="0" w:type="dxa"/>
            <w:vAlign w:val="center"/>
          </w:tcPr>
          <w:p w14:paraId="4FE62242">
            <w:pPr>
              <w:spacing w:line="240" w:lineRule="auto"/>
              <w:jc w:val="right"/>
            </w:pPr>
            <w:r>
              <w:rPr>
                <w:rFonts w:ascii="宋体" w:hAnsi="宋体" w:eastAsia="宋体" w:cs="宋体"/>
                <w:b w:val="0"/>
              </w:rPr>
              <w:t>730,059.88</w:t>
            </w:r>
          </w:p>
        </w:tc>
      </w:tr>
      <w:tr w14:paraId="532D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5FEFD5">
            <w:pPr>
              <w:spacing w:line="240" w:lineRule="auto"/>
              <w:jc w:val="left"/>
            </w:pPr>
            <w:r>
              <w:rPr>
                <w:rFonts w:ascii="宋体" w:hAnsi="宋体" w:eastAsia="宋体" w:cs="宋体"/>
                <w:b w:val="0"/>
              </w:rPr>
              <w:t>（一）、综合收益总额</w:t>
            </w:r>
          </w:p>
        </w:tc>
        <w:tc>
          <w:tcPr>
            <w:tcW w:w="0" w:type="dxa"/>
            <w:vAlign w:val="center"/>
          </w:tcPr>
          <w:p w14:paraId="483664E4">
            <w:pPr>
              <w:spacing w:line="240" w:lineRule="auto"/>
              <w:jc w:val="right"/>
            </w:pPr>
            <w:r>
              <w:rPr>
                <w:rFonts w:ascii="宋体" w:hAnsi="宋体" w:eastAsia="宋体" w:cs="宋体"/>
                <w:b w:val="0"/>
              </w:rPr>
              <w:t>-</w:t>
            </w:r>
          </w:p>
        </w:tc>
        <w:tc>
          <w:tcPr>
            <w:tcW w:w="0" w:type="dxa"/>
            <w:vAlign w:val="center"/>
          </w:tcPr>
          <w:p w14:paraId="3F2642C4">
            <w:pPr>
              <w:spacing w:line="240" w:lineRule="auto"/>
              <w:jc w:val="right"/>
            </w:pPr>
            <w:r>
              <w:rPr>
                <w:rFonts w:ascii="宋体" w:hAnsi="宋体" w:eastAsia="宋体" w:cs="宋体"/>
                <w:b w:val="0"/>
              </w:rPr>
              <w:t>142,026.90</w:t>
            </w:r>
          </w:p>
        </w:tc>
        <w:tc>
          <w:tcPr>
            <w:tcW w:w="0" w:type="dxa"/>
            <w:vAlign w:val="center"/>
          </w:tcPr>
          <w:p w14:paraId="0E8B44D6">
            <w:pPr>
              <w:spacing w:line="240" w:lineRule="auto"/>
              <w:jc w:val="right"/>
            </w:pPr>
            <w:r>
              <w:rPr>
                <w:rFonts w:ascii="宋体" w:hAnsi="宋体" w:eastAsia="宋体" w:cs="宋体"/>
                <w:b w:val="0"/>
              </w:rPr>
              <w:t>142,026.90</w:t>
            </w:r>
          </w:p>
        </w:tc>
      </w:tr>
      <w:tr w14:paraId="125E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1794D4">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65228EB8">
            <w:pPr>
              <w:spacing w:line="240" w:lineRule="auto"/>
              <w:jc w:val="right"/>
            </w:pPr>
            <w:r>
              <w:rPr>
                <w:rFonts w:ascii="宋体" w:hAnsi="宋体" w:eastAsia="宋体" w:cs="宋体"/>
                <w:b w:val="0"/>
              </w:rPr>
              <w:t>582,779.28</w:t>
            </w:r>
          </w:p>
        </w:tc>
        <w:tc>
          <w:tcPr>
            <w:tcW w:w="0" w:type="dxa"/>
            <w:vAlign w:val="center"/>
          </w:tcPr>
          <w:p w14:paraId="0703BDBF">
            <w:pPr>
              <w:spacing w:line="240" w:lineRule="auto"/>
              <w:jc w:val="right"/>
            </w:pPr>
            <w:r>
              <w:rPr>
                <w:rFonts w:ascii="宋体" w:hAnsi="宋体" w:eastAsia="宋体" w:cs="宋体"/>
                <w:b w:val="0"/>
              </w:rPr>
              <w:t>5,253.70</w:t>
            </w:r>
          </w:p>
        </w:tc>
        <w:tc>
          <w:tcPr>
            <w:tcW w:w="0" w:type="dxa"/>
            <w:vAlign w:val="center"/>
          </w:tcPr>
          <w:p w14:paraId="30D7CF63">
            <w:pPr>
              <w:spacing w:line="240" w:lineRule="auto"/>
              <w:jc w:val="right"/>
            </w:pPr>
            <w:r>
              <w:rPr>
                <w:rFonts w:ascii="宋体" w:hAnsi="宋体" w:eastAsia="宋体" w:cs="宋体"/>
                <w:b w:val="0"/>
              </w:rPr>
              <w:t>588,032.98</w:t>
            </w:r>
          </w:p>
        </w:tc>
      </w:tr>
      <w:tr w14:paraId="1FB6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ABD866">
            <w:pPr>
              <w:spacing w:line="240" w:lineRule="auto"/>
              <w:jc w:val="left"/>
            </w:pPr>
            <w:r>
              <w:rPr>
                <w:rFonts w:ascii="宋体" w:hAnsi="宋体" w:eastAsia="宋体" w:cs="宋体"/>
                <w:b w:val="0"/>
              </w:rPr>
              <w:t>其中：1.基金申购款</w:t>
            </w:r>
          </w:p>
        </w:tc>
        <w:tc>
          <w:tcPr>
            <w:tcW w:w="0" w:type="dxa"/>
            <w:vAlign w:val="center"/>
          </w:tcPr>
          <w:p w14:paraId="74BA35B9">
            <w:pPr>
              <w:spacing w:line="240" w:lineRule="auto"/>
              <w:jc w:val="right"/>
            </w:pPr>
            <w:r>
              <w:rPr>
                <w:rFonts w:ascii="宋体" w:hAnsi="宋体" w:eastAsia="宋体" w:cs="宋体"/>
                <w:b w:val="0"/>
              </w:rPr>
              <w:t>697,635.71</w:t>
            </w:r>
          </w:p>
        </w:tc>
        <w:tc>
          <w:tcPr>
            <w:tcW w:w="0" w:type="dxa"/>
            <w:vAlign w:val="center"/>
          </w:tcPr>
          <w:p w14:paraId="2934A9FB">
            <w:pPr>
              <w:spacing w:line="240" w:lineRule="auto"/>
              <w:jc w:val="right"/>
            </w:pPr>
            <w:r>
              <w:rPr>
                <w:rFonts w:ascii="宋体" w:hAnsi="宋体" w:eastAsia="宋体" w:cs="宋体"/>
                <w:b w:val="0"/>
              </w:rPr>
              <w:t>7,033.72</w:t>
            </w:r>
          </w:p>
        </w:tc>
        <w:tc>
          <w:tcPr>
            <w:tcW w:w="0" w:type="dxa"/>
            <w:vAlign w:val="center"/>
          </w:tcPr>
          <w:p w14:paraId="1DA8D0FF">
            <w:pPr>
              <w:spacing w:line="240" w:lineRule="auto"/>
              <w:jc w:val="right"/>
            </w:pPr>
            <w:r>
              <w:rPr>
                <w:rFonts w:ascii="宋体" w:hAnsi="宋体" w:eastAsia="宋体" w:cs="宋体"/>
                <w:b w:val="0"/>
              </w:rPr>
              <w:t>704,669.43</w:t>
            </w:r>
          </w:p>
        </w:tc>
      </w:tr>
      <w:tr w14:paraId="3546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26D838">
            <w:pPr>
              <w:spacing w:line="240" w:lineRule="auto"/>
              <w:jc w:val="left"/>
            </w:pPr>
            <w:r>
              <w:rPr>
                <w:rFonts w:ascii="宋体" w:hAnsi="宋体" w:eastAsia="宋体" w:cs="宋体"/>
                <w:b w:val="0"/>
              </w:rPr>
              <w:t xml:space="preserve">      2.基金赎回款</w:t>
            </w:r>
          </w:p>
        </w:tc>
        <w:tc>
          <w:tcPr>
            <w:tcW w:w="0" w:type="dxa"/>
            <w:vAlign w:val="center"/>
          </w:tcPr>
          <w:p w14:paraId="5A0C7423">
            <w:pPr>
              <w:spacing w:line="240" w:lineRule="auto"/>
              <w:jc w:val="right"/>
            </w:pPr>
            <w:r>
              <w:rPr>
                <w:rFonts w:ascii="宋体" w:hAnsi="宋体" w:eastAsia="宋体" w:cs="宋体"/>
                <w:b w:val="0"/>
              </w:rPr>
              <w:t>-114,856.43</w:t>
            </w:r>
          </w:p>
        </w:tc>
        <w:tc>
          <w:tcPr>
            <w:tcW w:w="0" w:type="dxa"/>
            <w:vAlign w:val="center"/>
          </w:tcPr>
          <w:p w14:paraId="66832F6A">
            <w:pPr>
              <w:spacing w:line="240" w:lineRule="auto"/>
              <w:jc w:val="right"/>
            </w:pPr>
            <w:r>
              <w:rPr>
                <w:rFonts w:ascii="宋体" w:hAnsi="宋体" w:eastAsia="宋体" w:cs="宋体"/>
                <w:b w:val="0"/>
              </w:rPr>
              <w:t>-1,780.02</w:t>
            </w:r>
          </w:p>
        </w:tc>
        <w:tc>
          <w:tcPr>
            <w:tcW w:w="0" w:type="dxa"/>
            <w:vAlign w:val="center"/>
          </w:tcPr>
          <w:p w14:paraId="2BC13821">
            <w:pPr>
              <w:spacing w:line="240" w:lineRule="auto"/>
              <w:jc w:val="right"/>
            </w:pPr>
            <w:r>
              <w:rPr>
                <w:rFonts w:ascii="宋体" w:hAnsi="宋体" w:eastAsia="宋体" w:cs="宋体"/>
                <w:b w:val="0"/>
              </w:rPr>
              <w:t>-116,636.45</w:t>
            </w:r>
          </w:p>
        </w:tc>
      </w:tr>
      <w:tr w14:paraId="032D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16036B">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623B03CF">
            <w:pPr>
              <w:spacing w:line="240" w:lineRule="auto"/>
              <w:jc w:val="right"/>
            </w:pPr>
            <w:r>
              <w:rPr>
                <w:rFonts w:ascii="宋体" w:hAnsi="宋体" w:eastAsia="宋体" w:cs="宋体"/>
                <w:b w:val="0"/>
              </w:rPr>
              <w:t>-</w:t>
            </w:r>
          </w:p>
        </w:tc>
        <w:tc>
          <w:tcPr>
            <w:tcW w:w="0" w:type="dxa"/>
            <w:vAlign w:val="center"/>
          </w:tcPr>
          <w:p w14:paraId="28D7D567">
            <w:pPr>
              <w:spacing w:line="240" w:lineRule="auto"/>
              <w:jc w:val="right"/>
            </w:pPr>
            <w:r>
              <w:rPr>
                <w:rFonts w:ascii="宋体" w:hAnsi="宋体" w:eastAsia="宋体" w:cs="宋体"/>
                <w:b w:val="0"/>
              </w:rPr>
              <w:t>-</w:t>
            </w:r>
          </w:p>
        </w:tc>
        <w:tc>
          <w:tcPr>
            <w:tcW w:w="0" w:type="dxa"/>
            <w:vAlign w:val="center"/>
          </w:tcPr>
          <w:p w14:paraId="70E48765">
            <w:pPr>
              <w:spacing w:line="240" w:lineRule="auto"/>
              <w:jc w:val="right"/>
            </w:pPr>
            <w:r>
              <w:rPr>
                <w:rFonts w:ascii="宋体" w:hAnsi="宋体" w:eastAsia="宋体" w:cs="宋体"/>
                <w:b w:val="0"/>
              </w:rPr>
              <w:t>-</w:t>
            </w:r>
          </w:p>
        </w:tc>
      </w:tr>
      <w:tr w14:paraId="6048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E6B796">
            <w:pPr>
              <w:spacing w:line="240" w:lineRule="auto"/>
              <w:jc w:val="left"/>
            </w:pPr>
            <w:r>
              <w:rPr>
                <w:rFonts w:ascii="宋体" w:hAnsi="宋体" w:eastAsia="宋体" w:cs="宋体"/>
                <w:b w:val="0"/>
              </w:rPr>
              <w:t>四、本期期末净资产</w:t>
            </w:r>
          </w:p>
        </w:tc>
        <w:tc>
          <w:tcPr>
            <w:tcW w:w="0" w:type="dxa"/>
            <w:vAlign w:val="center"/>
          </w:tcPr>
          <w:p w14:paraId="453F58E1">
            <w:pPr>
              <w:spacing w:line="240" w:lineRule="auto"/>
              <w:jc w:val="right"/>
            </w:pPr>
            <w:r>
              <w:rPr>
                <w:rFonts w:ascii="宋体" w:hAnsi="宋体" w:eastAsia="宋体" w:cs="宋体"/>
                <w:b w:val="0"/>
              </w:rPr>
              <w:t>10,911,725.73</w:t>
            </w:r>
          </w:p>
        </w:tc>
        <w:tc>
          <w:tcPr>
            <w:tcW w:w="0" w:type="dxa"/>
            <w:vAlign w:val="center"/>
          </w:tcPr>
          <w:p w14:paraId="2D2FF579">
            <w:pPr>
              <w:spacing w:line="240" w:lineRule="auto"/>
              <w:jc w:val="right"/>
            </w:pPr>
            <w:r>
              <w:rPr>
                <w:rFonts w:ascii="宋体" w:hAnsi="宋体" w:eastAsia="宋体" w:cs="宋体"/>
                <w:b w:val="0"/>
              </w:rPr>
              <w:t>147,280.60</w:t>
            </w:r>
          </w:p>
        </w:tc>
        <w:tc>
          <w:tcPr>
            <w:tcW w:w="0" w:type="dxa"/>
            <w:vAlign w:val="center"/>
          </w:tcPr>
          <w:p w14:paraId="32785A37">
            <w:pPr>
              <w:spacing w:line="240" w:lineRule="auto"/>
              <w:jc w:val="right"/>
            </w:pPr>
            <w:r>
              <w:rPr>
                <w:rFonts w:ascii="宋体" w:hAnsi="宋体" w:eastAsia="宋体" w:cs="宋体"/>
                <w:b w:val="0"/>
              </w:rPr>
              <w:t>11,059,006.33</w:t>
            </w:r>
          </w:p>
        </w:tc>
      </w:tr>
    </w:tbl>
    <w:p w14:paraId="1FAC5FA0">
      <w:r>
        <w:rPr>
          <w:rFonts w:ascii="宋体" w:hAnsi="宋体" w:eastAsia="宋体" w:cs="宋体"/>
          <w:b w:val="0"/>
        </w:rPr>
        <w:t>注：本基金合同生效日为2026年06月02日，本报告期实际报告期间为2026年06月02日至2026年06月30日。截至报告期末本基金合同生效未满半年，本报告期的财务报表及报表附注均无同期对比数据。</w:t>
      </w:r>
    </w:p>
    <w:p w14:paraId="3BDC81A7"/>
    <w:p w14:paraId="4D770375">
      <w:pPr>
        <w:jc w:val="left"/>
      </w:pPr>
      <w:r>
        <w:rPr>
          <w:rFonts w:ascii="宋体" w:hAnsi="宋体" w:eastAsia="宋体" w:cs="宋体"/>
          <w:b w:val="0"/>
        </w:rPr>
        <w:t>报表附注为财务报表的组成部分。</w:t>
      </w:r>
    </w:p>
    <w:p w14:paraId="641D42AC">
      <w:pPr>
        <w:jc w:val="left"/>
      </w:pPr>
      <w:r>
        <w:rPr>
          <w:rFonts w:ascii="宋体" w:hAnsi="宋体" w:eastAsia="宋体" w:cs="宋体"/>
          <w:b w:val="0"/>
        </w:rPr>
        <w:t>本报告6.1至6.4财务报表由下列负责人签署:</w:t>
      </w:r>
    </w:p>
    <w:tbl>
      <w:tblPr>
        <w:tblStyle w:val="27"/>
        <w:tblW w:w="5000" w:type="pct"/>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095"/>
        <w:gridCol w:w="3095"/>
        <w:gridCol w:w="3096"/>
      </w:tblGrid>
      <w:tr w14:paraId="321EBEC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61DC1D0B">
            <w:pPr>
              <w:spacing w:line="240" w:lineRule="auto"/>
              <w:jc w:val="center"/>
            </w:pPr>
            <w:r>
              <w:rPr>
                <w:rFonts w:ascii="宋体" w:hAnsi="宋体" w:eastAsia="宋体" w:cs="宋体"/>
                <w:b w:val="0"/>
              </w:rPr>
              <w:t>刘明</w:t>
            </w:r>
          </w:p>
        </w:tc>
        <w:tc>
          <w:tcPr>
            <w:tcW w:w="1538" w:type="pct"/>
            <w:vAlign w:val="center"/>
          </w:tcPr>
          <w:p w14:paraId="45115FF9">
            <w:pPr>
              <w:spacing w:line="240" w:lineRule="auto"/>
              <w:jc w:val="center"/>
            </w:pPr>
            <w:r>
              <w:rPr>
                <w:rFonts w:ascii="宋体" w:hAnsi="宋体" w:eastAsia="宋体" w:cs="宋体"/>
                <w:b w:val="0"/>
              </w:rPr>
              <w:t>曹渊</w:t>
            </w:r>
          </w:p>
        </w:tc>
        <w:tc>
          <w:tcPr>
            <w:tcW w:w="1538" w:type="pct"/>
            <w:vAlign w:val="center"/>
          </w:tcPr>
          <w:p w14:paraId="14A8CDB4">
            <w:pPr>
              <w:spacing w:line="240" w:lineRule="auto"/>
              <w:jc w:val="center"/>
            </w:pPr>
            <w:r>
              <w:rPr>
                <w:rFonts w:ascii="宋体" w:hAnsi="宋体" w:eastAsia="宋体" w:cs="宋体"/>
                <w:b w:val="0"/>
              </w:rPr>
              <w:t>张珂</w:t>
            </w:r>
          </w:p>
        </w:tc>
      </w:tr>
      <w:tr w14:paraId="520DCF9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1C4E9037">
            <w:pPr>
              <w:spacing w:line="240" w:lineRule="auto"/>
              <w:jc w:val="center"/>
            </w:pPr>
            <w:r>
              <w:rPr>
                <w:rFonts w:ascii="宋体" w:hAnsi="宋体" w:eastAsia="宋体" w:cs="宋体"/>
                <w:b w:val="0"/>
              </w:rPr>
              <w:t>—————————</w:t>
            </w:r>
          </w:p>
        </w:tc>
        <w:tc>
          <w:tcPr>
            <w:tcW w:w="1538" w:type="pct"/>
            <w:vAlign w:val="center"/>
          </w:tcPr>
          <w:p w14:paraId="14427B89">
            <w:pPr>
              <w:spacing w:line="240" w:lineRule="auto"/>
              <w:jc w:val="center"/>
            </w:pPr>
            <w:r>
              <w:rPr>
                <w:rFonts w:ascii="宋体" w:hAnsi="宋体" w:eastAsia="宋体" w:cs="宋体"/>
                <w:b w:val="0"/>
              </w:rPr>
              <w:t>—————————</w:t>
            </w:r>
          </w:p>
        </w:tc>
        <w:tc>
          <w:tcPr>
            <w:tcW w:w="1538" w:type="pct"/>
            <w:vAlign w:val="center"/>
          </w:tcPr>
          <w:p w14:paraId="7388CFCA">
            <w:pPr>
              <w:spacing w:line="240" w:lineRule="auto"/>
              <w:jc w:val="center"/>
            </w:pPr>
            <w:r>
              <w:rPr>
                <w:rFonts w:ascii="宋体" w:hAnsi="宋体" w:eastAsia="宋体" w:cs="宋体"/>
                <w:b w:val="0"/>
              </w:rPr>
              <w:t>—————————</w:t>
            </w:r>
          </w:p>
        </w:tc>
      </w:tr>
      <w:tr w14:paraId="04C2AE8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7CF57F9E">
            <w:pPr>
              <w:spacing w:line="240" w:lineRule="auto"/>
              <w:jc w:val="center"/>
            </w:pPr>
            <w:r>
              <w:rPr>
                <w:rFonts w:ascii="宋体" w:hAnsi="宋体" w:eastAsia="宋体" w:cs="宋体"/>
                <w:b w:val="0"/>
              </w:rPr>
              <w:t>基金管理人负责人</w:t>
            </w:r>
          </w:p>
        </w:tc>
        <w:tc>
          <w:tcPr>
            <w:tcW w:w="1538" w:type="pct"/>
            <w:vAlign w:val="center"/>
          </w:tcPr>
          <w:p w14:paraId="2B28C4AF">
            <w:pPr>
              <w:spacing w:line="240" w:lineRule="auto"/>
              <w:jc w:val="center"/>
            </w:pPr>
            <w:r>
              <w:rPr>
                <w:rFonts w:ascii="宋体" w:hAnsi="宋体" w:eastAsia="宋体" w:cs="宋体"/>
                <w:b w:val="0"/>
              </w:rPr>
              <w:t>主管会计工作负责人</w:t>
            </w:r>
          </w:p>
        </w:tc>
        <w:tc>
          <w:tcPr>
            <w:tcW w:w="1538" w:type="pct"/>
            <w:vAlign w:val="center"/>
          </w:tcPr>
          <w:p w14:paraId="5F93A98A">
            <w:pPr>
              <w:spacing w:line="240" w:lineRule="auto"/>
              <w:jc w:val="center"/>
            </w:pPr>
            <w:r>
              <w:rPr>
                <w:rFonts w:ascii="宋体" w:hAnsi="宋体" w:eastAsia="宋体" w:cs="宋体"/>
                <w:b w:val="0"/>
              </w:rPr>
              <w:t>会计机构负责人</w:t>
            </w:r>
          </w:p>
        </w:tc>
      </w:tr>
    </w:tbl>
    <w:p w14:paraId="2105CB85"/>
    <w:p w14:paraId="46478719">
      <w:pPr>
        <w:pStyle w:val="3"/>
        <w:jc w:val="left"/>
      </w:pPr>
      <w:bookmarkStart w:id="30" w:name="_Toc30730"/>
      <w:r>
        <w:rPr>
          <w:rFonts w:ascii="宋体" w:hAnsi="宋体" w:eastAsia="宋体" w:cs="宋体"/>
        </w:rPr>
        <w:t>6.4 报表附注</w:t>
      </w:r>
      <w:bookmarkEnd w:id="30"/>
    </w:p>
    <w:p w14:paraId="01797EC4">
      <w:pPr>
        <w:pStyle w:val="58"/>
      </w:pPr>
      <w:r>
        <w:rPr>
          <w:rFonts w:ascii="宋体" w:hAnsi="宋体" w:eastAsia="宋体" w:cs="宋体"/>
          <w:b/>
        </w:rPr>
        <w:t>6.4.1 基金基本情况</w:t>
      </w:r>
    </w:p>
    <w:p w14:paraId="3C89F30B">
      <w:pPr>
        <w:jc w:val="left"/>
      </w:pPr>
      <w:r>
        <w:rPr>
          <w:rFonts w:ascii="宋体" w:hAnsi="宋体" w:eastAsia="宋体" w:cs="宋体"/>
          <w:b w:val="0"/>
        </w:rPr>
        <w:t xml:space="preserve">    东方阿尔法增利债券型发起式证券投资基金(以下简称“本基金”) 经中国证券监督管理委员会(以下简称“中国证监会”)证监许可[2026]1076号《关于准予东方阿尔法增利债券型发起式证券投资基金注册的批复》核准，由东方阿尔法基金管理有限公司根据《中华人民共和国证券投资基金法》和《东方阿尔法增利债券型发起式证券投资基金基金合同》负责公开募集。本基金为契约型开放式基金，存续期不定，首次设立募集不包括认购资金利息共募集人民币10,328,554.27元，业经容诚会计师事务所(特殊普通合伙)容诚验字[2026]200Z0132号验资报告予以验证。经向中国证监会备案，《东方阿尔法增利债券型发起式证券投资基金基金合同》于2025年10月21日正式生效，基金合同生效日的基金总份额为10,328,946.45份基金份额，其中认购资金利息折合392.18份基金份额。本基金的基金管理人为东方阿尔法基金管理有限公司，基金金融运营服务机构为招商证券股份有限公司，基金托管人为招商银行股份有限公司。</w:t>
      </w:r>
      <w:r>
        <w:rPr>
          <w:rFonts w:ascii="宋体" w:hAnsi="宋体" w:eastAsia="宋体" w:cs="宋体"/>
          <w:b w:val="0"/>
        </w:rPr>
        <w:br w:type="textWrapping"/>
      </w:r>
      <w:r>
        <w:rPr>
          <w:rFonts w:ascii="宋体" w:hAnsi="宋体" w:eastAsia="宋体" w:cs="宋体"/>
          <w:b w:val="0"/>
        </w:rPr>
        <w:t xml:space="preserve">    本基金为发起式基金，发起资金认购部分为10,010,389.24份基金份额，发起资金认购方承诺使用发起资金认购的基金份额持有期限不少于3年。</w:t>
      </w:r>
      <w:r>
        <w:rPr>
          <w:rFonts w:ascii="宋体" w:hAnsi="宋体" w:eastAsia="宋体" w:cs="宋体"/>
          <w:b w:val="0"/>
        </w:rPr>
        <w:br w:type="textWrapping"/>
      </w:r>
      <w:r>
        <w:rPr>
          <w:rFonts w:ascii="宋体" w:hAnsi="宋体" w:eastAsia="宋体" w:cs="宋体"/>
          <w:b w:val="0"/>
        </w:rPr>
        <w:t xml:space="preserve">    根据《东方阿尔法增利债券型发起式证券投资基金基金合同》和《东方阿尔法增利债券型发起式证券投资基金招募说明书》(含更新)，本基金根据所收取的认购/申购费用、销售服务费用等方式的差异，将基金份额分为不同的类别。在投资者认购、申购基金时收取认购/申购费用而不计提销售服务费，并在赎回时根据持有期限收取赎回费用的基金份额，称为A类基金份额，其中，通过基金管理人认购、申购A类基金份额的不收取认购、申购费用；在投资者认购、申购基金份额时不收取认购/申购费用,而是从本类别基金资产中计提销售服务费，并在赎回时根据持有期限收取赎回费用的基金份额，称为C类基金份额，其中，通过基金管理人认购、申购C类基金份额的不收取销售服务费；通过代销机构认购、申购并持续持有期限超过一年的C类基金份额，不再继续收取销售服务费。本基金A类、C类两种收费模式并存，各类基金份额分别计算基金份额净值。投资人可自由选择认购/申购某一类别的基金份额，但各类别基金份额之间不能相互转换。</w:t>
      </w:r>
      <w:r>
        <w:rPr>
          <w:rFonts w:ascii="宋体" w:hAnsi="宋体" w:eastAsia="宋体" w:cs="宋体"/>
          <w:b w:val="0"/>
        </w:rPr>
        <w:br w:type="textWrapping"/>
      </w:r>
      <w:r>
        <w:rPr>
          <w:rFonts w:ascii="宋体" w:hAnsi="宋体" w:eastAsia="宋体" w:cs="宋体"/>
          <w:b w:val="0"/>
        </w:rPr>
        <w:t xml:space="preserve">    根据《中华人民共和国证券投资基金法》和《东方阿尔法增利债券型发起式证券投资基金基金合同》的有关规定，本基金的投资范围为具有良好流动性的金融工具，包括债券(包括国债、央行票据、金融债券、企业债券、公司债券、中期票据、短期融资券、超短期融资券、次级债券、地方政府债券、可转换债券、可交换债券及其他经中国证监会允许投资的债券)、国内依法发行或上市的股票、存托凭证、港股通标的股票、资产支持证券、债券回购、银行存款、同业存单、国债期货、经中国证监会依法核准或注册的公开募集证券投资基金（仅限于全市场的股票型ETF及基金管理人旗下的股票型基金、计入权益类资产的混合型基金，不包括QDII基金、香港互认基金、基金中基金、其他可投资公募基金的非基金中基金、货币市场基金、非本基金管理人管理的基金（全市场的股票型ETF除外））以及法律法规或中国证监会允许基金投资的其他金融工具(须符合中国证监会相关规定)。本基金投资于债券的比例不低于基金资产的80%，投资于股票、存托凭证、股票型基金、混合型基金等权益类资产及可转换债券、可交换债券的合计比例为基金资产的10%-20%（其中投资于境内股票资产（含A股股票型ETF）的比例不低于基金资产的10%）；投资于港股通标的股票的比例不超过本基金股票资产的50%；本基金投资于证券投资基金的资产不超过基金资产净值的10%；本基金每个交易日日终在扣除国债期货合约需缴纳的交易保证金后，持有现金(不包括结算备付金、存出保证金、应收申购款等)或者到期日在1年以内的政府债券不低于基金资产净值的5%。其中，计入上述权益类资产的混合型基金需符合下列两个条件之一：1、基金合同约定股票及存托凭证资产投资比例不低于基金资产60%的混合型基金；2、根据基金披露的定期报告，最近四个季度中任一季度股票及存托凭证资产占基金资产比例均不低于60%的混合型基金。本基金的业绩比较基准为：中债-综合全价（总值）指数收益率×85%+沪深300指数收益率×10%+中证港股通综合指数（人民币）收益率*5%。</w:t>
      </w:r>
    </w:p>
    <w:p w14:paraId="4DC0C973"/>
    <w:p w14:paraId="05F264CE">
      <w:pPr>
        <w:pStyle w:val="58"/>
      </w:pPr>
      <w:r>
        <w:rPr>
          <w:rFonts w:ascii="宋体" w:hAnsi="宋体" w:eastAsia="宋体" w:cs="宋体"/>
          <w:b/>
        </w:rPr>
        <w:t>6.4.2 会计报表的编制基础</w:t>
      </w:r>
    </w:p>
    <w:p w14:paraId="3C1E1D5B">
      <w:pPr>
        <w:jc w:val="left"/>
      </w:pPr>
      <w:r>
        <w:rPr>
          <w:rFonts w:ascii="宋体" w:hAnsi="宋体" w:eastAsia="宋体" w:cs="宋体"/>
          <w:b w:val="0"/>
        </w:rPr>
        <w:t xml:space="preserve">    本基金的财务报表按照财政部于2006年2月15日及以后期间颁布的《企业会计准则－基本准则》、各项具体会计准则、《资产管理产品相关会计处理规定》及其他相关规定(以下合称"企业会计准则")、中国证券投资基金业协会(以下简称"中国基金业协会")发布的《公开募集证券投资基金信息披露XBRL模板第3号——年度报告和中期报告》、《证券投资基金会计核算业务指引》、《东方阿尔法增利债券型发起式证券投资基金基金合同》和在财务报表附注所列示的中国证监会、中国基金业协会发布的有关规定及允许的基金行业实务操作编制。</w:t>
      </w:r>
      <w:r>
        <w:rPr>
          <w:rFonts w:ascii="宋体" w:hAnsi="宋体" w:eastAsia="宋体" w:cs="宋体"/>
          <w:b w:val="0"/>
        </w:rPr>
        <w:br w:type="textWrapping"/>
      </w:r>
      <w:r>
        <w:rPr>
          <w:rFonts w:ascii="宋体" w:hAnsi="宋体" w:eastAsia="宋体" w:cs="宋体"/>
          <w:b w:val="0"/>
        </w:rPr>
        <w:t xml:space="preserve">    本财务报表以持续经营为基础编制。</w:t>
      </w:r>
    </w:p>
    <w:p w14:paraId="31D03BD1"/>
    <w:p w14:paraId="7C2760A8">
      <w:pPr>
        <w:pStyle w:val="58"/>
      </w:pPr>
      <w:r>
        <w:rPr>
          <w:rFonts w:ascii="宋体" w:hAnsi="宋体" w:eastAsia="宋体" w:cs="宋体"/>
          <w:b/>
        </w:rPr>
        <w:t>6.4.3 遵循企业会计准则及其他有关规定的声明</w:t>
      </w:r>
    </w:p>
    <w:p w14:paraId="4341F9B3">
      <w:pPr>
        <w:jc w:val="left"/>
      </w:pPr>
      <w:r>
        <w:rPr>
          <w:rFonts w:ascii="宋体" w:hAnsi="宋体" w:eastAsia="宋体" w:cs="宋体"/>
          <w:b w:val="0"/>
        </w:rPr>
        <w:t xml:space="preserve">    本基金2026年06月02日(基金合同生效日)至2026年06月30日止期间的财务报表符合企业会计准则的要求，真实、完整地反映了本基金2026年06月30日的财务状况以及2026年06月02日(基金合同生效日)至2026年06月30日止期间的经营成果和净资产变动情况等有关信息。</w:t>
      </w:r>
    </w:p>
    <w:p w14:paraId="44D68D1B"/>
    <w:p w14:paraId="1B1592FD">
      <w:pPr>
        <w:pStyle w:val="58"/>
      </w:pPr>
      <w:r>
        <w:rPr>
          <w:rFonts w:ascii="宋体" w:hAnsi="宋体" w:eastAsia="宋体" w:cs="宋体"/>
          <w:b/>
        </w:rPr>
        <w:t>6.4.4 重要会计政策和会计估计</w:t>
      </w:r>
    </w:p>
    <w:p w14:paraId="62D11FD7">
      <w:pPr>
        <w:pStyle w:val="58"/>
      </w:pPr>
      <w:r>
        <w:rPr>
          <w:rFonts w:ascii="宋体" w:hAnsi="宋体" w:eastAsia="宋体" w:cs="宋体"/>
          <w:b/>
        </w:rPr>
        <w:t>6.4.4.1 会计年度</w:t>
      </w:r>
    </w:p>
    <w:p w14:paraId="38C1542E">
      <w:pPr>
        <w:jc w:val="left"/>
      </w:pPr>
      <w:r>
        <w:rPr>
          <w:rFonts w:ascii="宋体" w:hAnsi="宋体" w:eastAsia="宋体" w:cs="宋体"/>
          <w:b w:val="0"/>
        </w:rPr>
        <w:t xml:space="preserve">    本基金会计年度为公历1月1日起至12月31日止。本期财务报表的实际编制期间为2026年06月02日（基金合同生效日）至2026年06月30日止期间。</w:t>
      </w:r>
    </w:p>
    <w:p w14:paraId="766B40F2"/>
    <w:p w14:paraId="350969F4">
      <w:pPr>
        <w:pStyle w:val="58"/>
      </w:pPr>
      <w:r>
        <w:rPr>
          <w:rFonts w:ascii="宋体" w:hAnsi="宋体" w:eastAsia="宋体" w:cs="宋体"/>
          <w:b/>
        </w:rPr>
        <w:t>6.4.4.2 记账本位币</w:t>
      </w:r>
    </w:p>
    <w:p w14:paraId="4D9E2E56">
      <w:pPr>
        <w:jc w:val="left"/>
      </w:pPr>
      <w:r>
        <w:rPr>
          <w:rFonts w:ascii="宋体" w:hAnsi="宋体" w:eastAsia="宋体" w:cs="宋体"/>
          <w:b w:val="0"/>
        </w:rPr>
        <w:t xml:space="preserve">    本基金的记账本位币为人民币。</w:t>
      </w:r>
    </w:p>
    <w:p w14:paraId="4BBDD19E"/>
    <w:p w14:paraId="5DE95139">
      <w:pPr>
        <w:pStyle w:val="58"/>
      </w:pPr>
      <w:r>
        <w:rPr>
          <w:rFonts w:ascii="宋体" w:hAnsi="宋体" w:eastAsia="宋体" w:cs="宋体"/>
          <w:b/>
        </w:rPr>
        <w:t>6.4.4.3 金融资产和金融负债的分类</w:t>
      </w:r>
    </w:p>
    <w:p w14:paraId="2A47F1E4">
      <w:pPr>
        <w:jc w:val="left"/>
      </w:pPr>
      <w:r>
        <w:rPr>
          <w:rFonts w:ascii="宋体" w:hAnsi="宋体" w:eastAsia="宋体" w:cs="宋体"/>
          <w:b w:val="0"/>
        </w:rPr>
        <w:t xml:space="preserve">    金融工具，是指形成一方的金融资产并形成其他方的金融负债或权益工具的合同。当本基金成为金融工具合同的一方时，确认相关的金融资产、金融负债或权益工具。</w:t>
      </w:r>
      <w:r>
        <w:rPr>
          <w:rFonts w:ascii="宋体" w:hAnsi="宋体" w:eastAsia="宋体" w:cs="宋体"/>
          <w:b w:val="0"/>
        </w:rPr>
        <w:br w:type="textWrapping"/>
      </w:r>
      <w:r>
        <w:rPr>
          <w:rFonts w:ascii="宋体" w:hAnsi="宋体" w:eastAsia="宋体" w:cs="宋体"/>
          <w:b w:val="0"/>
        </w:rPr>
        <w:t xml:space="preserve">    (1)金融资产</w:t>
      </w:r>
      <w:r>
        <w:rPr>
          <w:rFonts w:ascii="宋体" w:hAnsi="宋体" w:eastAsia="宋体" w:cs="宋体"/>
          <w:b w:val="0"/>
        </w:rPr>
        <w:br w:type="textWrapping"/>
      </w:r>
      <w:r>
        <w:rPr>
          <w:rFonts w:ascii="宋体" w:hAnsi="宋体" w:eastAsia="宋体" w:cs="宋体"/>
          <w:b w:val="0"/>
        </w:rPr>
        <w:t xml:space="preserve">    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r>
        <w:rPr>
          <w:rFonts w:ascii="宋体" w:hAnsi="宋体" w:eastAsia="宋体" w:cs="宋体"/>
          <w:b w:val="0"/>
        </w:rPr>
        <w:br w:type="textWrapping"/>
      </w:r>
      <w:r>
        <w:rPr>
          <w:rFonts w:ascii="宋体" w:hAnsi="宋体" w:eastAsia="宋体" w:cs="宋体"/>
          <w:b w:val="0"/>
        </w:rPr>
        <w:t xml:space="preserve">    1）债务工具</w:t>
      </w:r>
      <w:r>
        <w:rPr>
          <w:rFonts w:ascii="宋体" w:hAnsi="宋体" w:eastAsia="宋体" w:cs="宋体"/>
          <w:b w:val="0"/>
        </w:rPr>
        <w:br w:type="textWrapping"/>
      </w:r>
      <w:r>
        <w:rPr>
          <w:rFonts w:ascii="宋体" w:hAnsi="宋体" w:eastAsia="宋体" w:cs="宋体"/>
          <w:b w:val="0"/>
        </w:rPr>
        <w:t xml:space="preserve">    本基金持有的债务工具是指从发行方角度分析符合金融负债定义的工具，分别采用以下两种方式进行计量：</w:t>
      </w:r>
      <w:r>
        <w:rPr>
          <w:rFonts w:ascii="宋体" w:hAnsi="宋体" w:eastAsia="宋体" w:cs="宋体"/>
          <w:b w:val="0"/>
        </w:rPr>
        <w:br w:type="textWrapping"/>
      </w:r>
      <w:r>
        <w:rPr>
          <w:rFonts w:ascii="宋体" w:hAnsi="宋体" w:eastAsia="宋体" w:cs="宋体"/>
          <w:b w:val="0"/>
        </w:rPr>
        <w:t xml:space="preserve">    a.以摊余成本计量：</w:t>
      </w:r>
      <w:r>
        <w:rPr>
          <w:rFonts w:ascii="宋体" w:hAnsi="宋体" w:eastAsia="宋体" w:cs="宋体"/>
          <w:b w:val="0"/>
        </w:rPr>
        <w:br w:type="textWrapping"/>
      </w:r>
      <w:r>
        <w:rPr>
          <w:rFonts w:ascii="宋体" w:hAnsi="宋体" w:eastAsia="宋体" w:cs="宋体"/>
          <w:b w:val="0"/>
        </w:rPr>
        <w:t xml:space="preserve">    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银行存款、买入返售金融资产和其他各类应收款项等。</w:t>
      </w:r>
      <w:r>
        <w:rPr>
          <w:rFonts w:ascii="宋体" w:hAnsi="宋体" w:eastAsia="宋体" w:cs="宋体"/>
          <w:b w:val="0"/>
        </w:rPr>
        <w:br w:type="textWrapping"/>
      </w:r>
      <w:r>
        <w:rPr>
          <w:rFonts w:ascii="宋体" w:hAnsi="宋体" w:eastAsia="宋体" w:cs="宋体"/>
          <w:b w:val="0"/>
        </w:rPr>
        <w:t xml:space="preserve">    b.以公允价值计量且其变动计入当期损益：</w:t>
      </w:r>
      <w:r>
        <w:rPr>
          <w:rFonts w:ascii="宋体" w:hAnsi="宋体" w:eastAsia="宋体" w:cs="宋体"/>
          <w:b w:val="0"/>
        </w:rPr>
        <w:br w:type="textWrapping"/>
      </w:r>
      <w:r>
        <w:rPr>
          <w:rFonts w:ascii="宋体" w:hAnsi="宋体" w:eastAsia="宋体" w:cs="宋体"/>
          <w:b w:val="0"/>
        </w:rPr>
        <w:t xml:space="preserve">    本基金将持有的未划分为以摊余成本计量的债务工具，以公允价值计量且其变动计入当期损益。本基金持有的以公允价值计量且其变动计入当期损益的金融资产主要为债券投资，在资产负债表中以交易性金融资产列示。</w:t>
      </w:r>
      <w:r>
        <w:rPr>
          <w:rFonts w:ascii="宋体" w:hAnsi="宋体" w:eastAsia="宋体" w:cs="宋体"/>
          <w:b w:val="0"/>
        </w:rPr>
        <w:br w:type="textWrapping"/>
      </w:r>
      <w:r>
        <w:rPr>
          <w:rFonts w:ascii="宋体" w:hAnsi="宋体" w:eastAsia="宋体" w:cs="宋体"/>
          <w:b w:val="0"/>
        </w:rPr>
        <w:t xml:space="preserve">    2）权益工具</w:t>
      </w:r>
      <w:r>
        <w:rPr>
          <w:rFonts w:ascii="宋体" w:hAnsi="宋体" w:eastAsia="宋体" w:cs="宋体"/>
          <w:b w:val="0"/>
        </w:rPr>
        <w:br w:type="textWrapping"/>
      </w:r>
      <w:r>
        <w:rPr>
          <w:rFonts w:ascii="宋体" w:hAnsi="宋体" w:eastAsia="宋体" w:cs="宋体"/>
          <w:b w:val="0"/>
        </w:rPr>
        <w:t xml:space="preserve">    权益工具是指从发行方角度分析符合权益定义的工具。本基金将对其没有控制、共同控制和重大影响的权益工具(主要为股票投资)按照公允价值计量且其变动计入当期损益，在资产负债表中列示为交易性金融资产。</w:t>
      </w:r>
      <w:r>
        <w:rPr>
          <w:rFonts w:ascii="宋体" w:hAnsi="宋体" w:eastAsia="宋体" w:cs="宋体"/>
          <w:b w:val="0"/>
        </w:rPr>
        <w:br w:type="textWrapping"/>
      </w:r>
      <w:r>
        <w:rPr>
          <w:rFonts w:ascii="宋体" w:hAnsi="宋体" w:eastAsia="宋体" w:cs="宋体"/>
          <w:b w:val="0"/>
        </w:rPr>
        <w:t xml:space="preserve">    (2)金融负债</w:t>
      </w:r>
      <w:r>
        <w:rPr>
          <w:rFonts w:ascii="宋体" w:hAnsi="宋体" w:eastAsia="宋体" w:cs="宋体"/>
          <w:b w:val="0"/>
        </w:rPr>
        <w:br w:type="textWrapping"/>
      </w:r>
      <w:r>
        <w:rPr>
          <w:rFonts w:ascii="宋体" w:hAnsi="宋体" w:eastAsia="宋体" w:cs="宋体"/>
          <w:b w:val="0"/>
        </w:rPr>
        <w:t xml:space="preserve">    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0F52A676"/>
    <w:p w14:paraId="6673F8B6">
      <w:pPr>
        <w:pStyle w:val="58"/>
      </w:pPr>
      <w:r>
        <w:rPr>
          <w:rFonts w:ascii="宋体" w:hAnsi="宋体" w:eastAsia="宋体" w:cs="宋体"/>
          <w:b/>
        </w:rPr>
        <w:t>6.4.4.4 金融资产和金融负债的初始确认、后续计量和终止确认</w:t>
      </w:r>
    </w:p>
    <w:p w14:paraId="3D5B05DA">
      <w:pPr>
        <w:jc w:val="left"/>
      </w:pPr>
      <w:r>
        <w:rPr>
          <w:rFonts w:ascii="宋体" w:hAnsi="宋体" w:eastAsia="宋体" w:cs="宋体"/>
          <w:b w:val="0"/>
        </w:rPr>
        <w:t xml:space="preserve">    金融资产或金融负债在初始确认时以公允价值计量。对于以公允价值计量且其变动计入当期损益的金融资产和金融负债，相关交易费用计入当期损益；对于支付的价款中包含的债券起息日或上次除息日至购买日止的利息，确认为应计利息，包含在交易性金融资产的账面价值中。对于其他类别的金融资产和金融负债，相关交易费用计入初始确认金额。</w:t>
      </w:r>
      <w:r>
        <w:rPr>
          <w:rFonts w:ascii="宋体" w:hAnsi="宋体" w:eastAsia="宋体" w:cs="宋体"/>
          <w:b w:val="0"/>
        </w:rPr>
        <w:br w:type="textWrapping"/>
      </w:r>
      <w:r>
        <w:rPr>
          <w:rFonts w:ascii="宋体" w:hAnsi="宋体" w:eastAsia="宋体" w:cs="宋体"/>
          <w:b w:val="0"/>
        </w:rPr>
        <w:t xml:space="preserve">    对于以公允价值计量且其变动计入当期损益的金融资产，按照公允价值进行后续计量；对于应收款项和其他金融负债采用实际利率法，以摊余成本进行后续计量。</w:t>
      </w:r>
      <w:r>
        <w:rPr>
          <w:rFonts w:ascii="宋体" w:hAnsi="宋体" w:eastAsia="宋体" w:cs="宋体"/>
          <w:b w:val="0"/>
        </w:rPr>
        <w:br w:type="textWrapping"/>
      </w:r>
      <w:r>
        <w:rPr>
          <w:rFonts w:ascii="宋体" w:hAnsi="宋体" w:eastAsia="宋体" w:cs="宋体"/>
          <w:b w:val="0"/>
        </w:rPr>
        <w:t xml:space="preserve">    本基金对于以摊余成本计量的金融资产，以预期信用损失为基础确认损失准备。</w:t>
      </w:r>
      <w:r>
        <w:rPr>
          <w:rFonts w:ascii="宋体" w:hAnsi="宋体" w:eastAsia="宋体" w:cs="宋体"/>
          <w:b w:val="0"/>
        </w:rPr>
        <w:br w:type="textWrapping"/>
      </w:r>
      <w:r>
        <w:rPr>
          <w:rFonts w:ascii="宋体" w:hAnsi="宋体" w:eastAsia="宋体" w:cs="宋体"/>
          <w:b w:val="0"/>
        </w:rPr>
        <w:t xml:space="preserve">    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r>
        <w:rPr>
          <w:rFonts w:ascii="宋体" w:hAnsi="宋体" w:eastAsia="宋体" w:cs="宋体"/>
          <w:b w:val="0"/>
        </w:rPr>
        <w:br w:type="textWrapping"/>
      </w:r>
      <w:r>
        <w:rPr>
          <w:rFonts w:ascii="宋体" w:hAnsi="宋体" w:eastAsia="宋体" w:cs="宋体"/>
          <w:b w:val="0"/>
        </w:rPr>
        <w:t xml:space="preserve">    于每个资产负债表日，本基金对于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r>
        <w:rPr>
          <w:rFonts w:ascii="宋体" w:hAnsi="宋体" w:eastAsia="宋体" w:cs="宋体"/>
          <w:b w:val="0"/>
        </w:rPr>
        <w:br w:type="textWrapping"/>
      </w:r>
      <w:r>
        <w:rPr>
          <w:rFonts w:ascii="宋体" w:hAnsi="宋体" w:eastAsia="宋体" w:cs="宋体"/>
          <w:b w:val="0"/>
        </w:rPr>
        <w:t xml:space="preserve">    对于在资产负债表日具有较低信用风险的金融工具，本基金假设其信用风险自初始确认后并未显著增加，认定为处于第一阶段的金融工具，按照未来12个月内的预期信用损失计量损失准备。</w:t>
      </w:r>
      <w:r>
        <w:rPr>
          <w:rFonts w:ascii="宋体" w:hAnsi="宋体" w:eastAsia="宋体" w:cs="宋体"/>
          <w:b w:val="0"/>
        </w:rPr>
        <w:br w:type="textWrapping"/>
      </w:r>
      <w:r>
        <w:rPr>
          <w:rFonts w:ascii="宋体" w:hAnsi="宋体" w:eastAsia="宋体" w:cs="宋体"/>
          <w:b w:val="0"/>
        </w:rPr>
        <w:t xml:space="preserve">    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r>
        <w:rPr>
          <w:rFonts w:ascii="宋体" w:hAnsi="宋体" w:eastAsia="宋体" w:cs="宋体"/>
          <w:b w:val="0"/>
        </w:rPr>
        <w:br w:type="textWrapping"/>
      </w:r>
      <w:r>
        <w:rPr>
          <w:rFonts w:ascii="宋体" w:hAnsi="宋体" w:eastAsia="宋体" w:cs="宋体"/>
          <w:b w:val="0"/>
        </w:rPr>
        <w:t xml:space="preserve">    本基金将计提或转回的损失准备计入当期损益。</w:t>
      </w:r>
      <w:r>
        <w:rPr>
          <w:rFonts w:ascii="宋体" w:hAnsi="宋体" w:eastAsia="宋体" w:cs="宋体"/>
          <w:b w:val="0"/>
        </w:rPr>
        <w:br w:type="textWrapping"/>
      </w:r>
      <w:r>
        <w:rPr>
          <w:rFonts w:ascii="宋体" w:hAnsi="宋体" w:eastAsia="宋体" w:cs="宋体"/>
          <w:b w:val="0"/>
        </w:rPr>
        <w:t xml:space="preserve">    金融资产满足下列条件之一的，予以终止确认：(1) 收取该金融资产现金流量的合同权利终止；(2) 该金融资产已转移，且本基金将金融资产所有权上几乎所有的风险和报酬转移给转入方；或者(3) 该金融资产已转移，虽然本基金既没有转移也没有保留金融资产所有权上几乎所有的风险和报酬，但是放弃了对该金融资产控制。</w:t>
      </w:r>
      <w:r>
        <w:rPr>
          <w:rFonts w:ascii="宋体" w:hAnsi="宋体" w:eastAsia="宋体" w:cs="宋体"/>
          <w:b w:val="0"/>
        </w:rPr>
        <w:br w:type="textWrapping"/>
      </w:r>
      <w:r>
        <w:rPr>
          <w:rFonts w:ascii="宋体" w:hAnsi="宋体" w:eastAsia="宋体" w:cs="宋体"/>
          <w:b w:val="0"/>
        </w:rPr>
        <w:t xml:space="preserve">    金融资产终止确认时，其账面价值与收到的对价的差额，计入当期损益。</w:t>
      </w:r>
      <w:r>
        <w:rPr>
          <w:rFonts w:ascii="宋体" w:hAnsi="宋体" w:eastAsia="宋体" w:cs="宋体"/>
          <w:b w:val="0"/>
        </w:rPr>
        <w:br w:type="textWrapping"/>
      </w:r>
      <w:r>
        <w:rPr>
          <w:rFonts w:ascii="宋体" w:hAnsi="宋体" w:eastAsia="宋体" w:cs="宋体"/>
          <w:b w:val="0"/>
        </w:rPr>
        <w:t xml:space="preserve">    当金融负债的现时义务全部或部分已经解除时，终止确认该金融负债或义务已解除的部分。终止确认部分的账面价值与支付的对价之间的差额，计入当期损益。</w:t>
      </w:r>
    </w:p>
    <w:p w14:paraId="45ACDBD6"/>
    <w:p w14:paraId="09843ACA">
      <w:pPr>
        <w:pStyle w:val="58"/>
      </w:pPr>
      <w:r>
        <w:rPr>
          <w:rFonts w:ascii="宋体" w:hAnsi="宋体" w:eastAsia="宋体" w:cs="宋体"/>
          <w:b/>
        </w:rPr>
        <w:t>6.4.4.5 金融资产和金融负债的估值原则</w:t>
      </w:r>
    </w:p>
    <w:p w14:paraId="38FEAD38">
      <w:pPr>
        <w:jc w:val="left"/>
      </w:pPr>
      <w:r>
        <w:rPr>
          <w:rFonts w:ascii="宋体" w:hAnsi="宋体" w:eastAsia="宋体" w:cs="宋体"/>
          <w:b w:val="0"/>
        </w:rPr>
        <w:t xml:space="preserve">    本基金持有的债券投资和股票投资按如下原则确定公允价值并进行估值：</w:t>
      </w:r>
      <w:r>
        <w:rPr>
          <w:rFonts w:ascii="宋体" w:hAnsi="宋体" w:eastAsia="宋体" w:cs="宋体"/>
          <w:b w:val="0"/>
        </w:rPr>
        <w:br w:type="textWrapping"/>
      </w:r>
      <w:r>
        <w:rPr>
          <w:rFonts w:ascii="宋体" w:hAnsi="宋体" w:eastAsia="宋体" w:cs="宋体"/>
          <w:b w:val="0"/>
        </w:rPr>
        <w:t xml:space="preserve">    (1)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r>
        <w:rPr>
          <w:rFonts w:ascii="宋体" w:hAnsi="宋体" w:eastAsia="宋体" w:cs="宋体"/>
          <w:b w:val="0"/>
        </w:rPr>
        <w:br w:type="textWrapping"/>
      </w:r>
      <w:r>
        <w:rPr>
          <w:rFonts w:ascii="宋体" w:hAnsi="宋体" w:eastAsia="宋体" w:cs="宋体"/>
          <w:b w:val="0"/>
        </w:rPr>
        <w:t xml:space="preserve">    (2)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r>
        <w:rPr>
          <w:rFonts w:ascii="宋体" w:hAnsi="宋体" w:eastAsia="宋体" w:cs="宋体"/>
          <w:b w:val="0"/>
        </w:rPr>
        <w:br w:type="textWrapping"/>
      </w:r>
      <w:r>
        <w:rPr>
          <w:rFonts w:ascii="宋体" w:hAnsi="宋体" w:eastAsia="宋体" w:cs="宋体"/>
          <w:b w:val="0"/>
        </w:rPr>
        <w:t xml:space="preserve">    (3)如经济环境发生重大变化或证券发行人发生影响金融工具价格的重大事件，应对估值进行调整并确定公允价值。</w:t>
      </w:r>
    </w:p>
    <w:p w14:paraId="7CF95739"/>
    <w:p w14:paraId="420ED9E5">
      <w:pPr>
        <w:pStyle w:val="58"/>
      </w:pPr>
      <w:r>
        <w:rPr>
          <w:rFonts w:ascii="宋体" w:hAnsi="宋体" w:eastAsia="宋体" w:cs="宋体"/>
          <w:b/>
        </w:rPr>
        <w:t>6.4.4.6 金融资产和金融负债的抵销</w:t>
      </w:r>
    </w:p>
    <w:p w14:paraId="0DEECB8E">
      <w:pPr>
        <w:jc w:val="left"/>
      </w:pPr>
      <w:r>
        <w:rPr>
          <w:rFonts w:ascii="宋体" w:hAnsi="宋体" w:eastAsia="宋体" w:cs="宋体"/>
          <w:b w:val="0"/>
        </w:rPr>
        <w:t xml:space="preserve">    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40D32B4"/>
    <w:p w14:paraId="4A3328DB">
      <w:pPr>
        <w:pStyle w:val="58"/>
      </w:pPr>
      <w:r>
        <w:rPr>
          <w:rFonts w:ascii="宋体" w:hAnsi="宋体" w:eastAsia="宋体" w:cs="宋体"/>
          <w:b/>
        </w:rPr>
        <w:t>6.4.4.7 实收基金</w:t>
      </w:r>
    </w:p>
    <w:p w14:paraId="5B2C15B7">
      <w:pPr>
        <w:jc w:val="left"/>
      </w:pPr>
      <w:r>
        <w:rPr>
          <w:rFonts w:ascii="宋体" w:hAnsi="宋体" w:eastAsia="宋体" w:cs="宋体"/>
          <w:b w:val="0"/>
        </w:rPr>
        <w:t xml:space="preserve">    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r>
        <w:rPr>
          <w:rFonts w:ascii="宋体" w:hAnsi="宋体" w:eastAsia="宋体" w:cs="宋体"/>
          <w:b w:val="0"/>
        </w:rPr>
        <w:br w:type="textWrapping"/>
      </w:r>
      <w:r>
        <w:rPr>
          <w:rFonts w:ascii="宋体" w:hAnsi="宋体" w:eastAsia="宋体" w:cs="宋体"/>
          <w:b w:val="0"/>
        </w:rPr>
        <w:t xml:space="preserve">    本基金发行的份额作为可回售工具具备以下特征：(1) 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 该工具所属的类别次于其他所有工具类别，即本基金份额在归属于该类别前无须转换为另一种工具，且在清算时对基金资产没有优先于其他工具的要求权；(3) 该工具所属的类别中(该类别次于其他所有工具类别)，所有工具具有相同的特征(例如它们必须都具有可回售特征，并且用于计算回购或赎回价格的公式或其他方法都相同)；(4) 除了发行方应当以现金或其他金融资产回购或赎回该基金份额的合同义务外，该工具不满足金融负债定义中的任何其他特征；(5) 该工具在存续期内的预计现金流量总额，应当实质上基于该基金存续期内基金的损益、已确认净资产的变动、已确认和未确认净资产的公允价值变动(不包括本基金的任何影响)。</w:t>
      </w:r>
      <w:r>
        <w:rPr>
          <w:rFonts w:ascii="宋体" w:hAnsi="宋体" w:eastAsia="宋体" w:cs="宋体"/>
          <w:b w:val="0"/>
        </w:rPr>
        <w:br w:type="textWrapping"/>
      </w:r>
      <w:r>
        <w:rPr>
          <w:rFonts w:ascii="宋体" w:hAnsi="宋体" w:eastAsia="宋体" w:cs="宋体"/>
          <w:b w:val="0"/>
        </w:rPr>
        <w:t xml:space="preserve">    可回售工具，是指根据合同约定，持有方有权将该工具回售给发行方以获取现金或其他金融资产的权利，或者在未来某一不确定事项发生或者持有方死亡或退休时，自动回售给发行方的金融工具。</w:t>
      </w:r>
      <w:r>
        <w:rPr>
          <w:rFonts w:ascii="宋体" w:hAnsi="宋体" w:eastAsia="宋体" w:cs="宋体"/>
          <w:b w:val="0"/>
        </w:rPr>
        <w:br w:type="textWrapping"/>
      </w:r>
      <w:r>
        <w:rPr>
          <w:rFonts w:ascii="宋体" w:hAnsi="宋体" w:eastAsia="宋体" w:cs="宋体"/>
          <w:b w:val="0"/>
        </w:rPr>
        <w:t xml:space="preserve">    本基金没有同时具备下列特征的其他金融工具或合同：(1) 现金流量总额实质上基于基金的损益、已确认净资产的变动、己确认和未确认净资产的公允价值变动(不包括该基金或合同的任何影响)；(2) 实质上限制或固定了上述工具持有方所获得的剩余回报。</w:t>
      </w:r>
      <w:r>
        <w:rPr>
          <w:rFonts w:ascii="宋体" w:hAnsi="宋体" w:eastAsia="宋体" w:cs="宋体"/>
          <w:b w:val="0"/>
        </w:rPr>
        <w:br w:type="textWrapping"/>
      </w:r>
      <w:r>
        <w:rPr>
          <w:rFonts w:ascii="宋体" w:hAnsi="宋体" w:eastAsia="宋体" w:cs="宋体"/>
          <w:b w:val="0"/>
        </w:rPr>
        <w:t xml:space="preserve">    本基金将实收基金分类为权益工具，列报于净资产。</w:t>
      </w:r>
    </w:p>
    <w:p w14:paraId="664E6E8C"/>
    <w:p w14:paraId="5F00C91B">
      <w:pPr>
        <w:pStyle w:val="58"/>
      </w:pPr>
      <w:r>
        <w:rPr>
          <w:rFonts w:ascii="宋体" w:hAnsi="宋体" w:eastAsia="宋体" w:cs="宋体"/>
          <w:b/>
        </w:rPr>
        <w:t>6.4.4.8 损益平准金</w:t>
      </w:r>
    </w:p>
    <w:p w14:paraId="1F02803B">
      <w:pPr>
        <w:jc w:val="left"/>
      </w:pPr>
      <w:r>
        <w:rPr>
          <w:rFonts w:ascii="宋体" w:hAnsi="宋体" w:eastAsia="宋体" w:cs="宋体"/>
          <w:b w:val="0"/>
        </w:rPr>
        <w:t xml:space="preserve">    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E42DD49"/>
    <w:p w14:paraId="35B92F55">
      <w:pPr>
        <w:pStyle w:val="58"/>
      </w:pPr>
      <w:r>
        <w:rPr>
          <w:rFonts w:ascii="宋体" w:hAnsi="宋体" w:eastAsia="宋体" w:cs="宋体"/>
          <w:b/>
        </w:rPr>
        <w:t>6.4.4.9 收入/（损失）的确认和计量</w:t>
      </w:r>
    </w:p>
    <w:p w14:paraId="00584AAD">
      <w:pPr>
        <w:jc w:val="left"/>
      </w:pPr>
      <w:r>
        <w:rPr>
          <w:rFonts w:ascii="宋体" w:hAnsi="宋体" w:eastAsia="宋体" w:cs="宋体"/>
          <w:b w:val="0"/>
        </w:rPr>
        <w:t xml:space="preserve">    股票投资在持有期间应取得的现金股利扣除由上市公司代扣代缴的个人所得税后的净额确认为投资收益。债券投资在持有期间应取得的按票面利率(对于贴现债为按发行价计算的利率)或合同利率计算的利息扣除在适用情况下由债券发行企业代扣代缴的个人所得税及由基金管理人缴纳的增值税后的净额确认为投资收益。</w:t>
      </w:r>
      <w:r>
        <w:rPr>
          <w:rFonts w:ascii="宋体" w:hAnsi="宋体" w:eastAsia="宋体" w:cs="宋体"/>
          <w:b w:val="0"/>
        </w:rPr>
        <w:br w:type="textWrapping"/>
      </w:r>
      <w:r>
        <w:rPr>
          <w:rFonts w:ascii="宋体" w:hAnsi="宋体" w:eastAsia="宋体" w:cs="宋体"/>
          <w:b w:val="0"/>
        </w:rPr>
        <w:t xml:space="preserve">    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后的净额确认为投资收益，其中包括从公允价值变动损益结转的公允价值累计变动额。</w:t>
      </w:r>
      <w:r>
        <w:rPr>
          <w:rFonts w:ascii="宋体" w:hAnsi="宋体" w:eastAsia="宋体" w:cs="宋体"/>
          <w:b w:val="0"/>
        </w:rPr>
        <w:br w:type="textWrapping"/>
      </w:r>
      <w:r>
        <w:rPr>
          <w:rFonts w:ascii="宋体" w:hAnsi="宋体" w:eastAsia="宋体" w:cs="宋体"/>
          <w:b w:val="0"/>
        </w:rPr>
        <w:t xml:space="preserve">    应收款项在持有期间确认的利息收入按实际利率法计算，实际利率法与直线法差异较小的则按直线法计算。</w:t>
      </w:r>
    </w:p>
    <w:p w14:paraId="59DDE8B3"/>
    <w:p w14:paraId="540B1E16">
      <w:pPr>
        <w:pStyle w:val="58"/>
      </w:pPr>
      <w:r>
        <w:rPr>
          <w:rFonts w:ascii="宋体" w:hAnsi="宋体" w:eastAsia="宋体" w:cs="宋体"/>
          <w:b/>
        </w:rPr>
        <w:t>6.4.4.10 费用的确认和计量</w:t>
      </w:r>
    </w:p>
    <w:p w14:paraId="0BCEE7BE">
      <w:pPr>
        <w:jc w:val="left"/>
      </w:pPr>
      <w:r>
        <w:rPr>
          <w:rFonts w:ascii="宋体" w:hAnsi="宋体" w:eastAsia="宋体" w:cs="宋体"/>
          <w:b w:val="0"/>
        </w:rPr>
        <w:t xml:space="preserve">    本基金的管理人报酬、托管费和销售服务费在费用涵盖期间按基金合同约定的费率和计算方法逐日确认。</w:t>
      </w:r>
      <w:r>
        <w:rPr>
          <w:rFonts w:ascii="宋体" w:hAnsi="宋体" w:eastAsia="宋体" w:cs="宋体"/>
          <w:b w:val="0"/>
        </w:rPr>
        <w:br w:type="textWrapping"/>
      </w:r>
      <w:r>
        <w:rPr>
          <w:rFonts w:ascii="宋体" w:hAnsi="宋体" w:eastAsia="宋体" w:cs="宋体"/>
          <w:b w:val="0"/>
        </w:rPr>
        <w:t xml:space="preserve">    以摊余成本计量的金融负债在持有期间确认的利息支出按实际利率法计算，实际利率法与直线法差异较小的则按直线法计算。</w:t>
      </w:r>
    </w:p>
    <w:p w14:paraId="59A795E0"/>
    <w:p w14:paraId="4078D241">
      <w:pPr>
        <w:pStyle w:val="58"/>
      </w:pPr>
      <w:r>
        <w:rPr>
          <w:rFonts w:ascii="宋体" w:hAnsi="宋体" w:eastAsia="宋体" w:cs="宋体"/>
          <w:b/>
        </w:rPr>
        <w:t>6.4.4.11 基金的收益分配政策</w:t>
      </w:r>
    </w:p>
    <w:p w14:paraId="4F25AB0B">
      <w:pPr>
        <w:jc w:val="left"/>
      </w:pPr>
      <w:r>
        <w:rPr>
          <w:rFonts w:ascii="宋体" w:hAnsi="宋体" w:eastAsia="宋体" w:cs="宋体"/>
          <w:b w:val="0"/>
        </w:rPr>
        <w:t xml:space="preserve">    本基金同一类别的每一基金份额享有同等分配权。本基金收益以现金形式分配，但基金份额持有人可选择现金红利或将现金红利按分红除权日的基金份额净值自动转为基金份额进行再投资。</w:t>
      </w:r>
      <w:r>
        <w:rPr>
          <w:rFonts w:ascii="宋体" w:hAnsi="宋体" w:eastAsia="宋体" w:cs="宋体"/>
          <w:b w:val="0"/>
        </w:rPr>
        <w:br w:type="textWrapping"/>
      </w:r>
      <w:r>
        <w:rPr>
          <w:rFonts w:ascii="宋体" w:hAnsi="宋体" w:eastAsia="宋体" w:cs="宋体"/>
          <w:b w:val="0"/>
        </w:rPr>
        <w:t xml:space="preserve">    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r>
        <w:rPr>
          <w:rFonts w:ascii="宋体" w:hAnsi="宋体" w:eastAsia="宋体" w:cs="宋体"/>
          <w:b w:val="0"/>
        </w:rPr>
        <w:br w:type="textWrapping"/>
      </w:r>
      <w:r>
        <w:rPr>
          <w:rFonts w:ascii="宋体" w:hAnsi="宋体" w:eastAsia="宋体" w:cs="宋体"/>
          <w:b w:val="0"/>
        </w:rPr>
        <w:t xml:space="preserve">    经宣告的拟分配基金收益于分红除权日从所有者权益转出。</w:t>
      </w:r>
    </w:p>
    <w:p w14:paraId="73440D47"/>
    <w:p w14:paraId="1873162A">
      <w:pPr>
        <w:pStyle w:val="58"/>
      </w:pPr>
      <w:r>
        <w:rPr>
          <w:rFonts w:ascii="宋体" w:hAnsi="宋体" w:eastAsia="宋体" w:cs="宋体"/>
          <w:b/>
        </w:rPr>
        <w:t>6.4.4.12 外币交易</w:t>
      </w:r>
    </w:p>
    <w:p w14:paraId="11951435">
      <w:pPr>
        <w:jc w:val="left"/>
      </w:pPr>
      <w:r>
        <w:rPr>
          <w:rFonts w:ascii="宋体" w:hAnsi="宋体" w:eastAsia="宋体" w:cs="宋体"/>
          <w:b w:val="0"/>
        </w:rPr>
        <w:t xml:space="preserve">    外币交易按交易发生日的即期汇率将外币金额折算为人民币入账。</w:t>
      </w:r>
      <w:r>
        <w:rPr>
          <w:rFonts w:ascii="宋体" w:hAnsi="宋体" w:eastAsia="宋体" w:cs="宋体"/>
          <w:b w:val="0"/>
        </w:rPr>
        <w:br w:type="textWrapping"/>
      </w:r>
      <w:r>
        <w:rPr>
          <w:rFonts w:ascii="宋体" w:hAnsi="宋体" w:eastAsia="宋体" w:cs="宋体"/>
          <w:b w:val="0"/>
        </w:rPr>
        <w:t xml:space="preserve">    以公允价值计量的外币非货币性项目，于估值日采用估值日的即期汇率折算为人民币，所产生的折算差额直接计入公允价值变动损益科目。</w:t>
      </w:r>
    </w:p>
    <w:p w14:paraId="534975F7"/>
    <w:p w14:paraId="5C279AE0">
      <w:pPr>
        <w:pStyle w:val="58"/>
      </w:pPr>
      <w:r>
        <w:rPr>
          <w:rFonts w:ascii="宋体" w:hAnsi="宋体" w:eastAsia="宋体" w:cs="宋体"/>
          <w:b/>
        </w:rPr>
        <w:t>6.4.4.13 分部报告</w:t>
      </w:r>
    </w:p>
    <w:p w14:paraId="2E4E7EE8">
      <w:pPr>
        <w:jc w:val="left"/>
      </w:pPr>
      <w:r>
        <w:rPr>
          <w:rFonts w:ascii="宋体" w:hAnsi="宋体" w:eastAsia="宋体" w:cs="宋体"/>
          <w:b w:val="0"/>
        </w:rPr>
        <w:t xml:space="preserve">    本基金以内部组织结构、管理要求、内部报告制度为依据确定经营分部，以经营分部为基础确定报告分部并披露分部信息。经营分部是指本基金内同时满足下列条件的组成部分：</w:t>
      </w:r>
      <w:r>
        <w:rPr>
          <w:rFonts w:ascii="宋体" w:hAnsi="宋体" w:eastAsia="宋体" w:cs="宋体"/>
          <w:b w:val="0"/>
        </w:rPr>
        <w:br w:type="textWrapping"/>
      </w:r>
      <w:r>
        <w:rPr>
          <w:rFonts w:ascii="宋体" w:hAnsi="宋体" w:eastAsia="宋体" w:cs="宋体"/>
          <w:b w:val="0"/>
        </w:rPr>
        <w:t xml:space="preserve">    (1)该组成部分能够在日常活动中产生收入、发生费用；</w:t>
      </w:r>
      <w:r>
        <w:rPr>
          <w:rFonts w:ascii="宋体" w:hAnsi="宋体" w:eastAsia="宋体" w:cs="宋体"/>
          <w:b w:val="0"/>
        </w:rPr>
        <w:br w:type="textWrapping"/>
      </w:r>
      <w:r>
        <w:rPr>
          <w:rFonts w:ascii="宋体" w:hAnsi="宋体" w:eastAsia="宋体" w:cs="宋体"/>
          <w:b w:val="0"/>
        </w:rPr>
        <w:t xml:space="preserve">    (2)本基金的基金管理人能够定期评价该组成部分的经营成果，以决定向其配置资源、评价其业绩；</w:t>
      </w:r>
      <w:r>
        <w:rPr>
          <w:rFonts w:ascii="宋体" w:hAnsi="宋体" w:eastAsia="宋体" w:cs="宋体"/>
          <w:b w:val="0"/>
        </w:rPr>
        <w:br w:type="textWrapping"/>
      </w:r>
      <w:r>
        <w:rPr>
          <w:rFonts w:ascii="宋体" w:hAnsi="宋体" w:eastAsia="宋体" w:cs="宋体"/>
          <w:b w:val="0"/>
        </w:rPr>
        <w:t xml:space="preserve">    (3)本基金能够取得该组成部分的财务状况、经营成果和现金流量等有关会计信息。</w:t>
      </w:r>
      <w:r>
        <w:rPr>
          <w:rFonts w:ascii="宋体" w:hAnsi="宋体" w:eastAsia="宋体" w:cs="宋体"/>
          <w:b w:val="0"/>
        </w:rPr>
        <w:br w:type="textWrapping"/>
      </w:r>
      <w:r>
        <w:rPr>
          <w:rFonts w:ascii="宋体" w:hAnsi="宋体" w:eastAsia="宋体" w:cs="宋体"/>
          <w:b w:val="0"/>
        </w:rPr>
        <w:t xml:space="preserve">    如果两个或多个经营分部具有相似的经济特征，并且满足一定条件的，则合并为一个经营分部。</w:t>
      </w:r>
      <w:r>
        <w:rPr>
          <w:rFonts w:ascii="宋体" w:hAnsi="宋体" w:eastAsia="宋体" w:cs="宋体"/>
          <w:b w:val="0"/>
        </w:rPr>
        <w:br w:type="textWrapping"/>
      </w:r>
      <w:r>
        <w:rPr>
          <w:rFonts w:ascii="宋体" w:hAnsi="宋体" w:eastAsia="宋体" w:cs="宋体"/>
          <w:b w:val="0"/>
        </w:rPr>
        <w:t xml:space="preserve">    本基金目前以一个单一的经营分部运作，不需要披露分部信息。</w:t>
      </w:r>
    </w:p>
    <w:p w14:paraId="2EF37EC1"/>
    <w:p w14:paraId="7ABB14EA">
      <w:pPr>
        <w:pStyle w:val="58"/>
      </w:pPr>
      <w:r>
        <w:rPr>
          <w:rFonts w:ascii="宋体" w:hAnsi="宋体" w:eastAsia="宋体" w:cs="宋体"/>
          <w:b/>
        </w:rPr>
        <w:t>6.4.4.14 其他重要的会计政策和会计估计</w:t>
      </w:r>
    </w:p>
    <w:p w14:paraId="28865629">
      <w:pPr>
        <w:jc w:val="left"/>
      </w:pPr>
      <w:r>
        <w:rPr>
          <w:rFonts w:ascii="宋体" w:hAnsi="宋体" w:eastAsia="宋体" w:cs="宋体"/>
          <w:b w:val="0"/>
        </w:rPr>
        <w:t xml:space="preserve">    根据本基金的估值原则和中国证监会允许的基金行业估值实务操作，本基金确定以下类别股票投资和债券投资的公允价值时采用的估值方法及其关键假设如下：</w:t>
      </w:r>
      <w:r>
        <w:rPr>
          <w:rFonts w:ascii="宋体" w:hAnsi="宋体" w:eastAsia="宋体" w:cs="宋体"/>
          <w:b w:val="0"/>
        </w:rPr>
        <w:br w:type="textWrapping"/>
      </w:r>
      <w:r>
        <w:rPr>
          <w:rFonts w:ascii="宋体" w:hAnsi="宋体" w:eastAsia="宋体" w:cs="宋体"/>
          <w:b w:val="0"/>
        </w:rPr>
        <w:t xml:space="preserve">    (1) 对于证券交易所上市的股票和债券，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市盈率法、现金流量折现法等估值技术进行估值。</w:t>
      </w:r>
      <w:r>
        <w:rPr>
          <w:rFonts w:ascii="宋体" w:hAnsi="宋体" w:eastAsia="宋体" w:cs="宋体"/>
          <w:b w:val="0"/>
        </w:rPr>
        <w:br w:type="textWrapping"/>
      </w:r>
      <w:r>
        <w:rPr>
          <w:rFonts w:ascii="宋体" w:hAnsi="宋体" w:eastAsia="宋体" w:cs="宋体"/>
          <w:b w:val="0"/>
        </w:rPr>
        <w:t xml:space="preserve">    (2) 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r>
        <w:rPr>
          <w:rFonts w:ascii="宋体" w:hAnsi="宋体" w:eastAsia="宋体" w:cs="宋体"/>
          <w:b w:val="0"/>
        </w:rPr>
        <w:br w:type="textWrapping"/>
      </w:r>
      <w:r>
        <w:rPr>
          <w:rFonts w:ascii="宋体" w:hAnsi="宋体" w:eastAsia="宋体" w:cs="宋体"/>
          <w:b w:val="0"/>
        </w:rPr>
        <w:t xml:space="preserve">    (3) 对于在证券交易所上市或挂牌转让的固定收益品种(可转换债券除外)，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除外)，按照中证指数有限公司所独立提供的估值结果确定公允价值。</w:t>
      </w:r>
    </w:p>
    <w:p w14:paraId="7AEFC199"/>
    <w:p w14:paraId="40CF9019">
      <w:pPr>
        <w:pStyle w:val="58"/>
      </w:pPr>
      <w:r>
        <w:rPr>
          <w:rFonts w:ascii="宋体" w:hAnsi="宋体" w:eastAsia="宋体" w:cs="宋体"/>
          <w:b/>
        </w:rPr>
        <w:t>6.4.5 会计政策和会计估计变更以及差错更正的说明</w:t>
      </w:r>
    </w:p>
    <w:p w14:paraId="0BE32EC7">
      <w:pPr>
        <w:pStyle w:val="58"/>
      </w:pPr>
      <w:r>
        <w:rPr>
          <w:rFonts w:ascii="宋体" w:hAnsi="宋体" w:eastAsia="宋体" w:cs="宋体"/>
          <w:b/>
        </w:rPr>
        <w:t>6.4.5.1 会计政策变更的说明</w:t>
      </w:r>
    </w:p>
    <w:p w14:paraId="077575B1">
      <w:pPr>
        <w:jc w:val="left"/>
      </w:pPr>
      <w:r>
        <w:rPr>
          <w:rFonts w:ascii="宋体" w:hAnsi="宋体" w:eastAsia="宋体" w:cs="宋体"/>
          <w:b w:val="0"/>
        </w:rPr>
        <w:t xml:space="preserve">    本基金本报告期未发生会计政策变更。</w:t>
      </w:r>
    </w:p>
    <w:p w14:paraId="2336274C"/>
    <w:p w14:paraId="70C98FEE">
      <w:pPr>
        <w:pStyle w:val="58"/>
      </w:pPr>
      <w:r>
        <w:rPr>
          <w:rFonts w:ascii="宋体" w:hAnsi="宋体" w:eastAsia="宋体" w:cs="宋体"/>
          <w:b/>
        </w:rPr>
        <w:t>6.4.5.2 会计估计变更的说明</w:t>
      </w:r>
    </w:p>
    <w:p w14:paraId="5EB39503">
      <w:pPr>
        <w:jc w:val="left"/>
      </w:pPr>
      <w:r>
        <w:rPr>
          <w:rFonts w:ascii="宋体" w:hAnsi="宋体" w:eastAsia="宋体" w:cs="宋体"/>
          <w:b w:val="0"/>
        </w:rPr>
        <w:t xml:space="preserve">    本基金本报告期未发生会计估计变更。</w:t>
      </w:r>
    </w:p>
    <w:p w14:paraId="778C8449"/>
    <w:p w14:paraId="1AB99B8B">
      <w:pPr>
        <w:pStyle w:val="58"/>
      </w:pPr>
      <w:r>
        <w:rPr>
          <w:rFonts w:ascii="宋体" w:hAnsi="宋体" w:eastAsia="宋体" w:cs="宋体"/>
          <w:b/>
        </w:rPr>
        <w:t>6.4.5.3 差错更正的说明</w:t>
      </w:r>
    </w:p>
    <w:p w14:paraId="108E45D5">
      <w:pPr>
        <w:jc w:val="left"/>
      </w:pPr>
      <w:r>
        <w:rPr>
          <w:rFonts w:ascii="宋体" w:hAnsi="宋体" w:eastAsia="宋体" w:cs="宋体"/>
          <w:b w:val="0"/>
        </w:rPr>
        <w:t xml:space="preserve">    本基金在本报告期间无须说明的会计差错更正。</w:t>
      </w:r>
    </w:p>
    <w:p w14:paraId="4109D54B"/>
    <w:p w14:paraId="4C0A6AFF">
      <w:pPr>
        <w:pStyle w:val="58"/>
      </w:pPr>
      <w:r>
        <w:rPr>
          <w:rFonts w:ascii="宋体" w:hAnsi="宋体" w:eastAsia="宋体" w:cs="宋体"/>
          <w:b/>
        </w:rPr>
        <w:t>6.4.6 税项</w:t>
      </w:r>
    </w:p>
    <w:p w14:paraId="571893DF">
      <w:pPr>
        <w:jc w:val="left"/>
      </w:pPr>
      <w:r>
        <w:rPr>
          <w:rFonts w:ascii="宋体" w:hAnsi="宋体" w:eastAsia="宋体" w:cs="宋体"/>
          <w:b w:val="0"/>
        </w:rPr>
        <w:t xml:space="preserve">    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127号《财政部国家税务总局证监会关于深港股票市场交易互联互通机制试点有关税收政策的通知》、财税[2017]56号《关于资管产品增值税有关问题的通知》、财税[2017]90号《关于租入固定资产进项税额抵扣等增值税政策的通知》、财政部、国家税务总局公告2025年第4号《关于国债等债券利息收入增值税政策的公告》、国务院令第826号《中华人民共和国增值税法实施条例》、财政部、税务总局公告2026年第10号《财政部税务总局关于增值税法施行后增值税优惠政策衔接事项的公告》及其他相关财税法规和实务操作，主要税项列示如下：</w:t>
      </w:r>
      <w:r>
        <w:rPr>
          <w:rFonts w:ascii="宋体" w:hAnsi="宋体" w:eastAsia="宋体" w:cs="宋体"/>
          <w:b w:val="0"/>
        </w:rPr>
        <w:br w:type="textWrapping"/>
      </w:r>
      <w:r>
        <w:rPr>
          <w:rFonts w:ascii="宋体" w:hAnsi="宋体" w:eastAsia="宋体" w:cs="宋体"/>
          <w:b w:val="0"/>
        </w:rPr>
        <w:t xml:space="preserve">    (1)资管产品运营过程中发生的增值税应税行为，以资管产品管理人为增值税纳税人。资管产品管理人运营资管产品过程中发生的增值税应税行为，暂适用简易计税方法，按照3%的征收率缴纳增值税。</w:t>
      </w:r>
      <w:r>
        <w:rPr>
          <w:rFonts w:ascii="宋体" w:hAnsi="宋体" w:eastAsia="宋体" w:cs="宋体"/>
          <w:b w:val="0"/>
        </w:rPr>
        <w:br w:type="textWrapping"/>
      </w:r>
      <w:r>
        <w:rPr>
          <w:rFonts w:ascii="宋体" w:hAnsi="宋体" w:eastAsia="宋体" w:cs="宋体"/>
          <w:b w:val="0"/>
        </w:rPr>
        <w:t xml:space="preserve">    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资管产品管理人运营资管产品提供的贷款服务，以产生的利息及利息性质的收入为销售额。</w:t>
      </w:r>
      <w:r>
        <w:rPr>
          <w:rFonts w:ascii="宋体" w:hAnsi="宋体" w:eastAsia="宋体" w:cs="宋体"/>
          <w:b w:val="0"/>
        </w:rPr>
        <w:br w:type="textWrapping"/>
      </w:r>
      <w:r>
        <w:rPr>
          <w:rFonts w:ascii="宋体" w:hAnsi="宋体" w:eastAsia="宋体" w:cs="宋体"/>
          <w:b w:val="0"/>
        </w:rPr>
        <w:t xml:space="preserve">    (2)对基金从证券市场中取得的收入，包括买卖股票、债券的差价收入，股票的股息、红利收入，债券的利息收入及其他收入，暂不征收企业所得税。</w:t>
      </w:r>
      <w:r>
        <w:rPr>
          <w:rFonts w:ascii="宋体" w:hAnsi="宋体" w:eastAsia="宋体" w:cs="宋体"/>
          <w:b w:val="0"/>
        </w:rPr>
        <w:br w:type="textWrapping"/>
      </w:r>
      <w:r>
        <w:rPr>
          <w:rFonts w:ascii="宋体" w:hAnsi="宋体" w:eastAsia="宋体" w:cs="宋体"/>
          <w:b w:val="0"/>
        </w:rPr>
        <w:t xml:space="preserve">    (3)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r>
        <w:rPr>
          <w:rFonts w:ascii="宋体" w:hAnsi="宋体" w:eastAsia="宋体" w:cs="宋体"/>
          <w:b w:val="0"/>
        </w:rPr>
        <w:br w:type="textWrapping"/>
      </w:r>
      <w:r>
        <w:rPr>
          <w:rFonts w:ascii="宋体" w:hAnsi="宋体" w:eastAsia="宋体" w:cs="宋体"/>
          <w:b w:val="0"/>
        </w:rPr>
        <w:t xml:space="preserve">    (4)基金卖出股票按0.1%的税率缴纳股票交易印花税，买入股票不征收股票交易印花税。根据财政部、国家税务总局公告2023年第39号《关于减半征收证券交易印花税的公告》，自2023年8月28日起，证券交易印花税实施减半征收。</w:t>
      </w:r>
      <w:r>
        <w:rPr>
          <w:rFonts w:ascii="宋体" w:hAnsi="宋体" w:eastAsia="宋体" w:cs="宋体"/>
          <w:b w:val="0"/>
        </w:rPr>
        <w:br w:type="textWrapping"/>
      </w:r>
      <w:r>
        <w:rPr>
          <w:rFonts w:ascii="宋体" w:hAnsi="宋体" w:eastAsia="宋体" w:cs="宋体"/>
          <w:b w:val="0"/>
        </w:rPr>
        <w:t xml:space="preserve">    (5)本基金的城市维护建设税、教育费附加和地方教育附加等税费按照实际缴纳增值税额的适用比例计算缴纳。</w:t>
      </w:r>
    </w:p>
    <w:p w14:paraId="45672EDC"/>
    <w:p w14:paraId="74100F36">
      <w:pPr>
        <w:pStyle w:val="58"/>
      </w:pPr>
      <w:r>
        <w:rPr>
          <w:rFonts w:ascii="宋体" w:hAnsi="宋体" w:eastAsia="宋体" w:cs="宋体"/>
          <w:b/>
        </w:rPr>
        <w:t>6.4.7 重要财务报表项目的说明</w:t>
      </w:r>
    </w:p>
    <w:p w14:paraId="3462A657">
      <w:pPr>
        <w:pStyle w:val="58"/>
      </w:pPr>
      <w:r>
        <w:rPr>
          <w:rFonts w:ascii="宋体" w:hAnsi="宋体" w:eastAsia="宋体" w:cs="宋体"/>
          <w:b/>
        </w:rPr>
        <w:t>6.4.7.1 货币资金</w:t>
      </w:r>
    </w:p>
    <w:p w14:paraId="4261D5A4">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4D28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271AB036">
            <w:pPr>
              <w:spacing w:line="240" w:lineRule="auto"/>
              <w:jc w:val="center"/>
            </w:pPr>
            <w:r>
              <w:rPr>
                <w:rFonts w:ascii="宋体" w:hAnsi="宋体" w:eastAsia="宋体" w:cs="宋体"/>
                <w:b w:val="0"/>
              </w:rPr>
              <w:t>项目</w:t>
            </w:r>
          </w:p>
        </w:tc>
        <w:tc>
          <w:tcPr>
            <w:tcW w:w="2308" w:type="pct"/>
            <w:shd w:val="clear" w:color="auto" w:fill="D9D9D9"/>
            <w:vAlign w:val="center"/>
          </w:tcPr>
          <w:p w14:paraId="7C510849">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5F36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FBB008">
            <w:pPr>
              <w:spacing w:line="240" w:lineRule="auto"/>
              <w:jc w:val="left"/>
            </w:pPr>
            <w:r>
              <w:rPr>
                <w:rFonts w:ascii="宋体" w:hAnsi="宋体" w:eastAsia="宋体" w:cs="宋体"/>
                <w:b w:val="0"/>
              </w:rPr>
              <w:t>活期存款</w:t>
            </w:r>
          </w:p>
        </w:tc>
        <w:tc>
          <w:tcPr>
            <w:tcW w:w="0" w:type="dxa"/>
            <w:vAlign w:val="center"/>
          </w:tcPr>
          <w:p w14:paraId="0232E7F8">
            <w:pPr>
              <w:spacing w:line="240" w:lineRule="auto"/>
              <w:jc w:val="right"/>
            </w:pPr>
            <w:r>
              <w:rPr>
                <w:rFonts w:ascii="宋体" w:hAnsi="宋体" w:eastAsia="宋体" w:cs="宋体"/>
                <w:b w:val="0"/>
              </w:rPr>
              <w:t>39,154.88</w:t>
            </w:r>
          </w:p>
        </w:tc>
      </w:tr>
      <w:tr w14:paraId="3AB7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984B20">
            <w:pPr>
              <w:spacing w:line="240" w:lineRule="auto"/>
              <w:jc w:val="left"/>
            </w:pPr>
            <w:r>
              <w:rPr>
                <w:rFonts w:ascii="宋体" w:hAnsi="宋体" w:eastAsia="宋体" w:cs="宋体"/>
                <w:b w:val="0"/>
              </w:rPr>
              <w:t>等于：本金</w:t>
            </w:r>
          </w:p>
        </w:tc>
        <w:tc>
          <w:tcPr>
            <w:tcW w:w="0" w:type="dxa"/>
            <w:vAlign w:val="center"/>
          </w:tcPr>
          <w:p w14:paraId="1B4C5587">
            <w:pPr>
              <w:spacing w:line="240" w:lineRule="auto"/>
              <w:jc w:val="right"/>
            </w:pPr>
            <w:r>
              <w:rPr>
                <w:rFonts w:ascii="宋体" w:hAnsi="宋体" w:eastAsia="宋体" w:cs="宋体"/>
                <w:b w:val="0"/>
              </w:rPr>
              <w:t>39,151.08</w:t>
            </w:r>
          </w:p>
        </w:tc>
      </w:tr>
      <w:tr w14:paraId="46BB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E64877">
            <w:pPr>
              <w:spacing w:line="240" w:lineRule="auto"/>
              <w:jc w:val="left"/>
            </w:pPr>
            <w:r>
              <w:rPr>
                <w:rFonts w:ascii="宋体" w:hAnsi="宋体" w:eastAsia="宋体" w:cs="宋体"/>
                <w:b w:val="0"/>
              </w:rPr>
              <w:t xml:space="preserve">      加：应计利息</w:t>
            </w:r>
          </w:p>
        </w:tc>
        <w:tc>
          <w:tcPr>
            <w:tcW w:w="0" w:type="dxa"/>
            <w:vAlign w:val="center"/>
          </w:tcPr>
          <w:p w14:paraId="439FD323">
            <w:pPr>
              <w:spacing w:line="240" w:lineRule="auto"/>
              <w:jc w:val="right"/>
            </w:pPr>
            <w:r>
              <w:rPr>
                <w:rFonts w:ascii="宋体" w:hAnsi="宋体" w:eastAsia="宋体" w:cs="宋体"/>
                <w:b w:val="0"/>
              </w:rPr>
              <w:t>3.80</w:t>
            </w:r>
          </w:p>
        </w:tc>
      </w:tr>
      <w:tr w14:paraId="294D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D8B2DE">
            <w:pPr>
              <w:spacing w:line="240" w:lineRule="auto"/>
              <w:jc w:val="left"/>
            </w:pPr>
            <w:r>
              <w:rPr>
                <w:rFonts w:ascii="宋体" w:hAnsi="宋体" w:eastAsia="宋体" w:cs="宋体"/>
                <w:b w:val="0"/>
              </w:rPr>
              <w:t xml:space="preserve">      减：坏账准备</w:t>
            </w:r>
          </w:p>
        </w:tc>
        <w:tc>
          <w:tcPr>
            <w:tcW w:w="0" w:type="dxa"/>
            <w:vAlign w:val="center"/>
          </w:tcPr>
          <w:p w14:paraId="196475D9">
            <w:pPr>
              <w:spacing w:line="240" w:lineRule="auto"/>
              <w:jc w:val="right"/>
            </w:pPr>
            <w:r>
              <w:rPr>
                <w:rFonts w:ascii="宋体" w:hAnsi="宋体" w:eastAsia="宋体" w:cs="宋体"/>
                <w:b w:val="0"/>
              </w:rPr>
              <w:t>-</w:t>
            </w:r>
          </w:p>
        </w:tc>
      </w:tr>
      <w:tr w14:paraId="5EC2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CB127F">
            <w:pPr>
              <w:spacing w:line="240" w:lineRule="auto"/>
              <w:jc w:val="left"/>
            </w:pPr>
            <w:r>
              <w:rPr>
                <w:rFonts w:ascii="宋体" w:hAnsi="宋体" w:eastAsia="宋体" w:cs="宋体"/>
                <w:b w:val="0"/>
              </w:rPr>
              <w:t>定期存款</w:t>
            </w:r>
          </w:p>
        </w:tc>
        <w:tc>
          <w:tcPr>
            <w:tcW w:w="0" w:type="dxa"/>
            <w:vAlign w:val="center"/>
          </w:tcPr>
          <w:p w14:paraId="353BDF85">
            <w:pPr>
              <w:spacing w:line="240" w:lineRule="auto"/>
              <w:jc w:val="right"/>
            </w:pPr>
            <w:r>
              <w:rPr>
                <w:rFonts w:ascii="宋体" w:hAnsi="宋体" w:eastAsia="宋体" w:cs="宋体"/>
                <w:b w:val="0"/>
              </w:rPr>
              <w:t>-</w:t>
            </w:r>
          </w:p>
        </w:tc>
      </w:tr>
      <w:tr w14:paraId="013E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29CBF1">
            <w:pPr>
              <w:spacing w:line="240" w:lineRule="auto"/>
              <w:jc w:val="left"/>
            </w:pPr>
            <w:r>
              <w:rPr>
                <w:rFonts w:ascii="宋体" w:hAnsi="宋体" w:eastAsia="宋体" w:cs="宋体"/>
                <w:b w:val="0"/>
              </w:rPr>
              <w:t>等于：本金</w:t>
            </w:r>
          </w:p>
        </w:tc>
        <w:tc>
          <w:tcPr>
            <w:tcW w:w="0" w:type="dxa"/>
            <w:vAlign w:val="center"/>
          </w:tcPr>
          <w:p w14:paraId="07F4925A">
            <w:pPr>
              <w:spacing w:line="240" w:lineRule="auto"/>
              <w:jc w:val="right"/>
            </w:pPr>
            <w:r>
              <w:rPr>
                <w:rFonts w:ascii="宋体" w:hAnsi="宋体" w:eastAsia="宋体" w:cs="宋体"/>
                <w:b w:val="0"/>
              </w:rPr>
              <w:t>-</w:t>
            </w:r>
          </w:p>
        </w:tc>
      </w:tr>
      <w:tr w14:paraId="42FD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EC15BB">
            <w:pPr>
              <w:spacing w:line="240" w:lineRule="auto"/>
              <w:jc w:val="left"/>
            </w:pPr>
            <w:r>
              <w:rPr>
                <w:rFonts w:ascii="宋体" w:hAnsi="宋体" w:eastAsia="宋体" w:cs="宋体"/>
                <w:b w:val="0"/>
              </w:rPr>
              <w:t xml:space="preserve">      加：应计利息</w:t>
            </w:r>
          </w:p>
        </w:tc>
        <w:tc>
          <w:tcPr>
            <w:tcW w:w="0" w:type="dxa"/>
            <w:vAlign w:val="center"/>
          </w:tcPr>
          <w:p w14:paraId="3FA6224C">
            <w:pPr>
              <w:spacing w:line="240" w:lineRule="auto"/>
              <w:jc w:val="right"/>
            </w:pPr>
            <w:r>
              <w:rPr>
                <w:rFonts w:ascii="宋体" w:hAnsi="宋体" w:eastAsia="宋体" w:cs="宋体"/>
                <w:b w:val="0"/>
              </w:rPr>
              <w:t>-</w:t>
            </w:r>
          </w:p>
        </w:tc>
      </w:tr>
      <w:tr w14:paraId="08A4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80DB55">
            <w:pPr>
              <w:spacing w:line="240" w:lineRule="auto"/>
              <w:jc w:val="left"/>
            </w:pPr>
            <w:r>
              <w:rPr>
                <w:rFonts w:ascii="宋体" w:hAnsi="宋体" w:eastAsia="宋体" w:cs="宋体"/>
                <w:b w:val="0"/>
              </w:rPr>
              <w:t xml:space="preserve">      减：坏账准备</w:t>
            </w:r>
          </w:p>
        </w:tc>
        <w:tc>
          <w:tcPr>
            <w:tcW w:w="0" w:type="dxa"/>
            <w:vAlign w:val="center"/>
          </w:tcPr>
          <w:p w14:paraId="7A7F401B">
            <w:pPr>
              <w:spacing w:line="240" w:lineRule="auto"/>
              <w:jc w:val="right"/>
            </w:pPr>
            <w:r>
              <w:rPr>
                <w:rFonts w:ascii="宋体" w:hAnsi="宋体" w:eastAsia="宋体" w:cs="宋体"/>
                <w:b w:val="0"/>
              </w:rPr>
              <w:t>-</w:t>
            </w:r>
          </w:p>
        </w:tc>
      </w:tr>
      <w:tr w14:paraId="1F89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CD3DA0">
            <w:pPr>
              <w:spacing w:line="240" w:lineRule="auto"/>
              <w:jc w:val="left"/>
            </w:pPr>
            <w:r>
              <w:rPr>
                <w:rFonts w:ascii="宋体" w:hAnsi="宋体" w:eastAsia="宋体" w:cs="宋体"/>
                <w:b w:val="0"/>
              </w:rPr>
              <w:t>其中：存款期限1个月以内</w:t>
            </w:r>
          </w:p>
        </w:tc>
        <w:tc>
          <w:tcPr>
            <w:tcW w:w="0" w:type="dxa"/>
            <w:vAlign w:val="center"/>
          </w:tcPr>
          <w:p w14:paraId="3FB50CF5">
            <w:pPr>
              <w:spacing w:line="240" w:lineRule="auto"/>
              <w:jc w:val="right"/>
            </w:pPr>
            <w:r>
              <w:rPr>
                <w:rFonts w:ascii="宋体" w:hAnsi="宋体" w:eastAsia="宋体" w:cs="宋体"/>
                <w:b w:val="0"/>
              </w:rPr>
              <w:t>-</w:t>
            </w:r>
          </w:p>
        </w:tc>
      </w:tr>
      <w:tr w14:paraId="51A0C5DF">
        <w:tblPrEx>
          <w:tblCellMar>
            <w:top w:w="0" w:type="dxa"/>
            <w:left w:w="108" w:type="dxa"/>
            <w:bottom w:w="0" w:type="dxa"/>
            <w:right w:w="108" w:type="dxa"/>
          </w:tblCellMar>
        </w:tblPrEx>
        <w:tc>
          <w:tcPr>
            <w:tcW w:w="0" w:type="dxa"/>
            <w:vAlign w:val="center"/>
          </w:tcPr>
          <w:p w14:paraId="0939440D">
            <w:pPr>
              <w:spacing w:line="240" w:lineRule="auto"/>
              <w:jc w:val="left"/>
            </w:pPr>
            <w:r>
              <w:rPr>
                <w:rFonts w:ascii="宋体" w:hAnsi="宋体" w:eastAsia="宋体" w:cs="宋体"/>
                <w:b w:val="0"/>
              </w:rPr>
              <w:t xml:space="preserve">      存款期限1-3个月</w:t>
            </w:r>
          </w:p>
        </w:tc>
        <w:tc>
          <w:tcPr>
            <w:tcW w:w="0" w:type="dxa"/>
            <w:vAlign w:val="center"/>
          </w:tcPr>
          <w:p w14:paraId="087D0338">
            <w:pPr>
              <w:spacing w:line="240" w:lineRule="auto"/>
              <w:jc w:val="right"/>
            </w:pPr>
            <w:r>
              <w:rPr>
                <w:rFonts w:ascii="宋体" w:hAnsi="宋体" w:eastAsia="宋体" w:cs="宋体"/>
                <w:b w:val="0"/>
              </w:rPr>
              <w:t>-</w:t>
            </w:r>
          </w:p>
        </w:tc>
      </w:tr>
      <w:tr w14:paraId="2D9B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AF800C">
            <w:pPr>
              <w:spacing w:line="240" w:lineRule="auto"/>
              <w:jc w:val="left"/>
            </w:pPr>
            <w:r>
              <w:rPr>
                <w:rFonts w:ascii="宋体" w:hAnsi="宋体" w:eastAsia="宋体" w:cs="宋体"/>
                <w:b w:val="0"/>
              </w:rPr>
              <w:t xml:space="preserve">      存款期限3个月以上</w:t>
            </w:r>
          </w:p>
        </w:tc>
        <w:tc>
          <w:tcPr>
            <w:tcW w:w="0" w:type="dxa"/>
            <w:vAlign w:val="center"/>
          </w:tcPr>
          <w:p w14:paraId="4466EF32">
            <w:pPr>
              <w:spacing w:line="240" w:lineRule="auto"/>
              <w:jc w:val="right"/>
            </w:pPr>
            <w:r>
              <w:rPr>
                <w:rFonts w:ascii="宋体" w:hAnsi="宋体" w:eastAsia="宋体" w:cs="宋体"/>
                <w:b w:val="0"/>
              </w:rPr>
              <w:t>-</w:t>
            </w:r>
          </w:p>
        </w:tc>
      </w:tr>
      <w:tr w14:paraId="6AE3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6DA184">
            <w:pPr>
              <w:spacing w:line="240" w:lineRule="auto"/>
              <w:jc w:val="left"/>
            </w:pPr>
            <w:r>
              <w:rPr>
                <w:rFonts w:ascii="宋体" w:hAnsi="宋体" w:eastAsia="宋体" w:cs="宋体"/>
                <w:b w:val="0"/>
              </w:rPr>
              <w:t>其他存款</w:t>
            </w:r>
          </w:p>
        </w:tc>
        <w:tc>
          <w:tcPr>
            <w:tcW w:w="0" w:type="dxa"/>
            <w:vAlign w:val="center"/>
          </w:tcPr>
          <w:p w14:paraId="4F222F06">
            <w:pPr>
              <w:spacing w:line="240" w:lineRule="auto"/>
              <w:jc w:val="right"/>
            </w:pPr>
            <w:r>
              <w:rPr>
                <w:rFonts w:ascii="宋体" w:hAnsi="宋体" w:eastAsia="宋体" w:cs="宋体"/>
                <w:b w:val="0"/>
              </w:rPr>
              <w:t>40,251.79</w:t>
            </w:r>
          </w:p>
        </w:tc>
      </w:tr>
      <w:tr w14:paraId="0194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7FC4A2">
            <w:pPr>
              <w:spacing w:line="240" w:lineRule="auto"/>
              <w:jc w:val="left"/>
            </w:pPr>
            <w:r>
              <w:rPr>
                <w:rFonts w:ascii="宋体" w:hAnsi="宋体" w:eastAsia="宋体" w:cs="宋体"/>
                <w:b w:val="0"/>
              </w:rPr>
              <w:t>等于：本金</w:t>
            </w:r>
          </w:p>
        </w:tc>
        <w:tc>
          <w:tcPr>
            <w:tcW w:w="0" w:type="dxa"/>
            <w:vAlign w:val="center"/>
          </w:tcPr>
          <w:p w14:paraId="503178DD">
            <w:pPr>
              <w:spacing w:line="240" w:lineRule="auto"/>
              <w:jc w:val="right"/>
            </w:pPr>
            <w:r>
              <w:rPr>
                <w:rFonts w:ascii="宋体" w:hAnsi="宋体" w:eastAsia="宋体" w:cs="宋体"/>
                <w:b w:val="0"/>
              </w:rPr>
              <w:t>40,244.26</w:t>
            </w:r>
          </w:p>
        </w:tc>
      </w:tr>
      <w:tr w14:paraId="12E3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95BD5D">
            <w:pPr>
              <w:spacing w:line="240" w:lineRule="auto"/>
              <w:jc w:val="left"/>
            </w:pPr>
            <w:r>
              <w:rPr>
                <w:rFonts w:ascii="宋体" w:hAnsi="宋体" w:eastAsia="宋体" w:cs="宋体"/>
                <w:b w:val="0"/>
              </w:rPr>
              <w:t xml:space="preserve">      加：应计利息</w:t>
            </w:r>
          </w:p>
        </w:tc>
        <w:tc>
          <w:tcPr>
            <w:tcW w:w="0" w:type="dxa"/>
            <w:vAlign w:val="center"/>
          </w:tcPr>
          <w:p w14:paraId="19B0F1F0">
            <w:pPr>
              <w:spacing w:line="240" w:lineRule="auto"/>
              <w:jc w:val="right"/>
            </w:pPr>
            <w:r>
              <w:rPr>
                <w:rFonts w:ascii="宋体" w:hAnsi="宋体" w:eastAsia="宋体" w:cs="宋体"/>
                <w:b w:val="0"/>
              </w:rPr>
              <w:t>7.53</w:t>
            </w:r>
          </w:p>
        </w:tc>
      </w:tr>
      <w:tr w14:paraId="3F3B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F7B222">
            <w:pPr>
              <w:spacing w:line="240" w:lineRule="auto"/>
              <w:jc w:val="left"/>
            </w:pPr>
            <w:r>
              <w:rPr>
                <w:rFonts w:ascii="宋体" w:hAnsi="宋体" w:eastAsia="宋体" w:cs="宋体"/>
                <w:b w:val="0"/>
              </w:rPr>
              <w:t xml:space="preserve">      减：坏账准备</w:t>
            </w:r>
          </w:p>
        </w:tc>
        <w:tc>
          <w:tcPr>
            <w:tcW w:w="0" w:type="dxa"/>
            <w:vAlign w:val="center"/>
          </w:tcPr>
          <w:p w14:paraId="08531611">
            <w:pPr>
              <w:spacing w:line="240" w:lineRule="auto"/>
              <w:jc w:val="right"/>
            </w:pPr>
            <w:r>
              <w:rPr>
                <w:rFonts w:ascii="宋体" w:hAnsi="宋体" w:eastAsia="宋体" w:cs="宋体"/>
                <w:b w:val="0"/>
              </w:rPr>
              <w:t>-</w:t>
            </w:r>
          </w:p>
        </w:tc>
      </w:tr>
      <w:tr w14:paraId="09A4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307E2E">
            <w:pPr>
              <w:spacing w:line="240" w:lineRule="auto"/>
              <w:jc w:val="center"/>
            </w:pPr>
            <w:r>
              <w:rPr>
                <w:rFonts w:ascii="宋体" w:hAnsi="宋体" w:eastAsia="宋体" w:cs="宋体"/>
                <w:b w:val="0"/>
              </w:rPr>
              <w:t>合计</w:t>
            </w:r>
          </w:p>
        </w:tc>
        <w:tc>
          <w:tcPr>
            <w:tcW w:w="0" w:type="dxa"/>
            <w:vAlign w:val="center"/>
          </w:tcPr>
          <w:p w14:paraId="2D277829">
            <w:pPr>
              <w:spacing w:line="240" w:lineRule="auto"/>
              <w:jc w:val="right"/>
            </w:pPr>
            <w:r>
              <w:rPr>
                <w:rFonts w:ascii="宋体" w:hAnsi="宋体" w:eastAsia="宋体" w:cs="宋体"/>
                <w:b w:val="0"/>
              </w:rPr>
              <w:t>79,406.67</w:t>
            </w:r>
          </w:p>
        </w:tc>
      </w:tr>
    </w:tbl>
    <w:p w14:paraId="62E0753B">
      <w:r>
        <w:rPr>
          <w:rFonts w:ascii="宋体" w:hAnsi="宋体" w:eastAsia="宋体" w:cs="宋体"/>
          <w:b w:val="0"/>
        </w:rPr>
        <w:t>注: 本基金持有的其他存款为存放在证券经纪商基金专用证券账户的证券交易结算资金。</w:t>
      </w:r>
    </w:p>
    <w:p w14:paraId="512B2BFC"/>
    <w:p w14:paraId="05CD6AFC">
      <w:pPr>
        <w:pStyle w:val="58"/>
      </w:pPr>
      <w:r>
        <w:rPr>
          <w:rFonts w:ascii="宋体" w:hAnsi="宋体" w:eastAsia="宋体" w:cs="宋体"/>
          <w:b/>
        </w:rPr>
        <w:t>6.4.7.2 交易性金融资产</w:t>
      </w:r>
    </w:p>
    <w:p w14:paraId="38F07084">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428"/>
        <w:gridCol w:w="1787"/>
        <w:gridCol w:w="1787"/>
        <w:gridCol w:w="1787"/>
        <w:gridCol w:w="1783"/>
      </w:tblGrid>
      <w:tr w14:paraId="3AF3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gridSpan w:val="2"/>
            <w:vMerge w:val="restart"/>
            <w:shd w:val="clear" w:color="auto" w:fill="D9D9D9"/>
            <w:vAlign w:val="center"/>
          </w:tcPr>
          <w:p w14:paraId="1D32128D">
            <w:pPr>
              <w:spacing w:line="240" w:lineRule="auto"/>
              <w:jc w:val="center"/>
            </w:pPr>
            <w:r>
              <w:rPr>
                <w:rFonts w:ascii="宋体" w:hAnsi="宋体" w:eastAsia="宋体" w:cs="宋体"/>
                <w:b w:val="0"/>
              </w:rPr>
              <w:t>项目</w:t>
            </w:r>
          </w:p>
        </w:tc>
        <w:tc>
          <w:tcPr>
            <w:tcW w:w="3846" w:type="pct"/>
            <w:gridSpan w:val="4"/>
            <w:shd w:val="clear" w:color="auto" w:fill="D9D9D9"/>
            <w:vAlign w:val="center"/>
          </w:tcPr>
          <w:p w14:paraId="0831D672">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484E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2"/>
            <w:vMerge w:val="continue"/>
          </w:tcPr>
          <w:p w14:paraId="1CF4AA89"/>
        </w:tc>
        <w:tc>
          <w:tcPr>
            <w:tcW w:w="962" w:type="pct"/>
            <w:shd w:val="clear" w:color="auto" w:fill="D9D9D9"/>
            <w:vAlign w:val="center"/>
          </w:tcPr>
          <w:p w14:paraId="6674D761">
            <w:pPr>
              <w:spacing w:line="240" w:lineRule="auto"/>
              <w:jc w:val="center"/>
            </w:pPr>
            <w:r>
              <w:rPr>
                <w:rFonts w:ascii="宋体" w:hAnsi="宋体" w:eastAsia="宋体" w:cs="宋体"/>
                <w:b w:val="0"/>
              </w:rPr>
              <w:t>成本</w:t>
            </w:r>
          </w:p>
        </w:tc>
        <w:tc>
          <w:tcPr>
            <w:tcW w:w="962" w:type="pct"/>
            <w:shd w:val="clear" w:color="auto" w:fill="D9D9D9"/>
            <w:vAlign w:val="center"/>
          </w:tcPr>
          <w:p w14:paraId="1B444959">
            <w:pPr>
              <w:spacing w:line="240" w:lineRule="auto"/>
              <w:jc w:val="center"/>
            </w:pPr>
            <w:r>
              <w:rPr>
                <w:rFonts w:ascii="宋体" w:hAnsi="宋体" w:eastAsia="宋体" w:cs="宋体"/>
                <w:b w:val="0"/>
              </w:rPr>
              <w:t>应计利息</w:t>
            </w:r>
          </w:p>
        </w:tc>
        <w:tc>
          <w:tcPr>
            <w:tcW w:w="962" w:type="pct"/>
            <w:shd w:val="clear" w:color="auto" w:fill="D9D9D9"/>
            <w:vAlign w:val="center"/>
          </w:tcPr>
          <w:p w14:paraId="44DAE27E">
            <w:pPr>
              <w:spacing w:line="240" w:lineRule="auto"/>
              <w:jc w:val="center"/>
            </w:pPr>
            <w:r>
              <w:rPr>
                <w:rFonts w:ascii="宋体" w:hAnsi="宋体" w:eastAsia="宋体" w:cs="宋体"/>
                <w:b w:val="0"/>
              </w:rPr>
              <w:t>公允价值</w:t>
            </w:r>
          </w:p>
        </w:tc>
        <w:tc>
          <w:tcPr>
            <w:tcW w:w="962" w:type="pct"/>
            <w:shd w:val="clear" w:color="auto" w:fill="D9D9D9"/>
            <w:vAlign w:val="center"/>
          </w:tcPr>
          <w:p w14:paraId="7843F74C">
            <w:pPr>
              <w:spacing w:line="240" w:lineRule="auto"/>
              <w:jc w:val="center"/>
            </w:pPr>
            <w:r>
              <w:rPr>
                <w:rFonts w:ascii="宋体" w:hAnsi="宋体" w:eastAsia="宋体" w:cs="宋体"/>
                <w:b w:val="0"/>
              </w:rPr>
              <w:t>公允价值变动</w:t>
            </w:r>
          </w:p>
        </w:tc>
      </w:tr>
      <w:tr w14:paraId="206C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4CA9A4E6">
            <w:pPr>
              <w:spacing w:line="240" w:lineRule="auto"/>
              <w:jc w:val="left"/>
            </w:pPr>
            <w:r>
              <w:rPr>
                <w:rFonts w:ascii="宋体" w:hAnsi="宋体" w:eastAsia="宋体" w:cs="宋体"/>
                <w:b w:val="0"/>
              </w:rPr>
              <w:t>股票</w:t>
            </w:r>
          </w:p>
        </w:tc>
        <w:tc>
          <w:tcPr>
            <w:tcW w:w="0" w:type="dxa"/>
            <w:vAlign w:val="center"/>
          </w:tcPr>
          <w:p w14:paraId="1B7AB481">
            <w:pPr>
              <w:spacing w:line="240" w:lineRule="auto"/>
              <w:jc w:val="right"/>
            </w:pPr>
            <w:r>
              <w:rPr>
                <w:rFonts w:ascii="宋体" w:hAnsi="宋体" w:eastAsia="宋体" w:cs="宋体"/>
                <w:b w:val="0"/>
              </w:rPr>
              <w:t>1,699,513.45</w:t>
            </w:r>
          </w:p>
        </w:tc>
        <w:tc>
          <w:tcPr>
            <w:tcW w:w="0" w:type="dxa"/>
            <w:vAlign w:val="center"/>
          </w:tcPr>
          <w:p w14:paraId="1703F10A">
            <w:pPr>
              <w:spacing w:line="240" w:lineRule="auto"/>
              <w:jc w:val="right"/>
            </w:pPr>
            <w:r>
              <w:rPr>
                <w:rFonts w:ascii="宋体" w:hAnsi="宋体" w:eastAsia="宋体" w:cs="宋体"/>
                <w:b w:val="0"/>
              </w:rPr>
              <w:t>-</w:t>
            </w:r>
          </w:p>
        </w:tc>
        <w:tc>
          <w:tcPr>
            <w:tcW w:w="0" w:type="dxa"/>
            <w:vAlign w:val="center"/>
          </w:tcPr>
          <w:p w14:paraId="4657FEC9">
            <w:pPr>
              <w:spacing w:line="240" w:lineRule="auto"/>
              <w:jc w:val="right"/>
            </w:pPr>
            <w:r>
              <w:rPr>
                <w:rFonts w:ascii="宋体" w:hAnsi="宋体" w:eastAsia="宋体" w:cs="宋体"/>
                <w:b w:val="0"/>
              </w:rPr>
              <w:t>1,853,513.00</w:t>
            </w:r>
          </w:p>
        </w:tc>
        <w:tc>
          <w:tcPr>
            <w:tcW w:w="0" w:type="dxa"/>
            <w:vAlign w:val="center"/>
          </w:tcPr>
          <w:p w14:paraId="74EE3072">
            <w:pPr>
              <w:spacing w:line="240" w:lineRule="auto"/>
              <w:jc w:val="right"/>
            </w:pPr>
            <w:r>
              <w:rPr>
                <w:rFonts w:ascii="宋体" w:hAnsi="宋体" w:eastAsia="宋体" w:cs="宋体"/>
                <w:b w:val="0"/>
              </w:rPr>
              <w:t>153,999.55</w:t>
            </w:r>
          </w:p>
        </w:tc>
      </w:tr>
      <w:tr w14:paraId="6591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048DB473">
            <w:pPr>
              <w:spacing w:line="240" w:lineRule="auto"/>
              <w:jc w:val="left"/>
            </w:pPr>
            <w:r>
              <w:rPr>
                <w:rFonts w:ascii="宋体" w:hAnsi="宋体" w:eastAsia="宋体" w:cs="宋体"/>
                <w:b w:val="0"/>
              </w:rPr>
              <w:t>贵金属投资-金交所黄金合约</w:t>
            </w:r>
          </w:p>
        </w:tc>
        <w:tc>
          <w:tcPr>
            <w:tcW w:w="0" w:type="dxa"/>
            <w:vAlign w:val="center"/>
          </w:tcPr>
          <w:p w14:paraId="7A3D242D">
            <w:pPr>
              <w:spacing w:line="240" w:lineRule="auto"/>
              <w:jc w:val="right"/>
            </w:pPr>
            <w:r>
              <w:rPr>
                <w:rFonts w:ascii="宋体" w:hAnsi="宋体" w:eastAsia="宋体" w:cs="宋体"/>
                <w:b w:val="0"/>
              </w:rPr>
              <w:t>-</w:t>
            </w:r>
          </w:p>
        </w:tc>
        <w:tc>
          <w:tcPr>
            <w:tcW w:w="0" w:type="dxa"/>
            <w:vAlign w:val="center"/>
          </w:tcPr>
          <w:p w14:paraId="6B0F41D4">
            <w:pPr>
              <w:spacing w:line="240" w:lineRule="auto"/>
              <w:jc w:val="right"/>
            </w:pPr>
            <w:r>
              <w:rPr>
                <w:rFonts w:ascii="宋体" w:hAnsi="宋体" w:eastAsia="宋体" w:cs="宋体"/>
                <w:b w:val="0"/>
              </w:rPr>
              <w:t>-</w:t>
            </w:r>
          </w:p>
        </w:tc>
        <w:tc>
          <w:tcPr>
            <w:tcW w:w="0" w:type="dxa"/>
            <w:vAlign w:val="center"/>
          </w:tcPr>
          <w:p w14:paraId="39745EE1">
            <w:pPr>
              <w:spacing w:line="240" w:lineRule="auto"/>
              <w:jc w:val="right"/>
            </w:pPr>
            <w:r>
              <w:rPr>
                <w:rFonts w:ascii="宋体" w:hAnsi="宋体" w:eastAsia="宋体" w:cs="宋体"/>
                <w:b w:val="0"/>
              </w:rPr>
              <w:t>-</w:t>
            </w:r>
          </w:p>
        </w:tc>
        <w:tc>
          <w:tcPr>
            <w:tcW w:w="0" w:type="dxa"/>
            <w:vAlign w:val="center"/>
          </w:tcPr>
          <w:p w14:paraId="08735DFC">
            <w:pPr>
              <w:spacing w:line="240" w:lineRule="auto"/>
              <w:jc w:val="right"/>
            </w:pPr>
            <w:r>
              <w:rPr>
                <w:rFonts w:ascii="宋体" w:hAnsi="宋体" w:eastAsia="宋体" w:cs="宋体"/>
                <w:b w:val="0"/>
              </w:rPr>
              <w:t>-</w:t>
            </w:r>
          </w:p>
        </w:tc>
      </w:tr>
      <w:tr w14:paraId="3830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Merge w:val="restart"/>
            <w:vAlign w:val="center"/>
          </w:tcPr>
          <w:p w14:paraId="282C0A3A">
            <w:pPr>
              <w:spacing w:line="240" w:lineRule="auto"/>
              <w:jc w:val="center"/>
            </w:pPr>
            <w:r>
              <w:rPr>
                <w:rFonts w:ascii="宋体" w:hAnsi="宋体" w:eastAsia="宋体" w:cs="宋体"/>
                <w:b w:val="0"/>
              </w:rPr>
              <w:t>债券</w:t>
            </w:r>
          </w:p>
        </w:tc>
        <w:tc>
          <w:tcPr>
            <w:tcW w:w="769" w:type="pct"/>
            <w:vAlign w:val="center"/>
          </w:tcPr>
          <w:p w14:paraId="28FC16FB">
            <w:pPr>
              <w:spacing w:line="240" w:lineRule="auto"/>
              <w:jc w:val="left"/>
            </w:pPr>
            <w:r>
              <w:rPr>
                <w:rFonts w:ascii="宋体" w:hAnsi="宋体" w:eastAsia="宋体" w:cs="宋体"/>
                <w:b w:val="0"/>
              </w:rPr>
              <w:t>交易所市场</w:t>
            </w:r>
          </w:p>
        </w:tc>
        <w:tc>
          <w:tcPr>
            <w:tcW w:w="0" w:type="dxa"/>
            <w:vAlign w:val="center"/>
          </w:tcPr>
          <w:p w14:paraId="5AC7AB18">
            <w:pPr>
              <w:spacing w:line="240" w:lineRule="auto"/>
              <w:jc w:val="right"/>
            </w:pPr>
            <w:r>
              <w:rPr>
                <w:rFonts w:ascii="宋体" w:hAnsi="宋体" w:eastAsia="宋体" w:cs="宋体"/>
                <w:b w:val="0"/>
              </w:rPr>
              <w:t>5,964,643.00</w:t>
            </w:r>
          </w:p>
        </w:tc>
        <w:tc>
          <w:tcPr>
            <w:tcW w:w="0" w:type="dxa"/>
            <w:vAlign w:val="center"/>
          </w:tcPr>
          <w:p w14:paraId="6AA7B4ED">
            <w:pPr>
              <w:spacing w:line="240" w:lineRule="auto"/>
              <w:jc w:val="right"/>
            </w:pPr>
            <w:r>
              <w:rPr>
                <w:rFonts w:ascii="宋体" w:hAnsi="宋体" w:eastAsia="宋体" w:cs="宋体"/>
                <w:b w:val="0"/>
              </w:rPr>
              <w:t>54,980.88</w:t>
            </w:r>
          </w:p>
        </w:tc>
        <w:tc>
          <w:tcPr>
            <w:tcW w:w="0" w:type="dxa"/>
            <w:vAlign w:val="center"/>
          </w:tcPr>
          <w:p w14:paraId="7C0338EC">
            <w:pPr>
              <w:spacing w:line="240" w:lineRule="auto"/>
              <w:jc w:val="right"/>
            </w:pPr>
            <w:r>
              <w:rPr>
                <w:rFonts w:ascii="宋体" w:hAnsi="宋体" w:eastAsia="宋体" w:cs="宋体"/>
                <w:b w:val="0"/>
              </w:rPr>
              <w:t>6,017,400.88</w:t>
            </w:r>
          </w:p>
        </w:tc>
        <w:tc>
          <w:tcPr>
            <w:tcW w:w="0" w:type="dxa"/>
            <w:vAlign w:val="center"/>
          </w:tcPr>
          <w:p w14:paraId="5730F347">
            <w:pPr>
              <w:spacing w:line="240" w:lineRule="auto"/>
              <w:jc w:val="right"/>
            </w:pPr>
            <w:r>
              <w:rPr>
                <w:rFonts w:ascii="宋体" w:hAnsi="宋体" w:eastAsia="宋体" w:cs="宋体"/>
                <w:b w:val="0"/>
              </w:rPr>
              <w:t>-2,223.00</w:t>
            </w:r>
          </w:p>
        </w:tc>
      </w:tr>
      <w:tr w14:paraId="194C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A803D21"/>
        </w:tc>
        <w:tc>
          <w:tcPr>
            <w:tcW w:w="0" w:type="dxa"/>
            <w:vAlign w:val="center"/>
          </w:tcPr>
          <w:p w14:paraId="1372274D">
            <w:pPr>
              <w:spacing w:line="240" w:lineRule="auto"/>
              <w:jc w:val="left"/>
            </w:pPr>
            <w:r>
              <w:rPr>
                <w:rFonts w:ascii="宋体" w:hAnsi="宋体" w:eastAsia="宋体" w:cs="宋体"/>
                <w:b w:val="0"/>
              </w:rPr>
              <w:t>银行间市场</w:t>
            </w:r>
          </w:p>
        </w:tc>
        <w:tc>
          <w:tcPr>
            <w:tcW w:w="0" w:type="dxa"/>
            <w:vAlign w:val="center"/>
          </w:tcPr>
          <w:p w14:paraId="1B120250">
            <w:pPr>
              <w:spacing w:line="240" w:lineRule="auto"/>
              <w:jc w:val="right"/>
            </w:pPr>
            <w:r>
              <w:rPr>
                <w:rFonts w:ascii="宋体" w:hAnsi="宋体" w:eastAsia="宋体" w:cs="宋体"/>
                <w:b w:val="0"/>
              </w:rPr>
              <w:t>-</w:t>
            </w:r>
          </w:p>
        </w:tc>
        <w:tc>
          <w:tcPr>
            <w:tcW w:w="0" w:type="dxa"/>
            <w:vAlign w:val="center"/>
          </w:tcPr>
          <w:p w14:paraId="2171A4D1">
            <w:pPr>
              <w:spacing w:line="240" w:lineRule="auto"/>
              <w:jc w:val="right"/>
            </w:pPr>
            <w:r>
              <w:rPr>
                <w:rFonts w:ascii="宋体" w:hAnsi="宋体" w:eastAsia="宋体" w:cs="宋体"/>
                <w:b w:val="0"/>
              </w:rPr>
              <w:t>-</w:t>
            </w:r>
          </w:p>
        </w:tc>
        <w:tc>
          <w:tcPr>
            <w:tcW w:w="0" w:type="dxa"/>
            <w:vAlign w:val="center"/>
          </w:tcPr>
          <w:p w14:paraId="1214F28C">
            <w:pPr>
              <w:spacing w:line="240" w:lineRule="auto"/>
              <w:jc w:val="right"/>
            </w:pPr>
            <w:r>
              <w:rPr>
                <w:rFonts w:ascii="宋体" w:hAnsi="宋体" w:eastAsia="宋体" w:cs="宋体"/>
                <w:b w:val="0"/>
              </w:rPr>
              <w:t>-</w:t>
            </w:r>
          </w:p>
        </w:tc>
        <w:tc>
          <w:tcPr>
            <w:tcW w:w="0" w:type="dxa"/>
            <w:vAlign w:val="center"/>
          </w:tcPr>
          <w:p w14:paraId="5D6C9384">
            <w:pPr>
              <w:spacing w:line="240" w:lineRule="auto"/>
              <w:jc w:val="right"/>
            </w:pPr>
            <w:r>
              <w:rPr>
                <w:rFonts w:ascii="宋体" w:hAnsi="宋体" w:eastAsia="宋体" w:cs="宋体"/>
                <w:b w:val="0"/>
              </w:rPr>
              <w:t>-</w:t>
            </w:r>
          </w:p>
        </w:tc>
      </w:tr>
      <w:tr w14:paraId="2CD5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6F034D7"/>
        </w:tc>
        <w:tc>
          <w:tcPr>
            <w:tcW w:w="0" w:type="dxa"/>
            <w:vAlign w:val="center"/>
          </w:tcPr>
          <w:p w14:paraId="1D509ACF">
            <w:pPr>
              <w:spacing w:line="240" w:lineRule="auto"/>
              <w:jc w:val="left"/>
            </w:pPr>
            <w:r>
              <w:rPr>
                <w:rFonts w:ascii="宋体" w:hAnsi="宋体" w:eastAsia="宋体" w:cs="宋体"/>
                <w:b w:val="0"/>
              </w:rPr>
              <w:t>合计</w:t>
            </w:r>
          </w:p>
        </w:tc>
        <w:tc>
          <w:tcPr>
            <w:tcW w:w="0" w:type="dxa"/>
            <w:vAlign w:val="center"/>
          </w:tcPr>
          <w:p w14:paraId="63B3C545">
            <w:pPr>
              <w:spacing w:line="240" w:lineRule="auto"/>
              <w:jc w:val="right"/>
            </w:pPr>
            <w:r>
              <w:rPr>
                <w:rFonts w:ascii="宋体" w:hAnsi="宋体" w:eastAsia="宋体" w:cs="宋体"/>
                <w:b w:val="0"/>
              </w:rPr>
              <w:t>5,964,643.00</w:t>
            </w:r>
          </w:p>
        </w:tc>
        <w:tc>
          <w:tcPr>
            <w:tcW w:w="0" w:type="dxa"/>
            <w:vAlign w:val="center"/>
          </w:tcPr>
          <w:p w14:paraId="049EB73A">
            <w:pPr>
              <w:spacing w:line="240" w:lineRule="auto"/>
              <w:jc w:val="right"/>
            </w:pPr>
            <w:r>
              <w:rPr>
                <w:rFonts w:ascii="宋体" w:hAnsi="宋体" w:eastAsia="宋体" w:cs="宋体"/>
                <w:b w:val="0"/>
              </w:rPr>
              <w:t>54,980.88</w:t>
            </w:r>
          </w:p>
        </w:tc>
        <w:tc>
          <w:tcPr>
            <w:tcW w:w="0" w:type="dxa"/>
            <w:vAlign w:val="center"/>
          </w:tcPr>
          <w:p w14:paraId="4772DDE6">
            <w:pPr>
              <w:spacing w:line="240" w:lineRule="auto"/>
              <w:jc w:val="right"/>
            </w:pPr>
            <w:r>
              <w:rPr>
                <w:rFonts w:ascii="宋体" w:hAnsi="宋体" w:eastAsia="宋体" w:cs="宋体"/>
                <w:b w:val="0"/>
              </w:rPr>
              <w:t>6,017,400.88</w:t>
            </w:r>
          </w:p>
        </w:tc>
        <w:tc>
          <w:tcPr>
            <w:tcW w:w="0" w:type="dxa"/>
            <w:vAlign w:val="center"/>
          </w:tcPr>
          <w:p w14:paraId="6F09E127">
            <w:pPr>
              <w:spacing w:line="240" w:lineRule="auto"/>
              <w:jc w:val="right"/>
            </w:pPr>
            <w:r>
              <w:rPr>
                <w:rFonts w:ascii="宋体" w:hAnsi="宋体" w:eastAsia="宋体" w:cs="宋体"/>
                <w:b w:val="0"/>
              </w:rPr>
              <w:t>-2,223.00</w:t>
            </w:r>
          </w:p>
        </w:tc>
      </w:tr>
      <w:tr w14:paraId="2C0E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DF3B291">
            <w:pPr>
              <w:spacing w:line="240" w:lineRule="auto"/>
              <w:jc w:val="left"/>
            </w:pPr>
            <w:r>
              <w:rPr>
                <w:rFonts w:ascii="宋体" w:hAnsi="宋体" w:eastAsia="宋体" w:cs="宋体"/>
                <w:b w:val="0"/>
              </w:rPr>
              <w:t>资产支持证券</w:t>
            </w:r>
          </w:p>
        </w:tc>
        <w:tc>
          <w:tcPr>
            <w:tcW w:w="0" w:type="dxa"/>
            <w:vAlign w:val="center"/>
          </w:tcPr>
          <w:p w14:paraId="3A52ACD5">
            <w:pPr>
              <w:spacing w:line="240" w:lineRule="auto"/>
              <w:jc w:val="right"/>
            </w:pPr>
            <w:r>
              <w:rPr>
                <w:rFonts w:ascii="宋体" w:hAnsi="宋体" w:eastAsia="宋体" w:cs="宋体"/>
                <w:b w:val="0"/>
              </w:rPr>
              <w:t>-</w:t>
            </w:r>
          </w:p>
        </w:tc>
        <w:tc>
          <w:tcPr>
            <w:tcW w:w="0" w:type="dxa"/>
            <w:vAlign w:val="center"/>
          </w:tcPr>
          <w:p w14:paraId="498CA9BF">
            <w:pPr>
              <w:spacing w:line="240" w:lineRule="auto"/>
              <w:jc w:val="right"/>
            </w:pPr>
            <w:r>
              <w:rPr>
                <w:rFonts w:ascii="宋体" w:hAnsi="宋体" w:eastAsia="宋体" w:cs="宋体"/>
                <w:b w:val="0"/>
              </w:rPr>
              <w:t>-</w:t>
            </w:r>
          </w:p>
        </w:tc>
        <w:tc>
          <w:tcPr>
            <w:tcW w:w="0" w:type="dxa"/>
            <w:vAlign w:val="center"/>
          </w:tcPr>
          <w:p w14:paraId="47A7B033">
            <w:pPr>
              <w:spacing w:line="240" w:lineRule="auto"/>
              <w:jc w:val="right"/>
            </w:pPr>
            <w:r>
              <w:rPr>
                <w:rFonts w:ascii="宋体" w:hAnsi="宋体" w:eastAsia="宋体" w:cs="宋体"/>
                <w:b w:val="0"/>
              </w:rPr>
              <w:t>-</w:t>
            </w:r>
          </w:p>
        </w:tc>
        <w:tc>
          <w:tcPr>
            <w:tcW w:w="0" w:type="dxa"/>
            <w:vAlign w:val="center"/>
          </w:tcPr>
          <w:p w14:paraId="47148470">
            <w:pPr>
              <w:spacing w:line="240" w:lineRule="auto"/>
              <w:jc w:val="right"/>
            </w:pPr>
            <w:r>
              <w:rPr>
                <w:rFonts w:ascii="宋体" w:hAnsi="宋体" w:eastAsia="宋体" w:cs="宋体"/>
                <w:b w:val="0"/>
              </w:rPr>
              <w:t>-</w:t>
            </w:r>
          </w:p>
        </w:tc>
      </w:tr>
      <w:tr w14:paraId="37A6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D736AE1">
            <w:pPr>
              <w:spacing w:line="240" w:lineRule="auto"/>
              <w:jc w:val="left"/>
            </w:pPr>
            <w:r>
              <w:rPr>
                <w:rFonts w:ascii="宋体" w:hAnsi="宋体" w:eastAsia="宋体" w:cs="宋体"/>
                <w:b w:val="0"/>
              </w:rPr>
              <w:t>基金</w:t>
            </w:r>
          </w:p>
        </w:tc>
        <w:tc>
          <w:tcPr>
            <w:tcW w:w="0" w:type="dxa"/>
            <w:vAlign w:val="center"/>
          </w:tcPr>
          <w:p w14:paraId="1AF1E686">
            <w:pPr>
              <w:spacing w:line="240" w:lineRule="auto"/>
              <w:jc w:val="right"/>
            </w:pPr>
            <w:r>
              <w:rPr>
                <w:rFonts w:ascii="宋体" w:hAnsi="宋体" w:eastAsia="宋体" w:cs="宋体"/>
                <w:b w:val="0"/>
              </w:rPr>
              <w:t>-</w:t>
            </w:r>
          </w:p>
        </w:tc>
        <w:tc>
          <w:tcPr>
            <w:tcW w:w="0" w:type="dxa"/>
            <w:vAlign w:val="center"/>
          </w:tcPr>
          <w:p w14:paraId="12240062">
            <w:pPr>
              <w:spacing w:line="240" w:lineRule="auto"/>
              <w:jc w:val="right"/>
            </w:pPr>
            <w:r>
              <w:rPr>
                <w:rFonts w:ascii="宋体" w:hAnsi="宋体" w:eastAsia="宋体" w:cs="宋体"/>
                <w:b w:val="0"/>
              </w:rPr>
              <w:t>-</w:t>
            </w:r>
          </w:p>
        </w:tc>
        <w:tc>
          <w:tcPr>
            <w:tcW w:w="0" w:type="dxa"/>
            <w:vAlign w:val="center"/>
          </w:tcPr>
          <w:p w14:paraId="766F21AA">
            <w:pPr>
              <w:spacing w:line="240" w:lineRule="auto"/>
              <w:jc w:val="right"/>
            </w:pPr>
            <w:r>
              <w:rPr>
                <w:rFonts w:ascii="宋体" w:hAnsi="宋体" w:eastAsia="宋体" w:cs="宋体"/>
                <w:b w:val="0"/>
              </w:rPr>
              <w:t>-</w:t>
            </w:r>
          </w:p>
        </w:tc>
        <w:tc>
          <w:tcPr>
            <w:tcW w:w="0" w:type="dxa"/>
            <w:vAlign w:val="center"/>
          </w:tcPr>
          <w:p w14:paraId="6A174B40">
            <w:pPr>
              <w:spacing w:line="240" w:lineRule="auto"/>
              <w:jc w:val="right"/>
            </w:pPr>
            <w:r>
              <w:rPr>
                <w:rFonts w:ascii="宋体" w:hAnsi="宋体" w:eastAsia="宋体" w:cs="宋体"/>
                <w:b w:val="0"/>
              </w:rPr>
              <w:t>-</w:t>
            </w:r>
          </w:p>
        </w:tc>
      </w:tr>
      <w:tr w14:paraId="68D4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F30F5F4">
            <w:pPr>
              <w:spacing w:line="240" w:lineRule="auto"/>
              <w:jc w:val="left"/>
            </w:pPr>
            <w:r>
              <w:rPr>
                <w:rFonts w:ascii="宋体" w:hAnsi="宋体" w:eastAsia="宋体" w:cs="宋体"/>
                <w:b w:val="0"/>
              </w:rPr>
              <w:t>其他</w:t>
            </w:r>
          </w:p>
        </w:tc>
        <w:tc>
          <w:tcPr>
            <w:tcW w:w="0" w:type="dxa"/>
            <w:vAlign w:val="center"/>
          </w:tcPr>
          <w:p w14:paraId="577F6DD9">
            <w:pPr>
              <w:spacing w:line="240" w:lineRule="auto"/>
              <w:jc w:val="right"/>
            </w:pPr>
            <w:r>
              <w:rPr>
                <w:rFonts w:ascii="宋体" w:hAnsi="宋体" w:eastAsia="宋体" w:cs="宋体"/>
                <w:b w:val="0"/>
              </w:rPr>
              <w:t>-</w:t>
            </w:r>
          </w:p>
        </w:tc>
        <w:tc>
          <w:tcPr>
            <w:tcW w:w="0" w:type="dxa"/>
            <w:vAlign w:val="center"/>
          </w:tcPr>
          <w:p w14:paraId="58737A0B">
            <w:pPr>
              <w:spacing w:line="240" w:lineRule="auto"/>
              <w:jc w:val="right"/>
            </w:pPr>
            <w:r>
              <w:rPr>
                <w:rFonts w:ascii="宋体" w:hAnsi="宋体" w:eastAsia="宋体" w:cs="宋体"/>
                <w:b w:val="0"/>
              </w:rPr>
              <w:t>-</w:t>
            </w:r>
          </w:p>
        </w:tc>
        <w:tc>
          <w:tcPr>
            <w:tcW w:w="0" w:type="dxa"/>
            <w:vAlign w:val="center"/>
          </w:tcPr>
          <w:p w14:paraId="39ADAEAC">
            <w:pPr>
              <w:spacing w:line="240" w:lineRule="auto"/>
              <w:jc w:val="right"/>
            </w:pPr>
            <w:r>
              <w:rPr>
                <w:rFonts w:ascii="宋体" w:hAnsi="宋体" w:eastAsia="宋体" w:cs="宋体"/>
                <w:b w:val="0"/>
              </w:rPr>
              <w:t>-</w:t>
            </w:r>
          </w:p>
        </w:tc>
        <w:tc>
          <w:tcPr>
            <w:tcW w:w="0" w:type="dxa"/>
            <w:vAlign w:val="center"/>
          </w:tcPr>
          <w:p w14:paraId="4CBAD967">
            <w:pPr>
              <w:spacing w:line="240" w:lineRule="auto"/>
              <w:jc w:val="right"/>
            </w:pPr>
            <w:r>
              <w:rPr>
                <w:rFonts w:ascii="宋体" w:hAnsi="宋体" w:eastAsia="宋体" w:cs="宋体"/>
                <w:b w:val="0"/>
              </w:rPr>
              <w:t>-</w:t>
            </w:r>
          </w:p>
        </w:tc>
      </w:tr>
      <w:tr w14:paraId="168D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C4F9D39">
            <w:pPr>
              <w:spacing w:line="240" w:lineRule="auto"/>
              <w:jc w:val="center"/>
            </w:pPr>
            <w:r>
              <w:rPr>
                <w:rFonts w:ascii="宋体" w:hAnsi="宋体" w:eastAsia="宋体" w:cs="宋体"/>
                <w:b w:val="0"/>
              </w:rPr>
              <w:t>合计</w:t>
            </w:r>
          </w:p>
        </w:tc>
        <w:tc>
          <w:tcPr>
            <w:tcW w:w="0" w:type="dxa"/>
            <w:vAlign w:val="center"/>
          </w:tcPr>
          <w:p w14:paraId="64CB4108">
            <w:pPr>
              <w:spacing w:line="240" w:lineRule="auto"/>
              <w:jc w:val="right"/>
            </w:pPr>
            <w:r>
              <w:rPr>
                <w:rFonts w:ascii="宋体" w:hAnsi="宋体" w:eastAsia="宋体" w:cs="宋体"/>
                <w:b w:val="0"/>
              </w:rPr>
              <w:t>7,664,156.45</w:t>
            </w:r>
          </w:p>
        </w:tc>
        <w:tc>
          <w:tcPr>
            <w:tcW w:w="0" w:type="dxa"/>
            <w:vAlign w:val="center"/>
          </w:tcPr>
          <w:p w14:paraId="76376B45">
            <w:pPr>
              <w:spacing w:line="240" w:lineRule="auto"/>
              <w:jc w:val="right"/>
            </w:pPr>
            <w:r>
              <w:rPr>
                <w:rFonts w:ascii="宋体" w:hAnsi="宋体" w:eastAsia="宋体" w:cs="宋体"/>
                <w:b w:val="0"/>
              </w:rPr>
              <w:t>54,980.88</w:t>
            </w:r>
          </w:p>
        </w:tc>
        <w:tc>
          <w:tcPr>
            <w:tcW w:w="0" w:type="dxa"/>
            <w:vAlign w:val="center"/>
          </w:tcPr>
          <w:p w14:paraId="076C39AD">
            <w:pPr>
              <w:spacing w:line="240" w:lineRule="auto"/>
              <w:jc w:val="right"/>
            </w:pPr>
            <w:r>
              <w:rPr>
                <w:rFonts w:ascii="宋体" w:hAnsi="宋体" w:eastAsia="宋体" w:cs="宋体"/>
                <w:b w:val="0"/>
              </w:rPr>
              <w:t>7,870,913.88</w:t>
            </w:r>
          </w:p>
        </w:tc>
        <w:tc>
          <w:tcPr>
            <w:tcW w:w="0" w:type="dxa"/>
            <w:vAlign w:val="center"/>
          </w:tcPr>
          <w:p w14:paraId="2456299F">
            <w:pPr>
              <w:spacing w:line="240" w:lineRule="auto"/>
              <w:jc w:val="right"/>
            </w:pPr>
            <w:r>
              <w:rPr>
                <w:rFonts w:ascii="宋体" w:hAnsi="宋体" w:eastAsia="宋体" w:cs="宋体"/>
                <w:b w:val="0"/>
              </w:rPr>
              <w:t>151,776.55</w:t>
            </w:r>
          </w:p>
        </w:tc>
      </w:tr>
    </w:tbl>
    <w:p w14:paraId="6DA63967"/>
    <w:p w14:paraId="55E73009">
      <w:pPr>
        <w:pStyle w:val="58"/>
      </w:pPr>
      <w:r>
        <w:rPr>
          <w:rFonts w:ascii="宋体" w:hAnsi="宋体" w:eastAsia="宋体" w:cs="宋体"/>
          <w:b/>
        </w:rPr>
        <w:t>6.4.7.3 衍生金融资产/负债</w:t>
      </w:r>
    </w:p>
    <w:p w14:paraId="0739E8E5">
      <w:r>
        <w:rPr>
          <w:rFonts w:ascii="宋体" w:hAnsi="宋体" w:eastAsia="宋体" w:cs="宋体"/>
          <w:b w:val="0"/>
        </w:rPr>
        <w:t xml:space="preserve">    本基金本报告期末未持有衍生金融资产/负债。</w:t>
      </w:r>
    </w:p>
    <w:p w14:paraId="44E841D3"/>
    <w:p w14:paraId="0DB512EE">
      <w:pPr>
        <w:pStyle w:val="58"/>
      </w:pPr>
      <w:r>
        <w:rPr>
          <w:rFonts w:ascii="宋体" w:hAnsi="宋体" w:eastAsia="宋体" w:cs="宋体"/>
          <w:b/>
        </w:rPr>
        <w:t>6.4.7.4 买入返售金融资产</w:t>
      </w:r>
    </w:p>
    <w:p w14:paraId="26436874">
      <w:pPr>
        <w:pStyle w:val="58"/>
      </w:pPr>
      <w:r>
        <w:rPr>
          <w:rFonts w:ascii="宋体" w:hAnsi="宋体" w:eastAsia="宋体" w:cs="宋体"/>
          <w:b/>
        </w:rPr>
        <w:t>6.4.7.4.1 各项买入返售金融资产期末余额</w:t>
      </w:r>
    </w:p>
    <w:p w14:paraId="4BCAB7E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169C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03271846">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7716EC5A">
            <w:pPr>
              <w:spacing w:line="240" w:lineRule="auto"/>
              <w:jc w:val="center"/>
            </w:pPr>
            <w:r>
              <w:rPr>
                <w:rFonts w:ascii="宋体" w:hAnsi="宋体" w:eastAsia="宋体" w:cs="宋体"/>
                <w:b w:val="0"/>
              </w:rPr>
              <w:t>本期末2026年06月30日</w:t>
            </w:r>
          </w:p>
        </w:tc>
      </w:tr>
      <w:tr w14:paraId="78F3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3CD1C6D"/>
        </w:tc>
        <w:tc>
          <w:tcPr>
            <w:tcW w:w="1538" w:type="pct"/>
            <w:shd w:val="clear" w:color="auto" w:fill="D9D9D9"/>
            <w:vAlign w:val="center"/>
          </w:tcPr>
          <w:p w14:paraId="18B1159D">
            <w:pPr>
              <w:spacing w:line="240" w:lineRule="auto"/>
              <w:jc w:val="center"/>
            </w:pPr>
            <w:r>
              <w:rPr>
                <w:rFonts w:ascii="宋体" w:hAnsi="宋体" w:eastAsia="宋体" w:cs="宋体"/>
                <w:b w:val="0"/>
              </w:rPr>
              <w:t>账面余额</w:t>
            </w:r>
          </w:p>
        </w:tc>
        <w:tc>
          <w:tcPr>
            <w:tcW w:w="1538" w:type="pct"/>
            <w:shd w:val="clear" w:color="auto" w:fill="D9D9D9"/>
            <w:vAlign w:val="center"/>
          </w:tcPr>
          <w:p w14:paraId="44739BDD">
            <w:pPr>
              <w:spacing w:line="240" w:lineRule="auto"/>
              <w:jc w:val="center"/>
            </w:pPr>
            <w:r>
              <w:rPr>
                <w:rFonts w:ascii="宋体" w:hAnsi="宋体" w:eastAsia="宋体" w:cs="宋体"/>
                <w:b w:val="0"/>
              </w:rPr>
              <w:t>其中：买断式逆回购</w:t>
            </w:r>
          </w:p>
        </w:tc>
      </w:tr>
      <w:tr w14:paraId="5498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311D73">
            <w:pPr>
              <w:spacing w:line="240" w:lineRule="auto"/>
              <w:jc w:val="left"/>
            </w:pPr>
            <w:r>
              <w:rPr>
                <w:rFonts w:ascii="宋体" w:hAnsi="宋体" w:eastAsia="宋体" w:cs="宋体"/>
                <w:b w:val="0"/>
              </w:rPr>
              <w:t>交易所市场</w:t>
            </w:r>
          </w:p>
        </w:tc>
        <w:tc>
          <w:tcPr>
            <w:tcW w:w="0" w:type="dxa"/>
            <w:vAlign w:val="center"/>
          </w:tcPr>
          <w:p w14:paraId="44BCCF6C">
            <w:pPr>
              <w:spacing w:line="240" w:lineRule="auto"/>
              <w:jc w:val="right"/>
            </w:pPr>
            <w:r>
              <w:rPr>
                <w:rFonts w:ascii="宋体" w:hAnsi="宋体" w:eastAsia="宋体" w:cs="宋体"/>
                <w:b w:val="0"/>
              </w:rPr>
              <w:t>3,000,000.00</w:t>
            </w:r>
          </w:p>
        </w:tc>
        <w:tc>
          <w:tcPr>
            <w:tcW w:w="0" w:type="dxa"/>
            <w:vAlign w:val="center"/>
          </w:tcPr>
          <w:p w14:paraId="4DC31566">
            <w:pPr>
              <w:spacing w:line="240" w:lineRule="auto"/>
              <w:jc w:val="right"/>
            </w:pPr>
            <w:r>
              <w:rPr>
                <w:rFonts w:ascii="宋体" w:hAnsi="宋体" w:eastAsia="宋体" w:cs="宋体"/>
                <w:b w:val="0"/>
              </w:rPr>
              <w:t>-</w:t>
            </w:r>
          </w:p>
        </w:tc>
      </w:tr>
      <w:tr w14:paraId="5A64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24C607">
            <w:pPr>
              <w:spacing w:line="240" w:lineRule="auto"/>
              <w:jc w:val="left"/>
            </w:pPr>
            <w:r>
              <w:rPr>
                <w:rFonts w:ascii="宋体" w:hAnsi="宋体" w:eastAsia="宋体" w:cs="宋体"/>
                <w:b w:val="0"/>
              </w:rPr>
              <w:t>银行间市场</w:t>
            </w:r>
          </w:p>
        </w:tc>
        <w:tc>
          <w:tcPr>
            <w:tcW w:w="0" w:type="dxa"/>
            <w:vAlign w:val="center"/>
          </w:tcPr>
          <w:p w14:paraId="76850540">
            <w:pPr>
              <w:spacing w:line="240" w:lineRule="auto"/>
              <w:jc w:val="right"/>
            </w:pPr>
            <w:r>
              <w:rPr>
                <w:rFonts w:ascii="宋体" w:hAnsi="宋体" w:eastAsia="宋体" w:cs="宋体"/>
                <w:b w:val="0"/>
              </w:rPr>
              <w:t>-</w:t>
            </w:r>
          </w:p>
        </w:tc>
        <w:tc>
          <w:tcPr>
            <w:tcW w:w="0" w:type="dxa"/>
            <w:vAlign w:val="center"/>
          </w:tcPr>
          <w:p w14:paraId="4E7AB075">
            <w:pPr>
              <w:spacing w:line="240" w:lineRule="auto"/>
              <w:jc w:val="right"/>
            </w:pPr>
            <w:r>
              <w:rPr>
                <w:rFonts w:ascii="宋体" w:hAnsi="宋体" w:eastAsia="宋体" w:cs="宋体"/>
                <w:b w:val="0"/>
              </w:rPr>
              <w:t>-</w:t>
            </w:r>
          </w:p>
        </w:tc>
      </w:tr>
      <w:tr w14:paraId="635F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FFA3B0">
            <w:pPr>
              <w:spacing w:line="240" w:lineRule="auto"/>
              <w:jc w:val="left"/>
            </w:pPr>
            <w:r>
              <w:rPr>
                <w:rFonts w:ascii="宋体" w:hAnsi="宋体" w:eastAsia="宋体" w:cs="宋体"/>
                <w:b w:val="0"/>
              </w:rPr>
              <w:t>合计</w:t>
            </w:r>
          </w:p>
        </w:tc>
        <w:tc>
          <w:tcPr>
            <w:tcW w:w="0" w:type="dxa"/>
            <w:vAlign w:val="center"/>
          </w:tcPr>
          <w:p w14:paraId="3AE20CF1">
            <w:pPr>
              <w:spacing w:line="240" w:lineRule="auto"/>
              <w:jc w:val="right"/>
            </w:pPr>
            <w:r>
              <w:rPr>
                <w:rFonts w:ascii="宋体" w:hAnsi="宋体" w:eastAsia="宋体" w:cs="宋体"/>
                <w:b w:val="0"/>
              </w:rPr>
              <w:t>3,000,000.00</w:t>
            </w:r>
          </w:p>
        </w:tc>
        <w:tc>
          <w:tcPr>
            <w:tcW w:w="0" w:type="dxa"/>
            <w:vAlign w:val="center"/>
          </w:tcPr>
          <w:p w14:paraId="0A1718AB">
            <w:pPr>
              <w:spacing w:line="240" w:lineRule="auto"/>
              <w:jc w:val="right"/>
            </w:pPr>
            <w:r>
              <w:rPr>
                <w:rFonts w:ascii="宋体" w:hAnsi="宋体" w:eastAsia="宋体" w:cs="宋体"/>
                <w:b w:val="0"/>
              </w:rPr>
              <w:t>-</w:t>
            </w:r>
          </w:p>
        </w:tc>
      </w:tr>
    </w:tbl>
    <w:p w14:paraId="0C4D1DE0"/>
    <w:p w14:paraId="053E8F6E">
      <w:pPr>
        <w:pStyle w:val="58"/>
      </w:pPr>
      <w:r>
        <w:rPr>
          <w:rFonts w:ascii="宋体" w:hAnsi="宋体" w:eastAsia="宋体" w:cs="宋体"/>
          <w:b/>
        </w:rPr>
        <w:t>6.4.7.4.2 期末买断式逆回购交易中取得的债券</w:t>
      </w:r>
    </w:p>
    <w:p w14:paraId="3DF4CAB8">
      <w:r>
        <w:rPr>
          <w:rFonts w:ascii="宋体" w:hAnsi="宋体" w:eastAsia="宋体" w:cs="宋体"/>
          <w:b w:val="0"/>
        </w:rPr>
        <w:t xml:space="preserve">    本基金本报告期末未持有从买断式逆回购交易中取得的债券。</w:t>
      </w:r>
    </w:p>
    <w:p w14:paraId="632027C9"/>
    <w:p w14:paraId="241E8DF1">
      <w:pPr>
        <w:pStyle w:val="58"/>
      </w:pPr>
      <w:r>
        <w:rPr>
          <w:rFonts w:ascii="宋体" w:hAnsi="宋体" w:eastAsia="宋体" w:cs="宋体"/>
          <w:b/>
        </w:rPr>
        <w:t>6.4.7.5 其他资产</w:t>
      </w:r>
    </w:p>
    <w:p w14:paraId="770697B6">
      <w:r>
        <w:rPr>
          <w:rFonts w:ascii="宋体" w:hAnsi="宋体" w:eastAsia="宋体" w:cs="宋体"/>
          <w:b w:val="0"/>
        </w:rPr>
        <w:t xml:space="preserve">    本基金本报告期末未持有其他资产。</w:t>
      </w:r>
    </w:p>
    <w:p w14:paraId="4D3E54EF"/>
    <w:p w14:paraId="728FF87E">
      <w:pPr>
        <w:pStyle w:val="58"/>
      </w:pPr>
      <w:r>
        <w:rPr>
          <w:rFonts w:ascii="宋体" w:hAnsi="宋体" w:eastAsia="宋体" w:cs="宋体"/>
          <w:b/>
        </w:rPr>
        <w:t>6.4.7.6 其他负债</w:t>
      </w:r>
    </w:p>
    <w:p w14:paraId="6BC152E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74EA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3015E919">
            <w:pPr>
              <w:spacing w:line="240" w:lineRule="auto"/>
              <w:jc w:val="center"/>
            </w:pPr>
            <w:r>
              <w:rPr>
                <w:rFonts w:ascii="宋体" w:hAnsi="宋体" w:eastAsia="宋体" w:cs="宋体"/>
                <w:b w:val="0"/>
              </w:rPr>
              <w:t>项目</w:t>
            </w:r>
          </w:p>
        </w:tc>
        <w:tc>
          <w:tcPr>
            <w:tcW w:w="3077" w:type="pct"/>
            <w:shd w:val="clear" w:color="auto" w:fill="D9D9D9"/>
            <w:vAlign w:val="center"/>
          </w:tcPr>
          <w:p w14:paraId="1EC8C7D6">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18E1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4909D3">
            <w:pPr>
              <w:spacing w:line="240" w:lineRule="auto"/>
              <w:jc w:val="left"/>
            </w:pPr>
            <w:r>
              <w:rPr>
                <w:rFonts w:ascii="宋体" w:hAnsi="宋体" w:eastAsia="宋体" w:cs="宋体"/>
                <w:b w:val="0"/>
              </w:rPr>
              <w:t>应付券商交易单元保证金</w:t>
            </w:r>
          </w:p>
        </w:tc>
        <w:tc>
          <w:tcPr>
            <w:tcW w:w="0" w:type="dxa"/>
            <w:vAlign w:val="center"/>
          </w:tcPr>
          <w:p w14:paraId="0C7F7BAC">
            <w:pPr>
              <w:spacing w:line="240" w:lineRule="auto"/>
              <w:jc w:val="right"/>
            </w:pPr>
            <w:r>
              <w:rPr>
                <w:rFonts w:ascii="宋体" w:hAnsi="宋体" w:eastAsia="宋体" w:cs="宋体"/>
                <w:b w:val="0"/>
              </w:rPr>
              <w:t>-</w:t>
            </w:r>
          </w:p>
        </w:tc>
      </w:tr>
      <w:tr w14:paraId="6FFA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83236E">
            <w:pPr>
              <w:spacing w:line="240" w:lineRule="auto"/>
              <w:jc w:val="left"/>
            </w:pPr>
            <w:r>
              <w:rPr>
                <w:rFonts w:ascii="宋体" w:hAnsi="宋体" w:eastAsia="宋体" w:cs="宋体"/>
                <w:b w:val="0"/>
              </w:rPr>
              <w:t>应付赎回费</w:t>
            </w:r>
          </w:p>
        </w:tc>
        <w:tc>
          <w:tcPr>
            <w:tcW w:w="0" w:type="dxa"/>
            <w:vAlign w:val="center"/>
          </w:tcPr>
          <w:p w14:paraId="7542A062">
            <w:pPr>
              <w:spacing w:line="240" w:lineRule="auto"/>
              <w:jc w:val="right"/>
            </w:pPr>
            <w:r>
              <w:rPr>
                <w:rFonts w:ascii="宋体" w:hAnsi="宋体" w:eastAsia="宋体" w:cs="宋体"/>
                <w:b w:val="0"/>
              </w:rPr>
              <w:t>-</w:t>
            </w:r>
          </w:p>
        </w:tc>
      </w:tr>
      <w:tr w14:paraId="17E3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1E98F0">
            <w:pPr>
              <w:spacing w:line="240" w:lineRule="auto"/>
              <w:jc w:val="left"/>
            </w:pPr>
            <w:r>
              <w:rPr>
                <w:rFonts w:ascii="宋体" w:hAnsi="宋体" w:eastAsia="宋体" w:cs="宋体"/>
                <w:b w:val="0"/>
              </w:rPr>
              <w:t>应付证券出借违约金</w:t>
            </w:r>
          </w:p>
        </w:tc>
        <w:tc>
          <w:tcPr>
            <w:tcW w:w="0" w:type="dxa"/>
            <w:vAlign w:val="center"/>
          </w:tcPr>
          <w:p w14:paraId="5163121A">
            <w:pPr>
              <w:spacing w:line="240" w:lineRule="auto"/>
              <w:jc w:val="right"/>
            </w:pPr>
            <w:r>
              <w:rPr>
                <w:rFonts w:ascii="宋体" w:hAnsi="宋体" w:eastAsia="宋体" w:cs="宋体"/>
                <w:b w:val="0"/>
              </w:rPr>
              <w:t>-</w:t>
            </w:r>
          </w:p>
        </w:tc>
      </w:tr>
      <w:tr w14:paraId="25D1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4C9092">
            <w:pPr>
              <w:spacing w:line="240" w:lineRule="auto"/>
              <w:jc w:val="left"/>
            </w:pPr>
            <w:r>
              <w:rPr>
                <w:rFonts w:ascii="宋体" w:hAnsi="宋体" w:eastAsia="宋体" w:cs="宋体"/>
                <w:b w:val="0"/>
              </w:rPr>
              <w:t>应付交易费用</w:t>
            </w:r>
          </w:p>
        </w:tc>
        <w:tc>
          <w:tcPr>
            <w:tcW w:w="0" w:type="dxa"/>
            <w:vAlign w:val="center"/>
          </w:tcPr>
          <w:p w14:paraId="4FEEBC0E">
            <w:pPr>
              <w:spacing w:line="240" w:lineRule="auto"/>
              <w:jc w:val="right"/>
            </w:pPr>
            <w:r>
              <w:rPr>
                <w:rFonts w:ascii="宋体" w:hAnsi="宋体" w:eastAsia="宋体" w:cs="宋体"/>
                <w:b w:val="0"/>
              </w:rPr>
              <w:t>-</w:t>
            </w:r>
          </w:p>
        </w:tc>
      </w:tr>
      <w:tr w14:paraId="47AA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AEE023">
            <w:pPr>
              <w:spacing w:line="240" w:lineRule="auto"/>
              <w:jc w:val="left"/>
            </w:pPr>
            <w:r>
              <w:rPr>
                <w:rFonts w:ascii="宋体" w:hAnsi="宋体" w:eastAsia="宋体" w:cs="宋体"/>
                <w:b w:val="0"/>
              </w:rPr>
              <w:t>其中：交易所市场</w:t>
            </w:r>
          </w:p>
        </w:tc>
        <w:tc>
          <w:tcPr>
            <w:tcW w:w="0" w:type="dxa"/>
            <w:vAlign w:val="center"/>
          </w:tcPr>
          <w:p w14:paraId="3D7B85A7">
            <w:pPr>
              <w:spacing w:line="240" w:lineRule="auto"/>
              <w:jc w:val="right"/>
            </w:pPr>
            <w:r>
              <w:rPr>
                <w:rFonts w:ascii="宋体" w:hAnsi="宋体" w:eastAsia="宋体" w:cs="宋体"/>
                <w:b w:val="0"/>
              </w:rPr>
              <w:t>-</w:t>
            </w:r>
          </w:p>
        </w:tc>
      </w:tr>
      <w:tr w14:paraId="2FCF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E1845B">
            <w:pPr>
              <w:spacing w:line="240" w:lineRule="auto"/>
              <w:jc w:val="left"/>
            </w:pPr>
            <w:r>
              <w:rPr>
                <w:rFonts w:ascii="宋体" w:hAnsi="宋体" w:eastAsia="宋体" w:cs="宋体"/>
                <w:b w:val="0"/>
              </w:rPr>
              <w:t xml:space="preserve">      银行间市场</w:t>
            </w:r>
          </w:p>
        </w:tc>
        <w:tc>
          <w:tcPr>
            <w:tcW w:w="0" w:type="dxa"/>
            <w:vAlign w:val="center"/>
          </w:tcPr>
          <w:p w14:paraId="7193BB05">
            <w:pPr>
              <w:spacing w:line="240" w:lineRule="auto"/>
              <w:jc w:val="right"/>
            </w:pPr>
            <w:r>
              <w:rPr>
                <w:rFonts w:ascii="宋体" w:hAnsi="宋体" w:eastAsia="宋体" w:cs="宋体"/>
                <w:b w:val="0"/>
              </w:rPr>
              <w:t>-</w:t>
            </w:r>
          </w:p>
        </w:tc>
      </w:tr>
      <w:tr w14:paraId="6661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256C49">
            <w:pPr>
              <w:spacing w:line="240" w:lineRule="auto"/>
              <w:jc w:val="left"/>
            </w:pPr>
            <w:r>
              <w:rPr>
                <w:rFonts w:ascii="宋体" w:hAnsi="宋体" w:eastAsia="宋体" w:cs="宋体"/>
                <w:b w:val="0"/>
              </w:rPr>
              <w:t>应付利息</w:t>
            </w:r>
          </w:p>
        </w:tc>
        <w:tc>
          <w:tcPr>
            <w:tcW w:w="0" w:type="dxa"/>
            <w:vAlign w:val="center"/>
          </w:tcPr>
          <w:p w14:paraId="76C31BF7">
            <w:pPr>
              <w:spacing w:line="240" w:lineRule="auto"/>
              <w:jc w:val="right"/>
            </w:pPr>
            <w:r>
              <w:rPr>
                <w:rFonts w:ascii="宋体" w:hAnsi="宋体" w:eastAsia="宋体" w:cs="宋体"/>
                <w:b w:val="0"/>
              </w:rPr>
              <w:t>-</w:t>
            </w:r>
          </w:p>
        </w:tc>
      </w:tr>
      <w:tr w14:paraId="50EF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41B6C4">
            <w:pPr>
              <w:spacing w:line="240" w:lineRule="auto"/>
              <w:jc w:val="left"/>
            </w:pPr>
            <w:r>
              <w:rPr>
                <w:rFonts w:ascii="宋体" w:hAnsi="宋体" w:eastAsia="宋体" w:cs="宋体"/>
                <w:b w:val="0"/>
              </w:rPr>
              <w:t>预提费用</w:t>
            </w:r>
          </w:p>
        </w:tc>
        <w:tc>
          <w:tcPr>
            <w:tcW w:w="0" w:type="dxa"/>
            <w:vAlign w:val="center"/>
          </w:tcPr>
          <w:p w14:paraId="722D30E0">
            <w:pPr>
              <w:spacing w:line="240" w:lineRule="auto"/>
              <w:jc w:val="right"/>
            </w:pPr>
            <w:r>
              <w:rPr>
                <w:rFonts w:ascii="宋体" w:hAnsi="宋体" w:eastAsia="宋体" w:cs="宋体"/>
                <w:b w:val="0"/>
              </w:rPr>
              <w:t>7,488.09</w:t>
            </w:r>
          </w:p>
        </w:tc>
      </w:tr>
      <w:tr w14:paraId="72A1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290397">
            <w:pPr>
              <w:spacing w:line="240" w:lineRule="auto"/>
              <w:jc w:val="center"/>
            </w:pPr>
            <w:r>
              <w:rPr>
                <w:rFonts w:ascii="宋体" w:hAnsi="宋体" w:eastAsia="宋体" w:cs="宋体"/>
                <w:b w:val="0"/>
              </w:rPr>
              <w:t>合计</w:t>
            </w:r>
          </w:p>
        </w:tc>
        <w:tc>
          <w:tcPr>
            <w:tcW w:w="0" w:type="dxa"/>
            <w:vAlign w:val="center"/>
          </w:tcPr>
          <w:p w14:paraId="7FBC9159">
            <w:pPr>
              <w:spacing w:line="240" w:lineRule="auto"/>
              <w:jc w:val="right"/>
            </w:pPr>
            <w:r>
              <w:rPr>
                <w:rFonts w:ascii="宋体" w:hAnsi="宋体" w:eastAsia="宋体" w:cs="宋体"/>
                <w:b w:val="0"/>
              </w:rPr>
              <w:t>7,488.09</w:t>
            </w:r>
          </w:p>
        </w:tc>
      </w:tr>
    </w:tbl>
    <w:p w14:paraId="1B375700"/>
    <w:p w14:paraId="63D1CFA6">
      <w:pPr>
        <w:pStyle w:val="58"/>
      </w:pPr>
      <w:r>
        <w:rPr>
          <w:rFonts w:ascii="宋体" w:hAnsi="宋体" w:eastAsia="宋体" w:cs="宋体"/>
          <w:b/>
        </w:rPr>
        <w:t>6.4.7.7 实收基金</w:t>
      </w:r>
    </w:p>
    <w:p w14:paraId="61F14AE5">
      <w:pPr>
        <w:jc w:val="left"/>
      </w:pPr>
      <w:r>
        <w:rPr>
          <w:rFonts w:ascii="宋体" w:hAnsi="宋体" w:eastAsia="宋体" w:cs="宋体"/>
          <w:b/>
        </w:rPr>
        <w:t>东方阿尔法增利债券发起A</w:t>
      </w:r>
    </w:p>
    <w:p w14:paraId="65160C64">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6DCE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08200230">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14A7AEB7">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2C70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9AD6E10"/>
        </w:tc>
        <w:tc>
          <w:tcPr>
            <w:tcW w:w="1538" w:type="pct"/>
            <w:shd w:val="clear" w:color="auto" w:fill="D9D9D9"/>
            <w:vAlign w:val="center"/>
          </w:tcPr>
          <w:p w14:paraId="0107FDE9">
            <w:pPr>
              <w:spacing w:line="240" w:lineRule="auto"/>
              <w:jc w:val="center"/>
            </w:pPr>
            <w:r>
              <w:rPr>
                <w:rFonts w:ascii="宋体" w:hAnsi="宋体" w:eastAsia="宋体" w:cs="宋体"/>
                <w:b w:val="0"/>
              </w:rPr>
              <w:t>基金份额（份）</w:t>
            </w:r>
          </w:p>
        </w:tc>
        <w:tc>
          <w:tcPr>
            <w:tcW w:w="1538" w:type="pct"/>
            <w:shd w:val="clear" w:color="auto" w:fill="D9D9D9"/>
            <w:vAlign w:val="center"/>
          </w:tcPr>
          <w:p w14:paraId="418BBC3E">
            <w:pPr>
              <w:spacing w:line="240" w:lineRule="auto"/>
              <w:jc w:val="center"/>
            </w:pPr>
            <w:r>
              <w:rPr>
                <w:rFonts w:ascii="宋体" w:hAnsi="宋体" w:eastAsia="宋体" w:cs="宋体"/>
                <w:b w:val="0"/>
              </w:rPr>
              <w:t>账面金额</w:t>
            </w:r>
          </w:p>
        </w:tc>
      </w:tr>
      <w:tr w14:paraId="7BB2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311D6D">
            <w:pPr>
              <w:spacing w:line="240" w:lineRule="auto"/>
              <w:jc w:val="left"/>
            </w:pPr>
            <w:r>
              <w:rPr>
                <w:rFonts w:ascii="宋体" w:hAnsi="宋体" w:eastAsia="宋体" w:cs="宋体"/>
                <w:b w:val="0"/>
              </w:rPr>
              <w:t>基金合同生效日</w:t>
            </w:r>
          </w:p>
        </w:tc>
        <w:tc>
          <w:tcPr>
            <w:tcW w:w="0" w:type="dxa"/>
            <w:vAlign w:val="center"/>
          </w:tcPr>
          <w:p w14:paraId="0BD334D3">
            <w:pPr>
              <w:spacing w:line="240" w:lineRule="auto"/>
              <w:jc w:val="right"/>
            </w:pPr>
            <w:r>
              <w:rPr>
                <w:rFonts w:ascii="宋体" w:hAnsi="宋体" w:eastAsia="宋体" w:cs="宋体"/>
                <w:b w:val="0"/>
              </w:rPr>
              <w:t>10,279,827.45</w:t>
            </w:r>
          </w:p>
        </w:tc>
        <w:tc>
          <w:tcPr>
            <w:tcW w:w="0" w:type="dxa"/>
            <w:vAlign w:val="center"/>
          </w:tcPr>
          <w:p w14:paraId="1429F4EA">
            <w:pPr>
              <w:spacing w:line="240" w:lineRule="auto"/>
              <w:jc w:val="right"/>
            </w:pPr>
            <w:r>
              <w:rPr>
                <w:rFonts w:ascii="宋体" w:hAnsi="宋体" w:eastAsia="宋体" w:cs="宋体"/>
                <w:b w:val="0"/>
              </w:rPr>
              <w:t>10,279,827.45</w:t>
            </w:r>
          </w:p>
        </w:tc>
      </w:tr>
      <w:tr w14:paraId="6BF9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4B396A">
            <w:pPr>
              <w:spacing w:line="240" w:lineRule="auto"/>
              <w:jc w:val="left"/>
            </w:pPr>
            <w:r>
              <w:rPr>
                <w:rFonts w:ascii="宋体" w:hAnsi="宋体" w:eastAsia="宋体" w:cs="宋体"/>
                <w:b w:val="0"/>
              </w:rPr>
              <w:t>本期申购</w:t>
            </w:r>
          </w:p>
        </w:tc>
        <w:tc>
          <w:tcPr>
            <w:tcW w:w="0" w:type="dxa"/>
            <w:vAlign w:val="center"/>
          </w:tcPr>
          <w:p w14:paraId="2091E393">
            <w:pPr>
              <w:spacing w:line="240" w:lineRule="auto"/>
              <w:jc w:val="right"/>
            </w:pPr>
            <w:r>
              <w:rPr>
                <w:rFonts w:ascii="宋体" w:hAnsi="宋体" w:eastAsia="宋体" w:cs="宋体"/>
                <w:b w:val="0"/>
              </w:rPr>
              <w:t>194,975.28</w:t>
            </w:r>
          </w:p>
        </w:tc>
        <w:tc>
          <w:tcPr>
            <w:tcW w:w="0" w:type="dxa"/>
            <w:vAlign w:val="center"/>
          </w:tcPr>
          <w:p w14:paraId="189E938F">
            <w:pPr>
              <w:spacing w:line="240" w:lineRule="auto"/>
              <w:jc w:val="right"/>
            </w:pPr>
            <w:r>
              <w:rPr>
                <w:rFonts w:ascii="宋体" w:hAnsi="宋体" w:eastAsia="宋体" w:cs="宋体"/>
                <w:b w:val="0"/>
              </w:rPr>
              <w:t>194,975.28</w:t>
            </w:r>
          </w:p>
        </w:tc>
      </w:tr>
      <w:tr w14:paraId="5AD7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D2E9C4">
            <w:pPr>
              <w:spacing w:line="240" w:lineRule="auto"/>
              <w:jc w:val="left"/>
            </w:pPr>
            <w:r>
              <w:rPr>
                <w:rFonts w:ascii="宋体" w:hAnsi="宋体" w:eastAsia="宋体" w:cs="宋体"/>
                <w:b w:val="0"/>
              </w:rPr>
              <w:t>本期赎回（以“-”号填列）</w:t>
            </w:r>
          </w:p>
        </w:tc>
        <w:tc>
          <w:tcPr>
            <w:tcW w:w="0" w:type="dxa"/>
            <w:vAlign w:val="center"/>
          </w:tcPr>
          <w:p w14:paraId="3DB5125C">
            <w:pPr>
              <w:spacing w:line="240" w:lineRule="auto"/>
              <w:jc w:val="right"/>
            </w:pPr>
            <w:r>
              <w:rPr>
                <w:rFonts w:ascii="宋体" w:hAnsi="宋体" w:eastAsia="宋体" w:cs="宋体"/>
                <w:b w:val="0"/>
              </w:rPr>
              <w:t>-64,564.77</w:t>
            </w:r>
          </w:p>
        </w:tc>
        <w:tc>
          <w:tcPr>
            <w:tcW w:w="0" w:type="dxa"/>
            <w:vAlign w:val="center"/>
          </w:tcPr>
          <w:p w14:paraId="25A42EFC">
            <w:pPr>
              <w:spacing w:line="240" w:lineRule="auto"/>
              <w:jc w:val="right"/>
            </w:pPr>
            <w:r>
              <w:rPr>
                <w:rFonts w:ascii="宋体" w:hAnsi="宋体" w:eastAsia="宋体" w:cs="宋体"/>
                <w:b w:val="0"/>
              </w:rPr>
              <w:t>-64,564.77</w:t>
            </w:r>
          </w:p>
        </w:tc>
      </w:tr>
      <w:tr w14:paraId="03CB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8941F9">
            <w:pPr>
              <w:spacing w:line="240" w:lineRule="auto"/>
              <w:jc w:val="left"/>
            </w:pPr>
            <w:r>
              <w:rPr>
                <w:rFonts w:ascii="宋体" w:hAnsi="宋体" w:eastAsia="宋体" w:cs="宋体"/>
                <w:b w:val="0"/>
              </w:rPr>
              <w:t>本期末</w:t>
            </w:r>
          </w:p>
        </w:tc>
        <w:tc>
          <w:tcPr>
            <w:tcW w:w="0" w:type="dxa"/>
            <w:vAlign w:val="center"/>
          </w:tcPr>
          <w:p w14:paraId="5B441513">
            <w:pPr>
              <w:spacing w:line="240" w:lineRule="auto"/>
              <w:jc w:val="right"/>
            </w:pPr>
            <w:r>
              <w:rPr>
                <w:rFonts w:ascii="宋体" w:hAnsi="宋体" w:eastAsia="宋体" w:cs="宋体"/>
                <w:b w:val="0"/>
              </w:rPr>
              <w:t>10,410,237.96</w:t>
            </w:r>
          </w:p>
        </w:tc>
        <w:tc>
          <w:tcPr>
            <w:tcW w:w="0" w:type="dxa"/>
            <w:vAlign w:val="center"/>
          </w:tcPr>
          <w:p w14:paraId="197880EF">
            <w:pPr>
              <w:spacing w:line="240" w:lineRule="auto"/>
              <w:jc w:val="right"/>
            </w:pPr>
            <w:r>
              <w:rPr>
                <w:rFonts w:ascii="宋体" w:hAnsi="宋体" w:eastAsia="宋体" w:cs="宋体"/>
                <w:b w:val="0"/>
              </w:rPr>
              <w:t>10,410,237.96</w:t>
            </w:r>
          </w:p>
        </w:tc>
      </w:tr>
    </w:tbl>
    <w:p w14:paraId="2A9ADB95">
      <w:pPr>
        <w:jc w:val="left"/>
      </w:pPr>
      <w:r>
        <w:rPr>
          <w:rFonts w:ascii="宋体" w:hAnsi="宋体" w:eastAsia="宋体" w:cs="宋体"/>
          <w:b/>
        </w:rPr>
        <w:t>东方阿尔法增利债券发起C</w:t>
      </w:r>
    </w:p>
    <w:p w14:paraId="2F4798DD">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2819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011FB9C7">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79DC7FAB">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12B9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7F8BF11"/>
        </w:tc>
        <w:tc>
          <w:tcPr>
            <w:tcW w:w="1538" w:type="pct"/>
            <w:shd w:val="clear" w:color="auto" w:fill="D9D9D9"/>
            <w:vAlign w:val="center"/>
          </w:tcPr>
          <w:p w14:paraId="04123B4D">
            <w:pPr>
              <w:spacing w:line="240" w:lineRule="auto"/>
              <w:jc w:val="center"/>
            </w:pPr>
            <w:r>
              <w:rPr>
                <w:rFonts w:ascii="宋体" w:hAnsi="宋体" w:eastAsia="宋体" w:cs="宋体"/>
                <w:b w:val="0"/>
              </w:rPr>
              <w:t>基金份额（份）</w:t>
            </w:r>
          </w:p>
        </w:tc>
        <w:tc>
          <w:tcPr>
            <w:tcW w:w="1538" w:type="pct"/>
            <w:shd w:val="clear" w:color="auto" w:fill="D9D9D9"/>
            <w:vAlign w:val="center"/>
          </w:tcPr>
          <w:p w14:paraId="41A0F5FD">
            <w:pPr>
              <w:spacing w:line="240" w:lineRule="auto"/>
              <w:jc w:val="center"/>
            </w:pPr>
            <w:r>
              <w:rPr>
                <w:rFonts w:ascii="宋体" w:hAnsi="宋体" w:eastAsia="宋体" w:cs="宋体"/>
                <w:b w:val="0"/>
              </w:rPr>
              <w:t>账面金额</w:t>
            </w:r>
          </w:p>
        </w:tc>
      </w:tr>
      <w:tr w14:paraId="19CD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69CE83">
            <w:pPr>
              <w:spacing w:line="240" w:lineRule="auto"/>
              <w:jc w:val="left"/>
            </w:pPr>
            <w:r>
              <w:rPr>
                <w:rFonts w:ascii="宋体" w:hAnsi="宋体" w:eastAsia="宋体" w:cs="宋体"/>
                <w:b w:val="0"/>
              </w:rPr>
              <w:t>基金合同生效日</w:t>
            </w:r>
          </w:p>
        </w:tc>
        <w:tc>
          <w:tcPr>
            <w:tcW w:w="0" w:type="dxa"/>
            <w:vAlign w:val="center"/>
          </w:tcPr>
          <w:p w14:paraId="57C25B60">
            <w:pPr>
              <w:spacing w:line="240" w:lineRule="auto"/>
              <w:jc w:val="right"/>
            </w:pPr>
            <w:r>
              <w:rPr>
                <w:rFonts w:ascii="宋体" w:hAnsi="宋体" w:eastAsia="宋体" w:cs="宋体"/>
                <w:b w:val="0"/>
              </w:rPr>
              <w:t>49,119.00</w:t>
            </w:r>
          </w:p>
        </w:tc>
        <w:tc>
          <w:tcPr>
            <w:tcW w:w="0" w:type="dxa"/>
            <w:vAlign w:val="center"/>
          </w:tcPr>
          <w:p w14:paraId="6CDEEDAB">
            <w:pPr>
              <w:spacing w:line="240" w:lineRule="auto"/>
              <w:jc w:val="right"/>
            </w:pPr>
            <w:r>
              <w:rPr>
                <w:rFonts w:ascii="宋体" w:hAnsi="宋体" w:eastAsia="宋体" w:cs="宋体"/>
                <w:b w:val="0"/>
              </w:rPr>
              <w:t>49,119.00</w:t>
            </w:r>
          </w:p>
        </w:tc>
      </w:tr>
      <w:tr w14:paraId="28A1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DBDEB8">
            <w:pPr>
              <w:spacing w:line="240" w:lineRule="auto"/>
              <w:jc w:val="left"/>
            </w:pPr>
            <w:r>
              <w:rPr>
                <w:rFonts w:ascii="宋体" w:hAnsi="宋体" w:eastAsia="宋体" w:cs="宋体"/>
                <w:b w:val="0"/>
              </w:rPr>
              <w:t>本期申购</w:t>
            </w:r>
          </w:p>
        </w:tc>
        <w:tc>
          <w:tcPr>
            <w:tcW w:w="0" w:type="dxa"/>
            <w:vAlign w:val="center"/>
          </w:tcPr>
          <w:p w14:paraId="638837F9">
            <w:pPr>
              <w:spacing w:line="240" w:lineRule="auto"/>
              <w:jc w:val="right"/>
            </w:pPr>
            <w:r>
              <w:rPr>
                <w:rFonts w:ascii="宋体" w:hAnsi="宋体" w:eastAsia="宋体" w:cs="宋体"/>
                <w:b w:val="0"/>
              </w:rPr>
              <w:t>502,660.43</w:t>
            </w:r>
          </w:p>
        </w:tc>
        <w:tc>
          <w:tcPr>
            <w:tcW w:w="0" w:type="dxa"/>
            <w:vAlign w:val="center"/>
          </w:tcPr>
          <w:p w14:paraId="72FFFA01">
            <w:pPr>
              <w:spacing w:line="240" w:lineRule="auto"/>
              <w:jc w:val="right"/>
            </w:pPr>
            <w:r>
              <w:rPr>
                <w:rFonts w:ascii="宋体" w:hAnsi="宋体" w:eastAsia="宋体" w:cs="宋体"/>
                <w:b w:val="0"/>
              </w:rPr>
              <w:t>502,660.43</w:t>
            </w:r>
          </w:p>
        </w:tc>
      </w:tr>
      <w:tr w14:paraId="21E4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858CD1">
            <w:pPr>
              <w:spacing w:line="240" w:lineRule="auto"/>
              <w:jc w:val="left"/>
            </w:pPr>
            <w:r>
              <w:rPr>
                <w:rFonts w:ascii="宋体" w:hAnsi="宋体" w:eastAsia="宋体" w:cs="宋体"/>
                <w:b w:val="0"/>
              </w:rPr>
              <w:t>本期赎回（以“-”号填列）</w:t>
            </w:r>
          </w:p>
        </w:tc>
        <w:tc>
          <w:tcPr>
            <w:tcW w:w="0" w:type="dxa"/>
            <w:vAlign w:val="center"/>
          </w:tcPr>
          <w:p w14:paraId="732714CC">
            <w:pPr>
              <w:spacing w:line="240" w:lineRule="auto"/>
              <w:jc w:val="right"/>
            </w:pPr>
            <w:r>
              <w:rPr>
                <w:rFonts w:ascii="宋体" w:hAnsi="宋体" w:eastAsia="宋体" w:cs="宋体"/>
                <w:b w:val="0"/>
              </w:rPr>
              <w:t>-50,291.66</w:t>
            </w:r>
          </w:p>
        </w:tc>
        <w:tc>
          <w:tcPr>
            <w:tcW w:w="0" w:type="dxa"/>
            <w:vAlign w:val="center"/>
          </w:tcPr>
          <w:p w14:paraId="398B7E54">
            <w:pPr>
              <w:spacing w:line="240" w:lineRule="auto"/>
              <w:jc w:val="right"/>
            </w:pPr>
            <w:r>
              <w:rPr>
                <w:rFonts w:ascii="宋体" w:hAnsi="宋体" w:eastAsia="宋体" w:cs="宋体"/>
                <w:b w:val="0"/>
              </w:rPr>
              <w:t>-50,291.66</w:t>
            </w:r>
          </w:p>
        </w:tc>
      </w:tr>
      <w:tr w14:paraId="29E6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D07F05">
            <w:pPr>
              <w:spacing w:line="240" w:lineRule="auto"/>
              <w:jc w:val="left"/>
            </w:pPr>
            <w:r>
              <w:rPr>
                <w:rFonts w:ascii="宋体" w:hAnsi="宋体" w:eastAsia="宋体" w:cs="宋体"/>
                <w:b w:val="0"/>
              </w:rPr>
              <w:t>本期末</w:t>
            </w:r>
          </w:p>
        </w:tc>
        <w:tc>
          <w:tcPr>
            <w:tcW w:w="0" w:type="dxa"/>
            <w:vAlign w:val="center"/>
          </w:tcPr>
          <w:p w14:paraId="791AF965">
            <w:pPr>
              <w:spacing w:line="240" w:lineRule="auto"/>
              <w:jc w:val="right"/>
            </w:pPr>
            <w:r>
              <w:rPr>
                <w:rFonts w:ascii="宋体" w:hAnsi="宋体" w:eastAsia="宋体" w:cs="宋体"/>
                <w:b w:val="0"/>
              </w:rPr>
              <w:t>501,487.77</w:t>
            </w:r>
          </w:p>
        </w:tc>
        <w:tc>
          <w:tcPr>
            <w:tcW w:w="0" w:type="dxa"/>
            <w:vAlign w:val="center"/>
          </w:tcPr>
          <w:p w14:paraId="7A458E90">
            <w:pPr>
              <w:spacing w:line="240" w:lineRule="auto"/>
              <w:jc w:val="right"/>
            </w:pPr>
            <w:r>
              <w:rPr>
                <w:rFonts w:ascii="宋体" w:hAnsi="宋体" w:eastAsia="宋体" w:cs="宋体"/>
                <w:b w:val="0"/>
              </w:rPr>
              <w:t>501,487.77</w:t>
            </w:r>
          </w:p>
        </w:tc>
      </w:tr>
    </w:tbl>
    <w:p w14:paraId="62AACB0E">
      <w:r>
        <w:rPr>
          <w:rFonts w:ascii="宋体" w:hAnsi="宋体" w:eastAsia="宋体" w:cs="宋体"/>
          <w:b w:val="0"/>
        </w:rPr>
        <w:t>注：1.申购含转换入份额，赎回含转换出份额。</w:t>
      </w:r>
      <w:r>
        <w:rPr>
          <w:rFonts w:ascii="宋体" w:hAnsi="宋体" w:eastAsia="宋体" w:cs="宋体"/>
          <w:b w:val="0"/>
        </w:rPr>
        <w:br w:type="textWrapping"/>
      </w:r>
      <w:r>
        <w:rPr>
          <w:rFonts w:ascii="宋体" w:hAnsi="宋体" w:eastAsia="宋体" w:cs="宋体"/>
          <w:b w:val="0"/>
        </w:rPr>
        <w:t xml:space="preserve">2.本基金自2026年5月29日至2026年5月29日止期间公开发售，共募集有效净认购资金人民币10,328,554.27元，折合为10,328,554.27份基金份额(其中A类基金份额10,279,435.27份，C类基金份额49,119.00份)。根据《东方阿尔法增利债券型发起式证券投资基金招募说明书》的规定，本基金设立募集期内认购资金产生的利息收入人民币392.18元在本基金成立后，折合为392.18份基金份额(其中A类基金份额392.18份，C类基金份额0.00份)，划入基金份额持有人账户。 </w:t>
      </w:r>
      <w:r>
        <w:rPr>
          <w:rFonts w:ascii="宋体" w:hAnsi="宋体" w:eastAsia="宋体" w:cs="宋体"/>
          <w:b w:val="0"/>
        </w:rPr>
        <w:br w:type="textWrapping"/>
      </w:r>
      <w:r>
        <w:rPr>
          <w:rFonts w:ascii="宋体" w:hAnsi="宋体" w:eastAsia="宋体" w:cs="宋体"/>
          <w:b w:val="0"/>
        </w:rPr>
        <w:t>3.根据《东方阿尔法增利债券型发起式证券投资基金基金合同》、《东方阿尔法增利债券型发起式证券投资基金招募说明书》及《东方阿尔法增利债券型发起式证券投资基金开放日常申购、赎回、定期定额投资及转换业务的公告》的相关规定，本基金于2026年6月2日(基金合同生效日)至2026年6月7日止期间暂不向投资人开放基金交易，申购业务、赎回业务和转换业务自2026年6月8日起开始办理。</w:t>
      </w:r>
    </w:p>
    <w:p w14:paraId="084DFEEB"/>
    <w:p w14:paraId="7266E9F1">
      <w:pPr>
        <w:pStyle w:val="58"/>
      </w:pPr>
      <w:r>
        <w:rPr>
          <w:rFonts w:ascii="宋体" w:hAnsi="宋体" w:eastAsia="宋体" w:cs="宋体"/>
          <w:b/>
        </w:rPr>
        <w:t>6.4.7.8 未分配利润</w:t>
      </w:r>
    </w:p>
    <w:p w14:paraId="17AB8351">
      <w:pPr>
        <w:jc w:val="left"/>
      </w:pPr>
      <w:r>
        <w:rPr>
          <w:rFonts w:ascii="宋体" w:hAnsi="宋体" w:eastAsia="宋体" w:cs="宋体"/>
          <w:b/>
        </w:rPr>
        <w:t>东方阿尔法增利债券发起A</w:t>
      </w:r>
    </w:p>
    <w:p w14:paraId="2217105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1575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5F6A26F9">
            <w:pPr>
              <w:spacing w:line="240" w:lineRule="auto"/>
              <w:jc w:val="center"/>
            </w:pPr>
            <w:r>
              <w:rPr>
                <w:rFonts w:ascii="宋体" w:hAnsi="宋体" w:eastAsia="宋体" w:cs="宋体"/>
                <w:b w:val="0"/>
              </w:rPr>
              <w:t>项目</w:t>
            </w:r>
          </w:p>
        </w:tc>
        <w:tc>
          <w:tcPr>
            <w:tcW w:w="1231" w:type="pct"/>
            <w:shd w:val="clear" w:color="auto" w:fill="D9D9D9"/>
            <w:vAlign w:val="center"/>
          </w:tcPr>
          <w:p w14:paraId="53FAE040">
            <w:pPr>
              <w:spacing w:line="240" w:lineRule="auto"/>
              <w:jc w:val="center"/>
            </w:pPr>
            <w:r>
              <w:rPr>
                <w:rFonts w:ascii="宋体" w:hAnsi="宋体" w:eastAsia="宋体" w:cs="宋体"/>
                <w:b w:val="0"/>
              </w:rPr>
              <w:t>已实现部分</w:t>
            </w:r>
          </w:p>
        </w:tc>
        <w:tc>
          <w:tcPr>
            <w:tcW w:w="1231" w:type="pct"/>
            <w:shd w:val="clear" w:color="auto" w:fill="D9D9D9"/>
            <w:vAlign w:val="center"/>
          </w:tcPr>
          <w:p w14:paraId="41504EF2">
            <w:pPr>
              <w:spacing w:line="240" w:lineRule="auto"/>
              <w:jc w:val="center"/>
            </w:pPr>
            <w:r>
              <w:rPr>
                <w:rFonts w:ascii="宋体" w:hAnsi="宋体" w:eastAsia="宋体" w:cs="宋体"/>
                <w:b w:val="0"/>
              </w:rPr>
              <w:t>未实现部分</w:t>
            </w:r>
          </w:p>
        </w:tc>
        <w:tc>
          <w:tcPr>
            <w:tcW w:w="1385" w:type="pct"/>
            <w:shd w:val="clear" w:color="auto" w:fill="D9D9D9"/>
            <w:vAlign w:val="center"/>
          </w:tcPr>
          <w:p w14:paraId="309CF964">
            <w:pPr>
              <w:spacing w:line="240" w:lineRule="auto"/>
              <w:jc w:val="center"/>
            </w:pPr>
            <w:r>
              <w:rPr>
                <w:rFonts w:ascii="宋体" w:hAnsi="宋体" w:eastAsia="宋体" w:cs="宋体"/>
                <w:b w:val="0"/>
              </w:rPr>
              <w:t>未分配利润合计</w:t>
            </w:r>
          </w:p>
        </w:tc>
      </w:tr>
      <w:tr w14:paraId="5CF1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AFFE8B">
            <w:pPr>
              <w:spacing w:line="240" w:lineRule="auto"/>
              <w:jc w:val="left"/>
            </w:pPr>
            <w:r>
              <w:rPr>
                <w:rFonts w:ascii="宋体" w:hAnsi="宋体" w:eastAsia="宋体" w:cs="宋体"/>
                <w:b w:val="0"/>
              </w:rPr>
              <w:t>本期期初</w:t>
            </w:r>
          </w:p>
        </w:tc>
        <w:tc>
          <w:tcPr>
            <w:tcW w:w="0" w:type="dxa"/>
            <w:vAlign w:val="center"/>
          </w:tcPr>
          <w:p w14:paraId="263021B1">
            <w:pPr>
              <w:spacing w:line="240" w:lineRule="auto"/>
              <w:jc w:val="right"/>
            </w:pPr>
            <w:r>
              <w:rPr>
                <w:rFonts w:ascii="宋体" w:hAnsi="宋体" w:eastAsia="宋体" w:cs="宋体"/>
                <w:b w:val="0"/>
              </w:rPr>
              <w:t>-</w:t>
            </w:r>
          </w:p>
        </w:tc>
        <w:tc>
          <w:tcPr>
            <w:tcW w:w="0" w:type="dxa"/>
            <w:vAlign w:val="center"/>
          </w:tcPr>
          <w:p w14:paraId="1C3F015F">
            <w:pPr>
              <w:spacing w:line="240" w:lineRule="auto"/>
              <w:jc w:val="right"/>
            </w:pPr>
            <w:r>
              <w:rPr>
                <w:rFonts w:ascii="宋体" w:hAnsi="宋体" w:eastAsia="宋体" w:cs="宋体"/>
                <w:b w:val="0"/>
              </w:rPr>
              <w:t>-</w:t>
            </w:r>
          </w:p>
        </w:tc>
        <w:tc>
          <w:tcPr>
            <w:tcW w:w="0" w:type="dxa"/>
            <w:vAlign w:val="center"/>
          </w:tcPr>
          <w:p w14:paraId="6550400E">
            <w:pPr>
              <w:spacing w:line="240" w:lineRule="auto"/>
              <w:jc w:val="right"/>
            </w:pPr>
            <w:r>
              <w:rPr>
                <w:rFonts w:ascii="宋体" w:hAnsi="宋体" w:eastAsia="宋体" w:cs="宋体"/>
                <w:b w:val="0"/>
              </w:rPr>
              <w:t>-</w:t>
            </w:r>
          </w:p>
        </w:tc>
      </w:tr>
      <w:tr w14:paraId="7407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861DC7">
            <w:pPr>
              <w:spacing w:line="240" w:lineRule="auto"/>
              <w:jc w:val="left"/>
            </w:pPr>
            <w:r>
              <w:rPr>
                <w:rFonts w:ascii="宋体" w:hAnsi="宋体" w:eastAsia="宋体" w:cs="宋体"/>
                <w:b w:val="0"/>
              </w:rPr>
              <w:t>本期利润</w:t>
            </w:r>
          </w:p>
        </w:tc>
        <w:tc>
          <w:tcPr>
            <w:tcW w:w="0" w:type="dxa"/>
            <w:vAlign w:val="center"/>
          </w:tcPr>
          <w:p w14:paraId="716FD479">
            <w:pPr>
              <w:spacing w:line="240" w:lineRule="auto"/>
              <w:jc w:val="right"/>
            </w:pPr>
            <w:r>
              <w:rPr>
                <w:rFonts w:ascii="宋体" w:hAnsi="宋体" w:eastAsia="宋体" w:cs="宋体"/>
                <w:b w:val="0"/>
              </w:rPr>
              <w:t>-8,804.18</w:t>
            </w:r>
          </w:p>
        </w:tc>
        <w:tc>
          <w:tcPr>
            <w:tcW w:w="0" w:type="dxa"/>
            <w:vAlign w:val="center"/>
          </w:tcPr>
          <w:p w14:paraId="4C65BEB1">
            <w:pPr>
              <w:spacing w:line="240" w:lineRule="auto"/>
              <w:jc w:val="right"/>
            </w:pPr>
            <w:r>
              <w:rPr>
                <w:rFonts w:ascii="宋体" w:hAnsi="宋体" w:eastAsia="宋体" w:cs="宋体"/>
                <w:b w:val="0"/>
              </w:rPr>
              <w:t>147,775.74</w:t>
            </w:r>
          </w:p>
        </w:tc>
        <w:tc>
          <w:tcPr>
            <w:tcW w:w="0" w:type="dxa"/>
            <w:vAlign w:val="center"/>
          </w:tcPr>
          <w:p w14:paraId="1AC37885">
            <w:pPr>
              <w:spacing w:line="240" w:lineRule="auto"/>
              <w:jc w:val="right"/>
            </w:pPr>
            <w:r>
              <w:rPr>
                <w:rFonts w:ascii="宋体" w:hAnsi="宋体" w:eastAsia="宋体" w:cs="宋体"/>
                <w:b w:val="0"/>
              </w:rPr>
              <w:t>138,971.56</w:t>
            </w:r>
          </w:p>
        </w:tc>
      </w:tr>
      <w:tr w14:paraId="5513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DE43A2">
            <w:pPr>
              <w:spacing w:line="240" w:lineRule="auto"/>
              <w:jc w:val="left"/>
            </w:pPr>
            <w:r>
              <w:rPr>
                <w:rFonts w:ascii="宋体" w:hAnsi="宋体" w:eastAsia="宋体" w:cs="宋体"/>
                <w:b w:val="0"/>
              </w:rPr>
              <w:t>本期基金份额交易产生的变动数</w:t>
            </w:r>
          </w:p>
        </w:tc>
        <w:tc>
          <w:tcPr>
            <w:tcW w:w="0" w:type="dxa"/>
            <w:vAlign w:val="center"/>
          </w:tcPr>
          <w:p w14:paraId="57CC76FD">
            <w:pPr>
              <w:spacing w:line="240" w:lineRule="auto"/>
              <w:jc w:val="right"/>
            </w:pPr>
            <w:r>
              <w:rPr>
                <w:rFonts w:ascii="宋体" w:hAnsi="宋体" w:eastAsia="宋体" w:cs="宋体"/>
                <w:b w:val="0"/>
              </w:rPr>
              <w:t>79.95</w:t>
            </w:r>
          </w:p>
        </w:tc>
        <w:tc>
          <w:tcPr>
            <w:tcW w:w="0" w:type="dxa"/>
            <w:vAlign w:val="center"/>
          </w:tcPr>
          <w:p w14:paraId="22A8F0E7">
            <w:pPr>
              <w:spacing w:line="240" w:lineRule="auto"/>
              <w:jc w:val="right"/>
            </w:pPr>
            <w:r>
              <w:rPr>
                <w:rFonts w:ascii="宋体" w:hAnsi="宋体" w:eastAsia="宋体" w:cs="宋体"/>
                <w:b w:val="0"/>
              </w:rPr>
              <w:t>1,528.23</w:t>
            </w:r>
          </w:p>
        </w:tc>
        <w:tc>
          <w:tcPr>
            <w:tcW w:w="0" w:type="dxa"/>
            <w:vAlign w:val="center"/>
          </w:tcPr>
          <w:p w14:paraId="46E79831">
            <w:pPr>
              <w:spacing w:line="240" w:lineRule="auto"/>
              <w:jc w:val="right"/>
            </w:pPr>
            <w:r>
              <w:rPr>
                <w:rFonts w:ascii="宋体" w:hAnsi="宋体" w:eastAsia="宋体" w:cs="宋体"/>
                <w:b w:val="0"/>
              </w:rPr>
              <w:t>1,608.18</w:t>
            </w:r>
          </w:p>
        </w:tc>
      </w:tr>
      <w:tr w14:paraId="71F5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5A979B">
            <w:pPr>
              <w:spacing w:line="240" w:lineRule="auto"/>
              <w:jc w:val="left"/>
            </w:pPr>
            <w:r>
              <w:rPr>
                <w:rFonts w:ascii="宋体" w:hAnsi="宋体" w:eastAsia="宋体" w:cs="宋体"/>
                <w:b w:val="0"/>
              </w:rPr>
              <w:t>其中：基金申购款</w:t>
            </w:r>
          </w:p>
        </w:tc>
        <w:tc>
          <w:tcPr>
            <w:tcW w:w="0" w:type="dxa"/>
            <w:vAlign w:val="center"/>
          </w:tcPr>
          <w:p w14:paraId="50AA4982">
            <w:pPr>
              <w:spacing w:line="240" w:lineRule="auto"/>
              <w:jc w:val="right"/>
            </w:pPr>
            <w:r>
              <w:rPr>
                <w:rFonts w:ascii="宋体" w:hAnsi="宋体" w:eastAsia="宋体" w:cs="宋体"/>
                <w:b w:val="0"/>
              </w:rPr>
              <w:t>253.82</w:t>
            </w:r>
          </w:p>
        </w:tc>
        <w:tc>
          <w:tcPr>
            <w:tcW w:w="0" w:type="dxa"/>
            <w:vAlign w:val="center"/>
          </w:tcPr>
          <w:p w14:paraId="7AB2BF07">
            <w:pPr>
              <w:spacing w:line="240" w:lineRule="auto"/>
              <w:jc w:val="right"/>
            </w:pPr>
            <w:r>
              <w:rPr>
                <w:rFonts w:ascii="宋体" w:hAnsi="宋体" w:eastAsia="宋体" w:cs="宋体"/>
                <w:b w:val="0"/>
              </w:rPr>
              <w:t>2,229.63</w:t>
            </w:r>
          </w:p>
        </w:tc>
        <w:tc>
          <w:tcPr>
            <w:tcW w:w="0" w:type="dxa"/>
            <w:vAlign w:val="center"/>
          </w:tcPr>
          <w:p w14:paraId="5D6BD2A4">
            <w:pPr>
              <w:spacing w:line="240" w:lineRule="auto"/>
              <w:jc w:val="right"/>
            </w:pPr>
            <w:r>
              <w:rPr>
                <w:rFonts w:ascii="宋体" w:hAnsi="宋体" w:eastAsia="宋体" w:cs="宋体"/>
                <w:b w:val="0"/>
              </w:rPr>
              <w:t>2,483.45</w:t>
            </w:r>
          </w:p>
        </w:tc>
      </w:tr>
      <w:tr w14:paraId="4146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BF01D3">
            <w:pPr>
              <w:spacing w:line="240" w:lineRule="auto"/>
              <w:jc w:val="left"/>
            </w:pPr>
            <w:r>
              <w:rPr>
                <w:rFonts w:ascii="宋体" w:hAnsi="宋体" w:eastAsia="宋体" w:cs="宋体"/>
                <w:b w:val="0"/>
              </w:rPr>
              <w:t xml:space="preserve">      基金赎回款</w:t>
            </w:r>
          </w:p>
        </w:tc>
        <w:tc>
          <w:tcPr>
            <w:tcW w:w="0" w:type="dxa"/>
            <w:vAlign w:val="center"/>
          </w:tcPr>
          <w:p w14:paraId="713D5F3B">
            <w:pPr>
              <w:spacing w:line="240" w:lineRule="auto"/>
              <w:jc w:val="right"/>
            </w:pPr>
            <w:r>
              <w:rPr>
                <w:rFonts w:ascii="宋体" w:hAnsi="宋体" w:eastAsia="宋体" w:cs="宋体"/>
                <w:b w:val="0"/>
              </w:rPr>
              <w:t>-173.87</w:t>
            </w:r>
          </w:p>
        </w:tc>
        <w:tc>
          <w:tcPr>
            <w:tcW w:w="0" w:type="dxa"/>
            <w:vAlign w:val="center"/>
          </w:tcPr>
          <w:p w14:paraId="47783F9F">
            <w:pPr>
              <w:spacing w:line="240" w:lineRule="auto"/>
              <w:jc w:val="right"/>
            </w:pPr>
            <w:r>
              <w:rPr>
                <w:rFonts w:ascii="宋体" w:hAnsi="宋体" w:eastAsia="宋体" w:cs="宋体"/>
                <w:b w:val="0"/>
              </w:rPr>
              <w:t>-701.40</w:t>
            </w:r>
          </w:p>
        </w:tc>
        <w:tc>
          <w:tcPr>
            <w:tcW w:w="0" w:type="dxa"/>
            <w:vAlign w:val="center"/>
          </w:tcPr>
          <w:p w14:paraId="57295537">
            <w:pPr>
              <w:spacing w:line="240" w:lineRule="auto"/>
              <w:jc w:val="right"/>
            </w:pPr>
            <w:r>
              <w:rPr>
                <w:rFonts w:ascii="宋体" w:hAnsi="宋体" w:eastAsia="宋体" w:cs="宋体"/>
                <w:b w:val="0"/>
              </w:rPr>
              <w:t>-875.27</w:t>
            </w:r>
          </w:p>
        </w:tc>
      </w:tr>
      <w:tr w14:paraId="47BF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9D47ED">
            <w:pPr>
              <w:spacing w:line="240" w:lineRule="auto"/>
              <w:jc w:val="left"/>
            </w:pPr>
            <w:r>
              <w:rPr>
                <w:rFonts w:ascii="宋体" w:hAnsi="宋体" w:eastAsia="宋体" w:cs="宋体"/>
                <w:b w:val="0"/>
              </w:rPr>
              <w:t>本期已分配利润</w:t>
            </w:r>
          </w:p>
        </w:tc>
        <w:tc>
          <w:tcPr>
            <w:tcW w:w="0" w:type="dxa"/>
            <w:vAlign w:val="center"/>
          </w:tcPr>
          <w:p w14:paraId="5D3A39AD">
            <w:pPr>
              <w:spacing w:line="240" w:lineRule="auto"/>
              <w:jc w:val="right"/>
            </w:pPr>
            <w:r>
              <w:rPr>
                <w:rFonts w:ascii="宋体" w:hAnsi="宋体" w:eastAsia="宋体" w:cs="宋体"/>
                <w:b w:val="0"/>
              </w:rPr>
              <w:t>-</w:t>
            </w:r>
          </w:p>
        </w:tc>
        <w:tc>
          <w:tcPr>
            <w:tcW w:w="0" w:type="dxa"/>
            <w:vAlign w:val="center"/>
          </w:tcPr>
          <w:p w14:paraId="08AFDBBB">
            <w:pPr>
              <w:spacing w:line="240" w:lineRule="auto"/>
              <w:jc w:val="right"/>
            </w:pPr>
            <w:r>
              <w:rPr>
                <w:rFonts w:ascii="宋体" w:hAnsi="宋体" w:eastAsia="宋体" w:cs="宋体"/>
                <w:b w:val="0"/>
              </w:rPr>
              <w:t>-</w:t>
            </w:r>
          </w:p>
        </w:tc>
        <w:tc>
          <w:tcPr>
            <w:tcW w:w="0" w:type="dxa"/>
            <w:vAlign w:val="center"/>
          </w:tcPr>
          <w:p w14:paraId="66EE1C48">
            <w:pPr>
              <w:spacing w:line="240" w:lineRule="auto"/>
              <w:jc w:val="right"/>
            </w:pPr>
            <w:r>
              <w:rPr>
                <w:rFonts w:ascii="宋体" w:hAnsi="宋体" w:eastAsia="宋体" w:cs="宋体"/>
                <w:b w:val="0"/>
              </w:rPr>
              <w:t>-</w:t>
            </w:r>
          </w:p>
        </w:tc>
      </w:tr>
      <w:tr w14:paraId="7E3D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90C3A6">
            <w:pPr>
              <w:spacing w:line="240" w:lineRule="auto"/>
              <w:jc w:val="left"/>
            </w:pPr>
            <w:r>
              <w:rPr>
                <w:rFonts w:ascii="宋体" w:hAnsi="宋体" w:eastAsia="宋体" w:cs="宋体"/>
                <w:b w:val="0"/>
              </w:rPr>
              <w:t>本期末</w:t>
            </w:r>
          </w:p>
        </w:tc>
        <w:tc>
          <w:tcPr>
            <w:tcW w:w="0" w:type="dxa"/>
            <w:vAlign w:val="center"/>
          </w:tcPr>
          <w:p w14:paraId="1469F8E4">
            <w:pPr>
              <w:spacing w:line="240" w:lineRule="auto"/>
              <w:jc w:val="right"/>
            </w:pPr>
            <w:r>
              <w:rPr>
                <w:rFonts w:ascii="宋体" w:hAnsi="宋体" w:eastAsia="宋体" w:cs="宋体"/>
                <w:b w:val="0"/>
              </w:rPr>
              <w:t>-8,724.23</w:t>
            </w:r>
          </w:p>
        </w:tc>
        <w:tc>
          <w:tcPr>
            <w:tcW w:w="0" w:type="dxa"/>
            <w:vAlign w:val="center"/>
          </w:tcPr>
          <w:p w14:paraId="7632347C">
            <w:pPr>
              <w:spacing w:line="240" w:lineRule="auto"/>
              <w:jc w:val="right"/>
            </w:pPr>
            <w:r>
              <w:rPr>
                <w:rFonts w:ascii="宋体" w:hAnsi="宋体" w:eastAsia="宋体" w:cs="宋体"/>
                <w:b w:val="0"/>
              </w:rPr>
              <w:t>149,303.97</w:t>
            </w:r>
          </w:p>
        </w:tc>
        <w:tc>
          <w:tcPr>
            <w:tcW w:w="0" w:type="dxa"/>
            <w:vAlign w:val="center"/>
          </w:tcPr>
          <w:p w14:paraId="5EF68BE7">
            <w:pPr>
              <w:spacing w:line="240" w:lineRule="auto"/>
              <w:jc w:val="right"/>
            </w:pPr>
            <w:r>
              <w:rPr>
                <w:rFonts w:ascii="宋体" w:hAnsi="宋体" w:eastAsia="宋体" w:cs="宋体"/>
                <w:b w:val="0"/>
              </w:rPr>
              <w:t>140,579.74</w:t>
            </w:r>
          </w:p>
        </w:tc>
      </w:tr>
    </w:tbl>
    <w:p w14:paraId="5EC53B1B">
      <w:pPr>
        <w:jc w:val="left"/>
      </w:pPr>
      <w:r>
        <w:rPr>
          <w:rFonts w:ascii="宋体" w:hAnsi="宋体" w:eastAsia="宋体" w:cs="宋体"/>
          <w:b/>
        </w:rPr>
        <w:t>东方阿尔法增利债券发起C</w:t>
      </w:r>
    </w:p>
    <w:p w14:paraId="10F10BD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77DA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7BFDCC60">
            <w:pPr>
              <w:spacing w:line="240" w:lineRule="auto"/>
              <w:jc w:val="center"/>
            </w:pPr>
            <w:r>
              <w:rPr>
                <w:rFonts w:ascii="宋体" w:hAnsi="宋体" w:eastAsia="宋体" w:cs="宋体"/>
                <w:b w:val="0"/>
              </w:rPr>
              <w:t>项目</w:t>
            </w:r>
          </w:p>
        </w:tc>
        <w:tc>
          <w:tcPr>
            <w:tcW w:w="1231" w:type="pct"/>
            <w:shd w:val="clear" w:color="auto" w:fill="D9D9D9"/>
            <w:vAlign w:val="center"/>
          </w:tcPr>
          <w:p w14:paraId="30704F75">
            <w:pPr>
              <w:spacing w:line="240" w:lineRule="auto"/>
              <w:jc w:val="center"/>
            </w:pPr>
            <w:r>
              <w:rPr>
                <w:rFonts w:ascii="宋体" w:hAnsi="宋体" w:eastAsia="宋体" w:cs="宋体"/>
                <w:b w:val="0"/>
              </w:rPr>
              <w:t>已实现部分</w:t>
            </w:r>
          </w:p>
        </w:tc>
        <w:tc>
          <w:tcPr>
            <w:tcW w:w="1231" w:type="pct"/>
            <w:shd w:val="clear" w:color="auto" w:fill="D9D9D9"/>
            <w:vAlign w:val="center"/>
          </w:tcPr>
          <w:p w14:paraId="0831675B">
            <w:pPr>
              <w:spacing w:line="240" w:lineRule="auto"/>
              <w:jc w:val="center"/>
            </w:pPr>
            <w:r>
              <w:rPr>
                <w:rFonts w:ascii="宋体" w:hAnsi="宋体" w:eastAsia="宋体" w:cs="宋体"/>
                <w:b w:val="0"/>
              </w:rPr>
              <w:t>未实现部分</w:t>
            </w:r>
          </w:p>
        </w:tc>
        <w:tc>
          <w:tcPr>
            <w:tcW w:w="1385" w:type="pct"/>
            <w:shd w:val="clear" w:color="auto" w:fill="D9D9D9"/>
            <w:vAlign w:val="center"/>
          </w:tcPr>
          <w:p w14:paraId="2CAE6644">
            <w:pPr>
              <w:spacing w:line="240" w:lineRule="auto"/>
              <w:jc w:val="center"/>
            </w:pPr>
            <w:r>
              <w:rPr>
                <w:rFonts w:ascii="宋体" w:hAnsi="宋体" w:eastAsia="宋体" w:cs="宋体"/>
                <w:b w:val="0"/>
              </w:rPr>
              <w:t>未分配利润合计</w:t>
            </w:r>
          </w:p>
        </w:tc>
      </w:tr>
      <w:tr w14:paraId="1289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F2B7C9">
            <w:pPr>
              <w:spacing w:line="240" w:lineRule="auto"/>
              <w:jc w:val="left"/>
            </w:pPr>
            <w:r>
              <w:rPr>
                <w:rFonts w:ascii="宋体" w:hAnsi="宋体" w:eastAsia="宋体" w:cs="宋体"/>
                <w:b w:val="0"/>
              </w:rPr>
              <w:t>本期期初</w:t>
            </w:r>
          </w:p>
        </w:tc>
        <w:tc>
          <w:tcPr>
            <w:tcW w:w="0" w:type="dxa"/>
            <w:vAlign w:val="center"/>
          </w:tcPr>
          <w:p w14:paraId="54A5BF6D">
            <w:pPr>
              <w:spacing w:line="240" w:lineRule="auto"/>
              <w:jc w:val="right"/>
            </w:pPr>
            <w:r>
              <w:rPr>
                <w:rFonts w:ascii="宋体" w:hAnsi="宋体" w:eastAsia="宋体" w:cs="宋体"/>
                <w:b w:val="0"/>
              </w:rPr>
              <w:t>-</w:t>
            </w:r>
          </w:p>
        </w:tc>
        <w:tc>
          <w:tcPr>
            <w:tcW w:w="0" w:type="dxa"/>
            <w:vAlign w:val="center"/>
          </w:tcPr>
          <w:p w14:paraId="42D83EC0">
            <w:pPr>
              <w:spacing w:line="240" w:lineRule="auto"/>
              <w:jc w:val="right"/>
            </w:pPr>
            <w:r>
              <w:rPr>
                <w:rFonts w:ascii="宋体" w:hAnsi="宋体" w:eastAsia="宋体" w:cs="宋体"/>
                <w:b w:val="0"/>
              </w:rPr>
              <w:t>-</w:t>
            </w:r>
          </w:p>
        </w:tc>
        <w:tc>
          <w:tcPr>
            <w:tcW w:w="0" w:type="dxa"/>
            <w:vAlign w:val="center"/>
          </w:tcPr>
          <w:p w14:paraId="20FA6214">
            <w:pPr>
              <w:spacing w:line="240" w:lineRule="auto"/>
              <w:jc w:val="right"/>
            </w:pPr>
            <w:r>
              <w:rPr>
                <w:rFonts w:ascii="宋体" w:hAnsi="宋体" w:eastAsia="宋体" w:cs="宋体"/>
                <w:b w:val="0"/>
              </w:rPr>
              <w:t>-</w:t>
            </w:r>
          </w:p>
        </w:tc>
      </w:tr>
      <w:tr w14:paraId="0C3E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A1C003">
            <w:pPr>
              <w:spacing w:line="240" w:lineRule="auto"/>
              <w:jc w:val="left"/>
            </w:pPr>
            <w:r>
              <w:rPr>
                <w:rFonts w:ascii="宋体" w:hAnsi="宋体" w:eastAsia="宋体" w:cs="宋体"/>
                <w:b w:val="0"/>
              </w:rPr>
              <w:t>本期利润</w:t>
            </w:r>
          </w:p>
        </w:tc>
        <w:tc>
          <w:tcPr>
            <w:tcW w:w="0" w:type="dxa"/>
            <w:vAlign w:val="center"/>
          </w:tcPr>
          <w:p w14:paraId="3326AFF6">
            <w:pPr>
              <w:spacing w:line="240" w:lineRule="auto"/>
              <w:jc w:val="right"/>
            </w:pPr>
            <w:r>
              <w:rPr>
                <w:rFonts w:ascii="宋体" w:hAnsi="宋体" w:eastAsia="宋体" w:cs="宋体"/>
                <w:b w:val="0"/>
              </w:rPr>
              <w:t>-945.47</w:t>
            </w:r>
          </w:p>
        </w:tc>
        <w:tc>
          <w:tcPr>
            <w:tcW w:w="0" w:type="dxa"/>
            <w:vAlign w:val="center"/>
          </w:tcPr>
          <w:p w14:paraId="468B5AD3">
            <w:pPr>
              <w:spacing w:line="240" w:lineRule="auto"/>
              <w:jc w:val="right"/>
            </w:pPr>
            <w:r>
              <w:rPr>
                <w:rFonts w:ascii="宋体" w:hAnsi="宋体" w:eastAsia="宋体" w:cs="宋体"/>
                <w:b w:val="0"/>
              </w:rPr>
              <w:t>4,000.81</w:t>
            </w:r>
          </w:p>
        </w:tc>
        <w:tc>
          <w:tcPr>
            <w:tcW w:w="0" w:type="dxa"/>
            <w:vAlign w:val="center"/>
          </w:tcPr>
          <w:p w14:paraId="3E58F400">
            <w:pPr>
              <w:spacing w:line="240" w:lineRule="auto"/>
              <w:jc w:val="right"/>
            </w:pPr>
            <w:r>
              <w:rPr>
                <w:rFonts w:ascii="宋体" w:hAnsi="宋体" w:eastAsia="宋体" w:cs="宋体"/>
                <w:b w:val="0"/>
              </w:rPr>
              <w:t>3,055.34</w:t>
            </w:r>
          </w:p>
        </w:tc>
      </w:tr>
      <w:tr w14:paraId="6D1C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2D55E5">
            <w:pPr>
              <w:spacing w:line="240" w:lineRule="auto"/>
              <w:jc w:val="left"/>
            </w:pPr>
            <w:r>
              <w:rPr>
                <w:rFonts w:ascii="宋体" w:hAnsi="宋体" w:eastAsia="宋体" w:cs="宋体"/>
                <w:b w:val="0"/>
              </w:rPr>
              <w:t>本期基金份额交易产生的变动数</w:t>
            </w:r>
          </w:p>
        </w:tc>
        <w:tc>
          <w:tcPr>
            <w:tcW w:w="0" w:type="dxa"/>
            <w:vAlign w:val="center"/>
          </w:tcPr>
          <w:p w14:paraId="3BEEAC06">
            <w:pPr>
              <w:spacing w:line="240" w:lineRule="auto"/>
              <w:jc w:val="right"/>
            </w:pPr>
            <w:r>
              <w:rPr>
                <w:rFonts w:ascii="宋体" w:hAnsi="宋体" w:eastAsia="宋体" w:cs="宋体"/>
                <w:b w:val="0"/>
              </w:rPr>
              <w:t>454.50</w:t>
            </w:r>
          </w:p>
        </w:tc>
        <w:tc>
          <w:tcPr>
            <w:tcW w:w="0" w:type="dxa"/>
            <w:vAlign w:val="center"/>
          </w:tcPr>
          <w:p w14:paraId="63D0CF92">
            <w:pPr>
              <w:spacing w:line="240" w:lineRule="auto"/>
              <w:jc w:val="right"/>
            </w:pPr>
            <w:r>
              <w:rPr>
                <w:rFonts w:ascii="宋体" w:hAnsi="宋体" w:eastAsia="宋体" w:cs="宋体"/>
                <w:b w:val="0"/>
              </w:rPr>
              <w:t>3,191.02</w:t>
            </w:r>
          </w:p>
        </w:tc>
        <w:tc>
          <w:tcPr>
            <w:tcW w:w="0" w:type="dxa"/>
            <w:vAlign w:val="center"/>
          </w:tcPr>
          <w:p w14:paraId="69DCBE27">
            <w:pPr>
              <w:spacing w:line="240" w:lineRule="auto"/>
              <w:jc w:val="right"/>
            </w:pPr>
            <w:r>
              <w:rPr>
                <w:rFonts w:ascii="宋体" w:hAnsi="宋体" w:eastAsia="宋体" w:cs="宋体"/>
                <w:b w:val="0"/>
              </w:rPr>
              <w:t>3,645.52</w:t>
            </w:r>
          </w:p>
        </w:tc>
      </w:tr>
      <w:tr w14:paraId="1C3C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BDFD10">
            <w:pPr>
              <w:spacing w:line="240" w:lineRule="auto"/>
              <w:jc w:val="left"/>
            </w:pPr>
            <w:r>
              <w:rPr>
                <w:rFonts w:ascii="宋体" w:hAnsi="宋体" w:eastAsia="宋体" w:cs="宋体"/>
                <w:b w:val="0"/>
              </w:rPr>
              <w:t>其中：基金申购款</w:t>
            </w:r>
          </w:p>
        </w:tc>
        <w:tc>
          <w:tcPr>
            <w:tcW w:w="0" w:type="dxa"/>
            <w:vAlign w:val="center"/>
          </w:tcPr>
          <w:p w14:paraId="558C7D3D">
            <w:pPr>
              <w:spacing w:line="240" w:lineRule="auto"/>
              <w:jc w:val="right"/>
            </w:pPr>
            <w:r>
              <w:rPr>
                <w:rFonts w:ascii="宋体" w:hAnsi="宋体" w:eastAsia="宋体" w:cs="宋体"/>
                <w:b w:val="0"/>
              </w:rPr>
              <w:t>632.45</w:t>
            </w:r>
          </w:p>
        </w:tc>
        <w:tc>
          <w:tcPr>
            <w:tcW w:w="0" w:type="dxa"/>
            <w:vAlign w:val="center"/>
          </w:tcPr>
          <w:p w14:paraId="3C59C721">
            <w:pPr>
              <w:spacing w:line="240" w:lineRule="auto"/>
              <w:jc w:val="right"/>
            </w:pPr>
            <w:r>
              <w:rPr>
                <w:rFonts w:ascii="宋体" w:hAnsi="宋体" w:eastAsia="宋体" w:cs="宋体"/>
                <w:b w:val="0"/>
              </w:rPr>
              <w:t>3,917.82</w:t>
            </w:r>
          </w:p>
        </w:tc>
        <w:tc>
          <w:tcPr>
            <w:tcW w:w="0" w:type="dxa"/>
            <w:vAlign w:val="center"/>
          </w:tcPr>
          <w:p w14:paraId="43762877">
            <w:pPr>
              <w:spacing w:line="240" w:lineRule="auto"/>
              <w:jc w:val="right"/>
            </w:pPr>
            <w:r>
              <w:rPr>
                <w:rFonts w:ascii="宋体" w:hAnsi="宋体" w:eastAsia="宋体" w:cs="宋体"/>
                <w:b w:val="0"/>
              </w:rPr>
              <w:t>4,550.27</w:t>
            </w:r>
          </w:p>
        </w:tc>
      </w:tr>
      <w:tr w14:paraId="3762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687720">
            <w:pPr>
              <w:spacing w:line="240" w:lineRule="auto"/>
              <w:jc w:val="left"/>
            </w:pPr>
            <w:r>
              <w:rPr>
                <w:rFonts w:ascii="宋体" w:hAnsi="宋体" w:eastAsia="宋体" w:cs="宋体"/>
                <w:b w:val="0"/>
              </w:rPr>
              <w:t xml:space="preserve">      基金赎回款</w:t>
            </w:r>
          </w:p>
        </w:tc>
        <w:tc>
          <w:tcPr>
            <w:tcW w:w="0" w:type="dxa"/>
            <w:vAlign w:val="center"/>
          </w:tcPr>
          <w:p w14:paraId="6C554574">
            <w:pPr>
              <w:spacing w:line="240" w:lineRule="auto"/>
              <w:jc w:val="right"/>
            </w:pPr>
            <w:r>
              <w:rPr>
                <w:rFonts w:ascii="宋体" w:hAnsi="宋体" w:eastAsia="宋体" w:cs="宋体"/>
                <w:b w:val="0"/>
              </w:rPr>
              <w:t>-177.95</w:t>
            </w:r>
          </w:p>
        </w:tc>
        <w:tc>
          <w:tcPr>
            <w:tcW w:w="0" w:type="dxa"/>
            <w:vAlign w:val="center"/>
          </w:tcPr>
          <w:p w14:paraId="024DDB65">
            <w:pPr>
              <w:spacing w:line="240" w:lineRule="auto"/>
              <w:jc w:val="right"/>
            </w:pPr>
            <w:r>
              <w:rPr>
                <w:rFonts w:ascii="宋体" w:hAnsi="宋体" w:eastAsia="宋体" w:cs="宋体"/>
                <w:b w:val="0"/>
              </w:rPr>
              <w:t>-726.80</w:t>
            </w:r>
          </w:p>
        </w:tc>
        <w:tc>
          <w:tcPr>
            <w:tcW w:w="0" w:type="dxa"/>
            <w:vAlign w:val="center"/>
          </w:tcPr>
          <w:p w14:paraId="3C374679">
            <w:pPr>
              <w:spacing w:line="240" w:lineRule="auto"/>
              <w:jc w:val="right"/>
            </w:pPr>
            <w:r>
              <w:rPr>
                <w:rFonts w:ascii="宋体" w:hAnsi="宋体" w:eastAsia="宋体" w:cs="宋体"/>
                <w:b w:val="0"/>
              </w:rPr>
              <w:t>-904.75</w:t>
            </w:r>
          </w:p>
        </w:tc>
      </w:tr>
      <w:tr w14:paraId="4526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2EC6AC">
            <w:pPr>
              <w:spacing w:line="240" w:lineRule="auto"/>
              <w:jc w:val="left"/>
            </w:pPr>
            <w:r>
              <w:rPr>
                <w:rFonts w:ascii="宋体" w:hAnsi="宋体" w:eastAsia="宋体" w:cs="宋体"/>
                <w:b w:val="0"/>
              </w:rPr>
              <w:t>本期已分配利润</w:t>
            </w:r>
          </w:p>
        </w:tc>
        <w:tc>
          <w:tcPr>
            <w:tcW w:w="0" w:type="dxa"/>
            <w:vAlign w:val="center"/>
          </w:tcPr>
          <w:p w14:paraId="3D4EB793">
            <w:pPr>
              <w:spacing w:line="240" w:lineRule="auto"/>
              <w:jc w:val="right"/>
            </w:pPr>
            <w:r>
              <w:rPr>
                <w:rFonts w:ascii="宋体" w:hAnsi="宋体" w:eastAsia="宋体" w:cs="宋体"/>
                <w:b w:val="0"/>
              </w:rPr>
              <w:t>-</w:t>
            </w:r>
          </w:p>
        </w:tc>
        <w:tc>
          <w:tcPr>
            <w:tcW w:w="0" w:type="dxa"/>
            <w:vAlign w:val="center"/>
          </w:tcPr>
          <w:p w14:paraId="4FE20AE9">
            <w:pPr>
              <w:spacing w:line="240" w:lineRule="auto"/>
              <w:jc w:val="right"/>
            </w:pPr>
            <w:r>
              <w:rPr>
                <w:rFonts w:ascii="宋体" w:hAnsi="宋体" w:eastAsia="宋体" w:cs="宋体"/>
                <w:b w:val="0"/>
              </w:rPr>
              <w:t>-</w:t>
            </w:r>
          </w:p>
        </w:tc>
        <w:tc>
          <w:tcPr>
            <w:tcW w:w="0" w:type="dxa"/>
            <w:vAlign w:val="center"/>
          </w:tcPr>
          <w:p w14:paraId="7D7B8CB0">
            <w:pPr>
              <w:spacing w:line="240" w:lineRule="auto"/>
              <w:jc w:val="right"/>
            </w:pPr>
            <w:r>
              <w:rPr>
                <w:rFonts w:ascii="宋体" w:hAnsi="宋体" w:eastAsia="宋体" w:cs="宋体"/>
                <w:b w:val="0"/>
              </w:rPr>
              <w:t>-</w:t>
            </w:r>
          </w:p>
        </w:tc>
      </w:tr>
      <w:tr w14:paraId="72E4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46568A">
            <w:pPr>
              <w:spacing w:line="240" w:lineRule="auto"/>
              <w:jc w:val="left"/>
            </w:pPr>
            <w:r>
              <w:rPr>
                <w:rFonts w:ascii="宋体" w:hAnsi="宋体" w:eastAsia="宋体" w:cs="宋体"/>
                <w:b w:val="0"/>
              </w:rPr>
              <w:t>本期末</w:t>
            </w:r>
          </w:p>
        </w:tc>
        <w:tc>
          <w:tcPr>
            <w:tcW w:w="0" w:type="dxa"/>
            <w:vAlign w:val="center"/>
          </w:tcPr>
          <w:p w14:paraId="1BF06D87">
            <w:pPr>
              <w:spacing w:line="240" w:lineRule="auto"/>
              <w:jc w:val="right"/>
            </w:pPr>
            <w:r>
              <w:rPr>
                <w:rFonts w:ascii="宋体" w:hAnsi="宋体" w:eastAsia="宋体" w:cs="宋体"/>
                <w:b w:val="0"/>
              </w:rPr>
              <w:t>-490.97</w:t>
            </w:r>
          </w:p>
        </w:tc>
        <w:tc>
          <w:tcPr>
            <w:tcW w:w="0" w:type="dxa"/>
            <w:vAlign w:val="center"/>
          </w:tcPr>
          <w:p w14:paraId="222F7E83">
            <w:pPr>
              <w:spacing w:line="240" w:lineRule="auto"/>
              <w:jc w:val="right"/>
            </w:pPr>
            <w:r>
              <w:rPr>
                <w:rFonts w:ascii="宋体" w:hAnsi="宋体" w:eastAsia="宋体" w:cs="宋体"/>
                <w:b w:val="0"/>
              </w:rPr>
              <w:t>7,191.83</w:t>
            </w:r>
          </w:p>
        </w:tc>
        <w:tc>
          <w:tcPr>
            <w:tcW w:w="0" w:type="dxa"/>
            <w:vAlign w:val="center"/>
          </w:tcPr>
          <w:p w14:paraId="09C2E82A">
            <w:pPr>
              <w:spacing w:line="240" w:lineRule="auto"/>
              <w:jc w:val="right"/>
            </w:pPr>
            <w:r>
              <w:rPr>
                <w:rFonts w:ascii="宋体" w:hAnsi="宋体" w:eastAsia="宋体" w:cs="宋体"/>
                <w:b w:val="0"/>
              </w:rPr>
              <w:t>6,700.86</w:t>
            </w:r>
          </w:p>
        </w:tc>
      </w:tr>
    </w:tbl>
    <w:p w14:paraId="489F1D51"/>
    <w:p w14:paraId="771FBCF3">
      <w:pPr>
        <w:pStyle w:val="58"/>
      </w:pPr>
      <w:r>
        <w:rPr>
          <w:rFonts w:ascii="宋体" w:hAnsi="宋体" w:eastAsia="宋体" w:cs="宋体"/>
          <w:b/>
        </w:rPr>
        <w:t>6.4.7.9 存款利息收入</w:t>
      </w:r>
    </w:p>
    <w:p w14:paraId="08AE037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0037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45D24C74">
            <w:pPr>
              <w:spacing w:line="240" w:lineRule="auto"/>
              <w:jc w:val="center"/>
            </w:pPr>
            <w:r>
              <w:rPr>
                <w:rFonts w:ascii="宋体" w:hAnsi="宋体" w:eastAsia="宋体" w:cs="宋体"/>
                <w:b w:val="0"/>
              </w:rPr>
              <w:t>项目</w:t>
            </w:r>
          </w:p>
        </w:tc>
        <w:tc>
          <w:tcPr>
            <w:tcW w:w="3077" w:type="pct"/>
            <w:shd w:val="clear" w:color="auto" w:fill="D9D9D9"/>
            <w:vAlign w:val="center"/>
          </w:tcPr>
          <w:p w14:paraId="2B707B86">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00C8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EDBABF">
            <w:pPr>
              <w:spacing w:line="240" w:lineRule="auto"/>
              <w:jc w:val="left"/>
            </w:pPr>
            <w:r>
              <w:rPr>
                <w:rFonts w:ascii="宋体" w:hAnsi="宋体" w:eastAsia="宋体" w:cs="宋体"/>
                <w:b w:val="0"/>
              </w:rPr>
              <w:t>活期存款利息收入</w:t>
            </w:r>
          </w:p>
        </w:tc>
        <w:tc>
          <w:tcPr>
            <w:tcW w:w="0" w:type="dxa"/>
            <w:vAlign w:val="center"/>
          </w:tcPr>
          <w:p w14:paraId="597A56F7">
            <w:pPr>
              <w:spacing w:line="240" w:lineRule="auto"/>
              <w:jc w:val="right"/>
            </w:pPr>
            <w:r>
              <w:rPr>
                <w:rFonts w:ascii="宋体" w:hAnsi="宋体" w:eastAsia="宋体" w:cs="宋体"/>
                <w:b w:val="0"/>
              </w:rPr>
              <w:t>110.95</w:t>
            </w:r>
          </w:p>
        </w:tc>
      </w:tr>
      <w:tr w14:paraId="6174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2122EA">
            <w:pPr>
              <w:spacing w:line="240" w:lineRule="auto"/>
              <w:jc w:val="left"/>
            </w:pPr>
            <w:r>
              <w:rPr>
                <w:rFonts w:ascii="宋体" w:hAnsi="宋体" w:eastAsia="宋体" w:cs="宋体"/>
                <w:b w:val="0"/>
              </w:rPr>
              <w:t>定期存款利息收入</w:t>
            </w:r>
          </w:p>
        </w:tc>
        <w:tc>
          <w:tcPr>
            <w:tcW w:w="0" w:type="dxa"/>
            <w:vAlign w:val="center"/>
          </w:tcPr>
          <w:p w14:paraId="1ADF4932">
            <w:pPr>
              <w:spacing w:line="240" w:lineRule="auto"/>
              <w:jc w:val="right"/>
            </w:pPr>
            <w:r>
              <w:rPr>
                <w:rFonts w:ascii="宋体" w:hAnsi="宋体" w:eastAsia="宋体" w:cs="宋体"/>
                <w:b w:val="0"/>
              </w:rPr>
              <w:t>-</w:t>
            </w:r>
          </w:p>
        </w:tc>
      </w:tr>
      <w:tr w14:paraId="1BAF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09B6CF">
            <w:pPr>
              <w:spacing w:line="240" w:lineRule="auto"/>
              <w:jc w:val="left"/>
            </w:pPr>
            <w:r>
              <w:rPr>
                <w:rFonts w:ascii="宋体" w:hAnsi="宋体" w:eastAsia="宋体" w:cs="宋体"/>
                <w:b w:val="0"/>
              </w:rPr>
              <w:t>其他存款利息收入</w:t>
            </w:r>
          </w:p>
        </w:tc>
        <w:tc>
          <w:tcPr>
            <w:tcW w:w="0" w:type="dxa"/>
            <w:vAlign w:val="center"/>
          </w:tcPr>
          <w:p w14:paraId="7C1EC22E">
            <w:pPr>
              <w:spacing w:line="240" w:lineRule="auto"/>
              <w:jc w:val="right"/>
            </w:pPr>
            <w:r>
              <w:rPr>
                <w:rFonts w:ascii="宋体" w:hAnsi="宋体" w:eastAsia="宋体" w:cs="宋体"/>
                <w:b w:val="0"/>
              </w:rPr>
              <w:t>77.26</w:t>
            </w:r>
          </w:p>
        </w:tc>
      </w:tr>
      <w:tr w14:paraId="69AF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88CCD2">
            <w:pPr>
              <w:spacing w:line="240" w:lineRule="auto"/>
              <w:jc w:val="left"/>
            </w:pPr>
            <w:r>
              <w:rPr>
                <w:rFonts w:ascii="宋体" w:hAnsi="宋体" w:eastAsia="宋体" w:cs="宋体"/>
                <w:b w:val="0"/>
              </w:rPr>
              <w:t>结算备付金利息收入</w:t>
            </w:r>
          </w:p>
        </w:tc>
        <w:tc>
          <w:tcPr>
            <w:tcW w:w="0" w:type="dxa"/>
            <w:vAlign w:val="center"/>
          </w:tcPr>
          <w:p w14:paraId="1EBC42DF">
            <w:pPr>
              <w:spacing w:line="240" w:lineRule="auto"/>
              <w:jc w:val="right"/>
            </w:pPr>
            <w:r>
              <w:rPr>
                <w:rFonts w:ascii="宋体" w:hAnsi="宋体" w:eastAsia="宋体" w:cs="宋体"/>
                <w:b w:val="0"/>
              </w:rPr>
              <w:t>-</w:t>
            </w:r>
          </w:p>
        </w:tc>
      </w:tr>
      <w:tr w14:paraId="512A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D9C65A">
            <w:pPr>
              <w:spacing w:line="240" w:lineRule="auto"/>
              <w:jc w:val="left"/>
            </w:pPr>
            <w:r>
              <w:rPr>
                <w:rFonts w:ascii="宋体" w:hAnsi="宋体" w:eastAsia="宋体" w:cs="宋体"/>
                <w:b w:val="0"/>
              </w:rPr>
              <w:t>其他</w:t>
            </w:r>
          </w:p>
        </w:tc>
        <w:tc>
          <w:tcPr>
            <w:tcW w:w="0" w:type="dxa"/>
            <w:vAlign w:val="center"/>
          </w:tcPr>
          <w:p w14:paraId="57E7D7A5">
            <w:pPr>
              <w:spacing w:line="240" w:lineRule="auto"/>
              <w:jc w:val="right"/>
            </w:pPr>
            <w:r>
              <w:rPr>
                <w:rFonts w:ascii="宋体" w:hAnsi="宋体" w:eastAsia="宋体" w:cs="宋体"/>
                <w:b w:val="0"/>
              </w:rPr>
              <w:t>-</w:t>
            </w:r>
          </w:p>
        </w:tc>
      </w:tr>
      <w:tr w14:paraId="0B1B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CBE74F">
            <w:pPr>
              <w:spacing w:line="240" w:lineRule="auto"/>
              <w:jc w:val="center"/>
            </w:pPr>
            <w:r>
              <w:rPr>
                <w:rFonts w:ascii="宋体" w:hAnsi="宋体" w:eastAsia="宋体" w:cs="宋体"/>
                <w:b w:val="0"/>
              </w:rPr>
              <w:t>合计</w:t>
            </w:r>
          </w:p>
        </w:tc>
        <w:tc>
          <w:tcPr>
            <w:tcW w:w="0" w:type="dxa"/>
            <w:vAlign w:val="center"/>
          </w:tcPr>
          <w:p w14:paraId="71BA2130">
            <w:pPr>
              <w:spacing w:line="240" w:lineRule="auto"/>
              <w:jc w:val="right"/>
            </w:pPr>
            <w:r>
              <w:rPr>
                <w:rFonts w:ascii="宋体" w:hAnsi="宋体" w:eastAsia="宋体" w:cs="宋体"/>
                <w:b w:val="0"/>
              </w:rPr>
              <w:t>188.21</w:t>
            </w:r>
          </w:p>
        </w:tc>
      </w:tr>
    </w:tbl>
    <w:p w14:paraId="1D9BA287">
      <w:r>
        <w:rPr>
          <w:rFonts w:ascii="宋体" w:hAnsi="宋体" w:eastAsia="宋体" w:cs="宋体"/>
          <w:b w:val="0"/>
        </w:rPr>
        <w:t>注：其他存款利息收入为存放在证券经纪商基金专用证券账户的证券交易结算资金产生的利息收入。</w:t>
      </w:r>
    </w:p>
    <w:p w14:paraId="7E06AA05"/>
    <w:p w14:paraId="53F647B6">
      <w:pPr>
        <w:pStyle w:val="58"/>
      </w:pPr>
      <w:r>
        <w:rPr>
          <w:rFonts w:ascii="宋体" w:hAnsi="宋体" w:eastAsia="宋体" w:cs="宋体"/>
          <w:b/>
        </w:rPr>
        <w:t>6.4.7.10 股票投资收益——买卖股票差价收入</w:t>
      </w:r>
    </w:p>
    <w:p w14:paraId="4B7258A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2209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2A4041EB">
            <w:pPr>
              <w:spacing w:line="240" w:lineRule="auto"/>
              <w:jc w:val="center"/>
            </w:pPr>
            <w:r>
              <w:rPr>
                <w:rFonts w:ascii="宋体" w:hAnsi="宋体" w:eastAsia="宋体" w:cs="宋体"/>
                <w:b w:val="0"/>
              </w:rPr>
              <w:t>项目</w:t>
            </w:r>
          </w:p>
        </w:tc>
        <w:tc>
          <w:tcPr>
            <w:tcW w:w="3077" w:type="pct"/>
            <w:shd w:val="clear" w:color="auto" w:fill="D9D9D9"/>
            <w:vAlign w:val="center"/>
          </w:tcPr>
          <w:p w14:paraId="4FC9B5CD">
            <w:pPr>
              <w:spacing w:line="240" w:lineRule="auto"/>
              <w:jc w:val="center"/>
            </w:pPr>
            <w:r>
              <w:rPr>
                <w:rFonts w:ascii="宋体" w:hAnsi="宋体" w:eastAsia="宋体" w:cs="宋体"/>
                <w:b w:val="0"/>
              </w:rPr>
              <w:t>本期2026年06月02日（基金合同生效日）至2026年06月30日</w:t>
            </w:r>
          </w:p>
        </w:tc>
      </w:tr>
      <w:tr w14:paraId="6209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536D02">
            <w:pPr>
              <w:spacing w:line="240" w:lineRule="auto"/>
              <w:jc w:val="left"/>
            </w:pPr>
            <w:r>
              <w:rPr>
                <w:rFonts w:ascii="宋体" w:hAnsi="宋体" w:eastAsia="宋体" w:cs="宋体"/>
                <w:b w:val="0"/>
              </w:rPr>
              <w:t>卖出股票成交总额</w:t>
            </w:r>
          </w:p>
        </w:tc>
        <w:tc>
          <w:tcPr>
            <w:tcW w:w="0" w:type="dxa"/>
            <w:vAlign w:val="center"/>
          </w:tcPr>
          <w:p w14:paraId="678778F3">
            <w:pPr>
              <w:spacing w:line="240" w:lineRule="auto"/>
              <w:jc w:val="right"/>
            </w:pPr>
            <w:r>
              <w:rPr>
                <w:rFonts w:ascii="宋体" w:hAnsi="宋体" w:eastAsia="宋体" w:cs="宋体"/>
                <w:b w:val="0"/>
              </w:rPr>
              <w:t>1,026,874.00</w:t>
            </w:r>
          </w:p>
        </w:tc>
      </w:tr>
      <w:tr w14:paraId="43C8F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BF51AF">
            <w:pPr>
              <w:spacing w:line="240" w:lineRule="auto"/>
              <w:jc w:val="left"/>
            </w:pPr>
            <w:r>
              <w:rPr>
                <w:rFonts w:ascii="宋体" w:hAnsi="宋体" w:eastAsia="宋体" w:cs="宋体"/>
                <w:b w:val="0"/>
              </w:rPr>
              <w:t>减：卖出股票成本总额</w:t>
            </w:r>
          </w:p>
        </w:tc>
        <w:tc>
          <w:tcPr>
            <w:tcW w:w="0" w:type="dxa"/>
            <w:vAlign w:val="center"/>
          </w:tcPr>
          <w:p w14:paraId="1D934FC2">
            <w:pPr>
              <w:spacing w:line="240" w:lineRule="auto"/>
              <w:jc w:val="right"/>
            </w:pPr>
            <w:r>
              <w:rPr>
                <w:rFonts w:ascii="宋体" w:hAnsi="宋体" w:eastAsia="宋体" w:cs="宋体"/>
                <w:b w:val="0"/>
              </w:rPr>
              <w:t>1,033,860.28</w:t>
            </w:r>
          </w:p>
        </w:tc>
      </w:tr>
      <w:tr w14:paraId="3615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A16E20">
            <w:pPr>
              <w:spacing w:line="240" w:lineRule="auto"/>
              <w:jc w:val="left"/>
            </w:pPr>
            <w:r>
              <w:rPr>
                <w:rFonts w:ascii="宋体" w:hAnsi="宋体" w:eastAsia="宋体" w:cs="宋体"/>
                <w:b w:val="0"/>
              </w:rPr>
              <w:t>减：交易费用</w:t>
            </w:r>
          </w:p>
        </w:tc>
        <w:tc>
          <w:tcPr>
            <w:tcW w:w="0" w:type="dxa"/>
            <w:vAlign w:val="center"/>
          </w:tcPr>
          <w:p w14:paraId="12DCAF72">
            <w:pPr>
              <w:spacing w:line="240" w:lineRule="auto"/>
              <w:jc w:val="right"/>
            </w:pPr>
            <w:r>
              <w:rPr>
                <w:rFonts w:ascii="宋体" w:hAnsi="宋体" w:eastAsia="宋体" w:cs="宋体"/>
                <w:b w:val="0"/>
              </w:rPr>
              <w:t>2,409.08</w:t>
            </w:r>
          </w:p>
        </w:tc>
      </w:tr>
      <w:tr w14:paraId="3B79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073A7F">
            <w:pPr>
              <w:spacing w:line="240" w:lineRule="auto"/>
              <w:jc w:val="left"/>
            </w:pPr>
            <w:r>
              <w:rPr>
                <w:rFonts w:ascii="宋体" w:hAnsi="宋体" w:eastAsia="宋体" w:cs="宋体"/>
                <w:b w:val="0"/>
              </w:rPr>
              <w:t>买卖股票差价收入</w:t>
            </w:r>
          </w:p>
        </w:tc>
        <w:tc>
          <w:tcPr>
            <w:tcW w:w="0" w:type="dxa"/>
            <w:vAlign w:val="center"/>
          </w:tcPr>
          <w:p w14:paraId="046509A0">
            <w:pPr>
              <w:spacing w:line="240" w:lineRule="auto"/>
              <w:jc w:val="right"/>
            </w:pPr>
            <w:r>
              <w:rPr>
                <w:rFonts w:ascii="宋体" w:hAnsi="宋体" w:eastAsia="宋体" w:cs="宋体"/>
                <w:b w:val="0"/>
              </w:rPr>
              <w:t>-9,395.36</w:t>
            </w:r>
          </w:p>
        </w:tc>
      </w:tr>
    </w:tbl>
    <w:p w14:paraId="2D5909A0"/>
    <w:p w14:paraId="5A2A185E">
      <w:pPr>
        <w:pStyle w:val="58"/>
      </w:pPr>
      <w:r>
        <w:rPr>
          <w:rFonts w:ascii="宋体" w:hAnsi="宋体" w:eastAsia="宋体" w:cs="宋体"/>
          <w:b/>
        </w:rPr>
        <w:t>6.4.7.11 基金投资收益</w:t>
      </w:r>
    </w:p>
    <w:p w14:paraId="25376B4A">
      <w:r>
        <w:rPr>
          <w:rFonts w:ascii="宋体" w:hAnsi="宋体" w:eastAsia="宋体" w:cs="宋体"/>
          <w:b w:val="0"/>
        </w:rPr>
        <w:t xml:space="preserve">    本基金本报告期无基金投资收益。</w:t>
      </w:r>
    </w:p>
    <w:p w14:paraId="00049EED"/>
    <w:p w14:paraId="6FE686A8">
      <w:pPr>
        <w:pStyle w:val="58"/>
      </w:pPr>
      <w:r>
        <w:rPr>
          <w:rFonts w:ascii="宋体" w:hAnsi="宋体" w:eastAsia="宋体" w:cs="宋体"/>
          <w:b/>
        </w:rPr>
        <w:t>6.4.7.12 债券投资收益</w:t>
      </w:r>
    </w:p>
    <w:p w14:paraId="31BFFE99">
      <w:pPr>
        <w:pStyle w:val="58"/>
      </w:pPr>
      <w:r>
        <w:rPr>
          <w:rFonts w:ascii="宋体" w:hAnsi="宋体" w:eastAsia="宋体" w:cs="宋体"/>
          <w:b/>
        </w:rPr>
        <w:t>6.4.7.12.1 债券投资收益项目构成</w:t>
      </w:r>
    </w:p>
    <w:p w14:paraId="3B530B3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8"/>
        <w:gridCol w:w="4888"/>
      </w:tblGrid>
      <w:tr w14:paraId="24CE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shd w:val="clear" w:color="auto" w:fill="D9D9D9"/>
            <w:vAlign w:val="center"/>
          </w:tcPr>
          <w:p w14:paraId="2631CEA6">
            <w:pPr>
              <w:spacing w:line="240" w:lineRule="auto"/>
              <w:jc w:val="center"/>
            </w:pPr>
            <w:r>
              <w:rPr>
                <w:rFonts w:ascii="宋体" w:hAnsi="宋体" w:eastAsia="宋体" w:cs="宋体"/>
                <w:b w:val="0"/>
              </w:rPr>
              <w:t>项目</w:t>
            </w:r>
          </w:p>
        </w:tc>
        <w:tc>
          <w:tcPr>
            <w:tcW w:w="2500" w:type="pct"/>
            <w:shd w:val="clear" w:color="auto" w:fill="D9D9D9"/>
            <w:vAlign w:val="center"/>
          </w:tcPr>
          <w:p w14:paraId="19E6C363">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25BA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BCA3B4">
            <w:pPr>
              <w:spacing w:line="240" w:lineRule="auto"/>
              <w:jc w:val="left"/>
            </w:pPr>
            <w:r>
              <w:rPr>
                <w:rFonts w:ascii="宋体" w:hAnsi="宋体" w:eastAsia="宋体" w:cs="宋体"/>
                <w:b w:val="0"/>
              </w:rPr>
              <w:t>债券投资收益——利息收入</w:t>
            </w:r>
          </w:p>
        </w:tc>
        <w:tc>
          <w:tcPr>
            <w:tcW w:w="0" w:type="dxa"/>
            <w:vAlign w:val="center"/>
          </w:tcPr>
          <w:p w14:paraId="4AA2724F">
            <w:pPr>
              <w:spacing w:line="240" w:lineRule="auto"/>
              <w:jc w:val="right"/>
            </w:pPr>
            <w:r>
              <w:rPr>
                <w:rFonts w:ascii="宋体" w:hAnsi="宋体" w:eastAsia="宋体" w:cs="宋体"/>
                <w:b w:val="0"/>
              </w:rPr>
              <w:t>11,600.38</w:t>
            </w:r>
          </w:p>
        </w:tc>
      </w:tr>
      <w:tr w14:paraId="53BD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AE70F0">
            <w:pPr>
              <w:spacing w:line="240" w:lineRule="auto"/>
              <w:jc w:val="left"/>
            </w:pPr>
            <w:r>
              <w:rPr>
                <w:rFonts w:ascii="宋体" w:hAnsi="宋体" w:eastAsia="宋体" w:cs="宋体"/>
                <w:b w:val="0"/>
              </w:rPr>
              <w:t>债券投资收益——买卖债券（债转股及债券到期兑付）差价收入</w:t>
            </w:r>
          </w:p>
        </w:tc>
        <w:tc>
          <w:tcPr>
            <w:tcW w:w="0" w:type="dxa"/>
            <w:vAlign w:val="center"/>
          </w:tcPr>
          <w:p w14:paraId="46DF61D6">
            <w:pPr>
              <w:spacing w:line="240" w:lineRule="auto"/>
              <w:jc w:val="right"/>
            </w:pPr>
            <w:r>
              <w:rPr>
                <w:rFonts w:ascii="宋体" w:hAnsi="宋体" w:eastAsia="宋体" w:cs="宋体"/>
                <w:b w:val="0"/>
              </w:rPr>
              <w:t>-216.98</w:t>
            </w:r>
          </w:p>
        </w:tc>
      </w:tr>
      <w:tr w14:paraId="1A20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C32DC5">
            <w:pPr>
              <w:spacing w:line="240" w:lineRule="auto"/>
              <w:jc w:val="left"/>
            </w:pPr>
            <w:r>
              <w:rPr>
                <w:rFonts w:ascii="宋体" w:hAnsi="宋体" w:eastAsia="宋体" w:cs="宋体"/>
                <w:b w:val="0"/>
              </w:rPr>
              <w:t>债券投资收益——赎回差价收入</w:t>
            </w:r>
          </w:p>
        </w:tc>
        <w:tc>
          <w:tcPr>
            <w:tcW w:w="0" w:type="dxa"/>
            <w:vAlign w:val="center"/>
          </w:tcPr>
          <w:p w14:paraId="69E1423C">
            <w:pPr>
              <w:spacing w:line="240" w:lineRule="auto"/>
              <w:jc w:val="right"/>
            </w:pPr>
            <w:r>
              <w:rPr>
                <w:rFonts w:ascii="宋体" w:hAnsi="宋体" w:eastAsia="宋体" w:cs="宋体"/>
                <w:b w:val="0"/>
              </w:rPr>
              <w:t>-</w:t>
            </w:r>
          </w:p>
        </w:tc>
      </w:tr>
      <w:tr w14:paraId="669D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EA920A">
            <w:pPr>
              <w:spacing w:line="240" w:lineRule="auto"/>
              <w:jc w:val="left"/>
            </w:pPr>
            <w:r>
              <w:rPr>
                <w:rFonts w:ascii="宋体" w:hAnsi="宋体" w:eastAsia="宋体" w:cs="宋体"/>
                <w:b w:val="0"/>
              </w:rPr>
              <w:t>债券投资收益——申购差价收入</w:t>
            </w:r>
          </w:p>
        </w:tc>
        <w:tc>
          <w:tcPr>
            <w:tcW w:w="0" w:type="dxa"/>
            <w:vAlign w:val="center"/>
          </w:tcPr>
          <w:p w14:paraId="479A6059">
            <w:pPr>
              <w:spacing w:line="240" w:lineRule="auto"/>
              <w:jc w:val="right"/>
            </w:pPr>
            <w:r>
              <w:rPr>
                <w:rFonts w:ascii="宋体" w:hAnsi="宋体" w:eastAsia="宋体" w:cs="宋体"/>
                <w:b w:val="0"/>
              </w:rPr>
              <w:t>-</w:t>
            </w:r>
          </w:p>
        </w:tc>
      </w:tr>
      <w:tr w14:paraId="3F50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CD0184">
            <w:pPr>
              <w:spacing w:line="240" w:lineRule="auto"/>
              <w:jc w:val="left"/>
            </w:pPr>
            <w:r>
              <w:rPr>
                <w:rFonts w:ascii="宋体" w:hAnsi="宋体" w:eastAsia="宋体" w:cs="宋体"/>
                <w:b w:val="0"/>
              </w:rPr>
              <w:t>合计</w:t>
            </w:r>
          </w:p>
        </w:tc>
        <w:tc>
          <w:tcPr>
            <w:tcW w:w="0" w:type="dxa"/>
            <w:vAlign w:val="center"/>
          </w:tcPr>
          <w:p w14:paraId="31A3BF75">
            <w:pPr>
              <w:spacing w:line="240" w:lineRule="auto"/>
              <w:jc w:val="right"/>
            </w:pPr>
            <w:r>
              <w:rPr>
                <w:rFonts w:ascii="宋体" w:hAnsi="宋体" w:eastAsia="宋体" w:cs="宋体"/>
                <w:b w:val="0"/>
              </w:rPr>
              <w:t>11,383.40</w:t>
            </w:r>
          </w:p>
        </w:tc>
      </w:tr>
    </w:tbl>
    <w:p w14:paraId="2BCC6FFB"/>
    <w:p w14:paraId="2403ABAA">
      <w:pPr>
        <w:pStyle w:val="58"/>
      </w:pPr>
      <w:r>
        <w:rPr>
          <w:rFonts w:ascii="宋体" w:hAnsi="宋体" w:eastAsia="宋体" w:cs="宋体"/>
          <w:b/>
        </w:rPr>
        <w:t>6.4.7.12.2 债券投资收益——买卖债券差价收入</w:t>
      </w:r>
    </w:p>
    <w:p w14:paraId="6B9EC1A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6"/>
        <w:gridCol w:w="3980"/>
      </w:tblGrid>
      <w:tr w14:paraId="6F15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48085402">
            <w:pPr>
              <w:spacing w:line="240" w:lineRule="auto"/>
              <w:jc w:val="center"/>
            </w:pPr>
            <w:r>
              <w:rPr>
                <w:rFonts w:ascii="宋体" w:hAnsi="宋体" w:eastAsia="宋体" w:cs="宋体"/>
                <w:b w:val="0"/>
              </w:rPr>
              <w:t>项目</w:t>
            </w:r>
          </w:p>
        </w:tc>
        <w:tc>
          <w:tcPr>
            <w:tcW w:w="1500" w:type="pct"/>
            <w:shd w:val="clear" w:color="auto" w:fill="D9D9D9"/>
            <w:vAlign w:val="center"/>
          </w:tcPr>
          <w:p w14:paraId="47EEC781">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5E56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354807">
            <w:pPr>
              <w:spacing w:line="240" w:lineRule="auto"/>
              <w:jc w:val="left"/>
            </w:pPr>
            <w:r>
              <w:rPr>
                <w:rFonts w:ascii="宋体" w:hAnsi="宋体" w:eastAsia="宋体" w:cs="宋体"/>
                <w:b w:val="0"/>
              </w:rPr>
              <w:t>卖出债券（债转股及债券到期兑付）成交总额</w:t>
            </w:r>
          </w:p>
        </w:tc>
        <w:tc>
          <w:tcPr>
            <w:tcW w:w="0" w:type="dxa"/>
            <w:vAlign w:val="center"/>
          </w:tcPr>
          <w:p w14:paraId="10DCB345">
            <w:pPr>
              <w:spacing w:line="240" w:lineRule="auto"/>
              <w:jc w:val="right"/>
            </w:pPr>
            <w:r>
              <w:rPr>
                <w:rFonts w:ascii="宋体" w:hAnsi="宋体" w:eastAsia="宋体" w:cs="宋体"/>
                <w:b w:val="0"/>
              </w:rPr>
              <w:t>2,426,491.57</w:t>
            </w:r>
          </w:p>
        </w:tc>
      </w:tr>
      <w:tr w14:paraId="2839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16A300">
            <w:pPr>
              <w:spacing w:line="240" w:lineRule="auto"/>
              <w:jc w:val="left"/>
            </w:pPr>
            <w:r>
              <w:rPr>
                <w:rFonts w:ascii="宋体" w:hAnsi="宋体" w:eastAsia="宋体" w:cs="宋体"/>
                <w:b w:val="0"/>
              </w:rPr>
              <w:t>减：卖出债券（债转股及债券到期兑付）成本总额</w:t>
            </w:r>
          </w:p>
        </w:tc>
        <w:tc>
          <w:tcPr>
            <w:tcW w:w="0" w:type="dxa"/>
            <w:vAlign w:val="center"/>
          </w:tcPr>
          <w:p w14:paraId="6D823932">
            <w:pPr>
              <w:spacing w:line="240" w:lineRule="auto"/>
              <w:jc w:val="right"/>
            </w:pPr>
            <w:r>
              <w:rPr>
                <w:rFonts w:ascii="宋体" w:hAnsi="宋体" w:eastAsia="宋体" w:cs="宋体"/>
                <w:b w:val="0"/>
              </w:rPr>
              <w:t>2,402,121.00</w:t>
            </w:r>
          </w:p>
        </w:tc>
      </w:tr>
      <w:tr w14:paraId="0371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56837C">
            <w:pPr>
              <w:spacing w:line="240" w:lineRule="auto"/>
              <w:jc w:val="left"/>
            </w:pPr>
            <w:r>
              <w:rPr>
                <w:rFonts w:ascii="宋体" w:hAnsi="宋体" w:eastAsia="宋体" w:cs="宋体"/>
                <w:b w:val="0"/>
              </w:rPr>
              <w:t>减：应计利息总额</w:t>
            </w:r>
          </w:p>
        </w:tc>
        <w:tc>
          <w:tcPr>
            <w:tcW w:w="0" w:type="dxa"/>
            <w:vAlign w:val="center"/>
          </w:tcPr>
          <w:p w14:paraId="04B09FBF">
            <w:pPr>
              <w:spacing w:line="240" w:lineRule="auto"/>
              <w:jc w:val="right"/>
            </w:pPr>
            <w:r>
              <w:rPr>
                <w:rFonts w:ascii="宋体" w:hAnsi="宋体" w:eastAsia="宋体" w:cs="宋体"/>
                <w:b w:val="0"/>
              </w:rPr>
              <w:t>23,501.57</w:t>
            </w:r>
          </w:p>
        </w:tc>
      </w:tr>
      <w:tr w14:paraId="4860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F3E7A7">
            <w:pPr>
              <w:spacing w:line="240" w:lineRule="auto"/>
              <w:jc w:val="left"/>
            </w:pPr>
            <w:r>
              <w:rPr>
                <w:rFonts w:ascii="宋体" w:hAnsi="宋体" w:eastAsia="宋体" w:cs="宋体"/>
                <w:b w:val="0"/>
              </w:rPr>
              <w:t>减：交易费用</w:t>
            </w:r>
          </w:p>
        </w:tc>
        <w:tc>
          <w:tcPr>
            <w:tcW w:w="0" w:type="dxa"/>
            <w:vAlign w:val="center"/>
          </w:tcPr>
          <w:p w14:paraId="089C62F2">
            <w:pPr>
              <w:spacing w:line="240" w:lineRule="auto"/>
              <w:jc w:val="right"/>
            </w:pPr>
            <w:r>
              <w:rPr>
                <w:rFonts w:ascii="宋体" w:hAnsi="宋体" w:eastAsia="宋体" w:cs="宋体"/>
                <w:b w:val="0"/>
              </w:rPr>
              <w:t>1,085.98</w:t>
            </w:r>
          </w:p>
        </w:tc>
      </w:tr>
      <w:tr w14:paraId="778B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9E8D3A">
            <w:pPr>
              <w:spacing w:line="240" w:lineRule="auto"/>
              <w:jc w:val="left"/>
            </w:pPr>
            <w:r>
              <w:rPr>
                <w:rFonts w:ascii="宋体" w:hAnsi="宋体" w:eastAsia="宋体" w:cs="宋体"/>
                <w:b w:val="0"/>
              </w:rPr>
              <w:t>买卖债券差价收入</w:t>
            </w:r>
          </w:p>
        </w:tc>
        <w:tc>
          <w:tcPr>
            <w:tcW w:w="0" w:type="dxa"/>
            <w:vAlign w:val="center"/>
          </w:tcPr>
          <w:p w14:paraId="553AA269">
            <w:pPr>
              <w:spacing w:line="240" w:lineRule="auto"/>
              <w:jc w:val="right"/>
            </w:pPr>
            <w:r>
              <w:rPr>
                <w:rFonts w:ascii="宋体" w:hAnsi="宋体" w:eastAsia="宋体" w:cs="宋体"/>
                <w:b w:val="0"/>
              </w:rPr>
              <w:t>-216.98</w:t>
            </w:r>
          </w:p>
        </w:tc>
      </w:tr>
    </w:tbl>
    <w:p w14:paraId="1E2AB015"/>
    <w:p w14:paraId="14A37F9C">
      <w:pPr>
        <w:pStyle w:val="58"/>
      </w:pPr>
      <w:r>
        <w:rPr>
          <w:rFonts w:ascii="宋体" w:hAnsi="宋体" w:eastAsia="宋体" w:cs="宋体"/>
          <w:b/>
        </w:rPr>
        <w:t>6.4.7.13 资产支持证券投资收益</w:t>
      </w:r>
    </w:p>
    <w:p w14:paraId="5DBD4816">
      <w:r>
        <w:rPr>
          <w:rFonts w:ascii="宋体" w:hAnsi="宋体" w:eastAsia="宋体" w:cs="宋体"/>
          <w:b w:val="0"/>
        </w:rPr>
        <w:t xml:space="preserve">    本基金本报告期内无资产支持证券投资收益。</w:t>
      </w:r>
    </w:p>
    <w:p w14:paraId="2E5D399E"/>
    <w:p w14:paraId="309F3505">
      <w:pPr>
        <w:pStyle w:val="58"/>
      </w:pPr>
      <w:r>
        <w:rPr>
          <w:rFonts w:ascii="宋体" w:hAnsi="宋体" w:eastAsia="宋体" w:cs="宋体"/>
          <w:b/>
        </w:rPr>
        <w:t>6.4.7.14 贵金属投资收益</w:t>
      </w:r>
    </w:p>
    <w:p w14:paraId="237D8A6C">
      <w:r>
        <w:rPr>
          <w:rFonts w:ascii="宋体" w:hAnsi="宋体" w:eastAsia="宋体" w:cs="宋体"/>
          <w:b w:val="0"/>
        </w:rPr>
        <w:t xml:space="preserve">    本基金本报告期内无贵金属投资收益。</w:t>
      </w:r>
    </w:p>
    <w:p w14:paraId="25F42F85"/>
    <w:p w14:paraId="30CF647A">
      <w:pPr>
        <w:pStyle w:val="58"/>
      </w:pPr>
      <w:r>
        <w:rPr>
          <w:rFonts w:ascii="宋体" w:hAnsi="宋体" w:eastAsia="宋体" w:cs="宋体"/>
          <w:b/>
        </w:rPr>
        <w:t>6.4.7.15 衍生工具收益</w:t>
      </w:r>
    </w:p>
    <w:p w14:paraId="50B3607E">
      <w:r>
        <w:rPr>
          <w:rFonts w:ascii="宋体" w:hAnsi="宋体" w:eastAsia="宋体" w:cs="宋体"/>
          <w:b w:val="0"/>
        </w:rPr>
        <w:t xml:space="preserve">    本基金本报告期内无衍生工具收益。</w:t>
      </w:r>
    </w:p>
    <w:p w14:paraId="14B810C8"/>
    <w:p w14:paraId="007FA603">
      <w:pPr>
        <w:pStyle w:val="58"/>
      </w:pPr>
      <w:r>
        <w:rPr>
          <w:rFonts w:ascii="宋体" w:hAnsi="宋体" w:eastAsia="宋体" w:cs="宋体"/>
          <w:b/>
        </w:rPr>
        <w:t>6.4.7.16 股利收益</w:t>
      </w:r>
    </w:p>
    <w:p w14:paraId="08416AF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0288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1159BA85">
            <w:pPr>
              <w:spacing w:line="240" w:lineRule="auto"/>
              <w:jc w:val="center"/>
            </w:pPr>
            <w:r>
              <w:rPr>
                <w:rFonts w:ascii="宋体" w:hAnsi="宋体" w:eastAsia="宋体" w:cs="宋体"/>
                <w:b w:val="0"/>
              </w:rPr>
              <w:t>项目</w:t>
            </w:r>
          </w:p>
        </w:tc>
        <w:tc>
          <w:tcPr>
            <w:tcW w:w="3077" w:type="pct"/>
            <w:shd w:val="clear" w:color="auto" w:fill="D9D9D9"/>
            <w:vAlign w:val="center"/>
          </w:tcPr>
          <w:p w14:paraId="5707DBC6">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68A9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73CC39">
            <w:pPr>
              <w:spacing w:line="240" w:lineRule="auto"/>
              <w:jc w:val="left"/>
            </w:pPr>
            <w:r>
              <w:rPr>
                <w:rFonts w:ascii="宋体" w:hAnsi="宋体" w:eastAsia="宋体" w:cs="宋体"/>
                <w:b w:val="0"/>
              </w:rPr>
              <w:t>股票投资产生的股利收益</w:t>
            </w:r>
          </w:p>
        </w:tc>
        <w:tc>
          <w:tcPr>
            <w:tcW w:w="0" w:type="dxa"/>
            <w:vAlign w:val="center"/>
          </w:tcPr>
          <w:p w14:paraId="70B3E6F6">
            <w:pPr>
              <w:spacing w:line="240" w:lineRule="auto"/>
              <w:jc w:val="right"/>
            </w:pPr>
            <w:r>
              <w:rPr>
                <w:rFonts w:ascii="宋体" w:hAnsi="宋体" w:eastAsia="宋体" w:cs="宋体"/>
                <w:b w:val="0"/>
              </w:rPr>
              <w:t>622.75</w:t>
            </w:r>
          </w:p>
        </w:tc>
      </w:tr>
      <w:tr w14:paraId="6B09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B64FA7">
            <w:pPr>
              <w:spacing w:line="240" w:lineRule="auto"/>
              <w:jc w:val="left"/>
            </w:pPr>
            <w:r>
              <w:rPr>
                <w:rFonts w:ascii="宋体" w:hAnsi="宋体" w:eastAsia="宋体" w:cs="宋体"/>
                <w:b w:val="0"/>
              </w:rPr>
              <w:t>其中：证券出借权益补偿收入</w:t>
            </w:r>
          </w:p>
        </w:tc>
        <w:tc>
          <w:tcPr>
            <w:tcW w:w="0" w:type="dxa"/>
            <w:vAlign w:val="center"/>
          </w:tcPr>
          <w:p w14:paraId="21AC4F38">
            <w:pPr>
              <w:spacing w:line="240" w:lineRule="auto"/>
              <w:jc w:val="right"/>
            </w:pPr>
            <w:r>
              <w:rPr>
                <w:rFonts w:ascii="宋体" w:hAnsi="宋体" w:eastAsia="宋体" w:cs="宋体"/>
                <w:b w:val="0"/>
              </w:rPr>
              <w:t>-</w:t>
            </w:r>
          </w:p>
        </w:tc>
      </w:tr>
      <w:tr w14:paraId="2C53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4C4CDA">
            <w:pPr>
              <w:spacing w:line="240" w:lineRule="auto"/>
              <w:jc w:val="left"/>
            </w:pPr>
            <w:r>
              <w:rPr>
                <w:rFonts w:ascii="宋体" w:hAnsi="宋体" w:eastAsia="宋体" w:cs="宋体"/>
                <w:b w:val="0"/>
              </w:rPr>
              <w:t>基金投资产生的股利收益</w:t>
            </w:r>
          </w:p>
        </w:tc>
        <w:tc>
          <w:tcPr>
            <w:tcW w:w="0" w:type="dxa"/>
            <w:vAlign w:val="center"/>
          </w:tcPr>
          <w:p w14:paraId="4BE14395">
            <w:pPr>
              <w:spacing w:line="240" w:lineRule="auto"/>
              <w:jc w:val="right"/>
            </w:pPr>
            <w:r>
              <w:rPr>
                <w:rFonts w:ascii="宋体" w:hAnsi="宋体" w:eastAsia="宋体" w:cs="宋体"/>
                <w:b w:val="0"/>
              </w:rPr>
              <w:t>-</w:t>
            </w:r>
          </w:p>
        </w:tc>
      </w:tr>
      <w:tr w14:paraId="723A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2B5B5D">
            <w:pPr>
              <w:spacing w:line="240" w:lineRule="auto"/>
              <w:jc w:val="center"/>
            </w:pPr>
            <w:r>
              <w:rPr>
                <w:rFonts w:ascii="宋体" w:hAnsi="宋体" w:eastAsia="宋体" w:cs="宋体"/>
                <w:b w:val="0"/>
              </w:rPr>
              <w:t>合计</w:t>
            </w:r>
          </w:p>
        </w:tc>
        <w:tc>
          <w:tcPr>
            <w:tcW w:w="0" w:type="dxa"/>
            <w:vAlign w:val="center"/>
          </w:tcPr>
          <w:p w14:paraId="0DC53818">
            <w:pPr>
              <w:spacing w:line="240" w:lineRule="auto"/>
              <w:jc w:val="right"/>
            </w:pPr>
            <w:r>
              <w:rPr>
                <w:rFonts w:ascii="宋体" w:hAnsi="宋体" w:eastAsia="宋体" w:cs="宋体"/>
                <w:b w:val="0"/>
              </w:rPr>
              <w:t>622.75</w:t>
            </w:r>
          </w:p>
        </w:tc>
      </w:tr>
    </w:tbl>
    <w:p w14:paraId="635CF4C4"/>
    <w:p w14:paraId="192F28CE">
      <w:pPr>
        <w:pStyle w:val="58"/>
      </w:pPr>
      <w:r>
        <w:rPr>
          <w:rFonts w:ascii="宋体" w:hAnsi="宋体" w:eastAsia="宋体" w:cs="宋体"/>
          <w:b/>
        </w:rPr>
        <w:t>6.4.7.17 公允价值变动收益</w:t>
      </w:r>
    </w:p>
    <w:p w14:paraId="4CD716D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6191"/>
      </w:tblGrid>
      <w:tr w14:paraId="72F1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pct"/>
            <w:shd w:val="clear" w:color="auto" w:fill="D9D9D9"/>
            <w:vAlign w:val="center"/>
          </w:tcPr>
          <w:p w14:paraId="1CAC8730">
            <w:pPr>
              <w:spacing w:line="240" w:lineRule="auto"/>
              <w:jc w:val="center"/>
            </w:pPr>
            <w:r>
              <w:rPr>
                <w:rFonts w:ascii="宋体" w:hAnsi="宋体" w:eastAsia="宋体" w:cs="宋体"/>
                <w:b w:val="0"/>
              </w:rPr>
              <w:t>项目名称</w:t>
            </w:r>
          </w:p>
        </w:tc>
        <w:tc>
          <w:tcPr>
            <w:tcW w:w="3000" w:type="pct"/>
            <w:shd w:val="clear" w:color="auto" w:fill="D9D9D9"/>
            <w:vAlign w:val="center"/>
          </w:tcPr>
          <w:p w14:paraId="3B131286">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3E96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8FDDC8">
            <w:pPr>
              <w:spacing w:line="240" w:lineRule="auto"/>
              <w:jc w:val="left"/>
            </w:pPr>
            <w:r>
              <w:rPr>
                <w:rFonts w:ascii="宋体" w:hAnsi="宋体" w:eastAsia="宋体" w:cs="宋体"/>
                <w:b w:val="0"/>
              </w:rPr>
              <w:t>1.交易性金融资产</w:t>
            </w:r>
          </w:p>
        </w:tc>
        <w:tc>
          <w:tcPr>
            <w:tcW w:w="0" w:type="dxa"/>
            <w:vAlign w:val="center"/>
          </w:tcPr>
          <w:p w14:paraId="23117AE2">
            <w:pPr>
              <w:spacing w:line="240" w:lineRule="auto"/>
              <w:jc w:val="right"/>
            </w:pPr>
            <w:r>
              <w:rPr>
                <w:rFonts w:ascii="宋体" w:hAnsi="宋体" w:eastAsia="宋体" w:cs="宋体"/>
                <w:b w:val="0"/>
              </w:rPr>
              <w:t>151,776.55</w:t>
            </w:r>
          </w:p>
        </w:tc>
      </w:tr>
      <w:tr w14:paraId="33DC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A75396">
            <w:pPr>
              <w:spacing w:line="240" w:lineRule="auto"/>
              <w:jc w:val="left"/>
            </w:pPr>
            <w:r>
              <w:rPr>
                <w:rFonts w:ascii="宋体" w:hAnsi="宋体" w:eastAsia="宋体" w:cs="宋体"/>
                <w:b w:val="0"/>
              </w:rPr>
              <w:t>——股票投资</w:t>
            </w:r>
          </w:p>
        </w:tc>
        <w:tc>
          <w:tcPr>
            <w:tcW w:w="0" w:type="dxa"/>
            <w:vAlign w:val="center"/>
          </w:tcPr>
          <w:p w14:paraId="3C52CA2B">
            <w:pPr>
              <w:spacing w:line="240" w:lineRule="auto"/>
              <w:jc w:val="right"/>
            </w:pPr>
            <w:r>
              <w:rPr>
                <w:rFonts w:ascii="宋体" w:hAnsi="宋体" w:eastAsia="宋体" w:cs="宋体"/>
                <w:b w:val="0"/>
              </w:rPr>
              <w:t>153,999.55</w:t>
            </w:r>
          </w:p>
        </w:tc>
      </w:tr>
      <w:tr w14:paraId="2A7E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81B055">
            <w:pPr>
              <w:spacing w:line="240" w:lineRule="auto"/>
              <w:jc w:val="left"/>
            </w:pPr>
            <w:r>
              <w:rPr>
                <w:rFonts w:ascii="宋体" w:hAnsi="宋体" w:eastAsia="宋体" w:cs="宋体"/>
                <w:b w:val="0"/>
              </w:rPr>
              <w:t>——债券投资</w:t>
            </w:r>
          </w:p>
        </w:tc>
        <w:tc>
          <w:tcPr>
            <w:tcW w:w="0" w:type="dxa"/>
            <w:vAlign w:val="center"/>
          </w:tcPr>
          <w:p w14:paraId="67C80098">
            <w:pPr>
              <w:spacing w:line="240" w:lineRule="auto"/>
              <w:jc w:val="right"/>
            </w:pPr>
            <w:r>
              <w:rPr>
                <w:rFonts w:ascii="宋体" w:hAnsi="宋体" w:eastAsia="宋体" w:cs="宋体"/>
                <w:b w:val="0"/>
              </w:rPr>
              <w:t>-2,223.00</w:t>
            </w:r>
          </w:p>
        </w:tc>
      </w:tr>
      <w:tr w14:paraId="58F6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932A23">
            <w:pPr>
              <w:spacing w:line="240" w:lineRule="auto"/>
              <w:jc w:val="left"/>
            </w:pPr>
            <w:r>
              <w:rPr>
                <w:rFonts w:ascii="宋体" w:hAnsi="宋体" w:eastAsia="宋体" w:cs="宋体"/>
                <w:b w:val="0"/>
              </w:rPr>
              <w:t>——资产支持证券投资</w:t>
            </w:r>
          </w:p>
        </w:tc>
        <w:tc>
          <w:tcPr>
            <w:tcW w:w="0" w:type="dxa"/>
            <w:vAlign w:val="center"/>
          </w:tcPr>
          <w:p w14:paraId="0E851249">
            <w:pPr>
              <w:spacing w:line="240" w:lineRule="auto"/>
              <w:jc w:val="right"/>
            </w:pPr>
            <w:r>
              <w:rPr>
                <w:rFonts w:ascii="宋体" w:hAnsi="宋体" w:eastAsia="宋体" w:cs="宋体"/>
                <w:b w:val="0"/>
              </w:rPr>
              <w:t>-</w:t>
            </w:r>
          </w:p>
        </w:tc>
      </w:tr>
      <w:tr w14:paraId="2AD9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90FF39">
            <w:pPr>
              <w:spacing w:line="240" w:lineRule="auto"/>
              <w:jc w:val="left"/>
            </w:pPr>
            <w:r>
              <w:rPr>
                <w:rFonts w:ascii="宋体" w:hAnsi="宋体" w:eastAsia="宋体" w:cs="宋体"/>
                <w:b w:val="0"/>
              </w:rPr>
              <w:t>——贵金属投资</w:t>
            </w:r>
          </w:p>
        </w:tc>
        <w:tc>
          <w:tcPr>
            <w:tcW w:w="0" w:type="dxa"/>
            <w:vAlign w:val="center"/>
          </w:tcPr>
          <w:p w14:paraId="41B6DFB9">
            <w:pPr>
              <w:spacing w:line="240" w:lineRule="auto"/>
              <w:jc w:val="right"/>
            </w:pPr>
            <w:r>
              <w:rPr>
                <w:rFonts w:ascii="宋体" w:hAnsi="宋体" w:eastAsia="宋体" w:cs="宋体"/>
                <w:b w:val="0"/>
              </w:rPr>
              <w:t>-</w:t>
            </w:r>
          </w:p>
        </w:tc>
      </w:tr>
      <w:tr w14:paraId="13EE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B149F6">
            <w:pPr>
              <w:spacing w:line="240" w:lineRule="auto"/>
              <w:jc w:val="left"/>
            </w:pPr>
            <w:r>
              <w:rPr>
                <w:rFonts w:ascii="宋体" w:hAnsi="宋体" w:eastAsia="宋体" w:cs="宋体"/>
                <w:b w:val="0"/>
              </w:rPr>
              <w:t>——其他</w:t>
            </w:r>
          </w:p>
        </w:tc>
        <w:tc>
          <w:tcPr>
            <w:tcW w:w="0" w:type="dxa"/>
            <w:vAlign w:val="center"/>
          </w:tcPr>
          <w:p w14:paraId="1310E367">
            <w:pPr>
              <w:spacing w:line="240" w:lineRule="auto"/>
              <w:jc w:val="right"/>
            </w:pPr>
            <w:r>
              <w:rPr>
                <w:rFonts w:ascii="宋体" w:hAnsi="宋体" w:eastAsia="宋体" w:cs="宋体"/>
                <w:b w:val="0"/>
              </w:rPr>
              <w:t>-</w:t>
            </w:r>
          </w:p>
        </w:tc>
      </w:tr>
      <w:tr w14:paraId="7586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FF321D">
            <w:pPr>
              <w:spacing w:line="240" w:lineRule="auto"/>
              <w:jc w:val="left"/>
            </w:pPr>
            <w:r>
              <w:rPr>
                <w:rFonts w:ascii="宋体" w:hAnsi="宋体" w:eastAsia="宋体" w:cs="宋体"/>
                <w:b w:val="0"/>
              </w:rPr>
              <w:t>2.衍生工具</w:t>
            </w:r>
          </w:p>
        </w:tc>
        <w:tc>
          <w:tcPr>
            <w:tcW w:w="0" w:type="dxa"/>
            <w:vAlign w:val="center"/>
          </w:tcPr>
          <w:p w14:paraId="4FF4F8C0">
            <w:pPr>
              <w:spacing w:line="240" w:lineRule="auto"/>
              <w:jc w:val="right"/>
            </w:pPr>
            <w:r>
              <w:rPr>
                <w:rFonts w:ascii="宋体" w:hAnsi="宋体" w:eastAsia="宋体" w:cs="宋体"/>
                <w:b w:val="0"/>
              </w:rPr>
              <w:t>-</w:t>
            </w:r>
          </w:p>
        </w:tc>
      </w:tr>
      <w:tr w14:paraId="7154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BA6D20">
            <w:pPr>
              <w:spacing w:line="240" w:lineRule="auto"/>
              <w:jc w:val="left"/>
            </w:pPr>
            <w:r>
              <w:rPr>
                <w:rFonts w:ascii="宋体" w:hAnsi="宋体" w:eastAsia="宋体" w:cs="宋体"/>
                <w:b w:val="0"/>
              </w:rPr>
              <w:t>——权证投资</w:t>
            </w:r>
          </w:p>
        </w:tc>
        <w:tc>
          <w:tcPr>
            <w:tcW w:w="0" w:type="dxa"/>
            <w:vAlign w:val="center"/>
          </w:tcPr>
          <w:p w14:paraId="441D0BB4">
            <w:pPr>
              <w:spacing w:line="240" w:lineRule="auto"/>
              <w:jc w:val="right"/>
            </w:pPr>
            <w:r>
              <w:rPr>
                <w:rFonts w:ascii="宋体" w:hAnsi="宋体" w:eastAsia="宋体" w:cs="宋体"/>
                <w:b w:val="0"/>
              </w:rPr>
              <w:t>-</w:t>
            </w:r>
          </w:p>
        </w:tc>
      </w:tr>
      <w:tr w14:paraId="587E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3EE46C">
            <w:pPr>
              <w:spacing w:line="240" w:lineRule="auto"/>
              <w:jc w:val="left"/>
            </w:pPr>
            <w:r>
              <w:rPr>
                <w:rFonts w:ascii="宋体" w:hAnsi="宋体" w:eastAsia="宋体" w:cs="宋体"/>
                <w:b w:val="0"/>
              </w:rPr>
              <w:t>3.其他</w:t>
            </w:r>
          </w:p>
        </w:tc>
        <w:tc>
          <w:tcPr>
            <w:tcW w:w="0" w:type="dxa"/>
            <w:vAlign w:val="center"/>
          </w:tcPr>
          <w:p w14:paraId="291A0CCA">
            <w:pPr>
              <w:spacing w:line="240" w:lineRule="auto"/>
              <w:jc w:val="right"/>
            </w:pPr>
            <w:r>
              <w:rPr>
                <w:rFonts w:ascii="宋体" w:hAnsi="宋体" w:eastAsia="宋体" w:cs="宋体"/>
                <w:b w:val="0"/>
              </w:rPr>
              <w:t>-</w:t>
            </w:r>
          </w:p>
        </w:tc>
      </w:tr>
      <w:tr w14:paraId="01CD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9234ED">
            <w:pPr>
              <w:spacing w:line="240" w:lineRule="auto"/>
              <w:jc w:val="left"/>
            </w:pPr>
            <w:r>
              <w:rPr>
                <w:rFonts w:ascii="宋体" w:hAnsi="宋体" w:eastAsia="宋体" w:cs="宋体"/>
                <w:b w:val="0"/>
              </w:rPr>
              <w:t>减：应税金融商品公允价值变动产生的预估增值税</w:t>
            </w:r>
          </w:p>
        </w:tc>
        <w:tc>
          <w:tcPr>
            <w:tcW w:w="0" w:type="dxa"/>
            <w:vAlign w:val="center"/>
          </w:tcPr>
          <w:p w14:paraId="335111A5">
            <w:pPr>
              <w:spacing w:line="240" w:lineRule="auto"/>
              <w:jc w:val="right"/>
            </w:pPr>
            <w:r>
              <w:rPr>
                <w:rFonts w:ascii="宋体" w:hAnsi="宋体" w:eastAsia="宋体" w:cs="宋体"/>
                <w:b w:val="0"/>
              </w:rPr>
              <w:t>-</w:t>
            </w:r>
          </w:p>
        </w:tc>
      </w:tr>
      <w:tr w14:paraId="4AD3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27D3AC">
            <w:pPr>
              <w:spacing w:line="240" w:lineRule="auto"/>
              <w:jc w:val="left"/>
            </w:pPr>
            <w:r>
              <w:rPr>
                <w:rFonts w:ascii="宋体" w:hAnsi="宋体" w:eastAsia="宋体" w:cs="宋体"/>
                <w:b w:val="0"/>
              </w:rPr>
              <w:t>合计</w:t>
            </w:r>
          </w:p>
        </w:tc>
        <w:tc>
          <w:tcPr>
            <w:tcW w:w="0" w:type="dxa"/>
            <w:vAlign w:val="center"/>
          </w:tcPr>
          <w:p w14:paraId="30C9CBCB">
            <w:pPr>
              <w:spacing w:line="240" w:lineRule="auto"/>
              <w:jc w:val="right"/>
            </w:pPr>
            <w:r>
              <w:rPr>
                <w:rFonts w:ascii="宋体" w:hAnsi="宋体" w:eastAsia="宋体" w:cs="宋体"/>
                <w:b w:val="0"/>
              </w:rPr>
              <w:t>151,776.55</w:t>
            </w:r>
          </w:p>
        </w:tc>
      </w:tr>
    </w:tbl>
    <w:p w14:paraId="5385A621"/>
    <w:p w14:paraId="0417D71D">
      <w:pPr>
        <w:pStyle w:val="58"/>
      </w:pPr>
      <w:r>
        <w:rPr>
          <w:rFonts w:ascii="宋体" w:hAnsi="宋体" w:eastAsia="宋体" w:cs="宋体"/>
          <w:b/>
        </w:rPr>
        <w:t>6.4.7.18 其他收入</w:t>
      </w:r>
    </w:p>
    <w:p w14:paraId="650B45C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0392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58A86A29">
            <w:pPr>
              <w:spacing w:line="240" w:lineRule="auto"/>
              <w:jc w:val="center"/>
            </w:pPr>
            <w:r>
              <w:rPr>
                <w:rFonts w:ascii="宋体" w:hAnsi="宋体" w:eastAsia="宋体" w:cs="宋体"/>
                <w:b w:val="0"/>
              </w:rPr>
              <w:t>项目</w:t>
            </w:r>
          </w:p>
        </w:tc>
        <w:tc>
          <w:tcPr>
            <w:tcW w:w="3077" w:type="pct"/>
            <w:shd w:val="clear" w:color="auto" w:fill="D9D9D9"/>
            <w:vAlign w:val="center"/>
          </w:tcPr>
          <w:p w14:paraId="768E95BA">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2F21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AC4991">
            <w:pPr>
              <w:spacing w:line="240" w:lineRule="auto"/>
              <w:jc w:val="left"/>
            </w:pPr>
            <w:r>
              <w:rPr>
                <w:rFonts w:ascii="宋体" w:hAnsi="宋体" w:eastAsia="宋体" w:cs="宋体"/>
                <w:b w:val="0"/>
              </w:rPr>
              <w:t>基金赎回费收入</w:t>
            </w:r>
          </w:p>
        </w:tc>
        <w:tc>
          <w:tcPr>
            <w:tcW w:w="0" w:type="dxa"/>
            <w:vAlign w:val="center"/>
          </w:tcPr>
          <w:p w14:paraId="14B3B190">
            <w:pPr>
              <w:spacing w:line="240" w:lineRule="auto"/>
              <w:jc w:val="right"/>
            </w:pPr>
            <w:r>
              <w:rPr>
                <w:rFonts w:ascii="宋体" w:hAnsi="宋体" w:eastAsia="宋体" w:cs="宋体"/>
                <w:b w:val="0"/>
              </w:rPr>
              <w:t>85.31</w:t>
            </w:r>
          </w:p>
        </w:tc>
      </w:tr>
      <w:tr w14:paraId="0801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FA1662">
            <w:pPr>
              <w:spacing w:line="240" w:lineRule="auto"/>
              <w:jc w:val="left"/>
            </w:pPr>
            <w:r>
              <w:rPr>
                <w:rFonts w:ascii="宋体" w:hAnsi="宋体" w:eastAsia="宋体" w:cs="宋体"/>
                <w:b w:val="0"/>
              </w:rPr>
              <w:t>合计</w:t>
            </w:r>
          </w:p>
        </w:tc>
        <w:tc>
          <w:tcPr>
            <w:tcW w:w="0" w:type="dxa"/>
            <w:vAlign w:val="center"/>
          </w:tcPr>
          <w:p w14:paraId="5FA8F30D">
            <w:pPr>
              <w:spacing w:line="240" w:lineRule="auto"/>
              <w:jc w:val="right"/>
            </w:pPr>
            <w:r>
              <w:rPr>
                <w:rFonts w:ascii="宋体" w:hAnsi="宋体" w:eastAsia="宋体" w:cs="宋体"/>
                <w:b w:val="0"/>
              </w:rPr>
              <w:t>85.31</w:t>
            </w:r>
          </w:p>
        </w:tc>
      </w:tr>
    </w:tbl>
    <w:p w14:paraId="12DDBC7C"/>
    <w:p w14:paraId="47BB6719">
      <w:pPr>
        <w:pStyle w:val="58"/>
      </w:pPr>
      <w:r>
        <w:rPr>
          <w:rFonts w:ascii="宋体" w:hAnsi="宋体" w:eastAsia="宋体" w:cs="宋体"/>
          <w:b/>
        </w:rPr>
        <w:t>6.4.7.19 信用减值损失</w:t>
      </w:r>
    </w:p>
    <w:p w14:paraId="3077A93A">
      <w:r>
        <w:rPr>
          <w:rFonts w:ascii="宋体" w:hAnsi="宋体" w:eastAsia="宋体" w:cs="宋体"/>
          <w:b w:val="0"/>
        </w:rPr>
        <w:t xml:space="preserve">    本基金本报告期内未发生信用减值损失。</w:t>
      </w:r>
    </w:p>
    <w:p w14:paraId="3F38782B"/>
    <w:p w14:paraId="2155A8FE">
      <w:pPr>
        <w:pStyle w:val="58"/>
      </w:pPr>
      <w:r>
        <w:rPr>
          <w:rFonts w:ascii="宋体" w:hAnsi="宋体" w:eastAsia="宋体" w:cs="宋体"/>
          <w:b/>
        </w:rPr>
        <w:t>6.4.7.20 其他费用</w:t>
      </w:r>
    </w:p>
    <w:p w14:paraId="32D45B9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57A6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48EFBD7E">
            <w:pPr>
              <w:spacing w:line="240" w:lineRule="auto"/>
              <w:jc w:val="center"/>
            </w:pPr>
            <w:r>
              <w:rPr>
                <w:rFonts w:ascii="宋体" w:hAnsi="宋体" w:eastAsia="宋体" w:cs="宋体"/>
                <w:b w:val="0"/>
              </w:rPr>
              <w:t>项目</w:t>
            </w:r>
          </w:p>
        </w:tc>
        <w:tc>
          <w:tcPr>
            <w:tcW w:w="3077" w:type="pct"/>
            <w:shd w:val="clear" w:color="auto" w:fill="D9D9D9"/>
            <w:vAlign w:val="center"/>
          </w:tcPr>
          <w:p w14:paraId="4BBC2AEB">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0229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76C7E7">
            <w:pPr>
              <w:spacing w:line="240" w:lineRule="auto"/>
              <w:jc w:val="left"/>
            </w:pPr>
            <w:r>
              <w:rPr>
                <w:rFonts w:ascii="宋体" w:hAnsi="宋体" w:eastAsia="宋体" w:cs="宋体"/>
                <w:b w:val="0"/>
              </w:rPr>
              <w:t>审计费用</w:t>
            </w:r>
          </w:p>
        </w:tc>
        <w:tc>
          <w:tcPr>
            <w:tcW w:w="0" w:type="dxa"/>
            <w:vAlign w:val="center"/>
          </w:tcPr>
          <w:p w14:paraId="74FD5E07">
            <w:pPr>
              <w:spacing w:line="240" w:lineRule="auto"/>
              <w:jc w:val="right"/>
            </w:pPr>
            <w:r>
              <w:rPr>
                <w:rFonts w:ascii="宋体" w:hAnsi="宋体" w:eastAsia="宋体" w:cs="宋体"/>
                <w:b w:val="0"/>
              </w:rPr>
              <w:t>680.63</w:t>
            </w:r>
          </w:p>
        </w:tc>
      </w:tr>
      <w:tr w14:paraId="32A7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E4B58B">
            <w:pPr>
              <w:spacing w:line="240" w:lineRule="auto"/>
              <w:jc w:val="left"/>
            </w:pPr>
            <w:r>
              <w:rPr>
                <w:rFonts w:ascii="宋体" w:hAnsi="宋体" w:eastAsia="宋体" w:cs="宋体"/>
                <w:b w:val="0"/>
              </w:rPr>
              <w:t>信息披露费</w:t>
            </w:r>
          </w:p>
        </w:tc>
        <w:tc>
          <w:tcPr>
            <w:tcW w:w="0" w:type="dxa"/>
            <w:vAlign w:val="center"/>
          </w:tcPr>
          <w:p w14:paraId="0D7C3FAD">
            <w:pPr>
              <w:spacing w:line="240" w:lineRule="auto"/>
              <w:jc w:val="right"/>
            </w:pPr>
            <w:r>
              <w:rPr>
                <w:rFonts w:ascii="宋体" w:hAnsi="宋体" w:eastAsia="宋体" w:cs="宋体"/>
                <w:b w:val="0"/>
              </w:rPr>
              <w:t>6,807.46</w:t>
            </w:r>
          </w:p>
        </w:tc>
      </w:tr>
      <w:tr w14:paraId="79D8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EC2A23">
            <w:pPr>
              <w:spacing w:line="240" w:lineRule="auto"/>
              <w:jc w:val="left"/>
            </w:pPr>
            <w:r>
              <w:rPr>
                <w:rFonts w:ascii="宋体" w:hAnsi="宋体" w:eastAsia="宋体" w:cs="宋体"/>
                <w:b w:val="0"/>
              </w:rPr>
              <w:t>证券出借违约金</w:t>
            </w:r>
          </w:p>
        </w:tc>
        <w:tc>
          <w:tcPr>
            <w:tcW w:w="0" w:type="dxa"/>
            <w:vAlign w:val="center"/>
          </w:tcPr>
          <w:p w14:paraId="0A12B230">
            <w:pPr>
              <w:spacing w:line="240" w:lineRule="auto"/>
              <w:jc w:val="right"/>
            </w:pPr>
            <w:r>
              <w:rPr>
                <w:rFonts w:ascii="宋体" w:hAnsi="宋体" w:eastAsia="宋体" w:cs="宋体"/>
                <w:b w:val="0"/>
              </w:rPr>
              <w:t>-</w:t>
            </w:r>
          </w:p>
        </w:tc>
      </w:tr>
      <w:tr w14:paraId="22A2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E5A3F4">
            <w:pPr>
              <w:spacing w:line="240" w:lineRule="auto"/>
              <w:jc w:val="left"/>
            </w:pPr>
            <w:r>
              <w:rPr>
                <w:rFonts w:ascii="宋体" w:hAnsi="宋体" w:eastAsia="宋体" w:cs="宋体"/>
                <w:b w:val="0"/>
              </w:rPr>
              <w:t>开户费</w:t>
            </w:r>
          </w:p>
        </w:tc>
        <w:tc>
          <w:tcPr>
            <w:tcW w:w="0" w:type="dxa"/>
            <w:vAlign w:val="center"/>
          </w:tcPr>
          <w:p w14:paraId="6846C2D2">
            <w:pPr>
              <w:spacing w:line="240" w:lineRule="auto"/>
              <w:jc w:val="right"/>
            </w:pPr>
            <w:r>
              <w:rPr>
                <w:rFonts w:ascii="宋体" w:hAnsi="宋体" w:eastAsia="宋体" w:cs="宋体"/>
                <w:b w:val="0"/>
              </w:rPr>
              <w:t>1,200.00</w:t>
            </w:r>
          </w:p>
        </w:tc>
      </w:tr>
      <w:tr w14:paraId="3362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0C5D78">
            <w:pPr>
              <w:spacing w:line="240" w:lineRule="auto"/>
              <w:jc w:val="left"/>
            </w:pPr>
            <w:r>
              <w:rPr>
                <w:rFonts w:ascii="宋体" w:hAnsi="宋体" w:eastAsia="宋体" w:cs="宋体"/>
                <w:b w:val="0"/>
              </w:rPr>
              <w:t>合计</w:t>
            </w:r>
          </w:p>
        </w:tc>
        <w:tc>
          <w:tcPr>
            <w:tcW w:w="0" w:type="dxa"/>
            <w:vAlign w:val="center"/>
          </w:tcPr>
          <w:p w14:paraId="5A307E75">
            <w:pPr>
              <w:spacing w:line="240" w:lineRule="auto"/>
              <w:jc w:val="right"/>
            </w:pPr>
            <w:r>
              <w:rPr>
                <w:rFonts w:ascii="宋体" w:hAnsi="宋体" w:eastAsia="宋体" w:cs="宋体"/>
                <w:b w:val="0"/>
              </w:rPr>
              <w:t>8,688.09</w:t>
            </w:r>
          </w:p>
        </w:tc>
      </w:tr>
    </w:tbl>
    <w:p w14:paraId="32999A49"/>
    <w:p w14:paraId="136A87A0">
      <w:pPr>
        <w:pStyle w:val="58"/>
      </w:pPr>
      <w:r>
        <w:rPr>
          <w:rFonts w:ascii="宋体" w:hAnsi="宋体" w:eastAsia="宋体" w:cs="宋体"/>
          <w:b/>
        </w:rPr>
        <w:t>6.4.8 或有事项、资产负债表日后事项的说明</w:t>
      </w:r>
    </w:p>
    <w:p w14:paraId="18DF06B1">
      <w:pPr>
        <w:pStyle w:val="58"/>
      </w:pPr>
      <w:r>
        <w:rPr>
          <w:rFonts w:ascii="宋体" w:hAnsi="宋体" w:eastAsia="宋体" w:cs="宋体"/>
          <w:b/>
        </w:rPr>
        <w:t>6.4.8.1 或有事项</w:t>
      </w:r>
    </w:p>
    <w:p w14:paraId="42581DB2">
      <w:pPr>
        <w:jc w:val="left"/>
      </w:pPr>
      <w:r>
        <w:rPr>
          <w:rFonts w:ascii="宋体" w:hAnsi="宋体" w:eastAsia="宋体" w:cs="宋体"/>
          <w:b w:val="0"/>
        </w:rPr>
        <w:t xml:space="preserve">    截至资产负债表日，本基金并无须作披露的或有事项。</w:t>
      </w:r>
    </w:p>
    <w:p w14:paraId="10A29265"/>
    <w:p w14:paraId="5DC60966">
      <w:pPr>
        <w:pStyle w:val="58"/>
      </w:pPr>
      <w:r>
        <w:rPr>
          <w:rFonts w:ascii="宋体" w:hAnsi="宋体" w:eastAsia="宋体" w:cs="宋体"/>
          <w:b/>
        </w:rPr>
        <w:t>6.4.8.2 资产负债表日后事项</w:t>
      </w:r>
    </w:p>
    <w:p w14:paraId="79F8C9D1">
      <w:pPr>
        <w:jc w:val="left"/>
      </w:pPr>
      <w:r>
        <w:rPr>
          <w:rFonts w:ascii="宋体" w:hAnsi="宋体" w:eastAsia="宋体" w:cs="宋体"/>
          <w:b w:val="0"/>
        </w:rPr>
        <w:t xml:space="preserve">    截至本会计报表批准报出日，本基金无须作披露的资产负债表日后事项。</w:t>
      </w:r>
    </w:p>
    <w:p w14:paraId="59204DE3"/>
    <w:p w14:paraId="3C16212E">
      <w:pPr>
        <w:pStyle w:val="58"/>
      </w:pPr>
      <w:r>
        <w:rPr>
          <w:rFonts w:ascii="宋体" w:hAnsi="宋体" w:eastAsia="宋体" w:cs="宋体"/>
          <w:b/>
        </w:rPr>
        <w:t>6.4.9 关联方、关联关系</w:t>
      </w:r>
    </w:p>
    <w:p w14:paraId="72E61BCB">
      <w:pPr>
        <w:pStyle w:val="58"/>
      </w:pPr>
      <w:r>
        <w:rPr>
          <w:rFonts w:ascii="宋体" w:hAnsi="宋体" w:eastAsia="宋体" w:cs="宋体"/>
          <w:b/>
        </w:rPr>
        <w:t>6.4.9.1 本报告期存在控制关系或其他重大利害关系的关联方发生变化的情况</w:t>
      </w:r>
    </w:p>
    <w:p w14:paraId="775E8567">
      <w:pPr>
        <w:jc w:val="left"/>
      </w:pPr>
      <w:r>
        <w:rPr>
          <w:rFonts w:ascii="宋体" w:hAnsi="宋体" w:eastAsia="宋体" w:cs="宋体"/>
          <w:b w:val="0"/>
        </w:rPr>
        <w:t xml:space="preserve">    本报告期内存在控制关系或其他重大利害关系的关联方未发生变化。</w:t>
      </w:r>
    </w:p>
    <w:p w14:paraId="4690A712"/>
    <w:p w14:paraId="30E9C121">
      <w:pPr>
        <w:pStyle w:val="58"/>
      </w:pPr>
      <w:r>
        <w:rPr>
          <w:rFonts w:ascii="宋体" w:hAnsi="宋体" w:eastAsia="宋体" w:cs="宋体"/>
          <w:b/>
        </w:rPr>
        <w:t>6.4.9.2 本报告期与基金发生关联交易的各关联方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4"/>
        <w:gridCol w:w="5572"/>
      </w:tblGrid>
      <w:tr w14:paraId="0B10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40AF2743">
            <w:pPr>
              <w:spacing w:line="240" w:lineRule="auto"/>
              <w:jc w:val="center"/>
            </w:pPr>
            <w:r>
              <w:rPr>
                <w:rFonts w:ascii="宋体" w:hAnsi="宋体" w:eastAsia="宋体" w:cs="宋体"/>
                <w:b w:val="0"/>
              </w:rPr>
              <w:t>关联方名称</w:t>
            </w:r>
          </w:p>
        </w:tc>
        <w:tc>
          <w:tcPr>
            <w:tcW w:w="3000" w:type="pct"/>
            <w:shd w:val="clear" w:color="auto" w:fill="D9D9D9"/>
            <w:vAlign w:val="center"/>
          </w:tcPr>
          <w:p w14:paraId="12ED7A99">
            <w:pPr>
              <w:spacing w:line="240" w:lineRule="auto"/>
              <w:jc w:val="center"/>
            </w:pPr>
            <w:r>
              <w:rPr>
                <w:rFonts w:ascii="宋体" w:hAnsi="宋体" w:eastAsia="宋体" w:cs="宋体"/>
                <w:b w:val="0"/>
              </w:rPr>
              <w:t>与本基金的关系</w:t>
            </w:r>
          </w:p>
        </w:tc>
      </w:tr>
      <w:tr w14:paraId="33ED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10D9D8">
            <w:pPr>
              <w:spacing w:line="240" w:lineRule="auto"/>
              <w:jc w:val="left"/>
            </w:pPr>
            <w:r>
              <w:rPr>
                <w:rFonts w:ascii="宋体" w:hAnsi="宋体" w:eastAsia="宋体" w:cs="宋体"/>
                <w:b w:val="0"/>
              </w:rPr>
              <w:t>东方阿尔法基金管理有限公司(“东方阿尔法基金”)</w:t>
            </w:r>
          </w:p>
        </w:tc>
        <w:tc>
          <w:tcPr>
            <w:tcW w:w="0" w:type="dxa"/>
            <w:vAlign w:val="center"/>
          </w:tcPr>
          <w:p w14:paraId="2A4EAB24">
            <w:pPr>
              <w:spacing w:line="240" w:lineRule="auto"/>
              <w:jc w:val="left"/>
            </w:pPr>
            <w:r>
              <w:rPr>
                <w:rFonts w:ascii="宋体" w:hAnsi="宋体" w:eastAsia="宋体" w:cs="宋体"/>
                <w:b w:val="0"/>
              </w:rPr>
              <w:t>基金管理人、基金销售机构</w:t>
            </w:r>
          </w:p>
        </w:tc>
      </w:tr>
      <w:tr w14:paraId="43BA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9840DF">
            <w:pPr>
              <w:spacing w:line="240" w:lineRule="auto"/>
              <w:jc w:val="left"/>
            </w:pPr>
            <w:r>
              <w:rPr>
                <w:rFonts w:ascii="宋体" w:hAnsi="宋体" w:eastAsia="宋体" w:cs="宋体"/>
                <w:b w:val="0"/>
              </w:rPr>
              <w:t>招商银行股份有限公司</w:t>
            </w:r>
          </w:p>
        </w:tc>
        <w:tc>
          <w:tcPr>
            <w:tcW w:w="0" w:type="dxa"/>
            <w:vAlign w:val="center"/>
          </w:tcPr>
          <w:p w14:paraId="47332AE7">
            <w:pPr>
              <w:spacing w:line="240" w:lineRule="auto"/>
              <w:jc w:val="left"/>
            </w:pPr>
            <w:r>
              <w:rPr>
                <w:rFonts w:ascii="宋体" w:hAnsi="宋体" w:eastAsia="宋体" w:cs="宋体"/>
                <w:b w:val="0"/>
              </w:rPr>
              <w:t>基金托管人</w:t>
            </w:r>
          </w:p>
        </w:tc>
      </w:tr>
      <w:tr w14:paraId="6597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CC8740">
            <w:pPr>
              <w:spacing w:line="240" w:lineRule="auto"/>
              <w:jc w:val="left"/>
            </w:pPr>
            <w:r>
              <w:rPr>
                <w:rFonts w:ascii="宋体" w:hAnsi="宋体" w:eastAsia="宋体" w:cs="宋体"/>
                <w:b w:val="0"/>
              </w:rPr>
              <w:t>珠海共同成长投资合伙企业(有限合伙)</w:t>
            </w:r>
          </w:p>
        </w:tc>
        <w:tc>
          <w:tcPr>
            <w:tcW w:w="0" w:type="dxa"/>
            <w:vAlign w:val="center"/>
          </w:tcPr>
          <w:p w14:paraId="0813D963">
            <w:pPr>
              <w:spacing w:line="240" w:lineRule="auto"/>
              <w:jc w:val="left"/>
            </w:pPr>
            <w:r>
              <w:rPr>
                <w:rFonts w:ascii="宋体" w:hAnsi="宋体" w:eastAsia="宋体" w:cs="宋体"/>
                <w:b w:val="0"/>
              </w:rPr>
              <w:t>基金管理人的股东</w:t>
            </w:r>
          </w:p>
        </w:tc>
      </w:tr>
      <w:tr w14:paraId="7A6B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FBBC0B">
            <w:pPr>
              <w:spacing w:line="240" w:lineRule="auto"/>
              <w:jc w:val="left"/>
            </w:pPr>
            <w:r>
              <w:rPr>
                <w:rFonts w:ascii="宋体" w:hAnsi="宋体" w:eastAsia="宋体" w:cs="宋体"/>
                <w:b w:val="0"/>
              </w:rPr>
              <w:t>刘明</w:t>
            </w:r>
          </w:p>
        </w:tc>
        <w:tc>
          <w:tcPr>
            <w:tcW w:w="0" w:type="dxa"/>
            <w:vAlign w:val="center"/>
          </w:tcPr>
          <w:p w14:paraId="5DB7AEAD">
            <w:pPr>
              <w:spacing w:line="240" w:lineRule="auto"/>
              <w:jc w:val="left"/>
            </w:pPr>
            <w:r>
              <w:rPr>
                <w:rFonts w:ascii="宋体" w:hAnsi="宋体" w:eastAsia="宋体" w:cs="宋体"/>
                <w:b w:val="0"/>
              </w:rPr>
              <w:t>基金管理人的股东</w:t>
            </w:r>
          </w:p>
        </w:tc>
      </w:tr>
      <w:tr w14:paraId="2C49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478412">
            <w:pPr>
              <w:spacing w:line="240" w:lineRule="auto"/>
              <w:jc w:val="left"/>
            </w:pPr>
            <w:r>
              <w:rPr>
                <w:rFonts w:ascii="宋体" w:hAnsi="宋体" w:eastAsia="宋体" w:cs="宋体"/>
                <w:b w:val="0"/>
              </w:rPr>
              <w:t>肖冰</w:t>
            </w:r>
          </w:p>
        </w:tc>
        <w:tc>
          <w:tcPr>
            <w:tcW w:w="0" w:type="dxa"/>
            <w:vAlign w:val="center"/>
          </w:tcPr>
          <w:p w14:paraId="1B9DB8F8">
            <w:pPr>
              <w:spacing w:line="240" w:lineRule="auto"/>
              <w:jc w:val="left"/>
            </w:pPr>
            <w:r>
              <w:rPr>
                <w:rFonts w:ascii="宋体" w:hAnsi="宋体" w:eastAsia="宋体" w:cs="宋体"/>
                <w:b w:val="0"/>
              </w:rPr>
              <w:t>基金管理人的股东</w:t>
            </w:r>
          </w:p>
        </w:tc>
      </w:tr>
      <w:tr w14:paraId="1F91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E8A954">
            <w:pPr>
              <w:spacing w:line="240" w:lineRule="auto"/>
              <w:jc w:val="left"/>
            </w:pPr>
            <w:r>
              <w:rPr>
                <w:rFonts w:ascii="宋体" w:hAnsi="宋体" w:eastAsia="宋体" w:cs="宋体"/>
                <w:b w:val="0"/>
              </w:rPr>
              <w:t>曾健</w:t>
            </w:r>
          </w:p>
        </w:tc>
        <w:tc>
          <w:tcPr>
            <w:tcW w:w="0" w:type="dxa"/>
            <w:vAlign w:val="center"/>
          </w:tcPr>
          <w:p w14:paraId="55CC2850">
            <w:pPr>
              <w:spacing w:line="240" w:lineRule="auto"/>
              <w:jc w:val="left"/>
            </w:pPr>
            <w:r>
              <w:rPr>
                <w:rFonts w:ascii="宋体" w:hAnsi="宋体" w:eastAsia="宋体" w:cs="宋体"/>
                <w:b w:val="0"/>
              </w:rPr>
              <w:t>基金管理人的股东</w:t>
            </w:r>
          </w:p>
        </w:tc>
      </w:tr>
    </w:tbl>
    <w:p w14:paraId="743DF4D7">
      <w:r>
        <w:rPr>
          <w:rFonts w:ascii="宋体" w:hAnsi="宋体" w:eastAsia="宋体" w:cs="宋体"/>
          <w:b w:val="0"/>
        </w:rPr>
        <w:t>注：下述关联交易均在正常业务范围内按一般商业条款订立。</w:t>
      </w:r>
    </w:p>
    <w:p w14:paraId="77682C20"/>
    <w:p w14:paraId="6439D198">
      <w:pPr>
        <w:pStyle w:val="58"/>
      </w:pPr>
      <w:r>
        <w:rPr>
          <w:rFonts w:ascii="宋体" w:hAnsi="宋体" w:eastAsia="宋体" w:cs="宋体"/>
          <w:b/>
        </w:rPr>
        <w:t>6.4.10 本报告期及上年度可比期间的关联方交易</w:t>
      </w:r>
    </w:p>
    <w:p w14:paraId="0CB8C1EB">
      <w:pPr>
        <w:pStyle w:val="58"/>
      </w:pPr>
      <w:r>
        <w:rPr>
          <w:rFonts w:ascii="宋体" w:hAnsi="宋体" w:eastAsia="宋体" w:cs="宋体"/>
          <w:b/>
        </w:rPr>
        <w:t>6.4.10.1 通过关联方交易单元进行的交易</w:t>
      </w:r>
    </w:p>
    <w:p w14:paraId="4123EBE0">
      <w:pPr>
        <w:pStyle w:val="58"/>
      </w:pPr>
      <w:r>
        <w:rPr>
          <w:rFonts w:ascii="宋体" w:hAnsi="宋体" w:eastAsia="宋体" w:cs="宋体"/>
          <w:b/>
        </w:rPr>
        <w:t>6.4.10.1.1 股票交易</w:t>
      </w:r>
    </w:p>
    <w:p w14:paraId="29305428">
      <w:r>
        <w:rPr>
          <w:rFonts w:ascii="宋体" w:hAnsi="宋体" w:eastAsia="宋体" w:cs="宋体"/>
          <w:b w:val="0"/>
        </w:rPr>
        <w:t xml:space="preserve">    本基金本报告期未通过关联方交易单元进行股票交易。</w:t>
      </w:r>
    </w:p>
    <w:p w14:paraId="7ABF7D1E"/>
    <w:p w14:paraId="0F40A14A">
      <w:pPr>
        <w:pStyle w:val="58"/>
      </w:pPr>
      <w:r>
        <w:rPr>
          <w:rFonts w:ascii="宋体" w:hAnsi="宋体" w:eastAsia="宋体" w:cs="宋体"/>
          <w:b/>
        </w:rPr>
        <w:t>6.4.10.1.2 权证交易</w:t>
      </w:r>
    </w:p>
    <w:p w14:paraId="7569860F">
      <w:r>
        <w:rPr>
          <w:rFonts w:ascii="宋体" w:hAnsi="宋体" w:eastAsia="宋体" w:cs="宋体"/>
          <w:b w:val="0"/>
        </w:rPr>
        <w:t xml:space="preserve">    本基金本报告期未通过关联方交易单元进行权证交易。</w:t>
      </w:r>
    </w:p>
    <w:p w14:paraId="19FCA734"/>
    <w:p w14:paraId="082AF73A">
      <w:pPr>
        <w:pStyle w:val="58"/>
      </w:pPr>
      <w:r>
        <w:rPr>
          <w:rFonts w:ascii="宋体" w:hAnsi="宋体" w:eastAsia="宋体" w:cs="宋体"/>
          <w:b/>
        </w:rPr>
        <w:t>6.4.10.1.3 债券交易</w:t>
      </w:r>
    </w:p>
    <w:p w14:paraId="7F1CB648">
      <w:r>
        <w:rPr>
          <w:rFonts w:ascii="宋体" w:hAnsi="宋体" w:eastAsia="宋体" w:cs="宋体"/>
          <w:b w:val="0"/>
        </w:rPr>
        <w:t xml:space="preserve">    本基金本报告期未通过关联方交易单元进行债券交易。</w:t>
      </w:r>
    </w:p>
    <w:p w14:paraId="6049F72D"/>
    <w:p w14:paraId="19A80B17">
      <w:pPr>
        <w:pStyle w:val="58"/>
      </w:pPr>
      <w:r>
        <w:rPr>
          <w:rFonts w:ascii="宋体" w:hAnsi="宋体" w:eastAsia="宋体" w:cs="宋体"/>
          <w:b/>
        </w:rPr>
        <w:t>6.4.10.1.4 债券回购交易</w:t>
      </w:r>
    </w:p>
    <w:p w14:paraId="3D769A75">
      <w:r>
        <w:rPr>
          <w:rFonts w:ascii="宋体" w:hAnsi="宋体" w:eastAsia="宋体" w:cs="宋体"/>
          <w:b w:val="0"/>
        </w:rPr>
        <w:t xml:space="preserve">    本基金本报告期未通过关联方交易单元进行债券回购交易。</w:t>
      </w:r>
    </w:p>
    <w:p w14:paraId="6258D1BF"/>
    <w:p w14:paraId="2FF7A372">
      <w:pPr>
        <w:pStyle w:val="58"/>
      </w:pPr>
      <w:r>
        <w:rPr>
          <w:rFonts w:ascii="宋体" w:hAnsi="宋体" w:eastAsia="宋体" w:cs="宋体"/>
          <w:b/>
        </w:rPr>
        <w:t>6.4.10.1.5 应支付关联方的佣金</w:t>
      </w:r>
    </w:p>
    <w:p w14:paraId="77DF73B6">
      <w:r>
        <w:rPr>
          <w:rFonts w:ascii="宋体" w:hAnsi="宋体" w:eastAsia="宋体" w:cs="宋体"/>
          <w:b w:val="0"/>
        </w:rPr>
        <w:t xml:space="preserve">    本基金本报告期无应支付关联方的佣金。</w:t>
      </w:r>
    </w:p>
    <w:p w14:paraId="3B5759F7"/>
    <w:p w14:paraId="4D6B6096">
      <w:pPr>
        <w:pStyle w:val="58"/>
      </w:pPr>
      <w:r>
        <w:rPr>
          <w:rFonts w:ascii="宋体" w:hAnsi="宋体" w:eastAsia="宋体" w:cs="宋体"/>
          <w:b/>
        </w:rPr>
        <w:t>6.4.10.2 关联方报酬</w:t>
      </w:r>
    </w:p>
    <w:p w14:paraId="292BAE57">
      <w:pPr>
        <w:pStyle w:val="58"/>
      </w:pPr>
      <w:r>
        <w:rPr>
          <w:rFonts w:ascii="宋体" w:hAnsi="宋体" w:eastAsia="宋体" w:cs="宋体"/>
          <w:b/>
        </w:rPr>
        <w:t>6.4.10.2.1 基金管理费</w:t>
      </w:r>
    </w:p>
    <w:p w14:paraId="5A12F3E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7"/>
        <w:gridCol w:w="4589"/>
      </w:tblGrid>
      <w:tr w14:paraId="498A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2" w:type="pct"/>
            <w:shd w:val="clear" w:color="auto" w:fill="D9D9D9"/>
            <w:vAlign w:val="center"/>
          </w:tcPr>
          <w:p w14:paraId="30BB7A30">
            <w:pPr>
              <w:spacing w:line="240" w:lineRule="auto"/>
              <w:jc w:val="center"/>
            </w:pPr>
            <w:r>
              <w:rPr>
                <w:rFonts w:ascii="宋体" w:hAnsi="宋体" w:eastAsia="宋体" w:cs="宋体"/>
                <w:b w:val="0"/>
              </w:rPr>
              <w:t>项目</w:t>
            </w:r>
          </w:p>
        </w:tc>
        <w:tc>
          <w:tcPr>
            <w:tcW w:w="2308" w:type="pct"/>
            <w:shd w:val="clear" w:color="auto" w:fill="D9D9D9"/>
            <w:vAlign w:val="center"/>
          </w:tcPr>
          <w:p w14:paraId="6EF5B6C7">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5D89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09A612">
            <w:pPr>
              <w:spacing w:line="240" w:lineRule="auto"/>
              <w:jc w:val="left"/>
            </w:pPr>
            <w:r>
              <w:rPr>
                <w:rFonts w:ascii="宋体" w:hAnsi="宋体" w:eastAsia="宋体" w:cs="宋体"/>
                <w:b w:val="0"/>
              </w:rPr>
              <w:t>当期发生的基金应支付的管理费</w:t>
            </w:r>
          </w:p>
        </w:tc>
        <w:tc>
          <w:tcPr>
            <w:tcW w:w="0" w:type="dxa"/>
            <w:vAlign w:val="center"/>
          </w:tcPr>
          <w:p w14:paraId="2D5EDB7C">
            <w:pPr>
              <w:spacing w:line="240" w:lineRule="auto"/>
              <w:jc w:val="right"/>
            </w:pPr>
            <w:r>
              <w:rPr>
                <w:rFonts w:ascii="宋体" w:hAnsi="宋体" w:eastAsia="宋体" w:cs="宋体"/>
                <w:b w:val="0"/>
              </w:rPr>
              <w:t>4,863.33</w:t>
            </w:r>
          </w:p>
        </w:tc>
      </w:tr>
      <w:tr w14:paraId="535F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BEDA57">
            <w:pPr>
              <w:spacing w:line="240" w:lineRule="auto"/>
              <w:jc w:val="left"/>
            </w:pPr>
            <w:r>
              <w:rPr>
                <w:rFonts w:ascii="宋体" w:hAnsi="宋体" w:eastAsia="宋体" w:cs="宋体"/>
                <w:b w:val="0"/>
              </w:rPr>
              <w:t>其中：应支付销售机构的客户维护费</w:t>
            </w:r>
          </w:p>
        </w:tc>
        <w:tc>
          <w:tcPr>
            <w:tcW w:w="0" w:type="dxa"/>
            <w:vAlign w:val="center"/>
          </w:tcPr>
          <w:p w14:paraId="5C177F83">
            <w:pPr>
              <w:spacing w:line="240" w:lineRule="auto"/>
              <w:jc w:val="right"/>
            </w:pPr>
            <w:r>
              <w:rPr>
                <w:rFonts w:ascii="宋体" w:hAnsi="宋体" w:eastAsia="宋体" w:cs="宋体"/>
                <w:b w:val="0"/>
              </w:rPr>
              <w:t>82.77</w:t>
            </w:r>
          </w:p>
        </w:tc>
      </w:tr>
      <w:tr w14:paraId="2642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ACF139">
            <w:pPr>
              <w:spacing w:line="240" w:lineRule="auto"/>
              <w:jc w:val="left"/>
            </w:pPr>
            <w:r>
              <w:rPr>
                <w:rFonts w:ascii="宋体" w:hAnsi="宋体" w:eastAsia="宋体" w:cs="宋体"/>
                <w:b w:val="0"/>
              </w:rPr>
              <w:t xml:space="preserve">      应支付基金管理人的净管理费</w:t>
            </w:r>
          </w:p>
        </w:tc>
        <w:tc>
          <w:tcPr>
            <w:tcW w:w="0" w:type="dxa"/>
            <w:vAlign w:val="center"/>
          </w:tcPr>
          <w:p w14:paraId="75AF3BC4">
            <w:pPr>
              <w:spacing w:line="240" w:lineRule="auto"/>
              <w:jc w:val="right"/>
            </w:pPr>
            <w:r>
              <w:rPr>
                <w:rFonts w:ascii="宋体" w:hAnsi="宋体" w:eastAsia="宋体" w:cs="宋体"/>
                <w:b w:val="0"/>
              </w:rPr>
              <w:t>4,780.56</w:t>
            </w:r>
          </w:p>
        </w:tc>
      </w:tr>
    </w:tbl>
    <w:p w14:paraId="7F422338">
      <w:r>
        <w:rPr>
          <w:rFonts w:ascii="宋体" w:hAnsi="宋体" w:eastAsia="宋体" w:cs="宋体"/>
          <w:b w:val="0"/>
        </w:rPr>
        <w:t>注：1、支付基金管理人的管理人报酬按前一日基金资产净值0.60%的年费率计提，逐日累计至每月月底，按月支付。其计算公式为：</w:t>
      </w:r>
      <w:r>
        <w:rPr>
          <w:rFonts w:ascii="宋体" w:hAnsi="宋体" w:eastAsia="宋体" w:cs="宋体"/>
          <w:b w:val="0"/>
        </w:rPr>
        <w:br w:type="textWrapping"/>
      </w:r>
      <w:r>
        <w:rPr>
          <w:rFonts w:ascii="宋体" w:hAnsi="宋体" w:eastAsia="宋体" w:cs="宋体"/>
          <w:b w:val="0"/>
        </w:rPr>
        <w:t>日管理人报酬＝前一日基金资产净值 × 0.60%/ 当年天数。</w:t>
      </w:r>
      <w:r>
        <w:rPr>
          <w:rFonts w:ascii="宋体" w:hAnsi="宋体" w:eastAsia="宋体" w:cs="宋体"/>
          <w:b w:val="0"/>
        </w:rPr>
        <w:br w:type="textWrapping"/>
      </w:r>
      <w:r>
        <w:rPr>
          <w:rFonts w:ascii="宋体" w:hAnsi="宋体" w:eastAsia="宋体" w:cs="宋体"/>
          <w:b w:val="0"/>
        </w:rPr>
        <w:t>2、本基金的基金合同于2026年06月02日生效，无上年度可比期间数据。</w:t>
      </w:r>
    </w:p>
    <w:p w14:paraId="28A681A4"/>
    <w:p w14:paraId="62C41D1A">
      <w:pPr>
        <w:pStyle w:val="58"/>
      </w:pPr>
      <w:r>
        <w:rPr>
          <w:rFonts w:ascii="宋体" w:hAnsi="宋体" w:eastAsia="宋体" w:cs="宋体"/>
          <w:b/>
        </w:rPr>
        <w:t>6.4.10.2.2 基金托管费</w:t>
      </w:r>
    </w:p>
    <w:p w14:paraId="5B66597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7214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3B5E151A">
            <w:pPr>
              <w:spacing w:line="240" w:lineRule="auto"/>
              <w:jc w:val="center"/>
            </w:pPr>
            <w:r>
              <w:rPr>
                <w:rFonts w:ascii="宋体" w:hAnsi="宋体" w:eastAsia="宋体" w:cs="宋体"/>
                <w:b w:val="0"/>
              </w:rPr>
              <w:t>项目</w:t>
            </w:r>
          </w:p>
        </w:tc>
        <w:tc>
          <w:tcPr>
            <w:tcW w:w="2308" w:type="pct"/>
            <w:shd w:val="clear" w:color="auto" w:fill="D9D9D9"/>
            <w:vAlign w:val="center"/>
          </w:tcPr>
          <w:p w14:paraId="5FBC1F89">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2EFF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AB99FD">
            <w:pPr>
              <w:spacing w:line="240" w:lineRule="auto"/>
              <w:jc w:val="left"/>
            </w:pPr>
            <w:r>
              <w:rPr>
                <w:rFonts w:ascii="宋体" w:hAnsi="宋体" w:eastAsia="宋体" w:cs="宋体"/>
                <w:b w:val="0"/>
              </w:rPr>
              <w:t>当期发生的基金应支付的托管费</w:t>
            </w:r>
          </w:p>
        </w:tc>
        <w:tc>
          <w:tcPr>
            <w:tcW w:w="0" w:type="dxa"/>
            <w:vAlign w:val="center"/>
          </w:tcPr>
          <w:p w14:paraId="570FB29B">
            <w:pPr>
              <w:spacing w:line="240" w:lineRule="auto"/>
              <w:jc w:val="right"/>
            </w:pPr>
            <w:r>
              <w:rPr>
                <w:rFonts w:ascii="宋体" w:hAnsi="宋体" w:eastAsia="宋体" w:cs="宋体"/>
                <w:b w:val="0"/>
              </w:rPr>
              <w:t>810.58</w:t>
            </w:r>
          </w:p>
        </w:tc>
      </w:tr>
    </w:tbl>
    <w:p w14:paraId="19591C69">
      <w:r>
        <w:rPr>
          <w:rFonts w:ascii="宋体" w:hAnsi="宋体" w:eastAsia="宋体" w:cs="宋体"/>
          <w:b w:val="0"/>
        </w:rPr>
        <w:t>注：1、支付基金托管人的托管费按前一日基金资产净值0.10%的年费率计提，逐日累计至每月月底，按月支付。其计算公式为：</w:t>
      </w:r>
      <w:r>
        <w:rPr>
          <w:rFonts w:ascii="宋体" w:hAnsi="宋体" w:eastAsia="宋体" w:cs="宋体"/>
          <w:b w:val="0"/>
        </w:rPr>
        <w:br w:type="textWrapping"/>
      </w:r>
      <w:r>
        <w:rPr>
          <w:rFonts w:ascii="宋体" w:hAnsi="宋体" w:eastAsia="宋体" w:cs="宋体"/>
          <w:b w:val="0"/>
        </w:rPr>
        <w:t>日托管费＝前一日基金资产净值×0.10%/当年天数。</w:t>
      </w:r>
      <w:r>
        <w:rPr>
          <w:rFonts w:ascii="宋体" w:hAnsi="宋体" w:eastAsia="宋体" w:cs="宋体"/>
          <w:b w:val="0"/>
        </w:rPr>
        <w:br w:type="textWrapping"/>
      </w:r>
      <w:r>
        <w:rPr>
          <w:rFonts w:ascii="宋体" w:hAnsi="宋体" w:eastAsia="宋体" w:cs="宋体"/>
          <w:b w:val="0"/>
        </w:rPr>
        <w:t>2、本基金的基金合同于2026年06月02日生效，无上年度可比期间数据。</w:t>
      </w:r>
    </w:p>
    <w:p w14:paraId="2FF34922"/>
    <w:p w14:paraId="00638AAF">
      <w:pPr>
        <w:pStyle w:val="58"/>
      </w:pPr>
      <w:r>
        <w:rPr>
          <w:rFonts w:ascii="宋体" w:hAnsi="宋体" w:eastAsia="宋体" w:cs="宋体"/>
          <w:b/>
        </w:rPr>
        <w:t>6.4.10.2.3 销售服务费</w:t>
      </w:r>
    </w:p>
    <w:p w14:paraId="257D4582">
      <w:r>
        <w:rPr>
          <w:rFonts w:ascii="宋体" w:hAnsi="宋体" w:eastAsia="宋体" w:cs="宋体"/>
          <w:b w:val="0"/>
        </w:rPr>
        <w:t xml:space="preserve">    本基金本报告期内未发生应支付关联方的销售服务费。</w:t>
      </w:r>
    </w:p>
    <w:p w14:paraId="0FB203DC"/>
    <w:p w14:paraId="6421FC52">
      <w:pPr>
        <w:pStyle w:val="58"/>
      </w:pPr>
      <w:r>
        <w:rPr>
          <w:rFonts w:ascii="宋体" w:hAnsi="宋体" w:eastAsia="宋体" w:cs="宋体"/>
          <w:b/>
        </w:rPr>
        <w:t>6.4.10.3 与关联方进行银行间同业市场的债券(含回购)交易</w:t>
      </w:r>
    </w:p>
    <w:p w14:paraId="67A3EECE">
      <w:r>
        <w:rPr>
          <w:rFonts w:ascii="宋体" w:hAnsi="宋体" w:eastAsia="宋体" w:cs="宋体"/>
          <w:b w:val="0"/>
        </w:rPr>
        <w:t xml:space="preserve">    本基金本报告期内未与关联方进行银行间同业市场的债券(含回购)交易。</w:t>
      </w:r>
    </w:p>
    <w:p w14:paraId="4F2B7186"/>
    <w:p w14:paraId="6FBF4722">
      <w:pPr>
        <w:pStyle w:val="58"/>
      </w:pPr>
      <w:r>
        <w:rPr>
          <w:rFonts w:ascii="宋体" w:hAnsi="宋体" w:eastAsia="宋体" w:cs="宋体"/>
          <w:b/>
        </w:rPr>
        <w:t>6.4.10.4 报告期内转融通证券出借业务发生重大关联交易事项的说明</w:t>
      </w:r>
    </w:p>
    <w:p w14:paraId="52F42CBE">
      <w:pPr>
        <w:pStyle w:val="58"/>
      </w:pPr>
      <w:r>
        <w:rPr>
          <w:rFonts w:ascii="宋体" w:hAnsi="宋体" w:eastAsia="宋体" w:cs="宋体"/>
          <w:b/>
        </w:rPr>
        <w:t>6.4.10.4.1 与关联方通过约定申报方式进行的适用固定期限费率的证券出借业务的情况</w:t>
      </w:r>
    </w:p>
    <w:p w14:paraId="3EB9EF65">
      <w:r>
        <w:rPr>
          <w:rFonts w:ascii="宋体" w:hAnsi="宋体" w:eastAsia="宋体" w:cs="宋体"/>
          <w:b w:val="0"/>
        </w:rPr>
        <w:t xml:space="preserve">    本基金本报告期内无与关联方通过约定申报方式进行的适用固定期限费率的证券出借业务的情况。</w:t>
      </w:r>
    </w:p>
    <w:p w14:paraId="11882558"/>
    <w:p w14:paraId="50380CDF">
      <w:pPr>
        <w:pStyle w:val="58"/>
      </w:pPr>
      <w:r>
        <w:rPr>
          <w:rFonts w:ascii="宋体" w:hAnsi="宋体" w:eastAsia="宋体" w:cs="宋体"/>
          <w:b/>
        </w:rPr>
        <w:t>6.4.10.4.2 与关联方通过约定申报方式进行的适用市场化期限费率的证券出借业务的情况</w:t>
      </w:r>
    </w:p>
    <w:p w14:paraId="445B92DA">
      <w:r>
        <w:rPr>
          <w:rFonts w:ascii="宋体" w:hAnsi="宋体" w:eastAsia="宋体" w:cs="宋体"/>
          <w:b w:val="0"/>
        </w:rPr>
        <w:t xml:space="preserve">    本基金本报告期内无与关联方通过约定申报方式进行的适用市场化期限费率的证券出借业务的情况。</w:t>
      </w:r>
    </w:p>
    <w:p w14:paraId="012E594E"/>
    <w:p w14:paraId="32908B79">
      <w:pPr>
        <w:pStyle w:val="58"/>
      </w:pPr>
      <w:r>
        <w:rPr>
          <w:rFonts w:ascii="宋体" w:hAnsi="宋体" w:eastAsia="宋体" w:cs="宋体"/>
          <w:b/>
        </w:rPr>
        <w:t>6.4.10.5 各关联方投资本基金的情况</w:t>
      </w:r>
    </w:p>
    <w:p w14:paraId="52CB71A4">
      <w:pPr>
        <w:pStyle w:val="58"/>
      </w:pPr>
      <w:r>
        <w:rPr>
          <w:rFonts w:ascii="宋体" w:hAnsi="宋体" w:eastAsia="宋体" w:cs="宋体"/>
          <w:b/>
        </w:rPr>
        <w:t>6.4.10.5.1 报告期内基金管理人运用固有资金投资本基金的情况</w:t>
      </w:r>
    </w:p>
    <w:p w14:paraId="3245B811">
      <w:pPr>
        <w:jc w:val="left"/>
      </w:pPr>
      <w:r>
        <w:rPr>
          <w:rFonts w:ascii="宋体" w:hAnsi="宋体" w:eastAsia="宋体" w:cs="宋体"/>
          <w:b/>
        </w:rPr>
        <w:t>东方阿尔法增利债券发起A</w:t>
      </w:r>
    </w:p>
    <w:p w14:paraId="787C8E87">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197A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0A7E8931">
            <w:pPr>
              <w:spacing w:line="240" w:lineRule="auto"/>
              <w:jc w:val="center"/>
            </w:pPr>
            <w:r>
              <w:rPr>
                <w:rFonts w:ascii="宋体" w:hAnsi="宋体" w:eastAsia="宋体" w:cs="宋体"/>
                <w:b w:val="0"/>
              </w:rPr>
              <w:t>项目</w:t>
            </w:r>
          </w:p>
        </w:tc>
        <w:tc>
          <w:tcPr>
            <w:tcW w:w="2308" w:type="pct"/>
            <w:shd w:val="clear" w:color="auto" w:fill="D9D9D9"/>
            <w:vAlign w:val="center"/>
          </w:tcPr>
          <w:p w14:paraId="03E9E593">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5D9F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BA9761">
            <w:pPr>
              <w:spacing w:line="240" w:lineRule="auto"/>
              <w:jc w:val="left"/>
            </w:pPr>
            <w:r>
              <w:rPr>
                <w:rFonts w:ascii="宋体" w:hAnsi="宋体" w:eastAsia="宋体" w:cs="宋体"/>
                <w:b w:val="0"/>
              </w:rPr>
              <w:t>基金合同生效日（2026年06月02日）持有的基金份额</w:t>
            </w:r>
          </w:p>
        </w:tc>
        <w:tc>
          <w:tcPr>
            <w:tcW w:w="0" w:type="dxa"/>
            <w:vAlign w:val="center"/>
          </w:tcPr>
          <w:p w14:paraId="11CB7B9B">
            <w:pPr>
              <w:spacing w:line="240" w:lineRule="auto"/>
              <w:jc w:val="right"/>
            </w:pPr>
            <w:r>
              <w:rPr>
                <w:rFonts w:ascii="宋体" w:hAnsi="宋体" w:eastAsia="宋体" w:cs="宋体"/>
                <w:b w:val="0"/>
              </w:rPr>
              <w:t>5,000,194.44</w:t>
            </w:r>
          </w:p>
        </w:tc>
      </w:tr>
      <w:tr w14:paraId="324E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91DD26">
            <w:pPr>
              <w:spacing w:line="240" w:lineRule="auto"/>
              <w:jc w:val="left"/>
            </w:pPr>
            <w:r>
              <w:rPr>
                <w:rFonts w:ascii="宋体" w:hAnsi="宋体" w:eastAsia="宋体" w:cs="宋体"/>
                <w:b w:val="0"/>
              </w:rPr>
              <w:t>报告期初持有的基金份额</w:t>
            </w:r>
          </w:p>
        </w:tc>
        <w:tc>
          <w:tcPr>
            <w:tcW w:w="0" w:type="dxa"/>
            <w:vAlign w:val="center"/>
          </w:tcPr>
          <w:p w14:paraId="4A9B6553">
            <w:pPr>
              <w:spacing w:line="240" w:lineRule="auto"/>
              <w:jc w:val="right"/>
            </w:pPr>
            <w:r>
              <w:rPr>
                <w:rFonts w:ascii="宋体" w:hAnsi="宋体" w:eastAsia="宋体" w:cs="宋体"/>
                <w:b w:val="0"/>
              </w:rPr>
              <w:t>-</w:t>
            </w:r>
          </w:p>
        </w:tc>
      </w:tr>
      <w:tr w14:paraId="6CB1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F0F405">
            <w:pPr>
              <w:spacing w:line="240" w:lineRule="auto"/>
              <w:jc w:val="left"/>
            </w:pPr>
            <w:r>
              <w:rPr>
                <w:rFonts w:ascii="宋体" w:hAnsi="宋体" w:eastAsia="宋体" w:cs="宋体"/>
                <w:b w:val="0"/>
              </w:rPr>
              <w:t>报告期间申购/买入总份额</w:t>
            </w:r>
          </w:p>
        </w:tc>
        <w:tc>
          <w:tcPr>
            <w:tcW w:w="0" w:type="dxa"/>
            <w:vAlign w:val="center"/>
          </w:tcPr>
          <w:p w14:paraId="576D2792">
            <w:pPr>
              <w:spacing w:line="240" w:lineRule="auto"/>
              <w:jc w:val="right"/>
            </w:pPr>
            <w:r>
              <w:rPr>
                <w:rFonts w:ascii="宋体" w:hAnsi="宋体" w:eastAsia="宋体" w:cs="宋体"/>
                <w:b w:val="0"/>
              </w:rPr>
              <w:t>-</w:t>
            </w:r>
          </w:p>
        </w:tc>
      </w:tr>
      <w:tr w14:paraId="2494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C22739">
            <w:pPr>
              <w:spacing w:line="240" w:lineRule="auto"/>
              <w:jc w:val="left"/>
            </w:pPr>
            <w:r>
              <w:rPr>
                <w:rFonts w:ascii="宋体" w:hAnsi="宋体" w:eastAsia="宋体" w:cs="宋体"/>
                <w:b w:val="0"/>
              </w:rPr>
              <w:t>报告期间因拆分变动份额</w:t>
            </w:r>
          </w:p>
        </w:tc>
        <w:tc>
          <w:tcPr>
            <w:tcW w:w="0" w:type="dxa"/>
            <w:vAlign w:val="center"/>
          </w:tcPr>
          <w:p w14:paraId="1B072388">
            <w:pPr>
              <w:spacing w:line="240" w:lineRule="auto"/>
              <w:jc w:val="right"/>
            </w:pPr>
            <w:r>
              <w:rPr>
                <w:rFonts w:ascii="宋体" w:hAnsi="宋体" w:eastAsia="宋体" w:cs="宋体"/>
                <w:b w:val="0"/>
              </w:rPr>
              <w:t>-</w:t>
            </w:r>
          </w:p>
        </w:tc>
      </w:tr>
      <w:tr w14:paraId="27B9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B266CD">
            <w:pPr>
              <w:spacing w:line="240" w:lineRule="auto"/>
              <w:jc w:val="left"/>
            </w:pPr>
            <w:r>
              <w:rPr>
                <w:rFonts w:ascii="宋体" w:hAnsi="宋体" w:eastAsia="宋体" w:cs="宋体"/>
                <w:b w:val="0"/>
              </w:rPr>
              <w:t>减：报告期间赎回/卖出总份额</w:t>
            </w:r>
          </w:p>
        </w:tc>
        <w:tc>
          <w:tcPr>
            <w:tcW w:w="0" w:type="dxa"/>
            <w:vAlign w:val="center"/>
          </w:tcPr>
          <w:p w14:paraId="07CBB139">
            <w:pPr>
              <w:spacing w:line="240" w:lineRule="auto"/>
              <w:jc w:val="right"/>
            </w:pPr>
            <w:r>
              <w:rPr>
                <w:rFonts w:ascii="宋体" w:hAnsi="宋体" w:eastAsia="宋体" w:cs="宋体"/>
                <w:b w:val="0"/>
              </w:rPr>
              <w:t>-</w:t>
            </w:r>
          </w:p>
        </w:tc>
      </w:tr>
      <w:tr w14:paraId="27A6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3CD7C9">
            <w:pPr>
              <w:spacing w:line="240" w:lineRule="auto"/>
              <w:jc w:val="left"/>
            </w:pPr>
            <w:r>
              <w:rPr>
                <w:rFonts w:ascii="宋体" w:hAnsi="宋体" w:eastAsia="宋体" w:cs="宋体"/>
                <w:b w:val="0"/>
              </w:rPr>
              <w:t>报告期末持有的基金份额</w:t>
            </w:r>
          </w:p>
        </w:tc>
        <w:tc>
          <w:tcPr>
            <w:tcW w:w="0" w:type="dxa"/>
            <w:vAlign w:val="center"/>
          </w:tcPr>
          <w:p w14:paraId="637DAE4C">
            <w:pPr>
              <w:spacing w:line="240" w:lineRule="auto"/>
              <w:jc w:val="right"/>
            </w:pPr>
            <w:r>
              <w:rPr>
                <w:rFonts w:ascii="宋体" w:hAnsi="宋体" w:eastAsia="宋体" w:cs="宋体"/>
                <w:b w:val="0"/>
              </w:rPr>
              <w:t>5,000,194.44</w:t>
            </w:r>
          </w:p>
        </w:tc>
      </w:tr>
      <w:tr w14:paraId="3F9D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BB10A7">
            <w:pPr>
              <w:spacing w:line="240" w:lineRule="auto"/>
              <w:jc w:val="left"/>
            </w:pPr>
            <w:r>
              <w:rPr>
                <w:rFonts w:ascii="宋体" w:hAnsi="宋体" w:eastAsia="宋体" w:cs="宋体"/>
                <w:b w:val="0"/>
              </w:rPr>
              <w:t>报告期末持有的基金份额占基金总份额比例</w:t>
            </w:r>
          </w:p>
        </w:tc>
        <w:tc>
          <w:tcPr>
            <w:tcW w:w="0" w:type="dxa"/>
            <w:vAlign w:val="center"/>
          </w:tcPr>
          <w:p w14:paraId="0D5DCA32">
            <w:pPr>
              <w:spacing w:line="240" w:lineRule="auto"/>
              <w:jc w:val="right"/>
            </w:pPr>
            <w:r>
              <w:rPr>
                <w:rFonts w:ascii="宋体" w:hAnsi="宋体" w:eastAsia="宋体" w:cs="宋体"/>
                <w:b w:val="0"/>
              </w:rPr>
              <w:t>48.03%</w:t>
            </w:r>
          </w:p>
        </w:tc>
      </w:tr>
    </w:tbl>
    <w:p w14:paraId="538782F5">
      <w:r>
        <w:rPr>
          <w:rFonts w:ascii="宋体" w:hAnsi="宋体" w:eastAsia="宋体" w:cs="宋体"/>
          <w:b w:val="0"/>
        </w:rPr>
        <w:t>注:1.以上表中“报告期末持有的基金份额占基金总份额比例”的计算中，对下属不同类别基金比例的分母采用各自级别的份额。</w:t>
      </w:r>
      <w:r>
        <w:rPr>
          <w:rFonts w:ascii="宋体" w:hAnsi="宋体" w:eastAsia="宋体" w:cs="宋体"/>
          <w:b w:val="0"/>
        </w:rPr>
        <w:br w:type="textWrapping"/>
      </w:r>
      <w:r>
        <w:rPr>
          <w:rFonts w:ascii="宋体" w:hAnsi="宋体" w:eastAsia="宋体" w:cs="宋体"/>
          <w:b w:val="0"/>
        </w:rPr>
        <w:t>2.基金管理人东方阿尔法基金管理有限公司在本会计期间认购本基金的交易委托直销柜台办理，不收取认购费。</w:t>
      </w:r>
      <w:r>
        <w:rPr>
          <w:rFonts w:ascii="宋体" w:hAnsi="宋体" w:eastAsia="宋体" w:cs="宋体"/>
          <w:b w:val="0"/>
        </w:rPr>
        <w:br w:type="textWrapping"/>
      </w:r>
      <w:r>
        <w:rPr>
          <w:rFonts w:ascii="宋体" w:hAnsi="宋体" w:eastAsia="宋体" w:cs="宋体"/>
          <w:b w:val="0"/>
        </w:rPr>
        <w:t>3.报告期内基金管理人未运用固有资金投资“东方阿尔法增利债券发起C”。</w:t>
      </w:r>
      <w:r>
        <w:rPr>
          <w:rFonts w:ascii="宋体" w:hAnsi="宋体" w:eastAsia="宋体" w:cs="宋体"/>
          <w:b w:val="0"/>
        </w:rPr>
        <w:br w:type="textWrapping"/>
      </w:r>
      <w:r>
        <w:rPr>
          <w:rFonts w:ascii="宋体" w:hAnsi="宋体" w:eastAsia="宋体" w:cs="宋体"/>
          <w:b w:val="0"/>
        </w:rPr>
        <w:t>4.本基金的基金合同于2026年6月2日生效，无上年度可比期间数据。</w:t>
      </w:r>
    </w:p>
    <w:p w14:paraId="73E72FA3"/>
    <w:p w14:paraId="409C49A6">
      <w:pPr>
        <w:pStyle w:val="58"/>
      </w:pPr>
      <w:r>
        <w:rPr>
          <w:rFonts w:ascii="宋体" w:hAnsi="宋体" w:eastAsia="宋体" w:cs="宋体"/>
          <w:b/>
        </w:rPr>
        <w:t>6.4.10.5.2 报告期末除基金管理人之外的其他关联方投资本基金的情况</w:t>
      </w:r>
    </w:p>
    <w:p w14:paraId="22A973E5">
      <w:pPr>
        <w:jc w:val="left"/>
      </w:pPr>
      <w:r>
        <w:rPr>
          <w:rFonts w:ascii="宋体" w:hAnsi="宋体" w:eastAsia="宋体" w:cs="宋体"/>
          <w:b/>
        </w:rPr>
        <w:t>东方阿尔法增利债券发起A</w:t>
      </w:r>
    </w:p>
    <w:p w14:paraId="3BFDAA8B">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4320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3268C6A9">
            <w:pPr>
              <w:spacing w:line="240" w:lineRule="auto"/>
              <w:jc w:val="center"/>
            </w:pPr>
            <w:r>
              <w:rPr>
                <w:rFonts w:ascii="宋体" w:hAnsi="宋体" w:eastAsia="宋体" w:cs="宋体"/>
                <w:b w:val="0"/>
              </w:rPr>
              <w:t>关联方名称</w:t>
            </w:r>
          </w:p>
        </w:tc>
        <w:tc>
          <w:tcPr>
            <w:tcW w:w="3077" w:type="pct"/>
            <w:gridSpan w:val="2"/>
            <w:shd w:val="clear" w:color="auto" w:fill="D9D9D9"/>
            <w:vAlign w:val="center"/>
          </w:tcPr>
          <w:p w14:paraId="0E0EFD7D">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10F7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E51BAF1"/>
        </w:tc>
        <w:tc>
          <w:tcPr>
            <w:tcW w:w="1538" w:type="pct"/>
            <w:shd w:val="clear" w:color="auto" w:fill="D9D9D9"/>
            <w:vAlign w:val="center"/>
          </w:tcPr>
          <w:p w14:paraId="2F1F45FE">
            <w:pPr>
              <w:spacing w:line="240" w:lineRule="auto"/>
              <w:jc w:val="center"/>
            </w:pPr>
            <w:r>
              <w:rPr>
                <w:rFonts w:ascii="宋体" w:hAnsi="宋体" w:eastAsia="宋体" w:cs="宋体"/>
                <w:b w:val="0"/>
              </w:rPr>
              <w:t>持有的基金份额</w:t>
            </w:r>
          </w:p>
        </w:tc>
        <w:tc>
          <w:tcPr>
            <w:tcW w:w="1538" w:type="pct"/>
            <w:shd w:val="clear" w:color="auto" w:fill="D9D9D9"/>
            <w:vAlign w:val="center"/>
          </w:tcPr>
          <w:p w14:paraId="2EA234BD">
            <w:pPr>
              <w:spacing w:line="240" w:lineRule="auto"/>
              <w:jc w:val="center"/>
            </w:pPr>
            <w:r>
              <w:rPr>
                <w:rFonts w:ascii="宋体" w:hAnsi="宋体" w:eastAsia="宋体" w:cs="宋体"/>
                <w:b w:val="0"/>
              </w:rPr>
              <w:t>持有的基金份额占基金总份额的比例</w:t>
            </w:r>
          </w:p>
        </w:tc>
      </w:tr>
      <w:tr w14:paraId="71FB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8E35B2">
            <w:pPr>
              <w:spacing w:line="240" w:lineRule="auto"/>
              <w:jc w:val="left"/>
            </w:pPr>
            <w:r>
              <w:rPr>
                <w:rFonts w:ascii="宋体" w:hAnsi="宋体" w:eastAsia="宋体" w:cs="宋体"/>
                <w:b w:val="0"/>
              </w:rPr>
              <w:t>曾健</w:t>
            </w:r>
          </w:p>
        </w:tc>
        <w:tc>
          <w:tcPr>
            <w:tcW w:w="0" w:type="dxa"/>
            <w:vAlign w:val="center"/>
          </w:tcPr>
          <w:p w14:paraId="5435CAE6">
            <w:pPr>
              <w:spacing w:line="240" w:lineRule="auto"/>
              <w:jc w:val="right"/>
            </w:pPr>
            <w:r>
              <w:rPr>
                <w:rFonts w:ascii="宋体" w:hAnsi="宋体" w:eastAsia="宋体" w:cs="宋体"/>
                <w:b w:val="0"/>
              </w:rPr>
              <w:t>450,017.50</w:t>
            </w:r>
          </w:p>
        </w:tc>
        <w:tc>
          <w:tcPr>
            <w:tcW w:w="0" w:type="dxa"/>
            <w:vAlign w:val="center"/>
          </w:tcPr>
          <w:p w14:paraId="3880D30B">
            <w:pPr>
              <w:spacing w:line="240" w:lineRule="auto"/>
              <w:jc w:val="right"/>
            </w:pPr>
            <w:r>
              <w:rPr>
                <w:rFonts w:ascii="宋体" w:hAnsi="宋体" w:eastAsia="宋体" w:cs="宋体"/>
                <w:b w:val="0"/>
              </w:rPr>
              <w:t>4.32%</w:t>
            </w:r>
          </w:p>
        </w:tc>
      </w:tr>
      <w:tr w14:paraId="3F88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C5F152">
            <w:pPr>
              <w:spacing w:line="240" w:lineRule="auto"/>
              <w:jc w:val="left"/>
            </w:pPr>
            <w:r>
              <w:rPr>
                <w:rFonts w:ascii="宋体" w:hAnsi="宋体" w:eastAsia="宋体" w:cs="宋体"/>
                <w:b w:val="0"/>
              </w:rPr>
              <w:t>肖冰</w:t>
            </w:r>
          </w:p>
        </w:tc>
        <w:tc>
          <w:tcPr>
            <w:tcW w:w="0" w:type="dxa"/>
            <w:vAlign w:val="center"/>
          </w:tcPr>
          <w:p w14:paraId="5A588965">
            <w:pPr>
              <w:spacing w:line="240" w:lineRule="auto"/>
              <w:jc w:val="right"/>
            </w:pPr>
            <w:r>
              <w:rPr>
                <w:rFonts w:ascii="宋体" w:hAnsi="宋体" w:eastAsia="宋体" w:cs="宋体"/>
                <w:b w:val="0"/>
              </w:rPr>
              <w:t>2,000,077.77</w:t>
            </w:r>
          </w:p>
        </w:tc>
        <w:tc>
          <w:tcPr>
            <w:tcW w:w="0" w:type="dxa"/>
            <w:vAlign w:val="center"/>
          </w:tcPr>
          <w:p w14:paraId="1E66A0CD">
            <w:pPr>
              <w:spacing w:line="240" w:lineRule="auto"/>
              <w:jc w:val="right"/>
            </w:pPr>
            <w:r>
              <w:rPr>
                <w:rFonts w:ascii="宋体" w:hAnsi="宋体" w:eastAsia="宋体" w:cs="宋体"/>
                <w:b w:val="0"/>
              </w:rPr>
              <w:t>19.21%</w:t>
            </w:r>
          </w:p>
        </w:tc>
      </w:tr>
      <w:tr w14:paraId="33DC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98B657">
            <w:pPr>
              <w:spacing w:line="240" w:lineRule="auto"/>
              <w:jc w:val="left"/>
            </w:pPr>
            <w:r>
              <w:rPr>
                <w:rFonts w:ascii="宋体" w:hAnsi="宋体" w:eastAsia="宋体" w:cs="宋体"/>
                <w:b w:val="0"/>
              </w:rPr>
              <w:t>刘明</w:t>
            </w:r>
          </w:p>
        </w:tc>
        <w:tc>
          <w:tcPr>
            <w:tcW w:w="0" w:type="dxa"/>
            <w:vAlign w:val="center"/>
          </w:tcPr>
          <w:p w14:paraId="63A5BD37">
            <w:pPr>
              <w:spacing w:line="240" w:lineRule="auto"/>
              <w:jc w:val="right"/>
            </w:pPr>
            <w:r>
              <w:rPr>
                <w:rFonts w:ascii="宋体" w:hAnsi="宋体" w:eastAsia="宋体" w:cs="宋体"/>
                <w:b w:val="0"/>
              </w:rPr>
              <w:t>2,000,077.77</w:t>
            </w:r>
          </w:p>
        </w:tc>
        <w:tc>
          <w:tcPr>
            <w:tcW w:w="0" w:type="dxa"/>
            <w:vAlign w:val="center"/>
          </w:tcPr>
          <w:p w14:paraId="72F97706">
            <w:pPr>
              <w:spacing w:line="240" w:lineRule="auto"/>
              <w:jc w:val="right"/>
            </w:pPr>
            <w:r>
              <w:rPr>
                <w:rFonts w:ascii="宋体" w:hAnsi="宋体" w:eastAsia="宋体" w:cs="宋体"/>
                <w:b w:val="0"/>
              </w:rPr>
              <w:t>19.21%</w:t>
            </w:r>
          </w:p>
        </w:tc>
      </w:tr>
    </w:tbl>
    <w:p w14:paraId="7485C02A">
      <w:r>
        <w:rPr>
          <w:rFonts w:ascii="宋体" w:hAnsi="宋体" w:eastAsia="宋体" w:cs="宋体"/>
          <w:b w:val="0"/>
        </w:rPr>
        <w:t>注: 1.以上表中“持有的基金份额占基金总份额的比例”的计算中，对下属不同类别基金比例的分母采用各自级别的份额。</w:t>
      </w:r>
      <w:r>
        <w:rPr>
          <w:rFonts w:ascii="宋体" w:hAnsi="宋体" w:eastAsia="宋体" w:cs="宋体"/>
          <w:b w:val="0"/>
        </w:rPr>
        <w:br w:type="textWrapping"/>
      </w:r>
      <w:r>
        <w:rPr>
          <w:rFonts w:ascii="宋体" w:hAnsi="宋体" w:eastAsia="宋体" w:cs="宋体"/>
          <w:b w:val="0"/>
        </w:rPr>
        <w:t>2.上述关联方投资本基金适用的认购、申购、赎回费率按照本基金招募说明书的费率执行。</w:t>
      </w:r>
      <w:r>
        <w:rPr>
          <w:rFonts w:ascii="宋体" w:hAnsi="宋体" w:eastAsia="宋体" w:cs="宋体"/>
          <w:b w:val="0"/>
        </w:rPr>
        <w:br w:type="textWrapping"/>
      </w:r>
      <w:r>
        <w:rPr>
          <w:rFonts w:ascii="宋体" w:hAnsi="宋体" w:eastAsia="宋体" w:cs="宋体"/>
          <w:b w:val="0"/>
        </w:rPr>
        <w:t>3.报告期末除基金管理人之外的其他关联方未投资“东方阿尔法增利债券发起C”。</w:t>
      </w:r>
      <w:r>
        <w:rPr>
          <w:rFonts w:ascii="宋体" w:hAnsi="宋体" w:eastAsia="宋体" w:cs="宋体"/>
          <w:b w:val="0"/>
        </w:rPr>
        <w:br w:type="textWrapping"/>
      </w:r>
      <w:r>
        <w:rPr>
          <w:rFonts w:ascii="宋体" w:hAnsi="宋体" w:eastAsia="宋体" w:cs="宋体"/>
          <w:b w:val="0"/>
        </w:rPr>
        <w:t>4.本基金的基金合同于2026年6月2日生效，无上年末数据。</w:t>
      </w:r>
    </w:p>
    <w:p w14:paraId="2426C3C5"/>
    <w:p w14:paraId="4AE9487C">
      <w:pPr>
        <w:pStyle w:val="58"/>
      </w:pPr>
      <w:r>
        <w:rPr>
          <w:rFonts w:ascii="宋体" w:hAnsi="宋体" w:eastAsia="宋体" w:cs="宋体"/>
          <w:b/>
        </w:rPr>
        <w:t>6.4.10.6 由关联方保管的银行存款余额及当期产生的利息收入</w:t>
      </w:r>
    </w:p>
    <w:p w14:paraId="01B87F4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2191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2FF80F8F">
            <w:pPr>
              <w:spacing w:line="240" w:lineRule="auto"/>
              <w:jc w:val="center"/>
            </w:pPr>
            <w:r>
              <w:rPr>
                <w:rFonts w:ascii="宋体" w:hAnsi="宋体" w:eastAsia="宋体" w:cs="宋体"/>
                <w:b w:val="0"/>
              </w:rPr>
              <w:t>关联方名称</w:t>
            </w:r>
          </w:p>
        </w:tc>
        <w:tc>
          <w:tcPr>
            <w:tcW w:w="3077" w:type="pct"/>
            <w:gridSpan w:val="2"/>
            <w:shd w:val="clear" w:color="auto" w:fill="D9D9D9"/>
            <w:vAlign w:val="center"/>
          </w:tcPr>
          <w:p w14:paraId="53A5B355">
            <w:pPr>
              <w:spacing w:line="240" w:lineRule="auto"/>
              <w:jc w:val="center"/>
            </w:pPr>
            <w:r>
              <w:rPr>
                <w:rFonts w:ascii="宋体" w:hAnsi="宋体" w:eastAsia="宋体" w:cs="宋体"/>
                <w:b w:val="0"/>
              </w:rPr>
              <w:t>本期</w:t>
            </w:r>
            <w:r>
              <w:br w:type="textWrapping"/>
            </w:r>
            <w:r>
              <w:rPr>
                <w:rFonts w:ascii="宋体" w:hAnsi="宋体" w:eastAsia="宋体" w:cs="宋体"/>
                <w:b w:val="0"/>
              </w:rPr>
              <w:t>2026年06月02日（基金合同生效日）至2026年06月30日</w:t>
            </w:r>
          </w:p>
        </w:tc>
      </w:tr>
      <w:tr w14:paraId="4FEC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035A221"/>
        </w:tc>
        <w:tc>
          <w:tcPr>
            <w:tcW w:w="1538" w:type="pct"/>
            <w:shd w:val="clear" w:color="auto" w:fill="D9D9D9"/>
            <w:vAlign w:val="center"/>
          </w:tcPr>
          <w:p w14:paraId="0A468339">
            <w:pPr>
              <w:spacing w:line="240" w:lineRule="auto"/>
              <w:jc w:val="center"/>
            </w:pPr>
            <w:r>
              <w:rPr>
                <w:rFonts w:ascii="宋体" w:hAnsi="宋体" w:eastAsia="宋体" w:cs="宋体"/>
                <w:b w:val="0"/>
              </w:rPr>
              <w:t>期末余额</w:t>
            </w:r>
          </w:p>
        </w:tc>
        <w:tc>
          <w:tcPr>
            <w:tcW w:w="1538" w:type="pct"/>
            <w:shd w:val="clear" w:color="auto" w:fill="D9D9D9"/>
            <w:vAlign w:val="center"/>
          </w:tcPr>
          <w:p w14:paraId="2D4B3062">
            <w:pPr>
              <w:spacing w:line="240" w:lineRule="auto"/>
              <w:jc w:val="center"/>
            </w:pPr>
            <w:r>
              <w:rPr>
                <w:rFonts w:ascii="宋体" w:hAnsi="宋体" w:eastAsia="宋体" w:cs="宋体"/>
                <w:b w:val="0"/>
              </w:rPr>
              <w:t>当期利息收入</w:t>
            </w:r>
          </w:p>
        </w:tc>
      </w:tr>
      <w:tr w14:paraId="7B2F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1C6784">
            <w:pPr>
              <w:spacing w:line="240" w:lineRule="auto"/>
              <w:jc w:val="left"/>
            </w:pPr>
            <w:r>
              <w:rPr>
                <w:rFonts w:ascii="宋体" w:hAnsi="宋体" w:eastAsia="宋体" w:cs="宋体"/>
                <w:b w:val="0"/>
              </w:rPr>
              <w:t>招商银行</w:t>
            </w:r>
          </w:p>
        </w:tc>
        <w:tc>
          <w:tcPr>
            <w:tcW w:w="0" w:type="dxa"/>
            <w:vAlign w:val="center"/>
          </w:tcPr>
          <w:p w14:paraId="0AA5C430">
            <w:pPr>
              <w:spacing w:line="240" w:lineRule="auto"/>
              <w:jc w:val="right"/>
            </w:pPr>
            <w:r>
              <w:rPr>
                <w:rFonts w:ascii="宋体" w:hAnsi="宋体" w:eastAsia="宋体" w:cs="宋体"/>
                <w:b w:val="0"/>
              </w:rPr>
              <w:t>39,154.88</w:t>
            </w:r>
          </w:p>
        </w:tc>
        <w:tc>
          <w:tcPr>
            <w:tcW w:w="0" w:type="dxa"/>
            <w:vAlign w:val="center"/>
          </w:tcPr>
          <w:p w14:paraId="566EED09">
            <w:pPr>
              <w:spacing w:line="240" w:lineRule="auto"/>
              <w:jc w:val="right"/>
            </w:pPr>
            <w:r>
              <w:rPr>
                <w:rFonts w:ascii="宋体" w:hAnsi="宋体" w:eastAsia="宋体" w:cs="宋体"/>
                <w:b w:val="0"/>
              </w:rPr>
              <w:t>110.95</w:t>
            </w:r>
          </w:p>
        </w:tc>
      </w:tr>
    </w:tbl>
    <w:p w14:paraId="27727CB9">
      <w:r>
        <w:rPr>
          <w:rFonts w:ascii="宋体" w:hAnsi="宋体" w:eastAsia="宋体" w:cs="宋体"/>
          <w:b w:val="0"/>
        </w:rPr>
        <w:t>注：本基金的银行存款由基金托管人招商银行保管，按银行同业利率计息。本基金的基金合同于2026年06月02日生效，无上年度可比期间数据。</w:t>
      </w:r>
    </w:p>
    <w:p w14:paraId="6646858E"/>
    <w:p w14:paraId="50919D48">
      <w:pPr>
        <w:pStyle w:val="58"/>
      </w:pPr>
      <w:r>
        <w:rPr>
          <w:rFonts w:ascii="宋体" w:hAnsi="宋体" w:eastAsia="宋体" w:cs="宋体"/>
          <w:b/>
        </w:rPr>
        <w:t>6.4.10.7 本基金在承销期内参与关联方承销证券的情况</w:t>
      </w:r>
    </w:p>
    <w:p w14:paraId="5EB167F9">
      <w:r>
        <w:rPr>
          <w:rFonts w:ascii="宋体" w:hAnsi="宋体" w:eastAsia="宋体" w:cs="宋体"/>
          <w:b w:val="0"/>
        </w:rPr>
        <w:t xml:space="preserve">    本基金本报告期内无在承销期内参与关联方承销证券的情况。</w:t>
      </w:r>
    </w:p>
    <w:p w14:paraId="4D3DA71E"/>
    <w:p w14:paraId="5B9E55A7">
      <w:pPr>
        <w:pStyle w:val="58"/>
      </w:pPr>
      <w:r>
        <w:rPr>
          <w:rFonts w:ascii="宋体" w:hAnsi="宋体" w:eastAsia="宋体" w:cs="宋体"/>
          <w:b/>
        </w:rPr>
        <w:t>6.4.10.8 其他关联交易事项的说明</w:t>
      </w:r>
    </w:p>
    <w:p w14:paraId="47337CFF">
      <w:pPr>
        <w:jc w:val="left"/>
      </w:pPr>
      <w:r>
        <w:rPr>
          <w:rFonts w:ascii="宋体" w:hAnsi="宋体" w:eastAsia="宋体" w:cs="宋体"/>
          <w:b w:val="0"/>
        </w:rPr>
        <w:t xml:space="preserve">    本基金本报告期内无须作说明的其他关联交易事项。</w:t>
      </w:r>
    </w:p>
    <w:p w14:paraId="08BD2559"/>
    <w:p w14:paraId="60E63503">
      <w:pPr>
        <w:pStyle w:val="58"/>
      </w:pPr>
      <w:r>
        <w:rPr>
          <w:rFonts w:ascii="宋体" w:hAnsi="宋体" w:eastAsia="宋体" w:cs="宋体"/>
          <w:b/>
        </w:rPr>
        <w:t>6.4.11 利润分配情况</w:t>
      </w:r>
    </w:p>
    <w:p w14:paraId="4715F378">
      <w:r>
        <w:rPr>
          <w:rFonts w:ascii="宋体" w:hAnsi="宋体" w:eastAsia="宋体" w:cs="宋体"/>
          <w:b w:val="0"/>
        </w:rPr>
        <w:t xml:space="preserve">    本基金本报告期内未进行利润分配。</w:t>
      </w:r>
    </w:p>
    <w:p w14:paraId="026331C4"/>
    <w:p w14:paraId="55EDE71A">
      <w:pPr>
        <w:pStyle w:val="58"/>
      </w:pPr>
      <w:r>
        <w:rPr>
          <w:rFonts w:ascii="宋体" w:hAnsi="宋体" w:eastAsia="宋体" w:cs="宋体"/>
          <w:b/>
        </w:rPr>
        <w:t>6.4.12 期末（2026年06月30日）本基金持有的流通受限证券</w:t>
      </w:r>
    </w:p>
    <w:p w14:paraId="33FC20F3">
      <w:pPr>
        <w:pStyle w:val="58"/>
      </w:pPr>
      <w:r>
        <w:rPr>
          <w:rFonts w:ascii="宋体" w:hAnsi="宋体" w:eastAsia="宋体" w:cs="宋体"/>
          <w:b/>
        </w:rPr>
        <w:t>6.4.12.1 因认购新发/增发证券而于期末持有的流通受限证券</w:t>
      </w:r>
    </w:p>
    <w:p w14:paraId="611121A8">
      <w:r>
        <w:rPr>
          <w:rFonts w:ascii="宋体" w:hAnsi="宋体" w:eastAsia="宋体" w:cs="宋体"/>
          <w:b w:val="0"/>
        </w:rPr>
        <w:t xml:space="preserve">    本基金本期末未持有因认购新发/增发证券而于期末持有的流通受限证券。</w:t>
      </w:r>
    </w:p>
    <w:p w14:paraId="0B9501AD"/>
    <w:p w14:paraId="1CD01619">
      <w:pPr>
        <w:pStyle w:val="58"/>
      </w:pPr>
      <w:r>
        <w:rPr>
          <w:rFonts w:ascii="宋体" w:hAnsi="宋体" w:eastAsia="宋体" w:cs="宋体"/>
          <w:b/>
        </w:rPr>
        <w:t>6.4.12.2 期末持有的暂时停牌等流通受限股票</w:t>
      </w:r>
    </w:p>
    <w:p w14:paraId="66AAEF29">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13"/>
        <w:gridCol w:w="1203"/>
        <w:gridCol w:w="413"/>
        <w:gridCol w:w="808"/>
        <w:gridCol w:w="1203"/>
        <w:gridCol w:w="808"/>
        <w:gridCol w:w="808"/>
        <w:gridCol w:w="1204"/>
        <w:gridCol w:w="1204"/>
        <w:gridCol w:w="414"/>
      </w:tblGrid>
      <w:tr w14:paraId="1819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shd w:val="clear" w:color="auto" w:fill="D9D9D9"/>
            <w:vAlign w:val="center"/>
          </w:tcPr>
          <w:p w14:paraId="76AA750A">
            <w:pPr>
              <w:spacing w:line="240" w:lineRule="auto"/>
              <w:jc w:val="center"/>
            </w:pPr>
            <w:r>
              <w:rPr>
                <w:rFonts w:ascii="宋体" w:hAnsi="宋体" w:eastAsia="宋体" w:cs="宋体"/>
                <w:b w:val="0"/>
              </w:rPr>
              <w:t>股票代码</w:t>
            </w:r>
          </w:p>
        </w:tc>
        <w:tc>
          <w:tcPr>
            <w:tcW w:w="462" w:type="pct"/>
            <w:shd w:val="clear" w:color="auto" w:fill="D9D9D9"/>
            <w:vAlign w:val="center"/>
          </w:tcPr>
          <w:p w14:paraId="7A594193">
            <w:pPr>
              <w:spacing w:line="240" w:lineRule="auto"/>
              <w:jc w:val="center"/>
            </w:pPr>
            <w:r>
              <w:rPr>
                <w:rFonts w:ascii="宋体" w:hAnsi="宋体" w:eastAsia="宋体" w:cs="宋体"/>
                <w:b w:val="0"/>
              </w:rPr>
              <w:t>股票名称</w:t>
            </w:r>
          </w:p>
        </w:tc>
        <w:tc>
          <w:tcPr>
            <w:tcW w:w="462" w:type="pct"/>
            <w:shd w:val="clear" w:color="auto" w:fill="D9D9D9"/>
            <w:vAlign w:val="center"/>
          </w:tcPr>
          <w:p w14:paraId="6F327ACE">
            <w:pPr>
              <w:spacing w:line="240" w:lineRule="auto"/>
              <w:jc w:val="center"/>
            </w:pPr>
            <w:r>
              <w:rPr>
                <w:rFonts w:ascii="宋体" w:hAnsi="宋体" w:eastAsia="宋体" w:cs="宋体"/>
                <w:b w:val="0"/>
              </w:rPr>
              <w:t>停牌日期</w:t>
            </w:r>
          </w:p>
        </w:tc>
        <w:tc>
          <w:tcPr>
            <w:tcW w:w="462" w:type="pct"/>
            <w:shd w:val="clear" w:color="auto" w:fill="D9D9D9"/>
            <w:vAlign w:val="center"/>
          </w:tcPr>
          <w:p w14:paraId="1C04B5B2">
            <w:pPr>
              <w:spacing w:line="240" w:lineRule="auto"/>
              <w:jc w:val="center"/>
            </w:pPr>
            <w:r>
              <w:rPr>
                <w:rFonts w:ascii="宋体" w:hAnsi="宋体" w:eastAsia="宋体" w:cs="宋体"/>
                <w:b w:val="0"/>
              </w:rPr>
              <w:t>停牌原因</w:t>
            </w:r>
          </w:p>
        </w:tc>
        <w:tc>
          <w:tcPr>
            <w:tcW w:w="462" w:type="pct"/>
            <w:shd w:val="clear" w:color="auto" w:fill="D9D9D9"/>
            <w:vAlign w:val="center"/>
          </w:tcPr>
          <w:p w14:paraId="59CC5A17">
            <w:pPr>
              <w:spacing w:line="240" w:lineRule="auto"/>
              <w:jc w:val="center"/>
            </w:pPr>
            <w:r>
              <w:rPr>
                <w:rFonts w:ascii="宋体" w:hAnsi="宋体" w:eastAsia="宋体" w:cs="宋体"/>
                <w:b w:val="0"/>
              </w:rPr>
              <w:t>期末估值单价</w:t>
            </w:r>
          </w:p>
        </w:tc>
        <w:tc>
          <w:tcPr>
            <w:tcW w:w="462" w:type="pct"/>
            <w:shd w:val="clear" w:color="auto" w:fill="D9D9D9"/>
            <w:vAlign w:val="center"/>
          </w:tcPr>
          <w:p w14:paraId="27D9AE2D">
            <w:pPr>
              <w:spacing w:line="240" w:lineRule="auto"/>
              <w:jc w:val="center"/>
            </w:pPr>
            <w:r>
              <w:rPr>
                <w:rFonts w:ascii="宋体" w:hAnsi="宋体" w:eastAsia="宋体" w:cs="宋体"/>
                <w:b w:val="0"/>
              </w:rPr>
              <w:t>复牌日期</w:t>
            </w:r>
          </w:p>
        </w:tc>
        <w:tc>
          <w:tcPr>
            <w:tcW w:w="462" w:type="pct"/>
            <w:shd w:val="clear" w:color="auto" w:fill="D9D9D9"/>
            <w:vAlign w:val="center"/>
          </w:tcPr>
          <w:p w14:paraId="5D1CE4AF">
            <w:pPr>
              <w:spacing w:line="240" w:lineRule="auto"/>
              <w:jc w:val="center"/>
            </w:pPr>
            <w:r>
              <w:rPr>
                <w:rFonts w:ascii="宋体" w:hAnsi="宋体" w:eastAsia="宋体" w:cs="宋体"/>
                <w:b w:val="0"/>
              </w:rPr>
              <w:t>复牌开盘单价</w:t>
            </w:r>
          </w:p>
        </w:tc>
        <w:tc>
          <w:tcPr>
            <w:tcW w:w="462" w:type="pct"/>
            <w:shd w:val="clear" w:color="auto" w:fill="D9D9D9"/>
            <w:vAlign w:val="center"/>
          </w:tcPr>
          <w:p w14:paraId="77C4E13C">
            <w:pPr>
              <w:spacing w:line="240" w:lineRule="auto"/>
              <w:jc w:val="center"/>
            </w:pPr>
            <w:r>
              <w:rPr>
                <w:rFonts w:ascii="宋体" w:hAnsi="宋体" w:eastAsia="宋体" w:cs="宋体"/>
                <w:b w:val="0"/>
              </w:rPr>
              <w:t>数量（股）</w:t>
            </w:r>
          </w:p>
        </w:tc>
        <w:tc>
          <w:tcPr>
            <w:tcW w:w="462" w:type="pct"/>
            <w:shd w:val="clear" w:color="auto" w:fill="D9D9D9"/>
            <w:vAlign w:val="center"/>
          </w:tcPr>
          <w:p w14:paraId="3F318C9E">
            <w:pPr>
              <w:spacing w:line="240" w:lineRule="auto"/>
              <w:jc w:val="center"/>
            </w:pPr>
            <w:r>
              <w:rPr>
                <w:rFonts w:ascii="宋体" w:hAnsi="宋体" w:eastAsia="宋体" w:cs="宋体"/>
                <w:b w:val="0"/>
              </w:rPr>
              <w:t>期末成本总额</w:t>
            </w:r>
          </w:p>
        </w:tc>
        <w:tc>
          <w:tcPr>
            <w:tcW w:w="462" w:type="pct"/>
            <w:shd w:val="clear" w:color="auto" w:fill="D9D9D9"/>
            <w:vAlign w:val="center"/>
          </w:tcPr>
          <w:p w14:paraId="4F00DF76">
            <w:pPr>
              <w:spacing w:line="240" w:lineRule="auto"/>
              <w:jc w:val="center"/>
            </w:pPr>
            <w:r>
              <w:rPr>
                <w:rFonts w:ascii="宋体" w:hAnsi="宋体" w:eastAsia="宋体" w:cs="宋体"/>
                <w:b w:val="0"/>
              </w:rPr>
              <w:t>期末估值总额</w:t>
            </w:r>
          </w:p>
        </w:tc>
        <w:tc>
          <w:tcPr>
            <w:tcW w:w="462" w:type="pct"/>
            <w:shd w:val="clear" w:color="auto" w:fill="D9D9D9"/>
            <w:vAlign w:val="center"/>
          </w:tcPr>
          <w:p w14:paraId="5D607990">
            <w:pPr>
              <w:spacing w:line="240" w:lineRule="auto"/>
              <w:jc w:val="center"/>
            </w:pPr>
            <w:r>
              <w:rPr>
                <w:rFonts w:ascii="宋体" w:hAnsi="宋体" w:eastAsia="宋体" w:cs="宋体"/>
                <w:b w:val="0"/>
              </w:rPr>
              <w:t>备注</w:t>
            </w:r>
          </w:p>
        </w:tc>
      </w:tr>
      <w:tr w14:paraId="3B21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5641ED">
            <w:pPr>
              <w:spacing w:line="240" w:lineRule="auto"/>
              <w:jc w:val="left"/>
            </w:pPr>
            <w:r>
              <w:rPr>
                <w:rFonts w:ascii="宋体" w:hAnsi="宋体" w:eastAsia="宋体" w:cs="宋体"/>
                <w:b w:val="0"/>
              </w:rPr>
              <w:t>688072</w:t>
            </w:r>
          </w:p>
        </w:tc>
        <w:tc>
          <w:tcPr>
            <w:tcW w:w="0" w:type="dxa"/>
            <w:vAlign w:val="center"/>
          </w:tcPr>
          <w:p w14:paraId="243B15E2">
            <w:pPr>
              <w:spacing w:line="240" w:lineRule="auto"/>
              <w:jc w:val="left"/>
            </w:pPr>
            <w:r>
              <w:rPr>
                <w:rFonts w:ascii="宋体" w:hAnsi="宋体" w:eastAsia="宋体" w:cs="宋体"/>
                <w:b w:val="0"/>
              </w:rPr>
              <w:t>拓荆科技</w:t>
            </w:r>
          </w:p>
        </w:tc>
        <w:tc>
          <w:tcPr>
            <w:tcW w:w="0" w:type="dxa"/>
            <w:vAlign w:val="center"/>
          </w:tcPr>
          <w:p w14:paraId="250E68F5">
            <w:pPr>
              <w:spacing w:line="240" w:lineRule="auto"/>
              <w:jc w:val="left"/>
            </w:pPr>
            <w:r>
              <w:rPr>
                <w:rFonts w:ascii="宋体" w:hAnsi="宋体" w:eastAsia="宋体" w:cs="宋体"/>
                <w:b w:val="0"/>
              </w:rPr>
              <w:t>2026-06-29</w:t>
            </w:r>
          </w:p>
        </w:tc>
        <w:tc>
          <w:tcPr>
            <w:tcW w:w="0" w:type="dxa"/>
            <w:vAlign w:val="center"/>
          </w:tcPr>
          <w:p w14:paraId="1BCCD8E3">
            <w:pPr>
              <w:spacing w:line="240" w:lineRule="auto"/>
              <w:jc w:val="left"/>
            </w:pPr>
            <w:r>
              <w:rPr>
                <w:rFonts w:ascii="宋体" w:hAnsi="宋体" w:eastAsia="宋体" w:cs="宋体"/>
                <w:b w:val="0"/>
              </w:rPr>
              <w:t>重大事项停牌</w:t>
            </w:r>
          </w:p>
        </w:tc>
        <w:tc>
          <w:tcPr>
            <w:tcW w:w="0" w:type="dxa"/>
            <w:vAlign w:val="center"/>
          </w:tcPr>
          <w:p w14:paraId="52348EEA">
            <w:pPr>
              <w:spacing w:line="240" w:lineRule="auto"/>
              <w:jc w:val="right"/>
            </w:pPr>
            <w:r>
              <w:rPr>
                <w:rFonts w:ascii="宋体" w:hAnsi="宋体" w:eastAsia="宋体" w:cs="宋体"/>
                <w:b w:val="0"/>
              </w:rPr>
              <w:t>879.53</w:t>
            </w:r>
          </w:p>
        </w:tc>
        <w:tc>
          <w:tcPr>
            <w:tcW w:w="0" w:type="dxa"/>
            <w:vAlign w:val="center"/>
          </w:tcPr>
          <w:p w14:paraId="07BB4F32">
            <w:pPr>
              <w:spacing w:line="240" w:lineRule="auto"/>
              <w:jc w:val="left"/>
            </w:pPr>
            <w:r>
              <w:rPr>
                <w:rFonts w:ascii="宋体" w:hAnsi="宋体" w:eastAsia="宋体" w:cs="宋体"/>
                <w:b w:val="0"/>
              </w:rPr>
              <w:t>2026-07-13</w:t>
            </w:r>
          </w:p>
        </w:tc>
        <w:tc>
          <w:tcPr>
            <w:tcW w:w="0" w:type="dxa"/>
            <w:vAlign w:val="center"/>
          </w:tcPr>
          <w:p w14:paraId="237DAEB7">
            <w:pPr>
              <w:spacing w:line="240" w:lineRule="auto"/>
              <w:jc w:val="right"/>
            </w:pPr>
            <w:r>
              <w:rPr>
                <w:rFonts w:ascii="宋体" w:hAnsi="宋体" w:eastAsia="宋体" w:cs="宋体"/>
                <w:b w:val="0"/>
              </w:rPr>
              <w:t>890.99</w:t>
            </w:r>
          </w:p>
        </w:tc>
        <w:tc>
          <w:tcPr>
            <w:tcW w:w="0" w:type="dxa"/>
            <w:vAlign w:val="center"/>
          </w:tcPr>
          <w:p w14:paraId="7E63500C">
            <w:pPr>
              <w:spacing w:line="240" w:lineRule="auto"/>
              <w:jc w:val="right"/>
            </w:pPr>
            <w:r>
              <w:rPr>
                <w:rFonts w:ascii="宋体" w:hAnsi="宋体" w:eastAsia="宋体" w:cs="宋体"/>
                <w:b w:val="0"/>
              </w:rPr>
              <w:t>200</w:t>
            </w:r>
          </w:p>
        </w:tc>
        <w:tc>
          <w:tcPr>
            <w:tcW w:w="0" w:type="dxa"/>
            <w:vAlign w:val="center"/>
          </w:tcPr>
          <w:p w14:paraId="4C70F04F">
            <w:pPr>
              <w:spacing w:line="240" w:lineRule="auto"/>
              <w:jc w:val="right"/>
            </w:pPr>
            <w:r>
              <w:rPr>
                <w:rFonts w:ascii="宋体" w:hAnsi="宋体" w:eastAsia="宋体" w:cs="宋体"/>
                <w:b w:val="0"/>
              </w:rPr>
              <w:t>159,852.00</w:t>
            </w:r>
          </w:p>
        </w:tc>
        <w:tc>
          <w:tcPr>
            <w:tcW w:w="0" w:type="dxa"/>
            <w:vAlign w:val="center"/>
          </w:tcPr>
          <w:p w14:paraId="2EEE4CFD">
            <w:pPr>
              <w:spacing w:line="240" w:lineRule="auto"/>
              <w:jc w:val="right"/>
            </w:pPr>
            <w:r>
              <w:rPr>
                <w:rFonts w:ascii="宋体" w:hAnsi="宋体" w:eastAsia="宋体" w:cs="宋体"/>
                <w:b w:val="0"/>
              </w:rPr>
              <w:t>175,906.00</w:t>
            </w:r>
          </w:p>
        </w:tc>
        <w:tc>
          <w:tcPr>
            <w:tcW w:w="0" w:type="dxa"/>
            <w:vAlign w:val="center"/>
          </w:tcPr>
          <w:p w14:paraId="31C3411A">
            <w:pPr>
              <w:spacing w:line="240" w:lineRule="auto"/>
              <w:jc w:val="left"/>
            </w:pPr>
            <w:r>
              <w:rPr>
                <w:rFonts w:ascii="宋体" w:hAnsi="宋体" w:eastAsia="宋体" w:cs="宋体"/>
                <w:b w:val="0"/>
              </w:rPr>
              <w:t>-</w:t>
            </w:r>
          </w:p>
        </w:tc>
      </w:tr>
    </w:tbl>
    <w:p w14:paraId="7F5F1AB1"/>
    <w:p w14:paraId="4469FB85">
      <w:pPr>
        <w:pStyle w:val="58"/>
      </w:pPr>
      <w:r>
        <w:rPr>
          <w:rFonts w:ascii="宋体" w:hAnsi="宋体" w:eastAsia="宋体" w:cs="宋体"/>
          <w:b/>
        </w:rPr>
        <w:t>6.4.12.3 期末债券正回购交易中作为抵押的债券</w:t>
      </w:r>
    </w:p>
    <w:p w14:paraId="7BD600CB">
      <w:pPr>
        <w:pStyle w:val="58"/>
      </w:pPr>
      <w:r>
        <w:rPr>
          <w:rFonts w:ascii="宋体" w:hAnsi="宋体" w:eastAsia="宋体" w:cs="宋体"/>
          <w:b/>
        </w:rPr>
        <w:t>6.4.12.3.1 银行间市场债券正回购</w:t>
      </w:r>
    </w:p>
    <w:p w14:paraId="705800EF">
      <w:pPr>
        <w:jc w:val="left"/>
      </w:pPr>
      <w:r>
        <w:rPr>
          <w:rFonts w:ascii="宋体" w:hAnsi="宋体" w:eastAsia="宋体" w:cs="宋体"/>
          <w:b w:val="0"/>
        </w:rPr>
        <w:t xml:space="preserve">    本基金本报告期末无从事银行间市场债券正回购交易形成的卖出回购证券款余额。</w:t>
      </w:r>
    </w:p>
    <w:p w14:paraId="381E57D2"/>
    <w:p w14:paraId="3EC33394">
      <w:pPr>
        <w:pStyle w:val="58"/>
      </w:pPr>
      <w:r>
        <w:rPr>
          <w:rFonts w:ascii="宋体" w:hAnsi="宋体" w:eastAsia="宋体" w:cs="宋体"/>
          <w:b/>
        </w:rPr>
        <w:t>6.4.12.3.2 交易所市场债券正回购</w:t>
      </w:r>
    </w:p>
    <w:p w14:paraId="2E949FA1">
      <w:pPr>
        <w:jc w:val="left"/>
      </w:pPr>
      <w:r>
        <w:rPr>
          <w:rFonts w:ascii="宋体" w:hAnsi="宋体" w:eastAsia="宋体" w:cs="宋体"/>
          <w:b w:val="0"/>
        </w:rPr>
        <w:t xml:space="preserve">    本基金本报告期末无从事交易所债券正回购交易形成的卖出回购证券款余额。</w:t>
      </w:r>
    </w:p>
    <w:p w14:paraId="1B286083"/>
    <w:p w14:paraId="74B54B7C">
      <w:pPr>
        <w:pStyle w:val="58"/>
      </w:pPr>
      <w:r>
        <w:rPr>
          <w:rFonts w:ascii="宋体" w:hAnsi="宋体" w:eastAsia="宋体" w:cs="宋体"/>
          <w:b/>
        </w:rPr>
        <w:t>6.4.12.4 期末参与转融通证券出借业务的证券</w:t>
      </w:r>
    </w:p>
    <w:p w14:paraId="0CBD1922">
      <w:r>
        <w:rPr>
          <w:rFonts w:ascii="宋体" w:hAnsi="宋体" w:eastAsia="宋体" w:cs="宋体"/>
          <w:b w:val="0"/>
        </w:rPr>
        <w:t xml:space="preserve">    本基金本报告期末无参与转融通出借业务的证券。</w:t>
      </w:r>
    </w:p>
    <w:p w14:paraId="5F3ACC26"/>
    <w:p w14:paraId="68D49A52">
      <w:pPr>
        <w:pStyle w:val="58"/>
      </w:pPr>
      <w:r>
        <w:rPr>
          <w:rFonts w:ascii="宋体" w:hAnsi="宋体" w:eastAsia="宋体" w:cs="宋体"/>
          <w:b/>
        </w:rPr>
        <w:t>6.4.13 金融工具风险及管理</w:t>
      </w:r>
    </w:p>
    <w:p w14:paraId="48A89817">
      <w:pPr>
        <w:pStyle w:val="58"/>
      </w:pPr>
      <w:r>
        <w:rPr>
          <w:rFonts w:ascii="宋体" w:hAnsi="宋体" w:eastAsia="宋体" w:cs="宋体"/>
          <w:b/>
        </w:rPr>
        <w:t>6.4.13.1 风险管理政策和组织架构</w:t>
      </w:r>
    </w:p>
    <w:p w14:paraId="1C020644">
      <w:pPr>
        <w:jc w:val="left"/>
      </w:pPr>
      <w:r>
        <w:rPr>
          <w:rFonts w:ascii="宋体" w:hAnsi="宋体" w:eastAsia="宋体" w:cs="宋体"/>
          <w:b w:val="0"/>
        </w:rPr>
        <w:t xml:space="preserve">    本基金是一只进行主动投资的债券型证券投资基金，预期风险与预期收益高于货币市场基金，低于混合型基金和股票型基金。本基金投资的金融工具主要包括债券投资、股票投资和交易所回购等。本基金的基金管理人从事风险管理的主要目标是争取将以上风险控制在限定的范围之内，使本基金在风险和收益之间取得最佳的平衡以实现"风险和收益相匹配"的风险收益目标。</w:t>
      </w:r>
      <w:r>
        <w:rPr>
          <w:rFonts w:ascii="宋体" w:hAnsi="宋体" w:eastAsia="宋体" w:cs="宋体"/>
          <w:b w:val="0"/>
        </w:rPr>
        <w:br w:type="textWrapping"/>
      </w:r>
      <w:r>
        <w:rPr>
          <w:rFonts w:ascii="宋体" w:hAnsi="宋体" w:eastAsia="宋体" w:cs="宋体"/>
          <w:b w:val="0"/>
        </w:rPr>
        <w:t xml:space="preserve">    本基金的基金管理人奉行全面风险管理体系的建设，建立了以风险控制委员会为核心的三级风险防控体系。一级风险防范指基金管理人在董事会下设立风险控制委员会，负责制定风险管理的宏观政策，审议通过风险控制的总体措施等。二级风险防范指在公司投资决策委员会和监察稽核部层次对公司的风险进行的预防和控制。公司经理层设投资决策委员会，对涉及基金投资的重大问题进行决策，对基金的总体投资情况提出指导性意见，从而达到分散投资风险，提高基金资产的安全性的目的。监察稽核部在督察长的领导下，独立于公司各业务部门，对各岗位、各部门、各项业务中的风险控制情况实施监督。三级风险防范是公司各部门对自身业务工作中的风险进行的自我检查和控制。</w:t>
      </w:r>
      <w:r>
        <w:rPr>
          <w:rFonts w:ascii="宋体" w:hAnsi="宋体" w:eastAsia="宋体" w:cs="宋体"/>
          <w:b w:val="0"/>
        </w:rPr>
        <w:br w:type="textWrapping"/>
      </w:r>
      <w:r>
        <w:rPr>
          <w:rFonts w:ascii="宋体" w:hAnsi="宋体" w:eastAsia="宋体" w:cs="宋体"/>
          <w:b w:val="0"/>
        </w:rPr>
        <w:t xml:space="preserve">    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及时可靠地对各种风险进行监督、检查和评估，并通过相应决策，将风险控制在可承受的范围内。</w:t>
      </w:r>
    </w:p>
    <w:p w14:paraId="06AD70F8"/>
    <w:p w14:paraId="38552572">
      <w:pPr>
        <w:pStyle w:val="58"/>
      </w:pPr>
      <w:r>
        <w:rPr>
          <w:rFonts w:ascii="宋体" w:hAnsi="宋体" w:eastAsia="宋体" w:cs="宋体"/>
          <w:b/>
        </w:rPr>
        <w:t>6.4.13.2 信用风险</w:t>
      </w:r>
    </w:p>
    <w:p w14:paraId="77717D6D">
      <w:r>
        <w:rPr>
          <w:rFonts w:ascii="宋体" w:hAnsi="宋体" w:eastAsia="宋体" w:cs="宋体"/>
          <w:b w:val="0"/>
        </w:rPr>
        <w:t xml:space="preserve">    信用风险是指基金在交易过程中因交易对手未履行合约责任，或者基金所投资证券之发行人出现违约、拒绝支付到期本息等情况，导致基金资产损失和收益变化的风险。</w:t>
      </w:r>
      <w:r>
        <w:rPr>
          <w:rFonts w:ascii="宋体" w:hAnsi="宋体" w:eastAsia="宋体" w:cs="宋体"/>
          <w:b w:val="0"/>
        </w:rPr>
        <w:br w:type="textWrapping"/>
      </w:r>
      <w:r>
        <w:rPr>
          <w:rFonts w:ascii="宋体" w:hAnsi="宋体" w:eastAsia="宋体" w:cs="宋体"/>
          <w:b w:val="0"/>
        </w:rPr>
        <w:t xml:space="preserve">    本基金的基金管理人在交易前对交易对手的资信状况进行了充分的评估。本基金的活期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风险可能性很小。本基金在交易所进行交易前均对交易对手进行信用评估并对证券交割方式进行限制以控制相应的信用风险。本基金目前暂未开展银行间同业市场业务，无此类信用风险。</w:t>
      </w:r>
      <w:r>
        <w:rPr>
          <w:rFonts w:ascii="宋体" w:hAnsi="宋体" w:eastAsia="宋体" w:cs="宋体"/>
          <w:b w:val="0"/>
        </w:rPr>
        <w:br w:type="textWrapping"/>
      </w:r>
      <w:r>
        <w:rPr>
          <w:rFonts w:ascii="宋体" w:hAnsi="宋体" w:eastAsia="宋体" w:cs="宋体"/>
          <w:b w:val="0"/>
        </w:rPr>
        <w:t xml:space="preserve">    本基金的基金管理人建立了信用风险管理流程，通过对投资品种信用等级设置投资最低条件来控制证券发行人的信用风险。信用评估包括公司内部信用评级和外部信用评级。内部债券信用评估主要考察发行人的经营风险、财务风险和流动性风险，以及信用产品的条款和担保人的情况等。此外，本基金的基金管理人根据信用产品的评估结果，对单只信用产品投资占基金资产净值的比例及占发行量的比例进行控制，通过分散化投资以分散信用风险。</w:t>
      </w:r>
      <w:r>
        <w:rPr>
          <w:rFonts w:ascii="宋体" w:hAnsi="宋体" w:eastAsia="宋体" w:cs="宋体"/>
          <w:b w:val="0"/>
        </w:rPr>
        <w:br w:type="textWrapping"/>
      </w:r>
      <w:r>
        <w:rPr>
          <w:rFonts w:ascii="宋体" w:hAnsi="宋体" w:eastAsia="宋体" w:cs="宋体"/>
          <w:b w:val="0"/>
        </w:rPr>
        <w:t xml:space="preserve">    于2026年06月30日，本基金未持有除国债、央行票据和政策性金融债以外的债券。</w:t>
      </w:r>
    </w:p>
    <w:p w14:paraId="6FFCA094"/>
    <w:p w14:paraId="3F8A2506">
      <w:pPr>
        <w:pStyle w:val="58"/>
      </w:pPr>
      <w:r>
        <w:rPr>
          <w:rFonts w:ascii="宋体" w:hAnsi="宋体" w:eastAsia="宋体" w:cs="宋体"/>
          <w:b/>
        </w:rPr>
        <w:t>6.4.13.3 流动性风险</w:t>
      </w:r>
    </w:p>
    <w:p w14:paraId="46BA9E9C">
      <w:pPr>
        <w:jc w:val="left"/>
      </w:pPr>
      <w:r>
        <w:rPr>
          <w:rFonts w:ascii="宋体" w:hAnsi="宋体" w:eastAsia="宋体" w:cs="宋体"/>
          <w:b w:val="0"/>
        </w:rPr>
        <w:t xml:space="preserve">    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r>
        <w:rPr>
          <w:rFonts w:ascii="宋体" w:hAnsi="宋体" w:eastAsia="宋体" w:cs="宋体"/>
          <w:b w:val="0"/>
        </w:rPr>
        <w:br w:type="textWrapping"/>
      </w:r>
      <w:r>
        <w:rPr>
          <w:rFonts w:ascii="宋体" w:hAnsi="宋体" w:eastAsia="宋体" w:cs="宋体"/>
          <w:b w:val="0"/>
        </w:rPr>
        <w:t xml:space="preserve">    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r>
        <w:rPr>
          <w:rFonts w:ascii="宋体" w:hAnsi="宋体" w:eastAsia="宋体" w:cs="宋体"/>
          <w:b w:val="0"/>
        </w:rPr>
        <w:br w:type="textWrapping"/>
      </w:r>
      <w:r>
        <w:rPr>
          <w:rFonts w:ascii="宋体" w:hAnsi="宋体" w:eastAsia="宋体" w:cs="宋体"/>
          <w:b w:val="0"/>
        </w:rPr>
        <w:t xml:space="preserve">    针对投资品种变现的流动性风险，本基金采用分散投资、控制流通受限证券比例等方式防范流动性风险，同时公司已经建立全覆盖、多维度以压力测试为核心的开放式基金流动性风险监测与预警制度，监察稽核部独立于投资部门负责流动性压力测试的实施与评估。</w:t>
      </w:r>
      <w:r>
        <w:rPr>
          <w:rFonts w:ascii="宋体" w:hAnsi="宋体" w:eastAsia="宋体" w:cs="宋体"/>
          <w:b w:val="0"/>
        </w:rPr>
        <w:br w:type="textWrapping"/>
      </w:r>
      <w:r>
        <w:rPr>
          <w:rFonts w:ascii="宋体" w:hAnsi="宋体" w:eastAsia="宋体" w:cs="宋体"/>
          <w:b w:val="0"/>
        </w:rPr>
        <w:t xml:space="preserve">    于2026年06月30日，本基金所承担的全部金融负债的合约约定到期日均为一个月以内且不计息，可赎回基金份额净值(净资产)无固定到期日且不计息，因此账面余额即为未折现的合约到期现金流量。</w:t>
      </w:r>
    </w:p>
    <w:p w14:paraId="571D0233"/>
    <w:p w14:paraId="6361239C">
      <w:pPr>
        <w:pStyle w:val="58"/>
      </w:pPr>
      <w:r>
        <w:rPr>
          <w:rFonts w:ascii="宋体" w:hAnsi="宋体" w:eastAsia="宋体" w:cs="宋体"/>
          <w:b/>
        </w:rPr>
        <w:t>6.4.13.3.1 报告期内本基金组合资产的流动性风险分析</w:t>
      </w:r>
    </w:p>
    <w:p w14:paraId="006BD186">
      <w:pPr>
        <w:jc w:val="left"/>
      </w:pPr>
      <w:r>
        <w:rPr>
          <w:rFonts w:ascii="宋体" w:hAnsi="宋体" w:eastAsia="宋体" w:cs="宋体"/>
          <w:b w:val="0"/>
        </w:rPr>
        <w:t xml:space="preserve">    本基金的基金管理人在基金运作过程中严格按照《公开募集证券投资基金运作管理办法》及《公开募集开放式证券投资基金流动性风险管理规定》等法规的要求对本基金组合资产的流动性风险进行管理，通过监察稽核部对本基金的组合持仓集中度指标、流通受限制的投资品种比例以及组合在短时间内变现能力的综合指标等流动性指标进行持续的监测和分析。</w:t>
      </w:r>
      <w:r>
        <w:rPr>
          <w:rFonts w:ascii="宋体" w:hAnsi="宋体" w:eastAsia="宋体" w:cs="宋体"/>
          <w:b w:val="0"/>
        </w:rPr>
        <w:br w:type="textWrapping"/>
      </w:r>
      <w:r>
        <w:rPr>
          <w:rFonts w:ascii="宋体" w:hAnsi="宋体" w:eastAsia="宋体" w:cs="宋体"/>
          <w:b w:val="0"/>
        </w:rPr>
        <w:t xml:space="preserve">    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上述比例限制)。</w:t>
      </w:r>
      <w:r>
        <w:rPr>
          <w:rFonts w:ascii="宋体" w:hAnsi="宋体" w:eastAsia="宋体" w:cs="宋体"/>
          <w:b w:val="0"/>
        </w:rPr>
        <w:br w:type="textWrapping"/>
      </w:r>
      <w:r>
        <w:rPr>
          <w:rFonts w:ascii="宋体" w:hAnsi="宋体" w:eastAsia="宋体" w:cs="宋体"/>
          <w:b w:val="0"/>
        </w:rPr>
        <w:t xml:space="preserve">    本基金所持部分证券在证券交易所上市，部分基金资产流通暂时受限制不能自由转让的情况参见附注6.4.12。此外，本基金可通过卖出回购金融资产方式借入短期资金应对流动性需求，其上限一般不超过基金持有的债券投资的公允价值。本基金主动投资于流动性受限资产的市值合计不得超过基金资产净值的15%。 于2026年06月30日，本基金主动投资于流动性受限资产的市值合计未超过基金资产净值的 15%。</w:t>
      </w:r>
      <w:r>
        <w:rPr>
          <w:rFonts w:ascii="宋体" w:hAnsi="宋体" w:eastAsia="宋体" w:cs="宋体"/>
          <w:b w:val="0"/>
        </w:rPr>
        <w:br w:type="textWrapping"/>
      </w:r>
      <w:r>
        <w:rPr>
          <w:rFonts w:ascii="宋体" w:hAnsi="宋体" w:eastAsia="宋体" w:cs="宋体"/>
          <w:b w:val="0"/>
        </w:rPr>
        <w:t xml:space="preserve">    本基金的基金管理人每日对基金组合资产中7个工作日可变现资产的可变现价值进行审慎评估与测算，确保每日确认的净赎回申请不得超过7个工作日可变现资产的可变现价值。于2026年06月30日，本基金确认的净赎回申请未超过7个工作日可变现资产的可变现价值。</w:t>
      </w:r>
      <w:r>
        <w:rPr>
          <w:rFonts w:ascii="宋体" w:hAnsi="宋体" w:eastAsia="宋体" w:cs="宋体"/>
          <w:b w:val="0"/>
        </w:rPr>
        <w:br w:type="textWrapping"/>
      </w:r>
      <w:r>
        <w:rPr>
          <w:rFonts w:ascii="宋体" w:hAnsi="宋体" w:eastAsia="宋体" w:cs="宋体"/>
          <w:b w:val="0"/>
        </w:rPr>
        <w:t xml:space="preserve">    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7C06C33"/>
    <w:p w14:paraId="2B0261AE">
      <w:pPr>
        <w:pStyle w:val="58"/>
      </w:pPr>
      <w:r>
        <w:rPr>
          <w:rFonts w:ascii="宋体" w:hAnsi="宋体" w:eastAsia="宋体" w:cs="宋体"/>
          <w:b/>
        </w:rPr>
        <w:t>6.4.13.4 市场风险</w:t>
      </w:r>
    </w:p>
    <w:p w14:paraId="7B78CA06">
      <w:pPr>
        <w:jc w:val="left"/>
      </w:pPr>
      <w:r>
        <w:rPr>
          <w:rFonts w:ascii="宋体" w:hAnsi="宋体" w:eastAsia="宋体" w:cs="宋体"/>
          <w:b w:val="0"/>
        </w:rPr>
        <w:t xml:space="preserve">    市场风险是指基金所持金融工具的公允价值或未来现金流量因所处市场各类价格因素的变动而发生波动的风险，包括利率风险、外汇风险和其他价格风险。</w:t>
      </w:r>
    </w:p>
    <w:p w14:paraId="6031F38F"/>
    <w:p w14:paraId="4F501148">
      <w:pPr>
        <w:pStyle w:val="58"/>
      </w:pPr>
      <w:r>
        <w:rPr>
          <w:rFonts w:ascii="宋体" w:hAnsi="宋体" w:eastAsia="宋体" w:cs="宋体"/>
          <w:b/>
        </w:rPr>
        <w:t>6.4.13.4.1 利率风险</w:t>
      </w:r>
    </w:p>
    <w:p w14:paraId="42D93D9A">
      <w:pPr>
        <w:jc w:val="left"/>
      </w:pPr>
      <w:r>
        <w:rPr>
          <w:rFonts w:ascii="宋体" w:hAnsi="宋体" w:eastAsia="宋体" w:cs="宋体"/>
          <w:b w:val="0"/>
        </w:rPr>
        <w:t xml:space="preserve">    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r>
        <w:rPr>
          <w:rFonts w:ascii="宋体" w:hAnsi="宋体" w:eastAsia="宋体" w:cs="宋体"/>
          <w:b w:val="0"/>
        </w:rPr>
        <w:br w:type="textWrapping"/>
      </w:r>
      <w:r>
        <w:rPr>
          <w:rFonts w:ascii="宋体" w:hAnsi="宋体" w:eastAsia="宋体" w:cs="宋体"/>
          <w:b w:val="0"/>
        </w:rPr>
        <w:t xml:space="preserve">    本基金的基金管理人定期对本基金面临的利率敏感性缺口进行监控，并通过调整投资组合的久期等方法对上述利率风险进行管理。</w:t>
      </w:r>
      <w:r>
        <w:rPr>
          <w:rFonts w:ascii="宋体" w:hAnsi="宋体" w:eastAsia="宋体" w:cs="宋体"/>
          <w:b w:val="0"/>
        </w:rPr>
        <w:br w:type="textWrapping"/>
      </w:r>
      <w:r>
        <w:rPr>
          <w:rFonts w:ascii="宋体" w:hAnsi="宋体" w:eastAsia="宋体" w:cs="宋体"/>
          <w:b w:val="0"/>
        </w:rPr>
        <w:t xml:space="preserve">    本基金持有及承担的大部分金融资产和金融负债不计息，因此本基金的收入及经营活动的现金流量在很大程度上独立于市场利率变化。本基金持有的利率敏感性资产主要为银行存款和债券投资等。</w:t>
      </w:r>
    </w:p>
    <w:p w14:paraId="3DB40D5F"/>
    <w:p w14:paraId="3E780B55">
      <w:pPr>
        <w:pStyle w:val="58"/>
      </w:pPr>
      <w:r>
        <w:rPr>
          <w:rFonts w:ascii="宋体" w:hAnsi="宋体" w:eastAsia="宋体" w:cs="宋体"/>
          <w:b/>
        </w:rPr>
        <w:t>6.4.13.4.1.1 利率风险敞口</w:t>
      </w:r>
    </w:p>
    <w:p w14:paraId="0D14DC0A">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1"/>
        <w:gridCol w:w="1161"/>
        <w:gridCol w:w="1161"/>
        <w:gridCol w:w="1161"/>
        <w:gridCol w:w="1161"/>
        <w:gridCol w:w="1161"/>
      </w:tblGrid>
      <w:tr w14:paraId="5FF5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3" w:type="pct"/>
            <w:shd w:val="clear" w:color="auto" w:fill="D9D9D9"/>
            <w:vAlign w:val="center"/>
          </w:tcPr>
          <w:p w14:paraId="798268AD">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769" w:type="pct"/>
            <w:shd w:val="clear" w:color="auto" w:fill="D9D9D9"/>
            <w:vAlign w:val="center"/>
          </w:tcPr>
          <w:p w14:paraId="57D837B5">
            <w:pPr>
              <w:spacing w:line="240" w:lineRule="auto"/>
              <w:jc w:val="center"/>
            </w:pPr>
            <w:r>
              <w:rPr>
                <w:rFonts w:ascii="宋体" w:hAnsi="宋体" w:eastAsia="宋体" w:cs="宋体"/>
                <w:b w:val="0"/>
              </w:rPr>
              <w:t>1个月以内</w:t>
            </w:r>
          </w:p>
        </w:tc>
        <w:tc>
          <w:tcPr>
            <w:tcW w:w="769" w:type="pct"/>
            <w:shd w:val="clear" w:color="auto" w:fill="D9D9D9"/>
            <w:vAlign w:val="center"/>
          </w:tcPr>
          <w:p w14:paraId="2055A536">
            <w:pPr>
              <w:spacing w:line="240" w:lineRule="auto"/>
              <w:jc w:val="center"/>
            </w:pPr>
            <w:r>
              <w:rPr>
                <w:rFonts w:ascii="宋体" w:hAnsi="宋体" w:eastAsia="宋体" w:cs="宋体"/>
                <w:b w:val="0"/>
              </w:rPr>
              <w:t>1-3个月</w:t>
            </w:r>
          </w:p>
        </w:tc>
        <w:tc>
          <w:tcPr>
            <w:tcW w:w="769" w:type="pct"/>
            <w:shd w:val="clear" w:color="auto" w:fill="D9D9D9"/>
            <w:vAlign w:val="center"/>
          </w:tcPr>
          <w:p w14:paraId="03D66F95">
            <w:pPr>
              <w:spacing w:line="240" w:lineRule="auto"/>
              <w:jc w:val="center"/>
            </w:pPr>
            <w:r>
              <w:rPr>
                <w:rFonts w:ascii="宋体" w:hAnsi="宋体" w:eastAsia="宋体" w:cs="宋体"/>
                <w:b w:val="0"/>
              </w:rPr>
              <w:t>3个月-1年</w:t>
            </w:r>
          </w:p>
        </w:tc>
        <w:tc>
          <w:tcPr>
            <w:tcW w:w="769" w:type="pct"/>
            <w:shd w:val="clear" w:color="auto" w:fill="D9D9D9"/>
            <w:vAlign w:val="center"/>
          </w:tcPr>
          <w:p w14:paraId="1B7DF208">
            <w:pPr>
              <w:spacing w:line="240" w:lineRule="auto"/>
              <w:jc w:val="center"/>
            </w:pPr>
            <w:r>
              <w:rPr>
                <w:rFonts w:ascii="宋体" w:hAnsi="宋体" w:eastAsia="宋体" w:cs="宋体"/>
                <w:b w:val="0"/>
              </w:rPr>
              <w:t>1-5年</w:t>
            </w:r>
          </w:p>
        </w:tc>
        <w:tc>
          <w:tcPr>
            <w:tcW w:w="615" w:type="pct"/>
            <w:shd w:val="clear" w:color="auto" w:fill="D9D9D9"/>
            <w:vAlign w:val="center"/>
          </w:tcPr>
          <w:p w14:paraId="5E4FC449">
            <w:pPr>
              <w:spacing w:line="240" w:lineRule="auto"/>
              <w:jc w:val="center"/>
            </w:pPr>
            <w:r>
              <w:rPr>
                <w:rFonts w:ascii="宋体" w:hAnsi="宋体" w:eastAsia="宋体" w:cs="宋体"/>
                <w:b w:val="0"/>
              </w:rPr>
              <w:t>5年以上</w:t>
            </w:r>
          </w:p>
        </w:tc>
        <w:tc>
          <w:tcPr>
            <w:tcW w:w="615" w:type="pct"/>
            <w:shd w:val="clear" w:color="auto" w:fill="D9D9D9"/>
            <w:vAlign w:val="center"/>
          </w:tcPr>
          <w:p w14:paraId="3034A2B3">
            <w:pPr>
              <w:spacing w:line="240" w:lineRule="auto"/>
              <w:jc w:val="center"/>
            </w:pPr>
            <w:r>
              <w:rPr>
                <w:rFonts w:ascii="宋体" w:hAnsi="宋体" w:eastAsia="宋体" w:cs="宋体"/>
                <w:b w:val="0"/>
              </w:rPr>
              <w:t>不计息</w:t>
            </w:r>
          </w:p>
        </w:tc>
        <w:tc>
          <w:tcPr>
            <w:tcW w:w="615" w:type="pct"/>
            <w:shd w:val="clear" w:color="auto" w:fill="D9D9D9"/>
            <w:vAlign w:val="center"/>
          </w:tcPr>
          <w:p w14:paraId="58F2C2C8">
            <w:pPr>
              <w:spacing w:line="240" w:lineRule="auto"/>
              <w:jc w:val="center"/>
            </w:pPr>
            <w:r>
              <w:rPr>
                <w:rFonts w:ascii="宋体" w:hAnsi="宋体" w:eastAsia="宋体" w:cs="宋体"/>
                <w:b w:val="0"/>
              </w:rPr>
              <w:t>合计</w:t>
            </w:r>
          </w:p>
        </w:tc>
      </w:tr>
      <w:tr w14:paraId="3F2D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DD78F8">
            <w:pPr>
              <w:spacing w:line="240" w:lineRule="auto"/>
              <w:jc w:val="center"/>
            </w:pPr>
            <w:r>
              <w:rPr>
                <w:rFonts w:ascii="宋体" w:hAnsi="宋体" w:eastAsia="宋体" w:cs="宋体"/>
                <w:b w:val="0"/>
              </w:rPr>
              <w:t>资产</w:t>
            </w:r>
          </w:p>
        </w:tc>
        <w:tc>
          <w:tcPr>
            <w:tcW w:w="0" w:type="dxa"/>
            <w:vAlign w:val="center"/>
          </w:tcPr>
          <w:p w14:paraId="2E6041E9">
            <w:pPr>
              <w:spacing w:line="240" w:lineRule="auto"/>
              <w:jc w:val="right"/>
            </w:pPr>
          </w:p>
        </w:tc>
        <w:tc>
          <w:tcPr>
            <w:tcW w:w="0" w:type="dxa"/>
            <w:vAlign w:val="center"/>
          </w:tcPr>
          <w:p w14:paraId="697DEDEF">
            <w:pPr>
              <w:spacing w:line="240" w:lineRule="auto"/>
              <w:jc w:val="right"/>
            </w:pPr>
          </w:p>
        </w:tc>
        <w:tc>
          <w:tcPr>
            <w:tcW w:w="0" w:type="dxa"/>
            <w:vAlign w:val="center"/>
          </w:tcPr>
          <w:p w14:paraId="7BC87E65">
            <w:pPr>
              <w:spacing w:line="240" w:lineRule="auto"/>
              <w:jc w:val="right"/>
            </w:pPr>
          </w:p>
        </w:tc>
        <w:tc>
          <w:tcPr>
            <w:tcW w:w="0" w:type="dxa"/>
            <w:vAlign w:val="center"/>
          </w:tcPr>
          <w:p w14:paraId="4E12F23C">
            <w:pPr>
              <w:spacing w:line="240" w:lineRule="auto"/>
              <w:jc w:val="right"/>
            </w:pPr>
          </w:p>
        </w:tc>
        <w:tc>
          <w:tcPr>
            <w:tcW w:w="0" w:type="dxa"/>
            <w:vAlign w:val="center"/>
          </w:tcPr>
          <w:p w14:paraId="4685CB5E">
            <w:pPr>
              <w:spacing w:line="240" w:lineRule="auto"/>
              <w:jc w:val="right"/>
            </w:pPr>
          </w:p>
        </w:tc>
        <w:tc>
          <w:tcPr>
            <w:tcW w:w="0" w:type="dxa"/>
            <w:vAlign w:val="center"/>
          </w:tcPr>
          <w:p w14:paraId="36E21869">
            <w:pPr>
              <w:spacing w:line="240" w:lineRule="auto"/>
              <w:jc w:val="right"/>
            </w:pPr>
          </w:p>
        </w:tc>
        <w:tc>
          <w:tcPr>
            <w:tcW w:w="0" w:type="dxa"/>
            <w:vAlign w:val="center"/>
          </w:tcPr>
          <w:p w14:paraId="0490E705">
            <w:pPr>
              <w:spacing w:line="240" w:lineRule="auto"/>
              <w:jc w:val="right"/>
            </w:pPr>
          </w:p>
        </w:tc>
      </w:tr>
      <w:tr w14:paraId="2B65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6F6FAF">
            <w:pPr>
              <w:spacing w:line="240" w:lineRule="auto"/>
              <w:jc w:val="center"/>
            </w:pPr>
            <w:r>
              <w:rPr>
                <w:rFonts w:ascii="宋体" w:hAnsi="宋体" w:eastAsia="宋体" w:cs="宋体"/>
                <w:b w:val="0"/>
              </w:rPr>
              <w:t>货币资金</w:t>
            </w:r>
          </w:p>
        </w:tc>
        <w:tc>
          <w:tcPr>
            <w:tcW w:w="0" w:type="dxa"/>
            <w:vAlign w:val="center"/>
          </w:tcPr>
          <w:p w14:paraId="31FF1DD9">
            <w:pPr>
              <w:spacing w:line="240" w:lineRule="auto"/>
              <w:jc w:val="right"/>
            </w:pPr>
            <w:r>
              <w:rPr>
                <w:rFonts w:ascii="宋体" w:hAnsi="宋体" w:eastAsia="宋体" w:cs="宋体"/>
                <w:b w:val="0"/>
              </w:rPr>
              <w:t>79,406.67</w:t>
            </w:r>
          </w:p>
        </w:tc>
        <w:tc>
          <w:tcPr>
            <w:tcW w:w="0" w:type="dxa"/>
            <w:vAlign w:val="center"/>
          </w:tcPr>
          <w:p w14:paraId="688157FA">
            <w:pPr>
              <w:spacing w:line="240" w:lineRule="auto"/>
              <w:jc w:val="right"/>
            </w:pPr>
            <w:r>
              <w:rPr>
                <w:rFonts w:ascii="宋体" w:hAnsi="宋体" w:eastAsia="宋体" w:cs="宋体"/>
                <w:b w:val="0"/>
              </w:rPr>
              <w:t>-</w:t>
            </w:r>
          </w:p>
        </w:tc>
        <w:tc>
          <w:tcPr>
            <w:tcW w:w="0" w:type="dxa"/>
            <w:vAlign w:val="center"/>
          </w:tcPr>
          <w:p w14:paraId="2B5B7B8D">
            <w:pPr>
              <w:spacing w:line="240" w:lineRule="auto"/>
              <w:jc w:val="right"/>
            </w:pPr>
            <w:r>
              <w:rPr>
                <w:rFonts w:ascii="宋体" w:hAnsi="宋体" w:eastAsia="宋体" w:cs="宋体"/>
                <w:b w:val="0"/>
              </w:rPr>
              <w:t>-</w:t>
            </w:r>
          </w:p>
        </w:tc>
        <w:tc>
          <w:tcPr>
            <w:tcW w:w="0" w:type="dxa"/>
            <w:vAlign w:val="center"/>
          </w:tcPr>
          <w:p w14:paraId="784ADCF4">
            <w:pPr>
              <w:spacing w:line="240" w:lineRule="auto"/>
              <w:jc w:val="right"/>
            </w:pPr>
            <w:r>
              <w:rPr>
                <w:rFonts w:ascii="宋体" w:hAnsi="宋体" w:eastAsia="宋体" w:cs="宋体"/>
                <w:b w:val="0"/>
              </w:rPr>
              <w:t>-</w:t>
            </w:r>
          </w:p>
        </w:tc>
        <w:tc>
          <w:tcPr>
            <w:tcW w:w="0" w:type="dxa"/>
            <w:vAlign w:val="center"/>
          </w:tcPr>
          <w:p w14:paraId="3C3E7034">
            <w:pPr>
              <w:spacing w:line="240" w:lineRule="auto"/>
              <w:jc w:val="right"/>
            </w:pPr>
            <w:r>
              <w:rPr>
                <w:rFonts w:ascii="宋体" w:hAnsi="宋体" w:eastAsia="宋体" w:cs="宋体"/>
                <w:b w:val="0"/>
              </w:rPr>
              <w:t>-</w:t>
            </w:r>
          </w:p>
        </w:tc>
        <w:tc>
          <w:tcPr>
            <w:tcW w:w="0" w:type="dxa"/>
            <w:vAlign w:val="center"/>
          </w:tcPr>
          <w:p w14:paraId="10340F49">
            <w:pPr>
              <w:spacing w:line="240" w:lineRule="auto"/>
              <w:jc w:val="right"/>
            </w:pPr>
            <w:r>
              <w:rPr>
                <w:rFonts w:ascii="宋体" w:hAnsi="宋体" w:eastAsia="宋体" w:cs="宋体"/>
                <w:b w:val="0"/>
              </w:rPr>
              <w:t>-</w:t>
            </w:r>
          </w:p>
        </w:tc>
        <w:tc>
          <w:tcPr>
            <w:tcW w:w="0" w:type="dxa"/>
            <w:vAlign w:val="center"/>
          </w:tcPr>
          <w:p w14:paraId="0B8CE372">
            <w:pPr>
              <w:spacing w:line="240" w:lineRule="auto"/>
              <w:jc w:val="right"/>
            </w:pPr>
            <w:r>
              <w:rPr>
                <w:rFonts w:ascii="宋体" w:hAnsi="宋体" w:eastAsia="宋体" w:cs="宋体"/>
                <w:b w:val="0"/>
              </w:rPr>
              <w:t>79,406.67</w:t>
            </w:r>
          </w:p>
        </w:tc>
      </w:tr>
      <w:tr w14:paraId="56AD4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597F24">
            <w:pPr>
              <w:spacing w:line="240" w:lineRule="auto"/>
              <w:jc w:val="center"/>
            </w:pPr>
            <w:r>
              <w:rPr>
                <w:rFonts w:ascii="宋体" w:hAnsi="宋体" w:eastAsia="宋体" w:cs="宋体"/>
                <w:b w:val="0"/>
              </w:rPr>
              <w:t>交易性金融资产</w:t>
            </w:r>
          </w:p>
        </w:tc>
        <w:tc>
          <w:tcPr>
            <w:tcW w:w="0" w:type="dxa"/>
            <w:vAlign w:val="center"/>
          </w:tcPr>
          <w:p w14:paraId="7C9CAFE9">
            <w:pPr>
              <w:spacing w:line="240" w:lineRule="auto"/>
              <w:jc w:val="right"/>
            </w:pPr>
            <w:r>
              <w:rPr>
                <w:rFonts w:ascii="宋体" w:hAnsi="宋体" w:eastAsia="宋体" w:cs="宋体"/>
                <w:b w:val="0"/>
              </w:rPr>
              <w:t>-</w:t>
            </w:r>
          </w:p>
        </w:tc>
        <w:tc>
          <w:tcPr>
            <w:tcW w:w="0" w:type="dxa"/>
            <w:vAlign w:val="center"/>
          </w:tcPr>
          <w:p w14:paraId="3323AC7E">
            <w:pPr>
              <w:spacing w:line="240" w:lineRule="auto"/>
              <w:jc w:val="right"/>
            </w:pPr>
            <w:r>
              <w:rPr>
                <w:rFonts w:ascii="宋体" w:hAnsi="宋体" w:eastAsia="宋体" w:cs="宋体"/>
                <w:b w:val="0"/>
              </w:rPr>
              <w:t>-</w:t>
            </w:r>
          </w:p>
        </w:tc>
        <w:tc>
          <w:tcPr>
            <w:tcW w:w="0" w:type="dxa"/>
            <w:vAlign w:val="center"/>
          </w:tcPr>
          <w:p w14:paraId="1390EE86">
            <w:pPr>
              <w:spacing w:line="240" w:lineRule="auto"/>
              <w:jc w:val="right"/>
            </w:pPr>
            <w:r>
              <w:rPr>
                <w:rFonts w:ascii="宋体" w:hAnsi="宋体" w:eastAsia="宋体" w:cs="宋体"/>
                <w:b w:val="0"/>
              </w:rPr>
              <w:t>606,295.40</w:t>
            </w:r>
          </w:p>
        </w:tc>
        <w:tc>
          <w:tcPr>
            <w:tcW w:w="0" w:type="dxa"/>
            <w:vAlign w:val="center"/>
          </w:tcPr>
          <w:p w14:paraId="79FE3507">
            <w:pPr>
              <w:spacing w:line="240" w:lineRule="auto"/>
              <w:jc w:val="right"/>
            </w:pPr>
            <w:r>
              <w:rPr>
                <w:rFonts w:ascii="宋体" w:hAnsi="宋体" w:eastAsia="宋体" w:cs="宋体"/>
                <w:b w:val="0"/>
              </w:rPr>
              <w:t>3,395,223.29</w:t>
            </w:r>
          </w:p>
        </w:tc>
        <w:tc>
          <w:tcPr>
            <w:tcW w:w="0" w:type="dxa"/>
            <w:vAlign w:val="center"/>
          </w:tcPr>
          <w:p w14:paraId="735C8B7A">
            <w:pPr>
              <w:spacing w:line="240" w:lineRule="auto"/>
              <w:jc w:val="right"/>
            </w:pPr>
            <w:r>
              <w:rPr>
                <w:rFonts w:ascii="宋体" w:hAnsi="宋体" w:eastAsia="宋体" w:cs="宋体"/>
                <w:b w:val="0"/>
              </w:rPr>
              <w:t>2,015,882.19</w:t>
            </w:r>
          </w:p>
        </w:tc>
        <w:tc>
          <w:tcPr>
            <w:tcW w:w="0" w:type="dxa"/>
            <w:vAlign w:val="center"/>
          </w:tcPr>
          <w:p w14:paraId="0F95F461">
            <w:pPr>
              <w:spacing w:line="240" w:lineRule="auto"/>
              <w:jc w:val="right"/>
            </w:pPr>
            <w:r>
              <w:rPr>
                <w:rFonts w:ascii="宋体" w:hAnsi="宋体" w:eastAsia="宋体" w:cs="宋体"/>
                <w:b w:val="0"/>
              </w:rPr>
              <w:t>1,853,513.00</w:t>
            </w:r>
          </w:p>
        </w:tc>
        <w:tc>
          <w:tcPr>
            <w:tcW w:w="0" w:type="dxa"/>
            <w:vAlign w:val="center"/>
          </w:tcPr>
          <w:p w14:paraId="29C6CD4C">
            <w:pPr>
              <w:spacing w:line="240" w:lineRule="auto"/>
              <w:jc w:val="right"/>
            </w:pPr>
            <w:r>
              <w:rPr>
                <w:rFonts w:ascii="宋体" w:hAnsi="宋体" w:eastAsia="宋体" w:cs="宋体"/>
                <w:b w:val="0"/>
              </w:rPr>
              <w:t>7,870,913.88</w:t>
            </w:r>
          </w:p>
        </w:tc>
      </w:tr>
      <w:tr w14:paraId="2387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CC0E13">
            <w:pPr>
              <w:spacing w:line="240" w:lineRule="auto"/>
              <w:jc w:val="center"/>
            </w:pPr>
            <w:r>
              <w:rPr>
                <w:rFonts w:ascii="宋体" w:hAnsi="宋体" w:eastAsia="宋体" w:cs="宋体"/>
                <w:b w:val="0"/>
              </w:rPr>
              <w:t>买入返售金融资产</w:t>
            </w:r>
          </w:p>
        </w:tc>
        <w:tc>
          <w:tcPr>
            <w:tcW w:w="0" w:type="dxa"/>
            <w:vAlign w:val="center"/>
          </w:tcPr>
          <w:p w14:paraId="64D27095">
            <w:pPr>
              <w:spacing w:line="240" w:lineRule="auto"/>
              <w:jc w:val="right"/>
            </w:pPr>
            <w:r>
              <w:rPr>
                <w:rFonts w:ascii="宋体" w:hAnsi="宋体" w:eastAsia="宋体" w:cs="宋体"/>
                <w:b w:val="0"/>
              </w:rPr>
              <w:t>3,000,000.00</w:t>
            </w:r>
          </w:p>
        </w:tc>
        <w:tc>
          <w:tcPr>
            <w:tcW w:w="0" w:type="dxa"/>
            <w:vAlign w:val="center"/>
          </w:tcPr>
          <w:p w14:paraId="3BA1A124">
            <w:pPr>
              <w:spacing w:line="240" w:lineRule="auto"/>
              <w:jc w:val="right"/>
            </w:pPr>
            <w:r>
              <w:rPr>
                <w:rFonts w:ascii="宋体" w:hAnsi="宋体" w:eastAsia="宋体" w:cs="宋体"/>
                <w:b w:val="0"/>
              </w:rPr>
              <w:t>-</w:t>
            </w:r>
          </w:p>
        </w:tc>
        <w:tc>
          <w:tcPr>
            <w:tcW w:w="0" w:type="dxa"/>
            <w:vAlign w:val="center"/>
          </w:tcPr>
          <w:p w14:paraId="7172C2FA">
            <w:pPr>
              <w:spacing w:line="240" w:lineRule="auto"/>
              <w:jc w:val="right"/>
            </w:pPr>
            <w:r>
              <w:rPr>
                <w:rFonts w:ascii="宋体" w:hAnsi="宋体" w:eastAsia="宋体" w:cs="宋体"/>
                <w:b w:val="0"/>
              </w:rPr>
              <w:t>-</w:t>
            </w:r>
          </w:p>
        </w:tc>
        <w:tc>
          <w:tcPr>
            <w:tcW w:w="0" w:type="dxa"/>
            <w:vAlign w:val="center"/>
          </w:tcPr>
          <w:p w14:paraId="51098F92">
            <w:pPr>
              <w:spacing w:line="240" w:lineRule="auto"/>
              <w:jc w:val="right"/>
            </w:pPr>
            <w:r>
              <w:rPr>
                <w:rFonts w:ascii="宋体" w:hAnsi="宋体" w:eastAsia="宋体" w:cs="宋体"/>
                <w:b w:val="0"/>
              </w:rPr>
              <w:t>-</w:t>
            </w:r>
          </w:p>
        </w:tc>
        <w:tc>
          <w:tcPr>
            <w:tcW w:w="0" w:type="dxa"/>
            <w:vAlign w:val="center"/>
          </w:tcPr>
          <w:p w14:paraId="6C909A62">
            <w:pPr>
              <w:spacing w:line="240" w:lineRule="auto"/>
              <w:jc w:val="right"/>
            </w:pPr>
            <w:r>
              <w:rPr>
                <w:rFonts w:ascii="宋体" w:hAnsi="宋体" w:eastAsia="宋体" w:cs="宋体"/>
                <w:b w:val="0"/>
              </w:rPr>
              <w:t>-</w:t>
            </w:r>
          </w:p>
        </w:tc>
        <w:tc>
          <w:tcPr>
            <w:tcW w:w="0" w:type="dxa"/>
            <w:vAlign w:val="center"/>
          </w:tcPr>
          <w:p w14:paraId="0D8354A9">
            <w:pPr>
              <w:spacing w:line="240" w:lineRule="auto"/>
              <w:jc w:val="right"/>
            </w:pPr>
            <w:r>
              <w:rPr>
                <w:rFonts w:ascii="宋体" w:hAnsi="宋体" w:eastAsia="宋体" w:cs="宋体"/>
                <w:b w:val="0"/>
              </w:rPr>
              <w:t>-</w:t>
            </w:r>
          </w:p>
        </w:tc>
        <w:tc>
          <w:tcPr>
            <w:tcW w:w="0" w:type="dxa"/>
            <w:vAlign w:val="center"/>
          </w:tcPr>
          <w:p w14:paraId="04800C3A">
            <w:pPr>
              <w:spacing w:line="240" w:lineRule="auto"/>
              <w:jc w:val="right"/>
            </w:pPr>
            <w:r>
              <w:rPr>
                <w:rFonts w:ascii="宋体" w:hAnsi="宋体" w:eastAsia="宋体" w:cs="宋体"/>
                <w:b w:val="0"/>
              </w:rPr>
              <w:t>3,000,000.00</w:t>
            </w:r>
          </w:p>
        </w:tc>
      </w:tr>
      <w:tr w14:paraId="49BF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DBFA9A">
            <w:pPr>
              <w:spacing w:line="240" w:lineRule="auto"/>
              <w:jc w:val="center"/>
            </w:pPr>
            <w:r>
              <w:rPr>
                <w:rFonts w:ascii="宋体" w:hAnsi="宋体" w:eastAsia="宋体" w:cs="宋体"/>
                <w:b w:val="0"/>
              </w:rPr>
              <w:t>应收申购款</w:t>
            </w:r>
          </w:p>
        </w:tc>
        <w:tc>
          <w:tcPr>
            <w:tcW w:w="0" w:type="dxa"/>
            <w:vAlign w:val="center"/>
          </w:tcPr>
          <w:p w14:paraId="7AD79BB4">
            <w:pPr>
              <w:spacing w:line="240" w:lineRule="auto"/>
              <w:jc w:val="right"/>
            </w:pPr>
            <w:r>
              <w:rPr>
                <w:rFonts w:ascii="宋体" w:hAnsi="宋体" w:eastAsia="宋体" w:cs="宋体"/>
                <w:b w:val="0"/>
              </w:rPr>
              <w:t>-</w:t>
            </w:r>
          </w:p>
        </w:tc>
        <w:tc>
          <w:tcPr>
            <w:tcW w:w="0" w:type="dxa"/>
            <w:vAlign w:val="center"/>
          </w:tcPr>
          <w:p w14:paraId="6843B684">
            <w:pPr>
              <w:spacing w:line="240" w:lineRule="auto"/>
              <w:jc w:val="right"/>
            </w:pPr>
            <w:r>
              <w:rPr>
                <w:rFonts w:ascii="宋体" w:hAnsi="宋体" w:eastAsia="宋体" w:cs="宋体"/>
                <w:b w:val="0"/>
              </w:rPr>
              <w:t>-</w:t>
            </w:r>
          </w:p>
        </w:tc>
        <w:tc>
          <w:tcPr>
            <w:tcW w:w="0" w:type="dxa"/>
            <w:vAlign w:val="center"/>
          </w:tcPr>
          <w:p w14:paraId="24246349">
            <w:pPr>
              <w:spacing w:line="240" w:lineRule="auto"/>
              <w:jc w:val="right"/>
            </w:pPr>
            <w:r>
              <w:rPr>
                <w:rFonts w:ascii="宋体" w:hAnsi="宋体" w:eastAsia="宋体" w:cs="宋体"/>
                <w:b w:val="0"/>
              </w:rPr>
              <w:t>-</w:t>
            </w:r>
          </w:p>
        </w:tc>
        <w:tc>
          <w:tcPr>
            <w:tcW w:w="0" w:type="dxa"/>
            <w:vAlign w:val="center"/>
          </w:tcPr>
          <w:p w14:paraId="72AD54EA">
            <w:pPr>
              <w:spacing w:line="240" w:lineRule="auto"/>
              <w:jc w:val="right"/>
            </w:pPr>
            <w:r>
              <w:rPr>
                <w:rFonts w:ascii="宋体" w:hAnsi="宋体" w:eastAsia="宋体" w:cs="宋体"/>
                <w:b w:val="0"/>
              </w:rPr>
              <w:t>-</w:t>
            </w:r>
          </w:p>
        </w:tc>
        <w:tc>
          <w:tcPr>
            <w:tcW w:w="0" w:type="dxa"/>
            <w:vAlign w:val="center"/>
          </w:tcPr>
          <w:p w14:paraId="33CF3C8D">
            <w:pPr>
              <w:spacing w:line="240" w:lineRule="auto"/>
              <w:jc w:val="right"/>
            </w:pPr>
            <w:r>
              <w:rPr>
                <w:rFonts w:ascii="宋体" w:hAnsi="宋体" w:eastAsia="宋体" w:cs="宋体"/>
                <w:b w:val="0"/>
              </w:rPr>
              <w:t>-</w:t>
            </w:r>
          </w:p>
        </w:tc>
        <w:tc>
          <w:tcPr>
            <w:tcW w:w="0" w:type="dxa"/>
            <w:vAlign w:val="center"/>
          </w:tcPr>
          <w:p w14:paraId="783A2DCC">
            <w:pPr>
              <w:spacing w:line="240" w:lineRule="auto"/>
              <w:jc w:val="right"/>
            </w:pPr>
            <w:r>
              <w:rPr>
                <w:rFonts w:ascii="宋体" w:hAnsi="宋体" w:eastAsia="宋体" w:cs="宋体"/>
                <w:b w:val="0"/>
              </w:rPr>
              <w:t>122,236.98</w:t>
            </w:r>
          </w:p>
        </w:tc>
        <w:tc>
          <w:tcPr>
            <w:tcW w:w="0" w:type="dxa"/>
            <w:vAlign w:val="center"/>
          </w:tcPr>
          <w:p w14:paraId="1330A2B0">
            <w:pPr>
              <w:spacing w:line="240" w:lineRule="auto"/>
              <w:jc w:val="right"/>
            </w:pPr>
            <w:r>
              <w:rPr>
                <w:rFonts w:ascii="宋体" w:hAnsi="宋体" w:eastAsia="宋体" w:cs="宋体"/>
                <w:b w:val="0"/>
              </w:rPr>
              <w:t>122,236.98</w:t>
            </w:r>
          </w:p>
        </w:tc>
      </w:tr>
      <w:tr w14:paraId="3FE8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7C5BAA">
            <w:pPr>
              <w:spacing w:line="240" w:lineRule="auto"/>
              <w:jc w:val="center"/>
            </w:pPr>
            <w:r>
              <w:rPr>
                <w:rFonts w:ascii="宋体" w:hAnsi="宋体" w:eastAsia="宋体" w:cs="宋体"/>
                <w:b w:val="0"/>
              </w:rPr>
              <w:t>资产总计</w:t>
            </w:r>
          </w:p>
        </w:tc>
        <w:tc>
          <w:tcPr>
            <w:tcW w:w="0" w:type="dxa"/>
            <w:vAlign w:val="center"/>
          </w:tcPr>
          <w:p w14:paraId="65940E3D">
            <w:pPr>
              <w:spacing w:line="240" w:lineRule="auto"/>
              <w:jc w:val="right"/>
            </w:pPr>
            <w:r>
              <w:rPr>
                <w:rFonts w:ascii="宋体" w:hAnsi="宋体" w:eastAsia="宋体" w:cs="宋体"/>
                <w:b w:val="0"/>
              </w:rPr>
              <w:t>3,079,406.67</w:t>
            </w:r>
          </w:p>
        </w:tc>
        <w:tc>
          <w:tcPr>
            <w:tcW w:w="0" w:type="dxa"/>
            <w:vAlign w:val="center"/>
          </w:tcPr>
          <w:p w14:paraId="765C8955">
            <w:pPr>
              <w:spacing w:line="240" w:lineRule="auto"/>
              <w:jc w:val="right"/>
            </w:pPr>
            <w:r>
              <w:rPr>
                <w:rFonts w:ascii="宋体" w:hAnsi="宋体" w:eastAsia="宋体" w:cs="宋体"/>
                <w:b w:val="0"/>
              </w:rPr>
              <w:t>-</w:t>
            </w:r>
          </w:p>
        </w:tc>
        <w:tc>
          <w:tcPr>
            <w:tcW w:w="0" w:type="dxa"/>
            <w:vAlign w:val="center"/>
          </w:tcPr>
          <w:p w14:paraId="36CF3845">
            <w:pPr>
              <w:spacing w:line="240" w:lineRule="auto"/>
              <w:jc w:val="right"/>
            </w:pPr>
            <w:r>
              <w:rPr>
                <w:rFonts w:ascii="宋体" w:hAnsi="宋体" w:eastAsia="宋体" w:cs="宋体"/>
                <w:b w:val="0"/>
              </w:rPr>
              <w:t>606,295.40</w:t>
            </w:r>
          </w:p>
        </w:tc>
        <w:tc>
          <w:tcPr>
            <w:tcW w:w="0" w:type="dxa"/>
            <w:vAlign w:val="center"/>
          </w:tcPr>
          <w:p w14:paraId="3D01897D">
            <w:pPr>
              <w:spacing w:line="240" w:lineRule="auto"/>
              <w:jc w:val="right"/>
            </w:pPr>
            <w:r>
              <w:rPr>
                <w:rFonts w:ascii="宋体" w:hAnsi="宋体" w:eastAsia="宋体" w:cs="宋体"/>
                <w:b w:val="0"/>
              </w:rPr>
              <w:t>3,395,223.29</w:t>
            </w:r>
          </w:p>
        </w:tc>
        <w:tc>
          <w:tcPr>
            <w:tcW w:w="0" w:type="dxa"/>
            <w:vAlign w:val="center"/>
          </w:tcPr>
          <w:p w14:paraId="1762E59C">
            <w:pPr>
              <w:spacing w:line="240" w:lineRule="auto"/>
              <w:jc w:val="right"/>
            </w:pPr>
            <w:r>
              <w:rPr>
                <w:rFonts w:ascii="宋体" w:hAnsi="宋体" w:eastAsia="宋体" w:cs="宋体"/>
                <w:b w:val="0"/>
              </w:rPr>
              <w:t>2,015,882.19</w:t>
            </w:r>
          </w:p>
        </w:tc>
        <w:tc>
          <w:tcPr>
            <w:tcW w:w="0" w:type="dxa"/>
            <w:vAlign w:val="center"/>
          </w:tcPr>
          <w:p w14:paraId="5453A786">
            <w:pPr>
              <w:spacing w:line="240" w:lineRule="auto"/>
              <w:jc w:val="right"/>
            </w:pPr>
            <w:r>
              <w:rPr>
                <w:rFonts w:ascii="宋体" w:hAnsi="宋体" w:eastAsia="宋体" w:cs="宋体"/>
                <w:b w:val="0"/>
              </w:rPr>
              <w:t>1,975,749.98</w:t>
            </w:r>
          </w:p>
        </w:tc>
        <w:tc>
          <w:tcPr>
            <w:tcW w:w="0" w:type="dxa"/>
            <w:vAlign w:val="center"/>
          </w:tcPr>
          <w:p w14:paraId="657C92D3">
            <w:pPr>
              <w:spacing w:line="240" w:lineRule="auto"/>
              <w:jc w:val="right"/>
            </w:pPr>
            <w:r>
              <w:rPr>
                <w:rFonts w:ascii="宋体" w:hAnsi="宋体" w:eastAsia="宋体" w:cs="宋体"/>
                <w:b w:val="0"/>
              </w:rPr>
              <w:t>11,072,557.53</w:t>
            </w:r>
          </w:p>
        </w:tc>
      </w:tr>
      <w:tr w14:paraId="6F84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E77BCE">
            <w:pPr>
              <w:spacing w:line="240" w:lineRule="auto"/>
              <w:jc w:val="center"/>
            </w:pPr>
            <w:r>
              <w:rPr>
                <w:rFonts w:ascii="宋体" w:hAnsi="宋体" w:eastAsia="宋体" w:cs="宋体"/>
                <w:b w:val="0"/>
              </w:rPr>
              <w:t>负债</w:t>
            </w:r>
          </w:p>
        </w:tc>
        <w:tc>
          <w:tcPr>
            <w:tcW w:w="0" w:type="dxa"/>
            <w:vAlign w:val="center"/>
          </w:tcPr>
          <w:p w14:paraId="161F89B0">
            <w:pPr>
              <w:spacing w:line="240" w:lineRule="auto"/>
              <w:jc w:val="right"/>
            </w:pPr>
          </w:p>
        </w:tc>
        <w:tc>
          <w:tcPr>
            <w:tcW w:w="0" w:type="dxa"/>
            <w:vAlign w:val="center"/>
          </w:tcPr>
          <w:p w14:paraId="70ED2C72">
            <w:pPr>
              <w:spacing w:line="240" w:lineRule="auto"/>
              <w:jc w:val="right"/>
            </w:pPr>
          </w:p>
        </w:tc>
        <w:tc>
          <w:tcPr>
            <w:tcW w:w="0" w:type="dxa"/>
            <w:vAlign w:val="center"/>
          </w:tcPr>
          <w:p w14:paraId="0BD4EB4D">
            <w:pPr>
              <w:spacing w:line="240" w:lineRule="auto"/>
              <w:jc w:val="right"/>
            </w:pPr>
          </w:p>
        </w:tc>
        <w:tc>
          <w:tcPr>
            <w:tcW w:w="0" w:type="dxa"/>
            <w:vAlign w:val="center"/>
          </w:tcPr>
          <w:p w14:paraId="29C9A735">
            <w:pPr>
              <w:spacing w:line="240" w:lineRule="auto"/>
              <w:jc w:val="right"/>
            </w:pPr>
          </w:p>
        </w:tc>
        <w:tc>
          <w:tcPr>
            <w:tcW w:w="0" w:type="dxa"/>
            <w:vAlign w:val="center"/>
          </w:tcPr>
          <w:p w14:paraId="1A3EBBE8">
            <w:pPr>
              <w:spacing w:line="240" w:lineRule="auto"/>
              <w:jc w:val="right"/>
            </w:pPr>
          </w:p>
        </w:tc>
        <w:tc>
          <w:tcPr>
            <w:tcW w:w="0" w:type="dxa"/>
            <w:vAlign w:val="center"/>
          </w:tcPr>
          <w:p w14:paraId="27211C4E">
            <w:pPr>
              <w:spacing w:line="240" w:lineRule="auto"/>
              <w:jc w:val="right"/>
            </w:pPr>
          </w:p>
        </w:tc>
        <w:tc>
          <w:tcPr>
            <w:tcW w:w="0" w:type="dxa"/>
            <w:vAlign w:val="center"/>
          </w:tcPr>
          <w:p w14:paraId="560CDBFD">
            <w:pPr>
              <w:spacing w:line="240" w:lineRule="auto"/>
              <w:jc w:val="right"/>
            </w:pPr>
          </w:p>
        </w:tc>
      </w:tr>
      <w:tr w14:paraId="4278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dxa"/>
            <w:vAlign w:val="center"/>
          </w:tcPr>
          <w:p w14:paraId="1CF22437">
            <w:pPr>
              <w:spacing w:line="240" w:lineRule="auto"/>
              <w:jc w:val="center"/>
            </w:pPr>
            <w:r>
              <w:rPr>
                <w:rFonts w:ascii="宋体" w:hAnsi="宋体" w:eastAsia="宋体" w:cs="宋体"/>
                <w:b w:val="0"/>
              </w:rPr>
              <w:t>应付赎回款</w:t>
            </w:r>
          </w:p>
        </w:tc>
        <w:tc>
          <w:tcPr>
            <w:tcW w:w="0" w:type="dxa"/>
            <w:vAlign w:val="center"/>
          </w:tcPr>
          <w:p w14:paraId="48F79799">
            <w:pPr>
              <w:spacing w:line="240" w:lineRule="auto"/>
              <w:jc w:val="right"/>
            </w:pPr>
            <w:r>
              <w:rPr>
                <w:rFonts w:ascii="宋体" w:hAnsi="宋体" w:eastAsia="宋体" w:cs="宋体"/>
                <w:b w:val="0"/>
              </w:rPr>
              <w:t>-</w:t>
            </w:r>
          </w:p>
        </w:tc>
        <w:tc>
          <w:tcPr>
            <w:tcW w:w="0" w:type="dxa"/>
            <w:vAlign w:val="center"/>
          </w:tcPr>
          <w:p w14:paraId="1CE5BF44">
            <w:pPr>
              <w:spacing w:line="240" w:lineRule="auto"/>
              <w:jc w:val="right"/>
            </w:pPr>
            <w:r>
              <w:rPr>
                <w:rFonts w:ascii="宋体" w:hAnsi="宋体" w:eastAsia="宋体" w:cs="宋体"/>
                <w:b w:val="0"/>
              </w:rPr>
              <w:t>-</w:t>
            </w:r>
          </w:p>
        </w:tc>
        <w:tc>
          <w:tcPr>
            <w:tcW w:w="0" w:type="dxa"/>
            <w:vAlign w:val="center"/>
          </w:tcPr>
          <w:p w14:paraId="655FA00B">
            <w:pPr>
              <w:spacing w:line="240" w:lineRule="auto"/>
              <w:jc w:val="right"/>
            </w:pPr>
            <w:r>
              <w:rPr>
                <w:rFonts w:ascii="宋体" w:hAnsi="宋体" w:eastAsia="宋体" w:cs="宋体"/>
                <w:b w:val="0"/>
              </w:rPr>
              <w:t>-</w:t>
            </w:r>
          </w:p>
        </w:tc>
        <w:tc>
          <w:tcPr>
            <w:tcW w:w="0" w:type="dxa"/>
            <w:vAlign w:val="center"/>
          </w:tcPr>
          <w:p w14:paraId="65DF0DF3">
            <w:pPr>
              <w:spacing w:line="240" w:lineRule="auto"/>
              <w:jc w:val="right"/>
            </w:pPr>
            <w:r>
              <w:rPr>
                <w:rFonts w:ascii="宋体" w:hAnsi="宋体" w:eastAsia="宋体" w:cs="宋体"/>
                <w:b w:val="0"/>
              </w:rPr>
              <w:t>-</w:t>
            </w:r>
          </w:p>
        </w:tc>
        <w:tc>
          <w:tcPr>
            <w:tcW w:w="0" w:type="dxa"/>
            <w:vAlign w:val="center"/>
          </w:tcPr>
          <w:p w14:paraId="3B836FAA">
            <w:pPr>
              <w:spacing w:line="240" w:lineRule="auto"/>
              <w:jc w:val="right"/>
            </w:pPr>
            <w:r>
              <w:rPr>
                <w:rFonts w:ascii="宋体" w:hAnsi="宋体" w:eastAsia="宋体" w:cs="宋体"/>
                <w:b w:val="0"/>
              </w:rPr>
              <w:t>-</w:t>
            </w:r>
          </w:p>
        </w:tc>
        <w:tc>
          <w:tcPr>
            <w:tcW w:w="0" w:type="dxa"/>
            <w:vAlign w:val="center"/>
          </w:tcPr>
          <w:p w14:paraId="554FAEBF">
            <w:pPr>
              <w:spacing w:line="240" w:lineRule="auto"/>
              <w:jc w:val="right"/>
            </w:pPr>
            <w:r>
              <w:rPr>
                <w:rFonts w:ascii="宋体" w:hAnsi="宋体" w:eastAsia="宋体" w:cs="宋体"/>
                <w:b w:val="0"/>
              </w:rPr>
              <w:t>207.16</w:t>
            </w:r>
          </w:p>
        </w:tc>
        <w:tc>
          <w:tcPr>
            <w:tcW w:w="0" w:type="dxa"/>
            <w:vAlign w:val="center"/>
          </w:tcPr>
          <w:p w14:paraId="6466E26E">
            <w:pPr>
              <w:spacing w:line="240" w:lineRule="auto"/>
              <w:jc w:val="right"/>
            </w:pPr>
            <w:r>
              <w:rPr>
                <w:rFonts w:ascii="宋体" w:hAnsi="宋体" w:eastAsia="宋体" w:cs="宋体"/>
                <w:b w:val="0"/>
              </w:rPr>
              <w:t>207.16</w:t>
            </w:r>
          </w:p>
        </w:tc>
      </w:tr>
      <w:tr w14:paraId="737D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D6E65F">
            <w:pPr>
              <w:spacing w:line="240" w:lineRule="auto"/>
              <w:jc w:val="center"/>
            </w:pPr>
            <w:r>
              <w:rPr>
                <w:rFonts w:ascii="宋体" w:hAnsi="宋体" w:eastAsia="宋体" w:cs="宋体"/>
                <w:b w:val="0"/>
              </w:rPr>
              <w:t>应付管理人报酬</w:t>
            </w:r>
          </w:p>
        </w:tc>
        <w:tc>
          <w:tcPr>
            <w:tcW w:w="0" w:type="dxa"/>
            <w:vAlign w:val="center"/>
          </w:tcPr>
          <w:p w14:paraId="5D0BA6C9">
            <w:pPr>
              <w:spacing w:line="240" w:lineRule="auto"/>
              <w:jc w:val="right"/>
            </w:pPr>
            <w:r>
              <w:rPr>
                <w:rFonts w:ascii="宋体" w:hAnsi="宋体" w:eastAsia="宋体" w:cs="宋体"/>
                <w:b w:val="0"/>
              </w:rPr>
              <w:t>-</w:t>
            </w:r>
          </w:p>
        </w:tc>
        <w:tc>
          <w:tcPr>
            <w:tcW w:w="0" w:type="dxa"/>
            <w:vAlign w:val="center"/>
          </w:tcPr>
          <w:p w14:paraId="633FEF28">
            <w:pPr>
              <w:spacing w:line="240" w:lineRule="auto"/>
              <w:jc w:val="right"/>
            </w:pPr>
            <w:r>
              <w:rPr>
                <w:rFonts w:ascii="宋体" w:hAnsi="宋体" w:eastAsia="宋体" w:cs="宋体"/>
                <w:b w:val="0"/>
              </w:rPr>
              <w:t>-</w:t>
            </w:r>
          </w:p>
        </w:tc>
        <w:tc>
          <w:tcPr>
            <w:tcW w:w="0" w:type="dxa"/>
            <w:vAlign w:val="center"/>
          </w:tcPr>
          <w:p w14:paraId="741F3EE4">
            <w:pPr>
              <w:spacing w:line="240" w:lineRule="auto"/>
              <w:jc w:val="right"/>
            </w:pPr>
            <w:r>
              <w:rPr>
                <w:rFonts w:ascii="宋体" w:hAnsi="宋体" w:eastAsia="宋体" w:cs="宋体"/>
                <w:b w:val="0"/>
              </w:rPr>
              <w:t>-</w:t>
            </w:r>
          </w:p>
        </w:tc>
        <w:tc>
          <w:tcPr>
            <w:tcW w:w="0" w:type="dxa"/>
            <w:vAlign w:val="center"/>
          </w:tcPr>
          <w:p w14:paraId="49CE90F2">
            <w:pPr>
              <w:spacing w:line="240" w:lineRule="auto"/>
              <w:jc w:val="right"/>
            </w:pPr>
            <w:r>
              <w:rPr>
                <w:rFonts w:ascii="宋体" w:hAnsi="宋体" w:eastAsia="宋体" w:cs="宋体"/>
                <w:b w:val="0"/>
              </w:rPr>
              <w:t>-</w:t>
            </w:r>
          </w:p>
        </w:tc>
        <w:tc>
          <w:tcPr>
            <w:tcW w:w="0" w:type="dxa"/>
            <w:vAlign w:val="center"/>
          </w:tcPr>
          <w:p w14:paraId="5E9779A7">
            <w:pPr>
              <w:spacing w:line="240" w:lineRule="auto"/>
              <w:jc w:val="right"/>
            </w:pPr>
            <w:r>
              <w:rPr>
                <w:rFonts w:ascii="宋体" w:hAnsi="宋体" w:eastAsia="宋体" w:cs="宋体"/>
                <w:b w:val="0"/>
              </w:rPr>
              <w:t>-</w:t>
            </w:r>
          </w:p>
        </w:tc>
        <w:tc>
          <w:tcPr>
            <w:tcW w:w="0" w:type="dxa"/>
            <w:vAlign w:val="center"/>
          </w:tcPr>
          <w:p w14:paraId="23CD1EBF">
            <w:pPr>
              <w:spacing w:line="240" w:lineRule="auto"/>
              <w:jc w:val="right"/>
            </w:pPr>
            <w:r>
              <w:rPr>
                <w:rFonts w:ascii="宋体" w:hAnsi="宋体" w:eastAsia="宋体" w:cs="宋体"/>
                <w:b w:val="0"/>
              </w:rPr>
              <w:t>4,863.33</w:t>
            </w:r>
          </w:p>
        </w:tc>
        <w:tc>
          <w:tcPr>
            <w:tcW w:w="0" w:type="dxa"/>
            <w:vAlign w:val="center"/>
          </w:tcPr>
          <w:p w14:paraId="1B58E8E0">
            <w:pPr>
              <w:spacing w:line="240" w:lineRule="auto"/>
              <w:jc w:val="right"/>
            </w:pPr>
            <w:r>
              <w:rPr>
                <w:rFonts w:ascii="宋体" w:hAnsi="宋体" w:eastAsia="宋体" w:cs="宋体"/>
                <w:b w:val="0"/>
              </w:rPr>
              <w:t>4,863.33</w:t>
            </w:r>
          </w:p>
        </w:tc>
      </w:tr>
      <w:tr w14:paraId="0686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543AFD">
            <w:pPr>
              <w:spacing w:line="240" w:lineRule="auto"/>
              <w:jc w:val="center"/>
            </w:pPr>
            <w:r>
              <w:rPr>
                <w:rFonts w:ascii="宋体" w:hAnsi="宋体" w:eastAsia="宋体" w:cs="宋体"/>
                <w:b w:val="0"/>
              </w:rPr>
              <w:t>应付托管费</w:t>
            </w:r>
          </w:p>
        </w:tc>
        <w:tc>
          <w:tcPr>
            <w:tcW w:w="0" w:type="dxa"/>
            <w:vAlign w:val="center"/>
          </w:tcPr>
          <w:p w14:paraId="02C9F9EA">
            <w:pPr>
              <w:spacing w:line="240" w:lineRule="auto"/>
              <w:jc w:val="right"/>
            </w:pPr>
            <w:r>
              <w:rPr>
                <w:rFonts w:ascii="宋体" w:hAnsi="宋体" w:eastAsia="宋体" w:cs="宋体"/>
                <w:b w:val="0"/>
              </w:rPr>
              <w:t>-</w:t>
            </w:r>
          </w:p>
        </w:tc>
        <w:tc>
          <w:tcPr>
            <w:tcW w:w="0" w:type="dxa"/>
            <w:vAlign w:val="center"/>
          </w:tcPr>
          <w:p w14:paraId="0574215D">
            <w:pPr>
              <w:spacing w:line="240" w:lineRule="auto"/>
              <w:jc w:val="right"/>
            </w:pPr>
            <w:r>
              <w:rPr>
                <w:rFonts w:ascii="宋体" w:hAnsi="宋体" w:eastAsia="宋体" w:cs="宋体"/>
                <w:b w:val="0"/>
              </w:rPr>
              <w:t>-</w:t>
            </w:r>
          </w:p>
        </w:tc>
        <w:tc>
          <w:tcPr>
            <w:tcW w:w="0" w:type="dxa"/>
            <w:vAlign w:val="center"/>
          </w:tcPr>
          <w:p w14:paraId="38CD199C">
            <w:pPr>
              <w:spacing w:line="240" w:lineRule="auto"/>
              <w:jc w:val="right"/>
            </w:pPr>
            <w:r>
              <w:rPr>
                <w:rFonts w:ascii="宋体" w:hAnsi="宋体" w:eastAsia="宋体" w:cs="宋体"/>
                <w:b w:val="0"/>
              </w:rPr>
              <w:t>-</w:t>
            </w:r>
          </w:p>
        </w:tc>
        <w:tc>
          <w:tcPr>
            <w:tcW w:w="0" w:type="dxa"/>
            <w:vAlign w:val="center"/>
          </w:tcPr>
          <w:p w14:paraId="169E5F10">
            <w:pPr>
              <w:spacing w:line="240" w:lineRule="auto"/>
              <w:jc w:val="right"/>
            </w:pPr>
            <w:r>
              <w:rPr>
                <w:rFonts w:ascii="宋体" w:hAnsi="宋体" w:eastAsia="宋体" w:cs="宋体"/>
                <w:b w:val="0"/>
              </w:rPr>
              <w:t>-</w:t>
            </w:r>
          </w:p>
        </w:tc>
        <w:tc>
          <w:tcPr>
            <w:tcW w:w="0" w:type="dxa"/>
            <w:vAlign w:val="center"/>
          </w:tcPr>
          <w:p w14:paraId="64CF778C">
            <w:pPr>
              <w:spacing w:line="240" w:lineRule="auto"/>
              <w:jc w:val="right"/>
            </w:pPr>
            <w:r>
              <w:rPr>
                <w:rFonts w:ascii="宋体" w:hAnsi="宋体" w:eastAsia="宋体" w:cs="宋体"/>
                <w:b w:val="0"/>
              </w:rPr>
              <w:t>-</w:t>
            </w:r>
          </w:p>
        </w:tc>
        <w:tc>
          <w:tcPr>
            <w:tcW w:w="0" w:type="dxa"/>
            <w:vAlign w:val="center"/>
          </w:tcPr>
          <w:p w14:paraId="0AB47DC4">
            <w:pPr>
              <w:spacing w:line="240" w:lineRule="auto"/>
              <w:jc w:val="right"/>
            </w:pPr>
            <w:r>
              <w:rPr>
                <w:rFonts w:ascii="宋体" w:hAnsi="宋体" w:eastAsia="宋体" w:cs="宋体"/>
                <w:b w:val="0"/>
              </w:rPr>
              <w:t>810.58</w:t>
            </w:r>
          </w:p>
        </w:tc>
        <w:tc>
          <w:tcPr>
            <w:tcW w:w="0" w:type="dxa"/>
            <w:vAlign w:val="center"/>
          </w:tcPr>
          <w:p w14:paraId="349A0C83">
            <w:pPr>
              <w:spacing w:line="240" w:lineRule="auto"/>
              <w:jc w:val="right"/>
            </w:pPr>
            <w:r>
              <w:rPr>
                <w:rFonts w:ascii="宋体" w:hAnsi="宋体" w:eastAsia="宋体" w:cs="宋体"/>
                <w:b w:val="0"/>
              </w:rPr>
              <w:t>810.58</w:t>
            </w:r>
          </w:p>
        </w:tc>
      </w:tr>
      <w:tr w14:paraId="0A20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70E055">
            <w:pPr>
              <w:spacing w:line="240" w:lineRule="auto"/>
              <w:jc w:val="center"/>
            </w:pPr>
            <w:r>
              <w:rPr>
                <w:rFonts w:ascii="宋体" w:hAnsi="宋体" w:eastAsia="宋体" w:cs="宋体"/>
                <w:b w:val="0"/>
              </w:rPr>
              <w:t>应付销售服务费</w:t>
            </w:r>
          </w:p>
        </w:tc>
        <w:tc>
          <w:tcPr>
            <w:tcW w:w="0" w:type="dxa"/>
            <w:vAlign w:val="center"/>
          </w:tcPr>
          <w:p w14:paraId="7DD141A2">
            <w:pPr>
              <w:spacing w:line="240" w:lineRule="auto"/>
              <w:jc w:val="right"/>
            </w:pPr>
            <w:r>
              <w:rPr>
                <w:rFonts w:ascii="宋体" w:hAnsi="宋体" w:eastAsia="宋体" w:cs="宋体"/>
                <w:b w:val="0"/>
              </w:rPr>
              <w:t>-</w:t>
            </w:r>
          </w:p>
        </w:tc>
        <w:tc>
          <w:tcPr>
            <w:tcW w:w="0" w:type="dxa"/>
            <w:vAlign w:val="center"/>
          </w:tcPr>
          <w:p w14:paraId="31644706">
            <w:pPr>
              <w:spacing w:line="240" w:lineRule="auto"/>
              <w:jc w:val="right"/>
            </w:pPr>
            <w:r>
              <w:rPr>
                <w:rFonts w:ascii="宋体" w:hAnsi="宋体" w:eastAsia="宋体" w:cs="宋体"/>
                <w:b w:val="0"/>
              </w:rPr>
              <w:t>-</w:t>
            </w:r>
          </w:p>
        </w:tc>
        <w:tc>
          <w:tcPr>
            <w:tcW w:w="0" w:type="dxa"/>
            <w:vAlign w:val="center"/>
          </w:tcPr>
          <w:p w14:paraId="11395BB4">
            <w:pPr>
              <w:spacing w:line="240" w:lineRule="auto"/>
              <w:jc w:val="right"/>
            </w:pPr>
            <w:r>
              <w:rPr>
                <w:rFonts w:ascii="宋体" w:hAnsi="宋体" w:eastAsia="宋体" w:cs="宋体"/>
                <w:b w:val="0"/>
              </w:rPr>
              <w:t>-</w:t>
            </w:r>
          </w:p>
        </w:tc>
        <w:tc>
          <w:tcPr>
            <w:tcW w:w="0" w:type="dxa"/>
            <w:vAlign w:val="center"/>
          </w:tcPr>
          <w:p w14:paraId="5346A763">
            <w:pPr>
              <w:spacing w:line="240" w:lineRule="auto"/>
              <w:jc w:val="right"/>
            </w:pPr>
            <w:r>
              <w:rPr>
                <w:rFonts w:ascii="宋体" w:hAnsi="宋体" w:eastAsia="宋体" w:cs="宋体"/>
                <w:b w:val="0"/>
              </w:rPr>
              <w:t>-</w:t>
            </w:r>
          </w:p>
        </w:tc>
        <w:tc>
          <w:tcPr>
            <w:tcW w:w="0" w:type="dxa"/>
            <w:vAlign w:val="center"/>
          </w:tcPr>
          <w:p w14:paraId="5EF79333">
            <w:pPr>
              <w:spacing w:line="240" w:lineRule="auto"/>
              <w:jc w:val="right"/>
            </w:pPr>
            <w:r>
              <w:rPr>
                <w:rFonts w:ascii="宋体" w:hAnsi="宋体" w:eastAsia="宋体" w:cs="宋体"/>
                <w:b w:val="0"/>
              </w:rPr>
              <w:t>-</w:t>
            </w:r>
          </w:p>
        </w:tc>
        <w:tc>
          <w:tcPr>
            <w:tcW w:w="0" w:type="dxa"/>
            <w:vAlign w:val="center"/>
          </w:tcPr>
          <w:p w14:paraId="7E30F9FC">
            <w:pPr>
              <w:spacing w:line="240" w:lineRule="auto"/>
              <w:jc w:val="right"/>
            </w:pPr>
            <w:r>
              <w:rPr>
                <w:rFonts w:ascii="宋体" w:hAnsi="宋体" w:eastAsia="宋体" w:cs="宋体"/>
                <w:b w:val="0"/>
              </w:rPr>
              <w:t>27.23</w:t>
            </w:r>
          </w:p>
        </w:tc>
        <w:tc>
          <w:tcPr>
            <w:tcW w:w="0" w:type="dxa"/>
            <w:vAlign w:val="center"/>
          </w:tcPr>
          <w:p w14:paraId="4BF61E87">
            <w:pPr>
              <w:spacing w:line="240" w:lineRule="auto"/>
              <w:jc w:val="right"/>
            </w:pPr>
            <w:r>
              <w:rPr>
                <w:rFonts w:ascii="宋体" w:hAnsi="宋体" w:eastAsia="宋体" w:cs="宋体"/>
                <w:b w:val="0"/>
              </w:rPr>
              <w:t>27.23</w:t>
            </w:r>
          </w:p>
        </w:tc>
      </w:tr>
      <w:tr w14:paraId="5305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4F0528">
            <w:pPr>
              <w:spacing w:line="240" w:lineRule="auto"/>
              <w:jc w:val="center"/>
            </w:pPr>
            <w:r>
              <w:rPr>
                <w:rFonts w:ascii="宋体" w:hAnsi="宋体" w:eastAsia="宋体" w:cs="宋体"/>
                <w:b w:val="0"/>
              </w:rPr>
              <w:t>应交税费</w:t>
            </w:r>
          </w:p>
        </w:tc>
        <w:tc>
          <w:tcPr>
            <w:tcW w:w="0" w:type="dxa"/>
            <w:vAlign w:val="center"/>
          </w:tcPr>
          <w:p w14:paraId="1D21C71F">
            <w:pPr>
              <w:spacing w:line="240" w:lineRule="auto"/>
              <w:jc w:val="right"/>
            </w:pPr>
            <w:r>
              <w:rPr>
                <w:rFonts w:ascii="宋体" w:hAnsi="宋体" w:eastAsia="宋体" w:cs="宋体"/>
                <w:b w:val="0"/>
              </w:rPr>
              <w:t>-</w:t>
            </w:r>
          </w:p>
        </w:tc>
        <w:tc>
          <w:tcPr>
            <w:tcW w:w="0" w:type="dxa"/>
            <w:vAlign w:val="center"/>
          </w:tcPr>
          <w:p w14:paraId="75587979">
            <w:pPr>
              <w:spacing w:line="240" w:lineRule="auto"/>
              <w:jc w:val="right"/>
            </w:pPr>
            <w:r>
              <w:rPr>
                <w:rFonts w:ascii="宋体" w:hAnsi="宋体" w:eastAsia="宋体" w:cs="宋体"/>
                <w:b w:val="0"/>
              </w:rPr>
              <w:t>-</w:t>
            </w:r>
          </w:p>
        </w:tc>
        <w:tc>
          <w:tcPr>
            <w:tcW w:w="0" w:type="dxa"/>
            <w:vAlign w:val="center"/>
          </w:tcPr>
          <w:p w14:paraId="7001B4CB">
            <w:pPr>
              <w:spacing w:line="240" w:lineRule="auto"/>
              <w:jc w:val="right"/>
            </w:pPr>
            <w:r>
              <w:rPr>
                <w:rFonts w:ascii="宋体" w:hAnsi="宋体" w:eastAsia="宋体" w:cs="宋体"/>
                <w:b w:val="0"/>
              </w:rPr>
              <w:t>-</w:t>
            </w:r>
          </w:p>
        </w:tc>
        <w:tc>
          <w:tcPr>
            <w:tcW w:w="0" w:type="dxa"/>
            <w:vAlign w:val="center"/>
          </w:tcPr>
          <w:p w14:paraId="435AA235">
            <w:pPr>
              <w:spacing w:line="240" w:lineRule="auto"/>
              <w:jc w:val="right"/>
            </w:pPr>
            <w:r>
              <w:rPr>
                <w:rFonts w:ascii="宋体" w:hAnsi="宋体" w:eastAsia="宋体" w:cs="宋体"/>
                <w:b w:val="0"/>
              </w:rPr>
              <w:t>-</w:t>
            </w:r>
          </w:p>
        </w:tc>
        <w:tc>
          <w:tcPr>
            <w:tcW w:w="0" w:type="dxa"/>
            <w:vAlign w:val="center"/>
          </w:tcPr>
          <w:p w14:paraId="13A26B12">
            <w:pPr>
              <w:spacing w:line="240" w:lineRule="auto"/>
              <w:jc w:val="right"/>
            </w:pPr>
            <w:r>
              <w:rPr>
                <w:rFonts w:ascii="宋体" w:hAnsi="宋体" w:eastAsia="宋体" w:cs="宋体"/>
                <w:b w:val="0"/>
              </w:rPr>
              <w:t>-</w:t>
            </w:r>
          </w:p>
        </w:tc>
        <w:tc>
          <w:tcPr>
            <w:tcW w:w="0" w:type="dxa"/>
            <w:vAlign w:val="center"/>
          </w:tcPr>
          <w:p w14:paraId="2000DB17">
            <w:pPr>
              <w:spacing w:line="240" w:lineRule="auto"/>
              <w:jc w:val="right"/>
            </w:pPr>
            <w:r>
              <w:rPr>
                <w:rFonts w:ascii="宋体" w:hAnsi="宋体" w:eastAsia="宋体" w:cs="宋体"/>
                <w:b w:val="0"/>
              </w:rPr>
              <w:t>154.81</w:t>
            </w:r>
          </w:p>
        </w:tc>
        <w:tc>
          <w:tcPr>
            <w:tcW w:w="0" w:type="dxa"/>
            <w:vAlign w:val="center"/>
          </w:tcPr>
          <w:p w14:paraId="60B3E204">
            <w:pPr>
              <w:spacing w:line="240" w:lineRule="auto"/>
              <w:jc w:val="right"/>
            </w:pPr>
            <w:r>
              <w:rPr>
                <w:rFonts w:ascii="宋体" w:hAnsi="宋体" w:eastAsia="宋体" w:cs="宋体"/>
                <w:b w:val="0"/>
              </w:rPr>
              <w:t>154.81</w:t>
            </w:r>
          </w:p>
        </w:tc>
      </w:tr>
      <w:tr w14:paraId="13E3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A3A784">
            <w:pPr>
              <w:spacing w:line="240" w:lineRule="auto"/>
              <w:jc w:val="center"/>
            </w:pPr>
            <w:r>
              <w:rPr>
                <w:rFonts w:ascii="宋体" w:hAnsi="宋体" w:eastAsia="宋体" w:cs="宋体"/>
                <w:b w:val="0"/>
              </w:rPr>
              <w:t>其他负债</w:t>
            </w:r>
          </w:p>
        </w:tc>
        <w:tc>
          <w:tcPr>
            <w:tcW w:w="0" w:type="dxa"/>
            <w:vAlign w:val="center"/>
          </w:tcPr>
          <w:p w14:paraId="61690534">
            <w:pPr>
              <w:spacing w:line="240" w:lineRule="auto"/>
              <w:jc w:val="right"/>
            </w:pPr>
            <w:r>
              <w:rPr>
                <w:rFonts w:ascii="宋体" w:hAnsi="宋体" w:eastAsia="宋体" w:cs="宋体"/>
                <w:b w:val="0"/>
              </w:rPr>
              <w:t>-</w:t>
            </w:r>
          </w:p>
        </w:tc>
        <w:tc>
          <w:tcPr>
            <w:tcW w:w="0" w:type="dxa"/>
            <w:vAlign w:val="center"/>
          </w:tcPr>
          <w:p w14:paraId="1A7DC452">
            <w:pPr>
              <w:spacing w:line="240" w:lineRule="auto"/>
              <w:jc w:val="right"/>
            </w:pPr>
            <w:r>
              <w:rPr>
                <w:rFonts w:ascii="宋体" w:hAnsi="宋体" w:eastAsia="宋体" w:cs="宋体"/>
                <w:b w:val="0"/>
              </w:rPr>
              <w:t>-</w:t>
            </w:r>
          </w:p>
        </w:tc>
        <w:tc>
          <w:tcPr>
            <w:tcW w:w="0" w:type="dxa"/>
            <w:vAlign w:val="center"/>
          </w:tcPr>
          <w:p w14:paraId="3C2BD930">
            <w:pPr>
              <w:spacing w:line="240" w:lineRule="auto"/>
              <w:jc w:val="right"/>
            </w:pPr>
            <w:r>
              <w:rPr>
                <w:rFonts w:ascii="宋体" w:hAnsi="宋体" w:eastAsia="宋体" w:cs="宋体"/>
                <w:b w:val="0"/>
              </w:rPr>
              <w:t>-</w:t>
            </w:r>
          </w:p>
        </w:tc>
        <w:tc>
          <w:tcPr>
            <w:tcW w:w="0" w:type="dxa"/>
            <w:vAlign w:val="center"/>
          </w:tcPr>
          <w:p w14:paraId="75F63B6B">
            <w:pPr>
              <w:spacing w:line="240" w:lineRule="auto"/>
              <w:jc w:val="right"/>
            </w:pPr>
            <w:r>
              <w:rPr>
                <w:rFonts w:ascii="宋体" w:hAnsi="宋体" w:eastAsia="宋体" w:cs="宋体"/>
                <w:b w:val="0"/>
              </w:rPr>
              <w:t>-</w:t>
            </w:r>
          </w:p>
        </w:tc>
        <w:tc>
          <w:tcPr>
            <w:tcW w:w="0" w:type="dxa"/>
            <w:vAlign w:val="center"/>
          </w:tcPr>
          <w:p w14:paraId="50AC89B8">
            <w:pPr>
              <w:spacing w:line="240" w:lineRule="auto"/>
              <w:jc w:val="right"/>
            </w:pPr>
            <w:r>
              <w:rPr>
                <w:rFonts w:ascii="宋体" w:hAnsi="宋体" w:eastAsia="宋体" w:cs="宋体"/>
                <w:b w:val="0"/>
              </w:rPr>
              <w:t>-</w:t>
            </w:r>
          </w:p>
        </w:tc>
        <w:tc>
          <w:tcPr>
            <w:tcW w:w="0" w:type="dxa"/>
            <w:vAlign w:val="center"/>
          </w:tcPr>
          <w:p w14:paraId="4193A7AC">
            <w:pPr>
              <w:spacing w:line="240" w:lineRule="auto"/>
              <w:jc w:val="right"/>
            </w:pPr>
            <w:r>
              <w:rPr>
                <w:rFonts w:ascii="宋体" w:hAnsi="宋体" w:eastAsia="宋体" w:cs="宋体"/>
                <w:b w:val="0"/>
              </w:rPr>
              <w:t>7,488.09</w:t>
            </w:r>
          </w:p>
        </w:tc>
        <w:tc>
          <w:tcPr>
            <w:tcW w:w="0" w:type="dxa"/>
            <w:vAlign w:val="center"/>
          </w:tcPr>
          <w:p w14:paraId="5151691A">
            <w:pPr>
              <w:spacing w:line="240" w:lineRule="auto"/>
              <w:jc w:val="right"/>
            </w:pPr>
            <w:r>
              <w:rPr>
                <w:rFonts w:ascii="宋体" w:hAnsi="宋体" w:eastAsia="宋体" w:cs="宋体"/>
                <w:b w:val="0"/>
              </w:rPr>
              <w:t>7,488.09</w:t>
            </w:r>
          </w:p>
        </w:tc>
      </w:tr>
      <w:tr w14:paraId="7882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506791">
            <w:pPr>
              <w:spacing w:line="240" w:lineRule="auto"/>
              <w:jc w:val="center"/>
            </w:pPr>
            <w:r>
              <w:rPr>
                <w:rFonts w:ascii="宋体" w:hAnsi="宋体" w:eastAsia="宋体" w:cs="宋体"/>
                <w:b w:val="0"/>
              </w:rPr>
              <w:t>负债总计</w:t>
            </w:r>
          </w:p>
        </w:tc>
        <w:tc>
          <w:tcPr>
            <w:tcW w:w="0" w:type="dxa"/>
            <w:vAlign w:val="center"/>
          </w:tcPr>
          <w:p w14:paraId="7FFBA333">
            <w:pPr>
              <w:spacing w:line="240" w:lineRule="auto"/>
              <w:jc w:val="right"/>
            </w:pPr>
            <w:r>
              <w:rPr>
                <w:rFonts w:ascii="宋体" w:hAnsi="宋体" w:eastAsia="宋体" w:cs="宋体"/>
                <w:b w:val="0"/>
              </w:rPr>
              <w:t>-</w:t>
            </w:r>
          </w:p>
        </w:tc>
        <w:tc>
          <w:tcPr>
            <w:tcW w:w="0" w:type="dxa"/>
            <w:vAlign w:val="center"/>
          </w:tcPr>
          <w:p w14:paraId="3FCDC668">
            <w:pPr>
              <w:spacing w:line="240" w:lineRule="auto"/>
              <w:jc w:val="right"/>
            </w:pPr>
            <w:r>
              <w:rPr>
                <w:rFonts w:ascii="宋体" w:hAnsi="宋体" w:eastAsia="宋体" w:cs="宋体"/>
                <w:b w:val="0"/>
              </w:rPr>
              <w:t>-</w:t>
            </w:r>
          </w:p>
        </w:tc>
        <w:tc>
          <w:tcPr>
            <w:tcW w:w="0" w:type="dxa"/>
            <w:vAlign w:val="center"/>
          </w:tcPr>
          <w:p w14:paraId="566120B2">
            <w:pPr>
              <w:spacing w:line="240" w:lineRule="auto"/>
              <w:jc w:val="right"/>
            </w:pPr>
            <w:r>
              <w:rPr>
                <w:rFonts w:ascii="宋体" w:hAnsi="宋体" w:eastAsia="宋体" w:cs="宋体"/>
                <w:b w:val="0"/>
              </w:rPr>
              <w:t>-</w:t>
            </w:r>
          </w:p>
        </w:tc>
        <w:tc>
          <w:tcPr>
            <w:tcW w:w="0" w:type="dxa"/>
            <w:vAlign w:val="center"/>
          </w:tcPr>
          <w:p w14:paraId="43FFC249">
            <w:pPr>
              <w:spacing w:line="240" w:lineRule="auto"/>
              <w:jc w:val="right"/>
            </w:pPr>
            <w:r>
              <w:rPr>
                <w:rFonts w:ascii="宋体" w:hAnsi="宋体" w:eastAsia="宋体" w:cs="宋体"/>
                <w:b w:val="0"/>
              </w:rPr>
              <w:t>-</w:t>
            </w:r>
          </w:p>
        </w:tc>
        <w:tc>
          <w:tcPr>
            <w:tcW w:w="0" w:type="dxa"/>
            <w:vAlign w:val="center"/>
          </w:tcPr>
          <w:p w14:paraId="616D81FB">
            <w:pPr>
              <w:spacing w:line="240" w:lineRule="auto"/>
              <w:jc w:val="right"/>
            </w:pPr>
            <w:r>
              <w:rPr>
                <w:rFonts w:ascii="宋体" w:hAnsi="宋体" w:eastAsia="宋体" w:cs="宋体"/>
                <w:b w:val="0"/>
              </w:rPr>
              <w:t>-</w:t>
            </w:r>
          </w:p>
        </w:tc>
        <w:tc>
          <w:tcPr>
            <w:tcW w:w="0" w:type="dxa"/>
            <w:vAlign w:val="center"/>
          </w:tcPr>
          <w:p w14:paraId="69A6897D">
            <w:pPr>
              <w:spacing w:line="240" w:lineRule="auto"/>
              <w:jc w:val="right"/>
            </w:pPr>
            <w:r>
              <w:rPr>
                <w:rFonts w:ascii="宋体" w:hAnsi="宋体" w:eastAsia="宋体" w:cs="宋体"/>
                <w:b w:val="0"/>
              </w:rPr>
              <w:t>13,551.20</w:t>
            </w:r>
          </w:p>
        </w:tc>
        <w:tc>
          <w:tcPr>
            <w:tcW w:w="0" w:type="dxa"/>
            <w:vAlign w:val="center"/>
          </w:tcPr>
          <w:p w14:paraId="3F1A63BF">
            <w:pPr>
              <w:spacing w:line="240" w:lineRule="auto"/>
              <w:jc w:val="right"/>
            </w:pPr>
            <w:r>
              <w:rPr>
                <w:rFonts w:ascii="宋体" w:hAnsi="宋体" w:eastAsia="宋体" w:cs="宋体"/>
                <w:b w:val="0"/>
              </w:rPr>
              <w:t>13,551.20</w:t>
            </w:r>
          </w:p>
        </w:tc>
      </w:tr>
      <w:tr w14:paraId="66C6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3924A7">
            <w:pPr>
              <w:spacing w:line="240" w:lineRule="auto"/>
              <w:jc w:val="center"/>
            </w:pPr>
            <w:r>
              <w:rPr>
                <w:rFonts w:ascii="宋体" w:hAnsi="宋体" w:eastAsia="宋体" w:cs="宋体"/>
                <w:b w:val="0"/>
              </w:rPr>
              <w:t>利率敏感度缺口</w:t>
            </w:r>
          </w:p>
        </w:tc>
        <w:tc>
          <w:tcPr>
            <w:tcW w:w="0" w:type="dxa"/>
            <w:vAlign w:val="center"/>
          </w:tcPr>
          <w:p w14:paraId="207672A0">
            <w:pPr>
              <w:spacing w:line="240" w:lineRule="auto"/>
              <w:jc w:val="right"/>
            </w:pPr>
            <w:r>
              <w:rPr>
                <w:rFonts w:ascii="宋体" w:hAnsi="宋体" w:eastAsia="宋体" w:cs="宋体"/>
                <w:b w:val="0"/>
              </w:rPr>
              <w:t>3,079,406.67</w:t>
            </w:r>
          </w:p>
        </w:tc>
        <w:tc>
          <w:tcPr>
            <w:tcW w:w="0" w:type="dxa"/>
            <w:vAlign w:val="center"/>
          </w:tcPr>
          <w:p w14:paraId="40109EC0">
            <w:pPr>
              <w:spacing w:line="240" w:lineRule="auto"/>
              <w:jc w:val="right"/>
            </w:pPr>
            <w:r>
              <w:rPr>
                <w:rFonts w:ascii="宋体" w:hAnsi="宋体" w:eastAsia="宋体" w:cs="宋体"/>
                <w:b w:val="0"/>
              </w:rPr>
              <w:t>-</w:t>
            </w:r>
          </w:p>
        </w:tc>
        <w:tc>
          <w:tcPr>
            <w:tcW w:w="0" w:type="dxa"/>
            <w:vAlign w:val="center"/>
          </w:tcPr>
          <w:p w14:paraId="0D61CE2D">
            <w:pPr>
              <w:spacing w:line="240" w:lineRule="auto"/>
              <w:jc w:val="right"/>
            </w:pPr>
            <w:r>
              <w:rPr>
                <w:rFonts w:ascii="宋体" w:hAnsi="宋体" w:eastAsia="宋体" w:cs="宋体"/>
                <w:b w:val="0"/>
              </w:rPr>
              <w:t>606,295.40</w:t>
            </w:r>
          </w:p>
        </w:tc>
        <w:tc>
          <w:tcPr>
            <w:tcW w:w="0" w:type="dxa"/>
            <w:vAlign w:val="center"/>
          </w:tcPr>
          <w:p w14:paraId="78537F19">
            <w:pPr>
              <w:spacing w:line="240" w:lineRule="auto"/>
              <w:jc w:val="right"/>
            </w:pPr>
            <w:r>
              <w:rPr>
                <w:rFonts w:ascii="宋体" w:hAnsi="宋体" w:eastAsia="宋体" w:cs="宋体"/>
                <w:b w:val="0"/>
              </w:rPr>
              <w:t>3,395,223.29</w:t>
            </w:r>
          </w:p>
        </w:tc>
        <w:tc>
          <w:tcPr>
            <w:tcW w:w="0" w:type="dxa"/>
            <w:vAlign w:val="center"/>
          </w:tcPr>
          <w:p w14:paraId="00F2BEA8">
            <w:pPr>
              <w:spacing w:line="240" w:lineRule="auto"/>
              <w:jc w:val="right"/>
            </w:pPr>
            <w:r>
              <w:rPr>
                <w:rFonts w:ascii="宋体" w:hAnsi="宋体" w:eastAsia="宋体" w:cs="宋体"/>
                <w:b w:val="0"/>
              </w:rPr>
              <w:t>2,015,882.19</w:t>
            </w:r>
          </w:p>
        </w:tc>
        <w:tc>
          <w:tcPr>
            <w:tcW w:w="0" w:type="dxa"/>
            <w:vAlign w:val="center"/>
          </w:tcPr>
          <w:p w14:paraId="7E0E55B5">
            <w:pPr>
              <w:spacing w:line="240" w:lineRule="auto"/>
              <w:jc w:val="right"/>
            </w:pPr>
            <w:r>
              <w:rPr>
                <w:rFonts w:ascii="宋体" w:hAnsi="宋体" w:eastAsia="宋体" w:cs="宋体"/>
                <w:b w:val="0"/>
              </w:rPr>
              <w:t>1,962,198.78</w:t>
            </w:r>
          </w:p>
        </w:tc>
        <w:tc>
          <w:tcPr>
            <w:tcW w:w="0" w:type="dxa"/>
            <w:vAlign w:val="center"/>
          </w:tcPr>
          <w:p w14:paraId="374AFA02">
            <w:pPr>
              <w:spacing w:line="240" w:lineRule="auto"/>
              <w:jc w:val="right"/>
            </w:pPr>
            <w:r>
              <w:rPr>
                <w:rFonts w:ascii="宋体" w:hAnsi="宋体" w:eastAsia="宋体" w:cs="宋体"/>
                <w:b w:val="0"/>
              </w:rPr>
              <w:t>11,059,006.33</w:t>
            </w:r>
          </w:p>
        </w:tc>
      </w:tr>
    </w:tbl>
    <w:p w14:paraId="58A9D9CF">
      <w:r>
        <w:rPr>
          <w:rFonts w:ascii="宋体" w:hAnsi="宋体" w:eastAsia="宋体" w:cs="宋体"/>
          <w:b w:val="0"/>
        </w:rPr>
        <w:t>注：表中所示为本基金资产及负债的账面价值，并按照合约规定的利率重新定价日或到期日孰早者予以分类。</w:t>
      </w:r>
    </w:p>
    <w:p w14:paraId="66FD1131"/>
    <w:p w14:paraId="36E52153">
      <w:pPr>
        <w:pStyle w:val="58"/>
      </w:pPr>
      <w:r>
        <w:rPr>
          <w:rFonts w:ascii="宋体" w:hAnsi="宋体" w:eastAsia="宋体" w:cs="宋体"/>
          <w:b/>
        </w:rPr>
        <w:t>6.4.13.4.1.2 利率风险的敏感性分析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56"/>
        <w:gridCol w:w="5715"/>
      </w:tblGrid>
      <w:tr w14:paraId="5891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4FE2A95C">
            <w:pPr>
              <w:spacing w:line="240" w:lineRule="auto"/>
              <w:jc w:val="center"/>
            </w:pPr>
            <w:r>
              <w:rPr>
                <w:rFonts w:ascii="宋体" w:hAnsi="宋体" w:eastAsia="宋体" w:cs="宋体"/>
                <w:b w:val="0"/>
              </w:rPr>
              <w:t>假设</w:t>
            </w:r>
          </w:p>
        </w:tc>
        <w:tc>
          <w:tcPr>
            <w:tcW w:w="4615" w:type="pct"/>
            <w:gridSpan w:val="2"/>
            <w:vAlign w:val="center"/>
          </w:tcPr>
          <w:p w14:paraId="34F78795">
            <w:pPr>
              <w:spacing w:line="240" w:lineRule="auto"/>
              <w:jc w:val="left"/>
            </w:pPr>
            <w:r>
              <w:rPr>
                <w:rFonts w:ascii="宋体" w:hAnsi="宋体" w:eastAsia="宋体" w:cs="宋体"/>
                <w:b w:val="0"/>
              </w:rPr>
              <w:t>除市场利率以外的其他市场变量保持不变</w:t>
            </w:r>
          </w:p>
        </w:tc>
      </w:tr>
      <w:tr w14:paraId="2E09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0370529F">
            <w:pPr>
              <w:spacing w:line="240" w:lineRule="auto"/>
              <w:jc w:val="center"/>
            </w:pPr>
            <w:r>
              <w:rPr>
                <w:rFonts w:ascii="宋体" w:hAnsi="宋体" w:eastAsia="宋体" w:cs="宋体"/>
                <w:b w:val="0"/>
              </w:rPr>
              <w:t>分析</w:t>
            </w:r>
          </w:p>
        </w:tc>
        <w:tc>
          <w:tcPr>
            <w:tcW w:w="1538" w:type="pct"/>
            <w:vMerge w:val="restart"/>
            <w:vAlign w:val="center"/>
          </w:tcPr>
          <w:p w14:paraId="66506595">
            <w:pPr>
              <w:spacing w:line="240" w:lineRule="auto"/>
              <w:jc w:val="center"/>
            </w:pPr>
            <w:r>
              <w:rPr>
                <w:rFonts w:ascii="宋体" w:hAnsi="宋体" w:eastAsia="宋体" w:cs="宋体"/>
                <w:b w:val="0"/>
              </w:rPr>
              <w:t>相关风险变量的变动</w:t>
            </w:r>
          </w:p>
        </w:tc>
        <w:tc>
          <w:tcPr>
            <w:tcW w:w="3077" w:type="pct"/>
            <w:vAlign w:val="center"/>
          </w:tcPr>
          <w:p w14:paraId="28FD18A0">
            <w:pPr>
              <w:spacing w:line="240" w:lineRule="auto"/>
              <w:jc w:val="center"/>
            </w:pPr>
            <w:r>
              <w:rPr>
                <w:rFonts w:ascii="宋体" w:hAnsi="宋体" w:eastAsia="宋体" w:cs="宋体"/>
                <w:b w:val="0"/>
              </w:rPr>
              <w:t>对资产负债表日基金资产净值的影响金额</w:t>
            </w:r>
            <w:r>
              <w:br w:type="textWrapping"/>
            </w:r>
            <w:r>
              <w:rPr>
                <w:rFonts w:ascii="宋体" w:hAnsi="宋体" w:eastAsia="宋体" w:cs="宋体"/>
                <w:b w:val="0"/>
              </w:rPr>
              <w:t>（单位：人民币元）</w:t>
            </w:r>
          </w:p>
        </w:tc>
      </w:tr>
      <w:tr w14:paraId="6E10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8191578"/>
        </w:tc>
        <w:tc>
          <w:tcPr>
            <w:vMerge w:val="continue"/>
          </w:tcPr>
          <w:p w14:paraId="5343F2A0"/>
        </w:tc>
        <w:tc>
          <w:tcPr>
            <w:tcW w:w="0" w:type="dxa"/>
            <w:vAlign w:val="center"/>
          </w:tcPr>
          <w:p w14:paraId="4D1F7977">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3245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BE95638"/>
        </w:tc>
        <w:tc>
          <w:tcPr>
            <w:tcW w:w="1538" w:type="pct"/>
            <w:vAlign w:val="center"/>
          </w:tcPr>
          <w:p w14:paraId="23835348">
            <w:pPr>
              <w:spacing w:line="240" w:lineRule="auto"/>
              <w:jc w:val="left"/>
            </w:pPr>
            <w:r>
              <w:rPr>
                <w:rFonts w:ascii="宋体" w:hAnsi="宋体" w:eastAsia="宋体" w:cs="宋体"/>
                <w:b w:val="0"/>
              </w:rPr>
              <w:t>1. 市场利率下降25个基点</w:t>
            </w:r>
          </w:p>
        </w:tc>
        <w:tc>
          <w:tcPr>
            <w:tcW w:w="3077" w:type="pct"/>
            <w:vAlign w:val="center"/>
          </w:tcPr>
          <w:p w14:paraId="14335DC0">
            <w:pPr>
              <w:spacing w:line="240" w:lineRule="auto"/>
              <w:jc w:val="right"/>
            </w:pPr>
            <w:r>
              <w:rPr>
                <w:rFonts w:ascii="宋体" w:hAnsi="宋体" w:eastAsia="宋体" w:cs="宋体"/>
                <w:b w:val="0"/>
              </w:rPr>
              <w:t>67,510.52</w:t>
            </w:r>
          </w:p>
        </w:tc>
      </w:tr>
      <w:tr w14:paraId="5C15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49AA000"/>
        </w:tc>
        <w:tc>
          <w:tcPr>
            <w:tcW w:w="1538" w:type="pct"/>
            <w:vAlign w:val="center"/>
          </w:tcPr>
          <w:p w14:paraId="6F64A9B9">
            <w:pPr>
              <w:spacing w:line="240" w:lineRule="auto"/>
              <w:jc w:val="left"/>
            </w:pPr>
            <w:r>
              <w:rPr>
                <w:rFonts w:ascii="宋体" w:hAnsi="宋体" w:eastAsia="宋体" w:cs="宋体"/>
                <w:b w:val="0"/>
              </w:rPr>
              <w:t>2. 市场利率上升25个基点</w:t>
            </w:r>
          </w:p>
        </w:tc>
        <w:tc>
          <w:tcPr>
            <w:tcW w:w="3077" w:type="pct"/>
            <w:vAlign w:val="center"/>
          </w:tcPr>
          <w:p w14:paraId="14C16A6B">
            <w:pPr>
              <w:spacing w:line="240" w:lineRule="auto"/>
              <w:jc w:val="right"/>
            </w:pPr>
            <w:r>
              <w:rPr>
                <w:rFonts w:ascii="宋体" w:hAnsi="宋体" w:eastAsia="宋体" w:cs="宋体"/>
                <w:b w:val="0"/>
              </w:rPr>
              <w:t>-66,220.73</w:t>
            </w:r>
          </w:p>
        </w:tc>
      </w:tr>
    </w:tbl>
    <w:p w14:paraId="388B67A1"/>
    <w:p w14:paraId="5C48A0F4">
      <w:pPr>
        <w:pStyle w:val="58"/>
      </w:pPr>
      <w:r>
        <w:rPr>
          <w:rFonts w:ascii="宋体" w:hAnsi="宋体" w:eastAsia="宋体" w:cs="宋体"/>
          <w:b/>
        </w:rPr>
        <w:t>6.4.13.4.2 外汇风险</w:t>
      </w:r>
    </w:p>
    <w:p w14:paraId="1007AD5D">
      <w:pPr>
        <w:jc w:val="left"/>
      </w:pPr>
      <w:r>
        <w:rPr>
          <w:rFonts w:ascii="宋体" w:hAnsi="宋体" w:eastAsia="宋体" w:cs="宋体"/>
          <w:b w:val="0"/>
        </w:rPr>
        <w:t xml:space="preserve">    外汇风险是指金融工具的公允价值或未来现金流量因外汇汇率变动而发生波动的风险。本基金的所有资产及负债以人民币计价，因此无重大外汇风险。</w:t>
      </w:r>
    </w:p>
    <w:p w14:paraId="167A37A5"/>
    <w:p w14:paraId="5FC5D3A5">
      <w:pPr>
        <w:pStyle w:val="58"/>
      </w:pPr>
      <w:r>
        <w:rPr>
          <w:rFonts w:ascii="宋体" w:hAnsi="宋体" w:eastAsia="宋体" w:cs="宋体"/>
          <w:b/>
        </w:rPr>
        <w:t>6.4.13.4.3 其他价格风险</w:t>
      </w:r>
    </w:p>
    <w:p w14:paraId="151D7AC7">
      <w:pPr>
        <w:jc w:val="left"/>
      </w:pPr>
      <w:r>
        <w:rPr>
          <w:rFonts w:ascii="宋体" w:hAnsi="宋体" w:eastAsia="宋体" w:cs="宋体"/>
          <w:b w:val="0"/>
        </w:rPr>
        <w:t xml:space="preserve">    其他价格风险是指基金所持金融工具的公允价值或未来现金流量因除市场利率和外汇汇率以外的市场价格因素变动而发生波动的风险。本基金主要投资于证券交易所上市的股票和债券，所面临的其他价格风险来源于单个证券发行主体自身经营情况或特殊事项的影响，也可能来源于证券市场整体波动的影响。</w:t>
      </w:r>
      <w:r>
        <w:rPr>
          <w:rFonts w:ascii="宋体" w:hAnsi="宋体" w:eastAsia="宋体" w:cs="宋体"/>
          <w:b w:val="0"/>
        </w:rPr>
        <w:br w:type="textWrapping"/>
      </w:r>
      <w:r>
        <w:rPr>
          <w:rFonts w:ascii="宋体" w:hAnsi="宋体" w:eastAsia="宋体" w:cs="宋体"/>
          <w:b w:val="0"/>
        </w:rPr>
        <w:t xml:space="preserve">    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r>
        <w:rPr>
          <w:rFonts w:ascii="宋体" w:hAnsi="宋体" w:eastAsia="宋体" w:cs="宋体"/>
          <w:b w:val="0"/>
        </w:rPr>
        <w:br w:type="textWrapping"/>
      </w:r>
      <w:r>
        <w:rPr>
          <w:rFonts w:ascii="宋体" w:hAnsi="宋体" w:eastAsia="宋体" w:cs="宋体"/>
          <w:b w:val="0"/>
        </w:rPr>
        <w:t xml:space="preserve">    本基金通过投资组合的分散化降低其他价格风险。本基金投资组合中债券资产投资比例不低于基金资产的80%，投资于股票、存托凭证、股票型基金、混合型基金等权益类资产及可转换债券、可交换债券的合计比例为基金资产的10%-20%（其中投资于境内股票资产（含A股股票型ETF）的比例不低于基金资产的10%）；投资于港股通标的股票的比例不超过本基金股票资产的50%；本基金投资于证券投资基金的资产不超过基金资产净值的10%；本基金每个交易日日终在扣除国债期货合约需缴纳的交易保证金后，持有现金(不包括结算备付金、存出保证金、应收申购款等)或者到期日在1年以内的政府债券不低于基金资产净值的5%。其中，计入上述权益类资产的混合型基金需符合下列两个条件之一：（1）基金合同约定股票及存托凭证资产投资比例不低于基金资产60%的混合型基金；（2）根据基金披露的定期报告，最近四个季度中任一季度股票及存托凭证资产占基金资产比例均不低于60%的混合型基金。</w:t>
      </w:r>
    </w:p>
    <w:p w14:paraId="2E89BDFE"/>
    <w:p w14:paraId="3F5761F9">
      <w:pPr>
        <w:pStyle w:val="58"/>
      </w:pPr>
      <w:r>
        <w:rPr>
          <w:rFonts w:ascii="宋体" w:hAnsi="宋体" w:eastAsia="宋体" w:cs="宋体"/>
          <w:b/>
        </w:rPr>
        <w:t>6.4.13.4.3.1 其他价格风险敞口</w:t>
      </w:r>
    </w:p>
    <w:p w14:paraId="25D60B4D">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9"/>
        <w:gridCol w:w="2322"/>
        <w:gridCol w:w="3095"/>
      </w:tblGrid>
      <w:tr w14:paraId="3E1D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14:paraId="2FE2DF28">
            <w:pPr>
              <w:spacing w:line="240" w:lineRule="auto"/>
              <w:jc w:val="center"/>
            </w:pPr>
            <w:r>
              <w:rPr>
                <w:rFonts w:ascii="宋体" w:hAnsi="宋体" w:eastAsia="宋体" w:cs="宋体"/>
                <w:b w:val="0"/>
              </w:rPr>
              <w:t>项目</w:t>
            </w:r>
          </w:p>
        </w:tc>
        <w:tc>
          <w:tcPr>
            <w:tcW w:w="2692" w:type="pct"/>
            <w:gridSpan w:val="2"/>
            <w:shd w:val="clear" w:color="auto" w:fill="D9D9D9"/>
            <w:vAlign w:val="center"/>
          </w:tcPr>
          <w:p w14:paraId="6945E486">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49A8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6612B0C"/>
        </w:tc>
        <w:tc>
          <w:tcPr>
            <w:tcW w:w="1154" w:type="pct"/>
            <w:shd w:val="clear" w:color="auto" w:fill="D9D9D9"/>
            <w:vAlign w:val="center"/>
          </w:tcPr>
          <w:p w14:paraId="12ACC216">
            <w:pPr>
              <w:spacing w:line="240" w:lineRule="auto"/>
              <w:jc w:val="center"/>
            </w:pPr>
            <w:r>
              <w:rPr>
                <w:rFonts w:ascii="宋体" w:hAnsi="宋体" w:eastAsia="宋体" w:cs="宋体"/>
                <w:b w:val="0"/>
              </w:rPr>
              <w:t>公允价值</w:t>
            </w:r>
          </w:p>
        </w:tc>
        <w:tc>
          <w:tcPr>
            <w:tcW w:w="1538" w:type="pct"/>
            <w:shd w:val="clear" w:color="auto" w:fill="D9D9D9"/>
            <w:vAlign w:val="center"/>
          </w:tcPr>
          <w:p w14:paraId="737CA436">
            <w:pPr>
              <w:spacing w:line="240" w:lineRule="auto"/>
              <w:jc w:val="center"/>
            </w:pPr>
            <w:r>
              <w:rPr>
                <w:rFonts w:ascii="宋体" w:hAnsi="宋体" w:eastAsia="宋体" w:cs="宋体"/>
                <w:b w:val="0"/>
              </w:rPr>
              <w:t>占基金资产净值比例(%)</w:t>
            </w:r>
          </w:p>
        </w:tc>
      </w:tr>
      <w:tr w14:paraId="06CC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145894">
            <w:pPr>
              <w:spacing w:line="240" w:lineRule="auto"/>
              <w:jc w:val="left"/>
            </w:pPr>
            <w:r>
              <w:rPr>
                <w:rFonts w:ascii="宋体" w:hAnsi="宋体" w:eastAsia="宋体" w:cs="宋体"/>
                <w:b w:val="0"/>
              </w:rPr>
              <w:t>交易性金融资产－股票投资</w:t>
            </w:r>
          </w:p>
        </w:tc>
        <w:tc>
          <w:tcPr>
            <w:tcW w:w="0" w:type="dxa"/>
            <w:vAlign w:val="center"/>
          </w:tcPr>
          <w:p w14:paraId="4201D4EA">
            <w:pPr>
              <w:spacing w:line="240" w:lineRule="auto"/>
              <w:jc w:val="right"/>
            </w:pPr>
            <w:r>
              <w:rPr>
                <w:rFonts w:ascii="宋体" w:hAnsi="宋体" w:eastAsia="宋体" w:cs="宋体"/>
                <w:b w:val="0"/>
              </w:rPr>
              <w:t>1,853,513.00</w:t>
            </w:r>
          </w:p>
        </w:tc>
        <w:tc>
          <w:tcPr>
            <w:tcW w:w="0" w:type="dxa"/>
            <w:vAlign w:val="center"/>
          </w:tcPr>
          <w:p w14:paraId="4F54E7BD">
            <w:pPr>
              <w:spacing w:line="240" w:lineRule="auto"/>
              <w:jc w:val="right"/>
            </w:pPr>
            <w:r>
              <w:rPr>
                <w:rFonts w:ascii="宋体" w:hAnsi="宋体" w:eastAsia="宋体" w:cs="宋体"/>
                <w:b w:val="0"/>
              </w:rPr>
              <w:t>16.76</w:t>
            </w:r>
          </w:p>
        </w:tc>
      </w:tr>
      <w:tr w14:paraId="1E46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79FF82">
            <w:pPr>
              <w:spacing w:line="240" w:lineRule="auto"/>
              <w:jc w:val="left"/>
            </w:pPr>
            <w:r>
              <w:rPr>
                <w:rFonts w:ascii="宋体" w:hAnsi="宋体" w:eastAsia="宋体" w:cs="宋体"/>
                <w:b w:val="0"/>
              </w:rPr>
              <w:t>交易性金融资产－基金投资</w:t>
            </w:r>
          </w:p>
        </w:tc>
        <w:tc>
          <w:tcPr>
            <w:tcW w:w="0" w:type="dxa"/>
            <w:vAlign w:val="center"/>
          </w:tcPr>
          <w:p w14:paraId="47AF0C62">
            <w:pPr>
              <w:spacing w:line="240" w:lineRule="auto"/>
              <w:jc w:val="right"/>
            </w:pPr>
            <w:r>
              <w:rPr>
                <w:rFonts w:ascii="宋体" w:hAnsi="宋体" w:eastAsia="宋体" w:cs="宋体"/>
                <w:b w:val="0"/>
              </w:rPr>
              <w:t>-</w:t>
            </w:r>
          </w:p>
        </w:tc>
        <w:tc>
          <w:tcPr>
            <w:tcW w:w="0" w:type="dxa"/>
            <w:vAlign w:val="center"/>
          </w:tcPr>
          <w:p w14:paraId="5300602C">
            <w:pPr>
              <w:spacing w:line="240" w:lineRule="auto"/>
              <w:jc w:val="right"/>
            </w:pPr>
            <w:r>
              <w:rPr>
                <w:rFonts w:ascii="宋体" w:hAnsi="宋体" w:eastAsia="宋体" w:cs="宋体"/>
                <w:b w:val="0"/>
              </w:rPr>
              <w:t>-</w:t>
            </w:r>
          </w:p>
        </w:tc>
      </w:tr>
      <w:tr w14:paraId="3261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6E75C6">
            <w:pPr>
              <w:spacing w:line="240" w:lineRule="auto"/>
              <w:jc w:val="left"/>
            </w:pPr>
            <w:r>
              <w:rPr>
                <w:rFonts w:ascii="宋体" w:hAnsi="宋体" w:eastAsia="宋体" w:cs="宋体"/>
                <w:b w:val="0"/>
              </w:rPr>
              <w:t>交易性金融资产－贵金属投资</w:t>
            </w:r>
          </w:p>
        </w:tc>
        <w:tc>
          <w:tcPr>
            <w:tcW w:w="0" w:type="dxa"/>
            <w:vAlign w:val="center"/>
          </w:tcPr>
          <w:p w14:paraId="5968A472">
            <w:pPr>
              <w:spacing w:line="240" w:lineRule="auto"/>
              <w:jc w:val="right"/>
            </w:pPr>
            <w:r>
              <w:rPr>
                <w:rFonts w:ascii="宋体" w:hAnsi="宋体" w:eastAsia="宋体" w:cs="宋体"/>
                <w:b w:val="0"/>
              </w:rPr>
              <w:t>-</w:t>
            </w:r>
          </w:p>
        </w:tc>
        <w:tc>
          <w:tcPr>
            <w:tcW w:w="0" w:type="dxa"/>
            <w:vAlign w:val="center"/>
          </w:tcPr>
          <w:p w14:paraId="0CFAF29A">
            <w:pPr>
              <w:spacing w:line="240" w:lineRule="auto"/>
              <w:jc w:val="right"/>
            </w:pPr>
            <w:r>
              <w:rPr>
                <w:rFonts w:ascii="宋体" w:hAnsi="宋体" w:eastAsia="宋体" w:cs="宋体"/>
                <w:b w:val="0"/>
              </w:rPr>
              <w:t>-</w:t>
            </w:r>
          </w:p>
        </w:tc>
      </w:tr>
      <w:tr w14:paraId="179C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4DF4AE">
            <w:pPr>
              <w:spacing w:line="240" w:lineRule="auto"/>
              <w:jc w:val="left"/>
            </w:pPr>
            <w:r>
              <w:rPr>
                <w:rFonts w:ascii="宋体" w:hAnsi="宋体" w:eastAsia="宋体" w:cs="宋体"/>
                <w:b w:val="0"/>
              </w:rPr>
              <w:t>衍生金融资产－权证投资</w:t>
            </w:r>
          </w:p>
        </w:tc>
        <w:tc>
          <w:tcPr>
            <w:tcW w:w="0" w:type="dxa"/>
            <w:vAlign w:val="center"/>
          </w:tcPr>
          <w:p w14:paraId="7F374FC5">
            <w:pPr>
              <w:spacing w:line="240" w:lineRule="auto"/>
              <w:jc w:val="right"/>
            </w:pPr>
            <w:r>
              <w:rPr>
                <w:rFonts w:ascii="宋体" w:hAnsi="宋体" w:eastAsia="宋体" w:cs="宋体"/>
                <w:b w:val="0"/>
              </w:rPr>
              <w:t>-</w:t>
            </w:r>
          </w:p>
        </w:tc>
        <w:tc>
          <w:tcPr>
            <w:tcW w:w="0" w:type="dxa"/>
            <w:vAlign w:val="center"/>
          </w:tcPr>
          <w:p w14:paraId="7AA7BA1E">
            <w:pPr>
              <w:spacing w:line="240" w:lineRule="auto"/>
              <w:jc w:val="right"/>
            </w:pPr>
            <w:r>
              <w:rPr>
                <w:rFonts w:ascii="宋体" w:hAnsi="宋体" w:eastAsia="宋体" w:cs="宋体"/>
                <w:b w:val="0"/>
              </w:rPr>
              <w:t>-</w:t>
            </w:r>
          </w:p>
        </w:tc>
      </w:tr>
      <w:tr w14:paraId="31C8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8253CB">
            <w:pPr>
              <w:spacing w:line="240" w:lineRule="auto"/>
              <w:jc w:val="left"/>
            </w:pPr>
            <w:r>
              <w:rPr>
                <w:rFonts w:ascii="宋体" w:hAnsi="宋体" w:eastAsia="宋体" w:cs="宋体"/>
                <w:b w:val="0"/>
              </w:rPr>
              <w:t>其他</w:t>
            </w:r>
          </w:p>
        </w:tc>
        <w:tc>
          <w:tcPr>
            <w:tcW w:w="0" w:type="dxa"/>
            <w:vAlign w:val="center"/>
          </w:tcPr>
          <w:p w14:paraId="209B195C">
            <w:pPr>
              <w:spacing w:line="240" w:lineRule="auto"/>
              <w:jc w:val="right"/>
            </w:pPr>
            <w:r>
              <w:rPr>
                <w:rFonts w:ascii="宋体" w:hAnsi="宋体" w:eastAsia="宋体" w:cs="宋体"/>
                <w:b w:val="0"/>
              </w:rPr>
              <w:t>-</w:t>
            </w:r>
          </w:p>
        </w:tc>
        <w:tc>
          <w:tcPr>
            <w:tcW w:w="0" w:type="dxa"/>
            <w:vAlign w:val="center"/>
          </w:tcPr>
          <w:p w14:paraId="5C626BFE">
            <w:pPr>
              <w:spacing w:line="240" w:lineRule="auto"/>
              <w:jc w:val="right"/>
            </w:pPr>
            <w:r>
              <w:rPr>
                <w:rFonts w:ascii="宋体" w:hAnsi="宋体" w:eastAsia="宋体" w:cs="宋体"/>
                <w:b w:val="0"/>
              </w:rPr>
              <w:t>-</w:t>
            </w:r>
          </w:p>
        </w:tc>
      </w:tr>
      <w:tr w14:paraId="06ED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18B640">
            <w:pPr>
              <w:spacing w:line="240" w:lineRule="auto"/>
              <w:jc w:val="center"/>
            </w:pPr>
            <w:r>
              <w:rPr>
                <w:rFonts w:ascii="宋体" w:hAnsi="宋体" w:eastAsia="宋体" w:cs="宋体"/>
                <w:b w:val="0"/>
              </w:rPr>
              <w:t>合计</w:t>
            </w:r>
          </w:p>
        </w:tc>
        <w:tc>
          <w:tcPr>
            <w:tcW w:w="0" w:type="dxa"/>
            <w:vAlign w:val="center"/>
          </w:tcPr>
          <w:p w14:paraId="7BA0C284">
            <w:pPr>
              <w:spacing w:line="240" w:lineRule="auto"/>
              <w:jc w:val="right"/>
            </w:pPr>
            <w:r>
              <w:rPr>
                <w:rFonts w:ascii="宋体" w:hAnsi="宋体" w:eastAsia="宋体" w:cs="宋体"/>
                <w:b w:val="0"/>
              </w:rPr>
              <w:t>1,853,513.00</w:t>
            </w:r>
          </w:p>
        </w:tc>
        <w:tc>
          <w:tcPr>
            <w:tcW w:w="0" w:type="dxa"/>
            <w:vAlign w:val="center"/>
          </w:tcPr>
          <w:p w14:paraId="7C4CF02B">
            <w:pPr>
              <w:spacing w:line="240" w:lineRule="auto"/>
              <w:jc w:val="right"/>
            </w:pPr>
            <w:r>
              <w:rPr>
                <w:rFonts w:ascii="宋体" w:hAnsi="宋体" w:eastAsia="宋体" w:cs="宋体"/>
                <w:b w:val="0"/>
              </w:rPr>
              <w:t>16.76</w:t>
            </w:r>
          </w:p>
        </w:tc>
      </w:tr>
    </w:tbl>
    <w:p w14:paraId="04D9A00A"/>
    <w:p w14:paraId="5F83B2E3">
      <w:pPr>
        <w:pStyle w:val="58"/>
      </w:pPr>
      <w:r>
        <w:rPr>
          <w:rFonts w:ascii="宋体" w:hAnsi="宋体" w:eastAsia="宋体" w:cs="宋体"/>
          <w:b/>
        </w:rPr>
        <w:t>6.4.13.4.3.2 其他价格风险的敏感性分析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56"/>
        <w:gridCol w:w="5715"/>
      </w:tblGrid>
      <w:tr w14:paraId="445F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03CA1397">
            <w:pPr>
              <w:spacing w:line="240" w:lineRule="auto"/>
              <w:jc w:val="center"/>
            </w:pPr>
            <w:r>
              <w:rPr>
                <w:rFonts w:ascii="宋体" w:hAnsi="宋体" w:eastAsia="宋体" w:cs="宋体"/>
                <w:b w:val="0"/>
              </w:rPr>
              <w:t>假设</w:t>
            </w:r>
          </w:p>
        </w:tc>
        <w:tc>
          <w:tcPr>
            <w:tcW w:w="4615" w:type="pct"/>
            <w:gridSpan w:val="2"/>
            <w:vAlign w:val="center"/>
          </w:tcPr>
          <w:p w14:paraId="4BFEF49F">
            <w:pPr>
              <w:spacing w:line="240" w:lineRule="auto"/>
              <w:jc w:val="left"/>
            </w:pPr>
            <w:r>
              <w:rPr>
                <w:rFonts w:ascii="宋体" w:hAnsi="宋体" w:eastAsia="宋体" w:cs="宋体"/>
                <w:b w:val="0"/>
              </w:rPr>
              <w:t>除沪深300指数以外的其他市场变量保持不变</w:t>
            </w:r>
          </w:p>
        </w:tc>
      </w:tr>
      <w:tr w14:paraId="7D52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477801E9">
            <w:pPr>
              <w:spacing w:line="240" w:lineRule="auto"/>
              <w:jc w:val="center"/>
            </w:pPr>
            <w:r>
              <w:rPr>
                <w:rFonts w:ascii="宋体" w:hAnsi="宋体" w:eastAsia="宋体" w:cs="宋体"/>
                <w:b w:val="0"/>
              </w:rPr>
              <w:t>分析</w:t>
            </w:r>
          </w:p>
        </w:tc>
        <w:tc>
          <w:tcPr>
            <w:tcW w:w="1538" w:type="pct"/>
            <w:vMerge w:val="restart"/>
            <w:vAlign w:val="center"/>
          </w:tcPr>
          <w:p w14:paraId="7A314A30">
            <w:pPr>
              <w:spacing w:line="240" w:lineRule="auto"/>
              <w:jc w:val="center"/>
            </w:pPr>
            <w:r>
              <w:rPr>
                <w:rFonts w:ascii="宋体" w:hAnsi="宋体" w:eastAsia="宋体" w:cs="宋体"/>
                <w:b w:val="0"/>
              </w:rPr>
              <w:t>相关风险变量的变动</w:t>
            </w:r>
          </w:p>
        </w:tc>
        <w:tc>
          <w:tcPr>
            <w:tcW w:w="3077" w:type="pct"/>
            <w:vAlign w:val="center"/>
          </w:tcPr>
          <w:p w14:paraId="7C05319E">
            <w:pPr>
              <w:spacing w:line="240" w:lineRule="auto"/>
              <w:jc w:val="center"/>
            </w:pPr>
            <w:r>
              <w:rPr>
                <w:rFonts w:ascii="宋体" w:hAnsi="宋体" w:eastAsia="宋体" w:cs="宋体"/>
                <w:b w:val="0"/>
              </w:rPr>
              <w:t>对资产负债表日基金资产净值的影响金额</w:t>
            </w:r>
            <w:r>
              <w:br w:type="textWrapping"/>
            </w:r>
            <w:r>
              <w:rPr>
                <w:rFonts w:ascii="宋体" w:hAnsi="宋体" w:eastAsia="宋体" w:cs="宋体"/>
                <w:b w:val="0"/>
              </w:rPr>
              <w:t>（单位：人民币元）</w:t>
            </w:r>
          </w:p>
        </w:tc>
      </w:tr>
      <w:tr w14:paraId="7C5B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1B20CDE"/>
        </w:tc>
        <w:tc>
          <w:tcPr>
            <w:vMerge w:val="continue"/>
          </w:tcPr>
          <w:p w14:paraId="0CCA2469"/>
        </w:tc>
        <w:tc>
          <w:tcPr>
            <w:tcW w:w="0" w:type="dxa"/>
            <w:vAlign w:val="center"/>
          </w:tcPr>
          <w:p w14:paraId="405A7478">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15E8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A63BACC"/>
        </w:tc>
        <w:tc>
          <w:tcPr>
            <w:tcW w:w="0" w:type="dxa"/>
            <w:vAlign w:val="center"/>
          </w:tcPr>
          <w:p w14:paraId="027FF5ED">
            <w:pPr>
              <w:spacing w:line="240" w:lineRule="auto"/>
              <w:jc w:val="left"/>
            </w:pPr>
            <w:r>
              <w:rPr>
                <w:rFonts w:ascii="宋体" w:hAnsi="宋体" w:eastAsia="宋体" w:cs="宋体"/>
                <w:b w:val="0"/>
              </w:rPr>
              <w:t>1.沪深300指数上升5%</w:t>
            </w:r>
          </w:p>
        </w:tc>
        <w:tc>
          <w:tcPr>
            <w:tcW w:w="0" w:type="dxa"/>
            <w:vAlign w:val="center"/>
          </w:tcPr>
          <w:p w14:paraId="3D1AB143">
            <w:pPr>
              <w:spacing w:line="240" w:lineRule="auto"/>
              <w:jc w:val="left"/>
            </w:pPr>
            <w:r>
              <w:rPr>
                <w:rFonts w:ascii="宋体" w:hAnsi="宋体" w:eastAsia="宋体" w:cs="宋体"/>
                <w:b w:val="0"/>
              </w:rPr>
              <w:t>185,838.48</w:t>
            </w:r>
          </w:p>
        </w:tc>
      </w:tr>
      <w:tr w14:paraId="3162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17E6E5E"/>
        </w:tc>
        <w:tc>
          <w:tcPr>
            <w:tcW w:w="0" w:type="dxa"/>
            <w:vAlign w:val="center"/>
          </w:tcPr>
          <w:p w14:paraId="6E1F8062">
            <w:pPr>
              <w:spacing w:line="240" w:lineRule="auto"/>
              <w:jc w:val="left"/>
            </w:pPr>
            <w:r>
              <w:rPr>
                <w:rFonts w:ascii="宋体" w:hAnsi="宋体" w:eastAsia="宋体" w:cs="宋体"/>
                <w:b w:val="0"/>
              </w:rPr>
              <w:t>2.沪深300指数下降5%</w:t>
            </w:r>
          </w:p>
        </w:tc>
        <w:tc>
          <w:tcPr>
            <w:tcW w:w="0" w:type="dxa"/>
            <w:vAlign w:val="center"/>
          </w:tcPr>
          <w:p w14:paraId="63ECFE24">
            <w:pPr>
              <w:spacing w:line="240" w:lineRule="auto"/>
              <w:jc w:val="left"/>
            </w:pPr>
            <w:r>
              <w:rPr>
                <w:rFonts w:ascii="宋体" w:hAnsi="宋体" w:eastAsia="宋体" w:cs="宋体"/>
                <w:b w:val="0"/>
              </w:rPr>
              <w:t>-185,838.48</w:t>
            </w:r>
          </w:p>
        </w:tc>
      </w:tr>
    </w:tbl>
    <w:p w14:paraId="6377C7A8"/>
    <w:p w14:paraId="37DF5FD3">
      <w:pPr>
        <w:pStyle w:val="58"/>
      </w:pPr>
      <w:r>
        <w:rPr>
          <w:rFonts w:ascii="宋体" w:hAnsi="宋体" w:eastAsia="宋体" w:cs="宋体"/>
          <w:b/>
        </w:rPr>
        <w:t>6.4.14 公允价值</w:t>
      </w:r>
    </w:p>
    <w:p w14:paraId="149F66AE">
      <w:pPr>
        <w:pStyle w:val="58"/>
      </w:pPr>
      <w:r>
        <w:rPr>
          <w:rFonts w:ascii="宋体" w:hAnsi="宋体" w:eastAsia="宋体" w:cs="宋体"/>
          <w:b/>
        </w:rPr>
        <w:t>6.4.14.1 金融工具公允价值计量的方法</w:t>
      </w:r>
    </w:p>
    <w:p w14:paraId="68C9F24E">
      <w:r>
        <w:rPr>
          <w:rFonts w:ascii="宋体" w:hAnsi="宋体" w:eastAsia="宋体" w:cs="宋体"/>
          <w:b w:val="0"/>
        </w:rPr>
        <w:t xml:space="preserve">    公允价值计量结果所属的层次，由对公允价值计量整体而言具有重要意义的输入值所属的最低层次决定：</w:t>
      </w:r>
      <w:r>
        <w:rPr>
          <w:rFonts w:ascii="宋体" w:hAnsi="宋体" w:eastAsia="宋体" w:cs="宋体"/>
          <w:b w:val="0"/>
        </w:rPr>
        <w:br w:type="textWrapping"/>
      </w:r>
      <w:r>
        <w:rPr>
          <w:rFonts w:ascii="宋体" w:hAnsi="宋体" w:eastAsia="宋体" w:cs="宋体"/>
          <w:b w:val="0"/>
        </w:rPr>
        <w:t xml:space="preserve">    第一层次：相同资产或负债在活跃市场上未经调整的报价。</w:t>
      </w:r>
      <w:r>
        <w:rPr>
          <w:rFonts w:ascii="宋体" w:hAnsi="宋体" w:eastAsia="宋体" w:cs="宋体"/>
          <w:b w:val="0"/>
        </w:rPr>
        <w:br w:type="textWrapping"/>
      </w:r>
      <w:r>
        <w:rPr>
          <w:rFonts w:ascii="宋体" w:hAnsi="宋体" w:eastAsia="宋体" w:cs="宋体"/>
          <w:b w:val="0"/>
        </w:rPr>
        <w:t xml:space="preserve">    第二层次：除第一层次输入值外相关资产或负债直接或间接可观察的输入值。</w:t>
      </w:r>
      <w:r>
        <w:rPr>
          <w:rFonts w:ascii="宋体" w:hAnsi="宋体" w:eastAsia="宋体" w:cs="宋体"/>
          <w:b w:val="0"/>
        </w:rPr>
        <w:br w:type="textWrapping"/>
      </w:r>
      <w:r>
        <w:rPr>
          <w:rFonts w:ascii="宋体" w:hAnsi="宋体" w:eastAsia="宋体" w:cs="宋体"/>
          <w:b w:val="0"/>
        </w:rPr>
        <w:t xml:space="preserve">    第三层次：相关资产或负债的不可观察输入值。</w:t>
      </w:r>
    </w:p>
    <w:p w14:paraId="4843D4DB"/>
    <w:p w14:paraId="3EC5CDCF">
      <w:pPr>
        <w:pStyle w:val="58"/>
      </w:pPr>
      <w:r>
        <w:rPr>
          <w:rFonts w:ascii="宋体" w:hAnsi="宋体" w:eastAsia="宋体" w:cs="宋体"/>
          <w:b/>
        </w:rPr>
        <w:t>6.4.14.2 持续的以公允价值计量的金融工具</w:t>
      </w:r>
    </w:p>
    <w:p w14:paraId="5CC9E91F">
      <w:pPr>
        <w:pStyle w:val="58"/>
      </w:pPr>
      <w:r>
        <w:rPr>
          <w:rFonts w:ascii="宋体" w:hAnsi="宋体" w:eastAsia="宋体" w:cs="宋体"/>
          <w:b/>
        </w:rPr>
        <w:t>6.4.14.2.1 各层次金融工具的公允价值</w:t>
      </w:r>
    </w:p>
    <w:p w14:paraId="25227C40">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4"/>
        <w:gridCol w:w="4572"/>
      </w:tblGrid>
      <w:tr w14:paraId="12EC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pct"/>
            <w:shd w:val="clear" w:color="auto" w:fill="D9D9D9"/>
            <w:vAlign w:val="center"/>
          </w:tcPr>
          <w:p w14:paraId="4EBEE9F4">
            <w:pPr>
              <w:spacing w:line="240" w:lineRule="auto"/>
              <w:jc w:val="center"/>
            </w:pPr>
            <w:r>
              <w:rPr>
                <w:rFonts w:ascii="宋体" w:hAnsi="宋体" w:eastAsia="宋体" w:cs="宋体"/>
                <w:b w:val="0"/>
              </w:rPr>
              <w:t>公允价值计量结果所属的层次</w:t>
            </w:r>
          </w:p>
        </w:tc>
        <w:tc>
          <w:tcPr>
            <w:tcW w:w="2462" w:type="pct"/>
            <w:shd w:val="clear" w:color="auto" w:fill="D9D9D9"/>
            <w:vAlign w:val="center"/>
          </w:tcPr>
          <w:p w14:paraId="5EBBBDD5">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63E3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pct"/>
            <w:vAlign w:val="center"/>
          </w:tcPr>
          <w:p w14:paraId="22B9B801">
            <w:pPr>
              <w:spacing w:line="240" w:lineRule="auto"/>
              <w:jc w:val="left"/>
            </w:pPr>
            <w:r>
              <w:rPr>
                <w:rFonts w:ascii="宋体" w:hAnsi="宋体" w:eastAsia="宋体" w:cs="宋体"/>
                <w:b w:val="0"/>
              </w:rPr>
              <w:t>第一层次</w:t>
            </w:r>
          </w:p>
        </w:tc>
        <w:tc>
          <w:tcPr>
            <w:tcW w:w="2462" w:type="pct"/>
            <w:vAlign w:val="center"/>
          </w:tcPr>
          <w:p w14:paraId="5B585171">
            <w:pPr>
              <w:spacing w:line="240" w:lineRule="auto"/>
              <w:jc w:val="right"/>
            </w:pPr>
            <w:r>
              <w:rPr>
                <w:rFonts w:ascii="宋体" w:hAnsi="宋体" w:eastAsia="宋体" w:cs="宋体"/>
                <w:b w:val="0"/>
              </w:rPr>
              <w:t>1,677,607.00</w:t>
            </w:r>
          </w:p>
        </w:tc>
      </w:tr>
      <w:tr w14:paraId="0C4D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pct"/>
            <w:vAlign w:val="center"/>
          </w:tcPr>
          <w:p w14:paraId="169A819C">
            <w:pPr>
              <w:spacing w:line="240" w:lineRule="auto"/>
              <w:jc w:val="left"/>
            </w:pPr>
            <w:r>
              <w:rPr>
                <w:rFonts w:ascii="宋体" w:hAnsi="宋体" w:eastAsia="宋体" w:cs="宋体"/>
                <w:b w:val="0"/>
              </w:rPr>
              <w:t>第二层次</w:t>
            </w:r>
          </w:p>
        </w:tc>
        <w:tc>
          <w:tcPr>
            <w:tcW w:w="2462" w:type="pct"/>
            <w:vAlign w:val="center"/>
          </w:tcPr>
          <w:p w14:paraId="111C374D">
            <w:pPr>
              <w:spacing w:line="240" w:lineRule="auto"/>
              <w:jc w:val="right"/>
            </w:pPr>
            <w:r>
              <w:rPr>
                <w:rFonts w:ascii="宋体" w:hAnsi="宋体" w:eastAsia="宋体" w:cs="宋体"/>
                <w:b w:val="0"/>
              </w:rPr>
              <w:t>6,193,306.88</w:t>
            </w:r>
          </w:p>
        </w:tc>
      </w:tr>
      <w:tr w14:paraId="0411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pct"/>
            <w:vAlign w:val="center"/>
          </w:tcPr>
          <w:p w14:paraId="61137A65">
            <w:pPr>
              <w:spacing w:line="240" w:lineRule="auto"/>
              <w:jc w:val="left"/>
            </w:pPr>
            <w:r>
              <w:rPr>
                <w:rFonts w:ascii="宋体" w:hAnsi="宋体" w:eastAsia="宋体" w:cs="宋体"/>
                <w:b w:val="0"/>
              </w:rPr>
              <w:t>第三层次</w:t>
            </w:r>
          </w:p>
        </w:tc>
        <w:tc>
          <w:tcPr>
            <w:tcW w:w="2462" w:type="pct"/>
            <w:vAlign w:val="center"/>
          </w:tcPr>
          <w:p w14:paraId="25391279">
            <w:pPr>
              <w:spacing w:line="240" w:lineRule="auto"/>
              <w:jc w:val="right"/>
            </w:pPr>
            <w:r>
              <w:rPr>
                <w:rFonts w:ascii="宋体" w:hAnsi="宋体" w:eastAsia="宋体" w:cs="宋体"/>
                <w:b w:val="0"/>
              </w:rPr>
              <w:t>-</w:t>
            </w:r>
          </w:p>
        </w:tc>
      </w:tr>
      <w:tr w14:paraId="2C4E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pct"/>
            <w:vAlign w:val="center"/>
          </w:tcPr>
          <w:p w14:paraId="3A10715E">
            <w:pPr>
              <w:spacing w:line="240" w:lineRule="auto"/>
              <w:jc w:val="center"/>
            </w:pPr>
            <w:r>
              <w:rPr>
                <w:rFonts w:ascii="宋体" w:hAnsi="宋体" w:eastAsia="宋体" w:cs="宋体"/>
                <w:b w:val="0"/>
              </w:rPr>
              <w:t>合计</w:t>
            </w:r>
          </w:p>
        </w:tc>
        <w:tc>
          <w:tcPr>
            <w:tcW w:w="2462" w:type="pct"/>
            <w:vAlign w:val="center"/>
          </w:tcPr>
          <w:p w14:paraId="61CCFFD8">
            <w:pPr>
              <w:spacing w:line="240" w:lineRule="auto"/>
              <w:jc w:val="right"/>
            </w:pPr>
            <w:r>
              <w:rPr>
                <w:rFonts w:ascii="宋体" w:hAnsi="宋体" w:eastAsia="宋体" w:cs="宋体"/>
                <w:b w:val="0"/>
              </w:rPr>
              <w:t>7,870,913.88</w:t>
            </w:r>
          </w:p>
        </w:tc>
      </w:tr>
    </w:tbl>
    <w:p w14:paraId="27F31665"/>
    <w:p w14:paraId="75A3F3C5">
      <w:pPr>
        <w:pStyle w:val="58"/>
      </w:pPr>
      <w:r>
        <w:rPr>
          <w:rFonts w:ascii="宋体" w:hAnsi="宋体" w:eastAsia="宋体" w:cs="宋体"/>
          <w:b/>
        </w:rPr>
        <w:t>6.4.14.2.2 公允价值所属层次间的重大变动</w:t>
      </w:r>
    </w:p>
    <w:p w14:paraId="6E38FA68">
      <w:r>
        <w:rPr>
          <w:rFonts w:ascii="宋体" w:hAnsi="宋体" w:eastAsia="宋体" w:cs="宋体"/>
          <w:b w:val="0"/>
        </w:rPr>
        <w:t xml:space="preserve">    本基金以导致各层次之间转换的事项发生日为确认各层次之间转换的时点。</w:t>
      </w:r>
      <w:r>
        <w:rPr>
          <w:rFonts w:ascii="宋体" w:hAnsi="宋体" w:eastAsia="宋体" w:cs="宋体"/>
          <w:b w:val="0"/>
        </w:rPr>
        <w:br w:type="textWrapping"/>
      </w:r>
      <w:r>
        <w:rPr>
          <w:rFonts w:ascii="宋体" w:hAnsi="宋体" w:eastAsia="宋体" w:cs="宋体"/>
          <w:b w:val="0"/>
        </w:rPr>
        <w:t xml:space="preserve">    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1ADE2E0B"/>
    <w:p w14:paraId="2B74E495">
      <w:pPr>
        <w:pStyle w:val="58"/>
      </w:pPr>
      <w:r>
        <w:rPr>
          <w:rFonts w:ascii="宋体" w:hAnsi="宋体" w:eastAsia="宋体" w:cs="宋体"/>
          <w:b/>
        </w:rPr>
        <w:t>6.4.14.3 非持续的以公允价值计量的金融工具的说明</w:t>
      </w:r>
    </w:p>
    <w:p w14:paraId="09A3A22C">
      <w:r>
        <w:rPr>
          <w:rFonts w:ascii="宋体" w:hAnsi="宋体" w:eastAsia="宋体" w:cs="宋体"/>
          <w:b w:val="0"/>
        </w:rPr>
        <w:t xml:space="preserve">    于2026年06月30日，本基金未持有非持续的以公允价值计量的金融资产。</w:t>
      </w:r>
    </w:p>
    <w:p w14:paraId="61E2632E"/>
    <w:p w14:paraId="69265A88">
      <w:pPr>
        <w:pStyle w:val="58"/>
      </w:pPr>
      <w:r>
        <w:rPr>
          <w:rFonts w:ascii="宋体" w:hAnsi="宋体" w:eastAsia="宋体" w:cs="宋体"/>
          <w:b/>
        </w:rPr>
        <w:t>6.4.14.4 不以公允价值计量的金融工具的相关说明</w:t>
      </w:r>
    </w:p>
    <w:p w14:paraId="56F3A5C9">
      <w:r>
        <w:rPr>
          <w:rFonts w:ascii="宋体" w:hAnsi="宋体" w:eastAsia="宋体" w:cs="宋体"/>
          <w:b w:val="0"/>
        </w:rPr>
        <w:t xml:space="preserve">    不以公允价值计量的金融资产和负债主要包括应收款项和其他金融负债，其账面价值与公允价值相差很小。</w:t>
      </w:r>
    </w:p>
    <w:p w14:paraId="5E182F21"/>
    <w:p w14:paraId="178D45CD">
      <w:pPr>
        <w:pStyle w:val="58"/>
      </w:pPr>
      <w:r>
        <w:rPr>
          <w:rFonts w:ascii="宋体" w:hAnsi="宋体" w:eastAsia="宋体" w:cs="宋体"/>
          <w:b/>
        </w:rPr>
        <w:t>6.4.15 有助于理解和分析会计报表需要说明的其他事项</w:t>
      </w:r>
    </w:p>
    <w:p w14:paraId="33E91C75">
      <w:pPr>
        <w:jc w:val="left"/>
      </w:pPr>
      <w:r>
        <w:rPr>
          <w:rFonts w:ascii="宋体" w:hAnsi="宋体" w:eastAsia="宋体" w:cs="宋体"/>
          <w:b w:val="0"/>
        </w:rPr>
        <w:t xml:space="preserve">    截至资产负债表日本基金无需要说明的其他重要事项。</w:t>
      </w:r>
    </w:p>
    <w:p w14:paraId="14076E8E">
      <w:pPr>
        <w:pStyle w:val="2"/>
        <w:jc w:val="center"/>
      </w:pPr>
      <w:bookmarkStart w:id="31" w:name="_Toc16847"/>
      <w:r>
        <w:rPr>
          <w:rFonts w:ascii="宋体" w:hAnsi="宋体" w:eastAsia="宋体" w:cs="宋体"/>
        </w:rPr>
        <w:t>§7 投资组合报告</w:t>
      </w:r>
      <w:bookmarkEnd w:id="31"/>
    </w:p>
    <w:p w14:paraId="4A83F9D6">
      <w:pPr>
        <w:pStyle w:val="3"/>
        <w:jc w:val="left"/>
      </w:pPr>
      <w:bookmarkStart w:id="32" w:name="_Toc10965"/>
      <w:r>
        <w:rPr>
          <w:rFonts w:ascii="宋体" w:hAnsi="宋体" w:eastAsia="宋体" w:cs="宋体"/>
        </w:rPr>
        <w:t>7.1 期末基金资产组合情况</w:t>
      </w:r>
      <w:bookmarkEnd w:id="32"/>
    </w:p>
    <w:p w14:paraId="6B363B1D">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
        <w:gridCol w:w="3316"/>
        <w:gridCol w:w="1658"/>
        <w:gridCol w:w="3316"/>
      </w:tblGrid>
      <w:tr w14:paraId="4F22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0EDE8E3D">
            <w:pPr>
              <w:spacing w:line="240" w:lineRule="auto"/>
              <w:jc w:val="center"/>
            </w:pPr>
            <w:r>
              <w:rPr>
                <w:rFonts w:ascii="宋体" w:hAnsi="宋体" w:eastAsia="宋体" w:cs="宋体"/>
                <w:b w:val="0"/>
              </w:rPr>
              <w:t>序号</w:t>
            </w:r>
          </w:p>
        </w:tc>
        <w:tc>
          <w:tcPr>
            <w:tcW w:w="1538" w:type="pct"/>
            <w:shd w:val="clear" w:color="auto" w:fill="D9D9D9"/>
            <w:vAlign w:val="center"/>
          </w:tcPr>
          <w:p w14:paraId="7A6E6714">
            <w:pPr>
              <w:spacing w:line="240" w:lineRule="auto"/>
              <w:jc w:val="center"/>
            </w:pPr>
            <w:r>
              <w:rPr>
                <w:rFonts w:ascii="宋体" w:hAnsi="宋体" w:eastAsia="宋体" w:cs="宋体"/>
                <w:b w:val="0"/>
              </w:rPr>
              <w:t>项目</w:t>
            </w:r>
          </w:p>
        </w:tc>
        <w:tc>
          <w:tcPr>
            <w:tcW w:w="769" w:type="pct"/>
            <w:shd w:val="clear" w:color="auto" w:fill="D9D9D9"/>
            <w:vAlign w:val="center"/>
          </w:tcPr>
          <w:p w14:paraId="1E325C8F">
            <w:pPr>
              <w:spacing w:line="240" w:lineRule="auto"/>
              <w:jc w:val="center"/>
            </w:pPr>
            <w:r>
              <w:rPr>
                <w:rFonts w:ascii="宋体" w:hAnsi="宋体" w:eastAsia="宋体" w:cs="宋体"/>
                <w:b w:val="0"/>
              </w:rPr>
              <w:t>金额</w:t>
            </w:r>
          </w:p>
        </w:tc>
        <w:tc>
          <w:tcPr>
            <w:tcW w:w="1538" w:type="pct"/>
            <w:shd w:val="clear" w:color="auto" w:fill="D9D9D9"/>
            <w:vAlign w:val="center"/>
          </w:tcPr>
          <w:p w14:paraId="19C61444">
            <w:pPr>
              <w:spacing w:line="240" w:lineRule="auto"/>
              <w:jc w:val="center"/>
            </w:pPr>
            <w:r>
              <w:rPr>
                <w:rFonts w:ascii="宋体" w:hAnsi="宋体" w:eastAsia="宋体" w:cs="宋体"/>
                <w:b w:val="0"/>
              </w:rPr>
              <w:t>占基金总资产的比例(%)</w:t>
            </w:r>
          </w:p>
        </w:tc>
      </w:tr>
      <w:tr w14:paraId="0332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64BEB3">
            <w:pPr>
              <w:spacing w:line="240" w:lineRule="auto"/>
              <w:jc w:val="center"/>
            </w:pPr>
            <w:r>
              <w:rPr>
                <w:rFonts w:ascii="宋体" w:hAnsi="宋体" w:eastAsia="宋体" w:cs="宋体"/>
                <w:b w:val="0"/>
              </w:rPr>
              <w:t>1</w:t>
            </w:r>
          </w:p>
        </w:tc>
        <w:tc>
          <w:tcPr>
            <w:tcW w:w="0" w:type="dxa"/>
            <w:vAlign w:val="center"/>
          </w:tcPr>
          <w:p w14:paraId="11AA4020">
            <w:pPr>
              <w:spacing w:line="240" w:lineRule="auto"/>
              <w:jc w:val="left"/>
            </w:pPr>
            <w:r>
              <w:rPr>
                <w:rFonts w:ascii="宋体" w:hAnsi="宋体" w:eastAsia="宋体" w:cs="宋体"/>
                <w:b w:val="0"/>
              </w:rPr>
              <w:t>权益投资</w:t>
            </w:r>
          </w:p>
        </w:tc>
        <w:tc>
          <w:tcPr>
            <w:tcW w:w="0" w:type="dxa"/>
            <w:vAlign w:val="center"/>
          </w:tcPr>
          <w:p w14:paraId="34BE79CE">
            <w:pPr>
              <w:spacing w:line="240" w:lineRule="auto"/>
              <w:jc w:val="right"/>
            </w:pPr>
            <w:r>
              <w:rPr>
                <w:rFonts w:ascii="宋体" w:hAnsi="宋体" w:eastAsia="宋体" w:cs="宋体"/>
                <w:b w:val="0"/>
              </w:rPr>
              <w:t>1,853,513.00</w:t>
            </w:r>
          </w:p>
        </w:tc>
        <w:tc>
          <w:tcPr>
            <w:tcW w:w="0" w:type="dxa"/>
            <w:vAlign w:val="center"/>
          </w:tcPr>
          <w:p w14:paraId="789390F9">
            <w:pPr>
              <w:spacing w:line="240" w:lineRule="auto"/>
              <w:jc w:val="right"/>
            </w:pPr>
            <w:r>
              <w:rPr>
                <w:rFonts w:ascii="宋体" w:hAnsi="宋体" w:eastAsia="宋体" w:cs="宋体"/>
                <w:b w:val="0"/>
              </w:rPr>
              <w:t>16.74</w:t>
            </w:r>
          </w:p>
        </w:tc>
      </w:tr>
      <w:tr w14:paraId="1C30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A1FC23">
            <w:pPr>
              <w:spacing w:line="240" w:lineRule="auto"/>
              <w:jc w:val="center"/>
            </w:pPr>
          </w:p>
        </w:tc>
        <w:tc>
          <w:tcPr>
            <w:tcW w:w="0" w:type="dxa"/>
            <w:vAlign w:val="center"/>
          </w:tcPr>
          <w:p w14:paraId="7465F9A4">
            <w:pPr>
              <w:spacing w:line="240" w:lineRule="auto"/>
              <w:jc w:val="left"/>
            </w:pPr>
            <w:r>
              <w:rPr>
                <w:rFonts w:ascii="宋体" w:hAnsi="宋体" w:eastAsia="宋体" w:cs="宋体"/>
                <w:b w:val="0"/>
              </w:rPr>
              <w:t>其中：股票</w:t>
            </w:r>
          </w:p>
        </w:tc>
        <w:tc>
          <w:tcPr>
            <w:tcW w:w="0" w:type="dxa"/>
            <w:vAlign w:val="center"/>
          </w:tcPr>
          <w:p w14:paraId="1A89045C">
            <w:pPr>
              <w:spacing w:line="240" w:lineRule="auto"/>
              <w:jc w:val="right"/>
            </w:pPr>
            <w:r>
              <w:rPr>
                <w:rFonts w:ascii="宋体" w:hAnsi="宋体" w:eastAsia="宋体" w:cs="宋体"/>
                <w:b w:val="0"/>
              </w:rPr>
              <w:t>1,853,513.00</w:t>
            </w:r>
          </w:p>
        </w:tc>
        <w:tc>
          <w:tcPr>
            <w:tcW w:w="0" w:type="dxa"/>
            <w:vAlign w:val="center"/>
          </w:tcPr>
          <w:p w14:paraId="17F28124">
            <w:pPr>
              <w:spacing w:line="240" w:lineRule="auto"/>
              <w:jc w:val="right"/>
            </w:pPr>
            <w:r>
              <w:rPr>
                <w:rFonts w:ascii="宋体" w:hAnsi="宋体" w:eastAsia="宋体" w:cs="宋体"/>
                <w:b w:val="0"/>
              </w:rPr>
              <w:t>16.74</w:t>
            </w:r>
          </w:p>
        </w:tc>
      </w:tr>
      <w:tr w14:paraId="329F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CC48D1">
            <w:pPr>
              <w:spacing w:line="240" w:lineRule="auto"/>
              <w:jc w:val="center"/>
            </w:pPr>
            <w:r>
              <w:rPr>
                <w:rFonts w:ascii="宋体" w:hAnsi="宋体" w:eastAsia="宋体" w:cs="宋体"/>
                <w:b w:val="0"/>
              </w:rPr>
              <w:t>2</w:t>
            </w:r>
          </w:p>
        </w:tc>
        <w:tc>
          <w:tcPr>
            <w:tcW w:w="0" w:type="dxa"/>
            <w:vAlign w:val="center"/>
          </w:tcPr>
          <w:p w14:paraId="5410657C">
            <w:pPr>
              <w:spacing w:line="240" w:lineRule="auto"/>
              <w:jc w:val="left"/>
            </w:pPr>
            <w:r>
              <w:rPr>
                <w:rFonts w:ascii="宋体" w:hAnsi="宋体" w:eastAsia="宋体" w:cs="宋体"/>
                <w:b w:val="0"/>
              </w:rPr>
              <w:t>基金投资</w:t>
            </w:r>
          </w:p>
        </w:tc>
        <w:tc>
          <w:tcPr>
            <w:tcW w:w="0" w:type="dxa"/>
            <w:vAlign w:val="center"/>
          </w:tcPr>
          <w:p w14:paraId="7517779C">
            <w:pPr>
              <w:spacing w:line="240" w:lineRule="auto"/>
              <w:jc w:val="right"/>
            </w:pPr>
            <w:r>
              <w:rPr>
                <w:rFonts w:ascii="宋体" w:hAnsi="宋体" w:eastAsia="宋体" w:cs="宋体"/>
                <w:b w:val="0"/>
              </w:rPr>
              <w:t>-</w:t>
            </w:r>
          </w:p>
        </w:tc>
        <w:tc>
          <w:tcPr>
            <w:tcW w:w="0" w:type="dxa"/>
            <w:vAlign w:val="center"/>
          </w:tcPr>
          <w:p w14:paraId="30D85B38">
            <w:pPr>
              <w:spacing w:line="240" w:lineRule="auto"/>
              <w:jc w:val="right"/>
            </w:pPr>
            <w:r>
              <w:rPr>
                <w:rFonts w:ascii="宋体" w:hAnsi="宋体" w:eastAsia="宋体" w:cs="宋体"/>
                <w:b w:val="0"/>
              </w:rPr>
              <w:t>-</w:t>
            </w:r>
          </w:p>
        </w:tc>
      </w:tr>
      <w:tr w14:paraId="1D20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92C3FA">
            <w:pPr>
              <w:spacing w:line="240" w:lineRule="auto"/>
              <w:jc w:val="center"/>
            </w:pPr>
            <w:r>
              <w:rPr>
                <w:rFonts w:ascii="宋体" w:hAnsi="宋体" w:eastAsia="宋体" w:cs="宋体"/>
                <w:b w:val="0"/>
              </w:rPr>
              <w:t>3</w:t>
            </w:r>
          </w:p>
        </w:tc>
        <w:tc>
          <w:tcPr>
            <w:tcW w:w="0" w:type="dxa"/>
            <w:vAlign w:val="center"/>
          </w:tcPr>
          <w:p w14:paraId="43AAFBB7">
            <w:pPr>
              <w:spacing w:line="240" w:lineRule="auto"/>
              <w:jc w:val="left"/>
            </w:pPr>
            <w:r>
              <w:rPr>
                <w:rFonts w:ascii="宋体" w:hAnsi="宋体" w:eastAsia="宋体" w:cs="宋体"/>
                <w:b w:val="0"/>
              </w:rPr>
              <w:t>固定收益投资</w:t>
            </w:r>
          </w:p>
        </w:tc>
        <w:tc>
          <w:tcPr>
            <w:tcW w:w="0" w:type="dxa"/>
            <w:vAlign w:val="center"/>
          </w:tcPr>
          <w:p w14:paraId="0FFC71B4">
            <w:pPr>
              <w:spacing w:line="240" w:lineRule="auto"/>
              <w:jc w:val="right"/>
            </w:pPr>
            <w:r>
              <w:rPr>
                <w:rFonts w:ascii="宋体" w:hAnsi="宋体" w:eastAsia="宋体" w:cs="宋体"/>
                <w:b w:val="0"/>
              </w:rPr>
              <w:t>6,017,400.88</w:t>
            </w:r>
          </w:p>
        </w:tc>
        <w:tc>
          <w:tcPr>
            <w:tcW w:w="0" w:type="dxa"/>
            <w:vAlign w:val="center"/>
          </w:tcPr>
          <w:p w14:paraId="7E7B32AC">
            <w:pPr>
              <w:spacing w:line="240" w:lineRule="auto"/>
              <w:jc w:val="right"/>
            </w:pPr>
            <w:r>
              <w:rPr>
                <w:rFonts w:ascii="宋体" w:hAnsi="宋体" w:eastAsia="宋体" w:cs="宋体"/>
                <w:b w:val="0"/>
              </w:rPr>
              <w:t>54.35</w:t>
            </w:r>
          </w:p>
        </w:tc>
      </w:tr>
      <w:tr w14:paraId="6470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9AF73C">
            <w:pPr>
              <w:spacing w:line="240" w:lineRule="auto"/>
              <w:jc w:val="center"/>
            </w:pPr>
          </w:p>
        </w:tc>
        <w:tc>
          <w:tcPr>
            <w:tcW w:w="0" w:type="dxa"/>
            <w:vAlign w:val="center"/>
          </w:tcPr>
          <w:p w14:paraId="443CD9B8">
            <w:pPr>
              <w:spacing w:line="240" w:lineRule="auto"/>
              <w:jc w:val="left"/>
            </w:pPr>
            <w:r>
              <w:rPr>
                <w:rFonts w:ascii="宋体" w:hAnsi="宋体" w:eastAsia="宋体" w:cs="宋体"/>
                <w:b w:val="0"/>
              </w:rPr>
              <w:t>其中：债券</w:t>
            </w:r>
          </w:p>
        </w:tc>
        <w:tc>
          <w:tcPr>
            <w:tcW w:w="0" w:type="dxa"/>
            <w:vAlign w:val="center"/>
          </w:tcPr>
          <w:p w14:paraId="6964CBD7">
            <w:pPr>
              <w:spacing w:line="240" w:lineRule="auto"/>
              <w:jc w:val="right"/>
            </w:pPr>
            <w:r>
              <w:rPr>
                <w:rFonts w:ascii="宋体" w:hAnsi="宋体" w:eastAsia="宋体" w:cs="宋体"/>
                <w:b w:val="0"/>
              </w:rPr>
              <w:t>6,017,400.88</w:t>
            </w:r>
          </w:p>
        </w:tc>
        <w:tc>
          <w:tcPr>
            <w:tcW w:w="0" w:type="dxa"/>
            <w:vAlign w:val="center"/>
          </w:tcPr>
          <w:p w14:paraId="51EB12BE">
            <w:pPr>
              <w:spacing w:line="240" w:lineRule="auto"/>
              <w:jc w:val="right"/>
            </w:pPr>
            <w:r>
              <w:rPr>
                <w:rFonts w:ascii="宋体" w:hAnsi="宋体" w:eastAsia="宋体" w:cs="宋体"/>
                <w:b w:val="0"/>
              </w:rPr>
              <w:t>54.35</w:t>
            </w:r>
          </w:p>
        </w:tc>
      </w:tr>
      <w:tr w14:paraId="36D4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B12BC6">
            <w:pPr>
              <w:spacing w:line="240" w:lineRule="auto"/>
              <w:jc w:val="center"/>
            </w:pPr>
          </w:p>
        </w:tc>
        <w:tc>
          <w:tcPr>
            <w:tcW w:w="0" w:type="dxa"/>
            <w:vAlign w:val="center"/>
          </w:tcPr>
          <w:p w14:paraId="28DC65D9">
            <w:pPr>
              <w:spacing w:line="240" w:lineRule="auto"/>
              <w:jc w:val="left"/>
            </w:pPr>
            <w:r>
              <w:rPr>
                <w:rFonts w:ascii="宋体" w:hAnsi="宋体" w:eastAsia="宋体" w:cs="宋体"/>
                <w:b w:val="0"/>
              </w:rPr>
              <w:t xml:space="preserve">      资产支持证券</w:t>
            </w:r>
          </w:p>
        </w:tc>
        <w:tc>
          <w:tcPr>
            <w:tcW w:w="0" w:type="dxa"/>
            <w:vAlign w:val="center"/>
          </w:tcPr>
          <w:p w14:paraId="2972E63A">
            <w:pPr>
              <w:spacing w:line="240" w:lineRule="auto"/>
              <w:jc w:val="right"/>
            </w:pPr>
            <w:r>
              <w:rPr>
                <w:rFonts w:ascii="宋体" w:hAnsi="宋体" w:eastAsia="宋体" w:cs="宋体"/>
                <w:b w:val="0"/>
              </w:rPr>
              <w:t>-</w:t>
            </w:r>
          </w:p>
        </w:tc>
        <w:tc>
          <w:tcPr>
            <w:tcW w:w="0" w:type="dxa"/>
            <w:vAlign w:val="center"/>
          </w:tcPr>
          <w:p w14:paraId="43F23A3D">
            <w:pPr>
              <w:spacing w:line="240" w:lineRule="auto"/>
              <w:jc w:val="right"/>
            </w:pPr>
            <w:r>
              <w:rPr>
                <w:rFonts w:ascii="宋体" w:hAnsi="宋体" w:eastAsia="宋体" w:cs="宋体"/>
                <w:b w:val="0"/>
              </w:rPr>
              <w:t>-</w:t>
            </w:r>
          </w:p>
        </w:tc>
      </w:tr>
      <w:tr w14:paraId="4ED6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0770E7">
            <w:pPr>
              <w:spacing w:line="240" w:lineRule="auto"/>
              <w:jc w:val="center"/>
            </w:pPr>
            <w:r>
              <w:rPr>
                <w:rFonts w:ascii="宋体" w:hAnsi="宋体" w:eastAsia="宋体" w:cs="宋体"/>
                <w:b w:val="0"/>
              </w:rPr>
              <w:t>4</w:t>
            </w:r>
          </w:p>
        </w:tc>
        <w:tc>
          <w:tcPr>
            <w:tcW w:w="0" w:type="dxa"/>
            <w:vAlign w:val="center"/>
          </w:tcPr>
          <w:p w14:paraId="11690572">
            <w:pPr>
              <w:spacing w:line="240" w:lineRule="auto"/>
              <w:jc w:val="left"/>
            </w:pPr>
            <w:r>
              <w:rPr>
                <w:rFonts w:ascii="宋体" w:hAnsi="宋体" w:eastAsia="宋体" w:cs="宋体"/>
                <w:b w:val="0"/>
              </w:rPr>
              <w:t>贵金属投资</w:t>
            </w:r>
          </w:p>
        </w:tc>
        <w:tc>
          <w:tcPr>
            <w:tcW w:w="0" w:type="dxa"/>
            <w:vAlign w:val="center"/>
          </w:tcPr>
          <w:p w14:paraId="4CC75456">
            <w:pPr>
              <w:spacing w:line="240" w:lineRule="auto"/>
              <w:jc w:val="right"/>
            </w:pPr>
            <w:r>
              <w:rPr>
                <w:rFonts w:ascii="宋体" w:hAnsi="宋体" w:eastAsia="宋体" w:cs="宋体"/>
                <w:b w:val="0"/>
              </w:rPr>
              <w:t>-</w:t>
            </w:r>
          </w:p>
        </w:tc>
        <w:tc>
          <w:tcPr>
            <w:tcW w:w="0" w:type="dxa"/>
            <w:vAlign w:val="center"/>
          </w:tcPr>
          <w:p w14:paraId="4668F623">
            <w:pPr>
              <w:spacing w:line="240" w:lineRule="auto"/>
              <w:jc w:val="right"/>
            </w:pPr>
            <w:r>
              <w:rPr>
                <w:rFonts w:ascii="宋体" w:hAnsi="宋体" w:eastAsia="宋体" w:cs="宋体"/>
                <w:b w:val="0"/>
              </w:rPr>
              <w:t>-</w:t>
            </w:r>
          </w:p>
        </w:tc>
      </w:tr>
      <w:tr w14:paraId="34E2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183E37">
            <w:pPr>
              <w:spacing w:line="240" w:lineRule="auto"/>
              <w:jc w:val="center"/>
            </w:pPr>
            <w:r>
              <w:rPr>
                <w:rFonts w:ascii="宋体" w:hAnsi="宋体" w:eastAsia="宋体" w:cs="宋体"/>
                <w:b w:val="0"/>
              </w:rPr>
              <w:t>5</w:t>
            </w:r>
          </w:p>
        </w:tc>
        <w:tc>
          <w:tcPr>
            <w:tcW w:w="0" w:type="dxa"/>
            <w:vAlign w:val="center"/>
          </w:tcPr>
          <w:p w14:paraId="390379C3">
            <w:pPr>
              <w:spacing w:line="240" w:lineRule="auto"/>
              <w:jc w:val="left"/>
            </w:pPr>
            <w:r>
              <w:rPr>
                <w:rFonts w:ascii="宋体" w:hAnsi="宋体" w:eastAsia="宋体" w:cs="宋体"/>
                <w:b w:val="0"/>
              </w:rPr>
              <w:t>金融衍生品投资</w:t>
            </w:r>
          </w:p>
        </w:tc>
        <w:tc>
          <w:tcPr>
            <w:tcW w:w="0" w:type="dxa"/>
            <w:vAlign w:val="center"/>
          </w:tcPr>
          <w:p w14:paraId="3B40CB8E">
            <w:pPr>
              <w:spacing w:line="240" w:lineRule="auto"/>
              <w:jc w:val="right"/>
            </w:pPr>
            <w:r>
              <w:rPr>
                <w:rFonts w:ascii="宋体" w:hAnsi="宋体" w:eastAsia="宋体" w:cs="宋体"/>
                <w:b w:val="0"/>
              </w:rPr>
              <w:t>-</w:t>
            </w:r>
          </w:p>
        </w:tc>
        <w:tc>
          <w:tcPr>
            <w:tcW w:w="0" w:type="dxa"/>
            <w:vAlign w:val="center"/>
          </w:tcPr>
          <w:p w14:paraId="4FB52400">
            <w:pPr>
              <w:spacing w:line="240" w:lineRule="auto"/>
              <w:jc w:val="right"/>
            </w:pPr>
            <w:r>
              <w:rPr>
                <w:rFonts w:ascii="宋体" w:hAnsi="宋体" w:eastAsia="宋体" w:cs="宋体"/>
                <w:b w:val="0"/>
              </w:rPr>
              <w:t>-</w:t>
            </w:r>
          </w:p>
        </w:tc>
      </w:tr>
      <w:tr w14:paraId="2A6F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98F44E">
            <w:pPr>
              <w:spacing w:line="240" w:lineRule="auto"/>
              <w:jc w:val="center"/>
            </w:pPr>
            <w:r>
              <w:rPr>
                <w:rFonts w:ascii="宋体" w:hAnsi="宋体" w:eastAsia="宋体" w:cs="宋体"/>
                <w:b w:val="0"/>
              </w:rPr>
              <w:t>6</w:t>
            </w:r>
          </w:p>
        </w:tc>
        <w:tc>
          <w:tcPr>
            <w:tcW w:w="0" w:type="dxa"/>
            <w:vAlign w:val="center"/>
          </w:tcPr>
          <w:p w14:paraId="2B1B91B7">
            <w:pPr>
              <w:spacing w:line="240" w:lineRule="auto"/>
              <w:jc w:val="left"/>
            </w:pPr>
            <w:r>
              <w:rPr>
                <w:rFonts w:ascii="宋体" w:hAnsi="宋体" w:eastAsia="宋体" w:cs="宋体"/>
                <w:b w:val="0"/>
              </w:rPr>
              <w:t>买入返售金融资产</w:t>
            </w:r>
          </w:p>
        </w:tc>
        <w:tc>
          <w:tcPr>
            <w:tcW w:w="0" w:type="dxa"/>
            <w:vAlign w:val="center"/>
          </w:tcPr>
          <w:p w14:paraId="7ACF2CEF">
            <w:pPr>
              <w:spacing w:line="240" w:lineRule="auto"/>
              <w:jc w:val="right"/>
            </w:pPr>
            <w:r>
              <w:rPr>
                <w:rFonts w:ascii="宋体" w:hAnsi="宋体" w:eastAsia="宋体" w:cs="宋体"/>
                <w:b w:val="0"/>
              </w:rPr>
              <w:t>3,000,000.00</w:t>
            </w:r>
          </w:p>
        </w:tc>
        <w:tc>
          <w:tcPr>
            <w:tcW w:w="0" w:type="dxa"/>
            <w:vAlign w:val="center"/>
          </w:tcPr>
          <w:p w14:paraId="3E8DC524">
            <w:pPr>
              <w:spacing w:line="240" w:lineRule="auto"/>
              <w:jc w:val="right"/>
            </w:pPr>
            <w:r>
              <w:rPr>
                <w:rFonts w:ascii="宋体" w:hAnsi="宋体" w:eastAsia="宋体" w:cs="宋体"/>
                <w:b w:val="0"/>
              </w:rPr>
              <w:t>27.09</w:t>
            </w:r>
          </w:p>
        </w:tc>
      </w:tr>
      <w:tr w14:paraId="6229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6F0728">
            <w:pPr>
              <w:spacing w:line="240" w:lineRule="auto"/>
              <w:jc w:val="center"/>
            </w:pPr>
          </w:p>
        </w:tc>
        <w:tc>
          <w:tcPr>
            <w:tcW w:w="0" w:type="dxa"/>
            <w:vAlign w:val="center"/>
          </w:tcPr>
          <w:p w14:paraId="6DD98FEF">
            <w:pPr>
              <w:spacing w:line="240" w:lineRule="auto"/>
              <w:jc w:val="left"/>
            </w:pPr>
            <w:r>
              <w:rPr>
                <w:rFonts w:ascii="宋体" w:hAnsi="宋体" w:eastAsia="宋体" w:cs="宋体"/>
                <w:b w:val="0"/>
              </w:rPr>
              <w:t>其中：买断式回购的买入返售金融资产</w:t>
            </w:r>
          </w:p>
        </w:tc>
        <w:tc>
          <w:tcPr>
            <w:tcW w:w="0" w:type="dxa"/>
            <w:vAlign w:val="center"/>
          </w:tcPr>
          <w:p w14:paraId="299205DE">
            <w:pPr>
              <w:spacing w:line="240" w:lineRule="auto"/>
              <w:jc w:val="right"/>
            </w:pPr>
            <w:r>
              <w:rPr>
                <w:rFonts w:ascii="宋体" w:hAnsi="宋体" w:eastAsia="宋体" w:cs="宋体"/>
                <w:b w:val="0"/>
              </w:rPr>
              <w:t>-</w:t>
            </w:r>
          </w:p>
        </w:tc>
        <w:tc>
          <w:tcPr>
            <w:tcW w:w="0" w:type="dxa"/>
            <w:vAlign w:val="center"/>
          </w:tcPr>
          <w:p w14:paraId="18DBD71D">
            <w:pPr>
              <w:spacing w:line="240" w:lineRule="auto"/>
              <w:jc w:val="right"/>
            </w:pPr>
            <w:r>
              <w:rPr>
                <w:rFonts w:ascii="宋体" w:hAnsi="宋体" w:eastAsia="宋体" w:cs="宋体"/>
                <w:b w:val="0"/>
              </w:rPr>
              <w:t>-</w:t>
            </w:r>
          </w:p>
        </w:tc>
      </w:tr>
      <w:tr w14:paraId="4EF5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1A1652">
            <w:pPr>
              <w:spacing w:line="240" w:lineRule="auto"/>
              <w:jc w:val="center"/>
            </w:pPr>
            <w:r>
              <w:rPr>
                <w:rFonts w:ascii="宋体" w:hAnsi="宋体" w:eastAsia="宋体" w:cs="宋体"/>
                <w:b w:val="0"/>
              </w:rPr>
              <w:t>7</w:t>
            </w:r>
          </w:p>
        </w:tc>
        <w:tc>
          <w:tcPr>
            <w:tcW w:w="0" w:type="dxa"/>
            <w:vAlign w:val="center"/>
          </w:tcPr>
          <w:p w14:paraId="162BDC4F">
            <w:pPr>
              <w:spacing w:line="240" w:lineRule="auto"/>
              <w:jc w:val="left"/>
            </w:pPr>
            <w:r>
              <w:rPr>
                <w:rFonts w:ascii="宋体" w:hAnsi="宋体" w:eastAsia="宋体" w:cs="宋体"/>
                <w:b w:val="0"/>
              </w:rPr>
              <w:t>银行存款和结算备付金合计</w:t>
            </w:r>
          </w:p>
        </w:tc>
        <w:tc>
          <w:tcPr>
            <w:tcW w:w="0" w:type="dxa"/>
            <w:vAlign w:val="center"/>
          </w:tcPr>
          <w:p w14:paraId="46EC93C2">
            <w:pPr>
              <w:spacing w:line="240" w:lineRule="auto"/>
              <w:jc w:val="right"/>
            </w:pPr>
            <w:r>
              <w:rPr>
                <w:rFonts w:ascii="宋体" w:hAnsi="宋体" w:eastAsia="宋体" w:cs="宋体"/>
                <w:b w:val="0"/>
              </w:rPr>
              <w:t>79,406.67</w:t>
            </w:r>
          </w:p>
        </w:tc>
        <w:tc>
          <w:tcPr>
            <w:tcW w:w="0" w:type="dxa"/>
            <w:vAlign w:val="center"/>
          </w:tcPr>
          <w:p w14:paraId="6132D764">
            <w:pPr>
              <w:spacing w:line="240" w:lineRule="auto"/>
              <w:jc w:val="right"/>
            </w:pPr>
            <w:r>
              <w:rPr>
                <w:rFonts w:ascii="宋体" w:hAnsi="宋体" w:eastAsia="宋体" w:cs="宋体"/>
                <w:b w:val="0"/>
              </w:rPr>
              <w:t>0.72</w:t>
            </w:r>
          </w:p>
        </w:tc>
      </w:tr>
      <w:tr w14:paraId="476A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EE1A5B">
            <w:pPr>
              <w:spacing w:line="240" w:lineRule="auto"/>
              <w:jc w:val="center"/>
            </w:pPr>
            <w:r>
              <w:rPr>
                <w:rFonts w:ascii="宋体" w:hAnsi="宋体" w:eastAsia="宋体" w:cs="宋体"/>
                <w:b w:val="0"/>
              </w:rPr>
              <w:t>8</w:t>
            </w:r>
          </w:p>
        </w:tc>
        <w:tc>
          <w:tcPr>
            <w:tcW w:w="0" w:type="dxa"/>
            <w:vAlign w:val="center"/>
          </w:tcPr>
          <w:p w14:paraId="4275B352">
            <w:pPr>
              <w:spacing w:line="240" w:lineRule="auto"/>
              <w:jc w:val="left"/>
            </w:pPr>
            <w:r>
              <w:rPr>
                <w:rFonts w:ascii="宋体" w:hAnsi="宋体" w:eastAsia="宋体" w:cs="宋体"/>
                <w:b w:val="0"/>
              </w:rPr>
              <w:t>其他各项资产</w:t>
            </w:r>
          </w:p>
        </w:tc>
        <w:tc>
          <w:tcPr>
            <w:tcW w:w="0" w:type="dxa"/>
            <w:vAlign w:val="center"/>
          </w:tcPr>
          <w:p w14:paraId="47BF98C2">
            <w:pPr>
              <w:spacing w:line="240" w:lineRule="auto"/>
              <w:jc w:val="right"/>
            </w:pPr>
            <w:r>
              <w:rPr>
                <w:rFonts w:ascii="宋体" w:hAnsi="宋体" w:eastAsia="宋体" w:cs="宋体"/>
                <w:b w:val="0"/>
              </w:rPr>
              <w:t>122,236.98</w:t>
            </w:r>
          </w:p>
        </w:tc>
        <w:tc>
          <w:tcPr>
            <w:tcW w:w="0" w:type="dxa"/>
            <w:vAlign w:val="center"/>
          </w:tcPr>
          <w:p w14:paraId="4FEDCA7F">
            <w:pPr>
              <w:spacing w:line="240" w:lineRule="auto"/>
              <w:jc w:val="right"/>
            </w:pPr>
            <w:r>
              <w:rPr>
                <w:rFonts w:ascii="宋体" w:hAnsi="宋体" w:eastAsia="宋体" w:cs="宋体"/>
                <w:b w:val="0"/>
              </w:rPr>
              <w:t>1.10</w:t>
            </w:r>
          </w:p>
        </w:tc>
      </w:tr>
      <w:tr w14:paraId="372B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88993D">
            <w:pPr>
              <w:spacing w:line="240" w:lineRule="auto"/>
              <w:jc w:val="center"/>
            </w:pPr>
            <w:r>
              <w:rPr>
                <w:rFonts w:ascii="宋体" w:hAnsi="宋体" w:eastAsia="宋体" w:cs="宋体"/>
                <w:b w:val="0"/>
              </w:rPr>
              <w:t>9</w:t>
            </w:r>
          </w:p>
        </w:tc>
        <w:tc>
          <w:tcPr>
            <w:tcW w:w="0" w:type="dxa"/>
            <w:vAlign w:val="center"/>
          </w:tcPr>
          <w:p w14:paraId="587825FF">
            <w:pPr>
              <w:spacing w:line="240" w:lineRule="auto"/>
              <w:jc w:val="left"/>
            </w:pPr>
            <w:r>
              <w:rPr>
                <w:rFonts w:ascii="宋体" w:hAnsi="宋体" w:eastAsia="宋体" w:cs="宋体"/>
                <w:b w:val="0"/>
              </w:rPr>
              <w:t>合计</w:t>
            </w:r>
          </w:p>
        </w:tc>
        <w:tc>
          <w:tcPr>
            <w:tcW w:w="0" w:type="dxa"/>
            <w:vAlign w:val="center"/>
          </w:tcPr>
          <w:p w14:paraId="12FA0DAD">
            <w:pPr>
              <w:spacing w:line="240" w:lineRule="auto"/>
              <w:jc w:val="right"/>
            </w:pPr>
            <w:r>
              <w:rPr>
                <w:rFonts w:ascii="宋体" w:hAnsi="宋体" w:eastAsia="宋体" w:cs="宋体"/>
                <w:b w:val="0"/>
              </w:rPr>
              <w:t>11,072,557.53</w:t>
            </w:r>
          </w:p>
        </w:tc>
        <w:tc>
          <w:tcPr>
            <w:tcW w:w="0" w:type="dxa"/>
            <w:vAlign w:val="center"/>
          </w:tcPr>
          <w:p w14:paraId="72F7E93F">
            <w:pPr>
              <w:spacing w:line="240" w:lineRule="auto"/>
              <w:jc w:val="right"/>
            </w:pPr>
            <w:r>
              <w:rPr>
                <w:rFonts w:ascii="宋体" w:hAnsi="宋体" w:eastAsia="宋体" w:cs="宋体"/>
                <w:b w:val="0"/>
              </w:rPr>
              <w:t>100.00</w:t>
            </w:r>
          </w:p>
        </w:tc>
      </w:tr>
    </w:tbl>
    <w:p w14:paraId="240B150E"/>
    <w:p w14:paraId="14875AAA">
      <w:pPr>
        <w:pStyle w:val="3"/>
        <w:jc w:val="left"/>
      </w:pPr>
      <w:bookmarkStart w:id="33" w:name="_Toc19185"/>
      <w:r>
        <w:rPr>
          <w:rFonts w:ascii="宋体" w:hAnsi="宋体" w:eastAsia="宋体" w:cs="宋体"/>
        </w:rPr>
        <w:t>7.2 报告期末按行业分类的股票投资组合</w:t>
      </w:r>
      <w:bookmarkEnd w:id="33"/>
    </w:p>
    <w:p w14:paraId="1382D50C">
      <w:pPr>
        <w:pStyle w:val="58"/>
      </w:pPr>
      <w:r>
        <w:rPr>
          <w:rFonts w:ascii="宋体" w:hAnsi="宋体" w:eastAsia="宋体" w:cs="宋体"/>
          <w:b/>
        </w:rPr>
        <w:t>7.2.1 报告期末按行业分类的境内股票投资组合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3714"/>
        <w:gridCol w:w="2856"/>
        <w:gridCol w:w="1858"/>
      </w:tblGrid>
      <w:tr w14:paraId="6E2D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0788A499">
            <w:pPr>
              <w:spacing w:line="240" w:lineRule="auto"/>
              <w:jc w:val="center"/>
            </w:pPr>
            <w:r>
              <w:rPr>
                <w:rFonts w:ascii="宋体" w:hAnsi="宋体" w:eastAsia="宋体" w:cs="宋体"/>
                <w:b w:val="0"/>
              </w:rPr>
              <w:t>代码</w:t>
            </w:r>
          </w:p>
        </w:tc>
        <w:tc>
          <w:tcPr>
            <w:tcW w:w="2000" w:type="pct"/>
            <w:shd w:val="clear" w:color="auto" w:fill="D9D9D9"/>
            <w:vAlign w:val="center"/>
          </w:tcPr>
          <w:p w14:paraId="7E3F0351">
            <w:pPr>
              <w:spacing w:line="240" w:lineRule="auto"/>
              <w:jc w:val="center"/>
            </w:pPr>
            <w:r>
              <w:rPr>
                <w:rFonts w:ascii="宋体" w:hAnsi="宋体" w:eastAsia="宋体" w:cs="宋体"/>
                <w:b w:val="0"/>
              </w:rPr>
              <w:t>行业类别</w:t>
            </w:r>
          </w:p>
        </w:tc>
        <w:tc>
          <w:tcPr>
            <w:tcW w:w="1538" w:type="pct"/>
            <w:shd w:val="clear" w:color="auto" w:fill="D9D9D9"/>
            <w:vAlign w:val="center"/>
          </w:tcPr>
          <w:p w14:paraId="13633A93">
            <w:pPr>
              <w:spacing w:line="240" w:lineRule="auto"/>
              <w:jc w:val="center"/>
            </w:pPr>
            <w:r>
              <w:rPr>
                <w:rFonts w:ascii="宋体" w:hAnsi="宋体" w:eastAsia="宋体" w:cs="宋体"/>
                <w:b w:val="0"/>
              </w:rPr>
              <w:t>公允价值（元）</w:t>
            </w:r>
          </w:p>
        </w:tc>
        <w:tc>
          <w:tcPr>
            <w:tcW w:w="1385" w:type="pct"/>
            <w:shd w:val="clear" w:color="auto" w:fill="D9D9D9"/>
            <w:vAlign w:val="center"/>
          </w:tcPr>
          <w:p w14:paraId="39B3006E">
            <w:pPr>
              <w:spacing w:line="240" w:lineRule="auto"/>
              <w:jc w:val="center"/>
            </w:pPr>
            <w:r>
              <w:rPr>
                <w:rFonts w:ascii="宋体" w:hAnsi="宋体" w:eastAsia="宋体" w:cs="宋体"/>
                <w:b w:val="0"/>
              </w:rPr>
              <w:t>占基金资产净值比例(%)</w:t>
            </w:r>
          </w:p>
        </w:tc>
      </w:tr>
      <w:tr w14:paraId="0C97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F4671E">
            <w:pPr>
              <w:spacing w:line="240" w:lineRule="auto"/>
              <w:jc w:val="center"/>
            </w:pPr>
            <w:r>
              <w:rPr>
                <w:rFonts w:ascii="宋体" w:hAnsi="宋体" w:eastAsia="宋体" w:cs="宋体"/>
                <w:b w:val="0"/>
              </w:rPr>
              <w:t>A</w:t>
            </w:r>
          </w:p>
        </w:tc>
        <w:tc>
          <w:tcPr>
            <w:tcW w:w="0" w:type="dxa"/>
            <w:vAlign w:val="center"/>
          </w:tcPr>
          <w:p w14:paraId="08F38B61">
            <w:pPr>
              <w:spacing w:line="240" w:lineRule="auto"/>
              <w:jc w:val="left"/>
            </w:pPr>
            <w:r>
              <w:rPr>
                <w:rFonts w:ascii="宋体" w:hAnsi="宋体" w:eastAsia="宋体" w:cs="宋体"/>
                <w:b w:val="0"/>
              </w:rPr>
              <w:t>农、林、牧、渔业</w:t>
            </w:r>
          </w:p>
        </w:tc>
        <w:tc>
          <w:tcPr>
            <w:tcW w:w="0" w:type="dxa"/>
            <w:vAlign w:val="center"/>
          </w:tcPr>
          <w:p w14:paraId="56F9DDFF">
            <w:pPr>
              <w:spacing w:line="240" w:lineRule="auto"/>
              <w:jc w:val="right"/>
            </w:pPr>
            <w:r>
              <w:rPr>
                <w:rFonts w:ascii="宋体" w:hAnsi="宋体" w:eastAsia="宋体" w:cs="宋体"/>
                <w:b w:val="0"/>
              </w:rPr>
              <w:t>-</w:t>
            </w:r>
          </w:p>
        </w:tc>
        <w:tc>
          <w:tcPr>
            <w:tcW w:w="0" w:type="dxa"/>
            <w:vAlign w:val="center"/>
          </w:tcPr>
          <w:p w14:paraId="0B1174FF">
            <w:pPr>
              <w:spacing w:line="240" w:lineRule="auto"/>
              <w:jc w:val="right"/>
            </w:pPr>
            <w:r>
              <w:rPr>
                <w:rFonts w:ascii="宋体" w:hAnsi="宋体" w:eastAsia="宋体" w:cs="宋体"/>
                <w:b w:val="0"/>
              </w:rPr>
              <w:t>-</w:t>
            </w:r>
          </w:p>
        </w:tc>
      </w:tr>
      <w:tr w14:paraId="2E57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1B6CAE">
            <w:pPr>
              <w:spacing w:line="240" w:lineRule="auto"/>
              <w:jc w:val="center"/>
            </w:pPr>
            <w:r>
              <w:rPr>
                <w:rFonts w:ascii="宋体" w:hAnsi="宋体" w:eastAsia="宋体" w:cs="宋体"/>
                <w:b w:val="0"/>
              </w:rPr>
              <w:t>B</w:t>
            </w:r>
          </w:p>
        </w:tc>
        <w:tc>
          <w:tcPr>
            <w:tcW w:w="0" w:type="dxa"/>
            <w:vAlign w:val="center"/>
          </w:tcPr>
          <w:p w14:paraId="157D893E">
            <w:pPr>
              <w:spacing w:line="240" w:lineRule="auto"/>
              <w:jc w:val="left"/>
            </w:pPr>
            <w:r>
              <w:rPr>
                <w:rFonts w:ascii="宋体" w:hAnsi="宋体" w:eastAsia="宋体" w:cs="宋体"/>
                <w:b w:val="0"/>
              </w:rPr>
              <w:t>采矿业</w:t>
            </w:r>
          </w:p>
        </w:tc>
        <w:tc>
          <w:tcPr>
            <w:tcW w:w="0" w:type="dxa"/>
            <w:vAlign w:val="center"/>
          </w:tcPr>
          <w:p w14:paraId="1B818B15">
            <w:pPr>
              <w:spacing w:line="240" w:lineRule="auto"/>
              <w:jc w:val="right"/>
            </w:pPr>
            <w:r>
              <w:rPr>
                <w:rFonts w:ascii="宋体" w:hAnsi="宋体" w:eastAsia="宋体" w:cs="宋体"/>
                <w:b w:val="0"/>
              </w:rPr>
              <w:t>-</w:t>
            </w:r>
          </w:p>
        </w:tc>
        <w:tc>
          <w:tcPr>
            <w:tcW w:w="0" w:type="dxa"/>
            <w:vAlign w:val="center"/>
          </w:tcPr>
          <w:p w14:paraId="65A9C08D">
            <w:pPr>
              <w:spacing w:line="240" w:lineRule="auto"/>
              <w:jc w:val="right"/>
            </w:pPr>
            <w:r>
              <w:rPr>
                <w:rFonts w:ascii="宋体" w:hAnsi="宋体" w:eastAsia="宋体" w:cs="宋体"/>
                <w:b w:val="0"/>
              </w:rPr>
              <w:t>-</w:t>
            </w:r>
          </w:p>
        </w:tc>
      </w:tr>
      <w:tr w14:paraId="3AD2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F26AF1">
            <w:pPr>
              <w:spacing w:line="240" w:lineRule="auto"/>
              <w:jc w:val="center"/>
            </w:pPr>
            <w:r>
              <w:rPr>
                <w:rFonts w:ascii="宋体" w:hAnsi="宋体" w:eastAsia="宋体" w:cs="宋体"/>
                <w:b w:val="0"/>
              </w:rPr>
              <w:t>C</w:t>
            </w:r>
          </w:p>
        </w:tc>
        <w:tc>
          <w:tcPr>
            <w:tcW w:w="0" w:type="dxa"/>
            <w:vAlign w:val="center"/>
          </w:tcPr>
          <w:p w14:paraId="6B6D0424">
            <w:pPr>
              <w:spacing w:line="240" w:lineRule="auto"/>
              <w:jc w:val="left"/>
            </w:pPr>
            <w:r>
              <w:rPr>
                <w:rFonts w:ascii="宋体" w:hAnsi="宋体" w:eastAsia="宋体" w:cs="宋体"/>
                <w:b w:val="0"/>
              </w:rPr>
              <w:t>制造业</w:t>
            </w:r>
          </w:p>
        </w:tc>
        <w:tc>
          <w:tcPr>
            <w:tcW w:w="0" w:type="dxa"/>
            <w:vAlign w:val="center"/>
          </w:tcPr>
          <w:p w14:paraId="72A1E5F2">
            <w:pPr>
              <w:spacing w:line="240" w:lineRule="auto"/>
              <w:jc w:val="right"/>
            </w:pPr>
            <w:r>
              <w:rPr>
                <w:rFonts w:ascii="宋体" w:hAnsi="宋体" w:eastAsia="宋体" w:cs="宋体"/>
                <w:b w:val="0"/>
              </w:rPr>
              <w:t>1,853,513.00</w:t>
            </w:r>
          </w:p>
        </w:tc>
        <w:tc>
          <w:tcPr>
            <w:tcW w:w="0" w:type="dxa"/>
            <w:vAlign w:val="center"/>
          </w:tcPr>
          <w:p w14:paraId="6233D2AC">
            <w:pPr>
              <w:spacing w:line="240" w:lineRule="auto"/>
              <w:jc w:val="right"/>
            </w:pPr>
            <w:r>
              <w:rPr>
                <w:rFonts w:ascii="宋体" w:hAnsi="宋体" w:eastAsia="宋体" w:cs="宋体"/>
                <w:b w:val="0"/>
              </w:rPr>
              <w:t>16.76</w:t>
            </w:r>
          </w:p>
        </w:tc>
      </w:tr>
      <w:tr w14:paraId="3058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194DF0">
            <w:pPr>
              <w:spacing w:line="240" w:lineRule="auto"/>
              <w:jc w:val="center"/>
            </w:pPr>
            <w:r>
              <w:rPr>
                <w:rFonts w:ascii="宋体" w:hAnsi="宋体" w:eastAsia="宋体" w:cs="宋体"/>
                <w:b w:val="0"/>
              </w:rPr>
              <w:t>D</w:t>
            </w:r>
          </w:p>
        </w:tc>
        <w:tc>
          <w:tcPr>
            <w:tcW w:w="0" w:type="dxa"/>
            <w:vAlign w:val="center"/>
          </w:tcPr>
          <w:p w14:paraId="71D132EA">
            <w:pPr>
              <w:spacing w:line="240" w:lineRule="auto"/>
              <w:jc w:val="left"/>
            </w:pPr>
            <w:r>
              <w:rPr>
                <w:rFonts w:ascii="宋体" w:hAnsi="宋体" w:eastAsia="宋体" w:cs="宋体"/>
                <w:b w:val="0"/>
              </w:rPr>
              <w:t>电力、热力、燃气及水生产和供应业</w:t>
            </w:r>
          </w:p>
        </w:tc>
        <w:tc>
          <w:tcPr>
            <w:tcW w:w="0" w:type="dxa"/>
            <w:vAlign w:val="center"/>
          </w:tcPr>
          <w:p w14:paraId="1F5586C0">
            <w:pPr>
              <w:spacing w:line="240" w:lineRule="auto"/>
              <w:jc w:val="right"/>
            </w:pPr>
            <w:r>
              <w:rPr>
                <w:rFonts w:ascii="宋体" w:hAnsi="宋体" w:eastAsia="宋体" w:cs="宋体"/>
                <w:b w:val="0"/>
              </w:rPr>
              <w:t>-</w:t>
            </w:r>
          </w:p>
        </w:tc>
        <w:tc>
          <w:tcPr>
            <w:tcW w:w="0" w:type="dxa"/>
            <w:vAlign w:val="center"/>
          </w:tcPr>
          <w:p w14:paraId="71B0008F">
            <w:pPr>
              <w:spacing w:line="240" w:lineRule="auto"/>
              <w:jc w:val="right"/>
            </w:pPr>
            <w:r>
              <w:rPr>
                <w:rFonts w:ascii="宋体" w:hAnsi="宋体" w:eastAsia="宋体" w:cs="宋体"/>
                <w:b w:val="0"/>
              </w:rPr>
              <w:t>-</w:t>
            </w:r>
          </w:p>
        </w:tc>
      </w:tr>
      <w:tr w14:paraId="4BAE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CDE0D1">
            <w:pPr>
              <w:spacing w:line="240" w:lineRule="auto"/>
              <w:jc w:val="center"/>
            </w:pPr>
            <w:r>
              <w:rPr>
                <w:rFonts w:ascii="宋体" w:hAnsi="宋体" w:eastAsia="宋体" w:cs="宋体"/>
                <w:b w:val="0"/>
              </w:rPr>
              <w:t>E</w:t>
            </w:r>
          </w:p>
        </w:tc>
        <w:tc>
          <w:tcPr>
            <w:tcW w:w="0" w:type="dxa"/>
            <w:vAlign w:val="center"/>
          </w:tcPr>
          <w:p w14:paraId="6C799A01">
            <w:pPr>
              <w:spacing w:line="240" w:lineRule="auto"/>
              <w:jc w:val="left"/>
            </w:pPr>
            <w:r>
              <w:rPr>
                <w:rFonts w:ascii="宋体" w:hAnsi="宋体" w:eastAsia="宋体" w:cs="宋体"/>
                <w:b w:val="0"/>
              </w:rPr>
              <w:t>建筑业</w:t>
            </w:r>
          </w:p>
        </w:tc>
        <w:tc>
          <w:tcPr>
            <w:tcW w:w="0" w:type="dxa"/>
            <w:vAlign w:val="center"/>
          </w:tcPr>
          <w:p w14:paraId="18B6BC0A">
            <w:pPr>
              <w:spacing w:line="240" w:lineRule="auto"/>
              <w:jc w:val="right"/>
            </w:pPr>
            <w:r>
              <w:rPr>
                <w:rFonts w:ascii="宋体" w:hAnsi="宋体" w:eastAsia="宋体" w:cs="宋体"/>
                <w:b w:val="0"/>
              </w:rPr>
              <w:t>-</w:t>
            </w:r>
          </w:p>
        </w:tc>
        <w:tc>
          <w:tcPr>
            <w:tcW w:w="0" w:type="dxa"/>
            <w:vAlign w:val="center"/>
          </w:tcPr>
          <w:p w14:paraId="381EE70B">
            <w:pPr>
              <w:spacing w:line="240" w:lineRule="auto"/>
              <w:jc w:val="right"/>
            </w:pPr>
            <w:r>
              <w:rPr>
                <w:rFonts w:ascii="宋体" w:hAnsi="宋体" w:eastAsia="宋体" w:cs="宋体"/>
                <w:b w:val="0"/>
              </w:rPr>
              <w:t>-</w:t>
            </w:r>
          </w:p>
        </w:tc>
      </w:tr>
      <w:tr w14:paraId="2311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26668E">
            <w:pPr>
              <w:spacing w:line="240" w:lineRule="auto"/>
              <w:jc w:val="center"/>
            </w:pPr>
            <w:r>
              <w:rPr>
                <w:rFonts w:ascii="宋体" w:hAnsi="宋体" w:eastAsia="宋体" w:cs="宋体"/>
                <w:b w:val="0"/>
              </w:rPr>
              <w:t>F</w:t>
            </w:r>
          </w:p>
        </w:tc>
        <w:tc>
          <w:tcPr>
            <w:tcW w:w="0" w:type="dxa"/>
            <w:vAlign w:val="center"/>
          </w:tcPr>
          <w:p w14:paraId="1C5AA990">
            <w:pPr>
              <w:spacing w:line="240" w:lineRule="auto"/>
              <w:jc w:val="left"/>
            </w:pPr>
            <w:r>
              <w:rPr>
                <w:rFonts w:ascii="宋体" w:hAnsi="宋体" w:eastAsia="宋体" w:cs="宋体"/>
                <w:b w:val="0"/>
              </w:rPr>
              <w:t>批发和零售业</w:t>
            </w:r>
          </w:p>
        </w:tc>
        <w:tc>
          <w:tcPr>
            <w:tcW w:w="0" w:type="dxa"/>
            <w:vAlign w:val="center"/>
          </w:tcPr>
          <w:p w14:paraId="42F937E7">
            <w:pPr>
              <w:spacing w:line="240" w:lineRule="auto"/>
              <w:jc w:val="right"/>
            </w:pPr>
            <w:r>
              <w:rPr>
                <w:rFonts w:ascii="宋体" w:hAnsi="宋体" w:eastAsia="宋体" w:cs="宋体"/>
                <w:b w:val="0"/>
              </w:rPr>
              <w:t>-</w:t>
            </w:r>
          </w:p>
        </w:tc>
        <w:tc>
          <w:tcPr>
            <w:tcW w:w="0" w:type="dxa"/>
            <w:vAlign w:val="center"/>
          </w:tcPr>
          <w:p w14:paraId="3C493BD6">
            <w:pPr>
              <w:spacing w:line="240" w:lineRule="auto"/>
              <w:jc w:val="right"/>
            </w:pPr>
            <w:r>
              <w:rPr>
                <w:rFonts w:ascii="宋体" w:hAnsi="宋体" w:eastAsia="宋体" w:cs="宋体"/>
                <w:b w:val="0"/>
              </w:rPr>
              <w:t>-</w:t>
            </w:r>
          </w:p>
        </w:tc>
      </w:tr>
      <w:tr w14:paraId="5861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A40E2F">
            <w:pPr>
              <w:spacing w:line="240" w:lineRule="auto"/>
              <w:jc w:val="center"/>
            </w:pPr>
            <w:r>
              <w:rPr>
                <w:rFonts w:ascii="宋体" w:hAnsi="宋体" w:eastAsia="宋体" w:cs="宋体"/>
                <w:b w:val="0"/>
              </w:rPr>
              <w:t>G</w:t>
            </w:r>
          </w:p>
        </w:tc>
        <w:tc>
          <w:tcPr>
            <w:tcW w:w="0" w:type="dxa"/>
            <w:vAlign w:val="center"/>
          </w:tcPr>
          <w:p w14:paraId="6E9680CC">
            <w:pPr>
              <w:spacing w:line="240" w:lineRule="auto"/>
              <w:jc w:val="left"/>
            </w:pPr>
            <w:r>
              <w:rPr>
                <w:rFonts w:ascii="宋体" w:hAnsi="宋体" w:eastAsia="宋体" w:cs="宋体"/>
                <w:b w:val="0"/>
              </w:rPr>
              <w:t>交通运输、仓储和邮政业</w:t>
            </w:r>
          </w:p>
        </w:tc>
        <w:tc>
          <w:tcPr>
            <w:tcW w:w="0" w:type="dxa"/>
            <w:vAlign w:val="center"/>
          </w:tcPr>
          <w:p w14:paraId="35A8D4E7">
            <w:pPr>
              <w:spacing w:line="240" w:lineRule="auto"/>
              <w:jc w:val="right"/>
            </w:pPr>
            <w:r>
              <w:rPr>
                <w:rFonts w:ascii="宋体" w:hAnsi="宋体" w:eastAsia="宋体" w:cs="宋体"/>
                <w:b w:val="0"/>
              </w:rPr>
              <w:t>-</w:t>
            </w:r>
          </w:p>
        </w:tc>
        <w:tc>
          <w:tcPr>
            <w:tcW w:w="0" w:type="dxa"/>
            <w:vAlign w:val="center"/>
          </w:tcPr>
          <w:p w14:paraId="101CF41C">
            <w:pPr>
              <w:spacing w:line="240" w:lineRule="auto"/>
              <w:jc w:val="right"/>
            </w:pPr>
            <w:r>
              <w:rPr>
                <w:rFonts w:ascii="宋体" w:hAnsi="宋体" w:eastAsia="宋体" w:cs="宋体"/>
                <w:b w:val="0"/>
              </w:rPr>
              <w:t>-</w:t>
            </w:r>
          </w:p>
        </w:tc>
      </w:tr>
      <w:tr w14:paraId="3104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B1752E">
            <w:pPr>
              <w:spacing w:line="240" w:lineRule="auto"/>
              <w:jc w:val="center"/>
            </w:pPr>
            <w:r>
              <w:rPr>
                <w:rFonts w:ascii="宋体" w:hAnsi="宋体" w:eastAsia="宋体" w:cs="宋体"/>
                <w:b w:val="0"/>
              </w:rPr>
              <w:t>H</w:t>
            </w:r>
          </w:p>
        </w:tc>
        <w:tc>
          <w:tcPr>
            <w:tcW w:w="0" w:type="dxa"/>
            <w:vAlign w:val="center"/>
          </w:tcPr>
          <w:p w14:paraId="66EA62EB">
            <w:pPr>
              <w:spacing w:line="240" w:lineRule="auto"/>
              <w:jc w:val="left"/>
            </w:pPr>
            <w:r>
              <w:rPr>
                <w:rFonts w:ascii="宋体" w:hAnsi="宋体" w:eastAsia="宋体" w:cs="宋体"/>
                <w:b w:val="0"/>
              </w:rPr>
              <w:t>住宿和餐饮业</w:t>
            </w:r>
          </w:p>
        </w:tc>
        <w:tc>
          <w:tcPr>
            <w:tcW w:w="0" w:type="dxa"/>
            <w:vAlign w:val="center"/>
          </w:tcPr>
          <w:p w14:paraId="052D7468">
            <w:pPr>
              <w:spacing w:line="240" w:lineRule="auto"/>
              <w:jc w:val="right"/>
            </w:pPr>
            <w:r>
              <w:rPr>
                <w:rFonts w:ascii="宋体" w:hAnsi="宋体" w:eastAsia="宋体" w:cs="宋体"/>
                <w:b w:val="0"/>
              </w:rPr>
              <w:t>-</w:t>
            </w:r>
          </w:p>
        </w:tc>
        <w:tc>
          <w:tcPr>
            <w:tcW w:w="0" w:type="dxa"/>
            <w:vAlign w:val="center"/>
          </w:tcPr>
          <w:p w14:paraId="47EA6398">
            <w:pPr>
              <w:spacing w:line="240" w:lineRule="auto"/>
              <w:jc w:val="right"/>
            </w:pPr>
            <w:r>
              <w:rPr>
                <w:rFonts w:ascii="宋体" w:hAnsi="宋体" w:eastAsia="宋体" w:cs="宋体"/>
                <w:b w:val="0"/>
              </w:rPr>
              <w:t>-</w:t>
            </w:r>
          </w:p>
        </w:tc>
      </w:tr>
      <w:tr w14:paraId="0E1A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EEFDA7">
            <w:pPr>
              <w:spacing w:line="240" w:lineRule="auto"/>
              <w:jc w:val="center"/>
            </w:pPr>
            <w:r>
              <w:rPr>
                <w:rFonts w:ascii="宋体" w:hAnsi="宋体" w:eastAsia="宋体" w:cs="宋体"/>
                <w:b w:val="0"/>
              </w:rPr>
              <w:t>I</w:t>
            </w:r>
          </w:p>
        </w:tc>
        <w:tc>
          <w:tcPr>
            <w:tcW w:w="0" w:type="dxa"/>
            <w:vAlign w:val="center"/>
          </w:tcPr>
          <w:p w14:paraId="5ABCD04E">
            <w:pPr>
              <w:spacing w:line="240" w:lineRule="auto"/>
              <w:jc w:val="left"/>
            </w:pPr>
            <w:r>
              <w:rPr>
                <w:rFonts w:ascii="宋体" w:hAnsi="宋体" w:eastAsia="宋体" w:cs="宋体"/>
                <w:b w:val="0"/>
              </w:rPr>
              <w:t>信息传输、软件和信息技术服务业</w:t>
            </w:r>
          </w:p>
        </w:tc>
        <w:tc>
          <w:tcPr>
            <w:tcW w:w="0" w:type="dxa"/>
            <w:vAlign w:val="center"/>
          </w:tcPr>
          <w:p w14:paraId="69B14DD6">
            <w:pPr>
              <w:spacing w:line="240" w:lineRule="auto"/>
              <w:jc w:val="right"/>
            </w:pPr>
            <w:r>
              <w:rPr>
                <w:rFonts w:ascii="宋体" w:hAnsi="宋体" w:eastAsia="宋体" w:cs="宋体"/>
                <w:b w:val="0"/>
              </w:rPr>
              <w:t>-</w:t>
            </w:r>
          </w:p>
        </w:tc>
        <w:tc>
          <w:tcPr>
            <w:tcW w:w="0" w:type="dxa"/>
            <w:vAlign w:val="center"/>
          </w:tcPr>
          <w:p w14:paraId="27B8CF93">
            <w:pPr>
              <w:spacing w:line="240" w:lineRule="auto"/>
              <w:jc w:val="right"/>
            </w:pPr>
            <w:r>
              <w:rPr>
                <w:rFonts w:ascii="宋体" w:hAnsi="宋体" w:eastAsia="宋体" w:cs="宋体"/>
                <w:b w:val="0"/>
              </w:rPr>
              <w:t>-</w:t>
            </w:r>
          </w:p>
        </w:tc>
      </w:tr>
      <w:tr w14:paraId="4A08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ACFF95">
            <w:pPr>
              <w:spacing w:line="240" w:lineRule="auto"/>
              <w:jc w:val="center"/>
            </w:pPr>
            <w:r>
              <w:rPr>
                <w:rFonts w:ascii="宋体" w:hAnsi="宋体" w:eastAsia="宋体" w:cs="宋体"/>
                <w:b w:val="0"/>
              </w:rPr>
              <w:t>J</w:t>
            </w:r>
          </w:p>
        </w:tc>
        <w:tc>
          <w:tcPr>
            <w:tcW w:w="0" w:type="dxa"/>
            <w:vAlign w:val="center"/>
          </w:tcPr>
          <w:p w14:paraId="77A8A3AC">
            <w:pPr>
              <w:spacing w:line="240" w:lineRule="auto"/>
              <w:jc w:val="left"/>
            </w:pPr>
            <w:r>
              <w:rPr>
                <w:rFonts w:ascii="宋体" w:hAnsi="宋体" w:eastAsia="宋体" w:cs="宋体"/>
                <w:b w:val="0"/>
              </w:rPr>
              <w:t>金融业</w:t>
            </w:r>
          </w:p>
        </w:tc>
        <w:tc>
          <w:tcPr>
            <w:tcW w:w="0" w:type="dxa"/>
            <w:vAlign w:val="center"/>
          </w:tcPr>
          <w:p w14:paraId="472875DA">
            <w:pPr>
              <w:spacing w:line="240" w:lineRule="auto"/>
              <w:jc w:val="right"/>
            </w:pPr>
            <w:r>
              <w:rPr>
                <w:rFonts w:ascii="宋体" w:hAnsi="宋体" w:eastAsia="宋体" w:cs="宋体"/>
                <w:b w:val="0"/>
              </w:rPr>
              <w:t>-</w:t>
            </w:r>
          </w:p>
        </w:tc>
        <w:tc>
          <w:tcPr>
            <w:tcW w:w="0" w:type="dxa"/>
            <w:vAlign w:val="center"/>
          </w:tcPr>
          <w:p w14:paraId="644BE6D6">
            <w:pPr>
              <w:spacing w:line="240" w:lineRule="auto"/>
              <w:jc w:val="right"/>
            </w:pPr>
            <w:r>
              <w:rPr>
                <w:rFonts w:ascii="宋体" w:hAnsi="宋体" w:eastAsia="宋体" w:cs="宋体"/>
                <w:b w:val="0"/>
              </w:rPr>
              <w:t>-</w:t>
            </w:r>
          </w:p>
        </w:tc>
      </w:tr>
      <w:tr w14:paraId="4842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20441D">
            <w:pPr>
              <w:spacing w:line="240" w:lineRule="auto"/>
              <w:jc w:val="center"/>
            </w:pPr>
            <w:r>
              <w:rPr>
                <w:rFonts w:ascii="宋体" w:hAnsi="宋体" w:eastAsia="宋体" w:cs="宋体"/>
                <w:b w:val="0"/>
              </w:rPr>
              <w:t>K</w:t>
            </w:r>
          </w:p>
        </w:tc>
        <w:tc>
          <w:tcPr>
            <w:tcW w:w="0" w:type="dxa"/>
            <w:vAlign w:val="center"/>
          </w:tcPr>
          <w:p w14:paraId="2BA10FA4">
            <w:pPr>
              <w:spacing w:line="240" w:lineRule="auto"/>
              <w:jc w:val="left"/>
            </w:pPr>
            <w:r>
              <w:rPr>
                <w:rFonts w:ascii="宋体" w:hAnsi="宋体" w:eastAsia="宋体" w:cs="宋体"/>
                <w:b w:val="0"/>
              </w:rPr>
              <w:t>房地产业</w:t>
            </w:r>
          </w:p>
        </w:tc>
        <w:tc>
          <w:tcPr>
            <w:tcW w:w="0" w:type="dxa"/>
            <w:vAlign w:val="center"/>
          </w:tcPr>
          <w:p w14:paraId="4A4AAE63">
            <w:pPr>
              <w:spacing w:line="240" w:lineRule="auto"/>
              <w:jc w:val="right"/>
            </w:pPr>
            <w:r>
              <w:rPr>
                <w:rFonts w:ascii="宋体" w:hAnsi="宋体" w:eastAsia="宋体" w:cs="宋体"/>
                <w:b w:val="0"/>
              </w:rPr>
              <w:t>-</w:t>
            </w:r>
          </w:p>
        </w:tc>
        <w:tc>
          <w:tcPr>
            <w:tcW w:w="0" w:type="dxa"/>
            <w:vAlign w:val="center"/>
          </w:tcPr>
          <w:p w14:paraId="531FE763">
            <w:pPr>
              <w:spacing w:line="240" w:lineRule="auto"/>
              <w:jc w:val="right"/>
            </w:pPr>
            <w:r>
              <w:rPr>
                <w:rFonts w:ascii="宋体" w:hAnsi="宋体" w:eastAsia="宋体" w:cs="宋体"/>
                <w:b w:val="0"/>
              </w:rPr>
              <w:t>-</w:t>
            </w:r>
          </w:p>
        </w:tc>
      </w:tr>
      <w:tr w14:paraId="0DC5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F59987">
            <w:pPr>
              <w:spacing w:line="240" w:lineRule="auto"/>
              <w:jc w:val="center"/>
            </w:pPr>
            <w:r>
              <w:rPr>
                <w:rFonts w:ascii="宋体" w:hAnsi="宋体" w:eastAsia="宋体" w:cs="宋体"/>
                <w:b w:val="0"/>
              </w:rPr>
              <w:t>L</w:t>
            </w:r>
          </w:p>
        </w:tc>
        <w:tc>
          <w:tcPr>
            <w:tcW w:w="0" w:type="dxa"/>
            <w:vAlign w:val="center"/>
          </w:tcPr>
          <w:p w14:paraId="4BBB11F0">
            <w:pPr>
              <w:spacing w:line="240" w:lineRule="auto"/>
              <w:jc w:val="left"/>
            </w:pPr>
            <w:r>
              <w:rPr>
                <w:rFonts w:ascii="宋体" w:hAnsi="宋体" w:eastAsia="宋体" w:cs="宋体"/>
                <w:b w:val="0"/>
              </w:rPr>
              <w:t>租赁和商务服务业</w:t>
            </w:r>
          </w:p>
        </w:tc>
        <w:tc>
          <w:tcPr>
            <w:tcW w:w="0" w:type="dxa"/>
            <w:vAlign w:val="center"/>
          </w:tcPr>
          <w:p w14:paraId="069B4981">
            <w:pPr>
              <w:spacing w:line="240" w:lineRule="auto"/>
              <w:jc w:val="right"/>
            </w:pPr>
            <w:r>
              <w:rPr>
                <w:rFonts w:ascii="宋体" w:hAnsi="宋体" w:eastAsia="宋体" w:cs="宋体"/>
                <w:b w:val="0"/>
              </w:rPr>
              <w:t>-</w:t>
            </w:r>
          </w:p>
        </w:tc>
        <w:tc>
          <w:tcPr>
            <w:tcW w:w="0" w:type="dxa"/>
            <w:vAlign w:val="center"/>
          </w:tcPr>
          <w:p w14:paraId="0F488B9E">
            <w:pPr>
              <w:spacing w:line="240" w:lineRule="auto"/>
              <w:jc w:val="right"/>
            </w:pPr>
            <w:r>
              <w:rPr>
                <w:rFonts w:ascii="宋体" w:hAnsi="宋体" w:eastAsia="宋体" w:cs="宋体"/>
                <w:b w:val="0"/>
              </w:rPr>
              <w:t>-</w:t>
            </w:r>
          </w:p>
        </w:tc>
      </w:tr>
      <w:tr w14:paraId="3F4B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CFD813">
            <w:pPr>
              <w:spacing w:line="240" w:lineRule="auto"/>
              <w:jc w:val="center"/>
            </w:pPr>
            <w:r>
              <w:rPr>
                <w:rFonts w:ascii="宋体" w:hAnsi="宋体" w:eastAsia="宋体" w:cs="宋体"/>
                <w:b w:val="0"/>
              </w:rPr>
              <w:t>M</w:t>
            </w:r>
          </w:p>
        </w:tc>
        <w:tc>
          <w:tcPr>
            <w:tcW w:w="0" w:type="dxa"/>
            <w:vAlign w:val="center"/>
          </w:tcPr>
          <w:p w14:paraId="4E9DAEF6">
            <w:pPr>
              <w:spacing w:line="240" w:lineRule="auto"/>
              <w:jc w:val="left"/>
            </w:pPr>
            <w:r>
              <w:rPr>
                <w:rFonts w:ascii="宋体" w:hAnsi="宋体" w:eastAsia="宋体" w:cs="宋体"/>
                <w:b w:val="0"/>
              </w:rPr>
              <w:t>科学研究和技术服务业</w:t>
            </w:r>
          </w:p>
        </w:tc>
        <w:tc>
          <w:tcPr>
            <w:tcW w:w="0" w:type="dxa"/>
            <w:vAlign w:val="center"/>
          </w:tcPr>
          <w:p w14:paraId="3606EB91">
            <w:pPr>
              <w:spacing w:line="240" w:lineRule="auto"/>
              <w:jc w:val="right"/>
            </w:pPr>
            <w:r>
              <w:rPr>
                <w:rFonts w:ascii="宋体" w:hAnsi="宋体" w:eastAsia="宋体" w:cs="宋体"/>
                <w:b w:val="0"/>
              </w:rPr>
              <w:t>-</w:t>
            </w:r>
          </w:p>
        </w:tc>
        <w:tc>
          <w:tcPr>
            <w:tcW w:w="0" w:type="dxa"/>
            <w:vAlign w:val="center"/>
          </w:tcPr>
          <w:p w14:paraId="1CC9BF7A">
            <w:pPr>
              <w:spacing w:line="240" w:lineRule="auto"/>
              <w:jc w:val="right"/>
            </w:pPr>
            <w:r>
              <w:rPr>
                <w:rFonts w:ascii="宋体" w:hAnsi="宋体" w:eastAsia="宋体" w:cs="宋体"/>
                <w:b w:val="0"/>
              </w:rPr>
              <w:t>-</w:t>
            </w:r>
          </w:p>
        </w:tc>
      </w:tr>
      <w:tr w14:paraId="0202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1EC956">
            <w:pPr>
              <w:spacing w:line="240" w:lineRule="auto"/>
              <w:jc w:val="center"/>
            </w:pPr>
            <w:r>
              <w:rPr>
                <w:rFonts w:ascii="宋体" w:hAnsi="宋体" w:eastAsia="宋体" w:cs="宋体"/>
                <w:b w:val="0"/>
              </w:rPr>
              <w:t>N</w:t>
            </w:r>
          </w:p>
        </w:tc>
        <w:tc>
          <w:tcPr>
            <w:tcW w:w="0" w:type="dxa"/>
            <w:vAlign w:val="center"/>
          </w:tcPr>
          <w:p w14:paraId="6B5E6E7E">
            <w:pPr>
              <w:spacing w:line="240" w:lineRule="auto"/>
              <w:jc w:val="left"/>
            </w:pPr>
            <w:r>
              <w:rPr>
                <w:rFonts w:ascii="宋体" w:hAnsi="宋体" w:eastAsia="宋体" w:cs="宋体"/>
                <w:b w:val="0"/>
              </w:rPr>
              <w:t>水利、环境和公共设施管理业</w:t>
            </w:r>
          </w:p>
        </w:tc>
        <w:tc>
          <w:tcPr>
            <w:tcW w:w="0" w:type="dxa"/>
            <w:vAlign w:val="center"/>
          </w:tcPr>
          <w:p w14:paraId="0C2B3FCC">
            <w:pPr>
              <w:spacing w:line="240" w:lineRule="auto"/>
              <w:jc w:val="right"/>
            </w:pPr>
            <w:r>
              <w:rPr>
                <w:rFonts w:ascii="宋体" w:hAnsi="宋体" w:eastAsia="宋体" w:cs="宋体"/>
                <w:b w:val="0"/>
              </w:rPr>
              <w:t>-</w:t>
            </w:r>
          </w:p>
        </w:tc>
        <w:tc>
          <w:tcPr>
            <w:tcW w:w="0" w:type="dxa"/>
            <w:vAlign w:val="center"/>
          </w:tcPr>
          <w:p w14:paraId="009DB212">
            <w:pPr>
              <w:spacing w:line="240" w:lineRule="auto"/>
              <w:jc w:val="right"/>
            </w:pPr>
            <w:r>
              <w:rPr>
                <w:rFonts w:ascii="宋体" w:hAnsi="宋体" w:eastAsia="宋体" w:cs="宋体"/>
                <w:b w:val="0"/>
              </w:rPr>
              <w:t>-</w:t>
            </w:r>
          </w:p>
        </w:tc>
      </w:tr>
      <w:tr w14:paraId="082E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778DB7">
            <w:pPr>
              <w:spacing w:line="240" w:lineRule="auto"/>
              <w:jc w:val="center"/>
            </w:pPr>
            <w:r>
              <w:rPr>
                <w:rFonts w:ascii="宋体" w:hAnsi="宋体" w:eastAsia="宋体" w:cs="宋体"/>
                <w:b w:val="0"/>
              </w:rPr>
              <w:t>O</w:t>
            </w:r>
          </w:p>
        </w:tc>
        <w:tc>
          <w:tcPr>
            <w:tcW w:w="0" w:type="dxa"/>
            <w:vAlign w:val="center"/>
          </w:tcPr>
          <w:p w14:paraId="4796368D">
            <w:pPr>
              <w:spacing w:line="240" w:lineRule="auto"/>
              <w:jc w:val="left"/>
            </w:pPr>
            <w:r>
              <w:rPr>
                <w:rFonts w:ascii="宋体" w:hAnsi="宋体" w:eastAsia="宋体" w:cs="宋体"/>
                <w:b w:val="0"/>
              </w:rPr>
              <w:t>居民服务、修理和其他服务业</w:t>
            </w:r>
          </w:p>
        </w:tc>
        <w:tc>
          <w:tcPr>
            <w:tcW w:w="0" w:type="dxa"/>
            <w:vAlign w:val="center"/>
          </w:tcPr>
          <w:p w14:paraId="2B2D3B0D">
            <w:pPr>
              <w:spacing w:line="240" w:lineRule="auto"/>
              <w:jc w:val="right"/>
            </w:pPr>
            <w:r>
              <w:rPr>
                <w:rFonts w:ascii="宋体" w:hAnsi="宋体" w:eastAsia="宋体" w:cs="宋体"/>
                <w:b w:val="0"/>
              </w:rPr>
              <w:t>-</w:t>
            </w:r>
          </w:p>
        </w:tc>
        <w:tc>
          <w:tcPr>
            <w:tcW w:w="0" w:type="dxa"/>
            <w:vAlign w:val="center"/>
          </w:tcPr>
          <w:p w14:paraId="216A8C52">
            <w:pPr>
              <w:spacing w:line="240" w:lineRule="auto"/>
              <w:jc w:val="right"/>
            </w:pPr>
            <w:r>
              <w:rPr>
                <w:rFonts w:ascii="宋体" w:hAnsi="宋体" w:eastAsia="宋体" w:cs="宋体"/>
                <w:b w:val="0"/>
              </w:rPr>
              <w:t>-</w:t>
            </w:r>
          </w:p>
        </w:tc>
      </w:tr>
      <w:tr w14:paraId="3D51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58F29C">
            <w:pPr>
              <w:spacing w:line="240" w:lineRule="auto"/>
              <w:jc w:val="center"/>
            </w:pPr>
            <w:r>
              <w:rPr>
                <w:rFonts w:ascii="宋体" w:hAnsi="宋体" w:eastAsia="宋体" w:cs="宋体"/>
                <w:b w:val="0"/>
              </w:rPr>
              <w:t>P</w:t>
            </w:r>
          </w:p>
        </w:tc>
        <w:tc>
          <w:tcPr>
            <w:tcW w:w="0" w:type="dxa"/>
            <w:vAlign w:val="center"/>
          </w:tcPr>
          <w:p w14:paraId="674E9552">
            <w:pPr>
              <w:spacing w:line="240" w:lineRule="auto"/>
              <w:jc w:val="left"/>
            </w:pPr>
            <w:r>
              <w:rPr>
                <w:rFonts w:ascii="宋体" w:hAnsi="宋体" w:eastAsia="宋体" w:cs="宋体"/>
                <w:b w:val="0"/>
              </w:rPr>
              <w:t>教育</w:t>
            </w:r>
          </w:p>
        </w:tc>
        <w:tc>
          <w:tcPr>
            <w:tcW w:w="0" w:type="dxa"/>
            <w:vAlign w:val="center"/>
          </w:tcPr>
          <w:p w14:paraId="69A21555">
            <w:pPr>
              <w:spacing w:line="240" w:lineRule="auto"/>
              <w:jc w:val="right"/>
            </w:pPr>
            <w:r>
              <w:rPr>
                <w:rFonts w:ascii="宋体" w:hAnsi="宋体" w:eastAsia="宋体" w:cs="宋体"/>
                <w:b w:val="0"/>
              </w:rPr>
              <w:t>-</w:t>
            </w:r>
          </w:p>
        </w:tc>
        <w:tc>
          <w:tcPr>
            <w:tcW w:w="0" w:type="dxa"/>
            <w:vAlign w:val="center"/>
          </w:tcPr>
          <w:p w14:paraId="275FAC0D">
            <w:pPr>
              <w:spacing w:line="240" w:lineRule="auto"/>
              <w:jc w:val="right"/>
            </w:pPr>
            <w:r>
              <w:rPr>
                <w:rFonts w:ascii="宋体" w:hAnsi="宋体" w:eastAsia="宋体" w:cs="宋体"/>
                <w:b w:val="0"/>
              </w:rPr>
              <w:t>-</w:t>
            </w:r>
          </w:p>
        </w:tc>
      </w:tr>
      <w:tr w14:paraId="15E4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D94457">
            <w:pPr>
              <w:spacing w:line="240" w:lineRule="auto"/>
              <w:jc w:val="center"/>
            </w:pPr>
            <w:r>
              <w:rPr>
                <w:rFonts w:ascii="宋体" w:hAnsi="宋体" w:eastAsia="宋体" w:cs="宋体"/>
                <w:b w:val="0"/>
              </w:rPr>
              <w:t>Q</w:t>
            </w:r>
          </w:p>
        </w:tc>
        <w:tc>
          <w:tcPr>
            <w:tcW w:w="0" w:type="dxa"/>
            <w:vAlign w:val="center"/>
          </w:tcPr>
          <w:p w14:paraId="6AB48493">
            <w:pPr>
              <w:spacing w:line="240" w:lineRule="auto"/>
              <w:jc w:val="left"/>
            </w:pPr>
            <w:r>
              <w:rPr>
                <w:rFonts w:ascii="宋体" w:hAnsi="宋体" w:eastAsia="宋体" w:cs="宋体"/>
                <w:b w:val="0"/>
              </w:rPr>
              <w:t>卫生和社会工作</w:t>
            </w:r>
          </w:p>
        </w:tc>
        <w:tc>
          <w:tcPr>
            <w:tcW w:w="0" w:type="dxa"/>
            <w:vAlign w:val="center"/>
          </w:tcPr>
          <w:p w14:paraId="6A6E22F6">
            <w:pPr>
              <w:spacing w:line="240" w:lineRule="auto"/>
              <w:jc w:val="right"/>
            </w:pPr>
            <w:r>
              <w:rPr>
                <w:rFonts w:ascii="宋体" w:hAnsi="宋体" w:eastAsia="宋体" w:cs="宋体"/>
                <w:b w:val="0"/>
              </w:rPr>
              <w:t>-</w:t>
            </w:r>
          </w:p>
        </w:tc>
        <w:tc>
          <w:tcPr>
            <w:tcW w:w="0" w:type="dxa"/>
            <w:vAlign w:val="center"/>
          </w:tcPr>
          <w:p w14:paraId="1FB0AD4D">
            <w:pPr>
              <w:spacing w:line="240" w:lineRule="auto"/>
              <w:jc w:val="right"/>
            </w:pPr>
            <w:r>
              <w:rPr>
                <w:rFonts w:ascii="宋体" w:hAnsi="宋体" w:eastAsia="宋体" w:cs="宋体"/>
                <w:b w:val="0"/>
              </w:rPr>
              <w:t>-</w:t>
            </w:r>
          </w:p>
        </w:tc>
      </w:tr>
      <w:tr w14:paraId="00F9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6BB371">
            <w:pPr>
              <w:spacing w:line="240" w:lineRule="auto"/>
              <w:jc w:val="center"/>
            </w:pPr>
            <w:r>
              <w:rPr>
                <w:rFonts w:ascii="宋体" w:hAnsi="宋体" w:eastAsia="宋体" w:cs="宋体"/>
                <w:b w:val="0"/>
              </w:rPr>
              <w:t>R</w:t>
            </w:r>
          </w:p>
        </w:tc>
        <w:tc>
          <w:tcPr>
            <w:tcW w:w="0" w:type="dxa"/>
            <w:vAlign w:val="center"/>
          </w:tcPr>
          <w:p w14:paraId="69389E88">
            <w:pPr>
              <w:spacing w:line="240" w:lineRule="auto"/>
              <w:jc w:val="left"/>
            </w:pPr>
            <w:r>
              <w:rPr>
                <w:rFonts w:ascii="宋体" w:hAnsi="宋体" w:eastAsia="宋体" w:cs="宋体"/>
                <w:b w:val="0"/>
              </w:rPr>
              <w:t>文化、体育和娱乐业</w:t>
            </w:r>
          </w:p>
        </w:tc>
        <w:tc>
          <w:tcPr>
            <w:tcW w:w="0" w:type="dxa"/>
            <w:vAlign w:val="center"/>
          </w:tcPr>
          <w:p w14:paraId="3D0D8BF2">
            <w:pPr>
              <w:spacing w:line="240" w:lineRule="auto"/>
              <w:jc w:val="right"/>
            </w:pPr>
            <w:r>
              <w:rPr>
                <w:rFonts w:ascii="宋体" w:hAnsi="宋体" w:eastAsia="宋体" w:cs="宋体"/>
                <w:b w:val="0"/>
              </w:rPr>
              <w:t>-</w:t>
            </w:r>
          </w:p>
        </w:tc>
        <w:tc>
          <w:tcPr>
            <w:tcW w:w="0" w:type="dxa"/>
            <w:vAlign w:val="center"/>
          </w:tcPr>
          <w:p w14:paraId="1B0E57F7">
            <w:pPr>
              <w:spacing w:line="240" w:lineRule="auto"/>
              <w:jc w:val="right"/>
            </w:pPr>
            <w:r>
              <w:rPr>
                <w:rFonts w:ascii="宋体" w:hAnsi="宋体" w:eastAsia="宋体" w:cs="宋体"/>
                <w:b w:val="0"/>
              </w:rPr>
              <w:t>-</w:t>
            </w:r>
          </w:p>
        </w:tc>
      </w:tr>
      <w:tr w14:paraId="431D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D42E34">
            <w:pPr>
              <w:spacing w:line="240" w:lineRule="auto"/>
              <w:jc w:val="center"/>
            </w:pPr>
            <w:r>
              <w:rPr>
                <w:rFonts w:ascii="宋体" w:hAnsi="宋体" w:eastAsia="宋体" w:cs="宋体"/>
                <w:b w:val="0"/>
              </w:rPr>
              <w:t>S</w:t>
            </w:r>
          </w:p>
        </w:tc>
        <w:tc>
          <w:tcPr>
            <w:tcW w:w="0" w:type="dxa"/>
            <w:vAlign w:val="center"/>
          </w:tcPr>
          <w:p w14:paraId="465FA97B">
            <w:pPr>
              <w:spacing w:line="240" w:lineRule="auto"/>
              <w:jc w:val="left"/>
            </w:pPr>
            <w:r>
              <w:rPr>
                <w:rFonts w:ascii="宋体" w:hAnsi="宋体" w:eastAsia="宋体" w:cs="宋体"/>
                <w:b w:val="0"/>
              </w:rPr>
              <w:t>综合</w:t>
            </w:r>
          </w:p>
        </w:tc>
        <w:tc>
          <w:tcPr>
            <w:tcW w:w="0" w:type="dxa"/>
            <w:vAlign w:val="center"/>
          </w:tcPr>
          <w:p w14:paraId="01DBFA47">
            <w:pPr>
              <w:spacing w:line="240" w:lineRule="auto"/>
              <w:jc w:val="right"/>
            </w:pPr>
            <w:r>
              <w:rPr>
                <w:rFonts w:ascii="宋体" w:hAnsi="宋体" w:eastAsia="宋体" w:cs="宋体"/>
                <w:b w:val="0"/>
              </w:rPr>
              <w:t>-</w:t>
            </w:r>
          </w:p>
        </w:tc>
        <w:tc>
          <w:tcPr>
            <w:tcW w:w="0" w:type="dxa"/>
            <w:vAlign w:val="center"/>
          </w:tcPr>
          <w:p w14:paraId="68BF13C4">
            <w:pPr>
              <w:spacing w:line="240" w:lineRule="auto"/>
              <w:jc w:val="right"/>
            </w:pPr>
            <w:r>
              <w:rPr>
                <w:rFonts w:ascii="宋体" w:hAnsi="宋体" w:eastAsia="宋体" w:cs="宋体"/>
                <w:b w:val="0"/>
              </w:rPr>
              <w:t>-</w:t>
            </w:r>
          </w:p>
        </w:tc>
      </w:tr>
      <w:tr w14:paraId="2CB6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2ADE23">
            <w:pPr>
              <w:spacing w:line="240" w:lineRule="auto"/>
              <w:jc w:val="center"/>
            </w:pPr>
          </w:p>
        </w:tc>
        <w:tc>
          <w:tcPr>
            <w:tcW w:w="0" w:type="dxa"/>
            <w:vAlign w:val="center"/>
          </w:tcPr>
          <w:p w14:paraId="7F7CE5EB">
            <w:pPr>
              <w:spacing w:line="240" w:lineRule="auto"/>
              <w:jc w:val="left"/>
            </w:pPr>
            <w:r>
              <w:rPr>
                <w:rFonts w:ascii="宋体" w:hAnsi="宋体" w:eastAsia="宋体" w:cs="宋体"/>
                <w:b w:val="0"/>
              </w:rPr>
              <w:t>合计</w:t>
            </w:r>
          </w:p>
        </w:tc>
        <w:tc>
          <w:tcPr>
            <w:tcW w:w="0" w:type="dxa"/>
            <w:vAlign w:val="center"/>
          </w:tcPr>
          <w:p w14:paraId="60B6E32A">
            <w:pPr>
              <w:spacing w:line="240" w:lineRule="auto"/>
              <w:jc w:val="right"/>
            </w:pPr>
            <w:r>
              <w:rPr>
                <w:rFonts w:ascii="宋体" w:hAnsi="宋体" w:eastAsia="宋体" w:cs="宋体"/>
                <w:b w:val="0"/>
              </w:rPr>
              <w:t>1,853,513.00</w:t>
            </w:r>
          </w:p>
        </w:tc>
        <w:tc>
          <w:tcPr>
            <w:tcW w:w="0" w:type="dxa"/>
            <w:vAlign w:val="center"/>
          </w:tcPr>
          <w:p w14:paraId="78D69901">
            <w:pPr>
              <w:spacing w:line="240" w:lineRule="auto"/>
              <w:jc w:val="right"/>
            </w:pPr>
            <w:r>
              <w:rPr>
                <w:rFonts w:ascii="宋体" w:hAnsi="宋体" w:eastAsia="宋体" w:cs="宋体"/>
                <w:b w:val="0"/>
              </w:rPr>
              <w:t>16.76</w:t>
            </w:r>
          </w:p>
        </w:tc>
      </w:tr>
    </w:tbl>
    <w:p w14:paraId="37A368B6"/>
    <w:p w14:paraId="0508E793">
      <w:pPr>
        <w:pStyle w:val="58"/>
      </w:pPr>
      <w:r>
        <w:rPr>
          <w:rFonts w:ascii="宋体" w:hAnsi="宋体" w:eastAsia="宋体" w:cs="宋体"/>
          <w:b/>
        </w:rPr>
        <w:t>7.2.2 报告期末按行业分类的港股通投资股票投资组合</w:t>
      </w:r>
    </w:p>
    <w:p w14:paraId="1FA4606F">
      <w:r>
        <w:rPr>
          <w:rFonts w:ascii="宋体" w:hAnsi="宋体" w:eastAsia="宋体" w:cs="宋体"/>
          <w:b w:val="0"/>
        </w:rPr>
        <w:t xml:space="preserve">    本基金本报告期末未持有港股通投资股票投资组合。</w:t>
      </w:r>
    </w:p>
    <w:p w14:paraId="7DA5882F"/>
    <w:p w14:paraId="1E3CC94A">
      <w:pPr>
        <w:pStyle w:val="3"/>
        <w:jc w:val="left"/>
      </w:pPr>
      <w:bookmarkStart w:id="34" w:name="_Toc3715"/>
      <w:r>
        <w:rPr>
          <w:rFonts w:ascii="宋体" w:hAnsi="宋体" w:eastAsia="宋体" w:cs="宋体"/>
        </w:rPr>
        <w:t>7.3 期末按公允价值占基金资产净值比例大小排序的所有股票投资明细</w:t>
      </w:r>
      <w:bookmarkEnd w:id="34"/>
    </w:p>
    <w:p w14:paraId="7F52A833">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547"/>
        <w:gridCol w:w="1548"/>
        <w:gridCol w:w="1238"/>
        <w:gridCol w:w="1548"/>
        <w:gridCol w:w="2168"/>
      </w:tblGrid>
      <w:tr w14:paraId="4F55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004C6298">
            <w:pPr>
              <w:spacing w:line="240" w:lineRule="auto"/>
              <w:jc w:val="center"/>
            </w:pPr>
            <w:r>
              <w:rPr>
                <w:rFonts w:ascii="宋体" w:hAnsi="宋体" w:eastAsia="宋体" w:cs="宋体"/>
                <w:b w:val="0"/>
              </w:rPr>
              <w:t>序号</w:t>
            </w:r>
          </w:p>
        </w:tc>
        <w:tc>
          <w:tcPr>
            <w:tcW w:w="769" w:type="pct"/>
            <w:shd w:val="clear" w:color="auto" w:fill="D9D9D9"/>
            <w:vAlign w:val="center"/>
          </w:tcPr>
          <w:p w14:paraId="20B4CEF3">
            <w:pPr>
              <w:spacing w:line="240" w:lineRule="auto"/>
              <w:jc w:val="center"/>
            </w:pPr>
            <w:r>
              <w:rPr>
                <w:rFonts w:ascii="宋体" w:hAnsi="宋体" w:eastAsia="宋体" w:cs="宋体"/>
                <w:b w:val="0"/>
              </w:rPr>
              <w:t>股票代码</w:t>
            </w:r>
          </w:p>
        </w:tc>
        <w:tc>
          <w:tcPr>
            <w:tcW w:w="769" w:type="pct"/>
            <w:shd w:val="clear" w:color="auto" w:fill="D9D9D9"/>
            <w:vAlign w:val="center"/>
          </w:tcPr>
          <w:p w14:paraId="76A7352A">
            <w:pPr>
              <w:spacing w:line="240" w:lineRule="auto"/>
              <w:jc w:val="center"/>
            </w:pPr>
            <w:r>
              <w:rPr>
                <w:rFonts w:ascii="宋体" w:hAnsi="宋体" w:eastAsia="宋体" w:cs="宋体"/>
                <w:b w:val="0"/>
              </w:rPr>
              <w:t>股票名称</w:t>
            </w:r>
          </w:p>
        </w:tc>
        <w:tc>
          <w:tcPr>
            <w:tcW w:w="615" w:type="pct"/>
            <w:shd w:val="clear" w:color="auto" w:fill="D9D9D9"/>
            <w:vAlign w:val="center"/>
          </w:tcPr>
          <w:p w14:paraId="68AD2AC9">
            <w:pPr>
              <w:spacing w:line="240" w:lineRule="auto"/>
              <w:jc w:val="center"/>
            </w:pPr>
            <w:r>
              <w:rPr>
                <w:rFonts w:ascii="宋体" w:hAnsi="宋体" w:eastAsia="宋体" w:cs="宋体"/>
                <w:b w:val="0"/>
              </w:rPr>
              <w:t>数量(股)</w:t>
            </w:r>
          </w:p>
        </w:tc>
        <w:tc>
          <w:tcPr>
            <w:tcW w:w="769" w:type="pct"/>
            <w:shd w:val="clear" w:color="auto" w:fill="D9D9D9"/>
            <w:vAlign w:val="center"/>
          </w:tcPr>
          <w:p w14:paraId="1CB56EAF">
            <w:pPr>
              <w:spacing w:line="240" w:lineRule="auto"/>
              <w:jc w:val="center"/>
            </w:pPr>
            <w:r>
              <w:rPr>
                <w:rFonts w:ascii="宋体" w:hAnsi="宋体" w:eastAsia="宋体" w:cs="宋体"/>
                <w:b w:val="0"/>
              </w:rPr>
              <w:t>公允价值</w:t>
            </w:r>
          </w:p>
        </w:tc>
        <w:tc>
          <w:tcPr>
            <w:tcW w:w="1077" w:type="pct"/>
            <w:shd w:val="clear" w:color="auto" w:fill="D9D9D9"/>
            <w:vAlign w:val="center"/>
          </w:tcPr>
          <w:p w14:paraId="3CF36C80">
            <w:pPr>
              <w:spacing w:line="240" w:lineRule="auto"/>
              <w:jc w:val="center"/>
            </w:pPr>
            <w:r>
              <w:rPr>
                <w:rFonts w:ascii="宋体" w:hAnsi="宋体" w:eastAsia="宋体" w:cs="宋体"/>
                <w:b w:val="0"/>
              </w:rPr>
              <w:t>占基金资产净值比例(%)</w:t>
            </w:r>
          </w:p>
        </w:tc>
      </w:tr>
      <w:tr w14:paraId="3072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B1FF58">
            <w:pPr>
              <w:spacing w:line="240" w:lineRule="auto"/>
              <w:jc w:val="center"/>
            </w:pPr>
            <w:r>
              <w:rPr>
                <w:rFonts w:ascii="宋体" w:hAnsi="宋体" w:eastAsia="宋体" w:cs="宋体"/>
                <w:b w:val="0"/>
              </w:rPr>
              <w:t>1</w:t>
            </w:r>
          </w:p>
        </w:tc>
        <w:tc>
          <w:tcPr>
            <w:tcW w:w="0" w:type="dxa"/>
            <w:vAlign w:val="center"/>
          </w:tcPr>
          <w:p w14:paraId="748B2505">
            <w:pPr>
              <w:spacing w:line="240" w:lineRule="auto"/>
              <w:jc w:val="left"/>
            </w:pPr>
            <w:r>
              <w:rPr>
                <w:rFonts w:ascii="宋体" w:hAnsi="宋体" w:eastAsia="宋体" w:cs="宋体"/>
                <w:b w:val="0"/>
              </w:rPr>
              <w:t>688025</w:t>
            </w:r>
          </w:p>
        </w:tc>
        <w:tc>
          <w:tcPr>
            <w:tcW w:w="0" w:type="dxa"/>
            <w:vAlign w:val="center"/>
          </w:tcPr>
          <w:p w14:paraId="5FB339D8">
            <w:pPr>
              <w:spacing w:line="240" w:lineRule="auto"/>
              <w:jc w:val="left"/>
            </w:pPr>
            <w:r>
              <w:rPr>
                <w:rFonts w:ascii="宋体" w:hAnsi="宋体" w:eastAsia="宋体" w:cs="宋体"/>
                <w:b w:val="0"/>
              </w:rPr>
              <w:t>杰普特</w:t>
            </w:r>
          </w:p>
        </w:tc>
        <w:tc>
          <w:tcPr>
            <w:tcW w:w="0" w:type="dxa"/>
            <w:vAlign w:val="center"/>
          </w:tcPr>
          <w:p w14:paraId="7C7F89A9">
            <w:pPr>
              <w:spacing w:line="240" w:lineRule="auto"/>
              <w:jc w:val="right"/>
            </w:pPr>
            <w:r>
              <w:rPr>
                <w:rFonts w:ascii="宋体" w:hAnsi="宋体" w:eastAsia="宋体" w:cs="宋体"/>
                <w:b w:val="0"/>
              </w:rPr>
              <w:t>675</w:t>
            </w:r>
          </w:p>
        </w:tc>
        <w:tc>
          <w:tcPr>
            <w:tcW w:w="0" w:type="dxa"/>
            <w:vAlign w:val="center"/>
          </w:tcPr>
          <w:p w14:paraId="2B010D99">
            <w:pPr>
              <w:spacing w:line="240" w:lineRule="auto"/>
              <w:jc w:val="right"/>
            </w:pPr>
            <w:r>
              <w:rPr>
                <w:rFonts w:ascii="宋体" w:hAnsi="宋体" w:eastAsia="宋体" w:cs="宋体"/>
                <w:b w:val="0"/>
              </w:rPr>
              <w:t>317,250.00</w:t>
            </w:r>
          </w:p>
        </w:tc>
        <w:tc>
          <w:tcPr>
            <w:tcW w:w="0" w:type="dxa"/>
            <w:vAlign w:val="center"/>
          </w:tcPr>
          <w:p w14:paraId="022569D6">
            <w:pPr>
              <w:spacing w:line="240" w:lineRule="auto"/>
              <w:jc w:val="right"/>
            </w:pPr>
            <w:r>
              <w:rPr>
                <w:rFonts w:ascii="宋体" w:hAnsi="宋体" w:eastAsia="宋体" w:cs="宋体"/>
                <w:b w:val="0"/>
              </w:rPr>
              <w:t>2.87</w:t>
            </w:r>
          </w:p>
        </w:tc>
      </w:tr>
      <w:tr w14:paraId="08AC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F0C9FC">
            <w:pPr>
              <w:spacing w:line="240" w:lineRule="auto"/>
              <w:jc w:val="center"/>
            </w:pPr>
            <w:r>
              <w:rPr>
                <w:rFonts w:ascii="宋体" w:hAnsi="宋体" w:eastAsia="宋体" w:cs="宋体"/>
                <w:b w:val="0"/>
              </w:rPr>
              <w:t>2</w:t>
            </w:r>
          </w:p>
        </w:tc>
        <w:tc>
          <w:tcPr>
            <w:tcW w:w="0" w:type="dxa"/>
            <w:vAlign w:val="center"/>
          </w:tcPr>
          <w:p w14:paraId="0A29D36D">
            <w:pPr>
              <w:spacing w:line="240" w:lineRule="auto"/>
              <w:jc w:val="left"/>
            </w:pPr>
            <w:r>
              <w:rPr>
                <w:rFonts w:ascii="宋体" w:hAnsi="宋体" w:eastAsia="宋体" w:cs="宋体"/>
                <w:b w:val="0"/>
              </w:rPr>
              <w:t>300548</w:t>
            </w:r>
          </w:p>
        </w:tc>
        <w:tc>
          <w:tcPr>
            <w:tcW w:w="0" w:type="dxa"/>
            <w:vAlign w:val="center"/>
          </w:tcPr>
          <w:p w14:paraId="70FDDDF1">
            <w:pPr>
              <w:spacing w:line="240" w:lineRule="auto"/>
              <w:jc w:val="left"/>
            </w:pPr>
            <w:r>
              <w:rPr>
                <w:rFonts w:ascii="宋体" w:hAnsi="宋体" w:eastAsia="宋体" w:cs="宋体"/>
                <w:b w:val="0"/>
              </w:rPr>
              <w:t>长芯博创</w:t>
            </w:r>
          </w:p>
        </w:tc>
        <w:tc>
          <w:tcPr>
            <w:tcW w:w="0" w:type="dxa"/>
            <w:vAlign w:val="center"/>
          </w:tcPr>
          <w:p w14:paraId="1DB4DD76">
            <w:pPr>
              <w:spacing w:line="240" w:lineRule="auto"/>
              <w:jc w:val="right"/>
            </w:pPr>
            <w:r>
              <w:rPr>
                <w:rFonts w:ascii="宋体" w:hAnsi="宋体" w:eastAsia="宋体" w:cs="宋体"/>
                <w:b w:val="0"/>
              </w:rPr>
              <w:t>900</w:t>
            </w:r>
          </w:p>
        </w:tc>
        <w:tc>
          <w:tcPr>
            <w:tcW w:w="0" w:type="dxa"/>
            <w:vAlign w:val="center"/>
          </w:tcPr>
          <w:p w14:paraId="405F665D">
            <w:pPr>
              <w:spacing w:line="240" w:lineRule="auto"/>
              <w:jc w:val="right"/>
            </w:pPr>
            <w:r>
              <w:rPr>
                <w:rFonts w:ascii="宋体" w:hAnsi="宋体" w:eastAsia="宋体" w:cs="宋体"/>
                <w:b w:val="0"/>
              </w:rPr>
              <w:t>250,200.00</w:t>
            </w:r>
          </w:p>
        </w:tc>
        <w:tc>
          <w:tcPr>
            <w:tcW w:w="0" w:type="dxa"/>
            <w:vAlign w:val="center"/>
          </w:tcPr>
          <w:p w14:paraId="1CC2165B">
            <w:pPr>
              <w:spacing w:line="240" w:lineRule="auto"/>
              <w:jc w:val="right"/>
            </w:pPr>
            <w:r>
              <w:rPr>
                <w:rFonts w:ascii="宋体" w:hAnsi="宋体" w:eastAsia="宋体" w:cs="宋体"/>
                <w:b w:val="0"/>
              </w:rPr>
              <w:t>2.26</w:t>
            </w:r>
          </w:p>
        </w:tc>
      </w:tr>
      <w:tr w14:paraId="094E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D14738">
            <w:pPr>
              <w:spacing w:line="240" w:lineRule="auto"/>
              <w:jc w:val="center"/>
            </w:pPr>
            <w:r>
              <w:rPr>
                <w:rFonts w:ascii="宋体" w:hAnsi="宋体" w:eastAsia="宋体" w:cs="宋体"/>
                <w:b w:val="0"/>
              </w:rPr>
              <w:t>3</w:t>
            </w:r>
          </w:p>
        </w:tc>
        <w:tc>
          <w:tcPr>
            <w:tcW w:w="0" w:type="dxa"/>
            <w:vAlign w:val="center"/>
          </w:tcPr>
          <w:p w14:paraId="525F5CEB">
            <w:pPr>
              <w:spacing w:line="240" w:lineRule="auto"/>
              <w:jc w:val="left"/>
            </w:pPr>
            <w:r>
              <w:rPr>
                <w:rFonts w:ascii="宋体" w:hAnsi="宋体" w:eastAsia="宋体" w:cs="宋体"/>
                <w:b w:val="0"/>
              </w:rPr>
              <w:t>002281</w:t>
            </w:r>
          </w:p>
        </w:tc>
        <w:tc>
          <w:tcPr>
            <w:tcW w:w="0" w:type="dxa"/>
            <w:vAlign w:val="center"/>
          </w:tcPr>
          <w:p w14:paraId="557D42F6">
            <w:pPr>
              <w:spacing w:line="240" w:lineRule="auto"/>
              <w:jc w:val="left"/>
            </w:pPr>
            <w:r>
              <w:rPr>
                <w:rFonts w:ascii="宋体" w:hAnsi="宋体" w:eastAsia="宋体" w:cs="宋体"/>
                <w:b w:val="0"/>
              </w:rPr>
              <w:t>光迅科技</w:t>
            </w:r>
          </w:p>
        </w:tc>
        <w:tc>
          <w:tcPr>
            <w:tcW w:w="0" w:type="dxa"/>
            <w:vAlign w:val="center"/>
          </w:tcPr>
          <w:p w14:paraId="057673E0">
            <w:pPr>
              <w:spacing w:line="240" w:lineRule="auto"/>
              <w:jc w:val="right"/>
            </w:pPr>
            <w:r>
              <w:rPr>
                <w:rFonts w:ascii="宋体" w:hAnsi="宋体" w:eastAsia="宋体" w:cs="宋体"/>
                <w:b w:val="0"/>
              </w:rPr>
              <w:t>900</w:t>
            </w:r>
          </w:p>
        </w:tc>
        <w:tc>
          <w:tcPr>
            <w:tcW w:w="0" w:type="dxa"/>
            <w:vAlign w:val="center"/>
          </w:tcPr>
          <w:p w14:paraId="716DB9C5">
            <w:pPr>
              <w:spacing w:line="240" w:lineRule="auto"/>
              <w:jc w:val="right"/>
            </w:pPr>
            <w:r>
              <w:rPr>
                <w:rFonts w:ascii="宋体" w:hAnsi="宋体" w:eastAsia="宋体" w:cs="宋体"/>
                <w:b w:val="0"/>
              </w:rPr>
              <w:t>231,246.00</w:t>
            </w:r>
          </w:p>
        </w:tc>
        <w:tc>
          <w:tcPr>
            <w:tcW w:w="0" w:type="dxa"/>
            <w:vAlign w:val="center"/>
          </w:tcPr>
          <w:p w14:paraId="074C8BE4">
            <w:pPr>
              <w:spacing w:line="240" w:lineRule="auto"/>
              <w:jc w:val="right"/>
            </w:pPr>
            <w:r>
              <w:rPr>
                <w:rFonts w:ascii="宋体" w:hAnsi="宋体" w:eastAsia="宋体" w:cs="宋体"/>
                <w:b w:val="0"/>
              </w:rPr>
              <w:t>2.09</w:t>
            </w:r>
          </w:p>
        </w:tc>
      </w:tr>
      <w:tr w14:paraId="1A29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52989F">
            <w:pPr>
              <w:spacing w:line="240" w:lineRule="auto"/>
              <w:jc w:val="center"/>
            </w:pPr>
            <w:r>
              <w:rPr>
                <w:rFonts w:ascii="宋体" w:hAnsi="宋体" w:eastAsia="宋体" w:cs="宋体"/>
                <w:b w:val="0"/>
              </w:rPr>
              <w:t>4</w:t>
            </w:r>
          </w:p>
        </w:tc>
        <w:tc>
          <w:tcPr>
            <w:tcW w:w="0" w:type="dxa"/>
            <w:vAlign w:val="center"/>
          </w:tcPr>
          <w:p w14:paraId="57F86ACB">
            <w:pPr>
              <w:spacing w:line="240" w:lineRule="auto"/>
              <w:jc w:val="left"/>
            </w:pPr>
            <w:r>
              <w:rPr>
                <w:rFonts w:ascii="宋体" w:hAnsi="宋体" w:eastAsia="宋体" w:cs="宋体"/>
                <w:b w:val="0"/>
              </w:rPr>
              <w:t>002138</w:t>
            </w:r>
          </w:p>
        </w:tc>
        <w:tc>
          <w:tcPr>
            <w:tcW w:w="0" w:type="dxa"/>
            <w:vAlign w:val="center"/>
          </w:tcPr>
          <w:p w14:paraId="462CA92C">
            <w:pPr>
              <w:spacing w:line="240" w:lineRule="auto"/>
              <w:jc w:val="left"/>
            </w:pPr>
            <w:r>
              <w:rPr>
                <w:rFonts w:ascii="宋体" w:hAnsi="宋体" w:eastAsia="宋体" w:cs="宋体"/>
                <w:b w:val="0"/>
              </w:rPr>
              <w:t>顺络电子</w:t>
            </w:r>
          </w:p>
        </w:tc>
        <w:tc>
          <w:tcPr>
            <w:tcW w:w="0" w:type="dxa"/>
            <w:vAlign w:val="center"/>
          </w:tcPr>
          <w:p w14:paraId="1243E4E5">
            <w:pPr>
              <w:spacing w:line="240" w:lineRule="auto"/>
              <w:jc w:val="right"/>
            </w:pPr>
            <w:r>
              <w:rPr>
                <w:rFonts w:ascii="宋体" w:hAnsi="宋体" w:eastAsia="宋体" w:cs="宋体"/>
                <w:b w:val="0"/>
              </w:rPr>
              <w:t>3,100</w:t>
            </w:r>
          </w:p>
        </w:tc>
        <w:tc>
          <w:tcPr>
            <w:tcW w:w="0" w:type="dxa"/>
            <w:vAlign w:val="center"/>
          </w:tcPr>
          <w:p w14:paraId="25D2E873">
            <w:pPr>
              <w:spacing w:line="240" w:lineRule="auto"/>
              <w:jc w:val="right"/>
            </w:pPr>
            <w:r>
              <w:rPr>
                <w:rFonts w:ascii="宋体" w:hAnsi="宋体" w:eastAsia="宋体" w:cs="宋体"/>
                <w:b w:val="0"/>
              </w:rPr>
              <w:t>226,610.00</w:t>
            </w:r>
          </w:p>
        </w:tc>
        <w:tc>
          <w:tcPr>
            <w:tcW w:w="0" w:type="dxa"/>
            <w:vAlign w:val="center"/>
          </w:tcPr>
          <w:p w14:paraId="724CD6BB">
            <w:pPr>
              <w:spacing w:line="240" w:lineRule="auto"/>
              <w:jc w:val="right"/>
            </w:pPr>
            <w:r>
              <w:rPr>
                <w:rFonts w:ascii="宋体" w:hAnsi="宋体" w:eastAsia="宋体" w:cs="宋体"/>
                <w:b w:val="0"/>
              </w:rPr>
              <w:t>2.05</w:t>
            </w:r>
          </w:p>
        </w:tc>
      </w:tr>
      <w:tr w14:paraId="43AC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5B559C">
            <w:pPr>
              <w:spacing w:line="240" w:lineRule="auto"/>
              <w:jc w:val="center"/>
            </w:pPr>
            <w:r>
              <w:rPr>
                <w:rFonts w:ascii="宋体" w:hAnsi="宋体" w:eastAsia="宋体" w:cs="宋体"/>
                <w:b w:val="0"/>
              </w:rPr>
              <w:t>5</w:t>
            </w:r>
          </w:p>
        </w:tc>
        <w:tc>
          <w:tcPr>
            <w:tcW w:w="0" w:type="dxa"/>
            <w:vAlign w:val="center"/>
          </w:tcPr>
          <w:p w14:paraId="11257986">
            <w:pPr>
              <w:spacing w:line="240" w:lineRule="auto"/>
              <w:jc w:val="left"/>
            </w:pPr>
            <w:r>
              <w:rPr>
                <w:rFonts w:ascii="宋体" w:hAnsi="宋体" w:eastAsia="宋体" w:cs="宋体"/>
                <w:b w:val="0"/>
              </w:rPr>
              <w:t>002008</w:t>
            </w:r>
          </w:p>
        </w:tc>
        <w:tc>
          <w:tcPr>
            <w:tcW w:w="0" w:type="dxa"/>
            <w:vAlign w:val="center"/>
          </w:tcPr>
          <w:p w14:paraId="59780851">
            <w:pPr>
              <w:spacing w:line="240" w:lineRule="auto"/>
              <w:jc w:val="left"/>
            </w:pPr>
            <w:r>
              <w:rPr>
                <w:rFonts w:ascii="宋体" w:hAnsi="宋体" w:eastAsia="宋体" w:cs="宋体"/>
                <w:b w:val="0"/>
              </w:rPr>
              <w:t>大族激光</w:t>
            </w:r>
          </w:p>
        </w:tc>
        <w:tc>
          <w:tcPr>
            <w:tcW w:w="0" w:type="dxa"/>
            <w:vAlign w:val="center"/>
          </w:tcPr>
          <w:p w14:paraId="52EADB3B">
            <w:pPr>
              <w:spacing w:line="240" w:lineRule="auto"/>
              <w:jc w:val="right"/>
            </w:pPr>
            <w:r>
              <w:rPr>
                <w:rFonts w:ascii="宋体" w:hAnsi="宋体" w:eastAsia="宋体" w:cs="宋体"/>
                <w:b w:val="0"/>
              </w:rPr>
              <w:t>1,500</w:t>
            </w:r>
          </w:p>
        </w:tc>
        <w:tc>
          <w:tcPr>
            <w:tcW w:w="0" w:type="dxa"/>
            <w:vAlign w:val="center"/>
          </w:tcPr>
          <w:p w14:paraId="47CDAD72">
            <w:pPr>
              <w:spacing w:line="240" w:lineRule="auto"/>
              <w:jc w:val="right"/>
            </w:pPr>
            <w:r>
              <w:rPr>
                <w:rFonts w:ascii="宋体" w:hAnsi="宋体" w:eastAsia="宋体" w:cs="宋体"/>
                <w:b w:val="0"/>
              </w:rPr>
              <w:t>225,165.00</w:t>
            </w:r>
          </w:p>
        </w:tc>
        <w:tc>
          <w:tcPr>
            <w:tcW w:w="0" w:type="dxa"/>
            <w:vAlign w:val="center"/>
          </w:tcPr>
          <w:p w14:paraId="3C1296AB">
            <w:pPr>
              <w:spacing w:line="240" w:lineRule="auto"/>
              <w:jc w:val="right"/>
            </w:pPr>
            <w:r>
              <w:rPr>
                <w:rFonts w:ascii="宋体" w:hAnsi="宋体" w:eastAsia="宋体" w:cs="宋体"/>
                <w:b w:val="0"/>
              </w:rPr>
              <w:t>2.04</w:t>
            </w:r>
          </w:p>
        </w:tc>
      </w:tr>
      <w:tr w14:paraId="479C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B58282">
            <w:pPr>
              <w:spacing w:line="240" w:lineRule="auto"/>
              <w:jc w:val="center"/>
            </w:pPr>
            <w:r>
              <w:rPr>
                <w:rFonts w:ascii="宋体" w:hAnsi="宋体" w:eastAsia="宋体" w:cs="宋体"/>
                <w:b w:val="0"/>
              </w:rPr>
              <w:t>6</w:t>
            </w:r>
          </w:p>
        </w:tc>
        <w:tc>
          <w:tcPr>
            <w:tcW w:w="0" w:type="dxa"/>
            <w:vAlign w:val="center"/>
          </w:tcPr>
          <w:p w14:paraId="7A4E97DE">
            <w:pPr>
              <w:spacing w:line="240" w:lineRule="auto"/>
              <w:jc w:val="left"/>
            </w:pPr>
            <w:r>
              <w:rPr>
                <w:rFonts w:ascii="宋体" w:hAnsi="宋体" w:eastAsia="宋体" w:cs="宋体"/>
                <w:b w:val="0"/>
              </w:rPr>
              <w:t>688630</w:t>
            </w:r>
          </w:p>
        </w:tc>
        <w:tc>
          <w:tcPr>
            <w:tcW w:w="0" w:type="dxa"/>
            <w:vAlign w:val="center"/>
          </w:tcPr>
          <w:p w14:paraId="2BF92DFF">
            <w:pPr>
              <w:spacing w:line="240" w:lineRule="auto"/>
              <w:jc w:val="left"/>
            </w:pPr>
            <w:r>
              <w:rPr>
                <w:rFonts w:ascii="宋体" w:hAnsi="宋体" w:eastAsia="宋体" w:cs="宋体"/>
                <w:b w:val="0"/>
              </w:rPr>
              <w:t>芯碁微装</w:t>
            </w:r>
          </w:p>
        </w:tc>
        <w:tc>
          <w:tcPr>
            <w:tcW w:w="0" w:type="dxa"/>
            <w:vAlign w:val="center"/>
          </w:tcPr>
          <w:p w14:paraId="54134643">
            <w:pPr>
              <w:spacing w:line="240" w:lineRule="auto"/>
              <w:jc w:val="right"/>
            </w:pPr>
            <w:r>
              <w:rPr>
                <w:rFonts w:ascii="宋体" w:hAnsi="宋体" w:eastAsia="宋体" w:cs="宋体"/>
                <w:b w:val="0"/>
              </w:rPr>
              <w:t>400</w:t>
            </w:r>
          </w:p>
        </w:tc>
        <w:tc>
          <w:tcPr>
            <w:tcW w:w="0" w:type="dxa"/>
            <w:vAlign w:val="center"/>
          </w:tcPr>
          <w:p w14:paraId="4EFEFC51">
            <w:pPr>
              <w:spacing w:line="240" w:lineRule="auto"/>
              <w:jc w:val="right"/>
            </w:pPr>
            <w:r>
              <w:rPr>
                <w:rFonts w:ascii="宋体" w:hAnsi="宋体" w:eastAsia="宋体" w:cs="宋体"/>
                <w:b w:val="0"/>
              </w:rPr>
              <w:t>219,756.00</w:t>
            </w:r>
          </w:p>
        </w:tc>
        <w:tc>
          <w:tcPr>
            <w:tcW w:w="0" w:type="dxa"/>
            <w:vAlign w:val="center"/>
          </w:tcPr>
          <w:p w14:paraId="236A9AF9">
            <w:pPr>
              <w:spacing w:line="240" w:lineRule="auto"/>
              <w:jc w:val="right"/>
            </w:pPr>
            <w:r>
              <w:rPr>
                <w:rFonts w:ascii="宋体" w:hAnsi="宋体" w:eastAsia="宋体" w:cs="宋体"/>
                <w:b w:val="0"/>
              </w:rPr>
              <w:t>1.99</w:t>
            </w:r>
          </w:p>
        </w:tc>
      </w:tr>
      <w:tr w14:paraId="3FB0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D42F1F">
            <w:pPr>
              <w:spacing w:line="240" w:lineRule="auto"/>
              <w:jc w:val="center"/>
            </w:pPr>
            <w:r>
              <w:rPr>
                <w:rFonts w:ascii="宋体" w:hAnsi="宋体" w:eastAsia="宋体" w:cs="宋体"/>
                <w:b w:val="0"/>
              </w:rPr>
              <w:t>7</w:t>
            </w:r>
          </w:p>
        </w:tc>
        <w:tc>
          <w:tcPr>
            <w:tcW w:w="0" w:type="dxa"/>
            <w:vAlign w:val="center"/>
          </w:tcPr>
          <w:p w14:paraId="670F1040">
            <w:pPr>
              <w:spacing w:line="240" w:lineRule="auto"/>
              <w:jc w:val="left"/>
            </w:pPr>
            <w:r>
              <w:rPr>
                <w:rFonts w:ascii="宋体" w:hAnsi="宋体" w:eastAsia="宋体" w:cs="宋体"/>
                <w:b w:val="0"/>
              </w:rPr>
              <w:t>603306</w:t>
            </w:r>
          </w:p>
        </w:tc>
        <w:tc>
          <w:tcPr>
            <w:tcW w:w="0" w:type="dxa"/>
            <w:vAlign w:val="center"/>
          </w:tcPr>
          <w:p w14:paraId="3A453094">
            <w:pPr>
              <w:spacing w:line="240" w:lineRule="auto"/>
              <w:jc w:val="left"/>
            </w:pPr>
            <w:r>
              <w:rPr>
                <w:rFonts w:ascii="宋体" w:hAnsi="宋体" w:eastAsia="宋体" w:cs="宋体"/>
                <w:b w:val="0"/>
              </w:rPr>
              <w:t>华懋科技</w:t>
            </w:r>
          </w:p>
        </w:tc>
        <w:tc>
          <w:tcPr>
            <w:tcW w:w="0" w:type="dxa"/>
            <w:vAlign w:val="center"/>
          </w:tcPr>
          <w:p w14:paraId="0C8F2A7C">
            <w:pPr>
              <w:spacing w:line="240" w:lineRule="auto"/>
              <w:jc w:val="right"/>
            </w:pPr>
            <w:r>
              <w:rPr>
                <w:rFonts w:ascii="宋体" w:hAnsi="宋体" w:eastAsia="宋体" w:cs="宋体"/>
                <w:b w:val="0"/>
              </w:rPr>
              <w:t>2,000</w:t>
            </w:r>
          </w:p>
        </w:tc>
        <w:tc>
          <w:tcPr>
            <w:tcW w:w="0" w:type="dxa"/>
            <w:vAlign w:val="center"/>
          </w:tcPr>
          <w:p w14:paraId="6503421F">
            <w:pPr>
              <w:spacing w:line="240" w:lineRule="auto"/>
              <w:jc w:val="right"/>
            </w:pPr>
            <w:r>
              <w:rPr>
                <w:rFonts w:ascii="宋体" w:hAnsi="宋体" w:eastAsia="宋体" w:cs="宋体"/>
                <w:b w:val="0"/>
              </w:rPr>
              <w:t>207,380.00</w:t>
            </w:r>
          </w:p>
        </w:tc>
        <w:tc>
          <w:tcPr>
            <w:tcW w:w="0" w:type="dxa"/>
            <w:vAlign w:val="center"/>
          </w:tcPr>
          <w:p w14:paraId="348D3EE7">
            <w:pPr>
              <w:spacing w:line="240" w:lineRule="auto"/>
              <w:jc w:val="right"/>
            </w:pPr>
            <w:r>
              <w:rPr>
                <w:rFonts w:ascii="宋体" w:hAnsi="宋体" w:eastAsia="宋体" w:cs="宋体"/>
                <w:b w:val="0"/>
              </w:rPr>
              <w:t>1.88</w:t>
            </w:r>
          </w:p>
        </w:tc>
      </w:tr>
      <w:tr w14:paraId="36AE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9C17F5">
            <w:pPr>
              <w:spacing w:line="240" w:lineRule="auto"/>
              <w:jc w:val="center"/>
            </w:pPr>
            <w:r>
              <w:rPr>
                <w:rFonts w:ascii="宋体" w:hAnsi="宋体" w:eastAsia="宋体" w:cs="宋体"/>
                <w:b w:val="0"/>
              </w:rPr>
              <w:t>8</w:t>
            </w:r>
          </w:p>
        </w:tc>
        <w:tc>
          <w:tcPr>
            <w:tcW w:w="0" w:type="dxa"/>
            <w:vAlign w:val="center"/>
          </w:tcPr>
          <w:p w14:paraId="3C15666E">
            <w:pPr>
              <w:spacing w:line="240" w:lineRule="auto"/>
              <w:jc w:val="left"/>
            </w:pPr>
            <w:r>
              <w:rPr>
                <w:rFonts w:ascii="宋体" w:hAnsi="宋体" w:eastAsia="宋体" w:cs="宋体"/>
                <w:b w:val="0"/>
              </w:rPr>
              <w:t>688072</w:t>
            </w:r>
          </w:p>
        </w:tc>
        <w:tc>
          <w:tcPr>
            <w:tcW w:w="0" w:type="dxa"/>
            <w:vAlign w:val="center"/>
          </w:tcPr>
          <w:p w14:paraId="7CAE6166">
            <w:pPr>
              <w:spacing w:line="240" w:lineRule="auto"/>
              <w:jc w:val="left"/>
            </w:pPr>
            <w:r>
              <w:rPr>
                <w:rFonts w:ascii="宋体" w:hAnsi="宋体" w:eastAsia="宋体" w:cs="宋体"/>
                <w:b w:val="0"/>
              </w:rPr>
              <w:t>拓荆科技</w:t>
            </w:r>
          </w:p>
        </w:tc>
        <w:tc>
          <w:tcPr>
            <w:tcW w:w="0" w:type="dxa"/>
            <w:vAlign w:val="center"/>
          </w:tcPr>
          <w:p w14:paraId="0B9610A4">
            <w:pPr>
              <w:spacing w:line="240" w:lineRule="auto"/>
              <w:jc w:val="right"/>
            </w:pPr>
            <w:r>
              <w:rPr>
                <w:rFonts w:ascii="宋体" w:hAnsi="宋体" w:eastAsia="宋体" w:cs="宋体"/>
                <w:b w:val="0"/>
              </w:rPr>
              <w:t>200</w:t>
            </w:r>
          </w:p>
        </w:tc>
        <w:tc>
          <w:tcPr>
            <w:tcW w:w="0" w:type="dxa"/>
            <w:vAlign w:val="center"/>
          </w:tcPr>
          <w:p w14:paraId="77BE8C44">
            <w:pPr>
              <w:spacing w:line="240" w:lineRule="auto"/>
              <w:jc w:val="right"/>
            </w:pPr>
            <w:r>
              <w:rPr>
                <w:rFonts w:ascii="宋体" w:hAnsi="宋体" w:eastAsia="宋体" w:cs="宋体"/>
                <w:b w:val="0"/>
              </w:rPr>
              <w:t>175,906.00</w:t>
            </w:r>
          </w:p>
        </w:tc>
        <w:tc>
          <w:tcPr>
            <w:tcW w:w="0" w:type="dxa"/>
            <w:vAlign w:val="center"/>
          </w:tcPr>
          <w:p w14:paraId="234EA7BB">
            <w:pPr>
              <w:spacing w:line="240" w:lineRule="auto"/>
              <w:jc w:val="right"/>
            </w:pPr>
            <w:r>
              <w:rPr>
                <w:rFonts w:ascii="宋体" w:hAnsi="宋体" w:eastAsia="宋体" w:cs="宋体"/>
                <w:b w:val="0"/>
              </w:rPr>
              <w:t>1.59</w:t>
            </w:r>
          </w:p>
        </w:tc>
      </w:tr>
    </w:tbl>
    <w:p w14:paraId="18F06D84"/>
    <w:p w14:paraId="79D12D1B">
      <w:pPr>
        <w:pStyle w:val="3"/>
        <w:jc w:val="left"/>
      </w:pPr>
      <w:bookmarkStart w:id="35" w:name="_Toc30673"/>
      <w:r>
        <w:rPr>
          <w:rFonts w:ascii="宋体" w:hAnsi="宋体" w:eastAsia="宋体" w:cs="宋体"/>
        </w:rPr>
        <w:t>7.4 报告期内股票投资组合的重大变动</w:t>
      </w:r>
      <w:bookmarkEnd w:id="35"/>
    </w:p>
    <w:p w14:paraId="700F276B">
      <w:pPr>
        <w:pStyle w:val="58"/>
      </w:pPr>
      <w:r>
        <w:rPr>
          <w:rFonts w:ascii="宋体" w:hAnsi="宋体" w:eastAsia="宋体" w:cs="宋体"/>
          <w:b/>
        </w:rPr>
        <w:t>7.4.1 累计买入金额超出期末基金资产净值2%或前20名的股票明细</w:t>
      </w:r>
    </w:p>
    <w:p w14:paraId="365FFDEB">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3E31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5" w:type="pct"/>
            <w:shd w:val="clear" w:color="auto" w:fill="D9D9D9"/>
            <w:vAlign w:val="center"/>
          </w:tcPr>
          <w:p w14:paraId="50BFD09E">
            <w:pPr>
              <w:spacing w:line="240" w:lineRule="auto"/>
              <w:jc w:val="center"/>
            </w:pPr>
            <w:r>
              <w:rPr>
                <w:rFonts w:ascii="宋体" w:hAnsi="宋体" w:eastAsia="宋体" w:cs="宋体"/>
                <w:b w:val="0"/>
              </w:rPr>
              <w:t>序号</w:t>
            </w:r>
          </w:p>
        </w:tc>
        <w:tc>
          <w:tcPr>
            <w:tcW w:w="769" w:type="pct"/>
            <w:shd w:val="clear" w:color="auto" w:fill="D9D9D9"/>
            <w:vAlign w:val="center"/>
          </w:tcPr>
          <w:p w14:paraId="3ABA4CAD">
            <w:pPr>
              <w:spacing w:line="240" w:lineRule="auto"/>
              <w:jc w:val="center"/>
            </w:pPr>
            <w:r>
              <w:rPr>
                <w:rFonts w:ascii="宋体" w:hAnsi="宋体" w:eastAsia="宋体" w:cs="宋体"/>
                <w:b w:val="0"/>
              </w:rPr>
              <w:t>股票代码</w:t>
            </w:r>
          </w:p>
        </w:tc>
        <w:tc>
          <w:tcPr>
            <w:tcW w:w="769" w:type="pct"/>
            <w:shd w:val="clear" w:color="auto" w:fill="D9D9D9"/>
            <w:vAlign w:val="center"/>
          </w:tcPr>
          <w:p w14:paraId="765D571F">
            <w:pPr>
              <w:spacing w:line="240" w:lineRule="auto"/>
              <w:jc w:val="center"/>
            </w:pPr>
            <w:r>
              <w:rPr>
                <w:rFonts w:ascii="宋体" w:hAnsi="宋体" w:eastAsia="宋体" w:cs="宋体"/>
                <w:b w:val="0"/>
              </w:rPr>
              <w:t>股票名称</w:t>
            </w:r>
          </w:p>
        </w:tc>
        <w:tc>
          <w:tcPr>
            <w:tcW w:w="769" w:type="pct"/>
            <w:shd w:val="clear" w:color="auto" w:fill="D9D9D9"/>
            <w:vAlign w:val="center"/>
          </w:tcPr>
          <w:p w14:paraId="2842932A">
            <w:pPr>
              <w:spacing w:line="240" w:lineRule="auto"/>
              <w:jc w:val="center"/>
            </w:pPr>
            <w:r>
              <w:rPr>
                <w:rFonts w:ascii="宋体" w:hAnsi="宋体" w:eastAsia="宋体" w:cs="宋体"/>
                <w:b w:val="0"/>
              </w:rPr>
              <w:t>本期累计买入金额</w:t>
            </w:r>
          </w:p>
        </w:tc>
        <w:tc>
          <w:tcPr>
            <w:tcW w:w="1538" w:type="pct"/>
            <w:shd w:val="clear" w:color="auto" w:fill="D9D9D9"/>
            <w:vAlign w:val="center"/>
          </w:tcPr>
          <w:p w14:paraId="51D6709A">
            <w:pPr>
              <w:spacing w:line="240" w:lineRule="auto"/>
              <w:jc w:val="center"/>
            </w:pPr>
            <w:r>
              <w:rPr>
                <w:rFonts w:ascii="宋体" w:hAnsi="宋体" w:eastAsia="宋体" w:cs="宋体"/>
                <w:b w:val="0"/>
              </w:rPr>
              <w:t>占期末基金资产净值比例（％）</w:t>
            </w:r>
          </w:p>
        </w:tc>
      </w:tr>
      <w:tr w14:paraId="42EA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DD287A">
            <w:pPr>
              <w:spacing w:line="240" w:lineRule="auto"/>
              <w:jc w:val="center"/>
            </w:pPr>
            <w:r>
              <w:rPr>
                <w:rFonts w:ascii="宋体" w:hAnsi="宋体" w:eastAsia="宋体" w:cs="宋体"/>
                <w:b w:val="0"/>
              </w:rPr>
              <w:t>1</w:t>
            </w:r>
          </w:p>
        </w:tc>
        <w:tc>
          <w:tcPr>
            <w:tcW w:w="0" w:type="dxa"/>
            <w:vAlign w:val="center"/>
          </w:tcPr>
          <w:p w14:paraId="363341F2">
            <w:pPr>
              <w:spacing w:line="240" w:lineRule="auto"/>
              <w:jc w:val="left"/>
            </w:pPr>
            <w:r>
              <w:rPr>
                <w:rFonts w:ascii="宋体" w:hAnsi="宋体" w:eastAsia="宋体" w:cs="宋体"/>
                <w:b w:val="0"/>
              </w:rPr>
              <w:t>688025</w:t>
            </w:r>
          </w:p>
        </w:tc>
        <w:tc>
          <w:tcPr>
            <w:tcW w:w="0" w:type="dxa"/>
            <w:vAlign w:val="center"/>
          </w:tcPr>
          <w:p w14:paraId="58C80089">
            <w:pPr>
              <w:spacing w:line="240" w:lineRule="auto"/>
              <w:jc w:val="left"/>
            </w:pPr>
            <w:r>
              <w:rPr>
                <w:rFonts w:ascii="宋体" w:hAnsi="宋体" w:eastAsia="宋体" w:cs="宋体"/>
                <w:b w:val="0"/>
              </w:rPr>
              <w:t>杰普特</w:t>
            </w:r>
          </w:p>
        </w:tc>
        <w:tc>
          <w:tcPr>
            <w:tcW w:w="0" w:type="dxa"/>
            <w:vAlign w:val="center"/>
          </w:tcPr>
          <w:p w14:paraId="5629FF07">
            <w:pPr>
              <w:spacing w:line="240" w:lineRule="auto"/>
              <w:jc w:val="right"/>
            </w:pPr>
            <w:r>
              <w:rPr>
                <w:rFonts w:ascii="宋体" w:hAnsi="宋体" w:eastAsia="宋体" w:cs="宋体"/>
                <w:b w:val="0"/>
              </w:rPr>
              <w:t>275,091.50</w:t>
            </w:r>
          </w:p>
        </w:tc>
        <w:tc>
          <w:tcPr>
            <w:tcW w:w="0" w:type="dxa"/>
            <w:vAlign w:val="center"/>
          </w:tcPr>
          <w:p w14:paraId="7CB56BAC">
            <w:pPr>
              <w:spacing w:line="240" w:lineRule="auto"/>
              <w:jc w:val="right"/>
            </w:pPr>
            <w:r>
              <w:rPr>
                <w:rFonts w:ascii="宋体" w:hAnsi="宋体" w:eastAsia="宋体" w:cs="宋体"/>
                <w:b w:val="0"/>
              </w:rPr>
              <w:t>2.49</w:t>
            </w:r>
          </w:p>
        </w:tc>
      </w:tr>
      <w:tr w14:paraId="64E7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8D7E4B">
            <w:pPr>
              <w:spacing w:line="240" w:lineRule="auto"/>
              <w:jc w:val="center"/>
            </w:pPr>
            <w:r>
              <w:rPr>
                <w:rFonts w:ascii="宋体" w:hAnsi="宋体" w:eastAsia="宋体" w:cs="宋体"/>
                <w:b w:val="0"/>
              </w:rPr>
              <w:t>2</w:t>
            </w:r>
          </w:p>
        </w:tc>
        <w:tc>
          <w:tcPr>
            <w:tcW w:w="0" w:type="dxa"/>
            <w:vAlign w:val="center"/>
          </w:tcPr>
          <w:p w14:paraId="525A3BFC">
            <w:pPr>
              <w:spacing w:line="240" w:lineRule="auto"/>
              <w:jc w:val="left"/>
            </w:pPr>
            <w:r>
              <w:rPr>
                <w:rFonts w:ascii="宋体" w:hAnsi="宋体" w:eastAsia="宋体" w:cs="宋体"/>
                <w:b w:val="0"/>
              </w:rPr>
              <w:t>688630</w:t>
            </w:r>
          </w:p>
        </w:tc>
        <w:tc>
          <w:tcPr>
            <w:tcW w:w="0" w:type="dxa"/>
            <w:vAlign w:val="center"/>
          </w:tcPr>
          <w:p w14:paraId="37A6A34F">
            <w:pPr>
              <w:spacing w:line="240" w:lineRule="auto"/>
              <w:jc w:val="left"/>
            </w:pPr>
            <w:r>
              <w:rPr>
                <w:rFonts w:ascii="宋体" w:hAnsi="宋体" w:eastAsia="宋体" w:cs="宋体"/>
                <w:b w:val="0"/>
              </w:rPr>
              <w:t>芯碁微装</w:t>
            </w:r>
          </w:p>
        </w:tc>
        <w:tc>
          <w:tcPr>
            <w:tcW w:w="0" w:type="dxa"/>
            <w:vAlign w:val="center"/>
          </w:tcPr>
          <w:p w14:paraId="209C2E28">
            <w:pPr>
              <w:spacing w:line="240" w:lineRule="auto"/>
              <w:jc w:val="right"/>
            </w:pPr>
            <w:r>
              <w:rPr>
                <w:rFonts w:ascii="宋体" w:hAnsi="宋体" w:eastAsia="宋体" w:cs="宋体"/>
                <w:b w:val="0"/>
              </w:rPr>
              <w:t>270,474.23</w:t>
            </w:r>
          </w:p>
        </w:tc>
        <w:tc>
          <w:tcPr>
            <w:tcW w:w="0" w:type="dxa"/>
            <w:vAlign w:val="center"/>
          </w:tcPr>
          <w:p w14:paraId="2F2646D3">
            <w:pPr>
              <w:spacing w:line="240" w:lineRule="auto"/>
              <w:jc w:val="right"/>
            </w:pPr>
            <w:r>
              <w:rPr>
                <w:rFonts w:ascii="宋体" w:hAnsi="宋体" w:eastAsia="宋体" w:cs="宋体"/>
                <w:b w:val="0"/>
              </w:rPr>
              <w:t>2.45</w:t>
            </w:r>
          </w:p>
        </w:tc>
      </w:tr>
      <w:tr w14:paraId="6166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67BC40">
            <w:pPr>
              <w:spacing w:line="240" w:lineRule="auto"/>
              <w:jc w:val="center"/>
            </w:pPr>
            <w:r>
              <w:rPr>
                <w:rFonts w:ascii="宋体" w:hAnsi="宋体" w:eastAsia="宋体" w:cs="宋体"/>
                <w:b w:val="0"/>
              </w:rPr>
              <w:t>3</w:t>
            </w:r>
          </w:p>
        </w:tc>
        <w:tc>
          <w:tcPr>
            <w:tcW w:w="0" w:type="dxa"/>
            <w:vAlign w:val="center"/>
          </w:tcPr>
          <w:p w14:paraId="044B4E0B">
            <w:pPr>
              <w:spacing w:line="240" w:lineRule="auto"/>
              <w:jc w:val="left"/>
            </w:pPr>
            <w:r>
              <w:rPr>
                <w:rFonts w:ascii="宋体" w:hAnsi="宋体" w:eastAsia="宋体" w:cs="宋体"/>
                <w:b w:val="0"/>
              </w:rPr>
              <w:t>300502</w:t>
            </w:r>
          </w:p>
        </w:tc>
        <w:tc>
          <w:tcPr>
            <w:tcW w:w="0" w:type="dxa"/>
            <w:vAlign w:val="center"/>
          </w:tcPr>
          <w:p w14:paraId="5B7E346E">
            <w:pPr>
              <w:spacing w:line="240" w:lineRule="auto"/>
              <w:jc w:val="left"/>
            </w:pPr>
            <w:r>
              <w:rPr>
                <w:rFonts w:ascii="宋体" w:hAnsi="宋体" w:eastAsia="宋体" w:cs="宋体"/>
                <w:b w:val="0"/>
              </w:rPr>
              <w:t>新易盛</w:t>
            </w:r>
          </w:p>
        </w:tc>
        <w:tc>
          <w:tcPr>
            <w:tcW w:w="0" w:type="dxa"/>
            <w:vAlign w:val="center"/>
          </w:tcPr>
          <w:p w14:paraId="4B596DF9">
            <w:pPr>
              <w:spacing w:line="240" w:lineRule="auto"/>
              <w:jc w:val="right"/>
            </w:pPr>
            <w:r>
              <w:rPr>
                <w:rFonts w:ascii="宋体" w:hAnsi="宋体" w:eastAsia="宋体" w:cs="宋体"/>
                <w:b w:val="0"/>
              </w:rPr>
              <w:t>265,102.00</w:t>
            </w:r>
          </w:p>
        </w:tc>
        <w:tc>
          <w:tcPr>
            <w:tcW w:w="0" w:type="dxa"/>
            <w:vAlign w:val="center"/>
          </w:tcPr>
          <w:p w14:paraId="0F94AD9E">
            <w:pPr>
              <w:spacing w:line="240" w:lineRule="auto"/>
              <w:jc w:val="right"/>
            </w:pPr>
            <w:r>
              <w:rPr>
                <w:rFonts w:ascii="宋体" w:hAnsi="宋体" w:eastAsia="宋体" w:cs="宋体"/>
                <w:b w:val="0"/>
              </w:rPr>
              <w:t>2.40</w:t>
            </w:r>
          </w:p>
        </w:tc>
      </w:tr>
      <w:tr w14:paraId="2B01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D5ED2F">
            <w:pPr>
              <w:spacing w:line="240" w:lineRule="auto"/>
              <w:jc w:val="center"/>
            </w:pPr>
            <w:r>
              <w:rPr>
                <w:rFonts w:ascii="宋体" w:hAnsi="宋体" w:eastAsia="宋体" w:cs="宋体"/>
                <w:b w:val="0"/>
              </w:rPr>
              <w:t>4</w:t>
            </w:r>
          </w:p>
        </w:tc>
        <w:tc>
          <w:tcPr>
            <w:tcW w:w="0" w:type="dxa"/>
            <w:vAlign w:val="center"/>
          </w:tcPr>
          <w:p w14:paraId="6203AEDC">
            <w:pPr>
              <w:spacing w:line="240" w:lineRule="auto"/>
              <w:jc w:val="left"/>
            </w:pPr>
            <w:r>
              <w:rPr>
                <w:rFonts w:ascii="宋体" w:hAnsi="宋体" w:eastAsia="宋体" w:cs="宋体"/>
                <w:b w:val="0"/>
              </w:rPr>
              <w:t>603306</w:t>
            </w:r>
          </w:p>
        </w:tc>
        <w:tc>
          <w:tcPr>
            <w:tcW w:w="0" w:type="dxa"/>
            <w:vAlign w:val="center"/>
          </w:tcPr>
          <w:p w14:paraId="634DB1F5">
            <w:pPr>
              <w:spacing w:line="240" w:lineRule="auto"/>
              <w:jc w:val="left"/>
            </w:pPr>
            <w:r>
              <w:rPr>
                <w:rFonts w:ascii="宋体" w:hAnsi="宋体" w:eastAsia="宋体" w:cs="宋体"/>
                <w:b w:val="0"/>
              </w:rPr>
              <w:t>华懋科技</w:t>
            </w:r>
          </w:p>
        </w:tc>
        <w:tc>
          <w:tcPr>
            <w:tcW w:w="0" w:type="dxa"/>
            <w:vAlign w:val="center"/>
          </w:tcPr>
          <w:p w14:paraId="58A15E19">
            <w:pPr>
              <w:spacing w:line="240" w:lineRule="auto"/>
              <w:jc w:val="right"/>
            </w:pPr>
            <w:r>
              <w:rPr>
                <w:rFonts w:ascii="宋体" w:hAnsi="宋体" w:eastAsia="宋体" w:cs="宋体"/>
                <w:b w:val="0"/>
              </w:rPr>
              <w:t>259,096.00</w:t>
            </w:r>
          </w:p>
        </w:tc>
        <w:tc>
          <w:tcPr>
            <w:tcW w:w="0" w:type="dxa"/>
            <w:vAlign w:val="center"/>
          </w:tcPr>
          <w:p w14:paraId="66B5CD2C">
            <w:pPr>
              <w:spacing w:line="240" w:lineRule="auto"/>
              <w:jc w:val="right"/>
            </w:pPr>
            <w:r>
              <w:rPr>
                <w:rFonts w:ascii="宋体" w:hAnsi="宋体" w:eastAsia="宋体" w:cs="宋体"/>
                <w:b w:val="0"/>
              </w:rPr>
              <w:t>2.34</w:t>
            </w:r>
          </w:p>
        </w:tc>
      </w:tr>
      <w:tr w14:paraId="27A6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FD64C9">
            <w:pPr>
              <w:spacing w:line="240" w:lineRule="auto"/>
              <w:jc w:val="center"/>
            </w:pPr>
            <w:r>
              <w:rPr>
                <w:rFonts w:ascii="宋体" w:hAnsi="宋体" w:eastAsia="宋体" w:cs="宋体"/>
                <w:b w:val="0"/>
              </w:rPr>
              <w:t>5</w:t>
            </w:r>
          </w:p>
        </w:tc>
        <w:tc>
          <w:tcPr>
            <w:tcW w:w="0" w:type="dxa"/>
            <w:vAlign w:val="center"/>
          </w:tcPr>
          <w:p w14:paraId="0C4A81B8">
            <w:pPr>
              <w:spacing w:line="240" w:lineRule="auto"/>
              <w:jc w:val="left"/>
            </w:pPr>
            <w:r>
              <w:rPr>
                <w:rFonts w:ascii="宋体" w:hAnsi="宋体" w:eastAsia="宋体" w:cs="宋体"/>
                <w:b w:val="0"/>
              </w:rPr>
              <w:t>300593</w:t>
            </w:r>
          </w:p>
        </w:tc>
        <w:tc>
          <w:tcPr>
            <w:tcW w:w="0" w:type="dxa"/>
            <w:vAlign w:val="center"/>
          </w:tcPr>
          <w:p w14:paraId="5658505A">
            <w:pPr>
              <w:spacing w:line="240" w:lineRule="auto"/>
              <w:jc w:val="left"/>
            </w:pPr>
            <w:r>
              <w:rPr>
                <w:rFonts w:ascii="宋体" w:hAnsi="宋体" w:eastAsia="宋体" w:cs="宋体"/>
                <w:b w:val="0"/>
              </w:rPr>
              <w:t>新雷能</w:t>
            </w:r>
          </w:p>
        </w:tc>
        <w:tc>
          <w:tcPr>
            <w:tcW w:w="0" w:type="dxa"/>
            <w:vAlign w:val="center"/>
          </w:tcPr>
          <w:p w14:paraId="5418A342">
            <w:pPr>
              <w:spacing w:line="240" w:lineRule="auto"/>
              <w:jc w:val="right"/>
            </w:pPr>
            <w:r>
              <w:rPr>
                <w:rFonts w:ascii="宋体" w:hAnsi="宋体" w:eastAsia="宋体" w:cs="宋体"/>
                <w:b w:val="0"/>
              </w:rPr>
              <w:t>254,230.00</w:t>
            </w:r>
          </w:p>
        </w:tc>
        <w:tc>
          <w:tcPr>
            <w:tcW w:w="0" w:type="dxa"/>
            <w:vAlign w:val="center"/>
          </w:tcPr>
          <w:p w14:paraId="3549357D">
            <w:pPr>
              <w:spacing w:line="240" w:lineRule="auto"/>
              <w:jc w:val="right"/>
            </w:pPr>
            <w:r>
              <w:rPr>
                <w:rFonts w:ascii="宋体" w:hAnsi="宋体" w:eastAsia="宋体" w:cs="宋体"/>
                <w:b w:val="0"/>
              </w:rPr>
              <w:t>2.30</w:t>
            </w:r>
          </w:p>
        </w:tc>
      </w:tr>
      <w:tr w14:paraId="6AF6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63D3BE">
            <w:pPr>
              <w:spacing w:line="240" w:lineRule="auto"/>
              <w:jc w:val="center"/>
            </w:pPr>
            <w:r>
              <w:rPr>
                <w:rFonts w:ascii="宋体" w:hAnsi="宋体" w:eastAsia="宋体" w:cs="宋体"/>
                <w:b w:val="0"/>
              </w:rPr>
              <w:t>6</w:t>
            </w:r>
          </w:p>
        </w:tc>
        <w:tc>
          <w:tcPr>
            <w:tcW w:w="0" w:type="dxa"/>
            <w:vAlign w:val="center"/>
          </w:tcPr>
          <w:p w14:paraId="04A25C56">
            <w:pPr>
              <w:spacing w:line="240" w:lineRule="auto"/>
              <w:jc w:val="left"/>
            </w:pPr>
            <w:r>
              <w:rPr>
                <w:rFonts w:ascii="宋体" w:hAnsi="宋体" w:eastAsia="宋体" w:cs="宋体"/>
                <w:b w:val="0"/>
              </w:rPr>
              <w:t>002008</w:t>
            </w:r>
          </w:p>
        </w:tc>
        <w:tc>
          <w:tcPr>
            <w:tcW w:w="0" w:type="dxa"/>
            <w:vAlign w:val="center"/>
          </w:tcPr>
          <w:p w14:paraId="1E42BEFD">
            <w:pPr>
              <w:spacing w:line="240" w:lineRule="auto"/>
              <w:jc w:val="left"/>
            </w:pPr>
            <w:r>
              <w:rPr>
                <w:rFonts w:ascii="宋体" w:hAnsi="宋体" w:eastAsia="宋体" w:cs="宋体"/>
                <w:b w:val="0"/>
              </w:rPr>
              <w:t>大族激光</w:t>
            </w:r>
          </w:p>
        </w:tc>
        <w:tc>
          <w:tcPr>
            <w:tcW w:w="0" w:type="dxa"/>
            <w:vAlign w:val="center"/>
          </w:tcPr>
          <w:p w14:paraId="52BD92F2">
            <w:pPr>
              <w:spacing w:line="240" w:lineRule="auto"/>
              <w:jc w:val="right"/>
            </w:pPr>
            <w:r>
              <w:rPr>
                <w:rFonts w:ascii="宋体" w:hAnsi="宋体" w:eastAsia="宋体" w:cs="宋体"/>
                <w:b w:val="0"/>
              </w:rPr>
              <w:t>240,837.00</w:t>
            </w:r>
          </w:p>
        </w:tc>
        <w:tc>
          <w:tcPr>
            <w:tcW w:w="0" w:type="dxa"/>
            <w:vAlign w:val="center"/>
          </w:tcPr>
          <w:p w14:paraId="536B8E27">
            <w:pPr>
              <w:spacing w:line="240" w:lineRule="auto"/>
              <w:jc w:val="right"/>
            </w:pPr>
            <w:r>
              <w:rPr>
                <w:rFonts w:ascii="宋体" w:hAnsi="宋体" w:eastAsia="宋体" w:cs="宋体"/>
                <w:b w:val="0"/>
              </w:rPr>
              <w:t>2.18</w:t>
            </w:r>
          </w:p>
        </w:tc>
      </w:tr>
      <w:tr w14:paraId="14B7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760259">
            <w:pPr>
              <w:spacing w:line="240" w:lineRule="auto"/>
              <w:jc w:val="center"/>
            </w:pPr>
            <w:r>
              <w:rPr>
                <w:rFonts w:ascii="宋体" w:hAnsi="宋体" w:eastAsia="宋体" w:cs="宋体"/>
                <w:b w:val="0"/>
              </w:rPr>
              <w:t>7</w:t>
            </w:r>
          </w:p>
        </w:tc>
        <w:tc>
          <w:tcPr>
            <w:tcW w:w="0" w:type="dxa"/>
            <w:vAlign w:val="center"/>
          </w:tcPr>
          <w:p w14:paraId="5B74B496">
            <w:pPr>
              <w:spacing w:line="240" w:lineRule="auto"/>
              <w:jc w:val="left"/>
            </w:pPr>
            <w:r>
              <w:rPr>
                <w:rFonts w:ascii="宋体" w:hAnsi="宋体" w:eastAsia="宋体" w:cs="宋体"/>
                <w:b w:val="0"/>
              </w:rPr>
              <w:t>002281</w:t>
            </w:r>
          </w:p>
        </w:tc>
        <w:tc>
          <w:tcPr>
            <w:tcW w:w="0" w:type="dxa"/>
            <w:vAlign w:val="center"/>
          </w:tcPr>
          <w:p w14:paraId="3061BC7C">
            <w:pPr>
              <w:spacing w:line="240" w:lineRule="auto"/>
              <w:jc w:val="left"/>
            </w:pPr>
            <w:r>
              <w:rPr>
                <w:rFonts w:ascii="宋体" w:hAnsi="宋体" w:eastAsia="宋体" w:cs="宋体"/>
                <w:b w:val="0"/>
              </w:rPr>
              <w:t>光迅科技</w:t>
            </w:r>
          </w:p>
        </w:tc>
        <w:tc>
          <w:tcPr>
            <w:tcW w:w="0" w:type="dxa"/>
            <w:vAlign w:val="center"/>
          </w:tcPr>
          <w:p w14:paraId="1C756FDD">
            <w:pPr>
              <w:spacing w:line="240" w:lineRule="auto"/>
              <w:jc w:val="right"/>
            </w:pPr>
            <w:r>
              <w:rPr>
                <w:rFonts w:ascii="宋体" w:hAnsi="宋体" w:eastAsia="宋体" w:cs="宋体"/>
                <w:b w:val="0"/>
              </w:rPr>
              <w:t>215,653.00</w:t>
            </w:r>
          </w:p>
        </w:tc>
        <w:tc>
          <w:tcPr>
            <w:tcW w:w="0" w:type="dxa"/>
            <w:vAlign w:val="center"/>
          </w:tcPr>
          <w:p w14:paraId="0213BE14">
            <w:pPr>
              <w:spacing w:line="240" w:lineRule="auto"/>
              <w:jc w:val="right"/>
            </w:pPr>
            <w:r>
              <w:rPr>
                <w:rFonts w:ascii="宋体" w:hAnsi="宋体" w:eastAsia="宋体" w:cs="宋体"/>
                <w:b w:val="0"/>
              </w:rPr>
              <w:t>1.95</w:t>
            </w:r>
          </w:p>
        </w:tc>
      </w:tr>
      <w:tr w14:paraId="1E7B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1A3B26">
            <w:pPr>
              <w:spacing w:line="240" w:lineRule="auto"/>
              <w:jc w:val="center"/>
            </w:pPr>
            <w:r>
              <w:rPr>
                <w:rFonts w:ascii="宋体" w:hAnsi="宋体" w:eastAsia="宋体" w:cs="宋体"/>
                <w:b w:val="0"/>
              </w:rPr>
              <w:t>8</w:t>
            </w:r>
          </w:p>
        </w:tc>
        <w:tc>
          <w:tcPr>
            <w:tcW w:w="0" w:type="dxa"/>
            <w:vAlign w:val="center"/>
          </w:tcPr>
          <w:p w14:paraId="55F7F84C">
            <w:pPr>
              <w:spacing w:line="240" w:lineRule="auto"/>
              <w:jc w:val="left"/>
            </w:pPr>
            <w:r>
              <w:rPr>
                <w:rFonts w:ascii="宋体" w:hAnsi="宋体" w:eastAsia="宋体" w:cs="宋体"/>
                <w:b w:val="0"/>
              </w:rPr>
              <w:t>002138</w:t>
            </w:r>
          </w:p>
        </w:tc>
        <w:tc>
          <w:tcPr>
            <w:tcW w:w="0" w:type="dxa"/>
            <w:vAlign w:val="center"/>
          </w:tcPr>
          <w:p w14:paraId="09550532">
            <w:pPr>
              <w:spacing w:line="240" w:lineRule="auto"/>
              <w:jc w:val="left"/>
            </w:pPr>
            <w:r>
              <w:rPr>
                <w:rFonts w:ascii="宋体" w:hAnsi="宋体" w:eastAsia="宋体" w:cs="宋体"/>
                <w:b w:val="0"/>
              </w:rPr>
              <w:t>顺络电子</w:t>
            </w:r>
          </w:p>
        </w:tc>
        <w:tc>
          <w:tcPr>
            <w:tcW w:w="0" w:type="dxa"/>
            <w:vAlign w:val="center"/>
          </w:tcPr>
          <w:p w14:paraId="302F4278">
            <w:pPr>
              <w:spacing w:line="240" w:lineRule="auto"/>
              <w:jc w:val="right"/>
            </w:pPr>
            <w:r>
              <w:rPr>
                <w:rFonts w:ascii="宋体" w:hAnsi="宋体" w:eastAsia="宋体" w:cs="宋体"/>
                <w:b w:val="0"/>
              </w:rPr>
              <w:t>213,037.00</w:t>
            </w:r>
          </w:p>
        </w:tc>
        <w:tc>
          <w:tcPr>
            <w:tcW w:w="0" w:type="dxa"/>
            <w:vAlign w:val="center"/>
          </w:tcPr>
          <w:p w14:paraId="5D14C6BA">
            <w:pPr>
              <w:spacing w:line="240" w:lineRule="auto"/>
              <w:jc w:val="right"/>
            </w:pPr>
            <w:r>
              <w:rPr>
                <w:rFonts w:ascii="宋体" w:hAnsi="宋体" w:eastAsia="宋体" w:cs="宋体"/>
                <w:b w:val="0"/>
              </w:rPr>
              <w:t>1.93</w:t>
            </w:r>
          </w:p>
        </w:tc>
      </w:tr>
      <w:tr w14:paraId="25CD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42560C">
            <w:pPr>
              <w:spacing w:line="240" w:lineRule="auto"/>
              <w:jc w:val="center"/>
            </w:pPr>
            <w:r>
              <w:rPr>
                <w:rFonts w:ascii="宋体" w:hAnsi="宋体" w:eastAsia="宋体" w:cs="宋体"/>
                <w:b w:val="0"/>
              </w:rPr>
              <w:t>9</w:t>
            </w:r>
          </w:p>
        </w:tc>
        <w:tc>
          <w:tcPr>
            <w:tcW w:w="0" w:type="dxa"/>
            <w:vAlign w:val="center"/>
          </w:tcPr>
          <w:p w14:paraId="14B23B01">
            <w:pPr>
              <w:spacing w:line="240" w:lineRule="auto"/>
              <w:jc w:val="left"/>
            </w:pPr>
            <w:r>
              <w:rPr>
                <w:rFonts w:ascii="宋体" w:hAnsi="宋体" w:eastAsia="宋体" w:cs="宋体"/>
                <w:b w:val="0"/>
              </w:rPr>
              <w:t>300548</w:t>
            </w:r>
          </w:p>
        </w:tc>
        <w:tc>
          <w:tcPr>
            <w:tcW w:w="0" w:type="dxa"/>
            <w:vAlign w:val="center"/>
          </w:tcPr>
          <w:p w14:paraId="50ABE0FD">
            <w:pPr>
              <w:spacing w:line="240" w:lineRule="auto"/>
              <w:jc w:val="left"/>
            </w:pPr>
            <w:r>
              <w:rPr>
                <w:rFonts w:ascii="宋体" w:hAnsi="宋体" w:eastAsia="宋体" w:cs="宋体"/>
                <w:b w:val="0"/>
              </w:rPr>
              <w:t>长芯博创</w:t>
            </w:r>
          </w:p>
        </w:tc>
        <w:tc>
          <w:tcPr>
            <w:tcW w:w="0" w:type="dxa"/>
            <w:vAlign w:val="center"/>
          </w:tcPr>
          <w:p w14:paraId="14B1DCC9">
            <w:pPr>
              <w:spacing w:line="240" w:lineRule="auto"/>
              <w:jc w:val="right"/>
            </w:pPr>
            <w:r>
              <w:rPr>
                <w:rFonts w:ascii="宋体" w:hAnsi="宋体" w:eastAsia="宋体" w:cs="宋体"/>
                <w:b w:val="0"/>
              </w:rPr>
              <w:t>207,450.00</w:t>
            </w:r>
          </w:p>
        </w:tc>
        <w:tc>
          <w:tcPr>
            <w:tcW w:w="0" w:type="dxa"/>
            <w:vAlign w:val="center"/>
          </w:tcPr>
          <w:p w14:paraId="4370ABC4">
            <w:pPr>
              <w:spacing w:line="240" w:lineRule="auto"/>
              <w:jc w:val="right"/>
            </w:pPr>
            <w:r>
              <w:rPr>
                <w:rFonts w:ascii="宋体" w:hAnsi="宋体" w:eastAsia="宋体" w:cs="宋体"/>
                <w:b w:val="0"/>
              </w:rPr>
              <w:t>1.88</w:t>
            </w:r>
          </w:p>
        </w:tc>
      </w:tr>
      <w:tr w14:paraId="6EE2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53BDEE">
            <w:pPr>
              <w:spacing w:line="240" w:lineRule="auto"/>
              <w:jc w:val="center"/>
            </w:pPr>
            <w:r>
              <w:rPr>
                <w:rFonts w:ascii="宋体" w:hAnsi="宋体" w:eastAsia="宋体" w:cs="宋体"/>
                <w:b w:val="0"/>
              </w:rPr>
              <w:t>10</w:t>
            </w:r>
          </w:p>
        </w:tc>
        <w:tc>
          <w:tcPr>
            <w:tcW w:w="0" w:type="dxa"/>
            <w:vAlign w:val="center"/>
          </w:tcPr>
          <w:p w14:paraId="6C05A6E4">
            <w:pPr>
              <w:spacing w:line="240" w:lineRule="auto"/>
              <w:jc w:val="left"/>
            </w:pPr>
            <w:r>
              <w:rPr>
                <w:rFonts w:ascii="宋体" w:hAnsi="宋体" w:eastAsia="宋体" w:cs="宋体"/>
                <w:b w:val="0"/>
              </w:rPr>
              <w:t>600183</w:t>
            </w:r>
          </w:p>
        </w:tc>
        <w:tc>
          <w:tcPr>
            <w:tcW w:w="0" w:type="dxa"/>
            <w:vAlign w:val="center"/>
          </w:tcPr>
          <w:p w14:paraId="2D50B351">
            <w:pPr>
              <w:spacing w:line="240" w:lineRule="auto"/>
              <w:jc w:val="left"/>
            </w:pPr>
            <w:r>
              <w:rPr>
                <w:rFonts w:ascii="宋体" w:hAnsi="宋体" w:eastAsia="宋体" w:cs="宋体"/>
                <w:b w:val="0"/>
              </w:rPr>
              <w:t>生益科技</w:t>
            </w:r>
          </w:p>
        </w:tc>
        <w:tc>
          <w:tcPr>
            <w:tcW w:w="0" w:type="dxa"/>
            <w:vAlign w:val="center"/>
          </w:tcPr>
          <w:p w14:paraId="5C74743D">
            <w:pPr>
              <w:spacing w:line="240" w:lineRule="auto"/>
              <w:jc w:val="right"/>
            </w:pPr>
            <w:r>
              <w:rPr>
                <w:rFonts w:ascii="宋体" w:hAnsi="宋体" w:eastAsia="宋体" w:cs="宋体"/>
                <w:b w:val="0"/>
              </w:rPr>
              <w:t>202,527.00</w:t>
            </w:r>
          </w:p>
        </w:tc>
        <w:tc>
          <w:tcPr>
            <w:tcW w:w="0" w:type="dxa"/>
            <w:vAlign w:val="center"/>
          </w:tcPr>
          <w:p w14:paraId="69DEAAAA">
            <w:pPr>
              <w:spacing w:line="240" w:lineRule="auto"/>
              <w:jc w:val="right"/>
            </w:pPr>
            <w:r>
              <w:rPr>
                <w:rFonts w:ascii="宋体" w:hAnsi="宋体" w:eastAsia="宋体" w:cs="宋体"/>
                <w:b w:val="0"/>
              </w:rPr>
              <w:t>1.83</w:t>
            </w:r>
          </w:p>
        </w:tc>
      </w:tr>
      <w:tr w14:paraId="5FD9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F0021F">
            <w:pPr>
              <w:spacing w:line="240" w:lineRule="auto"/>
              <w:jc w:val="center"/>
            </w:pPr>
            <w:r>
              <w:rPr>
                <w:rFonts w:ascii="宋体" w:hAnsi="宋体" w:eastAsia="宋体" w:cs="宋体"/>
                <w:b w:val="0"/>
              </w:rPr>
              <w:t>11</w:t>
            </w:r>
          </w:p>
        </w:tc>
        <w:tc>
          <w:tcPr>
            <w:tcW w:w="0" w:type="dxa"/>
            <w:vAlign w:val="center"/>
          </w:tcPr>
          <w:p w14:paraId="50F78B66">
            <w:pPr>
              <w:spacing w:line="240" w:lineRule="auto"/>
              <w:jc w:val="left"/>
            </w:pPr>
            <w:r>
              <w:rPr>
                <w:rFonts w:ascii="宋体" w:hAnsi="宋体" w:eastAsia="宋体" w:cs="宋体"/>
                <w:b w:val="0"/>
              </w:rPr>
              <w:t>000070</w:t>
            </w:r>
          </w:p>
        </w:tc>
        <w:tc>
          <w:tcPr>
            <w:tcW w:w="0" w:type="dxa"/>
            <w:vAlign w:val="center"/>
          </w:tcPr>
          <w:p w14:paraId="10D96DE8">
            <w:pPr>
              <w:spacing w:line="240" w:lineRule="auto"/>
              <w:jc w:val="left"/>
            </w:pPr>
            <w:r>
              <w:rPr>
                <w:rFonts w:ascii="宋体" w:hAnsi="宋体" w:eastAsia="宋体" w:cs="宋体"/>
                <w:b w:val="0"/>
              </w:rPr>
              <w:t>特发信息</w:t>
            </w:r>
          </w:p>
        </w:tc>
        <w:tc>
          <w:tcPr>
            <w:tcW w:w="0" w:type="dxa"/>
            <w:vAlign w:val="center"/>
          </w:tcPr>
          <w:p w14:paraId="6B589A1A">
            <w:pPr>
              <w:spacing w:line="240" w:lineRule="auto"/>
              <w:jc w:val="right"/>
            </w:pPr>
            <w:r>
              <w:rPr>
                <w:rFonts w:ascii="宋体" w:hAnsi="宋体" w:eastAsia="宋体" w:cs="宋体"/>
                <w:b w:val="0"/>
              </w:rPr>
              <w:t>170,024.00</w:t>
            </w:r>
          </w:p>
        </w:tc>
        <w:tc>
          <w:tcPr>
            <w:tcW w:w="0" w:type="dxa"/>
            <w:vAlign w:val="center"/>
          </w:tcPr>
          <w:p w14:paraId="22664F43">
            <w:pPr>
              <w:spacing w:line="240" w:lineRule="auto"/>
              <w:jc w:val="right"/>
            </w:pPr>
            <w:r>
              <w:rPr>
                <w:rFonts w:ascii="宋体" w:hAnsi="宋体" w:eastAsia="宋体" w:cs="宋体"/>
                <w:b w:val="0"/>
              </w:rPr>
              <w:t>1.54</w:t>
            </w:r>
          </w:p>
        </w:tc>
      </w:tr>
      <w:tr w14:paraId="11B2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1FA6A8">
            <w:pPr>
              <w:spacing w:line="240" w:lineRule="auto"/>
              <w:jc w:val="center"/>
            </w:pPr>
            <w:r>
              <w:rPr>
                <w:rFonts w:ascii="宋体" w:hAnsi="宋体" w:eastAsia="宋体" w:cs="宋体"/>
                <w:b w:val="0"/>
              </w:rPr>
              <w:t>12</w:t>
            </w:r>
          </w:p>
        </w:tc>
        <w:tc>
          <w:tcPr>
            <w:tcW w:w="0" w:type="dxa"/>
            <w:vAlign w:val="center"/>
          </w:tcPr>
          <w:p w14:paraId="441C96DF">
            <w:pPr>
              <w:spacing w:line="240" w:lineRule="auto"/>
              <w:jc w:val="left"/>
            </w:pPr>
            <w:r>
              <w:rPr>
                <w:rFonts w:ascii="宋体" w:hAnsi="宋体" w:eastAsia="宋体" w:cs="宋体"/>
                <w:b w:val="0"/>
              </w:rPr>
              <w:t>688072</w:t>
            </w:r>
          </w:p>
        </w:tc>
        <w:tc>
          <w:tcPr>
            <w:tcW w:w="0" w:type="dxa"/>
            <w:vAlign w:val="center"/>
          </w:tcPr>
          <w:p w14:paraId="600183AA">
            <w:pPr>
              <w:spacing w:line="240" w:lineRule="auto"/>
              <w:jc w:val="left"/>
            </w:pPr>
            <w:r>
              <w:rPr>
                <w:rFonts w:ascii="宋体" w:hAnsi="宋体" w:eastAsia="宋体" w:cs="宋体"/>
                <w:b w:val="0"/>
              </w:rPr>
              <w:t>拓荆科技</w:t>
            </w:r>
          </w:p>
        </w:tc>
        <w:tc>
          <w:tcPr>
            <w:tcW w:w="0" w:type="dxa"/>
            <w:vAlign w:val="center"/>
          </w:tcPr>
          <w:p w14:paraId="4C18E8B0">
            <w:pPr>
              <w:spacing w:line="240" w:lineRule="auto"/>
              <w:jc w:val="right"/>
            </w:pPr>
            <w:r>
              <w:rPr>
                <w:rFonts w:ascii="宋体" w:hAnsi="宋体" w:eastAsia="宋体" w:cs="宋体"/>
                <w:b w:val="0"/>
              </w:rPr>
              <w:t>159,852.00</w:t>
            </w:r>
          </w:p>
        </w:tc>
        <w:tc>
          <w:tcPr>
            <w:tcW w:w="0" w:type="dxa"/>
            <w:vAlign w:val="center"/>
          </w:tcPr>
          <w:p w14:paraId="3C268A52">
            <w:pPr>
              <w:spacing w:line="240" w:lineRule="auto"/>
              <w:jc w:val="right"/>
            </w:pPr>
            <w:r>
              <w:rPr>
                <w:rFonts w:ascii="宋体" w:hAnsi="宋体" w:eastAsia="宋体" w:cs="宋体"/>
                <w:b w:val="0"/>
              </w:rPr>
              <w:t>1.45</w:t>
            </w:r>
          </w:p>
        </w:tc>
      </w:tr>
    </w:tbl>
    <w:p w14:paraId="0EC9D1B8">
      <w:r>
        <w:rPr>
          <w:rFonts w:ascii="宋体" w:hAnsi="宋体" w:eastAsia="宋体" w:cs="宋体"/>
          <w:b w:val="0"/>
        </w:rPr>
        <w:t>注："买入"包括二级市场上主动的买入、新股、配股、债转股、换股及行权等获得的股票。"买入金额"均按买入成交金额（成交单价乘以成交数量）填列，不考虑相关交易费用。</w:t>
      </w:r>
    </w:p>
    <w:p w14:paraId="2947ABD4"/>
    <w:p w14:paraId="7CF7E63F">
      <w:pPr>
        <w:pStyle w:val="58"/>
      </w:pPr>
      <w:r>
        <w:rPr>
          <w:rFonts w:ascii="宋体" w:hAnsi="宋体" w:eastAsia="宋体" w:cs="宋体"/>
          <w:b/>
        </w:rPr>
        <w:t>7.4.2 累计卖出金额超出期末基金资产净值2%或前20名的股票明细</w:t>
      </w:r>
    </w:p>
    <w:p w14:paraId="39CA967A">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0429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59E1C2F3">
            <w:pPr>
              <w:spacing w:line="240" w:lineRule="auto"/>
              <w:jc w:val="center"/>
            </w:pPr>
            <w:r>
              <w:rPr>
                <w:rFonts w:ascii="宋体" w:hAnsi="宋体" w:eastAsia="宋体" w:cs="宋体"/>
                <w:b w:val="0"/>
              </w:rPr>
              <w:t>序号</w:t>
            </w:r>
          </w:p>
        </w:tc>
        <w:tc>
          <w:tcPr>
            <w:tcW w:w="769" w:type="pct"/>
            <w:shd w:val="clear" w:color="auto" w:fill="D9D9D9"/>
            <w:vAlign w:val="center"/>
          </w:tcPr>
          <w:p w14:paraId="2AFD8F7F">
            <w:pPr>
              <w:spacing w:line="240" w:lineRule="auto"/>
              <w:jc w:val="center"/>
            </w:pPr>
            <w:r>
              <w:rPr>
                <w:rFonts w:ascii="宋体" w:hAnsi="宋体" w:eastAsia="宋体" w:cs="宋体"/>
                <w:b w:val="0"/>
              </w:rPr>
              <w:t>股票代码</w:t>
            </w:r>
          </w:p>
        </w:tc>
        <w:tc>
          <w:tcPr>
            <w:tcW w:w="769" w:type="pct"/>
            <w:shd w:val="clear" w:color="auto" w:fill="D9D9D9"/>
            <w:vAlign w:val="center"/>
          </w:tcPr>
          <w:p w14:paraId="2B090AC0">
            <w:pPr>
              <w:spacing w:line="240" w:lineRule="auto"/>
              <w:jc w:val="center"/>
            </w:pPr>
            <w:r>
              <w:rPr>
                <w:rFonts w:ascii="宋体" w:hAnsi="宋体" w:eastAsia="宋体" w:cs="宋体"/>
                <w:b w:val="0"/>
              </w:rPr>
              <w:t>股票名称</w:t>
            </w:r>
          </w:p>
        </w:tc>
        <w:tc>
          <w:tcPr>
            <w:tcW w:w="769" w:type="pct"/>
            <w:shd w:val="clear" w:color="auto" w:fill="D9D9D9"/>
            <w:vAlign w:val="center"/>
          </w:tcPr>
          <w:p w14:paraId="20199CC9">
            <w:pPr>
              <w:spacing w:line="240" w:lineRule="auto"/>
              <w:jc w:val="center"/>
            </w:pPr>
            <w:r>
              <w:rPr>
                <w:rFonts w:ascii="宋体" w:hAnsi="宋体" w:eastAsia="宋体" w:cs="宋体"/>
                <w:b w:val="0"/>
              </w:rPr>
              <w:t>本期累计卖出金额</w:t>
            </w:r>
          </w:p>
        </w:tc>
        <w:tc>
          <w:tcPr>
            <w:tcW w:w="1538" w:type="pct"/>
            <w:shd w:val="clear" w:color="auto" w:fill="D9D9D9"/>
            <w:vAlign w:val="center"/>
          </w:tcPr>
          <w:p w14:paraId="6D157CE4">
            <w:pPr>
              <w:spacing w:line="240" w:lineRule="auto"/>
              <w:jc w:val="center"/>
            </w:pPr>
            <w:r>
              <w:rPr>
                <w:rFonts w:ascii="宋体" w:hAnsi="宋体" w:eastAsia="宋体" w:cs="宋体"/>
                <w:b w:val="0"/>
              </w:rPr>
              <w:t>占期末基金资产净值比例（％）</w:t>
            </w:r>
          </w:p>
        </w:tc>
      </w:tr>
      <w:tr w14:paraId="61C6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643850">
            <w:pPr>
              <w:spacing w:line="240" w:lineRule="auto"/>
              <w:jc w:val="center"/>
            </w:pPr>
            <w:r>
              <w:rPr>
                <w:rFonts w:ascii="宋体" w:hAnsi="宋体" w:eastAsia="宋体" w:cs="宋体"/>
                <w:b w:val="0"/>
              </w:rPr>
              <w:t>1</w:t>
            </w:r>
          </w:p>
        </w:tc>
        <w:tc>
          <w:tcPr>
            <w:tcW w:w="0" w:type="dxa"/>
            <w:vAlign w:val="center"/>
          </w:tcPr>
          <w:p w14:paraId="1CFD37B9">
            <w:pPr>
              <w:spacing w:line="240" w:lineRule="auto"/>
              <w:jc w:val="left"/>
            </w:pPr>
            <w:r>
              <w:rPr>
                <w:rFonts w:ascii="宋体" w:hAnsi="宋体" w:eastAsia="宋体" w:cs="宋体"/>
                <w:b w:val="0"/>
              </w:rPr>
              <w:t>300502</w:t>
            </w:r>
          </w:p>
        </w:tc>
        <w:tc>
          <w:tcPr>
            <w:tcW w:w="0" w:type="dxa"/>
            <w:vAlign w:val="center"/>
          </w:tcPr>
          <w:p w14:paraId="39C983D9">
            <w:pPr>
              <w:spacing w:line="240" w:lineRule="auto"/>
              <w:jc w:val="left"/>
            </w:pPr>
            <w:r>
              <w:rPr>
                <w:rFonts w:ascii="宋体" w:hAnsi="宋体" w:eastAsia="宋体" w:cs="宋体"/>
                <w:b w:val="0"/>
              </w:rPr>
              <w:t>新易盛</w:t>
            </w:r>
          </w:p>
        </w:tc>
        <w:tc>
          <w:tcPr>
            <w:tcW w:w="0" w:type="dxa"/>
            <w:vAlign w:val="center"/>
          </w:tcPr>
          <w:p w14:paraId="6AE364B5">
            <w:pPr>
              <w:spacing w:line="240" w:lineRule="auto"/>
              <w:jc w:val="right"/>
            </w:pPr>
            <w:r>
              <w:rPr>
                <w:rFonts w:ascii="宋体" w:hAnsi="宋体" w:eastAsia="宋体" w:cs="宋体"/>
                <w:b w:val="0"/>
              </w:rPr>
              <w:t>276,305.00</w:t>
            </w:r>
          </w:p>
        </w:tc>
        <w:tc>
          <w:tcPr>
            <w:tcW w:w="0" w:type="dxa"/>
            <w:vAlign w:val="center"/>
          </w:tcPr>
          <w:p w14:paraId="3A58E779">
            <w:pPr>
              <w:spacing w:line="240" w:lineRule="auto"/>
              <w:jc w:val="right"/>
            </w:pPr>
            <w:r>
              <w:rPr>
                <w:rFonts w:ascii="宋体" w:hAnsi="宋体" w:eastAsia="宋体" w:cs="宋体"/>
                <w:b w:val="0"/>
              </w:rPr>
              <w:t>2.50</w:t>
            </w:r>
          </w:p>
        </w:tc>
      </w:tr>
      <w:tr w14:paraId="7388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61892C">
            <w:pPr>
              <w:spacing w:line="240" w:lineRule="auto"/>
              <w:jc w:val="center"/>
            </w:pPr>
            <w:r>
              <w:rPr>
                <w:rFonts w:ascii="宋体" w:hAnsi="宋体" w:eastAsia="宋体" w:cs="宋体"/>
                <w:b w:val="0"/>
              </w:rPr>
              <w:t>2</w:t>
            </w:r>
          </w:p>
        </w:tc>
        <w:tc>
          <w:tcPr>
            <w:tcW w:w="0" w:type="dxa"/>
            <w:vAlign w:val="center"/>
          </w:tcPr>
          <w:p w14:paraId="51FE990C">
            <w:pPr>
              <w:spacing w:line="240" w:lineRule="auto"/>
              <w:jc w:val="left"/>
            </w:pPr>
            <w:r>
              <w:rPr>
                <w:rFonts w:ascii="宋体" w:hAnsi="宋体" w:eastAsia="宋体" w:cs="宋体"/>
                <w:b w:val="0"/>
              </w:rPr>
              <w:t>600183</w:t>
            </w:r>
          </w:p>
        </w:tc>
        <w:tc>
          <w:tcPr>
            <w:tcW w:w="0" w:type="dxa"/>
            <w:vAlign w:val="center"/>
          </w:tcPr>
          <w:p w14:paraId="2FE68A8B">
            <w:pPr>
              <w:spacing w:line="240" w:lineRule="auto"/>
              <w:jc w:val="left"/>
            </w:pPr>
            <w:r>
              <w:rPr>
                <w:rFonts w:ascii="宋体" w:hAnsi="宋体" w:eastAsia="宋体" w:cs="宋体"/>
                <w:b w:val="0"/>
              </w:rPr>
              <w:t>生益科技</w:t>
            </w:r>
          </w:p>
        </w:tc>
        <w:tc>
          <w:tcPr>
            <w:tcW w:w="0" w:type="dxa"/>
            <w:vAlign w:val="center"/>
          </w:tcPr>
          <w:p w14:paraId="6F53BD85">
            <w:pPr>
              <w:spacing w:line="240" w:lineRule="auto"/>
              <w:jc w:val="right"/>
            </w:pPr>
            <w:r>
              <w:rPr>
                <w:rFonts w:ascii="宋体" w:hAnsi="宋体" w:eastAsia="宋体" w:cs="宋体"/>
                <w:b w:val="0"/>
              </w:rPr>
              <w:t>230,097.00</w:t>
            </w:r>
          </w:p>
        </w:tc>
        <w:tc>
          <w:tcPr>
            <w:tcW w:w="0" w:type="dxa"/>
            <w:vAlign w:val="center"/>
          </w:tcPr>
          <w:p w14:paraId="52E9A871">
            <w:pPr>
              <w:spacing w:line="240" w:lineRule="auto"/>
              <w:jc w:val="right"/>
            </w:pPr>
            <w:r>
              <w:rPr>
                <w:rFonts w:ascii="宋体" w:hAnsi="宋体" w:eastAsia="宋体" w:cs="宋体"/>
                <w:b w:val="0"/>
              </w:rPr>
              <w:t>2.08</w:t>
            </w:r>
          </w:p>
        </w:tc>
      </w:tr>
      <w:tr w14:paraId="2200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D619BE">
            <w:pPr>
              <w:spacing w:line="240" w:lineRule="auto"/>
              <w:jc w:val="center"/>
            </w:pPr>
            <w:r>
              <w:rPr>
                <w:rFonts w:ascii="宋体" w:hAnsi="宋体" w:eastAsia="宋体" w:cs="宋体"/>
                <w:b w:val="0"/>
              </w:rPr>
              <w:t>3</w:t>
            </w:r>
          </w:p>
        </w:tc>
        <w:tc>
          <w:tcPr>
            <w:tcW w:w="0" w:type="dxa"/>
            <w:vAlign w:val="center"/>
          </w:tcPr>
          <w:p w14:paraId="449200CA">
            <w:pPr>
              <w:spacing w:line="240" w:lineRule="auto"/>
              <w:jc w:val="left"/>
            </w:pPr>
            <w:r>
              <w:rPr>
                <w:rFonts w:ascii="宋体" w:hAnsi="宋体" w:eastAsia="宋体" w:cs="宋体"/>
                <w:b w:val="0"/>
              </w:rPr>
              <w:t>300593</w:t>
            </w:r>
          </w:p>
        </w:tc>
        <w:tc>
          <w:tcPr>
            <w:tcW w:w="0" w:type="dxa"/>
            <w:vAlign w:val="center"/>
          </w:tcPr>
          <w:p w14:paraId="0BC389E1">
            <w:pPr>
              <w:spacing w:line="240" w:lineRule="auto"/>
              <w:jc w:val="left"/>
            </w:pPr>
            <w:r>
              <w:rPr>
                <w:rFonts w:ascii="宋体" w:hAnsi="宋体" w:eastAsia="宋体" w:cs="宋体"/>
                <w:b w:val="0"/>
              </w:rPr>
              <w:t>新雷能</w:t>
            </w:r>
          </w:p>
        </w:tc>
        <w:tc>
          <w:tcPr>
            <w:tcW w:w="0" w:type="dxa"/>
            <w:vAlign w:val="center"/>
          </w:tcPr>
          <w:p w14:paraId="16E3AEEA">
            <w:pPr>
              <w:spacing w:line="240" w:lineRule="auto"/>
              <w:jc w:val="right"/>
            </w:pPr>
            <w:r>
              <w:rPr>
                <w:rFonts w:ascii="宋体" w:hAnsi="宋体" w:eastAsia="宋体" w:cs="宋体"/>
                <w:b w:val="0"/>
              </w:rPr>
              <w:t>211,204.00</w:t>
            </w:r>
          </w:p>
        </w:tc>
        <w:tc>
          <w:tcPr>
            <w:tcW w:w="0" w:type="dxa"/>
            <w:vAlign w:val="center"/>
          </w:tcPr>
          <w:p w14:paraId="42CDF46A">
            <w:pPr>
              <w:spacing w:line="240" w:lineRule="auto"/>
              <w:jc w:val="right"/>
            </w:pPr>
            <w:r>
              <w:rPr>
                <w:rFonts w:ascii="宋体" w:hAnsi="宋体" w:eastAsia="宋体" w:cs="宋体"/>
                <w:b w:val="0"/>
              </w:rPr>
              <w:t>1.91</w:t>
            </w:r>
          </w:p>
        </w:tc>
      </w:tr>
      <w:tr w14:paraId="1EB1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2B311E">
            <w:pPr>
              <w:spacing w:line="240" w:lineRule="auto"/>
              <w:jc w:val="center"/>
            </w:pPr>
            <w:r>
              <w:rPr>
                <w:rFonts w:ascii="宋体" w:hAnsi="宋体" w:eastAsia="宋体" w:cs="宋体"/>
                <w:b w:val="0"/>
              </w:rPr>
              <w:t>4</w:t>
            </w:r>
          </w:p>
        </w:tc>
        <w:tc>
          <w:tcPr>
            <w:tcW w:w="0" w:type="dxa"/>
            <w:vAlign w:val="center"/>
          </w:tcPr>
          <w:p w14:paraId="1CA3F149">
            <w:pPr>
              <w:spacing w:line="240" w:lineRule="auto"/>
              <w:jc w:val="left"/>
            </w:pPr>
            <w:r>
              <w:rPr>
                <w:rFonts w:ascii="宋体" w:hAnsi="宋体" w:eastAsia="宋体" w:cs="宋体"/>
                <w:b w:val="0"/>
              </w:rPr>
              <w:t>000070</w:t>
            </w:r>
          </w:p>
        </w:tc>
        <w:tc>
          <w:tcPr>
            <w:tcW w:w="0" w:type="dxa"/>
            <w:vAlign w:val="center"/>
          </w:tcPr>
          <w:p w14:paraId="1733811C">
            <w:pPr>
              <w:spacing w:line="240" w:lineRule="auto"/>
              <w:jc w:val="left"/>
            </w:pPr>
            <w:r>
              <w:rPr>
                <w:rFonts w:ascii="宋体" w:hAnsi="宋体" w:eastAsia="宋体" w:cs="宋体"/>
                <w:b w:val="0"/>
              </w:rPr>
              <w:t>特发信息</w:t>
            </w:r>
          </w:p>
        </w:tc>
        <w:tc>
          <w:tcPr>
            <w:tcW w:w="0" w:type="dxa"/>
            <w:vAlign w:val="center"/>
          </w:tcPr>
          <w:p w14:paraId="3E205F5F">
            <w:pPr>
              <w:spacing w:line="240" w:lineRule="auto"/>
              <w:jc w:val="right"/>
            </w:pPr>
            <w:r>
              <w:rPr>
                <w:rFonts w:ascii="宋体" w:hAnsi="宋体" w:eastAsia="宋体" w:cs="宋体"/>
                <w:b w:val="0"/>
              </w:rPr>
              <w:t>158,970.00</w:t>
            </w:r>
          </w:p>
        </w:tc>
        <w:tc>
          <w:tcPr>
            <w:tcW w:w="0" w:type="dxa"/>
            <w:vAlign w:val="center"/>
          </w:tcPr>
          <w:p w14:paraId="195D911B">
            <w:pPr>
              <w:spacing w:line="240" w:lineRule="auto"/>
              <w:jc w:val="right"/>
            </w:pPr>
            <w:r>
              <w:rPr>
                <w:rFonts w:ascii="宋体" w:hAnsi="宋体" w:eastAsia="宋体" w:cs="宋体"/>
                <w:b w:val="0"/>
              </w:rPr>
              <w:t>1.44</w:t>
            </w:r>
          </w:p>
        </w:tc>
      </w:tr>
      <w:tr w14:paraId="2DF7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F628F7">
            <w:pPr>
              <w:spacing w:line="240" w:lineRule="auto"/>
              <w:jc w:val="center"/>
            </w:pPr>
            <w:r>
              <w:rPr>
                <w:rFonts w:ascii="宋体" w:hAnsi="宋体" w:eastAsia="宋体" w:cs="宋体"/>
                <w:b w:val="0"/>
              </w:rPr>
              <w:t>5</w:t>
            </w:r>
          </w:p>
        </w:tc>
        <w:tc>
          <w:tcPr>
            <w:tcW w:w="0" w:type="dxa"/>
            <w:vAlign w:val="center"/>
          </w:tcPr>
          <w:p w14:paraId="72A3F62F">
            <w:pPr>
              <w:spacing w:line="240" w:lineRule="auto"/>
              <w:jc w:val="left"/>
            </w:pPr>
            <w:r>
              <w:rPr>
                <w:rFonts w:ascii="宋体" w:hAnsi="宋体" w:eastAsia="宋体" w:cs="宋体"/>
                <w:b w:val="0"/>
              </w:rPr>
              <w:t>688630</w:t>
            </w:r>
          </w:p>
        </w:tc>
        <w:tc>
          <w:tcPr>
            <w:tcW w:w="0" w:type="dxa"/>
            <w:vAlign w:val="center"/>
          </w:tcPr>
          <w:p w14:paraId="4501DBB2">
            <w:pPr>
              <w:spacing w:line="240" w:lineRule="auto"/>
              <w:jc w:val="left"/>
            </w:pPr>
            <w:r>
              <w:rPr>
                <w:rFonts w:ascii="宋体" w:hAnsi="宋体" w:eastAsia="宋体" w:cs="宋体"/>
                <w:b w:val="0"/>
              </w:rPr>
              <w:t>芯碁微装</w:t>
            </w:r>
          </w:p>
        </w:tc>
        <w:tc>
          <w:tcPr>
            <w:tcW w:w="0" w:type="dxa"/>
            <w:vAlign w:val="center"/>
          </w:tcPr>
          <w:p w14:paraId="3533631E">
            <w:pPr>
              <w:spacing w:line="240" w:lineRule="auto"/>
              <w:jc w:val="right"/>
            </w:pPr>
            <w:r>
              <w:rPr>
                <w:rFonts w:ascii="宋体" w:hAnsi="宋体" w:eastAsia="宋体" w:cs="宋体"/>
                <w:b w:val="0"/>
              </w:rPr>
              <w:t>98,148.00</w:t>
            </w:r>
          </w:p>
        </w:tc>
        <w:tc>
          <w:tcPr>
            <w:tcW w:w="0" w:type="dxa"/>
            <w:vAlign w:val="center"/>
          </w:tcPr>
          <w:p w14:paraId="7C2D15E3">
            <w:pPr>
              <w:spacing w:line="240" w:lineRule="auto"/>
              <w:jc w:val="right"/>
            </w:pPr>
            <w:r>
              <w:rPr>
                <w:rFonts w:ascii="宋体" w:hAnsi="宋体" w:eastAsia="宋体" w:cs="宋体"/>
                <w:b w:val="0"/>
              </w:rPr>
              <w:t>0.89</w:t>
            </w:r>
          </w:p>
        </w:tc>
      </w:tr>
      <w:tr w14:paraId="4E2F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D7C65A">
            <w:pPr>
              <w:spacing w:line="240" w:lineRule="auto"/>
              <w:jc w:val="center"/>
            </w:pPr>
            <w:r>
              <w:rPr>
                <w:rFonts w:ascii="宋体" w:hAnsi="宋体" w:eastAsia="宋体" w:cs="宋体"/>
                <w:b w:val="0"/>
              </w:rPr>
              <w:t>6</w:t>
            </w:r>
          </w:p>
        </w:tc>
        <w:tc>
          <w:tcPr>
            <w:tcW w:w="0" w:type="dxa"/>
            <w:vAlign w:val="center"/>
          </w:tcPr>
          <w:p w14:paraId="66EC893E">
            <w:pPr>
              <w:spacing w:line="240" w:lineRule="auto"/>
              <w:jc w:val="left"/>
            </w:pPr>
            <w:r>
              <w:rPr>
                <w:rFonts w:ascii="宋体" w:hAnsi="宋体" w:eastAsia="宋体" w:cs="宋体"/>
                <w:b w:val="0"/>
              </w:rPr>
              <w:t>603306</w:t>
            </w:r>
          </w:p>
        </w:tc>
        <w:tc>
          <w:tcPr>
            <w:tcW w:w="0" w:type="dxa"/>
            <w:vAlign w:val="center"/>
          </w:tcPr>
          <w:p w14:paraId="08FC7727">
            <w:pPr>
              <w:spacing w:line="240" w:lineRule="auto"/>
              <w:jc w:val="left"/>
            </w:pPr>
            <w:r>
              <w:rPr>
                <w:rFonts w:ascii="宋体" w:hAnsi="宋体" w:eastAsia="宋体" w:cs="宋体"/>
                <w:b w:val="0"/>
              </w:rPr>
              <w:t>华懋科技</w:t>
            </w:r>
          </w:p>
        </w:tc>
        <w:tc>
          <w:tcPr>
            <w:tcW w:w="0" w:type="dxa"/>
            <w:vAlign w:val="center"/>
          </w:tcPr>
          <w:p w14:paraId="62A54492">
            <w:pPr>
              <w:spacing w:line="240" w:lineRule="auto"/>
              <w:jc w:val="right"/>
            </w:pPr>
            <w:r>
              <w:rPr>
                <w:rFonts w:ascii="宋体" w:hAnsi="宋体" w:eastAsia="宋体" w:cs="宋体"/>
                <w:b w:val="0"/>
              </w:rPr>
              <w:t>52,150.00</w:t>
            </w:r>
          </w:p>
        </w:tc>
        <w:tc>
          <w:tcPr>
            <w:tcW w:w="0" w:type="dxa"/>
            <w:vAlign w:val="center"/>
          </w:tcPr>
          <w:p w14:paraId="105ADAC4">
            <w:pPr>
              <w:spacing w:line="240" w:lineRule="auto"/>
              <w:jc w:val="right"/>
            </w:pPr>
            <w:r>
              <w:rPr>
                <w:rFonts w:ascii="宋体" w:hAnsi="宋体" w:eastAsia="宋体" w:cs="宋体"/>
                <w:b w:val="0"/>
              </w:rPr>
              <w:t>0.47</w:t>
            </w:r>
          </w:p>
        </w:tc>
      </w:tr>
    </w:tbl>
    <w:p w14:paraId="1E8E0B28">
      <w:r>
        <w:rPr>
          <w:rFonts w:ascii="宋体" w:hAnsi="宋体" w:eastAsia="宋体" w:cs="宋体"/>
          <w:b w:val="0"/>
        </w:rPr>
        <w:t>注："卖出"包括二级市场上主动的卖出、换股、要约收购、发行人回购及行权等减少的股票。"卖出金额"均按卖出成交金额（成交单价乘以成交数量）填列，不考虑相关交易费用。</w:t>
      </w:r>
    </w:p>
    <w:p w14:paraId="21B87174"/>
    <w:p w14:paraId="5534F60F">
      <w:pPr>
        <w:pStyle w:val="58"/>
      </w:pPr>
      <w:r>
        <w:rPr>
          <w:rFonts w:ascii="宋体" w:hAnsi="宋体" w:eastAsia="宋体" w:cs="宋体"/>
          <w:b/>
        </w:rPr>
        <w:t>7.4.3 买入股票的成本总额及卖出股票的收入总额</w:t>
      </w:r>
    </w:p>
    <w:p w14:paraId="6E46319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25D6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7482FFDF">
            <w:pPr>
              <w:spacing w:line="240" w:lineRule="auto"/>
              <w:jc w:val="left"/>
            </w:pPr>
            <w:r>
              <w:rPr>
                <w:rFonts w:ascii="宋体" w:hAnsi="宋体" w:eastAsia="宋体" w:cs="宋体"/>
                <w:b w:val="0"/>
              </w:rPr>
              <w:t>买入股票成本（成交）总额</w:t>
            </w:r>
          </w:p>
        </w:tc>
        <w:tc>
          <w:tcPr>
            <w:tcW w:w="2308" w:type="pct"/>
            <w:vAlign w:val="center"/>
          </w:tcPr>
          <w:p w14:paraId="559C2A5C">
            <w:pPr>
              <w:spacing w:line="240" w:lineRule="auto"/>
              <w:jc w:val="right"/>
            </w:pPr>
            <w:r>
              <w:rPr>
                <w:rFonts w:ascii="宋体" w:hAnsi="宋体" w:eastAsia="宋体" w:cs="宋体"/>
                <w:b w:val="0"/>
              </w:rPr>
              <w:t>2,733,373.73</w:t>
            </w:r>
          </w:p>
        </w:tc>
      </w:tr>
      <w:tr w14:paraId="1A17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88289D">
            <w:pPr>
              <w:spacing w:line="240" w:lineRule="auto"/>
              <w:jc w:val="left"/>
            </w:pPr>
            <w:r>
              <w:rPr>
                <w:rFonts w:ascii="宋体" w:hAnsi="宋体" w:eastAsia="宋体" w:cs="宋体"/>
                <w:b w:val="0"/>
              </w:rPr>
              <w:t>卖出股票收入（成交）总额</w:t>
            </w:r>
          </w:p>
        </w:tc>
        <w:tc>
          <w:tcPr>
            <w:tcW w:w="0" w:type="dxa"/>
            <w:vAlign w:val="center"/>
          </w:tcPr>
          <w:p w14:paraId="0AB0B26A">
            <w:pPr>
              <w:spacing w:line="240" w:lineRule="auto"/>
              <w:jc w:val="right"/>
            </w:pPr>
            <w:r>
              <w:rPr>
                <w:rFonts w:ascii="宋体" w:hAnsi="宋体" w:eastAsia="宋体" w:cs="宋体"/>
                <w:b w:val="0"/>
              </w:rPr>
              <w:t>1,026,874.00</w:t>
            </w:r>
          </w:p>
        </w:tc>
      </w:tr>
    </w:tbl>
    <w:p w14:paraId="02725DC2">
      <w:r>
        <w:rPr>
          <w:rFonts w:ascii="宋体" w:hAnsi="宋体" w:eastAsia="宋体" w:cs="宋体"/>
          <w:b w:val="0"/>
        </w:rPr>
        <w:t>注：本项 "买入股票成本"、 "卖出股票收入"均按买卖成交金额（成交单价乘以成交数量）填列，不考虑相关交易费用。</w:t>
      </w:r>
    </w:p>
    <w:p w14:paraId="4C46CB2B"/>
    <w:p w14:paraId="4B85CC3A">
      <w:pPr>
        <w:pStyle w:val="3"/>
        <w:jc w:val="left"/>
      </w:pPr>
      <w:bookmarkStart w:id="36" w:name="_Toc204"/>
      <w:r>
        <w:rPr>
          <w:rFonts w:ascii="宋体" w:hAnsi="宋体" w:eastAsia="宋体" w:cs="宋体"/>
        </w:rPr>
        <w:t>7.5 期末按债券品种分类的债券投资组合</w:t>
      </w:r>
      <w:bookmarkEnd w:id="36"/>
    </w:p>
    <w:p w14:paraId="46C01B1E">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2786"/>
        <w:gridCol w:w="1857"/>
        <w:gridCol w:w="2786"/>
      </w:tblGrid>
      <w:tr w14:paraId="30B0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507B437F">
            <w:pPr>
              <w:spacing w:line="240" w:lineRule="auto"/>
              <w:jc w:val="center"/>
            </w:pPr>
            <w:r>
              <w:rPr>
                <w:rFonts w:ascii="宋体" w:hAnsi="宋体" w:eastAsia="宋体" w:cs="宋体"/>
                <w:b w:val="0"/>
              </w:rPr>
              <w:t>序号</w:t>
            </w:r>
          </w:p>
        </w:tc>
        <w:tc>
          <w:tcPr>
            <w:tcW w:w="1154" w:type="pct"/>
            <w:shd w:val="clear" w:color="auto" w:fill="D9D9D9"/>
            <w:vAlign w:val="center"/>
          </w:tcPr>
          <w:p w14:paraId="39CE921F">
            <w:pPr>
              <w:spacing w:line="240" w:lineRule="auto"/>
              <w:jc w:val="center"/>
            </w:pPr>
            <w:r>
              <w:rPr>
                <w:rFonts w:ascii="宋体" w:hAnsi="宋体" w:eastAsia="宋体" w:cs="宋体"/>
                <w:b w:val="0"/>
              </w:rPr>
              <w:t>债券品种</w:t>
            </w:r>
          </w:p>
        </w:tc>
        <w:tc>
          <w:tcPr>
            <w:tcW w:w="769" w:type="pct"/>
            <w:shd w:val="clear" w:color="auto" w:fill="D9D9D9"/>
            <w:vAlign w:val="center"/>
          </w:tcPr>
          <w:p w14:paraId="6B7CD8C5">
            <w:pPr>
              <w:spacing w:line="240" w:lineRule="auto"/>
              <w:jc w:val="center"/>
            </w:pPr>
            <w:r>
              <w:rPr>
                <w:rFonts w:ascii="宋体" w:hAnsi="宋体" w:eastAsia="宋体" w:cs="宋体"/>
                <w:b w:val="0"/>
              </w:rPr>
              <w:t>公允价值</w:t>
            </w:r>
          </w:p>
        </w:tc>
        <w:tc>
          <w:tcPr>
            <w:tcW w:w="1154" w:type="pct"/>
            <w:shd w:val="clear" w:color="auto" w:fill="D9D9D9"/>
            <w:vAlign w:val="center"/>
          </w:tcPr>
          <w:p w14:paraId="1372138A">
            <w:pPr>
              <w:spacing w:line="240" w:lineRule="auto"/>
              <w:jc w:val="center"/>
            </w:pPr>
            <w:r>
              <w:rPr>
                <w:rFonts w:ascii="宋体" w:hAnsi="宋体" w:eastAsia="宋体" w:cs="宋体"/>
                <w:b w:val="0"/>
              </w:rPr>
              <w:t>占基金资产净值比例(%)</w:t>
            </w:r>
          </w:p>
        </w:tc>
      </w:tr>
      <w:tr w14:paraId="0C1C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8E715E">
            <w:pPr>
              <w:spacing w:line="240" w:lineRule="auto"/>
              <w:jc w:val="center"/>
            </w:pPr>
            <w:r>
              <w:rPr>
                <w:rFonts w:ascii="宋体" w:hAnsi="宋体" w:eastAsia="宋体" w:cs="宋体"/>
                <w:b w:val="0"/>
              </w:rPr>
              <w:t>1</w:t>
            </w:r>
          </w:p>
        </w:tc>
        <w:tc>
          <w:tcPr>
            <w:tcW w:w="0" w:type="dxa"/>
            <w:vAlign w:val="center"/>
          </w:tcPr>
          <w:p w14:paraId="42D26782">
            <w:pPr>
              <w:spacing w:line="240" w:lineRule="auto"/>
              <w:jc w:val="left"/>
            </w:pPr>
            <w:r>
              <w:rPr>
                <w:rFonts w:ascii="宋体" w:hAnsi="宋体" w:eastAsia="宋体" w:cs="宋体"/>
                <w:b w:val="0"/>
              </w:rPr>
              <w:t>国家债券</w:t>
            </w:r>
          </w:p>
        </w:tc>
        <w:tc>
          <w:tcPr>
            <w:tcW w:w="0" w:type="dxa"/>
            <w:vAlign w:val="center"/>
          </w:tcPr>
          <w:p w14:paraId="12B16215">
            <w:pPr>
              <w:spacing w:line="240" w:lineRule="auto"/>
              <w:jc w:val="right"/>
            </w:pPr>
            <w:r>
              <w:rPr>
                <w:rFonts w:ascii="宋体" w:hAnsi="宋体" w:eastAsia="宋体" w:cs="宋体"/>
                <w:b w:val="0"/>
              </w:rPr>
              <w:t>2,622,177.59</w:t>
            </w:r>
          </w:p>
        </w:tc>
        <w:tc>
          <w:tcPr>
            <w:tcW w:w="0" w:type="dxa"/>
            <w:vAlign w:val="center"/>
          </w:tcPr>
          <w:p w14:paraId="0FE27859">
            <w:pPr>
              <w:spacing w:line="240" w:lineRule="auto"/>
              <w:jc w:val="right"/>
            </w:pPr>
            <w:r>
              <w:rPr>
                <w:rFonts w:ascii="宋体" w:hAnsi="宋体" w:eastAsia="宋体" w:cs="宋体"/>
                <w:b w:val="0"/>
              </w:rPr>
              <w:t>23.71</w:t>
            </w:r>
          </w:p>
        </w:tc>
      </w:tr>
      <w:tr w14:paraId="2AF1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FC453B">
            <w:pPr>
              <w:spacing w:line="240" w:lineRule="auto"/>
              <w:jc w:val="center"/>
            </w:pPr>
            <w:r>
              <w:rPr>
                <w:rFonts w:ascii="宋体" w:hAnsi="宋体" w:eastAsia="宋体" w:cs="宋体"/>
                <w:b w:val="0"/>
              </w:rPr>
              <w:t>2</w:t>
            </w:r>
          </w:p>
        </w:tc>
        <w:tc>
          <w:tcPr>
            <w:tcW w:w="0" w:type="dxa"/>
            <w:vAlign w:val="center"/>
          </w:tcPr>
          <w:p w14:paraId="18498450">
            <w:pPr>
              <w:spacing w:line="240" w:lineRule="auto"/>
              <w:jc w:val="left"/>
            </w:pPr>
            <w:r>
              <w:rPr>
                <w:rFonts w:ascii="宋体" w:hAnsi="宋体" w:eastAsia="宋体" w:cs="宋体"/>
                <w:b w:val="0"/>
              </w:rPr>
              <w:t>央行票据</w:t>
            </w:r>
          </w:p>
        </w:tc>
        <w:tc>
          <w:tcPr>
            <w:tcW w:w="0" w:type="dxa"/>
            <w:vAlign w:val="center"/>
          </w:tcPr>
          <w:p w14:paraId="0AA07483">
            <w:pPr>
              <w:spacing w:line="240" w:lineRule="auto"/>
              <w:jc w:val="right"/>
            </w:pPr>
            <w:r>
              <w:rPr>
                <w:rFonts w:ascii="宋体" w:hAnsi="宋体" w:eastAsia="宋体" w:cs="宋体"/>
                <w:b w:val="0"/>
              </w:rPr>
              <w:t>-</w:t>
            </w:r>
          </w:p>
        </w:tc>
        <w:tc>
          <w:tcPr>
            <w:tcW w:w="0" w:type="dxa"/>
            <w:vAlign w:val="center"/>
          </w:tcPr>
          <w:p w14:paraId="39A3036B">
            <w:pPr>
              <w:spacing w:line="240" w:lineRule="auto"/>
              <w:jc w:val="right"/>
            </w:pPr>
            <w:r>
              <w:rPr>
                <w:rFonts w:ascii="宋体" w:hAnsi="宋体" w:eastAsia="宋体" w:cs="宋体"/>
                <w:b w:val="0"/>
              </w:rPr>
              <w:t>-</w:t>
            </w:r>
          </w:p>
        </w:tc>
      </w:tr>
      <w:tr w14:paraId="643F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DC31FE">
            <w:pPr>
              <w:spacing w:line="240" w:lineRule="auto"/>
              <w:jc w:val="center"/>
            </w:pPr>
            <w:r>
              <w:rPr>
                <w:rFonts w:ascii="宋体" w:hAnsi="宋体" w:eastAsia="宋体" w:cs="宋体"/>
                <w:b w:val="0"/>
              </w:rPr>
              <w:t>3</w:t>
            </w:r>
          </w:p>
        </w:tc>
        <w:tc>
          <w:tcPr>
            <w:tcW w:w="0" w:type="dxa"/>
            <w:vAlign w:val="center"/>
          </w:tcPr>
          <w:p w14:paraId="75120F60">
            <w:pPr>
              <w:spacing w:line="240" w:lineRule="auto"/>
              <w:jc w:val="left"/>
            </w:pPr>
            <w:r>
              <w:rPr>
                <w:rFonts w:ascii="宋体" w:hAnsi="宋体" w:eastAsia="宋体" w:cs="宋体"/>
                <w:b w:val="0"/>
              </w:rPr>
              <w:t>金融债券</w:t>
            </w:r>
          </w:p>
        </w:tc>
        <w:tc>
          <w:tcPr>
            <w:tcW w:w="0" w:type="dxa"/>
            <w:vAlign w:val="center"/>
          </w:tcPr>
          <w:p w14:paraId="30E49204">
            <w:pPr>
              <w:spacing w:line="240" w:lineRule="auto"/>
              <w:jc w:val="right"/>
            </w:pPr>
            <w:r>
              <w:rPr>
                <w:rFonts w:ascii="宋体" w:hAnsi="宋体" w:eastAsia="宋体" w:cs="宋体"/>
                <w:b w:val="0"/>
              </w:rPr>
              <w:t>3,395,223.29</w:t>
            </w:r>
          </w:p>
        </w:tc>
        <w:tc>
          <w:tcPr>
            <w:tcW w:w="0" w:type="dxa"/>
            <w:vAlign w:val="center"/>
          </w:tcPr>
          <w:p w14:paraId="59943698">
            <w:pPr>
              <w:spacing w:line="240" w:lineRule="auto"/>
              <w:jc w:val="right"/>
            </w:pPr>
            <w:r>
              <w:rPr>
                <w:rFonts w:ascii="宋体" w:hAnsi="宋体" w:eastAsia="宋体" w:cs="宋体"/>
                <w:b w:val="0"/>
              </w:rPr>
              <w:t>30.70</w:t>
            </w:r>
          </w:p>
        </w:tc>
      </w:tr>
      <w:tr w14:paraId="6767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934262">
            <w:pPr>
              <w:spacing w:line="240" w:lineRule="auto"/>
              <w:jc w:val="center"/>
            </w:pPr>
          </w:p>
        </w:tc>
        <w:tc>
          <w:tcPr>
            <w:tcW w:w="0" w:type="dxa"/>
            <w:vAlign w:val="center"/>
          </w:tcPr>
          <w:p w14:paraId="341B047C">
            <w:pPr>
              <w:spacing w:line="240" w:lineRule="auto"/>
              <w:jc w:val="left"/>
            </w:pPr>
            <w:r>
              <w:rPr>
                <w:rFonts w:ascii="宋体" w:hAnsi="宋体" w:eastAsia="宋体" w:cs="宋体"/>
                <w:b w:val="0"/>
              </w:rPr>
              <w:t>其中：政策性金融债</w:t>
            </w:r>
          </w:p>
        </w:tc>
        <w:tc>
          <w:tcPr>
            <w:tcW w:w="0" w:type="dxa"/>
            <w:vAlign w:val="center"/>
          </w:tcPr>
          <w:p w14:paraId="4C110E6E">
            <w:pPr>
              <w:spacing w:line="240" w:lineRule="auto"/>
              <w:jc w:val="right"/>
            </w:pPr>
            <w:r>
              <w:rPr>
                <w:rFonts w:ascii="宋体" w:hAnsi="宋体" w:eastAsia="宋体" w:cs="宋体"/>
                <w:b w:val="0"/>
              </w:rPr>
              <w:t>3,395,223.29</w:t>
            </w:r>
          </w:p>
        </w:tc>
        <w:tc>
          <w:tcPr>
            <w:tcW w:w="0" w:type="dxa"/>
            <w:vAlign w:val="center"/>
          </w:tcPr>
          <w:p w14:paraId="3291CF93">
            <w:pPr>
              <w:spacing w:line="240" w:lineRule="auto"/>
              <w:jc w:val="right"/>
            </w:pPr>
            <w:r>
              <w:rPr>
                <w:rFonts w:ascii="宋体" w:hAnsi="宋体" w:eastAsia="宋体" w:cs="宋体"/>
                <w:b w:val="0"/>
              </w:rPr>
              <w:t>30.70</w:t>
            </w:r>
          </w:p>
        </w:tc>
      </w:tr>
      <w:tr w14:paraId="0920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E94014">
            <w:pPr>
              <w:spacing w:line="240" w:lineRule="auto"/>
              <w:jc w:val="center"/>
            </w:pPr>
            <w:r>
              <w:rPr>
                <w:rFonts w:ascii="宋体" w:hAnsi="宋体" w:eastAsia="宋体" w:cs="宋体"/>
                <w:b w:val="0"/>
              </w:rPr>
              <w:t>4</w:t>
            </w:r>
          </w:p>
        </w:tc>
        <w:tc>
          <w:tcPr>
            <w:tcW w:w="0" w:type="dxa"/>
            <w:vAlign w:val="center"/>
          </w:tcPr>
          <w:p w14:paraId="54D56E6C">
            <w:pPr>
              <w:spacing w:line="240" w:lineRule="auto"/>
              <w:jc w:val="left"/>
            </w:pPr>
            <w:r>
              <w:rPr>
                <w:rFonts w:ascii="宋体" w:hAnsi="宋体" w:eastAsia="宋体" w:cs="宋体"/>
                <w:b w:val="0"/>
              </w:rPr>
              <w:t>企业债券</w:t>
            </w:r>
          </w:p>
        </w:tc>
        <w:tc>
          <w:tcPr>
            <w:tcW w:w="0" w:type="dxa"/>
            <w:vAlign w:val="center"/>
          </w:tcPr>
          <w:p w14:paraId="1EAC1A25">
            <w:pPr>
              <w:spacing w:line="240" w:lineRule="auto"/>
              <w:jc w:val="right"/>
            </w:pPr>
            <w:r>
              <w:rPr>
                <w:rFonts w:ascii="宋体" w:hAnsi="宋体" w:eastAsia="宋体" w:cs="宋体"/>
                <w:b w:val="0"/>
              </w:rPr>
              <w:t>-</w:t>
            </w:r>
          </w:p>
        </w:tc>
        <w:tc>
          <w:tcPr>
            <w:tcW w:w="0" w:type="dxa"/>
            <w:vAlign w:val="center"/>
          </w:tcPr>
          <w:p w14:paraId="32700A5B">
            <w:pPr>
              <w:spacing w:line="240" w:lineRule="auto"/>
              <w:jc w:val="right"/>
            </w:pPr>
            <w:r>
              <w:rPr>
                <w:rFonts w:ascii="宋体" w:hAnsi="宋体" w:eastAsia="宋体" w:cs="宋体"/>
                <w:b w:val="0"/>
              </w:rPr>
              <w:t>-</w:t>
            </w:r>
          </w:p>
        </w:tc>
      </w:tr>
      <w:tr w14:paraId="2797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0430C4">
            <w:pPr>
              <w:spacing w:line="240" w:lineRule="auto"/>
              <w:jc w:val="center"/>
            </w:pPr>
            <w:r>
              <w:rPr>
                <w:rFonts w:ascii="宋体" w:hAnsi="宋体" w:eastAsia="宋体" w:cs="宋体"/>
                <w:b w:val="0"/>
              </w:rPr>
              <w:t>5</w:t>
            </w:r>
          </w:p>
        </w:tc>
        <w:tc>
          <w:tcPr>
            <w:tcW w:w="0" w:type="dxa"/>
            <w:vAlign w:val="center"/>
          </w:tcPr>
          <w:p w14:paraId="681D3231">
            <w:pPr>
              <w:spacing w:line="240" w:lineRule="auto"/>
              <w:jc w:val="left"/>
            </w:pPr>
            <w:r>
              <w:rPr>
                <w:rFonts w:ascii="宋体" w:hAnsi="宋体" w:eastAsia="宋体" w:cs="宋体"/>
                <w:b w:val="0"/>
              </w:rPr>
              <w:t>企业短期融资券</w:t>
            </w:r>
          </w:p>
        </w:tc>
        <w:tc>
          <w:tcPr>
            <w:tcW w:w="0" w:type="dxa"/>
            <w:vAlign w:val="center"/>
          </w:tcPr>
          <w:p w14:paraId="27DEDFAA">
            <w:pPr>
              <w:spacing w:line="240" w:lineRule="auto"/>
              <w:jc w:val="right"/>
            </w:pPr>
            <w:r>
              <w:rPr>
                <w:rFonts w:ascii="宋体" w:hAnsi="宋体" w:eastAsia="宋体" w:cs="宋体"/>
                <w:b w:val="0"/>
              </w:rPr>
              <w:t>-</w:t>
            </w:r>
          </w:p>
        </w:tc>
        <w:tc>
          <w:tcPr>
            <w:tcW w:w="0" w:type="dxa"/>
            <w:vAlign w:val="center"/>
          </w:tcPr>
          <w:p w14:paraId="61138DF8">
            <w:pPr>
              <w:spacing w:line="240" w:lineRule="auto"/>
              <w:jc w:val="right"/>
            </w:pPr>
            <w:r>
              <w:rPr>
                <w:rFonts w:ascii="宋体" w:hAnsi="宋体" w:eastAsia="宋体" w:cs="宋体"/>
                <w:b w:val="0"/>
              </w:rPr>
              <w:t>-</w:t>
            </w:r>
          </w:p>
        </w:tc>
      </w:tr>
      <w:tr w14:paraId="0647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8020EE">
            <w:pPr>
              <w:spacing w:line="240" w:lineRule="auto"/>
              <w:jc w:val="center"/>
            </w:pPr>
            <w:r>
              <w:rPr>
                <w:rFonts w:ascii="宋体" w:hAnsi="宋体" w:eastAsia="宋体" w:cs="宋体"/>
                <w:b w:val="0"/>
              </w:rPr>
              <w:t>6</w:t>
            </w:r>
          </w:p>
        </w:tc>
        <w:tc>
          <w:tcPr>
            <w:tcW w:w="0" w:type="dxa"/>
            <w:vAlign w:val="center"/>
          </w:tcPr>
          <w:p w14:paraId="637F2D90">
            <w:pPr>
              <w:spacing w:line="240" w:lineRule="auto"/>
              <w:jc w:val="left"/>
            </w:pPr>
            <w:r>
              <w:rPr>
                <w:rFonts w:ascii="宋体" w:hAnsi="宋体" w:eastAsia="宋体" w:cs="宋体"/>
                <w:b w:val="0"/>
              </w:rPr>
              <w:t>中期票据</w:t>
            </w:r>
          </w:p>
        </w:tc>
        <w:tc>
          <w:tcPr>
            <w:tcW w:w="0" w:type="dxa"/>
            <w:vAlign w:val="center"/>
          </w:tcPr>
          <w:p w14:paraId="249E9CF7">
            <w:pPr>
              <w:spacing w:line="240" w:lineRule="auto"/>
              <w:jc w:val="right"/>
            </w:pPr>
            <w:r>
              <w:rPr>
                <w:rFonts w:ascii="宋体" w:hAnsi="宋体" w:eastAsia="宋体" w:cs="宋体"/>
                <w:b w:val="0"/>
              </w:rPr>
              <w:t>-</w:t>
            </w:r>
          </w:p>
        </w:tc>
        <w:tc>
          <w:tcPr>
            <w:tcW w:w="0" w:type="dxa"/>
            <w:vAlign w:val="center"/>
          </w:tcPr>
          <w:p w14:paraId="0F44B386">
            <w:pPr>
              <w:spacing w:line="240" w:lineRule="auto"/>
              <w:jc w:val="right"/>
            </w:pPr>
            <w:r>
              <w:rPr>
                <w:rFonts w:ascii="宋体" w:hAnsi="宋体" w:eastAsia="宋体" w:cs="宋体"/>
                <w:b w:val="0"/>
              </w:rPr>
              <w:t>-</w:t>
            </w:r>
          </w:p>
        </w:tc>
      </w:tr>
      <w:tr w14:paraId="0D70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17D1F5">
            <w:pPr>
              <w:spacing w:line="240" w:lineRule="auto"/>
              <w:jc w:val="center"/>
            </w:pPr>
            <w:r>
              <w:rPr>
                <w:rFonts w:ascii="宋体" w:hAnsi="宋体" w:eastAsia="宋体" w:cs="宋体"/>
                <w:b w:val="0"/>
              </w:rPr>
              <w:t>7</w:t>
            </w:r>
          </w:p>
        </w:tc>
        <w:tc>
          <w:tcPr>
            <w:tcW w:w="0" w:type="dxa"/>
            <w:vAlign w:val="center"/>
          </w:tcPr>
          <w:p w14:paraId="682C5CA7">
            <w:pPr>
              <w:spacing w:line="240" w:lineRule="auto"/>
              <w:jc w:val="left"/>
            </w:pPr>
            <w:r>
              <w:rPr>
                <w:rFonts w:ascii="宋体" w:hAnsi="宋体" w:eastAsia="宋体" w:cs="宋体"/>
                <w:b w:val="0"/>
              </w:rPr>
              <w:t>可转债(可交换债)</w:t>
            </w:r>
          </w:p>
        </w:tc>
        <w:tc>
          <w:tcPr>
            <w:tcW w:w="0" w:type="dxa"/>
            <w:vAlign w:val="center"/>
          </w:tcPr>
          <w:p w14:paraId="50CACFBF">
            <w:pPr>
              <w:spacing w:line="240" w:lineRule="auto"/>
              <w:jc w:val="right"/>
            </w:pPr>
            <w:r>
              <w:rPr>
                <w:rFonts w:ascii="宋体" w:hAnsi="宋体" w:eastAsia="宋体" w:cs="宋体"/>
                <w:b w:val="0"/>
              </w:rPr>
              <w:t>-</w:t>
            </w:r>
          </w:p>
        </w:tc>
        <w:tc>
          <w:tcPr>
            <w:tcW w:w="0" w:type="dxa"/>
            <w:vAlign w:val="center"/>
          </w:tcPr>
          <w:p w14:paraId="21335E0C">
            <w:pPr>
              <w:spacing w:line="240" w:lineRule="auto"/>
              <w:jc w:val="right"/>
            </w:pPr>
            <w:r>
              <w:rPr>
                <w:rFonts w:ascii="宋体" w:hAnsi="宋体" w:eastAsia="宋体" w:cs="宋体"/>
                <w:b w:val="0"/>
              </w:rPr>
              <w:t>-</w:t>
            </w:r>
          </w:p>
        </w:tc>
      </w:tr>
      <w:tr w14:paraId="7EF1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AD6A44">
            <w:pPr>
              <w:spacing w:line="240" w:lineRule="auto"/>
              <w:jc w:val="center"/>
            </w:pPr>
            <w:r>
              <w:rPr>
                <w:rFonts w:ascii="宋体" w:hAnsi="宋体" w:eastAsia="宋体" w:cs="宋体"/>
                <w:b w:val="0"/>
              </w:rPr>
              <w:t>8</w:t>
            </w:r>
          </w:p>
        </w:tc>
        <w:tc>
          <w:tcPr>
            <w:tcW w:w="0" w:type="dxa"/>
            <w:vAlign w:val="center"/>
          </w:tcPr>
          <w:p w14:paraId="3665B329">
            <w:pPr>
              <w:spacing w:line="240" w:lineRule="auto"/>
              <w:jc w:val="left"/>
            </w:pPr>
            <w:r>
              <w:rPr>
                <w:rFonts w:ascii="宋体" w:hAnsi="宋体" w:eastAsia="宋体" w:cs="宋体"/>
                <w:b w:val="0"/>
              </w:rPr>
              <w:t>同业存单</w:t>
            </w:r>
          </w:p>
        </w:tc>
        <w:tc>
          <w:tcPr>
            <w:tcW w:w="0" w:type="dxa"/>
            <w:vAlign w:val="center"/>
          </w:tcPr>
          <w:p w14:paraId="20EC25BC">
            <w:pPr>
              <w:spacing w:line="240" w:lineRule="auto"/>
              <w:jc w:val="right"/>
            </w:pPr>
            <w:r>
              <w:rPr>
                <w:rFonts w:ascii="宋体" w:hAnsi="宋体" w:eastAsia="宋体" w:cs="宋体"/>
                <w:b w:val="0"/>
              </w:rPr>
              <w:t>-</w:t>
            </w:r>
          </w:p>
        </w:tc>
        <w:tc>
          <w:tcPr>
            <w:tcW w:w="0" w:type="dxa"/>
            <w:vAlign w:val="center"/>
          </w:tcPr>
          <w:p w14:paraId="433D6D7C">
            <w:pPr>
              <w:spacing w:line="240" w:lineRule="auto"/>
              <w:jc w:val="right"/>
            </w:pPr>
            <w:r>
              <w:rPr>
                <w:rFonts w:ascii="宋体" w:hAnsi="宋体" w:eastAsia="宋体" w:cs="宋体"/>
                <w:b w:val="0"/>
              </w:rPr>
              <w:t>-</w:t>
            </w:r>
          </w:p>
        </w:tc>
      </w:tr>
      <w:tr w14:paraId="4AB6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C689F2">
            <w:pPr>
              <w:spacing w:line="240" w:lineRule="auto"/>
              <w:jc w:val="center"/>
            </w:pPr>
            <w:r>
              <w:rPr>
                <w:rFonts w:ascii="宋体" w:hAnsi="宋体" w:eastAsia="宋体" w:cs="宋体"/>
                <w:b w:val="0"/>
              </w:rPr>
              <w:t>9</w:t>
            </w:r>
          </w:p>
        </w:tc>
        <w:tc>
          <w:tcPr>
            <w:tcW w:w="0" w:type="dxa"/>
            <w:vAlign w:val="center"/>
          </w:tcPr>
          <w:p w14:paraId="37EA1739">
            <w:pPr>
              <w:spacing w:line="240" w:lineRule="auto"/>
              <w:jc w:val="left"/>
            </w:pPr>
            <w:r>
              <w:rPr>
                <w:rFonts w:ascii="宋体" w:hAnsi="宋体" w:eastAsia="宋体" w:cs="宋体"/>
                <w:b w:val="0"/>
              </w:rPr>
              <w:t>其他</w:t>
            </w:r>
          </w:p>
        </w:tc>
        <w:tc>
          <w:tcPr>
            <w:tcW w:w="0" w:type="dxa"/>
            <w:vAlign w:val="center"/>
          </w:tcPr>
          <w:p w14:paraId="73049BAB">
            <w:pPr>
              <w:spacing w:line="240" w:lineRule="auto"/>
              <w:jc w:val="right"/>
            </w:pPr>
            <w:r>
              <w:rPr>
                <w:rFonts w:ascii="宋体" w:hAnsi="宋体" w:eastAsia="宋体" w:cs="宋体"/>
                <w:b w:val="0"/>
              </w:rPr>
              <w:t>-</w:t>
            </w:r>
          </w:p>
        </w:tc>
        <w:tc>
          <w:tcPr>
            <w:tcW w:w="0" w:type="dxa"/>
            <w:vAlign w:val="center"/>
          </w:tcPr>
          <w:p w14:paraId="3117AA1A">
            <w:pPr>
              <w:spacing w:line="240" w:lineRule="auto"/>
              <w:jc w:val="right"/>
            </w:pPr>
            <w:r>
              <w:rPr>
                <w:rFonts w:ascii="宋体" w:hAnsi="宋体" w:eastAsia="宋体" w:cs="宋体"/>
                <w:b w:val="0"/>
              </w:rPr>
              <w:t>-</w:t>
            </w:r>
          </w:p>
        </w:tc>
      </w:tr>
      <w:tr w14:paraId="4199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D8BE69">
            <w:pPr>
              <w:spacing w:line="240" w:lineRule="auto"/>
              <w:jc w:val="center"/>
            </w:pPr>
            <w:r>
              <w:rPr>
                <w:rFonts w:ascii="宋体" w:hAnsi="宋体" w:eastAsia="宋体" w:cs="宋体"/>
                <w:b w:val="0"/>
              </w:rPr>
              <w:t>10</w:t>
            </w:r>
          </w:p>
        </w:tc>
        <w:tc>
          <w:tcPr>
            <w:tcW w:w="0" w:type="dxa"/>
            <w:vAlign w:val="center"/>
          </w:tcPr>
          <w:p w14:paraId="7A657D35">
            <w:pPr>
              <w:spacing w:line="240" w:lineRule="auto"/>
              <w:jc w:val="left"/>
            </w:pPr>
            <w:r>
              <w:rPr>
                <w:rFonts w:ascii="宋体" w:hAnsi="宋体" w:eastAsia="宋体" w:cs="宋体"/>
                <w:b w:val="0"/>
              </w:rPr>
              <w:t>合计</w:t>
            </w:r>
          </w:p>
        </w:tc>
        <w:tc>
          <w:tcPr>
            <w:tcW w:w="0" w:type="dxa"/>
            <w:vAlign w:val="center"/>
          </w:tcPr>
          <w:p w14:paraId="22BCB873">
            <w:pPr>
              <w:spacing w:line="240" w:lineRule="auto"/>
              <w:jc w:val="right"/>
            </w:pPr>
            <w:r>
              <w:rPr>
                <w:rFonts w:ascii="宋体" w:hAnsi="宋体" w:eastAsia="宋体" w:cs="宋体"/>
                <w:b w:val="0"/>
              </w:rPr>
              <w:t>6,017,400.88</w:t>
            </w:r>
          </w:p>
        </w:tc>
        <w:tc>
          <w:tcPr>
            <w:tcW w:w="0" w:type="dxa"/>
            <w:vAlign w:val="center"/>
          </w:tcPr>
          <w:p w14:paraId="2223F83F">
            <w:pPr>
              <w:spacing w:line="240" w:lineRule="auto"/>
              <w:jc w:val="right"/>
            </w:pPr>
            <w:r>
              <w:rPr>
                <w:rFonts w:ascii="宋体" w:hAnsi="宋体" w:eastAsia="宋体" w:cs="宋体"/>
                <w:b w:val="0"/>
              </w:rPr>
              <w:t>54.41</w:t>
            </w:r>
          </w:p>
        </w:tc>
      </w:tr>
    </w:tbl>
    <w:p w14:paraId="65EC1090"/>
    <w:p w14:paraId="0CE618A0">
      <w:pPr>
        <w:pStyle w:val="3"/>
        <w:jc w:val="left"/>
      </w:pPr>
      <w:bookmarkStart w:id="37" w:name="_Toc13401"/>
      <w:r>
        <w:rPr>
          <w:rFonts w:ascii="宋体" w:hAnsi="宋体" w:eastAsia="宋体" w:cs="宋体"/>
        </w:rPr>
        <w:t>7.6 期末按公允价值占基金资产净值比例大小排序的前五名债券投资明细</w:t>
      </w:r>
      <w:bookmarkEnd w:id="37"/>
    </w:p>
    <w:p w14:paraId="0784844E">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547"/>
        <w:gridCol w:w="1548"/>
        <w:gridCol w:w="1238"/>
        <w:gridCol w:w="1548"/>
        <w:gridCol w:w="2168"/>
      </w:tblGrid>
      <w:tr w14:paraId="4002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0ABE864B">
            <w:pPr>
              <w:spacing w:line="240" w:lineRule="auto"/>
              <w:jc w:val="center"/>
            </w:pPr>
            <w:r>
              <w:rPr>
                <w:rFonts w:ascii="宋体" w:hAnsi="宋体" w:eastAsia="宋体" w:cs="宋体"/>
                <w:b w:val="0"/>
              </w:rPr>
              <w:t>序号</w:t>
            </w:r>
          </w:p>
        </w:tc>
        <w:tc>
          <w:tcPr>
            <w:tcW w:w="769" w:type="pct"/>
            <w:shd w:val="clear" w:color="auto" w:fill="D9D9D9"/>
            <w:vAlign w:val="center"/>
          </w:tcPr>
          <w:p w14:paraId="65662353">
            <w:pPr>
              <w:spacing w:line="240" w:lineRule="auto"/>
              <w:jc w:val="center"/>
            </w:pPr>
            <w:r>
              <w:rPr>
                <w:rFonts w:ascii="宋体" w:hAnsi="宋体" w:eastAsia="宋体" w:cs="宋体"/>
                <w:b w:val="0"/>
              </w:rPr>
              <w:t>债券代码</w:t>
            </w:r>
          </w:p>
        </w:tc>
        <w:tc>
          <w:tcPr>
            <w:tcW w:w="769" w:type="pct"/>
            <w:shd w:val="clear" w:color="auto" w:fill="D9D9D9"/>
            <w:vAlign w:val="center"/>
          </w:tcPr>
          <w:p w14:paraId="3931340B">
            <w:pPr>
              <w:spacing w:line="240" w:lineRule="auto"/>
              <w:jc w:val="center"/>
            </w:pPr>
            <w:r>
              <w:rPr>
                <w:rFonts w:ascii="宋体" w:hAnsi="宋体" w:eastAsia="宋体" w:cs="宋体"/>
                <w:b w:val="0"/>
              </w:rPr>
              <w:t>债券名称</w:t>
            </w:r>
          </w:p>
        </w:tc>
        <w:tc>
          <w:tcPr>
            <w:tcW w:w="615" w:type="pct"/>
            <w:shd w:val="clear" w:color="auto" w:fill="D9D9D9"/>
            <w:vAlign w:val="center"/>
          </w:tcPr>
          <w:p w14:paraId="1409B6AE">
            <w:pPr>
              <w:spacing w:line="240" w:lineRule="auto"/>
              <w:jc w:val="center"/>
            </w:pPr>
            <w:r>
              <w:rPr>
                <w:rFonts w:ascii="宋体" w:hAnsi="宋体" w:eastAsia="宋体" w:cs="宋体"/>
                <w:b w:val="0"/>
              </w:rPr>
              <w:t>数量(张)</w:t>
            </w:r>
          </w:p>
        </w:tc>
        <w:tc>
          <w:tcPr>
            <w:tcW w:w="769" w:type="pct"/>
            <w:shd w:val="clear" w:color="auto" w:fill="D9D9D9"/>
            <w:vAlign w:val="center"/>
          </w:tcPr>
          <w:p w14:paraId="4E1C35AB">
            <w:pPr>
              <w:spacing w:line="240" w:lineRule="auto"/>
              <w:jc w:val="center"/>
            </w:pPr>
            <w:r>
              <w:rPr>
                <w:rFonts w:ascii="宋体" w:hAnsi="宋体" w:eastAsia="宋体" w:cs="宋体"/>
                <w:b w:val="0"/>
              </w:rPr>
              <w:t>公允价值</w:t>
            </w:r>
          </w:p>
        </w:tc>
        <w:tc>
          <w:tcPr>
            <w:tcW w:w="1077" w:type="pct"/>
            <w:shd w:val="clear" w:color="auto" w:fill="D9D9D9"/>
            <w:vAlign w:val="center"/>
          </w:tcPr>
          <w:p w14:paraId="7492B226">
            <w:pPr>
              <w:spacing w:line="240" w:lineRule="auto"/>
              <w:jc w:val="center"/>
            </w:pPr>
            <w:r>
              <w:rPr>
                <w:rFonts w:ascii="宋体" w:hAnsi="宋体" w:eastAsia="宋体" w:cs="宋体"/>
                <w:b w:val="0"/>
              </w:rPr>
              <w:t>占基金资产净值比例(%)</w:t>
            </w:r>
          </w:p>
        </w:tc>
      </w:tr>
      <w:tr w14:paraId="110F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7B5D74">
            <w:pPr>
              <w:spacing w:line="240" w:lineRule="auto"/>
              <w:jc w:val="center"/>
            </w:pPr>
            <w:r>
              <w:rPr>
                <w:rFonts w:ascii="宋体" w:hAnsi="宋体" w:eastAsia="宋体" w:cs="宋体"/>
                <w:b w:val="0"/>
              </w:rPr>
              <w:t>1</w:t>
            </w:r>
          </w:p>
        </w:tc>
        <w:tc>
          <w:tcPr>
            <w:tcW w:w="0" w:type="dxa"/>
            <w:vAlign w:val="center"/>
          </w:tcPr>
          <w:p w14:paraId="206A91CE">
            <w:pPr>
              <w:spacing w:line="240" w:lineRule="auto"/>
              <w:jc w:val="left"/>
            </w:pPr>
            <w:r>
              <w:rPr>
                <w:rFonts w:ascii="宋体" w:hAnsi="宋体" w:eastAsia="宋体" w:cs="宋体"/>
                <w:b w:val="0"/>
              </w:rPr>
              <w:t>018003</w:t>
            </w:r>
          </w:p>
        </w:tc>
        <w:tc>
          <w:tcPr>
            <w:tcW w:w="0" w:type="dxa"/>
            <w:vAlign w:val="center"/>
          </w:tcPr>
          <w:p w14:paraId="12BAA3EA">
            <w:pPr>
              <w:spacing w:line="240" w:lineRule="auto"/>
              <w:jc w:val="left"/>
            </w:pPr>
            <w:r>
              <w:rPr>
                <w:rFonts w:ascii="宋体" w:hAnsi="宋体" w:eastAsia="宋体" w:cs="宋体"/>
                <w:b w:val="0"/>
              </w:rPr>
              <w:t>国开1401</w:t>
            </w:r>
          </w:p>
        </w:tc>
        <w:tc>
          <w:tcPr>
            <w:tcW w:w="0" w:type="dxa"/>
            <w:vAlign w:val="center"/>
          </w:tcPr>
          <w:p w14:paraId="16439060">
            <w:pPr>
              <w:spacing w:line="240" w:lineRule="auto"/>
              <w:jc w:val="right"/>
            </w:pPr>
            <w:r>
              <w:rPr>
                <w:rFonts w:ascii="宋体" w:hAnsi="宋体" w:eastAsia="宋体" w:cs="宋体"/>
                <w:b w:val="0"/>
              </w:rPr>
              <w:t>30,000</w:t>
            </w:r>
          </w:p>
        </w:tc>
        <w:tc>
          <w:tcPr>
            <w:tcW w:w="0" w:type="dxa"/>
            <w:vAlign w:val="center"/>
          </w:tcPr>
          <w:p w14:paraId="49EE4344">
            <w:pPr>
              <w:spacing w:line="240" w:lineRule="auto"/>
              <w:jc w:val="right"/>
            </w:pPr>
            <w:r>
              <w:rPr>
                <w:rFonts w:ascii="宋体" w:hAnsi="宋体" w:eastAsia="宋体" w:cs="宋体"/>
                <w:b w:val="0"/>
              </w:rPr>
              <w:t>3,395,223.29</w:t>
            </w:r>
          </w:p>
        </w:tc>
        <w:tc>
          <w:tcPr>
            <w:tcW w:w="0" w:type="dxa"/>
            <w:vAlign w:val="center"/>
          </w:tcPr>
          <w:p w14:paraId="4607B40F">
            <w:pPr>
              <w:spacing w:line="240" w:lineRule="auto"/>
              <w:jc w:val="right"/>
            </w:pPr>
            <w:r>
              <w:rPr>
                <w:rFonts w:ascii="宋体" w:hAnsi="宋体" w:eastAsia="宋体" w:cs="宋体"/>
                <w:b w:val="0"/>
              </w:rPr>
              <w:t>30.70</w:t>
            </w:r>
          </w:p>
        </w:tc>
      </w:tr>
      <w:tr w14:paraId="0CD4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030F93">
            <w:pPr>
              <w:spacing w:line="240" w:lineRule="auto"/>
              <w:jc w:val="center"/>
            </w:pPr>
            <w:r>
              <w:rPr>
                <w:rFonts w:ascii="宋体" w:hAnsi="宋体" w:eastAsia="宋体" w:cs="宋体"/>
                <w:b w:val="0"/>
              </w:rPr>
              <w:t>2</w:t>
            </w:r>
          </w:p>
        </w:tc>
        <w:tc>
          <w:tcPr>
            <w:tcW w:w="0" w:type="dxa"/>
            <w:vAlign w:val="center"/>
          </w:tcPr>
          <w:p w14:paraId="052FBBF6">
            <w:pPr>
              <w:spacing w:line="240" w:lineRule="auto"/>
              <w:jc w:val="left"/>
            </w:pPr>
            <w:r>
              <w:rPr>
                <w:rFonts w:ascii="宋体" w:hAnsi="宋体" w:eastAsia="宋体" w:cs="宋体"/>
                <w:b w:val="0"/>
              </w:rPr>
              <w:t>019831</w:t>
            </w:r>
          </w:p>
        </w:tc>
        <w:tc>
          <w:tcPr>
            <w:tcW w:w="0" w:type="dxa"/>
            <w:vAlign w:val="center"/>
          </w:tcPr>
          <w:p w14:paraId="0E756B8F">
            <w:pPr>
              <w:spacing w:line="240" w:lineRule="auto"/>
              <w:jc w:val="left"/>
            </w:pPr>
            <w:r>
              <w:rPr>
                <w:rFonts w:ascii="宋体" w:hAnsi="宋体" w:eastAsia="宋体" w:cs="宋体"/>
                <w:b w:val="0"/>
              </w:rPr>
              <w:t>26国债05</w:t>
            </w:r>
          </w:p>
        </w:tc>
        <w:tc>
          <w:tcPr>
            <w:tcW w:w="0" w:type="dxa"/>
            <w:vAlign w:val="center"/>
          </w:tcPr>
          <w:p w14:paraId="5E71A63A">
            <w:pPr>
              <w:spacing w:line="240" w:lineRule="auto"/>
              <w:jc w:val="right"/>
            </w:pPr>
            <w:r>
              <w:rPr>
                <w:rFonts w:ascii="宋体" w:hAnsi="宋体" w:eastAsia="宋体" w:cs="宋体"/>
                <w:b w:val="0"/>
              </w:rPr>
              <w:t>20,000</w:t>
            </w:r>
          </w:p>
        </w:tc>
        <w:tc>
          <w:tcPr>
            <w:tcW w:w="0" w:type="dxa"/>
            <w:vAlign w:val="center"/>
          </w:tcPr>
          <w:p w14:paraId="319627A7">
            <w:pPr>
              <w:spacing w:line="240" w:lineRule="auto"/>
              <w:jc w:val="right"/>
            </w:pPr>
            <w:r>
              <w:rPr>
                <w:rFonts w:ascii="宋体" w:hAnsi="宋体" w:eastAsia="宋体" w:cs="宋体"/>
                <w:b w:val="0"/>
              </w:rPr>
              <w:t>2,015,882.19</w:t>
            </w:r>
          </w:p>
        </w:tc>
        <w:tc>
          <w:tcPr>
            <w:tcW w:w="0" w:type="dxa"/>
            <w:vAlign w:val="center"/>
          </w:tcPr>
          <w:p w14:paraId="2C254660">
            <w:pPr>
              <w:spacing w:line="240" w:lineRule="auto"/>
              <w:jc w:val="right"/>
            </w:pPr>
            <w:r>
              <w:rPr>
                <w:rFonts w:ascii="宋体" w:hAnsi="宋体" w:eastAsia="宋体" w:cs="宋体"/>
                <w:b w:val="0"/>
              </w:rPr>
              <w:t>18.23</w:t>
            </w:r>
          </w:p>
        </w:tc>
      </w:tr>
      <w:tr w14:paraId="589D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D7CDF2">
            <w:pPr>
              <w:spacing w:line="240" w:lineRule="auto"/>
              <w:jc w:val="center"/>
            </w:pPr>
            <w:r>
              <w:rPr>
                <w:rFonts w:ascii="宋体" w:hAnsi="宋体" w:eastAsia="宋体" w:cs="宋体"/>
                <w:b w:val="0"/>
              </w:rPr>
              <w:t>3</w:t>
            </w:r>
          </w:p>
        </w:tc>
        <w:tc>
          <w:tcPr>
            <w:tcW w:w="0" w:type="dxa"/>
            <w:vAlign w:val="center"/>
          </w:tcPr>
          <w:p w14:paraId="3817244D">
            <w:pPr>
              <w:spacing w:line="240" w:lineRule="auto"/>
              <w:jc w:val="left"/>
            </w:pPr>
            <w:r>
              <w:rPr>
                <w:rFonts w:ascii="宋体" w:hAnsi="宋体" w:eastAsia="宋体" w:cs="宋体"/>
                <w:b w:val="0"/>
              </w:rPr>
              <w:t>102317</w:t>
            </w:r>
          </w:p>
        </w:tc>
        <w:tc>
          <w:tcPr>
            <w:tcW w:w="0" w:type="dxa"/>
            <w:vAlign w:val="center"/>
          </w:tcPr>
          <w:p w14:paraId="6522A6A5">
            <w:pPr>
              <w:spacing w:line="240" w:lineRule="auto"/>
              <w:jc w:val="left"/>
            </w:pPr>
            <w:r>
              <w:rPr>
                <w:rFonts w:ascii="宋体" w:hAnsi="宋体" w:eastAsia="宋体" w:cs="宋体"/>
                <w:b w:val="0"/>
              </w:rPr>
              <w:t>国债2519</w:t>
            </w:r>
          </w:p>
        </w:tc>
        <w:tc>
          <w:tcPr>
            <w:tcW w:w="0" w:type="dxa"/>
            <w:vAlign w:val="center"/>
          </w:tcPr>
          <w:p w14:paraId="0861D04B">
            <w:pPr>
              <w:spacing w:line="240" w:lineRule="auto"/>
              <w:jc w:val="right"/>
            </w:pPr>
            <w:r>
              <w:rPr>
                <w:rFonts w:ascii="宋体" w:hAnsi="宋体" w:eastAsia="宋体" w:cs="宋体"/>
                <w:b w:val="0"/>
              </w:rPr>
              <w:t>6,000</w:t>
            </w:r>
          </w:p>
        </w:tc>
        <w:tc>
          <w:tcPr>
            <w:tcW w:w="0" w:type="dxa"/>
            <w:vAlign w:val="center"/>
          </w:tcPr>
          <w:p w14:paraId="4E2BD31D">
            <w:pPr>
              <w:spacing w:line="240" w:lineRule="auto"/>
              <w:jc w:val="right"/>
            </w:pPr>
            <w:r>
              <w:rPr>
                <w:rFonts w:ascii="宋体" w:hAnsi="宋体" w:eastAsia="宋体" w:cs="宋体"/>
                <w:b w:val="0"/>
              </w:rPr>
              <w:t>606,295.40</w:t>
            </w:r>
          </w:p>
        </w:tc>
        <w:tc>
          <w:tcPr>
            <w:tcW w:w="0" w:type="dxa"/>
            <w:vAlign w:val="center"/>
          </w:tcPr>
          <w:p w14:paraId="216E6922">
            <w:pPr>
              <w:spacing w:line="240" w:lineRule="auto"/>
              <w:jc w:val="right"/>
            </w:pPr>
            <w:r>
              <w:rPr>
                <w:rFonts w:ascii="宋体" w:hAnsi="宋体" w:eastAsia="宋体" w:cs="宋体"/>
                <w:b w:val="0"/>
              </w:rPr>
              <w:t>5.48</w:t>
            </w:r>
          </w:p>
        </w:tc>
      </w:tr>
    </w:tbl>
    <w:p w14:paraId="2DCB1BD2">
      <w:r>
        <w:rPr>
          <w:rFonts w:ascii="宋体" w:hAnsi="宋体" w:eastAsia="宋体" w:cs="宋体"/>
          <w:b w:val="0"/>
        </w:rPr>
        <w:t>注：截止至报告期末，本基金仅持有上述债券。</w:t>
      </w:r>
    </w:p>
    <w:p w14:paraId="1C9D7147"/>
    <w:p w14:paraId="6A1B3923">
      <w:pPr>
        <w:pStyle w:val="3"/>
        <w:jc w:val="left"/>
      </w:pPr>
      <w:bookmarkStart w:id="38" w:name="_Toc5796"/>
      <w:r>
        <w:rPr>
          <w:rFonts w:ascii="宋体" w:hAnsi="宋体" w:eastAsia="宋体" w:cs="宋体"/>
        </w:rPr>
        <w:t>7.7 期末按公允价值占基金资产净值比例大小排序的所有资产支持证券投资明细</w:t>
      </w:r>
      <w:bookmarkEnd w:id="38"/>
    </w:p>
    <w:p w14:paraId="1A29881A">
      <w:r>
        <w:rPr>
          <w:rFonts w:ascii="宋体" w:hAnsi="宋体" w:eastAsia="宋体" w:cs="宋体"/>
          <w:b w:val="0"/>
        </w:rPr>
        <w:t xml:space="preserve">    本基金本报告期末未持有资产支持证券。</w:t>
      </w:r>
    </w:p>
    <w:p w14:paraId="37A14180"/>
    <w:p w14:paraId="4AD101AE">
      <w:pPr>
        <w:pStyle w:val="3"/>
        <w:jc w:val="left"/>
      </w:pPr>
      <w:bookmarkStart w:id="39" w:name="_Toc32669"/>
      <w:r>
        <w:rPr>
          <w:rFonts w:ascii="宋体" w:hAnsi="宋体" w:eastAsia="宋体" w:cs="宋体"/>
        </w:rPr>
        <w:t>7.8 报告期末按公允价值占基金资产净值比例大小排序的前五名贵金属投资明细</w:t>
      </w:r>
      <w:bookmarkEnd w:id="39"/>
    </w:p>
    <w:p w14:paraId="5666DBA2">
      <w:r>
        <w:rPr>
          <w:rFonts w:ascii="宋体" w:hAnsi="宋体" w:eastAsia="宋体" w:cs="宋体"/>
          <w:b w:val="0"/>
        </w:rPr>
        <w:t xml:space="preserve">    本基金本报告期末未持有贵金属。</w:t>
      </w:r>
    </w:p>
    <w:p w14:paraId="634CD134"/>
    <w:p w14:paraId="04D655BB">
      <w:pPr>
        <w:pStyle w:val="3"/>
        <w:jc w:val="left"/>
      </w:pPr>
      <w:bookmarkStart w:id="40" w:name="_Toc16661"/>
      <w:r>
        <w:rPr>
          <w:rFonts w:ascii="宋体" w:hAnsi="宋体" w:eastAsia="宋体" w:cs="宋体"/>
        </w:rPr>
        <w:t>7.9 期末按公允价值占基金资产净值比例大小排序的前五名权证投资明细</w:t>
      </w:r>
      <w:bookmarkEnd w:id="40"/>
    </w:p>
    <w:p w14:paraId="6F782453">
      <w:r>
        <w:rPr>
          <w:rFonts w:ascii="宋体" w:hAnsi="宋体" w:eastAsia="宋体" w:cs="宋体"/>
          <w:b w:val="0"/>
        </w:rPr>
        <w:t xml:space="preserve">    本基金本报告期末未持有权证。</w:t>
      </w:r>
    </w:p>
    <w:p w14:paraId="207C564F"/>
    <w:p w14:paraId="69F2AAD2">
      <w:pPr>
        <w:pStyle w:val="3"/>
        <w:jc w:val="left"/>
      </w:pPr>
      <w:bookmarkStart w:id="41" w:name="_Toc17335"/>
      <w:r>
        <w:rPr>
          <w:rFonts w:ascii="宋体" w:hAnsi="宋体" w:eastAsia="宋体" w:cs="宋体"/>
        </w:rPr>
        <w:t>7.10 本基金投资股指期货的投资政策</w:t>
      </w:r>
      <w:bookmarkEnd w:id="41"/>
    </w:p>
    <w:p w14:paraId="5E32C83B">
      <w:pPr>
        <w:jc w:val="left"/>
      </w:pPr>
      <w:r>
        <w:rPr>
          <w:rFonts w:ascii="宋体" w:hAnsi="宋体" w:eastAsia="宋体" w:cs="宋体"/>
          <w:b w:val="0"/>
        </w:rPr>
        <w:t xml:space="preserve">    本基金本报告期内未参与股指期货投资，报告期末无股指期货持仓。</w:t>
      </w:r>
    </w:p>
    <w:p w14:paraId="6A5EAFC6"/>
    <w:p w14:paraId="4569CF7C">
      <w:pPr>
        <w:pStyle w:val="3"/>
        <w:jc w:val="left"/>
      </w:pPr>
      <w:bookmarkStart w:id="42" w:name="_Toc29213"/>
      <w:r>
        <w:rPr>
          <w:rFonts w:ascii="宋体" w:hAnsi="宋体" w:eastAsia="宋体" w:cs="宋体"/>
        </w:rPr>
        <w:t>7.11 报告期末本基金投资的国债期货交易情况说明</w:t>
      </w:r>
      <w:bookmarkEnd w:id="42"/>
    </w:p>
    <w:p w14:paraId="1706F895">
      <w:pPr>
        <w:jc w:val="left"/>
      </w:pPr>
      <w:r>
        <w:rPr>
          <w:rFonts w:ascii="宋体" w:hAnsi="宋体" w:eastAsia="宋体" w:cs="宋体"/>
          <w:b w:val="0"/>
        </w:rPr>
        <w:t xml:space="preserve">    本基金本报告期内未参与国债期货投资，报告期末无国债期货持仓。</w:t>
      </w:r>
    </w:p>
    <w:p w14:paraId="659B4BBC"/>
    <w:p w14:paraId="102337BC">
      <w:pPr>
        <w:pStyle w:val="3"/>
        <w:jc w:val="left"/>
      </w:pPr>
      <w:bookmarkStart w:id="43" w:name="_Toc25016"/>
      <w:r>
        <w:rPr>
          <w:rFonts w:ascii="宋体" w:hAnsi="宋体" w:eastAsia="宋体" w:cs="宋体"/>
        </w:rPr>
        <w:t>7.12 投资组合报告附注</w:t>
      </w:r>
      <w:bookmarkEnd w:id="43"/>
    </w:p>
    <w:p w14:paraId="12AE1BB0">
      <w:pPr>
        <w:pStyle w:val="58"/>
      </w:pPr>
      <w:r>
        <w:rPr>
          <w:rFonts w:ascii="宋体" w:hAnsi="宋体" w:eastAsia="宋体" w:cs="宋体"/>
          <w:b/>
        </w:rPr>
        <w:t>7.12.1 本基金投资的前十名证券的发行主体本期受到监管部门立案调查或报告编制日前一年内受到公开谴责、处罚的情形说明</w:t>
      </w:r>
    </w:p>
    <w:p w14:paraId="2FC893EA">
      <w:pPr>
        <w:jc w:val="left"/>
      </w:pPr>
      <w:r>
        <w:rPr>
          <w:rFonts w:ascii="宋体" w:hAnsi="宋体" w:eastAsia="宋体" w:cs="宋体"/>
          <w:b w:val="0"/>
        </w:rPr>
        <w:t xml:space="preserve">    本基金投资的前十名证券的发行主体中，国家开发银行在报告编制日前一年内因违反金融统计相关规定受到中国人民银行的警告及罚款。本基金对上述证券的投资决策程序符合相关法规及公司制度要求。</w:t>
      </w:r>
      <w:r>
        <w:rPr>
          <w:rFonts w:ascii="宋体" w:hAnsi="宋体" w:eastAsia="宋体" w:cs="宋体"/>
          <w:b w:val="0"/>
        </w:rPr>
        <w:br w:type="textWrapping"/>
      </w:r>
      <w:r>
        <w:rPr>
          <w:rFonts w:ascii="宋体" w:hAnsi="宋体" w:eastAsia="宋体" w:cs="宋体"/>
          <w:b w:val="0"/>
        </w:rPr>
        <w:t xml:space="preserve">    本基金投资前十名的其余证券的发行主体本期未出现被监管部门立案调查，或在报告编制日前一年内受到公开谴责、处罚的情形。</w:t>
      </w:r>
    </w:p>
    <w:p w14:paraId="3BCA8E42"/>
    <w:p w14:paraId="1196B445">
      <w:pPr>
        <w:pStyle w:val="58"/>
      </w:pPr>
      <w:r>
        <w:rPr>
          <w:rFonts w:ascii="宋体" w:hAnsi="宋体" w:eastAsia="宋体" w:cs="宋体"/>
          <w:b/>
        </w:rPr>
        <w:t>7.12.2 基金投资的前十名股票超出基金合同约定的备选股票库情况的说明</w:t>
      </w:r>
    </w:p>
    <w:p w14:paraId="1C5A792F">
      <w:pPr>
        <w:jc w:val="left"/>
      </w:pPr>
      <w:r>
        <w:rPr>
          <w:rFonts w:ascii="宋体" w:hAnsi="宋体" w:eastAsia="宋体" w:cs="宋体"/>
          <w:b w:val="0"/>
        </w:rPr>
        <w:t xml:space="preserve">    基金投资的前十名股票，均为基金合同约定备选股票库之内的股票。</w:t>
      </w:r>
    </w:p>
    <w:p w14:paraId="7551B3C2"/>
    <w:p w14:paraId="1F313A77">
      <w:pPr>
        <w:pStyle w:val="58"/>
      </w:pPr>
      <w:r>
        <w:rPr>
          <w:rFonts w:ascii="宋体" w:hAnsi="宋体" w:eastAsia="宋体" w:cs="宋体"/>
          <w:b/>
        </w:rPr>
        <w:t>7.12.3 期末其他各项资产构成</w:t>
      </w:r>
    </w:p>
    <w:p w14:paraId="259FAAF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3143"/>
        <w:gridCol w:w="3286"/>
      </w:tblGrid>
      <w:tr w14:paraId="5D53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0590CA2E">
            <w:pPr>
              <w:spacing w:line="240" w:lineRule="auto"/>
              <w:jc w:val="center"/>
            </w:pPr>
            <w:r>
              <w:rPr>
                <w:rFonts w:ascii="宋体" w:hAnsi="宋体" w:eastAsia="宋体" w:cs="宋体"/>
                <w:b w:val="0"/>
              </w:rPr>
              <w:t>序号</w:t>
            </w:r>
          </w:p>
        </w:tc>
        <w:tc>
          <w:tcPr>
            <w:tcW w:w="1692" w:type="pct"/>
            <w:shd w:val="clear" w:color="auto" w:fill="D9D9D9"/>
            <w:vAlign w:val="center"/>
          </w:tcPr>
          <w:p w14:paraId="32E3E9D8">
            <w:pPr>
              <w:spacing w:line="240" w:lineRule="auto"/>
              <w:jc w:val="center"/>
            </w:pPr>
            <w:r>
              <w:rPr>
                <w:rFonts w:ascii="宋体" w:hAnsi="宋体" w:eastAsia="宋体" w:cs="宋体"/>
                <w:b w:val="0"/>
              </w:rPr>
              <w:t>名称</w:t>
            </w:r>
          </w:p>
        </w:tc>
        <w:tc>
          <w:tcPr>
            <w:tcW w:w="1769" w:type="pct"/>
            <w:shd w:val="clear" w:color="auto" w:fill="D9D9D9"/>
            <w:vAlign w:val="center"/>
          </w:tcPr>
          <w:p w14:paraId="121E13C4">
            <w:pPr>
              <w:spacing w:line="240" w:lineRule="auto"/>
              <w:jc w:val="center"/>
            </w:pPr>
            <w:r>
              <w:rPr>
                <w:rFonts w:ascii="宋体" w:hAnsi="宋体" w:eastAsia="宋体" w:cs="宋体"/>
                <w:b w:val="0"/>
              </w:rPr>
              <w:t>金额</w:t>
            </w:r>
          </w:p>
        </w:tc>
      </w:tr>
      <w:tr w14:paraId="44CC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05FC24">
            <w:pPr>
              <w:spacing w:line="240" w:lineRule="auto"/>
              <w:jc w:val="center"/>
            </w:pPr>
            <w:r>
              <w:rPr>
                <w:rFonts w:ascii="宋体" w:hAnsi="宋体" w:eastAsia="宋体" w:cs="宋体"/>
                <w:b w:val="0"/>
              </w:rPr>
              <w:t>1</w:t>
            </w:r>
          </w:p>
        </w:tc>
        <w:tc>
          <w:tcPr>
            <w:tcW w:w="0" w:type="dxa"/>
            <w:vAlign w:val="center"/>
          </w:tcPr>
          <w:p w14:paraId="503F5BB2">
            <w:pPr>
              <w:spacing w:line="240" w:lineRule="auto"/>
              <w:jc w:val="left"/>
            </w:pPr>
            <w:r>
              <w:rPr>
                <w:rFonts w:ascii="宋体" w:hAnsi="宋体" w:eastAsia="宋体" w:cs="宋体"/>
                <w:b w:val="0"/>
              </w:rPr>
              <w:t>存出保证金</w:t>
            </w:r>
          </w:p>
        </w:tc>
        <w:tc>
          <w:tcPr>
            <w:tcW w:w="0" w:type="dxa"/>
            <w:vAlign w:val="center"/>
          </w:tcPr>
          <w:p w14:paraId="77BD4F5D">
            <w:pPr>
              <w:spacing w:line="240" w:lineRule="auto"/>
              <w:jc w:val="right"/>
            </w:pPr>
            <w:r>
              <w:rPr>
                <w:rFonts w:ascii="宋体" w:hAnsi="宋体" w:eastAsia="宋体" w:cs="宋体"/>
                <w:b w:val="0"/>
              </w:rPr>
              <w:t>-</w:t>
            </w:r>
          </w:p>
        </w:tc>
      </w:tr>
      <w:tr w14:paraId="5851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264E83">
            <w:pPr>
              <w:spacing w:line="240" w:lineRule="auto"/>
              <w:jc w:val="center"/>
            </w:pPr>
            <w:r>
              <w:rPr>
                <w:rFonts w:ascii="宋体" w:hAnsi="宋体" w:eastAsia="宋体" w:cs="宋体"/>
                <w:b w:val="0"/>
              </w:rPr>
              <w:t>2</w:t>
            </w:r>
          </w:p>
        </w:tc>
        <w:tc>
          <w:tcPr>
            <w:tcW w:w="0" w:type="dxa"/>
            <w:vAlign w:val="center"/>
          </w:tcPr>
          <w:p w14:paraId="5D497FF4">
            <w:pPr>
              <w:spacing w:line="240" w:lineRule="auto"/>
              <w:jc w:val="left"/>
            </w:pPr>
            <w:r>
              <w:rPr>
                <w:rFonts w:ascii="宋体" w:hAnsi="宋体" w:eastAsia="宋体" w:cs="宋体"/>
                <w:b w:val="0"/>
              </w:rPr>
              <w:t>应收清算款</w:t>
            </w:r>
          </w:p>
        </w:tc>
        <w:tc>
          <w:tcPr>
            <w:tcW w:w="0" w:type="dxa"/>
            <w:vAlign w:val="center"/>
          </w:tcPr>
          <w:p w14:paraId="4BEC5CD8">
            <w:pPr>
              <w:spacing w:line="240" w:lineRule="auto"/>
              <w:jc w:val="right"/>
            </w:pPr>
            <w:r>
              <w:rPr>
                <w:rFonts w:ascii="宋体" w:hAnsi="宋体" w:eastAsia="宋体" w:cs="宋体"/>
                <w:b w:val="0"/>
              </w:rPr>
              <w:t>-</w:t>
            </w:r>
          </w:p>
        </w:tc>
      </w:tr>
      <w:tr w14:paraId="470A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AD8CE4">
            <w:pPr>
              <w:spacing w:line="240" w:lineRule="auto"/>
              <w:jc w:val="center"/>
            </w:pPr>
            <w:r>
              <w:rPr>
                <w:rFonts w:ascii="宋体" w:hAnsi="宋体" w:eastAsia="宋体" w:cs="宋体"/>
                <w:b w:val="0"/>
              </w:rPr>
              <w:t>3</w:t>
            </w:r>
          </w:p>
        </w:tc>
        <w:tc>
          <w:tcPr>
            <w:tcW w:w="0" w:type="dxa"/>
            <w:vAlign w:val="center"/>
          </w:tcPr>
          <w:p w14:paraId="25DD9269">
            <w:pPr>
              <w:spacing w:line="240" w:lineRule="auto"/>
              <w:jc w:val="left"/>
            </w:pPr>
            <w:r>
              <w:rPr>
                <w:rFonts w:ascii="宋体" w:hAnsi="宋体" w:eastAsia="宋体" w:cs="宋体"/>
                <w:b w:val="0"/>
              </w:rPr>
              <w:t>应收股利</w:t>
            </w:r>
          </w:p>
        </w:tc>
        <w:tc>
          <w:tcPr>
            <w:tcW w:w="0" w:type="dxa"/>
            <w:vAlign w:val="center"/>
          </w:tcPr>
          <w:p w14:paraId="164385A0">
            <w:pPr>
              <w:spacing w:line="240" w:lineRule="auto"/>
              <w:jc w:val="right"/>
            </w:pPr>
            <w:r>
              <w:rPr>
                <w:rFonts w:ascii="宋体" w:hAnsi="宋体" w:eastAsia="宋体" w:cs="宋体"/>
                <w:b w:val="0"/>
              </w:rPr>
              <w:t>-</w:t>
            </w:r>
          </w:p>
        </w:tc>
      </w:tr>
      <w:tr w14:paraId="539D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BEBB75">
            <w:pPr>
              <w:spacing w:line="240" w:lineRule="auto"/>
              <w:jc w:val="center"/>
            </w:pPr>
            <w:r>
              <w:rPr>
                <w:rFonts w:ascii="宋体" w:hAnsi="宋体" w:eastAsia="宋体" w:cs="宋体"/>
                <w:b w:val="0"/>
              </w:rPr>
              <w:t>4</w:t>
            </w:r>
          </w:p>
        </w:tc>
        <w:tc>
          <w:tcPr>
            <w:tcW w:w="0" w:type="dxa"/>
            <w:vAlign w:val="center"/>
          </w:tcPr>
          <w:p w14:paraId="390A2F7D">
            <w:pPr>
              <w:spacing w:line="240" w:lineRule="auto"/>
              <w:jc w:val="left"/>
            </w:pPr>
            <w:r>
              <w:rPr>
                <w:rFonts w:ascii="宋体" w:hAnsi="宋体" w:eastAsia="宋体" w:cs="宋体"/>
                <w:b w:val="0"/>
              </w:rPr>
              <w:t>应收利息</w:t>
            </w:r>
          </w:p>
        </w:tc>
        <w:tc>
          <w:tcPr>
            <w:tcW w:w="0" w:type="dxa"/>
            <w:vAlign w:val="center"/>
          </w:tcPr>
          <w:p w14:paraId="64D87564">
            <w:pPr>
              <w:spacing w:line="240" w:lineRule="auto"/>
              <w:jc w:val="right"/>
            </w:pPr>
            <w:r>
              <w:rPr>
                <w:rFonts w:ascii="宋体" w:hAnsi="宋体" w:eastAsia="宋体" w:cs="宋体"/>
                <w:b w:val="0"/>
              </w:rPr>
              <w:t>-</w:t>
            </w:r>
          </w:p>
        </w:tc>
      </w:tr>
      <w:tr w14:paraId="5442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386748">
            <w:pPr>
              <w:spacing w:line="240" w:lineRule="auto"/>
              <w:jc w:val="center"/>
            </w:pPr>
            <w:r>
              <w:rPr>
                <w:rFonts w:ascii="宋体" w:hAnsi="宋体" w:eastAsia="宋体" w:cs="宋体"/>
                <w:b w:val="0"/>
              </w:rPr>
              <w:t>5</w:t>
            </w:r>
          </w:p>
        </w:tc>
        <w:tc>
          <w:tcPr>
            <w:tcW w:w="0" w:type="dxa"/>
            <w:vAlign w:val="center"/>
          </w:tcPr>
          <w:p w14:paraId="148363D3">
            <w:pPr>
              <w:spacing w:line="240" w:lineRule="auto"/>
              <w:jc w:val="left"/>
            </w:pPr>
            <w:r>
              <w:rPr>
                <w:rFonts w:ascii="宋体" w:hAnsi="宋体" w:eastAsia="宋体" w:cs="宋体"/>
                <w:b w:val="0"/>
              </w:rPr>
              <w:t>应收申购款</w:t>
            </w:r>
          </w:p>
        </w:tc>
        <w:tc>
          <w:tcPr>
            <w:tcW w:w="0" w:type="dxa"/>
            <w:vAlign w:val="center"/>
          </w:tcPr>
          <w:p w14:paraId="65C2E129">
            <w:pPr>
              <w:spacing w:line="240" w:lineRule="auto"/>
              <w:jc w:val="right"/>
            </w:pPr>
            <w:r>
              <w:rPr>
                <w:rFonts w:ascii="宋体" w:hAnsi="宋体" w:eastAsia="宋体" w:cs="宋体"/>
                <w:b w:val="0"/>
              </w:rPr>
              <w:t>122,236.98</w:t>
            </w:r>
          </w:p>
        </w:tc>
      </w:tr>
      <w:tr w14:paraId="7C7A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ACBDDC">
            <w:pPr>
              <w:spacing w:line="240" w:lineRule="auto"/>
              <w:jc w:val="center"/>
            </w:pPr>
            <w:r>
              <w:rPr>
                <w:rFonts w:ascii="宋体" w:hAnsi="宋体" w:eastAsia="宋体" w:cs="宋体"/>
                <w:b w:val="0"/>
              </w:rPr>
              <w:t>6</w:t>
            </w:r>
          </w:p>
        </w:tc>
        <w:tc>
          <w:tcPr>
            <w:tcW w:w="0" w:type="dxa"/>
            <w:vAlign w:val="center"/>
          </w:tcPr>
          <w:p w14:paraId="37A68698">
            <w:pPr>
              <w:spacing w:line="240" w:lineRule="auto"/>
              <w:jc w:val="left"/>
            </w:pPr>
            <w:r>
              <w:rPr>
                <w:rFonts w:ascii="宋体" w:hAnsi="宋体" w:eastAsia="宋体" w:cs="宋体"/>
                <w:b w:val="0"/>
              </w:rPr>
              <w:t>其他应收款</w:t>
            </w:r>
          </w:p>
        </w:tc>
        <w:tc>
          <w:tcPr>
            <w:tcW w:w="0" w:type="dxa"/>
            <w:vAlign w:val="center"/>
          </w:tcPr>
          <w:p w14:paraId="7C402D8C">
            <w:pPr>
              <w:spacing w:line="240" w:lineRule="auto"/>
              <w:jc w:val="right"/>
            </w:pPr>
            <w:r>
              <w:rPr>
                <w:rFonts w:ascii="宋体" w:hAnsi="宋体" w:eastAsia="宋体" w:cs="宋体"/>
                <w:b w:val="0"/>
              </w:rPr>
              <w:t>-</w:t>
            </w:r>
          </w:p>
        </w:tc>
      </w:tr>
      <w:tr w14:paraId="6FD1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18D718">
            <w:pPr>
              <w:spacing w:line="240" w:lineRule="auto"/>
              <w:jc w:val="center"/>
            </w:pPr>
            <w:r>
              <w:rPr>
                <w:rFonts w:ascii="宋体" w:hAnsi="宋体" w:eastAsia="宋体" w:cs="宋体"/>
                <w:b w:val="0"/>
              </w:rPr>
              <w:t>7</w:t>
            </w:r>
          </w:p>
        </w:tc>
        <w:tc>
          <w:tcPr>
            <w:tcW w:w="0" w:type="dxa"/>
            <w:vAlign w:val="center"/>
          </w:tcPr>
          <w:p w14:paraId="702404E8">
            <w:pPr>
              <w:spacing w:line="240" w:lineRule="auto"/>
              <w:jc w:val="left"/>
            </w:pPr>
            <w:r>
              <w:rPr>
                <w:rFonts w:ascii="宋体" w:hAnsi="宋体" w:eastAsia="宋体" w:cs="宋体"/>
                <w:b w:val="0"/>
              </w:rPr>
              <w:t>待摊费用</w:t>
            </w:r>
          </w:p>
        </w:tc>
        <w:tc>
          <w:tcPr>
            <w:tcW w:w="0" w:type="dxa"/>
            <w:vAlign w:val="center"/>
          </w:tcPr>
          <w:p w14:paraId="335ADA30">
            <w:pPr>
              <w:spacing w:line="240" w:lineRule="auto"/>
              <w:jc w:val="right"/>
            </w:pPr>
            <w:r>
              <w:rPr>
                <w:rFonts w:ascii="宋体" w:hAnsi="宋体" w:eastAsia="宋体" w:cs="宋体"/>
                <w:b w:val="0"/>
              </w:rPr>
              <w:t>-</w:t>
            </w:r>
          </w:p>
        </w:tc>
      </w:tr>
      <w:tr w14:paraId="6DC7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A78974">
            <w:pPr>
              <w:spacing w:line="240" w:lineRule="auto"/>
              <w:jc w:val="center"/>
            </w:pPr>
            <w:r>
              <w:rPr>
                <w:rFonts w:ascii="宋体" w:hAnsi="宋体" w:eastAsia="宋体" w:cs="宋体"/>
                <w:b w:val="0"/>
              </w:rPr>
              <w:t>8</w:t>
            </w:r>
          </w:p>
        </w:tc>
        <w:tc>
          <w:tcPr>
            <w:tcW w:w="0" w:type="dxa"/>
            <w:vAlign w:val="center"/>
          </w:tcPr>
          <w:p w14:paraId="7055B0B0">
            <w:pPr>
              <w:spacing w:line="240" w:lineRule="auto"/>
              <w:jc w:val="left"/>
            </w:pPr>
            <w:r>
              <w:rPr>
                <w:rFonts w:ascii="宋体" w:hAnsi="宋体" w:eastAsia="宋体" w:cs="宋体"/>
                <w:b w:val="0"/>
              </w:rPr>
              <w:t>其他</w:t>
            </w:r>
          </w:p>
        </w:tc>
        <w:tc>
          <w:tcPr>
            <w:tcW w:w="0" w:type="dxa"/>
            <w:vAlign w:val="center"/>
          </w:tcPr>
          <w:p w14:paraId="0E4443B4">
            <w:pPr>
              <w:spacing w:line="240" w:lineRule="auto"/>
              <w:jc w:val="right"/>
            </w:pPr>
            <w:r>
              <w:rPr>
                <w:rFonts w:ascii="宋体" w:hAnsi="宋体" w:eastAsia="宋体" w:cs="宋体"/>
                <w:b w:val="0"/>
              </w:rPr>
              <w:t>-</w:t>
            </w:r>
          </w:p>
        </w:tc>
      </w:tr>
      <w:tr w14:paraId="56CE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072337">
            <w:pPr>
              <w:spacing w:line="240" w:lineRule="auto"/>
              <w:jc w:val="center"/>
            </w:pPr>
            <w:r>
              <w:rPr>
                <w:rFonts w:ascii="宋体" w:hAnsi="宋体" w:eastAsia="宋体" w:cs="宋体"/>
                <w:b w:val="0"/>
              </w:rPr>
              <w:t>9</w:t>
            </w:r>
          </w:p>
        </w:tc>
        <w:tc>
          <w:tcPr>
            <w:tcW w:w="0" w:type="dxa"/>
            <w:vAlign w:val="center"/>
          </w:tcPr>
          <w:p w14:paraId="34C94361">
            <w:pPr>
              <w:spacing w:line="240" w:lineRule="auto"/>
              <w:jc w:val="left"/>
            </w:pPr>
            <w:r>
              <w:rPr>
                <w:rFonts w:ascii="宋体" w:hAnsi="宋体" w:eastAsia="宋体" w:cs="宋体"/>
                <w:b w:val="0"/>
              </w:rPr>
              <w:t>合计</w:t>
            </w:r>
          </w:p>
        </w:tc>
        <w:tc>
          <w:tcPr>
            <w:tcW w:w="0" w:type="dxa"/>
            <w:vAlign w:val="center"/>
          </w:tcPr>
          <w:p w14:paraId="1E1D742A">
            <w:pPr>
              <w:spacing w:line="240" w:lineRule="auto"/>
              <w:jc w:val="right"/>
            </w:pPr>
            <w:r>
              <w:rPr>
                <w:rFonts w:ascii="宋体" w:hAnsi="宋体" w:eastAsia="宋体" w:cs="宋体"/>
                <w:b w:val="0"/>
              </w:rPr>
              <w:t>122,236.98</w:t>
            </w:r>
          </w:p>
        </w:tc>
      </w:tr>
    </w:tbl>
    <w:p w14:paraId="72EF3E05"/>
    <w:p w14:paraId="4983A8DF">
      <w:pPr>
        <w:pStyle w:val="58"/>
      </w:pPr>
      <w:r>
        <w:rPr>
          <w:rFonts w:ascii="宋体" w:hAnsi="宋体" w:eastAsia="宋体" w:cs="宋体"/>
          <w:b/>
        </w:rPr>
        <w:t>7.12.4 期末持有的处于转股期的可转换债券明细</w:t>
      </w:r>
    </w:p>
    <w:p w14:paraId="6B16C2DA">
      <w:r>
        <w:rPr>
          <w:rFonts w:ascii="宋体" w:hAnsi="宋体" w:eastAsia="宋体" w:cs="宋体"/>
          <w:b w:val="0"/>
        </w:rPr>
        <w:t xml:space="preserve">    本基金本报告期末未持有处于转股期的可转换债券。</w:t>
      </w:r>
    </w:p>
    <w:p w14:paraId="3EBC94C4"/>
    <w:p w14:paraId="7D8CC8B3">
      <w:pPr>
        <w:pStyle w:val="58"/>
      </w:pPr>
      <w:r>
        <w:rPr>
          <w:rFonts w:ascii="宋体" w:hAnsi="宋体" w:eastAsia="宋体" w:cs="宋体"/>
          <w:b/>
        </w:rPr>
        <w:t>7.12.5 期末前十名股票中存在流通受限情况的说明</w:t>
      </w:r>
    </w:p>
    <w:p w14:paraId="07C33133">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547"/>
        <w:gridCol w:w="1548"/>
        <w:gridCol w:w="1548"/>
        <w:gridCol w:w="1548"/>
        <w:gridCol w:w="1858"/>
      </w:tblGrid>
      <w:tr w14:paraId="7B2A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761EFA41">
            <w:pPr>
              <w:spacing w:line="240" w:lineRule="auto"/>
              <w:jc w:val="center"/>
            </w:pPr>
            <w:r>
              <w:rPr>
                <w:rFonts w:ascii="宋体" w:hAnsi="宋体" w:eastAsia="宋体" w:cs="宋体"/>
                <w:b w:val="0"/>
              </w:rPr>
              <w:t>序号</w:t>
            </w:r>
          </w:p>
        </w:tc>
        <w:tc>
          <w:tcPr>
            <w:tcW w:w="769" w:type="pct"/>
            <w:shd w:val="clear" w:color="auto" w:fill="D9D9D9"/>
            <w:vAlign w:val="center"/>
          </w:tcPr>
          <w:p w14:paraId="0B5A70EF">
            <w:pPr>
              <w:spacing w:line="240" w:lineRule="auto"/>
              <w:jc w:val="center"/>
            </w:pPr>
            <w:r>
              <w:rPr>
                <w:rFonts w:ascii="宋体" w:hAnsi="宋体" w:eastAsia="宋体" w:cs="宋体"/>
                <w:b w:val="0"/>
              </w:rPr>
              <w:t>股票代码</w:t>
            </w:r>
          </w:p>
        </w:tc>
        <w:tc>
          <w:tcPr>
            <w:tcW w:w="769" w:type="pct"/>
            <w:shd w:val="clear" w:color="auto" w:fill="D9D9D9"/>
            <w:vAlign w:val="center"/>
          </w:tcPr>
          <w:p w14:paraId="078BD457">
            <w:pPr>
              <w:spacing w:line="240" w:lineRule="auto"/>
              <w:jc w:val="center"/>
            </w:pPr>
            <w:r>
              <w:rPr>
                <w:rFonts w:ascii="宋体" w:hAnsi="宋体" w:eastAsia="宋体" w:cs="宋体"/>
                <w:b w:val="0"/>
              </w:rPr>
              <w:t>股票名称</w:t>
            </w:r>
          </w:p>
        </w:tc>
        <w:tc>
          <w:tcPr>
            <w:tcW w:w="769" w:type="pct"/>
            <w:shd w:val="clear" w:color="auto" w:fill="D9D9D9"/>
            <w:vAlign w:val="center"/>
          </w:tcPr>
          <w:p w14:paraId="6DEE3DF8">
            <w:pPr>
              <w:spacing w:line="240" w:lineRule="auto"/>
              <w:jc w:val="center"/>
            </w:pPr>
            <w:r>
              <w:rPr>
                <w:rFonts w:ascii="宋体" w:hAnsi="宋体" w:eastAsia="宋体" w:cs="宋体"/>
                <w:b w:val="0"/>
              </w:rPr>
              <w:t>流通受限部分的公允价值</w:t>
            </w:r>
          </w:p>
        </w:tc>
        <w:tc>
          <w:tcPr>
            <w:tcW w:w="769" w:type="pct"/>
            <w:shd w:val="clear" w:color="auto" w:fill="D9D9D9"/>
            <w:vAlign w:val="center"/>
          </w:tcPr>
          <w:p w14:paraId="53D44704">
            <w:pPr>
              <w:spacing w:line="240" w:lineRule="auto"/>
              <w:jc w:val="center"/>
            </w:pPr>
            <w:r>
              <w:rPr>
                <w:rFonts w:ascii="宋体" w:hAnsi="宋体" w:eastAsia="宋体" w:cs="宋体"/>
                <w:b w:val="0"/>
              </w:rPr>
              <w:t>占基金资产净值比例(%)</w:t>
            </w:r>
          </w:p>
        </w:tc>
        <w:tc>
          <w:tcPr>
            <w:tcW w:w="923" w:type="pct"/>
            <w:shd w:val="clear" w:color="auto" w:fill="D9D9D9"/>
            <w:vAlign w:val="center"/>
          </w:tcPr>
          <w:p w14:paraId="77B6CEF2">
            <w:pPr>
              <w:spacing w:line="240" w:lineRule="auto"/>
              <w:jc w:val="center"/>
            </w:pPr>
            <w:r>
              <w:rPr>
                <w:rFonts w:ascii="宋体" w:hAnsi="宋体" w:eastAsia="宋体" w:cs="宋体"/>
                <w:b w:val="0"/>
              </w:rPr>
              <w:t>流通受限情况说明</w:t>
            </w:r>
          </w:p>
        </w:tc>
      </w:tr>
      <w:tr w14:paraId="0526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8EDB3C">
            <w:pPr>
              <w:spacing w:line="240" w:lineRule="auto"/>
              <w:jc w:val="center"/>
            </w:pPr>
            <w:r>
              <w:rPr>
                <w:rFonts w:ascii="宋体" w:hAnsi="宋体" w:eastAsia="宋体" w:cs="宋体"/>
                <w:b w:val="0"/>
              </w:rPr>
              <w:t>1</w:t>
            </w:r>
          </w:p>
        </w:tc>
        <w:tc>
          <w:tcPr>
            <w:tcW w:w="0" w:type="dxa"/>
            <w:vAlign w:val="center"/>
          </w:tcPr>
          <w:p w14:paraId="08087777">
            <w:pPr>
              <w:spacing w:line="240" w:lineRule="auto"/>
              <w:jc w:val="left"/>
            </w:pPr>
            <w:r>
              <w:rPr>
                <w:rFonts w:ascii="宋体" w:hAnsi="宋体" w:eastAsia="宋体" w:cs="宋体"/>
                <w:b w:val="0"/>
              </w:rPr>
              <w:t>688072</w:t>
            </w:r>
          </w:p>
        </w:tc>
        <w:tc>
          <w:tcPr>
            <w:tcW w:w="0" w:type="dxa"/>
            <w:vAlign w:val="center"/>
          </w:tcPr>
          <w:p w14:paraId="5F634A7E">
            <w:pPr>
              <w:spacing w:line="240" w:lineRule="auto"/>
              <w:jc w:val="left"/>
            </w:pPr>
            <w:r>
              <w:rPr>
                <w:rFonts w:ascii="宋体" w:hAnsi="宋体" w:eastAsia="宋体" w:cs="宋体"/>
                <w:b w:val="0"/>
              </w:rPr>
              <w:t>拓荆科技</w:t>
            </w:r>
          </w:p>
        </w:tc>
        <w:tc>
          <w:tcPr>
            <w:tcW w:w="0" w:type="dxa"/>
            <w:vAlign w:val="center"/>
          </w:tcPr>
          <w:p w14:paraId="4C5AA27F">
            <w:pPr>
              <w:spacing w:line="240" w:lineRule="auto"/>
              <w:jc w:val="right"/>
            </w:pPr>
            <w:r>
              <w:rPr>
                <w:rFonts w:ascii="宋体" w:hAnsi="宋体" w:eastAsia="宋体" w:cs="宋体"/>
                <w:b w:val="0"/>
              </w:rPr>
              <w:t>175,906.00</w:t>
            </w:r>
          </w:p>
        </w:tc>
        <w:tc>
          <w:tcPr>
            <w:tcW w:w="0" w:type="dxa"/>
            <w:vAlign w:val="center"/>
          </w:tcPr>
          <w:p w14:paraId="7E983DD6">
            <w:pPr>
              <w:spacing w:line="240" w:lineRule="auto"/>
              <w:jc w:val="right"/>
            </w:pPr>
            <w:r>
              <w:rPr>
                <w:rFonts w:ascii="宋体" w:hAnsi="宋体" w:eastAsia="宋体" w:cs="宋体"/>
                <w:b w:val="0"/>
              </w:rPr>
              <w:t>1.59</w:t>
            </w:r>
          </w:p>
        </w:tc>
        <w:tc>
          <w:tcPr>
            <w:tcW w:w="0" w:type="dxa"/>
            <w:vAlign w:val="center"/>
          </w:tcPr>
          <w:p w14:paraId="337217C8">
            <w:pPr>
              <w:spacing w:line="240" w:lineRule="auto"/>
              <w:jc w:val="left"/>
            </w:pPr>
            <w:r>
              <w:rPr>
                <w:rFonts w:ascii="宋体" w:hAnsi="宋体" w:eastAsia="宋体" w:cs="宋体"/>
                <w:b w:val="0"/>
              </w:rPr>
              <w:t>股票停牌</w:t>
            </w:r>
          </w:p>
        </w:tc>
      </w:tr>
    </w:tbl>
    <w:p w14:paraId="45F51B9A"/>
    <w:p w14:paraId="4B1E5D78">
      <w:pPr>
        <w:pStyle w:val="58"/>
      </w:pPr>
      <w:r>
        <w:rPr>
          <w:rFonts w:ascii="宋体" w:hAnsi="宋体" w:eastAsia="宋体" w:cs="宋体"/>
          <w:b/>
        </w:rPr>
        <w:t>7.12.6 投资组合报告附注的其他文字描述部分</w:t>
      </w:r>
    </w:p>
    <w:p w14:paraId="58022C8E">
      <w:pPr>
        <w:jc w:val="left"/>
      </w:pPr>
      <w:r>
        <w:rPr>
          <w:rFonts w:ascii="宋体" w:hAnsi="宋体" w:eastAsia="宋体" w:cs="宋体"/>
          <w:b w:val="0"/>
        </w:rPr>
        <w:t xml:space="preserve">    由于四舍五入的原因，分项之和与合计项之间可能存在尾差。</w:t>
      </w:r>
    </w:p>
    <w:p w14:paraId="7F4DAC29">
      <w:pPr>
        <w:pStyle w:val="2"/>
        <w:jc w:val="center"/>
      </w:pPr>
      <w:bookmarkStart w:id="44" w:name="_Toc2416"/>
      <w:r>
        <w:rPr>
          <w:rFonts w:ascii="宋体" w:hAnsi="宋体" w:eastAsia="宋体" w:cs="宋体"/>
        </w:rPr>
        <w:t>§8 基金份额持有人信息</w:t>
      </w:r>
      <w:bookmarkEnd w:id="44"/>
    </w:p>
    <w:p w14:paraId="429A1662">
      <w:pPr>
        <w:pStyle w:val="3"/>
        <w:jc w:val="left"/>
      </w:pPr>
      <w:bookmarkStart w:id="45" w:name="_Toc14814"/>
      <w:r>
        <w:rPr>
          <w:rFonts w:ascii="宋体" w:hAnsi="宋体" w:eastAsia="宋体" w:cs="宋体"/>
        </w:rPr>
        <w:t>8.1 期末基金份额持有人户数及持有人结构</w:t>
      </w:r>
      <w:bookmarkEnd w:id="45"/>
    </w:p>
    <w:p w14:paraId="243C1238">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111"/>
        <w:gridCol w:w="1266"/>
        <w:gridCol w:w="1476"/>
        <w:gridCol w:w="1423"/>
        <w:gridCol w:w="1476"/>
        <w:gridCol w:w="1423"/>
      </w:tblGrid>
      <w:tr w14:paraId="4643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655E3A2C">
            <w:pPr>
              <w:spacing w:line="240" w:lineRule="auto"/>
              <w:jc w:val="center"/>
            </w:pPr>
            <w:r>
              <w:rPr>
                <w:rFonts w:ascii="宋体" w:hAnsi="宋体" w:eastAsia="宋体" w:cs="宋体"/>
                <w:b w:val="0"/>
              </w:rPr>
              <w:t>份额级别</w:t>
            </w:r>
          </w:p>
        </w:tc>
        <w:tc>
          <w:tcPr>
            <w:tcW w:w="615" w:type="pct"/>
            <w:vMerge w:val="restart"/>
            <w:shd w:val="clear" w:color="auto" w:fill="D9D9D9"/>
            <w:vAlign w:val="center"/>
          </w:tcPr>
          <w:p w14:paraId="5C1B5D26">
            <w:pPr>
              <w:spacing w:line="240" w:lineRule="auto"/>
              <w:jc w:val="center"/>
            </w:pPr>
            <w:r>
              <w:rPr>
                <w:rFonts w:ascii="宋体" w:hAnsi="宋体" w:eastAsia="宋体" w:cs="宋体"/>
                <w:b w:val="0"/>
              </w:rPr>
              <w:t>持有人户数（户）</w:t>
            </w:r>
          </w:p>
        </w:tc>
        <w:tc>
          <w:tcPr>
            <w:tcW w:w="615" w:type="pct"/>
            <w:vMerge w:val="restart"/>
            <w:shd w:val="clear" w:color="auto" w:fill="D9D9D9"/>
            <w:vAlign w:val="center"/>
          </w:tcPr>
          <w:p w14:paraId="14CCD2E6">
            <w:pPr>
              <w:spacing w:line="240" w:lineRule="auto"/>
              <w:jc w:val="center"/>
            </w:pPr>
            <w:r>
              <w:rPr>
                <w:rFonts w:ascii="宋体" w:hAnsi="宋体" w:eastAsia="宋体" w:cs="宋体"/>
                <w:b w:val="0"/>
              </w:rPr>
              <w:t>户均持有的基金份额</w:t>
            </w:r>
          </w:p>
        </w:tc>
        <w:tc>
          <w:tcPr>
            <w:tcW w:w="2769" w:type="pct"/>
            <w:gridSpan w:val="4"/>
            <w:shd w:val="clear" w:color="auto" w:fill="D9D9D9"/>
            <w:vAlign w:val="center"/>
          </w:tcPr>
          <w:p w14:paraId="3C748AD9">
            <w:pPr>
              <w:spacing w:line="240" w:lineRule="auto"/>
              <w:jc w:val="center"/>
            </w:pPr>
            <w:r>
              <w:rPr>
                <w:rFonts w:ascii="宋体" w:hAnsi="宋体" w:eastAsia="宋体" w:cs="宋体"/>
                <w:b w:val="0"/>
              </w:rPr>
              <w:t>持有人结构</w:t>
            </w:r>
          </w:p>
        </w:tc>
      </w:tr>
      <w:tr w14:paraId="2411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20E25FF"/>
        </w:tc>
        <w:tc>
          <w:tcPr>
            <w:vMerge w:val="continue"/>
          </w:tcPr>
          <w:p w14:paraId="71F245B5"/>
        </w:tc>
        <w:tc>
          <w:tcPr>
            <w:vMerge w:val="continue"/>
          </w:tcPr>
          <w:p w14:paraId="3911A86E"/>
        </w:tc>
        <w:tc>
          <w:tcPr>
            <w:tcW w:w="1385" w:type="pct"/>
            <w:gridSpan w:val="2"/>
            <w:shd w:val="clear" w:color="auto" w:fill="D9D9D9"/>
            <w:vAlign w:val="center"/>
          </w:tcPr>
          <w:p w14:paraId="16728164">
            <w:pPr>
              <w:spacing w:line="240" w:lineRule="auto"/>
              <w:jc w:val="center"/>
            </w:pPr>
            <w:r>
              <w:rPr>
                <w:rFonts w:ascii="宋体" w:hAnsi="宋体" w:eastAsia="宋体" w:cs="宋体"/>
                <w:b w:val="0"/>
              </w:rPr>
              <w:t>机构投资者</w:t>
            </w:r>
          </w:p>
        </w:tc>
        <w:tc>
          <w:tcPr>
            <w:tcW w:w="1385" w:type="pct"/>
            <w:gridSpan w:val="2"/>
            <w:shd w:val="clear" w:color="auto" w:fill="D9D9D9"/>
            <w:vAlign w:val="center"/>
          </w:tcPr>
          <w:p w14:paraId="7F4A2E08">
            <w:pPr>
              <w:spacing w:line="240" w:lineRule="auto"/>
              <w:jc w:val="center"/>
            </w:pPr>
            <w:r>
              <w:rPr>
                <w:rFonts w:ascii="宋体" w:hAnsi="宋体" w:eastAsia="宋体" w:cs="宋体"/>
                <w:b w:val="0"/>
              </w:rPr>
              <w:t>个人投资者</w:t>
            </w:r>
          </w:p>
        </w:tc>
      </w:tr>
      <w:tr w14:paraId="454D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3D2574C"/>
        </w:tc>
        <w:tc>
          <w:tcPr>
            <w:vMerge w:val="continue"/>
          </w:tcPr>
          <w:p w14:paraId="3F69556F"/>
        </w:tc>
        <w:tc>
          <w:tcPr>
            <w:vMerge w:val="continue"/>
          </w:tcPr>
          <w:p w14:paraId="6257E82B"/>
        </w:tc>
        <w:tc>
          <w:tcPr>
            <w:tcW w:w="615" w:type="pct"/>
            <w:shd w:val="clear" w:color="auto" w:fill="D9D9D9"/>
            <w:vAlign w:val="center"/>
          </w:tcPr>
          <w:p w14:paraId="5E547540">
            <w:pPr>
              <w:spacing w:line="240" w:lineRule="auto"/>
              <w:jc w:val="center"/>
            </w:pPr>
            <w:r>
              <w:rPr>
                <w:rFonts w:ascii="宋体" w:hAnsi="宋体" w:eastAsia="宋体" w:cs="宋体"/>
                <w:b w:val="0"/>
              </w:rPr>
              <w:t>持有份额</w:t>
            </w:r>
          </w:p>
        </w:tc>
        <w:tc>
          <w:tcPr>
            <w:tcW w:w="769" w:type="pct"/>
            <w:shd w:val="clear" w:color="auto" w:fill="D9D9D9"/>
            <w:vAlign w:val="center"/>
          </w:tcPr>
          <w:p w14:paraId="0CBFA361">
            <w:pPr>
              <w:spacing w:line="240" w:lineRule="auto"/>
              <w:jc w:val="center"/>
            </w:pPr>
            <w:r>
              <w:rPr>
                <w:rFonts w:ascii="宋体" w:hAnsi="宋体" w:eastAsia="宋体" w:cs="宋体"/>
                <w:b w:val="0"/>
              </w:rPr>
              <w:t>占总份额比例</w:t>
            </w:r>
          </w:p>
        </w:tc>
        <w:tc>
          <w:tcPr>
            <w:tcW w:w="615" w:type="pct"/>
            <w:shd w:val="clear" w:color="auto" w:fill="D9D9D9"/>
            <w:vAlign w:val="center"/>
          </w:tcPr>
          <w:p w14:paraId="1A7ABB03">
            <w:pPr>
              <w:spacing w:line="240" w:lineRule="auto"/>
              <w:jc w:val="center"/>
            </w:pPr>
            <w:r>
              <w:rPr>
                <w:rFonts w:ascii="宋体" w:hAnsi="宋体" w:eastAsia="宋体" w:cs="宋体"/>
                <w:b w:val="0"/>
              </w:rPr>
              <w:t>持有份额</w:t>
            </w:r>
          </w:p>
        </w:tc>
        <w:tc>
          <w:tcPr>
            <w:tcW w:w="769" w:type="pct"/>
            <w:shd w:val="clear" w:color="auto" w:fill="D9D9D9"/>
            <w:vAlign w:val="center"/>
          </w:tcPr>
          <w:p w14:paraId="0E83168C">
            <w:pPr>
              <w:spacing w:line="240" w:lineRule="auto"/>
              <w:jc w:val="center"/>
            </w:pPr>
            <w:r>
              <w:rPr>
                <w:rFonts w:ascii="宋体" w:hAnsi="宋体" w:eastAsia="宋体" w:cs="宋体"/>
                <w:b w:val="0"/>
              </w:rPr>
              <w:t>占总份额比例</w:t>
            </w:r>
          </w:p>
        </w:tc>
      </w:tr>
      <w:tr w14:paraId="5764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911860">
            <w:pPr>
              <w:spacing w:line="240" w:lineRule="auto"/>
              <w:jc w:val="center"/>
            </w:pPr>
            <w:r>
              <w:rPr>
                <w:rFonts w:ascii="宋体" w:hAnsi="宋体" w:eastAsia="宋体" w:cs="宋体"/>
                <w:b w:val="0"/>
              </w:rPr>
              <w:t>东方阿尔法增利债券发起A</w:t>
            </w:r>
          </w:p>
        </w:tc>
        <w:tc>
          <w:tcPr>
            <w:tcW w:w="0" w:type="dxa"/>
            <w:vAlign w:val="center"/>
          </w:tcPr>
          <w:p w14:paraId="19FCD809">
            <w:pPr>
              <w:spacing w:line="240" w:lineRule="auto"/>
              <w:jc w:val="right"/>
            </w:pPr>
            <w:r>
              <w:rPr>
                <w:rFonts w:ascii="宋体" w:hAnsi="宋体" w:eastAsia="宋体" w:cs="宋体"/>
                <w:b w:val="0"/>
              </w:rPr>
              <w:t>68</w:t>
            </w:r>
          </w:p>
        </w:tc>
        <w:tc>
          <w:tcPr>
            <w:tcW w:w="0" w:type="dxa"/>
            <w:vAlign w:val="center"/>
          </w:tcPr>
          <w:p w14:paraId="5364E0F4">
            <w:pPr>
              <w:spacing w:line="240" w:lineRule="auto"/>
              <w:jc w:val="right"/>
            </w:pPr>
            <w:r>
              <w:rPr>
                <w:rFonts w:ascii="宋体" w:hAnsi="宋体" w:eastAsia="宋体" w:cs="宋体"/>
                <w:b w:val="0"/>
              </w:rPr>
              <w:t>153,091.73</w:t>
            </w:r>
          </w:p>
        </w:tc>
        <w:tc>
          <w:tcPr>
            <w:tcW w:w="0" w:type="dxa"/>
            <w:vAlign w:val="center"/>
          </w:tcPr>
          <w:p w14:paraId="0B614016">
            <w:pPr>
              <w:spacing w:line="240" w:lineRule="auto"/>
              <w:jc w:val="right"/>
            </w:pPr>
            <w:r>
              <w:rPr>
                <w:rFonts w:ascii="宋体" w:hAnsi="宋体" w:eastAsia="宋体" w:cs="宋体"/>
                <w:b w:val="0"/>
              </w:rPr>
              <w:t>5,000,194.44</w:t>
            </w:r>
          </w:p>
        </w:tc>
        <w:tc>
          <w:tcPr>
            <w:tcW w:w="0" w:type="dxa"/>
            <w:vAlign w:val="center"/>
          </w:tcPr>
          <w:p w14:paraId="3469AA19">
            <w:pPr>
              <w:spacing w:line="240" w:lineRule="auto"/>
              <w:jc w:val="right"/>
            </w:pPr>
            <w:r>
              <w:rPr>
                <w:rFonts w:ascii="宋体" w:hAnsi="宋体" w:eastAsia="宋体" w:cs="宋体"/>
                <w:b w:val="0"/>
              </w:rPr>
              <w:t>48.03%</w:t>
            </w:r>
          </w:p>
        </w:tc>
        <w:tc>
          <w:tcPr>
            <w:tcW w:w="0" w:type="dxa"/>
            <w:vAlign w:val="center"/>
          </w:tcPr>
          <w:p w14:paraId="6DA6FA26">
            <w:pPr>
              <w:spacing w:line="240" w:lineRule="auto"/>
              <w:jc w:val="right"/>
            </w:pPr>
            <w:r>
              <w:rPr>
                <w:rFonts w:ascii="宋体" w:hAnsi="宋体" w:eastAsia="宋体" w:cs="宋体"/>
                <w:b w:val="0"/>
              </w:rPr>
              <w:t>5,410,043.52</w:t>
            </w:r>
          </w:p>
        </w:tc>
        <w:tc>
          <w:tcPr>
            <w:tcW w:w="0" w:type="dxa"/>
            <w:vAlign w:val="center"/>
          </w:tcPr>
          <w:p w14:paraId="7F878F00">
            <w:pPr>
              <w:spacing w:line="240" w:lineRule="auto"/>
              <w:jc w:val="right"/>
            </w:pPr>
            <w:r>
              <w:rPr>
                <w:rFonts w:ascii="宋体" w:hAnsi="宋体" w:eastAsia="宋体" w:cs="宋体"/>
                <w:b w:val="0"/>
              </w:rPr>
              <w:t>51.97%</w:t>
            </w:r>
          </w:p>
        </w:tc>
      </w:tr>
      <w:tr w14:paraId="6FB6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FA1BB3">
            <w:pPr>
              <w:spacing w:line="240" w:lineRule="auto"/>
              <w:jc w:val="center"/>
            </w:pPr>
            <w:r>
              <w:rPr>
                <w:rFonts w:ascii="宋体" w:hAnsi="宋体" w:eastAsia="宋体" w:cs="宋体"/>
                <w:b w:val="0"/>
              </w:rPr>
              <w:t>东方阿尔法增利债券发起C</w:t>
            </w:r>
          </w:p>
        </w:tc>
        <w:tc>
          <w:tcPr>
            <w:tcW w:w="0" w:type="dxa"/>
            <w:vAlign w:val="center"/>
          </w:tcPr>
          <w:p w14:paraId="5FD37EDC">
            <w:pPr>
              <w:spacing w:line="240" w:lineRule="auto"/>
              <w:jc w:val="right"/>
            </w:pPr>
            <w:r>
              <w:rPr>
                <w:rFonts w:ascii="宋体" w:hAnsi="宋体" w:eastAsia="宋体" w:cs="宋体"/>
                <w:b w:val="0"/>
              </w:rPr>
              <w:t>78</w:t>
            </w:r>
          </w:p>
        </w:tc>
        <w:tc>
          <w:tcPr>
            <w:tcW w:w="0" w:type="dxa"/>
            <w:vAlign w:val="center"/>
          </w:tcPr>
          <w:p w14:paraId="4953F211">
            <w:pPr>
              <w:spacing w:line="240" w:lineRule="auto"/>
              <w:jc w:val="right"/>
            </w:pPr>
            <w:r>
              <w:rPr>
                <w:rFonts w:ascii="宋体" w:hAnsi="宋体" w:eastAsia="宋体" w:cs="宋体"/>
                <w:b w:val="0"/>
              </w:rPr>
              <w:t>6,429.33</w:t>
            </w:r>
          </w:p>
        </w:tc>
        <w:tc>
          <w:tcPr>
            <w:tcW w:w="0" w:type="dxa"/>
            <w:vAlign w:val="center"/>
          </w:tcPr>
          <w:p w14:paraId="7723B06C">
            <w:pPr>
              <w:spacing w:line="240" w:lineRule="auto"/>
              <w:jc w:val="right"/>
            </w:pPr>
            <w:r>
              <w:rPr>
                <w:rFonts w:ascii="宋体" w:hAnsi="宋体" w:eastAsia="宋体" w:cs="宋体"/>
                <w:b w:val="0"/>
              </w:rPr>
              <w:t>0.00</w:t>
            </w:r>
          </w:p>
        </w:tc>
        <w:tc>
          <w:tcPr>
            <w:tcW w:w="0" w:type="dxa"/>
            <w:vAlign w:val="center"/>
          </w:tcPr>
          <w:p w14:paraId="0A4C24D8">
            <w:pPr>
              <w:spacing w:line="240" w:lineRule="auto"/>
              <w:jc w:val="right"/>
            </w:pPr>
            <w:r>
              <w:rPr>
                <w:rFonts w:ascii="宋体" w:hAnsi="宋体" w:eastAsia="宋体" w:cs="宋体"/>
                <w:b w:val="0"/>
              </w:rPr>
              <w:t>0.00%</w:t>
            </w:r>
          </w:p>
        </w:tc>
        <w:tc>
          <w:tcPr>
            <w:tcW w:w="0" w:type="dxa"/>
            <w:vAlign w:val="center"/>
          </w:tcPr>
          <w:p w14:paraId="71C42D13">
            <w:pPr>
              <w:spacing w:line="240" w:lineRule="auto"/>
              <w:jc w:val="right"/>
            </w:pPr>
            <w:r>
              <w:rPr>
                <w:rFonts w:ascii="宋体" w:hAnsi="宋体" w:eastAsia="宋体" w:cs="宋体"/>
                <w:b w:val="0"/>
              </w:rPr>
              <w:t>501,487.77</w:t>
            </w:r>
          </w:p>
        </w:tc>
        <w:tc>
          <w:tcPr>
            <w:tcW w:w="0" w:type="dxa"/>
            <w:vAlign w:val="center"/>
          </w:tcPr>
          <w:p w14:paraId="45832AF5">
            <w:pPr>
              <w:spacing w:line="240" w:lineRule="auto"/>
              <w:jc w:val="right"/>
            </w:pPr>
            <w:r>
              <w:rPr>
                <w:rFonts w:ascii="宋体" w:hAnsi="宋体" w:eastAsia="宋体" w:cs="宋体"/>
                <w:b w:val="0"/>
              </w:rPr>
              <w:t>100.00%</w:t>
            </w:r>
          </w:p>
        </w:tc>
      </w:tr>
      <w:tr w14:paraId="03B8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8BD158">
            <w:pPr>
              <w:spacing w:line="240" w:lineRule="auto"/>
              <w:jc w:val="center"/>
            </w:pPr>
            <w:r>
              <w:rPr>
                <w:rFonts w:ascii="宋体" w:hAnsi="宋体" w:eastAsia="宋体" w:cs="宋体"/>
                <w:b w:val="0"/>
              </w:rPr>
              <w:t>合计</w:t>
            </w:r>
          </w:p>
        </w:tc>
        <w:tc>
          <w:tcPr>
            <w:tcW w:w="0" w:type="dxa"/>
            <w:vAlign w:val="center"/>
          </w:tcPr>
          <w:p w14:paraId="6E6F4259">
            <w:pPr>
              <w:spacing w:line="240" w:lineRule="auto"/>
              <w:jc w:val="right"/>
            </w:pPr>
            <w:r>
              <w:rPr>
                <w:rFonts w:ascii="宋体" w:hAnsi="宋体" w:eastAsia="宋体" w:cs="宋体"/>
                <w:b w:val="0"/>
              </w:rPr>
              <w:t>146</w:t>
            </w:r>
          </w:p>
        </w:tc>
        <w:tc>
          <w:tcPr>
            <w:tcW w:w="0" w:type="dxa"/>
            <w:vAlign w:val="center"/>
          </w:tcPr>
          <w:p w14:paraId="3DCB6DA1">
            <w:pPr>
              <w:spacing w:line="240" w:lineRule="auto"/>
              <w:jc w:val="right"/>
            </w:pPr>
            <w:r>
              <w:rPr>
                <w:rFonts w:ascii="宋体" w:hAnsi="宋体" w:eastAsia="宋体" w:cs="宋体"/>
                <w:b w:val="0"/>
              </w:rPr>
              <w:t>74,737.85</w:t>
            </w:r>
          </w:p>
        </w:tc>
        <w:tc>
          <w:tcPr>
            <w:tcW w:w="0" w:type="dxa"/>
            <w:vAlign w:val="center"/>
          </w:tcPr>
          <w:p w14:paraId="334C8755">
            <w:pPr>
              <w:spacing w:line="240" w:lineRule="auto"/>
              <w:jc w:val="right"/>
            </w:pPr>
            <w:r>
              <w:rPr>
                <w:rFonts w:ascii="宋体" w:hAnsi="宋体" w:eastAsia="宋体" w:cs="宋体"/>
                <w:b w:val="0"/>
              </w:rPr>
              <w:t>5,000,194.44</w:t>
            </w:r>
          </w:p>
        </w:tc>
        <w:tc>
          <w:tcPr>
            <w:tcW w:w="0" w:type="dxa"/>
            <w:vAlign w:val="center"/>
          </w:tcPr>
          <w:p w14:paraId="4FE3D468">
            <w:pPr>
              <w:spacing w:line="240" w:lineRule="auto"/>
              <w:jc w:val="right"/>
            </w:pPr>
            <w:r>
              <w:rPr>
                <w:rFonts w:ascii="宋体" w:hAnsi="宋体" w:eastAsia="宋体" w:cs="宋体"/>
                <w:b w:val="0"/>
              </w:rPr>
              <w:t>45.82%</w:t>
            </w:r>
          </w:p>
        </w:tc>
        <w:tc>
          <w:tcPr>
            <w:tcW w:w="0" w:type="dxa"/>
            <w:vAlign w:val="center"/>
          </w:tcPr>
          <w:p w14:paraId="1B241265">
            <w:pPr>
              <w:spacing w:line="240" w:lineRule="auto"/>
              <w:jc w:val="right"/>
            </w:pPr>
            <w:r>
              <w:rPr>
                <w:rFonts w:ascii="宋体" w:hAnsi="宋体" w:eastAsia="宋体" w:cs="宋体"/>
                <w:b w:val="0"/>
              </w:rPr>
              <w:t>5,911,531.29</w:t>
            </w:r>
          </w:p>
        </w:tc>
        <w:tc>
          <w:tcPr>
            <w:tcW w:w="0" w:type="dxa"/>
            <w:vAlign w:val="center"/>
          </w:tcPr>
          <w:p w14:paraId="14659615">
            <w:pPr>
              <w:spacing w:line="240" w:lineRule="auto"/>
              <w:jc w:val="right"/>
            </w:pPr>
            <w:r>
              <w:rPr>
                <w:rFonts w:ascii="宋体" w:hAnsi="宋体" w:eastAsia="宋体" w:cs="宋体"/>
                <w:b w:val="0"/>
              </w:rPr>
              <w:t>54.18%</w:t>
            </w:r>
          </w:p>
        </w:tc>
      </w:tr>
    </w:tbl>
    <w:p w14:paraId="412EF456">
      <w:r>
        <w:rPr>
          <w:rFonts w:ascii="宋体" w:hAnsi="宋体" w:eastAsia="宋体" w:cs="宋体"/>
          <w:b w:val="0"/>
        </w:rPr>
        <w:t>注：本基金机构/个人投资者持有份额占总份额比例的计算中，对下属不同类别的基金，比例的分母采用各自级别的份额；对合计数，比例的分母采用期末基金份额总额。</w:t>
      </w:r>
      <w:r>
        <w:rPr>
          <w:rFonts w:ascii="宋体" w:hAnsi="宋体" w:eastAsia="宋体" w:cs="宋体"/>
          <w:b w:val="0"/>
        </w:rPr>
        <w:br w:type="textWrapping"/>
      </w:r>
      <w:r>
        <w:rPr>
          <w:rFonts w:ascii="宋体" w:hAnsi="宋体" w:eastAsia="宋体" w:cs="宋体"/>
          <w:b w:val="0"/>
        </w:rPr>
        <w:t>户均持有的基金份额的合计数=期末基金份额总额/期末持有人户数合计。</w:t>
      </w:r>
    </w:p>
    <w:p w14:paraId="0CE0359F"/>
    <w:p w14:paraId="549E7597">
      <w:pPr>
        <w:pStyle w:val="3"/>
        <w:jc w:val="left"/>
      </w:pPr>
      <w:bookmarkStart w:id="46" w:name="_Toc20550"/>
      <w:r>
        <w:rPr>
          <w:rFonts w:ascii="宋体" w:hAnsi="宋体" w:eastAsia="宋体" w:cs="宋体"/>
        </w:rPr>
        <w:t>8.2 期末基金管理人的从业人员持有本基金的情况</w:t>
      </w:r>
      <w:bookmarkEnd w:id="46"/>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72"/>
        <w:gridCol w:w="1857"/>
        <w:gridCol w:w="2001"/>
      </w:tblGrid>
      <w:tr w14:paraId="38F5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53D64CDF">
            <w:pPr>
              <w:spacing w:line="240" w:lineRule="auto"/>
              <w:jc w:val="center"/>
            </w:pPr>
            <w:r>
              <w:rPr>
                <w:rFonts w:ascii="宋体" w:hAnsi="宋体" w:eastAsia="宋体" w:cs="宋体"/>
                <w:b w:val="0"/>
              </w:rPr>
              <w:t>项目</w:t>
            </w:r>
          </w:p>
        </w:tc>
        <w:tc>
          <w:tcPr>
            <w:tcW w:w="1385" w:type="pct"/>
            <w:shd w:val="clear" w:color="auto" w:fill="D9D9D9"/>
            <w:vAlign w:val="center"/>
          </w:tcPr>
          <w:p w14:paraId="64DB95AF">
            <w:pPr>
              <w:spacing w:line="240" w:lineRule="auto"/>
              <w:jc w:val="center"/>
            </w:pPr>
            <w:r>
              <w:rPr>
                <w:rFonts w:ascii="宋体" w:hAnsi="宋体" w:eastAsia="宋体" w:cs="宋体"/>
                <w:b w:val="0"/>
              </w:rPr>
              <w:t>份额级别</w:t>
            </w:r>
          </w:p>
        </w:tc>
        <w:tc>
          <w:tcPr>
            <w:tcW w:w="1000" w:type="pct"/>
            <w:shd w:val="clear" w:color="auto" w:fill="D9D9D9"/>
            <w:vAlign w:val="center"/>
          </w:tcPr>
          <w:p w14:paraId="48653B68">
            <w:pPr>
              <w:spacing w:line="240" w:lineRule="auto"/>
              <w:jc w:val="center"/>
            </w:pPr>
            <w:r>
              <w:rPr>
                <w:rFonts w:ascii="宋体" w:hAnsi="宋体" w:eastAsia="宋体" w:cs="宋体"/>
                <w:b w:val="0"/>
              </w:rPr>
              <w:t>持有份额总数（份）</w:t>
            </w:r>
          </w:p>
        </w:tc>
        <w:tc>
          <w:tcPr>
            <w:tcW w:w="1154" w:type="pct"/>
            <w:shd w:val="clear" w:color="auto" w:fill="D9D9D9"/>
            <w:vAlign w:val="center"/>
          </w:tcPr>
          <w:p w14:paraId="7310372D">
            <w:pPr>
              <w:spacing w:line="240" w:lineRule="auto"/>
              <w:jc w:val="center"/>
            </w:pPr>
            <w:r>
              <w:rPr>
                <w:rFonts w:ascii="宋体" w:hAnsi="宋体" w:eastAsia="宋体" w:cs="宋体"/>
                <w:b w:val="0"/>
              </w:rPr>
              <w:t>占基金总份额比例</w:t>
            </w:r>
          </w:p>
        </w:tc>
      </w:tr>
      <w:tr w14:paraId="68AB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78B46344">
            <w:pPr>
              <w:spacing w:line="240" w:lineRule="auto"/>
              <w:jc w:val="left"/>
            </w:pPr>
            <w:r>
              <w:rPr>
                <w:rFonts w:ascii="宋体" w:hAnsi="宋体" w:eastAsia="宋体" w:cs="宋体"/>
                <w:b w:val="0"/>
              </w:rPr>
              <w:t>基金管理人所有从业人员持有本基金</w:t>
            </w:r>
          </w:p>
        </w:tc>
        <w:tc>
          <w:tcPr>
            <w:tcW w:w="0" w:type="dxa"/>
            <w:vAlign w:val="center"/>
          </w:tcPr>
          <w:p w14:paraId="19D5B164">
            <w:pPr>
              <w:spacing w:line="240" w:lineRule="auto"/>
              <w:jc w:val="left"/>
            </w:pPr>
            <w:r>
              <w:rPr>
                <w:rFonts w:ascii="宋体" w:hAnsi="宋体" w:eastAsia="宋体" w:cs="宋体"/>
                <w:b w:val="0"/>
              </w:rPr>
              <w:t>东方阿尔法增利债券发起A</w:t>
            </w:r>
          </w:p>
        </w:tc>
        <w:tc>
          <w:tcPr>
            <w:tcW w:w="0" w:type="dxa"/>
            <w:vAlign w:val="center"/>
          </w:tcPr>
          <w:p w14:paraId="7A963173">
            <w:pPr>
              <w:spacing w:line="240" w:lineRule="auto"/>
              <w:jc w:val="right"/>
            </w:pPr>
            <w:r>
              <w:rPr>
                <w:rFonts w:ascii="宋体" w:hAnsi="宋体" w:eastAsia="宋体" w:cs="宋体"/>
                <w:b w:val="0"/>
              </w:rPr>
              <w:t>5,087,297.74</w:t>
            </w:r>
          </w:p>
        </w:tc>
        <w:tc>
          <w:tcPr>
            <w:tcW w:w="0" w:type="dxa"/>
            <w:vAlign w:val="center"/>
          </w:tcPr>
          <w:p w14:paraId="4E8A17E7">
            <w:pPr>
              <w:spacing w:line="240" w:lineRule="auto"/>
              <w:jc w:val="right"/>
            </w:pPr>
            <w:r>
              <w:rPr>
                <w:rFonts w:ascii="宋体" w:hAnsi="宋体" w:eastAsia="宋体" w:cs="宋体"/>
                <w:b w:val="0"/>
              </w:rPr>
              <w:t>48.87%</w:t>
            </w:r>
          </w:p>
        </w:tc>
      </w:tr>
      <w:tr w14:paraId="5C1A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3C97FD8"/>
        </w:tc>
        <w:tc>
          <w:tcPr>
            <w:tcW w:w="0" w:type="dxa"/>
            <w:vAlign w:val="center"/>
          </w:tcPr>
          <w:p w14:paraId="47560D34">
            <w:pPr>
              <w:spacing w:line="240" w:lineRule="auto"/>
              <w:jc w:val="left"/>
            </w:pPr>
            <w:r>
              <w:rPr>
                <w:rFonts w:ascii="宋体" w:hAnsi="宋体" w:eastAsia="宋体" w:cs="宋体"/>
                <w:b w:val="0"/>
              </w:rPr>
              <w:t>东方阿尔法增利债券发起C</w:t>
            </w:r>
          </w:p>
        </w:tc>
        <w:tc>
          <w:tcPr>
            <w:tcW w:w="0" w:type="dxa"/>
            <w:vAlign w:val="center"/>
          </w:tcPr>
          <w:p w14:paraId="76820630">
            <w:pPr>
              <w:spacing w:line="240" w:lineRule="auto"/>
              <w:jc w:val="right"/>
            </w:pPr>
            <w:r>
              <w:rPr>
                <w:rFonts w:ascii="宋体" w:hAnsi="宋体" w:eastAsia="宋体" w:cs="宋体"/>
                <w:b w:val="0"/>
              </w:rPr>
              <w:t>0.00</w:t>
            </w:r>
          </w:p>
        </w:tc>
        <w:tc>
          <w:tcPr>
            <w:tcW w:w="0" w:type="dxa"/>
            <w:vAlign w:val="center"/>
          </w:tcPr>
          <w:p w14:paraId="541933C5">
            <w:pPr>
              <w:spacing w:line="240" w:lineRule="auto"/>
              <w:jc w:val="right"/>
            </w:pPr>
            <w:r>
              <w:rPr>
                <w:rFonts w:ascii="宋体" w:hAnsi="宋体" w:eastAsia="宋体" w:cs="宋体"/>
                <w:b w:val="0"/>
              </w:rPr>
              <w:t>0.00%</w:t>
            </w:r>
          </w:p>
        </w:tc>
      </w:tr>
      <w:tr w14:paraId="4F30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C312F1B"/>
        </w:tc>
        <w:tc>
          <w:tcPr>
            <w:tcW w:w="0" w:type="dxa"/>
            <w:vAlign w:val="center"/>
          </w:tcPr>
          <w:p w14:paraId="2CA0BF18">
            <w:pPr>
              <w:spacing w:line="240" w:lineRule="auto"/>
              <w:jc w:val="center"/>
            </w:pPr>
            <w:r>
              <w:rPr>
                <w:rFonts w:ascii="宋体" w:hAnsi="宋体" w:eastAsia="宋体" w:cs="宋体"/>
                <w:b w:val="0"/>
              </w:rPr>
              <w:t>合计</w:t>
            </w:r>
          </w:p>
        </w:tc>
        <w:tc>
          <w:tcPr>
            <w:tcW w:w="0" w:type="dxa"/>
            <w:vAlign w:val="center"/>
          </w:tcPr>
          <w:p w14:paraId="148367CA">
            <w:pPr>
              <w:spacing w:line="240" w:lineRule="auto"/>
              <w:jc w:val="right"/>
            </w:pPr>
            <w:r>
              <w:rPr>
                <w:rFonts w:ascii="宋体" w:hAnsi="宋体" w:eastAsia="宋体" w:cs="宋体"/>
                <w:b w:val="0"/>
              </w:rPr>
              <w:t>5,087,297.74</w:t>
            </w:r>
          </w:p>
        </w:tc>
        <w:tc>
          <w:tcPr>
            <w:tcW w:w="0" w:type="dxa"/>
            <w:vAlign w:val="center"/>
          </w:tcPr>
          <w:p w14:paraId="19E78CF1">
            <w:pPr>
              <w:spacing w:line="240" w:lineRule="auto"/>
              <w:jc w:val="right"/>
            </w:pPr>
            <w:r>
              <w:rPr>
                <w:rFonts w:ascii="宋体" w:hAnsi="宋体" w:eastAsia="宋体" w:cs="宋体"/>
                <w:b w:val="0"/>
              </w:rPr>
              <w:t>46.62%</w:t>
            </w:r>
          </w:p>
        </w:tc>
      </w:tr>
    </w:tbl>
    <w:p w14:paraId="6CA9EDC3">
      <w:r>
        <w:rPr>
          <w:rFonts w:ascii="宋体" w:hAnsi="宋体" w:eastAsia="宋体" w:cs="宋体"/>
          <w:b w:val="0"/>
        </w:rPr>
        <w:t>注：从业人员持有基金占基金总份额比例的计算中，对下属分级基金，比例的分母采用各自级别的份额，对合计数，比例的分母采用下属分级基金份额的合计数（即期末基金份额总额）。</w:t>
      </w:r>
    </w:p>
    <w:p w14:paraId="3A124CFB"/>
    <w:p w14:paraId="292ABD87">
      <w:pPr>
        <w:pStyle w:val="3"/>
        <w:jc w:val="left"/>
      </w:pPr>
      <w:bookmarkStart w:id="47" w:name="_Toc31400"/>
      <w:r>
        <w:rPr>
          <w:rFonts w:ascii="宋体" w:hAnsi="宋体" w:eastAsia="宋体" w:cs="宋体"/>
        </w:rPr>
        <w:t>8.3 期末基金管理人的从业人员持有本开放式基金份额总量区间情况</w:t>
      </w:r>
      <w:bookmarkEnd w:id="4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7FAE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41B306AF">
            <w:pPr>
              <w:spacing w:line="240" w:lineRule="auto"/>
              <w:jc w:val="center"/>
            </w:pPr>
            <w:r>
              <w:rPr>
                <w:rFonts w:ascii="宋体" w:hAnsi="宋体" w:eastAsia="宋体" w:cs="宋体"/>
                <w:b w:val="0"/>
              </w:rPr>
              <w:t>项目</w:t>
            </w:r>
          </w:p>
        </w:tc>
        <w:tc>
          <w:tcPr>
            <w:tcW w:w="1538" w:type="pct"/>
            <w:shd w:val="clear" w:color="auto" w:fill="D9D9D9"/>
            <w:vAlign w:val="center"/>
          </w:tcPr>
          <w:p w14:paraId="2B11CED5">
            <w:pPr>
              <w:spacing w:line="240" w:lineRule="auto"/>
              <w:jc w:val="center"/>
            </w:pPr>
            <w:r>
              <w:rPr>
                <w:rFonts w:ascii="宋体" w:hAnsi="宋体" w:eastAsia="宋体" w:cs="宋体"/>
                <w:b w:val="0"/>
              </w:rPr>
              <w:t>份额级别</w:t>
            </w:r>
          </w:p>
        </w:tc>
        <w:tc>
          <w:tcPr>
            <w:tcW w:w="1538" w:type="pct"/>
            <w:shd w:val="clear" w:color="auto" w:fill="D9D9D9"/>
            <w:vAlign w:val="center"/>
          </w:tcPr>
          <w:p w14:paraId="6D9C57C4">
            <w:pPr>
              <w:spacing w:line="240" w:lineRule="auto"/>
              <w:jc w:val="center"/>
            </w:pPr>
            <w:r>
              <w:rPr>
                <w:rFonts w:ascii="宋体" w:hAnsi="宋体" w:eastAsia="宋体" w:cs="宋体"/>
                <w:b w:val="0"/>
              </w:rPr>
              <w:t>持有基金份额总量的数量区间（万份）</w:t>
            </w:r>
          </w:p>
        </w:tc>
      </w:tr>
      <w:tr w14:paraId="5E5B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7FD6080C">
            <w:pPr>
              <w:spacing w:line="240" w:lineRule="auto"/>
              <w:jc w:val="left"/>
            </w:pPr>
            <w:r>
              <w:rPr>
                <w:rFonts w:ascii="宋体" w:hAnsi="宋体" w:eastAsia="宋体" w:cs="宋体"/>
                <w:b w:val="0"/>
              </w:rPr>
              <w:t>本公司高级管理人员、基金投资和研究部门负责人持有本开放式基金</w:t>
            </w:r>
          </w:p>
        </w:tc>
        <w:tc>
          <w:tcPr>
            <w:tcW w:w="0" w:type="dxa"/>
            <w:vAlign w:val="center"/>
          </w:tcPr>
          <w:p w14:paraId="28E99728">
            <w:pPr>
              <w:spacing w:line="240" w:lineRule="auto"/>
              <w:jc w:val="left"/>
            </w:pPr>
            <w:r>
              <w:rPr>
                <w:rFonts w:ascii="宋体" w:hAnsi="宋体" w:eastAsia="宋体" w:cs="宋体"/>
                <w:b w:val="0"/>
              </w:rPr>
              <w:t>东方阿尔法增利债券发起A</w:t>
            </w:r>
          </w:p>
        </w:tc>
        <w:tc>
          <w:tcPr>
            <w:tcW w:w="0" w:type="dxa"/>
            <w:vAlign w:val="center"/>
          </w:tcPr>
          <w:p w14:paraId="1BD7801A">
            <w:pPr>
              <w:spacing w:line="240" w:lineRule="auto"/>
              <w:jc w:val="right"/>
            </w:pPr>
            <w:r>
              <w:rPr>
                <w:rFonts w:ascii="宋体" w:hAnsi="宋体" w:eastAsia="宋体" w:cs="宋体"/>
                <w:b w:val="0"/>
              </w:rPr>
              <w:t>&gt;100</w:t>
            </w:r>
          </w:p>
        </w:tc>
      </w:tr>
      <w:tr w14:paraId="6DC1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F306AF6"/>
        </w:tc>
        <w:tc>
          <w:tcPr>
            <w:tcW w:w="0" w:type="dxa"/>
            <w:vAlign w:val="center"/>
          </w:tcPr>
          <w:p w14:paraId="64F14AA8">
            <w:pPr>
              <w:spacing w:line="240" w:lineRule="auto"/>
              <w:jc w:val="left"/>
            </w:pPr>
            <w:r>
              <w:rPr>
                <w:rFonts w:ascii="宋体" w:hAnsi="宋体" w:eastAsia="宋体" w:cs="宋体"/>
                <w:b w:val="0"/>
              </w:rPr>
              <w:t>东方阿尔法增利债券发起C</w:t>
            </w:r>
          </w:p>
        </w:tc>
        <w:tc>
          <w:tcPr>
            <w:tcW w:w="0" w:type="dxa"/>
            <w:vAlign w:val="center"/>
          </w:tcPr>
          <w:p w14:paraId="74BC893E">
            <w:pPr>
              <w:spacing w:line="240" w:lineRule="auto"/>
              <w:jc w:val="right"/>
            </w:pPr>
            <w:r>
              <w:rPr>
                <w:rFonts w:ascii="宋体" w:hAnsi="宋体" w:eastAsia="宋体" w:cs="宋体"/>
                <w:b w:val="0"/>
              </w:rPr>
              <w:t>0</w:t>
            </w:r>
          </w:p>
        </w:tc>
      </w:tr>
      <w:tr w14:paraId="69EA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0F036BC"/>
        </w:tc>
        <w:tc>
          <w:tcPr>
            <w:tcW w:w="0" w:type="dxa"/>
            <w:vAlign w:val="center"/>
          </w:tcPr>
          <w:p w14:paraId="5EE6E956">
            <w:pPr>
              <w:spacing w:line="240" w:lineRule="auto"/>
              <w:jc w:val="center"/>
            </w:pPr>
            <w:r>
              <w:rPr>
                <w:rFonts w:ascii="宋体" w:hAnsi="宋体" w:eastAsia="宋体" w:cs="宋体"/>
                <w:b w:val="0"/>
              </w:rPr>
              <w:t>合计</w:t>
            </w:r>
          </w:p>
        </w:tc>
        <w:tc>
          <w:tcPr>
            <w:tcW w:w="0" w:type="dxa"/>
            <w:vAlign w:val="center"/>
          </w:tcPr>
          <w:p w14:paraId="7B1E3DD2">
            <w:pPr>
              <w:spacing w:line="240" w:lineRule="auto"/>
              <w:jc w:val="right"/>
            </w:pPr>
            <w:r>
              <w:rPr>
                <w:rFonts w:ascii="宋体" w:hAnsi="宋体" w:eastAsia="宋体" w:cs="宋体"/>
                <w:b w:val="0"/>
              </w:rPr>
              <w:t>&gt;100</w:t>
            </w:r>
          </w:p>
        </w:tc>
      </w:tr>
      <w:tr w14:paraId="5A74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42F9AC35">
            <w:pPr>
              <w:spacing w:line="240" w:lineRule="auto"/>
              <w:jc w:val="left"/>
            </w:pPr>
            <w:r>
              <w:rPr>
                <w:rFonts w:ascii="宋体" w:hAnsi="宋体" w:eastAsia="宋体" w:cs="宋体"/>
                <w:b w:val="0"/>
              </w:rPr>
              <w:t>本基金基金经理持有本开放式基金</w:t>
            </w:r>
          </w:p>
        </w:tc>
        <w:tc>
          <w:tcPr>
            <w:tcW w:w="0" w:type="dxa"/>
            <w:vAlign w:val="center"/>
          </w:tcPr>
          <w:p w14:paraId="7542C0E5">
            <w:pPr>
              <w:spacing w:line="240" w:lineRule="auto"/>
              <w:jc w:val="left"/>
            </w:pPr>
            <w:r>
              <w:rPr>
                <w:rFonts w:ascii="宋体" w:hAnsi="宋体" w:eastAsia="宋体" w:cs="宋体"/>
                <w:b w:val="0"/>
              </w:rPr>
              <w:t>东方阿尔法增利债券发起A</w:t>
            </w:r>
          </w:p>
        </w:tc>
        <w:tc>
          <w:tcPr>
            <w:tcW w:w="0" w:type="dxa"/>
            <w:vAlign w:val="center"/>
          </w:tcPr>
          <w:p w14:paraId="590D1F82">
            <w:pPr>
              <w:spacing w:line="240" w:lineRule="auto"/>
              <w:jc w:val="right"/>
            </w:pPr>
            <w:r>
              <w:rPr>
                <w:rFonts w:ascii="宋体" w:hAnsi="宋体" w:eastAsia="宋体" w:cs="宋体"/>
                <w:b w:val="0"/>
              </w:rPr>
              <w:t>0</w:t>
            </w:r>
          </w:p>
        </w:tc>
      </w:tr>
      <w:tr w14:paraId="6F89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3C6D51D"/>
        </w:tc>
        <w:tc>
          <w:tcPr>
            <w:tcW w:w="0" w:type="dxa"/>
            <w:vAlign w:val="center"/>
          </w:tcPr>
          <w:p w14:paraId="1D01640C">
            <w:pPr>
              <w:spacing w:line="240" w:lineRule="auto"/>
              <w:jc w:val="left"/>
            </w:pPr>
            <w:r>
              <w:rPr>
                <w:rFonts w:ascii="宋体" w:hAnsi="宋体" w:eastAsia="宋体" w:cs="宋体"/>
                <w:b w:val="0"/>
              </w:rPr>
              <w:t>东方阿尔法增利债券发起C</w:t>
            </w:r>
          </w:p>
        </w:tc>
        <w:tc>
          <w:tcPr>
            <w:tcW w:w="0" w:type="dxa"/>
            <w:vAlign w:val="center"/>
          </w:tcPr>
          <w:p w14:paraId="060A4257">
            <w:pPr>
              <w:spacing w:line="240" w:lineRule="auto"/>
              <w:jc w:val="right"/>
            </w:pPr>
            <w:r>
              <w:rPr>
                <w:rFonts w:ascii="宋体" w:hAnsi="宋体" w:eastAsia="宋体" w:cs="宋体"/>
                <w:b w:val="0"/>
              </w:rPr>
              <w:t>0</w:t>
            </w:r>
          </w:p>
        </w:tc>
      </w:tr>
      <w:tr w14:paraId="3E9C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52D373E"/>
        </w:tc>
        <w:tc>
          <w:tcPr>
            <w:tcW w:w="0" w:type="dxa"/>
            <w:vAlign w:val="center"/>
          </w:tcPr>
          <w:p w14:paraId="4A249797">
            <w:pPr>
              <w:spacing w:line="240" w:lineRule="auto"/>
              <w:jc w:val="center"/>
            </w:pPr>
            <w:r>
              <w:rPr>
                <w:rFonts w:ascii="宋体" w:hAnsi="宋体" w:eastAsia="宋体" w:cs="宋体"/>
                <w:b w:val="0"/>
              </w:rPr>
              <w:t>合计</w:t>
            </w:r>
          </w:p>
        </w:tc>
        <w:tc>
          <w:tcPr>
            <w:tcW w:w="0" w:type="dxa"/>
            <w:vAlign w:val="center"/>
          </w:tcPr>
          <w:p w14:paraId="744B6711">
            <w:pPr>
              <w:spacing w:line="240" w:lineRule="auto"/>
              <w:jc w:val="right"/>
            </w:pPr>
            <w:r>
              <w:rPr>
                <w:rFonts w:ascii="宋体" w:hAnsi="宋体" w:eastAsia="宋体" w:cs="宋体"/>
                <w:b w:val="0"/>
              </w:rPr>
              <w:t>0</w:t>
            </w:r>
          </w:p>
        </w:tc>
      </w:tr>
    </w:tbl>
    <w:p w14:paraId="333C3A3F"/>
    <w:p w14:paraId="0D6E03E1">
      <w:pPr>
        <w:pStyle w:val="3"/>
        <w:jc w:val="left"/>
      </w:pPr>
      <w:bookmarkStart w:id="48" w:name="_Toc17569"/>
      <w:r>
        <w:rPr>
          <w:rFonts w:ascii="宋体" w:hAnsi="宋体" w:eastAsia="宋体" w:cs="宋体"/>
        </w:rPr>
        <w:t>8.4 发起式基金发起资金持有份额情况</w:t>
      </w:r>
      <w:bookmarkEnd w:id="4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gridCol w:w="1581"/>
        <w:gridCol w:w="1413"/>
        <w:gridCol w:w="1581"/>
        <w:gridCol w:w="1413"/>
        <w:gridCol w:w="1413"/>
      </w:tblGrid>
      <w:tr w14:paraId="6E61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shd w:val="clear" w:color="auto" w:fill="D9D9D9"/>
            <w:vAlign w:val="center"/>
          </w:tcPr>
          <w:p w14:paraId="47CAE122">
            <w:pPr>
              <w:spacing w:line="240" w:lineRule="auto"/>
              <w:jc w:val="center"/>
            </w:pPr>
            <w:r>
              <w:rPr>
                <w:rFonts w:ascii="宋体" w:hAnsi="宋体" w:eastAsia="宋体" w:cs="宋体"/>
                <w:b w:val="0"/>
              </w:rPr>
              <w:t>项目</w:t>
            </w:r>
          </w:p>
        </w:tc>
        <w:tc>
          <w:tcPr>
            <w:tcW w:w="615" w:type="pct"/>
            <w:shd w:val="clear" w:color="auto" w:fill="D9D9D9"/>
            <w:vAlign w:val="center"/>
          </w:tcPr>
          <w:p w14:paraId="2BA8C438">
            <w:pPr>
              <w:spacing w:line="240" w:lineRule="auto"/>
              <w:jc w:val="center"/>
            </w:pPr>
            <w:r>
              <w:rPr>
                <w:rFonts w:ascii="宋体" w:hAnsi="宋体" w:eastAsia="宋体" w:cs="宋体"/>
                <w:b w:val="0"/>
              </w:rPr>
              <w:t>持有份额总数</w:t>
            </w:r>
          </w:p>
        </w:tc>
        <w:tc>
          <w:tcPr>
            <w:tcW w:w="769" w:type="pct"/>
            <w:shd w:val="clear" w:color="auto" w:fill="D9D9D9"/>
            <w:vAlign w:val="center"/>
          </w:tcPr>
          <w:p w14:paraId="732AA781">
            <w:pPr>
              <w:spacing w:line="240" w:lineRule="auto"/>
              <w:jc w:val="center"/>
            </w:pPr>
            <w:r>
              <w:rPr>
                <w:rFonts w:ascii="宋体" w:hAnsi="宋体" w:eastAsia="宋体" w:cs="宋体"/>
                <w:b w:val="0"/>
              </w:rPr>
              <w:t>持有份额占基金总份额比例</w:t>
            </w:r>
          </w:p>
        </w:tc>
        <w:tc>
          <w:tcPr>
            <w:tcW w:w="615" w:type="pct"/>
            <w:shd w:val="clear" w:color="auto" w:fill="D9D9D9"/>
            <w:vAlign w:val="center"/>
          </w:tcPr>
          <w:p w14:paraId="7D98D5E8">
            <w:pPr>
              <w:spacing w:line="240" w:lineRule="auto"/>
              <w:jc w:val="center"/>
            </w:pPr>
            <w:r>
              <w:rPr>
                <w:rFonts w:ascii="宋体" w:hAnsi="宋体" w:eastAsia="宋体" w:cs="宋体"/>
                <w:b w:val="0"/>
              </w:rPr>
              <w:t>发起份额总数</w:t>
            </w:r>
          </w:p>
        </w:tc>
        <w:tc>
          <w:tcPr>
            <w:tcW w:w="769" w:type="pct"/>
            <w:shd w:val="clear" w:color="auto" w:fill="D9D9D9"/>
            <w:vAlign w:val="center"/>
          </w:tcPr>
          <w:p w14:paraId="1841A831">
            <w:pPr>
              <w:spacing w:line="240" w:lineRule="auto"/>
              <w:jc w:val="center"/>
            </w:pPr>
            <w:r>
              <w:rPr>
                <w:rFonts w:ascii="宋体" w:hAnsi="宋体" w:eastAsia="宋体" w:cs="宋体"/>
                <w:b w:val="0"/>
              </w:rPr>
              <w:t>发起份额占基金总份额比例</w:t>
            </w:r>
          </w:p>
        </w:tc>
        <w:tc>
          <w:tcPr>
            <w:tcW w:w="769" w:type="pct"/>
            <w:shd w:val="clear" w:color="auto" w:fill="D9D9D9"/>
            <w:vAlign w:val="center"/>
          </w:tcPr>
          <w:p w14:paraId="7B57F78D">
            <w:pPr>
              <w:spacing w:line="240" w:lineRule="auto"/>
              <w:jc w:val="center"/>
            </w:pPr>
            <w:r>
              <w:rPr>
                <w:rFonts w:ascii="宋体" w:hAnsi="宋体" w:eastAsia="宋体" w:cs="宋体"/>
                <w:b w:val="0"/>
              </w:rPr>
              <w:t>发起份额承诺持有期限</w:t>
            </w:r>
          </w:p>
        </w:tc>
      </w:tr>
      <w:tr w14:paraId="74B2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BF72AB">
            <w:pPr>
              <w:spacing w:line="240" w:lineRule="auto"/>
              <w:jc w:val="left"/>
            </w:pPr>
            <w:r>
              <w:rPr>
                <w:rFonts w:ascii="宋体" w:hAnsi="宋体" w:eastAsia="宋体" w:cs="宋体"/>
                <w:b w:val="0"/>
              </w:rPr>
              <w:t>基金管理人固有资金</w:t>
            </w:r>
          </w:p>
        </w:tc>
        <w:tc>
          <w:tcPr>
            <w:tcW w:w="0" w:type="dxa"/>
            <w:vAlign w:val="center"/>
          </w:tcPr>
          <w:p w14:paraId="6DB49E27">
            <w:pPr>
              <w:spacing w:line="240" w:lineRule="auto"/>
              <w:jc w:val="right"/>
            </w:pPr>
            <w:r>
              <w:rPr>
                <w:rFonts w:ascii="宋体" w:hAnsi="宋体" w:eastAsia="宋体" w:cs="宋体"/>
                <w:b w:val="0"/>
              </w:rPr>
              <w:t>5,000,194.44</w:t>
            </w:r>
          </w:p>
        </w:tc>
        <w:tc>
          <w:tcPr>
            <w:tcW w:w="0" w:type="dxa"/>
            <w:vAlign w:val="center"/>
          </w:tcPr>
          <w:p w14:paraId="1EDED0D6">
            <w:pPr>
              <w:spacing w:line="240" w:lineRule="auto"/>
              <w:jc w:val="right"/>
            </w:pPr>
            <w:r>
              <w:rPr>
                <w:rFonts w:ascii="宋体" w:hAnsi="宋体" w:eastAsia="宋体" w:cs="宋体"/>
                <w:b w:val="0"/>
              </w:rPr>
              <w:t>45.82%</w:t>
            </w:r>
          </w:p>
        </w:tc>
        <w:tc>
          <w:tcPr>
            <w:tcW w:w="0" w:type="dxa"/>
            <w:vAlign w:val="center"/>
          </w:tcPr>
          <w:p w14:paraId="69617CD0">
            <w:pPr>
              <w:spacing w:line="240" w:lineRule="auto"/>
              <w:jc w:val="right"/>
            </w:pPr>
            <w:r>
              <w:rPr>
                <w:rFonts w:ascii="宋体" w:hAnsi="宋体" w:eastAsia="宋体" w:cs="宋体"/>
                <w:b w:val="0"/>
              </w:rPr>
              <w:t>5,000,194.44</w:t>
            </w:r>
          </w:p>
        </w:tc>
        <w:tc>
          <w:tcPr>
            <w:tcW w:w="0" w:type="dxa"/>
            <w:vAlign w:val="center"/>
          </w:tcPr>
          <w:p w14:paraId="74AE9937">
            <w:pPr>
              <w:spacing w:line="240" w:lineRule="auto"/>
              <w:jc w:val="right"/>
            </w:pPr>
            <w:r>
              <w:rPr>
                <w:rFonts w:ascii="宋体" w:hAnsi="宋体" w:eastAsia="宋体" w:cs="宋体"/>
                <w:b w:val="0"/>
              </w:rPr>
              <w:t>45.82%</w:t>
            </w:r>
          </w:p>
        </w:tc>
        <w:tc>
          <w:tcPr>
            <w:tcW w:w="0" w:type="dxa"/>
            <w:vAlign w:val="center"/>
          </w:tcPr>
          <w:p w14:paraId="64F7B614">
            <w:pPr>
              <w:spacing w:line="240" w:lineRule="auto"/>
              <w:jc w:val="right"/>
            </w:pPr>
            <w:r>
              <w:rPr>
                <w:rFonts w:ascii="宋体" w:hAnsi="宋体" w:eastAsia="宋体" w:cs="宋体"/>
                <w:b w:val="0"/>
              </w:rPr>
              <w:t>自合同生效之日起不少于3年</w:t>
            </w:r>
          </w:p>
        </w:tc>
      </w:tr>
      <w:tr w14:paraId="2213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5F26FE">
            <w:pPr>
              <w:spacing w:line="240" w:lineRule="auto"/>
              <w:jc w:val="left"/>
            </w:pPr>
            <w:r>
              <w:rPr>
                <w:rFonts w:ascii="宋体" w:hAnsi="宋体" w:eastAsia="宋体" w:cs="宋体"/>
                <w:b w:val="0"/>
              </w:rPr>
              <w:t>基金管理人高级管理人员</w:t>
            </w:r>
          </w:p>
        </w:tc>
        <w:tc>
          <w:tcPr>
            <w:tcW w:w="0" w:type="dxa"/>
            <w:vAlign w:val="center"/>
          </w:tcPr>
          <w:p w14:paraId="7D0F3C6E">
            <w:pPr>
              <w:spacing w:line="240" w:lineRule="auto"/>
              <w:jc w:val="right"/>
            </w:pPr>
            <w:r>
              <w:rPr>
                <w:rFonts w:ascii="宋体" w:hAnsi="宋体" w:eastAsia="宋体" w:cs="宋体"/>
                <w:b w:val="0"/>
              </w:rPr>
              <w:t>5,010,194.80</w:t>
            </w:r>
          </w:p>
        </w:tc>
        <w:tc>
          <w:tcPr>
            <w:tcW w:w="0" w:type="dxa"/>
            <w:vAlign w:val="center"/>
          </w:tcPr>
          <w:p w14:paraId="3EC04429">
            <w:pPr>
              <w:spacing w:line="240" w:lineRule="auto"/>
              <w:jc w:val="right"/>
            </w:pPr>
            <w:r>
              <w:rPr>
                <w:rFonts w:ascii="宋体" w:hAnsi="宋体" w:eastAsia="宋体" w:cs="宋体"/>
                <w:b w:val="0"/>
              </w:rPr>
              <w:t>45.92%</w:t>
            </w:r>
          </w:p>
        </w:tc>
        <w:tc>
          <w:tcPr>
            <w:tcW w:w="0" w:type="dxa"/>
            <w:vAlign w:val="center"/>
          </w:tcPr>
          <w:p w14:paraId="7D72621E">
            <w:pPr>
              <w:spacing w:line="240" w:lineRule="auto"/>
              <w:jc w:val="right"/>
            </w:pPr>
            <w:r>
              <w:rPr>
                <w:rFonts w:ascii="宋体" w:hAnsi="宋体" w:eastAsia="宋体" w:cs="宋体"/>
                <w:b w:val="0"/>
              </w:rPr>
              <w:t>5,010,194.80</w:t>
            </w:r>
          </w:p>
        </w:tc>
        <w:tc>
          <w:tcPr>
            <w:tcW w:w="0" w:type="dxa"/>
            <w:vAlign w:val="center"/>
          </w:tcPr>
          <w:p w14:paraId="77A0E18C">
            <w:pPr>
              <w:spacing w:line="240" w:lineRule="auto"/>
              <w:jc w:val="right"/>
            </w:pPr>
            <w:r>
              <w:rPr>
                <w:rFonts w:ascii="宋体" w:hAnsi="宋体" w:eastAsia="宋体" w:cs="宋体"/>
                <w:b w:val="0"/>
              </w:rPr>
              <w:t>45.92%</w:t>
            </w:r>
          </w:p>
        </w:tc>
        <w:tc>
          <w:tcPr>
            <w:tcW w:w="0" w:type="dxa"/>
            <w:vAlign w:val="center"/>
          </w:tcPr>
          <w:p w14:paraId="3614222F">
            <w:pPr>
              <w:spacing w:line="240" w:lineRule="auto"/>
              <w:jc w:val="right"/>
            </w:pPr>
            <w:r>
              <w:rPr>
                <w:rFonts w:ascii="宋体" w:hAnsi="宋体" w:eastAsia="宋体" w:cs="宋体"/>
                <w:b w:val="0"/>
              </w:rPr>
              <w:t>自合同生效之日起不少于3年</w:t>
            </w:r>
          </w:p>
        </w:tc>
      </w:tr>
      <w:tr w14:paraId="129D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2BC2C4">
            <w:pPr>
              <w:spacing w:line="240" w:lineRule="auto"/>
              <w:jc w:val="left"/>
            </w:pPr>
            <w:r>
              <w:rPr>
                <w:rFonts w:ascii="宋体" w:hAnsi="宋体" w:eastAsia="宋体" w:cs="宋体"/>
                <w:b w:val="0"/>
              </w:rPr>
              <w:t>基金经理等人员</w:t>
            </w:r>
          </w:p>
        </w:tc>
        <w:tc>
          <w:tcPr>
            <w:tcW w:w="0" w:type="dxa"/>
            <w:vAlign w:val="center"/>
          </w:tcPr>
          <w:p w14:paraId="27EC6D3B">
            <w:pPr>
              <w:spacing w:line="240" w:lineRule="auto"/>
              <w:jc w:val="right"/>
            </w:pPr>
            <w:r>
              <w:rPr>
                <w:rFonts w:ascii="宋体" w:hAnsi="宋体" w:eastAsia="宋体" w:cs="宋体"/>
                <w:b w:val="0"/>
              </w:rPr>
              <w:t>-</w:t>
            </w:r>
          </w:p>
        </w:tc>
        <w:tc>
          <w:tcPr>
            <w:tcW w:w="0" w:type="dxa"/>
            <w:vAlign w:val="center"/>
          </w:tcPr>
          <w:p w14:paraId="042EC68E">
            <w:pPr>
              <w:spacing w:line="240" w:lineRule="auto"/>
              <w:jc w:val="right"/>
            </w:pPr>
            <w:r>
              <w:rPr>
                <w:rFonts w:ascii="宋体" w:hAnsi="宋体" w:eastAsia="宋体" w:cs="宋体"/>
                <w:b w:val="0"/>
              </w:rPr>
              <w:t>-</w:t>
            </w:r>
          </w:p>
        </w:tc>
        <w:tc>
          <w:tcPr>
            <w:tcW w:w="0" w:type="dxa"/>
            <w:vAlign w:val="center"/>
          </w:tcPr>
          <w:p w14:paraId="784350E7">
            <w:pPr>
              <w:spacing w:line="240" w:lineRule="auto"/>
              <w:jc w:val="right"/>
            </w:pPr>
            <w:r>
              <w:rPr>
                <w:rFonts w:ascii="宋体" w:hAnsi="宋体" w:eastAsia="宋体" w:cs="宋体"/>
                <w:b w:val="0"/>
              </w:rPr>
              <w:t>-</w:t>
            </w:r>
          </w:p>
        </w:tc>
        <w:tc>
          <w:tcPr>
            <w:tcW w:w="0" w:type="dxa"/>
            <w:vAlign w:val="center"/>
          </w:tcPr>
          <w:p w14:paraId="4685C7AB">
            <w:pPr>
              <w:spacing w:line="240" w:lineRule="auto"/>
              <w:jc w:val="right"/>
            </w:pPr>
            <w:r>
              <w:rPr>
                <w:rFonts w:ascii="宋体" w:hAnsi="宋体" w:eastAsia="宋体" w:cs="宋体"/>
                <w:b w:val="0"/>
              </w:rPr>
              <w:t>-</w:t>
            </w:r>
          </w:p>
        </w:tc>
        <w:tc>
          <w:tcPr>
            <w:tcW w:w="0" w:type="dxa"/>
            <w:vAlign w:val="center"/>
          </w:tcPr>
          <w:p w14:paraId="4CBFECEE">
            <w:pPr>
              <w:spacing w:line="240" w:lineRule="auto"/>
              <w:jc w:val="right"/>
            </w:pPr>
            <w:r>
              <w:rPr>
                <w:rFonts w:ascii="宋体" w:hAnsi="宋体" w:eastAsia="宋体" w:cs="宋体"/>
                <w:b w:val="0"/>
              </w:rPr>
              <w:t>-</w:t>
            </w:r>
          </w:p>
        </w:tc>
      </w:tr>
      <w:tr w14:paraId="1A3D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B39401">
            <w:pPr>
              <w:spacing w:line="240" w:lineRule="auto"/>
              <w:jc w:val="left"/>
            </w:pPr>
            <w:r>
              <w:rPr>
                <w:rFonts w:ascii="宋体" w:hAnsi="宋体" w:eastAsia="宋体" w:cs="宋体"/>
                <w:b w:val="0"/>
              </w:rPr>
              <w:t>基金管理人股东</w:t>
            </w:r>
          </w:p>
        </w:tc>
        <w:tc>
          <w:tcPr>
            <w:tcW w:w="0" w:type="dxa"/>
            <w:vAlign w:val="center"/>
          </w:tcPr>
          <w:p w14:paraId="31F5C572">
            <w:pPr>
              <w:spacing w:line="240" w:lineRule="auto"/>
              <w:jc w:val="right"/>
            </w:pPr>
            <w:r>
              <w:rPr>
                <w:rFonts w:ascii="宋体" w:hAnsi="宋体" w:eastAsia="宋体" w:cs="宋体"/>
                <w:b w:val="0"/>
              </w:rPr>
              <w:t>-</w:t>
            </w:r>
          </w:p>
        </w:tc>
        <w:tc>
          <w:tcPr>
            <w:tcW w:w="0" w:type="dxa"/>
            <w:vAlign w:val="center"/>
          </w:tcPr>
          <w:p w14:paraId="643BFF0A">
            <w:pPr>
              <w:spacing w:line="240" w:lineRule="auto"/>
              <w:jc w:val="right"/>
            </w:pPr>
            <w:r>
              <w:rPr>
                <w:rFonts w:ascii="宋体" w:hAnsi="宋体" w:eastAsia="宋体" w:cs="宋体"/>
                <w:b w:val="0"/>
              </w:rPr>
              <w:t>-</w:t>
            </w:r>
          </w:p>
        </w:tc>
        <w:tc>
          <w:tcPr>
            <w:tcW w:w="0" w:type="dxa"/>
            <w:vAlign w:val="center"/>
          </w:tcPr>
          <w:p w14:paraId="6BED1E5B">
            <w:pPr>
              <w:spacing w:line="240" w:lineRule="auto"/>
              <w:jc w:val="right"/>
            </w:pPr>
            <w:r>
              <w:rPr>
                <w:rFonts w:ascii="宋体" w:hAnsi="宋体" w:eastAsia="宋体" w:cs="宋体"/>
                <w:b w:val="0"/>
              </w:rPr>
              <w:t>-</w:t>
            </w:r>
          </w:p>
        </w:tc>
        <w:tc>
          <w:tcPr>
            <w:tcW w:w="0" w:type="dxa"/>
            <w:vAlign w:val="center"/>
          </w:tcPr>
          <w:p w14:paraId="1EE1AFA1">
            <w:pPr>
              <w:spacing w:line="240" w:lineRule="auto"/>
              <w:jc w:val="right"/>
            </w:pPr>
            <w:r>
              <w:rPr>
                <w:rFonts w:ascii="宋体" w:hAnsi="宋体" w:eastAsia="宋体" w:cs="宋体"/>
                <w:b w:val="0"/>
              </w:rPr>
              <w:t>-</w:t>
            </w:r>
          </w:p>
        </w:tc>
        <w:tc>
          <w:tcPr>
            <w:tcW w:w="0" w:type="dxa"/>
            <w:vAlign w:val="center"/>
          </w:tcPr>
          <w:p w14:paraId="25F8867D">
            <w:pPr>
              <w:spacing w:line="240" w:lineRule="auto"/>
              <w:jc w:val="right"/>
            </w:pPr>
            <w:r>
              <w:rPr>
                <w:rFonts w:ascii="宋体" w:hAnsi="宋体" w:eastAsia="宋体" w:cs="宋体"/>
                <w:b w:val="0"/>
              </w:rPr>
              <w:t>-</w:t>
            </w:r>
          </w:p>
        </w:tc>
      </w:tr>
      <w:tr w14:paraId="1D50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864CDE">
            <w:pPr>
              <w:spacing w:line="240" w:lineRule="auto"/>
              <w:jc w:val="left"/>
            </w:pPr>
            <w:r>
              <w:rPr>
                <w:rFonts w:ascii="宋体" w:hAnsi="宋体" w:eastAsia="宋体" w:cs="宋体"/>
                <w:b w:val="0"/>
              </w:rPr>
              <w:t>其他</w:t>
            </w:r>
          </w:p>
        </w:tc>
        <w:tc>
          <w:tcPr>
            <w:tcW w:w="0" w:type="dxa"/>
            <w:vAlign w:val="center"/>
          </w:tcPr>
          <w:p w14:paraId="7B727676">
            <w:pPr>
              <w:spacing w:line="240" w:lineRule="auto"/>
              <w:jc w:val="right"/>
            </w:pPr>
            <w:r>
              <w:rPr>
                <w:rFonts w:ascii="宋体" w:hAnsi="宋体" w:eastAsia="宋体" w:cs="宋体"/>
                <w:b w:val="0"/>
              </w:rPr>
              <w:t>-</w:t>
            </w:r>
          </w:p>
        </w:tc>
        <w:tc>
          <w:tcPr>
            <w:tcW w:w="0" w:type="dxa"/>
            <w:vAlign w:val="center"/>
          </w:tcPr>
          <w:p w14:paraId="34882A85">
            <w:pPr>
              <w:spacing w:line="240" w:lineRule="auto"/>
              <w:jc w:val="right"/>
            </w:pPr>
            <w:r>
              <w:rPr>
                <w:rFonts w:ascii="宋体" w:hAnsi="宋体" w:eastAsia="宋体" w:cs="宋体"/>
                <w:b w:val="0"/>
              </w:rPr>
              <w:t>-</w:t>
            </w:r>
          </w:p>
        </w:tc>
        <w:tc>
          <w:tcPr>
            <w:tcW w:w="0" w:type="dxa"/>
            <w:vAlign w:val="center"/>
          </w:tcPr>
          <w:p w14:paraId="2F4E8663">
            <w:pPr>
              <w:spacing w:line="240" w:lineRule="auto"/>
              <w:jc w:val="right"/>
            </w:pPr>
            <w:r>
              <w:rPr>
                <w:rFonts w:ascii="宋体" w:hAnsi="宋体" w:eastAsia="宋体" w:cs="宋体"/>
                <w:b w:val="0"/>
              </w:rPr>
              <w:t>-</w:t>
            </w:r>
          </w:p>
        </w:tc>
        <w:tc>
          <w:tcPr>
            <w:tcW w:w="0" w:type="dxa"/>
            <w:vAlign w:val="center"/>
          </w:tcPr>
          <w:p w14:paraId="575713FC">
            <w:pPr>
              <w:spacing w:line="240" w:lineRule="auto"/>
              <w:jc w:val="right"/>
            </w:pPr>
            <w:r>
              <w:rPr>
                <w:rFonts w:ascii="宋体" w:hAnsi="宋体" w:eastAsia="宋体" w:cs="宋体"/>
                <w:b w:val="0"/>
              </w:rPr>
              <w:t>-</w:t>
            </w:r>
          </w:p>
        </w:tc>
        <w:tc>
          <w:tcPr>
            <w:tcW w:w="0" w:type="dxa"/>
            <w:vAlign w:val="center"/>
          </w:tcPr>
          <w:p w14:paraId="475492B8">
            <w:pPr>
              <w:spacing w:line="240" w:lineRule="auto"/>
              <w:jc w:val="right"/>
            </w:pPr>
            <w:r>
              <w:rPr>
                <w:rFonts w:ascii="宋体" w:hAnsi="宋体" w:eastAsia="宋体" w:cs="宋体"/>
                <w:b w:val="0"/>
              </w:rPr>
              <w:t>-</w:t>
            </w:r>
          </w:p>
        </w:tc>
      </w:tr>
      <w:tr w14:paraId="1BB7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70D03F">
            <w:pPr>
              <w:spacing w:line="240" w:lineRule="auto"/>
              <w:jc w:val="left"/>
            </w:pPr>
            <w:r>
              <w:rPr>
                <w:rFonts w:ascii="宋体" w:hAnsi="宋体" w:eastAsia="宋体" w:cs="宋体"/>
                <w:b w:val="0"/>
              </w:rPr>
              <w:t>合计</w:t>
            </w:r>
          </w:p>
        </w:tc>
        <w:tc>
          <w:tcPr>
            <w:tcW w:w="0" w:type="dxa"/>
            <w:vAlign w:val="center"/>
          </w:tcPr>
          <w:p w14:paraId="73755E50">
            <w:pPr>
              <w:spacing w:line="240" w:lineRule="auto"/>
              <w:jc w:val="right"/>
            </w:pPr>
            <w:r>
              <w:rPr>
                <w:rFonts w:ascii="宋体" w:hAnsi="宋体" w:eastAsia="宋体" w:cs="宋体"/>
                <w:b w:val="0"/>
              </w:rPr>
              <w:t>10,010,389.24</w:t>
            </w:r>
          </w:p>
        </w:tc>
        <w:tc>
          <w:tcPr>
            <w:tcW w:w="0" w:type="dxa"/>
            <w:vAlign w:val="center"/>
          </w:tcPr>
          <w:p w14:paraId="6E48EEAC">
            <w:pPr>
              <w:spacing w:line="240" w:lineRule="auto"/>
              <w:jc w:val="right"/>
            </w:pPr>
            <w:r>
              <w:rPr>
                <w:rFonts w:ascii="宋体" w:hAnsi="宋体" w:eastAsia="宋体" w:cs="宋体"/>
                <w:b w:val="0"/>
              </w:rPr>
              <w:t>91.74%</w:t>
            </w:r>
          </w:p>
        </w:tc>
        <w:tc>
          <w:tcPr>
            <w:tcW w:w="0" w:type="dxa"/>
            <w:vAlign w:val="center"/>
          </w:tcPr>
          <w:p w14:paraId="0F8A6654">
            <w:pPr>
              <w:spacing w:line="240" w:lineRule="auto"/>
              <w:jc w:val="right"/>
            </w:pPr>
            <w:r>
              <w:rPr>
                <w:rFonts w:ascii="宋体" w:hAnsi="宋体" w:eastAsia="宋体" w:cs="宋体"/>
                <w:b w:val="0"/>
              </w:rPr>
              <w:t>10,010,389.24</w:t>
            </w:r>
          </w:p>
        </w:tc>
        <w:tc>
          <w:tcPr>
            <w:tcW w:w="0" w:type="dxa"/>
            <w:vAlign w:val="center"/>
          </w:tcPr>
          <w:p w14:paraId="230839C1">
            <w:pPr>
              <w:spacing w:line="240" w:lineRule="auto"/>
              <w:jc w:val="right"/>
            </w:pPr>
            <w:r>
              <w:rPr>
                <w:rFonts w:ascii="宋体" w:hAnsi="宋体" w:eastAsia="宋体" w:cs="宋体"/>
                <w:b w:val="0"/>
              </w:rPr>
              <w:t>91.74%</w:t>
            </w:r>
          </w:p>
        </w:tc>
        <w:tc>
          <w:tcPr>
            <w:tcW w:w="0" w:type="dxa"/>
            <w:vAlign w:val="center"/>
          </w:tcPr>
          <w:p w14:paraId="088ED381">
            <w:pPr>
              <w:spacing w:line="240" w:lineRule="auto"/>
              <w:jc w:val="right"/>
            </w:pPr>
            <w:r>
              <w:rPr>
                <w:rFonts w:ascii="宋体" w:hAnsi="宋体" w:eastAsia="宋体" w:cs="宋体"/>
                <w:b w:val="0"/>
              </w:rPr>
              <w:t>-</w:t>
            </w:r>
          </w:p>
        </w:tc>
      </w:tr>
    </w:tbl>
    <w:p w14:paraId="660A5DAA">
      <w:pPr>
        <w:pStyle w:val="2"/>
        <w:jc w:val="center"/>
      </w:pPr>
      <w:bookmarkStart w:id="49" w:name="_Toc5518"/>
      <w:r>
        <w:rPr>
          <w:rFonts w:ascii="宋体" w:hAnsi="宋体" w:eastAsia="宋体" w:cs="宋体"/>
        </w:rPr>
        <w:t>§9 开放式基金份额变动</w:t>
      </w:r>
      <w:bookmarkEnd w:id="49"/>
    </w:p>
    <w:p w14:paraId="3898097C">
      <w:pPr>
        <w:jc w:val="right"/>
      </w:pPr>
      <w:r>
        <w:rPr>
          <w:rFonts w:ascii="宋体" w:hAnsi="宋体" w:eastAsia="宋体" w:cs="宋体"/>
          <w:b w:val="0"/>
        </w:rPr>
        <w:t>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6"/>
        <w:gridCol w:w="2460"/>
        <w:gridCol w:w="2460"/>
      </w:tblGrid>
      <w:tr w14:paraId="157B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15B097FD">
            <w:pPr>
              <w:spacing w:line="240" w:lineRule="auto"/>
              <w:jc w:val="center"/>
            </w:pPr>
          </w:p>
        </w:tc>
        <w:tc>
          <w:tcPr>
            <w:tcW w:w="1300" w:type="pct"/>
            <w:vAlign w:val="center"/>
          </w:tcPr>
          <w:p w14:paraId="1ED0A253">
            <w:pPr>
              <w:spacing w:line="240" w:lineRule="auto"/>
              <w:jc w:val="center"/>
            </w:pPr>
            <w:r>
              <w:rPr>
                <w:rFonts w:ascii="宋体" w:hAnsi="宋体" w:eastAsia="宋体" w:cs="宋体"/>
                <w:b w:val="0"/>
              </w:rPr>
              <w:t>东方阿尔法增利债券发起A</w:t>
            </w:r>
          </w:p>
        </w:tc>
        <w:tc>
          <w:tcPr>
            <w:tcW w:w="1300" w:type="pct"/>
            <w:vAlign w:val="center"/>
          </w:tcPr>
          <w:p w14:paraId="2E2B0C99">
            <w:pPr>
              <w:spacing w:line="240" w:lineRule="auto"/>
              <w:jc w:val="center"/>
            </w:pPr>
            <w:r>
              <w:rPr>
                <w:rFonts w:ascii="宋体" w:hAnsi="宋体" w:eastAsia="宋体" w:cs="宋体"/>
                <w:b w:val="0"/>
              </w:rPr>
              <w:t>东方阿尔法增利债券发起C</w:t>
            </w:r>
          </w:p>
        </w:tc>
      </w:tr>
      <w:tr w14:paraId="3C04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CBC2C0">
            <w:pPr>
              <w:spacing w:line="240" w:lineRule="auto"/>
              <w:jc w:val="left"/>
            </w:pPr>
            <w:r>
              <w:rPr>
                <w:rFonts w:ascii="宋体" w:hAnsi="宋体" w:eastAsia="宋体" w:cs="宋体"/>
                <w:b w:val="0"/>
              </w:rPr>
              <w:t>基金合同生效日（2026年06月02日）基金份额总额</w:t>
            </w:r>
          </w:p>
        </w:tc>
        <w:tc>
          <w:tcPr>
            <w:tcW w:w="1300" w:type="pct"/>
            <w:vAlign w:val="center"/>
          </w:tcPr>
          <w:p w14:paraId="7435EB7C">
            <w:pPr>
              <w:spacing w:line="240" w:lineRule="auto"/>
              <w:jc w:val="right"/>
            </w:pPr>
            <w:r>
              <w:rPr>
                <w:rFonts w:ascii="宋体" w:hAnsi="宋体" w:eastAsia="宋体" w:cs="宋体"/>
                <w:b w:val="0"/>
              </w:rPr>
              <w:t>10,279,827.45</w:t>
            </w:r>
          </w:p>
        </w:tc>
        <w:tc>
          <w:tcPr>
            <w:tcW w:w="1300" w:type="pct"/>
            <w:vAlign w:val="center"/>
          </w:tcPr>
          <w:p w14:paraId="13BB7A58">
            <w:pPr>
              <w:spacing w:line="240" w:lineRule="auto"/>
              <w:jc w:val="right"/>
            </w:pPr>
            <w:r>
              <w:rPr>
                <w:rFonts w:ascii="宋体" w:hAnsi="宋体" w:eastAsia="宋体" w:cs="宋体"/>
                <w:b w:val="0"/>
              </w:rPr>
              <w:t>49,119.00</w:t>
            </w:r>
          </w:p>
        </w:tc>
      </w:tr>
      <w:tr w14:paraId="6574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1DF7DC">
            <w:pPr>
              <w:spacing w:line="240" w:lineRule="auto"/>
              <w:jc w:val="left"/>
            </w:pPr>
            <w:r>
              <w:rPr>
                <w:rFonts w:ascii="宋体" w:hAnsi="宋体" w:eastAsia="宋体" w:cs="宋体"/>
                <w:b w:val="0"/>
              </w:rPr>
              <w:t>基金合同生效日起至报告期期末基金总申购份额</w:t>
            </w:r>
          </w:p>
        </w:tc>
        <w:tc>
          <w:tcPr>
            <w:tcW w:w="1300" w:type="pct"/>
            <w:vAlign w:val="center"/>
          </w:tcPr>
          <w:p w14:paraId="1E7E5413">
            <w:pPr>
              <w:spacing w:line="240" w:lineRule="auto"/>
              <w:jc w:val="right"/>
            </w:pPr>
            <w:r>
              <w:rPr>
                <w:rFonts w:ascii="宋体" w:hAnsi="宋体" w:eastAsia="宋体" w:cs="宋体"/>
                <w:b w:val="0"/>
              </w:rPr>
              <w:t>194,975.28</w:t>
            </w:r>
          </w:p>
        </w:tc>
        <w:tc>
          <w:tcPr>
            <w:tcW w:w="1300" w:type="pct"/>
            <w:vAlign w:val="center"/>
          </w:tcPr>
          <w:p w14:paraId="3395F286">
            <w:pPr>
              <w:spacing w:line="240" w:lineRule="auto"/>
              <w:jc w:val="right"/>
            </w:pPr>
            <w:r>
              <w:rPr>
                <w:rFonts w:ascii="宋体" w:hAnsi="宋体" w:eastAsia="宋体" w:cs="宋体"/>
                <w:b w:val="0"/>
              </w:rPr>
              <w:t>502,660.43</w:t>
            </w:r>
          </w:p>
        </w:tc>
      </w:tr>
      <w:tr w14:paraId="5258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81BCF5">
            <w:pPr>
              <w:spacing w:line="240" w:lineRule="auto"/>
              <w:jc w:val="left"/>
            </w:pPr>
            <w:r>
              <w:rPr>
                <w:rFonts w:ascii="宋体" w:hAnsi="宋体" w:eastAsia="宋体" w:cs="宋体"/>
                <w:b w:val="0"/>
              </w:rPr>
              <w:t>减：基金合同生效日起至报告期期末基金总赎回份额</w:t>
            </w:r>
          </w:p>
        </w:tc>
        <w:tc>
          <w:tcPr>
            <w:tcW w:w="1300" w:type="pct"/>
            <w:vAlign w:val="center"/>
          </w:tcPr>
          <w:p w14:paraId="38371EE9">
            <w:pPr>
              <w:spacing w:line="240" w:lineRule="auto"/>
              <w:jc w:val="right"/>
            </w:pPr>
            <w:r>
              <w:rPr>
                <w:rFonts w:ascii="宋体" w:hAnsi="宋体" w:eastAsia="宋体" w:cs="宋体"/>
                <w:b w:val="0"/>
              </w:rPr>
              <w:t>64,564.77</w:t>
            </w:r>
          </w:p>
        </w:tc>
        <w:tc>
          <w:tcPr>
            <w:tcW w:w="1300" w:type="pct"/>
            <w:vAlign w:val="center"/>
          </w:tcPr>
          <w:p w14:paraId="1AD7FAE9">
            <w:pPr>
              <w:spacing w:line="240" w:lineRule="auto"/>
              <w:jc w:val="right"/>
            </w:pPr>
            <w:r>
              <w:rPr>
                <w:rFonts w:ascii="宋体" w:hAnsi="宋体" w:eastAsia="宋体" w:cs="宋体"/>
                <w:b w:val="0"/>
              </w:rPr>
              <w:t>50,291.66</w:t>
            </w:r>
          </w:p>
        </w:tc>
      </w:tr>
      <w:tr w14:paraId="3B45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9DFF44">
            <w:pPr>
              <w:spacing w:line="240" w:lineRule="auto"/>
              <w:jc w:val="left"/>
            </w:pPr>
            <w:r>
              <w:rPr>
                <w:rFonts w:ascii="宋体" w:hAnsi="宋体" w:eastAsia="宋体" w:cs="宋体"/>
                <w:b w:val="0"/>
              </w:rPr>
              <w:t>基金合同生效日起至报告期期末基金拆分变动份额</w:t>
            </w:r>
          </w:p>
        </w:tc>
        <w:tc>
          <w:tcPr>
            <w:tcW w:w="1300" w:type="pct"/>
            <w:vAlign w:val="center"/>
          </w:tcPr>
          <w:p w14:paraId="4369F275">
            <w:pPr>
              <w:spacing w:line="240" w:lineRule="auto"/>
              <w:jc w:val="right"/>
            </w:pPr>
            <w:r>
              <w:rPr>
                <w:rFonts w:ascii="宋体" w:hAnsi="宋体" w:eastAsia="宋体" w:cs="宋体"/>
                <w:b w:val="0"/>
              </w:rPr>
              <w:t>-</w:t>
            </w:r>
          </w:p>
        </w:tc>
        <w:tc>
          <w:tcPr>
            <w:tcW w:w="1300" w:type="pct"/>
            <w:vAlign w:val="center"/>
          </w:tcPr>
          <w:p w14:paraId="4E5F2260">
            <w:pPr>
              <w:spacing w:line="240" w:lineRule="auto"/>
              <w:jc w:val="right"/>
            </w:pPr>
            <w:r>
              <w:rPr>
                <w:rFonts w:ascii="宋体" w:hAnsi="宋体" w:eastAsia="宋体" w:cs="宋体"/>
                <w:b w:val="0"/>
              </w:rPr>
              <w:t>-</w:t>
            </w:r>
          </w:p>
        </w:tc>
      </w:tr>
      <w:tr w14:paraId="47E1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170377">
            <w:pPr>
              <w:spacing w:line="240" w:lineRule="auto"/>
              <w:jc w:val="left"/>
            </w:pPr>
            <w:r>
              <w:rPr>
                <w:rFonts w:ascii="宋体" w:hAnsi="宋体" w:eastAsia="宋体" w:cs="宋体"/>
                <w:b w:val="0"/>
              </w:rPr>
              <w:t>本报告期期末基金份额总额</w:t>
            </w:r>
          </w:p>
        </w:tc>
        <w:tc>
          <w:tcPr>
            <w:tcW w:w="1300" w:type="pct"/>
            <w:vAlign w:val="center"/>
          </w:tcPr>
          <w:p w14:paraId="104D4446">
            <w:pPr>
              <w:spacing w:line="240" w:lineRule="auto"/>
              <w:jc w:val="right"/>
            </w:pPr>
            <w:r>
              <w:rPr>
                <w:rFonts w:ascii="宋体" w:hAnsi="宋体" w:eastAsia="宋体" w:cs="宋体"/>
                <w:b w:val="0"/>
              </w:rPr>
              <w:t>10,410,237.96</w:t>
            </w:r>
          </w:p>
        </w:tc>
        <w:tc>
          <w:tcPr>
            <w:tcW w:w="1300" w:type="pct"/>
            <w:vAlign w:val="center"/>
          </w:tcPr>
          <w:p w14:paraId="426E97CD">
            <w:pPr>
              <w:spacing w:line="240" w:lineRule="auto"/>
              <w:jc w:val="right"/>
            </w:pPr>
            <w:r>
              <w:rPr>
                <w:rFonts w:ascii="宋体" w:hAnsi="宋体" w:eastAsia="宋体" w:cs="宋体"/>
                <w:b w:val="0"/>
              </w:rPr>
              <w:t>501,487.77</w:t>
            </w:r>
          </w:p>
        </w:tc>
      </w:tr>
    </w:tbl>
    <w:p w14:paraId="4737229A">
      <w:pPr>
        <w:pStyle w:val="2"/>
        <w:jc w:val="center"/>
      </w:pPr>
      <w:bookmarkStart w:id="50" w:name="_Toc14249"/>
      <w:r>
        <w:rPr>
          <w:rFonts w:ascii="宋体" w:hAnsi="宋体" w:eastAsia="宋体" w:cs="宋体"/>
        </w:rPr>
        <w:t>§10 重大事件揭示</w:t>
      </w:r>
      <w:bookmarkEnd w:id="50"/>
    </w:p>
    <w:p w14:paraId="3144BBF4">
      <w:pPr>
        <w:pStyle w:val="3"/>
        <w:jc w:val="left"/>
      </w:pPr>
      <w:bookmarkStart w:id="51" w:name="_Toc28257"/>
      <w:r>
        <w:rPr>
          <w:rFonts w:ascii="宋体" w:hAnsi="宋体" w:eastAsia="宋体" w:cs="宋体"/>
        </w:rPr>
        <w:t>10.1 基金份额持有人大会决议</w:t>
      </w:r>
      <w:bookmarkEnd w:id="51"/>
    </w:p>
    <w:p w14:paraId="181D2812">
      <w:pPr>
        <w:jc w:val="left"/>
      </w:pPr>
      <w:r>
        <w:rPr>
          <w:rFonts w:ascii="宋体" w:hAnsi="宋体" w:eastAsia="宋体" w:cs="宋体"/>
          <w:b w:val="0"/>
        </w:rPr>
        <w:t xml:space="preserve">    本报告期内无基金份额持有人大会决议。</w:t>
      </w:r>
    </w:p>
    <w:p w14:paraId="4BCF8792"/>
    <w:p w14:paraId="6E109305">
      <w:pPr>
        <w:pStyle w:val="3"/>
        <w:jc w:val="left"/>
      </w:pPr>
      <w:bookmarkStart w:id="52" w:name="_Toc8214"/>
      <w:r>
        <w:rPr>
          <w:rFonts w:ascii="宋体" w:hAnsi="宋体" w:eastAsia="宋体" w:cs="宋体"/>
        </w:rPr>
        <w:t>10.2 基金管理人、基金托管人的专门基金托管部门的重大人事变动</w:t>
      </w:r>
      <w:bookmarkEnd w:id="52"/>
    </w:p>
    <w:p w14:paraId="408FF336">
      <w:pPr>
        <w:jc w:val="left"/>
      </w:pPr>
      <w:r>
        <w:rPr>
          <w:rFonts w:ascii="宋体" w:hAnsi="宋体" w:eastAsia="宋体" w:cs="宋体"/>
          <w:b w:val="0"/>
        </w:rPr>
        <w:t xml:space="preserve">    本报告期内，基金管理人、基金托管人无重大人事变动。</w:t>
      </w:r>
    </w:p>
    <w:p w14:paraId="5E1F44AE"/>
    <w:p w14:paraId="55928ADC">
      <w:pPr>
        <w:pStyle w:val="3"/>
        <w:jc w:val="left"/>
      </w:pPr>
      <w:bookmarkStart w:id="53" w:name="_Toc17041"/>
      <w:r>
        <w:rPr>
          <w:rFonts w:ascii="宋体" w:hAnsi="宋体" w:eastAsia="宋体" w:cs="宋体"/>
        </w:rPr>
        <w:t>10.3 涉及基金管理人、基金财产、基金托管业务的诉讼</w:t>
      </w:r>
      <w:bookmarkEnd w:id="53"/>
    </w:p>
    <w:p w14:paraId="54D469F3">
      <w:pPr>
        <w:jc w:val="left"/>
      </w:pPr>
      <w:r>
        <w:rPr>
          <w:rFonts w:ascii="宋体" w:hAnsi="宋体" w:eastAsia="宋体" w:cs="宋体"/>
          <w:b w:val="0"/>
        </w:rPr>
        <w:t xml:space="preserve">    本报告期内，无涉及基金管理人、基金财产、基金托管业务的诉讼。</w:t>
      </w:r>
    </w:p>
    <w:p w14:paraId="2B433058"/>
    <w:p w14:paraId="29F70C82">
      <w:pPr>
        <w:pStyle w:val="3"/>
        <w:jc w:val="left"/>
      </w:pPr>
      <w:bookmarkStart w:id="54" w:name="_Toc18624"/>
      <w:r>
        <w:rPr>
          <w:rFonts w:ascii="宋体" w:hAnsi="宋体" w:eastAsia="宋体" w:cs="宋体"/>
        </w:rPr>
        <w:t>10.4 基金投资策略的改变</w:t>
      </w:r>
      <w:bookmarkEnd w:id="54"/>
    </w:p>
    <w:p w14:paraId="4AC717E3">
      <w:pPr>
        <w:jc w:val="left"/>
      </w:pPr>
      <w:r>
        <w:rPr>
          <w:rFonts w:ascii="宋体" w:hAnsi="宋体" w:eastAsia="宋体" w:cs="宋体"/>
          <w:b w:val="0"/>
        </w:rPr>
        <w:t xml:space="preserve">    本报告期内本基金投资策略未改变。</w:t>
      </w:r>
    </w:p>
    <w:p w14:paraId="0E645A9D"/>
    <w:p w14:paraId="202B3C4E">
      <w:pPr>
        <w:pStyle w:val="3"/>
        <w:jc w:val="left"/>
      </w:pPr>
      <w:bookmarkStart w:id="55" w:name="_Toc28672"/>
      <w:r>
        <w:rPr>
          <w:rFonts w:ascii="宋体" w:hAnsi="宋体" w:eastAsia="宋体" w:cs="宋体"/>
        </w:rPr>
        <w:t>10.5 为基金进行审计的会计师事务所情况</w:t>
      </w:r>
      <w:bookmarkEnd w:id="55"/>
    </w:p>
    <w:p w14:paraId="12DAD822">
      <w:pPr>
        <w:jc w:val="left"/>
      </w:pPr>
      <w:r>
        <w:rPr>
          <w:rFonts w:ascii="宋体" w:hAnsi="宋体" w:eastAsia="宋体" w:cs="宋体"/>
          <w:b w:val="0"/>
        </w:rPr>
        <w:t xml:space="preserve">    本报告期内本基金未更换会计师事务所。</w:t>
      </w:r>
    </w:p>
    <w:p w14:paraId="6C4DF5D0"/>
    <w:p w14:paraId="7D9273B9">
      <w:pPr>
        <w:pStyle w:val="3"/>
        <w:jc w:val="left"/>
      </w:pPr>
      <w:bookmarkStart w:id="56" w:name="_Toc1225"/>
      <w:r>
        <w:rPr>
          <w:rFonts w:ascii="宋体" w:hAnsi="宋体" w:eastAsia="宋体" w:cs="宋体"/>
        </w:rPr>
        <w:t>10.6 管理人、托管人及相关从业人员受调查或处罚等情况</w:t>
      </w:r>
      <w:bookmarkEnd w:id="56"/>
    </w:p>
    <w:p w14:paraId="2D205188">
      <w:pPr>
        <w:pStyle w:val="58"/>
      </w:pPr>
      <w:r>
        <w:rPr>
          <w:rFonts w:ascii="宋体" w:hAnsi="宋体" w:eastAsia="宋体" w:cs="宋体"/>
          <w:b/>
        </w:rPr>
        <w:t>10.6.1 管理人受调查或处罚等情况</w:t>
      </w:r>
    </w:p>
    <w:p w14:paraId="66190BE2">
      <w:pPr>
        <w:jc w:val="left"/>
      </w:pPr>
      <w:r>
        <w:rPr>
          <w:rFonts w:ascii="宋体" w:hAnsi="宋体" w:eastAsia="宋体" w:cs="宋体"/>
          <w:b w:val="0"/>
        </w:rPr>
        <w:t xml:space="preserve">    本报告期内，基金管理人没有受到监管部门调查或处罚。</w:t>
      </w:r>
    </w:p>
    <w:p w14:paraId="12C18BC9"/>
    <w:p w14:paraId="5B26735A">
      <w:pPr>
        <w:pStyle w:val="58"/>
      </w:pPr>
      <w:r>
        <w:rPr>
          <w:rFonts w:ascii="宋体" w:hAnsi="宋体" w:eastAsia="宋体" w:cs="宋体"/>
          <w:b/>
        </w:rPr>
        <w:t>10.6.2 管理人相关从业人员受调查或处罚等情况</w:t>
      </w:r>
    </w:p>
    <w:p w14:paraId="4018E061">
      <w:pPr>
        <w:jc w:val="left"/>
      </w:pPr>
      <w:r>
        <w:rPr>
          <w:rFonts w:ascii="宋体" w:hAnsi="宋体" w:eastAsia="宋体" w:cs="宋体"/>
          <w:b w:val="0"/>
        </w:rPr>
        <w:t xml:space="preserve">    本报告期内，管理人高级管理人员、本基金基金经理等相关从业人员没有受到监管部门调查或处罚。</w:t>
      </w:r>
    </w:p>
    <w:p w14:paraId="29718E98"/>
    <w:p w14:paraId="28CDD3D3">
      <w:pPr>
        <w:pStyle w:val="58"/>
      </w:pPr>
      <w:r>
        <w:rPr>
          <w:rFonts w:ascii="宋体" w:hAnsi="宋体" w:eastAsia="宋体" w:cs="宋体"/>
          <w:b/>
        </w:rPr>
        <w:t>10.6.3 托管人受调查或处罚等情况</w:t>
      </w:r>
    </w:p>
    <w:p w14:paraId="77D0BF2B">
      <w:pPr>
        <w:jc w:val="left"/>
      </w:pPr>
      <w:r>
        <w:rPr>
          <w:rFonts w:ascii="宋体" w:hAnsi="宋体" w:eastAsia="宋体" w:cs="宋体"/>
          <w:b w:val="0"/>
        </w:rPr>
        <w:t xml:space="preserve">    本报告期内，基金托管人没有受到监管部门调查或处罚。</w:t>
      </w:r>
    </w:p>
    <w:p w14:paraId="694D8641"/>
    <w:p w14:paraId="4281A5CC">
      <w:pPr>
        <w:pStyle w:val="58"/>
      </w:pPr>
      <w:r>
        <w:rPr>
          <w:rFonts w:ascii="宋体" w:hAnsi="宋体" w:eastAsia="宋体" w:cs="宋体"/>
          <w:b/>
        </w:rPr>
        <w:t>10.6.4 托管人相关从业人员受调查或处罚等情况</w:t>
      </w:r>
    </w:p>
    <w:p w14:paraId="71C62DAC">
      <w:pPr>
        <w:jc w:val="left"/>
      </w:pPr>
      <w:r>
        <w:rPr>
          <w:rFonts w:ascii="宋体" w:hAnsi="宋体" w:eastAsia="宋体" w:cs="宋体"/>
          <w:b w:val="0"/>
        </w:rPr>
        <w:t xml:space="preserve">    本报告期内，基金托管人相关从业人员没有受到监管部门调查或处罚。</w:t>
      </w:r>
    </w:p>
    <w:p w14:paraId="5CDC8839"/>
    <w:p w14:paraId="40948E19">
      <w:pPr>
        <w:pStyle w:val="3"/>
        <w:jc w:val="left"/>
      </w:pPr>
      <w:bookmarkStart w:id="57" w:name="_Toc16131"/>
      <w:r>
        <w:rPr>
          <w:rFonts w:ascii="宋体" w:hAnsi="宋体" w:eastAsia="宋体" w:cs="宋体"/>
        </w:rPr>
        <w:t>10.7 基金租用或者通过证券公司交易单元进行证券投资的相关情况</w:t>
      </w:r>
      <w:bookmarkEnd w:id="57"/>
    </w:p>
    <w:p w14:paraId="187AE62D">
      <w:pPr>
        <w:pStyle w:val="58"/>
      </w:pPr>
      <w:r>
        <w:rPr>
          <w:rFonts w:ascii="宋体" w:hAnsi="宋体" w:eastAsia="宋体" w:cs="宋体"/>
          <w:b/>
        </w:rPr>
        <w:t>10.7.1 基金租用或者通过证券公司交易单元进行股票投资及佣金支付情况</w:t>
      </w:r>
    </w:p>
    <w:p w14:paraId="0BAD8C92">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1158"/>
        <w:gridCol w:w="1476"/>
        <w:gridCol w:w="1479"/>
        <w:gridCol w:w="1056"/>
        <w:gridCol w:w="1479"/>
        <w:gridCol w:w="1480"/>
      </w:tblGrid>
      <w:tr w14:paraId="62CE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5E696034">
            <w:pPr>
              <w:spacing w:line="240" w:lineRule="auto"/>
              <w:jc w:val="center"/>
            </w:pPr>
            <w:r>
              <w:rPr>
                <w:rFonts w:ascii="宋体" w:hAnsi="宋体" w:eastAsia="宋体" w:cs="宋体"/>
                <w:b w:val="0"/>
              </w:rPr>
              <w:t>券商名称</w:t>
            </w:r>
          </w:p>
        </w:tc>
        <w:tc>
          <w:tcPr>
            <w:tcW w:w="615" w:type="pct"/>
            <w:vMerge w:val="restart"/>
            <w:shd w:val="clear" w:color="auto" w:fill="D9D9D9"/>
            <w:vAlign w:val="center"/>
          </w:tcPr>
          <w:p w14:paraId="61E1D72B">
            <w:pPr>
              <w:spacing w:line="240" w:lineRule="auto"/>
              <w:jc w:val="center"/>
            </w:pPr>
            <w:r>
              <w:rPr>
                <w:rFonts w:ascii="宋体" w:hAnsi="宋体" w:eastAsia="宋体" w:cs="宋体"/>
                <w:b w:val="0"/>
              </w:rPr>
              <w:t>交易单元数量</w:t>
            </w:r>
          </w:p>
        </w:tc>
        <w:tc>
          <w:tcPr>
            <w:tcW w:w="1231" w:type="pct"/>
            <w:gridSpan w:val="2"/>
            <w:shd w:val="clear" w:color="auto" w:fill="D9D9D9"/>
            <w:vAlign w:val="center"/>
          </w:tcPr>
          <w:p w14:paraId="65603D97">
            <w:pPr>
              <w:spacing w:line="240" w:lineRule="auto"/>
              <w:jc w:val="center"/>
            </w:pPr>
            <w:r>
              <w:rPr>
                <w:rFonts w:ascii="宋体" w:hAnsi="宋体" w:eastAsia="宋体" w:cs="宋体"/>
                <w:b w:val="0"/>
              </w:rPr>
              <w:t>股票交易</w:t>
            </w:r>
          </w:p>
        </w:tc>
        <w:tc>
          <w:tcPr>
            <w:tcW w:w="1231" w:type="pct"/>
            <w:gridSpan w:val="2"/>
            <w:shd w:val="clear" w:color="auto" w:fill="D9D9D9"/>
            <w:vAlign w:val="center"/>
          </w:tcPr>
          <w:p w14:paraId="4D484698">
            <w:pPr>
              <w:spacing w:line="240" w:lineRule="auto"/>
              <w:jc w:val="center"/>
            </w:pPr>
            <w:r>
              <w:rPr>
                <w:rFonts w:ascii="宋体" w:hAnsi="宋体" w:eastAsia="宋体" w:cs="宋体"/>
                <w:b w:val="0"/>
              </w:rPr>
              <w:t>应支付该券商的佣金</w:t>
            </w:r>
          </w:p>
        </w:tc>
        <w:tc>
          <w:tcPr>
            <w:tcW w:w="769" w:type="pct"/>
            <w:vMerge w:val="restart"/>
            <w:shd w:val="clear" w:color="auto" w:fill="D9D9D9"/>
            <w:vAlign w:val="center"/>
          </w:tcPr>
          <w:p w14:paraId="55E78E58">
            <w:pPr>
              <w:spacing w:line="240" w:lineRule="auto"/>
              <w:jc w:val="center"/>
            </w:pPr>
            <w:r>
              <w:rPr>
                <w:rFonts w:ascii="宋体" w:hAnsi="宋体" w:eastAsia="宋体" w:cs="宋体"/>
                <w:b w:val="0"/>
              </w:rPr>
              <w:t>备注</w:t>
            </w:r>
          </w:p>
        </w:tc>
      </w:tr>
      <w:tr w14:paraId="00FC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FAB9B3B"/>
        </w:tc>
        <w:tc>
          <w:tcPr>
            <w:vMerge w:val="continue"/>
          </w:tcPr>
          <w:p w14:paraId="5CD3AA02"/>
        </w:tc>
        <w:tc>
          <w:tcPr>
            <w:tcW w:w="462" w:type="pct"/>
            <w:shd w:val="clear" w:color="auto" w:fill="D9D9D9"/>
            <w:vAlign w:val="center"/>
          </w:tcPr>
          <w:p w14:paraId="5D3FDD8E">
            <w:pPr>
              <w:spacing w:line="240" w:lineRule="auto"/>
              <w:jc w:val="center"/>
            </w:pPr>
            <w:r>
              <w:rPr>
                <w:rFonts w:ascii="宋体" w:hAnsi="宋体" w:eastAsia="宋体" w:cs="宋体"/>
                <w:b w:val="0"/>
              </w:rPr>
              <w:t>成交金额</w:t>
            </w:r>
          </w:p>
        </w:tc>
        <w:tc>
          <w:tcPr>
            <w:tcW w:w="769" w:type="pct"/>
            <w:shd w:val="clear" w:color="auto" w:fill="D9D9D9"/>
            <w:vAlign w:val="center"/>
          </w:tcPr>
          <w:p w14:paraId="28330E4D">
            <w:pPr>
              <w:spacing w:line="240" w:lineRule="auto"/>
              <w:jc w:val="center"/>
            </w:pPr>
            <w:r>
              <w:rPr>
                <w:rFonts w:ascii="宋体" w:hAnsi="宋体" w:eastAsia="宋体" w:cs="宋体"/>
                <w:b w:val="0"/>
              </w:rPr>
              <w:t>占当期股票成交总额的比例</w:t>
            </w:r>
          </w:p>
        </w:tc>
        <w:tc>
          <w:tcPr>
            <w:tcW w:w="462" w:type="pct"/>
            <w:shd w:val="clear" w:color="auto" w:fill="D9D9D9"/>
            <w:vAlign w:val="center"/>
          </w:tcPr>
          <w:p w14:paraId="74B3259F">
            <w:pPr>
              <w:spacing w:line="240" w:lineRule="auto"/>
              <w:jc w:val="center"/>
            </w:pPr>
            <w:r>
              <w:rPr>
                <w:rFonts w:ascii="宋体" w:hAnsi="宋体" w:eastAsia="宋体" w:cs="宋体"/>
                <w:b w:val="0"/>
              </w:rPr>
              <w:t>佣金</w:t>
            </w:r>
          </w:p>
        </w:tc>
        <w:tc>
          <w:tcPr>
            <w:tcW w:w="769" w:type="pct"/>
            <w:shd w:val="clear" w:color="auto" w:fill="D9D9D9"/>
            <w:vAlign w:val="center"/>
          </w:tcPr>
          <w:p w14:paraId="2043CAE2">
            <w:pPr>
              <w:spacing w:line="240" w:lineRule="auto"/>
              <w:jc w:val="center"/>
            </w:pPr>
            <w:r>
              <w:rPr>
                <w:rFonts w:ascii="宋体" w:hAnsi="宋体" w:eastAsia="宋体" w:cs="宋体"/>
                <w:b w:val="0"/>
              </w:rPr>
              <w:t>占当期佣金总量的比例</w:t>
            </w:r>
          </w:p>
        </w:tc>
        <w:tc>
          <w:tcPr>
            <w:vMerge w:val="continue"/>
          </w:tcPr>
          <w:p w14:paraId="7E6B11D1"/>
        </w:tc>
      </w:tr>
      <w:tr w14:paraId="1154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F56116">
            <w:pPr>
              <w:spacing w:line="240" w:lineRule="auto"/>
              <w:jc w:val="left"/>
            </w:pPr>
            <w:r>
              <w:rPr>
                <w:rFonts w:ascii="宋体" w:hAnsi="宋体" w:eastAsia="宋体" w:cs="宋体"/>
                <w:b w:val="0"/>
              </w:rPr>
              <w:t>东方财富证券</w:t>
            </w:r>
          </w:p>
        </w:tc>
        <w:tc>
          <w:tcPr>
            <w:tcW w:w="0" w:type="dxa"/>
            <w:vAlign w:val="center"/>
          </w:tcPr>
          <w:p w14:paraId="476B3D96">
            <w:pPr>
              <w:spacing w:line="240" w:lineRule="auto"/>
              <w:jc w:val="right"/>
            </w:pPr>
            <w:r>
              <w:rPr>
                <w:rFonts w:ascii="宋体" w:hAnsi="宋体" w:eastAsia="宋体" w:cs="宋体"/>
                <w:b w:val="0"/>
              </w:rPr>
              <w:t>3</w:t>
            </w:r>
          </w:p>
        </w:tc>
        <w:tc>
          <w:tcPr>
            <w:tcW w:w="0" w:type="dxa"/>
            <w:vAlign w:val="center"/>
          </w:tcPr>
          <w:p w14:paraId="5414B2BC">
            <w:pPr>
              <w:spacing w:line="240" w:lineRule="auto"/>
              <w:jc w:val="right"/>
            </w:pPr>
            <w:r>
              <w:rPr>
                <w:rFonts w:ascii="宋体" w:hAnsi="宋体" w:eastAsia="宋体" w:cs="宋体"/>
                <w:b w:val="0"/>
              </w:rPr>
              <w:t>3,760,247.73</w:t>
            </w:r>
          </w:p>
        </w:tc>
        <w:tc>
          <w:tcPr>
            <w:tcW w:w="0" w:type="dxa"/>
            <w:vAlign w:val="center"/>
          </w:tcPr>
          <w:p w14:paraId="0A987B52">
            <w:pPr>
              <w:spacing w:line="240" w:lineRule="auto"/>
              <w:jc w:val="right"/>
            </w:pPr>
            <w:r>
              <w:rPr>
                <w:rFonts w:ascii="宋体" w:hAnsi="宋体" w:eastAsia="宋体" w:cs="宋体"/>
                <w:b w:val="0"/>
              </w:rPr>
              <w:t>100.00%</w:t>
            </w:r>
          </w:p>
        </w:tc>
        <w:tc>
          <w:tcPr>
            <w:tcW w:w="0" w:type="dxa"/>
            <w:vAlign w:val="center"/>
          </w:tcPr>
          <w:p w14:paraId="6C367782">
            <w:pPr>
              <w:spacing w:line="240" w:lineRule="auto"/>
              <w:jc w:val="right"/>
            </w:pPr>
            <w:r>
              <w:rPr>
                <w:rFonts w:ascii="宋体" w:hAnsi="宋体" w:eastAsia="宋体" w:cs="宋体"/>
                <w:b w:val="0"/>
              </w:rPr>
              <w:t>2,740.69</w:t>
            </w:r>
          </w:p>
        </w:tc>
        <w:tc>
          <w:tcPr>
            <w:tcW w:w="0" w:type="dxa"/>
            <w:vAlign w:val="center"/>
          </w:tcPr>
          <w:p w14:paraId="1D45FBE7">
            <w:pPr>
              <w:spacing w:line="240" w:lineRule="auto"/>
              <w:jc w:val="right"/>
            </w:pPr>
            <w:r>
              <w:rPr>
                <w:rFonts w:ascii="宋体" w:hAnsi="宋体" w:eastAsia="宋体" w:cs="宋体"/>
                <w:b w:val="0"/>
              </w:rPr>
              <w:t>100.00%</w:t>
            </w:r>
          </w:p>
        </w:tc>
        <w:tc>
          <w:tcPr>
            <w:tcW w:w="0" w:type="dxa"/>
            <w:vAlign w:val="center"/>
          </w:tcPr>
          <w:p w14:paraId="3F6B11EC">
            <w:pPr>
              <w:spacing w:line="240" w:lineRule="auto"/>
              <w:jc w:val="left"/>
            </w:pPr>
            <w:r>
              <w:rPr>
                <w:rFonts w:ascii="宋体" w:hAnsi="宋体" w:eastAsia="宋体" w:cs="宋体"/>
                <w:b w:val="0"/>
              </w:rPr>
              <w:t>-</w:t>
            </w:r>
          </w:p>
        </w:tc>
      </w:tr>
    </w:tbl>
    <w:p w14:paraId="4110F62E">
      <w:r>
        <w:rPr>
          <w:rFonts w:ascii="宋体" w:hAnsi="宋体" w:eastAsia="宋体" w:cs="宋体"/>
          <w:b w:val="0"/>
        </w:rPr>
        <w:t xml:space="preserve">注： </w:t>
      </w:r>
      <w:r>
        <w:rPr>
          <w:rFonts w:ascii="宋体" w:hAnsi="宋体" w:eastAsia="宋体" w:cs="宋体"/>
          <w:b w:val="0"/>
        </w:rPr>
        <w:br w:type="textWrapping"/>
      </w:r>
      <w:r>
        <w:rPr>
          <w:rFonts w:ascii="宋体" w:hAnsi="宋体" w:eastAsia="宋体" w:cs="宋体"/>
          <w:b w:val="0"/>
        </w:rPr>
        <w:t xml:space="preserve">1、本基金采用证券公司交易结算模式，可豁免单个券商的交易佣金的比例限制。本报告期内本基金与证券经纪商不存在关联方关系。 </w:t>
      </w:r>
      <w:r>
        <w:rPr>
          <w:rFonts w:ascii="宋体" w:hAnsi="宋体" w:eastAsia="宋体" w:cs="宋体"/>
          <w:b w:val="0"/>
        </w:rPr>
        <w:br w:type="textWrapping"/>
      </w:r>
      <w:r>
        <w:rPr>
          <w:rFonts w:ascii="宋体" w:hAnsi="宋体" w:eastAsia="宋体" w:cs="宋体"/>
          <w:b w:val="0"/>
        </w:rPr>
        <w:t xml:space="preserve">2、本基金管理人负责选择财务状况良好、经营行为规范、合规风控能力和交易、研究等服务能力较强的证券公司参与证券交易。证券公司的选择标准如下： </w:t>
      </w:r>
      <w:r>
        <w:rPr>
          <w:rFonts w:ascii="宋体" w:hAnsi="宋体" w:eastAsia="宋体" w:cs="宋体"/>
          <w:b w:val="0"/>
        </w:rPr>
        <w:br w:type="textWrapping"/>
      </w:r>
      <w:r>
        <w:rPr>
          <w:rFonts w:ascii="宋体" w:hAnsi="宋体" w:eastAsia="宋体" w:cs="宋体"/>
          <w:b w:val="0"/>
        </w:rPr>
        <w:t>1）经营行为稳健规范，内控制度健全，在业内有良好的声誉，遵守国家及证券监督机构各项法律法规、监管规定；</w:t>
      </w:r>
      <w:r>
        <w:rPr>
          <w:rFonts w:ascii="宋体" w:hAnsi="宋体" w:eastAsia="宋体" w:cs="宋体"/>
          <w:b w:val="0"/>
        </w:rPr>
        <w:br w:type="textWrapping"/>
      </w:r>
      <w:r>
        <w:rPr>
          <w:rFonts w:ascii="宋体" w:hAnsi="宋体" w:eastAsia="宋体" w:cs="宋体"/>
          <w:b w:val="0"/>
        </w:rPr>
        <w:t xml:space="preserve">2）具备基金运作所需的高效、安全的通讯条件，交易设施稳定、响应支持及时、能满足公募基金采用券商结算模式进行证券交易和结算的需要； </w:t>
      </w:r>
      <w:r>
        <w:rPr>
          <w:rFonts w:ascii="宋体" w:hAnsi="宋体" w:eastAsia="宋体" w:cs="宋体"/>
          <w:b w:val="0"/>
        </w:rPr>
        <w:br w:type="textWrapping"/>
      </w:r>
      <w:r>
        <w:rPr>
          <w:rFonts w:ascii="宋体" w:hAnsi="宋体" w:eastAsia="宋体" w:cs="宋体"/>
          <w:b w:val="0"/>
        </w:rPr>
        <w:t xml:space="preserve">3）具有较强的全方位金融服务能力和水平，包括但不限于：有较好的研究能力和行业分析能力，能及时、全面地向公司提供高质量的关于宏观、行业及市场走向、个股分析的报告及丰富全面的信息服务；能根据公司所管理基金的特定要求，提供专门研究报告，具有开发量化投资组合模型的能力；能积极为公司投资业务的开展，投资信息的交流以及其他方面业务的开展提供良好的服务和支持； </w:t>
      </w:r>
      <w:r>
        <w:rPr>
          <w:rFonts w:ascii="宋体" w:hAnsi="宋体" w:eastAsia="宋体" w:cs="宋体"/>
          <w:b w:val="0"/>
        </w:rPr>
        <w:br w:type="textWrapping"/>
      </w:r>
      <w:r>
        <w:rPr>
          <w:rFonts w:ascii="宋体" w:hAnsi="宋体" w:eastAsia="宋体" w:cs="宋体"/>
          <w:b w:val="0"/>
        </w:rPr>
        <w:t xml:space="preserve">4）资金划付、交收、调整、差异处理及时，且基金交易、结算、对账等数据的提供能满足券商结算模式下T+0估值的时效性要求。 </w:t>
      </w:r>
      <w:r>
        <w:rPr>
          <w:rFonts w:ascii="宋体" w:hAnsi="宋体" w:eastAsia="宋体" w:cs="宋体"/>
          <w:b w:val="0"/>
        </w:rPr>
        <w:br w:type="textWrapping"/>
      </w:r>
      <w:r>
        <w:rPr>
          <w:rFonts w:ascii="宋体" w:hAnsi="宋体" w:eastAsia="宋体" w:cs="宋体"/>
          <w:b w:val="0"/>
        </w:rPr>
        <w:t xml:space="preserve">3、基金专用交易单元的选择程序如下： </w:t>
      </w:r>
      <w:r>
        <w:rPr>
          <w:rFonts w:ascii="宋体" w:hAnsi="宋体" w:eastAsia="宋体" w:cs="宋体"/>
          <w:b w:val="0"/>
        </w:rPr>
        <w:br w:type="textWrapping"/>
      </w:r>
      <w:r>
        <w:rPr>
          <w:rFonts w:ascii="宋体" w:hAnsi="宋体" w:eastAsia="宋体" w:cs="宋体"/>
          <w:b w:val="0"/>
        </w:rPr>
        <w:t xml:space="preserve">1）选择的证券公司应符合公司规章制度的基本条件； </w:t>
      </w:r>
      <w:r>
        <w:rPr>
          <w:rFonts w:ascii="宋体" w:hAnsi="宋体" w:eastAsia="宋体" w:cs="宋体"/>
          <w:b w:val="0"/>
        </w:rPr>
        <w:br w:type="textWrapping"/>
      </w:r>
      <w:r>
        <w:rPr>
          <w:rFonts w:ascii="宋体" w:hAnsi="宋体" w:eastAsia="宋体" w:cs="宋体"/>
          <w:b w:val="0"/>
        </w:rPr>
        <w:t xml:space="preserve">2）中央交易室征求投研部门及运作保障部意见，筛选候选证券公司，并提交投委会审定； </w:t>
      </w:r>
      <w:r>
        <w:rPr>
          <w:rFonts w:ascii="宋体" w:hAnsi="宋体" w:eastAsia="宋体" w:cs="宋体"/>
          <w:b w:val="0"/>
        </w:rPr>
        <w:br w:type="textWrapping"/>
      </w:r>
      <w:r>
        <w:rPr>
          <w:rFonts w:ascii="宋体" w:hAnsi="宋体" w:eastAsia="宋体" w:cs="宋体"/>
          <w:b w:val="0"/>
        </w:rPr>
        <w:t xml:space="preserve">3）中央交易室负责与选定的证券公司签订经纪服务协议，运作保障部和监察稽核部协助对合同进行审核，确保条款严谨且符合合规要求； </w:t>
      </w:r>
      <w:r>
        <w:rPr>
          <w:rFonts w:ascii="宋体" w:hAnsi="宋体" w:eastAsia="宋体" w:cs="宋体"/>
          <w:b w:val="0"/>
        </w:rPr>
        <w:br w:type="textWrapping"/>
      </w:r>
      <w:r>
        <w:rPr>
          <w:rFonts w:ascii="宋体" w:hAnsi="宋体" w:eastAsia="宋体" w:cs="宋体"/>
          <w:b w:val="0"/>
        </w:rPr>
        <w:t xml:space="preserve">4）经纪服务协议签订后，由中央交易室与证券公司完成开户，并与运作保障部共同完成与证券公司的系统对接、参数设置等交易准备工作，确保系统稳定性和交易流程顺畅。 </w:t>
      </w:r>
      <w:r>
        <w:rPr>
          <w:rFonts w:ascii="宋体" w:hAnsi="宋体" w:eastAsia="宋体" w:cs="宋体"/>
          <w:b w:val="0"/>
        </w:rPr>
        <w:br w:type="textWrapping"/>
      </w:r>
      <w:r>
        <w:rPr>
          <w:rFonts w:ascii="宋体" w:hAnsi="宋体" w:eastAsia="宋体" w:cs="宋体"/>
          <w:b w:val="0"/>
        </w:rPr>
        <w:t>4、报告期内租用证券公司交易单元的变更情况：</w:t>
      </w:r>
      <w:r>
        <w:rPr>
          <w:rFonts w:ascii="宋体" w:hAnsi="宋体" w:eastAsia="宋体" w:cs="宋体"/>
          <w:b w:val="0"/>
        </w:rPr>
        <w:br w:type="textWrapping"/>
      </w:r>
      <w:r>
        <w:rPr>
          <w:rFonts w:ascii="宋体" w:hAnsi="宋体" w:eastAsia="宋体" w:cs="宋体"/>
          <w:b w:val="0"/>
        </w:rPr>
        <w:t>（1）本基金报告期内新增租用交易单元情况：新增东方财富证券深圳交易单元1个、上海交易单元1个、北京交易单元1个。</w:t>
      </w:r>
      <w:r>
        <w:rPr>
          <w:rFonts w:ascii="宋体" w:hAnsi="宋体" w:eastAsia="宋体" w:cs="宋体"/>
          <w:b w:val="0"/>
        </w:rPr>
        <w:br w:type="textWrapping"/>
      </w:r>
      <w:r>
        <w:rPr>
          <w:rFonts w:ascii="宋体" w:hAnsi="宋体" w:eastAsia="宋体" w:cs="宋体"/>
          <w:b w:val="0"/>
        </w:rPr>
        <w:t>（2）本基金报告期内停止租用交易单元情况：无。</w:t>
      </w:r>
    </w:p>
    <w:p w14:paraId="036B5A19"/>
    <w:p w14:paraId="23E774E1">
      <w:pPr>
        <w:pStyle w:val="58"/>
      </w:pPr>
      <w:r>
        <w:rPr>
          <w:rFonts w:ascii="宋体" w:hAnsi="宋体" w:eastAsia="宋体" w:cs="宋体"/>
          <w:b/>
        </w:rPr>
        <w:t>10.7.2 基金租用或者通过证券公司交易单元进行其他证券投资的情况</w:t>
      </w:r>
    </w:p>
    <w:p w14:paraId="4125D917">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581"/>
        <w:gridCol w:w="951"/>
        <w:gridCol w:w="1581"/>
        <w:gridCol w:w="951"/>
        <w:gridCol w:w="601"/>
        <w:gridCol w:w="835"/>
        <w:gridCol w:w="833"/>
        <w:gridCol w:w="835"/>
      </w:tblGrid>
      <w:tr w14:paraId="0893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Merge w:val="restart"/>
            <w:shd w:val="clear" w:color="auto" w:fill="D9D9D9"/>
            <w:vAlign w:val="center"/>
          </w:tcPr>
          <w:p w14:paraId="0CB69C3F">
            <w:pPr>
              <w:spacing w:line="240" w:lineRule="auto"/>
              <w:jc w:val="center"/>
            </w:pPr>
            <w:r>
              <w:rPr>
                <w:rFonts w:ascii="宋体" w:hAnsi="宋体" w:eastAsia="宋体" w:cs="宋体"/>
                <w:b w:val="0"/>
              </w:rPr>
              <w:t>券商名称</w:t>
            </w:r>
          </w:p>
        </w:tc>
        <w:tc>
          <w:tcPr>
            <w:tcW w:w="1077" w:type="pct"/>
            <w:gridSpan w:val="2"/>
            <w:shd w:val="clear" w:color="auto" w:fill="D9D9D9"/>
            <w:vAlign w:val="center"/>
          </w:tcPr>
          <w:p w14:paraId="68A53962">
            <w:pPr>
              <w:spacing w:line="240" w:lineRule="auto"/>
              <w:jc w:val="center"/>
            </w:pPr>
            <w:r>
              <w:rPr>
                <w:rFonts w:ascii="宋体" w:hAnsi="宋体" w:eastAsia="宋体" w:cs="宋体"/>
                <w:b w:val="0"/>
              </w:rPr>
              <w:t>债券交易</w:t>
            </w:r>
          </w:p>
        </w:tc>
        <w:tc>
          <w:tcPr>
            <w:tcW w:w="1077" w:type="pct"/>
            <w:gridSpan w:val="2"/>
            <w:shd w:val="clear" w:color="auto" w:fill="D9D9D9"/>
            <w:vAlign w:val="center"/>
          </w:tcPr>
          <w:p w14:paraId="54527124">
            <w:pPr>
              <w:spacing w:line="240" w:lineRule="auto"/>
              <w:jc w:val="center"/>
            </w:pPr>
            <w:r>
              <w:rPr>
                <w:rFonts w:ascii="宋体" w:hAnsi="宋体" w:eastAsia="宋体" w:cs="宋体"/>
                <w:b w:val="0"/>
              </w:rPr>
              <w:t>债券回购交易</w:t>
            </w:r>
          </w:p>
        </w:tc>
        <w:tc>
          <w:tcPr>
            <w:tcW w:w="1077" w:type="pct"/>
            <w:gridSpan w:val="2"/>
            <w:shd w:val="clear" w:color="auto" w:fill="D9D9D9"/>
            <w:vAlign w:val="center"/>
          </w:tcPr>
          <w:p w14:paraId="63E71D6F">
            <w:pPr>
              <w:spacing w:line="240" w:lineRule="auto"/>
              <w:jc w:val="center"/>
            </w:pPr>
            <w:r>
              <w:rPr>
                <w:rFonts w:ascii="宋体" w:hAnsi="宋体" w:eastAsia="宋体" w:cs="宋体"/>
                <w:b w:val="0"/>
              </w:rPr>
              <w:t>权证交易</w:t>
            </w:r>
          </w:p>
        </w:tc>
        <w:tc>
          <w:tcPr>
            <w:tcW w:w="1077" w:type="pct"/>
            <w:gridSpan w:val="2"/>
            <w:shd w:val="clear" w:color="auto" w:fill="D9D9D9"/>
            <w:vAlign w:val="center"/>
          </w:tcPr>
          <w:p w14:paraId="7A226A27">
            <w:pPr>
              <w:spacing w:line="240" w:lineRule="auto"/>
              <w:jc w:val="center"/>
            </w:pPr>
            <w:r>
              <w:rPr>
                <w:rFonts w:ascii="宋体" w:hAnsi="宋体" w:eastAsia="宋体" w:cs="宋体"/>
                <w:b w:val="0"/>
              </w:rPr>
              <w:t>基金交易</w:t>
            </w:r>
          </w:p>
        </w:tc>
      </w:tr>
      <w:tr w14:paraId="71A2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25363E3"/>
        </w:tc>
        <w:tc>
          <w:tcPr>
            <w:tcW w:w="538" w:type="pct"/>
            <w:shd w:val="clear" w:color="auto" w:fill="D9D9D9"/>
            <w:vAlign w:val="center"/>
          </w:tcPr>
          <w:p w14:paraId="349639B3">
            <w:pPr>
              <w:spacing w:line="240" w:lineRule="auto"/>
              <w:jc w:val="center"/>
            </w:pPr>
            <w:r>
              <w:rPr>
                <w:rFonts w:ascii="宋体" w:hAnsi="宋体" w:eastAsia="宋体" w:cs="宋体"/>
                <w:b w:val="0"/>
              </w:rPr>
              <w:t>成交金额</w:t>
            </w:r>
          </w:p>
        </w:tc>
        <w:tc>
          <w:tcPr>
            <w:tcW w:w="538" w:type="pct"/>
            <w:shd w:val="clear" w:color="auto" w:fill="D9D9D9"/>
            <w:vAlign w:val="center"/>
          </w:tcPr>
          <w:p w14:paraId="5BF68FEA">
            <w:pPr>
              <w:spacing w:line="240" w:lineRule="auto"/>
              <w:jc w:val="center"/>
            </w:pPr>
            <w:r>
              <w:rPr>
                <w:rFonts w:ascii="宋体" w:hAnsi="宋体" w:eastAsia="宋体" w:cs="宋体"/>
                <w:b w:val="0"/>
              </w:rPr>
              <w:t>占当期债券成交总额的比例</w:t>
            </w:r>
          </w:p>
        </w:tc>
        <w:tc>
          <w:tcPr>
            <w:tcW w:w="538" w:type="pct"/>
            <w:shd w:val="clear" w:color="auto" w:fill="D9D9D9"/>
            <w:vAlign w:val="center"/>
          </w:tcPr>
          <w:p w14:paraId="02FBA562">
            <w:pPr>
              <w:spacing w:line="240" w:lineRule="auto"/>
              <w:jc w:val="center"/>
            </w:pPr>
            <w:r>
              <w:rPr>
                <w:rFonts w:ascii="宋体" w:hAnsi="宋体" w:eastAsia="宋体" w:cs="宋体"/>
                <w:b w:val="0"/>
              </w:rPr>
              <w:t>成交金额</w:t>
            </w:r>
          </w:p>
        </w:tc>
        <w:tc>
          <w:tcPr>
            <w:tcW w:w="538" w:type="pct"/>
            <w:shd w:val="clear" w:color="auto" w:fill="D9D9D9"/>
            <w:vAlign w:val="center"/>
          </w:tcPr>
          <w:p w14:paraId="73E48E10">
            <w:pPr>
              <w:spacing w:line="240" w:lineRule="auto"/>
              <w:jc w:val="center"/>
            </w:pPr>
            <w:r>
              <w:rPr>
                <w:rFonts w:ascii="宋体" w:hAnsi="宋体" w:eastAsia="宋体" w:cs="宋体"/>
                <w:b w:val="0"/>
              </w:rPr>
              <w:t>占当期债券回购成交总额的比例</w:t>
            </w:r>
          </w:p>
        </w:tc>
        <w:tc>
          <w:tcPr>
            <w:tcW w:w="538" w:type="pct"/>
            <w:shd w:val="clear" w:color="auto" w:fill="D9D9D9"/>
            <w:vAlign w:val="center"/>
          </w:tcPr>
          <w:p w14:paraId="46FFD65E">
            <w:pPr>
              <w:spacing w:line="240" w:lineRule="auto"/>
              <w:jc w:val="center"/>
            </w:pPr>
            <w:r>
              <w:rPr>
                <w:rFonts w:ascii="宋体" w:hAnsi="宋体" w:eastAsia="宋体" w:cs="宋体"/>
                <w:b w:val="0"/>
              </w:rPr>
              <w:t>成交金额</w:t>
            </w:r>
          </w:p>
        </w:tc>
        <w:tc>
          <w:tcPr>
            <w:tcW w:w="538" w:type="pct"/>
            <w:shd w:val="clear" w:color="auto" w:fill="D9D9D9"/>
            <w:vAlign w:val="center"/>
          </w:tcPr>
          <w:p w14:paraId="7B887D6E">
            <w:pPr>
              <w:spacing w:line="240" w:lineRule="auto"/>
              <w:jc w:val="center"/>
            </w:pPr>
            <w:r>
              <w:rPr>
                <w:rFonts w:ascii="宋体" w:hAnsi="宋体" w:eastAsia="宋体" w:cs="宋体"/>
                <w:b w:val="0"/>
              </w:rPr>
              <w:t>占当期权证成交总额的比例</w:t>
            </w:r>
          </w:p>
        </w:tc>
        <w:tc>
          <w:tcPr>
            <w:tcW w:w="538" w:type="pct"/>
            <w:shd w:val="clear" w:color="auto" w:fill="D9D9D9"/>
            <w:vAlign w:val="center"/>
          </w:tcPr>
          <w:p w14:paraId="1D58A2A9">
            <w:pPr>
              <w:spacing w:line="240" w:lineRule="auto"/>
              <w:jc w:val="center"/>
            </w:pPr>
            <w:r>
              <w:rPr>
                <w:rFonts w:ascii="宋体" w:hAnsi="宋体" w:eastAsia="宋体" w:cs="宋体"/>
                <w:b w:val="0"/>
              </w:rPr>
              <w:t>成交金额</w:t>
            </w:r>
          </w:p>
        </w:tc>
        <w:tc>
          <w:tcPr>
            <w:tcW w:w="538" w:type="pct"/>
            <w:shd w:val="clear" w:color="auto" w:fill="D9D9D9"/>
            <w:vAlign w:val="center"/>
          </w:tcPr>
          <w:p w14:paraId="2AD11B9D">
            <w:pPr>
              <w:spacing w:line="240" w:lineRule="auto"/>
              <w:jc w:val="center"/>
            </w:pPr>
            <w:r>
              <w:rPr>
                <w:rFonts w:ascii="宋体" w:hAnsi="宋体" w:eastAsia="宋体" w:cs="宋体"/>
                <w:b w:val="0"/>
              </w:rPr>
              <w:t>占当期基金成交总额的比例</w:t>
            </w:r>
          </w:p>
        </w:tc>
      </w:tr>
      <w:tr w14:paraId="575C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313464F1">
            <w:pPr>
              <w:spacing w:line="240" w:lineRule="auto"/>
              <w:jc w:val="left"/>
            </w:pPr>
            <w:r>
              <w:rPr>
                <w:rFonts w:ascii="宋体" w:hAnsi="宋体" w:eastAsia="宋体" w:cs="宋体"/>
                <w:b w:val="0"/>
              </w:rPr>
              <w:t>东方财富证券</w:t>
            </w:r>
          </w:p>
        </w:tc>
        <w:tc>
          <w:tcPr>
            <w:tcW w:w="538" w:type="pct"/>
            <w:vAlign w:val="center"/>
          </w:tcPr>
          <w:p w14:paraId="0898F707">
            <w:pPr>
              <w:spacing w:line="240" w:lineRule="auto"/>
              <w:jc w:val="right"/>
            </w:pPr>
            <w:r>
              <w:rPr>
                <w:rFonts w:ascii="宋体" w:hAnsi="宋体" w:eastAsia="宋体" w:cs="宋体"/>
                <w:b w:val="0"/>
              </w:rPr>
              <w:t>10,859,999.42</w:t>
            </w:r>
          </w:p>
        </w:tc>
        <w:tc>
          <w:tcPr>
            <w:tcW w:w="538" w:type="pct"/>
            <w:vAlign w:val="center"/>
          </w:tcPr>
          <w:p w14:paraId="5370CBF6">
            <w:pPr>
              <w:spacing w:line="240" w:lineRule="auto"/>
              <w:jc w:val="right"/>
            </w:pPr>
            <w:r>
              <w:rPr>
                <w:rFonts w:ascii="宋体" w:hAnsi="宋体" w:eastAsia="宋体" w:cs="宋体"/>
                <w:b w:val="0"/>
              </w:rPr>
              <w:t>100.00%</w:t>
            </w:r>
          </w:p>
        </w:tc>
        <w:tc>
          <w:tcPr>
            <w:tcW w:w="538" w:type="pct"/>
            <w:vAlign w:val="center"/>
          </w:tcPr>
          <w:p w14:paraId="7ED2A3A4">
            <w:pPr>
              <w:spacing w:line="240" w:lineRule="auto"/>
              <w:jc w:val="right"/>
            </w:pPr>
            <w:r>
              <w:rPr>
                <w:rFonts w:ascii="宋体" w:hAnsi="宋体" w:eastAsia="宋体" w:cs="宋体"/>
                <w:b w:val="0"/>
              </w:rPr>
              <w:t>35,930,000.00</w:t>
            </w:r>
          </w:p>
        </w:tc>
        <w:tc>
          <w:tcPr>
            <w:tcW w:w="538" w:type="pct"/>
            <w:vAlign w:val="center"/>
          </w:tcPr>
          <w:p w14:paraId="01E26031">
            <w:pPr>
              <w:spacing w:line="240" w:lineRule="auto"/>
              <w:jc w:val="right"/>
            </w:pPr>
            <w:r>
              <w:rPr>
                <w:rFonts w:ascii="宋体" w:hAnsi="宋体" w:eastAsia="宋体" w:cs="宋体"/>
                <w:b w:val="0"/>
              </w:rPr>
              <w:t>100.00%</w:t>
            </w:r>
          </w:p>
        </w:tc>
        <w:tc>
          <w:tcPr>
            <w:tcW w:w="538" w:type="pct"/>
            <w:vAlign w:val="center"/>
          </w:tcPr>
          <w:p w14:paraId="02C25E5F">
            <w:pPr>
              <w:spacing w:line="240" w:lineRule="auto"/>
              <w:jc w:val="right"/>
            </w:pPr>
            <w:r>
              <w:rPr>
                <w:rFonts w:ascii="宋体" w:hAnsi="宋体" w:eastAsia="宋体" w:cs="宋体"/>
                <w:b w:val="0"/>
              </w:rPr>
              <w:t>-</w:t>
            </w:r>
          </w:p>
        </w:tc>
        <w:tc>
          <w:tcPr>
            <w:tcW w:w="538" w:type="pct"/>
            <w:vAlign w:val="center"/>
          </w:tcPr>
          <w:p w14:paraId="41A4BBD1">
            <w:pPr>
              <w:spacing w:line="240" w:lineRule="auto"/>
              <w:jc w:val="right"/>
            </w:pPr>
            <w:r>
              <w:rPr>
                <w:rFonts w:ascii="宋体" w:hAnsi="宋体" w:eastAsia="宋体" w:cs="宋体"/>
                <w:b w:val="0"/>
              </w:rPr>
              <w:t>-</w:t>
            </w:r>
          </w:p>
        </w:tc>
        <w:tc>
          <w:tcPr>
            <w:tcW w:w="538" w:type="pct"/>
            <w:vAlign w:val="center"/>
          </w:tcPr>
          <w:p w14:paraId="728D37BB">
            <w:pPr>
              <w:spacing w:line="240" w:lineRule="auto"/>
              <w:jc w:val="right"/>
            </w:pPr>
            <w:r>
              <w:rPr>
                <w:rFonts w:ascii="宋体" w:hAnsi="宋体" w:eastAsia="宋体" w:cs="宋体"/>
                <w:b w:val="0"/>
              </w:rPr>
              <w:t>-</w:t>
            </w:r>
          </w:p>
        </w:tc>
        <w:tc>
          <w:tcPr>
            <w:tcW w:w="538" w:type="pct"/>
            <w:vAlign w:val="center"/>
          </w:tcPr>
          <w:p w14:paraId="20CAB902">
            <w:pPr>
              <w:spacing w:line="240" w:lineRule="auto"/>
              <w:jc w:val="right"/>
            </w:pPr>
            <w:r>
              <w:rPr>
                <w:rFonts w:ascii="宋体" w:hAnsi="宋体" w:eastAsia="宋体" w:cs="宋体"/>
                <w:b w:val="0"/>
              </w:rPr>
              <w:t>-</w:t>
            </w:r>
          </w:p>
        </w:tc>
      </w:tr>
    </w:tbl>
    <w:p w14:paraId="39B44E55"/>
    <w:p w14:paraId="51E64C15">
      <w:pPr>
        <w:pStyle w:val="3"/>
        <w:jc w:val="left"/>
      </w:pPr>
      <w:bookmarkStart w:id="58" w:name="_Toc7680"/>
      <w:r>
        <w:rPr>
          <w:rFonts w:ascii="宋体" w:hAnsi="宋体" w:eastAsia="宋体" w:cs="宋体"/>
        </w:rPr>
        <w:t>10.8 其他重大事件</w:t>
      </w:r>
      <w:bookmarkEnd w:id="5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429"/>
        <w:gridCol w:w="2000"/>
        <w:gridCol w:w="1715"/>
      </w:tblGrid>
      <w:tr w14:paraId="68F8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481B6BFC">
            <w:pPr>
              <w:spacing w:line="240" w:lineRule="auto"/>
              <w:jc w:val="center"/>
            </w:pPr>
            <w:r>
              <w:rPr>
                <w:rFonts w:ascii="宋体" w:hAnsi="宋体" w:eastAsia="宋体" w:cs="宋体"/>
                <w:b w:val="0"/>
              </w:rPr>
              <w:t>序号</w:t>
            </w:r>
          </w:p>
        </w:tc>
        <w:tc>
          <w:tcPr>
            <w:tcW w:w="2385" w:type="pct"/>
            <w:shd w:val="clear" w:color="auto" w:fill="D9D9D9"/>
            <w:vAlign w:val="center"/>
          </w:tcPr>
          <w:p w14:paraId="4A49451A">
            <w:pPr>
              <w:spacing w:line="240" w:lineRule="auto"/>
              <w:jc w:val="center"/>
            </w:pPr>
            <w:r>
              <w:rPr>
                <w:rFonts w:ascii="宋体" w:hAnsi="宋体" w:eastAsia="宋体" w:cs="宋体"/>
                <w:b w:val="0"/>
              </w:rPr>
              <w:t>公告事项</w:t>
            </w:r>
          </w:p>
        </w:tc>
        <w:tc>
          <w:tcPr>
            <w:tcW w:w="1077" w:type="pct"/>
            <w:shd w:val="clear" w:color="auto" w:fill="D9D9D9"/>
            <w:vAlign w:val="center"/>
          </w:tcPr>
          <w:p w14:paraId="68FECC89">
            <w:pPr>
              <w:spacing w:line="240" w:lineRule="auto"/>
              <w:jc w:val="center"/>
            </w:pPr>
            <w:r>
              <w:rPr>
                <w:rFonts w:ascii="宋体" w:hAnsi="宋体" w:eastAsia="宋体" w:cs="宋体"/>
                <w:b w:val="0"/>
              </w:rPr>
              <w:t>法定披露方式</w:t>
            </w:r>
          </w:p>
        </w:tc>
        <w:tc>
          <w:tcPr>
            <w:tcW w:w="923" w:type="pct"/>
            <w:shd w:val="clear" w:color="auto" w:fill="D9D9D9"/>
            <w:vAlign w:val="center"/>
          </w:tcPr>
          <w:p w14:paraId="0A0B81B6">
            <w:pPr>
              <w:spacing w:line="240" w:lineRule="auto"/>
              <w:jc w:val="center"/>
            </w:pPr>
            <w:r>
              <w:rPr>
                <w:rFonts w:ascii="宋体" w:hAnsi="宋体" w:eastAsia="宋体" w:cs="宋体"/>
                <w:b w:val="0"/>
              </w:rPr>
              <w:t>法定披露日期</w:t>
            </w:r>
          </w:p>
        </w:tc>
      </w:tr>
      <w:tr w14:paraId="7F7B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F89240">
            <w:pPr>
              <w:spacing w:line="240" w:lineRule="auto"/>
              <w:jc w:val="center"/>
            </w:pPr>
            <w:r>
              <w:rPr>
                <w:rFonts w:ascii="宋体" w:hAnsi="宋体" w:eastAsia="宋体" w:cs="宋体"/>
                <w:b w:val="0"/>
              </w:rPr>
              <w:t>1</w:t>
            </w:r>
          </w:p>
        </w:tc>
        <w:tc>
          <w:tcPr>
            <w:tcW w:w="0" w:type="dxa"/>
            <w:vAlign w:val="center"/>
          </w:tcPr>
          <w:p w14:paraId="6A7C0FB2">
            <w:pPr>
              <w:spacing w:line="240" w:lineRule="auto"/>
              <w:jc w:val="left"/>
            </w:pPr>
            <w:r>
              <w:rPr>
                <w:rFonts w:ascii="宋体" w:hAnsi="宋体" w:eastAsia="宋体" w:cs="宋体"/>
                <w:b w:val="0"/>
              </w:rPr>
              <w:t>东方阿尔法增利债券型发起式证券投资基金基金合同</w:t>
            </w:r>
          </w:p>
        </w:tc>
        <w:tc>
          <w:tcPr>
            <w:tcW w:w="0" w:type="dxa"/>
            <w:vAlign w:val="center"/>
          </w:tcPr>
          <w:p w14:paraId="2B81A5D9">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7134244E">
            <w:pPr>
              <w:spacing w:line="240" w:lineRule="auto"/>
              <w:jc w:val="center"/>
            </w:pPr>
            <w:r>
              <w:rPr>
                <w:rFonts w:ascii="宋体" w:hAnsi="宋体" w:eastAsia="宋体" w:cs="宋体"/>
                <w:b w:val="0"/>
              </w:rPr>
              <w:t>2026-05-26</w:t>
            </w:r>
          </w:p>
        </w:tc>
      </w:tr>
      <w:tr w14:paraId="4413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53F660">
            <w:pPr>
              <w:spacing w:line="240" w:lineRule="auto"/>
              <w:jc w:val="center"/>
            </w:pPr>
            <w:r>
              <w:rPr>
                <w:rFonts w:ascii="宋体" w:hAnsi="宋体" w:eastAsia="宋体" w:cs="宋体"/>
                <w:b w:val="0"/>
              </w:rPr>
              <w:t>2</w:t>
            </w:r>
          </w:p>
        </w:tc>
        <w:tc>
          <w:tcPr>
            <w:tcW w:w="0" w:type="dxa"/>
            <w:vAlign w:val="center"/>
          </w:tcPr>
          <w:p w14:paraId="283B5A76">
            <w:pPr>
              <w:spacing w:line="240" w:lineRule="auto"/>
              <w:jc w:val="left"/>
            </w:pPr>
            <w:r>
              <w:rPr>
                <w:rFonts w:ascii="宋体" w:hAnsi="宋体" w:eastAsia="宋体" w:cs="宋体"/>
                <w:b w:val="0"/>
              </w:rPr>
              <w:t>东方阿尔法增利债券型发起式证券投资基金托管协议</w:t>
            </w:r>
          </w:p>
        </w:tc>
        <w:tc>
          <w:tcPr>
            <w:tcW w:w="0" w:type="dxa"/>
            <w:vAlign w:val="center"/>
          </w:tcPr>
          <w:p w14:paraId="681BD180">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6980D87">
            <w:pPr>
              <w:spacing w:line="240" w:lineRule="auto"/>
              <w:jc w:val="center"/>
            </w:pPr>
            <w:r>
              <w:rPr>
                <w:rFonts w:ascii="宋体" w:hAnsi="宋体" w:eastAsia="宋体" w:cs="宋体"/>
                <w:b w:val="0"/>
              </w:rPr>
              <w:t>2026-05-26</w:t>
            </w:r>
          </w:p>
        </w:tc>
      </w:tr>
      <w:tr w14:paraId="377A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811D36">
            <w:pPr>
              <w:spacing w:line="240" w:lineRule="auto"/>
              <w:jc w:val="center"/>
            </w:pPr>
            <w:r>
              <w:rPr>
                <w:rFonts w:ascii="宋体" w:hAnsi="宋体" w:eastAsia="宋体" w:cs="宋体"/>
                <w:b w:val="0"/>
              </w:rPr>
              <w:t>3</w:t>
            </w:r>
          </w:p>
        </w:tc>
        <w:tc>
          <w:tcPr>
            <w:tcW w:w="0" w:type="dxa"/>
            <w:vAlign w:val="center"/>
          </w:tcPr>
          <w:p w14:paraId="13C0D209">
            <w:pPr>
              <w:spacing w:line="240" w:lineRule="auto"/>
              <w:jc w:val="left"/>
            </w:pPr>
            <w:r>
              <w:rPr>
                <w:rFonts w:ascii="宋体" w:hAnsi="宋体" w:eastAsia="宋体" w:cs="宋体"/>
                <w:b w:val="0"/>
              </w:rPr>
              <w:t>东方阿尔法增利债券型发起式证券投资基金招募说明书</w:t>
            </w:r>
          </w:p>
        </w:tc>
        <w:tc>
          <w:tcPr>
            <w:tcW w:w="0" w:type="dxa"/>
            <w:vAlign w:val="center"/>
          </w:tcPr>
          <w:p w14:paraId="304440BF">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7A77D166">
            <w:pPr>
              <w:spacing w:line="240" w:lineRule="auto"/>
              <w:jc w:val="center"/>
            </w:pPr>
            <w:r>
              <w:rPr>
                <w:rFonts w:ascii="宋体" w:hAnsi="宋体" w:eastAsia="宋体" w:cs="宋体"/>
                <w:b w:val="0"/>
              </w:rPr>
              <w:t>2026-05-26</w:t>
            </w:r>
          </w:p>
        </w:tc>
      </w:tr>
      <w:tr w14:paraId="46D3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3B471E">
            <w:pPr>
              <w:spacing w:line="240" w:lineRule="auto"/>
              <w:jc w:val="center"/>
            </w:pPr>
            <w:r>
              <w:rPr>
                <w:rFonts w:ascii="宋体" w:hAnsi="宋体" w:eastAsia="宋体" w:cs="宋体"/>
                <w:b w:val="0"/>
              </w:rPr>
              <w:t>4</w:t>
            </w:r>
          </w:p>
        </w:tc>
        <w:tc>
          <w:tcPr>
            <w:tcW w:w="0" w:type="dxa"/>
            <w:vAlign w:val="center"/>
          </w:tcPr>
          <w:p w14:paraId="531E0F43">
            <w:pPr>
              <w:spacing w:line="240" w:lineRule="auto"/>
              <w:jc w:val="left"/>
            </w:pPr>
            <w:r>
              <w:rPr>
                <w:rFonts w:ascii="宋体" w:hAnsi="宋体" w:eastAsia="宋体" w:cs="宋体"/>
                <w:b w:val="0"/>
              </w:rPr>
              <w:t>东方阿尔法增利债券型发起式证券投资基金基金产品资料概要（A类份额/C类份额）</w:t>
            </w:r>
          </w:p>
        </w:tc>
        <w:tc>
          <w:tcPr>
            <w:tcW w:w="0" w:type="dxa"/>
            <w:vAlign w:val="center"/>
          </w:tcPr>
          <w:p w14:paraId="488581B3">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A8B8B6D">
            <w:pPr>
              <w:spacing w:line="240" w:lineRule="auto"/>
              <w:jc w:val="center"/>
            </w:pPr>
            <w:r>
              <w:rPr>
                <w:rFonts w:ascii="宋体" w:hAnsi="宋体" w:eastAsia="宋体" w:cs="宋体"/>
                <w:b w:val="0"/>
              </w:rPr>
              <w:t>2026-05-26</w:t>
            </w:r>
          </w:p>
        </w:tc>
      </w:tr>
      <w:tr w14:paraId="7783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165AE1">
            <w:pPr>
              <w:spacing w:line="240" w:lineRule="auto"/>
              <w:jc w:val="center"/>
            </w:pPr>
            <w:r>
              <w:rPr>
                <w:rFonts w:ascii="宋体" w:hAnsi="宋体" w:eastAsia="宋体" w:cs="宋体"/>
                <w:b w:val="0"/>
              </w:rPr>
              <w:t>5</w:t>
            </w:r>
          </w:p>
        </w:tc>
        <w:tc>
          <w:tcPr>
            <w:tcW w:w="0" w:type="dxa"/>
            <w:vAlign w:val="center"/>
          </w:tcPr>
          <w:p w14:paraId="4D5453E2">
            <w:pPr>
              <w:spacing w:line="240" w:lineRule="auto"/>
              <w:jc w:val="left"/>
            </w:pPr>
            <w:r>
              <w:rPr>
                <w:rFonts w:ascii="宋体" w:hAnsi="宋体" w:eastAsia="宋体" w:cs="宋体"/>
                <w:b w:val="0"/>
              </w:rPr>
              <w:t>东方阿尔法增利债券型发起式证券投资基金基金合同及招募说明书提示性公告</w:t>
            </w:r>
          </w:p>
        </w:tc>
        <w:tc>
          <w:tcPr>
            <w:tcW w:w="0" w:type="dxa"/>
            <w:vAlign w:val="center"/>
          </w:tcPr>
          <w:p w14:paraId="46704CCC">
            <w:pPr>
              <w:spacing w:line="240" w:lineRule="auto"/>
              <w:jc w:val="left"/>
            </w:pPr>
            <w:r>
              <w:rPr>
                <w:rFonts w:ascii="宋体" w:hAnsi="宋体" w:eastAsia="宋体" w:cs="宋体"/>
                <w:b w:val="0"/>
              </w:rPr>
              <w:t>中国证监会规定报刊</w:t>
            </w:r>
          </w:p>
        </w:tc>
        <w:tc>
          <w:tcPr>
            <w:tcW w:w="0" w:type="dxa"/>
            <w:vAlign w:val="center"/>
          </w:tcPr>
          <w:p w14:paraId="5AEF6E56">
            <w:pPr>
              <w:spacing w:line="240" w:lineRule="auto"/>
              <w:jc w:val="center"/>
            </w:pPr>
            <w:r>
              <w:rPr>
                <w:rFonts w:ascii="宋体" w:hAnsi="宋体" w:eastAsia="宋体" w:cs="宋体"/>
                <w:b w:val="0"/>
              </w:rPr>
              <w:t>2026-05-26</w:t>
            </w:r>
          </w:p>
        </w:tc>
      </w:tr>
      <w:tr w14:paraId="18D8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58716E">
            <w:pPr>
              <w:spacing w:line="240" w:lineRule="auto"/>
              <w:jc w:val="center"/>
            </w:pPr>
            <w:r>
              <w:rPr>
                <w:rFonts w:ascii="宋体" w:hAnsi="宋体" w:eastAsia="宋体" w:cs="宋体"/>
                <w:b w:val="0"/>
              </w:rPr>
              <w:t>6</w:t>
            </w:r>
          </w:p>
        </w:tc>
        <w:tc>
          <w:tcPr>
            <w:tcW w:w="0" w:type="dxa"/>
            <w:vAlign w:val="center"/>
          </w:tcPr>
          <w:p w14:paraId="1D0883C2">
            <w:pPr>
              <w:spacing w:line="240" w:lineRule="auto"/>
              <w:jc w:val="left"/>
            </w:pPr>
            <w:r>
              <w:rPr>
                <w:rFonts w:ascii="宋体" w:hAnsi="宋体" w:eastAsia="宋体" w:cs="宋体"/>
                <w:b w:val="0"/>
              </w:rPr>
              <w:t>东方阿尔法增利债券型发起式证券投资基金基金份额发售公告</w:t>
            </w:r>
          </w:p>
        </w:tc>
        <w:tc>
          <w:tcPr>
            <w:tcW w:w="0" w:type="dxa"/>
            <w:vAlign w:val="center"/>
          </w:tcPr>
          <w:p w14:paraId="70E656E9">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072F6E21">
            <w:pPr>
              <w:spacing w:line="240" w:lineRule="auto"/>
              <w:jc w:val="center"/>
            </w:pPr>
            <w:r>
              <w:rPr>
                <w:rFonts w:ascii="宋体" w:hAnsi="宋体" w:eastAsia="宋体" w:cs="宋体"/>
                <w:b w:val="0"/>
              </w:rPr>
              <w:t>2026-05-26</w:t>
            </w:r>
          </w:p>
        </w:tc>
      </w:tr>
      <w:tr w14:paraId="6458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DD0CD0">
            <w:pPr>
              <w:spacing w:line="240" w:lineRule="auto"/>
              <w:jc w:val="center"/>
            </w:pPr>
            <w:r>
              <w:rPr>
                <w:rFonts w:ascii="宋体" w:hAnsi="宋体" w:eastAsia="宋体" w:cs="宋体"/>
                <w:b w:val="0"/>
              </w:rPr>
              <w:t>7</w:t>
            </w:r>
          </w:p>
        </w:tc>
        <w:tc>
          <w:tcPr>
            <w:tcW w:w="0" w:type="dxa"/>
            <w:vAlign w:val="center"/>
          </w:tcPr>
          <w:p w14:paraId="5D09B027">
            <w:pPr>
              <w:spacing w:line="240" w:lineRule="auto"/>
              <w:jc w:val="left"/>
            </w:pPr>
            <w:r>
              <w:rPr>
                <w:rFonts w:ascii="宋体" w:hAnsi="宋体" w:eastAsia="宋体" w:cs="宋体"/>
                <w:b w:val="0"/>
              </w:rPr>
              <w:t>东方阿尔法增利债券型发起式证券投资基金基金合同生效公告</w:t>
            </w:r>
          </w:p>
        </w:tc>
        <w:tc>
          <w:tcPr>
            <w:tcW w:w="0" w:type="dxa"/>
            <w:vAlign w:val="center"/>
          </w:tcPr>
          <w:p w14:paraId="33A73DC6">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7E80817B">
            <w:pPr>
              <w:spacing w:line="240" w:lineRule="auto"/>
              <w:jc w:val="center"/>
            </w:pPr>
            <w:r>
              <w:rPr>
                <w:rFonts w:ascii="宋体" w:hAnsi="宋体" w:eastAsia="宋体" w:cs="宋体"/>
                <w:b w:val="0"/>
              </w:rPr>
              <w:t>2026-06-03</w:t>
            </w:r>
          </w:p>
        </w:tc>
      </w:tr>
      <w:tr w14:paraId="1940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B28E70">
            <w:pPr>
              <w:spacing w:line="240" w:lineRule="auto"/>
              <w:jc w:val="center"/>
            </w:pPr>
            <w:r>
              <w:rPr>
                <w:rFonts w:ascii="宋体" w:hAnsi="宋体" w:eastAsia="宋体" w:cs="宋体"/>
                <w:b w:val="0"/>
              </w:rPr>
              <w:t>8</w:t>
            </w:r>
          </w:p>
        </w:tc>
        <w:tc>
          <w:tcPr>
            <w:tcW w:w="0" w:type="dxa"/>
            <w:vAlign w:val="center"/>
          </w:tcPr>
          <w:p w14:paraId="038B3C55">
            <w:pPr>
              <w:spacing w:line="240" w:lineRule="auto"/>
              <w:jc w:val="left"/>
            </w:pPr>
            <w:r>
              <w:rPr>
                <w:rFonts w:ascii="宋体" w:hAnsi="宋体" w:eastAsia="宋体" w:cs="宋体"/>
                <w:b w:val="0"/>
              </w:rPr>
              <w:t>东方阿尔法增利债券型发起式证券投资基金开放日常申购、赎回、定期定额投资及转换业务的公告</w:t>
            </w:r>
          </w:p>
        </w:tc>
        <w:tc>
          <w:tcPr>
            <w:tcW w:w="0" w:type="dxa"/>
            <w:vAlign w:val="center"/>
          </w:tcPr>
          <w:p w14:paraId="107CAB61">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6617D5AA">
            <w:pPr>
              <w:spacing w:line="240" w:lineRule="auto"/>
              <w:jc w:val="center"/>
            </w:pPr>
            <w:r>
              <w:rPr>
                <w:rFonts w:ascii="宋体" w:hAnsi="宋体" w:eastAsia="宋体" w:cs="宋体"/>
                <w:b w:val="0"/>
              </w:rPr>
              <w:t>2026-06-05</w:t>
            </w:r>
          </w:p>
        </w:tc>
      </w:tr>
    </w:tbl>
    <w:p w14:paraId="0A40BF65">
      <w:pPr>
        <w:pStyle w:val="2"/>
        <w:jc w:val="center"/>
      </w:pPr>
      <w:bookmarkStart w:id="59" w:name="_Toc12731"/>
      <w:r>
        <w:rPr>
          <w:rFonts w:ascii="宋体" w:hAnsi="宋体" w:eastAsia="宋体" w:cs="宋体"/>
        </w:rPr>
        <w:t>§11 影响投资者决策的其他重要信息</w:t>
      </w:r>
      <w:bookmarkEnd w:id="59"/>
    </w:p>
    <w:p w14:paraId="243AE51F">
      <w:pPr>
        <w:pStyle w:val="3"/>
        <w:jc w:val="left"/>
      </w:pPr>
      <w:bookmarkStart w:id="60" w:name="_Toc5992"/>
      <w:r>
        <w:rPr>
          <w:rFonts w:ascii="宋体" w:hAnsi="宋体" w:eastAsia="宋体" w:cs="宋体"/>
        </w:rPr>
        <w:t>11.1 报告期内单一投资者持有基金份额比例达到或超过20%的情况</w:t>
      </w:r>
      <w:bookmarkEnd w:id="6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2425"/>
        <w:gridCol w:w="1476"/>
        <w:gridCol w:w="1067"/>
        <w:gridCol w:w="1067"/>
        <w:gridCol w:w="1476"/>
        <w:gridCol w:w="923"/>
      </w:tblGrid>
      <w:tr w14:paraId="060D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 w:type="pct"/>
            <w:vMerge w:val="restart"/>
            <w:shd w:val="clear" w:color="auto" w:fill="D9D9D9"/>
            <w:vAlign w:val="center"/>
          </w:tcPr>
          <w:p w14:paraId="5DE13433">
            <w:pPr>
              <w:spacing w:line="240" w:lineRule="auto"/>
              <w:jc w:val="center"/>
            </w:pPr>
            <w:r>
              <w:rPr>
                <w:rFonts w:ascii="宋体" w:hAnsi="宋体" w:eastAsia="宋体" w:cs="宋体"/>
                <w:b w:val="0"/>
              </w:rPr>
              <w:t>投资者类别</w:t>
            </w:r>
          </w:p>
        </w:tc>
        <w:tc>
          <w:tcPr>
            <w:tcW w:w="3192" w:type="pct"/>
            <w:gridSpan w:val="5"/>
            <w:shd w:val="clear" w:color="auto" w:fill="D9D9D9"/>
            <w:vAlign w:val="center"/>
          </w:tcPr>
          <w:p w14:paraId="1F38AA3E">
            <w:pPr>
              <w:spacing w:line="240" w:lineRule="auto"/>
              <w:jc w:val="center"/>
            </w:pPr>
            <w:r>
              <w:rPr>
                <w:rFonts w:ascii="宋体" w:hAnsi="宋体" w:eastAsia="宋体" w:cs="宋体"/>
                <w:b w:val="0"/>
              </w:rPr>
              <w:t>报告期内持有基金份额变化情况</w:t>
            </w:r>
          </w:p>
        </w:tc>
        <w:tc>
          <w:tcPr>
            <w:tcW w:w="1154" w:type="pct"/>
            <w:gridSpan w:val="2"/>
            <w:shd w:val="clear" w:color="auto" w:fill="D9D9D9"/>
            <w:vAlign w:val="center"/>
          </w:tcPr>
          <w:p w14:paraId="4A3624F1">
            <w:pPr>
              <w:spacing w:line="240" w:lineRule="auto"/>
              <w:jc w:val="center"/>
            </w:pPr>
            <w:r>
              <w:rPr>
                <w:rFonts w:ascii="宋体" w:hAnsi="宋体" w:eastAsia="宋体" w:cs="宋体"/>
                <w:b w:val="0"/>
              </w:rPr>
              <w:t>报告期末持有基金情况</w:t>
            </w:r>
          </w:p>
        </w:tc>
      </w:tr>
      <w:tr w14:paraId="6994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C5B5F92"/>
        </w:tc>
        <w:tc>
          <w:tcPr>
            <w:tcW w:w="269" w:type="pct"/>
            <w:shd w:val="clear" w:color="auto" w:fill="D9D9D9"/>
            <w:vAlign w:val="center"/>
          </w:tcPr>
          <w:p w14:paraId="73A633D7">
            <w:pPr>
              <w:spacing w:line="240" w:lineRule="auto"/>
              <w:jc w:val="center"/>
            </w:pPr>
            <w:r>
              <w:rPr>
                <w:rFonts w:ascii="宋体" w:hAnsi="宋体" w:eastAsia="宋体" w:cs="宋体"/>
                <w:b w:val="0"/>
              </w:rPr>
              <w:t>序号</w:t>
            </w:r>
          </w:p>
        </w:tc>
        <w:tc>
          <w:tcPr>
            <w:tcW w:w="1346" w:type="pct"/>
            <w:shd w:val="clear" w:color="auto" w:fill="D9D9D9"/>
            <w:vAlign w:val="center"/>
          </w:tcPr>
          <w:p w14:paraId="6D5FBA60">
            <w:pPr>
              <w:spacing w:line="240" w:lineRule="auto"/>
              <w:jc w:val="center"/>
            </w:pPr>
            <w:r>
              <w:rPr>
                <w:rFonts w:ascii="宋体" w:hAnsi="宋体" w:eastAsia="宋体" w:cs="宋体"/>
                <w:b w:val="0"/>
              </w:rPr>
              <w:t>持有基金份额比例达到或者超过20%的时间区间</w:t>
            </w:r>
          </w:p>
        </w:tc>
        <w:tc>
          <w:tcPr>
            <w:tcW w:w="615" w:type="pct"/>
            <w:shd w:val="clear" w:color="auto" w:fill="D9D9D9"/>
            <w:vAlign w:val="center"/>
          </w:tcPr>
          <w:p w14:paraId="008C7C7F">
            <w:pPr>
              <w:spacing w:line="240" w:lineRule="auto"/>
              <w:jc w:val="center"/>
            </w:pPr>
            <w:r>
              <w:rPr>
                <w:rFonts w:ascii="宋体" w:hAnsi="宋体" w:eastAsia="宋体" w:cs="宋体"/>
                <w:b w:val="0"/>
              </w:rPr>
              <w:t>期初份额</w:t>
            </w:r>
          </w:p>
        </w:tc>
        <w:tc>
          <w:tcPr>
            <w:tcW w:w="615" w:type="pct"/>
            <w:shd w:val="clear" w:color="auto" w:fill="D9D9D9"/>
            <w:vAlign w:val="center"/>
          </w:tcPr>
          <w:p w14:paraId="0FFFCCDB">
            <w:pPr>
              <w:spacing w:line="240" w:lineRule="auto"/>
              <w:jc w:val="center"/>
            </w:pPr>
            <w:r>
              <w:rPr>
                <w:rFonts w:ascii="宋体" w:hAnsi="宋体" w:eastAsia="宋体" w:cs="宋体"/>
                <w:b w:val="0"/>
              </w:rPr>
              <w:t>申购份额</w:t>
            </w:r>
          </w:p>
        </w:tc>
        <w:tc>
          <w:tcPr>
            <w:tcW w:w="615" w:type="pct"/>
            <w:shd w:val="clear" w:color="auto" w:fill="D9D9D9"/>
            <w:vAlign w:val="center"/>
          </w:tcPr>
          <w:p w14:paraId="146795EF">
            <w:pPr>
              <w:spacing w:line="240" w:lineRule="auto"/>
              <w:jc w:val="center"/>
            </w:pPr>
            <w:r>
              <w:rPr>
                <w:rFonts w:ascii="宋体" w:hAnsi="宋体" w:eastAsia="宋体" w:cs="宋体"/>
                <w:b w:val="0"/>
              </w:rPr>
              <w:t>赎回份额</w:t>
            </w:r>
          </w:p>
        </w:tc>
        <w:tc>
          <w:tcPr>
            <w:tcW w:w="615" w:type="pct"/>
            <w:shd w:val="clear" w:color="auto" w:fill="D9D9D9"/>
            <w:vAlign w:val="center"/>
          </w:tcPr>
          <w:p w14:paraId="7BC36182">
            <w:pPr>
              <w:spacing w:line="240" w:lineRule="auto"/>
              <w:jc w:val="center"/>
            </w:pPr>
            <w:r>
              <w:rPr>
                <w:rFonts w:ascii="宋体" w:hAnsi="宋体" w:eastAsia="宋体" w:cs="宋体"/>
                <w:b w:val="0"/>
              </w:rPr>
              <w:t>持有份额</w:t>
            </w:r>
          </w:p>
        </w:tc>
        <w:tc>
          <w:tcPr>
            <w:tcW w:w="538" w:type="pct"/>
            <w:shd w:val="clear" w:color="auto" w:fill="D9D9D9"/>
            <w:vAlign w:val="center"/>
          </w:tcPr>
          <w:p w14:paraId="79820E5E">
            <w:pPr>
              <w:spacing w:line="240" w:lineRule="auto"/>
              <w:jc w:val="center"/>
            </w:pPr>
            <w:r>
              <w:rPr>
                <w:rFonts w:ascii="宋体" w:hAnsi="宋体" w:eastAsia="宋体" w:cs="宋体"/>
                <w:b w:val="0"/>
              </w:rPr>
              <w:t>份额占比</w:t>
            </w:r>
          </w:p>
        </w:tc>
      </w:tr>
      <w:tr w14:paraId="099E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DE69BB">
            <w:pPr>
              <w:spacing w:line="240" w:lineRule="auto"/>
              <w:jc w:val="center"/>
            </w:pPr>
            <w:r>
              <w:rPr>
                <w:rFonts w:ascii="宋体" w:hAnsi="宋体" w:eastAsia="宋体" w:cs="宋体"/>
                <w:b w:val="0"/>
              </w:rPr>
              <w:t>机构</w:t>
            </w:r>
          </w:p>
        </w:tc>
        <w:tc>
          <w:tcPr>
            <w:tcW w:w="0" w:type="dxa"/>
            <w:vAlign w:val="center"/>
          </w:tcPr>
          <w:p w14:paraId="60B54026">
            <w:pPr>
              <w:spacing w:line="240" w:lineRule="auto"/>
              <w:jc w:val="center"/>
            </w:pPr>
            <w:r>
              <w:rPr>
                <w:rFonts w:ascii="宋体" w:hAnsi="宋体" w:eastAsia="宋体" w:cs="宋体"/>
                <w:b w:val="0"/>
              </w:rPr>
              <w:t>1</w:t>
            </w:r>
          </w:p>
        </w:tc>
        <w:tc>
          <w:tcPr>
            <w:tcW w:w="0" w:type="dxa"/>
            <w:vAlign w:val="center"/>
          </w:tcPr>
          <w:p w14:paraId="67F18CF3">
            <w:pPr>
              <w:spacing w:line="240" w:lineRule="auto"/>
              <w:jc w:val="center"/>
            </w:pPr>
            <w:r>
              <w:rPr>
                <w:rFonts w:ascii="宋体" w:hAnsi="宋体" w:eastAsia="宋体" w:cs="宋体"/>
                <w:b w:val="0"/>
              </w:rPr>
              <w:t>2026年06月02日-2026年06月30日</w:t>
            </w:r>
          </w:p>
        </w:tc>
        <w:tc>
          <w:tcPr>
            <w:tcW w:w="0" w:type="dxa"/>
            <w:vAlign w:val="center"/>
          </w:tcPr>
          <w:p w14:paraId="5C140118">
            <w:pPr>
              <w:spacing w:line="240" w:lineRule="auto"/>
              <w:jc w:val="right"/>
            </w:pPr>
            <w:r>
              <w:rPr>
                <w:rFonts w:ascii="宋体" w:hAnsi="宋体" w:eastAsia="宋体" w:cs="宋体"/>
                <w:b w:val="0"/>
              </w:rPr>
              <w:t>5,000,194.44</w:t>
            </w:r>
          </w:p>
        </w:tc>
        <w:tc>
          <w:tcPr>
            <w:tcW w:w="0" w:type="dxa"/>
            <w:vAlign w:val="center"/>
          </w:tcPr>
          <w:p w14:paraId="0A4D3C00">
            <w:pPr>
              <w:spacing w:line="240" w:lineRule="auto"/>
              <w:jc w:val="right"/>
            </w:pPr>
            <w:r>
              <w:rPr>
                <w:rFonts w:ascii="宋体" w:hAnsi="宋体" w:eastAsia="宋体" w:cs="宋体"/>
                <w:b w:val="0"/>
              </w:rPr>
              <w:t>-</w:t>
            </w:r>
          </w:p>
        </w:tc>
        <w:tc>
          <w:tcPr>
            <w:tcW w:w="0" w:type="dxa"/>
            <w:vAlign w:val="center"/>
          </w:tcPr>
          <w:p w14:paraId="2043239B">
            <w:pPr>
              <w:spacing w:line="240" w:lineRule="auto"/>
              <w:jc w:val="right"/>
            </w:pPr>
            <w:r>
              <w:rPr>
                <w:rFonts w:ascii="宋体" w:hAnsi="宋体" w:eastAsia="宋体" w:cs="宋体"/>
                <w:b w:val="0"/>
              </w:rPr>
              <w:t>-</w:t>
            </w:r>
          </w:p>
        </w:tc>
        <w:tc>
          <w:tcPr>
            <w:tcW w:w="0" w:type="dxa"/>
            <w:vAlign w:val="center"/>
          </w:tcPr>
          <w:p w14:paraId="64C2C674">
            <w:pPr>
              <w:spacing w:line="240" w:lineRule="auto"/>
              <w:jc w:val="right"/>
            </w:pPr>
            <w:r>
              <w:rPr>
                <w:rFonts w:ascii="宋体" w:hAnsi="宋体" w:eastAsia="宋体" w:cs="宋体"/>
                <w:b w:val="0"/>
              </w:rPr>
              <w:t>5,000,194.44</w:t>
            </w:r>
          </w:p>
        </w:tc>
        <w:tc>
          <w:tcPr>
            <w:tcW w:w="0" w:type="dxa"/>
            <w:vAlign w:val="center"/>
          </w:tcPr>
          <w:p w14:paraId="371BF571">
            <w:pPr>
              <w:spacing w:line="240" w:lineRule="auto"/>
              <w:jc w:val="right"/>
            </w:pPr>
            <w:r>
              <w:rPr>
                <w:rFonts w:ascii="宋体" w:hAnsi="宋体" w:eastAsia="宋体" w:cs="宋体"/>
                <w:b w:val="0"/>
              </w:rPr>
              <w:t>45.82%</w:t>
            </w:r>
          </w:p>
        </w:tc>
      </w:tr>
      <w:tr w14:paraId="3FC8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7BAC5887">
            <w:pPr>
              <w:spacing w:line="240" w:lineRule="auto"/>
              <w:jc w:val="center"/>
            </w:pPr>
            <w:r>
              <w:rPr>
                <w:rFonts w:ascii="宋体" w:hAnsi="宋体" w:eastAsia="宋体" w:cs="宋体"/>
                <w:b w:val="0"/>
              </w:rPr>
              <w:t>产品特有风险</w:t>
            </w:r>
          </w:p>
        </w:tc>
      </w:tr>
      <w:tr w14:paraId="5E60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3D447918">
            <w:pPr>
              <w:spacing w:line="240" w:lineRule="auto"/>
              <w:jc w:val="left"/>
            </w:pPr>
            <w:r>
              <w:rPr>
                <w:rFonts w:ascii="宋体" w:hAnsi="宋体" w:eastAsia="宋体" w:cs="宋体"/>
                <w:b w:val="0"/>
              </w:rPr>
              <w:t xml:space="preserve">    基金管理人秉承谨慎勤勉、独立决策、规范运作、充分披露原则，公平对待投资者，保障投资者合法权益。当单一投资者持有基金份额比例达到或超过20%时，由此可能导致的特有风险主要包括：</w:t>
            </w:r>
            <w:r>
              <w:rPr>
                <w:rFonts w:ascii="宋体" w:hAnsi="宋体" w:eastAsia="宋体" w:cs="宋体"/>
                <w:b w:val="0"/>
              </w:rPr>
              <w:br w:type="textWrapping"/>
            </w:r>
            <w:r>
              <w:rPr>
                <w:rFonts w:ascii="宋体" w:hAnsi="宋体" w:eastAsia="宋体" w:cs="宋体"/>
                <w:b w:val="0"/>
              </w:rPr>
              <w:t xml:space="preserve">    1、本基金单一投资者所持有的基金份额占比较大，单一投资者的巨额赎回，可能导致基金管理人被迫抛售证券以应付基金赎回的现金需要，对本基金的投资运作及净值表现产生较大影响。</w:t>
            </w:r>
            <w:r>
              <w:rPr>
                <w:rFonts w:ascii="宋体" w:hAnsi="宋体" w:eastAsia="宋体" w:cs="宋体"/>
                <w:b w:val="0"/>
              </w:rPr>
              <w:br w:type="textWrapping"/>
            </w:r>
            <w:r>
              <w:rPr>
                <w:rFonts w:ascii="宋体" w:hAnsi="宋体" w:eastAsia="宋体" w:cs="宋体"/>
                <w:b w:val="0"/>
              </w:rPr>
              <w:t xml:space="preserve">    2、持有基金份额占比较高的投资者大额赎回时容易造成本基金发生巨额赎回。在发生巨额赎回情形时，在符合基金合同约定情况下，如基金管理人认为有必要，可延期办理本基金的赎回申请，投资者可能面临赎回申请被延期办理的风险；如果连续2个开放日以上（含）发生巨额赎回，基金管理人可能根据《基金合同》的约定暂停接受基金的赎回申请，对剩余投资者的赎回办理造成影响。</w:t>
            </w:r>
            <w:r>
              <w:rPr>
                <w:rFonts w:ascii="宋体" w:hAnsi="宋体" w:eastAsia="宋体" w:cs="宋体"/>
                <w:b w:val="0"/>
              </w:rPr>
              <w:br w:type="textWrapping"/>
            </w:r>
            <w:r>
              <w:rPr>
                <w:rFonts w:ascii="宋体" w:hAnsi="宋体" w:eastAsia="宋体" w:cs="宋体"/>
                <w:b w:val="0"/>
              </w:rPr>
              <w:t xml:space="preserve">    3、单一投资者巨额赎回可能导致本基金在短时间内无法变现足够的资产予以应对，可能会导致基金仓位调整困难，发生流动性风险。</w:t>
            </w:r>
            <w:r>
              <w:rPr>
                <w:rFonts w:ascii="宋体" w:hAnsi="宋体" w:eastAsia="宋体" w:cs="宋体"/>
                <w:b w:val="0"/>
              </w:rPr>
              <w:br w:type="textWrapping"/>
            </w:r>
            <w:r>
              <w:rPr>
                <w:rFonts w:ascii="宋体" w:hAnsi="宋体" w:eastAsia="宋体" w:cs="宋体"/>
                <w:b w:val="0"/>
              </w:rPr>
              <w:t xml:space="preserve">    4、持有基金份额占比较高的投资者在召开基金份额持有人大会并对重大事项进行投票表决时，可能拥有较大话语权。</w:t>
            </w:r>
            <w:r>
              <w:rPr>
                <w:rFonts w:ascii="宋体" w:hAnsi="宋体" w:eastAsia="宋体" w:cs="宋体"/>
                <w:b w:val="0"/>
              </w:rPr>
              <w:br w:type="textWrapping"/>
            </w:r>
            <w:r>
              <w:rPr>
                <w:rFonts w:ascii="宋体" w:hAnsi="宋体" w:eastAsia="宋体" w:cs="宋体"/>
                <w:b w:val="0"/>
              </w:rPr>
              <w:t xml:space="preserve">    5、超出基金管理人允许的单一投资者持有基金份额比例的申购申请不被确认的风险。</w:t>
            </w:r>
          </w:p>
        </w:tc>
      </w:tr>
    </w:tbl>
    <w:p w14:paraId="5F84DA4F"/>
    <w:p w14:paraId="3BBB5722">
      <w:pPr>
        <w:pStyle w:val="3"/>
        <w:jc w:val="left"/>
      </w:pPr>
      <w:bookmarkStart w:id="61" w:name="_Toc10994"/>
      <w:r>
        <w:rPr>
          <w:rFonts w:ascii="宋体" w:hAnsi="宋体" w:eastAsia="宋体" w:cs="宋体"/>
        </w:rPr>
        <w:t>11.2 影响投资者决策的其他重要信息</w:t>
      </w:r>
      <w:bookmarkEnd w:id="61"/>
    </w:p>
    <w:p w14:paraId="39014E12">
      <w:pPr>
        <w:jc w:val="left"/>
      </w:pPr>
      <w:r>
        <w:rPr>
          <w:rFonts w:ascii="宋体" w:hAnsi="宋体" w:eastAsia="宋体" w:cs="宋体"/>
          <w:b w:val="0"/>
        </w:rPr>
        <w:t xml:space="preserve">    无。</w:t>
      </w:r>
    </w:p>
    <w:p w14:paraId="28D771D7">
      <w:pPr>
        <w:pStyle w:val="2"/>
        <w:jc w:val="center"/>
      </w:pPr>
      <w:bookmarkStart w:id="62" w:name="_Toc27926"/>
      <w:r>
        <w:rPr>
          <w:rFonts w:ascii="宋体" w:hAnsi="宋体" w:eastAsia="宋体" w:cs="宋体"/>
        </w:rPr>
        <w:t>§12 备查文件目录</w:t>
      </w:r>
      <w:bookmarkEnd w:id="62"/>
    </w:p>
    <w:p w14:paraId="2C6030BB">
      <w:pPr>
        <w:pStyle w:val="3"/>
        <w:jc w:val="left"/>
      </w:pPr>
      <w:bookmarkStart w:id="63" w:name="_Toc4376"/>
      <w:r>
        <w:rPr>
          <w:rFonts w:ascii="宋体" w:hAnsi="宋体" w:eastAsia="宋体" w:cs="宋体"/>
        </w:rPr>
        <w:t>12.1 备查文件目录</w:t>
      </w:r>
      <w:bookmarkEnd w:id="63"/>
    </w:p>
    <w:p w14:paraId="6A2B8E05">
      <w:pPr>
        <w:jc w:val="left"/>
      </w:pPr>
      <w:r>
        <w:rPr>
          <w:rFonts w:ascii="宋体" w:hAnsi="宋体" w:eastAsia="宋体" w:cs="宋体"/>
          <w:b w:val="0"/>
        </w:rPr>
        <w:t xml:space="preserve">    1、中国证券监督管理委员会批准的东方阿尔法增利债券型发起式证券投资基金设立的文件；</w:t>
      </w:r>
      <w:r>
        <w:rPr>
          <w:rFonts w:ascii="宋体" w:hAnsi="宋体" w:eastAsia="宋体" w:cs="宋体"/>
          <w:b w:val="0"/>
        </w:rPr>
        <w:br w:type="textWrapping"/>
      </w:r>
      <w:r>
        <w:rPr>
          <w:rFonts w:ascii="宋体" w:hAnsi="宋体" w:eastAsia="宋体" w:cs="宋体"/>
          <w:b w:val="0"/>
        </w:rPr>
        <w:t xml:space="preserve">    2、《东方阿尔法增利债券型发起式证券投资基金基金合同》；</w:t>
      </w:r>
      <w:r>
        <w:rPr>
          <w:rFonts w:ascii="宋体" w:hAnsi="宋体" w:eastAsia="宋体" w:cs="宋体"/>
          <w:b w:val="0"/>
        </w:rPr>
        <w:br w:type="textWrapping"/>
      </w:r>
      <w:r>
        <w:rPr>
          <w:rFonts w:ascii="宋体" w:hAnsi="宋体" w:eastAsia="宋体" w:cs="宋体"/>
          <w:b w:val="0"/>
        </w:rPr>
        <w:t xml:space="preserve">    3、《东方阿尔法增利债券型发起式证券投资基金托管协议》；</w:t>
      </w:r>
      <w:r>
        <w:rPr>
          <w:rFonts w:ascii="宋体" w:hAnsi="宋体" w:eastAsia="宋体" w:cs="宋体"/>
          <w:b w:val="0"/>
        </w:rPr>
        <w:br w:type="textWrapping"/>
      </w:r>
      <w:r>
        <w:rPr>
          <w:rFonts w:ascii="宋体" w:hAnsi="宋体" w:eastAsia="宋体" w:cs="宋体"/>
          <w:b w:val="0"/>
        </w:rPr>
        <w:t xml:space="preserve">    4、《东方阿尔法增利债券型发起式证券投资基金招募说明书》（含更新）；</w:t>
      </w:r>
      <w:r>
        <w:rPr>
          <w:rFonts w:ascii="宋体" w:hAnsi="宋体" w:eastAsia="宋体" w:cs="宋体"/>
          <w:b w:val="0"/>
        </w:rPr>
        <w:br w:type="textWrapping"/>
      </w:r>
      <w:r>
        <w:rPr>
          <w:rFonts w:ascii="宋体" w:hAnsi="宋体" w:eastAsia="宋体" w:cs="宋体"/>
          <w:b w:val="0"/>
        </w:rPr>
        <w:t xml:space="preserve">    5、基金管理人业务资格批件和营业执照。</w:t>
      </w:r>
    </w:p>
    <w:p w14:paraId="4D4D0C2C"/>
    <w:p w14:paraId="434A5652">
      <w:pPr>
        <w:pStyle w:val="3"/>
        <w:jc w:val="left"/>
      </w:pPr>
      <w:bookmarkStart w:id="64" w:name="_Toc948"/>
      <w:r>
        <w:rPr>
          <w:rFonts w:ascii="宋体" w:hAnsi="宋体" w:eastAsia="宋体" w:cs="宋体"/>
        </w:rPr>
        <w:t>12.2 存放地点</w:t>
      </w:r>
      <w:bookmarkEnd w:id="64"/>
    </w:p>
    <w:p w14:paraId="53C19801">
      <w:pPr>
        <w:jc w:val="left"/>
      </w:pPr>
      <w:r>
        <w:rPr>
          <w:rFonts w:ascii="宋体" w:hAnsi="宋体" w:eastAsia="宋体" w:cs="宋体"/>
          <w:b w:val="0"/>
        </w:rPr>
        <w:t xml:space="preserve">    基金管理人和基金托管人的住所。</w:t>
      </w:r>
    </w:p>
    <w:p w14:paraId="64C85C2E"/>
    <w:p w14:paraId="3F1305F6">
      <w:pPr>
        <w:pStyle w:val="3"/>
        <w:jc w:val="left"/>
      </w:pPr>
      <w:bookmarkStart w:id="65" w:name="_Toc30247"/>
      <w:r>
        <w:rPr>
          <w:rFonts w:ascii="宋体" w:hAnsi="宋体" w:eastAsia="宋体" w:cs="宋体"/>
        </w:rPr>
        <w:t>12.3 查阅方式</w:t>
      </w:r>
      <w:bookmarkEnd w:id="65"/>
    </w:p>
    <w:p w14:paraId="22017257">
      <w:pPr>
        <w:jc w:val="left"/>
      </w:pPr>
      <w:r>
        <w:rPr>
          <w:rFonts w:ascii="宋体" w:hAnsi="宋体" w:eastAsia="宋体" w:cs="宋体"/>
          <w:b w:val="0"/>
        </w:rPr>
        <w:t xml:space="preserve">    1、投资者可在营业时间免费查阅，也可按工本费购买复印件。</w:t>
      </w:r>
      <w:r>
        <w:rPr>
          <w:rFonts w:ascii="宋体" w:hAnsi="宋体" w:eastAsia="宋体" w:cs="宋体"/>
          <w:b w:val="0"/>
        </w:rPr>
        <w:br w:type="textWrapping"/>
      </w:r>
      <w:r>
        <w:rPr>
          <w:rFonts w:ascii="宋体" w:hAnsi="宋体" w:eastAsia="宋体" w:cs="宋体"/>
          <w:b w:val="0"/>
        </w:rPr>
        <w:t xml:space="preserve">    2、投资者对本报告书如有疑问，可咨询本基金管理人东方阿尔法基金管理有限公司，客户服务电话：400-930-6677（免长途话费）。</w:t>
      </w:r>
      <w:r>
        <w:rPr>
          <w:rFonts w:ascii="宋体" w:hAnsi="宋体" w:eastAsia="宋体" w:cs="宋体"/>
          <w:b w:val="0"/>
        </w:rPr>
        <w:br w:type="textWrapping"/>
      </w:r>
      <w:r>
        <w:rPr>
          <w:rFonts w:ascii="宋体" w:hAnsi="宋体" w:eastAsia="宋体" w:cs="宋体"/>
          <w:b w:val="0"/>
        </w:rPr>
        <w:t xml:space="preserve">    3、投资者可通过中国证监会基金电子披露网站（http://eid.csrc.gov.cn/fund/）和基金管理人网站（https://www.dfa66.com）查阅本报告书。</w:t>
      </w:r>
    </w:p>
    <w:p w14:paraId="39A6C16B"/>
    <w:p w14:paraId="78DE9D86"/>
    <w:p w14:paraId="06DAD70C"/>
    <w:p w14:paraId="5CB6ADCB">
      <w:pPr>
        <w:jc w:val="right"/>
      </w:pPr>
      <w:r>
        <w:rPr>
          <w:rFonts w:ascii="宋体" w:hAnsi="宋体" w:eastAsia="宋体" w:cs="宋体"/>
          <w:b/>
        </w:rPr>
        <w:t>东方阿尔法基金管理有限公司</w:t>
      </w:r>
    </w:p>
    <w:p w14:paraId="0BF95D55">
      <w:pPr>
        <w:jc w:val="right"/>
      </w:pPr>
      <w:r>
        <w:rPr>
          <w:rFonts w:ascii="宋体" w:hAnsi="宋体" w:eastAsia="宋体" w:cs="宋体"/>
          <w:b/>
        </w:rPr>
        <w:t>二〇二六年八月三十一日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8" w:bottom="1440" w:left="1418"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BF44">
    <w:pPr>
      <w:pBdr>
        <w:top w:val="single" w:color="auto" w:sz="2" w:space="0"/>
      </w:pBdr>
      <w:tabs>
        <w:tab w:val="right" w:pos="8640"/>
      </w:tabs>
      <w:jc w:val="center"/>
      <w:textAlignment w:val="center"/>
      <w:rPr>
        <w:rFonts w:ascii="宋体" w:hAnsi="宋体" w:eastAsia="宋体"/>
        <w:sz w:val="20"/>
        <w:szCs w:val="20"/>
      </w:rPr>
    </w:pPr>
    <w:r>
      <w:rPr>
        <w:rFonts w:hint="eastAsia" w:ascii="宋体" w:hAnsi="宋体" w:eastAsia="宋体" w:cs="宋体"/>
        <w:sz w:val="20"/>
        <w:szCs w:val="20"/>
        <w:lang w:bidi="ar"/>
      </w:rPr>
      <w:t>第</w:t>
    </w:r>
    <w:r>
      <w:rPr>
        <w:rFonts w:hint="eastAsia" w:ascii="宋体" w:hAnsi="宋体" w:eastAsia="宋体" w:cs="Times New Roman"/>
        <w:sz w:val="20"/>
        <w:szCs w:val="20"/>
        <w:lang w:bidi="ar"/>
      </w:rPr>
      <w:fldChar w:fldCharType="begin"/>
    </w:r>
    <w:r>
      <w:rPr>
        <w:rFonts w:hint="eastAsia" w:ascii="宋体" w:hAnsi="宋体" w:eastAsia="宋体" w:cs="宋体"/>
        <w:sz w:val="20"/>
        <w:szCs w:val="20"/>
        <w:lang w:bidi="ar"/>
      </w:rPr>
      <w:instrText xml:space="preserve">PAGE  \* MERGEFORMAT</w:instrText>
    </w:r>
    <w:r>
      <w:rPr>
        <w:rFonts w:hint="eastAsia" w:ascii="宋体" w:hAnsi="宋体" w:eastAsia="宋体" w:cs="Times New Roman"/>
        <w:sz w:val="20"/>
        <w:szCs w:val="20"/>
        <w:lang w:bidi="ar"/>
      </w:rPr>
      <w:fldChar w:fldCharType="separate"/>
    </w:r>
    <w:r>
      <w:rPr>
        <w:rFonts w:ascii="宋体" w:hAnsi="宋体" w:eastAsia="宋体" w:cs="宋体"/>
        <w:sz w:val="20"/>
        <w:szCs w:val="20"/>
        <w:lang w:bidi="ar"/>
      </w:rPr>
      <w:t>4</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页，共</w:t>
    </w:r>
    <w:r>
      <w:rPr>
        <w:rFonts w:hint="eastAsia" w:ascii="宋体" w:hAnsi="宋体" w:eastAsia="宋体" w:cs="Times New Roman"/>
        <w:sz w:val="20"/>
        <w:szCs w:val="20"/>
        <w:lang w:bidi="ar"/>
      </w:rPr>
      <w:fldChar w:fldCharType="begin"/>
    </w:r>
    <w:r>
      <w:rPr>
        <w:rFonts w:ascii="宋体" w:hAnsi="宋体" w:eastAsia="宋体" w:cs="Times New Roman"/>
        <w:sz w:val="20"/>
        <w:szCs w:val="20"/>
        <w:lang w:bidi="ar"/>
      </w:rPr>
      <w:instrText xml:space="preserve">=</w:instrText>
    </w:r>
    <w:r>
      <w:rPr>
        <w:rFonts w:ascii="宋体" w:hAnsi="宋体" w:eastAsia="宋体" w:cs="宋体"/>
        <w:sz w:val="20"/>
        <w:szCs w:val="20"/>
        <w:lang w:bidi="ar"/>
      </w:rPr>
      <w:fldChar w:fldCharType="begin"/>
    </w:r>
    <w:r>
      <w:rPr>
        <w:rFonts w:ascii="宋体" w:hAnsi="宋体" w:eastAsia="宋体" w:cs="宋体"/>
        <w:sz w:val="20"/>
        <w:szCs w:val="20"/>
        <w:lang w:bidi="ar"/>
      </w:rPr>
      <w:instrText xml:space="preserve"> </w:instrText>
    </w:r>
    <w:r>
      <w:rPr>
        <w:rFonts w:hint="eastAsia" w:ascii="宋体" w:hAnsi="宋体" w:eastAsia="宋体" w:cs="宋体"/>
        <w:sz w:val="20"/>
        <w:szCs w:val="20"/>
        <w:lang w:bidi="ar"/>
      </w:rPr>
      <w:instrText xml:space="preserve">NUMPAGES</w:instrText>
    </w:r>
    <w:r>
      <w:rPr>
        <w:rFonts w:ascii="宋体" w:hAnsi="宋体" w:eastAsia="宋体" w:cs="宋体"/>
        <w:sz w:val="20"/>
        <w:szCs w:val="20"/>
        <w:lang w:bidi="ar"/>
      </w:rPr>
      <w:instrText xml:space="preserve"> </w:instrText>
    </w:r>
    <w:r>
      <w:rPr>
        <w:rFonts w:ascii="宋体" w:hAnsi="宋体" w:eastAsia="宋体" w:cs="宋体"/>
        <w:sz w:val="20"/>
        <w:szCs w:val="20"/>
        <w:lang w:bidi="ar"/>
      </w:rPr>
      <w:fldChar w:fldCharType="separate"/>
    </w:r>
    <w:r>
      <w:rPr>
        <w:rFonts w:ascii="宋体" w:hAnsi="宋体" w:eastAsia="宋体" w:cs="宋体"/>
        <w:sz w:val="20"/>
        <w:szCs w:val="20"/>
        <w:lang w:bidi="ar"/>
      </w:rPr>
      <w:instrText xml:space="preserve">4</w:instrText>
    </w:r>
    <w:r>
      <w:rPr>
        <w:rFonts w:ascii="宋体" w:hAnsi="宋体" w:eastAsia="宋体" w:cs="宋体"/>
        <w:sz w:val="20"/>
        <w:szCs w:val="20"/>
        <w:lang w:bidi="ar"/>
      </w:rPr>
      <w:fldChar w:fldCharType="end"/>
    </w:r>
    <w:r>
      <w:rPr>
        <w:rFonts w:ascii="宋体" w:hAnsi="宋体" w:eastAsia="宋体" w:cs="宋体"/>
        <w:sz w:val="20"/>
        <w:szCs w:val="20"/>
        <w:lang w:bidi="ar"/>
      </w:rPr>
      <w:instrText xml:space="preserve">-1</w:instrText>
    </w:r>
    <w:r>
      <w:rPr>
        <w:rFonts w:hint="eastAsia" w:ascii="宋体" w:hAnsi="宋体" w:eastAsia="宋体" w:cs="Times New Roman"/>
        <w:sz w:val="20"/>
        <w:szCs w:val="20"/>
        <w:lang w:bidi="ar"/>
      </w:rPr>
      <w:fldChar w:fldCharType="separate"/>
    </w:r>
    <w:r>
      <w:rPr>
        <w:rFonts w:ascii="宋体" w:hAnsi="宋体" w:eastAsia="宋体" w:cs="Times New Roman"/>
        <w:sz w:val="20"/>
        <w:szCs w:val="20"/>
        <w:lang w:bidi="ar"/>
      </w:rPr>
      <w:t>3</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70CA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069AD">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E93CD">
    <w:pPr>
      <w:pBdr>
        <w:bottom w:val="single" w:color="auto" w:sz="4" w:space="1"/>
      </w:pBdr>
      <w:jc w:val="right"/>
      <w:rPr>
        <w:rFonts w:ascii="宋体" w:hAnsi="宋体" w:eastAsia="宋体"/>
      </w:rPr>
    </w:pPr>
    <w:r>
      <w:rPr>
        <w:rFonts w:hint="eastAsia" w:ascii="宋体" w:hAnsi="宋体" w:eastAsia="宋体"/>
        <w:sz w:val="18"/>
      </w:rPr>
      <w:t>东方阿尔法增利债券型发起式证券投资基金2026年中期报告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3D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A8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02488"/>
    <w:rsid w:val="00010B6C"/>
    <w:rsid w:val="00031D8B"/>
    <w:rsid w:val="000920C1"/>
    <w:rsid w:val="000B14F1"/>
    <w:rsid w:val="000B761A"/>
    <w:rsid w:val="000D44F1"/>
    <w:rsid w:val="000F65E0"/>
    <w:rsid w:val="00176454"/>
    <w:rsid w:val="0019729C"/>
    <w:rsid w:val="001A0694"/>
    <w:rsid w:val="001E0E18"/>
    <w:rsid w:val="001E49DE"/>
    <w:rsid w:val="001E72DB"/>
    <w:rsid w:val="0026022A"/>
    <w:rsid w:val="00294812"/>
    <w:rsid w:val="002C6A0C"/>
    <w:rsid w:val="002D4665"/>
    <w:rsid w:val="00324653"/>
    <w:rsid w:val="00361AE0"/>
    <w:rsid w:val="00390DEF"/>
    <w:rsid w:val="003D4275"/>
    <w:rsid w:val="00416DB4"/>
    <w:rsid w:val="00434BB2"/>
    <w:rsid w:val="00435171"/>
    <w:rsid w:val="004673BB"/>
    <w:rsid w:val="004850E7"/>
    <w:rsid w:val="0048630B"/>
    <w:rsid w:val="004A07CE"/>
    <w:rsid w:val="004A5321"/>
    <w:rsid w:val="004D3C7D"/>
    <w:rsid w:val="004E3612"/>
    <w:rsid w:val="004F01F2"/>
    <w:rsid w:val="004F33D8"/>
    <w:rsid w:val="00501676"/>
    <w:rsid w:val="005037A9"/>
    <w:rsid w:val="0053328C"/>
    <w:rsid w:val="00536F98"/>
    <w:rsid w:val="0054091C"/>
    <w:rsid w:val="005826D5"/>
    <w:rsid w:val="005B565C"/>
    <w:rsid w:val="005B7A12"/>
    <w:rsid w:val="005D1F67"/>
    <w:rsid w:val="006935A0"/>
    <w:rsid w:val="0070349E"/>
    <w:rsid w:val="0079688F"/>
    <w:rsid w:val="007A761D"/>
    <w:rsid w:val="008256CB"/>
    <w:rsid w:val="00830A9A"/>
    <w:rsid w:val="00832DA1"/>
    <w:rsid w:val="008B009A"/>
    <w:rsid w:val="00917A48"/>
    <w:rsid w:val="0092608A"/>
    <w:rsid w:val="0093294F"/>
    <w:rsid w:val="009A27BD"/>
    <w:rsid w:val="009C2384"/>
    <w:rsid w:val="009F43BC"/>
    <w:rsid w:val="00A14485"/>
    <w:rsid w:val="00A44970"/>
    <w:rsid w:val="00A633EF"/>
    <w:rsid w:val="00AC1DF0"/>
    <w:rsid w:val="00B53B35"/>
    <w:rsid w:val="00B659D3"/>
    <w:rsid w:val="00BA7A55"/>
    <w:rsid w:val="00BB5F0B"/>
    <w:rsid w:val="00BB61EF"/>
    <w:rsid w:val="00BD2190"/>
    <w:rsid w:val="00C04DA6"/>
    <w:rsid w:val="00C05CA1"/>
    <w:rsid w:val="00C068DC"/>
    <w:rsid w:val="00C06BEF"/>
    <w:rsid w:val="00C32481"/>
    <w:rsid w:val="00C61278"/>
    <w:rsid w:val="00C76021"/>
    <w:rsid w:val="00CA18B4"/>
    <w:rsid w:val="00CD1619"/>
    <w:rsid w:val="00D91EBF"/>
    <w:rsid w:val="00DD0A6F"/>
    <w:rsid w:val="00DE3FE0"/>
    <w:rsid w:val="00DF6E0A"/>
    <w:rsid w:val="00E03297"/>
    <w:rsid w:val="00E046C2"/>
    <w:rsid w:val="00E220FA"/>
    <w:rsid w:val="00E419BE"/>
    <w:rsid w:val="00E62B5D"/>
    <w:rsid w:val="00E66A4F"/>
    <w:rsid w:val="00E80578"/>
    <w:rsid w:val="00E913D3"/>
    <w:rsid w:val="00EC0B7C"/>
    <w:rsid w:val="00F1496B"/>
    <w:rsid w:val="00F224E7"/>
    <w:rsid w:val="00F27AA3"/>
    <w:rsid w:val="00F30FD3"/>
    <w:rsid w:val="00F32DCB"/>
    <w:rsid w:val="00F362F0"/>
    <w:rsid w:val="00F430BB"/>
    <w:rsid w:val="00FA0949"/>
    <w:rsid w:val="00FE6EA6"/>
    <w:rsid w:val="00FF0044"/>
    <w:rsid w:val="00FF6BD1"/>
    <w:rsid w:val="17FF4F08"/>
    <w:rsid w:val="312016A7"/>
    <w:rsid w:val="328572ED"/>
    <w:rsid w:val="3501237A"/>
    <w:rsid w:val="3E9A142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uiPriority="39" w:semiHidden="0"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qFormat/>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qFormat/>
    <w:uiPriority w:val="99"/>
    <w:pPr>
      <w:spacing w:after="120"/>
    </w:pPr>
  </w:style>
  <w:style w:type="paragraph" w:styleId="11">
    <w:name w:val="toc 5"/>
    <w:basedOn w:val="1"/>
    <w:next w:val="1"/>
    <w:autoRedefine/>
    <w:unhideWhenUsed/>
    <w:qFormat/>
    <w:uiPriority w:val="39"/>
    <w:pPr>
      <w:ind w:left="840"/>
      <w:jc w:val="left"/>
    </w:pPr>
    <w:rPr>
      <w:sz w:val="18"/>
      <w:szCs w:val="18"/>
    </w:rPr>
  </w:style>
  <w:style w:type="paragraph" w:styleId="12">
    <w:name w:val="toc 3"/>
    <w:basedOn w:val="1"/>
    <w:next w:val="1"/>
    <w:autoRedefine/>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autoRedefine/>
    <w:unhideWhenUsed/>
    <w:qFormat/>
    <w:uiPriority w:val="39"/>
    <w:pPr>
      <w:ind w:left="1470"/>
      <w:jc w:val="left"/>
    </w:pPr>
    <w:rPr>
      <w:rFonts w:eastAsiaTheme="minorHAnsi"/>
      <w:sz w:val="18"/>
      <w:szCs w:val="18"/>
    </w:rPr>
  </w:style>
  <w:style w:type="paragraph" w:styleId="15">
    <w:name w:val="Date"/>
    <w:basedOn w:val="1"/>
    <w:next w:val="1"/>
    <w:link w:val="46"/>
    <w:semiHidden/>
    <w:unhideWhenUsed/>
    <w:qFormat/>
    <w:uiPriority w:val="99"/>
    <w:pPr>
      <w:ind w:left="100" w:leftChars="2500"/>
    </w:pPr>
  </w:style>
  <w:style w:type="paragraph" w:styleId="16">
    <w:name w:val="Balloon Text"/>
    <w:basedOn w:val="1"/>
    <w:link w:val="49"/>
    <w:semiHidden/>
    <w:unhideWhenUsed/>
    <w:qFormat/>
    <w:uiPriority w:val="99"/>
    <w:rPr>
      <w:sz w:val="18"/>
      <w:szCs w:val="18"/>
    </w:rPr>
  </w:style>
  <w:style w:type="paragraph" w:styleId="17">
    <w:name w:val="footer"/>
    <w:basedOn w:val="1"/>
    <w:link w:val="44"/>
    <w:unhideWhenUsed/>
    <w:uiPriority w:val="99"/>
    <w:pPr>
      <w:tabs>
        <w:tab w:val="center" w:pos="4153"/>
        <w:tab w:val="right" w:pos="8306"/>
      </w:tabs>
      <w:snapToGrid w:val="0"/>
      <w:jc w:val="left"/>
    </w:pPr>
    <w:rPr>
      <w:sz w:val="18"/>
      <w:szCs w:val="18"/>
    </w:rPr>
  </w:style>
  <w:style w:type="paragraph" w:styleId="18">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tabs>
        <w:tab w:val="right" w:leader="dot" w:pos="9060"/>
      </w:tabs>
      <w:spacing w:line="240" w:lineRule="auto"/>
      <w:jc w:val="left"/>
    </w:pPr>
    <w:rPr>
      <w:b/>
      <w:bCs/>
      <w:caps/>
      <w:szCs w:val="20"/>
    </w:rPr>
  </w:style>
  <w:style w:type="paragraph" w:styleId="20">
    <w:name w:val="toc 4"/>
    <w:basedOn w:val="1"/>
    <w:next w:val="1"/>
    <w:autoRedefine/>
    <w:unhideWhenUsed/>
    <w:qFormat/>
    <w:uiPriority w:val="39"/>
    <w:pPr>
      <w:ind w:left="630"/>
      <w:jc w:val="left"/>
    </w:pPr>
    <w:rPr>
      <w:sz w:val="18"/>
      <w:szCs w:val="18"/>
    </w:rPr>
  </w:style>
  <w:style w:type="paragraph" w:styleId="21">
    <w:name w:val="toc 6"/>
    <w:basedOn w:val="1"/>
    <w:next w:val="1"/>
    <w:autoRedefine/>
    <w:unhideWhenUsed/>
    <w:qFormat/>
    <w:uiPriority w:val="39"/>
    <w:pPr>
      <w:ind w:left="1050"/>
      <w:jc w:val="left"/>
    </w:pPr>
    <w:rPr>
      <w:sz w:val="18"/>
      <w:szCs w:val="18"/>
    </w:rPr>
  </w:style>
  <w:style w:type="paragraph" w:styleId="22">
    <w:name w:val="toc 2"/>
    <w:basedOn w:val="1"/>
    <w:next w:val="1"/>
    <w:autoRedefine/>
    <w:unhideWhenUsed/>
    <w:uiPriority w:val="39"/>
    <w:pPr>
      <w:spacing w:line="240" w:lineRule="auto"/>
      <w:ind w:left="210"/>
      <w:jc w:val="left"/>
    </w:pPr>
    <w:rPr>
      <w:smallCaps/>
      <w:szCs w:val="20"/>
    </w:rPr>
  </w:style>
  <w:style w:type="paragraph" w:styleId="23">
    <w:name w:val="toc 9"/>
    <w:basedOn w:val="1"/>
    <w:next w:val="1"/>
    <w:autoRedefine/>
    <w:unhideWhenUsed/>
    <w:uiPriority w:val="39"/>
    <w:pPr>
      <w:ind w:left="1680"/>
      <w:jc w:val="left"/>
    </w:pPr>
    <w:rPr>
      <w:rFonts w:eastAsiaTheme="minorHAnsi"/>
      <w:sz w:val="18"/>
      <w:szCs w:val="18"/>
    </w:rPr>
  </w:style>
  <w:style w:type="paragraph" w:styleId="24">
    <w:name w:val="Normal (Web)"/>
    <w:basedOn w:val="1"/>
    <w:semiHidden/>
    <w:unhideWhenUsed/>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uiPriority w:val="99"/>
    <w:rPr>
      <w:b/>
      <w:bCs/>
    </w:rPr>
  </w:style>
  <w:style w:type="table" w:styleId="28">
    <w:name w:val="Table Grid"/>
    <w:basedOn w:val="27"/>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uiPriority w:val="9"/>
    <w:rPr>
      <w:rFonts w:eastAsia="宋体" w:asciiTheme="majorHAnsi" w:hAnsiTheme="majorHAnsi" w:cstheme="majorBidi"/>
      <w:b/>
      <w:bCs/>
      <w:sz w:val="24"/>
      <w:szCs w:val="32"/>
    </w:rPr>
  </w:style>
  <w:style w:type="character" w:customStyle="1" w:styleId="39">
    <w:name w:val="标题 3 字符"/>
    <w:basedOn w:val="30"/>
    <w:link w:val="4"/>
    <w:qFormat/>
    <w:uiPriority w:val="9"/>
    <w:rPr>
      <w:rFonts w:eastAsia="宋体"/>
      <w:b/>
      <w:bCs/>
      <w:sz w:val="24"/>
      <w:szCs w:val="32"/>
    </w:rPr>
  </w:style>
  <w:style w:type="character" w:customStyle="1" w:styleId="40">
    <w:name w:val="标题 4 字符"/>
    <w:basedOn w:val="30"/>
    <w:link w:val="5"/>
    <w:semiHidden/>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qFormat/>
    <w:uiPriority w:val="99"/>
    <w:rPr>
      <w:rFonts w:asciiTheme="minorHAnsi" w:hAnsiTheme="minorHAnsi" w:eastAsiaTheme="minorEastAsia" w:cstheme="minorBidi"/>
      <w:sz w:val="18"/>
      <w:szCs w:val="18"/>
    </w:rPr>
  </w:style>
  <w:style w:type="character" w:customStyle="1" w:styleId="44">
    <w:name w:val="页脚 字符"/>
    <w:basedOn w:val="30"/>
    <w:link w:val="17"/>
    <w:qFormat/>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uiPriority w:val="99"/>
    <w:rPr>
      <w:rFonts w:asciiTheme="minorHAnsi" w:hAnsiTheme="minorHAnsi" w:eastAsiaTheme="minorEastAsia" w:cstheme="minorBidi"/>
      <w:sz w:val="21"/>
      <w:szCs w:val="22"/>
    </w:rPr>
  </w:style>
  <w:style w:type="character" w:customStyle="1" w:styleId="47">
    <w:name w:val="纯文本 字符"/>
    <w:basedOn w:val="30"/>
    <w:link w:val="13"/>
    <w:semiHidden/>
    <w:uiPriority w:val="99"/>
    <w:rPr>
      <w:rFonts w:hAnsi="Courier New" w:cs="Courier New" w:asciiTheme="minorEastAsia" w:eastAsiaTheme="minorEastAsia"/>
      <w:sz w:val="21"/>
      <w:szCs w:val="22"/>
    </w:rPr>
  </w:style>
  <w:style w:type="character" w:customStyle="1" w:styleId="48">
    <w:name w:val="批注主题 字符"/>
    <w:basedOn w:val="42"/>
    <w:link w:val="26"/>
    <w:semiHidden/>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qFormat/>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qFormat/>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qFormat/>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qFormat/>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qFormat/>
    <w:uiPriority w:val="99"/>
    <w:rPr>
      <w:rFonts w:ascii="宋体" w:eastAsia="宋体"/>
      <w:sz w:val="18"/>
      <w:szCs w:val="18"/>
    </w:rPr>
  </w:style>
  <w:style w:type="paragraph" w:customStyle="1" w:styleId="58">
    <w:name w:val="zhangjie_p2"/>
    <w:basedOn w:val="4"/>
    <w:next w:val="1"/>
    <w:autoRedefine/>
    <w:qFormat/>
    <w:uiPriority w:val="0"/>
    <w:pPr>
      <w:spacing w:line="240" w:lineRule="auto"/>
      <w:jc w:val="left"/>
    </w:pPr>
    <w:rPr>
      <w:bCs w:val="0"/>
      <w:iCs/>
      <w:caps/>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7AFA4-8649-47F8-9B5E-86887E39EEB3}">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29</Words>
  <Characters>166</Characters>
  <Lines>1</Lines>
  <Paragraphs>1</Paragraphs>
  <TotalTime>0</TotalTime>
  <ScaleCrop>false</ScaleCrop>
  <LinksUpToDate>false</LinksUpToDate>
  <CharactersWithSpaces>194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terms:modified xsi:type="dcterms:W3CDTF">2026-08-28T03:54:15Z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C36978472520471CB3C1850AAA276E26_12</vt:lpwstr>
  </property>
</Properties>
</file>