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东方阿尔法瑞丰混合型发起式证券投资基金（C类份额）基金产品资料概要更新</w:t>
      </w:r>
    </w:p>
    <w:p>
      <w:pPr>
        <w:jc w:val="right"/>
      </w:pPr>
      <w:r>
        <w:rPr>
          <w:rFonts w:ascii="宋体" w:hAnsi="宋体" w:eastAsia="宋体" w:cs="宋体"/>
          <w:b w:val="0"/>
        </w:rPr>
        <w:t>编制日期：2026年09月17日</w:t>
      </w:r>
    </w:p>
    <w:p>
      <w:pPr>
        <w:jc w:val="center"/>
      </w:pPr>
      <w:r>
        <w:rPr>
          <w:rFonts w:ascii="宋体" w:hAnsi="宋体" w:eastAsia="宋体" w:cs="宋体"/>
          <w:b w:val="0"/>
        </w:rPr>
        <w:t>送出日期：2026年09月21日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fixed"/>
        <w:tblCellMar>
          <w:top w:w="0" w:type="dxa"/>
          <w:left w:w="108" w:type="dxa"/>
          <w:bottom w:w="0" w:type="dxa"/>
          <w:right w:w="108" w:type="dxa"/>
        </w:tblCellMar>
      </w:tblPr>
      <w:tblGrid>
        <w:gridCol w:w="2322"/>
        <w:gridCol w:w="2322"/>
        <w:gridCol w:w="2322"/>
        <w:gridCol w:w="232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东方阿尔法瑞丰混合发起</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018362</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基金简称C</w:t>
            </w:r>
          </w:p>
        </w:tc>
        <w:tc>
          <w:tcPr>
            <w:tcW w:w="0" w:type="dxa"/>
            <w:vAlign w:val="center"/>
          </w:tcPr>
          <w:p>
            <w:pPr>
              <w:spacing w:line="240" w:lineRule="auto"/>
              <w:jc w:val="left"/>
            </w:pPr>
            <w:r>
              <w:rPr>
                <w:rFonts w:ascii="宋体" w:hAnsi="宋体" w:eastAsia="宋体" w:cs="宋体"/>
                <w:b w:val="0"/>
              </w:rPr>
              <w:t>东方阿尔法瑞丰混合发起C</w:t>
            </w:r>
          </w:p>
        </w:tc>
        <w:tc>
          <w:tcPr>
            <w:tcW w:w="0" w:type="dxa"/>
            <w:vAlign w:val="center"/>
          </w:tcPr>
          <w:p>
            <w:pPr>
              <w:spacing w:line="240" w:lineRule="auto"/>
              <w:jc w:val="left"/>
            </w:pPr>
            <w:r>
              <w:rPr>
                <w:rFonts w:ascii="宋体" w:hAnsi="宋体" w:eastAsia="宋体" w:cs="宋体"/>
                <w:b/>
              </w:rPr>
              <w:t>基金代码C</w:t>
            </w:r>
          </w:p>
        </w:tc>
        <w:tc>
          <w:tcPr>
            <w:tcW w:w="0" w:type="dxa"/>
            <w:vAlign w:val="center"/>
          </w:tcPr>
          <w:p>
            <w:pPr>
              <w:spacing w:line="240" w:lineRule="auto"/>
              <w:jc w:val="left"/>
            </w:pPr>
            <w:r>
              <w:rPr>
                <w:rFonts w:ascii="宋体" w:hAnsi="宋体" w:eastAsia="宋体" w:cs="宋体"/>
                <w:b w:val="0"/>
              </w:rPr>
              <w:t>018363</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基金管理人</w:t>
            </w:r>
          </w:p>
        </w:tc>
        <w:tc>
          <w:tcPr>
            <w:tcW w:w="0" w:type="dxa"/>
            <w:vAlign w:val="center"/>
          </w:tcPr>
          <w:p>
            <w:pPr>
              <w:spacing w:line="240" w:lineRule="auto"/>
              <w:jc w:val="left"/>
            </w:pPr>
            <w:r>
              <w:rPr>
                <w:rFonts w:ascii="宋体" w:hAnsi="宋体" w:eastAsia="宋体" w:cs="宋体"/>
                <w:b w:val="0"/>
              </w:rPr>
              <w:t>东方阿尔法基金管理有限公司</w:t>
            </w:r>
          </w:p>
        </w:tc>
        <w:tc>
          <w:tcPr>
            <w:tcW w:w="0" w:type="dxa"/>
            <w:vAlign w:val="center"/>
          </w:tcPr>
          <w:p>
            <w:pPr>
              <w:spacing w:line="240" w:lineRule="auto"/>
              <w:jc w:val="left"/>
            </w:pPr>
            <w:r>
              <w:rPr>
                <w:rFonts w:ascii="宋体" w:hAnsi="宋体" w:eastAsia="宋体" w:cs="宋体"/>
                <w:b/>
              </w:rPr>
              <w:t>基金托管人</w:t>
            </w:r>
          </w:p>
        </w:tc>
        <w:tc>
          <w:tcPr>
            <w:tcW w:w="0" w:type="dxa"/>
            <w:vAlign w:val="center"/>
          </w:tcPr>
          <w:p>
            <w:pPr>
              <w:spacing w:line="240" w:lineRule="auto"/>
              <w:jc w:val="left"/>
            </w:pPr>
            <w:r>
              <w:rPr>
                <w:rFonts w:ascii="宋体" w:hAnsi="宋体" w:eastAsia="宋体" w:cs="宋体"/>
                <w:b w:val="0"/>
              </w:rPr>
              <w:t>中国农业银行股份有限公司</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基金合同生效日</w:t>
            </w:r>
          </w:p>
        </w:tc>
        <w:tc>
          <w:tcPr>
            <w:tcW w:w="0" w:type="dxa"/>
            <w:vAlign w:val="center"/>
          </w:tcPr>
          <w:p>
            <w:pPr>
              <w:spacing w:line="240" w:lineRule="auto"/>
              <w:jc w:val="left"/>
            </w:pPr>
            <w:r>
              <w:rPr>
                <w:rFonts w:ascii="宋体" w:hAnsi="宋体" w:eastAsia="宋体" w:cs="宋体"/>
                <w:b w:val="0"/>
              </w:rPr>
              <w:t>2023年05月12日</w:t>
            </w:r>
          </w:p>
        </w:tc>
        <w:tc>
          <w:tcPr>
            <w:tcW w:w="0" w:type="dxa"/>
            <w:vAlign w:val="center"/>
          </w:tcPr>
          <w:p>
            <w:pPr>
              <w:spacing w:line="240" w:lineRule="auto"/>
              <w:jc w:val="left"/>
            </w:pPr>
            <w:r>
              <w:rPr>
                <w:rFonts w:ascii="宋体" w:hAnsi="宋体" w:eastAsia="宋体" w:cs="宋体"/>
                <w:b/>
              </w:rPr>
              <w:t>上市交易所及上市日期</w:t>
            </w:r>
          </w:p>
        </w:tc>
        <w:tc>
          <w:tcPr>
            <w:tcW w:w="0" w:type="dxa"/>
            <w:vAlign w:val="center"/>
          </w:tcPr>
          <w:p>
            <w:pPr>
              <w:spacing w:line="240" w:lineRule="auto"/>
              <w:jc w:val="left"/>
            </w:pPr>
            <w:r>
              <w:rPr>
                <w:rFonts w:ascii="宋体" w:hAnsi="宋体" w:eastAsia="宋体" w:cs="宋体"/>
                <w:b w:val="0"/>
              </w:rPr>
              <w:t>暂未上市</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基金类型</w:t>
            </w:r>
          </w:p>
        </w:tc>
        <w:tc>
          <w:tcPr>
            <w:tcW w:w="0" w:type="dxa"/>
            <w:vAlign w:val="center"/>
          </w:tcPr>
          <w:p>
            <w:pPr>
              <w:spacing w:line="240" w:lineRule="auto"/>
              <w:jc w:val="left"/>
            </w:pPr>
            <w:r>
              <w:rPr>
                <w:rFonts w:ascii="宋体" w:hAnsi="宋体" w:eastAsia="宋体" w:cs="宋体"/>
                <w:b w:val="0"/>
              </w:rPr>
              <w:t>混合型</w:t>
            </w:r>
          </w:p>
        </w:tc>
        <w:tc>
          <w:tcPr>
            <w:tcW w:w="0" w:type="dxa"/>
            <w:vAlign w:val="center"/>
          </w:tcPr>
          <w:p>
            <w:pPr>
              <w:spacing w:line="240" w:lineRule="auto"/>
              <w:jc w:val="left"/>
            </w:pPr>
            <w:r>
              <w:rPr>
                <w:rFonts w:ascii="宋体" w:hAnsi="宋体" w:eastAsia="宋体" w:cs="宋体"/>
                <w:b/>
              </w:rPr>
              <w:t>交易币种</w:t>
            </w:r>
          </w:p>
        </w:tc>
        <w:tc>
          <w:tcPr>
            <w:tcW w:w="0" w:type="dxa"/>
            <w:vAlign w:val="center"/>
          </w:tcPr>
          <w:p>
            <w:pPr>
              <w:spacing w:line="240" w:lineRule="auto"/>
              <w:jc w:val="left"/>
            </w:pPr>
            <w:r>
              <w:rPr>
                <w:rFonts w:ascii="宋体" w:hAnsi="宋体" w:eastAsia="宋体" w:cs="宋体"/>
                <w:b w:val="0"/>
              </w:rPr>
              <w:t>人民币</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运作方式</w:t>
            </w:r>
          </w:p>
        </w:tc>
        <w:tc>
          <w:tcPr>
            <w:tcW w:w="0" w:type="dxa"/>
            <w:vAlign w:val="center"/>
          </w:tcPr>
          <w:p>
            <w:pPr>
              <w:spacing w:line="240" w:lineRule="auto"/>
              <w:jc w:val="left"/>
            </w:pPr>
            <w:r>
              <w:rPr>
                <w:rFonts w:ascii="宋体" w:hAnsi="宋体" w:eastAsia="宋体" w:cs="宋体"/>
                <w:b w:val="0"/>
              </w:rPr>
              <w:t>普通开放式</w:t>
            </w:r>
          </w:p>
        </w:tc>
        <w:tc>
          <w:tcPr>
            <w:tcW w:w="0" w:type="dxa"/>
            <w:vAlign w:val="center"/>
          </w:tcPr>
          <w:p>
            <w:pPr>
              <w:spacing w:line="240" w:lineRule="auto"/>
              <w:jc w:val="left"/>
            </w:pPr>
            <w:r>
              <w:rPr>
                <w:rFonts w:ascii="宋体" w:hAnsi="宋体" w:eastAsia="宋体" w:cs="宋体"/>
                <w:b/>
              </w:rPr>
              <w:t>开放频率</w:t>
            </w:r>
          </w:p>
        </w:tc>
        <w:tc>
          <w:tcPr>
            <w:tcW w:w="0" w:type="dxa"/>
            <w:vAlign w:val="center"/>
          </w:tcPr>
          <w:p>
            <w:pPr>
              <w:spacing w:line="240" w:lineRule="auto"/>
              <w:jc w:val="left"/>
            </w:pPr>
            <w:r>
              <w:rPr>
                <w:rFonts w:ascii="宋体" w:hAnsi="宋体" w:eastAsia="宋体" w:cs="宋体"/>
                <w:b w:val="0"/>
              </w:rPr>
              <w:t>每个开放日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基金经理</w:t>
            </w:r>
          </w:p>
        </w:tc>
        <w:tc>
          <w:tcPr>
            <w:tcW w:w="0" w:type="dxa"/>
            <w:vMerge w:val="restart"/>
            <w:vAlign w:val="center"/>
          </w:tcPr>
          <w:p>
            <w:pPr>
              <w:spacing w:line="240" w:lineRule="auto"/>
              <w:jc w:val="left"/>
            </w:pPr>
            <w:r>
              <w:rPr>
                <w:rFonts w:ascii="宋体" w:hAnsi="宋体" w:eastAsia="宋体" w:cs="宋体"/>
                <w:b w:val="0"/>
              </w:rPr>
              <w:t>孙振波</w:t>
            </w:r>
          </w:p>
        </w:tc>
        <w:tc>
          <w:tcPr>
            <w:tcW w:w="0" w:type="dxa"/>
            <w:vAlign w:val="center"/>
          </w:tcPr>
          <w:p>
            <w:pPr>
              <w:spacing w:line="240" w:lineRule="auto"/>
              <w:jc w:val="left"/>
            </w:pPr>
            <w:r>
              <w:rPr>
                <w:rFonts w:ascii="宋体" w:hAnsi="宋体" w:eastAsia="宋体" w:cs="宋体"/>
                <w:b/>
              </w:rPr>
              <w:t>开始担任本基金基金经理的日期</w:t>
            </w:r>
          </w:p>
        </w:tc>
        <w:tc>
          <w:tcPr>
            <w:tcW w:w="0" w:type="dxa"/>
            <w:vAlign w:val="center"/>
          </w:tcPr>
          <w:p>
            <w:pPr>
              <w:spacing w:line="240" w:lineRule="auto"/>
              <w:jc w:val="left"/>
            </w:pPr>
            <w:r>
              <w:rPr>
                <w:rFonts w:ascii="宋体" w:hAnsi="宋体" w:eastAsia="宋体" w:cs="宋体"/>
                <w:b w:val="0"/>
              </w:rPr>
              <w:t>2023年05月12日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vMerge w:val="continue"/>
          </w:tcPr>
          <w:p/>
        </w:tc>
        <w:tc>
          <w:tcPr>
            <w:tcW w:w="0" w:type="dxa"/>
            <w:vAlign w:val="center"/>
          </w:tcPr>
          <w:p>
            <w:pPr>
              <w:spacing w:line="240" w:lineRule="auto"/>
              <w:jc w:val="left"/>
            </w:pPr>
            <w:r>
              <w:rPr>
                <w:rFonts w:ascii="宋体" w:hAnsi="宋体" w:eastAsia="宋体" w:cs="宋体"/>
                <w:b/>
              </w:rPr>
              <w:t>证券从业日期</w:t>
            </w:r>
          </w:p>
        </w:tc>
        <w:tc>
          <w:tcPr>
            <w:tcW w:w="0" w:type="dxa"/>
            <w:vAlign w:val="center"/>
          </w:tcPr>
          <w:p>
            <w:pPr>
              <w:spacing w:line="240" w:lineRule="auto"/>
              <w:jc w:val="left"/>
            </w:pPr>
            <w:r>
              <w:rPr>
                <w:rFonts w:ascii="宋体" w:hAnsi="宋体" w:eastAsia="宋体" w:cs="宋体"/>
                <w:b w:val="0"/>
              </w:rPr>
              <w:t>2019年07月01日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Fonts w:ascii="宋体" w:hAnsi="宋体" w:eastAsia="宋体" w:cs="宋体"/>
          <w:b/>
        </w:rPr>
        <w:t>（一）投资目标与投资策略</w:t>
      </w:r>
    </w:p>
    <w:p>
      <w:r>
        <w:rPr>
          <w:rFonts w:ascii="宋体" w:hAnsi="宋体" w:eastAsia="宋体" w:cs="宋体"/>
          <w:b w:val="0"/>
        </w:rPr>
        <w:t xml:space="preserve">    详见《东方阿尔法瑞丰混合型发起式证券投资基金招募说明书》第九部分“基金的投资”。</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7143"/>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本基金在严格控制风险的基础之上，通过深入研究、优选个股、主动的投资管理方式力求实现组合资产的稳健增值。</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公开发行的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如法律法规或监管机构以后允许基金投资其他品种，基金管理人在履行适当程序后，可以将其纳入投资范围。</w:t>
            </w:r>
            <w:r>
              <w:rPr>
                <w:rFonts w:ascii="宋体" w:hAnsi="宋体" w:eastAsia="宋体" w:cs="宋体"/>
                <w:b w:val="0"/>
              </w:rPr>
              <w:br w:type="textWrapping"/>
            </w:r>
            <w:r>
              <w:rPr>
                <w:rFonts w:ascii="宋体" w:hAnsi="宋体" w:eastAsia="宋体" w:cs="宋体"/>
                <w:b w:val="0"/>
              </w:rPr>
              <w:t>基金的投资组合比例为：本基金投资组合中股票资产投资比例为基金资产的60%-95%，其中对港股通标的股票（包括沪港通股票及深港通股票）的投资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如果法律法规或中国证监会变更投资品种的投资比例限制，基金管理人在履行适当程序后，可以调整上述投资品种的投资比例。</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基金基于宏观经济研究，确定大类资产配置比例；通过上市公司基本面分析，主要采用优选个股的主动投资策略，获取超额收益。优选个股是指积极、深入、全面地了解上市公司基本面，动态评估公司价值。当股价低于合理价值区域时，买入并持有；在股价回复到合理价值的过程中，分享股价提升带来的超额收益。</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中证800指数收益率×65%+恒生指数收益率×20%+中证综合债（全价）指数收益率×15%</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注：2026年9月21日起本基金的业绩比较基准调整为中证800指数收益率×65%+恒生指数收益率×20%+中证综合债（全价）指数收益率×15%。</w:t>
      </w:r>
    </w:p>
    <w:p/>
    <w:p>
      <w:pPr>
        <w:pStyle w:val="3"/>
        <w:jc w:val="left"/>
      </w:pPr>
      <w:r>
        <w:rPr>
          <w:rFonts w:ascii="宋体" w:hAnsi="宋体" w:eastAsia="宋体" w:cs="宋体"/>
        </w:rPr>
        <w:t>三、投资本基金涉及的费用</w:t>
      </w:r>
    </w:p>
    <w:p>
      <w:pPr>
        <w:pStyle w:val="58"/>
      </w:pPr>
      <w:r>
        <w:rPr>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N&lt;7天</w:t>
            </w:r>
          </w:p>
        </w:tc>
        <w:tc>
          <w:tcPr>
            <w:tcW w:w="0" w:type="dxa"/>
            <w:vAlign w:val="center"/>
          </w:tcPr>
          <w:p>
            <w:pPr>
              <w:spacing w:line="240" w:lineRule="auto"/>
              <w:jc w:val="left"/>
            </w:pPr>
            <w:r>
              <w:rPr>
                <w:rFonts w:ascii="宋体" w:hAnsi="宋体" w:eastAsia="宋体" w:cs="宋体"/>
                <w:b w:val="0"/>
              </w:rPr>
              <w:t>1.5%</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w:t>
            </w:r>
          </w:p>
        </w:tc>
        <w:tc>
          <w:tcPr>
            <w:tcW w:w="0" w:type="dxa"/>
            <w:vAlign w:val="center"/>
          </w:tcPr>
          <w:p>
            <w:pPr>
              <w:spacing w:line="240" w:lineRule="auto"/>
              <w:jc w:val="left"/>
            </w:pPr>
          </w:p>
        </w:tc>
      </w:tr>
    </w:tbl>
    <w:p/>
    <w:p>
      <w:pPr>
        <w:pStyle w:val="58"/>
      </w:pPr>
      <w:r>
        <w:rPr>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4286"/>
        <w:gridCol w:w="2857"/>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43,000.00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律师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4714"/>
        <w:gridCol w:w="457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2.05%</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（1）本基金为混合型基金，本基金投资于股票的比例占基金资产的60%-95%，投资集中度比较明显，股票市场的价格波动可能会导致基金净值发生剧烈波动的风险。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在基金合同生效三年后继续存续的，连续50个工作日出现基金份额持有人数量不满200人或者基金资产净值低于5000万元情形的，本基金将根据基金合同约定进入清算程序并终止，无需召开基金份额持有人大会进行表决。    </w:t>
      </w:r>
      <w:r>
        <w:rPr>
          <w:rFonts w:ascii="宋体" w:hAnsi="宋体" w:eastAsia="宋体" w:cs="宋体"/>
          <w:b w:val="0"/>
        </w:rPr>
        <w:br w:type="textWrapping"/>
      </w:r>
      <w:r>
        <w:rPr>
          <w:rFonts w:ascii="宋体" w:hAnsi="宋体" w:eastAsia="宋体" w:cs="宋体"/>
          <w:b w:val="0"/>
        </w:rPr>
        <w:t xml:space="preserve">    （3）本基金除了投资于A股市场优质企业外，还可在法律法规规定的范围内投资港股通标的股票，会面临港股通机制下因投资环境、投资标的、市场制度以及交易规则等差异带来的特有风险。</w:t>
      </w:r>
      <w:r>
        <w:rPr>
          <w:rFonts w:ascii="宋体" w:hAnsi="宋体" w:eastAsia="宋体" w:cs="宋体"/>
          <w:b w:val="0"/>
        </w:rPr>
        <w:br w:type="textWrapping"/>
      </w:r>
      <w:r>
        <w:rPr>
          <w:rFonts w:ascii="宋体" w:hAnsi="宋体" w:eastAsia="宋体" w:cs="宋体"/>
          <w:b w:val="0"/>
        </w:rPr>
        <w:t xml:space="preserve">    （4）本基金可投资科创板和北交所上市交易股票，将承担因上市条件、交易规则、退市制度等差异带来的特有风险，包括流动性风险、退市风险、投资集中风险等。</w:t>
      </w:r>
      <w:r>
        <w:rPr>
          <w:rFonts w:ascii="宋体" w:hAnsi="宋体" w:eastAsia="宋体" w:cs="宋体"/>
          <w:b w:val="0"/>
        </w:rPr>
        <w:br w:type="textWrapping"/>
      </w:r>
      <w:r>
        <w:rPr>
          <w:rFonts w:ascii="宋体" w:hAnsi="宋体" w:eastAsia="宋体" w:cs="宋体"/>
          <w:b w:val="0"/>
        </w:rPr>
        <w:t xml:space="preserve">    （5）本基金可投资股指期货，可能会出现的风险包括基差风险、合约品种差异造成的风险、标的物风险、衍生品模型风险等。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（6）本基金可投资国债期货，国债期货的风险主要包含市场风险、流动性风险、信用风险、合规性风险以及国债期货实物交割风险等。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（7）本基金可投资资产支持类证券，资产支持证券的风险主要包括信用风险、利率风险、流动性风险、提前偿付风险等。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（8）本基金可投资存托凭证，将面临中国存托凭证价格大幅波动甚至出现较大亏损的风险，以及与中国存托凭证发行机制相关的风险。</w:t>
      </w:r>
      <w:r>
        <w:rPr>
          <w:rFonts w:ascii="宋体" w:hAnsi="宋体" w:eastAsia="宋体" w:cs="宋体"/>
          <w:b w:val="0"/>
        </w:rPr>
        <w:br w:type="textWrapping"/>
      </w:r>
      <w:r>
        <w:rPr>
          <w:rFonts w:ascii="宋体" w:hAnsi="宋体" w:eastAsia="宋体" w:cs="宋体"/>
          <w:b w:val="0"/>
        </w:rPr>
        <w:t xml:space="preserve">    （9）本基金可投资股票期权，股票期权的风险包括市场风险、流动性风险和基差风险。</w:t>
      </w:r>
      <w:r>
        <w:rPr>
          <w:rFonts w:ascii="宋体" w:hAnsi="宋体" w:eastAsia="宋体" w:cs="宋体"/>
          <w:b w:val="0"/>
        </w:rPr>
        <w:br w:type="textWrapping"/>
      </w:r>
      <w:r>
        <w:rPr>
          <w:rFonts w:ascii="宋体" w:hAnsi="宋体" w:eastAsia="宋体" w:cs="宋体"/>
          <w:b w:val="0"/>
        </w:rPr>
        <w:t xml:space="preserve">    （10）本基金可参与融资交易，融资交易的风险主要包括流动性风险、信用风险等，这些风险可能会给基金净值带来一定的负面影响和损失。</w:t>
      </w:r>
      <w:r>
        <w:rPr>
          <w:rFonts w:ascii="宋体" w:hAnsi="宋体" w:eastAsia="宋体" w:cs="宋体"/>
          <w:b w:val="0"/>
        </w:rPr>
        <w:br w:type="textWrapping"/>
      </w:r>
      <w:r>
        <w:rPr>
          <w:rFonts w:ascii="宋体" w:hAnsi="宋体" w:eastAsia="宋体" w:cs="宋体"/>
          <w:b w:val="0"/>
        </w:rPr>
        <w:t xml:space="preserve">    （11）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2、混合型证券投资基金的共有风险：市场风险、管理风险、职业道德风险、流动性风险、合规风险、投资管理风险、操作和技术风险以及不可抗力可能导致的其他风险。</w:t>
      </w:r>
    </w:p>
    <w:p/>
    <w:p>
      <w:pPr>
        <w:pStyle w:val="58"/>
      </w:pPr>
      <w:r>
        <w:rPr>
          <w:rFonts w:ascii="宋体" w:hAnsi="宋体" w:eastAsia="宋体" w:cs="宋体"/>
          <w:b/>
        </w:rPr>
        <w:t>（二）重要提示</w:t>
      </w:r>
    </w:p>
    <w:p>
      <w:pPr>
        <w:jc w:val="left"/>
      </w:pPr>
      <w:r>
        <w:rPr>
          <w:rFonts w:ascii="宋体" w:hAnsi="宋体" w:eastAsia="宋体" w:cs="宋体"/>
          <w:b w:val="0"/>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rPr>
        <w:rFonts w:ascii="宋体" w:hAnsi="宋体"/>
      </w:rPr>
      <w:ptab w:relativeTo="margin" w:alignment="center" w:leader="none"/>
    </w:r>
    <w:r>
      <w:rPr>
        <w:rFonts w:hint="eastAsia" w:ascii="宋体" w:hAnsi="宋体"/>
        <w:sz w:val="18"/>
      </w:rPr>
      <w:t>东方阿尔法瑞丰混合型发起式证券投资基金（C类份额）基金产品资料概要更新</w:t>
    </w:r>
    <w:r>
      <w:rPr>
        <w:rFonts w:ascii="宋体" w:hAnsi="宋体"/>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0DBA25F2"/>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qFormat/>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qFormat/>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qFormat/>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qFormat/>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qFormat/>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qFormat/>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qFormat/>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2026-09-16T08:56:47Z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