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rPr>
          <w:rFonts w:ascii="宋体" w:hAnsi="宋体" w:eastAsia="宋体" w:cs="宋体"/>
        </w:rPr>
        <w:t>东方阿尔法医疗健康混合型发起式证券投资基金（C类份额）基金产品资料概要更新</w:t>
      </w:r>
    </w:p>
    <w:p>
      <w:pPr>
        <w:jc w:val="right"/>
      </w:pPr>
      <w:r>
        <w:rPr>
          <w:rFonts w:ascii="宋体" w:hAnsi="宋体" w:eastAsia="宋体" w:cs="宋体"/>
          <w:b w:val="0"/>
        </w:rPr>
        <w:t>编制日期：2026年09月17日</w:t>
      </w:r>
    </w:p>
    <w:p>
      <w:pPr>
        <w:jc w:val="center"/>
      </w:pPr>
      <w:r>
        <w:rPr>
          <w:rFonts w:ascii="宋体" w:hAnsi="宋体" w:eastAsia="宋体" w:cs="宋体"/>
          <w:b w:val="0"/>
        </w:rPr>
        <w:t>送出日期：2026年09月21日</w:t>
      </w:r>
    </w:p>
    <w:p>
      <w:pPr>
        <w:jc w:val="center"/>
      </w:pPr>
      <w:r>
        <w:rPr>
          <w:rFonts w:ascii="宋体" w:hAnsi="宋体" w:eastAsia="宋体" w:cs="宋体"/>
          <w:b/>
        </w:rPr>
        <w:t>本概要提供本基金的重要信息，是招募说明书的一部分。</w:t>
      </w:r>
    </w:p>
    <w:p>
      <w:pPr>
        <w:jc w:val="center"/>
      </w:pPr>
      <w:r>
        <w:rPr>
          <w:rFonts w:ascii="宋体" w:hAnsi="宋体" w:eastAsia="宋体" w:cs="宋体"/>
          <w:b/>
        </w:rPr>
        <w:t>作出投资决定前，请阅读完整的招募说明书等销售文件。</w:t>
      </w:r>
    </w:p>
    <w:p>
      <w:pPr>
        <w:pStyle w:val="3"/>
        <w:jc w:val="left"/>
      </w:pPr>
      <w:r>
        <w:rPr>
          <w:rFonts w:ascii="宋体" w:hAnsi="宋体" w:eastAsia="宋体" w:cs="宋体"/>
        </w:rPr>
        <w:t>一、产品概况</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fixed"/>
        <w:tblCellMar>
          <w:top w:w="0" w:type="dxa"/>
          <w:left w:w="108" w:type="dxa"/>
          <w:bottom w:w="0" w:type="dxa"/>
          <w:right w:w="108" w:type="dxa"/>
        </w:tblCellMar>
      </w:tblPr>
      <w:tblGrid>
        <w:gridCol w:w="2322"/>
        <w:gridCol w:w="2322"/>
        <w:gridCol w:w="2322"/>
        <w:gridCol w:w="2322"/>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基金简称</w:t>
            </w:r>
          </w:p>
        </w:tc>
        <w:tc>
          <w:tcPr>
            <w:tcW w:w="1346" w:type="pct"/>
            <w:vAlign w:val="center"/>
          </w:tcPr>
          <w:p>
            <w:pPr>
              <w:spacing w:line="240" w:lineRule="auto"/>
              <w:jc w:val="left"/>
            </w:pPr>
            <w:r>
              <w:rPr>
                <w:rFonts w:ascii="宋体" w:hAnsi="宋体" w:eastAsia="宋体" w:cs="宋体"/>
                <w:b w:val="0"/>
              </w:rPr>
              <w:t>东方阿尔法医疗健康混合发起</w:t>
            </w:r>
          </w:p>
        </w:tc>
        <w:tc>
          <w:tcPr>
            <w:tcW w:w="1154" w:type="pct"/>
            <w:vAlign w:val="center"/>
          </w:tcPr>
          <w:p>
            <w:pPr>
              <w:spacing w:line="240" w:lineRule="auto"/>
              <w:jc w:val="left"/>
            </w:pPr>
            <w:r>
              <w:rPr>
                <w:rFonts w:ascii="宋体" w:hAnsi="宋体" w:eastAsia="宋体" w:cs="宋体"/>
                <w:b/>
              </w:rPr>
              <w:t>基金代码</w:t>
            </w:r>
          </w:p>
        </w:tc>
        <w:tc>
          <w:tcPr>
            <w:tcW w:w="1346" w:type="pct"/>
            <w:vAlign w:val="center"/>
          </w:tcPr>
          <w:p>
            <w:pPr>
              <w:spacing w:line="240" w:lineRule="auto"/>
              <w:jc w:val="left"/>
            </w:pPr>
            <w:r>
              <w:rPr>
                <w:rFonts w:ascii="宋体" w:hAnsi="宋体" w:eastAsia="宋体" w:cs="宋体"/>
                <w:b w:val="0"/>
              </w:rPr>
              <w:t>014841</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基金简称C</w:t>
            </w:r>
          </w:p>
        </w:tc>
        <w:tc>
          <w:tcPr>
            <w:tcW w:w="0" w:type="dxa"/>
            <w:vAlign w:val="center"/>
          </w:tcPr>
          <w:p>
            <w:pPr>
              <w:spacing w:line="240" w:lineRule="auto"/>
              <w:jc w:val="left"/>
            </w:pPr>
            <w:r>
              <w:rPr>
                <w:rFonts w:ascii="宋体" w:hAnsi="宋体" w:eastAsia="宋体" w:cs="宋体"/>
                <w:b w:val="0"/>
              </w:rPr>
              <w:t>东方阿尔法医疗健康混合发起C</w:t>
            </w:r>
          </w:p>
        </w:tc>
        <w:tc>
          <w:tcPr>
            <w:tcW w:w="0" w:type="dxa"/>
            <w:vAlign w:val="center"/>
          </w:tcPr>
          <w:p>
            <w:pPr>
              <w:spacing w:line="240" w:lineRule="auto"/>
              <w:jc w:val="left"/>
            </w:pPr>
            <w:r>
              <w:rPr>
                <w:rFonts w:ascii="宋体" w:hAnsi="宋体" w:eastAsia="宋体" w:cs="宋体"/>
                <w:b/>
              </w:rPr>
              <w:t>基金代码C</w:t>
            </w:r>
          </w:p>
        </w:tc>
        <w:tc>
          <w:tcPr>
            <w:tcW w:w="0" w:type="dxa"/>
            <w:vAlign w:val="center"/>
          </w:tcPr>
          <w:p>
            <w:pPr>
              <w:spacing w:line="240" w:lineRule="auto"/>
              <w:jc w:val="left"/>
            </w:pPr>
            <w:r>
              <w:rPr>
                <w:rFonts w:ascii="宋体" w:hAnsi="宋体" w:eastAsia="宋体" w:cs="宋体"/>
                <w:b w:val="0"/>
              </w:rPr>
              <w:t>014842</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基金管理人</w:t>
            </w:r>
          </w:p>
        </w:tc>
        <w:tc>
          <w:tcPr>
            <w:tcW w:w="0" w:type="dxa"/>
            <w:vAlign w:val="center"/>
          </w:tcPr>
          <w:p>
            <w:pPr>
              <w:spacing w:line="240" w:lineRule="auto"/>
              <w:jc w:val="left"/>
            </w:pPr>
            <w:r>
              <w:rPr>
                <w:rFonts w:ascii="宋体" w:hAnsi="宋体" w:eastAsia="宋体" w:cs="宋体"/>
                <w:b w:val="0"/>
              </w:rPr>
              <w:t>东方阿尔法基金管理有限公司</w:t>
            </w:r>
          </w:p>
        </w:tc>
        <w:tc>
          <w:tcPr>
            <w:tcW w:w="0" w:type="dxa"/>
            <w:vAlign w:val="center"/>
          </w:tcPr>
          <w:p>
            <w:pPr>
              <w:spacing w:line="240" w:lineRule="auto"/>
              <w:jc w:val="left"/>
            </w:pPr>
            <w:r>
              <w:rPr>
                <w:rFonts w:ascii="宋体" w:hAnsi="宋体" w:eastAsia="宋体" w:cs="宋体"/>
                <w:b/>
              </w:rPr>
              <w:t>基金托管人</w:t>
            </w:r>
          </w:p>
        </w:tc>
        <w:tc>
          <w:tcPr>
            <w:tcW w:w="0" w:type="dxa"/>
            <w:vAlign w:val="center"/>
          </w:tcPr>
          <w:p>
            <w:pPr>
              <w:spacing w:line="240" w:lineRule="auto"/>
              <w:jc w:val="left"/>
            </w:pPr>
            <w:r>
              <w:rPr>
                <w:rFonts w:ascii="宋体" w:hAnsi="宋体" w:eastAsia="宋体" w:cs="宋体"/>
                <w:b w:val="0"/>
              </w:rPr>
              <w:t>招商银行股份有限公司</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基金合同生效日</w:t>
            </w:r>
          </w:p>
        </w:tc>
        <w:tc>
          <w:tcPr>
            <w:tcW w:w="0" w:type="dxa"/>
            <w:vAlign w:val="center"/>
          </w:tcPr>
          <w:p>
            <w:pPr>
              <w:spacing w:line="240" w:lineRule="auto"/>
              <w:jc w:val="left"/>
            </w:pPr>
            <w:r>
              <w:rPr>
                <w:rFonts w:ascii="宋体" w:hAnsi="宋体" w:eastAsia="宋体" w:cs="宋体"/>
                <w:b w:val="0"/>
              </w:rPr>
              <w:t>2022年03月30日</w:t>
            </w:r>
          </w:p>
        </w:tc>
        <w:tc>
          <w:tcPr>
            <w:tcW w:w="0" w:type="dxa"/>
            <w:vAlign w:val="center"/>
          </w:tcPr>
          <w:p>
            <w:pPr>
              <w:spacing w:line="240" w:lineRule="auto"/>
              <w:jc w:val="left"/>
            </w:pPr>
            <w:r>
              <w:rPr>
                <w:rFonts w:ascii="宋体" w:hAnsi="宋体" w:eastAsia="宋体" w:cs="宋体"/>
                <w:b/>
              </w:rPr>
              <w:t>上市交易所及上市日期</w:t>
            </w:r>
          </w:p>
        </w:tc>
        <w:tc>
          <w:tcPr>
            <w:tcW w:w="0" w:type="dxa"/>
            <w:vAlign w:val="center"/>
          </w:tcPr>
          <w:p>
            <w:pPr>
              <w:spacing w:line="240" w:lineRule="auto"/>
              <w:jc w:val="left"/>
            </w:pPr>
            <w:r>
              <w:rPr>
                <w:rFonts w:ascii="宋体" w:hAnsi="宋体" w:eastAsia="宋体" w:cs="宋体"/>
                <w:b w:val="0"/>
              </w:rPr>
              <w:t>暂未上市</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基金类型</w:t>
            </w:r>
          </w:p>
        </w:tc>
        <w:tc>
          <w:tcPr>
            <w:tcW w:w="0" w:type="dxa"/>
            <w:vAlign w:val="center"/>
          </w:tcPr>
          <w:p>
            <w:pPr>
              <w:spacing w:line="240" w:lineRule="auto"/>
              <w:jc w:val="left"/>
            </w:pPr>
            <w:r>
              <w:rPr>
                <w:rFonts w:ascii="宋体" w:hAnsi="宋体" w:eastAsia="宋体" w:cs="宋体"/>
                <w:b w:val="0"/>
              </w:rPr>
              <w:t>混合型</w:t>
            </w:r>
          </w:p>
        </w:tc>
        <w:tc>
          <w:tcPr>
            <w:tcW w:w="0" w:type="dxa"/>
            <w:vAlign w:val="center"/>
          </w:tcPr>
          <w:p>
            <w:pPr>
              <w:spacing w:line="240" w:lineRule="auto"/>
              <w:jc w:val="left"/>
            </w:pPr>
            <w:r>
              <w:rPr>
                <w:rFonts w:ascii="宋体" w:hAnsi="宋体" w:eastAsia="宋体" w:cs="宋体"/>
                <w:b/>
              </w:rPr>
              <w:t>交易币种</w:t>
            </w:r>
          </w:p>
        </w:tc>
        <w:tc>
          <w:tcPr>
            <w:tcW w:w="0" w:type="dxa"/>
            <w:vAlign w:val="center"/>
          </w:tcPr>
          <w:p>
            <w:pPr>
              <w:spacing w:line="240" w:lineRule="auto"/>
              <w:jc w:val="left"/>
            </w:pPr>
            <w:r>
              <w:rPr>
                <w:rFonts w:ascii="宋体" w:hAnsi="宋体" w:eastAsia="宋体" w:cs="宋体"/>
                <w:b w:val="0"/>
              </w:rPr>
              <w:t>人民币</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运作方式</w:t>
            </w:r>
          </w:p>
        </w:tc>
        <w:tc>
          <w:tcPr>
            <w:tcW w:w="0" w:type="dxa"/>
            <w:vAlign w:val="center"/>
          </w:tcPr>
          <w:p>
            <w:pPr>
              <w:spacing w:line="240" w:lineRule="auto"/>
              <w:jc w:val="left"/>
            </w:pPr>
            <w:r>
              <w:rPr>
                <w:rFonts w:ascii="宋体" w:hAnsi="宋体" w:eastAsia="宋体" w:cs="宋体"/>
                <w:b w:val="0"/>
              </w:rPr>
              <w:t>普通开放式</w:t>
            </w:r>
          </w:p>
        </w:tc>
        <w:tc>
          <w:tcPr>
            <w:tcW w:w="0" w:type="dxa"/>
            <w:vAlign w:val="center"/>
          </w:tcPr>
          <w:p>
            <w:pPr>
              <w:spacing w:line="240" w:lineRule="auto"/>
              <w:jc w:val="left"/>
            </w:pPr>
            <w:r>
              <w:rPr>
                <w:rFonts w:ascii="宋体" w:hAnsi="宋体" w:eastAsia="宋体" w:cs="宋体"/>
                <w:b/>
              </w:rPr>
              <w:t>开放频率</w:t>
            </w:r>
          </w:p>
        </w:tc>
        <w:tc>
          <w:tcPr>
            <w:tcW w:w="0" w:type="dxa"/>
            <w:vAlign w:val="center"/>
          </w:tcPr>
          <w:p>
            <w:pPr>
              <w:spacing w:line="240" w:lineRule="auto"/>
              <w:jc w:val="left"/>
            </w:pPr>
            <w:r>
              <w:rPr>
                <w:rFonts w:ascii="宋体" w:hAnsi="宋体" w:eastAsia="宋体" w:cs="宋体"/>
                <w:b w:val="0"/>
              </w:rPr>
              <w:t>每个开放日</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基金经理</w:t>
            </w:r>
          </w:p>
        </w:tc>
        <w:tc>
          <w:tcPr>
            <w:tcW w:w="0" w:type="dxa"/>
            <w:vMerge w:val="restart"/>
            <w:vAlign w:val="center"/>
          </w:tcPr>
          <w:p>
            <w:pPr>
              <w:spacing w:line="240" w:lineRule="auto"/>
              <w:jc w:val="left"/>
            </w:pPr>
            <w:r>
              <w:rPr>
                <w:rFonts w:ascii="宋体" w:hAnsi="宋体" w:eastAsia="宋体" w:cs="宋体"/>
                <w:b w:val="0"/>
              </w:rPr>
              <w:t>孙振波</w:t>
            </w:r>
          </w:p>
        </w:tc>
        <w:tc>
          <w:tcPr>
            <w:tcW w:w="0" w:type="dxa"/>
            <w:vAlign w:val="center"/>
          </w:tcPr>
          <w:p>
            <w:pPr>
              <w:spacing w:line="240" w:lineRule="auto"/>
              <w:jc w:val="left"/>
            </w:pPr>
            <w:r>
              <w:rPr>
                <w:rFonts w:ascii="宋体" w:hAnsi="宋体" w:eastAsia="宋体" w:cs="宋体"/>
                <w:b/>
              </w:rPr>
              <w:t>开始担任本基金基金经理的日期</w:t>
            </w:r>
          </w:p>
        </w:tc>
        <w:tc>
          <w:tcPr>
            <w:tcW w:w="0" w:type="dxa"/>
            <w:vAlign w:val="center"/>
          </w:tcPr>
          <w:p>
            <w:pPr>
              <w:spacing w:line="240" w:lineRule="auto"/>
              <w:jc w:val="left"/>
            </w:pPr>
            <w:r>
              <w:rPr>
                <w:rFonts w:ascii="宋体" w:hAnsi="宋体" w:eastAsia="宋体" w:cs="宋体"/>
                <w:b w:val="0"/>
              </w:rPr>
              <w:t>2026年08月05日</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vMerge w:val="continue"/>
          </w:tcPr>
          <w:p/>
        </w:tc>
        <w:tc>
          <w:tcPr>
            <w:tcW w:w="0" w:type="dxa"/>
            <w:vAlign w:val="center"/>
          </w:tcPr>
          <w:p>
            <w:pPr>
              <w:spacing w:line="240" w:lineRule="auto"/>
              <w:jc w:val="left"/>
            </w:pPr>
            <w:r>
              <w:rPr>
                <w:rFonts w:ascii="宋体" w:hAnsi="宋体" w:eastAsia="宋体" w:cs="宋体"/>
                <w:b/>
              </w:rPr>
              <w:t>证券从业日期</w:t>
            </w:r>
          </w:p>
        </w:tc>
        <w:tc>
          <w:tcPr>
            <w:tcW w:w="0" w:type="dxa"/>
            <w:vAlign w:val="center"/>
          </w:tcPr>
          <w:p>
            <w:pPr>
              <w:spacing w:line="240" w:lineRule="auto"/>
              <w:jc w:val="left"/>
            </w:pPr>
            <w:r>
              <w:rPr>
                <w:rFonts w:ascii="宋体" w:hAnsi="宋体" w:eastAsia="宋体" w:cs="宋体"/>
                <w:b w:val="0"/>
              </w:rPr>
              <w:t>2019年07月01日</w:t>
            </w:r>
          </w:p>
        </w:tc>
      </w:tr>
    </w:tbl>
    <w:p>
      <w:r>
        <w:rPr>
          <w:rFonts w:ascii="宋体" w:hAnsi="宋体" w:eastAsia="宋体" w:cs="宋体"/>
          <w:b w:val="0"/>
        </w:rPr>
        <w:t>注：本基金的基金类型为混合型（偏股混合型）</w:t>
      </w:r>
    </w:p>
    <w:p/>
    <w:p>
      <w:pPr>
        <w:pStyle w:val="3"/>
        <w:jc w:val="left"/>
      </w:pPr>
      <w:r>
        <w:rPr>
          <w:rFonts w:ascii="宋体" w:hAnsi="宋体" w:eastAsia="宋体" w:cs="宋体"/>
        </w:rPr>
        <w:t>二、基金投资与净值表现</w:t>
      </w:r>
    </w:p>
    <w:p>
      <w:pPr>
        <w:pStyle w:val="58"/>
      </w:pPr>
      <w:r>
        <w:rPr>
          <w:rFonts w:ascii="宋体" w:hAnsi="宋体" w:eastAsia="宋体" w:cs="宋体"/>
          <w:b/>
        </w:rPr>
        <w:t>（一）投资目标与投资策略</w:t>
      </w:r>
    </w:p>
    <w:p>
      <w:r>
        <w:rPr>
          <w:rFonts w:ascii="宋体" w:hAnsi="宋体" w:eastAsia="宋体" w:cs="宋体"/>
          <w:b w:val="0"/>
        </w:rPr>
        <w:t xml:space="preserve">    详见《东方阿尔法医疗健康混合型发起式证券投资基金招募说明书》第九部分“基金的投资”。</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2143"/>
        <w:gridCol w:w="7143"/>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投资目标</w:t>
            </w:r>
          </w:p>
        </w:tc>
        <w:tc>
          <w:tcPr>
            <w:tcW w:w="3846" w:type="pct"/>
            <w:vAlign w:val="center"/>
          </w:tcPr>
          <w:p>
            <w:pPr>
              <w:spacing w:line="240" w:lineRule="auto"/>
              <w:jc w:val="left"/>
            </w:pPr>
            <w:r>
              <w:rPr>
                <w:rFonts w:ascii="宋体" w:hAnsi="宋体" w:eastAsia="宋体" w:cs="宋体"/>
                <w:b w:val="0"/>
              </w:rPr>
              <w:t>本基金采用自上而下与自下而上相结合的投资方法，以基本面分析为立足点，精选医疗健康相关行业证券，在科学严格管理风险的前提下，谋求基金资产的中长期稳健增值。</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投资范围</w:t>
            </w:r>
          </w:p>
        </w:tc>
        <w:tc>
          <w:tcPr>
            <w:tcW w:w="3846" w:type="pct"/>
            <w:vAlign w:val="center"/>
          </w:tcPr>
          <w:p>
            <w:pPr>
              <w:spacing w:line="240" w:lineRule="auto"/>
              <w:jc w:val="left"/>
            </w:pPr>
            <w:r>
              <w:rPr>
                <w:rFonts w:ascii="宋体" w:hAnsi="宋体" w:eastAsia="宋体" w:cs="宋体"/>
                <w:b w:val="0"/>
              </w:rPr>
              <w:t>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证券公司短期公司债券、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w:t>
            </w:r>
            <w:r>
              <w:rPr>
                <w:rFonts w:ascii="宋体" w:hAnsi="宋体" w:eastAsia="宋体" w:cs="宋体"/>
                <w:b w:val="0"/>
              </w:rPr>
              <w:br w:type="textWrapping"/>
            </w:r>
            <w:r>
              <w:rPr>
                <w:rFonts w:ascii="宋体" w:hAnsi="宋体" w:eastAsia="宋体" w:cs="宋体"/>
                <w:b w:val="0"/>
              </w:rPr>
              <w:t>本基金的投资组合比例为：本基金投资组合中股票资产投资比例为基金资产的60%-95%，其中对港股通标的股票（包括沪港通股票及深港通股票）的投资比例不超过股票资产的50%。本基金以医疗健康行业的上市公司股票为主要投资对象，投资于医疗健康相关行业上市公司证券的资产占非现金基金资产的比例不低于80%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主要投资策略</w:t>
            </w:r>
          </w:p>
        </w:tc>
        <w:tc>
          <w:tcPr>
            <w:tcW w:w="3846" w:type="pct"/>
            <w:vAlign w:val="center"/>
          </w:tcPr>
          <w:p>
            <w:pPr>
              <w:spacing w:line="240" w:lineRule="auto"/>
              <w:jc w:val="left"/>
            </w:pPr>
            <w:r>
              <w:rPr>
                <w:rFonts w:ascii="宋体" w:hAnsi="宋体" w:eastAsia="宋体" w:cs="宋体"/>
                <w:b w:val="0"/>
              </w:rPr>
              <w:t>本基金将通过系统和深入的基本面研究，专注于医疗健康产业投资，对行业发展进行密切跟踪，根据市场不同阶段充分把握各个子行业轮动带来的投资机会。本基金所指医疗健康主题企业包括提供预防、诊断、治疗、康复及健康产品与服务的企业。在具体操作上，本基金将主要采用"自上而下"与"自下而上"相结合的方法，自上而下是分析每个阶段行业的主要增长驱动力和产业趋势，进而判断医疗健康相关行业内各细分领域的景气度和预期风险收益，在其中配置优质个股。在备选行业内部通过定量与定性相结合的分析方法，综合分析上市公司的业绩质量、成长性和估值水平等，精选具有良好成长性、估值合理的个股。</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业绩比较基准</w:t>
            </w:r>
          </w:p>
        </w:tc>
        <w:tc>
          <w:tcPr>
            <w:tcW w:w="3846" w:type="pct"/>
            <w:vAlign w:val="center"/>
          </w:tcPr>
          <w:p>
            <w:pPr>
              <w:spacing w:line="240" w:lineRule="auto"/>
              <w:jc w:val="left"/>
            </w:pPr>
            <w:r>
              <w:rPr>
                <w:rFonts w:ascii="宋体" w:hAnsi="宋体" w:eastAsia="宋体" w:cs="宋体"/>
                <w:b w:val="0"/>
              </w:rPr>
              <w:t>中证医药卫生指数收益率*65%+恒生医疗保健指数收益率*20%+中证综合债（全价）指数收益率*15%</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风险收益特征</w:t>
            </w:r>
          </w:p>
        </w:tc>
        <w:tc>
          <w:tcPr>
            <w:tcW w:w="3846" w:type="pct"/>
            <w:vAlign w:val="center"/>
          </w:tcPr>
          <w:p>
            <w:pPr>
              <w:spacing w:line="240" w:lineRule="auto"/>
              <w:jc w:val="left"/>
            </w:pPr>
            <w:r>
              <w:rPr>
                <w:rFonts w:ascii="宋体" w:hAnsi="宋体" w:eastAsia="宋体" w:cs="宋体"/>
                <w:b w:val="0"/>
              </w:rPr>
              <w:t>本基金为混合型基金，其预期收益和风险高于货币型基金、债券型基金。本基金如果投资港股通标的股票，需承担汇率风险以及境外市场的风险。</w:t>
            </w:r>
          </w:p>
        </w:tc>
      </w:tr>
    </w:tbl>
    <w:p>
      <w:r>
        <w:rPr>
          <w:rFonts w:ascii="宋体" w:hAnsi="宋体" w:eastAsia="宋体" w:cs="宋体"/>
          <w:b w:val="0"/>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58"/>
      </w:pPr>
      <w:r>
        <w:rPr>
          <w:rFonts w:ascii="宋体" w:hAnsi="宋体" w:eastAsia="宋体" w:cs="宋体"/>
          <w:b/>
        </w:rPr>
        <w:t>（二）投资组合资产配置图表/区域配置图表</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p>
      <w:pPr>
        <w:pStyle w:val="58"/>
      </w:pPr>
      <w:r>
        <w:rPr>
          <w:rFonts w:ascii="宋体" w:hAnsi="宋体" w:eastAsia="宋体" w:cs="宋体"/>
          <w:b/>
        </w:rPr>
        <w:t>（三）自基金合同生效以来/最近十年（孰短）基金每年的净值增长率及与同期业绩比较基准的比较图</w:t>
      </w:r>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r>
        <w:rPr>
          <w:rFonts w:ascii="宋体" w:hAnsi="宋体" w:eastAsia="宋体" w:cs="宋体"/>
          <w:b w:val="0"/>
        </w:rPr>
        <w:t>注：2026年9月21日起本基金的业绩比较基准调整为中证医药卫生指数收益率*65%+恒生医疗保健指数收益率*20%+中证综合债（全价）指数收益率*15%。</w:t>
      </w:r>
    </w:p>
    <w:p/>
    <w:p>
      <w:pPr>
        <w:pStyle w:val="3"/>
        <w:jc w:val="left"/>
      </w:pPr>
      <w:r>
        <w:rPr>
          <w:rFonts w:ascii="宋体" w:hAnsi="宋体" w:eastAsia="宋体" w:cs="宋体"/>
        </w:rPr>
        <w:t>三、投资本基金涉及的费用</w:t>
      </w:r>
    </w:p>
    <w:p>
      <w:pPr>
        <w:pStyle w:val="58"/>
      </w:pPr>
      <w:r>
        <w:rPr>
          <w:rFonts w:ascii="宋体" w:hAnsi="宋体" w:eastAsia="宋体" w:cs="宋体"/>
          <w:b/>
        </w:rPr>
        <w:t>（一）基金销售相关费用</w:t>
      </w:r>
    </w:p>
    <w:p>
      <w:r>
        <w:rPr>
          <w:rFonts w:ascii="宋体" w:hAnsi="宋体" w:eastAsia="宋体" w:cs="宋体"/>
          <w:b w:val="0"/>
        </w:rPr>
        <w:t>以下费用在申购/赎回基金过程中收取：</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1428"/>
        <w:gridCol w:w="3571"/>
        <w:gridCol w:w="2143"/>
        <w:gridCol w:w="2144"/>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769" w:type="pct"/>
            <w:vAlign w:val="center"/>
          </w:tcPr>
          <w:p>
            <w:pPr>
              <w:spacing w:line="240" w:lineRule="auto"/>
              <w:jc w:val="left"/>
            </w:pPr>
            <w:r>
              <w:rPr>
                <w:rFonts w:ascii="宋体" w:hAnsi="宋体" w:eastAsia="宋体" w:cs="宋体"/>
                <w:b/>
              </w:rPr>
              <w:t>费用类型</w:t>
            </w:r>
          </w:p>
        </w:tc>
        <w:tc>
          <w:tcPr>
            <w:tcW w:w="1923" w:type="pct"/>
            <w:vAlign w:val="center"/>
          </w:tcPr>
          <w:p>
            <w:pPr>
              <w:spacing w:line="240" w:lineRule="auto"/>
              <w:jc w:val="left"/>
            </w:pPr>
            <w:r>
              <w:rPr>
                <w:rFonts w:ascii="宋体" w:hAnsi="宋体" w:eastAsia="宋体" w:cs="宋体"/>
                <w:b/>
              </w:rPr>
              <w:t>份额(S)或金额(M)/持有期限(N)</w:t>
            </w:r>
          </w:p>
        </w:tc>
        <w:tc>
          <w:tcPr>
            <w:tcW w:w="1154" w:type="pct"/>
            <w:vAlign w:val="center"/>
          </w:tcPr>
          <w:p>
            <w:pPr>
              <w:spacing w:line="240" w:lineRule="auto"/>
              <w:jc w:val="left"/>
            </w:pPr>
            <w:r>
              <w:rPr>
                <w:rFonts w:ascii="宋体" w:hAnsi="宋体" w:eastAsia="宋体" w:cs="宋体"/>
                <w:b/>
              </w:rPr>
              <w:t>收费方式/费率</w:t>
            </w:r>
          </w:p>
        </w:tc>
        <w:tc>
          <w:tcPr>
            <w:tcW w:w="1154" w:type="pct"/>
            <w:vAlign w:val="center"/>
          </w:tcPr>
          <w:p>
            <w:pPr>
              <w:spacing w:line="240" w:lineRule="auto"/>
              <w:jc w:val="left"/>
            </w:pPr>
            <w:r>
              <w:rPr>
                <w:rFonts w:ascii="宋体" w:hAnsi="宋体" w:eastAsia="宋体" w:cs="宋体"/>
                <w:b/>
              </w:rPr>
              <w:t>备注</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申购费(前收费)</w:t>
            </w:r>
          </w:p>
        </w:tc>
        <w:tc>
          <w:tcPr>
            <w:tcW w:w="0" w:type="dxa"/>
            <w:vAlign w:val="center"/>
          </w:tcPr>
          <w:p>
            <w:pPr>
              <w:spacing w:line="240" w:lineRule="auto"/>
              <w:jc w:val="left"/>
              <w:rPr>
                <w:rFonts w:hint="eastAsia" w:eastAsia="宋体"/>
                <w:lang w:val="en-US" w:eastAsia="zh-CN"/>
              </w:rPr>
            </w:pPr>
            <w:r>
              <w:rPr>
                <w:rFonts w:hint="eastAsia"/>
                <w:lang w:val="en-US" w:eastAsia="zh-CN"/>
              </w:rPr>
              <w:t>-</w:t>
            </w:r>
          </w:p>
        </w:tc>
        <w:tc>
          <w:tcPr>
            <w:tcW w:w="0" w:type="dxa"/>
            <w:vAlign w:val="center"/>
          </w:tcPr>
          <w:p>
            <w:pPr>
              <w:spacing w:line="240" w:lineRule="auto"/>
              <w:jc w:val="left"/>
              <w:rPr>
                <w:rFonts w:hint="eastAsia" w:eastAsia="宋体"/>
                <w:lang w:val="en-US" w:eastAsia="zh-CN"/>
              </w:rPr>
            </w:pPr>
            <w:r>
              <w:rPr>
                <w:rFonts w:hint="eastAsia"/>
                <w:lang w:val="en-US" w:eastAsia="zh-CN"/>
              </w:rPr>
              <w:t>-</w:t>
            </w:r>
            <w:bookmarkStart w:id="0" w:name="_GoBack"/>
            <w:bookmarkEnd w:id="0"/>
          </w:p>
        </w:tc>
        <w:tc>
          <w:tcPr>
            <w:tcW w:w="0" w:type="dxa"/>
            <w:vAlign w:val="center"/>
          </w:tcPr>
          <w:p>
            <w:pPr>
              <w:spacing w:line="240" w:lineRule="auto"/>
              <w:jc w:val="left"/>
            </w:pPr>
            <w:r>
              <w:rPr>
                <w:rFonts w:ascii="宋体" w:hAnsi="宋体" w:eastAsia="宋体" w:cs="宋体"/>
                <w:b w:val="0"/>
              </w:rPr>
              <w:t>C类份额无申购费</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赎回费</w:t>
            </w:r>
          </w:p>
        </w:tc>
        <w:tc>
          <w:tcPr>
            <w:tcW w:w="0" w:type="dxa"/>
            <w:vAlign w:val="center"/>
          </w:tcPr>
          <w:p>
            <w:pPr>
              <w:spacing w:line="240" w:lineRule="auto"/>
              <w:jc w:val="left"/>
            </w:pPr>
            <w:r>
              <w:rPr>
                <w:rFonts w:ascii="宋体" w:hAnsi="宋体" w:eastAsia="宋体" w:cs="宋体"/>
                <w:b w:val="0"/>
              </w:rPr>
              <w:t>N&lt;7天</w:t>
            </w:r>
          </w:p>
        </w:tc>
        <w:tc>
          <w:tcPr>
            <w:tcW w:w="0" w:type="dxa"/>
            <w:vAlign w:val="center"/>
          </w:tcPr>
          <w:p>
            <w:pPr>
              <w:spacing w:line="240" w:lineRule="auto"/>
              <w:jc w:val="left"/>
            </w:pPr>
            <w:r>
              <w:rPr>
                <w:rFonts w:ascii="宋体" w:hAnsi="宋体" w:eastAsia="宋体" w:cs="宋体"/>
                <w:b w:val="0"/>
              </w:rPr>
              <w:t>1.5%</w:t>
            </w:r>
          </w:p>
        </w:tc>
        <w:tc>
          <w:tcPr>
            <w:tcW w:w="0" w:type="dxa"/>
            <w:vAlign w:val="center"/>
          </w:tcPr>
          <w:p>
            <w:pPr>
              <w:spacing w:line="240" w:lineRule="auto"/>
              <w:jc w:val="left"/>
            </w:pP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7天≤N&lt;30天</w:t>
            </w:r>
          </w:p>
        </w:tc>
        <w:tc>
          <w:tcPr>
            <w:tcW w:w="0" w:type="dxa"/>
            <w:vAlign w:val="center"/>
          </w:tcPr>
          <w:p>
            <w:pPr>
              <w:spacing w:line="240" w:lineRule="auto"/>
              <w:jc w:val="left"/>
            </w:pPr>
            <w:r>
              <w:rPr>
                <w:rFonts w:ascii="宋体" w:hAnsi="宋体" w:eastAsia="宋体" w:cs="宋体"/>
                <w:b w:val="0"/>
              </w:rPr>
              <w:t>0.5%</w:t>
            </w:r>
          </w:p>
        </w:tc>
        <w:tc>
          <w:tcPr>
            <w:tcW w:w="0" w:type="dxa"/>
            <w:vAlign w:val="center"/>
          </w:tcPr>
          <w:p>
            <w:pPr>
              <w:spacing w:line="240" w:lineRule="auto"/>
              <w:jc w:val="left"/>
            </w:pP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N≥30天</w:t>
            </w:r>
          </w:p>
        </w:tc>
        <w:tc>
          <w:tcPr>
            <w:tcW w:w="0" w:type="dxa"/>
            <w:vAlign w:val="center"/>
          </w:tcPr>
          <w:p>
            <w:pPr>
              <w:spacing w:line="240" w:lineRule="auto"/>
              <w:jc w:val="left"/>
            </w:pPr>
            <w:r>
              <w:rPr>
                <w:rFonts w:ascii="宋体" w:hAnsi="宋体" w:eastAsia="宋体" w:cs="宋体"/>
                <w:b w:val="0"/>
              </w:rPr>
              <w:t>0%</w:t>
            </w:r>
          </w:p>
        </w:tc>
        <w:tc>
          <w:tcPr>
            <w:tcW w:w="0" w:type="dxa"/>
            <w:vAlign w:val="center"/>
          </w:tcPr>
          <w:p>
            <w:pPr>
              <w:spacing w:line="240" w:lineRule="auto"/>
              <w:jc w:val="left"/>
            </w:pPr>
          </w:p>
        </w:tc>
      </w:tr>
    </w:tbl>
    <w:p/>
    <w:p>
      <w:pPr>
        <w:pStyle w:val="58"/>
      </w:pPr>
      <w:r>
        <w:rPr>
          <w:rFonts w:ascii="宋体" w:hAnsi="宋体" w:eastAsia="宋体" w:cs="宋体"/>
          <w:b/>
        </w:rPr>
        <w:t>（二）基金运作相关费用</w:t>
      </w:r>
    </w:p>
    <w:p>
      <w:r>
        <w:rPr>
          <w:rFonts w:ascii="宋体" w:hAnsi="宋体" w:eastAsia="宋体" w:cs="宋体"/>
          <w:b w:val="0"/>
        </w:rPr>
        <w:t>以下费用将从基金资产中扣除：</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2143"/>
        <w:gridCol w:w="4286"/>
        <w:gridCol w:w="2857"/>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费用类别</w:t>
            </w:r>
          </w:p>
        </w:tc>
        <w:tc>
          <w:tcPr>
            <w:tcW w:w="2308" w:type="pct"/>
            <w:vAlign w:val="center"/>
          </w:tcPr>
          <w:p>
            <w:pPr>
              <w:spacing w:line="240" w:lineRule="auto"/>
              <w:jc w:val="left"/>
            </w:pPr>
            <w:r>
              <w:rPr>
                <w:rFonts w:ascii="宋体" w:hAnsi="宋体" w:eastAsia="宋体" w:cs="宋体"/>
                <w:b/>
              </w:rPr>
              <w:t>收费方式/年费率或金额</w:t>
            </w:r>
          </w:p>
        </w:tc>
        <w:tc>
          <w:tcPr>
            <w:tcW w:w="1538" w:type="pct"/>
            <w:vAlign w:val="center"/>
          </w:tcPr>
          <w:p>
            <w:pPr>
              <w:spacing w:line="240" w:lineRule="auto"/>
              <w:jc w:val="left"/>
            </w:pPr>
            <w:r>
              <w:rPr>
                <w:rFonts w:ascii="宋体" w:hAnsi="宋体" w:eastAsia="宋体" w:cs="宋体"/>
                <w:b/>
              </w:rPr>
              <w:t>收取方</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管理费</w:t>
            </w:r>
          </w:p>
        </w:tc>
        <w:tc>
          <w:tcPr>
            <w:tcW w:w="0" w:type="dxa"/>
            <w:vAlign w:val="center"/>
          </w:tcPr>
          <w:p>
            <w:pPr>
              <w:spacing w:line="240" w:lineRule="auto"/>
              <w:jc w:val="left"/>
            </w:pPr>
            <w:r>
              <w:rPr>
                <w:rFonts w:ascii="宋体" w:hAnsi="宋体" w:eastAsia="宋体" w:cs="宋体"/>
                <w:b w:val="0"/>
              </w:rPr>
              <w:t>1.20%</w:t>
            </w:r>
          </w:p>
        </w:tc>
        <w:tc>
          <w:tcPr>
            <w:tcW w:w="0" w:type="dxa"/>
            <w:vAlign w:val="center"/>
          </w:tcPr>
          <w:p>
            <w:pPr>
              <w:spacing w:line="240" w:lineRule="auto"/>
              <w:jc w:val="left"/>
            </w:pPr>
            <w:r>
              <w:rPr>
                <w:rFonts w:ascii="宋体" w:hAnsi="宋体" w:eastAsia="宋体" w:cs="宋体"/>
                <w:b w:val="0"/>
              </w:rPr>
              <w:t>基金管理人和销售机构</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托管费</w:t>
            </w:r>
          </w:p>
        </w:tc>
        <w:tc>
          <w:tcPr>
            <w:tcW w:w="0" w:type="dxa"/>
            <w:vAlign w:val="center"/>
          </w:tcPr>
          <w:p>
            <w:pPr>
              <w:spacing w:line="240" w:lineRule="auto"/>
              <w:jc w:val="left"/>
            </w:pPr>
            <w:r>
              <w:rPr>
                <w:rFonts w:ascii="宋体" w:hAnsi="宋体" w:eastAsia="宋体" w:cs="宋体"/>
                <w:b w:val="0"/>
              </w:rPr>
              <w:t>0.20%</w:t>
            </w:r>
          </w:p>
        </w:tc>
        <w:tc>
          <w:tcPr>
            <w:tcW w:w="0" w:type="dxa"/>
            <w:vAlign w:val="center"/>
          </w:tcPr>
          <w:p>
            <w:pPr>
              <w:spacing w:line="240" w:lineRule="auto"/>
              <w:jc w:val="left"/>
            </w:pPr>
            <w:r>
              <w:rPr>
                <w:rFonts w:ascii="宋体" w:hAnsi="宋体" w:eastAsia="宋体" w:cs="宋体"/>
                <w:b w:val="0"/>
              </w:rPr>
              <w:t>基金托管人</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销售服务费C类</w:t>
            </w:r>
          </w:p>
        </w:tc>
        <w:tc>
          <w:tcPr>
            <w:tcW w:w="0" w:type="dxa"/>
            <w:vAlign w:val="center"/>
          </w:tcPr>
          <w:p>
            <w:pPr>
              <w:spacing w:line="240" w:lineRule="auto"/>
              <w:jc w:val="left"/>
            </w:pPr>
            <w:r>
              <w:rPr>
                <w:rFonts w:ascii="宋体" w:hAnsi="宋体" w:eastAsia="宋体" w:cs="宋体"/>
                <w:b w:val="0"/>
              </w:rPr>
              <w:t>0.50%</w:t>
            </w:r>
          </w:p>
        </w:tc>
        <w:tc>
          <w:tcPr>
            <w:tcW w:w="0" w:type="dxa"/>
            <w:vAlign w:val="center"/>
          </w:tcPr>
          <w:p>
            <w:pPr>
              <w:spacing w:line="240" w:lineRule="auto"/>
              <w:jc w:val="left"/>
            </w:pPr>
            <w:r>
              <w:rPr>
                <w:rFonts w:ascii="宋体" w:hAnsi="宋体" w:eastAsia="宋体" w:cs="宋体"/>
                <w:b w:val="0"/>
              </w:rPr>
              <w:t>销售机构</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审计费用</w:t>
            </w:r>
          </w:p>
        </w:tc>
        <w:tc>
          <w:tcPr>
            <w:tcW w:w="0" w:type="dxa"/>
            <w:vAlign w:val="center"/>
          </w:tcPr>
          <w:p>
            <w:pPr>
              <w:spacing w:line="240" w:lineRule="auto"/>
              <w:jc w:val="left"/>
            </w:pPr>
            <w:r>
              <w:rPr>
                <w:rFonts w:ascii="宋体" w:hAnsi="宋体" w:eastAsia="宋体" w:cs="宋体"/>
                <w:b w:val="0"/>
              </w:rPr>
              <w:t>36,000.00</w:t>
            </w:r>
          </w:p>
        </w:tc>
        <w:tc>
          <w:tcPr>
            <w:tcW w:w="0" w:type="dxa"/>
            <w:vAlign w:val="center"/>
          </w:tcPr>
          <w:p>
            <w:pPr>
              <w:spacing w:line="240" w:lineRule="auto"/>
              <w:jc w:val="left"/>
            </w:pPr>
            <w:r>
              <w:rPr>
                <w:rFonts w:ascii="宋体" w:hAnsi="宋体" w:eastAsia="宋体" w:cs="宋体"/>
                <w:b w:val="0"/>
              </w:rPr>
              <w:t>会计师事务所</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信息披露费</w:t>
            </w:r>
          </w:p>
        </w:tc>
        <w:tc>
          <w:tcPr>
            <w:tcW w:w="0" w:type="dxa"/>
            <w:vAlign w:val="center"/>
          </w:tcPr>
          <w:p>
            <w:pPr>
              <w:spacing w:line="240" w:lineRule="auto"/>
              <w:jc w:val="left"/>
            </w:pPr>
            <w:r>
              <w:rPr>
                <w:rFonts w:ascii="宋体" w:hAnsi="宋体" w:eastAsia="宋体" w:cs="宋体"/>
                <w:b w:val="0"/>
              </w:rPr>
              <w:t>120,000.00</w:t>
            </w:r>
          </w:p>
        </w:tc>
        <w:tc>
          <w:tcPr>
            <w:tcW w:w="0" w:type="dxa"/>
            <w:vAlign w:val="center"/>
          </w:tcPr>
          <w:p>
            <w:pPr>
              <w:spacing w:line="240" w:lineRule="auto"/>
              <w:jc w:val="left"/>
            </w:pPr>
            <w:r>
              <w:rPr>
                <w:rFonts w:ascii="宋体" w:hAnsi="宋体" w:eastAsia="宋体" w:cs="宋体"/>
                <w:b w:val="0"/>
              </w:rPr>
              <w:t>规定披露报刊</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其他费用</w:t>
            </w:r>
          </w:p>
        </w:tc>
        <w:tc>
          <w:tcPr>
            <w:tcW w:w="0" w:type="dxa"/>
            <w:vAlign w:val="center"/>
          </w:tcPr>
          <w:p>
            <w:pPr>
              <w:spacing w:line="240" w:lineRule="auto"/>
              <w:jc w:val="left"/>
            </w:pPr>
            <w:r>
              <w:rPr>
                <w:rFonts w:ascii="宋体" w:hAnsi="宋体" w:eastAsia="宋体" w:cs="宋体"/>
                <w:b w:val="0"/>
              </w:rPr>
              <w:t>《基金合同》生效后与基金相关的律师费、诉讼费和仲裁费等费用；基金份额持有人大会费用；基金的证券、期货、期权交易费用；基金的银行汇划费用；基金相关的开户费用、账户维护费用；基金投资港股通标的股票的合理费用；按照国家有关规定和《基金合同》约定，可以在基金财产中列支的其他费用。</w:t>
            </w:r>
          </w:p>
        </w:tc>
        <w:tc>
          <w:tcPr>
            <w:tcW w:w="0" w:type="dxa"/>
            <w:vAlign w:val="center"/>
          </w:tcPr>
          <w:p>
            <w:pPr>
              <w:spacing w:line="240" w:lineRule="auto"/>
              <w:jc w:val="left"/>
            </w:pPr>
            <w:r>
              <w:rPr>
                <w:rFonts w:ascii="宋体" w:hAnsi="宋体" w:eastAsia="宋体" w:cs="宋体"/>
                <w:b w:val="0"/>
              </w:rPr>
              <w:t>相关服务机构</w:t>
            </w:r>
          </w:p>
        </w:tc>
      </w:tr>
    </w:tbl>
    <w:p>
      <w:r>
        <w:rPr>
          <w:rFonts w:ascii="宋体" w:hAnsi="宋体" w:eastAsia="宋体" w:cs="宋体"/>
          <w:b w:val="0"/>
        </w:rPr>
        <w:t>注：1、本基金交易证券、基金等产生的费用和税负，按实际发生额从基金资产扣除。</w:t>
      </w:r>
      <w:r>
        <w:rPr>
          <w:rFonts w:ascii="宋体" w:hAnsi="宋体" w:eastAsia="宋体" w:cs="宋体"/>
          <w:b w:val="0"/>
        </w:rPr>
        <w:br w:type="textWrapping"/>
      </w:r>
      <w:r>
        <w:rPr>
          <w:rFonts w:ascii="宋体" w:hAnsi="宋体" w:eastAsia="宋体" w:cs="宋体"/>
          <w:b w:val="0"/>
        </w:rPr>
        <w:t>2、本基金审计费用、信息披露费为年金额，由基金整体承担，非单个份额类别费用，且年金额为预估值，最终实际金额以基金定期报告披露为准。</w:t>
      </w:r>
    </w:p>
    <w:p/>
    <w:p>
      <w:pPr>
        <w:pStyle w:val="58"/>
      </w:pPr>
      <w:r>
        <w:rPr>
          <w:rFonts w:ascii="宋体" w:hAnsi="宋体" w:eastAsia="宋体" w:cs="宋体"/>
          <w:b/>
        </w:rPr>
        <w:t>（三）基金运作综合费用测算</w:t>
      </w:r>
    </w:p>
    <w:p>
      <w:r>
        <w:rPr>
          <w:rFonts w:ascii="宋体" w:hAnsi="宋体" w:eastAsia="宋体" w:cs="宋体"/>
          <w:b w:val="0"/>
        </w:rPr>
        <w:t>若投资者认购/申购本基金份额，在持有期间，投资者需支出的运作费率如下表：</w:t>
      </w:r>
    </w:p>
    <w:tbl>
      <w:tblPr>
        <w:tblStyle w:val="27"/>
        <w:tblW w:w="5000" w:type="pct"/>
        <w:tblInd w:w="0" w:type="dxa"/>
        <w:tblBorders>
          <w:top w:val="single" w:color="auto" w:sz="4" w:space="0"/>
          <w:left w:val="none" w:color="auto" w:sz="4" w:space="0"/>
          <w:bottom w:val="single" w:color="auto" w:sz="4" w:space="0"/>
          <w:right w:val="none" w:color="auto" w:sz="4" w:space="0"/>
          <w:insideH w:val="dotted" w:color="auto" w:sz="4" w:space="0"/>
          <w:insideV w:val="none" w:color="auto" w:sz="4" w:space="0"/>
        </w:tblBorders>
        <w:tblLayout w:type="autofit"/>
        <w:tblCellMar>
          <w:top w:w="0" w:type="dxa"/>
          <w:left w:w="108" w:type="dxa"/>
          <w:bottom w:w="0" w:type="dxa"/>
          <w:right w:w="108" w:type="dxa"/>
        </w:tblCellMar>
      </w:tblPr>
      <w:tblGrid>
        <w:gridCol w:w="4714"/>
        <w:gridCol w:w="4572"/>
      </w:tblGrid>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PrEx>
        <w:tc>
          <w:tcPr>
            <w:tcW w:w="2538" w:type="pct"/>
            <w:vAlign w:val="center"/>
          </w:tcPr>
          <w:p>
            <w:pPr>
              <w:spacing w:line="240" w:lineRule="auto"/>
              <w:jc w:val="center"/>
            </w:pPr>
            <w:r>
              <w:rPr>
                <w:rFonts w:ascii="宋体" w:hAnsi="宋体" w:eastAsia="宋体" w:cs="宋体"/>
                <w:b/>
              </w:rPr>
              <w:t>基金运作综合费用测算明细的类别</w:t>
            </w:r>
          </w:p>
        </w:tc>
        <w:tc>
          <w:tcPr>
            <w:tcW w:w="2462" w:type="pct"/>
            <w:vAlign w:val="center"/>
          </w:tcPr>
          <w:p>
            <w:pPr>
              <w:spacing w:line="240" w:lineRule="auto"/>
              <w:jc w:val="center"/>
            </w:pPr>
            <w:r>
              <w:rPr>
                <w:rFonts w:ascii="宋体" w:hAnsi="宋体" w:eastAsia="宋体" w:cs="宋体"/>
                <w:b/>
              </w:rPr>
              <w:t>基金运作综合费率（年化）</w:t>
            </w:r>
          </w:p>
        </w:tc>
      </w:tr>
      <w:tr>
        <w:tblPrEx>
          <w:tblBorders>
            <w:top w:val="single" w:color="auto" w:sz="4" w:space="0"/>
            <w:left w:val="none" w:color="auto" w:sz="4" w:space="0"/>
            <w:bottom w:val="single" w:color="auto" w:sz="4" w:space="0"/>
            <w:right w:val="none" w:color="auto" w:sz="4" w:space="0"/>
            <w:insideH w:val="dotted" w:color="auto" w:sz="4" w:space="0"/>
            <w:insideV w:val="non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持有期</w:t>
            </w:r>
          </w:p>
        </w:tc>
        <w:tc>
          <w:tcPr>
            <w:tcW w:w="0" w:type="dxa"/>
            <w:vAlign w:val="center"/>
          </w:tcPr>
          <w:p>
            <w:pPr>
              <w:spacing w:line="240" w:lineRule="auto"/>
              <w:jc w:val="right"/>
            </w:pPr>
            <w:r>
              <w:rPr>
                <w:rFonts w:ascii="宋体" w:hAnsi="宋体" w:eastAsia="宋体" w:cs="宋体"/>
                <w:b w:val="0"/>
              </w:rPr>
              <w:t>2.00%</w:t>
            </w:r>
          </w:p>
        </w:tc>
      </w:tr>
    </w:tbl>
    <w:p>
      <w:r>
        <w:rPr>
          <w:rFonts w:ascii="宋体" w:hAnsi="宋体" w:eastAsia="宋体" w:cs="宋体"/>
          <w:b w:val="0"/>
        </w:rPr>
        <w:t>注：基金管理费率、托管费率、销售服务费率（若有）为基金现行费率，其他运作费用以最近一次基金年报披露的相关数据为基准测算。</w:t>
      </w:r>
    </w:p>
    <w:p/>
    <w:p>
      <w:pPr>
        <w:pStyle w:val="3"/>
        <w:jc w:val="left"/>
      </w:pPr>
      <w:r>
        <w:rPr>
          <w:rFonts w:ascii="宋体" w:hAnsi="宋体" w:eastAsia="宋体" w:cs="宋体"/>
        </w:rPr>
        <w:t>四、风险揭示与重要提示</w:t>
      </w:r>
    </w:p>
    <w:p>
      <w:pPr>
        <w:pStyle w:val="58"/>
      </w:pPr>
      <w:r>
        <w:rPr>
          <w:rFonts w:ascii="宋体" w:hAnsi="宋体" w:eastAsia="宋体" w:cs="宋体"/>
          <w:b/>
        </w:rPr>
        <w:t>（一）风险揭示</w:t>
      </w:r>
    </w:p>
    <w:p>
      <w:pPr>
        <w:jc w:val="left"/>
      </w:pPr>
      <w:r>
        <w:rPr>
          <w:rFonts w:ascii="宋体" w:hAnsi="宋体" w:eastAsia="宋体" w:cs="宋体"/>
          <w:b w:val="0"/>
        </w:rPr>
        <w:t xml:space="preserve">    本基金不提供任何保证。投资者可能损失本金。投资有风险，投资者购买基金时应认真阅读本基金的《招募说明书》等销售文件。</w:t>
      </w:r>
      <w:r>
        <w:rPr>
          <w:rFonts w:ascii="宋体" w:hAnsi="宋体" w:eastAsia="宋体" w:cs="宋体"/>
          <w:b w:val="0"/>
        </w:rPr>
        <w:br w:type="textWrapping"/>
      </w:r>
      <w:r>
        <w:rPr>
          <w:rFonts w:ascii="宋体" w:hAnsi="宋体" w:eastAsia="宋体" w:cs="宋体"/>
          <w:b w:val="0"/>
        </w:rPr>
        <w:t xml:space="preserve">    1、本基金特有风险</w:t>
      </w:r>
      <w:r>
        <w:rPr>
          <w:rFonts w:ascii="宋体" w:hAnsi="宋体" w:eastAsia="宋体" w:cs="宋体"/>
          <w:b w:val="0"/>
        </w:rPr>
        <w:br w:type="textWrapping"/>
      </w:r>
      <w:r>
        <w:rPr>
          <w:rFonts w:ascii="宋体" w:hAnsi="宋体" w:eastAsia="宋体" w:cs="宋体"/>
          <w:b w:val="0"/>
        </w:rPr>
        <w:t xml:space="preserve">    （1）本基金投资于本基金《基金合同》界定的医疗健康主题相关证券的比例不低于非现金基金资产的80%；同时，本基金投资于股票的比例占基金资产的60%-95%，投资集中度比较明显，股票市场的价格波动可能会导致基金净值发生剧烈波动的风险。</w:t>
      </w:r>
      <w:r>
        <w:rPr>
          <w:rFonts w:ascii="宋体" w:hAnsi="宋体" w:eastAsia="宋体" w:cs="宋体"/>
          <w:b w:val="0"/>
        </w:rPr>
        <w:br w:type="textWrapping"/>
      </w:r>
      <w:r>
        <w:rPr>
          <w:rFonts w:ascii="宋体" w:hAnsi="宋体" w:eastAsia="宋体" w:cs="宋体"/>
          <w:b w:val="0"/>
        </w:rPr>
        <w:t xml:space="preserve">    （2）本基金为发起式基金。在基金合同生效三年后继续存续的，连续50个工作日出现基金份额持有人数量不满200人或者基金资产净值低于5000万元情形的，本基金将根据《基金合同》约定进入清算程序并终止，无需召开基金份额持有人大会进行表决。</w:t>
      </w:r>
      <w:r>
        <w:rPr>
          <w:rFonts w:ascii="宋体" w:hAnsi="宋体" w:eastAsia="宋体" w:cs="宋体"/>
          <w:b w:val="0"/>
        </w:rPr>
        <w:br w:type="textWrapping"/>
      </w:r>
      <w:r>
        <w:rPr>
          <w:rFonts w:ascii="宋体" w:hAnsi="宋体" w:eastAsia="宋体" w:cs="宋体"/>
          <w:b w:val="0"/>
        </w:rPr>
        <w:t xml:space="preserve">    （3）本基金除了投资于A股市场优质企业外，还可在法律法规规定的范围内投资港股通标的股票，会面临港股通机制下因投资环境、投资标的、市场制度以及交易规则等差异带来的特有风险。</w:t>
      </w:r>
      <w:r>
        <w:rPr>
          <w:rFonts w:ascii="宋体" w:hAnsi="宋体" w:eastAsia="宋体" w:cs="宋体"/>
          <w:b w:val="0"/>
        </w:rPr>
        <w:br w:type="textWrapping"/>
      </w:r>
      <w:r>
        <w:rPr>
          <w:rFonts w:ascii="宋体" w:hAnsi="宋体" w:eastAsia="宋体" w:cs="宋体"/>
          <w:b w:val="0"/>
        </w:rPr>
        <w:t xml:space="preserve">    （4）本基金可投资科创板和北交所上市交易股票，将承担因上市条件、交易规则、退市制度等差异带来的特有风险，包括流动性风险、退市风险、投资集中风险等。</w:t>
      </w:r>
      <w:r>
        <w:rPr>
          <w:rFonts w:ascii="宋体" w:hAnsi="宋体" w:eastAsia="宋体" w:cs="宋体"/>
          <w:b w:val="0"/>
        </w:rPr>
        <w:br w:type="textWrapping"/>
      </w:r>
      <w:r>
        <w:rPr>
          <w:rFonts w:ascii="宋体" w:hAnsi="宋体" w:eastAsia="宋体" w:cs="宋体"/>
          <w:b w:val="0"/>
        </w:rPr>
        <w:t xml:space="preserve">    （5）本基金可投资股指期货，可能会出现的风险包括基差风险、合约品种差异造成的风险、标的物风险、衍生品模型风险等。</w:t>
      </w:r>
      <w:r>
        <w:rPr>
          <w:rFonts w:ascii="宋体" w:hAnsi="宋体" w:eastAsia="宋体" w:cs="宋体"/>
          <w:b w:val="0"/>
        </w:rPr>
        <w:br w:type="textWrapping"/>
      </w:r>
      <w:r>
        <w:rPr>
          <w:rFonts w:ascii="宋体" w:hAnsi="宋体" w:eastAsia="宋体" w:cs="宋体"/>
          <w:b w:val="0"/>
        </w:rPr>
        <w:t xml:space="preserve">    （6）本基金可投资国债期货，国债期货的风险主要包含市场风险、流动性风险、信用风险、合规性风险以及国债期货实物交割风险等。</w:t>
      </w:r>
      <w:r>
        <w:rPr>
          <w:rFonts w:ascii="宋体" w:hAnsi="宋体" w:eastAsia="宋体" w:cs="宋体"/>
          <w:b w:val="0"/>
        </w:rPr>
        <w:br w:type="textWrapping"/>
      </w:r>
      <w:r>
        <w:rPr>
          <w:rFonts w:ascii="宋体" w:hAnsi="宋体" w:eastAsia="宋体" w:cs="宋体"/>
          <w:b w:val="0"/>
        </w:rPr>
        <w:t xml:space="preserve">    （7）本基金可投资资产支持类证券，资产支持证券的风险主要包括信用风险、利率风险、流动性风险、提前偿付风险等。</w:t>
      </w:r>
      <w:r>
        <w:rPr>
          <w:rFonts w:ascii="宋体" w:hAnsi="宋体" w:eastAsia="宋体" w:cs="宋体"/>
          <w:b w:val="0"/>
        </w:rPr>
        <w:br w:type="textWrapping"/>
      </w:r>
      <w:r>
        <w:rPr>
          <w:rFonts w:ascii="宋体" w:hAnsi="宋体" w:eastAsia="宋体" w:cs="宋体"/>
          <w:b w:val="0"/>
        </w:rPr>
        <w:t xml:space="preserve">    （8）本基金可投资存托凭证，将面临中国存托凭证价格大幅波动甚至出现较大亏损的风险，以及与中国存托凭证发行机制相关的风险。</w:t>
      </w:r>
      <w:r>
        <w:rPr>
          <w:rFonts w:ascii="宋体" w:hAnsi="宋体" w:eastAsia="宋体" w:cs="宋体"/>
          <w:b w:val="0"/>
        </w:rPr>
        <w:br w:type="textWrapping"/>
      </w:r>
      <w:r>
        <w:rPr>
          <w:rFonts w:ascii="宋体" w:hAnsi="宋体" w:eastAsia="宋体" w:cs="宋体"/>
          <w:b w:val="0"/>
        </w:rPr>
        <w:t xml:space="preserve">    （9）本基金可投资股票期权，股票期权的风险包括市场风险、流动性风险和基差风险。</w:t>
      </w:r>
      <w:r>
        <w:rPr>
          <w:rFonts w:ascii="宋体" w:hAnsi="宋体" w:eastAsia="宋体" w:cs="宋体"/>
          <w:b w:val="0"/>
        </w:rPr>
        <w:br w:type="textWrapping"/>
      </w:r>
      <w:r>
        <w:rPr>
          <w:rFonts w:ascii="宋体" w:hAnsi="宋体" w:eastAsia="宋体" w:cs="宋体"/>
          <w:b w:val="0"/>
        </w:rPr>
        <w:t xml:space="preserve">    （10）本基金可参与融资交易，融资交易的风险主要包括流动性风险、信用风险等，这些风险可能会给基金净值带来一定的负面影响和损失。</w:t>
      </w:r>
      <w:r>
        <w:rPr>
          <w:rFonts w:ascii="宋体" w:hAnsi="宋体" w:eastAsia="宋体" w:cs="宋体"/>
          <w:b w:val="0"/>
        </w:rPr>
        <w:br w:type="textWrapping"/>
      </w:r>
      <w:r>
        <w:rPr>
          <w:rFonts w:ascii="宋体" w:hAnsi="宋体" w:eastAsia="宋体" w:cs="宋体"/>
          <w:b w:val="0"/>
        </w:rPr>
        <w:t xml:space="preserve">    （11）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r>
      <w:r>
        <w:rPr>
          <w:rFonts w:ascii="宋体" w:hAnsi="宋体" w:eastAsia="宋体" w:cs="宋体"/>
          <w:b w:val="0"/>
        </w:rPr>
        <w:br w:type="textWrapping"/>
      </w:r>
      <w:r>
        <w:rPr>
          <w:rFonts w:ascii="宋体" w:hAnsi="宋体" w:eastAsia="宋体" w:cs="宋体"/>
          <w:b w:val="0"/>
        </w:rPr>
        <w:t xml:space="preserve">    2、开放式基金的共有风险：市场风险、管理风险、职业道德风险、流动性风险、合规风险、投资管理风险、操作和技术风险、启用侧袋机制的风险以及不可抗力可能导致的其他风险。</w:t>
      </w:r>
    </w:p>
    <w:p/>
    <w:p>
      <w:pPr>
        <w:pStyle w:val="58"/>
      </w:pPr>
      <w:r>
        <w:rPr>
          <w:rFonts w:ascii="宋体" w:hAnsi="宋体" w:eastAsia="宋体" w:cs="宋体"/>
          <w:b/>
        </w:rPr>
        <w:t>（二）重要提示</w:t>
      </w:r>
    </w:p>
    <w:p>
      <w:pPr>
        <w:jc w:val="left"/>
      </w:pPr>
      <w:r>
        <w:rPr>
          <w:rFonts w:ascii="宋体" w:hAnsi="宋体" w:eastAsia="宋体" w:cs="宋体"/>
          <w:b w:val="0"/>
        </w:rPr>
        <w:t xml:space="preserve">    中国证监会对本基金募集的核准，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r>
      <w:r>
        <w:rPr>
          <w:rFonts w:ascii="宋体" w:hAnsi="宋体" w:eastAsia="宋体" w:cs="宋体"/>
          <w:b w:val="0"/>
        </w:rPr>
        <w:br w:type="textWrapping"/>
      </w:r>
      <w:r>
        <w:rPr>
          <w:rFonts w:ascii="宋体" w:hAnsi="宋体" w:eastAsia="宋体" w:cs="宋体"/>
          <w:b w:val="0"/>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r>
        <w:rPr>
          <w:rFonts w:ascii="宋体" w:hAnsi="宋体" w:eastAsia="宋体" w:cs="宋体"/>
          <w:b w:val="0"/>
        </w:rPr>
        <w:br w:type="textWrapping"/>
      </w:r>
      <w:r>
        <w:rPr>
          <w:rFonts w:ascii="宋体" w:hAnsi="宋体" w:eastAsia="宋体" w:cs="宋体"/>
          <w:b w:val="0"/>
        </w:rPr>
        <w:t xml:space="preserve">    因《基金合同》而产生的或与《基金合同》有关的一切争议，应友好协商解决；如经友好协商未能解决的，则任何一方有权按《基金合同》的约定提交仲裁。详情见本基金《基金合同》第二十一部分“争议的处理和适用法律”。</w:t>
      </w:r>
    </w:p>
    <w:p/>
    <w:p>
      <w:pPr>
        <w:pStyle w:val="3"/>
        <w:jc w:val="left"/>
      </w:pPr>
      <w:r>
        <w:rPr>
          <w:rFonts w:ascii="宋体" w:hAnsi="宋体" w:eastAsia="宋体" w:cs="宋体"/>
        </w:rPr>
        <w:t>五、其他资料查询方式</w:t>
      </w:r>
    </w:p>
    <w:p>
      <w:pPr>
        <w:jc w:val="left"/>
      </w:pPr>
      <w:r>
        <w:rPr>
          <w:rFonts w:ascii="宋体" w:hAnsi="宋体" w:eastAsia="宋体" w:cs="宋体"/>
          <w:b w:val="0"/>
        </w:rPr>
        <w:t xml:space="preserve">    以下资料详见东方阿尔法基金官方网站【www.dfa66.com】【客服电话：400-930-6677】</w:t>
      </w:r>
      <w:r>
        <w:rPr>
          <w:rFonts w:ascii="宋体" w:hAnsi="宋体" w:eastAsia="宋体" w:cs="宋体"/>
          <w:b w:val="0"/>
        </w:rPr>
        <w:br w:type="textWrapping"/>
      </w:r>
      <w:r>
        <w:rPr>
          <w:rFonts w:ascii="宋体" w:hAnsi="宋体" w:eastAsia="宋体" w:cs="宋体"/>
          <w:b w:val="0"/>
        </w:rPr>
        <w:t xml:space="preserve">    （1）基金合同、托管协议、招募说明书</w:t>
      </w:r>
      <w:r>
        <w:rPr>
          <w:rFonts w:ascii="宋体" w:hAnsi="宋体" w:eastAsia="宋体" w:cs="宋体"/>
          <w:b w:val="0"/>
        </w:rPr>
        <w:br w:type="textWrapping"/>
      </w:r>
      <w:r>
        <w:rPr>
          <w:rFonts w:ascii="宋体" w:hAnsi="宋体" w:eastAsia="宋体" w:cs="宋体"/>
          <w:b w:val="0"/>
        </w:rPr>
        <w:t xml:space="preserve">    （2）定期报告，包括基金季度报告、中期报告和年度报告</w:t>
      </w:r>
      <w:r>
        <w:rPr>
          <w:rFonts w:ascii="宋体" w:hAnsi="宋体" w:eastAsia="宋体" w:cs="宋体"/>
          <w:b w:val="0"/>
        </w:rPr>
        <w:br w:type="textWrapping"/>
      </w:r>
      <w:r>
        <w:rPr>
          <w:rFonts w:ascii="宋体" w:hAnsi="宋体" w:eastAsia="宋体" w:cs="宋体"/>
          <w:b w:val="0"/>
        </w:rPr>
        <w:t xml:space="preserve">    （3）基金份额净值</w:t>
      </w:r>
      <w:r>
        <w:rPr>
          <w:rFonts w:ascii="宋体" w:hAnsi="宋体" w:eastAsia="宋体" w:cs="宋体"/>
          <w:b w:val="0"/>
        </w:rPr>
        <w:br w:type="textWrapping"/>
      </w:r>
      <w:r>
        <w:rPr>
          <w:rFonts w:ascii="宋体" w:hAnsi="宋体" w:eastAsia="宋体" w:cs="宋体"/>
          <w:b w:val="0"/>
        </w:rPr>
        <w:t xml:space="preserve">    （4）基金销售机构及联系方式</w:t>
      </w:r>
      <w:r>
        <w:rPr>
          <w:rFonts w:ascii="宋体" w:hAnsi="宋体" w:eastAsia="宋体" w:cs="宋体"/>
          <w:b w:val="0"/>
        </w:rPr>
        <w:br w:type="textWrapping"/>
      </w:r>
      <w:r>
        <w:rPr>
          <w:rFonts w:ascii="宋体" w:hAnsi="宋体" w:eastAsia="宋体" w:cs="宋体"/>
          <w:b w:val="0"/>
        </w:rPr>
        <w:t xml:space="preserve">    （5）其他重要资料</w:t>
      </w:r>
    </w:p>
    <w:p/>
    <w:p>
      <w:pPr>
        <w:pStyle w:val="3"/>
        <w:jc w:val="left"/>
      </w:pPr>
      <w:r>
        <w:rPr>
          <w:rFonts w:ascii="宋体" w:hAnsi="宋体" w:eastAsia="宋体" w:cs="宋体"/>
        </w:rPr>
        <w:t>六、其他情况说明</w:t>
      </w:r>
    </w:p>
    <w:p>
      <w:pPr>
        <w:jc w:val="left"/>
      </w:pPr>
      <w:r>
        <w:rPr>
          <w:rFonts w:ascii="宋体" w:hAnsi="宋体" w:eastAsia="宋体" w:cs="宋体"/>
          <w:b w:val="0"/>
        </w:rPr>
        <w:t xml:space="preserve">    无</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851"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sz w:val="20"/>
        <w:szCs w:val="20"/>
      </w:rPr>
    </w:pPr>
    <w:r>
      <w:rPr>
        <w:rFonts w:hint="eastAsia" w:ascii="宋体" w:hAnsi="宋体" w:cs="宋体"/>
        <w:sz w:val="20"/>
        <w:szCs w:val="20"/>
        <w:lang w:bidi="ar"/>
      </w:rPr>
      <w:t>第</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PAGE  \* MERGEFORMAT</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页，共</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NUMPAGES  \* MERGEFORMAT </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rPr>
        <w:rFonts w:ascii="宋体" w:hAnsi="宋体"/>
      </w:rPr>
    </w:pPr>
    <w:r>
      <w:rPr>
        <w:rFonts w:ascii="宋体" w:hAnsi="宋体"/>
      </w:rPr>
      <w:ptab w:relativeTo="margin" w:alignment="center" w:leader="none"/>
    </w:r>
    <w:r>
      <w:rPr>
        <w:rFonts w:hint="eastAsia" w:ascii="宋体" w:hAnsi="宋体"/>
        <w:sz w:val="18"/>
      </w:rPr>
      <w:t>东方阿尔法医疗健康混合型发起式证券投资基金（C类份额）基金产品资料概要更新</w:t>
    </w:r>
    <w:r>
      <w:rPr>
        <w:rFonts w:ascii="宋体" w:hAnsi="宋体"/>
      </w:rP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230F0FD9"/>
    <w:rsid w:val="312016A7"/>
    <w:rsid w:val="328572ED"/>
    <w:rsid w:val="3E9A1429"/>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qFormat="1" w:uiPriority="39" w:semiHidden="0" w:name="toc 6"/>
    <w:lsdException w:uiPriority="39" w:semiHidden="0" w:name="toc 7"/>
    <w:lsdException w:uiPriority="39" w:semiHidden="0" w:name="toc 8"/>
    <w:lsdException w:uiPriority="39" w:semiHidden="0"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qFormat/>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6">
    <w:name w:val="toc 7"/>
    <w:basedOn w:val="1"/>
    <w:next w:val="1"/>
    <w:unhideWhenUsed/>
    <w:uiPriority w:val="39"/>
    <w:pPr>
      <w:ind w:left="1260"/>
      <w:jc w:val="left"/>
    </w:pPr>
    <w:rPr>
      <w:sz w:val="18"/>
      <w:szCs w:val="18"/>
    </w:rPr>
  </w:style>
  <w:style w:type="paragraph" w:styleId="7">
    <w:name w:val="Normal Indent"/>
    <w:basedOn w:val="1"/>
    <w:link w:val="41"/>
    <w:semiHidden/>
    <w:unhideWhenUsed/>
    <w:qFormat/>
    <w:uiPriority w:val="99"/>
    <w:pPr>
      <w:ind w:firstLine="420" w:firstLineChars="200"/>
    </w:pPr>
  </w:style>
  <w:style w:type="paragraph" w:styleId="8">
    <w:name w:val="Document Map"/>
    <w:basedOn w:val="1"/>
    <w:link w:val="57"/>
    <w:semiHidden/>
    <w:unhideWhenUsed/>
    <w:qFormat/>
    <w:uiPriority w:val="99"/>
    <w:rPr>
      <w:rFonts w:ascii="宋体"/>
      <w:sz w:val="18"/>
      <w:szCs w:val="18"/>
    </w:rPr>
  </w:style>
  <w:style w:type="paragraph" w:styleId="9">
    <w:name w:val="annotation text"/>
    <w:basedOn w:val="1"/>
    <w:link w:val="42"/>
    <w:semiHidden/>
    <w:unhideWhenUsed/>
    <w:qFormat/>
    <w:uiPriority w:val="99"/>
    <w:pPr>
      <w:jc w:val="left"/>
    </w:pPr>
  </w:style>
  <w:style w:type="paragraph" w:styleId="10">
    <w:name w:val="Body Text"/>
    <w:basedOn w:val="1"/>
    <w:link w:val="45"/>
    <w:semiHidden/>
    <w:unhideWhenUsed/>
    <w:uiPriority w:val="99"/>
    <w:pPr>
      <w:spacing w:after="120"/>
    </w:pPr>
  </w:style>
  <w:style w:type="paragraph" w:styleId="11">
    <w:name w:val="toc 5"/>
    <w:basedOn w:val="1"/>
    <w:next w:val="1"/>
    <w:unhideWhenUsed/>
    <w:uiPriority w:val="39"/>
    <w:pPr>
      <w:ind w:left="840"/>
      <w:jc w:val="left"/>
    </w:pPr>
    <w:rPr>
      <w:sz w:val="18"/>
      <w:szCs w:val="18"/>
    </w:rPr>
  </w:style>
  <w:style w:type="paragraph" w:styleId="12">
    <w:name w:val="toc 3"/>
    <w:basedOn w:val="1"/>
    <w:next w:val="1"/>
    <w:unhideWhenUsed/>
    <w:uiPriority w:val="39"/>
    <w:pPr>
      <w:spacing w:line="240" w:lineRule="auto"/>
      <w:ind w:left="420"/>
      <w:jc w:val="left"/>
    </w:pPr>
    <w:rPr>
      <w:i/>
      <w:iCs/>
      <w:szCs w:val="20"/>
    </w:rPr>
  </w:style>
  <w:style w:type="paragraph" w:styleId="13">
    <w:name w:val="Plain Text"/>
    <w:basedOn w:val="1"/>
    <w:link w:val="47"/>
    <w:semiHidden/>
    <w:unhideWhenUsed/>
    <w:uiPriority w:val="99"/>
    <w:rPr>
      <w:rFonts w:hAnsi="Courier New" w:cs="Courier New" w:asciiTheme="minorEastAsia"/>
    </w:rPr>
  </w:style>
  <w:style w:type="paragraph" w:styleId="14">
    <w:name w:val="toc 8"/>
    <w:basedOn w:val="1"/>
    <w:next w:val="1"/>
    <w:unhideWhenUsed/>
    <w:uiPriority w:val="39"/>
    <w:pPr>
      <w:ind w:left="1470"/>
      <w:jc w:val="left"/>
    </w:pPr>
    <w:rPr>
      <w:rFonts w:eastAsiaTheme="minorHAnsi"/>
      <w:sz w:val="18"/>
      <w:szCs w:val="18"/>
    </w:rPr>
  </w:style>
  <w:style w:type="paragraph" w:styleId="15">
    <w:name w:val="Date"/>
    <w:basedOn w:val="1"/>
    <w:next w:val="1"/>
    <w:link w:val="46"/>
    <w:semiHidden/>
    <w:unhideWhenUsed/>
    <w:uiPriority w:val="99"/>
    <w:pPr>
      <w:ind w:left="100" w:leftChars="2500"/>
    </w:pPr>
  </w:style>
  <w:style w:type="paragraph" w:styleId="16">
    <w:name w:val="Balloon Text"/>
    <w:basedOn w:val="1"/>
    <w:link w:val="49"/>
    <w:semiHidden/>
    <w:unhideWhenUsed/>
    <w:qFormat/>
    <w:uiPriority w:val="99"/>
    <w:rPr>
      <w:sz w:val="18"/>
      <w:szCs w:val="18"/>
    </w:rPr>
  </w:style>
  <w:style w:type="paragraph" w:styleId="17">
    <w:name w:val="footer"/>
    <w:basedOn w:val="1"/>
    <w:link w:val="44"/>
    <w:unhideWhenUsed/>
    <w:qFormat/>
    <w:uiPriority w:val="99"/>
    <w:pPr>
      <w:tabs>
        <w:tab w:val="center" w:pos="4153"/>
        <w:tab w:val="right" w:pos="8306"/>
      </w:tabs>
      <w:snapToGrid w:val="0"/>
      <w:jc w:val="left"/>
    </w:pPr>
    <w:rPr>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uiPriority w:val="39"/>
    <w:pPr>
      <w:tabs>
        <w:tab w:val="right" w:leader="dot" w:pos="9060"/>
      </w:tabs>
      <w:spacing w:line="240" w:lineRule="auto"/>
      <w:jc w:val="left"/>
    </w:pPr>
    <w:rPr>
      <w:b/>
      <w:bCs/>
      <w:caps/>
      <w:szCs w:val="20"/>
    </w:rPr>
  </w:style>
  <w:style w:type="paragraph" w:styleId="20">
    <w:name w:val="toc 4"/>
    <w:basedOn w:val="1"/>
    <w:next w:val="1"/>
    <w:unhideWhenUsed/>
    <w:uiPriority w:val="39"/>
    <w:pPr>
      <w:ind w:left="630"/>
      <w:jc w:val="left"/>
    </w:pPr>
    <w:rPr>
      <w:sz w:val="18"/>
      <w:szCs w:val="18"/>
    </w:rPr>
  </w:style>
  <w:style w:type="paragraph" w:styleId="21">
    <w:name w:val="toc 6"/>
    <w:basedOn w:val="1"/>
    <w:next w:val="1"/>
    <w:unhideWhenUsed/>
    <w:qFormat/>
    <w:uiPriority w:val="39"/>
    <w:pPr>
      <w:ind w:left="1050"/>
      <w:jc w:val="left"/>
    </w:pPr>
    <w:rPr>
      <w:sz w:val="18"/>
      <w:szCs w:val="18"/>
    </w:rPr>
  </w:style>
  <w:style w:type="paragraph" w:styleId="22">
    <w:name w:val="toc 2"/>
    <w:basedOn w:val="1"/>
    <w:next w:val="1"/>
    <w:unhideWhenUsed/>
    <w:uiPriority w:val="39"/>
    <w:pPr>
      <w:spacing w:line="240" w:lineRule="auto"/>
      <w:ind w:left="210"/>
      <w:jc w:val="left"/>
    </w:pPr>
    <w:rPr>
      <w:smallCaps/>
      <w:szCs w:val="20"/>
    </w:rPr>
  </w:style>
  <w:style w:type="paragraph" w:styleId="23">
    <w:name w:val="toc 9"/>
    <w:basedOn w:val="1"/>
    <w:next w:val="1"/>
    <w:unhideWhenUsed/>
    <w:uiPriority w:val="39"/>
    <w:pPr>
      <w:ind w:left="1680"/>
      <w:jc w:val="left"/>
    </w:pPr>
    <w:rPr>
      <w:rFonts w:eastAsiaTheme="minorHAnsi"/>
      <w:sz w:val="18"/>
      <w:szCs w:val="18"/>
    </w:rPr>
  </w:style>
  <w:style w:type="paragraph" w:styleId="24">
    <w:name w:val="Normal (Web)"/>
    <w:basedOn w:val="1"/>
    <w:semiHidden/>
    <w:unhideWhenUsed/>
    <w:qFormat/>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qFormat/>
    <w:uiPriority w:val="99"/>
    <w:rPr>
      <w:b/>
      <w:bCs/>
    </w:rPr>
  </w:style>
  <w:style w:type="table" w:styleId="28">
    <w:name w:val="Table Grid"/>
    <w:basedOn w:val="2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qFormat/>
    <w:uiPriority w:val="99"/>
    <w:rPr>
      <w:color w:val="0000FF"/>
      <w:u w:val="single"/>
    </w:rPr>
  </w:style>
  <w:style w:type="character" w:styleId="33">
    <w:name w:val="HTML Code"/>
    <w:basedOn w:val="30"/>
    <w:semiHidden/>
    <w:unhideWhenUsed/>
    <w:qFormat/>
    <w:uiPriority w:val="99"/>
    <w:rPr>
      <w:rFonts w:ascii="Courier New" w:hAnsi="Courier New" w:cs="Courier New"/>
      <w:sz w:val="20"/>
      <w:szCs w:val="20"/>
    </w:rPr>
  </w:style>
  <w:style w:type="character" w:styleId="34">
    <w:name w:val="annotation reference"/>
    <w:basedOn w:val="30"/>
    <w:semiHidden/>
    <w:unhideWhenUsed/>
    <w:qFormat/>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uiPriority w:val="9"/>
    <w:rPr>
      <w:rFonts w:eastAsia="宋体" w:asciiTheme="majorHAnsi" w:hAnsiTheme="majorHAnsi" w:cstheme="majorBidi"/>
      <w:b/>
      <w:bCs/>
      <w:sz w:val="24"/>
      <w:szCs w:val="32"/>
    </w:rPr>
  </w:style>
  <w:style w:type="character" w:customStyle="1" w:styleId="39">
    <w:name w:val="标题 3 字符"/>
    <w:basedOn w:val="30"/>
    <w:link w:val="4"/>
    <w:uiPriority w:val="9"/>
    <w:rPr>
      <w:rFonts w:eastAsia="宋体"/>
      <w:b/>
      <w:bCs/>
      <w:sz w:val="24"/>
      <w:szCs w:val="32"/>
    </w:rPr>
  </w:style>
  <w:style w:type="character" w:customStyle="1" w:styleId="40">
    <w:name w:val="标题 4 字符"/>
    <w:basedOn w:val="30"/>
    <w:link w:val="5"/>
    <w:semiHidden/>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qFormat/>
    <w:uiPriority w:val="99"/>
    <w:rPr>
      <w:rFonts w:asciiTheme="minorHAnsi" w:hAnsiTheme="minorHAnsi" w:eastAsiaTheme="minorEastAsia" w:cstheme="minorBidi"/>
      <w:sz w:val="21"/>
      <w:szCs w:val="22"/>
    </w:rPr>
  </w:style>
  <w:style w:type="character" w:customStyle="1" w:styleId="43">
    <w:name w:val="页眉 字符"/>
    <w:basedOn w:val="30"/>
    <w:link w:val="18"/>
    <w:qFormat/>
    <w:uiPriority w:val="99"/>
    <w:rPr>
      <w:rFonts w:asciiTheme="minorHAnsi" w:hAnsiTheme="minorHAnsi" w:eastAsiaTheme="minorEastAsia" w:cstheme="minorBidi"/>
      <w:sz w:val="18"/>
      <w:szCs w:val="18"/>
    </w:rPr>
  </w:style>
  <w:style w:type="character" w:customStyle="1" w:styleId="44">
    <w:name w:val="页脚 字符"/>
    <w:basedOn w:val="30"/>
    <w:link w:val="17"/>
    <w:uiPriority w:val="99"/>
    <w:rPr>
      <w:rFonts w:asciiTheme="minorHAnsi" w:hAnsiTheme="minorHAnsi" w:eastAsiaTheme="minorEastAsia" w:cstheme="minorBidi"/>
      <w:sz w:val="18"/>
      <w:szCs w:val="18"/>
    </w:rPr>
  </w:style>
  <w:style w:type="character" w:customStyle="1" w:styleId="45">
    <w:name w:val="正文文本 字符"/>
    <w:basedOn w:val="30"/>
    <w:link w:val="10"/>
    <w:semiHidden/>
    <w:qFormat/>
    <w:uiPriority w:val="99"/>
    <w:rPr>
      <w:rFonts w:asciiTheme="minorHAnsi" w:hAnsiTheme="minorHAnsi" w:eastAsiaTheme="minorEastAsia" w:cstheme="minorBidi"/>
      <w:sz w:val="21"/>
      <w:szCs w:val="22"/>
    </w:rPr>
  </w:style>
  <w:style w:type="character" w:customStyle="1" w:styleId="46">
    <w:name w:val="日期 字符"/>
    <w:basedOn w:val="30"/>
    <w:link w:val="15"/>
    <w:semiHidden/>
    <w:uiPriority w:val="99"/>
    <w:rPr>
      <w:rFonts w:asciiTheme="minorHAnsi" w:hAnsiTheme="minorHAnsi" w:eastAsiaTheme="minorEastAsia" w:cstheme="minorBidi"/>
      <w:sz w:val="21"/>
      <w:szCs w:val="22"/>
    </w:rPr>
  </w:style>
  <w:style w:type="character" w:customStyle="1" w:styleId="47">
    <w:name w:val="纯文本 字符"/>
    <w:basedOn w:val="30"/>
    <w:link w:val="13"/>
    <w:semiHidden/>
    <w:uiPriority w:val="99"/>
    <w:rPr>
      <w:rFonts w:hAnsi="Courier New" w:cs="Courier New" w:asciiTheme="minorEastAsia" w:eastAsiaTheme="minorEastAsia"/>
      <w:sz w:val="21"/>
      <w:szCs w:val="22"/>
    </w:rPr>
  </w:style>
  <w:style w:type="character" w:customStyle="1" w:styleId="48">
    <w:name w:val="批注主题 字符"/>
    <w:basedOn w:val="42"/>
    <w:link w:val="26"/>
    <w:semiHidden/>
    <w:qFormat/>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qFormat/>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uiPriority w:val="10"/>
    <w:rPr>
      <w:rFonts w:asciiTheme="majorHAnsi" w:hAnsiTheme="majorHAnsi" w:eastAsiaTheme="majorEastAsia" w:cstheme="majorBidi"/>
      <w:b/>
      <w:bCs/>
      <w:sz w:val="32"/>
      <w:szCs w:val="32"/>
    </w:rPr>
  </w:style>
  <w:style w:type="paragraph" w:customStyle="1" w:styleId="52">
    <w:name w:val="biaoge_left"/>
    <w:basedOn w:val="1"/>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qFormat/>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A563A9-B7D3-4DED-9384-59C70ADE8A1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Words>
  <Characters>13</Characters>
  <Lines>1</Lines>
  <Paragraphs>1</Paragraphs>
  <TotalTime>66</TotalTime>
  <ScaleCrop>false</ScaleCrop>
  <LinksUpToDate>false</LinksUpToDate>
  <CharactersWithSpaces>14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creator>daicz</dc:creator>
  <cp:lastModifiedBy>聪子</cp:lastModifiedBy>
  <dcterms:modified xsi:type="dcterms:W3CDTF">2026-09-16T08:58:02Z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