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东方阿尔法优势产业混合型发起式证券投资基金（C类份额）基金产品资料概要更新</w:t>
      </w:r>
    </w:p>
    <w:p>
      <w:pPr>
        <w:jc w:val="right"/>
      </w:pPr>
      <w:r>
        <w:rPr>
          <w:rFonts w:ascii="宋体" w:hAnsi="宋体" w:eastAsia="宋体" w:cs="宋体"/>
          <w:b w:val="0"/>
        </w:rPr>
        <w:t>编制日期：2026年09月17日</w:t>
      </w:r>
    </w:p>
    <w:p>
      <w:pPr>
        <w:jc w:val="center"/>
      </w:pPr>
      <w:r>
        <w:rPr>
          <w:rFonts w:ascii="宋体" w:hAnsi="宋体" w:eastAsia="宋体" w:cs="宋体"/>
          <w:b w:val="0"/>
        </w:rPr>
        <w:t>送出日期：2026年09月21日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fixed"/>
        <w:tblCellMar>
          <w:top w:w="0" w:type="dxa"/>
          <w:left w:w="108" w:type="dxa"/>
          <w:bottom w:w="0" w:type="dxa"/>
          <w:right w:w="108" w:type="dxa"/>
        </w:tblCellMar>
      </w:tblPr>
      <w:tblGrid>
        <w:gridCol w:w="2322"/>
        <w:gridCol w:w="2322"/>
        <w:gridCol w:w="2322"/>
        <w:gridCol w:w="232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东方阿尔法优势产业混合</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009644</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基金简称C</w:t>
            </w:r>
          </w:p>
        </w:tc>
        <w:tc>
          <w:tcPr>
            <w:tcW w:w="0" w:type="dxa"/>
            <w:vAlign w:val="center"/>
          </w:tcPr>
          <w:p>
            <w:pPr>
              <w:spacing w:line="240" w:lineRule="auto"/>
              <w:jc w:val="left"/>
            </w:pPr>
            <w:r>
              <w:rPr>
                <w:rFonts w:ascii="宋体" w:hAnsi="宋体" w:eastAsia="宋体" w:cs="宋体"/>
                <w:b w:val="0"/>
              </w:rPr>
              <w:t>东方阿尔法优势产业混合C</w:t>
            </w:r>
          </w:p>
        </w:tc>
        <w:tc>
          <w:tcPr>
            <w:tcW w:w="0" w:type="dxa"/>
            <w:vAlign w:val="center"/>
          </w:tcPr>
          <w:p>
            <w:pPr>
              <w:spacing w:line="240" w:lineRule="auto"/>
              <w:jc w:val="left"/>
            </w:pPr>
            <w:r>
              <w:rPr>
                <w:rFonts w:ascii="宋体" w:hAnsi="宋体" w:eastAsia="宋体" w:cs="宋体"/>
                <w:b/>
              </w:rPr>
              <w:t>基金代码C</w:t>
            </w:r>
          </w:p>
        </w:tc>
        <w:tc>
          <w:tcPr>
            <w:tcW w:w="0" w:type="dxa"/>
            <w:vAlign w:val="center"/>
          </w:tcPr>
          <w:p>
            <w:pPr>
              <w:spacing w:line="240" w:lineRule="auto"/>
              <w:jc w:val="left"/>
            </w:pPr>
            <w:r>
              <w:rPr>
                <w:rFonts w:ascii="宋体" w:hAnsi="宋体" w:eastAsia="宋体" w:cs="宋体"/>
                <w:b w:val="0"/>
              </w:rPr>
              <w:t>009645</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基金管理人</w:t>
            </w:r>
          </w:p>
        </w:tc>
        <w:tc>
          <w:tcPr>
            <w:tcW w:w="0" w:type="dxa"/>
            <w:vAlign w:val="center"/>
          </w:tcPr>
          <w:p>
            <w:pPr>
              <w:spacing w:line="240" w:lineRule="auto"/>
              <w:jc w:val="left"/>
            </w:pPr>
            <w:r>
              <w:rPr>
                <w:rFonts w:ascii="宋体" w:hAnsi="宋体" w:eastAsia="宋体" w:cs="宋体"/>
                <w:b w:val="0"/>
              </w:rPr>
              <w:t>东方阿尔法基金管理有限公司</w:t>
            </w:r>
          </w:p>
        </w:tc>
        <w:tc>
          <w:tcPr>
            <w:tcW w:w="0" w:type="dxa"/>
            <w:vAlign w:val="center"/>
          </w:tcPr>
          <w:p>
            <w:pPr>
              <w:spacing w:line="240" w:lineRule="auto"/>
              <w:jc w:val="left"/>
            </w:pPr>
            <w:r>
              <w:rPr>
                <w:rFonts w:ascii="宋体" w:hAnsi="宋体" w:eastAsia="宋体" w:cs="宋体"/>
                <w:b/>
              </w:rPr>
              <w:t>基金托管人</w:t>
            </w:r>
          </w:p>
        </w:tc>
        <w:tc>
          <w:tcPr>
            <w:tcW w:w="0" w:type="dxa"/>
            <w:vAlign w:val="center"/>
          </w:tcPr>
          <w:p>
            <w:pPr>
              <w:spacing w:line="240" w:lineRule="auto"/>
              <w:jc w:val="left"/>
            </w:pPr>
            <w:r>
              <w:rPr>
                <w:rFonts w:ascii="宋体" w:hAnsi="宋体" w:eastAsia="宋体" w:cs="宋体"/>
                <w:b w:val="0"/>
              </w:rPr>
              <w:t>招商银行股份有限公司</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基金合同生效日</w:t>
            </w:r>
          </w:p>
        </w:tc>
        <w:tc>
          <w:tcPr>
            <w:tcW w:w="0" w:type="dxa"/>
            <w:vAlign w:val="center"/>
          </w:tcPr>
          <w:p>
            <w:pPr>
              <w:spacing w:line="240" w:lineRule="auto"/>
              <w:jc w:val="left"/>
            </w:pPr>
            <w:r>
              <w:rPr>
                <w:rFonts w:ascii="宋体" w:hAnsi="宋体" w:eastAsia="宋体" w:cs="宋体"/>
                <w:b w:val="0"/>
              </w:rPr>
              <w:t>2020年06月28日</w:t>
            </w:r>
          </w:p>
        </w:tc>
        <w:tc>
          <w:tcPr>
            <w:tcW w:w="0" w:type="dxa"/>
            <w:vAlign w:val="center"/>
          </w:tcPr>
          <w:p>
            <w:pPr>
              <w:spacing w:line="240" w:lineRule="auto"/>
              <w:jc w:val="left"/>
            </w:pPr>
            <w:r>
              <w:rPr>
                <w:rFonts w:ascii="宋体" w:hAnsi="宋体" w:eastAsia="宋体" w:cs="宋体"/>
                <w:b/>
              </w:rPr>
              <w:t>上市交易所及上市日期</w:t>
            </w:r>
          </w:p>
        </w:tc>
        <w:tc>
          <w:tcPr>
            <w:tcW w:w="0" w:type="dxa"/>
            <w:vAlign w:val="center"/>
          </w:tcPr>
          <w:p>
            <w:pPr>
              <w:spacing w:line="240" w:lineRule="auto"/>
              <w:jc w:val="left"/>
            </w:pPr>
            <w:r>
              <w:rPr>
                <w:rFonts w:ascii="宋体" w:hAnsi="宋体" w:eastAsia="宋体" w:cs="宋体"/>
                <w:b w:val="0"/>
              </w:rPr>
              <w:t>暂未上市</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基金类型</w:t>
            </w:r>
          </w:p>
        </w:tc>
        <w:tc>
          <w:tcPr>
            <w:tcW w:w="0" w:type="dxa"/>
            <w:vAlign w:val="center"/>
          </w:tcPr>
          <w:p>
            <w:pPr>
              <w:spacing w:line="240" w:lineRule="auto"/>
              <w:jc w:val="left"/>
            </w:pPr>
            <w:r>
              <w:rPr>
                <w:rFonts w:ascii="宋体" w:hAnsi="宋体" w:eastAsia="宋体" w:cs="宋体"/>
                <w:b w:val="0"/>
              </w:rPr>
              <w:t>混合型</w:t>
            </w:r>
          </w:p>
        </w:tc>
        <w:tc>
          <w:tcPr>
            <w:tcW w:w="0" w:type="dxa"/>
            <w:vAlign w:val="center"/>
          </w:tcPr>
          <w:p>
            <w:pPr>
              <w:spacing w:line="240" w:lineRule="auto"/>
              <w:jc w:val="left"/>
            </w:pPr>
            <w:r>
              <w:rPr>
                <w:rFonts w:ascii="宋体" w:hAnsi="宋体" w:eastAsia="宋体" w:cs="宋体"/>
                <w:b/>
              </w:rPr>
              <w:t>交易币种</w:t>
            </w:r>
          </w:p>
        </w:tc>
        <w:tc>
          <w:tcPr>
            <w:tcW w:w="0" w:type="dxa"/>
            <w:vAlign w:val="center"/>
          </w:tcPr>
          <w:p>
            <w:pPr>
              <w:spacing w:line="240" w:lineRule="auto"/>
              <w:jc w:val="left"/>
            </w:pPr>
            <w:r>
              <w:rPr>
                <w:rFonts w:ascii="宋体" w:hAnsi="宋体" w:eastAsia="宋体" w:cs="宋体"/>
                <w:b w:val="0"/>
              </w:rPr>
              <w:t>人民币</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运作方式</w:t>
            </w:r>
          </w:p>
        </w:tc>
        <w:tc>
          <w:tcPr>
            <w:tcW w:w="0" w:type="dxa"/>
            <w:vAlign w:val="center"/>
          </w:tcPr>
          <w:p>
            <w:pPr>
              <w:spacing w:line="240" w:lineRule="auto"/>
              <w:jc w:val="left"/>
            </w:pPr>
            <w:r>
              <w:rPr>
                <w:rFonts w:ascii="宋体" w:hAnsi="宋体" w:eastAsia="宋体" w:cs="宋体"/>
                <w:b w:val="0"/>
              </w:rPr>
              <w:t>普通开放式</w:t>
            </w:r>
          </w:p>
        </w:tc>
        <w:tc>
          <w:tcPr>
            <w:tcW w:w="0" w:type="dxa"/>
            <w:vAlign w:val="center"/>
          </w:tcPr>
          <w:p>
            <w:pPr>
              <w:spacing w:line="240" w:lineRule="auto"/>
              <w:jc w:val="left"/>
            </w:pPr>
            <w:r>
              <w:rPr>
                <w:rFonts w:ascii="宋体" w:hAnsi="宋体" w:eastAsia="宋体" w:cs="宋体"/>
                <w:b/>
              </w:rPr>
              <w:t>开放频率</w:t>
            </w:r>
          </w:p>
        </w:tc>
        <w:tc>
          <w:tcPr>
            <w:tcW w:w="0" w:type="dxa"/>
            <w:vAlign w:val="center"/>
          </w:tcPr>
          <w:p>
            <w:pPr>
              <w:spacing w:line="240" w:lineRule="auto"/>
              <w:jc w:val="left"/>
            </w:pPr>
            <w:r>
              <w:rPr>
                <w:rFonts w:ascii="宋体" w:hAnsi="宋体" w:eastAsia="宋体" w:cs="宋体"/>
                <w:b w:val="0"/>
              </w:rPr>
              <w:t>每个开放日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基金经理</w:t>
            </w:r>
          </w:p>
        </w:tc>
        <w:tc>
          <w:tcPr>
            <w:tcW w:w="0" w:type="dxa"/>
            <w:vMerge w:val="restart"/>
            <w:vAlign w:val="center"/>
          </w:tcPr>
          <w:p>
            <w:pPr>
              <w:spacing w:line="240" w:lineRule="auto"/>
              <w:jc w:val="left"/>
            </w:pPr>
            <w:r>
              <w:rPr>
                <w:rFonts w:ascii="宋体" w:hAnsi="宋体" w:eastAsia="宋体" w:cs="宋体"/>
                <w:b w:val="0"/>
              </w:rPr>
              <w:t>周谧</w:t>
            </w:r>
          </w:p>
        </w:tc>
        <w:tc>
          <w:tcPr>
            <w:tcW w:w="0" w:type="dxa"/>
            <w:vAlign w:val="center"/>
          </w:tcPr>
          <w:p>
            <w:pPr>
              <w:spacing w:line="240" w:lineRule="auto"/>
              <w:jc w:val="left"/>
            </w:pPr>
            <w:r>
              <w:rPr>
                <w:rFonts w:ascii="宋体" w:hAnsi="宋体" w:eastAsia="宋体" w:cs="宋体"/>
                <w:b/>
              </w:rPr>
              <w:t>开始担任本基金基金经理的日期</w:t>
            </w:r>
          </w:p>
        </w:tc>
        <w:tc>
          <w:tcPr>
            <w:tcW w:w="0" w:type="dxa"/>
            <w:vAlign w:val="center"/>
          </w:tcPr>
          <w:p>
            <w:pPr>
              <w:spacing w:line="240" w:lineRule="auto"/>
              <w:jc w:val="left"/>
            </w:pPr>
            <w:r>
              <w:rPr>
                <w:rFonts w:ascii="宋体" w:hAnsi="宋体" w:eastAsia="宋体" w:cs="宋体"/>
                <w:b w:val="0"/>
              </w:rPr>
              <w:t>2025年11月05日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vMerge w:val="continue"/>
          </w:tcPr>
          <w:p/>
        </w:tc>
        <w:tc>
          <w:tcPr>
            <w:tcW w:w="0" w:type="dxa"/>
            <w:vAlign w:val="center"/>
          </w:tcPr>
          <w:p>
            <w:pPr>
              <w:spacing w:line="240" w:lineRule="auto"/>
              <w:jc w:val="left"/>
            </w:pPr>
            <w:r>
              <w:rPr>
                <w:rFonts w:ascii="宋体" w:hAnsi="宋体" w:eastAsia="宋体" w:cs="宋体"/>
                <w:b/>
              </w:rPr>
              <w:t>证券从业日期</w:t>
            </w:r>
          </w:p>
        </w:tc>
        <w:tc>
          <w:tcPr>
            <w:tcW w:w="0" w:type="dxa"/>
            <w:vAlign w:val="center"/>
          </w:tcPr>
          <w:p>
            <w:pPr>
              <w:spacing w:line="240" w:lineRule="auto"/>
              <w:jc w:val="left"/>
            </w:pPr>
            <w:r>
              <w:rPr>
                <w:rFonts w:ascii="宋体" w:hAnsi="宋体" w:eastAsia="宋体" w:cs="宋体"/>
                <w:b w:val="0"/>
              </w:rPr>
              <w:t>2010年07月23日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基金经理</w:t>
            </w:r>
          </w:p>
        </w:tc>
        <w:tc>
          <w:tcPr>
            <w:tcW w:w="0" w:type="dxa"/>
            <w:vMerge w:val="restart"/>
            <w:vAlign w:val="center"/>
          </w:tcPr>
          <w:p>
            <w:pPr>
              <w:spacing w:line="240" w:lineRule="auto"/>
              <w:jc w:val="left"/>
            </w:pPr>
            <w:r>
              <w:rPr>
                <w:rFonts w:ascii="宋体" w:hAnsi="宋体" w:eastAsia="宋体" w:cs="宋体"/>
                <w:b w:val="0"/>
              </w:rPr>
              <w:t>吴秋松</w:t>
            </w:r>
          </w:p>
        </w:tc>
        <w:tc>
          <w:tcPr>
            <w:tcW w:w="0" w:type="dxa"/>
            <w:vAlign w:val="center"/>
          </w:tcPr>
          <w:p>
            <w:pPr>
              <w:spacing w:line="240" w:lineRule="auto"/>
              <w:jc w:val="left"/>
            </w:pPr>
            <w:r>
              <w:rPr>
                <w:rFonts w:ascii="宋体" w:hAnsi="宋体" w:eastAsia="宋体" w:cs="宋体"/>
                <w:b/>
              </w:rPr>
              <w:t>开始担任本基金基金经理的日期</w:t>
            </w:r>
          </w:p>
        </w:tc>
        <w:tc>
          <w:tcPr>
            <w:tcW w:w="0" w:type="dxa"/>
            <w:vAlign w:val="center"/>
          </w:tcPr>
          <w:p>
            <w:pPr>
              <w:spacing w:line="240" w:lineRule="auto"/>
              <w:jc w:val="left"/>
            </w:pPr>
            <w:r>
              <w:rPr>
                <w:rFonts w:ascii="宋体" w:hAnsi="宋体" w:eastAsia="宋体" w:cs="宋体"/>
                <w:b w:val="0"/>
              </w:rPr>
              <w:t>2026年01月28日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vMerge w:val="continue"/>
          </w:tcPr>
          <w:p/>
        </w:tc>
        <w:tc>
          <w:tcPr>
            <w:tcW w:w="0" w:type="dxa"/>
            <w:vAlign w:val="center"/>
          </w:tcPr>
          <w:p>
            <w:pPr>
              <w:spacing w:line="240" w:lineRule="auto"/>
              <w:jc w:val="left"/>
            </w:pPr>
            <w:r>
              <w:rPr>
                <w:rFonts w:ascii="宋体" w:hAnsi="宋体" w:eastAsia="宋体" w:cs="宋体"/>
                <w:b/>
              </w:rPr>
              <w:t>证券从业日期</w:t>
            </w:r>
          </w:p>
        </w:tc>
        <w:tc>
          <w:tcPr>
            <w:tcW w:w="0" w:type="dxa"/>
            <w:vAlign w:val="center"/>
          </w:tcPr>
          <w:p>
            <w:pPr>
              <w:spacing w:line="240" w:lineRule="auto"/>
              <w:jc w:val="left"/>
            </w:pPr>
            <w:r>
              <w:rPr>
                <w:rFonts w:ascii="宋体" w:hAnsi="宋体" w:eastAsia="宋体" w:cs="宋体"/>
                <w:b w:val="0"/>
              </w:rPr>
              <w:t>2016年06月06日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Fonts w:ascii="宋体" w:hAnsi="宋体" w:eastAsia="宋体" w:cs="宋体"/>
          <w:b/>
        </w:rPr>
        <w:t>（一）投资目标与投资策略</w:t>
      </w:r>
    </w:p>
    <w:p>
      <w:r>
        <w:rPr>
          <w:rFonts w:ascii="宋体" w:hAnsi="宋体" w:eastAsia="宋体" w:cs="宋体"/>
          <w:b w:val="0"/>
        </w:rPr>
        <w:t xml:space="preserve">    详见《东方阿尔法优势产业混合型发起式证券投资基金招募说明书》第九部分“基金的投资”。</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7143"/>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通过全面深入地研究分析上市公司基本面，投资于可能从宏观经济结构、产业结构升级以及技术创新等变化趋势中获益的质地优良的优势产业和上市公司，在严格控制风险的前提下，追求超越基金业绩比较基准的长期稳定资本增值。</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中小板、创业板及其他中国证监会允许基金投资的股票、存托凭证）、债券（包括国内依法发行和上市交易的国债、金融债、企业债、公司债、公开发行的次级债、地方政府债券、可转换债券、分离交易可转债的纯债部分、可交换债、央行票据、中期票据、证券公司短期融资券、短期融资券）、资产支持证券、债券回购、货币市场工具、同业存单、银行存款（包括协议存款、定期存款及其他银行存款）、股指期货、国债期货以及法律法规或中国证监会允许基金投资的其他金融工具（但须符合中国证监会的相关规定）。本基金将根据法律法规的规定参与融资融券业务中的融资业务。如法律法规或监管机构以后允许基金投资其他品种，基金管理人在履行适当程序后，可以将其纳入投资范围。</w:t>
            </w:r>
            <w:r>
              <w:rPr>
                <w:rFonts w:ascii="宋体" w:hAnsi="宋体" w:eastAsia="宋体" w:cs="宋体"/>
                <w:b w:val="0"/>
              </w:rPr>
              <w:br w:type="textWrapping"/>
            </w:r>
            <w:r>
              <w:rPr>
                <w:rFonts w:ascii="宋体" w:hAnsi="宋体" w:eastAsia="宋体" w:cs="宋体"/>
                <w:b w:val="0"/>
              </w:rPr>
              <w:t>基金的投资组合比例为：本基金投资组合中股票资产投资比例为基金资产的50%-95%，其中投资于本基金合同界定的优势产业主题相关证券的比例不低于非现金基金资产的80%。本基金每个交易日日终在扣除股指期货及国债期货合约需缴纳的交易保证金后，保持现金或者到期日在一年以内的政府债券投资比例合计不低于基金资产净值的5%，其中现金不包括结算备付金、存出保证金、应收申购款等。</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本基金通过深入研究宏观经济转型、产业结构转型背景下的产业升级与变革，对受益于国家经济转型和政策环境改变的相关产业中的上市公司进行系统分析，从定性和定量结合的角度综合分析其成长性和投资价值。本基金采用自上而下的方法进行大类资产配置、行业配置，采用自下而上的方法精选个股。</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中证800指数收益率*90%+中证综合债（全价）指数收益率*10%</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注：2026年9月21日起本基金的业绩比较基准调整为中证800指数收益率*90%+中证综合债（全价）指数收益率*10%。</w:t>
      </w:r>
    </w:p>
    <w:p/>
    <w:p>
      <w:pPr>
        <w:pStyle w:val="3"/>
        <w:jc w:val="left"/>
      </w:pPr>
      <w:r>
        <w:rPr>
          <w:rFonts w:ascii="宋体" w:hAnsi="宋体" w:eastAsia="宋体" w:cs="宋体"/>
        </w:rPr>
        <w:t>三、投资本基金涉及的费用</w:t>
      </w:r>
    </w:p>
    <w:p>
      <w:pPr>
        <w:pStyle w:val="58"/>
      </w:pPr>
      <w:r>
        <w:rPr>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C类份额无申购费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0天&lt;N&lt;7天</w:t>
            </w:r>
          </w:p>
        </w:tc>
        <w:tc>
          <w:tcPr>
            <w:tcW w:w="0" w:type="dxa"/>
            <w:vAlign w:val="center"/>
          </w:tcPr>
          <w:p>
            <w:pPr>
              <w:spacing w:line="240" w:lineRule="auto"/>
              <w:jc w:val="left"/>
            </w:pPr>
            <w:r>
              <w:rPr>
                <w:rFonts w:ascii="宋体" w:hAnsi="宋体" w:eastAsia="宋体" w:cs="宋体"/>
                <w:b w:val="0"/>
              </w:rPr>
              <w:t>1.50%</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w:t>
            </w:r>
          </w:p>
        </w:tc>
        <w:tc>
          <w:tcPr>
            <w:tcW w:w="0" w:type="dxa"/>
            <w:vAlign w:val="center"/>
          </w:tcPr>
          <w:p>
            <w:pPr>
              <w:spacing w:line="240" w:lineRule="auto"/>
              <w:jc w:val="left"/>
            </w:pPr>
          </w:p>
        </w:tc>
      </w:tr>
    </w:tbl>
    <w:p/>
    <w:p>
      <w:pPr>
        <w:pStyle w:val="58"/>
      </w:pPr>
      <w:r>
        <w:rPr>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4286"/>
        <w:gridCol w:w="2857"/>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73,000.00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律师费、诉讼费和仲裁费；基金份额持有人大会费用；基金的证券、期货交易费用；基金的银行汇划费用；基金的开户费用、账户维护费用；证券账户的开户费、账户维护费用；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4714"/>
        <w:gridCol w:w="457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1.91%</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投资于本基金《基金合同》界定的优势产业主题相关证券的比例不低于非现金基金资产的80%；同时，本基金投资于股票的比例占基金资产的50%-95%，投资集中度比较明显，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在基金合同生效三年后继续存续的，连续50个工作日出现基金份额持有人数量不满200人或者基金资产净值低于5000万元情形的，本基金将根据基金合同约定进入清算程序并终止，无需召开基金份额持有人大会进行表决。</w:t>
      </w:r>
      <w:r>
        <w:rPr>
          <w:rFonts w:ascii="宋体" w:hAnsi="宋体" w:eastAsia="宋体" w:cs="宋体"/>
          <w:b w:val="0"/>
        </w:rPr>
        <w:br w:type="textWrapping"/>
      </w:r>
      <w:r>
        <w:rPr>
          <w:rFonts w:ascii="宋体" w:hAnsi="宋体" w:eastAsia="宋体" w:cs="宋体"/>
          <w:b w:val="0"/>
        </w:rPr>
        <w:t xml:space="preserve">    （3）本基金可投资科创板和北交所上市交易股票，将承担因上市条件、交易规则、退市制度等差异带来的特有风险，包括流动性风险、退市风险、投资集中风险等。</w:t>
      </w:r>
      <w:r>
        <w:rPr>
          <w:rFonts w:ascii="宋体" w:hAnsi="宋体" w:eastAsia="宋体" w:cs="宋体"/>
          <w:b w:val="0"/>
        </w:rPr>
        <w:br w:type="textWrapping"/>
      </w:r>
      <w:r>
        <w:rPr>
          <w:rFonts w:ascii="宋体" w:hAnsi="宋体" w:eastAsia="宋体" w:cs="宋体"/>
          <w:b w:val="0"/>
        </w:rPr>
        <w:t xml:space="preserve">    （4）本基金可投资股指期货，可能会出现的风险包括基差风险、合约品种差异造成的风险、标的物风险、衍生品模型风险等。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（5）本基金可投资国债期货，国债期货的风险主要包含市场风险、流动性风险、信用风险、合规性风险以及国债期货实物交割风险等。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（6）本基金可投资资产支持类证券，资产支持证券的风险主要包括信用风险、利率风险、流动性风险、提前偿付风险等。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（7）本基金可参与融资交易，融资交易的风险主要包括流动性风险、信用风险等，这些风险可能会给基金净值带来一定的负面影响和损失。</w:t>
      </w:r>
      <w:r>
        <w:rPr>
          <w:rFonts w:ascii="宋体" w:hAnsi="宋体" w:eastAsia="宋体" w:cs="宋体"/>
          <w:b w:val="0"/>
        </w:rPr>
        <w:br w:type="textWrapping"/>
      </w:r>
      <w:r>
        <w:rPr>
          <w:rFonts w:ascii="宋体" w:hAnsi="宋体" w:eastAsia="宋体" w:cs="宋体"/>
          <w:b w:val="0"/>
        </w:rPr>
        <w:t xml:space="preserve">    （8）本基金的投资范围包括存托凭证，如果投资，可能面临存托凭证价格大幅波动甚至出现较大亏损的风险，以及与创新企业发行人、境外发行人、存托凭证发行机制和交易机制等相关的风险。</w:t>
      </w:r>
      <w:r>
        <w:rPr>
          <w:rFonts w:ascii="宋体" w:hAnsi="宋体" w:eastAsia="宋体" w:cs="宋体"/>
          <w:b w:val="0"/>
        </w:rPr>
        <w:br w:type="textWrapping"/>
      </w:r>
      <w:r>
        <w:rPr>
          <w:rFonts w:ascii="宋体" w:hAnsi="宋体" w:eastAsia="宋体" w:cs="宋体"/>
          <w:b w:val="0"/>
        </w:rPr>
        <w:t xml:space="preserve">    （9）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2、开放式基金的共有风险：市场风险、管理风险、职业道德风险、流动性风险、合规风险、投资管理风险、操作和技术风险以及不可抗力可能导致的其他风险。</w:t>
      </w:r>
    </w:p>
    <w:p/>
    <w:p>
      <w:pPr>
        <w:pStyle w:val="58"/>
      </w:pPr>
      <w:r>
        <w:rPr>
          <w:rFonts w:ascii="宋体" w:hAnsi="宋体" w:eastAsia="宋体" w:cs="宋体"/>
          <w:b/>
        </w:rPr>
        <w:t>（二）重要提示</w:t>
      </w:r>
    </w:p>
    <w:p>
      <w:pPr>
        <w:jc w:val="left"/>
      </w:pPr>
      <w:r>
        <w:rPr>
          <w:rFonts w:ascii="宋体" w:hAnsi="宋体" w:eastAsia="宋体" w:cs="宋体"/>
          <w:b w:val="0"/>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rPr>
        <w:rFonts w:ascii="宋体" w:hAnsi="宋体"/>
      </w:rPr>
      <w:ptab w:relativeTo="margin" w:alignment="center" w:leader="none"/>
    </w:r>
    <w:r>
      <w:rPr>
        <w:rFonts w:hint="eastAsia" w:ascii="宋体" w:hAnsi="宋体"/>
        <w:sz w:val="18"/>
      </w:rPr>
      <w:t>东方阿尔法优势产业混合型发起式证券投资基金（C类份额）基金产品资料概要更新</w:t>
    </w:r>
    <w:r>
      <w:rPr>
        <w:rFonts w:ascii="宋体" w:hAnsi="宋体"/>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2304C37"/>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qFormat="1"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qFormat/>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qFormat/>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qFormat/>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uiPriority w:val="99"/>
    <w:rPr>
      <w:rFonts w:asciiTheme="minorHAnsi" w:hAnsiTheme="minorHAnsi" w:eastAsiaTheme="minorEastAsia" w:cstheme="minorBidi"/>
      <w:sz w:val="21"/>
      <w:szCs w:val="22"/>
    </w:rPr>
  </w:style>
  <w:style w:type="character" w:customStyle="1" w:styleId="43">
    <w:name w:val="页眉 字符"/>
    <w:basedOn w:val="30"/>
    <w:link w:val="18"/>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2026-09-18T02:15:48Z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