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04FEA">
      <w:pPr>
        <w:spacing w:before="7" w:line="219" w:lineRule="auto"/>
        <w:ind w:left="3962"/>
        <w:outlineLvl w:val="0"/>
        <w:rPr>
          <w:rFonts w:ascii="黑体" w:hAnsi="黑体" w:eastAsia="黑体" w:cs="黑体"/>
          <w:sz w:val="28"/>
          <w:szCs w:val="28"/>
        </w:rPr>
      </w:pPr>
      <w:r>
        <w:rPr>
          <w:rFonts w:ascii="黑体" w:hAnsi="黑体" w:eastAsia="黑体" w:cs="黑体"/>
          <w:b/>
          <w:bCs/>
          <w:spacing w:val="-3"/>
          <w:sz w:val="28"/>
          <w:szCs w:val="28"/>
        </w:rPr>
        <w:t>开放式基金交易类业务申请表</w:t>
      </w:r>
    </w:p>
    <w:p w14:paraId="005D99C5">
      <w:pPr>
        <w:pStyle w:val="2"/>
        <w:spacing w:before="72" w:line="234" w:lineRule="auto"/>
        <w:ind w:left="808"/>
      </w:pPr>
      <w:r>
        <w:rPr>
          <w:spacing w:val="10"/>
        </w:rPr>
        <w:t>东方阿尔法基金管理有限公司提醒您在填写本表前请详细阅读本公司所管理的开放式基金的基金合同、招募说明书和产品资料</w:t>
      </w:r>
      <w:r>
        <w:rPr>
          <w:spacing w:val="9"/>
        </w:rPr>
        <w:t>概要，请根据您申请的业务类型填写相关内容。</w:t>
      </w:r>
    </w:p>
    <w:p w14:paraId="3B6E4C3D">
      <w:pPr>
        <w:spacing w:line="79" w:lineRule="exact"/>
      </w:pPr>
    </w:p>
    <w:tbl>
      <w:tblPr>
        <w:tblStyle w:val="6"/>
        <w:tblW w:w="10237" w:type="dxa"/>
        <w:tblInd w:w="6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1"/>
        <w:gridCol w:w="895"/>
        <w:gridCol w:w="1757"/>
        <w:gridCol w:w="724"/>
        <w:gridCol w:w="428"/>
        <w:gridCol w:w="407"/>
        <w:gridCol w:w="411"/>
        <w:gridCol w:w="413"/>
        <w:gridCol w:w="220"/>
        <w:gridCol w:w="192"/>
        <w:gridCol w:w="414"/>
        <w:gridCol w:w="420"/>
        <w:gridCol w:w="413"/>
        <w:gridCol w:w="415"/>
        <w:gridCol w:w="117"/>
        <w:gridCol w:w="298"/>
        <w:gridCol w:w="415"/>
        <w:gridCol w:w="417"/>
      </w:tblGrid>
      <w:tr w14:paraId="7ACD2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0237" w:type="dxa"/>
            <w:gridSpan w:val="18"/>
            <w:vAlign w:val="top"/>
          </w:tcPr>
          <w:p w14:paraId="0BE2A8A8">
            <w:pPr>
              <w:pStyle w:val="7"/>
              <w:spacing w:before="70" w:line="216" w:lineRule="auto"/>
              <w:ind w:left="138"/>
              <w:rPr>
                <w:rFonts w:ascii="华文细黑" w:hAnsi="华文细黑" w:eastAsia="华文细黑" w:cs="华文细黑"/>
              </w:rPr>
            </w:pPr>
            <w:r>
              <w:rPr>
                <w:b/>
                <w:bCs/>
                <w:color w:val="0067B3"/>
                <w:spacing w:val="-2"/>
              </w:rPr>
              <w:t>申请类型</w:t>
            </w:r>
            <w:r>
              <w:rPr>
                <w:rFonts w:ascii="华文细黑" w:hAnsi="华文细黑" w:eastAsia="华文细黑" w:cs="华文细黑"/>
                <w:spacing w:val="-2"/>
              </w:rPr>
              <w:t>（请在您需要申请的业务类型选项前打</w:t>
            </w:r>
            <w:r>
              <w:rPr>
                <w:position w:val="2"/>
              </w:rPr>
              <w:drawing>
                <wp:inline distT="0" distB="0" distL="0" distR="0">
                  <wp:extent cx="89535" cy="7429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tretch>
                            <a:fillRect/>
                          </a:stretch>
                        </pic:blipFill>
                        <pic:spPr>
                          <a:xfrm>
                            <a:off x="0" y="0"/>
                            <a:ext cx="89839" cy="74752"/>
                          </a:xfrm>
                          <a:prstGeom prst="rect">
                            <a:avLst/>
                          </a:prstGeom>
                        </pic:spPr>
                      </pic:pic>
                    </a:graphicData>
                  </a:graphic>
                </wp:inline>
              </w:drawing>
            </w:r>
            <w:r>
              <w:rPr>
                <w:rFonts w:ascii="华文细黑" w:hAnsi="华文细黑" w:eastAsia="华文细黑" w:cs="华文细黑"/>
                <w:spacing w:val="-2"/>
              </w:rPr>
              <w:t>）</w:t>
            </w:r>
          </w:p>
        </w:tc>
      </w:tr>
      <w:tr w14:paraId="65860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5B7AD173">
            <w:pPr>
              <w:pStyle w:val="7"/>
              <w:spacing w:before="71" w:line="220" w:lineRule="auto"/>
              <w:ind w:left="130"/>
            </w:pPr>
            <w:r>
              <w:rPr>
                <w:spacing w:val="-5"/>
              </w:rPr>
              <w:t>○认购  ○申购</w:t>
            </w:r>
            <w:r>
              <w:rPr>
                <w:spacing w:val="16"/>
              </w:rPr>
              <w:t xml:space="preserve">  </w:t>
            </w:r>
            <w:r>
              <w:rPr>
                <w:spacing w:val="-5"/>
              </w:rPr>
              <w:t>○赎回</w:t>
            </w:r>
            <w:r>
              <w:rPr>
                <w:spacing w:val="11"/>
              </w:rPr>
              <w:t xml:space="preserve">  </w:t>
            </w:r>
            <w:r>
              <w:rPr>
                <w:spacing w:val="-5"/>
              </w:rPr>
              <w:t>○转换</w:t>
            </w:r>
            <w:r>
              <w:rPr>
                <w:spacing w:val="13"/>
              </w:rPr>
              <w:t xml:space="preserve">  </w:t>
            </w:r>
            <w:r>
              <w:rPr>
                <w:spacing w:val="-5"/>
              </w:rPr>
              <w:t>○变更分红方式</w:t>
            </w:r>
            <w:r>
              <w:rPr>
                <w:spacing w:val="11"/>
              </w:rPr>
              <w:t xml:space="preserve">  </w:t>
            </w:r>
            <w:r>
              <w:rPr>
                <w:spacing w:val="-5"/>
              </w:rPr>
              <w:t>○转托管</w:t>
            </w:r>
            <w:r>
              <w:rPr>
                <w:spacing w:val="12"/>
              </w:rPr>
              <w:t xml:space="preserve">  </w:t>
            </w:r>
            <w:r>
              <w:rPr>
                <w:spacing w:val="-5"/>
              </w:rPr>
              <w:t>○撤单</w:t>
            </w:r>
          </w:p>
        </w:tc>
      </w:tr>
      <w:tr w14:paraId="6931C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58F51A5A">
            <w:pPr>
              <w:pStyle w:val="7"/>
              <w:spacing w:before="67" w:line="215" w:lineRule="auto"/>
              <w:ind w:left="138"/>
              <w:rPr>
                <w:rFonts w:ascii="华文细黑" w:hAnsi="华文细黑" w:eastAsia="华文细黑" w:cs="华文细黑"/>
              </w:rPr>
            </w:pPr>
            <w:r>
              <w:rPr>
                <w:b/>
                <w:bCs/>
                <w:color w:val="0067B3"/>
                <w:spacing w:val="-3"/>
              </w:rPr>
              <w:t>申请人信息</w:t>
            </w:r>
            <w:r>
              <w:rPr>
                <w:rFonts w:ascii="华文细黑" w:hAnsi="华文细黑" w:eastAsia="华文细黑" w:cs="华文细黑"/>
                <w:spacing w:val="-3"/>
              </w:rPr>
              <w:t>（新开户免填基金账号、交易账</w:t>
            </w:r>
            <w:r>
              <w:rPr>
                <w:rFonts w:ascii="华文细黑" w:hAnsi="华文细黑" w:eastAsia="华文细黑" w:cs="华文细黑"/>
                <w:spacing w:val="-4"/>
              </w:rPr>
              <w:t>号）</w:t>
            </w:r>
          </w:p>
        </w:tc>
      </w:tr>
      <w:tr w14:paraId="7CAEC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554A6968">
            <w:pPr>
              <w:pStyle w:val="7"/>
              <w:spacing w:before="71" w:line="220" w:lineRule="auto"/>
              <w:ind w:left="588"/>
            </w:pPr>
            <w:r>
              <w:rPr>
                <w:spacing w:val="-2"/>
              </w:rPr>
              <w:t>账户名称</w:t>
            </w:r>
          </w:p>
        </w:tc>
        <w:tc>
          <w:tcPr>
            <w:tcW w:w="8356" w:type="dxa"/>
            <w:gridSpan w:val="17"/>
            <w:vAlign w:val="top"/>
          </w:tcPr>
          <w:p w14:paraId="0A1F8411">
            <w:pPr>
              <w:rPr>
                <w:rFonts w:ascii="Arial"/>
                <w:sz w:val="21"/>
              </w:rPr>
            </w:pPr>
          </w:p>
        </w:tc>
      </w:tr>
      <w:tr w14:paraId="440C5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5BA27824">
            <w:pPr>
              <w:pStyle w:val="7"/>
              <w:spacing w:before="71" w:line="221" w:lineRule="auto"/>
              <w:ind w:left="585"/>
            </w:pPr>
            <w:r>
              <w:rPr>
                <w:spacing w:val="-2"/>
              </w:rPr>
              <w:t>基金账号</w:t>
            </w:r>
          </w:p>
        </w:tc>
        <w:tc>
          <w:tcPr>
            <w:tcW w:w="3804" w:type="dxa"/>
            <w:gridSpan w:val="4"/>
            <w:vAlign w:val="top"/>
          </w:tcPr>
          <w:p w14:paraId="195B694C">
            <w:pPr>
              <w:rPr>
                <w:rFonts w:ascii="Arial"/>
                <w:sz w:val="21"/>
              </w:rPr>
            </w:pPr>
          </w:p>
        </w:tc>
        <w:tc>
          <w:tcPr>
            <w:tcW w:w="1451" w:type="dxa"/>
            <w:gridSpan w:val="4"/>
            <w:vAlign w:val="top"/>
          </w:tcPr>
          <w:p w14:paraId="08F4748A">
            <w:pPr>
              <w:pStyle w:val="7"/>
              <w:spacing w:before="71" w:line="221" w:lineRule="auto"/>
              <w:ind w:left="396"/>
            </w:pPr>
            <w:r>
              <w:rPr>
                <w:spacing w:val="-2"/>
              </w:rPr>
              <w:t>交易账号</w:t>
            </w:r>
          </w:p>
        </w:tc>
        <w:tc>
          <w:tcPr>
            <w:tcW w:w="3101" w:type="dxa"/>
            <w:gridSpan w:val="9"/>
            <w:vAlign w:val="top"/>
          </w:tcPr>
          <w:p w14:paraId="1F019478">
            <w:pPr>
              <w:rPr>
                <w:rFonts w:ascii="Arial"/>
                <w:sz w:val="21"/>
              </w:rPr>
            </w:pPr>
          </w:p>
        </w:tc>
      </w:tr>
      <w:tr w14:paraId="3F958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71411F9C">
            <w:pPr>
              <w:pStyle w:val="7"/>
              <w:spacing w:before="71" w:line="222" w:lineRule="auto"/>
              <w:ind w:left="586"/>
            </w:pPr>
            <w:r>
              <w:rPr>
                <w:spacing w:val="-2"/>
              </w:rPr>
              <w:t>联系电话</w:t>
            </w:r>
          </w:p>
        </w:tc>
        <w:tc>
          <w:tcPr>
            <w:tcW w:w="3804" w:type="dxa"/>
            <w:gridSpan w:val="4"/>
            <w:vAlign w:val="top"/>
          </w:tcPr>
          <w:p w14:paraId="3E9D02D8">
            <w:pPr>
              <w:rPr>
                <w:rFonts w:ascii="Arial"/>
                <w:sz w:val="21"/>
              </w:rPr>
            </w:pPr>
          </w:p>
        </w:tc>
        <w:tc>
          <w:tcPr>
            <w:tcW w:w="1451" w:type="dxa"/>
            <w:gridSpan w:val="4"/>
            <w:vAlign w:val="top"/>
          </w:tcPr>
          <w:p w14:paraId="3382A9A6">
            <w:pPr>
              <w:pStyle w:val="7"/>
              <w:spacing w:before="71" w:line="219" w:lineRule="auto"/>
              <w:ind w:left="391"/>
            </w:pPr>
            <w:r>
              <w:rPr>
                <w:spacing w:val="-3"/>
              </w:rPr>
              <w:t>传</w:t>
            </w:r>
            <w:r>
              <w:rPr>
                <w:spacing w:val="2"/>
              </w:rPr>
              <w:t xml:space="preserve">    </w:t>
            </w:r>
            <w:r>
              <w:rPr>
                <w:spacing w:val="-3"/>
              </w:rPr>
              <w:t>真</w:t>
            </w:r>
          </w:p>
        </w:tc>
        <w:tc>
          <w:tcPr>
            <w:tcW w:w="3101" w:type="dxa"/>
            <w:gridSpan w:val="9"/>
            <w:vAlign w:val="top"/>
          </w:tcPr>
          <w:p w14:paraId="5B4AF692">
            <w:pPr>
              <w:rPr>
                <w:rFonts w:ascii="Arial"/>
                <w:sz w:val="21"/>
              </w:rPr>
            </w:pPr>
          </w:p>
        </w:tc>
      </w:tr>
      <w:tr w14:paraId="17BCF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Merge w:val="restart"/>
            <w:tcBorders>
              <w:bottom w:val="nil"/>
            </w:tcBorders>
            <w:vAlign w:val="top"/>
          </w:tcPr>
          <w:p w14:paraId="194594CD">
            <w:pPr>
              <w:pStyle w:val="7"/>
              <w:spacing w:before="77" w:line="297" w:lineRule="auto"/>
              <w:ind w:left="765" w:right="128" w:hanging="629"/>
            </w:pPr>
            <w:r>
              <w:rPr>
                <w:spacing w:val="-1"/>
              </w:rPr>
              <w:t>投资人或经办人证件</w:t>
            </w:r>
            <w:r>
              <w:t xml:space="preserve"> </w:t>
            </w:r>
            <w:r>
              <w:rPr>
                <w:spacing w:val="-2"/>
              </w:rPr>
              <w:t>信息</w:t>
            </w:r>
          </w:p>
        </w:tc>
        <w:tc>
          <w:tcPr>
            <w:tcW w:w="895" w:type="dxa"/>
            <w:vAlign w:val="top"/>
          </w:tcPr>
          <w:p w14:paraId="3F6D04B6">
            <w:pPr>
              <w:pStyle w:val="7"/>
              <w:spacing w:before="71" w:line="220" w:lineRule="auto"/>
              <w:ind w:left="223"/>
            </w:pPr>
            <w:r>
              <w:rPr>
                <w:spacing w:val="-4"/>
              </w:rPr>
              <w:t>类</w:t>
            </w:r>
            <w:r>
              <w:rPr>
                <w:spacing w:val="13"/>
              </w:rPr>
              <w:t xml:space="preserve"> </w:t>
            </w:r>
            <w:r>
              <w:rPr>
                <w:spacing w:val="-4"/>
              </w:rPr>
              <w:t>型</w:t>
            </w:r>
          </w:p>
        </w:tc>
        <w:tc>
          <w:tcPr>
            <w:tcW w:w="2909" w:type="dxa"/>
            <w:gridSpan w:val="3"/>
            <w:vAlign w:val="top"/>
          </w:tcPr>
          <w:p w14:paraId="2A05AB48">
            <w:pPr>
              <w:pStyle w:val="7"/>
              <w:spacing w:before="71" w:line="220" w:lineRule="auto"/>
              <w:ind w:left="126"/>
            </w:pPr>
            <w:r>
              <w:rPr>
                <w:spacing w:val="-7"/>
              </w:rPr>
              <w:t>○身份证</w:t>
            </w:r>
            <w:r>
              <w:rPr>
                <w:spacing w:val="7"/>
              </w:rPr>
              <w:t xml:space="preserve">    </w:t>
            </w:r>
            <w:r>
              <w:rPr>
                <w:spacing w:val="-7"/>
              </w:rPr>
              <w:t>○其他</w:t>
            </w:r>
            <w:r>
              <w:rPr>
                <w:u w:val="single" w:color="auto"/>
              </w:rPr>
              <w:t xml:space="preserve">             </w:t>
            </w:r>
          </w:p>
        </w:tc>
        <w:tc>
          <w:tcPr>
            <w:tcW w:w="1451" w:type="dxa"/>
            <w:gridSpan w:val="4"/>
            <w:vAlign w:val="top"/>
          </w:tcPr>
          <w:p w14:paraId="4558F13E">
            <w:pPr>
              <w:pStyle w:val="7"/>
              <w:spacing w:before="71" w:line="220" w:lineRule="auto"/>
              <w:ind w:left="304"/>
            </w:pPr>
            <w:r>
              <w:rPr>
                <w:spacing w:val="-2"/>
              </w:rPr>
              <w:t>证件有效期</w:t>
            </w:r>
          </w:p>
        </w:tc>
        <w:tc>
          <w:tcPr>
            <w:tcW w:w="3101" w:type="dxa"/>
            <w:gridSpan w:val="9"/>
            <w:vAlign w:val="top"/>
          </w:tcPr>
          <w:p w14:paraId="1AFBD97E">
            <w:pPr>
              <w:rPr>
                <w:rFonts w:ascii="Arial"/>
                <w:sz w:val="21"/>
              </w:rPr>
            </w:pPr>
          </w:p>
        </w:tc>
      </w:tr>
      <w:tr w14:paraId="43608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Merge w:val="continue"/>
            <w:tcBorders>
              <w:top w:val="nil"/>
            </w:tcBorders>
            <w:vAlign w:val="top"/>
          </w:tcPr>
          <w:p w14:paraId="62F78B1C">
            <w:pPr>
              <w:rPr>
                <w:rFonts w:ascii="Arial"/>
                <w:sz w:val="21"/>
              </w:rPr>
            </w:pPr>
          </w:p>
        </w:tc>
        <w:tc>
          <w:tcPr>
            <w:tcW w:w="895" w:type="dxa"/>
            <w:vAlign w:val="top"/>
          </w:tcPr>
          <w:p w14:paraId="4742BAED">
            <w:pPr>
              <w:pStyle w:val="7"/>
              <w:spacing w:before="71" w:line="221" w:lineRule="auto"/>
              <w:ind w:left="228"/>
            </w:pPr>
            <w:r>
              <w:rPr>
                <w:spacing w:val="-6"/>
              </w:rPr>
              <w:t>号</w:t>
            </w:r>
            <w:r>
              <w:rPr>
                <w:spacing w:val="7"/>
              </w:rPr>
              <w:t xml:space="preserve"> </w:t>
            </w:r>
            <w:r>
              <w:rPr>
                <w:spacing w:val="-6"/>
              </w:rPr>
              <w:t>码</w:t>
            </w:r>
          </w:p>
        </w:tc>
        <w:tc>
          <w:tcPr>
            <w:tcW w:w="7461" w:type="dxa"/>
            <w:gridSpan w:val="16"/>
            <w:vAlign w:val="top"/>
          </w:tcPr>
          <w:p w14:paraId="5361D028">
            <w:pPr>
              <w:rPr>
                <w:rFonts w:ascii="Arial"/>
                <w:sz w:val="21"/>
              </w:rPr>
            </w:pPr>
          </w:p>
        </w:tc>
      </w:tr>
      <w:tr w14:paraId="14C64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6CAD2ABB">
            <w:pPr>
              <w:pStyle w:val="7"/>
              <w:spacing w:before="66" w:line="216" w:lineRule="auto"/>
              <w:ind w:left="114"/>
              <w:rPr>
                <w:rFonts w:ascii="华文细黑" w:hAnsi="华文细黑" w:eastAsia="华文细黑" w:cs="华文细黑"/>
              </w:rPr>
            </w:pPr>
            <w:r>
              <w:rPr>
                <w:b/>
                <w:bCs/>
                <w:color w:val="0067B3"/>
                <w:spacing w:val="-2"/>
              </w:rPr>
              <w:t>认购或申购</w:t>
            </w:r>
            <w:r>
              <w:rPr>
                <w:color w:val="0067B3"/>
                <w:spacing w:val="-2"/>
              </w:rPr>
              <w:t xml:space="preserve">  </w:t>
            </w:r>
            <w:r>
              <w:rPr>
                <w:rFonts w:ascii="华文细黑" w:hAnsi="华文细黑" w:eastAsia="华文细黑" w:cs="华文细黑"/>
                <w:spacing w:val="-2"/>
              </w:rPr>
              <w:t>（收费类型：</w:t>
            </w:r>
            <w:r>
              <w:rPr>
                <w:rFonts w:ascii="华文细黑" w:hAnsi="华文细黑" w:eastAsia="华文细黑" w:cs="华文细黑"/>
                <w:spacing w:val="-18"/>
              </w:rPr>
              <w:t xml:space="preserve"> </w:t>
            </w:r>
            <w:r>
              <w:rPr>
                <w:rFonts w:ascii="华文细黑" w:hAnsi="华文细黑" w:eastAsia="华文细黑" w:cs="华文细黑"/>
                <w:spacing w:val="-2"/>
              </w:rPr>
              <w:t>○前端    ○后端  ○C</w:t>
            </w:r>
            <w:r>
              <w:rPr>
                <w:rFonts w:ascii="华文细黑" w:hAnsi="华文细黑" w:eastAsia="华文细黑" w:cs="华文细黑"/>
                <w:spacing w:val="11"/>
                <w:w w:val="101"/>
              </w:rPr>
              <w:t xml:space="preserve"> </w:t>
            </w:r>
            <w:r>
              <w:rPr>
                <w:rFonts w:ascii="华文细黑" w:hAnsi="华文细黑" w:eastAsia="华文细黑" w:cs="华文细黑"/>
                <w:spacing w:val="-2"/>
              </w:rPr>
              <w:t>类     请根据需要选</w:t>
            </w:r>
            <w:r>
              <w:rPr>
                <w:rFonts w:ascii="华文细黑" w:hAnsi="华文细黑" w:eastAsia="华文细黑" w:cs="华文细黑"/>
                <w:spacing w:val="-3"/>
              </w:rPr>
              <w:t>择其中一种）</w:t>
            </w:r>
          </w:p>
        </w:tc>
      </w:tr>
      <w:tr w14:paraId="7EF1C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4DF45B60">
            <w:pPr>
              <w:pStyle w:val="7"/>
              <w:spacing w:before="71" w:line="220" w:lineRule="auto"/>
              <w:ind w:left="314"/>
            </w:pPr>
            <w:r>
              <w:rPr>
                <w:spacing w:val="-1"/>
              </w:rPr>
              <w:t>基金名称及代码</w:t>
            </w:r>
          </w:p>
        </w:tc>
        <w:tc>
          <w:tcPr>
            <w:tcW w:w="2652" w:type="dxa"/>
            <w:gridSpan w:val="2"/>
            <w:vAlign w:val="top"/>
          </w:tcPr>
          <w:p w14:paraId="1D8F2C24">
            <w:pPr>
              <w:rPr>
                <w:rFonts w:ascii="Arial"/>
                <w:sz w:val="21"/>
              </w:rPr>
            </w:pPr>
          </w:p>
        </w:tc>
        <w:tc>
          <w:tcPr>
            <w:tcW w:w="724" w:type="dxa"/>
            <w:vAlign w:val="top"/>
          </w:tcPr>
          <w:p w14:paraId="5E719737">
            <w:pPr>
              <w:pStyle w:val="7"/>
              <w:spacing w:before="71" w:line="220" w:lineRule="auto"/>
              <w:ind w:left="192"/>
            </w:pPr>
            <w:r>
              <w:rPr>
                <w:spacing w:val="-3"/>
              </w:rPr>
              <w:t>金额</w:t>
            </w:r>
          </w:p>
        </w:tc>
        <w:tc>
          <w:tcPr>
            <w:tcW w:w="428" w:type="dxa"/>
            <w:vAlign w:val="top"/>
          </w:tcPr>
          <w:p w14:paraId="78260C3A">
            <w:pPr>
              <w:pStyle w:val="7"/>
              <w:spacing w:before="71" w:line="220" w:lineRule="auto"/>
              <w:ind w:left="119"/>
            </w:pPr>
            <w:r>
              <w:t>拾</w:t>
            </w:r>
          </w:p>
        </w:tc>
        <w:tc>
          <w:tcPr>
            <w:tcW w:w="407" w:type="dxa"/>
            <w:vAlign w:val="top"/>
          </w:tcPr>
          <w:p w14:paraId="22E040E9">
            <w:pPr>
              <w:pStyle w:val="7"/>
              <w:spacing w:before="71" w:line="221" w:lineRule="auto"/>
              <w:ind w:left="136"/>
            </w:pPr>
            <w:r>
              <w:t>亿</w:t>
            </w:r>
          </w:p>
        </w:tc>
        <w:tc>
          <w:tcPr>
            <w:tcW w:w="411" w:type="dxa"/>
            <w:vAlign w:val="top"/>
          </w:tcPr>
          <w:p w14:paraId="34D5220A">
            <w:pPr>
              <w:pStyle w:val="7"/>
              <w:spacing w:before="71" w:line="220" w:lineRule="auto"/>
              <w:ind w:left="109"/>
            </w:pPr>
            <w:r>
              <w:t>仟</w:t>
            </w:r>
          </w:p>
        </w:tc>
        <w:tc>
          <w:tcPr>
            <w:tcW w:w="413" w:type="dxa"/>
            <w:vAlign w:val="top"/>
          </w:tcPr>
          <w:p w14:paraId="69B4762F">
            <w:pPr>
              <w:pStyle w:val="7"/>
              <w:spacing w:before="71" w:line="221" w:lineRule="auto"/>
              <w:ind w:left="106"/>
            </w:pPr>
            <w:r>
              <w:t>佰</w:t>
            </w:r>
          </w:p>
        </w:tc>
        <w:tc>
          <w:tcPr>
            <w:tcW w:w="412" w:type="dxa"/>
            <w:gridSpan w:val="2"/>
            <w:vAlign w:val="top"/>
          </w:tcPr>
          <w:p w14:paraId="21849890">
            <w:pPr>
              <w:pStyle w:val="7"/>
              <w:spacing w:before="71" w:line="220" w:lineRule="auto"/>
              <w:ind w:left="105"/>
            </w:pPr>
            <w:r>
              <w:t>拾</w:t>
            </w:r>
          </w:p>
        </w:tc>
        <w:tc>
          <w:tcPr>
            <w:tcW w:w="414" w:type="dxa"/>
            <w:vAlign w:val="top"/>
          </w:tcPr>
          <w:p w14:paraId="787299EE">
            <w:pPr>
              <w:pStyle w:val="7"/>
              <w:spacing w:before="71" w:line="220" w:lineRule="auto"/>
              <w:ind w:left="110"/>
            </w:pPr>
            <w:r>
              <w:t>万</w:t>
            </w:r>
          </w:p>
        </w:tc>
        <w:tc>
          <w:tcPr>
            <w:tcW w:w="420" w:type="dxa"/>
            <w:vAlign w:val="top"/>
          </w:tcPr>
          <w:p w14:paraId="4BAC19A4">
            <w:pPr>
              <w:pStyle w:val="7"/>
              <w:spacing w:before="71" w:line="220" w:lineRule="auto"/>
              <w:ind w:left="106"/>
            </w:pPr>
            <w:r>
              <w:t>仟</w:t>
            </w:r>
          </w:p>
        </w:tc>
        <w:tc>
          <w:tcPr>
            <w:tcW w:w="413" w:type="dxa"/>
            <w:vAlign w:val="top"/>
          </w:tcPr>
          <w:p w14:paraId="4116D631">
            <w:pPr>
              <w:pStyle w:val="7"/>
              <w:spacing w:before="71" w:line="221" w:lineRule="auto"/>
              <w:ind w:left="104"/>
            </w:pPr>
            <w:r>
              <w:t>佰</w:t>
            </w:r>
          </w:p>
        </w:tc>
        <w:tc>
          <w:tcPr>
            <w:tcW w:w="415" w:type="dxa"/>
            <w:vAlign w:val="top"/>
          </w:tcPr>
          <w:p w14:paraId="231B6AE4">
            <w:pPr>
              <w:pStyle w:val="7"/>
              <w:spacing w:before="71" w:line="220" w:lineRule="auto"/>
              <w:ind w:left="105"/>
            </w:pPr>
            <w:r>
              <w:t>拾</w:t>
            </w:r>
          </w:p>
        </w:tc>
        <w:tc>
          <w:tcPr>
            <w:tcW w:w="415" w:type="dxa"/>
            <w:gridSpan w:val="2"/>
            <w:vAlign w:val="top"/>
          </w:tcPr>
          <w:p w14:paraId="043A5365">
            <w:pPr>
              <w:pStyle w:val="7"/>
              <w:spacing w:before="71" w:line="220" w:lineRule="auto"/>
              <w:ind w:left="106"/>
            </w:pPr>
            <w:r>
              <w:t>元</w:t>
            </w:r>
          </w:p>
        </w:tc>
        <w:tc>
          <w:tcPr>
            <w:tcW w:w="415" w:type="dxa"/>
            <w:vAlign w:val="top"/>
          </w:tcPr>
          <w:p w14:paraId="66A8DA2D">
            <w:pPr>
              <w:pStyle w:val="7"/>
              <w:spacing w:before="71" w:line="219" w:lineRule="auto"/>
              <w:ind w:left="108"/>
            </w:pPr>
            <w:r>
              <w:t>角</w:t>
            </w:r>
          </w:p>
        </w:tc>
        <w:tc>
          <w:tcPr>
            <w:tcW w:w="417" w:type="dxa"/>
            <w:vAlign w:val="top"/>
          </w:tcPr>
          <w:p w14:paraId="4D684D25">
            <w:pPr>
              <w:pStyle w:val="7"/>
              <w:spacing w:before="71" w:line="220" w:lineRule="auto"/>
              <w:ind w:left="107"/>
            </w:pPr>
            <w:r>
              <w:t>分</w:t>
            </w:r>
          </w:p>
        </w:tc>
      </w:tr>
      <w:tr w14:paraId="6C148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59E2ABF2">
            <w:pPr>
              <w:pStyle w:val="7"/>
              <w:spacing w:before="71" w:line="220" w:lineRule="auto"/>
              <w:ind w:left="587"/>
            </w:pPr>
            <w:r>
              <w:rPr>
                <w:spacing w:val="-3"/>
              </w:rPr>
              <w:t>金额大写</w:t>
            </w:r>
          </w:p>
        </w:tc>
        <w:tc>
          <w:tcPr>
            <w:tcW w:w="2652" w:type="dxa"/>
            <w:gridSpan w:val="2"/>
            <w:vAlign w:val="top"/>
          </w:tcPr>
          <w:p w14:paraId="237EA1ED">
            <w:pPr>
              <w:rPr>
                <w:rFonts w:ascii="Arial"/>
                <w:sz w:val="21"/>
              </w:rPr>
            </w:pPr>
          </w:p>
        </w:tc>
        <w:tc>
          <w:tcPr>
            <w:tcW w:w="724" w:type="dxa"/>
            <w:vAlign w:val="top"/>
          </w:tcPr>
          <w:p w14:paraId="64201960">
            <w:pPr>
              <w:pStyle w:val="7"/>
              <w:spacing w:before="71" w:line="222" w:lineRule="auto"/>
              <w:ind w:left="195"/>
            </w:pPr>
            <w:r>
              <w:rPr>
                <w:spacing w:val="-3"/>
              </w:rPr>
              <w:t>小写</w:t>
            </w:r>
          </w:p>
        </w:tc>
        <w:tc>
          <w:tcPr>
            <w:tcW w:w="428" w:type="dxa"/>
            <w:vAlign w:val="top"/>
          </w:tcPr>
          <w:p w14:paraId="23079936">
            <w:pPr>
              <w:rPr>
                <w:rFonts w:ascii="Arial"/>
                <w:sz w:val="21"/>
              </w:rPr>
            </w:pPr>
          </w:p>
        </w:tc>
        <w:tc>
          <w:tcPr>
            <w:tcW w:w="407" w:type="dxa"/>
            <w:vAlign w:val="top"/>
          </w:tcPr>
          <w:p w14:paraId="072778B4">
            <w:pPr>
              <w:rPr>
                <w:rFonts w:ascii="Arial"/>
                <w:sz w:val="21"/>
              </w:rPr>
            </w:pPr>
          </w:p>
        </w:tc>
        <w:tc>
          <w:tcPr>
            <w:tcW w:w="411" w:type="dxa"/>
            <w:vAlign w:val="top"/>
          </w:tcPr>
          <w:p w14:paraId="5CF1B798">
            <w:pPr>
              <w:rPr>
                <w:rFonts w:ascii="Arial"/>
                <w:sz w:val="21"/>
              </w:rPr>
            </w:pPr>
          </w:p>
        </w:tc>
        <w:tc>
          <w:tcPr>
            <w:tcW w:w="413" w:type="dxa"/>
            <w:vAlign w:val="top"/>
          </w:tcPr>
          <w:p w14:paraId="7DC47505">
            <w:pPr>
              <w:rPr>
                <w:rFonts w:ascii="Arial"/>
                <w:sz w:val="21"/>
              </w:rPr>
            </w:pPr>
          </w:p>
        </w:tc>
        <w:tc>
          <w:tcPr>
            <w:tcW w:w="412" w:type="dxa"/>
            <w:gridSpan w:val="2"/>
            <w:vAlign w:val="top"/>
          </w:tcPr>
          <w:p w14:paraId="1BCE4D03">
            <w:pPr>
              <w:rPr>
                <w:rFonts w:ascii="Arial"/>
                <w:sz w:val="21"/>
              </w:rPr>
            </w:pPr>
          </w:p>
        </w:tc>
        <w:tc>
          <w:tcPr>
            <w:tcW w:w="414" w:type="dxa"/>
            <w:vAlign w:val="top"/>
          </w:tcPr>
          <w:p w14:paraId="645F925B">
            <w:pPr>
              <w:rPr>
                <w:rFonts w:ascii="Arial"/>
                <w:sz w:val="21"/>
              </w:rPr>
            </w:pPr>
          </w:p>
        </w:tc>
        <w:tc>
          <w:tcPr>
            <w:tcW w:w="420" w:type="dxa"/>
            <w:vAlign w:val="top"/>
          </w:tcPr>
          <w:p w14:paraId="13578E24">
            <w:pPr>
              <w:rPr>
                <w:rFonts w:ascii="Arial"/>
                <w:sz w:val="21"/>
              </w:rPr>
            </w:pPr>
          </w:p>
        </w:tc>
        <w:tc>
          <w:tcPr>
            <w:tcW w:w="413" w:type="dxa"/>
            <w:vAlign w:val="top"/>
          </w:tcPr>
          <w:p w14:paraId="115856E3">
            <w:pPr>
              <w:rPr>
                <w:rFonts w:ascii="Arial"/>
                <w:sz w:val="21"/>
              </w:rPr>
            </w:pPr>
          </w:p>
        </w:tc>
        <w:tc>
          <w:tcPr>
            <w:tcW w:w="415" w:type="dxa"/>
            <w:vAlign w:val="top"/>
          </w:tcPr>
          <w:p w14:paraId="31A820B6">
            <w:pPr>
              <w:rPr>
                <w:rFonts w:ascii="Arial"/>
                <w:sz w:val="21"/>
              </w:rPr>
            </w:pPr>
          </w:p>
        </w:tc>
        <w:tc>
          <w:tcPr>
            <w:tcW w:w="415" w:type="dxa"/>
            <w:gridSpan w:val="2"/>
            <w:vAlign w:val="top"/>
          </w:tcPr>
          <w:p w14:paraId="1E434A10">
            <w:pPr>
              <w:rPr>
                <w:rFonts w:ascii="Arial"/>
                <w:sz w:val="21"/>
              </w:rPr>
            </w:pPr>
          </w:p>
        </w:tc>
        <w:tc>
          <w:tcPr>
            <w:tcW w:w="415" w:type="dxa"/>
            <w:vAlign w:val="top"/>
          </w:tcPr>
          <w:p w14:paraId="26B4B994">
            <w:pPr>
              <w:rPr>
                <w:rFonts w:ascii="Arial"/>
                <w:sz w:val="21"/>
              </w:rPr>
            </w:pPr>
          </w:p>
        </w:tc>
        <w:tc>
          <w:tcPr>
            <w:tcW w:w="417" w:type="dxa"/>
            <w:vAlign w:val="top"/>
          </w:tcPr>
          <w:p w14:paraId="37FC8C57">
            <w:pPr>
              <w:rPr>
                <w:rFonts w:ascii="Arial"/>
                <w:sz w:val="21"/>
              </w:rPr>
            </w:pPr>
          </w:p>
        </w:tc>
      </w:tr>
      <w:tr w14:paraId="385EB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66AAD45C">
            <w:pPr>
              <w:pStyle w:val="7"/>
              <w:spacing w:before="67" w:line="216" w:lineRule="auto"/>
              <w:jc w:val="right"/>
              <w:rPr>
                <w:rFonts w:ascii="华文细黑" w:hAnsi="华文细黑" w:eastAsia="华文细黑" w:cs="华文细黑"/>
              </w:rPr>
            </w:pPr>
            <w:r>
              <w:rPr>
                <w:b/>
                <w:bCs/>
                <w:color w:val="0067B3"/>
                <w:spacing w:val="-1"/>
              </w:rPr>
              <w:t>基金赎回</w:t>
            </w:r>
            <w:r>
              <w:rPr>
                <w:color w:val="0067B3"/>
                <w:spacing w:val="-1"/>
              </w:rPr>
              <w:t xml:space="preserve">   </w:t>
            </w:r>
            <w:r>
              <w:rPr>
                <w:rFonts w:ascii="华文细黑" w:hAnsi="华文细黑" w:eastAsia="华文细黑" w:cs="华文细黑"/>
                <w:spacing w:val="-1"/>
              </w:rPr>
              <w:t>（如遇巨额赎回未兑现部分的处理方式：○放弃超额部分申请  ○顺延至下一开放日办理  请根据需要选择其中一种）</w:t>
            </w:r>
          </w:p>
        </w:tc>
      </w:tr>
      <w:tr w14:paraId="17F7D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448520C7">
            <w:pPr>
              <w:pStyle w:val="7"/>
              <w:spacing w:before="71" w:line="220" w:lineRule="auto"/>
              <w:ind w:left="314"/>
            </w:pPr>
            <w:r>
              <w:rPr>
                <w:spacing w:val="-1"/>
              </w:rPr>
              <w:t>基金名称及代码</w:t>
            </w:r>
          </w:p>
        </w:tc>
        <w:tc>
          <w:tcPr>
            <w:tcW w:w="2652" w:type="dxa"/>
            <w:gridSpan w:val="2"/>
            <w:vAlign w:val="top"/>
          </w:tcPr>
          <w:p w14:paraId="23AE3FE2">
            <w:pPr>
              <w:rPr>
                <w:rFonts w:ascii="Arial"/>
                <w:sz w:val="21"/>
              </w:rPr>
            </w:pPr>
          </w:p>
        </w:tc>
        <w:tc>
          <w:tcPr>
            <w:tcW w:w="724" w:type="dxa"/>
            <w:vAlign w:val="top"/>
          </w:tcPr>
          <w:p w14:paraId="03E16682">
            <w:pPr>
              <w:pStyle w:val="7"/>
              <w:spacing w:before="71" w:line="220" w:lineRule="auto"/>
              <w:ind w:left="190"/>
            </w:pPr>
            <w:r>
              <w:rPr>
                <w:spacing w:val="-2"/>
              </w:rPr>
              <w:t>份额</w:t>
            </w:r>
          </w:p>
        </w:tc>
        <w:tc>
          <w:tcPr>
            <w:tcW w:w="428" w:type="dxa"/>
            <w:vAlign w:val="top"/>
          </w:tcPr>
          <w:p w14:paraId="2E8B01B0">
            <w:pPr>
              <w:pStyle w:val="7"/>
              <w:spacing w:before="71" w:line="220" w:lineRule="auto"/>
              <w:ind w:left="119"/>
            </w:pPr>
            <w:r>
              <w:t>拾</w:t>
            </w:r>
          </w:p>
        </w:tc>
        <w:tc>
          <w:tcPr>
            <w:tcW w:w="407" w:type="dxa"/>
            <w:vAlign w:val="top"/>
          </w:tcPr>
          <w:p w14:paraId="39FC4985">
            <w:pPr>
              <w:pStyle w:val="7"/>
              <w:spacing w:before="72" w:line="221" w:lineRule="auto"/>
              <w:ind w:left="103"/>
            </w:pPr>
            <w:r>
              <w:t>亿</w:t>
            </w:r>
          </w:p>
        </w:tc>
        <w:tc>
          <w:tcPr>
            <w:tcW w:w="411" w:type="dxa"/>
            <w:vAlign w:val="top"/>
          </w:tcPr>
          <w:p w14:paraId="07CE2168">
            <w:pPr>
              <w:pStyle w:val="7"/>
              <w:spacing w:before="71" w:line="220" w:lineRule="auto"/>
              <w:ind w:left="109"/>
            </w:pPr>
            <w:r>
              <w:t>仟</w:t>
            </w:r>
          </w:p>
        </w:tc>
        <w:tc>
          <w:tcPr>
            <w:tcW w:w="413" w:type="dxa"/>
            <w:vAlign w:val="top"/>
          </w:tcPr>
          <w:p w14:paraId="090C729F">
            <w:pPr>
              <w:pStyle w:val="7"/>
              <w:spacing w:before="72" w:line="221" w:lineRule="auto"/>
              <w:ind w:left="106"/>
            </w:pPr>
            <w:r>
              <w:t>佰</w:t>
            </w:r>
          </w:p>
        </w:tc>
        <w:tc>
          <w:tcPr>
            <w:tcW w:w="412" w:type="dxa"/>
            <w:gridSpan w:val="2"/>
            <w:vAlign w:val="top"/>
          </w:tcPr>
          <w:p w14:paraId="4DD92EC0">
            <w:pPr>
              <w:pStyle w:val="7"/>
              <w:spacing w:before="71" w:line="220" w:lineRule="auto"/>
              <w:ind w:left="105"/>
            </w:pPr>
            <w:r>
              <w:t>拾</w:t>
            </w:r>
          </w:p>
        </w:tc>
        <w:tc>
          <w:tcPr>
            <w:tcW w:w="414" w:type="dxa"/>
            <w:vAlign w:val="top"/>
          </w:tcPr>
          <w:p w14:paraId="1AD0A061">
            <w:pPr>
              <w:pStyle w:val="7"/>
              <w:spacing w:before="72" w:line="220" w:lineRule="auto"/>
              <w:ind w:left="110"/>
            </w:pPr>
            <w:r>
              <w:t>万</w:t>
            </w:r>
          </w:p>
        </w:tc>
        <w:tc>
          <w:tcPr>
            <w:tcW w:w="420" w:type="dxa"/>
            <w:vAlign w:val="top"/>
          </w:tcPr>
          <w:p w14:paraId="4534D290">
            <w:pPr>
              <w:pStyle w:val="7"/>
              <w:spacing w:before="71" w:line="220" w:lineRule="auto"/>
              <w:ind w:left="106"/>
            </w:pPr>
            <w:r>
              <w:t>仟</w:t>
            </w:r>
          </w:p>
        </w:tc>
        <w:tc>
          <w:tcPr>
            <w:tcW w:w="413" w:type="dxa"/>
            <w:vAlign w:val="top"/>
          </w:tcPr>
          <w:p w14:paraId="66A9DD95">
            <w:pPr>
              <w:pStyle w:val="7"/>
              <w:spacing w:before="72" w:line="221" w:lineRule="auto"/>
              <w:ind w:left="104"/>
            </w:pPr>
            <w:r>
              <w:t>佰</w:t>
            </w:r>
          </w:p>
        </w:tc>
        <w:tc>
          <w:tcPr>
            <w:tcW w:w="415" w:type="dxa"/>
            <w:vAlign w:val="top"/>
          </w:tcPr>
          <w:p w14:paraId="565ED8E6">
            <w:pPr>
              <w:pStyle w:val="7"/>
              <w:spacing w:before="71" w:line="220" w:lineRule="auto"/>
              <w:ind w:left="105"/>
            </w:pPr>
            <w:r>
              <w:t>拾</w:t>
            </w:r>
          </w:p>
        </w:tc>
        <w:tc>
          <w:tcPr>
            <w:tcW w:w="415" w:type="dxa"/>
            <w:gridSpan w:val="2"/>
            <w:vAlign w:val="top"/>
          </w:tcPr>
          <w:p w14:paraId="315AECDF">
            <w:pPr>
              <w:pStyle w:val="7"/>
              <w:spacing w:before="72" w:line="220" w:lineRule="auto"/>
              <w:ind w:left="106"/>
            </w:pPr>
            <w:r>
              <w:t>元</w:t>
            </w:r>
          </w:p>
        </w:tc>
        <w:tc>
          <w:tcPr>
            <w:tcW w:w="832" w:type="dxa"/>
            <w:gridSpan w:val="2"/>
            <w:vAlign w:val="top"/>
          </w:tcPr>
          <w:p w14:paraId="2C1F7AB8">
            <w:pPr>
              <w:pStyle w:val="7"/>
              <w:spacing w:before="71" w:line="220" w:lineRule="auto"/>
              <w:ind w:left="326"/>
            </w:pPr>
            <w:r>
              <w:t>份</w:t>
            </w:r>
          </w:p>
        </w:tc>
      </w:tr>
      <w:tr w14:paraId="0CAB4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732B738B">
            <w:pPr>
              <w:pStyle w:val="7"/>
              <w:spacing w:before="71" w:line="220" w:lineRule="auto"/>
              <w:ind w:left="585"/>
            </w:pPr>
            <w:r>
              <w:rPr>
                <w:spacing w:val="-2"/>
              </w:rPr>
              <w:t>份额大写</w:t>
            </w:r>
          </w:p>
        </w:tc>
        <w:tc>
          <w:tcPr>
            <w:tcW w:w="2652" w:type="dxa"/>
            <w:gridSpan w:val="2"/>
            <w:vAlign w:val="top"/>
          </w:tcPr>
          <w:p w14:paraId="7F64E811">
            <w:pPr>
              <w:rPr>
                <w:rFonts w:ascii="Arial"/>
                <w:sz w:val="21"/>
              </w:rPr>
            </w:pPr>
          </w:p>
        </w:tc>
        <w:tc>
          <w:tcPr>
            <w:tcW w:w="724" w:type="dxa"/>
            <w:vAlign w:val="top"/>
          </w:tcPr>
          <w:p w14:paraId="46E0DB96">
            <w:pPr>
              <w:pStyle w:val="7"/>
              <w:spacing w:before="71" w:line="222" w:lineRule="auto"/>
              <w:ind w:left="195"/>
            </w:pPr>
            <w:r>
              <w:rPr>
                <w:spacing w:val="-3"/>
              </w:rPr>
              <w:t>小写</w:t>
            </w:r>
          </w:p>
        </w:tc>
        <w:tc>
          <w:tcPr>
            <w:tcW w:w="428" w:type="dxa"/>
            <w:vAlign w:val="top"/>
          </w:tcPr>
          <w:p w14:paraId="7F5A23FE">
            <w:pPr>
              <w:rPr>
                <w:rFonts w:ascii="Arial"/>
                <w:sz w:val="21"/>
              </w:rPr>
            </w:pPr>
          </w:p>
        </w:tc>
        <w:tc>
          <w:tcPr>
            <w:tcW w:w="407" w:type="dxa"/>
            <w:vAlign w:val="top"/>
          </w:tcPr>
          <w:p w14:paraId="09318541">
            <w:pPr>
              <w:rPr>
                <w:rFonts w:ascii="Arial"/>
                <w:sz w:val="21"/>
              </w:rPr>
            </w:pPr>
          </w:p>
        </w:tc>
        <w:tc>
          <w:tcPr>
            <w:tcW w:w="411" w:type="dxa"/>
            <w:vAlign w:val="top"/>
          </w:tcPr>
          <w:p w14:paraId="2600A937">
            <w:pPr>
              <w:rPr>
                <w:rFonts w:ascii="Arial"/>
                <w:sz w:val="21"/>
              </w:rPr>
            </w:pPr>
          </w:p>
        </w:tc>
        <w:tc>
          <w:tcPr>
            <w:tcW w:w="413" w:type="dxa"/>
            <w:vAlign w:val="top"/>
          </w:tcPr>
          <w:p w14:paraId="76D845D1">
            <w:pPr>
              <w:rPr>
                <w:rFonts w:ascii="Arial"/>
                <w:sz w:val="21"/>
              </w:rPr>
            </w:pPr>
          </w:p>
        </w:tc>
        <w:tc>
          <w:tcPr>
            <w:tcW w:w="412" w:type="dxa"/>
            <w:gridSpan w:val="2"/>
            <w:vAlign w:val="top"/>
          </w:tcPr>
          <w:p w14:paraId="0B926863">
            <w:pPr>
              <w:rPr>
                <w:rFonts w:ascii="Arial"/>
                <w:sz w:val="21"/>
              </w:rPr>
            </w:pPr>
          </w:p>
        </w:tc>
        <w:tc>
          <w:tcPr>
            <w:tcW w:w="414" w:type="dxa"/>
            <w:vAlign w:val="top"/>
          </w:tcPr>
          <w:p w14:paraId="5B1617A5">
            <w:pPr>
              <w:rPr>
                <w:rFonts w:ascii="Arial"/>
                <w:sz w:val="21"/>
              </w:rPr>
            </w:pPr>
          </w:p>
        </w:tc>
        <w:tc>
          <w:tcPr>
            <w:tcW w:w="420" w:type="dxa"/>
            <w:vAlign w:val="top"/>
          </w:tcPr>
          <w:p w14:paraId="6EFD77C7">
            <w:pPr>
              <w:rPr>
                <w:rFonts w:ascii="Arial"/>
                <w:sz w:val="21"/>
              </w:rPr>
            </w:pPr>
          </w:p>
        </w:tc>
        <w:tc>
          <w:tcPr>
            <w:tcW w:w="413" w:type="dxa"/>
            <w:vAlign w:val="top"/>
          </w:tcPr>
          <w:p w14:paraId="3F8E822A">
            <w:pPr>
              <w:rPr>
                <w:rFonts w:ascii="Arial"/>
                <w:sz w:val="21"/>
              </w:rPr>
            </w:pPr>
          </w:p>
        </w:tc>
        <w:tc>
          <w:tcPr>
            <w:tcW w:w="415" w:type="dxa"/>
            <w:vAlign w:val="top"/>
          </w:tcPr>
          <w:p w14:paraId="3651CF19">
            <w:pPr>
              <w:rPr>
                <w:rFonts w:ascii="Arial"/>
                <w:sz w:val="21"/>
              </w:rPr>
            </w:pPr>
          </w:p>
        </w:tc>
        <w:tc>
          <w:tcPr>
            <w:tcW w:w="415" w:type="dxa"/>
            <w:gridSpan w:val="2"/>
            <w:vAlign w:val="top"/>
          </w:tcPr>
          <w:p w14:paraId="6BC0D149">
            <w:pPr>
              <w:rPr>
                <w:rFonts w:ascii="Arial"/>
                <w:sz w:val="21"/>
              </w:rPr>
            </w:pPr>
          </w:p>
        </w:tc>
        <w:tc>
          <w:tcPr>
            <w:tcW w:w="415" w:type="dxa"/>
            <w:vAlign w:val="top"/>
          </w:tcPr>
          <w:p w14:paraId="3B60562F">
            <w:pPr>
              <w:rPr>
                <w:rFonts w:ascii="Arial"/>
                <w:sz w:val="21"/>
              </w:rPr>
            </w:pPr>
          </w:p>
        </w:tc>
        <w:tc>
          <w:tcPr>
            <w:tcW w:w="417" w:type="dxa"/>
            <w:vAlign w:val="top"/>
          </w:tcPr>
          <w:p w14:paraId="1CA3392E">
            <w:pPr>
              <w:rPr>
                <w:rFonts w:ascii="Arial"/>
                <w:sz w:val="21"/>
              </w:rPr>
            </w:pPr>
          </w:p>
        </w:tc>
      </w:tr>
      <w:tr w14:paraId="3C4CE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0237" w:type="dxa"/>
            <w:gridSpan w:val="18"/>
            <w:vAlign w:val="top"/>
          </w:tcPr>
          <w:p w14:paraId="2297C0E6">
            <w:pPr>
              <w:pStyle w:val="7"/>
              <w:spacing w:before="72" w:line="220" w:lineRule="auto"/>
              <w:ind w:left="114"/>
            </w:pPr>
            <w:r>
              <w:rPr>
                <w:b/>
                <w:bCs/>
                <w:color w:val="0067B3"/>
                <w:spacing w:val="-4"/>
              </w:rPr>
              <w:t>基金转换</w:t>
            </w:r>
          </w:p>
        </w:tc>
      </w:tr>
      <w:tr w14:paraId="1A482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0E95371C">
            <w:pPr>
              <w:pStyle w:val="7"/>
              <w:spacing w:before="72" w:line="220" w:lineRule="auto"/>
              <w:ind w:left="134"/>
            </w:pPr>
            <w:r>
              <w:rPr>
                <w:spacing w:val="-1"/>
              </w:rPr>
              <w:t>转出基金名称及代码</w:t>
            </w:r>
          </w:p>
        </w:tc>
        <w:tc>
          <w:tcPr>
            <w:tcW w:w="2652" w:type="dxa"/>
            <w:gridSpan w:val="2"/>
            <w:vAlign w:val="top"/>
          </w:tcPr>
          <w:p w14:paraId="160597A3">
            <w:pPr>
              <w:rPr>
                <w:rFonts w:ascii="Arial"/>
                <w:sz w:val="21"/>
              </w:rPr>
            </w:pPr>
          </w:p>
        </w:tc>
        <w:tc>
          <w:tcPr>
            <w:tcW w:w="724" w:type="dxa"/>
            <w:vAlign w:val="top"/>
          </w:tcPr>
          <w:p w14:paraId="128378CA">
            <w:pPr>
              <w:pStyle w:val="7"/>
              <w:spacing w:before="72" w:line="220" w:lineRule="auto"/>
              <w:ind w:left="190"/>
            </w:pPr>
            <w:r>
              <w:rPr>
                <w:spacing w:val="-2"/>
              </w:rPr>
              <w:t>份额</w:t>
            </w:r>
          </w:p>
        </w:tc>
        <w:tc>
          <w:tcPr>
            <w:tcW w:w="428" w:type="dxa"/>
            <w:vAlign w:val="top"/>
          </w:tcPr>
          <w:p w14:paraId="61761B2E">
            <w:pPr>
              <w:pStyle w:val="7"/>
              <w:spacing w:before="72" w:line="220" w:lineRule="auto"/>
              <w:ind w:left="119"/>
            </w:pPr>
            <w:r>
              <w:t>拾</w:t>
            </w:r>
          </w:p>
        </w:tc>
        <w:tc>
          <w:tcPr>
            <w:tcW w:w="407" w:type="dxa"/>
            <w:vAlign w:val="top"/>
          </w:tcPr>
          <w:p w14:paraId="7C040722">
            <w:pPr>
              <w:pStyle w:val="7"/>
              <w:spacing w:before="73" w:line="221" w:lineRule="auto"/>
              <w:ind w:left="103"/>
            </w:pPr>
            <w:r>
              <w:t>亿</w:t>
            </w:r>
          </w:p>
        </w:tc>
        <w:tc>
          <w:tcPr>
            <w:tcW w:w="411" w:type="dxa"/>
            <w:vAlign w:val="top"/>
          </w:tcPr>
          <w:p w14:paraId="70409429">
            <w:pPr>
              <w:pStyle w:val="7"/>
              <w:spacing w:before="72" w:line="220" w:lineRule="auto"/>
              <w:ind w:left="109"/>
            </w:pPr>
            <w:r>
              <w:t>仟</w:t>
            </w:r>
          </w:p>
        </w:tc>
        <w:tc>
          <w:tcPr>
            <w:tcW w:w="413" w:type="dxa"/>
            <w:vAlign w:val="top"/>
          </w:tcPr>
          <w:p w14:paraId="08C58128">
            <w:pPr>
              <w:pStyle w:val="7"/>
              <w:spacing w:before="73" w:line="221" w:lineRule="auto"/>
              <w:ind w:left="106"/>
            </w:pPr>
            <w:r>
              <w:t>佰</w:t>
            </w:r>
          </w:p>
        </w:tc>
        <w:tc>
          <w:tcPr>
            <w:tcW w:w="412" w:type="dxa"/>
            <w:gridSpan w:val="2"/>
            <w:vAlign w:val="top"/>
          </w:tcPr>
          <w:p w14:paraId="02062B4C">
            <w:pPr>
              <w:pStyle w:val="7"/>
              <w:spacing w:before="72" w:line="220" w:lineRule="auto"/>
              <w:ind w:left="105"/>
            </w:pPr>
            <w:r>
              <w:t>拾</w:t>
            </w:r>
          </w:p>
        </w:tc>
        <w:tc>
          <w:tcPr>
            <w:tcW w:w="414" w:type="dxa"/>
            <w:vAlign w:val="top"/>
          </w:tcPr>
          <w:p w14:paraId="62B1F321">
            <w:pPr>
              <w:pStyle w:val="7"/>
              <w:spacing w:before="73" w:line="220" w:lineRule="auto"/>
              <w:ind w:left="110"/>
            </w:pPr>
            <w:r>
              <w:t>万</w:t>
            </w:r>
          </w:p>
        </w:tc>
        <w:tc>
          <w:tcPr>
            <w:tcW w:w="420" w:type="dxa"/>
            <w:vAlign w:val="top"/>
          </w:tcPr>
          <w:p w14:paraId="4A423699">
            <w:pPr>
              <w:pStyle w:val="7"/>
              <w:spacing w:before="72" w:line="220" w:lineRule="auto"/>
              <w:ind w:left="106"/>
            </w:pPr>
            <w:r>
              <w:t>仟</w:t>
            </w:r>
          </w:p>
        </w:tc>
        <w:tc>
          <w:tcPr>
            <w:tcW w:w="413" w:type="dxa"/>
            <w:vAlign w:val="top"/>
          </w:tcPr>
          <w:p w14:paraId="351EB3F7">
            <w:pPr>
              <w:pStyle w:val="7"/>
              <w:spacing w:before="73" w:line="221" w:lineRule="auto"/>
              <w:ind w:left="104"/>
            </w:pPr>
            <w:r>
              <w:t>佰</w:t>
            </w:r>
          </w:p>
        </w:tc>
        <w:tc>
          <w:tcPr>
            <w:tcW w:w="415" w:type="dxa"/>
            <w:vAlign w:val="top"/>
          </w:tcPr>
          <w:p w14:paraId="44745AB3">
            <w:pPr>
              <w:pStyle w:val="7"/>
              <w:spacing w:before="72" w:line="220" w:lineRule="auto"/>
              <w:ind w:left="105"/>
            </w:pPr>
            <w:r>
              <w:t>拾</w:t>
            </w:r>
          </w:p>
        </w:tc>
        <w:tc>
          <w:tcPr>
            <w:tcW w:w="415" w:type="dxa"/>
            <w:gridSpan w:val="2"/>
            <w:vAlign w:val="top"/>
          </w:tcPr>
          <w:p w14:paraId="4DB54792">
            <w:pPr>
              <w:pStyle w:val="7"/>
              <w:spacing w:before="73" w:line="220" w:lineRule="auto"/>
              <w:ind w:left="106"/>
            </w:pPr>
            <w:r>
              <w:t>元</w:t>
            </w:r>
          </w:p>
        </w:tc>
        <w:tc>
          <w:tcPr>
            <w:tcW w:w="832" w:type="dxa"/>
            <w:gridSpan w:val="2"/>
            <w:vAlign w:val="top"/>
          </w:tcPr>
          <w:p w14:paraId="7DDCA434">
            <w:pPr>
              <w:pStyle w:val="7"/>
              <w:spacing w:before="72" w:line="220" w:lineRule="auto"/>
              <w:ind w:left="326"/>
            </w:pPr>
            <w:r>
              <w:t>份</w:t>
            </w:r>
          </w:p>
        </w:tc>
      </w:tr>
      <w:tr w14:paraId="2E86E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3C0250C2">
            <w:pPr>
              <w:pStyle w:val="7"/>
              <w:spacing w:before="72" w:line="220" w:lineRule="auto"/>
              <w:ind w:left="134"/>
            </w:pPr>
            <w:r>
              <w:rPr>
                <w:spacing w:val="-1"/>
              </w:rPr>
              <w:t>转入基金名称及代码</w:t>
            </w:r>
          </w:p>
        </w:tc>
        <w:tc>
          <w:tcPr>
            <w:tcW w:w="2652" w:type="dxa"/>
            <w:gridSpan w:val="2"/>
            <w:vAlign w:val="top"/>
          </w:tcPr>
          <w:p w14:paraId="14635F80">
            <w:pPr>
              <w:rPr>
                <w:rFonts w:ascii="Arial"/>
                <w:sz w:val="21"/>
              </w:rPr>
            </w:pPr>
          </w:p>
        </w:tc>
        <w:tc>
          <w:tcPr>
            <w:tcW w:w="724" w:type="dxa"/>
            <w:vAlign w:val="top"/>
          </w:tcPr>
          <w:p w14:paraId="3A695706">
            <w:pPr>
              <w:pStyle w:val="7"/>
              <w:spacing w:before="72" w:line="222" w:lineRule="auto"/>
              <w:ind w:left="195"/>
            </w:pPr>
            <w:r>
              <w:rPr>
                <w:spacing w:val="-3"/>
              </w:rPr>
              <w:t>小写</w:t>
            </w:r>
          </w:p>
        </w:tc>
        <w:tc>
          <w:tcPr>
            <w:tcW w:w="428" w:type="dxa"/>
            <w:vAlign w:val="top"/>
          </w:tcPr>
          <w:p w14:paraId="0D287EBF">
            <w:pPr>
              <w:rPr>
                <w:rFonts w:ascii="Arial"/>
                <w:sz w:val="21"/>
              </w:rPr>
            </w:pPr>
          </w:p>
        </w:tc>
        <w:tc>
          <w:tcPr>
            <w:tcW w:w="407" w:type="dxa"/>
            <w:vAlign w:val="top"/>
          </w:tcPr>
          <w:p w14:paraId="2E7BB5A5">
            <w:pPr>
              <w:rPr>
                <w:rFonts w:ascii="Arial"/>
                <w:sz w:val="21"/>
              </w:rPr>
            </w:pPr>
          </w:p>
        </w:tc>
        <w:tc>
          <w:tcPr>
            <w:tcW w:w="411" w:type="dxa"/>
            <w:vAlign w:val="top"/>
          </w:tcPr>
          <w:p w14:paraId="5CE06B45">
            <w:pPr>
              <w:rPr>
                <w:rFonts w:ascii="Arial"/>
                <w:sz w:val="21"/>
              </w:rPr>
            </w:pPr>
          </w:p>
        </w:tc>
        <w:tc>
          <w:tcPr>
            <w:tcW w:w="413" w:type="dxa"/>
            <w:vAlign w:val="top"/>
          </w:tcPr>
          <w:p w14:paraId="3D17494D">
            <w:pPr>
              <w:rPr>
                <w:rFonts w:ascii="Arial"/>
                <w:sz w:val="21"/>
              </w:rPr>
            </w:pPr>
          </w:p>
        </w:tc>
        <w:tc>
          <w:tcPr>
            <w:tcW w:w="412" w:type="dxa"/>
            <w:gridSpan w:val="2"/>
            <w:vAlign w:val="top"/>
          </w:tcPr>
          <w:p w14:paraId="759E3CF5">
            <w:pPr>
              <w:rPr>
                <w:rFonts w:ascii="Arial"/>
                <w:sz w:val="21"/>
              </w:rPr>
            </w:pPr>
          </w:p>
        </w:tc>
        <w:tc>
          <w:tcPr>
            <w:tcW w:w="414" w:type="dxa"/>
            <w:vAlign w:val="top"/>
          </w:tcPr>
          <w:p w14:paraId="37141E99">
            <w:pPr>
              <w:rPr>
                <w:rFonts w:ascii="Arial"/>
                <w:sz w:val="21"/>
              </w:rPr>
            </w:pPr>
          </w:p>
        </w:tc>
        <w:tc>
          <w:tcPr>
            <w:tcW w:w="420" w:type="dxa"/>
            <w:vAlign w:val="top"/>
          </w:tcPr>
          <w:p w14:paraId="77E47251">
            <w:pPr>
              <w:rPr>
                <w:rFonts w:ascii="Arial"/>
                <w:sz w:val="21"/>
              </w:rPr>
            </w:pPr>
          </w:p>
        </w:tc>
        <w:tc>
          <w:tcPr>
            <w:tcW w:w="413" w:type="dxa"/>
            <w:vAlign w:val="top"/>
          </w:tcPr>
          <w:p w14:paraId="20178FE4">
            <w:pPr>
              <w:rPr>
                <w:rFonts w:ascii="Arial"/>
                <w:sz w:val="21"/>
              </w:rPr>
            </w:pPr>
          </w:p>
        </w:tc>
        <w:tc>
          <w:tcPr>
            <w:tcW w:w="415" w:type="dxa"/>
            <w:vAlign w:val="top"/>
          </w:tcPr>
          <w:p w14:paraId="568EB2BF">
            <w:pPr>
              <w:rPr>
                <w:rFonts w:ascii="Arial"/>
                <w:sz w:val="21"/>
              </w:rPr>
            </w:pPr>
          </w:p>
        </w:tc>
        <w:tc>
          <w:tcPr>
            <w:tcW w:w="415" w:type="dxa"/>
            <w:gridSpan w:val="2"/>
            <w:vAlign w:val="top"/>
          </w:tcPr>
          <w:p w14:paraId="792FF4BD">
            <w:pPr>
              <w:rPr>
                <w:rFonts w:ascii="Arial"/>
                <w:sz w:val="21"/>
              </w:rPr>
            </w:pPr>
          </w:p>
        </w:tc>
        <w:tc>
          <w:tcPr>
            <w:tcW w:w="415" w:type="dxa"/>
            <w:vAlign w:val="top"/>
          </w:tcPr>
          <w:p w14:paraId="0D7773A7">
            <w:pPr>
              <w:rPr>
                <w:rFonts w:ascii="Arial"/>
                <w:sz w:val="21"/>
              </w:rPr>
            </w:pPr>
          </w:p>
        </w:tc>
        <w:tc>
          <w:tcPr>
            <w:tcW w:w="417" w:type="dxa"/>
            <w:vAlign w:val="top"/>
          </w:tcPr>
          <w:p w14:paraId="7DCD18FB">
            <w:pPr>
              <w:rPr>
                <w:rFonts w:ascii="Arial"/>
                <w:sz w:val="21"/>
              </w:rPr>
            </w:pPr>
          </w:p>
        </w:tc>
      </w:tr>
      <w:tr w14:paraId="67749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5A338162">
            <w:pPr>
              <w:pStyle w:val="7"/>
              <w:spacing w:before="68" w:line="216" w:lineRule="auto"/>
              <w:ind w:left="117"/>
              <w:rPr>
                <w:rFonts w:ascii="华文细黑" w:hAnsi="华文细黑" w:eastAsia="华文细黑" w:cs="华文细黑"/>
              </w:rPr>
            </w:pPr>
            <w:r>
              <w:rPr>
                <w:b/>
                <w:bCs/>
                <w:color w:val="0067B3"/>
                <w:spacing w:val="-1"/>
              </w:rPr>
              <w:t>设置分红方式</w:t>
            </w:r>
            <w:r>
              <w:rPr>
                <w:color w:val="0067B3"/>
                <w:spacing w:val="-1"/>
              </w:rPr>
              <w:t xml:space="preserve">    </w:t>
            </w:r>
            <w:r>
              <w:rPr>
                <w:rFonts w:ascii="华文细黑" w:hAnsi="华文细黑" w:eastAsia="华文细黑" w:cs="华文细黑"/>
                <w:spacing w:val="-1"/>
              </w:rPr>
              <w:t>此次分红方式设置只针对本交易账户下该基金的分红方式变更；非货币类基金默认分红方式为现金分红。</w:t>
            </w:r>
          </w:p>
        </w:tc>
      </w:tr>
      <w:tr w14:paraId="43720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131F3ADA">
            <w:pPr>
              <w:pStyle w:val="7"/>
              <w:spacing w:before="72" w:line="222" w:lineRule="auto"/>
              <w:ind w:left="585"/>
            </w:pPr>
            <w:r>
              <w:rPr>
                <w:spacing w:val="-2"/>
              </w:rPr>
              <w:t>基金名称</w:t>
            </w:r>
          </w:p>
        </w:tc>
        <w:tc>
          <w:tcPr>
            <w:tcW w:w="2652" w:type="dxa"/>
            <w:gridSpan w:val="2"/>
            <w:vAlign w:val="top"/>
          </w:tcPr>
          <w:p w14:paraId="2AD63578">
            <w:pPr>
              <w:rPr>
                <w:rFonts w:ascii="Arial"/>
                <w:sz w:val="21"/>
              </w:rPr>
            </w:pPr>
          </w:p>
        </w:tc>
        <w:tc>
          <w:tcPr>
            <w:tcW w:w="1559" w:type="dxa"/>
            <w:gridSpan w:val="3"/>
            <w:vAlign w:val="top"/>
          </w:tcPr>
          <w:p w14:paraId="0D9DBB5C">
            <w:pPr>
              <w:pStyle w:val="7"/>
              <w:spacing w:before="72" w:line="220" w:lineRule="auto"/>
              <w:ind w:left="421"/>
            </w:pPr>
            <w:r>
              <w:rPr>
                <w:spacing w:val="-2"/>
              </w:rPr>
              <w:t>基金代码</w:t>
            </w:r>
          </w:p>
        </w:tc>
        <w:tc>
          <w:tcPr>
            <w:tcW w:w="4145" w:type="dxa"/>
            <w:gridSpan w:val="12"/>
            <w:vAlign w:val="top"/>
          </w:tcPr>
          <w:p w14:paraId="4C8699F0">
            <w:pPr>
              <w:rPr>
                <w:rFonts w:ascii="Arial"/>
                <w:sz w:val="21"/>
              </w:rPr>
            </w:pPr>
          </w:p>
        </w:tc>
      </w:tr>
      <w:tr w14:paraId="711D2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881" w:type="dxa"/>
            <w:vAlign w:val="top"/>
          </w:tcPr>
          <w:p w14:paraId="69EB30C7">
            <w:pPr>
              <w:pStyle w:val="7"/>
              <w:spacing w:before="73" w:line="220" w:lineRule="auto"/>
              <w:ind w:left="587"/>
            </w:pPr>
            <w:r>
              <w:rPr>
                <w:spacing w:val="-2"/>
              </w:rPr>
              <w:t>分红方式</w:t>
            </w:r>
          </w:p>
        </w:tc>
        <w:tc>
          <w:tcPr>
            <w:tcW w:w="8356" w:type="dxa"/>
            <w:gridSpan w:val="17"/>
            <w:vAlign w:val="top"/>
          </w:tcPr>
          <w:p w14:paraId="69CA89ED">
            <w:pPr>
              <w:pStyle w:val="7"/>
              <w:spacing w:before="73" w:line="220" w:lineRule="auto"/>
              <w:ind w:left="126"/>
            </w:pPr>
            <w:r>
              <w:rPr>
                <w:spacing w:val="-4"/>
              </w:rPr>
              <w:t>○现金分红</w:t>
            </w:r>
            <w:r>
              <w:rPr>
                <w:spacing w:val="6"/>
              </w:rPr>
              <w:t xml:space="preserve">    </w:t>
            </w:r>
            <w:r>
              <w:rPr>
                <w:spacing w:val="-4"/>
              </w:rPr>
              <w:t>○红利再投资</w:t>
            </w:r>
          </w:p>
        </w:tc>
      </w:tr>
      <w:tr w14:paraId="58CAC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21FB7FEC">
            <w:pPr>
              <w:pStyle w:val="7"/>
              <w:spacing w:before="73" w:line="220" w:lineRule="auto"/>
              <w:ind w:left="115"/>
            </w:pPr>
            <w:r>
              <w:rPr>
                <w:b/>
                <w:bCs/>
                <w:color w:val="0067B3"/>
                <w:spacing w:val="-4"/>
              </w:rPr>
              <w:t>转托管</w:t>
            </w:r>
          </w:p>
        </w:tc>
      </w:tr>
      <w:tr w14:paraId="407F3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01DA6869">
            <w:pPr>
              <w:pStyle w:val="7"/>
              <w:spacing w:before="74" w:line="220" w:lineRule="auto"/>
              <w:ind w:left="314"/>
            </w:pPr>
            <w:r>
              <w:rPr>
                <w:spacing w:val="-1"/>
              </w:rPr>
              <w:t>基金名称及代码</w:t>
            </w:r>
          </w:p>
        </w:tc>
        <w:tc>
          <w:tcPr>
            <w:tcW w:w="2652" w:type="dxa"/>
            <w:gridSpan w:val="2"/>
            <w:vAlign w:val="top"/>
          </w:tcPr>
          <w:p w14:paraId="370C6CE1">
            <w:pPr>
              <w:rPr>
                <w:rFonts w:ascii="Arial"/>
                <w:sz w:val="21"/>
              </w:rPr>
            </w:pPr>
          </w:p>
        </w:tc>
        <w:tc>
          <w:tcPr>
            <w:tcW w:w="724" w:type="dxa"/>
            <w:vAlign w:val="top"/>
          </w:tcPr>
          <w:p w14:paraId="6158F2FE">
            <w:pPr>
              <w:pStyle w:val="7"/>
              <w:spacing w:before="74" w:line="220" w:lineRule="auto"/>
              <w:ind w:left="178"/>
            </w:pPr>
            <w:r>
              <w:rPr>
                <w:spacing w:val="-2"/>
              </w:rPr>
              <w:t>份额</w:t>
            </w:r>
          </w:p>
        </w:tc>
        <w:tc>
          <w:tcPr>
            <w:tcW w:w="428" w:type="dxa"/>
            <w:vAlign w:val="top"/>
          </w:tcPr>
          <w:p w14:paraId="57A0349D">
            <w:pPr>
              <w:pStyle w:val="7"/>
              <w:spacing w:before="74" w:line="220" w:lineRule="auto"/>
              <w:ind w:left="95"/>
            </w:pPr>
            <w:r>
              <w:t>拾</w:t>
            </w:r>
          </w:p>
        </w:tc>
        <w:tc>
          <w:tcPr>
            <w:tcW w:w="407" w:type="dxa"/>
            <w:vAlign w:val="top"/>
          </w:tcPr>
          <w:p w14:paraId="11BA9616">
            <w:pPr>
              <w:pStyle w:val="7"/>
              <w:spacing w:before="74" w:line="221" w:lineRule="auto"/>
              <w:ind w:left="83"/>
            </w:pPr>
            <w:r>
              <w:t>亿</w:t>
            </w:r>
          </w:p>
        </w:tc>
        <w:tc>
          <w:tcPr>
            <w:tcW w:w="411" w:type="dxa"/>
            <w:vAlign w:val="top"/>
          </w:tcPr>
          <w:p w14:paraId="41654287">
            <w:pPr>
              <w:pStyle w:val="7"/>
              <w:spacing w:before="74" w:line="220" w:lineRule="auto"/>
              <w:ind w:left="92"/>
            </w:pPr>
            <w:r>
              <w:t>仟</w:t>
            </w:r>
          </w:p>
        </w:tc>
        <w:tc>
          <w:tcPr>
            <w:tcW w:w="413" w:type="dxa"/>
            <w:vAlign w:val="top"/>
          </w:tcPr>
          <w:p w14:paraId="767C6AE1">
            <w:pPr>
              <w:pStyle w:val="7"/>
              <w:spacing w:before="74" w:line="221" w:lineRule="auto"/>
              <w:ind w:left="92"/>
            </w:pPr>
            <w:r>
              <w:t>佰</w:t>
            </w:r>
          </w:p>
        </w:tc>
        <w:tc>
          <w:tcPr>
            <w:tcW w:w="412" w:type="dxa"/>
            <w:gridSpan w:val="2"/>
            <w:vAlign w:val="top"/>
          </w:tcPr>
          <w:p w14:paraId="46531D08">
            <w:pPr>
              <w:pStyle w:val="7"/>
              <w:spacing w:before="74" w:line="220" w:lineRule="auto"/>
              <w:ind w:left="95"/>
            </w:pPr>
            <w:r>
              <w:t>拾</w:t>
            </w:r>
          </w:p>
        </w:tc>
        <w:tc>
          <w:tcPr>
            <w:tcW w:w="414" w:type="dxa"/>
            <w:vAlign w:val="top"/>
          </w:tcPr>
          <w:p w14:paraId="67480214">
            <w:pPr>
              <w:pStyle w:val="7"/>
              <w:spacing w:before="74" w:line="220" w:lineRule="auto"/>
              <w:ind w:left="102"/>
            </w:pPr>
            <w:r>
              <w:t>万</w:t>
            </w:r>
          </w:p>
        </w:tc>
        <w:tc>
          <w:tcPr>
            <w:tcW w:w="420" w:type="dxa"/>
            <w:vAlign w:val="top"/>
          </w:tcPr>
          <w:p w14:paraId="0BE30FE3">
            <w:pPr>
              <w:pStyle w:val="7"/>
              <w:spacing w:before="74" w:line="220" w:lineRule="auto"/>
              <w:ind w:left="106"/>
            </w:pPr>
            <w:r>
              <w:t>仟</w:t>
            </w:r>
          </w:p>
        </w:tc>
        <w:tc>
          <w:tcPr>
            <w:tcW w:w="413" w:type="dxa"/>
            <w:vAlign w:val="top"/>
          </w:tcPr>
          <w:p w14:paraId="64E78622">
            <w:pPr>
              <w:pStyle w:val="7"/>
              <w:spacing w:before="74" w:line="221" w:lineRule="auto"/>
              <w:ind w:left="104"/>
            </w:pPr>
            <w:r>
              <w:t>佰</w:t>
            </w:r>
          </w:p>
        </w:tc>
        <w:tc>
          <w:tcPr>
            <w:tcW w:w="415" w:type="dxa"/>
            <w:vAlign w:val="top"/>
          </w:tcPr>
          <w:p w14:paraId="7202E316">
            <w:pPr>
              <w:pStyle w:val="7"/>
              <w:spacing w:before="74" w:line="220" w:lineRule="auto"/>
              <w:ind w:left="105"/>
            </w:pPr>
            <w:r>
              <w:t>拾</w:t>
            </w:r>
          </w:p>
        </w:tc>
        <w:tc>
          <w:tcPr>
            <w:tcW w:w="415" w:type="dxa"/>
            <w:gridSpan w:val="2"/>
            <w:vAlign w:val="top"/>
          </w:tcPr>
          <w:p w14:paraId="0C914A5A">
            <w:pPr>
              <w:pStyle w:val="7"/>
              <w:spacing w:before="74" w:line="220" w:lineRule="auto"/>
              <w:ind w:left="106"/>
            </w:pPr>
            <w:r>
              <w:t>元</w:t>
            </w:r>
          </w:p>
        </w:tc>
        <w:tc>
          <w:tcPr>
            <w:tcW w:w="832" w:type="dxa"/>
            <w:gridSpan w:val="2"/>
            <w:vAlign w:val="top"/>
          </w:tcPr>
          <w:p w14:paraId="39FB8CAA">
            <w:pPr>
              <w:pStyle w:val="7"/>
              <w:spacing w:before="74" w:line="220" w:lineRule="auto"/>
              <w:ind w:left="326"/>
            </w:pPr>
            <w:r>
              <w:t>份</w:t>
            </w:r>
          </w:p>
        </w:tc>
      </w:tr>
      <w:tr w14:paraId="34D88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881" w:type="dxa"/>
            <w:vAlign w:val="top"/>
          </w:tcPr>
          <w:p w14:paraId="5D93CFD6">
            <w:pPr>
              <w:pStyle w:val="7"/>
              <w:spacing w:before="74" w:line="220" w:lineRule="auto"/>
              <w:ind w:left="225"/>
            </w:pPr>
            <w:r>
              <w:rPr>
                <w:spacing w:val="-1"/>
              </w:rPr>
              <w:t>转入销售商及代码</w:t>
            </w:r>
          </w:p>
        </w:tc>
        <w:tc>
          <w:tcPr>
            <w:tcW w:w="2652" w:type="dxa"/>
            <w:gridSpan w:val="2"/>
            <w:vAlign w:val="top"/>
          </w:tcPr>
          <w:p w14:paraId="1C944AB6">
            <w:pPr>
              <w:pStyle w:val="7"/>
              <w:spacing w:before="89" w:line="221" w:lineRule="auto"/>
              <w:ind w:left="114" w:firstLine="1326" w:firstLineChars="1700"/>
              <w:rPr>
                <w:sz w:val="15"/>
                <w:szCs w:val="15"/>
              </w:rPr>
            </w:pPr>
            <w:r>
              <w:rPr>
                <w:color w:val="767171"/>
                <w:spacing w:val="-1"/>
                <w:sz w:val="8"/>
                <w:szCs w:val="8"/>
              </w:rPr>
              <w:t>（券商场内营业部名称及席位号）</w:t>
            </w:r>
          </w:p>
        </w:tc>
        <w:tc>
          <w:tcPr>
            <w:tcW w:w="724" w:type="dxa"/>
            <w:vAlign w:val="top"/>
          </w:tcPr>
          <w:p w14:paraId="2F5C9AFB">
            <w:pPr>
              <w:pStyle w:val="7"/>
              <w:spacing w:before="74" w:line="222" w:lineRule="auto"/>
              <w:ind w:left="183"/>
            </w:pPr>
            <w:r>
              <w:rPr>
                <w:spacing w:val="-3"/>
              </w:rPr>
              <w:t>小写</w:t>
            </w:r>
          </w:p>
        </w:tc>
        <w:tc>
          <w:tcPr>
            <w:tcW w:w="428" w:type="dxa"/>
            <w:vAlign w:val="top"/>
          </w:tcPr>
          <w:p w14:paraId="14AFF2BE">
            <w:pPr>
              <w:rPr>
                <w:rFonts w:ascii="Arial"/>
                <w:sz w:val="21"/>
              </w:rPr>
            </w:pPr>
          </w:p>
        </w:tc>
        <w:tc>
          <w:tcPr>
            <w:tcW w:w="407" w:type="dxa"/>
            <w:vAlign w:val="top"/>
          </w:tcPr>
          <w:p w14:paraId="20A66D1D">
            <w:pPr>
              <w:rPr>
                <w:rFonts w:ascii="Arial"/>
                <w:sz w:val="21"/>
              </w:rPr>
            </w:pPr>
          </w:p>
        </w:tc>
        <w:tc>
          <w:tcPr>
            <w:tcW w:w="411" w:type="dxa"/>
            <w:vAlign w:val="top"/>
          </w:tcPr>
          <w:p w14:paraId="5C80E803">
            <w:pPr>
              <w:rPr>
                <w:rFonts w:ascii="Arial"/>
                <w:sz w:val="21"/>
              </w:rPr>
            </w:pPr>
          </w:p>
        </w:tc>
        <w:tc>
          <w:tcPr>
            <w:tcW w:w="413" w:type="dxa"/>
            <w:vAlign w:val="top"/>
          </w:tcPr>
          <w:p w14:paraId="3AC7216C">
            <w:pPr>
              <w:rPr>
                <w:rFonts w:ascii="Arial"/>
                <w:sz w:val="21"/>
              </w:rPr>
            </w:pPr>
          </w:p>
        </w:tc>
        <w:tc>
          <w:tcPr>
            <w:tcW w:w="412" w:type="dxa"/>
            <w:gridSpan w:val="2"/>
            <w:vAlign w:val="top"/>
          </w:tcPr>
          <w:p w14:paraId="3357247E">
            <w:pPr>
              <w:rPr>
                <w:rFonts w:ascii="Arial"/>
                <w:sz w:val="21"/>
              </w:rPr>
            </w:pPr>
          </w:p>
        </w:tc>
        <w:tc>
          <w:tcPr>
            <w:tcW w:w="414" w:type="dxa"/>
            <w:vAlign w:val="top"/>
          </w:tcPr>
          <w:p w14:paraId="20CB6571">
            <w:pPr>
              <w:rPr>
                <w:rFonts w:ascii="Arial"/>
                <w:sz w:val="21"/>
              </w:rPr>
            </w:pPr>
          </w:p>
        </w:tc>
        <w:tc>
          <w:tcPr>
            <w:tcW w:w="420" w:type="dxa"/>
            <w:vAlign w:val="top"/>
          </w:tcPr>
          <w:p w14:paraId="09A665C2">
            <w:pPr>
              <w:rPr>
                <w:rFonts w:ascii="Arial"/>
                <w:sz w:val="21"/>
              </w:rPr>
            </w:pPr>
          </w:p>
        </w:tc>
        <w:tc>
          <w:tcPr>
            <w:tcW w:w="413" w:type="dxa"/>
            <w:vAlign w:val="top"/>
          </w:tcPr>
          <w:p w14:paraId="2F19C776">
            <w:pPr>
              <w:rPr>
                <w:rFonts w:ascii="Arial"/>
                <w:sz w:val="21"/>
              </w:rPr>
            </w:pPr>
          </w:p>
        </w:tc>
        <w:tc>
          <w:tcPr>
            <w:tcW w:w="415" w:type="dxa"/>
            <w:vAlign w:val="top"/>
          </w:tcPr>
          <w:p w14:paraId="5CA47B7B">
            <w:pPr>
              <w:rPr>
                <w:rFonts w:ascii="Arial"/>
                <w:sz w:val="21"/>
              </w:rPr>
            </w:pPr>
          </w:p>
        </w:tc>
        <w:tc>
          <w:tcPr>
            <w:tcW w:w="415" w:type="dxa"/>
            <w:gridSpan w:val="2"/>
            <w:vAlign w:val="top"/>
          </w:tcPr>
          <w:p w14:paraId="59E37C52">
            <w:pPr>
              <w:rPr>
                <w:rFonts w:ascii="Arial"/>
                <w:sz w:val="21"/>
              </w:rPr>
            </w:pPr>
          </w:p>
        </w:tc>
        <w:tc>
          <w:tcPr>
            <w:tcW w:w="415" w:type="dxa"/>
            <w:vAlign w:val="top"/>
          </w:tcPr>
          <w:p w14:paraId="56EC6A9D">
            <w:pPr>
              <w:rPr>
                <w:rFonts w:ascii="Arial"/>
                <w:sz w:val="21"/>
              </w:rPr>
            </w:pPr>
          </w:p>
        </w:tc>
        <w:tc>
          <w:tcPr>
            <w:tcW w:w="417" w:type="dxa"/>
            <w:vAlign w:val="top"/>
          </w:tcPr>
          <w:p w14:paraId="60ACB903">
            <w:pPr>
              <w:rPr>
                <w:rFonts w:ascii="Arial"/>
                <w:sz w:val="21"/>
              </w:rPr>
            </w:pPr>
          </w:p>
        </w:tc>
      </w:tr>
      <w:tr w14:paraId="6179F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2DF2C4F6">
            <w:pPr>
              <w:pStyle w:val="7"/>
              <w:spacing w:before="74" w:line="220" w:lineRule="auto"/>
              <w:ind w:left="114"/>
            </w:pPr>
            <w:r>
              <w:rPr>
                <w:b/>
                <w:bCs/>
                <w:color w:val="0067B3"/>
              </w:rPr>
              <w:t>撤单申请</w:t>
            </w:r>
            <w:r>
              <w:t>（撤单申请请在原申请交易日的交易时间内提出，已确认但未</w:t>
            </w:r>
            <w:r>
              <w:rPr>
                <w:spacing w:val="-1"/>
              </w:rPr>
              <w:t>成立的认购申请不能撤单）</w:t>
            </w:r>
          </w:p>
        </w:tc>
      </w:tr>
      <w:tr w14:paraId="4F37A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00D9B300">
            <w:pPr>
              <w:pStyle w:val="7"/>
              <w:spacing w:before="74" w:line="220" w:lineRule="auto"/>
              <w:ind w:left="114"/>
            </w:pPr>
            <w:r>
              <w:rPr>
                <w:spacing w:val="-1"/>
              </w:rPr>
              <w:t>撤销业务类型：</w:t>
            </w:r>
            <w:r>
              <w:rPr>
                <w:spacing w:val="-1"/>
                <w:u w:val="single" w:color="auto"/>
              </w:rPr>
              <w:t xml:space="preserve">                       </w:t>
            </w:r>
            <w:r>
              <w:rPr>
                <w:spacing w:val="-1"/>
              </w:rPr>
              <w:t xml:space="preserve"> 原申请流水号：</w:t>
            </w:r>
            <w:r>
              <w:rPr>
                <w:spacing w:val="-1"/>
                <w:u w:val="single" w:color="auto"/>
              </w:rPr>
              <w:t xml:space="preserve">                          </w:t>
            </w:r>
            <w:r>
              <w:rPr>
                <w:spacing w:val="-2"/>
                <w:u w:val="single" w:color="auto"/>
              </w:rPr>
              <w:t xml:space="preserve">              </w:t>
            </w:r>
          </w:p>
        </w:tc>
      </w:tr>
      <w:tr w14:paraId="16804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2F4C24AE">
            <w:pPr>
              <w:pStyle w:val="7"/>
              <w:spacing w:before="74" w:line="220" w:lineRule="auto"/>
              <w:ind w:left="115"/>
            </w:pPr>
            <w:r>
              <w:rPr>
                <w:b/>
                <w:bCs/>
                <w:color w:val="0067B3"/>
                <w:spacing w:val="-4"/>
              </w:rPr>
              <w:t>风险提示</w:t>
            </w:r>
          </w:p>
        </w:tc>
      </w:tr>
      <w:tr w14:paraId="66F07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107" w:type="dxa"/>
            <w:gridSpan w:val="15"/>
            <w:vAlign w:val="top"/>
          </w:tcPr>
          <w:p w14:paraId="0DF14549">
            <w:pPr>
              <w:pStyle w:val="7"/>
              <w:spacing w:before="89" w:line="220" w:lineRule="auto"/>
              <w:ind w:left="116"/>
              <w:rPr>
                <w:sz w:val="15"/>
                <w:szCs w:val="15"/>
              </w:rPr>
            </w:pPr>
            <w:r>
              <w:rPr>
                <w:sz w:val="15"/>
                <w:szCs w:val="15"/>
              </w:rPr>
              <w:t>如果您选择认（申）购、转换的基金风险类型与您的风险测评等级不一致，是否选择继续认（申）购、转换？如不选择将默</w:t>
            </w:r>
            <w:r>
              <w:rPr>
                <w:spacing w:val="-1"/>
                <w:sz w:val="15"/>
                <w:szCs w:val="15"/>
              </w:rPr>
              <w:t>认“否”。</w:t>
            </w:r>
          </w:p>
        </w:tc>
        <w:tc>
          <w:tcPr>
            <w:tcW w:w="1130" w:type="dxa"/>
            <w:gridSpan w:val="3"/>
            <w:vAlign w:val="top"/>
          </w:tcPr>
          <w:p w14:paraId="5AE3A0A2">
            <w:pPr>
              <w:pStyle w:val="7"/>
              <w:spacing w:before="74" w:line="220" w:lineRule="auto"/>
              <w:ind w:left="130"/>
            </w:pPr>
            <w:r>
              <w:rPr>
                <w:spacing w:val="-9"/>
              </w:rPr>
              <w:t>○是</w:t>
            </w:r>
            <w:r>
              <w:rPr>
                <w:spacing w:val="13"/>
              </w:rPr>
              <w:t xml:space="preserve">  </w:t>
            </w:r>
            <w:r>
              <w:rPr>
                <w:spacing w:val="-9"/>
              </w:rPr>
              <w:t>○否</w:t>
            </w:r>
          </w:p>
        </w:tc>
      </w:tr>
      <w:tr w14:paraId="77936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10237" w:type="dxa"/>
            <w:gridSpan w:val="18"/>
            <w:vAlign w:val="top"/>
          </w:tcPr>
          <w:p w14:paraId="2F087413">
            <w:pPr>
              <w:pStyle w:val="7"/>
              <w:spacing w:before="74" w:line="220" w:lineRule="auto"/>
              <w:ind w:left="138"/>
            </w:pPr>
            <w:r>
              <w:rPr>
                <w:b/>
                <w:bCs/>
                <w:color w:val="0067B3"/>
                <w:spacing w:val="-8"/>
              </w:rPr>
              <w:t>申请人声明</w:t>
            </w:r>
          </w:p>
        </w:tc>
      </w:tr>
      <w:tr w14:paraId="7BAC5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3" w:hRule="atLeast"/>
        </w:trPr>
        <w:tc>
          <w:tcPr>
            <w:tcW w:w="10237" w:type="dxa"/>
            <w:gridSpan w:val="18"/>
            <w:vAlign w:val="top"/>
          </w:tcPr>
          <w:p w14:paraId="4D65131B">
            <w:pPr>
              <w:pStyle w:val="7"/>
              <w:spacing w:before="108" w:line="220" w:lineRule="auto"/>
              <w:ind w:left="116"/>
              <w:rPr>
                <w:sz w:val="10"/>
                <w:szCs w:val="10"/>
              </w:rPr>
            </w:pPr>
            <w:r>
              <w:rPr>
                <w:sz w:val="10"/>
                <w:szCs w:val="10"/>
              </w:rPr>
              <w:drawing>
                <wp:inline distT="0" distB="0" distL="0" distR="0">
                  <wp:extent cx="51435" cy="4635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51654" cy="46981"/>
                          </a:xfrm>
                          <a:prstGeom prst="rect">
                            <a:avLst/>
                          </a:prstGeom>
                        </pic:spPr>
                      </pic:pic>
                    </a:graphicData>
                  </a:graphic>
                </wp:inline>
              </w:drawing>
            </w:r>
            <w:r>
              <w:rPr>
                <w:sz w:val="10"/>
                <w:szCs w:val="10"/>
              </w:rPr>
              <w:t>本投资人已仔细阅读了基金合同、最新招募说明书、业务规则、基金产</w:t>
            </w:r>
            <w:r>
              <w:rPr>
                <w:spacing w:val="-1"/>
                <w:sz w:val="10"/>
                <w:szCs w:val="10"/>
              </w:rPr>
              <w:t>品资料概要、相关公告以及此表背面的“风险提示”等资料，充分理解和接受上述文件中载明的所有条款，自愿承担投资风险；本投资人已了解，完成风险承</w:t>
            </w:r>
          </w:p>
          <w:p w14:paraId="4896F482">
            <w:pPr>
              <w:pStyle w:val="7"/>
              <w:spacing w:before="207" w:line="220" w:lineRule="auto"/>
              <w:ind w:left="113"/>
              <w:rPr>
                <w:sz w:val="10"/>
                <w:szCs w:val="10"/>
              </w:rPr>
            </w:pPr>
            <w:r>
              <w:rPr>
                <w:sz w:val="10"/>
                <w:szCs w:val="10"/>
              </w:rPr>
              <w:t>受能力测评后方可提交交易申请，否则交易申请可能无法被受理；本投资人保证此表中所填信息真实、准确、完整，并承诺用于投资的资金来源合法</w:t>
            </w:r>
            <w:r>
              <w:rPr>
                <w:spacing w:val="-1"/>
                <w:sz w:val="10"/>
                <w:szCs w:val="10"/>
              </w:rPr>
              <w:t>，不存在任何洗钱嫌疑，也未使用贷款、发行债券等筹集的非自有资金进行投资。</w:t>
            </w:r>
          </w:p>
          <w:p w14:paraId="477944B0">
            <w:pPr>
              <w:pStyle w:val="7"/>
              <w:spacing w:before="207" w:line="220" w:lineRule="auto"/>
              <w:ind w:left="116"/>
              <w:rPr>
                <w:sz w:val="10"/>
                <w:szCs w:val="10"/>
              </w:rPr>
            </w:pPr>
            <w:r>
              <w:rPr>
                <w:sz w:val="10"/>
                <w:szCs w:val="10"/>
              </w:rPr>
              <w:drawing>
                <wp:inline distT="0" distB="0" distL="0" distR="0">
                  <wp:extent cx="51435" cy="463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51654" cy="46981"/>
                          </a:xfrm>
                          <a:prstGeom prst="rect">
                            <a:avLst/>
                          </a:prstGeom>
                        </pic:spPr>
                      </pic:pic>
                    </a:graphicData>
                  </a:graphic>
                </wp:inline>
              </w:drawing>
            </w:r>
            <w:r>
              <w:rPr>
                <w:sz w:val="10"/>
                <w:szCs w:val="10"/>
              </w:rPr>
              <w:t>本投资人知悉并同意，除中国证监会许可的基金外，单一投资者持有其他基金份额的比例不得达到或者超过该基金总份额的</w:t>
            </w:r>
            <w:r>
              <w:rPr>
                <w:spacing w:val="-20"/>
                <w:sz w:val="10"/>
                <w:szCs w:val="10"/>
              </w:rPr>
              <w:t xml:space="preserve"> </w:t>
            </w:r>
            <w:r>
              <w:rPr>
                <w:rFonts w:ascii="Times New Roman" w:hAnsi="Times New Roman" w:eastAsia="Times New Roman" w:cs="Times New Roman"/>
                <w:sz w:val="10"/>
                <w:szCs w:val="10"/>
              </w:rPr>
              <w:t>50%</w:t>
            </w:r>
            <w:r>
              <w:rPr>
                <w:sz w:val="10"/>
                <w:szCs w:val="10"/>
              </w:rPr>
              <w:t>，并承诺不通过一致行动人等方式变</w:t>
            </w:r>
            <w:r>
              <w:rPr>
                <w:spacing w:val="-1"/>
                <w:sz w:val="10"/>
                <w:szCs w:val="10"/>
              </w:rPr>
              <w:t>相规避前述</w:t>
            </w:r>
            <w:r>
              <w:rPr>
                <w:spacing w:val="-20"/>
                <w:sz w:val="10"/>
                <w:szCs w:val="10"/>
              </w:rPr>
              <w:t xml:space="preserve"> </w:t>
            </w:r>
            <w:r>
              <w:rPr>
                <w:rFonts w:ascii="Times New Roman" w:hAnsi="Times New Roman" w:eastAsia="Times New Roman" w:cs="Times New Roman"/>
                <w:spacing w:val="-1"/>
                <w:sz w:val="10"/>
                <w:szCs w:val="10"/>
              </w:rPr>
              <w:t>50%</w:t>
            </w:r>
            <w:r>
              <w:rPr>
                <w:spacing w:val="-1"/>
                <w:sz w:val="10"/>
                <w:szCs w:val="10"/>
              </w:rPr>
              <w:t>的比例限制。</w:t>
            </w:r>
          </w:p>
          <w:p w14:paraId="0098017D">
            <w:pPr>
              <w:pStyle w:val="7"/>
              <w:spacing w:before="207" w:line="220" w:lineRule="auto"/>
              <w:ind w:left="116"/>
              <w:rPr>
                <w:sz w:val="10"/>
                <w:szCs w:val="10"/>
              </w:rPr>
            </w:pPr>
            <w:r>
              <w:rPr>
                <w:sz w:val="10"/>
                <w:szCs w:val="10"/>
              </w:rPr>
              <w:drawing>
                <wp:inline distT="0" distB="0" distL="0" distR="0">
                  <wp:extent cx="51435" cy="463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51654" cy="46981"/>
                          </a:xfrm>
                          <a:prstGeom prst="rect">
                            <a:avLst/>
                          </a:prstGeom>
                        </pic:spPr>
                      </pic:pic>
                    </a:graphicData>
                  </a:graphic>
                </wp:inline>
              </w:drawing>
            </w:r>
            <w:r>
              <w:rPr>
                <w:sz w:val="10"/>
                <w:szCs w:val="10"/>
              </w:rPr>
              <w:t>本投资人知悉并同意，可能导致单一投资者持有单只基金份额占比达到或超过</w:t>
            </w:r>
            <w:r>
              <w:rPr>
                <w:spacing w:val="-13"/>
                <w:sz w:val="10"/>
                <w:szCs w:val="10"/>
              </w:rPr>
              <w:t xml:space="preserve"> </w:t>
            </w:r>
            <w:r>
              <w:rPr>
                <w:rFonts w:ascii="Times New Roman" w:hAnsi="Times New Roman" w:eastAsia="Times New Roman" w:cs="Times New Roman"/>
                <w:sz w:val="10"/>
                <w:szCs w:val="10"/>
              </w:rPr>
              <w:t>50%</w:t>
            </w:r>
            <w:r>
              <w:rPr>
                <w:sz w:val="10"/>
                <w:szCs w:val="10"/>
              </w:rPr>
              <w:t>的申购申请将被确认失败，因规模变动等原因导致持有比例已经达到或超过</w:t>
            </w:r>
            <w:r>
              <w:rPr>
                <w:spacing w:val="-16"/>
                <w:sz w:val="10"/>
                <w:szCs w:val="10"/>
              </w:rPr>
              <w:t xml:space="preserve"> </w:t>
            </w:r>
            <w:r>
              <w:rPr>
                <w:rFonts w:ascii="Times New Roman" w:hAnsi="Times New Roman" w:eastAsia="Times New Roman" w:cs="Times New Roman"/>
                <w:sz w:val="10"/>
                <w:szCs w:val="10"/>
              </w:rPr>
              <w:t>50%</w:t>
            </w:r>
            <w:r>
              <w:rPr>
                <w:sz w:val="10"/>
                <w:szCs w:val="10"/>
              </w:rPr>
              <w:t>的，将不再接受此单一投资者就同一基金的申购</w:t>
            </w:r>
            <w:r>
              <w:rPr>
                <w:spacing w:val="-1"/>
                <w:sz w:val="10"/>
                <w:szCs w:val="10"/>
              </w:rPr>
              <w:t>，由此产生的损</w:t>
            </w:r>
          </w:p>
          <w:p w14:paraId="404B192E">
            <w:pPr>
              <w:pStyle w:val="7"/>
              <w:spacing w:before="207" w:line="220" w:lineRule="auto"/>
              <w:ind w:left="114"/>
              <w:rPr>
                <w:sz w:val="10"/>
                <w:szCs w:val="10"/>
              </w:rPr>
            </w:pPr>
            <w:r>
              <w:rPr>
                <w:spacing w:val="-1"/>
                <w:sz w:val="10"/>
                <w:szCs w:val="10"/>
              </w:rPr>
              <w:t>失由本投资人自行承担。</w:t>
            </w:r>
          </w:p>
          <w:p w14:paraId="185655BE">
            <w:pPr>
              <w:pStyle w:val="7"/>
              <w:spacing w:before="207" w:line="220" w:lineRule="auto"/>
              <w:ind w:left="116"/>
              <w:rPr>
                <w:sz w:val="10"/>
                <w:szCs w:val="10"/>
              </w:rPr>
            </w:pPr>
            <w:r>
              <w:rPr>
                <w:sz w:val="10"/>
                <w:szCs w:val="10"/>
              </w:rPr>
              <w:drawing>
                <wp:inline distT="0" distB="0" distL="0" distR="0">
                  <wp:extent cx="51435" cy="463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51654" cy="46981"/>
                          </a:xfrm>
                          <a:prstGeom prst="rect">
                            <a:avLst/>
                          </a:prstGeom>
                        </pic:spPr>
                      </pic:pic>
                    </a:graphicData>
                  </a:graphic>
                </wp:inline>
              </w:drawing>
            </w:r>
            <w:r>
              <w:rPr>
                <w:spacing w:val="1"/>
                <w:sz w:val="10"/>
                <w:szCs w:val="10"/>
              </w:rPr>
              <w:t>本投资人（普通投资者）了解购买风险等级高于自身风险承受能力</w:t>
            </w:r>
            <w:r>
              <w:rPr>
                <w:sz w:val="10"/>
                <w:szCs w:val="10"/>
              </w:rPr>
              <w:t>的产品或购买高风险产品时，销售机构将履行特别的告知等义务，因此本人须预留足够的交易时间，并在交易时间内确认是否继续交易。按照法规要求，风险承</w:t>
            </w:r>
          </w:p>
          <w:p w14:paraId="1101B874">
            <w:pPr>
              <w:pStyle w:val="7"/>
              <w:spacing w:before="205" w:line="221" w:lineRule="auto"/>
              <w:ind w:left="113"/>
              <w:rPr>
                <w:sz w:val="10"/>
                <w:szCs w:val="10"/>
              </w:rPr>
            </w:pPr>
            <w:r>
              <w:rPr>
                <w:sz w:val="10"/>
                <w:szCs w:val="10"/>
              </w:rPr>
              <w:t>受能力最低类别的投资人不得购买风险等级高于</w:t>
            </w:r>
            <w:r>
              <w:rPr>
                <w:spacing w:val="-1"/>
                <w:sz w:val="10"/>
                <w:szCs w:val="10"/>
              </w:rPr>
              <w:t>自身风险承受能力的产品。</w:t>
            </w:r>
          </w:p>
          <w:p w14:paraId="4C78925A">
            <w:pPr>
              <w:pStyle w:val="7"/>
              <w:spacing w:before="207" w:line="220" w:lineRule="auto"/>
              <w:ind w:left="116"/>
              <w:rPr>
                <w:sz w:val="10"/>
                <w:szCs w:val="10"/>
              </w:rPr>
            </w:pPr>
            <w:r>
              <w:rPr>
                <w:sz w:val="10"/>
                <w:szCs w:val="10"/>
              </w:rPr>
              <w:drawing>
                <wp:inline distT="0" distB="0" distL="0" distR="0">
                  <wp:extent cx="51435" cy="463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
                          <a:stretch>
                            <a:fillRect/>
                          </a:stretch>
                        </pic:blipFill>
                        <pic:spPr>
                          <a:xfrm>
                            <a:off x="0" y="0"/>
                            <a:ext cx="51654" cy="46981"/>
                          </a:xfrm>
                          <a:prstGeom prst="rect">
                            <a:avLst/>
                          </a:prstGeom>
                        </pic:spPr>
                      </pic:pic>
                    </a:graphicData>
                  </a:graphic>
                </wp:inline>
              </w:drawing>
            </w:r>
            <w:r>
              <w:rPr>
                <w:sz w:val="10"/>
                <w:szCs w:val="10"/>
              </w:rPr>
              <w:t>本投资人授权东方阿尔法基金管理有限公司在必要时可通过第三方机构核实本人提供信息的准确性。</w:t>
            </w:r>
          </w:p>
          <w:p w14:paraId="0BDDB44E">
            <w:pPr>
              <w:pStyle w:val="7"/>
              <w:spacing w:before="207" w:line="234" w:lineRule="auto"/>
              <w:ind w:left="116"/>
              <w:rPr>
                <w:sz w:val="10"/>
                <w:szCs w:val="10"/>
              </w:rPr>
            </w:pPr>
            <w:r>
              <w:rPr>
                <w:sz w:val="10"/>
                <w:szCs w:val="10"/>
              </w:rPr>
              <w:drawing>
                <wp:inline distT="0" distB="0" distL="0" distR="0">
                  <wp:extent cx="51435" cy="4635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51654" cy="46981"/>
                          </a:xfrm>
                          <a:prstGeom prst="rect">
                            <a:avLst/>
                          </a:prstGeom>
                        </pic:spPr>
                      </pic:pic>
                    </a:graphicData>
                  </a:graphic>
                </wp:inline>
              </w:drawing>
            </w:r>
            <w:r>
              <w:rPr>
                <w:spacing w:val="-1"/>
                <w:sz w:val="10"/>
                <w:szCs w:val="10"/>
              </w:rPr>
              <w:t>以上内容签章</w:t>
            </w:r>
            <w:r>
              <w:rPr>
                <w:rFonts w:ascii="Times New Roman" w:hAnsi="Times New Roman" w:eastAsia="Times New Roman" w:cs="Times New Roman"/>
                <w:spacing w:val="-1"/>
                <w:sz w:val="10"/>
                <w:szCs w:val="10"/>
              </w:rPr>
              <w:t>/</w:t>
            </w:r>
            <w:r>
              <w:rPr>
                <w:spacing w:val="-1"/>
                <w:sz w:val="10"/>
                <w:szCs w:val="10"/>
              </w:rPr>
              <w:t>字以示承诺及申请意愿。</w:t>
            </w:r>
          </w:p>
          <w:p w14:paraId="7AFB145D">
            <w:pPr>
              <w:spacing w:line="211" w:lineRule="exact"/>
            </w:pPr>
          </w:p>
          <w:tbl>
            <w:tblPr>
              <w:tblStyle w:val="6"/>
              <w:tblW w:w="7927" w:type="dxa"/>
              <w:tblInd w:w="13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077"/>
              <w:gridCol w:w="4371"/>
              <w:gridCol w:w="479"/>
            </w:tblGrid>
            <w:tr w14:paraId="621CFE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20" w:hRule="atLeast"/>
              </w:trPr>
              <w:tc>
                <w:tcPr>
                  <w:tcW w:w="3077" w:type="dxa"/>
                  <w:vAlign w:val="top"/>
                </w:tcPr>
                <w:p w14:paraId="54E8C295">
                  <w:pPr>
                    <w:pStyle w:val="7"/>
                    <w:spacing w:line="233" w:lineRule="auto"/>
                  </w:pPr>
                  <w:r>
                    <w:rPr>
                      <w:b/>
                      <w:bCs/>
                      <w:color w:val="0067B3"/>
                      <w:spacing w:val="-5"/>
                    </w:rPr>
                    <w:t>申请人</w:t>
                  </w:r>
                  <w:r>
                    <w:rPr>
                      <w:rFonts w:ascii="Times New Roman" w:hAnsi="Times New Roman" w:eastAsia="Times New Roman" w:cs="Times New Roman"/>
                      <w:b/>
                      <w:bCs/>
                      <w:color w:val="0067B3"/>
                      <w:spacing w:val="-5"/>
                    </w:rPr>
                    <w:t>/</w:t>
                  </w:r>
                  <w:r>
                    <w:rPr>
                      <w:b/>
                      <w:bCs/>
                      <w:color w:val="0067B3"/>
                      <w:spacing w:val="-5"/>
                    </w:rPr>
                    <w:t>经办人签名：</w:t>
                  </w:r>
                </w:p>
              </w:tc>
              <w:tc>
                <w:tcPr>
                  <w:tcW w:w="4371" w:type="dxa"/>
                  <w:vAlign w:val="top"/>
                </w:tcPr>
                <w:p w14:paraId="7B7FE654">
                  <w:pPr>
                    <w:pStyle w:val="7"/>
                    <w:spacing w:line="218" w:lineRule="auto"/>
                    <w:ind w:left="1560"/>
                  </w:pPr>
                  <w:r>
                    <w:rPr>
                      <w:b/>
                      <w:bCs/>
                      <w:color w:val="0067B3"/>
                      <w:spacing w:val="-2"/>
                    </w:rPr>
                    <w:t>机构预留印鉴</w:t>
                  </w:r>
                  <w:r>
                    <w:rPr>
                      <w:color w:val="0067B3"/>
                      <w:spacing w:val="-2"/>
                    </w:rPr>
                    <w:t xml:space="preserve"> </w:t>
                  </w:r>
                  <w:r>
                    <w:rPr>
                      <w:b/>
                      <w:bCs/>
                      <w:color w:val="0067B3"/>
                      <w:spacing w:val="-2"/>
                    </w:rPr>
                    <w:t>：</w:t>
                  </w:r>
                </w:p>
                <w:p w14:paraId="3C3CF7F8">
                  <w:pPr>
                    <w:pStyle w:val="7"/>
                    <w:spacing w:before="127" w:line="174" w:lineRule="auto"/>
                    <w:ind w:left="1625"/>
                  </w:pPr>
                  <w:r>
                    <w:rPr>
                      <w:b/>
                      <w:bCs/>
                      <w:color w:val="0067B3"/>
                      <w:spacing w:val="-8"/>
                    </w:rPr>
                    <w:t>申请日期：</w:t>
                  </w:r>
                  <w:r>
                    <w:rPr>
                      <w:color w:val="0067B3"/>
                      <w:spacing w:val="2"/>
                    </w:rPr>
                    <w:t xml:space="preserve">       </w:t>
                  </w:r>
                  <w:r>
                    <w:rPr>
                      <w:b/>
                      <w:bCs/>
                      <w:color w:val="0067B3"/>
                      <w:spacing w:val="-8"/>
                    </w:rPr>
                    <w:t>年</w:t>
                  </w:r>
                  <w:r>
                    <w:rPr>
                      <w:color w:val="0067B3"/>
                      <w:spacing w:val="2"/>
                    </w:rPr>
                    <w:t xml:space="preserve">      </w:t>
                  </w:r>
                  <w:r>
                    <w:rPr>
                      <w:b/>
                      <w:bCs/>
                      <w:color w:val="0067B3"/>
                      <w:spacing w:val="-8"/>
                    </w:rPr>
                    <w:t>月</w:t>
                  </w:r>
                </w:p>
              </w:tc>
              <w:tc>
                <w:tcPr>
                  <w:tcW w:w="479" w:type="dxa"/>
                  <w:vAlign w:val="top"/>
                </w:tcPr>
                <w:p w14:paraId="412A1B97">
                  <w:pPr>
                    <w:spacing w:line="280" w:lineRule="auto"/>
                    <w:rPr>
                      <w:rFonts w:ascii="Arial"/>
                      <w:sz w:val="21"/>
                    </w:rPr>
                  </w:pPr>
                </w:p>
                <w:p w14:paraId="63ABD652">
                  <w:pPr>
                    <w:pStyle w:val="7"/>
                    <w:spacing w:before="58" w:line="174" w:lineRule="auto"/>
                    <w:jc w:val="right"/>
                  </w:pPr>
                  <w:r>
                    <w:rPr>
                      <w:b/>
                      <w:bCs/>
                      <w:color w:val="0067B3"/>
                      <w:spacing w:val="-41"/>
                    </w:rPr>
                    <w:t>日</w:t>
                  </w:r>
                </w:p>
              </w:tc>
            </w:tr>
          </w:tbl>
          <w:p w14:paraId="5AE527CE">
            <w:pPr>
              <w:spacing w:line="36" w:lineRule="exact"/>
              <w:rPr>
                <w:rFonts w:ascii="Arial"/>
                <w:sz w:val="3"/>
              </w:rPr>
            </w:pPr>
          </w:p>
        </w:tc>
      </w:tr>
    </w:tbl>
    <w:p w14:paraId="4ED72045">
      <w:pPr>
        <w:pStyle w:val="2"/>
        <w:spacing w:before="70" w:line="219" w:lineRule="auto"/>
        <w:ind w:left="658"/>
        <w:rPr>
          <w:sz w:val="18"/>
          <w:szCs w:val="18"/>
        </w:rPr>
      </w:pPr>
      <w:r>
        <w:rPr>
          <w:b/>
          <w:bCs/>
          <w:color w:val="0067B3"/>
          <w:spacing w:val="-5"/>
          <w:sz w:val="18"/>
          <w:szCs w:val="18"/>
        </w:rPr>
        <w:t>以下由销售机构填写</w:t>
      </w:r>
    </w:p>
    <w:p w14:paraId="04F60D27">
      <w:pPr>
        <w:pStyle w:val="2"/>
        <w:spacing w:before="276" w:line="219" w:lineRule="auto"/>
        <w:ind w:left="639"/>
        <w:rPr>
          <w:sz w:val="18"/>
          <w:szCs w:val="18"/>
        </w:rPr>
      </w:pPr>
      <w:r>
        <w:rPr>
          <w:sz w:val="18"/>
          <w:szCs w:val="18"/>
        </w:rPr>
        <w:t>客户经理：</w:t>
      </w:r>
      <w:r>
        <w:rPr>
          <w:sz w:val="18"/>
          <w:szCs w:val="18"/>
          <w:u w:val="single" w:color="auto"/>
        </w:rPr>
        <w:t xml:space="preserve">                   </w:t>
      </w:r>
      <w:r>
        <w:rPr>
          <w:sz w:val="18"/>
          <w:szCs w:val="18"/>
        </w:rPr>
        <w:t xml:space="preserve">      经办：</w:t>
      </w:r>
      <w:r>
        <w:rPr>
          <w:sz w:val="18"/>
          <w:szCs w:val="18"/>
          <w:u w:val="single" w:color="auto"/>
        </w:rPr>
        <w:t xml:space="preserve">      </w:t>
      </w:r>
      <w:r>
        <w:rPr>
          <w:spacing w:val="-1"/>
          <w:sz w:val="18"/>
          <w:szCs w:val="18"/>
          <w:u w:val="single" w:color="auto"/>
        </w:rPr>
        <w:t xml:space="preserve">             </w:t>
      </w:r>
      <w:r>
        <w:rPr>
          <w:spacing w:val="2"/>
          <w:sz w:val="18"/>
          <w:szCs w:val="18"/>
        </w:rPr>
        <w:t xml:space="preserve">     </w:t>
      </w:r>
      <w:r>
        <w:rPr>
          <w:spacing w:val="-1"/>
          <w:sz w:val="18"/>
          <w:szCs w:val="18"/>
        </w:rPr>
        <w:t xml:space="preserve">复核： </w:t>
      </w:r>
      <w:r>
        <w:rPr>
          <w:sz w:val="18"/>
          <w:szCs w:val="18"/>
          <w:u w:val="single" w:color="auto"/>
        </w:rPr>
        <w:t xml:space="preserve">                   </w:t>
      </w:r>
      <w:r>
        <w:rPr>
          <w:spacing w:val="2"/>
          <w:sz w:val="18"/>
          <w:szCs w:val="18"/>
        </w:rPr>
        <w:t xml:space="preserve">     </w:t>
      </w:r>
      <w:r>
        <w:rPr>
          <w:spacing w:val="-1"/>
          <w:sz w:val="18"/>
          <w:szCs w:val="18"/>
        </w:rPr>
        <w:t>销售机构签章</w:t>
      </w:r>
    </w:p>
    <w:p w14:paraId="49BFF8E6">
      <w:pPr>
        <w:pStyle w:val="2"/>
        <w:spacing w:before="190" w:line="234" w:lineRule="auto"/>
        <w:ind w:left="700"/>
      </w:pPr>
      <w:r>
        <w:rPr>
          <w:color w:val="595959"/>
          <w:spacing w:val="9"/>
        </w:rPr>
        <w:t>东方阿尔法基金管理有限公司</w:t>
      </w:r>
    </w:p>
    <w:p w14:paraId="5140222D">
      <w:pPr>
        <w:pStyle w:val="2"/>
        <w:spacing w:before="18" w:line="162" w:lineRule="exact"/>
        <w:ind w:left="696"/>
        <w:rPr>
          <w:rFonts w:ascii="Times New Roman" w:hAnsi="Times New Roman" w:eastAsia="Times New Roman" w:cs="Times New Roman"/>
        </w:rPr>
      </w:pPr>
      <w:r>
        <w:drawing>
          <wp:anchor distT="0" distB="0" distL="0" distR="0" simplePos="0" relativeHeight="251659264" behindDoc="1" locked="0" layoutInCell="1" allowOverlap="1">
            <wp:simplePos x="0" y="0"/>
            <wp:positionH relativeFrom="column">
              <wp:posOffset>1689735</wp:posOffset>
            </wp:positionH>
            <wp:positionV relativeFrom="paragraph">
              <wp:posOffset>281940</wp:posOffset>
            </wp:positionV>
            <wp:extent cx="607060" cy="38100"/>
            <wp:effectExtent l="0" t="0" r="0" b="0"/>
            <wp:wrapNone/>
            <wp:docPr id="16" name="IM 16">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3"/>
                    <a:stretch>
                      <a:fillRect/>
                    </a:stretch>
                  </pic:blipFill>
                  <pic:spPr>
                    <a:xfrm>
                      <a:off x="0" y="0"/>
                      <a:ext cx="607314" cy="38249"/>
                    </a:xfrm>
                    <a:prstGeom prst="rect">
                      <a:avLst/>
                    </a:prstGeom>
                  </pic:spPr>
                </pic:pic>
              </a:graphicData>
            </a:graphic>
          </wp:anchor>
        </w:drawing>
      </w:r>
      <w:r>
        <w:drawing>
          <wp:anchor distT="0" distB="0" distL="0" distR="0" simplePos="0" relativeHeight="251660288" behindDoc="1" locked="0" layoutInCell="1" allowOverlap="1">
            <wp:simplePos x="0" y="0"/>
            <wp:positionH relativeFrom="column">
              <wp:posOffset>5913120</wp:posOffset>
            </wp:positionH>
            <wp:positionV relativeFrom="paragraph">
              <wp:posOffset>0</wp:posOffset>
            </wp:positionV>
            <wp:extent cx="607060" cy="107315"/>
            <wp:effectExtent l="0" t="0" r="0" b="0"/>
            <wp:wrapNone/>
            <wp:docPr id="18" name="IM 18">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4"/>
                    <a:stretch>
                      <a:fillRect/>
                    </a:stretch>
                  </pic:blipFill>
                  <pic:spPr>
                    <a:xfrm>
                      <a:off x="0" y="0"/>
                      <a:ext cx="607314" cy="107048"/>
                    </a:xfrm>
                    <a:prstGeom prst="rect">
                      <a:avLst/>
                    </a:prstGeom>
                  </pic:spPr>
                </pic:pic>
              </a:graphicData>
            </a:graphic>
          </wp:anchor>
        </w:drawing>
      </w:r>
      <w:r>
        <w:rPr>
          <w:color w:val="595959"/>
          <w:spacing w:val="5"/>
          <w:position w:val="1"/>
        </w:rPr>
        <w:t>深圳市福田区深南大道</w:t>
      </w:r>
      <w:r>
        <w:rPr>
          <w:color w:val="595959"/>
          <w:spacing w:val="-20"/>
          <w:position w:val="1"/>
        </w:rPr>
        <w:t xml:space="preserve"> </w:t>
      </w:r>
      <w:r>
        <w:rPr>
          <w:rFonts w:ascii="Times New Roman" w:hAnsi="Times New Roman" w:eastAsia="Times New Roman" w:cs="Times New Roman"/>
          <w:color w:val="595959"/>
          <w:spacing w:val="5"/>
          <w:position w:val="1"/>
        </w:rPr>
        <w:t>6008</w:t>
      </w:r>
      <w:r>
        <w:rPr>
          <w:rFonts w:ascii="Times New Roman" w:hAnsi="Times New Roman" w:eastAsia="Times New Roman" w:cs="Times New Roman"/>
          <w:color w:val="595959"/>
          <w:spacing w:val="11"/>
          <w:w w:val="103"/>
          <w:position w:val="1"/>
        </w:rPr>
        <w:t xml:space="preserve"> </w:t>
      </w:r>
      <w:r>
        <w:rPr>
          <w:color w:val="595959"/>
          <w:spacing w:val="5"/>
          <w:position w:val="1"/>
        </w:rPr>
        <w:t>号特区报业大厦西区</w:t>
      </w:r>
      <w:r>
        <w:rPr>
          <w:color w:val="595959"/>
          <w:spacing w:val="-24"/>
          <w:position w:val="1"/>
        </w:rPr>
        <w:t xml:space="preserve"> </w:t>
      </w:r>
      <w:r>
        <w:rPr>
          <w:rFonts w:ascii="Times New Roman" w:hAnsi="Times New Roman" w:eastAsia="Times New Roman" w:cs="Times New Roman"/>
          <w:color w:val="595959"/>
          <w:spacing w:val="5"/>
          <w:position w:val="1"/>
        </w:rPr>
        <w:t xml:space="preserve">23 </w:t>
      </w:r>
      <w:r>
        <w:rPr>
          <w:color w:val="595959"/>
          <w:spacing w:val="5"/>
          <w:position w:val="1"/>
        </w:rPr>
        <w:t xml:space="preserve">层    </w:t>
      </w:r>
      <w:r>
        <w:rPr>
          <w:color w:val="595959"/>
          <w:spacing w:val="5"/>
        </w:rPr>
        <w:t xml:space="preserve">  直销专线：</w:t>
      </w:r>
      <w:r>
        <w:rPr>
          <w:rFonts w:ascii="Times New Roman" w:hAnsi="Times New Roman" w:eastAsia="Times New Roman" w:cs="Times New Roman"/>
          <w:color w:val="595959"/>
          <w:spacing w:val="5"/>
        </w:rPr>
        <w:t>0755-</w:t>
      </w:r>
      <w:r>
        <w:rPr>
          <w:rFonts w:hint="eastAsia" w:ascii="Times New Roman" w:hAnsi="Times New Roman" w:cs="Times New Roman"/>
          <w:color w:val="595959"/>
          <w:spacing w:val="5"/>
          <w:lang w:val="en-US" w:eastAsia="zh-CN"/>
        </w:rPr>
        <w:t>2191 2678</w:t>
      </w:r>
      <w:r>
        <w:rPr>
          <w:rFonts w:ascii="Times New Roman" w:hAnsi="Times New Roman" w:eastAsia="Times New Roman" w:cs="Times New Roman"/>
          <w:color w:val="595959"/>
          <w:spacing w:val="5"/>
        </w:rPr>
        <w:t xml:space="preserve">           </w:t>
      </w:r>
      <w:r>
        <w:rPr>
          <w:color w:val="595959"/>
          <w:spacing w:val="5"/>
        </w:rPr>
        <w:t>传真：</w:t>
      </w:r>
      <w:r>
        <w:rPr>
          <w:color w:val="595959"/>
          <w:spacing w:val="-30"/>
        </w:rPr>
        <w:t xml:space="preserve"> </w:t>
      </w:r>
      <w:r>
        <w:rPr>
          <w:rFonts w:ascii="Times New Roman" w:hAnsi="Times New Roman" w:eastAsia="Times New Roman" w:cs="Times New Roman"/>
          <w:color w:val="595959"/>
          <w:spacing w:val="5"/>
        </w:rPr>
        <w:t>0755-2187 290</w:t>
      </w:r>
      <w:r>
        <w:rPr>
          <w:rFonts w:hint="eastAsia" w:ascii="Times New Roman" w:hAnsi="Times New Roman" w:cs="Times New Roman"/>
          <w:color w:val="595959"/>
          <w:spacing w:val="5"/>
          <w:lang w:val="en-US" w:eastAsia="zh-CN"/>
        </w:rPr>
        <w:t xml:space="preserve">3  </w:t>
      </w:r>
      <w:r>
        <w:rPr>
          <w:rFonts w:ascii="Times New Roman" w:hAnsi="Times New Roman" w:eastAsia="Times New Roman" w:cs="Times New Roman"/>
          <w:color w:val="595959"/>
          <w:spacing w:val="5"/>
          <w:position w:val="1"/>
        </w:rPr>
        <w:t xml:space="preserve">      </w:t>
      </w:r>
      <w:r>
        <w:rPr>
          <w:color w:val="595959"/>
          <w:spacing w:val="5"/>
          <w:position w:val="1"/>
        </w:rPr>
        <w:t>客服电话：</w:t>
      </w:r>
      <w:r>
        <w:rPr>
          <w:color w:val="595959"/>
          <w:spacing w:val="-16"/>
          <w:position w:val="1"/>
        </w:rPr>
        <w:t xml:space="preserve"> </w:t>
      </w:r>
      <w:r>
        <w:rPr>
          <w:rFonts w:ascii="Times New Roman" w:hAnsi="Times New Roman" w:eastAsia="Times New Roman" w:cs="Times New Roman"/>
          <w:color w:val="595959"/>
          <w:spacing w:val="5"/>
          <w:position w:val="1"/>
        </w:rPr>
        <w:t>400 930</w:t>
      </w:r>
      <w:r>
        <w:rPr>
          <w:rFonts w:ascii="Times New Roman" w:hAnsi="Times New Roman" w:eastAsia="Times New Roman" w:cs="Times New Roman"/>
          <w:color w:val="595959"/>
          <w:spacing w:val="9"/>
          <w:position w:val="1"/>
        </w:rPr>
        <w:t xml:space="preserve"> </w:t>
      </w:r>
      <w:r>
        <w:rPr>
          <w:rFonts w:ascii="Times New Roman" w:hAnsi="Times New Roman" w:eastAsia="Times New Roman" w:cs="Times New Roman"/>
          <w:color w:val="595959"/>
          <w:spacing w:val="4"/>
          <w:position w:val="1"/>
        </w:rPr>
        <w:t xml:space="preserve">6677         </w:t>
      </w:r>
      <w:r>
        <w:rPr>
          <w:color w:val="595959"/>
          <w:spacing w:val="4"/>
          <w:position w:val="1"/>
        </w:rPr>
        <w:t>官网：</w:t>
      </w:r>
      <w:r>
        <w:rPr>
          <w:rFonts w:ascii="Times New Roman" w:hAnsi="Times New Roman" w:eastAsia="Times New Roman" w:cs="Times New Roman"/>
          <w:color w:val="595959"/>
          <w:position w:val="1"/>
        </w:rPr>
        <w:t>www</w:t>
      </w:r>
      <w:r>
        <w:rPr>
          <w:rFonts w:ascii="Times New Roman" w:hAnsi="Times New Roman" w:eastAsia="Times New Roman" w:cs="Times New Roman"/>
          <w:color w:val="595959"/>
          <w:spacing w:val="4"/>
          <w:position w:val="1"/>
        </w:rPr>
        <w:t>.</w:t>
      </w:r>
      <w:r>
        <w:rPr>
          <w:rFonts w:ascii="Times New Roman" w:hAnsi="Times New Roman" w:eastAsia="Times New Roman" w:cs="Times New Roman"/>
          <w:color w:val="595959"/>
          <w:position w:val="1"/>
        </w:rPr>
        <w:t>dfa</w:t>
      </w:r>
      <w:r>
        <w:rPr>
          <w:rFonts w:ascii="Times New Roman" w:hAnsi="Times New Roman" w:eastAsia="Times New Roman" w:cs="Times New Roman"/>
          <w:color w:val="595959"/>
          <w:spacing w:val="4"/>
          <w:position w:val="1"/>
        </w:rPr>
        <w:t>66.</w:t>
      </w:r>
      <w:r>
        <w:rPr>
          <w:rFonts w:ascii="Times New Roman" w:hAnsi="Times New Roman" w:eastAsia="Times New Roman" w:cs="Times New Roman"/>
          <w:color w:val="595959"/>
          <w:position w:val="1"/>
        </w:rPr>
        <w:t>com</w:t>
      </w:r>
    </w:p>
    <w:p w14:paraId="67F58B74">
      <w:pPr>
        <w:spacing w:line="162" w:lineRule="exact"/>
        <w:rPr>
          <w:rFonts w:ascii="Times New Roman" w:hAnsi="Times New Roman" w:eastAsia="Times New Roman" w:cs="Times New Roman"/>
        </w:rPr>
        <w:sectPr>
          <w:headerReference r:id="rId5" w:type="default"/>
          <w:pgSz w:w="11907" w:h="16839"/>
          <w:pgMar w:top="1531" w:right="0" w:bottom="0" w:left="180" w:header="350" w:footer="0" w:gutter="0"/>
          <w:cols w:space="720" w:num="1"/>
        </w:sectPr>
      </w:pPr>
    </w:p>
    <w:p w14:paraId="4C9F5F93">
      <w:pPr>
        <w:pStyle w:val="2"/>
        <w:spacing w:before="73" w:line="235" w:lineRule="auto"/>
        <w:ind w:left="550"/>
      </w:pPr>
      <w:r>
        <w:drawing>
          <wp:inline distT="0" distB="0" distL="0" distR="0">
            <wp:extent cx="58420" cy="603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5"/>
                    <a:stretch>
                      <a:fillRect/>
                    </a:stretch>
                  </pic:blipFill>
                  <pic:spPr>
                    <a:xfrm>
                      <a:off x="0" y="0"/>
                      <a:ext cx="58430" cy="60405"/>
                    </a:xfrm>
                    <a:prstGeom prst="rect">
                      <a:avLst/>
                    </a:prstGeom>
                  </pic:spPr>
                </pic:pic>
              </a:graphicData>
            </a:graphic>
          </wp:inline>
        </w:drawing>
      </w:r>
      <w:r>
        <w:rPr>
          <w:spacing w:val="4"/>
        </w:rPr>
        <w:t xml:space="preserve">     </w:t>
      </w:r>
      <w:r>
        <w:rPr>
          <w:b/>
          <w:bCs/>
          <w:spacing w:val="8"/>
        </w:rPr>
        <w:t>风险提示</w:t>
      </w:r>
    </w:p>
    <w:p w14:paraId="14BA1854">
      <w:pPr>
        <w:pStyle w:val="2"/>
        <w:spacing w:before="177" w:line="498" w:lineRule="auto"/>
        <w:ind w:left="545" w:right="719" w:firstLine="259"/>
        <w:jc w:val="both"/>
      </w:pPr>
      <w:r>
        <w:rPr>
          <w:spacing w:val="6"/>
        </w:rPr>
        <w:t>基金（包括资产管理计划，以下相同）</w:t>
      </w:r>
      <w:r>
        <w:rPr>
          <w:spacing w:val="-22"/>
        </w:rPr>
        <w:t xml:space="preserve"> </w:t>
      </w:r>
      <w:r>
        <w:rPr>
          <w:spacing w:val="6"/>
        </w:rPr>
        <w:t>是一种长期投资工具，</w:t>
      </w:r>
      <w:r>
        <w:rPr>
          <w:spacing w:val="30"/>
        </w:rPr>
        <w:t xml:space="preserve"> </w:t>
      </w:r>
      <w:r>
        <w:rPr>
          <w:spacing w:val="6"/>
        </w:rPr>
        <w:t>其主要功能是分散投资，</w:t>
      </w:r>
      <w:r>
        <w:rPr>
          <w:spacing w:val="-33"/>
        </w:rPr>
        <w:t xml:space="preserve"> </w:t>
      </w:r>
      <w:r>
        <w:rPr>
          <w:spacing w:val="6"/>
        </w:rPr>
        <w:t>降低投资单一证券所带来的个别风险。基金不同于银行储蓄</w:t>
      </w:r>
      <w:r>
        <w:rPr>
          <w:spacing w:val="5"/>
        </w:rPr>
        <w:t>和债券等能够提供固定收益预期的</w:t>
      </w:r>
      <w:r>
        <w:t xml:space="preserve"> </w:t>
      </w:r>
      <w:r>
        <w:rPr>
          <w:spacing w:val="7"/>
        </w:rPr>
        <w:t>金融工具，</w:t>
      </w:r>
      <w:r>
        <w:rPr>
          <w:spacing w:val="-20"/>
        </w:rPr>
        <w:t xml:space="preserve"> </w:t>
      </w:r>
      <w:r>
        <w:rPr>
          <w:spacing w:val="7"/>
        </w:rPr>
        <w:t>投资人购买基金，</w:t>
      </w:r>
      <w:r>
        <w:rPr>
          <w:spacing w:val="-35"/>
        </w:rPr>
        <w:t xml:space="preserve"> </w:t>
      </w:r>
      <w:r>
        <w:rPr>
          <w:spacing w:val="7"/>
        </w:rPr>
        <w:t>既可能按其持有份额分享基金投资所产生的收益，也可能承担基金投资所带来的损失。基金在投资运作过程中可能面临各种风险， 既包括</w:t>
      </w:r>
      <w:r>
        <w:rPr>
          <w:spacing w:val="6"/>
        </w:rPr>
        <w:t>市场风险，</w:t>
      </w:r>
      <w:r>
        <w:rPr>
          <w:spacing w:val="-12"/>
        </w:rPr>
        <w:t xml:space="preserve"> </w:t>
      </w:r>
      <w:r>
        <w:rPr>
          <w:spacing w:val="6"/>
        </w:rPr>
        <w:t>也包括</w:t>
      </w:r>
      <w:r>
        <w:t xml:space="preserve"> </w:t>
      </w:r>
      <w:r>
        <w:rPr>
          <w:spacing w:val="9"/>
        </w:rPr>
        <w:t>基金自身的管理风险、技术风险和合规风险等。巨额赎回风险是开放式基金所特有的一种风险，</w:t>
      </w:r>
      <w:r>
        <w:rPr>
          <w:spacing w:val="-21"/>
        </w:rPr>
        <w:t xml:space="preserve"> </w:t>
      </w:r>
      <w:r>
        <w:rPr>
          <w:spacing w:val="9"/>
        </w:rPr>
        <w:t>即当单个交易日基金的</w:t>
      </w:r>
      <w:r>
        <w:rPr>
          <w:spacing w:val="8"/>
        </w:rPr>
        <w:t>净赎回申请超过基金总份额的百分之十时，投资人将可能无法及时</w:t>
      </w:r>
      <w:r>
        <w:t xml:space="preserve"> </w:t>
      </w:r>
      <w:r>
        <w:rPr>
          <w:spacing w:val="8"/>
        </w:rPr>
        <w:t>赎回持有的全部基金份额。基金分为股票基金、混合基金、</w:t>
      </w:r>
      <w:r>
        <w:rPr>
          <w:spacing w:val="7"/>
        </w:rPr>
        <w:t>债券基金、货币市场基金等不同类型， 投资人投资不同类型的基金将获得不同的收益预期，</w:t>
      </w:r>
      <w:r>
        <w:rPr>
          <w:spacing w:val="-31"/>
        </w:rPr>
        <w:t xml:space="preserve"> </w:t>
      </w:r>
      <w:r>
        <w:rPr>
          <w:spacing w:val="7"/>
        </w:rPr>
        <w:t>也将承担不同程度的风险。</w:t>
      </w:r>
      <w:r>
        <w:rPr>
          <w:spacing w:val="-12"/>
        </w:rPr>
        <w:t xml:space="preserve"> </w:t>
      </w:r>
      <w:r>
        <w:rPr>
          <w:spacing w:val="7"/>
        </w:rPr>
        <w:t>一般来</w:t>
      </w:r>
      <w:r>
        <w:t xml:space="preserve"> </w:t>
      </w:r>
      <w:r>
        <w:rPr>
          <w:spacing w:val="6"/>
        </w:rPr>
        <w:t>说，基金的收益预期越高，</w:t>
      </w:r>
      <w:r>
        <w:rPr>
          <w:spacing w:val="39"/>
        </w:rPr>
        <w:t xml:space="preserve"> </w:t>
      </w:r>
      <w:r>
        <w:rPr>
          <w:spacing w:val="6"/>
        </w:rPr>
        <w:t>投资人承担的风险也越大。投资人应当认真阅读《基金合同》、《招募说明书》等基金法律文件，</w:t>
      </w:r>
      <w:r>
        <w:rPr>
          <w:spacing w:val="48"/>
        </w:rPr>
        <w:t xml:space="preserve"> </w:t>
      </w:r>
      <w:r>
        <w:rPr>
          <w:spacing w:val="6"/>
        </w:rPr>
        <w:t>了解基金的风险收益特征，</w:t>
      </w:r>
      <w:r>
        <w:rPr>
          <w:spacing w:val="-16"/>
        </w:rPr>
        <w:t xml:space="preserve"> </w:t>
      </w:r>
      <w:r>
        <w:rPr>
          <w:spacing w:val="6"/>
        </w:rPr>
        <w:t>并根据自身的投资目的、投资期</w:t>
      </w:r>
      <w:r>
        <w:t xml:space="preserve"> </w:t>
      </w:r>
      <w:r>
        <w:rPr>
          <w:spacing w:val="9"/>
        </w:rPr>
        <w:t>限、投资经验、资产状况等判断基金是否和投资人的风险承受能力相适应。投资人应当充分了解基金定期定额投资和零存整取等储蓄方式的区别。定期定额投资是引导投资人进行长期投</w:t>
      </w:r>
      <w:r>
        <w:rPr>
          <w:spacing w:val="10"/>
        </w:rPr>
        <w:t xml:space="preserve"> </w:t>
      </w:r>
      <w:r>
        <w:rPr>
          <w:spacing w:val="8"/>
        </w:rPr>
        <w:t>资、平均投资成本的一种简单易行的投资方式。但是定期定额投资并不能规避基金投资所固有的风险，</w:t>
      </w:r>
      <w:r>
        <w:rPr>
          <w:spacing w:val="28"/>
          <w:w w:val="101"/>
        </w:rPr>
        <w:t xml:space="preserve"> </w:t>
      </w:r>
      <w:r>
        <w:rPr>
          <w:spacing w:val="8"/>
        </w:rPr>
        <w:t>不能保证投资人获得收益，</w:t>
      </w:r>
      <w:r>
        <w:rPr>
          <w:spacing w:val="-33"/>
        </w:rPr>
        <w:t xml:space="preserve"> </w:t>
      </w:r>
      <w:r>
        <w:rPr>
          <w:spacing w:val="8"/>
        </w:rPr>
        <w:t>也</w:t>
      </w:r>
      <w:r>
        <w:rPr>
          <w:spacing w:val="7"/>
        </w:rPr>
        <w:t>不是替代储蓄的等效理财方式。投资人购买货币市场</w:t>
      </w:r>
      <w:r>
        <w:t xml:space="preserve"> </w:t>
      </w:r>
      <w:r>
        <w:rPr>
          <w:spacing w:val="10"/>
        </w:rPr>
        <w:t>基金不等于资金作为存款存放在银行或存款类金</w:t>
      </w:r>
      <w:r>
        <w:rPr>
          <w:spacing w:val="9"/>
        </w:rPr>
        <w:t>融机构，基金管理公司不保证一定盈利，也不保证最低收益。</w:t>
      </w:r>
      <w:r>
        <w:rPr>
          <w:spacing w:val="55"/>
          <w:w w:val="101"/>
        </w:rPr>
        <w:t xml:space="preserve"> </w:t>
      </w:r>
      <w:r>
        <w:rPr>
          <w:spacing w:val="9"/>
        </w:rPr>
        <w:t>基金管理人承诺以诚实信用、勤勉尽责的原则管理和运用基金资产，但不</w:t>
      </w:r>
      <w:r>
        <w:t xml:space="preserve"> </w:t>
      </w:r>
      <w:r>
        <w:rPr>
          <w:spacing w:val="9"/>
        </w:rPr>
        <w:t>保证本基金一定盈利，也不保证最低收益。基金的过往业绩及其净值高低并不预示其未来业绩表现。基金管理人提醒投资人基金投资的“买者</w:t>
      </w:r>
      <w:r>
        <w:rPr>
          <w:spacing w:val="8"/>
        </w:rPr>
        <w:t>自负”原则，在做出投资决策后，</w:t>
      </w:r>
      <w:r>
        <w:rPr>
          <w:spacing w:val="-33"/>
        </w:rPr>
        <w:t xml:space="preserve"> </w:t>
      </w:r>
      <w:r>
        <w:rPr>
          <w:spacing w:val="8"/>
        </w:rPr>
        <w:t>基金运营</w:t>
      </w:r>
      <w:r>
        <w:t xml:space="preserve"> </w:t>
      </w:r>
      <w:r>
        <w:rPr>
          <w:spacing w:val="8"/>
        </w:rPr>
        <w:t>状况与基金净值变化引致的投资风险，由投资人自行负担。  投资人应当通过基金管理人或具有基金代销业务资格的其</w:t>
      </w:r>
      <w:r>
        <w:rPr>
          <w:spacing w:val="7"/>
        </w:rPr>
        <w:t>他机构购买和赎回基金，</w:t>
      </w:r>
      <w:r>
        <w:rPr>
          <w:spacing w:val="42"/>
        </w:rPr>
        <w:t xml:space="preserve"> </w:t>
      </w:r>
      <w:r>
        <w:rPr>
          <w:spacing w:val="7"/>
        </w:rPr>
        <w:t>基金代销机构名单详见《招募说明书》及</w:t>
      </w:r>
      <w:r>
        <w:t xml:space="preserve"> </w:t>
      </w:r>
      <w:r>
        <w:rPr>
          <w:spacing w:val="3"/>
        </w:rPr>
        <w:t>相关公告。</w:t>
      </w:r>
    </w:p>
    <w:p w14:paraId="4FB7A94A">
      <w:pPr>
        <w:spacing w:line="308" w:lineRule="auto"/>
        <w:rPr>
          <w:rFonts w:ascii="Arial"/>
          <w:sz w:val="21"/>
        </w:rPr>
      </w:pPr>
    </w:p>
    <w:p w14:paraId="433E2E73">
      <w:pPr>
        <w:pStyle w:val="2"/>
        <w:spacing w:before="39" w:line="234" w:lineRule="auto"/>
        <w:ind w:left="550"/>
      </w:pPr>
      <w:r>
        <w:drawing>
          <wp:inline distT="0" distB="0" distL="0" distR="0">
            <wp:extent cx="58420" cy="603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6"/>
                    <a:stretch>
                      <a:fillRect/>
                    </a:stretch>
                  </pic:blipFill>
                  <pic:spPr>
                    <a:xfrm>
                      <a:off x="0" y="0"/>
                      <a:ext cx="58430" cy="60405"/>
                    </a:xfrm>
                    <a:prstGeom prst="rect">
                      <a:avLst/>
                    </a:prstGeom>
                  </pic:spPr>
                </pic:pic>
              </a:graphicData>
            </a:graphic>
          </wp:inline>
        </w:drawing>
      </w:r>
      <w:r>
        <w:rPr>
          <w:spacing w:val="5"/>
        </w:rPr>
        <w:t xml:space="preserve">     </w:t>
      </w:r>
      <w:r>
        <w:rPr>
          <w:b/>
          <w:bCs/>
          <w:spacing w:val="8"/>
        </w:rPr>
        <w:t>交易类业务指南</w:t>
      </w:r>
    </w:p>
    <w:p w14:paraId="4FC8163F">
      <w:pPr>
        <w:pStyle w:val="2"/>
        <w:spacing w:before="170" w:line="496" w:lineRule="auto"/>
        <w:ind w:left="545" w:right="721" w:firstLine="261"/>
        <w:jc w:val="both"/>
      </w:pPr>
      <w:r>
        <w:rPr>
          <w:b/>
          <w:bCs/>
          <w:spacing w:val="9"/>
        </w:rPr>
        <w:t>认、申购</w:t>
      </w:r>
      <w:r>
        <w:rPr>
          <w:spacing w:val="9"/>
        </w:rPr>
        <w:t>注意事项：投资者可在申请日</w:t>
      </w:r>
      <w:r>
        <w:rPr>
          <w:spacing w:val="-6"/>
        </w:rPr>
        <w:t xml:space="preserve"> </w:t>
      </w:r>
      <w:r>
        <w:rPr>
          <w:rFonts w:ascii="Times New Roman" w:hAnsi="Times New Roman" w:eastAsia="Times New Roman" w:cs="Times New Roman"/>
          <w:spacing w:val="9"/>
        </w:rPr>
        <w:t>15</w:t>
      </w:r>
      <w:r>
        <w:rPr>
          <w:rFonts w:ascii="Times New Roman" w:hAnsi="Times New Roman" w:eastAsia="Times New Roman" w:cs="Times New Roman"/>
          <w:spacing w:val="-11"/>
        </w:rPr>
        <w:t xml:space="preserve"> </w:t>
      </w:r>
      <w:r>
        <w:rPr>
          <w:spacing w:val="9"/>
        </w:rPr>
        <w:t>：</w:t>
      </w:r>
      <w:r>
        <w:rPr>
          <w:rFonts w:ascii="Times New Roman" w:hAnsi="Times New Roman" w:eastAsia="Times New Roman" w:cs="Times New Roman"/>
          <w:spacing w:val="9"/>
        </w:rPr>
        <w:t>00</w:t>
      </w:r>
      <w:r>
        <w:rPr>
          <w:rFonts w:ascii="Times New Roman" w:hAnsi="Times New Roman" w:eastAsia="Times New Roman" w:cs="Times New Roman"/>
          <w:spacing w:val="15"/>
          <w:w w:val="102"/>
        </w:rPr>
        <w:t xml:space="preserve"> </w:t>
      </w:r>
      <w:r>
        <w:rPr>
          <w:spacing w:val="9"/>
        </w:rPr>
        <w:t>前到我公司办理认、申</w:t>
      </w:r>
      <w:r>
        <w:rPr>
          <w:spacing w:val="8"/>
        </w:rPr>
        <w:t xml:space="preserve">购业务或将《开放式基金交易类业务申请表》在申请日 </w:t>
      </w:r>
      <w:r>
        <w:rPr>
          <w:rFonts w:ascii="Times New Roman" w:hAnsi="Times New Roman" w:eastAsia="Times New Roman" w:cs="Times New Roman"/>
          <w:spacing w:val="8"/>
        </w:rPr>
        <w:t>15:00</w:t>
      </w:r>
      <w:r>
        <w:rPr>
          <w:rFonts w:ascii="Times New Roman" w:hAnsi="Times New Roman" w:eastAsia="Times New Roman" w:cs="Times New Roman"/>
          <w:spacing w:val="14"/>
          <w:w w:val="101"/>
        </w:rPr>
        <w:t xml:space="preserve"> </w:t>
      </w:r>
      <w:r>
        <w:rPr>
          <w:spacing w:val="8"/>
        </w:rPr>
        <w:t>之前发传真至我公司指定的号码；认申购资金采</w:t>
      </w:r>
      <w:r>
        <w:t xml:space="preserve"> </w:t>
      </w:r>
      <w:r>
        <w:rPr>
          <w:spacing w:val="8"/>
        </w:rPr>
        <w:t>取全额交款方式， 投资者请在申请日</w:t>
      </w:r>
      <w:r>
        <w:rPr>
          <w:spacing w:val="-11"/>
        </w:rPr>
        <w:t xml:space="preserve"> </w:t>
      </w:r>
      <w:r>
        <w:rPr>
          <w:rFonts w:ascii="Times New Roman" w:hAnsi="Times New Roman" w:eastAsia="Times New Roman" w:cs="Times New Roman"/>
          <w:spacing w:val="8"/>
        </w:rPr>
        <w:t>15:00</w:t>
      </w:r>
      <w:r>
        <w:rPr>
          <w:rFonts w:ascii="Times New Roman" w:hAnsi="Times New Roman" w:eastAsia="Times New Roman" w:cs="Times New Roman"/>
          <w:spacing w:val="12"/>
          <w:w w:val="102"/>
        </w:rPr>
        <w:t xml:space="preserve"> </w:t>
      </w:r>
      <w:r>
        <w:rPr>
          <w:spacing w:val="8"/>
        </w:rPr>
        <w:t>之前将申请的资金划入我公司直销专户（认购资金到账的截止时间参考各产品公告</w:t>
      </w:r>
      <w:r>
        <w:rPr>
          <w:spacing w:val="9"/>
        </w:rPr>
        <w:t>），</w:t>
      </w:r>
      <w:r>
        <w:rPr>
          <w:spacing w:val="8"/>
        </w:rPr>
        <w:t>金额应与《开放式基金交易类业务申请表》中所填写的</w:t>
      </w:r>
      <w:r>
        <w:t xml:space="preserve"> </w:t>
      </w:r>
      <w:r>
        <w:rPr>
          <w:spacing w:val="7"/>
        </w:rPr>
        <w:t>金额一致；</w:t>
      </w:r>
      <w:r>
        <w:rPr>
          <w:spacing w:val="25"/>
        </w:rPr>
        <w:t xml:space="preserve"> </w:t>
      </w:r>
      <w:r>
        <w:rPr>
          <w:spacing w:val="7"/>
        </w:rPr>
        <w:t>划入账户应与开户时预留的银行账户一致；若未满</w:t>
      </w:r>
      <w:r>
        <w:rPr>
          <w:spacing w:val="-11"/>
        </w:rPr>
        <w:t xml:space="preserve"> </w:t>
      </w:r>
      <w:r>
        <w:rPr>
          <w:rFonts w:ascii="Times New Roman" w:hAnsi="Times New Roman" w:eastAsia="Times New Roman" w:cs="Times New Roman"/>
          <w:spacing w:val="7"/>
        </w:rPr>
        <w:t xml:space="preserve">18 </w:t>
      </w:r>
      <w:r>
        <w:rPr>
          <w:spacing w:val="7"/>
        </w:rPr>
        <w:t>周岁的公民办理认、申购业务时，需提供申请人身份证件（原件及复印件） 、监护人的身份证件（原件及复印件</w:t>
      </w:r>
      <w:r>
        <w:rPr>
          <w:spacing w:val="3"/>
        </w:rPr>
        <w:t>）</w:t>
      </w:r>
      <w:r>
        <w:rPr>
          <w:spacing w:val="-2"/>
        </w:rPr>
        <w:t xml:space="preserve"> </w:t>
      </w:r>
      <w:r>
        <w:rPr>
          <w:spacing w:val="3"/>
        </w:rPr>
        <w:t>，</w:t>
      </w:r>
      <w:r>
        <w:rPr>
          <w:spacing w:val="7"/>
        </w:rPr>
        <w:t>监</w:t>
      </w:r>
      <w:r>
        <w:t xml:space="preserve"> </w:t>
      </w:r>
      <w:r>
        <w:rPr>
          <w:spacing w:val="6"/>
        </w:rPr>
        <w:t xml:space="preserve">护人需在申请业务时签字确认； </w:t>
      </w:r>
      <w:r>
        <w:rPr>
          <w:rFonts w:ascii="Times New Roman" w:hAnsi="Times New Roman" w:eastAsia="Times New Roman" w:cs="Times New Roman"/>
          <w:spacing w:val="6"/>
        </w:rPr>
        <w:t>.</w:t>
      </w:r>
      <w:r>
        <w:rPr>
          <w:spacing w:val="6"/>
        </w:rPr>
        <w:t>若投资者本人已满</w:t>
      </w:r>
      <w:r>
        <w:rPr>
          <w:spacing w:val="-12"/>
        </w:rPr>
        <w:t xml:space="preserve"> </w:t>
      </w:r>
      <w:r>
        <w:rPr>
          <w:rFonts w:ascii="Times New Roman" w:hAnsi="Times New Roman" w:eastAsia="Times New Roman" w:cs="Times New Roman"/>
          <w:spacing w:val="6"/>
        </w:rPr>
        <w:t>18</w:t>
      </w:r>
      <w:r>
        <w:rPr>
          <w:rFonts w:ascii="Times New Roman" w:hAnsi="Times New Roman" w:eastAsia="Times New Roman" w:cs="Times New Roman"/>
          <w:spacing w:val="14"/>
          <w:w w:val="102"/>
        </w:rPr>
        <w:t xml:space="preserve"> </w:t>
      </w:r>
      <w:r>
        <w:rPr>
          <w:spacing w:val="6"/>
        </w:rPr>
        <w:t>岁，且已经办理变更基本资料手续，</w:t>
      </w:r>
      <w:r>
        <w:rPr>
          <w:spacing w:val="-24"/>
        </w:rPr>
        <w:t xml:space="preserve"> </w:t>
      </w:r>
      <w:r>
        <w:rPr>
          <w:spacing w:val="6"/>
        </w:rPr>
        <w:t>则由投资者本人签字确认该交易。所需资料： 《开放式基金交易类业务申请表</w:t>
      </w:r>
      <w:r>
        <w:rPr>
          <w:spacing w:val="5"/>
        </w:rPr>
        <w:t>》</w:t>
      </w:r>
      <w:r>
        <w:rPr>
          <w:spacing w:val="-24"/>
        </w:rPr>
        <w:t xml:space="preserve"> </w:t>
      </w:r>
      <w:r>
        <w:rPr>
          <w:spacing w:val="5"/>
        </w:rPr>
        <w:t>；</w:t>
      </w:r>
      <w:r>
        <w:rPr>
          <w:spacing w:val="-19"/>
        </w:rPr>
        <w:t xml:space="preserve"> </w:t>
      </w:r>
      <w:r>
        <w:rPr>
          <w:spacing w:val="5"/>
        </w:rPr>
        <w:t>《风险不匹</w:t>
      </w:r>
      <w:r>
        <w:t xml:space="preserve"> </w:t>
      </w:r>
      <w:r>
        <w:rPr>
          <w:spacing w:val="9"/>
        </w:rPr>
        <w:t>配提示函及投资者</w:t>
      </w:r>
      <w:r>
        <w:rPr>
          <w:rFonts w:hint="eastAsia"/>
          <w:spacing w:val="9"/>
          <w:lang w:eastAsia="zh-CN"/>
        </w:rPr>
        <w:t>确认</w:t>
      </w:r>
      <w:r>
        <w:rPr>
          <w:spacing w:val="9"/>
        </w:rPr>
        <w:t>书》或《投资者风险匹配告知书及投资者确认函</w:t>
      </w:r>
      <w:r>
        <w:rPr>
          <w:spacing w:val="8"/>
        </w:rPr>
        <w:t>》。</w:t>
      </w:r>
    </w:p>
    <w:p w14:paraId="6E679077">
      <w:pPr>
        <w:pStyle w:val="2"/>
        <w:spacing w:before="21" w:line="493" w:lineRule="auto"/>
        <w:ind w:left="547" w:right="718" w:firstLine="259"/>
      </w:pPr>
      <w:r>
        <w:rPr>
          <w:b/>
          <w:bCs/>
          <w:spacing w:val="9"/>
        </w:rPr>
        <w:t>赎回</w:t>
      </w:r>
      <w:r>
        <w:rPr>
          <w:spacing w:val="9"/>
        </w:rPr>
        <w:t xml:space="preserve">注意事项：投资者可在申请日 </w:t>
      </w:r>
      <w:r>
        <w:rPr>
          <w:rFonts w:ascii="Times New Roman" w:hAnsi="Times New Roman" w:eastAsia="Times New Roman" w:cs="Times New Roman"/>
          <w:spacing w:val="9"/>
        </w:rPr>
        <w:t>15</w:t>
      </w:r>
      <w:r>
        <w:rPr>
          <w:rFonts w:ascii="Times New Roman" w:hAnsi="Times New Roman" w:eastAsia="Times New Roman" w:cs="Times New Roman"/>
          <w:spacing w:val="-13"/>
        </w:rPr>
        <w:t xml:space="preserve"> </w:t>
      </w:r>
      <w:r>
        <w:rPr>
          <w:spacing w:val="9"/>
        </w:rPr>
        <w:t>：</w:t>
      </w:r>
      <w:r>
        <w:rPr>
          <w:rFonts w:ascii="Times New Roman" w:hAnsi="Times New Roman" w:eastAsia="Times New Roman" w:cs="Times New Roman"/>
          <w:spacing w:val="9"/>
        </w:rPr>
        <w:t>0</w:t>
      </w:r>
      <w:r>
        <w:rPr>
          <w:rFonts w:ascii="Times New Roman" w:hAnsi="Times New Roman" w:eastAsia="Times New Roman" w:cs="Times New Roman"/>
          <w:spacing w:val="8"/>
        </w:rPr>
        <w:t>0</w:t>
      </w:r>
      <w:r>
        <w:rPr>
          <w:rFonts w:ascii="Times New Roman" w:hAnsi="Times New Roman" w:eastAsia="Times New Roman" w:cs="Times New Roman"/>
          <w:spacing w:val="17"/>
          <w:w w:val="103"/>
        </w:rPr>
        <w:t xml:space="preserve"> </w:t>
      </w:r>
      <w:r>
        <w:rPr>
          <w:spacing w:val="8"/>
        </w:rPr>
        <w:t xml:space="preserve">前到我公司办理赎回业务或将《开放式基金交易类业务申请表》在申请日 </w:t>
      </w:r>
      <w:r>
        <w:rPr>
          <w:rFonts w:ascii="Times New Roman" w:hAnsi="Times New Roman" w:eastAsia="Times New Roman" w:cs="Times New Roman"/>
          <w:spacing w:val="8"/>
        </w:rPr>
        <w:t>15:00</w:t>
      </w:r>
      <w:r>
        <w:rPr>
          <w:rFonts w:ascii="Times New Roman" w:hAnsi="Times New Roman" w:eastAsia="Times New Roman" w:cs="Times New Roman"/>
          <w:spacing w:val="14"/>
          <w:w w:val="102"/>
        </w:rPr>
        <w:t xml:space="preserve"> </w:t>
      </w:r>
      <w:r>
        <w:rPr>
          <w:spacing w:val="8"/>
        </w:rPr>
        <w:t>之前发传真至我公司指定的号码；请确认预留银行账户处</w:t>
      </w:r>
      <w:r>
        <w:t xml:space="preserve"> </w:t>
      </w:r>
      <w:r>
        <w:rPr>
          <w:spacing w:val="7"/>
        </w:rPr>
        <w:t>于正常状态；若未满</w:t>
      </w:r>
      <w:r>
        <w:rPr>
          <w:spacing w:val="-10"/>
        </w:rPr>
        <w:t xml:space="preserve"> </w:t>
      </w:r>
      <w:r>
        <w:rPr>
          <w:rFonts w:ascii="Times New Roman" w:hAnsi="Times New Roman" w:eastAsia="Times New Roman" w:cs="Times New Roman"/>
          <w:spacing w:val="7"/>
        </w:rPr>
        <w:t xml:space="preserve">18 </w:t>
      </w:r>
      <w:r>
        <w:rPr>
          <w:spacing w:val="7"/>
        </w:rPr>
        <w:t>周岁的公民办理赎回业务时，</w:t>
      </w:r>
      <w:r>
        <w:rPr>
          <w:spacing w:val="-12"/>
        </w:rPr>
        <w:t xml:space="preserve"> </w:t>
      </w:r>
      <w:r>
        <w:rPr>
          <w:spacing w:val="7"/>
        </w:rPr>
        <w:t>需提供申请人身份证件（原件及复印件） 、监护人的身份证件（原件及复印件</w:t>
      </w:r>
      <w:r>
        <w:rPr>
          <w:spacing w:val="-2"/>
        </w:rPr>
        <w:t>）</w:t>
      </w:r>
      <w:r>
        <w:rPr>
          <w:spacing w:val="-6"/>
        </w:rPr>
        <w:t xml:space="preserve"> </w:t>
      </w:r>
      <w:r>
        <w:rPr>
          <w:spacing w:val="-2"/>
        </w:rPr>
        <w:t>，</w:t>
      </w:r>
      <w:r>
        <w:rPr>
          <w:spacing w:val="7"/>
        </w:rPr>
        <w:t>监护人需在申请业务</w:t>
      </w:r>
      <w:r>
        <w:rPr>
          <w:spacing w:val="6"/>
        </w:rPr>
        <w:t>时签字确认；</w:t>
      </w:r>
      <w:r>
        <w:rPr>
          <w:spacing w:val="-29"/>
        </w:rPr>
        <w:t xml:space="preserve"> </w:t>
      </w:r>
      <w:r>
        <w:rPr>
          <w:rFonts w:ascii="Times New Roman" w:hAnsi="Times New Roman" w:eastAsia="Times New Roman" w:cs="Times New Roman"/>
          <w:spacing w:val="6"/>
        </w:rPr>
        <w:t>.</w:t>
      </w:r>
      <w:r>
        <w:rPr>
          <w:spacing w:val="6"/>
        </w:rPr>
        <w:t>若投资者本人</w:t>
      </w:r>
      <w:r>
        <w:t xml:space="preserve"> </w:t>
      </w:r>
      <w:r>
        <w:rPr>
          <w:spacing w:val="10"/>
        </w:rPr>
        <w:t>已满</w:t>
      </w:r>
      <w:r>
        <w:rPr>
          <w:spacing w:val="-11"/>
        </w:rPr>
        <w:t xml:space="preserve"> </w:t>
      </w:r>
      <w:r>
        <w:rPr>
          <w:rFonts w:ascii="Times New Roman" w:hAnsi="Times New Roman" w:eastAsia="Times New Roman" w:cs="Times New Roman"/>
          <w:spacing w:val="10"/>
        </w:rPr>
        <w:t>18</w:t>
      </w:r>
      <w:r>
        <w:rPr>
          <w:rFonts w:ascii="Times New Roman" w:hAnsi="Times New Roman" w:eastAsia="Times New Roman" w:cs="Times New Roman"/>
          <w:spacing w:val="13"/>
          <w:w w:val="101"/>
        </w:rPr>
        <w:t xml:space="preserve"> </w:t>
      </w:r>
      <w:r>
        <w:rPr>
          <w:spacing w:val="10"/>
        </w:rPr>
        <w:t>岁，且已经办理变更基本资料手续，则由投资者本人签字确认该交易；</w:t>
      </w:r>
      <w:r>
        <w:rPr>
          <w:spacing w:val="9"/>
        </w:rPr>
        <w:t>投资者在直销中心的交易账户中必须有足够的基金份额，不允许超额赎回；每次申请赎回的份额不得低于</w:t>
      </w:r>
      <w:r>
        <w:t xml:space="preserve"> </w:t>
      </w:r>
      <w:r>
        <w:rPr>
          <w:spacing w:val="9"/>
        </w:rPr>
        <w:t>该基金合同约定的最低赎回份额；因本次赎回导致交易账户中的基金份额不足基金合同约定的最低留存份额，则剩余份额将一并赎回。</w:t>
      </w:r>
      <w:r>
        <w:rPr>
          <w:spacing w:val="-14"/>
        </w:rPr>
        <w:t xml:space="preserve"> </w:t>
      </w:r>
      <w:r>
        <w:rPr>
          <w:spacing w:val="9"/>
        </w:rPr>
        <w:t>所需资料：《开放式基金交易类业务申请表》。</w:t>
      </w:r>
    </w:p>
    <w:p w14:paraId="077C2193">
      <w:pPr>
        <w:pStyle w:val="2"/>
        <w:spacing w:before="22" w:line="493" w:lineRule="auto"/>
        <w:ind w:left="544" w:right="726" w:firstLine="262"/>
      </w:pPr>
      <w:r>
        <w:rPr>
          <w:b/>
          <w:bCs/>
          <w:spacing w:val="8"/>
        </w:rPr>
        <w:t>基金转换、修改分红方式</w:t>
      </w:r>
      <w:r>
        <w:rPr>
          <w:spacing w:val="8"/>
        </w:rPr>
        <w:t>注意事项：投资者可在申请</w:t>
      </w:r>
      <w:r>
        <w:rPr>
          <w:spacing w:val="7"/>
        </w:rPr>
        <w:t>日</w:t>
      </w:r>
      <w:r>
        <w:rPr>
          <w:spacing w:val="-11"/>
        </w:rPr>
        <w:t xml:space="preserve"> </w:t>
      </w:r>
      <w:r>
        <w:rPr>
          <w:rFonts w:ascii="Times New Roman" w:hAnsi="Times New Roman" w:eastAsia="Times New Roman" w:cs="Times New Roman"/>
          <w:spacing w:val="7"/>
        </w:rPr>
        <w:t>15</w:t>
      </w:r>
      <w:r>
        <w:rPr>
          <w:spacing w:val="7"/>
        </w:rPr>
        <w:t>：</w:t>
      </w:r>
      <w:r>
        <w:rPr>
          <w:rFonts w:ascii="Times New Roman" w:hAnsi="Times New Roman" w:eastAsia="Times New Roman" w:cs="Times New Roman"/>
          <w:spacing w:val="7"/>
        </w:rPr>
        <w:t>00</w:t>
      </w:r>
      <w:r>
        <w:rPr>
          <w:rFonts w:ascii="Times New Roman" w:hAnsi="Times New Roman" w:eastAsia="Times New Roman" w:cs="Times New Roman"/>
          <w:spacing w:val="11"/>
        </w:rPr>
        <w:t xml:space="preserve"> </w:t>
      </w:r>
      <w:r>
        <w:rPr>
          <w:spacing w:val="7"/>
        </w:rPr>
        <w:t>前到我公司办理基金转换业务或将《开放式基金交易类业务申请表》在申请日</w:t>
      </w:r>
      <w:r>
        <w:rPr>
          <w:spacing w:val="-10"/>
        </w:rPr>
        <w:t xml:space="preserve"> </w:t>
      </w:r>
      <w:r>
        <w:rPr>
          <w:rFonts w:ascii="Times New Roman" w:hAnsi="Times New Roman" w:eastAsia="Times New Roman" w:cs="Times New Roman"/>
          <w:spacing w:val="7"/>
        </w:rPr>
        <w:t xml:space="preserve">15:00 </w:t>
      </w:r>
      <w:r>
        <w:rPr>
          <w:spacing w:val="7"/>
        </w:rPr>
        <w:t>之前发传真至我公司指定的号码；</w:t>
      </w:r>
      <w:r>
        <w:t xml:space="preserve"> </w:t>
      </w:r>
      <w:r>
        <w:rPr>
          <w:spacing w:val="9"/>
        </w:rPr>
        <w:t>投资者在直销中心的交易账户中必须有足够的可转出基金份额，不允许超额转换；若未满</w:t>
      </w:r>
      <w:r>
        <w:rPr>
          <w:spacing w:val="-3"/>
        </w:rPr>
        <w:t xml:space="preserve"> </w:t>
      </w:r>
      <w:r>
        <w:rPr>
          <w:rFonts w:ascii="Times New Roman" w:hAnsi="Times New Roman" w:eastAsia="Times New Roman" w:cs="Times New Roman"/>
          <w:spacing w:val="9"/>
        </w:rPr>
        <w:t xml:space="preserve">18 </w:t>
      </w:r>
      <w:r>
        <w:rPr>
          <w:spacing w:val="9"/>
        </w:rPr>
        <w:t>周岁的公民办理认、</w:t>
      </w:r>
      <w:r>
        <w:rPr>
          <w:spacing w:val="-32"/>
        </w:rPr>
        <w:t xml:space="preserve"> </w:t>
      </w:r>
      <w:r>
        <w:rPr>
          <w:spacing w:val="9"/>
        </w:rPr>
        <w:t>申购业务时，需提供申请人身份证件（原件及复印件）、监护人的身份</w:t>
      </w:r>
      <w:r>
        <w:t xml:space="preserve"> </w:t>
      </w:r>
      <w:r>
        <w:rPr>
          <w:spacing w:val="7"/>
        </w:rPr>
        <w:t>证件（原件及复印件</w:t>
      </w:r>
      <w:r>
        <w:rPr>
          <w:spacing w:val="-1"/>
        </w:rPr>
        <w:t>）</w:t>
      </w:r>
      <w:r>
        <w:rPr>
          <w:spacing w:val="26"/>
          <w:w w:val="101"/>
        </w:rPr>
        <w:t xml:space="preserve"> </w:t>
      </w:r>
      <w:r>
        <w:rPr>
          <w:spacing w:val="-1"/>
        </w:rPr>
        <w:t>，</w:t>
      </w:r>
      <w:r>
        <w:rPr>
          <w:spacing w:val="7"/>
        </w:rPr>
        <w:t>监护人需在申请业务时</w:t>
      </w:r>
      <w:r>
        <w:rPr>
          <w:spacing w:val="6"/>
        </w:rPr>
        <w:t>签字确认；</w:t>
      </w:r>
      <w:r>
        <w:rPr>
          <w:spacing w:val="43"/>
        </w:rPr>
        <w:t xml:space="preserve"> </w:t>
      </w:r>
      <w:r>
        <w:rPr>
          <w:rFonts w:ascii="Times New Roman" w:hAnsi="Times New Roman" w:eastAsia="Times New Roman" w:cs="Times New Roman"/>
          <w:spacing w:val="6"/>
        </w:rPr>
        <w:t>.</w:t>
      </w:r>
      <w:r>
        <w:rPr>
          <w:spacing w:val="6"/>
        </w:rPr>
        <w:t>若投资者本人已满</w:t>
      </w:r>
      <w:r>
        <w:rPr>
          <w:spacing w:val="-11"/>
        </w:rPr>
        <w:t xml:space="preserve"> </w:t>
      </w:r>
      <w:r>
        <w:rPr>
          <w:rFonts w:ascii="Times New Roman" w:hAnsi="Times New Roman" w:eastAsia="Times New Roman" w:cs="Times New Roman"/>
          <w:spacing w:val="6"/>
        </w:rPr>
        <w:t>18</w:t>
      </w:r>
      <w:r>
        <w:rPr>
          <w:rFonts w:ascii="Times New Roman" w:hAnsi="Times New Roman" w:eastAsia="Times New Roman" w:cs="Times New Roman"/>
          <w:spacing w:val="13"/>
          <w:w w:val="101"/>
        </w:rPr>
        <w:t xml:space="preserve"> </w:t>
      </w:r>
      <w:r>
        <w:rPr>
          <w:spacing w:val="6"/>
        </w:rPr>
        <w:t>岁，且已经办理变更基本资料手续，</w:t>
      </w:r>
      <w:r>
        <w:rPr>
          <w:spacing w:val="-15"/>
        </w:rPr>
        <w:t xml:space="preserve"> </w:t>
      </w:r>
      <w:r>
        <w:rPr>
          <w:spacing w:val="6"/>
        </w:rPr>
        <w:t>则由投资者本人签字确认该交易。所需资料：《开放式基金交易类</w:t>
      </w:r>
      <w:r>
        <w:t xml:space="preserve"> </w:t>
      </w:r>
      <w:r>
        <w:rPr>
          <w:spacing w:val="5"/>
        </w:rPr>
        <w:t>业务申请表》。</w:t>
      </w:r>
    </w:p>
    <w:p w14:paraId="4139C558">
      <w:pPr>
        <w:pStyle w:val="2"/>
        <w:spacing w:before="21" w:line="494" w:lineRule="auto"/>
        <w:ind w:left="544" w:right="718" w:firstLine="262"/>
        <w:jc w:val="both"/>
      </w:pPr>
      <w:r>
        <w:rPr>
          <w:b/>
          <w:bCs/>
          <w:spacing w:val="9"/>
        </w:rPr>
        <w:t>转托管</w:t>
      </w:r>
      <w:r>
        <w:rPr>
          <w:spacing w:val="9"/>
        </w:rPr>
        <w:t>注意事项：投资者可在申请日</w:t>
      </w:r>
      <w:r>
        <w:rPr>
          <w:spacing w:val="-6"/>
        </w:rPr>
        <w:t xml:space="preserve"> </w:t>
      </w:r>
      <w:r>
        <w:rPr>
          <w:rFonts w:ascii="Times New Roman" w:hAnsi="Times New Roman" w:eastAsia="Times New Roman" w:cs="Times New Roman"/>
          <w:spacing w:val="9"/>
        </w:rPr>
        <w:t>15</w:t>
      </w:r>
      <w:r>
        <w:rPr>
          <w:rFonts w:ascii="Times New Roman" w:hAnsi="Times New Roman" w:eastAsia="Times New Roman" w:cs="Times New Roman"/>
          <w:spacing w:val="-14"/>
        </w:rPr>
        <w:t xml:space="preserve"> </w:t>
      </w:r>
      <w:r>
        <w:rPr>
          <w:spacing w:val="9"/>
        </w:rPr>
        <w:t>：</w:t>
      </w:r>
      <w:r>
        <w:rPr>
          <w:rFonts w:ascii="Times New Roman" w:hAnsi="Times New Roman" w:eastAsia="Times New Roman" w:cs="Times New Roman"/>
          <w:spacing w:val="9"/>
        </w:rPr>
        <w:t>00</w:t>
      </w:r>
      <w:r>
        <w:rPr>
          <w:rFonts w:ascii="Times New Roman" w:hAnsi="Times New Roman" w:eastAsia="Times New Roman" w:cs="Times New Roman"/>
          <w:spacing w:val="15"/>
          <w:w w:val="103"/>
        </w:rPr>
        <w:t xml:space="preserve"> </w:t>
      </w:r>
      <w:r>
        <w:rPr>
          <w:spacing w:val="9"/>
        </w:rPr>
        <w:t>前到我公司办理基金转换业务或将</w:t>
      </w:r>
      <w:r>
        <w:rPr>
          <w:spacing w:val="8"/>
        </w:rPr>
        <w:t xml:space="preserve">《开放式基金交易类业务申请表》在申请日 </w:t>
      </w:r>
      <w:r>
        <w:rPr>
          <w:rFonts w:ascii="Times New Roman" w:hAnsi="Times New Roman" w:eastAsia="Times New Roman" w:cs="Times New Roman"/>
          <w:spacing w:val="8"/>
        </w:rPr>
        <w:t>15:00</w:t>
      </w:r>
      <w:r>
        <w:rPr>
          <w:rFonts w:ascii="Times New Roman" w:hAnsi="Times New Roman" w:eastAsia="Times New Roman" w:cs="Times New Roman"/>
          <w:spacing w:val="17"/>
        </w:rPr>
        <w:t xml:space="preserve"> </w:t>
      </w:r>
      <w:r>
        <w:rPr>
          <w:spacing w:val="8"/>
        </w:rPr>
        <w:t>之前发传真至我公司指定的号码；办理转托管转入</w:t>
      </w:r>
      <w:r>
        <w:t xml:space="preserve"> </w:t>
      </w:r>
      <w:r>
        <w:rPr>
          <w:spacing w:val="10"/>
        </w:rPr>
        <w:t>业务时，投资者应该提交原转出的申请回执；投资</w:t>
      </w:r>
      <w:r>
        <w:rPr>
          <w:spacing w:val="9"/>
        </w:rPr>
        <w:t>者对其持有份额可以进行全部或部分转托管，但转入或留存额度须符合销售机构的最低额度的规定；</w:t>
      </w:r>
      <w:r>
        <w:rPr>
          <w:spacing w:val="55"/>
          <w:w w:val="101"/>
        </w:rPr>
        <w:t xml:space="preserve"> </w:t>
      </w:r>
      <w:r>
        <w:rPr>
          <w:spacing w:val="9"/>
        </w:rPr>
        <w:t>基金份额冻结部分，不得办理转</w:t>
      </w:r>
      <w:r>
        <w:t xml:space="preserve"> </w:t>
      </w:r>
      <w:r>
        <w:rPr>
          <w:spacing w:val="6"/>
        </w:rPr>
        <w:t>托管业务；若未满</w:t>
      </w:r>
      <w:r>
        <w:rPr>
          <w:spacing w:val="-11"/>
        </w:rPr>
        <w:t xml:space="preserve"> </w:t>
      </w:r>
      <w:r>
        <w:rPr>
          <w:rFonts w:ascii="Times New Roman" w:hAnsi="Times New Roman" w:eastAsia="Times New Roman" w:cs="Times New Roman"/>
          <w:spacing w:val="6"/>
        </w:rPr>
        <w:t xml:space="preserve">18 </w:t>
      </w:r>
      <w:r>
        <w:rPr>
          <w:spacing w:val="6"/>
        </w:rPr>
        <w:t>周岁的公民办理认、</w:t>
      </w:r>
      <w:r>
        <w:rPr>
          <w:spacing w:val="-32"/>
        </w:rPr>
        <w:t xml:space="preserve"> </w:t>
      </w:r>
      <w:r>
        <w:rPr>
          <w:spacing w:val="6"/>
        </w:rPr>
        <w:t>申购业务时，</w:t>
      </w:r>
      <w:r>
        <w:rPr>
          <w:spacing w:val="-14"/>
        </w:rPr>
        <w:t xml:space="preserve"> </w:t>
      </w:r>
      <w:r>
        <w:rPr>
          <w:spacing w:val="6"/>
        </w:rPr>
        <w:t>需提供申请人身份证件（原件及复印件） 、监护人的身份证件（原件及复印件</w:t>
      </w:r>
      <w:r>
        <w:rPr>
          <w:spacing w:val="-1"/>
        </w:rPr>
        <w:t>）</w:t>
      </w:r>
      <w:r>
        <w:rPr>
          <w:spacing w:val="27"/>
        </w:rPr>
        <w:t xml:space="preserve"> </w:t>
      </w:r>
      <w:r>
        <w:rPr>
          <w:spacing w:val="-1"/>
        </w:rPr>
        <w:t>，</w:t>
      </w:r>
      <w:r>
        <w:rPr>
          <w:spacing w:val="6"/>
        </w:rPr>
        <w:t>监护人需在申请业务时签字确认；</w:t>
      </w:r>
      <w:r>
        <w:rPr>
          <w:spacing w:val="-20"/>
        </w:rPr>
        <w:t xml:space="preserve"> </w:t>
      </w:r>
      <w:r>
        <w:rPr>
          <w:rFonts w:ascii="Times New Roman" w:hAnsi="Times New Roman" w:eastAsia="Times New Roman" w:cs="Times New Roman"/>
          <w:spacing w:val="6"/>
        </w:rPr>
        <w:t>.</w:t>
      </w:r>
      <w:r>
        <w:rPr>
          <w:spacing w:val="6"/>
        </w:rPr>
        <w:t>若投资者本</w:t>
      </w:r>
      <w:r>
        <w:t xml:space="preserve"> </w:t>
      </w:r>
      <w:r>
        <w:rPr>
          <w:spacing w:val="9"/>
        </w:rPr>
        <w:t>人已满</w:t>
      </w:r>
      <w:r>
        <w:rPr>
          <w:spacing w:val="-11"/>
        </w:rPr>
        <w:t xml:space="preserve"> </w:t>
      </w:r>
      <w:r>
        <w:rPr>
          <w:rFonts w:ascii="Times New Roman" w:hAnsi="Times New Roman" w:eastAsia="Times New Roman" w:cs="Times New Roman"/>
          <w:spacing w:val="9"/>
        </w:rPr>
        <w:t>18</w:t>
      </w:r>
      <w:r>
        <w:rPr>
          <w:rFonts w:ascii="Times New Roman" w:hAnsi="Times New Roman" w:eastAsia="Times New Roman" w:cs="Times New Roman"/>
          <w:spacing w:val="14"/>
        </w:rPr>
        <w:t xml:space="preserve"> </w:t>
      </w:r>
      <w:r>
        <w:rPr>
          <w:spacing w:val="9"/>
        </w:rPr>
        <w:t>岁，且已经办理变更基本资料手续，则由投资者本人</w:t>
      </w:r>
      <w:r>
        <w:rPr>
          <w:spacing w:val="8"/>
        </w:rPr>
        <w:t>签字确认该交易。</w:t>
      </w:r>
      <w:r>
        <w:rPr>
          <w:spacing w:val="-23"/>
        </w:rPr>
        <w:t xml:space="preserve"> </w:t>
      </w:r>
      <w:r>
        <w:rPr>
          <w:spacing w:val="8"/>
        </w:rPr>
        <w:t>所需资料：《开放式基金交易类业务申请表》；有效身份证件复印件。</w:t>
      </w:r>
    </w:p>
    <w:p w14:paraId="7E773ED9">
      <w:pPr>
        <w:pStyle w:val="2"/>
        <w:spacing w:before="21" w:line="234" w:lineRule="auto"/>
        <w:ind w:left="809"/>
      </w:pPr>
      <w:r>
        <w:rPr>
          <w:b/>
          <w:bCs/>
          <w:spacing w:val="9"/>
        </w:rPr>
        <w:t>交易类业务撤单</w:t>
      </w:r>
      <w:r>
        <w:rPr>
          <w:spacing w:val="9"/>
        </w:rPr>
        <w:t>注意事项：投资者需在申请当日交易时间内提出撤单申请；已确认的认购申请不能撤单。</w:t>
      </w:r>
      <w:r>
        <w:rPr>
          <w:spacing w:val="-21"/>
        </w:rPr>
        <w:t xml:space="preserve"> </w:t>
      </w:r>
      <w:r>
        <w:rPr>
          <w:spacing w:val="9"/>
        </w:rPr>
        <w:t>所需资料：《开放式基金交易类业务申请表》；有效身份证件复印件。</w:t>
      </w:r>
    </w:p>
    <w:p w14:paraId="12E9A77F">
      <w:pPr>
        <w:spacing w:line="456" w:lineRule="auto"/>
        <w:rPr>
          <w:rFonts w:ascii="Arial"/>
          <w:sz w:val="21"/>
        </w:rPr>
      </w:pPr>
      <w:bookmarkStart w:id="0" w:name="_GoBack"/>
      <w:bookmarkEnd w:id="0"/>
    </w:p>
    <w:p w14:paraId="54233852">
      <w:pPr>
        <w:pStyle w:val="2"/>
        <w:spacing w:before="39" w:line="235" w:lineRule="auto"/>
        <w:ind w:left="550"/>
      </w:pPr>
      <w:r>
        <w:drawing>
          <wp:inline distT="0" distB="0" distL="0" distR="0">
            <wp:extent cx="58420" cy="603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7"/>
                    <a:stretch>
                      <a:fillRect/>
                    </a:stretch>
                  </pic:blipFill>
                  <pic:spPr>
                    <a:xfrm>
                      <a:off x="0" y="0"/>
                      <a:ext cx="58430" cy="60405"/>
                    </a:xfrm>
                    <a:prstGeom prst="rect">
                      <a:avLst/>
                    </a:prstGeom>
                  </pic:spPr>
                </pic:pic>
              </a:graphicData>
            </a:graphic>
          </wp:inline>
        </w:drawing>
      </w:r>
      <w:r>
        <w:rPr>
          <w:spacing w:val="5"/>
        </w:rPr>
        <w:t xml:space="preserve">     </w:t>
      </w:r>
      <w:r>
        <w:rPr>
          <w:b/>
          <w:bCs/>
          <w:spacing w:val="8"/>
        </w:rPr>
        <w:t>直销中心营业时间</w:t>
      </w:r>
    </w:p>
    <w:p w14:paraId="28189455">
      <w:pPr>
        <w:pStyle w:val="2"/>
        <w:spacing w:before="173" w:line="162" w:lineRule="exact"/>
        <w:ind w:left="804"/>
        <w:rPr>
          <w:rFonts w:ascii="Times New Roman" w:hAnsi="Times New Roman" w:eastAsia="Times New Roman" w:cs="Times New Roman"/>
        </w:rPr>
      </w:pPr>
      <w:r>
        <w:rPr>
          <w:spacing w:val="6"/>
          <w:position w:val="1"/>
        </w:rPr>
        <w:t xml:space="preserve">认购期间：交易日 </w:t>
      </w:r>
      <w:r>
        <w:rPr>
          <w:rFonts w:ascii="Times New Roman" w:hAnsi="Times New Roman" w:eastAsia="Times New Roman" w:cs="Times New Roman"/>
          <w:spacing w:val="6"/>
          <w:position w:val="1"/>
        </w:rPr>
        <w:t>9</w:t>
      </w:r>
      <w:r>
        <w:rPr>
          <w:rFonts w:ascii="Times New Roman" w:hAnsi="Times New Roman" w:eastAsia="Times New Roman" w:cs="Times New Roman"/>
          <w:spacing w:val="3"/>
          <w:position w:val="1"/>
        </w:rPr>
        <w:t xml:space="preserve"> </w:t>
      </w:r>
      <w:r>
        <w:rPr>
          <w:spacing w:val="6"/>
          <w:position w:val="1"/>
        </w:rPr>
        <w:t>：</w:t>
      </w:r>
      <w:r>
        <w:rPr>
          <w:rFonts w:ascii="Times New Roman" w:hAnsi="Times New Roman" w:eastAsia="Times New Roman" w:cs="Times New Roman"/>
          <w:spacing w:val="6"/>
          <w:position w:val="1"/>
        </w:rPr>
        <w:t>00</w:t>
      </w:r>
      <w:r>
        <w:rPr>
          <w:spacing w:val="6"/>
          <w:position w:val="1"/>
        </w:rPr>
        <w:t>－</w:t>
      </w:r>
      <w:r>
        <w:rPr>
          <w:rFonts w:ascii="Times New Roman" w:hAnsi="Times New Roman" w:eastAsia="Times New Roman" w:cs="Times New Roman"/>
          <w:spacing w:val="6"/>
          <w:position w:val="1"/>
        </w:rPr>
        <w:t>17</w:t>
      </w:r>
      <w:r>
        <w:rPr>
          <w:spacing w:val="6"/>
          <w:position w:val="1"/>
        </w:rPr>
        <w:t>：</w:t>
      </w:r>
      <w:r>
        <w:rPr>
          <w:rFonts w:ascii="Times New Roman" w:hAnsi="Times New Roman" w:eastAsia="Times New Roman" w:cs="Times New Roman"/>
          <w:spacing w:val="6"/>
          <w:position w:val="1"/>
        </w:rPr>
        <w:t>00</w:t>
      </w:r>
      <w:r>
        <w:rPr>
          <w:rFonts w:ascii="Times New Roman" w:hAnsi="Times New Roman" w:eastAsia="Times New Roman" w:cs="Times New Roman"/>
          <w:spacing w:val="-6"/>
          <w:position w:val="1"/>
        </w:rPr>
        <w:t xml:space="preserve"> </w:t>
      </w:r>
      <w:r>
        <w:rPr>
          <w:spacing w:val="6"/>
          <w:position w:val="1"/>
        </w:rPr>
        <w:t>（参考各产品公告）</w:t>
      </w:r>
      <w:r>
        <w:rPr>
          <w:spacing w:val="26"/>
          <w:position w:val="1"/>
        </w:rPr>
        <w:t xml:space="preserve">  </w:t>
      </w:r>
      <w:r>
        <w:rPr>
          <w:spacing w:val="6"/>
          <w:position w:val="1"/>
        </w:rPr>
        <w:t>日常申购</w:t>
      </w:r>
      <w:r>
        <w:rPr>
          <w:rFonts w:ascii="Times New Roman" w:hAnsi="Times New Roman" w:eastAsia="Times New Roman" w:cs="Times New Roman"/>
          <w:spacing w:val="6"/>
          <w:position w:val="1"/>
        </w:rPr>
        <w:t>/</w:t>
      </w:r>
      <w:r>
        <w:rPr>
          <w:spacing w:val="6"/>
          <w:position w:val="1"/>
        </w:rPr>
        <w:t xml:space="preserve">赎回期间：交易日 </w:t>
      </w:r>
      <w:r>
        <w:rPr>
          <w:rFonts w:ascii="Times New Roman" w:hAnsi="Times New Roman" w:eastAsia="Times New Roman" w:cs="Times New Roman"/>
          <w:spacing w:val="6"/>
          <w:position w:val="1"/>
        </w:rPr>
        <w:t>9</w:t>
      </w:r>
      <w:r>
        <w:rPr>
          <w:rFonts w:ascii="Times New Roman" w:hAnsi="Times New Roman" w:eastAsia="Times New Roman" w:cs="Times New Roman"/>
          <w:spacing w:val="-14"/>
          <w:position w:val="1"/>
        </w:rPr>
        <w:t xml:space="preserve"> </w:t>
      </w:r>
      <w:r>
        <w:rPr>
          <w:spacing w:val="6"/>
          <w:position w:val="1"/>
        </w:rPr>
        <w:t>：</w:t>
      </w:r>
      <w:r>
        <w:rPr>
          <w:rFonts w:ascii="Times New Roman" w:hAnsi="Times New Roman" w:eastAsia="Times New Roman" w:cs="Times New Roman"/>
          <w:spacing w:val="6"/>
          <w:position w:val="1"/>
        </w:rPr>
        <w:t>00</w:t>
      </w:r>
      <w:r>
        <w:rPr>
          <w:spacing w:val="6"/>
          <w:position w:val="1"/>
        </w:rPr>
        <w:t>－</w:t>
      </w:r>
      <w:r>
        <w:rPr>
          <w:rFonts w:ascii="Times New Roman" w:hAnsi="Times New Roman" w:eastAsia="Times New Roman" w:cs="Times New Roman"/>
          <w:spacing w:val="6"/>
          <w:position w:val="1"/>
        </w:rPr>
        <w:t>15</w:t>
      </w:r>
      <w:r>
        <w:rPr>
          <w:spacing w:val="6"/>
          <w:position w:val="1"/>
        </w:rPr>
        <w:t>：</w:t>
      </w:r>
      <w:r>
        <w:rPr>
          <w:rFonts w:ascii="Times New Roman" w:hAnsi="Times New Roman" w:eastAsia="Times New Roman" w:cs="Times New Roman"/>
          <w:spacing w:val="6"/>
          <w:position w:val="1"/>
        </w:rPr>
        <w:t>00</w:t>
      </w:r>
    </w:p>
    <w:p w14:paraId="265E7292">
      <w:pPr>
        <w:pStyle w:val="2"/>
        <w:spacing w:before="166" w:line="234" w:lineRule="auto"/>
        <w:ind w:left="811"/>
      </w:pPr>
      <w:r>
        <w:rPr>
          <w:b/>
          <w:bCs/>
          <w:spacing w:val="8"/>
        </w:rPr>
        <w:t>东方阿尔法基金直销柜台专用账户</w:t>
      </w:r>
    </w:p>
    <w:p w14:paraId="6B38D3AA">
      <w:pPr>
        <w:spacing w:line="79" w:lineRule="exact"/>
      </w:pPr>
    </w:p>
    <w:tbl>
      <w:tblPr>
        <w:tblStyle w:val="6"/>
        <w:tblW w:w="9656" w:type="dxa"/>
        <w:tblInd w:w="9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9"/>
        <w:gridCol w:w="2222"/>
        <w:gridCol w:w="1660"/>
        <w:gridCol w:w="2123"/>
        <w:gridCol w:w="1422"/>
      </w:tblGrid>
      <w:tr w14:paraId="6D0CE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2229" w:type="dxa"/>
            <w:shd w:val="clear" w:color="auto" w:fill="FFF2CC"/>
            <w:vAlign w:val="top"/>
          </w:tcPr>
          <w:p w14:paraId="066A2732">
            <w:pPr>
              <w:pStyle w:val="7"/>
              <w:spacing w:before="99" w:line="235" w:lineRule="auto"/>
              <w:ind w:left="599"/>
              <w:rPr>
                <w:sz w:val="12"/>
                <w:szCs w:val="12"/>
              </w:rPr>
            </w:pPr>
            <w:r>
              <w:rPr>
                <w:spacing w:val="8"/>
                <w:sz w:val="12"/>
                <w:szCs w:val="12"/>
              </w:rPr>
              <w:t>直销柜台专用账户</w:t>
            </w:r>
          </w:p>
        </w:tc>
        <w:tc>
          <w:tcPr>
            <w:tcW w:w="2222" w:type="dxa"/>
            <w:shd w:val="clear" w:color="auto" w:fill="FFF2CC"/>
            <w:vAlign w:val="top"/>
          </w:tcPr>
          <w:p w14:paraId="4DE2C9F8">
            <w:pPr>
              <w:pStyle w:val="7"/>
              <w:spacing w:before="99" w:line="235" w:lineRule="auto"/>
              <w:ind w:left="855"/>
              <w:rPr>
                <w:sz w:val="12"/>
                <w:szCs w:val="12"/>
              </w:rPr>
            </w:pPr>
            <w:r>
              <w:rPr>
                <w:spacing w:val="7"/>
                <w:sz w:val="12"/>
                <w:szCs w:val="12"/>
              </w:rPr>
              <w:t>账户名称</w:t>
            </w:r>
          </w:p>
        </w:tc>
        <w:tc>
          <w:tcPr>
            <w:tcW w:w="1660" w:type="dxa"/>
            <w:shd w:val="clear" w:color="auto" w:fill="FFF2CC"/>
            <w:vAlign w:val="top"/>
          </w:tcPr>
          <w:p w14:paraId="056BFE87">
            <w:pPr>
              <w:pStyle w:val="7"/>
              <w:spacing w:before="99" w:line="235" w:lineRule="auto"/>
              <w:ind w:left="571"/>
              <w:rPr>
                <w:sz w:val="12"/>
                <w:szCs w:val="12"/>
              </w:rPr>
            </w:pPr>
            <w:r>
              <w:rPr>
                <w:spacing w:val="8"/>
                <w:sz w:val="12"/>
                <w:szCs w:val="12"/>
              </w:rPr>
              <w:t>银行账号</w:t>
            </w:r>
          </w:p>
        </w:tc>
        <w:tc>
          <w:tcPr>
            <w:tcW w:w="2123" w:type="dxa"/>
            <w:shd w:val="clear" w:color="auto" w:fill="FFF2CC"/>
            <w:vAlign w:val="top"/>
          </w:tcPr>
          <w:p w14:paraId="4B44AA7C">
            <w:pPr>
              <w:pStyle w:val="7"/>
              <w:spacing w:before="99" w:line="235" w:lineRule="auto"/>
              <w:ind w:left="870"/>
              <w:rPr>
                <w:sz w:val="12"/>
                <w:szCs w:val="12"/>
              </w:rPr>
            </w:pPr>
            <w:r>
              <w:rPr>
                <w:spacing w:val="7"/>
                <w:sz w:val="12"/>
                <w:szCs w:val="12"/>
              </w:rPr>
              <w:t>开户行</w:t>
            </w:r>
          </w:p>
        </w:tc>
        <w:tc>
          <w:tcPr>
            <w:tcW w:w="1422" w:type="dxa"/>
            <w:shd w:val="clear" w:color="auto" w:fill="FFF2CC"/>
            <w:vAlign w:val="top"/>
          </w:tcPr>
          <w:p w14:paraId="09D2D76D">
            <w:pPr>
              <w:pStyle w:val="7"/>
              <w:spacing w:before="99" w:line="234" w:lineRule="auto"/>
              <w:ind w:left="390"/>
              <w:rPr>
                <w:sz w:val="12"/>
                <w:szCs w:val="12"/>
              </w:rPr>
            </w:pPr>
            <w:r>
              <w:rPr>
                <w:spacing w:val="8"/>
                <w:sz w:val="12"/>
                <w:szCs w:val="12"/>
              </w:rPr>
              <w:t>大额支付号</w:t>
            </w:r>
          </w:p>
        </w:tc>
      </w:tr>
      <w:tr w14:paraId="4715F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2229" w:type="dxa"/>
            <w:vAlign w:val="top"/>
          </w:tcPr>
          <w:p w14:paraId="1EAE168A">
            <w:pPr>
              <w:pStyle w:val="7"/>
              <w:spacing w:before="96" w:line="235" w:lineRule="auto"/>
              <w:ind w:left="255"/>
              <w:rPr>
                <w:sz w:val="12"/>
                <w:szCs w:val="12"/>
              </w:rPr>
            </w:pPr>
            <w:r>
              <w:rPr>
                <w:spacing w:val="7"/>
                <w:sz w:val="12"/>
                <w:szCs w:val="12"/>
              </w:rPr>
              <w:t>直销柜台专用账户</w:t>
            </w:r>
            <w:r>
              <w:rPr>
                <w:spacing w:val="-5"/>
                <w:sz w:val="12"/>
                <w:szCs w:val="12"/>
              </w:rPr>
              <w:t xml:space="preserve"> </w:t>
            </w:r>
            <w:r>
              <w:rPr>
                <w:spacing w:val="7"/>
                <w:sz w:val="12"/>
                <w:szCs w:val="12"/>
              </w:rPr>
              <w:t>1-招商银行</w:t>
            </w:r>
          </w:p>
        </w:tc>
        <w:tc>
          <w:tcPr>
            <w:tcW w:w="2222" w:type="dxa"/>
            <w:vAlign w:val="top"/>
          </w:tcPr>
          <w:p w14:paraId="17C7342B">
            <w:pPr>
              <w:pStyle w:val="7"/>
              <w:spacing w:before="96" w:line="234" w:lineRule="auto"/>
              <w:ind w:left="271"/>
              <w:rPr>
                <w:sz w:val="12"/>
                <w:szCs w:val="12"/>
              </w:rPr>
            </w:pPr>
            <w:r>
              <w:rPr>
                <w:spacing w:val="9"/>
                <w:sz w:val="12"/>
                <w:szCs w:val="12"/>
              </w:rPr>
              <w:t>东方阿尔法基金管理有限公司</w:t>
            </w:r>
          </w:p>
        </w:tc>
        <w:tc>
          <w:tcPr>
            <w:tcW w:w="1660" w:type="dxa"/>
            <w:vAlign w:val="top"/>
          </w:tcPr>
          <w:p w14:paraId="0669DC32">
            <w:pPr>
              <w:spacing w:before="120" w:line="198" w:lineRule="auto"/>
              <w:ind w:left="294"/>
              <w:rPr>
                <w:rFonts w:ascii="Times New Roman" w:hAnsi="Times New Roman" w:eastAsia="Times New Roman" w:cs="Times New Roman"/>
                <w:sz w:val="12"/>
                <w:szCs w:val="12"/>
              </w:rPr>
            </w:pPr>
            <w:r>
              <w:rPr>
                <w:rFonts w:ascii="Times New Roman" w:hAnsi="Times New Roman" w:eastAsia="Times New Roman" w:cs="Times New Roman"/>
                <w:spacing w:val="3"/>
                <w:sz w:val="12"/>
                <w:szCs w:val="12"/>
              </w:rPr>
              <w:t>7559 3456</w:t>
            </w:r>
            <w:r>
              <w:rPr>
                <w:rFonts w:ascii="Times New Roman" w:hAnsi="Times New Roman" w:eastAsia="Times New Roman" w:cs="Times New Roman"/>
                <w:spacing w:val="23"/>
                <w:sz w:val="12"/>
                <w:szCs w:val="12"/>
              </w:rPr>
              <w:t xml:space="preserve"> </w:t>
            </w:r>
            <w:r>
              <w:rPr>
                <w:rFonts w:ascii="Times New Roman" w:hAnsi="Times New Roman" w:eastAsia="Times New Roman" w:cs="Times New Roman"/>
                <w:spacing w:val="3"/>
                <w:sz w:val="12"/>
                <w:szCs w:val="12"/>
              </w:rPr>
              <w:t>5510</w:t>
            </w:r>
            <w:r>
              <w:rPr>
                <w:rFonts w:ascii="Times New Roman" w:hAnsi="Times New Roman" w:eastAsia="Times New Roman" w:cs="Times New Roman"/>
                <w:spacing w:val="5"/>
                <w:sz w:val="12"/>
                <w:szCs w:val="12"/>
              </w:rPr>
              <w:t xml:space="preserve"> </w:t>
            </w:r>
            <w:r>
              <w:rPr>
                <w:rFonts w:ascii="Times New Roman" w:hAnsi="Times New Roman" w:eastAsia="Times New Roman" w:cs="Times New Roman"/>
                <w:spacing w:val="3"/>
                <w:sz w:val="12"/>
                <w:szCs w:val="12"/>
              </w:rPr>
              <w:t>404</w:t>
            </w:r>
          </w:p>
        </w:tc>
        <w:tc>
          <w:tcPr>
            <w:tcW w:w="2123" w:type="dxa"/>
            <w:vAlign w:val="top"/>
          </w:tcPr>
          <w:p w14:paraId="0E4BB1CE">
            <w:pPr>
              <w:pStyle w:val="7"/>
              <w:spacing w:before="96" w:line="235" w:lineRule="auto"/>
              <w:ind w:left="416"/>
              <w:rPr>
                <w:sz w:val="12"/>
                <w:szCs w:val="12"/>
              </w:rPr>
            </w:pPr>
            <w:r>
              <w:rPr>
                <w:spacing w:val="9"/>
                <w:sz w:val="12"/>
                <w:szCs w:val="12"/>
              </w:rPr>
              <w:t>招商银行深圳蛇口支行</w:t>
            </w:r>
          </w:p>
        </w:tc>
        <w:tc>
          <w:tcPr>
            <w:tcW w:w="1422" w:type="dxa"/>
            <w:vAlign w:val="top"/>
          </w:tcPr>
          <w:p w14:paraId="13A08770">
            <w:pPr>
              <w:pStyle w:val="7"/>
              <w:spacing w:before="117" w:line="192" w:lineRule="auto"/>
              <w:ind w:left="261"/>
              <w:rPr>
                <w:sz w:val="12"/>
                <w:szCs w:val="12"/>
              </w:rPr>
            </w:pPr>
            <w:r>
              <w:rPr>
                <w:spacing w:val="2"/>
                <w:sz w:val="12"/>
                <w:szCs w:val="12"/>
              </w:rPr>
              <w:t>3085</w:t>
            </w:r>
            <w:r>
              <w:rPr>
                <w:spacing w:val="15"/>
                <w:sz w:val="12"/>
                <w:szCs w:val="12"/>
              </w:rPr>
              <w:t xml:space="preserve"> </w:t>
            </w:r>
            <w:r>
              <w:rPr>
                <w:spacing w:val="2"/>
                <w:sz w:val="12"/>
                <w:szCs w:val="12"/>
              </w:rPr>
              <w:t>8400</w:t>
            </w:r>
            <w:r>
              <w:rPr>
                <w:spacing w:val="19"/>
                <w:sz w:val="12"/>
                <w:szCs w:val="12"/>
              </w:rPr>
              <w:t xml:space="preserve"> </w:t>
            </w:r>
            <w:r>
              <w:rPr>
                <w:spacing w:val="2"/>
                <w:sz w:val="12"/>
                <w:szCs w:val="12"/>
              </w:rPr>
              <w:t>1049</w:t>
            </w:r>
          </w:p>
        </w:tc>
      </w:tr>
      <w:tr w14:paraId="08487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2229" w:type="dxa"/>
            <w:vAlign w:val="top"/>
          </w:tcPr>
          <w:p w14:paraId="111C602B">
            <w:pPr>
              <w:pStyle w:val="7"/>
              <w:spacing w:before="97" w:line="235" w:lineRule="auto"/>
              <w:ind w:left="255"/>
              <w:rPr>
                <w:sz w:val="12"/>
                <w:szCs w:val="12"/>
              </w:rPr>
            </w:pPr>
            <w:r>
              <w:rPr>
                <w:spacing w:val="8"/>
                <w:sz w:val="12"/>
                <w:szCs w:val="12"/>
              </w:rPr>
              <w:t>直销柜台专用账户</w:t>
            </w:r>
            <w:r>
              <w:rPr>
                <w:spacing w:val="-19"/>
                <w:sz w:val="12"/>
                <w:szCs w:val="12"/>
              </w:rPr>
              <w:t xml:space="preserve"> </w:t>
            </w:r>
            <w:r>
              <w:rPr>
                <w:spacing w:val="8"/>
                <w:sz w:val="12"/>
                <w:szCs w:val="12"/>
              </w:rPr>
              <w:t>2-中国银行</w:t>
            </w:r>
          </w:p>
        </w:tc>
        <w:tc>
          <w:tcPr>
            <w:tcW w:w="2222" w:type="dxa"/>
            <w:vAlign w:val="top"/>
          </w:tcPr>
          <w:p w14:paraId="4E28559D">
            <w:pPr>
              <w:pStyle w:val="7"/>
              <w:spacing w:before="97" w:line="234" w:lineRule="auto"/>
              <w:ind w:left="271"/>
              <w:rPr>
                <w:sz w:val="12"/>
                <w:szCs w:val="12"/>
              </w:rPr>
            </w:pPr>
            <w:r>
              <w:rPr>
                <w:spacing w:val="9"/>
                <w:sz w:val="12"/>
                <w:szCs w:val="12"/>
              </w:rPr>
              <w:t>东方阿尔法基金管理有限公司</w:t>
            </w:r>
          </w:p>
        </w:tc>
        <w:tc>
          <w:tcPr>
            <w:tcW w:w="1660" w:type="dxa"/>
            <w:vAlign w:val="top"/>
          </w:tcPr>
          <w:p w14:paraId="1AD65AB7">
            <w:pPr>
              <w:spacing w:before="121" w:line="198" w:lineRule="auto"/>
              <w:ind w:left="407"/>
              <w:rPr>
                <w:rFonts w:ascii="Times New Roman" w:hAnsi="Times New Roman" w:eastAsia="Times New Roman" w:cs="Times New Roman"/>
                <w:sz w:val="12"/>
                <w:szCs w:val="12"/>
              </w:rPr>
            </w:pPr>
            <w:r>
              <w:rPr>
                <w:rFonts w:ascii="Times New Roman" w:hAnsi="Times New Roman" w:eastAsia="Times New Roman" w:cs="Times New Roman"/>
                <w:spacing w:val="3"/>
                <w:sz w:val="12"/>
                <w:szCs w:val="12"/>
              </w:rPr>
              <w:t>7731</w:t>
            </w:r>
            <w:r>
              <w:rPr>
                <w:rFonts w:ascii="Times New Roman" w:hAnsi="Times New Roman" w:eastAsia="Times New Roman" w:cs="Times New Roman"/>
                <w:spacing w:val="13"/>
                <w:w w:val="102"/>
                <w:sz w:val="12"/>
                <w:szCs w:val="12"/>
              </w:rPr>
              <w:t xml:space="preserve"> </w:t>
            </w:r>
            <w:r>
              <w:rPr>
                <w:rFonts w:ascii="Times New Roman" w:hAnsi="Times New Roman" w:eastAsia="Times New Roman" w:cs="Times New Roman"/>
                <w:spacing w:val="3"/>
                <w:sz w:val="12"/>
                <w:szCs w:val="12"/>
              </w:rPr>
              <w:t>6948</w:t>
            </w:r>
            <w:r>
              <w:rPr>
                <w:rFonts w:ascii="Times New Roman" w:hAnsi="Times New Roman" w:eastAsia="Times New Roman" w:cs="Times New Roman"/>
                <w:spacing w:val="9"/>
                <w:sz w:val="12"/>
                <w:szCs w:val="12"/>
              </w:rPr>
              <w:t xml:space="preserve"> </w:t>
            </w:r>
            <w:r>
              <w:rPr>
                <w:rFonts w:ascii="Times New Roman" w:hAnsi="Times New Roman" w:eastAsia="Times New Roman" w:cs="Times New Roman"/>
                <w:spacing w:val="3"/>
                <w:sz w:val="12"/>
                <w:szCs w:val="12"/>
              </w:rPr>
              <w:t>6763</w:t>
            </w:r>
          </w:p>
        </w:tc>
        <w:tc>
          <w:tcPr>
            <w:tcW w:w="2123" w:type="dxa"/>
            <w:vAlign w:val="top"/>
          </w:tcPr>
          <w:p w14:paraId="64353393">
            <w:pPr>
              <w:pStyle w:val="7"/>
              <w:spacing w:before="97" w:line="234" w:lineRule="auto"/>
              <w:ind w:left="233"/>
              <w:rPr>
                <w:sz w:val="12"/>
                <w:szCs w:val="12"/>
              </w:rPr>
            </w:pPr>
            <w:r>
              <w:rPr>
                <w:spacing w:val="8"/>
                <w:sz w:val="12"/>
                <w:szCs w:val="12"/>
              </w:rPr>
              <w:t>中国银行深圳分行高新区支行</w:t>
            </w:r>
          </w:p>
        </w:tc>
        <w:tc>
          <w:tcPr>
            <w:tcW w:w="1422" w:type="dxa"/>
            <w:vAlign w:val="top"/>
          </w:tcPr>
          <w:p w14:paraId="6BCB25EA">
            <w:pPr>
              <w:pStyle w:val="7"/>
              <w:spacing w:before="118" w:line="192" w:lineRule="auto"/>
              <w:ind w:left="268"/>
              <w:rPr>
                <w:sz w:val="12"/>
                <w:szCs w:val="12"/>
              </w:rPr>
            </w:pPr>
            <w:r>
              <w:rPr>
                <w:spacing w:val="2"/>
                <w:sz w:val="12"/>
                <w:szCs w:val="12"/>
              </w:rPr>
              <w:t>1045</w:t>
            </w:r>
            <w:r>
              <w:rPr>
                <w:spacing w:val="16"/>
                <w:sz w:val="12"/>
                <w:szCs w:val="12"/>
              </w:rPr>
              <w:t xml:space="preserve"> </w:t>
            </w:r>
            <w:r>
              <w:rPr>
                <w:spacing w:val="2"/>
                <w:sz w:val="12"/>
                <w:szCs w:val="12"/>
              </w:rPr>
              <w:t>8400</w:t>
            </w:r>
            <w:r>
              <w:rPr>
                <w:spacing w:val="11"/>
                <w:sz w:val="12"/>
                <w:szCs w:val="12"/>
              </w:rPr>
              <w:t xml:space="preserve"> </w:t>
            </w:r>
            <w:r>
              <w:rPr>
                <w:spacing w:val="2"/>
                <w:sz w:val="12"/>
                <w:szCs w:val="12"/>
              </w:rPr>
              <w:t>2687</w:t>
            </w:r>
          </w:p>
        </w:tc>
      </w:tr>
      <w:tr w14:paraId="5D7E4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2229" w:type="dxa"/>
            <w:vAlign w:val="top"/>
          </w:tcPr>
          <w:p w14:paraId="1F1C493F">
            <w:pPr>
              <w:pStyle w:val="7"/>
              <w:spacing w:before="98" w:line="235" w:lineRule="auto"/>
              <w:ind w:left="255"/>
              <w:rPr>
                <w:sz w:val="12"/>
                <w:szCs w:val="12"/>
              </w:rPr>
            </w:pPr>
            <w:r>
              <w:rPr>
                <w:spacing w:val="8"/>
                <w:sz w:val="12"/>
                <w:szCs w:val="12"/>
              </w:rPr>
              <w:t>直销柜台专用账户</w:t>
            </w:r>
            <w:r>
              <w:rPr>
                <w:spacing w:val="-19"/>
                <w:sz w:val="12"/>
                <w:szCs w:val="12"/>
              </w:rPr>
              <w:t xml:space="preserve"> </w:t>
            </w:r>
            <w:r>
              <w:rPr>
                <w:spacing w:val="8"/>
                <w:sz w:val="12"/>
                <w:szCs w:val="12"/>
              </w:rPr>
              <w:t>3-建设银行</w:t>
            </w:r>
          </w:p>
        </w:tc>
        <w:tc>
          <w:tcPr>
            <w:tcW w:w="2222" w:type="dxa"/>
            <w:vAlign w:val="top"/>
          </w:tcPr>
          <w:p w14:paraId="64316130">
            <w:pPr>
              <w:pStyle w:val="7"/>
              <w:spacing w:before="98" w:line="234" w:lineRule="auto"/>
              <w:ind w:left="271"/>
              <w:rPr>
                <w:sz w:val="12"/>
                <w:szCs w:val="12"/>
              </w:rPr>
            </w:pPr>
            <w:r>
              <w:rPr>
                <w:spacing w:val="9"/>
                <w:sz w:val="12"/>
                <w:szCs w:val="12"/>
              </w:rPr>
              <w:t>东方阿尔法基金管理有限公司</w:t>
            </w:r>
          </w:p>
        </w:tc>
        <w:tc>
          <w:tcPr>
            <w:tcW w:w="1660" w:type="dxa"/>
            <w:vAlign w:val="top"/>
          </w:tcPr>
          <w:p w14:paraId="10547479">
            <w:pPr>
              <w:spacing w:before="122" w:line="198" w:lineRule="auto"/>
              <w:ind w:left="111"/>
              <w:rPr>
                <w:rFonts w:ascii="Times New Roman" w:hAnsi="Times New Roman" w:eastAsia="Times New Roman" w:cs="Times New Roman"/>
                <w:sz w:val="12"/>
                <w:szCs w:val="12"/>
              </w:rPr>
            </w:pPr>
            <w:r>
              <w:rPr>
                <w:rFonts w:ascii="Times New Roman" w:hAnsi="Times New Roman" w:eastAsia="Times New Roman" w:cs="Times New Roman"/>
                <w:spacing w:val="4"/>
                <w:sz w:val="12"/>
                <w:szCs w:val="12"/>
              </w:rPr>
              <w:t>4425 0100</w:t>
            </w:r>
            <w:r>
              <w:rPr>
                <w:rFonts w:ascii="Times New Roman" w:hAnsi="Times New Roman" w:eastAsia="Times New Roman" w:cs="Times New Roman"/>
                <w:spacing w:val="8"/>
                <w:w w:val="101"/>
                <w:sz w:val="12"/>
                <w:szCs w:val="12"/>
              </w:rPr>
              <w:t xml:space="preserve"> </w:t>
            </w:r>
            <w:r>
              <w:rPr>
                <w:rFonts w:ascii="Times New Roman" w:hAnsi="Times New Roman" w:eastAsia="Times New Roman" w:cs="Times New Roman"/>
                <w:spacing w:val="4"/>
                <w:sz w:val="12"/>
                <w:szCs w:val="12"/>
              </w:rPr>
              <w:t>0122</w:t>
            </w:r>
            <w:r>
              <w:rPr>
                <w:rFonts w:ascii="Times New Roman" w:hAnsi="Times New Roman" w:eastAsia="Times New Roman" w:cs="Times New Roman"/>
                <w:spacing w:val="8"/>
                <w:sz w:val="12"/>
                <w:szCs w:val="12"/>
              </w:rPr>
              <w:t xml:space="preserve"> </w:t>
            </w:r>
            <w:r>
              <w:rPr>
                <w:rFonts w:ascii="Times New Roman" w:hAnsi="Times New Roman" w:eastAsia="Times New Roman" w:cs="Times New Roman"/>
                <w:spacing w:val="4"/>
                <w:sz w:val="12"/>
                <w:szCs w:val="12"/>
              </w:rPr>
              <w:t>0000</w:t>
            </w:r>
            <w:r>
              <w:rPr>
                <w:rFonts w:ascii="Times New Roman" w:hAnsi="Times New Roman" w:eastAsia="Times New Roman" w:cs="Times New Roman"/>
                <w:spacing w:val="8"/>
                <w:w w:val="101"/>
                <w:sz w:val="12"/>
                <w:szCs w:val="12"/>
              </w:rPr>
              <w:t xml:space="preserve"> </w:t>
            </w:r>
            <w:r>
              <w:rPr>
                <w:rFonts w:ascii="Times New Roman" w:hAnsi="Times New Roman" w:eastAsia="Times New Roman" w:cs="Times New Roman"/>
                <w:spacing w:val="4"/>
                <w:sz w:val="12"/>
                <w:szCs w:val="12"/>
              </w:rPr>
              <w:t>05</w:t>
            </w:r>
            <w:r>
              <w:rPr>
                <w:rFonts w:ascii="Times New Roman" w:hAnsi="Times New Roman" w:eastAsia="Times New Roman" w:cs="Times New Roman"/>
                <w:spacing w:val="3"/>
                <w:sz w:val="12"/>
                <w:szCs w:val="12"/>
              </w:rPr>
              <w:t>70</w:t>
            </w:r>
          </w:p>
        </w:tc>
        <w:tc>
          <w:tcPr>
            <w:tcW w:w="2123" w:type="dxa"/>
            <w:vAlign w:val="top"/>
          </w:tcPr>
          <w:p w14:paraId="13625CB1">
            <w:pPr>
              <w:pStyle w:val="7"/>
              <w:spacing w:before="98" w:line="235" w:lineRule="auto"/>
              <w:ind w:left="298"/>
              <w:rPr>
                <w:sz w:val="12"/>
                <w:szCs w:val="12"/>
              </w:rPr>
            </w:pPr>
            <w:r>
              <w:rPr>
                <w:spacing w:val="8"/>
                <w:sz w:val="12"/>
                <w:szCs w:val="12"/>
              </w:rPr>
              <w:t>中国建设银行深圳凤凰支行</w:t>
            </w:r>
          </w:p>
        </w:tc>
        <w:tc>
          <w:tcPr>
            <w:tcW w:w="1422" w:type="dxa"/>
            <w:vAlign w:val="top"/>
          </w:tcPr>
          <w:p w14:paraId="1DA3716B">
            <w:pPr>
              <w:pStyle w:val="7"/>
              <w:spacing w:before="119" w:line="192" w:lineRule="auto"/>
              <w:ind w:left="268"/>
              <w:rPr>
                <w:sz w:val="12"/>
                <w:szCs w:val="12"/>
              </w:rPr>
            </w:pPr>
            <w:r>
              <w:rPr>
                <w:spacing w:val="2"/>
                <w:sz w:val="12"/>
                <w:szCs w:val="12"/>
              </w:rPr>
              <w:t>1055</w:t>
            </w:r>
            <w:r>
              <w:rPr>
                <w:spacing w:val="16"/>
                <w:w w:val="101"/>
                <w:sz w:val="12"/>
                <w:szCs w:val="12"/>
              </w:rPr>
              <w:t xml:space="preserve"> </w:t>
            </w:r>
            <w:r>
              <w:rPr>
                <w:spacing w:val="2"/>
                <w:sz w:val="12"/>
                <w:szCs w:val="12"/>
              </w:rPr>
              <w:t>8400</w:t>
            </w:r>
            <w:r>
              <w:rPr>
                <w:spacing w:val="10"/>
                <w:sz w:val="12"/>
                <w:szCs w:val="12"/>
              </w:rPr>
              <w:t xml:space="preserve"> </w:t>
            </w:r>
            <w:r>
              <w:rPr>
                <w:spacing w:val="2"/>
                <w:sz w:val="12"/>
                <w:szCs w:val="12"/>
              </w:rPr>
              <w:t>0798</w:t>
            </w:r>
          </w:p>
        </w:tc>
      </w:tr>
    </w:tbl>
    <w:p w14:paraId="1075259C">
      <w:pPr>
        <w:pStyle w:val="2"/>
        <w:spacing w:before="95" w:line="233" w:lineRule="auto"/>
        <w:ind w:left="545"/>
      </w:pPr>
      <w:r>
        <w:rPr>
          <w:spacing w:val="8"/>
        </w:rPr>
        <w:t>注：直销账户信息若有变动，请以本公司公告为准。</w:t>
      </w:r>
    </w:p>
    <w:sectPr>
      <w:footerReference r:id="rId6" w:type="default"/>
      <w:pgSz w:w="11907" w:h="16839"/>
      <w:pgMar w:top="1531" w:right="0" w:bottom="656" w:left="180" w:header="350" w:footer="32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A300E">
    <w:pPr>
      <w:pStyle w:val="2"/>
      <w:spacing w:after="18" w:line="234" w:lineRule="auto"/>
      <w:ind w:left="700"/>
    </w:pPr>
    <w:r>
      <w:rPr>
        <w:color w:val="595959"/>
        <w:spacing w:val="9"/>
      </w:rPr>
      <w:t>东方阿尔法基金管理有限公司</w:t>
    </w:r>
  </w:p>
  <w:p w14:paraId="0DF55CDA">
    <w:pPr>
      <w:pStyle w:val="2"/>
      <w:spacing w:line="233" w:lineRule="auto"/>
      <w:ind w:left="696"/>
      <w:rPr>
        <w:rFonts w:ascii="Times New Roman" w:hAnsi="Times New Roman" w:eastAsia="Times New Roman" w:cs="Times New Roman"/>
      </w:rPr>
    </w:pPr>
    <w:r>
      <w:rPr>
        <w:color w:val="595959"/>
        <w:spacing w:val="5"/>
      </w:rPr>
      <w:t>深圳市福田区深南大道</w:t>
    </w:r>
    <w:r>
      <w:rPr>
        <w:color w:val="595959"/>
        <w:spacing w:val="-20"/>
      </w:rPr>
      <w:t xml:space="preserve"> </w:t>
    </w:r>
    <w:r>
      <w:rPr>
        <w:rFonts w:ascii="Times New Roman" w:hAnsi="Times New Roman" w:eastAsia="Times New Roman" w:cs="Times New Roman"/>
        <w:color w:val="595959"/>
        <w:spacing w:val="5"/>
      </w:rPr>
      <w:t>6008</w:t>
    </w:r>
    <w:r>
      <w:rPr>
        <w:rFonts w:ascii="Times New Roman" w:hAnsi="Times New Roman" w:eastAsia="Times New Roman" w:cs="Times New Roman"/>
        <w:color w:val="595959"/>
        <w:spacing w:val="11"/>
        <w:w w:val="103"/>
      </w:rPr>
      <w:t xml:space="preserve"> </w:t>
    </w:r>
    <w:r>
      <w:rPr>
        <w:color w:val="595959"/>
        <w:spacing w:val="5"/>
      </w:rPr>
      <w:t>号特区报业大厦西区</w:t>
    </w:r>
    <w:r>
      <w:rPr>
        <w:color w:val="595959"/>
        <w:spacing w:val="-24"/>
      </w:rPr>
      <w:t xml:space="preserve"> </w:t>
    </w:r>
    <w:r>
      <w:rPr>
        <w:rFonts w:ascii="Times New Roman" w:hAnsi="Times New Roman" w:eastAsia="Times New Roman" w:cs="Times New Roman"/>
        <w:color w:val="595959"/>
        <w:spacing w:val="5"/>
      </w:rPr>
      <w:t xml:space="preserve">23 </w:t>
    </w:r>
    <w:r>
      <w:rPr>
        <w:color w:val="595959"/>
        <w:spacing w:val="5"/>
      </w:rPr>
      <w:t>层     直销专线：</w:t>
    </w:r>
    <w:r>
      <w:rPr>
        <w:rFonts w:ascii="Times New Roman" w:hAnsi="Times New Roman" w:eastAsia="Times New Roman" w:cs="Times New Roman"/>
        <w:color w:val="595959"/>
        <w:spacing w:val="5"/>
      </w:rPr>
      <w:t>0755-</w:t>
    </w:r>
    <w:r>
      <w:rPr>
        <w:rFonts w:hint="eastAsia" w:ascii="Times New Roman" w:hAnsi="Times New Roman" w:cs="Times New Roman"/>
        <w:color w:val="595959"/>
        <w:spacing w:val="5"/>
        <w:lang w:val="en-US" w:eastAsia="zh-CN"/>
      </w:rPr>
      <w:t>2191 2678</w:t>
    </w:r>
    <w:r>
      <w:rPr>
        <w:rFonts w:ascii="Times New Roman" w:hAnsi="Times New Roman" w:eastAsia="Times New Roman" w:cs="Times New Roman"/>
        <w:color w:val="595959"/>
        <w:spacing w:val="5"/>
      </w:rPr>
      <w:t xml:space="preserve">           </w:t>
    </w:r>
    <w:r>
      <w:rPr>
        <w:color w:val="595959"/>
        <w:spacing w:val="5"/>
      </w:rPr>
      <w:t>传真：</w:t>
    </w:r>
    <w:r>
      <w:rPr>
        <w:color w:val="595959"/>
        <w:spacing w:val="-30"/>
      </w:rPr>
      <w:t xml:space="preserve"> </w:t>
    </w:r>
    <w:r>
      <w:rPr>
        <w:rFonts w:ascii="Times New Roman" w:hAnsi="Times New Roman" w:eastAsia="Times New Roman" w:cs="Times New Roman"/>
        <w:color w:val="595959"/>
        <w:spacing w:val="5"/>
      </w:rPr>
      <w:t>0755-2187 290</w:t>
    </w:r>
    <w:r>
      <w:rPr>
        <w:rFonts w:hint="eastAsia" w:ascii="Times New Roman" w:hAnsi="Times New Roman" w:cs="Times New Roman"/>
        <w:color w:val="595959"/>
        <w:spacing w:val="5"/>
        <w:lang w:val="en-US" w:eastAsia="zh-CN"/>
      </w:rPr>
      <w:t xml:space="preserve">3  </w:t>
    </w:r>
    <w:r>
      <w:rPr>
        <w:rFonts w:ascii="Times New Roman" w:hAnsi="Times New Roman" w:eastAsia="Times New Roman" w:cs="Times New Roman"/>
        <w:color w:val="595959"/>
        <w:spacing w:val="5"/>
      </w:rPr>
      <w:t xml:space="preserve">      </w:t>
    </w:r>
    <w:r>
      <w:rPr>
        <w:color w:val="595959"/>
        <w:spacing w:val="5"/>
      </w:rPr>
      <w:t>客服电话：</w:t>
    </w:r>
    <w:r>
      <w:rPr>
        <w:color w:val="595959"/>
        <w:spacing w:val="-16"/>
      </w:rPr>
      <w:t xml:space="preserve"> </w:t>
    </w:r>
    <w:r>
      <w:rPr>
        <w:rFonts w:ascii="Times New Roman" w:hAnsi="Times New Roman" w:eastAsia="Times New Roman" w:cs="Times New Roman"/>
        <w:color w:val="595959"/>
        <w:spacing w:val="5"/>
      </w:rPr>
      <w:t>400 930</w:t>
    </w:r>
    <w:r>
      <w:rPr>
        <w:rFonts w:ascii="Times New Roman" w:hAnsi="Times New Roman" w:eastAsia="Times New Roman" w:cs="Times New Roman"/>
        <w:color w:val="595959"/>
        <w:spacing w:val="9"/>
      </w:rPr>
      <w:t xml:space="preserve"> </w:t>
    </w:r>
    <w:r>
      <w:rPr>
        <w:rFonts w:ascii="Times New Roman" w:hAnsi="Times New Roman" w:eastAsia="Times New Roman" w:cs="Times New Roman"/>
        <w:color w:val="595959"/>
        <w:spacing w:val="4"/>
      </w:rPr>
      <w:t xml:space="preserve">6677         </w:t>
    </w:r>
    <w:r>
      <w:rPr>
        <w:color w:val="595959"/>
        <w:spacing w:val="4"/>
      </w:rPr>
      <w:t>官网：</w:t>
    </w:r>
    <w:r>
      <w:rPr>
        <w:rFonts w:ascii="Times New Roman" w:hAnsi="Times New Roman" w:eastAsia="Times New Roman" w:cs="Times New Roman"/>
        <w:color w:val="595959"/>
      </w:rPr>
      <w:t>www</w:t>
    </w:r>
    <w:r>
      <w:rPr>
        <w:rFonts w:ascii="Times New Roman" w:hAnsi="Times New Roman" w:eastAsia="Times New Roman" w:cs="Times New Roman"/>
        <w:color w:val="595959"/>
        <w:spacing w:val="4"/>
      </w:rPr>
      <w:t>.</w:t>
    </w:r>
    <w:r>
      <w:rPr>
        <w:rFonts w:ascii="Times New Roman" w:hAnsi="Times New Roman" w:eastAsia="Times New Roman" w:cs="Times New Roman"/>
        <w:color w:val="595959"/>
      </w:rPr>
      <w:t>dfa</w:t>
    </w:r>
    <w:r>
      <w:rPr>
        <w:rFonts w:ascii="Times New Roman" w:hAnsi="Times New Roman" w:eastAsia="Times New Roman" w:cs="Times New Roman"/>
        <w:color w:val="595959"/>
        <w:spacing w:val="4"/>
      </w:rPr>
      <w:t>66.</w:t>
    </w:r>
    <w:r>
      <w:rPr>
        <w:rFonts w:ascii="Times New Roman" w:hAnsi="Times New Roman" w:eastAsia="Times New Roman" w:cs="Times New Roman"/>
        <w:color w:val="595959"/>
      </w:rPr>
      <w: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1B16">
    <w:pPr>
      <w:pStyle w:val="2"/>
      <w:spacing w:line="1170" w:lineRule="exact"/>
    </w:pPr>
    <w:r>
      <w:rPr>
        <w:position w:val="-24"/>
      </w:rPr>
      <w:pict>
        <v:group id="_x0000_s2049" o:spid="_x0000_s2049" o:spt="203" style="height:59.05pt;width:586.35pt;" coordsize="11726,1180">
          <o:lock v:ext="edit"/>
          <v:shape id="_x0000_s2050" o:spid="_x0000_s2050" o:spt="75" type="#_x0000_t75" style="position:absolute;left:0;top:0;height:1180;width:11726;" filled="f" stroked="f" coordsize="21600,21600">
            <v:path/>
            <v:fill on="f" focussize="0,0"/>
            <v:stroke on="f"/>
            <v:imagedata r:id="rId1" o:title=""/>
            <o:lock v:ext="edit" aspectratio="t"/>
          </v:shape>
          <v:shape id="_x0000_s2051" o:spid="_x0000_s2051" o:spt="202" type="#_x0000_t202" style="position:absolute;left:-20;top:-20;height:1220;width:11766;" filled="f" stroked="f" coordsize="21600,21600">
            <v:path/>
            <v:fill on="f" focussize="0,0"/>
            <v:stroke on="f"/>
            <v:imagedata o:title=""/>
            <o:lock v:ext="edit" aspectratio="f"/>
            <v:textbox inset="0mm,0mm,0mm,0mm">
              <w:txbxContent>
                <w:p w14:paraId="5BE2EEDF">
                  <w:pPr>
                    <w:spacing w:line="251" w:lineRule="auto"/>
                    <w:rPr>
                      <w:rFonts w:ascii="Arial"/>
                      <w:sz w:val="21"/>
                    </w:rPr>
                  </w:pPr>
                </w:p>
                <w:p w14:paraId="37EC8620">
                  <w:pPr>
                    <w:spacing w:line="251" w:lineRule="auto"/>
                    <w:rPr>
                      <w:rFonts w:ascii="Arial"/>
                      <w:sz w:val="21"/>
                    </w:rPr>
                  </w:pPr>
                </w:p>
                <w:p w14:paraId="1668C983">
                  <w:pPr>
                    <w:spacing w:line="251" w:lineRule="auto"/>
                    <w:rPr>
                      <w:rFonts w:ascii="Arial"/>
                      <w:sz w:val="21"/>
                    </w:rPr>
                  </w:pPr>
                </w:p>
                <w:p w14:paraId="0EDD5E32">
                  <w:pPr>
                    <w:spacing w:before="39" w:line="235" w:lineRule="auto"/>
                    <w:ind w:left="10327"/>
                    <w:rPr>
                      <w:rFonts w:ascii="宋体" w:hAnsi="宋体" w:eastAsia="宋体" w:cs="宋体"/>
                      <w:sz w:val="12"/>
                      <w:szCs w:val="12"/>
                    </w:rPr>
                  </w:pPr>
                  <w:r>
                    <w:rPr>
                      <w:rFonts w:ascii="Times New Roman" w:hAnsi="Times New Roman" w:eastAsia="Times New Roman" w:cs="Times New Roman"/>
                      <w:spacing w:val="4"/>
                      <w:sz w:val="12"/>
                      <w:szCs w:val="12"/>
                    </w:rPr>
                    <w:t>202</w:t>
                  </w:r>
                  <w:r>
                    <w:rPr>
                      <w:rFonts w:hint="eastAsia" w:ascii="Times New Roman" w:hAnsi="Times New Roman" w:eastAsia="宋体" w:cs="Times New Roman"/>
                      <w:spacing w:val="4"/>
                      <w:sz w:val="12"/>
                      <w:szCs w:val="12"/>
                      <w:lang w:val="en-US" w:eastAsia="zh-CN"/>
                    </w:rPr>
                    <w:t>607</w:t>
                  </w:r>
                  <w:r>
                    <w:rPr>
                      <w:rFonts w:ascii="宋体" w:hAnsi="宋体" w:eastAsia="宋体" w:cs="宋体"/>
                      <w:spacing w:val="4"/>
                      <w:sz w:val="12"/>
                      <w:szCs w:val="12"/>
                    </w:rPr>
                    <w:t>版</w:t>
                  </w:r>
                </w:p>
              </w:txbxContent>
            </v:textbox>
          </v:shape>
          <w10:wrap type="none"/>
          <w10:anchorlock/>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jZiYTFkMTQ1MTMzM2E5MjkwMTYyODkwYjMyMDM0YjkifQ=="/>
  </w:docVars>
  <w:rsids>
    <w:rsidRoot w:val="00000000"/>
    <w:rsid w:val="17D6707C"/>
    <w:rsid w:val="2E4F5E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2"/>
      <w:szCs w:val="12"/>
      <w:lang w:val="en-US" w:eastAsia="en-US" w:bidi="ar-SA"/>
    </w:rPr>
  </w:style>
  <w:style w:type="paragraph" w:styleId="3">
    <w:name w:val="footer"/>
    <w:basedOn w:val="1"/>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hyperlink" Target="http://www.dfa66.com/" TargetMode="Externa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3687</Words>
  <Characters>3847</Characters>
  <TotalTime>3</TotalTime>
  <ScaleCrop>false</ScaleCrop>
  <LinksUpToDate>false</LinksUpToDate>
  <CharactersWithSpaces>4259</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2021-07-15T08:45:00Z</dcterms:created>
  <dc:creator>ZhangKe</dc:creator>
  <cp:lastModifiedBy>楚懿暄</cp:lastModifiedBy>
  <dcterms:modified xsi:type="dcterms:W3CDTF">2026-07-06T08:04:04Z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2026-07-06T15:59:43Z</vt:filetime>
  </property>
  <property fmtid="{D5CDD505-2E9C-101B-9397-08002B2CF9AE}" pid="4" name="KSOProductBuildVer">
    <vt:lpwstr>2052-12.1.0.18276</vt:lpwstr>
  </property>
  <property fmtid="{D5CDD505-2E9C-101B-9397-08002B2CF9AE}" pid="5" name="ICV">
    <vt:lpwstr>E37AD63454814D7892248667E063639E_12</vt:lpwstr>
  </property>
</Properties>
</file>