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9.0 -->
  <w:body>
    <w:p>
      <w:pPr>
        <w:pStyle w:val="Heading1"/>
        <w:jc w:val="center"/>
      </w:pPr>
      <w:r>
        <w:rPr>
          <w:rFonts w:ascii="宋体" w:eastAsia="宋体" w:hAnsi="宋体" w:cs="宋体"/>
        </w:rPr>
        <w:t>东方阿尔法瑞享混合型发起式证券投资基金（A类份额）基金产品资料概要更新</w:t>
      </w:r>
    </w:p>
    <w:p>
      <w:pPr>
        <w:jc w:val="right"/>
      </w:pPr>
      <w:r>
        <w:rPr>
          <w:rFonts w:ascii="宋体" w:eastAsia="宋体" w:hAnsi="宋体" w:cs="宋体"/>
          <w:b w:val="0"/>
        </w:rPr>
        <w:t>编制日期：2026年10月16日</w:t>
      </w:r>
    </w:p>
    <w:p>
      <w:pPr>
        <w:jc w:val="center"/>
      </w:pPr>
      <w:r>
        <w:rPr>
          <w:rFonts w:ascii="宋体" w:eastAsia="宋体" w:hAnsi="宋体" w:cs="宋体"/>
          <w:b w:val="0"/>
        </w:rPr>
        <w:t>送出日期：2026年10月20日</w:t>
      </w:r>
    </w:p>
    <w:p>
      <w:pPr>
        <w:jc w:val="center"/>
      </w:pPr>
      <w:r>
        <w:rPr>
          <w:rFonts w:ascii="宋体" w:eastAsia="宋体" w:hAnsi="宋体" w:cs="宋体"/>
          <w:b/>
        </w:rPr>
        <w:t>本概要提供本基金的重要信息，是招募说明书的一部分。</w:t>
      </w:r>
    </w:p>
    <w:p>
      <w:pPr>
        <w:jc w:val="center"/>
      </w:pPr>
      <w:r>
        <w:rPr>
          <w:rFonts w:ascii="宋体" w:eastAsia="宋体" w:hAnsi="宋体" w:cs="宋体"/>
          <w:b/>
        </w:rPr>
        <w:t>作出投资决定前，请阅读完整的招募说明书等销售文件。</w:t>
      </w:r>
    </w:p>
    <w:p>
      <w:pPr>
        <w:pStyle w:val="Heading2"/>
        <w:jc w:val="left"/>
      </w:pPr>
      <w:r>
        <w:rPr>
          <w:rFonts w:ascii="宋体" w:eastAsia="宋体" w:hAnsi="宋体" w:cs="宋体"/>
        </w:rPr>
        <w:t>一、产品概况</w:t>
      </w:r>
    </w:p>
    <w:tbl>
      <w:tblPr>
        <w:tblW w:w="5000" w:type="pct"/>
        <w:tblBorders>
          <w:top w:val="thick" w:sz="0" w:space="0" w:color="auto"/>
          <w:left w:val="nil"/>
          <w:bottom w:val="thick" w:sz="0" w:space="0" w:color="auto"/>
          <w:right w:val="nil"/>
          <w:insideH w:val="dotted" w:sz="0" w:space="0" w:color="auto"/>
          <w:insideV w:val="nil"/>
        </w:tblBorders>
        <w:tblLayout w:type="fixed"/>
      </w:tblPr>
      <w:tblGrid>
        <w:gridCol w:w="2093"/>
        <w:gridCol w:w="2442"/>
        <w:gridCol w:w="2093"/>
        <w:gridCol w:w="2442"/>
      </w:tblGrid>
      <w:tr>
        <w:tblPrEx>
          <w:tblW w:w="5000" w:type="pct"/>
          <w:tblBorders>
            <w:top w:val="thick" w:sz="0" w:space="0" w:color="auto"/>
            <w:left w:val="nil"/>
            <w:bottom w:val="thick" w:sz="0" w:space="0" w:color="auto"/>
            <w:right w:val="nil"/>
            <w:insideH w:val="dotted" w:sz="0" w:space="0" w:color="auto"/>
            <w:insideV w:val="nil"/>
          </w:tblBorders>
          <w:tblLayout w:type="fixed"/>
        </w:tblPrEx>
        <w:tc>
          <w:tcPr>
            <w:tcW w:w="1154" w:type="pct"/>
            <w:vAlign w:val="center"/>
          </w:tcPr>
          <w:p>
            <w:pPr>
              <w:spacing w:line="240" w:lineRule="auto"/>
              <w:jc w:val="left"/>
            </w:pPr>
            <w:r>
              <w:rPr>
                <w:rFonts w:ascii="宋体" w:eastAsia="宋体" w:hAnsi="宋体" w:cs="宋体"/>
                <w:b/>
              </w:rPr>
              <w:t>基金简称</w:t>
            </w:r>
          </w:p>
        </w:tc>
        <w:tc>
          <w:tcPr>
            <w:tcW w:w="1346" w:type="pct"/>
            <w:vAlign w:val="center"/>
          </w:tcPr>
          <w:p>
            <w:pPr>
              <w:spacing w:line="240" w:lineRule="auto"/>
              <w:jc w:val="left"/>
            </w:pPr>
            <w:r>
              <w:rPr>
                <w:rFonts w:ascii="宋体" w:eastAsia="宋体" w:hAnsi="宋体" w:cs="宋体"/>
                <w:b w:val="0"/>
              </w:rPr>
              <w:t>东方阿尔法瑞享混合发起</w:t>
            </w:r>
          </w:p>
        </w:tc>
        <w:tc>
          <w:tcPr>
            <w:tcW w:w="1154" w:type="pct"/>
            <w:vAlign w:val="center"/>
          </w:tcPr>
          <w:p>
            <w:pPr>
              <w:spacing w:line="240" w:lineRule="auto"/>
              <w:jc w:val="left"/>
            </w:pPr>
            <w:r>
              <w:rPr>
                <w:rFonts w:ascii="宋体" w:eastAsia="宋体" w:hAnsi="宋体" w:cs="宋体"/>
                <w:b/>
              </w:rPr>
              <w:t>基金代码</w:t>
            </w:r>
          </w:p>
        </w:tc>
        <w:tc>
          <w:tcPr>
            <w:tcW w:w="1346" w:type="pct"/>
            <w:vAlign w:val="center"/>
          </w:tcPr>
          <w:p>
            <w:pPr>
              <w:spacing w:line="240" w:lineRule="auto"/>
              <w:jc w:val="left"/>
            </w:pPr>
            <w:r>
              <w:rPr>
                <w:rFonts w:ascii="宋体" w:eastAsia="宋体" w:hAnsi="宋体" w:cs="宋体"/>
                <w:b w:val="0"/>
              </w:rPr>
              <w:t>025777</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基金简称A</w:t>
            </w:r>
          </w:p>
        </w:tc>
        <w:tc>
          <w:tcPr>
            <w:tcW w:w="2266" w:type="dxa"/>
            <w:vAlign w:val="center"/>
          </w:tcPr>
          <w:p>
            <w:pPr>
              <w:spacing w:line="240" w:lineRule="auto"/>
              <w:jc w:val="left"/>
            </w:pPr>
            <w:r>
              <w:rPr>
                <w:rFonts w:ascii="宋体" w:eastAsia="宋体" w:hAnsi="宋体" w:cs="宋体"/>
                <w:b w:val="0"/>
              </w:rPr>
              <w:t>东方阿尔法瑞享混合发起A</w:t>
            </w:r>
          </w:p>
        </w:tc>
        <w:tc>
          <w:tcPr>
            <w:tcW w:w="2266" w:type="dxa"/>
            <w:vAlign w:val="center"/>
          </w:tcPr>
          <w:p>
            <w:pPr>
              <w:spacing w:line="240" w:lineRule="auto"/>
              <w:jc w:val="left"/>
            </w:pPr>
            <w:r>
              <w:rPr>
                <w:rFonts w:ascii="宋体" w:eastAsia="宋体" w:hAnsi="宋体" w:cs="宋体"/>
                <w:b/>
              </w:rPr>
              <w:t>基金代码A</w:t>
            </w:r>
          </w:p>
        </w:tc>
        <w:tc>
          <w:tcPr>
            <w:tcW w:w="2266" w:type="dxa"/>
            <w:vAlign w:val="center"/>
          </w:tcPr>
          <w:p>
            <w:pPr>
              <w:spacing w:line="240" w:lineRule="auto"/>
              <w:jc w:val="left"/>
            </w:pPr>
            <w:r>
              <w:rPr>
                <w:rFonts w:ascii="宋体" w:eastAsia="宋体" w:hAnsi="宋体" w:cs="宋体"/>
                <w:b w:val="0"/>
              </w:rPr>
              <w:t>025777</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基金管理人</w:t>
            </w:r>
          </w:p>
        </w:tc>
        <w:tc>
          <w:tcPr>
            <w:tcW w:w="2266" w:type="dxa"/>
            <w:vAlign w:val="center"/>
          </w:tcPr>
          <w:p>
            <w:pPr>
              <w:spacing w:line="240" w:lineRule="auto"/>
              <w:jc w:val="left"/>
            </w:pPr>
            <w:r>
              <w:rPr>
                <w:rFonts w:ascii="宋体" w:eastAsia="宋体" w:hAnsi="宋体" w:cs="宋体"/>
                <w:b w:val="0"/>
              </w:rPr>
              <w:t>东方阿尔法基金管理有限公司</w:t>
            </w:r>
          </w:p>
        </w:tc>
        <w:tc>
          <w:tcPr>
            <w:tcW w:w="2266" w:type="dxa"/>
            <w:vAlign w:val="center"/>
          </w:tcPr>
          <w:p>
            <w:pPr>
              <w:spacing w:line="240" w:lineRule="auto"/>
              <w:jc w:val="left"/>
            </w:pPr>
            <w:r>
              <w:rPr>
                <w:rFonts w:ascii="宋体" w:eastAsia="宋体" w:hAnsi="宋体" w:cs="宋体"/>
                <w:b/>
              </w:rPr>
              <w:t>基金托管人</w:t>
            </w:r>
          </w:p>
        </w:tc>
        <w:tc>
          <w:tcPr>
            <w:tcW w:w="2266" w:type="dxa"/>
            <w:vAlign w:val="center"/>
          </w:tcPr>
          <w:p>
            <w:pPr>
              <w:spacing w:line="240" w:lineRule="auto"/>
              <w:jc w:val="left"/>
            </w:pPr>
            <w:r>
              <w:rPr>
                <w:rFonts w:ascii="宋体" w:eastAsia="宋体" w:hAnsi="宋体" w:cs="宋体"/>
                <w:b w:val="0"/>
              </w:rPr>
              <w:t>招商银行股份有限公司</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基金合同生效日</w:t>
            </w:r>
          </w:p>
        </w:tc>
        <w:tc>
          <w:tcPr>
            <w:tcW w:w="2266" w:type="dxa"/>
            <w:vAlign w:val="center"/>
          </w:tcPr>
          <w:p>
            <w:pPr>
              <w:spacing w:line="240" w:lineRule="auto"/>
              <w:jc w:val="left"/>
            </w:pPr>
            <w:r>
              <w:rPr>
                <w:rFonts w:ascii="宋体" w:eastAsia="宋体" w:hAnsi="宋体" w:cs="宋体"/>
                <w:b w:val="0"/>
              </w:rPr>
              <w:t>2025年10月21日</w:t>
            </w:r>
          </w:p>
        </w:tc>
        <w:tc>
          <w:tcPr>
            <w:tcW w:w="2266" w:type="dxa"/>
            <w:vAlign w:val="center"/>
          </w:tcPr>
          <w:p>
            <w:pPr>
              <w:spacing w:line="240" w:lineRule="auto"/>
              <w:jc w:val="left"/>
            </w:pPr>
            <w:r>
              <w:rPr>
                <w:rFonts w:ascii="宋体" w:eastAsia="宋体" w:hAnsi="宋体" w:cs="宋体"/>
                <w:b/>
              </w:rPr>
              <w:t>上市交易所及上市日期</w:t>
            </w:r>
          </w:p>
        </w:tc>
        <w:tc>
          <w:tcPr>
            <w:tcW w:w="2266" w:type="dxa"/>
            <w:vAlign w:val="center"/>
          </w:tcPr>
          <w:p>
            <w:pPr>
              <w:spacing w:line="240" w:lineRule="auto"/>
              <w:jc w:val="left"/>
            </w:pPr>
            <w:r>
              <w:rPr>
                <w:rFonts w:ascii="宋体" w:eastAsia="宋体" w:hAnsi="宋体" w:cs="宋体"/>
                <w:b w:val="0"/>
              </w:rPr>
              <w:t>暂未上市</w:t>
            </w:r>
          </w:p>
        </w:tc>
      </w:tr>
      <w:tr>
        <w:tblPrEx>
          <w:tblW w:w="5000" w:type="pct"/>
          <w:tblLayout w:type="fixed"/>
        </w:tblPrEx>
        <w:tc>
          <w:tcPr>
            <w:tcW w:w="2266" w:type="dxa"/>
            <w:vAlign w:val="center"/>
          </w:tcPr>
          <w:p>
            <w:pPr>
              <w:spacing w:line="240" w:lineRule="auto"/>
              <w:jc w:val="left"/>
            </w:pPr>
            <w:r>
              <w:rPr>
                <w:rFonts w:ascii="宋体" w:eastAsia="宋体" w:hAnsi="宋体" w:cs="宋体"/>
                <w:b/>
              </w:rPr>
              <w:t>基金类型</w:t>
            </w:r>
          </w:p>
        </w:tc>
        <w:tc>
          <w:tcPr>
            <w:tcW w:w="2266" w:type="dxa"/>
            <w:vAlign w:val="center"/>
          </w:tcPr>
          <w:p>
            <w:pPr>
              <w:spacing w:line="240" w:lineRule="auto"/>
              <w:jc w:val="left"/>
            </w:pPr>
            <w:r>
              <w:rPr>
                <w:rFonts w:ascii="宋体" w:eastAsia="宋体" w:hAnsi="宋体" w:cs="宋体"/>
                <w:b w:val="0"/>
              </w:rPr>
              <w:t>混合型</w:t>
            </w:r>
          </w:p>
        </w:tc>
        <w:tc>
          <w:tcPr>
            <w:tcW w:w="2266" w:type="dxa"/>
            <w:vAlign w:val="center"/>
          </w:tcPr>
          <w:p>
            <w:pPr>
              <w:spacing w:line="240" w:lineRule="auto"/>
              <w:jc w:val="left"/>
            </w:pPr>
            <w:r>
              <w:rPr>
                <w:rFonts w:ascii="宋体" w:eastAsia="宋体" w:hAnsi="宋体" w:cs="宋体"/>
                <w:b/>
              </w:rPr>
              <w:t>交易币种</w:t>
            </w:r>
          </w:p>
        </w:tc>
        <w:tc>
          <w:tcPr>
            <w:tcW w:w="2266" w:type="dxa"/>
            <w:vAlign w:val="center"/>
          </w:tcPr>
          <w:p>
            <w:pPr>
              <w:spacing w:line="240" w:lineRule="auto"/>
              <w:jc w:val="left"/>
            </w:pPr>
            <w:r>
              <w:rPr>
                <w:rFonts w:ascii="宋体" w:eastAsia="宋体" w:hAnsi="宋体" w:cs="宋体"/>
                <w:b w:val="0"/>
              </w:rPr>
              <w:t>人民币</w:t>
            </w:r>
          </w:p>
        </w:tc>
      </w:tr>
      <w:tr>
        <w:tblPrEx>
          <w:tblW w:w="5000" w:type="pct"/>
          <w:tblLayout w:type="fixed"/>
        </w:tblPrEx>
        <w:tc>
          <w:tcPr>
            <w:tcW w:w="2266" w:type="dxa"/>
            <w:vAlign w:val="center"/>
          </w:tcPr>
          <w:p>
            <w:pPr>
              <w:spacing w:line="240" w:lineRule="auto"/>
              <w:jc w:val="left"/>
            </w:pPr>
            <w:r>
              <w:rPr>
                <w:rFonts w:ascii="宋体" w:eastAsia="宋体" w:hAnsi="宋体" w:cs="宋体"/>
                <w:b/>
              </w:rPr>
              <w:t>运作方式</w:t>
            </w:r>
          </w:p>
        </w:tc>
        <w:tc>
          <w:tcPr>
            <w:tcW w:w="2266" w:type="dxa"/>
            <w:vAlign w:val="center"/>
          </w:tcPr>
          <w:p>
            <w:pPr>
              <w:spacing w:line="240" w:lineRule="auto"/>
              <w:jc w:val="left"/>
            </w:pPr>
            <w:r>
              <w:rPr>
                <w:rFonts w:ascii="宋体" w:eastAsia="宋体" w:hAnsi="宋体" w:cs="宋体"/>
                <w:b w:val="0"/>
              </w:rPr>
              <w:t>普通开放式</w:t>
            </w:r>
          </w:p>
        </w:tc>
        <w:tc>
          <w:tcPr>
            <w:tcW w:w="2266" w:type="dxa"/>
            <w:vAlign w:val="center"/>
          </w:tcPr>
          <w:p>
            <w:pPr>
              <w:spacing w:line="240" w:lineRule="auto"/>
              <w:jc w:val="left"/>
            </w:pPr>
            <w:r>
              <w:rPr>
                <w:rFonts w:ascii="宋体" w:eastAsia="宋体" w:hAnsi="宋体" w:cs="宋体"/>
                <w:b/>
              </w:rPr>
              <w:t>开放频率</w:t>
            </w:r>
          </w:p>
        </w:tc>
        <w:tc>
          <w:tcPr>
            <w:tcW w:w="2266" w:type="dxa"/>
            <w:vAlign w:val="center"/>
          </w:tcPr>
          <w:p>
            <w:pPr>
              <w:spacing w:line="240" w:lineRule="auto"/>
              <w:jc w:val="left"/>
            </w:pPr>
            <w:r>
              <w:rPr>
                <w:rFonts w:ascii="宋体" w:eastAsia="宋体" w:hAnsi="宋体" w:cs="宋体"/>
                <w:b w:val="0"/>
              </w:rPr>
              <w:t>每个开放日</w:t>
            </w:r>
          </w:p>
        </w:tc>
      </w:tr>
      <w:tr>
        <w:tblPrEx>
          <w:tblW w:w="5000" w:type="pct"/>
          <w:tblLayout w:type="fixed"/>
        </w:tblPrEx>
        <w:tc>
          <w:tcPr>
            <w:tcW w:w="2266" w:type="dxa"/>
            <w:vMerge w:val="restart"/>
            <w:vAlign w:val="center"/>
          </w:tcPr>
          <w:p>
            <w:pPr>
              <w:spacing w:line="240" w:lineRule="auto"/>
              <w:jc w:val="left"/>
            </w:pPr>
            <w:r>
              <w:rPr>
                <w:rFonts w:ascii="宋体" w:eastAsia="宋体" w:hAnsi="宋体" w:cs="宋体"/>
                <w:b/>
              </w:rPr>
              <w:t>基金经理</w:t>
            </w:r>
          </w:p>
        </w:tc>
        <w:tc>
          <w:tcPr>
            <w:tcW w:w="2266" w:type="dxa"/>
            <w:vMerge w:val="restart"/>
            <w:vAlign w:val="center"/>
          </w:tcPr>
          <w:p>
            <w:pPr>
              <w:spacing w:line="240" w:lineRule="auto"/>
              <w:jc w:val="left"/>
            </w:pPr>
            <w:r>
              <w:rPr>
                <w:rFonts w:ascii="宋体" w:eastAsia="宋体" w:hAnsi="宋体" w:cs="宋体"/>
                <w:b w:val="0"/>
              </w:rPr>
              <w:t>孙振波</w:t>
            </w:r>
          </w:p>
        </w:tc>
        <w:tc>
          <w:tcPr>
            <w:tcW w:w="2266" w:type="dxa"/>
            <w:vAlign w:val="center"/>
          </w:tcPr>
          <w:p>
            <w:pPr>
              <w:spacing w:line="240" w:lineRule="auto"/>
              <w:jc w:val="left"/>
            </w:pPr>
            <w:r>
              <w:rPr>
                <w:rFonts w:ascii="宋体" w:eastAsia="宋体" w:hAnsi="宋体" w:cs="宋体"/>
                <w:b/>
              </w:rPr>
              <w:t>开始担任本基金基金经理的日期</w:t>
            </w:r>
          </w:p>
        </w:tc>
        <w:tc>
          <w:tcPr>
            <w:tcW w:w="2266" w:type="dxa"/>
            <w:vAlign w:val="center"/>
          </w:tcPr>
          <w:p>
            <w:pPr>
              <w:spacing w:line="240" w:lineRule="auto"/>
              <w:jc w:val="left"/>
            </w:pPr>
            <w:r>
              <w:rPr>
                <w:rFonts w:ascii="宋体" w:eastAsia="宋体" w:hAnsi="宋体" w:cs="宋体"/>
                <w:b w:val="0"/>
              </w:rPr>
              <w:t>2025年10月21日</w:t>
            </w:r>
          </w:p>
        </w:tc>
      </w:tr>
      <w:tr>
        <w:tblPrEx>
          <w:tblW w:w="5000" w:type="pct"/>
          <w:tblLayout w:type="fixed"/>
        </w:tblPrEx>
        <w:tc>
          <w:tcPr>
            <w:tcW w:w="0" w:type="dxa"/>
            <w:vMerge/>
          </w:tcPr>
          <w:p/>
        </w:tc>
        <w:tc>
          <w:tcPr>
            <w:tcW w:w="0" w:type="dxa"/>
            <w:vMerge/>
          </w:tcPr>
          <w:p/>
        </w:tc>
        <w:tc>
          <w:tcPr>
            <w:tcW w:w="2266" w:type="dxa"/>
            <w:vAlign w:val="center"/>
          </w:tcPr>
          <w:p>
            <w:pPr>
              <w:spacing w:line="240" w:lineRule="auto"/>
              <w:jc w:val="left"/>
            </w:pPr>
            <w:r>
              <w:rPr>
                <w:rFonts w:ascii="宋体" w:eastAsia="宋体" w:hAnsi="宋体" w:cs="宋体"/>
                <w:b/>
              </w:rPr>
              <w:t>证券从业日期</w:t>
            </w:r>
          </w:p>
        </w:tc>
        <w:tc>
          <w:tcPr>
            <w:tcW w:w="2266" w:type="dxa"/>
            <w:vAlign w:val="center"/>
          </w:tcPr>
          <w:p>
            <w:pPr>
              <w:spacing w:line="240" w:lineRule="auto"/>
              <w:jc w:val="left"/>
            </w:pPr>
            <w:r>
              <w:rPr>
                <w:rFonts w:ascii="宋体" w:eastAsia="宋体" w:hAnsi="宋体" w:cs="宋体"/>
                <w:b w:val="0"/>
              </w:rPr>
              <w:t>2019年07月01日</w:t>
            </w:r>
          </w:p>
        </w:tc>
      </w:tr>
    </w:tbl>
    <w:p>
      <w:r>
        <w:rPr>
          <w:rFonts w:ascii="宋体" w:eastAsia="宋体" w:hAnsi="宋体" w:cs="宋体"/>
          <w:b w:val="0"/>
        </w:rPr>
        <w:t>注：本基金的基金类型为混合型（偏股混合型）</w:t>
      </w:r>
    </w:p>
    <w:p/>
    <w:p>
      <w:pPr>
        <w:pStyle w:val="Heading2"/>
        <w:jc w:val="left"/>
      </w:pPr>
      <w:r>
        <w:rPr>
          <w:rFonts w:ascii="宋体" w:eastAsia="宋体" w:hAnsi="宋体" w:cs="宋体"/>
        </w:rPr>
        <w:t>二、基金投资与净值表现</w:t>
      </w:r>
    </w:p>
    <w:p>
      <w:pPr>
        <w:pStyle w:val="zhangjiep2"/>
      </w:pPr>
      <w:r>
        <w:rPr>
          <w:rStyle w:val="DefaultParagraphFont"/>
          <w:rFonts w:ascii="宋体" w:eastAsia="宋体" w:hAnsi="宋体" w:cs="宋体"/>
          <w:b/>
        </w:rPr>
        <w:t>（一）投资目标与投资策略</w:t>
      </w:r>
    </w:p>
    <w:p>
      <w:r>
        <w:rPr>
          <w:rFonts w:ascii="宋体" w:eastAsia="宋体" w:hAnsi="宋体" w:cs="宋体"/>
          <w:b w:val="0"/>
        </w:rPr>
        <w:t xml:space="preserve">    详见《东方阿尔法瑞享混合型发起式证券投资基金招募说明书》第九部分“基金的投资”。</w:t>
      </w:r>
    </w:p>
    <w:tbl>
      <w:tblPr>
        <w:tblW w:w="5000" w:type="pct"/>
        <w:tblBorders>
          <w:top w:val="thick" w:sz="0" w:space="0" w:color="auto"/>
          <w:left w:val="nil"/>
          <w:bottom w:val="thick" w:sz="0" w:space="0" w:color="auto"/>
          <w:right w:val="nil"/>
          <w:insideH w:val="dotted" w:sz="0" w:space="0" w:color="auto"/>
          <w:insideV w:val="nil"/>
        </w:tblBorders>
      </w:tblPr>
      <w:tblGrid>
        <w:gridCol w:w="4532"/>
        <w:gridCol w:w="4532"/>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投资目标</w:t>
            </w:r>
          </w:p>
        </w:tc>
        <w:tc>
          <w:tcPr>
            <w:tcW w:w="3846" w:type="pct"/>
            <w:vAlign w:val="center"/>
          </w:tcPr>
          <w:p>
            <w:pPr>
              <w:spacing w:line="240" w:lineRule="auto"/>
              <w:jc w:val="left"/>
            </w:pPr>
            <w:r>
              <w:rPr>
                <w:rFonts w:ascii="宋体" w:eastAsia="宋体" w:hAnsi="宋体" w:cs="宋体"/>
                <w:b w:val="0"/>
              </w:rPr>
              <w:t>在有效控制组合风险并保持良好流动性的前提下，通过深入研究、优选个股、主动的投资管理方式力求实现组合资产的稳健增值。</w:t>
            </w:r>
          </w:p>
        </w:tc>
      </w:tr>
      <w:tr>
        <w:tblPrEx>
          <w:tblW w:w="5000" w:type="pct"/>
        </w:tblPrEx>
        <w:tc>
          <w:tcPr>
            <w:tcW w:w="1154" w:type="pct"/>
            <w:vAlign w:val="center"/>
          </w:tcPr>
          <w:p>
            <w:pPr>
              <w:spacing w:line="240" w:lineRule="auto"/>
              <w:jc w:val="left"/>
            </w:pPr>
            <w:r>
              <w:rPr>
                <w:rFonts w:ascii="宋体" w:eastAsia="宋体" w:hAnsi="宋体" w:cs="宋体"/>
                <w:b/>
              </w:rPr>
              <w:t>投资范围</w:t>
            </w:r>
          </w:p>
        </w:tc>
        <w:tc>
          <w:tcPr>
            <w:tcW w:w="3846" w:type="pct"/>
            <w:vAlign w:val="center"/>
          </w:tcPr>
          <w:p>
            <w:pPr>
              <w:spacing w:line="240" w:lineRule="auto"/>
              <w:jc w:val="left"/>
            </w:pPr>
            <w:r>
              <w:rPr>
                <w:rFonts w:ascii="宋体" w:eastAsia="宋体" w:hAnsi="宋体" w:cs="宋体"/>
                <w:b w:val="0"/>
              </w:rPr>
              <w:t>本基金的投资范围为具有良好流动性的金融工具，包括国内依法发行上市的股票（包括主板、创业板及其他中国证监会允许基金投资的股票、存托凭证）、港股通标的股票（包括沪港通股票及深港通股票）、债券（包括国内依法发行和上市交易的国债、金融债、企业债、公司债、公开发行的次级债、地方政府债券、可转换债券、分离交易可转债的纯债部分、可交换债、央行票据、中期票据、短期融资券、超短期融资券）、资产支持证券、债券回购、货币市场工具、同业存单、银行存款（包括协议存款、定期存款及其他银行存款）、股指期货、国债期货、股票期权以及法律法规或中国证监会允许基金投资的其他金融工具（但须符合中国证监会的相关规定）。本基金将根据法律法规的规定参与融资融券业务中的融资业务。</w:t>
              <w:br/>
            </w:r>
            <w:r>
              <w:rPr>
                <w:rFonts w:ascii="宋体" w:eastAsia="宋体" w:hAnsi="宋体" w:cs="宋体"/>
                <w:b w:val="0"/>
              </w:rPr>
              <w:t>如法律法规或监管机构以后允许基金投资其他品种，基金管理人在履行适当程序后，可以将其纳入投资范围，并可依据届时有效的法律法规适时合理地调整投资范围。</w:t>
              <w:br/>
            </w:r>
            <w:r>
              <w:rPr>
                <w:rFonts w:ascii="宋体" w:eastAsia="宋体" w:hAnsi="宋体" w:cs="宋体"/>
                <w:b w:val="0"/>
              </w:rPr>
              <w:t>基金的投资组合比例为：</w:t>
              <w:br/>
            </w:r>
            <w:r>
              <w:rPr>
                <w:rFonts w:ascii="宋体" w:eastAsia="宋体" w:hAnsi="宋体" w:cs="宋体"/>
                <w:b w:val="0"/>
              </w:rPr>
              <w:t>本基金投资组合中股票资产投资比例为基金资产的60%-95%，其中对港股通标的股票（包括沪港通股票及深港通股票）的投资比例不超过股票资产的50%。本基金每个交易日日终在扣除股指期货、国债期货及股票期权合约需缴纳的交易保证金后，保持现金或者到期日在一年以内的政府债券投资比例合计不低于基金资产净值的5%，其中现金不包括结算备付金、存出保证金、应收申购款等。</w:t>
              <w:br/>
            </w:r>
            <w:r>
              <w:rPr>
                <w:rFonts w:ascii="宋体" w:eastAsia="宋体" w:hAnsi="宋体" w:cs="宋体"/>
                <w:b w:val="0"/>
              </w:rPr>
              <w:t>如果法律法规或中国证监会变更投资品种的投资比例限制，基金管理人在履行适当程序后，可以调整上述投资品种的投资比例。</w:t>
            </w:r>
          </w:p>
        </w:tc>
      </w:tr>
      <w:tr>
        <w:tblPrEx>
          <w:tblW w:w="5000" w:type="pct"/>
        </w:tblPrEx>
        <w:tc>
          <w:tcPr>
            <w:tcW w:w="1154" w:type="pct"/>
            <w:vAlign w:val="center"/>
          </w:tcPr>
          <w:p>
            <w:pPr>
              <w:spacing w:line="240" w:lineRule="auto"/>
              <w:jc w:val="left"/>
            </w:pPr>
            <w:r>
              <w:rPr>
                <w:rFonts w:ascii="宋体" w:eastAsia="宋体" w:hAnsi="宋体" w:cs="宋体"/>
                <w:b/>
              </w:rPr>
              <w:t>主要投资策略</w:t>
            </w:r>
          </w:p>
        </w:tc>
        <w:tc>
          <w:tcPr>
            <w:tcW w:w="3846" w:type="pct"/>
            <w:vAlign w:val="center"/>
          </w:tcPr>
          <w:p>
            <w:pPr>
              <w:spacing w:line="240" w:lineRule="auto"/>
              <w:jc w:val="left"/>
            </w:pPr>
            <w:r>
              <w:rPr>
                <w:rFonts w:ascii="宋体" w:eastAsia="宋体" w:hAnsi="宋体" w:cs="宋体"/>
                <w:b w:val="0"/>
              </w:rPr>
              <w:t>本基金基于宏观经济研究，确定大类资产配置比例；通过上市公司基本面分析，主要采用优选个股的主动投资策略，获取超额收益。优选个股是指积极、深入、全面地了解上市公司基本面，动态评估公司价值，当股价低于合理价值区域时，买入并持有；在股价回复到合理价值的过程中，分享股价提升带来的超额收益。</w:t>
            </w:r>
          </w:p>
        </w:tc>
      </w:tr>
      <w:tr>
        <w:tblPrEx>
          <w:tblW w:w="5000" w:type="pct"/>
        </w:tblPrEx>
        <w:tc>
          <w:tcPr>
            <w:tcW w:w="1154" w:type="pct"/>
            <w:vAlign w:val="center"/>
          </w:tcPr>
          <w:p>
            <w:pPr>
              <w:spacing w:line="240" w:lineRule="auto"/>
              <w:jc w:val="left"/>
            </w:pPr>
            <w:r>
              <w:rPr>
                <w:rFonts w:ascii="宋体" w:eastAsia="宋体" w:hAnsi="宋体" w:cs="宋体"/>
                <w:b/>
              </w:rPr>
              <w:t>业绩比较基准</w:t>
            </w:r>
          </w:p>
        </w:tc>
        <w:tc>
          <w:tcPr>
            <w:tcW w:w="3846" w:type="pct"/>
            <w:vAlign w:val="center"/>
          </w:tcPr>
          <w:p>
            <w:pPr>
              <w:spacing w:line="240" w:lineRule="auto"/>
              <w:jc w:val="left"/>
            </w:pPr>
            <w:r>
              <w:rPr>
                <w:rFonts w:ascii="宋体" w:eastAsia="宋体" w:hAnsi="宋体" w:cs="宋体"/>
                <w:b w:val="0"/>
              </w:rPr>
              <w:t>中证800指数收益率×60%+中证综合债券指数收益率×20%+恒生指数收益率（按估值汇率折算）×20%</w:t>
            </w:r>
          </w:p>
        </w:tc>
      </w:tr>
      <w:tr>
        <w:tblPrEx>
          <w:tblW w:w="5000" w:type="pct"/>
        </w:tblPrEx>
        <w:tc>
          <w:tcPr>
            <w:tcW w:w="1154" w:type="pct"/>
            <w:vAlign w:val="center"/>
          </w:tcPr>
          <w:p>
            <w:pPr>
              <w:spacing w:line="240" w:lineRule="auto"/>
              <w:jc w:val="left"/>
            </w:pPr>
            <w:r>
              <w:rPr>
                <w:rFonts w:ascii="宋体" w:eastAsia="宋体" w:hAnsi="宋体" w:cs="宋体"/>
                <w:b/>
              </w:rPr>
              <w:t>风险收益特征</w:t>
            </w:r>
          </w:p>
        </w:tc>
        <w:tc>
          <w:tcPr>
            <w:tcW w:w="3846" w:type="pct"/>
            <w:vAlign w:val="center"/>
          </w:tcPr>
          <w:p>
            <w:pPr>
              <w:spacing w:line="240" w:lineRule="auto"/>
              <w:jc w:val="left"/>
            </w:pPr>
            <w:r>
              <w:rPr>
                <w:rFonts w:ascii="宋体" w:eastAsia="宋体" w:hAnsi="宋体" w:cs="宋体"/>
                <w:b w:val="0"/>
              </w:rPr>
              <w:t>本基金为混合型基金，其预期收益和风险高于货币型基金、债券型基金。本基金除了投资于A股市场优质企业外，还可在法律法规规定的范围内投资港股通标的股票（包括沪港通股票及深港通股票）。除了需要承担与境内证券投资基金类似的市场波动风险等一般投资风险之外，本基金还面临汇率风险、香港市场风险等境外证券市场投资所面临的特别投资风险。</w:t>
            </w:r>
          </w:p>
        </w:tc>
      </w:tr>
    </w:tbl>
    <w:p>
      <w:r>
        <w:rPr>
          <w:rFonts w:ascii="宋体" w:eastAsia="宋体" w:hAnsi="宋体" w:cs="宋体"/>
          <w:b w:val="0"/>
        </w:rPr>
        <w:t>注：不同的销售机构采用的评价方法不同，本法律文件风险收益特征表述与销售机构基金风险评价可能存在不一致的风险，投资人在申购本基金时需按照销售机构的要求完成风险承受能力与产品风险之间的匹配检验。</w:t>
      </w:r>
    </w:p>
    <w:p/>
    <w:p>
      <w:pPr>
        <w:pStyle w:val="zhangjiep2"/>
      </w:pPr>
      <w:r>
        <w:rPr>
          <w:rStyle w:val="DefaultParagraphFont"/>
          <w:rFonts w:ascii="宋体" w:eastAsia="宋体" w:hAnsi="宋体" w:cs="宋体"/>
          <w:b/>
        </w:rPr>
        <w:t>（二）投资组合资产配置图表/区域配置图表</w:t>
      </w:r>
    </w:p>
    <w:p>
      <w:r>
        <w:drawing>
          <wp:inline distT="0" distB="0" distL="0" distR="0">
            <wp:extent cx="5715000" cy="3048000"/>
            <wp:docPr id="1" name="Drawing 1" descr="Generated"/>
            <wp:cNvGraphicFramePr/>
            <a:graphic xmlns:a="http://schemas.openxmlformats.org/drawingml/2006/main">
              <a:graphicData uri="http://schemas.openxmlformats.org/drawingml/2006/picture">
                <pic:pic xmlns:pic="http://schemas.openxmlformats.org/drawingml/2006/picture">
                  <pic:nvPicPr>
                    <pic:cNvPr id="1" name="Picture 1" descr="Generated"/>
                    <pic:cNvPicPr>
                      <a:picLocks noChangeAspect="1"/>
                    </pic:cNvPicPr>
                  </pic:nvPicPr>
                  <pic:blipFill>
                    <a:blip xmlns:r="http://schemas.openxmlformats.org/officeDocument/2006/relationships" r:embed="rId6"/>
                    <a:stretch>
                      <a:fillRect/>
                    </a:stretch>
                  </pic:blipFill>
                  <pic:spPr>
                    <a:xfrm>
                      <a:off x="0" y="0"/>
                      <a:ext cx="5715000" cy="3048000"/>
                    </a:xfrm>
                    <a:prstGeom prst="rect">
                      <a:avLst/>
                    </a:prstGeom>
                  </pic:spPr>
                </pic:pic>
              </a:graphicData>
            </a:graphic>
          </wp:inline>
        </w:drawing>
      </w:r>
    </w:p>
    <w:p/>
    <w:p>
      <w:pPr>
        <w:pStyle w:val="zhangjiep2"/>
      </w:pPr>
      <w:r>
        <w:rPr>
          <w:rStyle w:val="DefaultParagraphFont"/>
          <w:rFonts w:ascii="宋体" w:eastAsia="宋体" w:hAnsi="宋体" w:cs="宋体"/>
          <w:b/>
        </w:rPr>
        <w:t>（三）自基金合同生效以来/最近十年（孰短）基金每年的净值增长率及与同期业绩比较基准的比较图</w:t>
      </w:r>
    </w:p>
    <w:p>
      <w:r>
        <w:drawing>
          <wp:inline distT="0" distB="0" distL="0" distR="0">
            <wp:extent cx="5715000" cy="3048000"/>
            <wp:docPr id="2" name="Drawing 2" descr="Generated"/>
            <wp:cNvGraphicFramePr/>
            <a:graphic xmlns:a="http://schemas.openxmlformats.org/drawingml/2006/main">
              <a:graphicData uri="http://schemas.openxmlformats.org/drawingml/2006/picture">
                <pic:pic xmlns:pic="http://schemas.openxmlformats.org/drawingml/2006/picture">
                  <pic:nvPicPr>
                    <pic:cNvPr id="2" name="Picture 2" descr="Generated"/>
                    <pic:cNvPicPr>
                      <a:picLocks noChangeAspect="1"/>
                    </pic:cNvPicPr>
                  </pic:nvPicPr>
                  <pic:blipFill>
                    <a:blip xmlns:r="http://schemas.openxmlformats.org/officeDocument/2006/relationships" r:embed="rId7"/>
                    <a:stretch>
                      <a:fillRect/>
                    </a:stretch>
                  </pic:blipFill>
                  <pic:spPr>
                    <a:xfrm>
                      <a:off x="0" y="0"/>
                      <a:ext cx="5715000" cy="3048000"/>
                    </a:xfrm>
                    <a:prstGeom prst="rect">
                      <a:avLst/>
                    </a:prstGeom>
                  </pic:spPr>
                </pic:pic>
              </a:graphicData>
            </a:graphic>
          </wp:inline>
        </w:drawing>
      </w:r>
    </w:p>
    <w:p/>
    <w:p>
      <w:pPr>
        <w:pStyle w:val="Heading2"/>
        <w:jc w:val="left"/>
      </w:pPr>
      <w:r>
        <w:rPr>
          <w:rFonts w:ascii="宋体" w:eastAsia="宋体" w:hAnsi="宋体" w:cs="宋体"/>
        </w:rPr>
        <w:t>三、投资本基金涉及的费用</w:t>
      </w:r>
    </w:p>
    <w:p>
      <w:pPr>
        <w:pStyle w:val="zhangjiep2"/>
      </w:pPr>
      <w:r>
        <w:rPr>
          <w:rStyle w:val="DefaultParagraphFont"/>
          <w:rFonts w:ascii="宋体" w:eastAsia="宋体" w:hAnsi="宋体" w:cs="宋体"/>
          <w:b/>
        </w:rPr>
        <w:t>（一）基金销售相关费用</w:t>
      </w:r>
    </w:p>
    <w:p>
      <w:r>
        <w:rPr>
          <w:rFonts w:ascii="宋体" w:eastAsia="宋体" w:hAnsi="宋体" w:cs="宋体"/>
          <w:b w:val="0"/>
        </w:rPr>
        <w:t>以下费用在申购/赎回基金过程中收取：</w:t>
      </w:r>
    </w:p>
    <w:tbl>
      <w:tblPr>
        <w:tblW w:w="5000" w:type="pct"/>
        <w:tblBorders>
          <w:top w:val="thick" w:sz="0" w:space="0" w:color="auto"/>
          <w:left w:val="nil"/>
          <w:bottom w:val="thick" w:sz="0" w:space="0" w:color="auto"/>
          <w:right w:val="nil"/>
          <w:insideH w:val="dotted" w:sz="0" w:space="0" w:color="auto"/>
          <w:insideV w:val="nil"/>
        </w:tblBorders>
      </w:tblPr>
      <w:tblGrid>
        <w:gridCol w:w="2266"/>
        <w:gridCol w:w="2266"/>
        <w:gridCol w:w="2266"/>
        <w:gridCol w:w="2266"/>
      </w:tblGrid>
      <w:tr>
        <w:tblPrEx>
          <w:tblW w:w="5000" w:type="pct"/>
          <w:tblBorders>
            <w:top w:val="thick" w:sz="0" w:space="0" w:color="auto"/>
            <w:left w:val="nil"/>
            <w:bottom w:val="thick" w:sz="0" w:space="0" w:color="auto"/>
            <w:right w:val="nil"/>
            <w:insideH w:val="dotted" w:sz="0" w:space="0" w:color="auto"/>
            <w:insideV w:val="nil"/>
          </w:tblBorders>
        </w:tblPrEx>
        <w:tc>
          <w:tcPr>
            <w:tcW w:w="769" w:type="pct"/>
            <w:vAlign w:val="center"/>
          </w:tcPr>
          <w:p>
            <w:pPr>
              <w:spacing w:line="240" w:lineRule="auto"/>
              <w:jc w:val="left"/>
            </w:pPr>
            <w:r>
              <w:rPr>
                <w:rFonts w:ascii="宋体" w:eastAsia="宋体" w:hAnsi="宋体" w:cs="宋体"/>
                <w:b/>
              </w:rPr>
              <w:t>费用类型</w:t>
            </w:r>
          </w:p>
        </w:tc>
        <w:tc>
          <w:tcPr>
            <w:tcW w:w="1923" w:type="pct"/>
            <w:vAlign w:val="center"/>
          </w:tcPr>
          <w:p>
            <w:pPr>
              <w:spacing w:line="240" w:lineRule="auto"/>
              <w:jc w:val="left"/>
            </w:pPr>
            <w:r>
              <w:rPr>
                <w:rFonts w:ascii="宋体" w:eastAsia="宋体" w:hAnsi="宋体" w:cs="宋体"/>
                <w:b/>
              </w:rPr>
              <w:t>份额(S)或金额(M)/持有期限(N)</w:t>
            </w:r>
          </w:p>
        </w:tc>
        <w:tc>
          <w:tcPr>
            <w:tcW w:w="1154" w:type="pct"/>
            <w:vAlign w:val="center"/>
          </w:tcPr>
          <w:p>
            <w:pPr>
              <w:spacing w:line="240" w:lineRule="auto"/>
              <w:jc w:val="left"/>
            </w:pPr>
            <w:r>
              <w:rPr>
                <w:rFonts w:ascii="宋体" w:eastAsia="宋体" w:hAnsi="宋体" w:cs="宋体"/>
                <w:b/>
              </w:rPr>
              <w:t>收费方式/费率</w:t>
            </w:r>
          </w:p>
        </w:tc>
        <w:tc>
          <w:tcPr>
            <w:tcW w:w="1154" w:type="pct"/>
            <w:vAlign w:val="center"/>
          </w:tcPr>
          <w:p>
            <w:pPr>
              <w:spacing w:line="240" w:lineRule="auto"/>
              <w:jc w:val="left"/>
            </w:pPr>
            <w:r>
              <w:rPr>
                <w:rFonts w:ascii="宋体" w:eastAsia="宋体" w:hAnsi="宋体" w:cs="宋体"/>
                <w:b/>
              </w:rPr>
              <w:t>备注</w:t>
            </w:r>
          </w:p>
        </w:tc>
      </w:tr>
      <w:tr>
        <w:tblPrEx>
          <w:tblW w:w="5000" w:type="pct"/>
        </w:tblPrEx>
        <w:tc>
          <w:tcPr>
            <w:tcW w:w="0" w:type="dxa"/>
            <w:vMerge w:val="restart"/>
            <w:vAlign w:val="center"/>
          </w:tcPr>
          <w:p>
            <w:pPr>
              <w:spacing w:line="240" w:lineRule="auto"/>
              <w:jc w:val="left"/>
            </w:pPr>
            <w:r>
              <w:rPr>
                <w:rFonts w:ascii="宋体" w:eastAsia="宋体" w:hAnsi="宋体" w:cs="宋体"/>
                <w:b/>
              </w:rPr>
              <w:t>申购费(前收费)</w:t>
            </w:r>
          </w:p>
        </w:tc>
        <w:tc>
          <w:tcPr>
            <w:tcW w:w="0" w:type="dxa"/>
            <w:vAlign w:val="center"/>
          </w:tcPr>
          <w:p>
            <w:pPr>
              <w:spacing w:line="240" w:lineRule="auto"/>
              <w:jc w:val="left"/>
            </w:pPr>
            <w:r>
              <w:rPr>
                <w:rFonts w:ascii="宋体" w:eastAsia="宋体" w:hAnsi="宋体" w:cs="宋体"/>
                <w:b w:val="0"/>
              </w:rPr>
              <w:t>M&lt;100万元</w:t>
            </w:r>
          </w:p>
        </w:tc>
        <w:tc>
          <w:tcPr>
            <w:tcW w:w="0" w:type="dxa"/>
            <w:vAlign w:val="center"/>
          </w:tcPr>
          <w:p>
            <w:pPr>
              <w:spacing w:line="240" w:lineRule="auto"/>
              <w:jc w:val="left"/>
            </w:pPr>
            <w:r>
              <w:rPr>
                <w:rFonts w:ascii="宋体" w:eastAsia="宋体" w:hAnsi="宋体" w:cs="宋体"/>
                <w:b w:val="0"/>
              </w:rPr>
              <w:t>1.50%</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100万元≤M&lt;500万元</w:t>
            </w:r>
          </w:p>
        </w:tc>
        <w:tc>
          <w:tcPr>
            <w:tcW w:w="0" w:type="dxa"/>
            <w:vAlign w:val="center"/>
          </w:tcPr>
          <w:p>
            <w:pPr>
              <w:spacing w:line="240" w:lineRule="auto"/>
              <w:jc w:val="left"/>
            </w:pPr>
            <w:r>
              <w:rPr>
                <w:rFonts w:ascii="宋体" w:eastAsia="宋体" w:hAnsi="宋体" w:cs="宋体"/>
                <w:b w:val="0"/>
              </w:rPr>
              <w:t>1.00%</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M≥500万元</w:t>
            </w:r>
          </w:p>
        </w:tc>
        <w:tc>
          <w:tcPr>
            <w:tcW w:w="0" w:type="dxa"/>
            <w:vAlign w:val="center"/>
          </w:tcPr>
          <w:p>
            <w:pPr>
              <w:spacing w:line="240" w:lineRule="auto"/>
              <w:jc w:val="left"/>
            </w:pPr>
            <w:r>
              <w:rPr>
                <w:rFonts w:ascii="宋体" w:eastAsia="宋体" w:hAnsi="宋体" w:cs="宋体"/>
                <w:b w:val="0"/>
              </w:rPr>
              <w:t>1000.00元/笔</w:t>
            </w:r>
          </w:p>
        </w:tc>
        <w:tc>
          <w:tcPr>
            <w:tcW w:w="0" w:type="dxa"/>
            <w:vAlign w:val="center"/>
          </w:tcPr>
          <w:p>
            <w:pPr>
              <w:spacing w:line="240" w:lineRule="auto"/>
              <w:jc w:val="left"/>
            </w:pPr>
            <w:r>
              <w:rPr>
                <w:rFonts w:ascii="宋体" w:eastAsia="宋体" w:hAnsi="宋体" w:cs="宋体"/>
                <w:b w:val="0"/>
              </w:rPr>
              <w:t>非特定投资群体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M&lt;100万元</w:t>
            </w:r>
          </w:p>
        </w:tc>
        <w:tc>
          <w:tcPr>
            <w:tcW w:w="0" w:type="dxa"/>
            <w:vAlign w:val="center"/>
          </w:tcPr>
          <w:p>
            <w:pPr>
              <w:spacing w:line="240" w:lineRule="auto"/>
              <w:jc w:val="left"/>
            </w:pPr>
            <w:r>
              <w:rPr>
                <w:rFonts w:ascii="宋体" w:eastAsia="宋体" w:hAnsi="宋体" w:cs="宋体"/>
                <w:b w:val="0"/>
              </w:rPr>
              <w:t>0.15%</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100万元≤M&lt;500万元</w:t>
            </w:r>
          </w:p>
        </w:tc>
        <w:tc>
          <w:tcPr>
            <w:tcW w:w="0" w:type="dxa"/>
            <w:vAlign w:val="center"/>
          </w:tcPr>
          <w:p>
            <w:pPr>
              <w:spacing w:line="240" w:lineRule="auto"/>
              <w:jc w:val="left"/>
            </w:pPr>
            <w:r>
              <w:rPr>
                <w:rFonts w:ascii="宋体" w:eastAsia="宋体" w:hAnsi="宋体" w:cs="宋体"/>
                <w:b w:val="0"/>
              </w:rPr>
              <w:t>0.10%</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M≥500万元</w:t>
            </w:r>
          </w:p>
        </w:tc>
        <w:tc>
          <w:tcPr>
            <w:tcW w:w="0" w:type="dxa"/>
            <w:vAlign w:val="center"/>
          </w:tcPr>
          <w:p>
            <w:pPr>
              <w:spacing w:line="240" w:lineRule="auto"/>
              <w:jc w:val="left"/>
            </w:pPr>
            <w:r>
              <w:rPr>
                <w:rFonts w:ascii="宋体" w:eastAsia="宋体" w:hAnsi="宋体" w:cs="宋体"/>
                <w:b w:val="0"/>
              </w:rPr>
              <w:t>1000.00元/笔</w:t>
            </w:r>
          </w:p>
        </w:tc>
        <w:tc>
          <w:tcPr>
            <w:tcW w:w="0" w:type="dxa"/>
            <w:vAlign w:val="center"/>
          </w:tcPr>
          <w:p>
            <w:pPr>
              <w:spacing w:line="240" w:lineRule="auto"/>
              <w:jc w:val="left"/>
            </w:pPr>
            <w:r>
              <w:rPr>
                <w:rFonts w:ascii="宋体" w:eastAsia="宋体" w:hAnsi="宋体" w:cs="宋体"/>
                <w:b w:val="0"/>
              </w:rPr>
              <w:t>特定投资群体</w:t>
            </w:r>
          </w:p>
        </w:tc>
      </w:tr>
      <w:tr>
        <w:tblPrEx>
          <w:tblW w:w="5000" w:type="pct"/>
        </w:tblPrEx>
        <w:tc>
          <w:tcPr>
            <w:tcW w:w="0" w:type="dxa"/>
            <w:vMerge w:val="restart"/>
            <w:vAlign w:val="center"/>
          </w:tcPr>
          <w:p>
            <w:pPr>
              <w:spacing w:line="240" w:lineRule="auto"/>
              <w:jc w:val="left"/>
            </w:pPr>
            <w:r>
              <w:rPr>
                <w:rFonts w:ascii="宋体" w:eastAsia="宋体" w:hAnsi="宋体" w:cs="宋体"/>
                <w:b/>
              </w:rPr>
              <w:t>赎回费</w:t>
            </w:r>
          </w:p>
        </w:tc>
        <w:tc>
          <w:tcPr>
            <w:tcW w:w="0" w:type="dxa"/>
            <w:vAlign w:val="center"/>
          </w:tcPr>
          <w:p>
            <w:pPr>
              <w:spacing w:line="240" w:lineRule="auto"/>
              <w:jc w:val="left"/>
            </w:pPr>
            <w:r>
              <w:rPr>
                <w:rFonts w:ascii="宋体" w:eastAsia="宋体" w:hAnsi="宋体" w:cs="宋体"/>
                <w:b w:val="0"/>
              </w:rPr>
              <w:t>N&lt;7天</w:t>
            </w:r>
          </w:p>
        </w:tc>
        <w:tc>
          <w:tcPr>
            <w:tcW w:w="0" w:type="dxa"/>
            <w:vAlign w:val="center"/>
          </w:tcPr>
          <w:p>
            <w:pPr>
              <w:spacing w:line="240" w:lineRule="auto"/>
              <w:jc w:val="left"/>
            </w:pPr>
            <w:r>
              <w:rPr>
                <w:rFonts w:ascii="宋体" w:eastAsia="宋体" w:hAnsi="宋体" w:cs="宋体"/>
                <w:b w:val="0"/>
              </w:rPr>
              <w:t>1.50%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7天≤N&lt;30天</w:t>
            </w:r>
          </w:p>
        </w:tc>
        <w:tc>
          <w:tcPr>
            <w:tcW w:w="0" w:type="dxa"/>
            <w:vAlign w:val="center"/>
          </w:tcPr>
          <w:p>
            <w:pPr>
              <w:spacing w:line="240" w:lineRule="auto"/>
              <w:jc w:val="left"/>
            </w:pPr>
            <w:r>
              <w:rPr>
                <w:rFonts w:ascii="宋体" w:eastAsia="宋体" w:hAnsi="宋体" w:cs="宋体"/>
                <w:b w:val="0"/>
              </w:rPr>
              <w:t>0.75%</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30天≤N&lt;365天</w:t>
            </w:r>
          </w:p>
        </w:tc>
        <w:tc>
          <w:tcPr>
            <w:tcW w:w="0" w:type="dxa"/>
            <w:vAlign w:val="center"/>
          </w:tcPr>
          <w:p>
            <w:pPr>
              <w:spacing w:line="240" w:lineRule="auto"/>
              <w:jc w:val="left"/>
            </w:pPr>
            <w:r>
              <w:rPr>
                <w:rFonts w:ascii="宋体" w:eastAsia="宋体" w:hAnsi="宋体" w:cs="宋体"/>
                <w:b w:val="0"/>
              </w:rPr>
              <w:t>0.50%</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365天≤N&lt;730天</w:t>
            </w:r>
          </w:p>
        </w:tc>
        <w:tc>
          <w:tcPr>
            <w:tcW w:w="0" w:type="dxa"/>
            <w:vAlign w:val="center"/>
          </w:tcPr>
          <w:p>
            <w:pPr>
              <w:spacing w:line="240" w:lineRule="auto"/>
              <w:jc w:val="left"/>
            </w:pPr>
            <w:r>
              <w:rPr>
                <w:rFonts w:ascii="宋体" w:eastAsia="宋体" w:hAnsi="宋体" w:cs="宋体"/>
                <w:b w:val="0"/>
              </w:rPr>
              <w:t>0.25%</w:t>
            </w:r>
          </w:p>
        </w:tc>
        <w:tc>
          <w:tcPr>
            <w:tcW w:w="0" w:type="dxa"/>
            <w:vAlign w:val="center"/>
          </w:tcPr>
          <w:p>
            <w:pPr>
              <w:spacing w:line="240" w:lineRule="auto"/>
              <w:jc w:val="left"/>
            </w:pPr>
          </w:p>
        </w:tc>
      </w:tr>
      <w:tr>
        <w:tblPrEx>
          <w:tblW w:w="5000" w:type="pct"/>
        </w:tblPrEx>
        <w:tc>
          <w:tcPr>
            <w:vMerge/>
          </w:tcPr>
          <w:p/>
        </w:tc>
        <w:tc>
          <w:tcPr>
            <w:tcW w:w="0" w:type="dxa"/>
            <w:vAlign w:val="center"/>
          </w:tcPr>
          <w:p>
            <w:pPr>
              <w:spacing w:line="240" w:lineRule="auto"/>
              <w:jc w:val="left"/>
            </w:pPr>
            <w:r>
              <w:rPr>
                <w:rFonts w:ascii="宋体" w:eastAsia="宋体" w:hAnsi="宋体" w:cs="宋体"/>
                <w:b w:val="0"/>
              </w:rPr>
              <w:t>N≥730天</w:t>
            </w:r>
          </w:p>
        </w:tc>
        <w:tc>
          <w:tcPr>
            <w:tcW w:w="0" w:type="dxa"/>
            <w:vAlign w:val="center"/>
          </w:tcPr>
          <w:p>
            <w:pPr>
              <w:spacing w:line="240" w:lineRule="auto"/>
              <w:jc w:val="left"/>
            </w:pPr>
            <w:r>
              <w:rPr>
                <w:rFonts w:ascii="宋体" w:eastAsia="宋体" w:hAnsi="宋体" w:cs="宋体"/>
                <w:b w:val="0"/>
              </w:rPr>
              <w:t>0.00%</w:t>
            </w:r>
          </w:p>
        </w:tc>
        <w:tc>
          <w:tcPr>
            <w:tcW w:w="0" w:type="dxa"/>
            <w:vAlign w:val="center"/>
          </w:tcPr>
          <w:p>
            <w:pPr>
              <w:spacing w:line="240" w:lineRule="auto"/>
              <w:jc w:val="left"/>
            </w:pPr>
          </w:p>
        </w:tc>
      </w:tr>
    </w:tbl>
    <w:p>
      <w:r>
        <w:rPr>
          <w:rFonts w:ascii="宋体" w:eastAsia="宋体" w:hAnsi="宋体" w:cs="宋体"/>
          <w:b w:val="0"/>
        </w:rPr>
        <w:t>注:投资人重复认购／申购，须按每次认购／申购所对应的费率档次分别计费。</w:t>
      </w:r>
    </w:p>
    <w:p/>
    <w:p>
      <w:pPr>
        <w:pStyle w:val="zhangjiep2"/>
      </w:pPr>
      <w:r>
        <w:rPr>
          <w:rStyle w:val="DefaultParagraphFont"/>
          <w:rFonts w:ascii="宋体" w:eastAsia="宋体" w:hAnsi="宋体" w:cs="宋体"/>
          <w:b/>
        </w:rPr>
        <w:t>（二）基金运作相关费用</w:t>
      </w:r>
    </w:p>
    <w:p>
      <w:r>
        <w:rPr>
          <w:rFonts w:ascii="宋体" w:eastAsia="宋体" w:hAnsi="宋体" w:cs="宋体"/>
          <w:b w:val="0"/>
        </w:rPr>
        <w:t>以下费用将从基金资产中扣除：</w:t>
      </w:r>
    </w:p>
    <w:tbl>
      <w:tblPr>
        <w:tblW w:w="5000" w:type="pct"/>
        <w:tblBorders>
          <w:top w:val="thick" w:sz="0" w:space="0" w:color="auto"/>
          <w:left w:val="nil"/>
          <w:bottom w:val="thick" w:sz="0" w:space="0" w:color="auto"/>
          <w:right w:val="nil"/>
          <w:insideH w:val="dotted" w:sz="0" w:space="0" w:color="auto"/>
          <w:insideV w:val="nil"/>
        </w:tblBorders>
      </w:tblPr>
      <w:tblGrid>
        <w:gridCol w:w="3021"/>
        <w:gridCol w:w="3021"/>
        <w:gridCol w:w="3021"/>
      </w:tblGrid>
      <w:tr>
        <w:tblPrEx>
          <w:tblW w:w="5000" w:type="pct"/>
          <w:tblBorders>
            <w:top w:val="thick" w:sz="0" w:space="0" w:color="auto"/>
            <w:left w:val="nil"/>
            <w:bottom w:val="thick" w:sz="0" w:space="0" w:color="auto"/>
            <w:right w:val="nil"/>
            <w:insideH w:val="dotted" w:sz="0" w:space="0" w:color="auto"/>
            <w:insideV w:val="nil"/>
          </w:tblBorders>
        </w:tblPrEx>
        <w:tc>
          <w:tcPr>
            <w:tcW w:w="1154" w:type="pct"/>
            <w:vAlign w:val="center"/>
          </w:tcPr>
          <w:p>
            <w:pPr>
              <w:spacing w:line="240" w:lineRule="auto"/>
              <w:jc w:val="left"/>
            </w:pPr>
            <w:r>
              <w:rPr>
                <w:rFonts w:ascii="宋体" w:eastAsia="宋体" w:hAnsi="宋体" w:cs="宋体"/>
                <w:b/>
              </w:rPr>
              <w:t>费用类别</w:t>
            </w:r>
          </w:p>
        </w:tc>
        <w:tc>
          <w:tcPr>
            <w:tcW w:w="2308" w:type="pct"/>
            <w:vAlign w:val="center"/>
          </w:tcPr>
          <w:p>
            <w:pPr>
              <w:spacing w:line="240" w:lineRule="auto"/>
              <w:jc w:val="left"/>
            </w:pPr>
            <w:r>
              <w:rPr>
                <w:rFonts w:ascii="宋体" w:eastAsia="宋体" w:hAnsi="宋体" w:cs="宋体"/>
                <w:b/>
              </w:rPr>
              <w:t>收费方式/年费率或金额</w:t>
            </w:r>
          </w:p>
        </w:tc>
        <w:tc>
          <w:tcPr>
            <w:tcW w:w="1538" w:type="pct"/>
            <w:vAlign w:val="center"/>
          </w:tcPr>
          <w:p>
            <w:pPr>
              <w:spacing w:line="240" w:lineRule="auto"/>
              <w:jc w:val="left"/>
            </w:pPr>
            <w:r>
              <w:rPr>
                <w:rFonts w:ascii="宋体" w:eastAsia="宋体" w:hAnsi="宋体" w:cs="宋体"/>
                <w:b/>
              </w:rPr>
              <w:t>收取方</w:t>
            </w:r>
          </w:p>
        </w:tc>
      </w:tr>
      <w:tr>
        <w:tblPrEx>
          <w:tblW w:w="5000" w:type="pct"/>
        </w:tblPrEx>
        <w:tc>
          <w:tcPr>
            <w:tcW w:w="0" w:type="dxa"/>
            <w:vAlign w:val="center"/>
          </w:tcPr>
          <w:p>
            <w:pPr>
              <w:spacing w:line="240" w:lineRule="auto"/>
              <w:jc w:val="left"/>
            </w:pPr>
            <w:r>
              <w:rPr>
                <w:rFonts w:ascii="宋体" w:eastAsia="宋体" w:hAnsi="宋体" w:cs="宋体"/>
                <w:b w:val="0"/>
              </w:rPr>
              <w:t>管理费</w:t>
            </w:r>
          </w:p>
        </w:tc>
        <w:tc>
          <w:tcPr>
            <w:tcW w:w="0" w:type="dxa"/>
            <w:vAlign w:val="center"/>
          </w:tcPr>
          <w:p>
            <w:pPr>
              <w:spacing w:line="240" w:lineRule="auto"/>
              <w:jc w:val="left"/>
            </w:pPr>
            <w:r>
              <w:rPr>
                <w:rFonts w:ascii="宋体" w:eastAsia="宋体" w:hAnsi="宋体" w:cs="宋体"/>
                <w:b w:val="0"/>
              </w:rPr>
              <w:t>1.20%</w:t>
            </w:r>
          </w:p>
        </w:tc>
        <w:tc>
          <w:tcPr>
            <w:tcW w:w="0" w:type="dxa"/>
            <w:vAlign w:val="center"/>
          </w:tcPr>
          <w:p>
            <w:pPr>
              <w:spacing w:line="240" w:lineRule="auto"/>
              <w:jc w:val="left"/>
            </w:pPr>
            <w:r>
              <w:rPr>
                <w:rFonts w:ascii="宋体" w:eastAsia="宋体" w:hAnsi="宋体" w:cs="宋体"/>
                <w:b w:val="0"/>
              </w:rPr>
              <w:t>基金管理人和销售机构</w:t>
            </w:r>
          </w:p>
        </w:tc>
      </w:tr>
      <w:tr>
        <w:tblPrEx>
          <w:tblW w:w="5000" w:type="pct"/>
        </w:tblPrEx>
        <w:tc>
          <w:tcPr>
            <w:tcW w:w="0" w:type="dxa"/>
            <w:vAlign w:val="center"/>
          </w:tcPr>
          <w:p>
            <w:pPr>
              <w:spacing w:line="240" w:lineRule="auto"/>
              <w:jc w:val="left"/>
            </w:pPr>
            <w:r>
              <w:rPr>
                <w:rFonts w:ascii="宋体" w:eastAsia="宋体" w:hAnsi="宋体" w:cs="宋体"/>
                <w:b w:val="0"/>
              </w:rPr>
              <w:t>托管费</w:t>
            </w:r>
          </w:p>
        </w:tc>
        <w:tc>
          <w:tcPr>
            <w:tcW w:w="0" w:type="dxa"/>
            <w:vAlign w:val="center"/>
          </w:tcPr>
          <w:p>
            <w:pPr>
              <w:spacing w:line="240" w:lineRule="auto"/>
              <w:jc w:val="left"/>
            </w:pPr>
            <w:r>
              <w:rPr>
                <w:rFonts w:ascii="宋体" w:eastAsia="宋体" w:hAnsi="宋体" w:cs="宋体"/>
                <w:b w:val="0"/>
              </w:rPr>
              <w:t>0.20%</w:t>
            </w:r>
          </w:p>
        </w:tc>
        <w:tc>
          <w:tcPr>
            <w:tcW w:w="0" w:type="dxa"/>
            <w:vAlign w:val="center"/>
          </w:tcPr>
          <w:p>
            <w:pPr>
              <w:spacing w:line="240" w:lineRule="auto"/>
              <w:jc w:val="left"/>
            </w:pPr>
            <w:r>
              <w:rPr>
                <w:rFonts w:ascii="宋体" w:eastAsia="宋体" w:hAnsi="宋体" w:cs="宋体"/>
                <w:b w:val="0"/>
              </w:rPr>
              <w:t>基金托管人</w:t>
            </w:r>
          </w:p>
        </w:tc>
      </w:tr>
      <w:tr>
        <w:tblPrEx>
          <w:tblW w:w="5000" w:type="pct"/>
        </w:tblPrEx>
        <w:tc>
          <w:tcPr>
            <w:tcW w:w="0" w:type="dxa"/>
            <w:vAlign w:val="center"/>
          </w:tcPr>
          <w:p>
            <w:pPr>
              <w:spacing w:line="240" w:lineRule="auto"/>
              <w:jc w:val="left"/>
            </w:pPr>
            <w:r>
              <w:rPr>
                <w:rFonts w:ascii="宋体" w:eastAsia="宋体" w:hAnsi="宋体" w:cs="宋体"/>
                <w:b w:val="0"/>
              </w:rPr>
              <w:t>审计费用</w:t>
            </w:r>
          </w:p>
        </w:tc>
        <w:tc>
          <w:tcPr>
            <w:tcW w:w="0" w:type="dxa"/>
            <w:vAlign w:val="center"/>
          </w:tcPr>
          <w:p>
            <w:pPr>
              <w:spacing w:line="240" w:lineRule="auto"/>
              <w:jc w:val="left"/>
            </w:pPr>
            <w:r>
              <w:rPr>
                <w:rFonts w:ascii="宋体" w:eastAsia="宋体" w:hAnsi="宋体" w:cs="宋体"/>
                <w:b w:val="0"/>
              </w:rPr>
              <w:t>58,000.00</w:t>
            </w:r>
          </w:p>
        </w:tc>
        <w:tc>
          <w:tcPr>
            <w:tcW w:w="0" w:type="dxa"/>
            <w:vAlign w:val="center"/>
          </w:tcPr>
          <w:p>
            <w:pPr>
              <w:spacing w:line="240" w:lineRule="auto"/>
              <w:jc w:val="left"/>
            </w:pPr>
            <w:r>
              <w:rPr>
                <w:rFonts w:ascii="宋体" w:eastAsia="宋体" w:hAnsi="宋体" w:cs="宋体"/>
                <w:b w:val="0"/>
              </w:rPr>
              <w:t>会计师事务所</w:t>
            </w:r>
          </w:p>
        </w:tc>
      </w:tr>
      <w:tr>
        <w:tblPrEx>
          <w:tblW w:w="5000" w:type="pct"/>
        </w:tblPrEx>
        <w:tc>
          <w:tcPr>
            <w:tcW w:w="0" w:type="dxa"/>
            <w:vAlign w:val="center"/>
          </w:tcPr>
          <w:p>
            <w:pPr>
              <w:spacing w:line="240" w:lineRule="auto"/>
              <w:jc w:val="left"/>
            </w:pPr>
            <w:r>
              <w:rPr>
                <w:rFonts w:ascii="宋体" w:eastAsia="宋体" w:hAnsi="宋体" w:cs="宋体"/>
                <w:b w:val="0"/>
              </w:rPr>
              <w:t>信息披露费</w:t>
            </w:r>
          </w:p>
        </w:tc>
        <w:tc>
          <w:tcPr>
            <w:tcW w:w="0" w:type="dxa"/>
            <w:vAlign w:val="center"/>
          </w:tcPr>
          <w:p>
            <w:pPr>
              <w:spacing w:line="240" w:lineRule="auto"/>
              <w:jc w:val="left"/>
            </w:pPr>
            <w:r>
              <w:rPr>
                <w:rFonts w:ascii="宋体" w:eastAsia="宋体" w:hAnsi="宋体" w:cs="宋体"/>
                <w:b w:val="0"/>
              </w:rPr>
              <w:t>120,000.00</w:t>
            </w:r>
          </w:p>
        </w:tc>
        <w:tc>
          <w:tcPr>
            <w:tcW w:w="0" w:type="dxa"/>
            <w:vAlign w:val="center"/>
          </w:tcPr>
          <w:p>
            <w:pPr>
              <w:spacing w:line="240" w:lineRule="auto"/>
              <w:jc w:val="left"/>
            </w:pPr>
            <w:r>
              <w:rPr>
                <w:rFonts w:ascii="宋体" w:eastAsia="宋体" w:hAnsi="宋体" w:cs="宋体"/>
                <w:b w:val="0"/>
              </w:rPr>
              <w:t>规定披露报刊</w:t>
            </w:r>
          </w:p>
        </w:tc>
      </w:tr>
      <w:tr>
        <w:tblPrEx>
          <w:tblW w:w="5000" w:type="pct"/>
        </w:tblPrEx>
        <w:tc>
          <w:tcPr>
            <w:tcW w:w="0" w:type="dxa"/>
            <w:vAlign w:val="center"/>
          </w:tcPr>
          <w:p>
            <w:pPr>
              <w:spacing w:line="240" w:lineRule="auto"/>
              <w:jc w:val="left"/>
            </w:pPr>
            <w:r>
              <w:rPr>
                <w:rFonts w:ascii="宋体" w:eastAsia="宋体" w:hAnsi="宋体" w:cs="宋体"/>
                <w:b w:val="0"/>
              </w:rPr>
              <w:t>其他费用</w:t>
            </w:r>
          </w:p>
        </w:tc>
        <w:tc>
          <w:tcPr>
            <w:tcW w:w="0" w:type="dxa"/>
            <w:vAlign w:val="center"/>
          </w:tcPr>
          <w:p>
            <w:pPr>
              <w:spacing w:line="240" w:lineRule="auto"/>
              <w:jc w:val="left"/>
            </w:pPr>
            <w:r>
              <w:rPr>
                <w:rFonts w:ascii="宋体" w:eastAsia="宋体" w:hAnsi="宋体" w:cs="宋体"/>
                <w:b w:val="0"/>
              </w:rPr>
              <w:t>《基金合同》生效后与基金相关的会计师费、律师费、审计费、公证费、诉讼费和仲裁费等费用；基金份额持有人大会费用；基金的证券、期货、期权交易费用；基金的银行汇划费用；基金相关的开户费用、账户维护费用；基金投资港股通标的股票的合理费用；按照国家有关规定和《基金合同》约定，可以在基金财产中列支的其他费用。</w:t>
            </w:r>
          </w:p>
        </w:tc>
        <w:tc>
          <w:tcPr>
            <w:tcW w:w="0" w:type="dxa"/>
            <w:vAlign w:val="center"/>
          </w:tcPr>
          <w:p>
            <w:pPr>
              <w:spacing w:line="240" w:lineRule="auto"/>
              <w:jc w:val="left"/>
            </w:pPr>
            <w:r>
              <w:rPr>
                <w:rFonts w:ascii="宋体" w:eastAsia="宋体" w:hAnsi="宋体" w:cs="宋体"/>
                <w:b w:val="0"/>
              </w:rPr>
              <w:t>相关服务机构</w:t>
            </w:r>
          </w:p>
        </w:tc>
      </w:tr>
    </w:tbl>
    <w:p>
      <w:r>
        <w:rPr>
          <w:rFonts w:ascii="宋体" w:eastAsia="宋体" w:hAnsi="宋体" w:cs="宋体"/>
          <w:b w:val="0"/>
        </w:rPr>
        <w:t>注：1、本基金交易证券、基金等产生的费用和税负，按实际发生额从基金资产扣除。</w:t>
        <w:br/>
      </w:r>
      <w:r>
        <w:rPr>
          <w:rFonts w:ascii="宋体" w:eastAsia="宋体" w:hAnsi="宋体" w:cs="宋体"/>
          <w:b w:val="0"/>
        </w:rPr>
        <w:t>2、本基金审计费用、信息披露费为年金额，由基金整体承担，非单个份额类别费用，且年金额为预估值，最终实际金额以基金定期报告披露为准。</w:t>
      </w:r>
    </w:p>
    <w:p/>
    <w:p>
      <w:pPr>
        <w:pStyle w:val="zhangjiep2"/>
      </w:pPr>
      <w:r>
        <w:rPr>
          <w:rStyle w:val="DefaultParagraphFont"/>
          <w:rFonts w:ascii="宋体" w:eastAsia="宋体" w:hAnsi="宋体" w:cs="宋体"/>
          <w:b/>
        </w:rPr>
        <w:t>（三）基金运作综合费用测算</w:t>
      </w:r>
    </w:p>
    <w:p>
      <w:r>
        <w:rPr>
          <w:rFonts w:ascii="宋体" w:eastAsia="宋体" w:hAnsi="宋体" w:cs="宋体"/>
          <w:b w:val="0"/>
        </w:rPr>
        <w:t>若投资者认购/申购本基金份额，在持有期间，投资者需支出的运作费率如下表：</w:t>
      </w:r>
    </w:p>
    <w:tbl>
      <w:tblPr>
        <w:tblW w:w="5000" w:type="pct"/>
        <w:tblBorders>
          <w:top w:val="thick" w:sz="0" w:space="0" w:color="auto"/>
          <w:left w:val="nil"/>
          <w:bottom w:val="thick" w:sz="0" w:space="0" w:color="auto"/>
          <w:right w:val="nil"/>
          <w:insideH w:val="dotted" w:sz="0" w:space="0" w:color="auto"/>
          <w:insideV w:val="nil"/>
        </w:tblBorders>
      </w:tblPr>
      <w:tblGrid>
        <w:gridCol w:w="4532"/>
        <w:gridCol w:w="4532"/>
      </w:tblGrid>
      <w:tr>
        <w:tblPrEx>
          <w:tblW w:w="5000" w:type="pct"/>
          <w:tblBorders>
            <w:top w:val="thick" w:sz="0" w:space="0" w:color="auto"/>
            <w:left w:val="nil"/>
            <w:bottom w:val="thick" w:sz="0" w:space="0" w:color="auto"/>
            <w:right w:val="nil"/>
            <w:insideH w:val="dotted" w:sz="0" w:space="0" w:color="auto"/>
            <w:insideV w:val="nil"/>
          </w:tblBorders>
        </w:tblPrEx>
        <w:tc>
          <w:tcPr>
            <w:tcW w:w="2538" w:type="pct"/>
            <w:vAlign w:val="center"/>
          </w:tcPr>
          <w:p>
            <w:pPr>
              <w:spacing w:line="240" w:lineRule="auto"/>
              <w:jc w:val="center"/>
            </w:pPr>
            <w:r>
              <w:rPr>
                <w:rFonts w:ascii="宋体" w:eastAsia="宋体" w:hAnsi="宋体" w:cs="宋体"/>
                <w:b/>
              </w:rPr>
              <w:t>基金运作综合费用测算明细的类别</w:t>
            </w:r>
          </w:p>
        </w:tc>
        <w:tc>
          <w:tcPr>
            <w:tcW w:w="2462" w:type="pct"/>
            <w:vAlign w:val="center"/>
          </w:tcPr>
          <w:p>
            <w:pPr>
              <w:spacing w:line="240" w:lineRule="auto"/>
              <w:jc w:val="center"/>
            </w:pPr>
            <w:r>
              <w:rPr>
                <w:rFonts w:ascii="宋体" w:eastAsia="宋体" w:hAnsi="宋体" w:cs="宋体"/>
                <w:b/>
              </w:rPr>
              <w:t>基金运作综合费率（年化）</w:t>
            </w:r>
          </w:p>
        </w:tc>
      </w:tr>
      <w:tr>
        <w:tblPrEx>
          <w:tblW w:w="5000" w:type="pct"/>
        </w:tblPrEx>
        <w:tc>
          <w:tcPr>
            <w:tcW w:w="0" w:type="dxa"/>
            <w:vAlign w:val="center"/>
          </w:tcPr>
          <w:p>
            <w:pPr>
              <w:spacing w:line="240" w:lineRule="auto"/>
              <w:jc w:val="left"/>
            </w:pPr>
            <w:r>
              <w:rPr>
                <w:rFonts w:ascii="宋体" w:eastAsia="宋体" w:hAnsi="宋体" w:cs="宋体"/>
                <w:b w:val="0"/>
              </w:rPr>
              <w:t>持有期</w:t>
            </w:r>
          </w:p>
        </w:tc>
        <w:tc>
          <w:tcPr>
            <w:tcW w:w="0" w:type="dxa"/>
            <w:vAlign w:val="center"/>
          </w:tcPr>
          <w:p>
            <w:pPr>
              <w:spacing w:line="240" w:lineRule="auto"/>
              <w:jc w:val="right"/>
            </w:pPr>
            <w:r>
              <w:rPr>
                <w:rFonts w:ascii="宋体" w:eastAsia="宋体" w:hAnsi="宋体" w:cs="宋体"/>
                <w:b w:val="0"/>
              </w:rPr>
              <w:t>1.44%</w:t>
            </w:r>
          </w:p>
        </w:tc>
      </w:tr>
    </w:tbl>
    <w:p>
      <w:r>
        <w:rPr>
          <w:rFonts w:ascii="宋体" w:eastAsia="宋体" w:hAnsi="宋体" w:cs="宋体"/>
          <w:b w:val="0"/>
        </w:rPr>
        <w:t>注：基金管理费率、托管费率、销售服务费率（若有）为基金现行费率，其他运作费用以最近一次基金年报披露的相关数据为基准测算。</w:t>
      </w:r>
    </w:p>
    <w:p/>
    <w:p>
      <w:pPr>
        <w:pStyle w:val="Heading2"/>
        <w:jc w:val="left"/>
      </w:pPr>
      <w:r>
        <w:rPr>
          <w:rFonts w:ascii="宋体" w:eastAsia="宋体" w:hAnsi="宋体" w:cs="宋体"/>
        </w:rPr>
        <w:t>四、风险揭示与重要提示</w:t>
      </w:r>
    </w:p>
    <w:p>
      <w:pPr>
        <w:pStyle w:val="zhangjiep2"/>
      </w:pPr>
      <w:r>
        <w:rPr>
          <w:rStyle w:val="DefaultParagraphFont"/>
          <w:rFonts w:ascii="宋体" w:eastAsia="宋体" w:hAnsi="宋体" w:cs="宋体"/>
          <w:b/>
        </w:rPr>
        <w:t>（一）风险揭示</w:t>
      </w:r>
    </w:p>
    <w:p>
      <w:pPr>
        <w:jc w:val="left"/>
      </w:pPr>
      <w:r>
        <w:rPr>
          <w:rFonts w:ascii="宋体" w:eastAsia="宋体" w:hAnsi="宋体" w:cs="宋体"/>
          <w:b w:val="0"/>
        </w:rPr>
        <w:t xml:space="preserve">    本基金不提供任何保证。投资者可能损失本金。投资有风险，投资者购买基金时应认真阅读本基金的《招募说明书》等销售文件。</w:t>
        <w:br/>
      </w:r>
      <w:r>
        <w:rPr>
          <w:rFonts w:ascii="宋体" w:eastAsia="宋体" w:hAnsi="宋体" w:cs="宋体"/>
          <w:b w:val="0"/>
        </w:rPr>
        <w:t xml:space="preserve">    1、本基金特有风险</w:t>
        <w:br/>
      </w:r>
      <w:r>
        <w:rPr>
          <w:rFonts w:ascii="宋体" w:eastAsia="宋体" w:hAnsi="宋体" w:cs="宋体"/>
          <w:b w:val="0"/>
        </w:rPr>
        <w:t xml:space="preserve">    （1）本基金投资组合中股票资产投资比例为基金资产的60%-95%，股票市场的价格波动可能会导致基金净值发生剧烈波动的风险。</w:t>
        <w:br/>
      </w:r>
      <w:r>
        <w:rPr>
          <w:rFonts w:ascii="宋体" w:eastAsia="宋体" w:hAnsi="宋体" w:cs="宋体"/>
          <w:b w:val="0"/>
        </w:rPr>
        <w:t xml:space="preserve">    （2）本基金为发起式基金。本基金发起资金认购的本基金份额持有期限自基金合同生效日起满3年后，发起资金提供方将根据自身情况决定是否继续持有，届时发起资金提供方有可能赎回认购的本基金份额。另外，基金合同生效之日起三年后的对应日，若基金资产净值低于2亿元，基金合同自动终止。因此，投资人将面临基金合同可能终止的不确定性风险。</w:t>
        <w:br/>
      </w:r>
      <w:r>
        <w:rPr>
          <w:rFonts w:ascii="宋体" w:eastAsia="宋体" w:hAnsi="宋体" w:cs="宋体"/>
          <w:b w:val="0"/>
        </w:rPr>
        <w:t xml:space="preserve">    《基金合同》生效满三年后继续存续的，连续50个工作日出现基金份额持有人数量不满200人或者基金资产净值低于5000万元情形的，基金管理人应当根据基金合同约定进入清算程序并终止，而无需召开基金份额持有人大会。故存在着基金无法继续存续的风险。</w:t>
        <w:br/>
      </w:r>
      <w:r>
        <w:rPr>
          <w:rFonts w:ascii="宋体" w:eastAsia="宋体" w:hAnsi="宋体" w:cs="宋体"/>
          <w:b w:val="0"/>
        </w:rPr>
        <w:t xml:space="preserve">    （3）本基金可投资股指期货，可能会出现的风险包括基差风险、合约品种差异造成的风险、标的物风险、衍生品模型风险等。</w:t>
        <w:br/>
      </w:r>
      <w:r>
        <w:rPr>
          <w:rFonts w:ascii="宋体" w:eastAsia="宋体" w:hAnsi="宋体" w:cs="宋体"/>
          <w:b w:val="0"/>
        </w:rPr>
        <w:t xml:space="preserve">    （4）本基金可投资国债期货，国债期货的风险主要包含市场风险、流动性风险、信用风险、合规性风险以及国债期货实物交割风险等。</w:t>
        <w:br/>
      </w:r>
      <w:r>
        <w:rPr>
          <w:rFonts w:ascii="宋体" w:eastAsia="宋体" w:hAnsi="宋体" w:cs="宋体"/>
          <w:b w:val="0"/>
        </w:rPr>
        <w:t xml:space="preserve">    （5）本基金可投资股票期权，股票期权的风险包括市场风险、流动性风险、基差风险、保证金风险和信用风险。</w:t>
        <w:br/>
      </w:r>
      <w:r>
        <w:rPr>
          <w:rFonts w:ascii="宋体" w:eastAsia="宋体" w:hAnsi="宋体" w:cs="宋体"/>
          <w:b w:val="0"/>
        </w:rPr>
        <w:t xml:space="preserve">    （6）本基金可投资资产支持证券，资产支持证券的风险主要包括信用风险、利率风险、流动性风险、提前偿付风险等。</w:t>
        <w:br/>
      </w:r>
      <w:r>
        <w:rPr>
          <w:rFonts w:ascii="宋体" w:eastAsia="宋体" w:hAnsi="宋体" w:cs="宋体"/>
          <w:b w:val="0"/>
        </w:rPr>
        <w:t xml:space="preserve">    （7）本基金可投资存托凭证，除与其他仅投资于境内市场股票的基金所面临的共同风险外，本基金还将面临中国存托凭证价格大幅波动甚至出现较大亏损的风险，以及与中国存托凭证发行机制相关的风险等。</w:t>
        <w:br/>
      </w:r>
      <w:r>
        <w:rPr>
          <w:rFonts w:ascii="宋体" w:eastAsia="宋体" w:hAnsi="宋体" w:cs="宋体"/>
          <w:b w:val="0"/>
        </w:rPr>
        <w:t xml:space="preserve">    （8）本基金除与其他投资于内地市场股票的基金所面临的共同风险外，本基金还面临港股通机制下因投资环境、投资者结构、投资标的构成、市场制度以及交易规则等差异所带来的特有风险。</w:t>
        <w:br/>
      </w:r>
      <w:r>
        <w:rPr>
          <w:rFonts w:ascii="宋体" w:eastAsia="宋体" w:hAnsi="宋体" w:cs="宋体"/>
          <w:b w:val="0"/>
        </w:rPr>
        <w:t xml:space="preserve">    （9）本基金可投资科创板股票，会面临因投资标的、市场制度以及交易规则等差异带来的特有风险，包括但不限于退市风险、市场风险、流动性风险、投资集中的风险、系统性风险、股价波动风险、政策风险等。</w:t>
        <w:br/>
      </w:r>
      <w:r>
        <w:rPr>
          <w:rFonts w:ascii="宋体" w:eastAsia="宋体" w:hAnsi="宋体" w:cs="宋体"/>
          <w:b w:val="0"/>
        </w:rPr>
        <w:t xml:space="preserve">    （10）本基金可投资北交所上市交易股票，将面临因投资环境、投资标的、市场制度以及交易规则等差异带来的特有风险，包括但不限于上市公司经营风险、股价波动较大的风险、流动性较差的风险、退市风险、投资集中风险、转板风险、监管规则变化的风险等。</w:t>
        <w:br/>
      </w:r>
      <w:r>
        <w:rPr>
          <w:rFonts w:ascii="宋体" w:eastAsia="宋体" w:hAnsi="宋体" w:cs="宋体"/>
          <w:b w:val="0"/>
        </w:rPr>
        <w:t xml:space="preserve">    （11）本基金可参与融资业务，融资业务除具有普通证券交易所具有的政策风险、市场风险、违约风险、操作风险等各种风险外，因融资业务的杠杆效应，基金财产可能因此产生更大的收益波动。</w:t>
        <w:br/>
      </w:r>
      <w:r>
        <w:rPr>
          <w:rFonts w:ascii="宋体" w:eastAsia="宋体" w:hAnsi="宋体" w:cs="宋体"/>
          <w:b w:val="0"/>
        </w:rPr>
        <w:t xml:space="preserve">    （12）本基金采用证券经纪商交易结算模式，即本基金将通过基金管理人选定的证券经纪商进行场内交易和结算，该种交易结算模式可能存在操作风险、资金使用效率降低的风险、交易结算风险、投资信息安全保密风险、无法完成当日估值等风险。</w:t>
        <w:br/>
      </w:r>
      <w:r>
        <w:rPr>
          <w:rFonts w:ascii="宋体" w:eastAsia="宋体" w:hAnsi="宋体" w:cs="宋体"/>
          <w:b w:val="0"/>
        </w:rPr>
        <w:t xml:space="preserve">    2、开放式基金的共有风险：市场风险、管理风险、职业道德风险、流动性风险、合规风险、投资管理风险、实施侧袋机制对投资者的影响、本基金法律文件风险收益特征表述与销售机构基金风险评价可能不一致的风险、基金管理人职责终止风险以及其他风险。</w:t>
      </w:r>
    </w:p>
    <w:p/>
    <w:p>
      <w:pPr>
        <w:pStyle w:val="zhangjiep2"/>
      </w:pPr>
      <w:r>
        <w:rPr>
          <w:rStyle w:val="DefaultParagraphFont"/>
          <w:rFonts w:ascii="宋体" w:eastAsia="宋体" w:hAnsi="宋体" w:cs="宋体"/>
          <w:b/>
        </w:rPr>
        <w:t>（二）重要提示</w:t>
      </w:r>
    </w:p>
    <w:p>
      <w:pPr>
        <w:jc w:val="left"/>
      </w:pPr>
      <w:r>
        <w:rPr>
          <w:rFonts w:ascii="宋体" w:eastAsia="宋体" w:hAnsi="宋体" w:cs="宋体"/>
          <w:b w:val="0"/>
        </w:rPr>
        <w:t xml:space="preserve">    中国证监会对本基金募集的注册，并不表明其对本基金的价值和收益作出实质性判断或保证，也不表明投资于本基金没有风险。基金管理人依照恪尽职守、诚实信用、谨慎勤勉的原则管理和运用基金财产，但不保证基金一定盈利，也不保证最低收益。基金投资者依基金合同取得基金份额，即成为基金份额持有人和基金合同的当事人。</w:t>
        <w:br/>
      </w:r>
      <w:r>
        <w:rPr>
          <w:rFonts w:ascii="宋体" w:eastAsia="宋体" w:hAnsi="宋体" w:cs="宋体"/>
          <w:b w:val="0"/>
        </w:rPr>
        <w:t xml:space="preserve">    基金产品资料概要信息发生重大变更的，基金管理人将在三个工作日内更新，其他信息发生变更的，基金管理人每年更新一次。因此，本文件内容相比基金的实际情况可能存在一定的滞后，如需及时、准确获取基金的相关信息，敬请同时关注基金管理人发布的相关临时公告等。</w:t>
        <w:br/>
      </w:r>
      <w:r>
        <w:rPr>
          <w:rFonts w:ascii="宋体" w:eastAsia="宋体" w:hAnsi="宋体" w:cs="宋体"/>
          <w:b w:val="0"/>
        </w:rPr>
        <w:t xml:space="preserve">    因《基金合同》而产生的或与《基金合同》有关的一切争议，应友好协商解决；如经友好协商未能解决的，则任何一方应当按《基金合同》的约定提交仲裁。详情见本基金《基金合同》第二十一部分“争议的处理和适用的法律”。</w:t>
      </w:r>
    </w:p>
    <w:p/>
    <w:p>
      <w:pPr>
        <w:pStyle w:val="Heading2"/>
        <w:jc w:val="left"/>
      </w:pPr>
      <w:r>
        <w:rPr>
          <w:rFonts w:ascii="宋体" w:eastAsia="宋体" w:hAnsi="宋体" w:cs="宋体"/>
        </w:rPr>
        <w:t>五、其他资料查询方式</w:t>
      </w:r>
    </w:p>
    <w:p>
      <w:pPr>
        <w:jc w:val="left"/>
      </w:pPr>
      <w:r>
        <w:rPr>
          <w:rFonts w:ascii="宋体" w:eastAsia="宋体" w:hAnsi="宋体" w:cs="宋体"/>
          <w:b w:val="0"/>
        </w:rPr>
        <w:t xml:space="preserve">    以下资料详见东方阿尔法基金官方网站【www.dfa66.com】【客服电话：400-930-6677】</w:t>
        <w:br/>
      </w:r>
      <w:r>
        <w:rPr>
          <w:rFonts w:ascii="宋体" w:eastAsia="宋体" w:hAnsi="宋体" w:cs="宋体"/>
          <w:b w:val="0"/>
        </w:rPr>
        <w:t xml:space="preserve">    （1）基金合同、托管协议、招募说明书</w:t>
        <w:br/>
      </w:r>
      <w:r>
        <w:rPr>
          <w:rFonts w:ascii="宋体" w:eastAsia="宋体" w:hAnsi="宋体" w:cs="宋体"/>
          <w:b w:val="0"/>
        </w:rPr>
        <w:t xml:space="preserve">    （2）定期报告，包括基金季度报告、中期报告和年度报告</w:t>
        <w:br/>
      </w:r>
      <w:r>
        <w:rPr>
          <w:rFonts w:ascii="宋体" w:eastAsia="宋体" w:hAnsi="宋体" w:cs="宋体"/>
          <w:b w:val="0"/>
        </w:rPr>
        <w:t xml:space="preserve">    （3）基金份额净值</w:t>
        <w:br/>
      </w:r>
      <w:r>
        <w:rPr>
          <w:rFonts w:ascii="宋体" w:eastAsia="宋体" w:hAnsi="宋体" w:cs="宋体"/>
          <w:b w:val="0"/>
        </w:rPr>
        <w:t xml:space="preserve">    （4）基金销售机构及联系方式</w:t>
        <w:br/>
      </w:r>
      <w:r>
        <w:rPr>
          <w:rFonts w:ascii="宋体" w:eastAsia="宋体" w:hAnsi="宋体" w:cs="宋体"/>
          <w:b w:val="0"/>
        </w:rPr>
        <w:t xml:space="preserve">    （5）其他重要资料</w:t>
      </w:r>
    </w:p>
    <w:p/>
    <w:p>
      <w:pPr>
        <w:pStyle w:val="Heading2"/>
        <w:jc w:val="left"/>
      </w:pPr>
      <w:r>
        <w:rPr>
          <w:rFonts w:ascii="宋体" w:eastAsia="宋体" w:hAnsi="宋体" w:cs="宋体"/>
        </w:rPr>
        <w:t>六、其他情况说明</w:t>
      </w:r>
    </w:p>
    <w:p>
      <w:pPr>
        <w:jc w:val="left"/>
      </w:pPr>
      <w:r>
        <w:rPr>
          <w:rFonts w:ascii="宋体" w:eastAsia="宋体" w:hAnsi="宋体" w:cs="宋体"/>
          <w:b w:val="0"/>
        </w:rPr>
        <w:t xml:space="preserve">    无</w:t>
      </w:r>
    </w:p>
    <w:sectPr w:rsidSect="00067EA6">
      <w:headerReference w:type="even" r:id="rId8"/>
      <w:headerReference w:type="default" r:id="rId9"/>
      <w:footerReference w:type="even" r:id="rId10"/>
      <w:footerReference w:type="default" r:id="rId11"/>
      <w:headerReference w:type="first" r:id="rId12"/>
      <w:footerReference w:type="first" r:id="rId13"/>
      <w:pgSz w:w="11906" w:h="16838"/>
      <w:pgMar w:top="1440" w:right="1418" w:bottom="1440" w:left="1418" w:header="851" w:footer="851" w:gutter="0"/>
      <w:pgNumType w:start="1"/>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等线">
    <w:altName w:val="DengXian"/>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447BB44A" w14:textId="77777777">
    <w:pPr>
      <w:pStyle w:val="Dat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D1D70" w:rsidRPr="00CC6846" w14:paraId="3095903D" w14:textId="77777777">
    <w:pPr>
      <w:pBdr>
        <w:top w:val="single" w:sz="2" w:space="0" w:color="auto"/>
      </w:pBdr>
      <w:tabs>
        <w:tab w:val="right" w:pos="8640"/>
      </w:tabs>
      <w:jc w:val="center"/>
      <w:textAlignment w:val="center"/>
      <w:rPr>
        <w:rFonts w:ascii="宋体" w:hAnsi="宋体"/>
        <w:sz w:val="20"/>
        <w:szCs w:val="20"/>
      </w:rPr>
    </w:pPr>
    <w:r w:rsidRPr="00CC6846">
      <w:rPr>
        <w:rFonts w:ascii="宋体" w:hAnsi="宋体" w:cs="宋体" w:hint="eastAsia"/>
        <w:sz w:val="20"/>
        <w:szCs w:val="20"/>
        <w:lang w:bidi="ar"/>
      </w:rPr>
      <w:t>第</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PAGE  \* MERGEFORMAT</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r w:rsidRPr="00CC6846" w:rsidR="002A36A8">
      <w:rPr>
        <w:rFonts w:ascii="宋体" w:hAnsi="宋体" w:cs="宋体" w:hint="eastAsia"/>
        <w:sz w:val="20"/>
        <w:szCs w:val="20"/>
        <w:lang w:bidi="ar"/>
      </w:rPr>
      <w:t>，</w:t>
    </w:r>
    <w:r w:rsidRPr="00CC6846">
      <w:rPr>
        <w:rFonts w:ascii="宋体" w:hAnsi="宋体" w:cs="宋体" w:hint="eastAsia"/>
        <w:sz w:val="20"/>
        <w:szCs w:val="20"/>
        <w:lang w:bidi="ar"/>
      </w:rPr>
      <w:t>共</w:t>
    </w:r>
    <w:r w:rsidRPr="00CC6846">
      <w:rPr>
        <w:rFonts w:ascii="宋体" w:hAnsi="宋体" w:cs="Times New Roman" w:hint="eastAsia"/>
        <w:sz w:val="20"/>
        <w:szCs w:val="20"/>
        <w:lang w:bidi="ar"/>
      </w:rPr>
      <w:fldChar w:fldCharType="begin"/>
    </w:r>
    <w:r w:rsidRPr="00CC6846">
      <w:rPr>
        <w:rFonts w:ascii="宋体" w:hAnsi="宋体" w:cs="宋体" w:hint="eastAsia"/>
        <w:sz w:val="20"/>
        <w:szCs w:val="20"/>
        <w:lang w:bidi="ar"/>
      </w:rPr>
      <w:instrText xml:space="preserve">NUMPAGES  \* MERGEFORMAT </w:instrText>
    </w:r>
    <w:r w:rsidRPr="00CC6846">
      <w:rPr>
        <w:rFonts w:ascii="宋体" w:hAnsi="宋体" w:cs="Times New Roman" w:hint="eastAsia"/>
        <w:sz w:val="20"/>
        <w:szCs w:val="20"/>
        <w:lang w:bidi="ar"/>
      </w:rPr>
      <w:fldChar w:fldCharType="separate"/>
    </w:r>
    <w:r w:rsidRPr="00CC6846" w:rsidR="00067EA6">
      <w:rPr>
        <w:rFonts w:ascii="宋体" w:hAnsi="宋体" w:cs="宋体"/>
        <w:noProof/>
        <w:sz w:val="20"/>
        <w:szCs w:val="20"/>
        <w:lang w:bidi="ar"/>
      </w:rPr>
      <w:t>1</w:t>
    </w:r>
    <w:r w:rsidRPr="00CC6846">
      <w:rPr>
        <w:rFonts w:ascii="宋体" w:hAnsi="宋体" w:cs="宋体" w:hint="eastAsia"/>
        <w:sz w:val="20"/>
        <w:szCs w:val="20"/>
        <w:lang w:bidi="ar"/>
      </w:rPr>
      <w:fldChar w:fldCharType="end"/>
    </w:r>
    <w:r w:rsidRPr="00CC6846">
      <w:rPr>
        <w:rFonts w:ascii="宋体" w:hAnsi="宋体" w:cs="宋体" w:hint="eastAsia"/>
        <w:sz w:val="20"/>
        <w:szCs w:val="20"/>
        <w:lang w:bidi="ar"/>
      </w:rPr>
      <w:t>页</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2CDB701E" w14:textId="77777777">
    <w:pPr>
      <w:pStyle w:val="Date"/>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2891BF"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213B69" w:rsidRPr="00213B69" w:rsidP="00C15EFA" w14:paraId="0ED4AB06" w14:textId="77777777">
    <w:pPr>
      <w:pBdr>
        <w:bottom w:val="single" w:sz="4" w:space="1" w:color="auto"/>
      </w:pBdr>
      <w:rPr>
        <w:rFonts w:ascii="宋体" w:hAnsi="宋体"/>
      </w:rPr>
    </w:pPr>
    <w:r>
      <w:ptab w:relativeTo="margin" w:alignment="center" w:leader="none"/>
    </w:r>
    <w:r>
      <w:rPr>
        <w:rFonts w:ascii="宋体" w:hAnsi="宋体" w:hint="eastAsia"/>
        <w:sz w:val="18"/>
      </w:rPr>
      <w:t>东方阿尔法瑞享混合型发起式证券投资基金（A类份额）基金产品资料概要更新</w:t>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CC6846" w14:paraId="678A3757" w14:textId="77777777"/>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B14F1"/>
    <w:rsid w:val="0000797B"/>
    <w:rsid w:val="000172DD"/>
    <w:rsid w:val="00031D8B"/>
    <w:rsid w:val="00033DD2"/>
    <w:rsid w:val="000358E9"/>
    <w:rsid w:val="00044DFE"/>
    <w:rsid w:val="00067EA6"/>
    <w:rsid w:val="000B14F1"/>
    <w:rsid w:val="000D44F1"/>
    <w:rsid w:val="000F65E0"/>
    <w:rsid w:val="00144E90"/>
    <w:rsid w:val="0016202E"/>
    <w:rsid w:val="00180271"/>
    <w:rsid w:val="001A0694"/>
    <w:rsid w:val="001B34AD"/>
    <w:rsid w:val="001E49DE"/>
    <w:rsid w:val="001E72DB"/>
    <w:rsid w:val="001E7C0C"/>
    <w:rsid w:val="001F2A2B"/>
    <w:rsid w:val="00213B69"/>
    <w:rsid w:val="0025237E"/>
    <w:rsid w:val="0026022A"/>
    <w:rsid w:val="00262E08"/>
    <w:rsid w:val="002846DD"/>
    <w:rsid w:val="00287789"/>
    <w:rsid w:val="00294812"/>
    <w:rsid w:val="002A1FFE"/>
    <w:rsid w:val="002A36A8"/>
    <w:rsid w:val="002B4056"/>
    <w:rsid w:val="002C6A0C"/>
    <w:rsid w:val="002D4665"/>
    <w:rsid w:val="002E2BC7"/>
    <w:rsid w:val="00324653"/>
    <w:rsid w:val="00347962"/>
    <w:rsid w:val="00355A5F"/>
    <w:rsid w:val="003B643E"/>
    <w:rsid w:val="003E01BE"/>
    <w:rsid w:val="003E7B21"/>
    <w:rsid w:val="00420D84"/>
    <w:rsid w:val="00435171"/>
    <w:rsid w:val="00464645"/>
    <w:rsid w:val="0048630B"/>
    <w:rsid w:val="004A5321"/>
    <w:rsid w:val="004B3066"/>
    <w:rsid w:val="004F33D8"/>
    <w:rsid w:val="005037A9"/>
    <w:rsid w:val="00515E8B"/>
    <w:rsid w:val="00536F98"/>
    <w:rsid w:val="0054091C"/>
    <w:rsid w:val="005826D5"/>
    <w:rsid w:val="005A2FA6"/>
    <w:rsid w:val="005B565C"/>
    <w:rsid w:val="005D1F67"/>
    <w:rsid w:val="0061633B"/>
    <w:rsid w:val="006303D6"/>
    <w:rsid w:val="0063564B"/>
    <w:rsid w:val="00666C63"/>
    <w:rsid w:val="00680025"/>
    <w:rsid w:val="006935A0"/>
    <w:rsid w:val="006A6402"/>
    <w:rsid w:val="006B4B3E"/>
    <w:rsid w:val="006C7BC8"/>
    <w:rsid w:val="006D1AF4"/>
    <w:rsid w:val="006D1D70"/>
    <w:rsid w:val="00752D0D"/>
    <w:rsid w:val="007D6500"/>
    <w:rsid w:val="007F2E5E"/>
    <w:rsid w:val="00832DA1"/>
    <w:rsid w:val="00842B26"/>
    <w:rsid w:val="00850BF6"/>
    <w:rsid w:val="00857D40"/>
    <w:rsid w:val="00917A48"/>
    <w:rsid w:val="0092608A"/>
    <w:rsid w:val="00953CC9"/>
    <w:rsid w:val="0099208B"/>
    <w:rsid w:val="009A27BD"/>
    <w:rsid w:val="009C2384"/>
    <w:rsid w:val="009E2E87"/>
    <w:rsid w:val="009F43BC"/>
    <w:rsid w:val="009F4840"/>
    <w:rsid w:val="00A05910"/>
    <w:rsid w:val="00A74E55"/>
    <w:rsid w:val="00A96B95"/>
    <w:rsid w:val="00AE104D"/>
    <w:rsid w:val="00AF44FF"/>
    <w:rsid w:val="00B53886"/>
    <w:rsid w:val="00B659D3"/>
    <w:rsid w:val="00BD2190"/>
    <w:rsid w:val="00BD2BC1"/>
    <w:rsid w:val="00C05CA1"/>
    <w:rsid w:val="00C06BEF"/>
    <w:rsid w:val="00C15EFA"/>
    <w:rsid w:val="00C563A3"/>
    <w:rsid w:val="00C6706A"/>
    <w:rsid w:val="00C84B5D"/>
    <w:rsid w:val="00CC4CE4"/>
    <w:rsid w:val="00CC6846"/>
    <w:rsid w:val="00D04B24"/>
    <w:rsid w:val="00D85B08"/>
    <w:rsid w:val="00D91EBF"/>
    <w:rsid w:val="00DC5E2B"/>
    <w:rsid w:val="00DE3FE0"/>
    <w:rsid w:val="00DF1D38"/>
    <w:rsid w:val="00E220FA"/>
    <w:rsid w:val="00E24BF6"/>
    <w:rsid w:val="00E34F85"/>
    <w:rsid w:val="00E371F8"/>
    <w:rsid w:val="00E913D3"/>
    <w:rsid w:val="00F1496B"/>
    <w:rsid w:val="00F17E43"/>
    <w:rsid w:val="00F32DCB"/>
    <w:rsid w:val="00F60A22"/>
    <w:rsid w:val="00F819EF"/>
    <w:rsid w:val="00F931A0"/>
    <w:rsid w:val="00F935C5"/>
    <w:rsid w:val="00FA0949"/>
    <w:rsid w:val="00FC4DE5"/>
    <w:rsid w:val="17FF4F08"/>
    <w:rsid w:val="312016A7"/>
    <w:rsid w:val="328572ED"/>
    <w:rsid w:val="3E9A1429"/>
    <w:rsid w:val="5EE34946"/>
    <w:rsid w:val="62671060"/>
    <w:rsid w:val="67517C74"/>
    <w:rsid w:val="791E22E2"/>
    <w:rsid w:val="7A382AC9"/>
    <w:rsid w:val="7F246E1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36AE199A"/>
  <w15:docId w15:val="{68D8E5DF-1C60-4338-892A-48760618AB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atentStyles>
  <w:style w:type="paragraph" w:default="1" w:styleId="Normal">
    <w:name w:val="Normal"/>
    <w:qFormat/>
    <w:rsid w:val="00882649"/>
    <w:pPr>
      <w:widowControl w:val="0"/>
      <w:spacing w:line="288" w:lineRule="auto"/>
      <w:jc w:val="both"/>
    </w:pPr>
    <w:rPr>
      <w:rFonts w:eastAsia="宋体"/>
    </w:rPr>
  </w:style>
  <w:style w:type="paragraph" w:styleId="Heading1">
    <w:name w:val="heading 1"/>
    <w:aliases w:val="1"/>
    <w:basedOn w:val="Normal"/>
    <w:next w:val="Normal"/>
    <w:link w:val="10"/>
    <w:uiPriority w:val="9"/>
    <w:qFormat/>
    <w:rsid w:val="001B05B3"/>
    <w:pPr>
      <w:spacing w:before="340" w:after="330" w:line="576" w:lineRule="auto"/>
      <w:jc w:val="center"/>
      <w:outlineLvl w:val="0"/>
    </w:pPr>
    <w:rPr>
      <w:b/>
      <w:bCs/>
      <w:kern w:val="44"/>
      <w:sz w:val="24"/>
      <w:szCs w:val="44"/>
    </w:rPr>
  </w:style>
  <w:style w:type="paragraph" w:styleId="Heading2">
    <w:name w:val="heading 2"/>
    <w:aliases w:val="2"/>
    <w:basedOn w:val="Normal"/>
    <w:next w:val="Normal"/>
    <w:link w:val="20"/>
    <w:uiPriority w:val="9"/>
    <w:unhideWhenUsed/>
    <w:qFormat/>
    <w:rsid w:val="00A5263B"/>
    <w:pPr>
      <w:adjustRightInd w:val="0"/>
      <w:spacing w:line="360" w:lineRule="auto"/>
      <w:jc w:val="left"/>
      <w:outlineLvl w:val="1"/>
    </w:pPr>
    <w:rPr>
      <w:rFonts w:asciiTheme="majorHAnsi" w:hAnsiTheme="majorHAnsi" w:cstheme="majorBidi"/>
      <w:b/>
      <w:bCs/>
      <w:sz w:val="24"/>
      <w:szCs w:val="32"/>
    </w:rPr>
  </w:style>
  <w:style w:type="paragraph" w:styleId="Heading3">
    <w:name w:val="heading 3"/>
    <w:aliases w:val="3"/>
    <w:basedOn w:val="Normal"/>
    <w:next w:val="Normal"/>
    <w:link w:val="30"/>
    <w:uiPriority w:val="9"/>
    <w:unhideWhenUsed/>
    <w:qFormat/>
    <w:rsid w:val="00A5263B"/>
    <w:pPr>
      <w:keepNext/>
      <w:keepLines/>
      <w:spacing w:line="360" w:lineRule="auto"/>
      <w:outlineLvl w:val="2"/>
    </w:pPr>
    <w:rPr>
      <w:b/>
      <w:bCs/>
      <w:sz w:val="24"/>
      <w:szCs w:val="32"/>
    </w:rPr>
  </w:style>
  <w:style w:type="paragraph" w:styleId="Heading4">
    <w:name w:val="heading 4"/>
    <w:basedOn w:val="Normal"/>
    <w:next w:val="Normal"/>
    <w:link w:val="4"/>
    <w:uiPriority w:val="9"/>
    <w:semiHidden/>
    <w:unhideWhenUsed/>
    <w:qFormat/>
    <w:rsid w:val="004A5321"/>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
    <w:name w:val="代码样式"/>
    <w:link w:val="Char"/>
    <w:qFormat/>
    <w:rsid w:val="004A5321"/>
    <w:pPr>
      <w:pBdr>
        <w:top w:val="single" w:sz="4" w:space="1" w:color="auto"/>
        <w:left w:val="single" w:sz="4" w:space="4" w:color="auto"/>
        <w:bottom w:val="single" w:sz="4" w:space="1" w:color="auto"/>
        <w:right w:val="single" w:sz="4" w:space="4" w:color="auto"/>
      </w:pBdr>
      <w:shd w:val="clear" w:color="auto" w:fill="A8D08D" w:themeFill="accent6" w:themeFillTint="99"/>
      <w:spacing w:beforeLines="50" w:afterLines="50"/>
      <w:ind w:left="50" w:right="50" w:leftChars="50" w:rightChars="50"/>
    </w:pPr>
  </w:style>
  <w:style w:type="character" w:customStyle="1" w:styleId="Char">
    <w:name w:val="代码样式 Char"/>
    <w:basedOn w:val="DefaultParagraphFont"/>
    <w:link w:val="a"/>
    <w:qFormat/>
    <w:rsid w:val="004A5321"/>
    <w:rPr>
      <w:shd w:val="clear" w:color="auto" w:fill="A8D08D" w:themeFill="accent6" w:themeFillTint="99"/>
    </w:rPr>
  </w:style>
  <w:style w:type="character" w:customStyle="1" w:styleId="10">
    <w:name w:val="标题 1 字符"/>
    <w:aliases w:val="1 字符"/>
    <w:basedOn w:val="DefaultParagraphFont"/>
    <w:link w:val="Heading1"/>
    <w:uiPriority w:val="9"/>
    <w:qFormat/>
    <w:rsid w:val="001B05B3"/>
    <w:rPr>
      <w:rFonts w:eastAsia="宋体"/>
      <w:b/>
      <w:bCs/>
      <w:kern w:val="44"/>
      <w:sz w:val="24"/>
      <w:szCs w:val="44"/>
    </w:rPr>
  </w:style>
  <w:style w:type="character" w:customStyle="1" w:styleId="20">
    <w:name w:val="标题 2 字符"/>
    <w:aliases w:val="2 字符"/>
    <w:basedOn w:val="DefaultParagraphFont"/>
    <w:link w:val="Heading2"/>
    <w:uiPriority w:val="9"/>
    <w:rsid w:val="00A5263B"/>
    <w:rPr>
      <w:rFonts w:eastAsia="宋体" w:asciiTheme="majorHAnsi" w:hAnsiTheme="majorHAnsi" w:cstheme="majorBidi"/>
      <w:b/>
      <w:bCs/>
      <w:sz w:val="24"/>
      <w:szCs w:val="32"/>
    </w:rPr>
  </w:style>
  <w:style w:type="character" w:customStyle="1" w:styleId="30">
    <w:name w:val="标题 3 字符"/>
    <w:aliases w:val="3 字符"/>
    <w:basedOn w:val="DefaultParagraphFont"/>
    <w:link w:val="Heading3"/>
    <w:uiPriority w:val="9"/>
    <w:rsid w:val="00A5263B"/>
    <w:rPr>
      <w:rFonts w:eastAsia="宋体"/>
      <w:b/>
      <w:bCs/>
      <w:sz w:val="24"/>
      <w:szCs w:val="32"/>
    </w:rPr>
  </w:style>
  <w:style w:type="character" w:customStyle="1" w:styleId="4">
    <w:name w:val="标题 4 字符"/>
    <w:basedOn w:val="DefaultParagraphFont"/>
    <w:link w:val="Heading4"/>
    <w:uiPriority w:val="9"/>
    <w:semiHidden/>
    <w:rsid w:val="004A5321"/>
    <w:rPr>
      <w:rFonts w:asciiTheme="majorHAnsi" w:eastAsiaTheme="majorEastAsia" w:hAnsiTheme="majorHAnsi" w:cstheme="majorBidi"/>
      <w:b/>
      <w:bCs/>
      <w:sz w:val="28"/>
      <w:szCs w:val="28"/>
    </w:rPr>
  </w:style>
  <w:style w:type="paragraph" w:styleId="TOC1">
    <w:name w:val="toc 1"/>
    <w:basedOn w:val="Normal"/>
    <w:next w:val="Normal"/>
    <w:autoRedefine/>
    <w:uiPriority w:val="39"/>
    <w:unhideWhenUsed/>
    <w:rsid w:val="00D309ED"/>
    <w:pPr>
      <w:tabs>
        <w:tab w:val="right" w:leader="dot" w:pos="9060"/>
      </w:tabs>
      <w:spacing w:line="240" w:lineRule="auto"/>
      <w:jc w:val="left"/>
    </w:pPr>
    <w:rPr>
      <w:b/>
      <w:bCs/>
      <w:caps/>
      <w:szCs w:val="20"/>
    </w:rPr>
  </w:style>
  <w:style w:type="paragraph" w:styleId="TOC2">
    <w:name w:val="toc 2"/>
    <w:basedOn w:val="Normal"/>
    <w:next w:val="Normal"/>
    <w:autoRedefine/>
    <w:uiPriority w:val="39"/>
    <w:unhideWhenUsed/>
    <w:rsid w:val="002E045B"/>
    <w:pPr>
      <w:spacing w:line="240" w:lineRule="auto"/>
      <w:ind w:left="210"/>
      <w:jc w:val="left"/>
    </w:pPr>
    <w:rPr>
      <w:smallCaps/>
      <w:szCs w:val="20"/>
    </w:rPr>
  </w:style>
  <w:style w:type="paragraph" w:styleId="TOC3">
    <w:name w:val="toc 3"/>
    <w:basedOn w:val="Normal"/>
    <w:next w:val="Normal"/>
    <w:autoRedefine/>
    <w:uiPriority w:val="39"/>
    <w:unhideWhenUsed/>
    <w:rsid w:val="002E045B"/>
    <w:pPr>
      <w:spacing w:line="240" w:lineRule="auto"/>
      <w:ind w:left="420"/>
      <w:jc w:val="left"/>
    </w:pPr>
    <w:rPr>
      <w:i/>
      <w:iCs/>
      <w:szCs w:val="20"/>
    </w:rPr>
  </w:style>
  <w:style w:type="paragraph" w:styleId="NormalIndent">
    <w:name w:val="Normal Indent"/>
    <w:basedOn w:val="Normal"/>
    <w:link w:val="a0"/>
    <w:uiPriority w:val="99"/>
    <w:semiHidden/>
    <w:unhideWhenUsed/>
    <w:rsid w:val="004A5321"/>
    <w:pPr>
      <w:ind w:firstLine="420" w:firstLineChars="200"/>
    </w:pPr>
  </w:style>
  <w:style w:type="character" w:customStyle="1" w:styleId="a0">
    <w:name w:val="正文缩进 字符"/>
    <w:link w:val="NormalIndent"/>
    <w:uiPriority w:val="99"/>
    <w:semiHidden/>
    <w:qFormat/>
    <w:rsid w:val="004A5321"/>
    <w:rPr>
      <w:rFonts w:asciiTheme="minorHAnsi" w:eastAsiaTheme="minorEastAsia" w:hAnsiTheme="minorHAnsi" w:cstheme="minorBidi"/>
      <w:sz w:val="21"/>
      <w:szCs w:val="22"/>
    </w:rPr>
  </w:style>
  <w:style w:type="paragraph" w:styleId="CommentText">
    <w:name w:val="annotation text"/>
    <w:basedOn w:val="Normal"/>
    <w:link w:val="a1"/>
    <w:uiPriority w:val="99"/>
    <w:semiHidden/>
    <w:unhideWhenUsed/>
    <w:rsid w:val="004A5321"/>
    <w:pPr>
      <w:jc w:val="left"/>
    </w:pPr>
  </w:style>
  <w:style w:type="character" w:customStyle="1" w:styleId="a1">
    <w:name w:val="批注文字 字符"/>
    <w:basedOn w:val="DefaultParagraphFont"/>
    <w:link w:val="CommentText"/>
    <w:uiPriority w:val="99"/>
    <w:semiHidden/>
    <w:rsid w:val="004A5321"/>
    <w:rPr>
      <w:rFonts w:asciiTheme="minorHAnsi" w:eastAsiaTheme="minorEastAsia" w:hAnsiTheme="minorHAnsi" w:cstheme="minorBidi"/>
      <w:sz w:val="21"/>
      <w:szCs w:val="22"/>
    </w:rPr>
  </w:style>
  <w:style w:type="paragraph" w:styleId="Header">
    <w:name w:val="header"/>
    <w:basedOn w:val="Normal"/>
    <w:link w:val="a2"/>
    <w:uiPriority w:val="99"/>
    <w:unhideWhenUsed/>
    <w:rsid w:val="004A5321"/>
    <w:pPr>
      <w:pBdr>
        <w:bottom w:val="single" w:sz="6" w:space="1" w:color="auto"/>
      </w:pBdr>
      <w:tabs>
        <w:tab w:val="center" w:pos="4153"/>
        <w:tab w:val="right" w:pos="8306"/>
      </w:tabs>
      <w:snapToGrid w:val="0"/>
      <w:jc w:val="center"/>
    </w:pPr>
    <w:rPr>
      <w:sz w:val="18"/>
      <w:szCs w:val="18"/>
    </w:rPr>
  </w:style>
  <w:style w:type="character" w:customStyle="1" w:styleId="a2">
    <w:name w:val="页眉 字符"/>
    <w:basedOn w:val="DefaultParagraphFont"/>
    <w:link w:val="Header"/>
    <w:uiPriority w:val="99"/>
    <w:rsid w:val="004A5321"/>
    <w:rPr>
      <w:rFonts w:asciiTheme="minorHAnsi" w:eastAsiaTheme="minorEastAsia" w:hAnsiTheme="minorHAnsi" w:cstheme="minorBidi"/>
      <w:sz w:val="18"/>
      <w:szCs w:val="18"/>
    </w:rPr>
  </w:style>
  <w:style w:type="paragraph" w:styleId="Footer">
    <w:name w:val="footer"/>
    <w:basedOn w:val="Normal"/>
    <w:link w:val="a3"/>
    <w:uiPriority w:val="99"/>
    <w:unhideWhenUsed/>
    <w:rsid w:val="004A5321"/>
    <w:pPr>
      <w:tabs>
        <w:tab w:val="center" w:pos="4153"/>
        <w:tab w:val="right" w:pos="8306"/>
      </w:tabs>
      <w:snapToGrid w:val="0"/>
      <w:jc w:val="left"/>
    </w:pPr>
    <w:rPr>
      <w:sz w:val="18"/>
      <w:szCs w:val="18"/>
    </w:rPr>
  </w:style>
  <w:style w:type="character" w:customStyle="1" w:styleId="a3">
    <w:name w:val="页脚 字符"/>
    <w:basedOn w:val="DefaultParagraphFont"/>
    <w:link w:val="Footer"/>
    <w:uiPriority w:val="99"/>
    <w:rsid w:val="004A5321"/>
    <w:rPr>
      <w:rFonts w:asciiTheme="minorHAnsi" w:eastAsiaTheme="minorEastAsia" w:hAnsiTheme="minorHAnsi" w:cstheme="minorBidi"/>
      <w:sz w:val="18"/>
      <w:szCs w:val="18"/>
    </w:rPr>
  </w:style>
  <w:style w:type="character" w:styleId="CommentReference">
    <w:name w:val="annotation reference"/>
    <w:basedOn w:val="DefaultParagraphFont"/>
    <w:uiPriority w:val="99"/>
    <w:semiHidden/>
    <w:unhideWhenUsed/>
    <w:rsid w:val="004A5321"/>
    <w:rPr>
      <w:sz w:val="21"/>
      <w:szCs w:val="21"/>
    </w:rPr>
  </w:style>
  <w:style w:type="paragraph" w:styleId="BodyText">
    <w:name w:val="Body Text"/>
    <w:basedOn w:val="Normal"/>
    <w:link w:val="a4"/>
    <w:uiPriority w:val="99"/>
    <w:semiHidden/>
    <w:unhideWhenUsed/>
    <w:rsid w:val="004A5321"/>
    <w:pPr>
      <w:spacing w:after="120"/>
    </w:pPr>
  </w:style>
  <w:style w:type="character" w:customStyle="1" w:styleId="a4">
    <w:name w:val="正文文本 字符"/>
    <w:basedOn w:val="DefaultParagraphFont"/>
    <w:link w:val="BodyText"/>
    <w:uiPriority w:val="99"/>
    <w:semiHidden/>
    <w:rsid w:val="004A5321"/>
    <w:rPr>
      <w:rFonts w:asciiTheme="minorHAnsi" w:eastAsiaTheme="minorEastAsia" w:hAnsiTheme="minorHAnsi" w:cstheme="minorBidi"/>
      <w:sz w:val="21"/>
      <w:szCs w:val="22"/>
    </w:rPr>
  </w:style>
  <w:style w:type="paragraph" w:styleId="Date">
    <w:name w:val="Date"/>
    <w:basedOn w:val="Normal"/>
    <w:next w:val="Normal"/>
    <w:link w:val="a5"/>
    <w:uiPriority w:val="99"/>
    <w:semiHidden/>
    <w:unhideWhenUsed/>
    <w:rsid w:val="004A5321"/>
    <w:pPr>
      <w:ind w:left="100" w:leftChars="2500"/>
    </w:pPr>
  </w:style>
  <w:style w:type="character" w:customStyle="1" w:styleId="a5">
    <w:name w:val="日期 字符"/>
    <w:basedOn w:val="DefaultParagraphFont"/>
    <w:link w:val="Date"/>
    <w:uiPriority w:val="99"/>
    <w:semiHidden/>
    <w:rsid w:val="004A5321"/>
    <w:rPr>
      <w:rFonts w:asciiTheme="minorHAnsi" w:eastAsiaTheme="minorEastAsia" w:hAnsiTheme="minorHAnsi" w:cstheme="minorBidi"/>
      <w:sz w:val="21"/>
      <w:szCs w:val="22"/>
    </w:rPr>
  </w:style>
  <w:style w:type="character" w:styleId="Hyperlink">
    <w:name w:val="Hyperlink"/>
    <w:basedOn w:val="DefaultParagraphFont"/>
    <w:uiPriority w:val="99"/>
    <w:unhideWhenUsed/>
    <w:rsid w:val="004A5321"/>
    <w:rPr>
      <w:color w:val="0000FF"/>
      <w:u w:val="single"/>
    </w:rPr>
  </w:style>
  <w:style w:type="character" w:styleId="Strong">
    <w:name w:val="Strong"/>
    <w:basedOn w:val="DefaultParagraphFont"/>
    <w:uiPriority w:val="22"/>
    <w:qFormat/>
    <w:rsid w:val="004A5321"/>
    <w:rPr>
      <w:b/>
      <w:bCs/>
    </w:rPr>
  </w:style>
  <w:style w:type="paragraph" w:styleId="PlainText">
    <w:name w:val="Plain Text"/>
    <w:basedOn w:val="Normal"/>
    <w:link w:val="a6"/>
    <w:uiPriority w:val="99"/>
    <w:semiHidden/>
    <w:unhideWhenUsed/>
    <w:rsid w:val="004A5321"/>
    <w:rPr>
      <w:rFonts w:hAnsi="Courier New" w:asciiTheme="minorEastAsia" w:cs="Courier New"/>
    </w:rPr>
  </w:style>
  <w:style w:type="character" w:customStyle="1" w:styleId="a6">
    <w:name w:val="纯文本 字符"/>
    <w:basedOn w:val="DefaultParagraphFont"/>
    <w:link w:val="PlainText"/>
    <w:uiPriority w:val="99"/>
    <w:semiHidden/>
    <w:rsid w:val="004A5321"/>
    <w:rPr>
      <w:rFonts w:hAnsi="Courier New" w:asciiTheme="minorEastAsia" w:eastAsiaTheme="minorEastAsia" w:cs="Courier New"/>
      <w:sz w:val="21"/>
      <w:szCs w:val="22"/>
    </w:rPr>
  </w:style>
  <w:style w:type="paragraph" w:styleId="NormalWeb">
    <w:name w:val="Normal (Web)"/>
    <w:basedOn w:val="Normal"/>
    <w:uiPriority w:val="99"/>
    <w:semiHidden/>
    <w:unhideWhenUsed/>
    <w:rsid w:val="004A5321"/>
    <w:rPr>
      <w:rFonts w:ascii="Times New Roman" w:hAnsi="Times New Roman" w:cs="宋体"/>
      <w:sz w:val="24"/>
      <w:szCs w:val="24"/>
    </w:rPr>
  </w:style>
  <w:style w:type="character" w:styleId="HTMLCode">
    <w:name w:val="HTML Code"/>
    <w:basedOn w:val="DefaultParagraphFont"/>
    <w:uiPriority w:val="99"/>
    <w:semiHidden/>
    <w:unhideWhenUsed/>
    <w:rsid w:val="004A5321"/>
    <w:rPr>
      <w:rFonts w:ascii="Courier New" w:hAnsi="Courier New" w:cs="Courier New"/>
      <w:sz w:val="20"/>
      <w:szCs w:val="20"/>
    </w:rPr>
  </w:style>
  <w:style w:type="paragraph" w:styleId="CommentSubject">
    <w:name w:val="annotation subject"/>
    <w:basedOn w:val="CommentText"/>
    <w:next w:val="CommentText"/>
    <w:link w:val="a7"/>
    <w:uiPriority w:val="99"/>
    <w:semiHidden/>
    <w:unhideWhenUsed/>
    <w:rsid w:val="004A5321"/>
    <w:rPr>
      <w:b/>
      <w:bCs/>
    </w:rPr>
  </w:style>
  <w:style w:type="character" w:customStyle="1" w:styleId="a7">
    <w:name w:val="批注主题 字符"/>
    <w:basedOn w:val="a1"/>
    <w:link w:val="CommentSubject"/>
    <w:uiPriority w:val="99"/>
    <w:semiHidden/>
    <w:rsid w:val="004A5321"/>
    <w:rPr>
      <w:rFonts w:asciiTheme="minorHAnsi" w:eastAsiaTheme="minorEastAsia" w:hAnsiTheme="minorHAnsi" w:cstheme="minorBidi"/>
      <w:b/>
      <w:bCs/>
      <w:sz w:val="21"/>
      <w:szCs w:val="22"/>
    </w:rPr>
  </w:style>
  <w:style w:type="paragraph" w:styleId="BalloonText">
    <w:name w:val="Balloon Text"/>
    <w:basedOn w:val="Normal"/>
    <w:link w:val="a8"/>
    <w:uiPriority w:val="99"/>
    <w:semiHidden/>
    <w:unhideWhenUsed/>
    <w:rsid w:val="004A5321"/>
    <w:rPr>
      <w:sz w:val="18"/>
      <w:szCs w:val="18"/>
    </w:rPr>
  </w:style>
  <w:style w:type="character" w:customStyle="1" w:styleId="a8">
    <w:name w:val="批注框文本 字符"/>
    <w:basedOn w:val="DefaultParagraphFont"/>
    <w:link w:val="BalloonText"/>
    <w:uiPriority w:val="99"/>
    <w:semiHidden/>
    <w:rsid w:val="004A5321"/>
    <w:rPr>
      <w:rFonts w:asciiTheme="minorHAnsi" w:eastAsiaTheme="minorEastAsia" w:hAnsiTheme="minorHAnsi" w:cstheme="minorBidi"/>
      <w:sz w:val="18"/>
      <w:szCs w:val="18"/>
    </w:rPr>
  </w:style>
  <w:style w:type="table" w:styleId="TableGrid">
    <w:name w:val="Table Grid"/>
    <w:basedOn w:val="TableNormal"/>
    <w:uiPriority w:val="39"/>
    <w:rsid w:val="004A5321"/>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ListAccent1">
    <w:name w:val="Light List Accent 1"/>
    <w:basedOn w:val="TableNormal"/>
    <w:uiPriority w:val="61"/>
    <w:semiHidden/>
    <w:unhideWhenUsed/>
    <w:rsid w:val="004A5321"/>
    <w:rPr>
      <w:rFonts w:ascii="Times New Roman" w:eastAsia="宋体" w:hAnsi="Times New Roman" w:cs="Times New Roman"/>
      <w:kern w:val="0"/>
      <w:sz w:val="20"/>
      <w:szCs w:val="20"/>
    </w:rPr>
    <w:tblPr>
      <w:tblStyleRowBandSize w:val="1"/>
      <w:tblStyleColBandSize w:val="1"/>
      <w:tblBorders>
        <w:top w:val="single" w:sz="8" w:space="0" w:color="5B9BD5" w:themeColor="accent1"/>
        <w:left w:val="single" w:sz="8" w:space="0" w:color="5B9BD5" w:themeColor="accent1"/>
        <w:bottom w:val="single" w:sz="8" w:space="0" w:color="5B9BD5" w:themeColor="accent1"/>
        <w:right w:val="single" w:sz="8" w:space="0" w:color="5B9BD5" w:themeColor="accent1"/>
      </w:tblBorders>
    </w:tblPr>
    <w:tblStylePr w:type="firstRow">
      <w:pPr>
        <w:spacing w:before="0" w:after="0" w:line="240" w:lineRule="auto"/>
      </w:pPr>
      <w:rPr>
        <w:b/>
        <w:bCs/>
        <w:color w:val="FFFFFF" w:themeColor="background1"/>
      </w:rPr>
      <w:tblPr/>
      <w:tcPr>
        <w:shd w:val="clear" w:color="auto" w:fill="5B9BD5" w:themeFill="accent1"/>
      </w:tcPr>
    </w:tblStylePr>
    <w:tblStylePr w:type="lastRow">
      <w:pPr>
        <w:spacing w:before="0" w:after="0" w:line="240" w:lineRule="auto"/>
      </w:pPr>
      <w:rPr>
        <w:b/>
        <w:bCs/>
      </w:rPr>
      <w:tblPr/>
      <w:tcPr>
        <w:tcBorders>
          <w:top w:val="double" w:sz="6" w:space="0" w:color="5B9BD5" w:themeColor="accent1"/>
          <w:left w:val="single" w:sz="8" w:space="0" w:color="5B9BD5" w:themeColor="accent1"/>
          <w:bottom w:val="single" w:sz="8" w:space="0" w:color="5B9BD5" w:themeColor="accent1"/>
          <w:right w:val="single" w:sz="8" w:space="0" w:color="5B9BD5" w:themeColor="accent1"/>
        </w:tcBorders>
      </w:tcPr>
    </w:tblStylePr>
    <w:tblStylePr w:type="firstCol">
      <w:rPr>
        <w:b/>
        <w:bCs/>
      </w:rPr>
    </w:tblStylePr>
    <w:tblStylePr w:type="lastCol">
      <w:rPr>
        <w:b/>
        <w:bCs/>
      </w:rPr>
    </w:tblStylePr>
    <w:tblStylePr w:type="band1Vert">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tblStylePr w:type="band1Horz">
      <w:tblPr/>
      <w:tcPr>
        <w:tcBorders>
          <w:top w:val="single" w:sz="8" w:space="0" w:color="5B9BD5" w:themeColor="accent1"/>
          <w:left w:val="single" w:sz="8" w:space="0" w:color="5B9BD5" w:themeColor="accent1"/>
          <w:bottom w:val="single" w:sz="8" w:space="0" w:color="5B9BD5" w:themeColor="accent1"/>
          <w:right w:val="single" w:sz="8" w:space="0" w:color="5B9BD5" w:themeColor="accent1"/>
        </w:tcBorders>
      </w:tcPr>
    </w:tblStylePr>
  </w:style>
  <w:style w:type="paragraph" w:styleId="ListParagraph">
    <w:name w:val="List Paragraph"/>
    <w:basedOn w:val="Normal"/>
    <w:uiPriority w:val="34"/>
    <w:qFormat/>
    <w:rsid w:val="004A5321"/>
    <w:pPr>
      <w:ind w:firstLine="420" w:firstLineChars="200"/>
    </w:pPr>
  </w:style>
  <w:style w:type="paragraph" w:styleId="Title">
    <w:name w:val="Title"/>
    <w:basedOn w:val="Normal"/>
    <w:next w:val="Normal"/>
    <w:link w:val="a9"/>
    <w:uiPriority w:val="10"/>
    <w:qFormat/>
    <w:rsid w:val="004A5321"/>
    <w:pPr>
      <w:spacing w:before="240" w:after="60"/>
      <w:jc w:val="center"/>
      <w:outlineLvl w:val="0"/>
    </w:pPr>
    <w:rPr>
      <w:rFonts w:asciiTheme="majorHAnsi" w:eastAsiaTheme="majorEastAsia" w:hAnsiTheme="majorHAnsi" w:cstheme="majorBidi"/>
      <w:b/>
      <w:bCs/>
      <w:sz w:val="32"/>
      <w:szCs w:val="32"/>
    </w:rPr>
  </w:style>
  <w:style w:type="character" w:customStyle="1" w:styleId="a9">
    <w:name w:val="标题 字符"/>
    <w:basedOn w:val="DefaultParagraphFont"/>
    <w:link w:val="Title"/>
    <w:uiPriority w:val="10"/>
    <w:rsid w:val="004A5321"/>
    <w:rPr>
      <w:rFonts w:asciiTheme="majorHAnsi" w:eastAsiaTheme="majorEastAsia" w:hAnsiTheme="majorHAnsi" w:cstheme="majorBidi"/>
      <w:b/>
      <w:bCs/>
      <w:sz w:val="32"/>
      <w:szCs w:val="32"/>
    </w:rPr>
  </w:style>
  <w:style w:type="paragraph" w:customStyle="1" w:styleId="biaogeleft">
    <w:name w:val="biaoge_left"/>
    <w:basedOn w:val="Normal"/>
    <w:rsid w:val="005C5A2D"/>
    <w:pPr>
      <w:widowControl/>
      <w:autoSpaceDE w:val="0"/>
      <w:autoSpaceDN w:val="0"/>
      <w:adjustRightInd w:val="0"/>
      <w:spacing w:before="29"/>
      <w:ind w:left="15"/>
      <w:jc w:val="left"/>
    </w:pPr>
    <w:rPr>
      <w:rFonts w:ascii="宋体" w:hAnsi="宋体" w:cs="宋体"/>
      <w:kern w:val="0"/>
      <w:szCs w:val="24"/>
    </w:rPr>
  </w:style>
  <w:style w:type="paragraph" w:customStyle="1" w:styleId="biaogecenter">
    <w:name w:val="biaoge_center"/>
    <w:basedOn w:val="Normal"/>
    <w:rsid w:val="005C5A2D"/>
    <w:pPr>
      <w:widowControl/>
      <w:autoSpaceDE w:val="0"/>
      <w:autoSpaceDN w:val="0"/>
      <w:adjustRightInd w:val="0"/>
      <w:spacing w:before="29"/>
      <w:ind w:left="15"/>
      <w:jc w:val="center"/>
    </w:pPr>
    <w:rPr>
      <w:rFonts w:ascii="宋体" w:hAnsi="宋体" w:cs="宋体"/>
      <w:kern w:val="0"/>
      <w:szCs w:val="24"/>
    </w:rPr>
  </w:style>
  <w:style w:type="paragraph" w:customStyle="1" w:styleId="biaogeright">
    <w:name w:val="biaoge_right"/>
    <w:basedOn w:val="Normal"/>
    <w:rsid w:val="005C5A2D"/>
    <w:pPr>
      <w:widowControl/>
      <w:autoSpaceDE w:val="0"/>
      <w:autoSpaceDN w:val="0"/>
      <w:adjustRightInd w:val="0"/>
      <w:spacing w:before="29"/>
      <w:ind w:left="15"/>
      <w:jc w:val="right"/>
    </w:pPr>
    <w:rPr>
      <w:rFonts w:ascii="宋体" w:hAnsi="宋体" w:cs="宋体"/>
      <w:kern w:val="0"/>
      <w:szCs w:val="24"/>
    </w:rPr>
  </w:style>
  <w:style w:type="character" w:customStyle="1" w:styleId="zw">
    <w:name w:val="zw"/>
    <w:basedOn w:val="DefaultParagraphFont"/>
    <w:uiPriority w:val="1"/>
    <w:qFormat/>
    <w:rsid w:val="00EA2BBA"/>
    <w:rPr>
      <w:rFonts w:ascii="宋体" w:eastAsia="宋体" w:hAnsi="宋体"/>
      <w:color w:val="000000" w:themeColor="text1"/>
      <w:sz w:val="21"/>
    </w:rPr>
  </w:style>
  <w:style w:type="paragraph" w:styleId="TOCHeading">
    <w:name w:val="TOC Heading"/>
    <w:basedOn w:val="Heading1"/>
    <w:next w:val="Normal"/>
    <w:uiPriority w:val="39"/>
    <w:unhideWhenUsed/>
    <w:qFormat/>
    <w:rsid w:val="006907AF"/>
    <w:pPr>
      <w:keepNext/>
      <w:keepLines/>
      <w:widowControl/>
      <w:spacing w:before="24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paragraph" w:styleId="TOC4">
    <w:name w:val="toc 4"/>
    <w:basedOn w:val="Normal"/>
    <w:next w:val="Normal"/>
    <w:autoRedefine/>
    <w:uiPriority w:val="39"/>
    <w:unhideWhenUsed/>
    <w:rsid w:val="001A4FE5"/>
    <w:pPr>
      <w:ind w:left="630"/>
      <w:jc w:val="left"/>
    </w:pPr>
    <w:rPr>
      <w:sz w:val="18"/>
      <w:szCs w:val="18"/>
    </w:rPr>
  </w:style>
  <w:style w:type="paragraph" w:styleId="TOC5">
    <w:name w:val="toc 5"/>
    <w:basedOn w:val="Normal"/>
    <w:next w:val="Normal"/>
    <w:autoRedefine/>
    <w:uiPriority w:val="39"/>
    <w:unhideWhenUsed/>
    <w:rsid w:val="001A4FE5"/>
    <w:pPr>
      <w:ind w:left="840"/>
      <w:jc w:val="left"/>
    </w:pPr>
    <w:rPr>
      <w:sz w:val="18"/>
      <w:szCs w:val="18"/>
    </w:rPr>
  </w:style>
  <w:style w:type="paragraph" w:styleId="TOC6">
    <w:name w:val="toc 6"/>
    <w:basedOn w:val="Normal"/>
    <w:next w:val="Normal"/>
    <w:autoRedefine/>
    <w:uiPriority w:val="39"/>
    <w:unhideWhenUsed/>
    <w:rsid w:val="001A4FE5"/>
    <w:pPr>
      <w:ind w:left="1050"/>
      <w:jc w:val="left"/>
    </w:pPr>
    <w:rPr>
      <w:sz w:val="18"/>
      <w:szCs w:val="18"/>
    </w:rPr>
  </w:style>
  <w:style w:type="paragraph" w:styleId="TOC7">
    <w:name w:val="toc 7"/>
    <w:basedOn w:val="Normal"/>
    <w:next w:val="Normal"/>
    <w:autoRedefine/>
    <w:uiPriority w:val="39"/>
    <w:unhideWhenUsed/>
    <w:rsid w:val="001A4FE5"/>
    <w:pPr>
      <w:ind w:left="1260"/>
      <w:jc w:val="left"/>
    </w:pPr>
    <w:rPr>
      <w:sz w:val="18"/>
      <w:szCs w:val="18"/>
    </w:rPr>
  </w:style>
  <w:style w:type="paragraph" w:styleId="TOC8">
    <w:name w:val="toc 8"/>
    <w:basedOn w:val="Normal"/>
    <w:next w:val="Normal"/>
    <w:autoRedefine/>
    <w:uiPriority w:val="39"/>
    <w:unhideWhenUsed/>
    <w:rsid w:val="000160C2"/>
    <w:pPr>
      <w:ind w:left="1470"/>
      <w:jc w:val="left"/>
    </w:pPr>
    <w:rPr>
      <w:rFonts w:eastAsiaTheme="minorHAnsi"/>
      <w:sz w:val="18"/>
      <w:szCs w:val="18"/>
    </w:rPr>
  </w:style>
  <w:style w:type="paragraph" w:styleId="TOC9">
    <w:name w:val="toc 9"/>
    <w:basedOn w:val="Normal"/>
    <w:next w:val="Normal"/>
    <w:autoRedefine/>
    <w:uiPriority w:val="39"/>
    <w:unhideWhenUsed/>
    <w:rsid w:val="000160C2"/>
    <w:pPr>
      <w:ind w:left="1680"/>
      <w:jc w:val="left"/>
    </w:pPr>
    <w:rPr>
      <w:rFonts w:eastAsiaTheme="minorHAnsi"/>
      <w:sz w:val="18"/>
      <w:szCs w:val="18"/>
    </w:rPr>
  </w:style>
  <w:style w:type="paragraph" w:styleId="DocumentMap">
    <w:name w:val="Document Map"/>
    <w:basedOn w:val="Normal"/>
    <w:link w:val="a10"/>
    <w:uiPriority w:val="99"/>
    <w:semiHidden/>
    <w:unhideWhenUsed/>
    <w:rsid w:val="001A4FE5"/>
    <w:rPr>
      <w:rFonts w:ascii="宋体"/>
      <w:sz w:val="18"/>
      <w:szCs w:val="18"/>
    </w:rPr>
  </w:style>
  <w:style w:type="character" w:customStyle="1" w:styleId="a10">
    <w:name w:val="文档结构图 字符"/>
    <w:basedOn w:val="DefaultParagraphFont"/>
    <w:link w:val="DocumentMap"/>
    <w:uiPriority w:val="99"/>
    <w:semiHidden/>
    <w:rsid w:val="001A4FE5"/>
    <w:rPr>
      <w:rFonts w:ascii="宋体" w:eastAsia="宋体"/>
      <w:sz w:val="18"/>
      <w:szCs w:val="18"/>
    </w:rPr>
  </w:style>
  <w:style w:type="paragraph" w:customStyle="1" w:styleId="zhangjiep2">
    <w:name w:val="zhangjie_p2"/>
    <w:basedOn w:val="Heading3"/>
    <w:next w:val="Normal"/>
    <w:autoRedefine/>
    <w:qFormat/>
    <w:rsid w:val="005A2F39"/>
    <w:pPr>
      <w:spacing w:line="240" w:lineRule="auto"/>
      <w:jc w:val="left"/>
    </w:pPr>
    <w:rPr>
      <w:bCs w:val="0"/>
      <w:iCs/>
      <w:caps/>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image" Target="media/image1.jpeg" /><Relationship Id="rId7" Type="http://schemas.openxmlformats.org/officeDocument/2006/relationships/image" Target="media/image2.jpeg" /><Relationship Id="rId8" Type="http://schemas.openxmlformats.org/officeDocument/2006/relationships/header" Target="header1.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94A563A9-B7D3-4DED-9384-59C70ADE8A1A}">
  <ds:schemaRefs>
    <ds:schemaRef ds:uri="http://schemas.openxmlformats.org/officeDocument/2006/bibliography"/>
  </ds:schemaRefs>
</ds:datastoreItem>
</file>

<file path=customXml/itemProps2.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Pages>
  <Words>2</Words>
  <Characters>13</Characters>
  <Application>Microsoft Office Word</Application>
  <DocSecurity>0</DocSecurity>
  <Lines>1</Lines>
  <Paragraphs>1</Paragraphs>
  <ScaleCrop>false</ScaleCrop>
  <Company/>
  <LinksUpToDate>false</LinksUpToDate>
  <CharactersWithSpaces>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李思佳</cp:lastModifiedBy>
  <cp:revision>2</cp:revision>
  <dcterms:created xsi:type="dcterms:W3CDTF">2020-03-27T02:14:00Z</dcterms:created>
  <dcterms:modified xsi:type="dcterms:W3CDTF">2024-08-19T03:01:00Z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2052-11.1.0.9584</vt:lpwstr>
  </property>
</Properties>
</file>