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9.0 -->
  <w:body>
    <w:p w:rsidR="00033BEA" w:rsidP="00A76644" w14:paraId="1326CD91" w14:textId="77777777">
      <w:pPr>
        <w:pStyle w:val="TOC1"/>
        <w:tabs>
          <w:tab w:val="right" w:leader="dot" w:pos="9080"/>
        </w:tabs>
        <w:spacing w:before="72" w:after="120"/>
        <w:jc w:val="center"/>
        <w:rPr>
          <w:rFonts w:ascii="宋体" w:hAnsi="宋体"/>
          <w:b/>
          <w:bCs/>
          <w:sz w:val="24"/>
        </w:rPr>
      </w:pPr>
    </w:p>
    <w:p w:rsidR="00033BEA" w:rsidP="00A76644" w14:paraId="52A90100" w14:textId="77777777">
      <w:pPr>
        <w:pStyle w:val="TOC1"/>
        <w:tabs>
          <w:tab w:val="right" w:leader="dot" w:pos="9080"/>
        </w:tabs>
        <w:spacing w:before="72" w:after="120"/>
        <w:jc w:val="center"/>
        <w:rPr>
          <w:rFonts w:ascii="宋体" w:hAnsi="宋体"/>
          <w:b/>
          <w:bCs/>
          <w:sz w:val="24"/>
        </w:rPr>
      </w:pPr>
    </w:p>
    <w:p w:rsidR="00396EB6" w:rsidRPr="00421707" w:rsidP="001663E4" w14:paraId="38984839" w14:textId="77777777">
      <w:pPr>
        <w:pStyle w:val="TOC1"/>
        <w:tabs>
          <w:tab w:val="right" w:leader="dot" w:pos="9080"/>
        </w:tabs>
        <w:jc w:val="center"/>
        <w:rPr>
          <w:rFonts w:ascii="黑体" w:eastAsia="黑体" w:hAnsi="黑体"/>
          <w:b/>
          <w:bCs/>
          <w:sz w:val="36"/>
          <w:szCs w:val="36"/>
        </w:rPr>
      </w:pPr>
      <w:r w:rsidRPr="00421707">
        <w:rPr>
          <w:rFonts w:ascii="黑体" w:eastAsia="黑体" w:hAnsi="黑体" w:hint="eastAsia"/>
          <w:b/>
          <w:bCs/>
          <w:sz w:val="36"/>
          <w:szCs w:val="36"/>
        </w:rPr>
        <w:t>东方阿尔法精选灵活配置混合型发起式证券投资基金</w:t>
      </w:r>
    </w:p>
    <w:p w:rsidR="00396EB6" w:rsidRPr="00421707" w:rsidP="001663E4" w14:paraId="451789C6" w14:textId="77777777">
      <w:pPr>
        <w:pStyle w:val="TOC1"/>
        <w:tabs>
          <w:tab w:val="right" w:leader="dot" w:pos="9080"/>
        </w:tabs>
        <w:jc w:val="center"/>
        <w:rPr>
          <w:rFonts w:ascii="黑体" w:eastAsia="黑体" w:hAnsi="黑体"/>
          <w:b/>
          <w:bCs/>
          <w:sz w:val="36"/>
          <w:szCs w:val="36"/>
        </w:rPr>
      </w:pPr>
      <w:r w:rsidRPr="00421707">
        <w:rPr>
          <w:rFonts w:ascii="黑体" w:eastAsia="黑体" w:hAnsi="黑体" w:hint="eastAsia"/>
          <w:b/>
          <w:bCs/>
          <w:sz w:val="36"/>
          <w:szCs w:val="36"/>
        </w:rPr>
        <w:t>2026年第3季度报告</w:t>
      </w:r>
    </w:p>
    <w:p w:rsidR="00695511" w:rsidRPr="00A76644" w:rsidP="00421707" w14:paraId="330D4D51" w14:textId="77777777">
      <w:pPr>
        <w:pStyle w:val="TOC1"/>
        <w:tabs>
          <w:tab w:val="right" w:leader="dot" w:pos="9080"/>
        </w:tabs>
        <w:spacing w:line="480" w:lineRule="auto"/>
        <w:jc w:val="center"/>
        <w:rPr>
          <w:rFonts w:ascii="宋体" w:eastAsia="宋体" w:hAnsi="宋体" w:cs="宋体"/>
          <w:b/>
          <w:bCs/>
          <w:sz w:val="24"/>
        </w:rPr>
      </w:pPr>
      <w:r>
        <w:rPr>
          <w:rFonts w:ascii="宋体" w:eastAsia="宋体" w:hAnsi="宋体" w:cs="宋体" w:hint="eastAsia"/>
          <w:b/>
          <w:bCs/>
          <w:sz w:val="24"/>
        </w:rPr>
        <w:t>2026年09月30日</w:t>
      </w:r>
    </w:p>
    <w:p w:rsidR="00514F66" w:rsidRPr="00514F66" w:rsidP="00514F66" w14:paraId="205BF4D8" w14:textId="77777777">
      <w:pPr>
        <w:pStyle w:val="TOC1"/>
        <w:tabs>
          <w:tab w:val="right" w:leader="dot" w:pos="9080"/>
        </w:tabs>
        <w:spacing w:before="72" w:after="120"/>
        <w:jc w:val="center"/>
        <w:rPr>
          <w:rFonts w:ascii="宋体" w:hAnsi="宋体"/>
          <w:b/>
          <w:bCs/>
          <w:sz w:val="24"/>
        </w:rPr>
      </w:pPr>
    </w:p>
    <w:p w:rsidR="00514F66" w:rsidRPr="00514F66" w:rsidP="00514F66" w14:paraId="02CCC2D6" w14:textId="77777777">
      <w:pPr>
        <w:pStyle w:val="TOC1"/>
        <w:tabs>
          <w:tab w:val="right" w:leader="dot" w:pos="9080"/>
        </w:tabs>
        <w:spacing w:before="72" w:after="120"/>
        <w:jc w:val="center"/>
        <w:rPr>
          <w:rFonts w:ascii="宋体" w:hAnsi="宋体"/>
          <w:b/>
          <w:bCs/>
          <w:sz w:val="24"/>
        </w:rPr>
      </w:pPr>
    </w:p>
    <w:p w:rsidR="00514F66" w:rsidRPr="00514F66" w:rsidP="00514F66" w14:paraId="045B4059" w14:textId="77777777">
      <w:pPr>
        <w:pStyle w:val="TOC1"/>
        <w:tabs>
          <w:tab w:val="right" w:leader="dot" w:pos="9080"/>
        </w:tabs>
        <w:spacing w:before="72" w:after="120"/>
        <w:jc w:val="center"/>
        <w:rPr>
          <w:rFonts w:ascii="宋体" w:hAnsi="宋体"/>
          <w:b/>
          <w:bCs/>
          <w:sz w:val="24"/>
        </w:rPr>
      </w:pPr>
    </w:p>
    <w:p w:rsidR="00514F66" w:rsidRPr="00514F66" w:rsidP="00514F66" w14:paraId="3BC03714" w14:textId="77777777">
      <w:pPr>
        <w:pStyle w:val="TOC1"/>
        <w:tabs>
          <w:tab w:val="right" w:leader="dot" w:pos="9080"/>
        </w:tabs>
        <w:spacing w:before="72" w:after="120"/>
        <w:jc w:val="center"/>
        <w:rPr>
          <w:rFonts w:ascii="宋体" w:hAnsi="宋体"/>
          <w:b/>
          <w:bCs/>
          <w:sz w:val="24"/>
        </w:rPr>
      </w:pPr>
    </w:p>
    <w:p w:rsidR="00514F66" w:rsidRPr="00514F66" w:rsidP="00514F66" w14:paraId="580DD332" w14:textId="77777777">
      <w:pPr>
        <w:pStyle w:val="TOC1"/>
        <w:tabs>
          <w:tab w:val="right" w:leader="dot" w:pos="9080"/>
        </w:tabs>
        <w:spacing w:before="72" w:after="120"/>
        <w:jc w:val="center"/>
        <w:rPr>
          <w:rFonts w:ascii="宋体" w:hAnsi="宋体"/>
          <w:b/>
          <w:bCs/>
          <w:sz w:val="24"/>
        </w:rPr>
      </w:pPr>
    </w:p>
    <w:p w:rsidR="00514F66" w:rsidRPr="00514F66" w:rsidP="00514F66" w14:paraId="256C0706" w14:textId="77777777">
      <w:pPr>
        <w:pStyle w:val="TOC1"/>
        <w:tabs>
          <w:tab w:val="right" w:leader="dot" w:pos="9080"/>
        </w:tabs>
        <w:spacing w:before="72" w:after="120"/>
        <w:jc w:val="center"/>
        <w:rPr>
          <w:rFonts w:ascii="宋体" w:hAnsi="宋体"/>
          <w:b/>
          <w:bCs/>
          <w:sz w:val="24"/>
        </w:rPr>
      </w:pPr>
    </w:p>
    <w:p w:rsidR="00514F66" w:rsidRPr="00514F66" w:rsidP="00514F66" w14:paraId="3C562D33" w14:textId="77777777">
      <w:pPr>
        <w:pStyle w:val="TOC1"/>
        <w:tabs>
          <w:tab w:val="right" w:leader="dot" w:pos="9080"/>
        </w:tabs>
        <w:spacing w:before="72" w:after="120"/>
        <w:jc w:val="center"/>
        <w:rPr>
          <w:rFonts w:ascii="宋体" w:hAnsi="宋体"/>
          <w:b/>
          <w:bCs/>
          <w:sz w:val="24"/>
        </w:rPr>
      </w:pPr>
    </w:p>
    <w:p w:rsidR="00514F66" w:rsidRPr="00514F66" w:rsidP="00514F66" w14:paraId="5110C3F6" w14:textId="77777777">
      <w:pPr>
        <w:pStyle w:val="TOC1"/>
        <w:tabs>
          <w:tab w:val="right" w:leader="dot" w:pos="9080"/>
        </w:tabs>
        <w:spacing w:before="72" w:after="120"/>
        <w:jc w:val="center"/>
        <w:rPr>
          <w:rFonts w:ascii="宋体" w:hAnsi="宋体"/>
          <w:b/>
          <w:bCs/>
          <w:sz w:val="24"/>
        </w:rPr>
      </w:pPr>
    </w:p>
    <w:p w:rsidR="00514F66" w:rsidRPr="00514F66" w:rsidP="00514F66" w14:paraId="0B3A8452" w14:textId="77777777">
      <w:pPr>
        <w:pStyle w:val="TOC1"/>
        <w:tabs>
          <w:tab w:val="right" w:leader="dot" w:pos="9080"/>
        </w:tabs>
        <w:spacing w:before="72" w:after="120"/>
        <w:jc w:val="center"/>
        <w:rPr>
          <w:rFonts w:ascii="宋体" w:hAnsi="宋体"/>
          <w:b/>
          <w:bCs/>
          <w:sz w:val="24"/>
        </w:rPr>
      </w:pPr>
    </w:p>
    <w:p w:rsidR="00514F66" w:rsidRPr="00514F66" w:rsidP="00514F66" w14:paraId="5EF2E9FF" w14:textId="77777777">
      <w:pPr>
        <w:pStyle w:val="TOC1"/>
        <w:tabs>
          <w:tab w:val="right" w:leader="dot" w:pos="9080"/>
        </w:tabs>
        <w:spacing w:before="72" w:after="120"/>
        <w:jc w:val="center"/>
        <w:rPr>
          <w:rFonts w:ascii="宋体" w:hAnsi="宋体"/>
          <w:b/>
          <w:bCs/>
          <w:sz w:val="24"/>
        </w:rPr>
      </w:pPr>
    </w:p>
    <w:p w:rsidR="00514F66" w:rsidRPr="00514F66" w:rsidP="00514F66" w14:paraId="2807BBEC" w14:textId="77777777">
      <w:pPr>
        <w:pStyle w:val="TOC1"/>
        <w:tabs>
          <w:tab w:val="right" w:leader="dot" w:pos="9080"/>
        </w:tabs>
        <w:spacing w:before="72" w:after="120"/>
        <w:jc w:val="center"/>
        <w:rPr>
          <w:rFonts w:ascii="宋体" w:hAnsi="宋体"/>
          <w:b/>
          <w:bCs/>
          <w:sz w:val="24"/>
        </w:rPr>
      </w:pPr>
    </w:p>
    <w:p w:rsidR="00514F66" w:rsidRPr="00514F66" w:rsidP="00514F66" w14:paraId="4BC10FDF" w14:textId="77777777">
      <w:pPr>
        <w:pStyle w:val="TOC1"/>
        <w:tabs>
          <w:tab w:val="right" w:leader="dot" w:pos="9080"/>
        </w:tabs>
        <w:spacing w:before="72" w:after="120"/>
        <w:jc w:val="center"/>
        <w:rPr>
          <w:rFonts w:ascii="宋体" w:hAnsi="宋体"/>
          <w:b/>
          <w:bCs/>
          <w:sz w:val="24"/>
        </w:rPr>
      </w:pPr>
    </w:p>
    <w:p w:rsidR="00514F66" w:rsidRPr="00514F66" w:rsidP="00514F66" w14:paraId="488AAE42" w14:textId="77777777">
      <w:pPr>
        <w:pStyle w:val="TOC1"/>
        <w:tabs>
          <w:tab w:val="right" w:leader="dot" w:pos="9080"/>
        </w:tabs>
        <w:spacing w:before="72" w:after="120"/>
        <w:jc w:val="center"/>
        <w:rPr>
          <w:rFonts w:ascii="宋体" w:hAnsi="宋体"/>
          <w:b/>
          <w:bCs/>
          <w:sz w:val="24"/>
        </w:rPr>
      </w:pPr>
    </w:p>
    <w:p w:rsidR="00514F66" w:rsidRPr="00514F66" w:rsidP="00514F66" w14:paraId="0B4C086D" w14:textId="77777777">
      <w:pPr>
        <w:pStyle w:val="TOC1"/>
        <w:tabs>
          <w:tab w:val="right" w:leader="dot" w:pos="9080"/>
        </w:tabs>
        <w:spacing w:before="72" w:after="120"/>
        <w:jc w:val="center"/>
        <w:rPr>
          <w:rFonts w:ascii="宋体" w:hAnsi="宋体"/>
          <w:b/>
          <w:bCs/>
          <w:sz w:val="24"/>
        </w:rPr>
      </w:pPr>
    </w:p>
    <w:p w:rsidR="00514F66" w:rsidRPr="00514F66" w:rsidP="00514F66" w14:paraId="7EEBE708" w14:textId="77777777">
      <w:pPr>
        <w:pStyle w:val="TOC1"/>
        <w:tabs>
          <w:tab w:val="right" w:leader="dot" w:pos="9080"/>
        </w:tabs>
        <w:spacing w:before="72" w:after="120"/>
        <w:jc w:val="center"/>
        <w:rPr>
          <w:rFonts w:ascii="宋体" w:hAnsi="宋体"/>
          <w:b/>
          <w:bCs/>
          <w:sz w:val="24"/>
        </w:rPr>
      </w:pPr>
    </w:p>
    <w:p w:rsidR="00396EB6" w:rsidP="00421707" w14:paraId="3B0B08E8" w14:textId="77777777">
      <w:pPr>
        <w:pStyle w:val="TOC1"/>
        <w:tabs>
          <w:tab w:val="right" w:leader="dot" w:pos="9080"/>
        </w:tabs>
        <w:spacing w:line="360" w:lineRule="auto"/>
        <w:jc w:val="center"/>
        <w:rPr>
          <w:rFonts w:ascii="宋体" w:eastAsia="宋体" w:hAnsi="宋体" w:cs="宋体"/>
          <w:b/>
          <w:bCs/>
          <w:sz w:val="24"/>
        </w:rPr>
      </w:pPr>
      <w:r>
        <w:rPr>
          <w:rFonts w:ascii="宋体" w:eastAsia="宋体" w:hAnsi="宋体" w:cs="宋体" w:hint="eastAsia"/>
          <w:b/>
          <w:bCs/>
          <w:sz w:val="24"/>
        </w:rPr>
        <w:t>基金管理人:</w:t>
      </w:r>
      <w:r>
        <w:rPr>
          <w:rFonts w:ascii="宋体" w:eastAsia="宋体" w:hAnsi="宋体" w:cs="宋体"/>
          <w:b/>
          <w:color w:val="auto"/>
          <w:sz w:val="24"/>
          <w:u w:val="none"/>
        </w:rPr>
        <w:t>东方阿尔法基金管理有限公司</w:t>
      </w:r>
    </w:p>
    <w:p w:rsidR="00396EB6" w:rsidP="00421707" w14:paraId="31616E72" w14:textId="77777777">
      <w:pPr>
        <w:pStyle w:val="TOC1"/>
        <w:tabs>
          <w:tab w:val="right" w:leader="dot" w:pos="9080"/>
        </w:tabs>
        <w:spacing w:line="360" w:lineRule="auto"/>
        <w:jc w:val="center"/>
        <w:rPr>
          <w:rFonts w:ascii="宋体" w:eastAsia="宋体" w:hAnsi="宋体" w:cs="宋体"/>
          <w:b/>
          <w:bCs/>
          <w:sz w:val="24"/>
        </w:rPr>
      </w:pPr>
      <w:r>
        <w:rPr>
          <w:rFonts w:ascii="宋体" w:eastAsia="宋体" w:hAnsi="宋体" w:cs="宋体" w:hint="eastAsia"/>
          <w:b/>
          <w:bCs/>
          <w:sz w:val="24"/>
        </w:rPr>
        <w:t>基金托管人:</w:t>
      </w:r>
      <w:r>
        <w:rPr>
          <w:rFonts w:ascii="宋体" w:eastAsia="宋体" w:hAnsi="宋体" w:cs="宋体"/>
          <w:b/>
          <w:color w:val="auto"/>
          <w:sz w:val="24"/>
          <w:u w:val="none"/>
        </w:rPr>
        <w:t>招商银行股份有限公司</w:t>
      </w:r>
    </w:p>
    <w:p w:rsidR="00396EB6" w:rsidP="00421707" w14:paraId="01D6CDCE" w14:textId="77777777">
      <w:pPr>
        <w:pStyle w:val="TOC1"/>
        <w:tabs>
          <w:tab w:val="right" w:leader="dot" w:pos="9080"/>
        </w:tabs>
        <w:spacing w:line="360" w:lineRule="auto"/>
        <w:jc w:val="center"/>
        <w:rPr>
          <w:rFonts w:ascii="宋体" w:eastAsia="宋体" w:hAnsi="宋体" w:cs="宋体"/>
          <w:b/>
          <w:bCs/>
          <w:sz w:val="24"/>
        </w:rPr>
      </w:pPr>
      <w:r>
        <w:rPr>
          <w:rFonts w:ascii="宋体" w:eastAsia="宋体" w:hAnsi="宋体" w:cs="宋体" w:hint="eastAsia"/>
          <w:b/>
          <w:bCs/>
          <w:sz w:val="24"/>
        </w:rPr>
        <w:t>报告送出日期:</w:t>
      </w:r>
      <w:r>
        <w:rPr>
          <w:rFonts w:ascii="宋体" w:eastAsia="宋体" w:hAnsi="宋体" w:cs="宋体"/>
          <w:b/>
          <w:color w:val="auto"/>
          <w:sz w:val="24"/>
          <w:u w:val="none"/>
        </w:rPr>
        <w:t>2026年10月26日</w:t>
      </w:r>
    </w:p>
    <w:p w:rsidR="00396EB6" w:rsidP="00A76644" w14:paraId="28A208C4" w14:textId="77777777">
      <w:pPr>
        <w:jc w:val="center"/>
      </w:pPr>
      <w:r>
        <w:br w:type="page"/>
      </w:r>
    </w:p>
    <w:p w:rsidR="00C370BD" w:rsidRPr="00C370BD" w:rsidP="00801225" w14:paraId="6B371222" w14:textId="77777777">
      <w:pPr>
        <w:pStyle w:val="Heading1"/>
        <w:spacing w:line="576" w:lineRule="auto"/>
        <w:jc w:val="center"/>
        <w:rPr>
          <w:rFonts w:ascii="宋体" w:eastAsia="宋体" w:hAnsi="宋体"/>
          <w:sz w:val="24"/>
          <w:szCs w:val="24"/>
        </w:rPr>
      </w:pPr>
      <w:bookmarkStart w:id="0" w:name="_Toc73379713"/>
      <w:r w:rsidRPr="00C370BD">
        <w:rPr>
          <w:rFonts w:ascii="宋体" w:eastAsia="宋体" w:hAnsi="宋体" w:hint="eastAsia"/>
          <w:bCs w:val="0"/>
          <w:sz w:val="24"/>
          <w:szCs w:val="24"/>
        </w:rPr>
        <w:t>§1 重要提示</w:t>
      </w:r>
      <w:bookmarkEnd w:id="0"/>
    </w:p>
    <w:p w:rsidR="00F07C93" w:rsidP="00E67AEA" w14:paraId="7F352D6E" w14:textId="35951F40">
      <w:pPr>
        <w:widowControl/>
        <w:rPr>
          <w:rFonts w:ascii="宋体" w:eastAsia="宋体" w:hAnsi="宋体"/>
        </w:rPr>
      </w:pPr>
      <w:r>
        <w:t xml:space="preserve">    基金管理人的董事会及董事保证本报告所载资料不存在虚假记载、误导性陈述或重大遗漏，并对其内容的真实性、准确性和完整性承担个别及连带责任。</w:t>
        <w:cr/>
        <w:t xml:space="preserve">    基金托管人招商银行股份有限公司根据本基金合同规定，于2026年10月23日复核了本报告中的财务指标、净值表现和投资组合报告等内容，保证复核内容不存在虚假记载、误导性陈述或者重大遗漏。</w:t>
        <w:cr/>
        <w:t xml:space="preserve">    基金管理人承诺以诚实信用、勤勉尽责的原则管理和运用基金资产，但不保证基金一定盈利。</w:t>
        <w:cr/>
        <w:t xml:space="preserve">    基金的过往业绩并不代表其未来表现。投资有风险，投资者在做出投资决策前应仔细阅读本基金的招募说明书。</w:t>
        <w:cr/>
        <w:t xml:space="preserve">    本报告中财务资料未经审计。</w:t>
        <w:cr/>
        <w:t xml:space="preserve">    本报告期自2026年07月01日起至2026年09月30日止。</w:t>
      </w:r>
    </w:p>
    <w:p/>
    <w:p>
      <w:pPr>
        <w:pStyle w:val="Heading1"/>
        <w:jc w:val="center"/>
      </w:pPr>
      <w:r>
        <w:rPr>
          <w:rFonts w:ascii="宋体" w:eastAsia="宋体" w:hAnsi="宋体" w:cs="宋体"/>
        </w:rPr>
        <w:t>§2 基金产品概况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Grid>
        <w:gridCol w:w="3021"/>
        <w:gridCol w:w="3021"/>
        <w:gridCol w:w="3021"/>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3" w:type="pct"/>
            <w:vAlign w:val="center"/>
          </w:tcPr>
          <w:p>
            <w:pPr>
              <w:spacing w:line="240" w:lineRule="auto"/>
              <w:jc w:val="left"/>
            </w:pPr>
            <w:r>
              <w:rPr>
                <w:rFonts w:ascii="宋体" w:eastAsia="宋体" w:hAnsi="宋体" w:cs="宋体"/>
                <w:b w:val="0"/>
              </w:rPr>
              <w:t>基金简称</w:t>
            </w:r>
          </w:p>
        </w:tc>
        <w:tc>
          <w:tcPr>
            <w:tcW w:w="3077" w:type="pct"/>
            <w:gridSpan w:val="2"/>
            <w:vAlign w:val="center"/>
          </w:tcPr>
          <w:p>
            <w:pPr>
              <w:spacing w:line="240" w:lineRule="auto"/>
              <w:jc w:val="left"/>
            </w:pPr>
            <w:r>
              <w:rPr>
                <w:rFonts w:ascii="宋体" w:eastAsia="宋体" w:hAnsi="宋体" w:cs="宋体"/>
                <w:b w:val="0"/>
              </w:rPr>
              <w:t>东方阿尔法精选混合</w:t>
            </w:r>
          </w:p>
        </w:tc>
      </w:tr>
      <w:tr>
        <w:tblPrEx>
          <w:tblW w:w="5000" w:type="pct"/>
        </w:tblPrEx>
        <w:tc>
          <w:tcPr>
            <w:tcW w:w="1923" w:type="pct"/>
            <w:vAlign w:val="center"/>
          </w:tcPr>
          <w:p>
            <w:pPr>
              <w:spacing w:line="240" w:lineRule="auto"/>
              <w:jc w:val="left"/>
            </w:pPr>
            <w:r>
              <w:rPr>
                <w:rFonts w:ascii="宋体" w:eastAsia="宋体" w:hAnsi="宋体" w:cs="宋体"/>
                <w:b w:val="0"/>
              </w:rPr>
              <w:t>基金主代码</w:t>
            </w:r>
          </w:p>
        </w:tc>
        <w:tc>
          <w:tcPr>
            <w:tcW w:w="0" w:type="dxa"/>
            <w:gridSpan w:val="2"/>
            <w:vAlign w:val="center"/>
          </w:tcPr>
          <w:p>
            <w:pPr>
              <w:spacing w:line="240" w:lineRule="auto"/>
              <w:jc w:val="left"/>
            </w:pPr>
            <w:r>
              <w:rPr>
                <w:rFonts w:ascii="宋体" w:eastAsia="宋体" w:hAnsi="宋体" w:cs="宋体"/>
                <w:b w:val="0"/>
              </w:rPr>
              <w:t>005358</w:t>
            </w:r>
          </w:p>
        </w:tc>
      </w:tr>
      <w:tr>
        <w:tblPrEx>
          <w:tblW w:w="5000" w:type="pct"/>
        </w:tblPrEx>
        <w:tc>
          <w:tcPr>
            <w:tcW w:w="1923" w:type="pct"/>
            <w:vAlign w:val="center"/>
          </w:tcPr>
          <w:p>
            <w:pPr>
              <w:spacing w:line="240" w:lineRule="auto"/>
              <w:jc w:val="left"/>
            </w:pPr>
            <w:r>
              <w:rPr>
                <w:rFonts w:ascii="宋体" w:eastAsia="宋体" w:hAnsi="宋体" w:cs="宋体"/>
                <w:b w:val="0"/>
              </w:rPr>
              <w:t>基金运作方式</w:t>
            </w:r>
          </w:p>
        </w:tc>
        <w:tc>
          <w:tcPr>
            <w:tcW w:w="0" w:type="dxa"/>
            <w:gridSpan w:val="2"/>
            <w:vAlign w:val="center"/>
          </w:tcPr>
          <w:p>
            <w:pPr>
              <w:spacing w:line="240" w:lineRule="auto"/>
              <w:jc w:val="left"/>
            </w:pPr>
            <w:r>
              <w:rPr>
                <w:rFonts w:ascii="宋体" w:eastAsia="宋体" w:hAnsi="宋体" w:cs="宋体"/>
                <w:b w:val="0"/>
              </w:rPr>
              <w:t>契约型开放式</w:t>
            </w:r>
          </w:p>
        </w:tc>
      </w:tr>
      <w:tr>
        <w:tblPrEx>
          <w:tblW w:w="5000" w:type="pct"/>
        </w:tblPrEx>
        <w:tc>
          <w:tcPr>
            <w:tcW w:w="1923" w:type="pct"/>
            <w:vAlign w:val="center"/>
          </w:tcPr>
          <w:p>
            <w:pPr>
              <w:spacing w:line="240" w:lineRule="auto"/>
              <w:jc w:val="left"/>
            </w:pPr>
            <w:r>
              <w:rPr>
                <w:rFonts w:ascii="宋体" w:eastAsia="宋体" w:hAnsi="宋体" w:cs="宋体"/>
                <w:b w:val="0"/>
              </w:rPr>
              <w:t>基金合同生效日</w:t>
            </w:r>
          </w:p>
        </w:tc>
        <w:tc>
          <w:tcPr>
            <w:tcW w:w="0" w:type="dxa"/>
            <w:gridSpan w:val="2"/>
            <w:vAlign w:val="center"/>
          </w:tcPr>
          <w:p>
            <w:pPr>
              <w:spacing w:line="240" w:lineRule="auto"/>
              <w:jc w:val="left"/>
            </w:pPr>
            <w:r>
              <w:rPr>
                <w:rFonts w:ascii="宋体" w:eastAsia="宋体" w:hAnsi="宋体" w:cs="宋体"/>
                <w:b w:val="0"/>
              </w:rPr>
              <w:t>2018年02月08日</w:t>
            </w:r>
          </w:p>
        </w:tc>
      </w:tr>
      <w:tr>
        <w:tblPrEx>
          <w:tblW w:w="5000" w:type="pct"/>
        </w:tblPrEx>
        <w:tc>
          <w:tcPr>
            <w:tcW w:w="1923" w:type="pct"/>
            <w:vAlign w:val="center"/>
          </w:tcPr>
          <w:p>
            <w:pPr>
              <w:spacing w:line="240" w:lineRule="auto"/>
              <w:jc w:val="left"/>
            </w:pPr>
            <w:r>
              <w:rPr>
                <w:rFonts w:ascii="宋体" w:eastAsia="宋体" w:hAnsi="宋体" w:cs="宋体"/>
                <w:b w:val="0"/>
              </w:rPr>
              <w:t>报告期末基金份额总额</w:t>
            </w:r>
          </w:p>
        </w:tc>
        <w:tc>
          <w:tcPr>
            <w:tcW w:w="0" w:type="dxa"/>
            <w:gridSpan w:val="2"/>
            <w:vAlign w:val="center"/>
          </w:tcPr>
          <w:p>
            <w:pPr>
              <w:spacing w:line="240" w:lineRule="auto"/>
              <w:jc w:val="left"/>
            </w:pPr>
            <w:r>
              <w:rPr>
                <w:rFonts w:ascii="宋体" w:eastAsia="宋体" w:hAnsi="宋体" w:cs="宋体"/>
                <w:b w:val="0"/>
              </w:rPr>
              <w:t>622,070,968.29份</w:t>
            </w:r>
          </w:p>
        </w:tc>
      </w:tr>
      <w:tr>
        <w:tblPrEx>
          <w:tblW w:w="5000" w:type="pct"/>
        </w:tblPrEx>
        <w:tc>
          <w:tcPr>
            <w:tcW w:w="1923" w:type="pct"/>
            <w:vAlign w:val="center"/>
          </w:tcPr>
          <w:p>
            <w:pPr>
              <w:spacing w:line="240" w:lineRule="auto"/>
              <w:jc w:val="left"/>
            </w:pPr>
            <w:r>
              <w:rPr>
                <w:rFonts w:ascii="宋体" w:eastAsia="宋体" w:hAnsi="宋体" w:cs="宋体"/>
                <w:b w:val="0"/>
              </w:rPr>
              <w:t>投资目标</w:t>
            </w:r>
          </w:p>
        </w:tc>
        <w:tc>
          <w:tcPr>
            <w:tcW w:w="2592" w:type="pct"/>
            <w:gridSpan w:val="2"/>
            <w:vAlign w:val="center"/>
          </w:tcPr>
          <w:p>
            <w:pPr>
              <w:spacing w:line="240" w:lineRule="auto"/>
              <w:jc w:val="left"/>
            </w:pPr>
            <w:r>
              <w:rPr>
                <w:rFonts w:ascii="宋体" w:eastAsia="宋体" w:hAnsi="宋体" w:cs="宋体"/>
                <w:b w:val="0"/>
              </w:rPr>
              <w:t>在严格控制风险的基础之上，通过灵活、主动的投资管理方式力求实现组合资产的稳健增值。</w:t>
            </w:r>
          </w:p>
        </w:tc>
      </w:tr>
      <w:tr>
        <w:tblPrEx>
          <w:tblW w:w="5000" w:type="pct"/>
        </w:tblPrEx>
        <w:tc>
          <w:tcPr>
            <w:tcW w:w="1923" w:type="pct"/>
            <w:vAlign w:val="center"/>
          </w:tcPr>
          <w:p>
            <w:pPr>
              <w:spacing w:line="240" w:lineRule="auto"/>
              <w:jc w:val="left"/>
            </w:pPr>
            <w:r>
              <w:rPr>
                <w:rFonts w:ascii="宋体" w:eastAsia="宋体" w:hAnsi="宋体" w:cs="宋体"/>
                <w:b w:val="0"/>
              </w:rPr>
              <w:t>投资策略</w:t>
            </w:r>
          </w:p>
        </w:tc>
        <w:tc>
          <w:tcPr>
            <w:tcW w:w="0" w:type="dxa"/>
            <w:gridSpan w:val="2"/>
            <w:vAlign w:val="center"/>
          </w:tcPr>
          <w:p>
            <w:pPr>
              <w:spacing w:line="240" w:lineRule="auto"/>
              <w:jc w:val="left"/>
            </w:pPr>
            <w:r>
              <w:rPr>
                <w:rFonts w:ascii="宋体" w:eastAsia="宋体" w:hAnsi="宋体" w:cs="宋体"/>
                <w:b w:val="0"/>
              </w:rPr>
              <w:t>本基金的投资策略主要有以下10个方面内容：</w:t>
              <w:br/>
            </w:r>
            <w:r>
              <w:rPr>
                <w:rFonts w:ascii="宋体" w:eastAsia="宋体" w:hAnsi="宋体" w:cs="宋体"/>
                <w:b w:val="0"/>
              </w:rPr>
              <w:t>1、大类资产配置策略</w:t>
              <w:br/>
            </w:r>
            <w:r>
              <w:rPr>
                <w:rFonts w:ascii="宋体" w:eastAsia="宋体" w:hAnsi="宋体" w:cs="宋体"/>
                <w:b w:val="0"/>
              </w:rPr>
              <w:t>基金管理人将根据国内外宏观经济情况、国内外证券市场估值水平阶段性不断调整权益类资产和其他资产之间的大类资产配置比例。</w:t>
              <w:br/>
            </w:r>
            <w:r>
              <w:rPr>
                <w:rFonts w:ascii="宋体" w:eastAsia="宋体" w:hAnsi="宋体" w:cs="宋体"/>
                <w:b w:val="0"/>
              </w:rPr>
              <w:t>2、个股优选策略</w:t>
              <w:br/>
            </w:r>
            <w:r>
              <w:rPr>
                <w:rFonts w:ascii="宋体" w:eastAsia="宋体" w:hAnsi="宋体" w:cs="宋体"/>
                <w:b w:val="0"/>
              </w:rPr>
              <w:t>基金管理人将采用定量分析与定性分析相结合的方式对上市公司进行分析，建立备选股票池，并以备选股票池成份股未来两年的PE衡量动态性价比作为选择其进入投资组合的重要依据。</w:t>
              <w:br/>
            </w:r>
            <w:r>
              <w:rPr>
                <w:rFonts w:ascii="宋体" w:eastAsia="宋体" w:hAnsi="宋体" w:cs="宋体"/>
                <w:b w:val="0"/>
              </w:rPr>
              <w:t>3、港股投资策略</w:t>
              <w:br/>
            </w:r>
            <w:r>
              <w:rPr>
                <w:rFonts w:ascii="宋体" w:eastAsia="宋体" w:hAnsi="宋体" w:cs="宋体"/>
                <w:b w:val="0"/>
              </w:rPr>
              <w:t>本基金港股投资将重点关注A股稀缺性行业个股、A股缺乏投资标的行业、具有持续领先优势或核心竞争力的企业、符合内地政策和投资逻辑的主题性行业个股以及与A股同类公司相比具有估值优势的公司。</w:t>
              <w:br/>
            </w:r>
            <w:r>
              <w:rPr>
                <w:rFonts w:ascii="宋体" w:eastAsia="宋体" w:hAnsi="宋体" w:cs="宋体"/>
                <w:b w:val="0"/>
              </w:rPr>
              <w:t>4、存托凭证投资策略</w:t>
              <w:br/>
            </w:r>
            <w:r>
              <w:rPr>
                <w:rFonts w:ascii="宋体" w:eastAsia="宋体" w:hAnsi="宋体" w:cs="宋体"/>
                <w:b w:val="0"/>
              </w:rPr>
              <w:t>本基金可投资存托凭证，本基金将在深入研究的基础上，通过定性分析和定量分析相结合的方式，选择投资价值高的存托凭证进行投资。</w:t>
              <w:br/>
            </w:r>
            <w:r>
              <w:rPr>
                <w:rFonts w:ascii="宋体" w:eastAsia="宋体" w:hAnsi="宋体" w:cs="宋体"/>
                <w:b w:val="0"/>
              </w:rPr>
              <w:t>5、债券类资产投资策略</w:t>
              <w:br/>
            </w:r>
            <w:r>
              <w:rPr>
                <w:rFonts w:ascii="宋体" w:eastAsia="宋体" w:hAnsi="宋体" w:cs="宋体"/>
                <w:b w:val="0"/>
              </w:rPr>
              <w:t>本基金的债券投资将采取较为积极的策略，通过利率预测分析、收益率曲线变动分析、债券信用分析、收益率利差分析等，研判各类属固定收益类资产的风险趋势与收益预期，精选个券进行投资。</w:t>
              <w:br/>
            </w:r>
            <w:r>
              <w:rPr>
                <w:rFonts w:ascii="宋体" w:eastAsia="宋体" w:hAnsi="宋体" w:cs="宋体"/>
                <w:b w:val="0"/>
              </w:rPr>
              <w:t>6、权证投资策略</w:t>
              <w:br/>
            </w:r>
            <w:r>
              <w:rPr>
                <w:rFonts w:ascii="宋体" w:eastAsia="宋体" w:hAnsi="宋体" w:cs="宋体"/>
                <w:b w:val="0"/>
              </w:rPr>
              <w:t>采用市场公认的多种期权定价模型对权证进行定价，作为权证投资的价值基准，并根据权证标的股票基本面的研究估值，结合权证理论价值进行权证趋势投资。</w:t>
              <w:br/>
            </w:r>
            <w:r>
              <w:rPr>
                <w:rFonts w:ascii="宋体" w:eastAsia="宋体" w:hAnsi="宋体" w:cs="宋体"/>
                <w:b w:val="0"/>
              </w:rPr>
              <w:t>7、股指期货投资策略</w:t>
              <w:br/>
            </w:r>
            <w:r>
              <w:rPr>
                <w:rFonts w:ascii="宋体" w:eastAsia="宋体" w:hAnsi="宋体" w:cs="宋体"/>
                <w:b w:val="0"/>
              </w:rPr>
              <w:t>本基金投资股指期货将以投资组合避险和有效管理为目的，通过套期保值策略，对冲系统性风险，应对组合构建与调整中的流动性风险，力求风险收益的优化。</w:t>
              <w:br/>
            </w:r>
            <w:r>
              <w:rPr>
                <w:rFonts w:ascii="宋体" w:eastAsia="宋体" w:hAnsi="宋体" w:cs="宋体"/>
                <w:b w:val="0"/>
              </w:rPr>
              <w:t>8、融资买入股票策略</w:t>
              <w:br/>
            </w:r>
            <w:r>
              <w:rPr>
                <w:rFonts w:ascii="宋体" w:eastAsia="宋体" w:hAnsi="宋体" w:cs="宋体"/>
                <w:b w:val="0"/>
              </w:rPr>
              <w:t>本基金将根据融资买入股票成本以及其他投资工具收益率综合评估是否采用融资方式买入股票。</w:t>
              <w:br/>
            </w:r>
            <w:r>
              <w:rPr>
                <w:rFonts w:ascii="宋体" w:eastAsia="宋体" w:hAnsi="宋体" w:cs="宋体"/>
                <w:b w:val="0"/>
              </w:rPr>
              <w:t>9、国债期货的投资策略</w:t>
              <w:br/>
            </w:r>
            <w:r>
              <w:rPr>
                <w:rFonts w:ascii="宋体" w:eastAsia="宋体" w:hAnsi="宋体" w:cs="宋体"/>
                <w:b w:val="0"/>
              </w:rPr>
              <w:t>基金管理人将结合对宏观经济形势和政策趋势的判断、对债券市场进行定性和定量分析，构建量化分析体系，对国债期货和现货的基差、国债期货的流动性、波动水平、套期保值的有效性等指标进行跟踪监控。</w:t>
              <w:br/>
            </w:r>
            <w:r>
              <w:rPr>
                <w:rFonts w:ascii="宋体" w:eastAsia="宋体" w:hAnsi="宋体" w:cs="宋体"/>
                <w:b w:val="0"/>
              </w:rPr>
              <w:t>10、中小企业私募债券投资策略</w:t>
              <w:br/>
            </w:r>
            <w:r>
              <w:rPr>
                <w:rFonts w:ascii="宋体" w:eastAsia="宋体" w:hAnsi="宋体" w:cs="宋体"/>
                <w:b w:val="0"/>
              </w:rPr>
              <w:t>本基金根据内部的信用分析方法对可选的中小企业私募债券品种进行筛选过滤，重点分析发行主体的公司背景、竞争地位、治理结构、盈利能力、偿债能力、现金流水平等诸多因素，采用数量化方法对主体所发行债券进行打分和投资价值评估，选择发行主体资质优良，估值合理且流通相对充分的品种进行适度投资。</w:t>
            </w:r>
          </w:p>
        </w:tc>
      </w:tr>
      <w:tr>
        <w:tblPrEx>
          <w:tblW w:w="5000" w:type="pct"/>
        </w:tblPrEx>
        <w:tc>
          <w:tcPr>
            <w:tcW w:w="1923" w:type="pct"/>
            <w:vAlign w:val="center"/>
          </w:tcPr>
          <w:p>
            <w:pPr>
              <w:spacing w:line="240" w:lineRule="auto"/>
              <w:jc w:val="left"/>
            </w:pPr>
            <w:r>
              <w:rPr>
                <w:rFonts w:ascii="宋体" w:eastAsia="宋体" w:hAnsi="宋体" w:cs="宋体"/>
                <w:b w:val="0"/>
              </w:rPr>
              <w:t>业绩比较基准</w:t>
            </w:r>
          </w:p>
        </w:tc>
        <w:tc>
          <w:tcPr>
            <w:tcW w:w="0" w:type="dxa"/>
            <w:gridSpan w:val="2"/>
            <w:vAlign w:val="center"/>
          </w:tcPr>
          <w:p>
            <w:pPr>
              <w:spacing w:line="240" w:lineRule="auto"/>
              <w:jc w:val="left"/>
            </w:pPr>
            <w:r>
              <w:rPr>
                <w:rFonts w:ascii="宋体" w:eastAsia="宋体" w:hAnsi="宋体" w:cs="宋体"/>
                <w:b w:val="0"/>
              </w:rPr>
              <w:t>沪深300指数收益率×40%+中证综合债券指数收益率×40%+恒生指数收益率×20%</w:t>
            </w:r>
          </w:p>
        </w:tc>
      </w:tr>
      <w:tr>
        <w:tblPrEx>
          <w:tblW w:w="5000" w:type="pct"/>
        </w:tblPrEx>
        <w:tc>
          <w:tcPr>
            <w:tcW w:w="1923" w:type="pct"/>
            <w:vAlign w:val="center"/>
          </w:tcPr>
          <w:p>
            <w:pPr>
              <w:spacing w:line="240" w:lineRule="auto"/>
              <w:jc w:val="left"/>
            </w:pPr>
            <w:r>
              <w:rPr>
                <w:rFonts w:ascii="宋体" w:eastAsia="宋体" w:hAnsi="宋体" w:cs="宋体"/>
                <w:b w:val="0"/>
              </w:rPr>
              <w:t>风险收益特征</w:t>
            </w:r>
          </w:p>
        </w:tc>
        <w:tc>
          <w:tcPr>
            <w:tcW w:w="2592" w:type="pct"/>
            <w:gridSpan w:val="2"/>
            <w:vAlign w:val="center"/>
          </w:tcPr>
          <w:p>
            <w:pPr>
              <w:spacing w:line="240" w:lineRule="auto"/>
              <w:jc w:val="left"/>
            </w:pPr>
            <w:r>
              <w:rPr>
                <w:rFonts w:ascii="宋体" w:eastAsia="宋体" w:hAnsi="宋体" w:cs="宋体"/>
                <w:b w:val="0"/>
              </w:rPr>
              <w:t>本基金为混合型基金，其预期收益和风险高于货币型基金、债券型基金。本基金如果投资港股通标的股票，需承担汇率风险以及境外市场的风险。</w:t>
            </w:r>
          </w:p>
        </w:tc>
      </w:tr>
      <w:tr>
        <w:tblPrEx>
          <w:tblW w:w="5000" w:type="pct"/>
        </w:tblPrEx>
        <w:tc>
          <w:tcPr>
            <w:tcW w:w="1923" w:type="pct"/>
            <w:vAlign w:val="center"/>
          </w:tcPr>
          <w:p>
            <w:pPr>
              <w:spacing w:line="240" w:lineRule="auto"/>
              <w:jc w:val="left"/>
            </w:pPr>
            <w:r>
              <w:rPr>
                <w:rFonts w:ascii="宋体" w:eastAsia="宋体" w:hAnsi="宋体" w:cs="宋体"/>
                <w:b w:val="0"/>
              </w:rPr>
              <w:t>基金管理人</w:t>
            </w:r>
          </w:p>
        </w:tc>
        <w:tc>
          <w:tcPr>
            <w:tcW w:w="0" w:type="dxa"/>
            <w:gridSpan w:val="2"/>
            <w:vAlign w:val="center"/>
          </w:tcPr>
          <w:p>
            <w:pPr>
              <w:spacing w:line="240" w:lineRule="auto"/>
              <w:jc w:val="left"/>
            </w:pPr>
            <w:r>
              <w:rPr>
                <w:rFonts w:ascii="宋体" w:eastAsia="宋体" w:hAnsi="宋体" w:cs="宋体"/>
                <w:b w:val="0"/>
              </w:rPr>
              <w:t>东方阿尔法基金管理有限公司</w:t>
            </w:r>
          </w:p>
        </w:tc>
      </w:tr>
      <w:tr>
        <w:tblPrEx>
          <w:tblW w:w="5000" w:type="pct"/>
        </w:tblPrEx>
        <w:tc>
          <w:tcPr>
            <w:tcW w:w="1923" w:type="pct"/>
            <w:vAlign w:val="center"/>
          </w:tcPr>
          <w:p>
            <w:pPr>
              <w:spacing w:line="240" w:lineRule="auto"/>
              <w:jc w:val="left"/>
            </w:pPr>
            <w:r>
              <w:rPr>
                <w:rFonts w:ascii="宋体" w:eastAsia="宋体" w:hAnsi="宋体" w:cs="宋体"/>
                <w:b w:val="0"/>
              </w:rPr>
              <w:t>基金托管人</w:t>
            </w:r>
          </w:p>
        </w:tc>
        <w:tc>
          <w:tcPr>
            <w:tcW w:w="0" w:type="dxa"/>
            <w:gridSpan w:val="2"/>
            <w:vAlign w:val="center"/>
          </w:tcPr>
          <w:p>
            <w:pPr>
              <w:spacing w:line="240" w:lineRule="auto"/>
              <w:jc w:val="left"/>
            </w:pPr>
            <w:r>
              <w:rPr>
                <w:rFonts w:ascii="宋体" w:eastAsia="宋体" w:hAnsi="宋体" w:cs="宋体"/>
                <w:b w:val="0"/>
              </w:rPr>
              <w:t>招商银行股份有限公司</w:t>
            </w:r>
          </w:p>
        </w:tc>
      </w:tr>
      <w:tr>
        <w:tblPrEx>
          <w:tblW w:w="5000" w:type="pct"/>
        </w:tblPrEx>
        <w:tc>
          <w:tcPr>
            <w:tcW w:w="0" w:type="dxa"/>
            <w:vAlign w:val="center"/>
          </w:tcPr>
          <w:p>
            <w:pPr>
              <w:spacing w:line="240" w:lineRule="auto"/>
              <w:jc w:val="left"/>
            </w:pPr>
            <w:r>
              <w:rPr>
                <w:rFonts w:ascii="宋体" w:eastAsia="宋体" w:hAnsi="宋体" w:cs="宋体"/>
                <w:b w:val="0"/>
              </w:rPr>
              <w:t>下属分级基金的基金简称</w:t>
            </w:r>
          </w:p>
        </w:tc>
        <w:tc>
          <w:tcPr>
            <w:tcW w:w="1500" w:type="pct"/>
            <w:vAlign w:val="center"/>
          </w:tcPr>
          <w:p>
            <w:pPr>
              <w:spacing w:line="240" w:lineRule="auto"/>
              <w:jc w:val="left"/>
            </w:pPr>
            <w:r>
              <w:rPr>
                <w:rFonts w:ascii="宋体" w:eastAsia="宋体" w:hAnsi="宋体" w:cs="宋体"/>
                <w:b w:val="0"/>
              </w:rPr>
              <w:t>东方阿尔法精选混合A</w:t>
            </w:r>
          </w:p>
        </w:tc>
        <w:tc>
          <w:tcPr>
            <w:tcW w:w="1500" w:type="pct"/>
            <w:vAlign w:val="center"/>
          </w:tcPr>
          <w:p>
            <w:pPr>
              <w:spacing w:line="240" w:lineRule="auto"/>
              <w:jc w:val="left"/>
            </w:pPr>
            <w:r>
              <w:rPr>
                <w:rFonts w:ascii="宋体" w:eastAsia="宋体" w:hAnsi="宋体" w:cs="宋体"/>
                <w:b w:val="0"/>
              </w:rPr>
              <w:t>东方阿尔法精选混合C</w:t>
            </w:r>
          </w:p>
        </w:tc>
      </w:tr>
      <w:tr>
        <w:tblPrEx>
          <w:tblW w:w="5000" w:type="pct"/>
        </w:tblPrEx>
        <w:tc>
          <w:tcPr>
            <w:tcW w:w="0" w:type="dxa"/>
            <w:vAlign w:val="center"/>
          </w:tcPr>
          <w:p>
            <w:pPr>
              <w:spacing w:line="240" w:lineRule="auto"/>
              <w:jc w:val="left"/>
            </w:pPr>
            <w:r>
              <w:rPr>
                <w:rFonts w:ascii="宋体" w:eastAsia="宋体" w:hAnsi="宋体" w:cs="宋体"/>
                <w:b w:val="0"/>
              </w:rPr>
              <w:t>下属分级基金的交易代码</w:t>
            </w:r>
          </w:p>
        </w:tc>
        <w:tc>
          <w:tcPr>
            <w:tcW w:w="1500" w:type="pct"/>
            <w:vAlign w:val="center"/>
          </w:tcPr>
          <w:p>
            <w:pPr>
              <w:spacing w:line="240" w:lineRule="auto"/>
              <w:jc w:val="left"/>
            </w:pPr>
            <w:r>
              <w:rPr>
                <w:rFonts w:ascii="宋体" w:eastAsia="宋体" w:hAnsi="宋体" w:cs="宋体"/>
                <w:b w:val="0"/>
              </w:rPr>
              <w:t>005358</w:t>
            </w:r>
          </w:p>
        </w:tc>
        <w:tc>
          <w:tcPr>
            <w:tcW w:w="1500" w:type="pct"/>
            <w:vAlign w:val="center"/>
          </w:tcPr>
          <w:p>
            <w:pPr>
              <w:spacing w:line="240" w:lineRule="auto"/>
              <w:jc w:val="left"/>
            </w:pPr>
            <w:r>
              <w:rPr>
                <w:rFonts w:ascii="宋体" w:eastAsia="宋体" w:hAnsi="宋体" w:cs="宋体"/>
                <w:b w:val="0"/>
              </w:rPr>
              <w:t>005359</w:t>
            </w:r>
          </w:p>
        </w:tc>
      </w:tr>
      <w:tr>
        <w:tblPrEx>
          <w:tblW w:w="5000" w:type="pct"/>
        </w:tblPrEx>
        <w:tc>
          <w:tcPr>
            <w:tcW w:w="0" w:type="dxa"/>
            <w:vAlign w:val="center"/>
          </w:tcPr>
          <w:p>
            <w:pPr>
              <w:spacing w:line="240" w:lineRule="auto"/>
              <w:jc w:val="left"/>
            </w:pPr>
            <w:r>
              <w:rPr>
                <w:rFonts w:ascii="宋体" w:eastAsia="宋体" w:hAnsi="宋体" w:cs="宋体"/>
                <w:b w:val="0"/>
              </w:rPr>
              <w:t>报告期末下属分级基金的份额总额</w:t>
            </w:r>
          </w:p>
        </w:tc>
        <w:tc>
          <w:tcPr>
            <w:tcW w:w="1500" w:type="pct"/>
            <w:vAlign w:val="center"/>
          </w:tcPr>
          <w:p>
            <w:pPr>
              <w:spacing w:line="240" w:lineRule="auto"/>
              <w:jc w:val="left"/>
            </w:pPr>
            <w:r>
              <w:rPr>
                <w:rFonts w:ascii="宋体" w:eastAsia="宋体" w:hAnsi="宋体" w:cs="宋体"/>
                <w:b w:val="0"/>
              </w:rPr>
              <w:t>137,603,040.91份</w:t>
            </w:r>
          </w:p>
        </w:tc>
        <w:tc>
          <w:tcPr>
            <w:tcW w:w="1500" w:type="pct"/>
            <w:vAlign w:val="center"/>
          </w:tcPr>
          <w:p>
            <w:pPr>
              <w:spacing w:line="240" w:lineRule="auto"/>
              <w:jc w:val="left"/>
            </w:pPr>
            <w:r>
              <w:rPr>
                <w:rFonts w:ascii="宋体" w:eastAsia="宋体" w:hAnsi="宋体" w:cs="宋体"/>
                <w:b w:val="0"/>
              </w:rPr>
              <w:t>484,467,927.38份</w:t>
            </w:r>
          </w:p>
        </w:tc>
      </w:tr>
    </w:tbl>
    <w:p>
      <w:pPr>
        <w:pStyle w:val="Heading1"/>
        <w:jc w:val="center"/>
      </w:pPr>
      <w:r>
        <w:rPr>
          <w:rFonts w:ascii="宋体" w:eastAsia="宋体" w:hAnsi="宋体" w:cs="宋体"/>
        </w:rPr>
        <w:t>§3 主要财务指标和基金净值表现</w:t>
      </w:r>
    </w:p>
    <w:p>
      <w:pPr>
        <w:pStyle w:val="Heading2"/>
        <w:jc w:val="left"/>
      </w:pPr>
      <w:r>
        <w:rPr>
          <w:rFonts w:ascii="宋体" w:eastAsia="宋体" w:hAnsi="宋体" w:cs="宋体"/>
        </w:rPr>
        <w:t>3.1 主要财务指标</w:t>
      </w:r>
    </w:p>
    <w:p>
      <w:pPr>
        <w:jc w:val="right"/>
      </w:pPr>
      <w:r>
        <w:rPr>
          <w:rFonts w:ascii="宋体" w:eastAsia="宋体" w:hAnsi="宋体" w:cs="宋体"/>
          <w:b w:val="0"/>
        </w:rPr>
        <w:t>单位：人民币元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Grid>
        <w:gridCol w:w="3021"/>
        <w:gridCol w:w="3021"/>
        <w:gridCol w:w="3021"/>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3" w:type="pct"/>
            <w:vMerge w:val="restart"/>
            <w:shd w:val="clear" w:color="auto" w:fill="D9D9D9"/>
            <w:vAlign w:val="center"/>
          </w:tcPr>
          <w:p>
            <w:pPr>
              <w:spacing w:line="240" w:lineRule="auto"/>
              <w:jc w:val="center"/>
            </w:pPr>
            <w:r>
              <w:rPr>
                <w:rFonts w:ascii="宋体" w:eastAsia="宋体" w:hAnsi="宋体" w:cs="宋体"/>
                <w:b/>
              </w:rPr>
              <w:t>主要财务指标</w:t>
            </w:r>
          </w:p>
        </w:tc>
        <w:tc>
          <w:tcPr>
            <w:tcW w:w="3077" w:type="pct"/>
            <w:gridSpan w:val="2"/>
            <w:shd w:val="clear" w:color="auto" w:fill="D9D9D9"/>
            <w:vAlign w:val="center"/>
          </w:tcPr>
          <w:p>
            <w:pPr>
              <w:spacing w:line="240" w:lineRule="auto"/>
              <w:jc w:val="center"/>
            </w:pPr>
            <w:r>
              <w:rPr>
                <w:rFonts w:ascii="宋体" w:eastAsia="宋体" w:hAnsi="宋体" w:cs="宋体"/>
                <w:b w:val="0"/>
              </w:rPr>
              <w:t>报告期（2026年07月01日-2026年09月30日）</w:t>
            </w:r>
          </w:p>
        </w:tc>
      </w:tr>
      <w:tr>
        <w:tblPrEx>
          <w:tblW w:w="5000" w:type="pct"/>
        </w:tblPrEx>
        <w:tc>
          <w:tcPr>
            <w:vMerge/>
          </w:tcPr>
          <w:p/>
        </w:tc>
        <w:tc>
          <w:tcPr>
            <w:tcW w:w="1500" w:type="pct"/>
            <w:shd w:val="clear" w:color="auto" w:fill="D9D9D9"/>
            <w:vAlign w:val="center"/>
          </w:tcPr>
          <w:p>
            <w:pPr>
              <w:spacing w:line="240" w:lineRule="auto"/>
              <w:jc w:val="center"/>
            </w:pPr>
            <w:r>
              <w:rPr>
                <w:rFonts w:ascii="宋体" w:eastAsia="宋体" w:hAnsi="宋体" w:cs="宋体"/>
                <w:b w:val="0"/>
              </w:rPr>
              <w:t>东方阿尔法精选混合A</w:t>
            </w:r>
          </w:p>
        </w:tc>
        <w:tc>
          <w:tcPr>
            <w:tcW w:w="1500" w:type="pct"/>
            <w:shd w:val="clear" w:color="auto" w:fill="D9D9D9"/>
            <w:vAlign w:val="center"/>
          </w:tcPr>
          <w:p>
            <w:pPr>
              <w:spacing w:line="240" w:lineRule="auto"/>
              <w:jc w:val="center"/>
            </w:pPr>
            <w:r>
              <w:rPr>
                <w:rFonts w:ascii="宋体" w:eastAsia="宋体" w:hAnsi="宋体" w:cs="宋体"/>
                <w:b w:val="0"/>
              </w:rPr>
              <w:t>东方阿尔法精选混合C</w:t>
            </w:r>
          </w:p>
        </w:tc>
      </w:tr>
      <w:tr>
        <w:tblPrEx>
          <w:tblW w:w="5000" w:type="pct"/>
        </w:tblPrEx>
        <w:tc>
          <w:tcPr>
            <w:tcW w:w="0" w:type="dxa"/>
            <w:vAlign w:val="center"/>
          </w:tcPr>
          <w:p>
            <w:pPr>
              <w:spacing w:line="240" w:lineRule="auto"/>
              <w:jc w:val="left"/>
            </w:pPr>
            <w:r>
              <w:rPr>
                <w:rFonts w:ascii="宋体" w:eastAsia="宋体" w:hAnsi="宋体" w:cs="宋体"/>
                <w:b w:val="0"/>
              </w:rPr>
              <w:t>1.本期已实现收益</w:t>
            </w:r>
          </w:p>
        </w:tc>
        <w:tc>
          <w:tcPr>
            <w:tcW w:w="1500" w:type="pct"/>
            <w:vAlign w:val="center"/>
          </w:tcPr>
          <w:p>
            <w:pPr>
              <w:spacing w:line="240" w:lineRule="auto"/>
              <w:jc w:val="right"/>
            </w:pPr>
            <w:r>
              <w:rPr>
                <w:rFonts w:ascii="宋体" w:eastAsia="宋体" w:hAnsi="宋体" w:cs="宋体"/>
                <w:b w:val="0"/>
              </w:rPr>
              <w:t>-22,736,104.77</w:t>
            </w:r>
          </w:p>
        </w:tc>
        <w:tc>
          <w:tcPr>
            <w:tcW w:w="1500" w:type="pct"/>
            <w:vAlign w:val="center"/>
          </w:tcPr>
          <w:p>
            <w:pPr>
              <w:spacing w:line="240" w:lineRule="auto"/>
              <w:jc w:val="right"/>
            </w:pPr>
            <w:r>
              <w:rPr>
                <w:rFonts w:ascii="宋体" w:eastAsia="宋体" w:hAnsi="宋体" w:cs="宋体"/>
                <w:b w:val="0"/>
              </w:rPr>
              <w:t>-72,408,902.63</w:t>
            </w:r>
          </w:p>
        </w:tc>
      </w:tr>
      <w:tr>
        <w:tblPrEx>
          <w:tblW w:w="5000" w:type="pct"/>
        </w:tblPrEx>
        <w:tc>
          <w:tcPr>
            <w:tcW w:w="0" w:type="dxa"/>
            <w:vAlign w:val="center"/>
          </w:tcPr>
          <w:p>
            <w:pPr>
              <w:spacing w:line="240" w:lineRule="auto"/>
              <w:jc w:val="left"/>
            </w:pPr>
            <w:r>
              <w:rPr>
                <w:rFonts w:ascii="宋体" w:eastAsia="宋体" w:hAnsi="宋体" w:cs="宋体"/>
                <w:b w:val="0"/>
              </w:rPr>
              <w:t>2.本期利润</w:t>
            </w:r>
          </w:p>
        </w:tc>
        <w:tc>
          <w:tcPr>
            <w:tcW w:w="1500" w:type="pct"/>
            <w:vAlign w:val="center"/>
          </w:tcPr>
          <w:p>
            <w:pPr>
              <w:spacing w:line="240" w:lineRule="auto"/>
              <w:jc w:val="right"/>
            </w:pPr>
            <w:r>
              <w:rPr>
                <w:rFonts w:ascii="宋体" w:eastAsia="宋体" w:hAnsi="宋体" w:cs="宋体"/>
                <w:b w:val="0"/>
              </w:rPr>
              <w:t>-54,105,409.92</w:t>
            </w:r>
          </w:p>
        </w:tc>
        <w:tc>
          <w:tcPr>
            <w:tcW w:w="1500" w:type="pct"/>
            <w:vAlign w:val="center"/>
          </w:tcPr>
          <w:p>
            <w:pPr>
              <w:spacing w:line="240" w:lineRule="auto"/>
              <w:jc w:val="right"/>
            </w:pPr>
            <w:r>
              <w:rPr>
                <w:rFonts w:ascii="宋体" w:eastAsia="宋体" w:hAnsi="宋体" w:cs="宋体"/>
                <w:b w:val="0"/>
              </w:rPr>
              <w:t>-160,161,011.37</w:t>
            </w:r>
          </w:p>
        </w:tc>
      </w:tr>
      <w:tr>
        <w:tblPrEx>
          <w:tblW w:w="5000" w:type="pct"/>
        </w:tblPrEx>
        <w:tc>
          <w:tcPr>
            <w:tcW w:w="0" w:type="dxa"/>
            <w:vAlign w:val="center"/>
          </w:tcPr>
          <w:p>
            <w:pPr>
              <w:spacing w:line="240" w:lineRule="auto"/>
              <w:jc w:val="left"/>
            </w:pPr>
            <w:r>
              <w:rPr>
                <w:rFonts w:ascii="宋体" w:eastAsia="宋体" w:hAnsi="宋体" w:cs="宋体"/>
                <w:b w:val="0"/>
              </w:rPr>
              <w:t>3.加权平均基金份额本期利润</w:t>
            </w:r>
          </w:p>
        </w:tc>
        <w:tc>
          <w:tcPr>
            <w:tcW w:w="1500" w:type="pct"/>
            <w:vAlign w:val="center"/>
          </w:tcPr>
          <w:p>
            <w:pPr>
              <w:spacing w:line="240" w:lineRule="auto"/>
              <w:jc w:val="right"/>
            </w:pPr>
            <w:r>
              <w:rPr>
                <w:rFonts w:ascii="宋体" w:eastAsia="宋体" w:hAnsi="宋体" w:cs="宋体"/>
                <w:b w:val="0"/>
              </w:rPr>
              <w:t>-0.3960</w:t>
            </w:r>
          </w:p>
        </w:tc>
        <w:tc>
          <w:tcPr>
            <w:tcW w:w="1500" w:type="pct"/>
            <w:vAlign w:val="center"/>
          </w:tcPr>
          <w:p>
            <w:pPr>
              <w:spacing w:line="240" w:lineRule="auto"/>
              <w:jc w:val="right"/>
            </w:pPr>
            <w:r>
              <w:rPr>
                <w:rFonts w:ascii="宋体" w:eastAsia="宋体" w:hAnsi="宋体" w:cs="宋体"/>
                <w:b w:val="0"/>
              </w:rPr>
              <w:t>-0.3296</w:t>
            </w:r>
          </w:p>
        </w:tc>
      </w:tr>
      <w:tr>
        <w:tblPrEx>
          <w:tblW w:w="5000" w:type="pct"/>
        </w:tblPrEx>
        <w:tc>
          <w:tcPr>
            <w:tcW w:w="0" w:type="dxa"/>
            <w:vAlign w:val="center"/>
          </w:tcPr>
          <w:p>
            <w:pPr>
              <w:spacing w:line="240" w:lineRule="auto"/>
              <w:jc w:val="left"/>
            </w:pPr>
            <w:r>
              <w:rPr>
                <w:rFonts w:ascii="宋体" w:eastAsia="宋体" w:hAnsi="宋体" w:cs="宋体"/>
                <w:b w:val="0"/>
              </w:rPr>
              <w:t>4.期末基金资产净值</w:t>
            </w:r>
          </w:p>
        </w:tc>
        <w:tc>
          <w:tcPr>
            <w:tcW w:w="1500" w:type="pct"/>
            <w:vAlign w:val="center"/>
          </w:tcPr>
          <w:p>
            <w:pPr>
              <w:spacing w:line="240" w:lineRule="auto"/>
              <w:jc w:val="right"/>
            </w:pPr>
            <w:r>
              <w:rPr>
                <w:rFonts w:ascii="宋体" w:eastAsia="宋体" w:hAnsi="宋体" w:cs="宋体"/>
                <w:b w:val="0"/>
              </w:rPr>
              <w:t>107,036,013.59</w:t>
            </w:r>
          </w:p>
        </w:tc>
        <w:tc>
          <w:tcPr>
            <w:tcW w:w="1500" w:type="pct"/>
            <w:vAlign w:val="center"/>
          </w:tcPr>
          <w:p>
            <w:pPr>
              <w:spacing w:line="240" w:lineRule="auto"/>
              <w:jc w:val="right"/>
            </w:pPr>
            <w:r>
              <w:rPr>
                <w:rFonts w:ascii="宋体" w:eastAsia="宋体" w:hAnsi="宋体" w:cs="宋体"/>
                <w:b w:val="0"/>
              </w:rPr>
              <w:t>361,170,879.96</w:t>
            </w:r>
          </w:p>
        </w:tc>
      </w:tr>
      <w:tr>
        <w:tblPrEx>
          <w:tblW w:w="5000" w:type="pct"/>
        </w:tblPrEx>
        <w:tc>
          <w:tcPr>
            <w:tcW w:w="0" w:type="dxa"/>
            <w:vAlign w:val="center"/>
          </w:tcPr>
          <w:p>
            <w:pPr>
              <w:spacing w:line="240" w:lineRule="auto"/>
              <w:jc w:val="left"/>
            </w:pPr>
            <w:r>
              <w:rPr>
                <w:rFonts w:ascii="宋体" w:eastAsia="宋体" w:hAnsi="宋体" w:cs="宋体"/>
                <w:b w:val="0"/>
              </w:rPr>
              <w:t>5.期末基金份额净值</w:t>
            </w:r>
          </w:p>
        </w:tc>
        <w:tc>
          <w:tcPr>
            <w:tcW w:w="1500" w:type="pct"/>
            <w:vAlign w:val="center"/>
          </w:tcPr>
          <w:p>
            <w:pPr>
              <w:spacing w:line="240" w:lineRule="auto"/>
              <w:jc w:val="right"/>
            </w:pPr>
            <w:r>
              <w:rPr>
                <w:rFonts w:ascii="宋体" w:eastAsia="宋体" w:hAnsi="宋体" w:cs="宋体"/>
                <w:b w:val="0"/>
              </w:rPr>
              <w:t>0.7779</w:t>
            </w:r>
          </w:p>
        </w:tc>
        <w:tc>
          <w:tcPr>
            <w:tcW w:w="1500" w:type="pct"/>
            <w:vAlign w:val="center"/>
          </w:tcPr>
          <w:p>
            <w:pPr>
              <w:spacing w:line="240" w:lineRule="auto"/>
              <w:jc w:val="right"/>
            </w:pPr>
            <w:r>
              <w:rPr>
                <w:rFonts w:ascii="宋体" w:eastAsia="宋体" w:hAnsi="宋体" w:cs="宋体"/>
                <w:b w:val="0"/>
              </w:rPr>
              <w:t>0.7455</w:t>
            </w:r>
          </w:p>
        </w:tc>
      </w:tr>
    </w:tbl>
    <w:p>
      <w:r>
        <w:rPr>
          <w:rFonts w:ascii="宋体" w:eastAsia="宋体" w:hAnsi="宋体" w:cs="宋体"/>
          <w:b w:val="0"/>
        </w:rPr>
        <w:t>注：1、本期已实现收益指基金本期利息收入、投资收益、其他收入(不含公允价值变动收益)扣除相关费用后的余额，本期利润为本期已实现收益加上本期公允价值变动收益。</w:t>
        <w:br/>
      </w:r>
      <w:r>
        <w:rPr>
          <w:rFonts w:ascii="宋体" w:eastAsia="宋体" w:hAnsi="宋体" w:cs="宋体"/>
          <w:b w:val="0"/>
        </w:rPr>
        <w:t>2、所述基金业绩指标不包括持有人认购或交易基金的各项费用，计入费用后实际收益水平要低于所列数字。</w:t>
      </w:r>
    </w:p>
    <w:p/>
    <w:p>
      <w:pPr>
        <w:pStyle w:val="Heading2"/>
        <w:jc w:val="left"/>
      </w:pPr>
      <w:r>
        <w:rPr>
          <w:rFonts w:ascii="宋体" w:eastAsia="宋体" w:hAnsi="宋体" w:cs="宋体"/>
        </w:rPr>
        <w:t>3.2 基金净值表现</w:t>
      </w:r>
    </w:p>
    <w:p>
      <w:pPr>
        <w:pStyle w:val="zhangjiep2"/>
      </w:pPr>
      <w:r>
        <w:rPr>
          <w:rStyle w:val="DefaultParagraphFont"/>
          <w:rFonts w:ascii="宋体" w:eastAsia="宋体" w:hAnsi="宋体" w:cs="宋体"/>
          <w:b/>
        </w:rPr>
        <w:t>3.2.1 基金份额净值增长率及其与同期业绩比较基准收益率的比较</w:t>
      </w:r>
    </w:p>
    <w:p>
      <w:pPr>
        <w:jc w:val="left"/>
      </w:pPr>
      <w:r>
        <w:rPr>
          <w:rFonts w:ascii="宋体" w:eastAsia="宋体" w:hAnsi="宋体" w:cs="宋体"/>
          <w:b/>
        </w:rPr>
        <w:t>东方阿尔法精选混合A净值表现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Grid>
        <w:gridCol w:w="1295"/>
        <w:gridCol w:w="1295"/>
        <w:gridCol w:w="1295"/>
        <w:gridCol w:w="1295"/>
        <w:gridCol w:w="1295"/>
        <w:gridCol w:w="1295"/>
        <w:gridCol w:w="1295"/>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46" w:type="pct"/>
            <w:shd w:val="clear" w:color="auto" w:fill="D9D9D9"/>
            <w:vAlign w:val="center"/>
          </w:tcPr>
          <w:p>
            <w:pPr>
              <w:spacing w:line="240" w:lineRule="auto"/>
              <w:jc w:val="center"/>
            </w:pPr>
            <w:r>
              <w:rPr>
                <w:rFonts w:ascii="宋体" w:eastAsia="宋体" w:hAnsi="宋体" w:cs="宋体"/>
                <w:b w:val="0"/>
              </w:rPr>
              <w:t>阶段</w:t>
            </w:r>
          </w:p>
        </w:tc>
        <w:tc>
          <w:tcPr>
            <w:tcW w:w="692" w:type="pct"/>
            <w:shd w:val="clear" w:color="auto" w:fill="D9D9D9"/>
            <w:vAlign w:val="center"/>
          </w:tcPr>
          <w:p>
            <w:pPr>
              <w:spacing w:line="240" w:lineRule="auto"/>
              <w:jc w:val="center"/>
            </w:pPr>
            <w:r>
              <w:rPr>
                <w:rFonts w:ascii="宋体" w:eastAsia="宋体" w:hAnsi="宋体" w:cs="宋体"/>
                <w:b w:val="0"/>
              </w:rPr>
              <w:t>净值增长率①</w:t>
            </w:r>
          </w:p>
        </w:tc>
        <w:tc>
          <w:tcPr>
            <w:tcW w:w="692" w:type="pct"/>
            <w:shd w:val="clear" w:color="auto" w:fill="D9D9D9"/>
            <w:vAlign w:val="center"/>
          </w:tcPr>
          <w:p>
            <w:pPr>
              <w:spacing w:line="240" w:lineRule="auto"/>
              <w:jc w:val="center"/>
            </w:pPr>
            <w:r>
              <w:rPr>
                <w:rFonts w:ascii="宋体" w:eastAsia="宋体" w:hAnsi="宋体" w:cs="宋体"/>
                <w:b w:val="0"/>
              </w:rPr>
              <w:t>净值增长率标准差②</w:t>
            </w:r>
          </w:p>
        </w:tc>
        <w:tc>
          <w:tcPr>
            <w:tcW w:w="692" w:type="pct"/>
            <w:shd w:val="clear" w:color="auto" w:fill="D9D9D9"/>
            <w:vAlign w:val="center"/>
          </w:tcPr>
          <w:p>
            <w:pPr>
              <w:spacing w:line="240" w:lineRule="auto"/>
              <w:jc w:val="center"/>
            </w:pPr>
            <w:r>
              <w:rPr>
                <w:rFonts w:ascii="宋体" w:eastAsia="宋体" w:hAnsi="宋体" w:cs="宋体"/>
                <w:b w:val="0"/>
              </w:rPr>
              <w:t>业绩比较基准收益率③</w:t>
            </w:r>
          </w:p>
        </w:tc>
        <w:tc>
          <w:tcPr>
            <w:tcW w:w="692" w:type="pct"/>
            <w:shd w:val="clear" w:color="auto" w:fill="D9D9D9"/>
            <w:vAlign w:val="center"/>
          </w:tcPr>
          <w:p>
            <w:pPr>
              <w:spacing w:line="240" w:lineRule="auto"/>
              <w:jc w:val="center"/>
            </w:pPr>
            <w:r>
              <w:rPr>
                <w:rFonts w:ascii="宋体" w:eastAsia="宋体" w:hAnsi="宋体" w:cs="宋体"/>
                <w:b w:val="0"/>
              </w:rPr>
              <w:t>业绩比较基准收益率标准差④</w:t>
            </w:r>
          </w:p>
        </w:tc>
        <w:tc>
          <w:tcPr>
            <w:tcW w:w="692" w:type="pct"/>
            <w:shd w:val="clear" w:color="auto" w:fill="D9D9D9"/>
            <w:vAlign w:val="center"/>
          </w:tcPr>
          <w:p>
            <w:pPr>
              <w:spacing w:line="240" w:lineRule="auto"/>
              <w:jc w:val="center"/>
            </w:pPr>
            <w:r>
              <w:rPr>
                <w:rFonts w:ascii="宋体" w:eastAsia="宋体" w:hAnsi="宋体" w:cs="宋体"/>
                <w:b w:val="0"/>
              </w:rPr>
              <w:t>①-③</w:t>
            </w:r>
          </w:p>
        </w:tc>
        <w:tc>
          <w:tcPr>
            <w:tcW w:w="692" w:type="pct"/>
            <w:shd w:val="clear" w:color="auto" w:fill="D9D9D9"/>
            <w:vAlign w:val="center"/>
          </w:tcPr>
          <w:p>
            <w:pPr>
              <w:spacing w:line="240" w:lineRule="auto"/>
              <w:jc w:val="center"/>
            </w:pPr>
            <w:r>
              <w:rPr>
                <w:rFonts w:ascii="宋体" w:eastAsia="宋体" w:hAnsi="宋体" w:cs="宋体"/>
                <w:b w:val="0"/>
              </w:rPr>
              <w:t>②-④</w:t>
            </w:r>
          </w:p>
        </w:tc>
      </w:tr>
      <w:tr>
        <w:tblPrEx>
          <w:tblW w:w="5000" w:type="pct"/>
        </w:tblPrEx>
        <w:tc>
          <w:tcPr>
            <w:tcW w:w="0" w:type="dxa"/>
            <w:vAlign w:val="center"/>
          </w:tcPr>
          <w:p>
            <w:pPr>
              <w:spacing w:line="240" w:lineRule="auto"/>
              <w:jc w:val="left"/>
            </w:pPr>
            <w:r>
              <w:rPr>
                <w:rFonts w:ascii="宋体" w:eastAsia="宋体" w:hAnsi="宋体" w:cs="宋体"/>
                <w:b w:val="0"/>
              </w:rPr>
              <w:t>过去三个月</w:t>
            </w:r>
          </w:p>
        </w:tc>
        <w:tc>
          <w:tcPr>
            <w:tcW w:w="0" w:type="dxa"/>
            <w:vAlign w:val="center"/>
          </w:tcPr>
          <w:p>
            <w:pPr>
              <w:spacing w:line="240" w:lineRule="auto"/>
              <w:jc w:val="right"/>
            </w:pPr>
            <w:r>
              <w:rPr>
                <w:rFonts w:ascii="宋体" w:eastAsia="宋体" w:hAnsi="宋体" w:cs="宋体"/>
                <w:b w:val="0"/>
              </w:rPr>
              <w:t>-34.07%</w:t>
            </w:r>
          </w:p>
        </w:tc>
        <w:tc>
          <w:tcPr>
            <w:tcW w:w="0" w:type="dxa"/>
            <w:vAlign w:val="center"/>
          </w:tcPr>
          <w:p>
            <w:pPr>
              <w:spacing w:line="240" w:lineRule="auto"/>
              <w:jc w:val="right"/>
            </w:pPr>
            <w:r>
              <w:rPr>
                <w:rFonts w:ascii="宋体" w:eastAsia="宋体" w:hAnsi="宋体" w:cs="宋体"/>
                <w:b w:val="0"/>
              </w:rPr>
              <w:t>3.95%</w:t>
            </w:r>
          </w:p>
        </w:tc>
        <w:tc>
          <w:tcPr>
            <w:tcW w:w="0" w:type="dxa"/>
            <w:vAlign w:val="center"/>
          </w:tcPr>
          <w:p>
            <w:pPr>
              <w:spacing w:line="240" w:lineRule="auto"/>
              <w:jc w:val="right"/>
            </w:pPr>
            <w:r>
              <w:rPr>
                <w:rFonts w:ascii="宋体" w:eastAsia="宋体" w:hAnsi="宋体" w:cs="宋体"/>
                <w:b w:val="0"/>
              </w:rPr>
              <w:t>-3.22%</w:t>
            </w:r>
          </w:p>
        </w:tc>
        <w:tc>
          <w:tcPr>
            <w:tcW w:w="0" w:type="dxa"/>
            <w:vAlign w:val="center"/>
          </w:tcPr>
          <w:p>
            <w:pPr>
              <w:spacing w:line="240" w:lineRule="auto"/>
              <w:jc w:val="right"/>
            </w:pPr>
            <w:r>
              <w:rPr>
                <w:rFonts w:ascii="宋体" w:eastAsia="宋体" w:hAnsi="宋体" w:cs="宋体"/>
                <w:b w:val="0"/>
              </w:rPr>
              <w:t>0.59%</w:t>
            </w:r>
          </w:p>
        </w:tc>
        <w:tc>
          <w:tcPr>
            <w:tcW w:w="0" w:type="dxa"/>
            <w:vAlign w:val="center"/>
          </w:tcPr>
          <w:p>
            <w:pPr>
              <w:spacing w:line="240" w:lineRule="auto"/>
              <w:jc w:val="right"/>
            </w:pPr>
            <w:r>
              <w:rPr>
                <w:rFonts w:ascii="宋体" w:eastAsia="宋体" w:hAnsi="宋体" w:cs="宋体"/>
                <w:b w:val="0"/>
              </w:rPr>
              <w:t>-30.85%</w:t>
            </w:r>
          </w:p>
        </w:tc>
        <w:tc>
          <w:tcPr>
            <w:tcW w:w="0" w:type="dxa"/>
            <w:vAlign w:val="center"/>
          </w:tcPr>
          <w:p>
            <w:pPr>
              <w:spacing w:line="240" w:lineRule="auto"/>
              <w:jc w:val="right"/>
            </w:pPr>
            <w:r>
              <w:rPr>
                <w:rFonts w:ascii="宋体" w:eastAsia="宋体" w:hAnsi="宋体" w:cs="宋体"/>
                <w:b w:val="0"/>
              </w:rPr>
              <w:t>3.36%</w:t>
            </w:r>
          </w:p>
        </w:tc>
      </w:tr>
      <w:tr>
        <w:tblPrEx>
          <w:tblW w:w="5000" w:type="pct"/>
        </w:tblPrEx>
        <w:tc>
          <w:tcPr>
            <w:tcW w:w="0" w:type="dxa"/>
            <w:vAlign w:val="center"/>
          </w:tcPr>
          <w:p>
            <w:pPr>
              <w:spacing w:line="240" w:lineRule="auto"/>
              <w:jc w:val="left"/>
            </w:pPr>
            <w:r>
              <w:rPr>
                <w:rFonts w:ascii="宋体" w:eastAsia="宋体" w:hAnsi="宋体" w:cs="宋体"/>
                <w:b w:val="0"/>
              </w:rPr>
              <w:t>过去六个月</w:t>
            </w:r>
          </w:p>
        </w:tc>
        <w:tc>
          <w:tcPr>
            <w:tcW w:w="0" w:type="dxa"/>
            <w:vAlign w:val="center"/>
          </w:tcPr>
          <w:p>
            <w:pPr>
              <w:spacing w:line="240" w:lineRule="auto"/>
              <w:jc w:val="right"/>
            </w:pPr>
            <w:r>
              <w:rPr>
                <w:rFonts w:ascii="宋体" w:eastAsia="宋体" w:hAnsi="宋体" w:cs="宋体"/>
                <w:b w:val="0"/>
              </w:rPr>
              <w:t>3.28%</w:t>
            </w:r>
          </w:p>
        </w:tc>
        <w:tc>
          <w:tcPr>
            <w:tcW w:w="0" w:type="dxa"/>
            <w:vAlign w:val="center"/>
          </w:tcPr>
          <w:p>
            <w:pPr>
              <w:spacing w:line="240" w:lineRule="auto"/>
              <w:jc w:val="right"/>
            </w:pPr>
            <w:r>
              <w:rPr>
                <w:rFonts w:ascii="宋体" w:eastAsia="宋体" w:hAnsi="宋体" w:cs="宋体"/>
                <w:b w:val="0"/>
              </w:rPr>
              <w:t>3.76%</w:t>
            </w:r>
          </w:p>
        </w:tc>
        <w:tc>
          <w:tcPr>
            <w:tcW w:w="0" w:type="dxa"/>
            <w:vAlign w:val="center"/>
          </w:tcPr>
          <w:p>
            <w:pPr>
              <w:spacing w:line="240" w:lineRule="auto"/>
              <w:jc w:val="right"/>
            </w:pPr>
            <w:r>
              <w:rPr>
                <w:rFonts w:ascii="宋体" w:eastAsia="宋体" w:hAnsi="宋体" w:cs="宋体"/>
                <w:b w:val="0"/>
              </w:rPr>
              <w:t>0.24%</w:t>
            </w:r>
          </w:p>
        </w:tc>
        <w:tc>
          <w:tcPr>
            <w:tcW w:w="0" w:type="dxa"/>
            <w:vAlign w:val="center"/>
          </w:tcPr>
          <w:p>
            <w:pPr>
              <w:spacing w:line="240" w:lineRule="auto"/>
              <w:jc w:val="right"/>
            </w:pPr>
            <w:r>
              <w:rPr>
                <w:rFonts w:ascii="宋体" w:eastAsia="宋体" w:hAnsi="宋体" w:cs="宋体"/>
                <w:b w:val="0"/>
              </w:rPr>
              <w:t>0.63%</w:t>
            </w:r>
          </w:p>
        </w:tc>
        <w:tc>
          <w:tcPr>
            <w:tcW w:w="0" w:type="dxa"/>
            <w:vAlign w:val="center"/>
          </w:tcPr>
          <w:p>
            <w:pPr>
              <w:spacing w:line="240" w:lineRule="auto"/>
              <w:jc w:val="right"/>
            </w:pPr>
            <w:r>
              <w:rPr>
                <w:rFonts w:ascii="宋体" w:eastAsia="宋体" w:hAnsi="宋体" w:cs="宋体"/>
                <w:b w:val="0"/>
              </w:rPr>
              <w:t>3.04%</w:t>
            </w:r>
          </w:p>
        </w:tc>
        <w:tc>
          <w:tcPr>
            <w:tcW w:w="0" w:type="dxa"/>
            <w:vAlign w:val="center"/>
          </w:tcPr>
          <w:p>
            <w:pPr>
              <w:spacing w:line="240" w:lineRule="auto"/>
              <w:jc w:val="right"/>
            </w:pPr>
            <w:r>
              <w:rPr>
                <w:rFonts w:ascii="宋体" w:eastAsia="宋体" w:hAnsi="宋体" w:cs="宋体"/>
                <w:b w:val="0"/>
              </w:rPr>
              <w:t>3.13%</w:t>
            </w:r>
          </w:p>
        </w:tc>
      </w:tr>
      <w:tr>
        <w:tblPrEx>
          <w:tblW w:w="5000" w:type="pct"/>
        </w:tblPrEx>
        <w:tc>
          <w:tcPr>
            <w:tcW w:w="0" w:type="dxa"/>
            <w:vAlign w:val="center"/>
          </w:tcPr>
          <w:p>
            <w:pPr>
              <w:spacing w:line="240" w:lineRule="auto"/>
              <w:jc w:val="left"/>
            </w:pPr>
            <w:r>
              <w:rPr>
                <w:rFonts w:ascii="宋体" w:eastAsia="宋体" w:hAnsi="宋体" w:cs="宋体"/>
                <w:b w:val="0"/>
              </w:rPr>
              <w:t>过去一年</w:t>
            </w:r>
          </w:p>
        </w:tc>
        <w:tc>
          <w:tcPr>
            <w:tcW w:w="0" w:type="dxa"/>
            <w:vAlign w:val="center"/>
          </w:tcPr>
          <w:p>
            <w:pPr>
              <w:spacing w:line="240" w:lineRule="auto"/>
              <w:jc w:val="right"/>
            </w:pPr>
            <w:r>
              <w:rPr>
                <w:rFonts w:ascii="宋体" w:eastAsia="宋体" w:hAnsi="宋体" w:cs="宋体"/>
                <w:b w:val="0"/>
              </w:rPr>
              <w:t>-23.18%</w:t>
            </w:r>
          </w:p>
        </w:tc>
        <w:tc>
          <w:tcPr>
            <w:tcW w:w="0" w:type="dxa"/>
            <w:vAlign w:val="center"/>
          </w:tcPr>
          <w:p>
            <w:pPr>
              <w:spacing w:line="240" w:lineRule="auto"/>
              <w:jc w:val="right"/>
            </w:pPr>
            <w:r>
              <w:rPr>
                <w:rFonts w:ascii="宋体" w:eastAsia="宋体" w:hAnsi="宋体" w:cs="宋体"/>
                <w:b w:val="0"/>
              </w:rPr>
              <w:t>3.09%</w:t>
            </w:r>
          </w:p>
        </w:tc>
        <w:tc>
          <w:tcPr>
            <w:tcW w:w="0" w:type="dxa"/>
            <w:vAlign w:val="center"/>
          </w:tcPr>
          <w:p>
            <w:pPr>
              <w:spacing w:line="240" w:lineRule="auto"/>
              <w:jc w:val="right"/>
            </w:pPr>
            <w:r>
              <w:rPr>
                <w:rFonts w:ascii="宋体" w:eastAsia="宋体" w:hAnsi="宋体" w:cs="宋体"/>
                <w:b w:val="0"/>
              </w:rPr>
              <w:t>-2.29%</w:t>
            </w:r>
          </w:p>
        </w:tc>
        <w:tc>
          <w:tcPr>
            <w:tcW w:w="0" w:type="dxa"/>
            <w:vAlign w:val="center"/>
          </w:tcPr>
          <w:p>
            <w:pPr>
              <w:spacing w:line="240" w:lineRule="auto"/>
              <w:jc w:val="right"/>
            </w:pPr>
            <w:r>
              <w:rPr>
                <w:rFonts w:ascii="宋体" w:eastAsia="宋体" w:hAnsi="宋体" w:cs="宋体"/>
                <w:b w:val="0"/>
              </w:rPr>
              <w:t>0.61%</w:t>
            </w:r>
          </w:p>
        </w:tc>
        <w:tc>
          <w:tcPr>
            <w:tcW w:w="0" w:type="dxa"/>
            <w:vAlign w:val="center"/>
          </w:tcPr>
          <w:p>
            <w:pPr>
              <w:spacing w:line="240" w:lineRule="auto"/>
              <w:jc w:val="right"/>
            </w:pPr>
            <w:r>
              <w:rPr>
                <w:rFonts w:ascii="宋体" w:eastAsia="宋体" w:hAnsi="宋体" w:cs="宋体"/>
                <w:b w:val="0"/>
              </w:rPr>
              <w:t>-20.89%</w:t>
            </w:r>
          </w:p>
        </w:tc>
        <w:tc>
          <w:tcPr>
            <w:tcW w:w="0" w:type="dxa"/>
            <w:vAlign w:val="center"/>
          </w:tcPr>
          <w:p>
            <w:pPr>
              <w:spacing w:line="240" w:lineRule="auto"/>
              <w:jc w:val="right"/>
            </w:pPr>
            <w:r>
              <w:rPr>
                <w:rFonts w:ascii="宋体" w:eastAsia="宋体" w:hAnsi="宋体" w:cs="宋体"/>
                <w:b w:val="0"/>
              </w:rPr>
              <w:t>2.48%</w:t>
            </w:r>
          </w:p>
        </w:tc>
      </w:tr>
      <w:tr>
        <w:tblPrEx>
          <w:tblW w:w="5000" w:type="pct"/>
        </w:tblPrEx>
        <w:tc>
          <w:tcPr>
            <w:tcW w:w="0" w:type="dxa"/>
            <w:vAlign w:val="center"/>
          </w:tcPr>
          <w:p>
            <w:pPr>
              <w:spacing w:line="240" w:lineRule="auto"/>
              <w:jc w:val="left"/>
            </w:pPr>
            <w:r>
              <w:rPr>
                <w:rFonts w:ascii="宋体" w:eastAsia="宋体" w:hAnsi="宋体" w:cs="宋体"/>
                <w:b w:val="0"/>
              </w:rPr>
              <w:t>过去三年</w:t>
            </w:r>
          </w:p>
        </w:tc>
        <w:tc>
          <w:tcPr>
            <w:tcW w:w="0" w:type="dxa"/>
            <w:vAlign w:val="center"/>
          </w:tcPr>
          <w:p>
            <w:pPr>
              <w:spacing w:line="240" w:lineRule="auto"/>
              <w:jc w:val="right"/>
            </w:pPr>
            <w:r>
              <w:rPr>
                <w:rFonts w:ascii="宋体" w:eastAsia="宋体" w:hAnsi="宋体" w:cs="宋体"/>
                <w:b w:val="0"/>
              </w:rPr>
              <w:t>-25.51%</w:t>
            </w:r>
          </w:p>
        </w:tc>
        <w:tc>
          <w:tcPr>
            <w:tcW w:w="0" w:type="dxa"/>
            <w:vAlign w:val="center"/>
          </w:tcPr>
          <w:p>
            <w:pPr>
              <w:spacing w:line="240" w:lineRule="auto"/>
              <w:jc w:val="right"/>
            </w:pPr>
            <w:r>
              <w:rPr>
                <w:rFonts w:ascii="宋体" w:eastAsia="宋体" w:hAnsi="宋体" w:cs="宋体"/>
                <w:b w:val="0"/>
              </w:rPr>
              <w:t>2.39%</w:t>
            </w:r>
          </w:p>
        </w:tc>
        <w:tc>
          <w:tcPr>
            <w:tcW w:w="0" w:type="dxa"/>
            <w:vAlign w:val="center"/>
          </w:tcPr>
          <w:p>
            <w:pPr>
              <w:spacing w:line="240" w:lineRule="auto"/>
              <w:jc w:val="right"/>
            </w:pPr>
            <w:r>
              <w:rPr>
                <w:rFonts w:ascii="宋体" w:eastAsia="宋体" w:hAnsi="宋体" w:cs="宋体"/>
                <w:b w:val="0"/>
              </w:rPr>
              <w:t>22.14%</w:t>
            </w:r>
          </w:p>
        </w:tc>
        <w:tc>
          <w:tcPr>
            <w:tcW w:w="0" w:type="dxa"/>
            <w:vAlign w:val="center"/>
          </w:tcPr>
          <w:p>
            <w:pPr>
              <w:spacing w:line="240" w:lineRule="auto"/>
              <w:jc w:val="right"/>
            </w:pPr>
            <w:r>
              <w:rPr>
                <w:rFonts w:ascii="宋体" w:eastAsia="宋体" w:hAnsi="宋体" w:cs="宋体"/>
                <w:b w:val="0"/>
              </w:rPr>
              <w:t>0.65%</w:t>
            </w:r>
          </w:p>
        </w:tc>
        <w:tc>
          <w:tcPr>
            <w:tcW w:w="0" w:type="dxa"/>
            <w:vAlign w:val="center"/>
          </w:tcPr>
          <w:p>
            <w:pPr>
              <w:spacing w:line="240" w:lineRule="auto"/>
              <w:jc w:val="right"/>
            </w:pPr>
            <w:r>
              <w:rPr>
                <w:rFonts w:ascii="宋体" w:eastAsia="宋体" w:hAnsi="宋体" w:cs="宋体"/>
                <w:b w:val="0"/>
              </w:rPr>
              <w:t>-47.65%</w:t>
            </w:r>
          </w:p>
        </w:tc>
        <w:tc>
          <w:tcPr>
            <w:tcW w:w="0" w:type="dxa"/>
            <w:vAlign w:val="center"/>
          </w:tcPr>
          <w:p>
            <w:pPr>
              <w:spacing w:line="240" w:lineRule="auto"/>
              <w:jc w:val="right"/>
            </w:pPr>
            <w:r>
              <w:rPr>
                <w:rFonts w:ascii="宋体" w:eastAsia="宋体" w:hAnsi="宋体" w:cs="宋体"/>
                <w:b w:val="0"/>
              </w:rPr>
              <w:t>1.74%</w:t>
            </w:r>
          </w:p>
        </w:tc>
      </w:tr>
      <w:tr>
        <w:tblPrEx>
          <w:tblW w:w="5000" w:type="pct"/>
        </w:tblPrEx>
        <w:tc>
          <w:tcPr>
            <w:tcW w:w="0" w:type="dxa"/>
            <w:vAlign w:val="center"/>
          </w:tcPr>
          <w:p>
            <w:pPr>
              <w:spacing w:line="240" w:lineRule="auto"/>
              <w:jc w:val="left"/>
            </w:pPr>
            <w:r>
              <w:rPr>
                <w:rFonts w:ascii="宋体" w:eastAsia="宋体" w:hAnsi="宋体" w:cs="宋体"/>
                <w:b w:val="0"/>
              </w:rPr>
              <w:t>过去五年</w:t>
            </w:r>
          </w:p>
        </w:tc>
        <w:tc>
          <w:tcPr>
            <w:tcW w:w="0" w:type="dxa"/>
            <w:vAlign w:val="center"/>
          </w:tcPr>
          <w:p>
            <w:pPr>
              <w:spacing w:line="240" w:lineRule="auto"/>
              <w:jc w:val="right"/>
            </w:pPr>
            <w:r>
              <w:rPr>
                <w:rFonts w:ascii="宋体" w:eastAsia="宋体" w:hAnsi="宋体" w:cs="宋体"/>
                <w:b w:val="0"/>
              </w:rPr>
              <w:t>-44.62%</w:t>
            </w:r>
          </w:p>
        </w:tc>
        <w:tc>
          <w:tcPr>
            <w:tcW w:w="0" w:type="dxa"/>
            <w:vAlign w:val="center"/>
          </w:tcPr>
          <w:p>
            <w:pPr>
              <w:spacing w:line="240" w:lineRule="auto"/>
              <w:jc w:val="right"/>
            </w:pPr>
            <w:r>
              <w:rPr>
                <w:rFonts w:ascii="宋体" w:eastAsia="宋体" w:hAnsi="宋体" w:cs="宋体"/>
                <w:b w:val="0"/>
              </w:rPr>
              <w:t>2.13%</w:t>
            </w:r>
          </w:p>
        </w:tc>
        <w:tc>
          <w:tcPr>
            <w:tcW w:w="0" w:type="dxa"/>
            <w:vAlign w:val="center"/>
          </w:tcPr>
          <w:p>
            <w:pPr>
              <w:spacing w:line="240" w:lineRule="auto"/>
              <w:jc w:val="right"/>
            </w:pPr>
            <w:r>
              <w:rPr>
                <w:rFonts w:ascii="宋体" w:eastAsia="宋体" w:hAnsi="宋体" w:cs="宋体"/>
                <w:b w:val="0"/>
              </w:rPr>
              <w:t>7.20%</w:t>
            </w:r>
          </w:p>
        </w:tc>
        <w:tc>
          <w:tcPr>
            <w:tcW w:w="0" w:type="dxa"/>
            <w:vAlign w:val="center"/>
          </w:tcPr>
          <w:p>
            <w:pPr>
              <w:spacing w:line="240" w:lineRule="auto"/>
              <w:jc w:val="right"/>
            </w:pPr>
            <w:r>
              <w:rPr>
                <w:rFonts w:ascii="宋体" w:eastAsia="宋体" w:hAnsi="宋体" w:cs="宋体"/>
                <w:b w:val="0"/>
              </w:rPr>
              <w:t>0.68%</w:t>
            </w:r>
          </w:p>
        </w:tc>
        <w:tc>
          <w:tcPr>
            <w:tcW w:w="0" w:type="dxa"/>
            <w:vAlign w:val="center"/>
          </w:tcPr>
          <w:p>
            <w:pPr>
              <w:spacing w:line="240" w:lineRule="auto"/>
              <w:jc w:val="right"/>
            </w:pPr>
            <w:r>
              <w:rPr>
                <w:rFonts w:ascii="宋体" w:eastAsia="宋体" w:hAnsi="宋体" w:cs="宋体"/>
                <w:b w:val="0"/>
              </w:rPr>
              <w:t>-51.82%</w:t>
            </w:r>
          </w:p>
        </w:tc>
        <w:tc>
          <w:tcPr>
            <w:tcW w:w="0" w:type="dxa"/>
            <w:vAlign w:val="center"/>
          </w:tcPr>
          <w:p>
            <w:pPr>
              <w:spacing w:line="240" w:lineRule="auto"/>
              <w:jc w:val="right"/>
            </w:pPr>
            <w:r>
              <w:rPr>
                <w:rFonts w:ascii="宋体" w:eastAsia="宋体" w:hAnsi="宋体" w:cs="宋体"/>
                <w:b w:val="0"/>
              </w:rPr>
              <w:t>1.45%</w:t>
            </w:r>
          </w:p>
        </w:tc>
      </w:tr>
      <w:tr>
        <w:tblPrEx>
          <w:tblW w:w="5000" w:type="pct"/>
        </w:tblPrEx>
        <w:tc>
          <w:tcPr>
            <w:tcW w:w="0" w:type="dxa"/>
            <w:vAlign w:val="center"/>
          </w:tcPr>
          <w:p>
            <w:pPr>
              <w:spacing w:line="240" w:lineRule="auto"/>
              <w:jc w:val="left"/>
            </w:pPr>
            <w:r>
              <w:rPr>
                <w:rFonts w:ascii="宋体" w:eastAsia="宋体" w:hAnsi="宋体" w:cs="宋体"/>
                <w:b w:val="0"/>
              </w:rPr>
              <w:t>过去七年</w:t>
            </w:r>
          </w:p>
        </w:tc>
        <w:tc>
          <w:tcPr>
            <w:tcW w:w="0" w:type="dxa"/>
            <w:vAlign w:val="center"/>
          </w:tcPr>
          <w:p>
            <w:pPr>
              <w:spacing w:line="240" w:lineRule="auto"/>
              <w:jc w:val="right"/>
            </w:pPr>
            <w:r>
              <w:rPr>
                <w:rFonts w:ascii="宋体" w:eastAsia="宋体" w:hAnsi="宋体" w:cs="宋体"/>
                <w:b w:val="0"/>
              </w:rPr>
              <w:t>-25.45%</w:t>
            </w:r>
          </w:p>
        </w:tc>
        <w:tc>
          <w:tcPr>
            <w:tcW w:w="0" w:type="dxa"/>
            <w:vAlign w:val="center"/>
          </w:tcPr>
          <w:p>
            <w:pPr>
              <w:spacing w:line="240" w:lineRule="auto"/>
              <w:jc w:val="right"/>
            </w:pPr>
            <w:r>
              <w:rPr>
                <w:rFonts w:ascii="宋体" w:eastAsia="宋体" w:hAnsi="宋体" w:cs="宋体"/>
                <w:b w:val="0"/>
              </w:rPr>
              <w:t>2.00%</w:t>
            </w:r>
          </w:p>
        </w:tc>
        <w:tc>
          <w:tcPr>
            <w:tcW w:w="0" w:type="dxa"/>
            <w:vAlign w:val="center"/>
          </w:tcPr>
          <w:p>
            <w:pPr>
              <w:spacing w:line="240" w:lineRule="auto"/>
              <w:jc w:val="right"/>
            </w:pPr>
            <w:r>
              <w:rPr>
                <w:rFonts w:ascii="宋体" w:eastAsia="宋体" w:hAnsi="宋体" w:cs="宋体"/>
                <w:b w:val="0"/>
              </w:rPr>
              <w:t>22.10%</w:t>
            </w:r>
          </w:p>
        </w:tc>
        <w:tc>
          <w:tcPr>
            <w:tcW w:w="0" w:type="dxa"/>
            <w:vAlign w:val="center"/>
          </w:tcPr>
          <w:p>
            <w:pPr>
              <w:spacing w:line="240" w:lineRule="auto"/>
              <w:jc w:val="right"/>
            </w:pPr>
            <w:r>
              <w:rPr>
                <w:rFonts w:ascii="宋体" w:eastAsia="宋体" w:hAnsi="宋体" w:cs="宋体"/>
                <w:b w:val="0"/>
              </w:rPr>
              <w:t>0.69%</w:t>
            </w:r>
          </w:p>
        </w:tc>
        <w:tc>
          <w:tcPr>
            <w:tcW w:w="0" w:type="dxa"/>
            <w:vAlign w:val="center"/>
          </w:tcPr>
          <w:p>
            <w:pPr>
              <w:spacing w:line="240" w:lineRule="auto"/>
              <w:jc w:val="right"/>
            </w:pPr>
            <w:r>
              <w:rPr>
                <w:rFonts w:ascii="宋体" w:eastAsia="宋体" w:hAnsi="宋体" w:cs="宋体"/>
                <w:b w:val="0"/>
              </w:rPr>
              <w:t>-47.55%</w:t>
            </w:r>
          </w:p>
        </w:tc>
        <w:tc>
          <w:tcPr>
            <w:tcW w:w="0" w:type="dxa"/>
            <w:vAlign w:val="center"/>
          </w:tcPr>
          <w:p>
            <w:pPr>
              <w:spacing w:line="240" w:lineRule="auto"/>
              <w:jc w:val="right"/>
            </w:pPr>
            <w:r>
              <w:rPr>
                <w:rFonts w:ascii="宋体" w:eastAsia="宋体" w:hAnsi="宋体" w:cs="宋体"/>
                <w:b w:val="0"/>
              </w:rPr>
              <w:t>1.31%</w:t>
            </w:r>
          </w:p>
        </w:tc>
      </w:tr>
      <w:tr>
        <w:tblPrEx>
          <w:tblW w:w="5000" w:type="pct"/>
        </w:tblPrEx>
        <w:tc>
          <w:tcPr>
            <w:tcW w:w="0" w:type="dxa"/>
            <w:vAlign w:val="center"/>
          </w:tcPr>
          <w:p>
            <w:pPr>
              <w:spacing w:line="240" w:lineRule="auto"/>
              <w:jc w:val="left"/>
            </w:pPr>
            <w:r>
              <w:rPr>
                <w:rFonts w:ascii="宋体" w:eastAsia="宋体" w:hAnsi="宋体" w:cs="宋体"/>
                <w:b w:val="0"/>
              </w:rPr>
              <w:t>自基金合同生效起至今</w:t>
            </w:r>
          </w:p>
        </w:tc>
        <w:tc>
          <w:tcPr>
            <w:tcW w:w="0" w:type="dxa"/>
            <w:vAlign w:val="center"/>
          </w:tcPr>
          <w:p>
            <w:pPr>
              <w:spacing w:line="240" w:lineRule="auto"/>
              <w:jc w:val="right"/>
            </w:pPr>
            <w:r>
              <w:rPr>
                <w:rFonts w:ascii="宋体" w:eastAsia="宋体" w:hAnsi="宋体" w:cs="宋体"/>
                <w:b w:val="0"/>
              </w:rPr>
              <w:t>-22.21%</w:t>
            </w:r>
          </w:p>
        </w:tc>
        <w:tc>
          <w:tcPr>
            <w:tcW w:w="0" w:type="dxa"/>
            <w:vAlign w:val="center"/>
          </w:tcPr>
          <w:p>
            <w:pPr>
              <w:spacing w:line="240" w:lineRule="auto"/>
              <w:jc w:val="right"/>
            </w:pPr>
            <w:r>
              <w:rPr>
                <w:rFonts w:ascii="宋体" w:eastAsia="宋体" w:hAnsi="宋体" w:cs="宋体"/>
                <w:b w:val="0"/>
              </w:rPr>
              <w:t>1.88%</w:t>
            </w:r>
          </w:p>
        </w:tc>
        <w:tc>
          <w:tcPr>
            <w:tcW w:w="0" w:type="dxa"/>
            <w:vAlign w:val="center"/>
          </w:tcPr>
          <w:p>
            <w:pPr>
              <w:spacing w:line="240" w:lineRule="auto"/>
              <w:jc w:val="right"/>
            </w:pPr>
            <w:r>
              <w:rPr>
                <w:rFonts w:ascii="宋体" w:eastAsia="宋体" w:hAnsi="宋体" w:cs="宋体"/>
                <w:b w:val="0"/>
              </w:rPr>
              <w:t>21.92%</w:t>
            </w:r>
          </w:p>
        </w:tc>
        <w:tc>
          <w:tcPr>
            <w:tcW w:w="0" w:type="dxa"/>
            <w:vAlign w:val="center"/>
          </w:tcPr>
          <w:p>
            <w:pPr>
              <w:spacing w:line="240" w:lineRule="auto"/>
              <w:jc w:val="right"/>
            </w:pPr>
            <w:r>
              <w:rPr>
                <w:rFonts w:ascii="宋体" w:eastAsia="宋体" w:hAnsi="宋体" w:cs="宋体"/>
                <w:b w:val="0"/>
              </w:rPr>
              <w:t>0.70%</w:t>
            </w:r>
          </w:p>
        </w:tc>
        <w:tc>
          <w:tcPr>
            <w:tcW w:w="0" w:type="dxa"/>
            <w:vAlign w:val="center"/>
          </w:tcPr>
          <w:p>
            <w:pPr>
              <w:spacing w:line="240" w:lineRule="auto"/>
              <w:jc w:val="right"/>
            </w:pPr>
            <w:r>
              <w:rPr>
                <w:rFonts w:ascii="宋体" w:eastAsia="宋体" w:hAnsi="宋体" w:cs="宋体"/>
                <w:b w:val="0"/>
              </w:rPr>
              <w:t>-44.13%</w:t>
            </w:r>
          </w:p>
        </w:tc>
        <w:tc>
          <w:tcPr>
            <w:tcW w:w="0" w:type="dxa"/>
            <w:vAlign w:val="center"/>
          </w:tcPr>
          <w:p>
            <w:pPr>
              <w:spacing w:line="240" w:lineRule="auto"/>
              <w:jc w:val="right"/>
            </w:pPr>
            <w:r>
              <w:rPr>
                <w:rFonts w:ascii="宋体" w:eastAsia="宋体" w:hAnsi="宋体" w:cs="宋体"/>
                <w:b w:val="0"/>
              </w:rPr>
              <w:t>1.18%</w:t>
            </w:r>
          </w:p>
        </w:tc>
      </w:tr>
    </w:tbl>
    <w:p>
      <w:pPr>
        <w:jc w:val="left"/>
      </w:pPr>
      <w:r>
        <w:rPr>
          <w:rFonts w:ascii="宋体" w:eastAsia="宋体" w:hAnsi="宋体" w:cs="宋体"/>
          <w:b/>
        </w:rPr>
        <w:t>东方阿尔法精选混合C净值表现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Grid>
        <w:gridCol w:w="1295"/>
        <w:gridCol w:w="1295"/>
        <w:gridCol w:w="1295"/>
        <w:gridCol w:w="1295"/>
        <w:gridCol w:w="1295"/>
        <w:gridCol w:w="1295"/>
        <w:gridCol w:w="1295"/>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46" w:type="pct"/>
            <w:shd w:val="clear" w:color="auto" w:fill="D9D9D9"/>
            <w:vAlign w:val="center"/>
          </w:tcPr>
          <w:p>
            <w:pPr>
              <w:spacing w:line="240" w:lineRule="auto"/>
              <w:jc w:val="center"/>
            </w:pPr>
            <w:r>
              <w:rPr>
                <w:rFonts w:ascii="宋体" w:eastAsia="宋体" w:hAnsi="宋体" w:cs="宋体"/>
                <w:b w:val="0"/>
              </w:rPr>
              <w:t>阶段</w:t>
            </w:r>
          </w:p>
        </w:tc>
        <w:tc>
          <w:tcPr>
            <w:tcW w:w="692" w:type="pct"/>
            <w:shd w:val="clear" w:color="auto" w:fill="D9D9D9"/>
            <w:vAlign w:val="center"/>
          </w:tcPr>
          <w:p>
            <w:pPr>
              <w:spacing w:line="240" w:lineRule="auto"/>
              <w:jc w:val="center"/>
            </w:pPr>
            <w:r>
              <w:rPr>
                <w:rFonts w:ascii="宋体" w:eastAsia="宋体" w:hAnsi="宋体" w:cs="宋体"/>
                <w:b w:val="0"/>
              </w:rPr>
              <w:t>净值增长率①</w:t>
            </w:r>
          </w:p>
        </w:tc>
        <w:tc>
          <w:tcPr>
            <w:tcW w:w="692" w:type="pct"/>
            <w:shd w:val="clear" w:color="auto" w:fill="D9D9D9"/>
            <w:vAlign w:val="center"/>
          </w:tcPr>
          <w:p>
            <w:pPr>
              <w:spacing w:line="240" w:lineRule="auto"/>
              <w:jc w:val="center"/>
            </w:pPr>
            <w:r>
              <w:rPr>
                <w:rFonts w:ascii="宋体" w:eastAsia="宋体" w:hAnsi="宋体" w:cs="宋体"/>
                <w:b w:val="0"/>
              </w:rPr>
              <w:t>净值增长率标准差②</w:t>
            </w:r>
          </w:p>
        </w:tc>
        <w:tc>
          <w:tcPr>
            <w:tcW w:w="692" w:type="pct"/>
            <w:shd w:val="clear" w:color="auto" w:fill="D9D9D9"/>
            <w:vAlign w:val="center"/>
          </w:tcPr>
          <w:p>
            <w:pPr>
              <w:spacing w:line="240" w:lineRule="auto"/>
              <w:jc w:val="center"/>
            </w:pPr>
            <w:r>
              <w:rPr>
                <w:rFonts w:ascii="宋体" w:eastAsia="宋体" w:hAnsi="宋体" w:cs="宋体"/>
                <w:b w:val="0"/>
              </w:rPr>
              <w:t>业绩比较基准收益率③</w:t>
            </w:r>
          </w:p>
        </w:tc>
        <w:tc>
          <w:tcPr>
            <w:tcW w:w="692" w:type="pct"/>
            <w:shd w:val="clear" w:color="auto" w:fill="D9D9D9"/>
            <w:vAlign w:val="center"/>
          </w:tcPr>
          <w:p>
            <w:pPr>
              <w:spacing w:line="240" w:lineRule="auto"/>
              <w:jc w:val="center"/>
            </w:pPr>
            <w:r>
              <w:rPr>
                <w:rFonts w:ascii="宋体" w:eastAsia="宋体" w:hAnsi="宋体" w:cs="宋体"/>
                <w:b w:val="0"/>
              </w:rPr>
              <w:t>业绩比较基准收益率标准差④</w:t>
            </w:r>
          </w:p>
        </w:tc>
        <w:tc>
          <w:tcPr>
            <w:tcW w:w="692" w:type="pct"/>
            <w:shd w:val="clear" w:color="auto" w:fill="D9D9D9"/>
            <w:vAlign w:val="center"/>
          </w:tcPr>
          <w:p>
            <w:pPr>
              <w:spacing w:line="240" w:lineRule="auto"/>
              <w:jc w:val="center"/>
            </w:pPr>
            <w:r>
              <w:rPr>
                <w:rFonts w:ascii="宋体" w:eastAsia="宋体" w:hAnsi="宋体" w:cs="宋体"/>
                <w:b w:val="0"/>
              </w:rPr>
              <w:t>①-③</w:t>
            </w:r>
          </w:p>
        </w:tc>
        <w:tc>
          <w:tcPr>
            <w:tcW w:w="692" w:type="pct"/>
            <w:shd w:val="clear" w:color="auto" w:fill="D9D9D9"/>
            <w:vAlign w:val="center"/>
          </w:tcPr>
          <w:p>
            <w:pPr>
              <w:spacing w:line="240" w:lineRule="auto"/>
              <w:jc w:val="center"/>
            </w:pPr>
            <w:r>
              <w:rPr>
                <w:rFonts w:ascii="宋体" w:eastAsia="宋体" w:hAnsi="宋体" w:cs="宋体"/>
                <w:b w:val="0"/>
              </w:rPr>
              <w:t>②-④</w:t>
            </w:r>
          </w:p>
        </w:tc>
      </w:tr>
      <w:tr>
        <w:tblPrEx>
          <w:tblW w:w="5000" w:type="pct"/>
        </w:tblPrEx>
        <w:tc>
          <w:tcPr>
            <w:tcW w:w="0" w:type="dxa"/>
            <w:vAlign w:val="center"/>
          </w:tcPr>
          <w:p>
            <w:pPr>
              <w:spacing w:line="240" w:lineRule="auto"/>
              <w:jc w:val="left"/>
            </w:pPr>
            <w:r>
              <w:rPr>
                <w:rFonts w:ascii="宋体" w:eastAsia="宋体" w:hAnsi="宋体" w:cs="宋体"/>
                <w:b w:val="0"/>
              </w:rPr>
              <w:t>过去三个月</w:t>
            </w:r>
          </w:p>
        </w:tc>
        <w:tc>
          <w:tcPr>
            <w:tcW w:w="0" w:type="dxa"/>
            <w:vAlign w:val="center"/>
          </w:tcPr>
          <w:p>
            <w:pPr>
              <w:spacing w:line="240" w:lineRule="auto"/>
              <w:jc w:val="right"/>
            </w:pPr>
            <w:r>
              <w:rPr>
                <w:rFonts w:ascii="宋体" w:eastAsia="宋体" w:hAnsi="宋体" w:cs="宋体"/>
                <w:b w:val="0"/>
              </w:rPr>
              <w:t>-34.16%</w:t>
            </w:r>
          </w:p>
        </w:tc>
        <w:tc>
          <w:tcPr>
            <w:tcW w:w="0" w:type="dxa"/>
            <w:vAlign w:val="center"/>
          </w:tcPr>
          <w:p>
            <w:pPr>
              <w:spacing w:line="240" w:lineRule="auto"/>
              <w:jc w:val="right"/>
            </w:pPr>
            <w:r>
              <w:rPr>
                <w:rFonts w:ascii="宋体" w:eastAsia="宋体" w:hAnsi="宋体" w:cs="宋体"/>
                <w:b w:val="0"/>
              </w:rPr>
              <w:t>3.95%</w:t>
            </w:r>
          </w:p>
        </w:tc>
        <w:tc>
          <w:tcPr>
            <w:tcW w:w="0" w:type="dxa"/>
            <w:vAlign w:val="center"/>
          </w:tcPr>
          <w:p>
            <w:pPr>
              <w:spacing w:line="240" w:lineRule="auto"/>
              <w:jc w:val="right"/>
            </w:pPr>
            <w:r>
              <w:rPr>
                <w:rFonts w:ascii="宋体" w:eastAsia="宋体" w:hAnsi="宋体" w:cs="宋体"/>
                <w:b w:val="0"/>
              </w:rPr>
              <w:t>-3.22%</w:t>
            </w:r>
          </w:p>
        </w:tc>
        <w:tc>
          <w:tcPr>
            <w:tcW w:w="0" w:type="dxa"/>
            <w:vAlign w:val="center"/>
          </w:tcPr>
          <w:p>
            <w:pPr>
              <w:spacing w:line="240" w:lineRule="auto"/>
              <w:jc w:val="right"/>
            </w:pPr>
            <w:r>
              <w:rPr>
                <w:rFonts w:ascii="宋体" w:eastAsia="宋体" w:hAnsi="宋体" w:cs="宋体"/>
                <w:b w:val="0"/>
              </w:rPr>
              <w:t>0.59%</w:t>
            </w:r>
          </w:p>
        </w:tc>
        <w:tc>
          <w:tcPr>
            <w:tcW w:w="0" w:type="dxa"/>
            <w:vAlign w:val="center"/>
          </w:tcPr>
          <w:p>
            <w:pPr>
              <w:spacing w:line="240" w:lineRule="auto"/>
              <w:jc w:val="right"/>
            </w:pPr>
            <w:r>
              <w:rPr>
                <w:rFonts w:ascii="宋体" w:eastAsia="宋体" w:hAnsi="宋体" w:cs="宋体"/>
                <w:b w:val="0"/>
              </w:rPr>
              <w:t>-30.94%</w:t>
            </w:r>
          </w:p>
        </w:tc>
        <w:tc>
          <w:tcPr>
            <w:tcW w:w="0" w:type="dxa"/>
            <w:vAlign w:val="center"/>
          </w:tcPr>
          <w:p>
            <w:pPr>
              <w:spacing w:line="240" w:lineRule="auto"/>
              <w:jc w:val="right"/>
            </w:pPr>
            <w:r>
              <w:rPr>
                <w:rFonts w:ascii="宋体" w:eastAsia="宋体" w:hAnsi="宋体" w:cs="宋体"/>
                <w:b w:val="0"/>
              </w:rPr>
              <w:t>3.36%</w:t>
            </w:r>
          </w:p>
        </w:tc>
      </w:tr>
      <w:tr>
        <w:tblPrEx>
          <w:tblW w:w="5000" w:type="pct"/>
        </w:tblPrEx>
        <w:tc>
          <w:tcPr>
            <w:tcW w:w="0" w:type="dxa"/>
            <w:vAlign w:val="center"/>
          </w:tcPr>
          <w:p>
            <w:pPr>
              <w:spacing w:line="240" w:lineRule="auto"/>
              <w:jc w:val="left"/>
            </w:pPr>
            <w:r>
              <w:rPr>
                <w:rFonts w:ascii="宋体" w:eastAsia="宋体" w:hAnsi="宋体" w:cs="宋体"/>
                <w:b w:val="0"/>
              </w:rPr>
              <w:t>过去六个月</w:t>
            </w:r>
          </w:p>
        </w:tc>
        <w:tc>
          <w:tcPr>
            <w:tcW w:w="0" w:type="dxa"/>
            <w:vAlign w:val="center"/>
          </w:tcPr>
          <w:p>
            <w:pPr>
              <w:spacing w:line="240" w:lineRule="auto"/>
              <w:jc w:val="right"/>
            </w:pPr>
            <w:r>
              <w:rPr>
                <w:rFonts w:ascii="宋体" w:eastAsia="宋体" w:hAnsi="宋体" w:cs="宋体"/>
                <w:b w:val="0"/>
              </w:rPr>
              <w:t>3.03%</w:t>
            </w:r>
          </w:p>
        </w:tc>
        <w:tc>
          <w:tcPr>
            <w:tcW w:w="0" w:type="dxa"/>
            <w:vAlign w:val="center"/>
          </w:tcPr>
          <w:p>
            <w:pPr>
              <w:spacing w:line="240" w:lineRule="auto"/>
              <w:jc w:val="right"/>
            </w:pPr>
            <w:r>
              <w:rPr>
                <w:rFonts w:ascii="宋体" w:eastAsia="宋体" w:hAnsi="宋体" w:cs="宋体"/>
                <w:b w:val="0"/>
              </w:rPr>
              <w:t>3.76%</w:t>
            </w:r>
          </w:p>
        </w:tc>
        <w:tc>
          <w:tcPr>
            <w:tcW w:w="0" w:type="dxa"/>
            <w:vAlign w:val="center"/>
          </w:tcPr>
          <w:p>
            <w:pPr>
              <w:spacing w:line="240" w:lineRule="auto"/>
              <w:jc w:val="right"/>
            </w:pPr>
            <w:r>
              <w:rPr>
                <w:rFonts w:ascii="宋体" w:eastAsia="宋体" w:hAnsi="宋体" w:cs="宋体"/>
                <w:b w:val="0"/>
              </w:rPr>
              <w:t>0.24%</w:t>
            </w:r>
          </w:p>
        </w:tc>
        <w:tc>
          <w:tcPr>
            <w:tcW w:w="0" w:type="dxa"/>
            <w:vAlign w:val="center"/>
          </w:tcPr>
          <w:p>
            <w:pPr>
              <w:spacing w:line="240" w:lineRule="auto"/>
              <w:jc w:val="right"/>
            </w:pPr>
            <w:r>
              <w:rPr>
                <w:rFonts w:ascii="宋体" w:eastAsia="宋体" w:hAnsi="宋体" w:cs="宋体"/>
                <w:b w:val="0"/>
              </w:rPr>
              <w:t>0.63%</w:t>
            </w:r>
          </w:p>
        </w:tc>
        <w:tc>
          <w:tcPr>
            <w:tcW w:w="0" w:type="dxa"/>
            <w:vAlign w:val="center"/>
          </w:tcPr>
          <w:p>
            <w:pPr>
              <w:spacing w:line="240" w:lineRule="auto"/>
              <w:jc w:val="right"/>
            </w:pPr>
            <w:r>
              <w:rPr>
                <w:rFonts w:ascii="宋体" w:eastAsia="宋体" w:hAnsi="宋体" w:cs="宋体"/>
                <w:b w:val="0"/>
              </w:rPr>
              <w:t>2.79%</w:t>
            </w:r>
          </w:p>
        </w:tc>
        <w:tc>
          <w:tcPr>
            <w:tcW w:w="0" w:type="dxa"/>
            <w:vAlign w:val="center"/>
          </w:tcPr>
          <w:p>
            <w:pPr>
              <w:spacing w:line="240" w:lineRule="auto"/>
              <w:jc w:val="right"/>
            </w:pPr>
            <w:r>
              <w:rPr>
                <w:rFonts w:ascii="宋体" w:eastAsia="宋体" w:hAnsi="宋体" w:cs="宋体"/>
                <w:b w:val="0"/>
              </w:rPr>
              <w:t>3.13%</w:t>
            </w:r>
          </w:p>
        </w:tc>
      </w:tr>
      <w:tr>
        <w:tblPrEx>
          <w:tblW w:w="5000" w:type="pct"/>
        </w:tblPrEx>
        <w:tc>
          <w:tcPr>
            <w:tcW w:w="0" w:type="dxa"/>
            <w:vAlign w:val="center"/>
          </w:tcPr>
          <w:p>
            <w:pPr>
              <w:spacing w:line="240" w:lineRule="auto"/>
              <w:jc w:val="left"/>
            </w:pPr>
            <w:r>
              <w:rPr>
                <w:rFonts w:ascii="宋体" w:eastAsia="宋体" w:hAnsi="宋体" w:cs="宋体"/>
                <w:b w:val="0"/>
              </w:rPr>
              <w:t>过去一年</w:t>
            </w:r>
          </w:p>
        </w:tc>
        <w:tc>
          <w:tcPr>
            <w:tcW w:w="0" w:type="dxa"/>
            <w:vAlign w:val="center"/>
          </w:tcPr>
          <w:p>
            <w:pPr>
              <w:spacing w:line="240" w:lineRule="auto"/>
              <w:jc w:val="right"/>
            </w:pPr>
            <w:r>
              <w:rPr>
                <w:rFonts w:ascii="宋体" w:eastAsia="宋体" w:hAnsi="宋体" w:cs="宋体"/>
                <w:b w:val="0"/>
              </w:rPr>
              <w:t>-23.56%</w:t>
            </w:r>
          </w:p>
        </w:tc>
        <w:tc>
          <w:tcPr>
            <w:tcW w:w="0" w:type="dxa"/>
            <w:vAlign w:val="center"/>
          </w:tcPr>
          <w:p>
            <w:pPr>
              <w:spacing w:line="240" w:lineRule="auto"/>
              <w:jc w:val="right"/>
            </w:pPr>
            <w:r>
              <w:rPr>
                <w:rFonts w:ascii="宋体" w:eastAsia="宋体" w:hAnsi="宋体" w:cs="宋体"/>
                <w:b w:val="0"/>
              </w:rPr>
              <w:t>3.09%</w:t>
            </w:r>
          </w:p>
        </w:tc>
        <w:tc>
          <w:tcPr>
            <w:tcW w:w="0" w:type="dxa"/>
            <w:vAlign w:val="center"/>
          </w:tcPr>
          <w:p>
            <w:pPr>
              <w:spacing w:line="240" w:lineRule="auto"/>
              <w:jc w:val="right"/>
            </w:pPr>
            <w:r>
              <w:rPr>
                <w:rFonts w:ascii="宋体" w:eastAsia="宋体" w:hAnsi="宋体" w:cs="宋体"/>
                <w:b w:val="0"/>
              </w:rPr>
              <w:t>-2.29%</w:t>
            </w:r>
          </w:p>
        </w:tc>
        <w:tc>
          <w:tcPr>
            <w:tcW w:w="0" w:type="dxa"/>
            <w:vAlign w:val="center"/>
          </w:tcPr>
          <w:p>
            <w:pPr>
              <w:spacing w:line="240" w:lineRule="auto"/>
              <w:jc w:val="right"/>
            </w:pPr>
            <w:r>
              <w:rPr>
                <w:rFonts w:ascii="宋体" w:eastAsia="宋体" w:hAnsi="宋体" w:cs="宋体"/>
                <w:b w:val="0"/>
              </w:rPr>
              <w:t>0.61%</w:t>
            </w:r>
          </w:p>
        </w:tc>
        <w:tc>
          <w:tcPr>
            <w:tcW w:w="0" w:type="dxa"/>
            <w:vAlign w:val="center"/>
          </w:tcPr>
          <w:p>
            <w:pPr>
              <w:spacing w:line="240" w:lineRule="auto"/>
              <w:jc w:val="right"/>
            </w:pPr>
            <w:r>
              <w:rPr>
                <w:rFonts w:ascii="宋体" w:eastAsia="宋体" w:hAnsi="宋体" w:cs="宋体"/>
                <w:b w:val="0"/>
              </w:rPr>
              <w:t>-21.27%</w:t>
            </w:r>
          </w:p>
        </w:tc>
        <w:tc>
          <w:tcPr>
            <w:tcW w:w="0" w:type="dxa"/>
            <w:vAlign w:val="center"/>
          </w:tcPr>
          <w:p>
            <w:pPr>
              <w:spacing w:line="240" w:lineRule="auto"/>
              <w:jc w:val="right"/>
            </w:pPr>
            <w:r>
              <w:rPr>
                <w:rFonts w:ascii="宋体" w:eastAsia="宋体" w:hAnsi="宋体" w:cs="宋体"/>
                <w:b w:val="0"/>
              </w:rPr>
              <w:t>2.48%</w:t>
            </w:r>
          </w:p>
        </w:tc>
      </w:tr>
      <w:tr>
        <w:tblPrEx>
          <w:tblW w:w="5000" w:type="pct"/>
        </w:tblPrEx>
        <w:tc>
          <w:tcPr>
            <w:tcW w:w="0" w:type="dxa"/>
            <w:vAlign w:val="center"/>
          </w:tcPr>
          <w:p>
            <w:pPr>
              <w:spacing w:line="240" w:lineRule="auto"/>
              <w:jc w:val="left"/>
            </w:pPr>
            <w:r>
              <w:rPr>
                <w:rFonts w:ascii="宋体" w:eastAsia="宋体" w:hAnsi="宋体" w:cs="宋体"/>
                <w:b w:val="0"/>
              </w:rPr>
              <w:t>过去三年</w:t>
            </w:r>
          </w:p>
        </w:tc>
        <w:tc>
          <w:tcPr>
            <w:tcW w:w="0" w:type="dxa"/>
            <w:vAlign w:val="center"/>
          </w:tcPr>
          <w:p>
            <w:pPr>
              <w:spacing w:line="240" w:lineRule="auto"/>
              <w:jc w:val="right"/>
            </w:pPr>
            <w:r>
              <w:rPr>
                <w:rFonts w:ascii="宋体" w:eastAsia="宋体" w:hAnsi="宋体" w:cs="宋体"/>
                <w:b w:val="0"/>
              </w:rPr>
              <w:t>-26.57%</w:t>
            </w:r>
          </w:p>
        </w:tc>
        <w:tc>
          <w:tcPr>
            <w:tcW w:w="0" w:type="dxa"/>
            <w:vAlign w:val="center"/>
          </w:tcPr>
          <w:p>
            <w:pPr>
              <w:spacing w:line="240" w:lineRule="auto"/>
              <w:jc w:val="right"/>
            </w:pPr>
            <w:r>
              <w:rPr>
                <w:rFonts w:ascii="宋体" w:eastAsia="宋体" w:hAnsi="宋体" w:cs="宋体"/>
                <w:b w:val="0"/>
              </w:rPr>
              <w:t>2.38%</w:t>
            </w:r>
          </w:p>
        </w:tc>
        <w:tc>
          <w:tcPr>
            <w:tcW w:w="0" w:type="dxa"/>
            <w:vAlign w:val="center"/>
          </w:tcPr>
          <w:p>
            <w:pPr>
              <w:spacing w:line="240" w:lineRule="auto"/>
              <w:jc w:val="right"/>
            </w:pPr>
            <w:r>
              <w:rPr>
                <w:rFonts w:ascii="宋体" w:eastAsia="宋体" w:hAnsi="宋体" w:cs="宋体"/>
                <w:b w:val="0"/>
              </w:rPr>
              <w:t>22.14%</w:t>
            </w:r>
          </w:p>
        </w:tc>
        <w:tc>
          <w:tcPr>
            <w:tcW w:w="0" w:type="dxa"/>
            <w:vAlign w:val="center"/>
          </w:tcPr>
          <w:p>
            <w:pPr>
              <w:spacing w:line="240" w:lineRule="auto"/>
              <w:jc w:val="right"/>
            </w:pPr>
            <w:r>
              <w:rPr>
                <w:rFonts w:ascii="宋体" w:eastAsia="宋体" w:hAnsi="宋体" w:cs="宋体"/>
                <w:b w:val="0"/>
              </w:rPr>
              <w:t>0.65%</w:t>
            </w:r>
          </w:p>
        </w:tc>
        <w:tc>
          <w:tcPr>
            <w:tcW w:w="0" w:type="dxa"/>
            <w:vAlign w:val="center"/>
          </w:tcPr>
          <w:p>
            <w:pPr>
              <w:spacing w:line="240" w:lineRule="auto"/>
              <w:jc w:val="right"/>
            </w:pPr>
            <w:r>
              <w:rPr>
                <w:rFonts w:ascii="宋体" w:eastAsia="宋体" w:hAnsi="宋体" w:cs="宋体"/>
                <w:b w:val="0"/>
              </w:rPr>
              <w:t>-48.71%</w:t>
            </w:r>
          </w:p>
        </w:tc>
        <w:tc>
          <w:tcPr>
            <w:tcW w:w="0" w:type="dxa"/>
            <w:vAlign w:val="center"/>
          </w:tcPr>
          <w:p>
            <w:pPr>
              <w:spacing w:line="240" w:lineRule="auto"/>
              <w:jc w:val="right"/>
            </w:pPr>
            <w:r>
              <w:rPr>
                <w:rFonts w:ascii="宋体" w:eastAsia="宋体" w:hAnsi="宋体" w:cs="宋体"/>
                <w:b w:val="0"/>
              </w:rPr>
              <w:t>1.73%</w:t>
            </w:r>
          </w:p>
        </w:tc>
      </w:tr>
      <w:tr>
        <w:tblPrEx>
          <w:tblW w:w="5000" w:type="pct"/>
        </w:tblPrEx>
        <w:tc>
          <w:tcPr>
            <w:tcW w:w="0" w:type="dxa"/>
            <w:vAlign w:val="center"/>
          </w:tcPr>
          <w:p>
            <w:pPr>
              <w:spacing w:line="240" w:lineRule="auto"/>
              <w:jc w:val="left"/>
            </w:pPr>
            <w:r>
              <w:rPr>
                <w:rFonts w:ascii="宋体" w:eastAsia="宋体" w:hAnsi="宋体" w:cs="宋体"/>
                <w:b w:val="0"/>
              </w:rPr>
              <w:t>过去五年</w:t>
            </w:r>
          </w:p>
        </w:tc>
        <w:tc>
          <w:tcPr>
            <w:tcW w:w="0" w:type="dxa"/>
            <w:vAlign w:val="center"/>
          </w:tcPr>
          <w:p>
            <w:pPr>
              <w:spacing w:line="240" w:lineRule="auto"/>
              <w:jc w:val="right"/>
            </w:pPr>
            <w:r>
              <w:rPr>
                <w:rFonts w:ascii="宋体" w:eastAsia="宋体" w:hAnsi="宋体" w:cs="宋体"/>
                <w:b w:val="0"/>
              </w:rPr>
              <w:t>-45.95%</w:t>
            </w:r>
          </w:p>
        </w:tc>
        <w:tc>
          <w:tcPr>
            <w:tcW w:w="0" w:type="dxa"/>
            <w:vAlign w:val="center"/>
          </w:tcPr>
          <w:p>
            <w:pPr>
              <w:spacing w:line="240" w:lineRule="auto"/>
              <w:jc w:val="right"/>
            </w:pPr>
            <w:r>
              <w:rPr>
                <w:rFonts w:ascii="宋体" w:eastAsia="宋体" w:hAnsi="宋体" w:cs="宋体"/>
                <w:b w:val="0"/>
              </w:rPr>
              <w:t>2.13%</w:t>
            </w:r>
          </w:p>
        </w:tc>
        <w:tc>
          <w:tcPr>
            <w:tcW w:w="0" w:type="dxa"/>
            <w:vAlign w:val="center"/>
          </w:tcPr>
          <w:p>
            <w:pPr>
              <w:spacing w:line="240" w:lineRule="auto"/>
              <w:jc w:val="right"/>
            </w:pPr>
            <w:r>
              <w:rPr>
                <w:rFonts w:ascii="宋体" w:eastAsia="宋体" w:hAnsi="宋体" w:cs="宋体"/>
                <w:b w:val="0"/>
              </w:rPr>
              <w:t>7.20%</w:t>
            </w:r>
          </w:p>
        </w:tc>
        <w:tc>
          <w:tcPr>
            <w:tcW w:w="0" w:type="dxa"/>
            <w:vAlign w:val="center"/>
          </w:tcPr>
          <w:p>
            <w:pPr>
              <w:spacing w:line="240" w:lineRule="auto"/>
              <w:jc w:val="right"/>
            </w:pPr>
            <w:r>
              <w:rPr>
                <w:rFonts w:ascii="宋体" w:eastAsia="宋体" w:hAnsi="宋体" w:cs="宋体"/>
                <w:b w:val="0"/>
              </w:rPr>
              <w:t>0.68%</w:t>
            </w:r>
          </w:p>
        </w:tc>
        <w:tc>
          <w:tcPr>
            <w:tcW w:w="0" w:type="dxa"/>
            <w:vAlign w:val="center"/>
          </w:tcPr>
          <w:p>
            <w:pPr>
              <w:spacing w:line="240" w:lineRule="auto"/>
              <w:jc w:val="right"/>
            </w:pPr>
            <w:r>
              <w:rPr>
                <w:rFonts w:ascii="宋体" w:eastAsia="宋体" w:hAnsi="宋体" w:cs="宋体"/>
                <w:b w:val="0"/>
              </w:rPr>
              <w:t>-53.15%</w:t>
            </w:r>
          </w:p>
        </w:tc>
        <w:tc>
          <w:tcPr>
            <w:tcW w:w="0" w:type="dxa"/>
            <w:vAlign w:val="center"/>
          </w:tcPr>
          <w:p>
            <w:pPr>
              <w:spacing w:line="240" w:lineRule="auto"/>
              <w:jc w:val="right"/>
            </w:pPr>
            <w:r>
              <w:rPr>
                <w:rFonts w:ascii="宋体" w:eastAsia="宋体" w:hAnsi="宋体" w:cs="宋体"/>
                <w:b w:val="0"/>
              </w:rPr>
              <w:t>1.45%</w:t>
            </w:r>
          </w:p>
        </w:tc>
      </w:tr>
      <w:tr>
        <w:tblPrEx>
          <w:tblW w:w="5000" w:type="pct"/>
        </w:tblPrEx>
        <w:tc>
          <w:tcPr>
            <w:tcW w:w="0" w:type="dxa"/>
            <w:vAlign w:val="center"/>
          </w:tcPr>
          <w:p>
            <w:pPr>
              <w:spacing w:line="240" w:lineRule="auto"/>
              <w:jc w:val="left"/>
            </w:pPr>
            <w:r>
              <w:rPr>
                <w:rFonts w:ascii="宋体" w:eastAsia="宋体" w:hAnsi="宋体" w:cs="宋体"/>
                <w:b w:val="0"/>
              </w:rPr>
              <w:t>过去七年</w:t>
            </w:r>
          </w:p>
        </w:tc>
        <w:tc>
          <w:tcPr>
            <w:tcW w:w="0" w:type="dxa"/>
            <w:vAlign w:val="center"/>
          </w:tcPr>
          <w:p>
            <w:pPr>
              <w:spacing w:line="240" w:lineRule="auto"/>
              <w:jc w:val="right"/>
            </w:pPr>
            <w:r>
              <w:rPr>
                <w:rFonts w:ascii="宋体" w:eastAsia="宋体" w:hAnsi="宋体" w:cs="宋体"/>
                <w:b w:val="0"/>
              </w:rPr>
              <w:t>-27.97%</w:t>
            </w:r>
          </w:p>
        </w:tc>
        <w:tc>
          <w:tcPr>
            <w:tcW w:w="0" w:type="dxa"/>
            <w:vAlign w:val="center"/>
          </w:tcPr>
          <w:p>
            <w:pPr>
              <w:spacing w:line="240" w:lineRule="auto"/>
              <w:jc w:val="right"/>
            </w:pPr>
            <w:r>
              <w:rPr>
                <w:rFonts w:ascii="宋体" w:eastAsia="宋体" w:hAnsi="宋体" w:cs="宋体"/>
                <w:b w:val="0"/>
              </w:rPr>
              <w:t>2.00%</w:t>
            </w:r>
          </w:p>
        </w:tc>
        <w:tc>
          <w:tcPr>
            <w:tcW w:w="0" w:type="dxa"/>
            <w:vAlign w:val="center"/>
          </w:tcPr>
          <w:p>
            <w:pPr>
              <w:spacing w:line="240" w:lineRule="auto"/>
              <w:jc w:val="right"/>
            </w:pPr>
            <w:r>
              <w:rPr>
                <w:rFonts w:ascii="宋体" w:eastAsia="宋体" w:hAnsi="宋体" w:cs="宋体"/>
                <w:b w:val="0"/>
              </w:rPr>
              <w:t>22.10%</w:t>
            </w:r>
          </w:p>
        </w:tc>
        <w:tc>
          <w:tcPr>
            <w:tcW w:w="0" w:type="dxa"/>
            <w:vAlign w:val="center"/>
          </w:tcPr>
          <w:p>
            <w:pPr>
              <w:spacing w:line="240" w:lineRule="auto"/>
              <w:jc w:val="right"/>
            </w:pPr>
            <w:r>
              <w:rPr>
                <w:rFonts w:ascii="宋体" w:eastAsia="宋体" w:hAnsi="宋体" w:cs="宋体"/>
                <w:b w:val="0"/>
              </w:rPr>
              <w:t>0.69%</w:t>
            </w:r>
          </w:p>
        </w:tc>
        <w:tc>
          <w:tcPr>
            <w:tcW w:w="0" w:type="dxa"/>
            <w:vAlign w:val="center"/>
          </w:tcPr>
          <w:p>
            <w:pPr>
              <w:spacing w:line="240" w:lineRule="auto"/>
              <w:jc w:val="right"/>
            </w:pPr>
            <w:r>
              <w:rPr>
                <w:rFonts w:ascii="宋体" w:eastAsia="宋体" w:hAnsi="宋体" w:cs="宋体"/>
                <w:b w:val="0"/>
              </w:rPr>
              <w:t>-50.07%</w:t>
            </w:r>
          </w:p>
        </w:tc>
        <w:tc>
          <w:tcPr>
            <w:tcW w:w="0" w:type="dxa"/>
            <w:vAlign w:val="center"/>
          </w:tcPr>
          <w:p>
            <w:pPr>
              <w:spacing w:line="240" w:lineRule="auto"/>
              <w:jc w:val="right"/>
            </w:pPr>
            <w:r>
              <w:rPr>
                <w:rFonts w:ascii="宋体" w:eastAsia="宋体" w:hAnsi="宋体" w:cs="宋体"/>
                <w:b w:val="0"/>
              </w:rPr>
              <w:t>1.31%</w:t>
            </w:r>
          </w:p>
        </w:tc>
      </w:tr>
      <w:tr>
        <w:tblPrEx>
          <w:tblW w:w="5000" w:type="pct"/>
        </w:tblPrEx>
        <w:tc>
          <w:tcPr>
            <w:tcW w:w="0" w:type="dxa"/>
            <w:vAlign w:val="center"/>
          </w:tcPr>
          <w:p>
            <w:pPr>
              <w:spacing w:line="240" w:lineRule="auto"/>
              <w:jc w:val="left"/>
            </w:pPr>
            <w:r>
              <w:rPr>
                <w:rFonts w:ascii="宋体" w:eastAsia="宋体" w:hAnsi="宋体" w:cs="宋体"/>
                <w:b w:val="0"/>
              </w:rPr>
              <w:t>自基金合同生效起至今</w:t>
            </w:r>
          </w:p>
        </w:tc>
        <w:tc>
          <w:tcPr>
            <w:tcW w:w="0" w:type="dxa"/>
            <w:vAlign w:val="center"/>
          </w:tcPr>
          <w:p>
            <w:pPr>
              <w:spacing w:line="240" w:lineRule="auto"/>
              <w:jc w:val="right"/>
            </w:pPr>
            <w:r>
              <w:rPr>
                <w:rFonts w:ascii="宋体" w:eastAsia="宋体" w:hAnsi="宋体" w:cs="宋体"/>
                <w:b w:val="0"/>
              </w:rPr>
              <w:t>-25.45%</w:t>
            </w:r>
          </w:p>
        </w:tc>
        <w:tc>
          <w:tcPr>
            <w:tcW w:w="0" w:type="dxa"/>
            <w:vAlign w:val="center"/>
          </w:tcPr>
          <w:p>
            <w:pPr>
              <w:spacing w:line="240" w:lineRule="auto"/>
              <w:jc w:val="right"/>
            </w:pPr>
            <w:r>
              <w:rPr>
                <w:rFonts w:ascii="宋体" w:eastAsia="宋体" w:hAnsi="宋体" w:cs="宋体"/>
                <w:b w:val="0"/>
              </w:rPr>
              <w:t>1.88%</w:t>
            </w:r>
          </w:p>
        </w:tc>
        <w:tc>
          <w:tcPr>
            <w:tcW w:w="0" w:type="dxa"/>
            <w:vAlign w:val="center"/>
          </w:tcPr>
          <w:p>
            <w:pPr>
              <w:spacing w:line="240" w:lineRule="auto"/>
              <w:jc w:val="right"/>
            </w:pPr>
            <w:r>
              <w:rPr>
                <w:rFonts w:ascii="宋体" w:eastAsia="宋体" w:hAnsi="宋体" w:cs="宋体"/>
                <w:b w:val="0"/>
              </w:rPr>
              <w:t>21.92%</w:t>
            </w:r>
          </w:p>
        </w:tc>
        <w:tc>
          <w:tcPr>
            <w:tcW w:w="0" w:type="dxa"/>
            <w:vAlign w:val="center"/>
          </w:tcPr>
          <w:p>
            <w:pPr>
              <w:spacing w:line="240" w:lineRule="auto"/>
              <w:jc w:val="right"/>
            </w:pPr>
            <w:r>
              <w:rPr>
                <w:rFonts w:ascii="宋体" w:eastAsia="宋体" w:hAnsi="宋体" w:cs="宋体"/>
                <w:b w:val="0"/>
              </w:rPr>
              <w:t>0.70%</w:t>
            </w:r>
          </w:p>
        </w:tc>
        <w:tc>
          <w:tcPr>
            <w:tcW w:w="0" w:type="dxa"/>
            <w:vAlign w:val="center"/>
          </w:tcPr>
          <w:p>
            <w:pPr>
              <w:spacing w:line="240" w:lineRule="auto"/>
              <w:jc w:val="right"/>
            </w:pPr>
            <w:r>
              <w:rPr>
                <w:rFonts w:ascii="宋体" w:eastAsia="宋体" w:hAnsi="宋体" w:cs="宋体"/>
                <w:b w:val="0"/>
              </w:rPr>
              <w:t>-47.37%</w:t>
            </w:r>
          </w:p>
        </w:tc>
        <w:tc>
          <w:tcPr>
            <w:tcW w:w="0" w:type="dxa"/>
            <w:vAlign w:val="center"/>
          </w:tcPr>
          <w:p>
            <w:pPr>
              <w:spacing w:line="240" w:lineRule="auto"/>
              <w:jc w:val="right"/>
            </w:pPr>
            <w:r>
              <w:rPr>
                <w:rFonts w:ascii="宋体" w:eastAsia="宋体" w:hAnsi="宋体" w:cs="宋体"/>
                <w:b w:val="0"/>
              </w:rPr>
              <w:t>1.18%</w:t>
            </w:r>
          </w:p>
        </w:tc>
      </w:tr>
    </w:tbl>
    <w:p>
      <w:r>
        <w:rPr>
          <w:rFonts w:ascii="宋体" w:eastAsia="宋体" w:hAnsi="宋体" w:cs="宋体"/>
          <w:b w:val="0"/>
        </w:rPr>
        <w:t>注：本基金业绩比较基准为：沪深300指数收益率×40%+中证综合债券指数收益率×40%+恒生指数收益率×20%</w:t>
      </w:r>
    </w:p>
    <w:p/>
    <w:p>
      <w:pPr>
        <w:pStyle w:val="zhangjiep2"/>
      </w:pPr>
      <w:r>
        <w:rPr>
          <w:rStyle w:val="DefaultParagraphFont"/>
          <w:rFonts w:ascii="宋体" w:eastAsia="宋体" w:hAnsi="宋体" w:cs="宋体"/>
          <w:b/>
        </w:rPr>
        <w:t>3.2.2 自基金合同生效以来基金累计净值增长率变动及其与同期业绩比较基准收益率变动的比较</w:t>
      </w:r>
    </w:p>
    <w:p>
      <w:r>
        <w:drawing>
          <wp:inline distT="0" distB="0" distL="0" distR="0">
            <wp:extent cx="5715000" cy="3048000"/>
            <wp:docPr id="1" name="Drawing 1" descr="Generated"/>
            <wp:cNvGraphicFramePr/>
            <a:graphic xmlns:a="http://schemas.openxmlformats.org/drawingml/2006/main">
              <a:graphicData uri="http://schemas.openxmlformats.org/drawingml/2006/picture">
                <pic:pic xmlns:pic="http://schemas.openxmlformats.org/drawingml/2006/picture">
                  <pic:nvPicPr>
                    <pic:cNvPr id="1" name="Picture 1" descr="Generated"/>
                    <pic:cNvPicPr>
                      <a:picLocks noChangeAspect="1"/>
                    </pic:cNvPicPr>
                  </pic:nvPicPr>
                  <pic:blipFill>
                    <a:blip xmlns:r="http://schemas.openxmlformats.org/officeDocument/2006/relationships" r:embed="rId6"/>
                    <a:stretch>
                      <a:fillRect/>
                    </a:stretch>
                  </pic:blipFill>
                  <pic:spPr>
                    <a:xfrm>
                      <a:off x="0" y="0"/>
                      <a:ext cx="5715000" cy="3048000"/>
                    </a:xfrm>
                    <a:prstGeom prst="rect">
                      <a:avLst/>
                    </a:prstGeom>
                  </pic:spPr>
                </pic:pic>
              </a:graphicData>
            </a:graphic>
          </wp:inline>
        </w:drawing>
      </w:r>
    </w:p>
    <w:p>
      <w:r>
        <w:drawing>
          <wp:inline distT="0" distB="0" distL="0" distR="0">
            <wp:extent cx="5715000" cy="3048000"/>
            <wp:docPr id="2" name="Drawing 2" descr="Generated"/>
            <wp:cNvGraphicFramePr/>
            <a:graphic xmlns:a="http://schemas.openxmlformats.org/drawingml/2006/main">
              <a:graphicData uri="http://schemas.openxmlformats.org/drawingml/2006/picture">
                <pic:pic xmlns:pic="http://schemas.openxmlformats.org/drawingml/2006/picture">
                  <pic:nvPicPr>
                    <pic:cNvPr id="2" name="Picture 2" descr="Generated"/>
                    <pic:cNvPicPr>
                      <a:picLocks noChangeAspect="1"/>
                    </pic:cNvPicPr>
                  </pic:nvPicPr>
                  <pic:blipFill>
                    <a:blip xmlns:r="http://schemas.openxmlformats.org/officeDocument/2006/relationships" r:embed="rId7"/>
                    <a:stretch>
                      <a:fillRect/>
                    </a:stretch>
                  </pic:blipFill>
                  <pic:spPr>
                    <a:xfrm>
                      <a:off x="0" y="0"/>
                      <a:ext cx="5715000" cy="3048000"/>
                    </a:xfrm>
                    <a:prstGeom prst="rect">
                      <a:avLst/>
                    </a:prstGeom>
                  </pic:spPr>
                </pic:pic>
              </a:graphicData>
            </a:graphic>
          </wp:inline>
        </w:drawing>
      </w:r>
    </w:p>
    <w:p>
      <w:pPr>
        <w:pStyle w:val="Heading1"/>
        <w:jc w:val="center"/>
      </w:pPr>
      <w:r>
        <w:rPr>
          <w:rFonts w:ascii="宋体" w:eastAsia="宋体" w:hAnsi="宋体" w:cs="宋体"/>
        </w:rPr>
        <w:t>§4 管理人报告</w:t>
      </w:r>
    </w:p>
    <w:p>
      <w:pPr>
        <w:pStyle w:val="Heading2"/>
        <w:jc w:val="left"/>
      </w:pPr>
      <w:r>
        <w:rPr>
          <w:rFonts w:ascii="宋体" w:eastAsia="宋体" w:hAnsi="宋体" w:cs="宋体"/>
        </w:rPr>
        <w:t>4.1 基金经理（或基金经理小组）简介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Grid>
        <w:gridCol w:w="1510"/>
        <w:gridCol w:w="1510"/>
        <w:gridCol w:w="1510"/>
        <w:gridCol w:w="1510"/>
        <w:gridCol w:w="1510"/>
        <w:gridCol w:w="1510"/>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62" w:type="pct"/>
            <w:vMerge w:val="restart"/>
            <w:shd w:val="clear" w:color="auto" w:fill="D9D9D9"/>
            <w:vAlign w:val="center"/>
          </w:tcPr>
          <w:p>
            <w:pPr>
              <w:spacing w:line="240" w:lineRule="auto"/>
              <w:jc w:val="center"/>
            </w:pPr>
            <w:r>
              <w:rPr>
                <w:rFonts w:ascii="宋体" w:eastAsia="宋体" w:hAnsi="宋体" w:cs="宋体"/>
                <w:b w:val="0"/>
              </w:rPr>
              <w:t>姓名</w:t>
            </w:r>
          </w:p>
        </w:tc>
        <w:tc>
          <w:tcPr>
            <w:tcW w:w="662" w:type="pct"/>
            <w:vMerge w:val="restart"/>
            <w:shd w:val="clear" w:color="auto" w:fill="D9D9D9"/>
            <w:vAlign w:val="center"/>
          </w:tcPr>
          <w:p>
            <w:pPr>
              <w:spacing w:line="240" w:lineRule="auto"/>
              <w:jc w:val="center"/>
            </w:pPr>
            <w:r>
              <w:rPr>
                <w:rFonts w:ascii="宋体" w:eastAsia="宋体" w:hAnsi="宋体" w:cs="宋体"/>
                <w:b w:val="0"/>
              </w:rPr>
              <w:t>职务</w:t>
            </w:r>
          </w:p>
        </w:tc>
        <w:tc>
          <w:tcPr>
            <w:tcW w:w="1615" w:type="pct"/>
            <w:gridSpan w:val="2"/>
            <w:shd w:val="clear" w:color="auto" w:fill="D9D9D9"/>
            <w:vAlign w:val="center"/>
          </w:tcPr>
          <w:p>
            <w:pPr>
              <w:spacing w:line="240" w:lineRule="auto"/>
              <w:jc w:val="center"/>
            </w:pPr>
            <w:r>
              <w:rPr>
                <w:rFonts w:ascii="宋体" w:eastAsia="宋体" w:hAnsi="宋体" w:cs="宋体"/>
                <w:b w:val="0"/>
              </w:rPr>
              <w:t>任本基金的基金经理期限</w:t>
            </w:r>
          </w:p>
        </w:tc>
        <w:tc>
          <w:tcPr>
            <w:tcW w:w="431" w:type="pct"/>
            <w:vMerge w:val="restart"/>
            <w:shd w:val="clear" w:color="auto" w:fill="D9D9D9"/>
            <w:vAlign w:val="center"/>
          </w:tcPr>
          <w:p>
            <w:pPr>
              <w:spacing w:line="240" w:lineRule="auto"/>
              <w:jc w:val="center"/>
            </w:pPr>
            <w:r>
              <w:rPr>
                <w:rFonts w:ascii="宋体" w:eastAsia="宋体" w:hAnsi="宋体" w:cs="宋体"/>
                <w:b w:val="0"/>
              </w:rPr>
              <w:t>证券从业年限</w:t>
            </w:r>
          </w:p>
        </w:tc>
        <w:tc>
          <w:tcPr>
            <w:tcW w:w="1631" w:type="pct"/>
            <w:vMerge w:val="restart"/>
            <w:shd w:val="clear" w:color="auto" w:fill="D9D9D9"/>
            <w:vAlign w:val="center"/>
          </w:tcPr>
          <w:p>
            <w:pPr>
              <w:spacing w:line="240" w:lineRule="auto"/>
              <w:jc w:val="center"/>
            </w:pPr>
            <w:r>
              <w:rPr>
                <w:rFonts w:ascii="宋体" w:eastAsia="宋体" w:hAnsi="宋体" w:cs="宋体"/>
                <w:b w:val="0"/>
              </w:rPr>
              <w:t>说明</w:t>
            </w:r>
          </w:p>
        </w:tc>
      </w:tr>
      <w:tr>
        <w:tblPrEx>
          <w:tblW w:w="5000" w:type="pct"/>
        </w:tblPrEx>
        <w:tc>
          <w:tcPr>
            <w:vMerge/>
          </w:tcPr>
          <w:p/>
        </w:tc>
        <w:tc>
          <w:tcPr>
            <w:vMerge/>
          </w:tcPr>
          <w:p/>
        </w:tc>
        <w:tc>
          <w:tcPr>
            <w:tcW w:w="808" w:type="pct"/>
            <w:shd w:val="clear" w:color="auto" w:fill="D9D9D9"/>
            <w:vAlign w:val="center"/>
          </w:tcPr>
          <w:p>
            <w:pPr>
              <w:spacing w:line="240" w:lineRule="auto"/>
              <w:jc w:val="center"/>
            </w:pPr>
            <w:r>
              <w:rPr>
                <w:rFonts w:ascii="宋体" w:eastAsia="宋体" w:hAnsi="宋体" w:cs="宋体"/>
                <w:b w:val="0"/>
              </w:rPr>
              <w:t>任职日期</w:t>
            </w:r>
          </w:p>
        </w:tc>
        <w:tc>
          <w:tcPr>
            <w:tcW w:w="808" w:type="pct"/>
            <w:shd w:val="clear" w:color="auto" w:fill="D9D9D9"/>
            <w:vAlign w:val="center"/>
          </w:tcPr>
          <w:p>
            <w:pPr>
              <w:spacing w:line="240" w:lineRule="auto"/>
              <w:jc w:val="center"/>
            </w:pPr>
            <w:r>
              <w:rPr>
                <w:rFonts w:ascii="宋体" w:eastAsia="宋体" w:hAnsi="宋体" w:cs="宋体"/>
                <w:b w:val="0"/>
              </w:rPr>
              <w:t>离任日期</w:t>
            </w:r>
          </w:p>
        </w:tc>
        <w:tc>
          <w:tcPr>
            <w:vMerge/>
          </w:tcPr>
          <w:p/>
        </w:tc>
        <w:tc>
          <w:tcPr>
            <w:vMerge/>
          </w:tcPr>
          <w:p/>
        </w:tc>
      </w:tr>
      <w:tr>
        <w:tblPrEx>
          <w:tblW w:w="5000" w:type="pct"/>
        </w:tblPrEx>
        <w:tc>
          <w:tcPr>
            <w:tcW w:w="0" w:type="dxa"/>
            <w:vAlign w:val="center"/>
          </w:tcPr>
          <w:p>
            <w:pPr>
              <w:spacing w:line="240" w:lineRule="auto"/>
              <w:jc w:val="left"/>
            </w:pPr>
            <w:r>
              <w:rPr>
                <w:rFonts w:ascii="宋体" w:eastAsia="宋体" w:hAnsi="宋体" w:cs="宋体"/>
                <w:b w:val="0"/>
              </w:rPr>
              <w:t>周谧</w:t>
            </w:r>
          </w:p>
        </w:tc>
        <w:tc>
          <w:tcPr>
            <w:tcW w:w="0" w:type="dxa"/>
            <w:vAlign w:val="center"/>
          </w:tcPr>
          <w:p>
            <w:pPr>
              <w:spacing w:line="240" w:lineRule="auto"/>
              <w:jc w:val="left"/>
            </w:pPr>
            <w:r>
              <w:rPr>
                <w:rFonts w:ascii="宋体" w:eastAsia="宋体" w:hAnsi="宋体" w:cs="宋体"/>
                <w:b w:val="0"/>
              </w:rPr>
              <w:t>基金经理</w:t>
            </w:r>
          </w:p>
        </w:tc>
        <w:tc>
          <w:tcPr>
            <w:tcW w:w="0" w:type="dxa"/>
            <w:vAlign w:val="center"/>
          </w:tcPr>
          <w:p>
            <w:pPr>
              <w:spacing w:line="240" w:lineRule="auto"/>
              <w:jc w:val="center"/>
            </w:pPr>
            <w:r>
              <w:rPr>
                <w:rFonts w:ascii="宋体" w:eastAsia="宋体" w:hAnsi="宋体" w:cs="宋体"/>
                <w:b w:val="0"/>
              </w:rPr>
              <w:t>2026-03-05</w:t>
            </w:r>
          </w:p>
        </w:tc>
        <w:tc>
          <w:tcPr>
            <w:tcW w:w="0" w:type="dxa"/>
            <w:vAlign w:val="center"/>
          </w:tcPr>
          <w:p>
            <w:pPr>
              <w:spacing w:line="240" w:lineRule="auto"/>
              <w:jc w:val="center"/>
            </w:pPr>
            <w:r>
              <w:rPr>
                <w:rFonts w:ascii="宋体" w:eastAsia="宋体" w:hAnsi="宋体" w:cs="宋体"/>
                <w:b w:val="0"/>
              </w:rPr>
              <w:t>-</w:t>
            </w:r>
          </w:p>
        </w:tc>
        <w:tc>
          <w:tcPr>
            <w:tcW w:w="0" w:type="dxa"/>
            <w:vAlign w:val="center"/>
          </w:tcPr>
          <w:p>
            <w:pPr>
              <w:spacing w:line="240" w:lineRule="auto"/>
              <w:jc w:val="center"/>
            </w:pPr>
            <w:r>
              <w:rPr>
                <w:rFonts w:ascii="宋体" w:eastAsia="宋体" w:hAnsi="宋体" w:cs="宋体"/>
                <w:b w:val="0"/>
              </w:rPr>
              <w:t>16年</w:t>
            </w:r>
          </w:p>
        </w:tc>
        <w:tc>
          <w:tcPr>
            <w:tcW w:w="0" w:type="dxa"/>
            <w:vAlign w:val="center"/>
          </w:tcPr>
          <w:p>
            <w:pPr>
              <w:spacing w:line="240" w:lineRule="auto"/>
              <w:jc w:val="left"/>
            </w:pPr>
            <w:r>
              <w:rPr>
                <w:rFonts w:ascii="宋体" w:eastAsia="宋体" w:hAnsi="宋体" w:cs="宋体"/>
                <w:b w:val="0"/>
              </w:rPr>
              <w:t>周谧先生，中国人民大学应用数学硕士。2008年9月起历任中再资产管理股份有限公司金融工程分析师、平安证券有限责任公司高级量化分析师、国金创新投资有限公司投资经理、深圳铸成投资有限公司投资部副总监、财信证券有限责任公司投资经理、金信基金管理有限公司基金经理。2022年10月加入东方阿尔法基金管理有限公司，现任东方阿尔法基金管理有限公司基金经理。</w:t>
            </w:r>
          </w:p>
        </w:tc>
      </w:tr>
    </w:tbl>
    <w:p>
      <w:r>
        <w:rPr>
          <w:rFonts w:ascii="宋体" w:eastAsia="宋体" w:hAnsi="宋体" w:cs="宋体"/>
          <w:b w:val="0"/>
        </w:rPr>
        <w:t>注：1.对基金的首任基金经理，其"任职日期"为基金合同生效日，"离任日期"为根据公告确定的解聘日期；对此后的非首任基金经理，"任职日期"和"离任日期"分别指公告确定的任职日期和离任日期。</w:t>
        <w:br/>
      </w:r>
      <w:r>
        <w:rPr>
          <w:rFonts w:ascii="宋体" w:eastAsia="宋体" w:hAnsi="宋体" w:cs="宋体"/>
          <w:b w:val="0"/>
        </w:rPr>
        <w:t>2.证券从业的含义遵从《证券基金经营机构董事、监事、高级管理人员及从业人员监督管理办法》的相关规定。</w:t>
      </w:r>
    </w:p>
    <w:p/>
    <w:p>
      <w:pPr>
        <w:pStyle w:val="zhangjiep2"/>
      </w:pPr>
      <w:r>
        <w:rPr>
          <w:rStyle w:val="DefaultParagraphFont"/>
          <w:rFonts w:ascii="宋体" w:eastAsia="宋体" w:hAnsi="宋体" w:cs="宋体"/>
          <w:b/>
        </w:rPr>
        <w:t>4.1.1 期末兼任私募资产管理计划投资经理的基金经理同时管理的产品情况</w:t>
      </w:r>
    </w:p>
    <w:p>
      <w:r>
        <w:rPr>
          <w:rFonts w:ascii="宋体" w:eastAsia="宋体" w:hAnsi="宋体" w:cs="宋体"/>
          <w:b w:val="0"/>
        </w:rPr>
        <w:t xml:space="preserve">    本基金基金经理不存在兼任私募资产管理计划的投资经理的情况。</w:t>
      </w:r>
    </w:p>
    <w:p/>
    <w:p>
      <w:pPr>
        <w:pStyle w:val="Heading2"/>
        <w:jc w:val="left"/>
      </w:pPr>
      <w:r>
        <w:rPr>
          <w:rFonts w:ascii="宋体" w:eastAsia="宋体" w:hAnsi="宋体" w:cs="宋体"/>
        </w:rPr>
        <w:t>4.2 管理人对报告期内本基金运作遵规守信情况的说明</w:t>
      </w:r>
    </w:p>
    <w:p>
      <w:r>
        <w:rPr>
          <w:rFonts w:ascii="宋体" w:eastAsia="宋体" w:hAnsi="宋体" w:cs="宋体"/>
          <w:b w:val="0"/>
        </w:rPr>
        <w:t xml:space="preserve">    本报告期内，本基金管理人严格遵守《中华人民共和国证券投资基金法》及其各项实施细则等有关法律法规、本基金《基金合同》和其他有关法律法规的规定，本着诚实信用、勤勉尽责的原则管理和运用基金资产，在严格控制风险的基础上，为基金份额持有人谋求最大利益。本报告期内，基金运作整体合法合规，无损害基金份额持有人利益的行为。</w:t>
      </w:r>
    </w:p>
    <w:p/>
    <w:p>
      <w:pPr>
        <w:pStyle w:val="Heading2"/>
        <w:jc w:val="left"/>
      </w:pPr>
      <w:r>
        <w:rPr>
          <w:rFonts w:ascii="宋体" w:eastAsia="宋体" w:hAnsi="宋体" w:cs="宋体"/>
        </w:rPr>
        <w:t>4.3 公平交易专项说明</w:t>
      </w:r>
    </w:p>
    <w:p>
      <w:pPr>
        <w:pStyle w:val="zhangjiep2"/>
      </w:pPr>
      <w:r>
        <w:rPr>
          <w:rStyle w:val="DefaultParagraphFont"/>
          <w:rFonts w:ascii="宋体" w:eastAsia="宋体" w:hAnsi="宋体" w:cs="宋体"/>
          <w:b/>
        </w:rPr>
        <w:t>4.3.1 公平交易制度的执行情况</w:t>
      </w:r>
    </w:p>
    <w:p>
      <w:r>
        <w:rPr>
          <w:rFonts w:ascii="宋体" w:eastAsia="宋体" w:hAnsi="宋体" w:cs="宋体"/>
          <w:b w:val="0"/>
        </w:rPr>
        <w:t xml:space="preserve">    本报告期内，本基金管理人严格执行《证券投资基金管理公司公平交易制度指导意见》，完善相应制度及流程，通过系统和人工等各种方式在各业务环节严格控制交易公平执行，公平对待旗下管理的所有基金和投资组合。</w:t>
        <w:br/>
      </w:r>
      <w:r>
        <w:rPr>
          <w:rFonts w:ascii="宋体" w:eastAsia="宋体" w:hAnsi="宋体" w:cs="宋体"/>
          <w:b w:val="0"/>
        </w:rPr>
        <w:t xml:space="preserve">    本报告期内，本基金管理人利用统计分析的方法和工具，按照不同的时间窗（包括当日内、3日内、5日内）对基金管理人管理的不同投资组合反向交易和同向交易的交易价差监控进行分析，未发现违反公平交易制度的异常行为。</w:t>
      </w:r>
    </w:p>
    <w:p/>
    <w:p>
      <w:pPr>
        <w:pStyle w:val="zhangjiep2"/>
      </w:pPr>
      <w:r>
        <w:rPr>
          <w:rStyle w:val="DefaultParagraphFont"/>
          <w:rFonts w:ascii="宋体" w:eastAsia="宋体" w:hAnsi="宋体" w:cs="宋体"/>
          <w:b/>
        </w:rPr>
        <w:t>4.3.2 异常交易行为的专项说明</w:t>
      </w:r>
    </w:p>
    <w:p>
      <w:r>
        <w:rPr>
          <w:rFonts w:ascii="宋体" w:eastAsia="宋体" w:hAnsi="宋体" w:cs="宋体"/>
          <w:b w:val="0"/>
        </w:rPr>
        <w:t xml:space="preserve">    报告期内，本基金不存在参与交易所公开竞价同日反向交易成交较少的单边交易量超过该证券当日成交量的5%的情况，且不存在其他可能导致非公平交易和利益输送的异常交易行为。</w:t>
      </w:r>
    </w:p>
    <w:p/>
    <w:p>
      <w:pPr>
        <w:pStyle w:val="Heading2"/>
        <w:jc w:val="left"/>
      </w:pPr>
      <w:r>
        <w:rPr>
          <w:rFonts w:ascii="宋体" w:eastAsia="宋体" w:hAnsi="宋体" w:cs="宋体"/>
        </w:rPr>
        <w:t>4.4 报告期内基金的投资策略和运作分析</w:t>
      </w:r>
    </w:p>
    <w:p>
      <w:r>
        <w:rPr>
          <w:rFonts w:ascii="宋体" w:eastAsia="宋体" w:hAnsi="宋体" w:cs="宋体"/>
          <w:b w:val="0"/>
        </w:rPr>
        <w:t xml:space="preserve">    进入2026年第三季度，全球 AI 产业继续沿着“模型更聪明，应用更深化”这个方向在演进。Harness为代表的AI Agent持续渗透，国内大模型海内外调用需求维持高景气，Token 消耗持续维持高位，AI 产业从模型竞赛走向 Token工业化生产的大趋势没有发生改变。但本季度外部供给端出现重要变量：美国加大针对中国高端算力卡的出口查处力度，直接冲击国内高端算力硬件的流入渠道，行业供需矛盾进一步放大。</w:t>
        <w:br/>
      </w:r>
      <w:r>
        <w:rPr>
          <w:rFonts w:ascii="宋体" w:eastAsia="宋体" w:hAnsi="宋体" w:cs="宋体"/>
          <w:b w:val="0"/>
        </w:rPr>
        <w:t xml:space="preserve">    需求层面，国内日均Token调用量继续维持高位，国产大模型凭借高性价比持续收获全球客户的调用订单，海内外双重需求拉动下，市场对高等级 AI 算力服务器的需求保持旺盛。受供给收紧影响，国内高端算力服务器租赁价格本季度继续大幅上行，算力资产的价格持续走高。但与此同时，流入国内的合规高端算力服务器的数量显著受限，算力供给的瓶颈愈发凸显，市场呈现 “价涨但增量有限” 的格局。行业内部出现明显分化，众多算力租赁企业均不同程度面临算力交付压力，能否稳定获取、组网高端算力资源，成为决定算租企业经营质量的核心标尺，单纯依靠概念、拿卡能力偏弱的标的，在交付约束下业绩兑现难度显著加大。</w:t>
        <w:br/>
      </w:r>
      <w:r>
        <w:rPr>
          <w:rFonts w:ascii="宋体" w:eastAsia="宋体" w:hAnsi="宋体" w:cs="宋体"/>
          <w:b w:val="0"/>
        </w:rPr>
        <w:t xml:space="preserve">    本基金长期研究覆盖科技和高端制造两大方向，在这两个大板块当中，以景气投资作为核心选股思路，持续甄别、捕捉各细分环节的产业景气变化。而当前来看“Token工厂”就是这样一个重点领域，它是科技与高端制造的交叉方向，且景气度进一步提升，这个领域包含算力供给、大模型生产、网络设备等完整产业链。面对本季度算力供给端的外部扰动，我们对持仓结构进行了动态调整：适度降低了部分拿卡能力较弱、算力交付存在不确定性的算力租赁公司头寸；同时加大了上市大模型公司的配置权重。</w:t>
        <w:br/>
      </w:r>
      <w:r>
        <w:rPr>
          <w:rFonts w:ascii="宋体" w:eastAsia="宋体" w:hAnsi="宋体" w:cs="宋体"/>
          <w:b w:val="0"/>
        </w:rPr>
        <w:t xml:space="preserve">    我们判断，大模型厂商是Token工厂链条当中最核心的价值中枢，是Token的生产源头，在组合中必须配置相应头寸以把握产业主线红利。当前国内已上市的几家大模型企业技术实力、产品迭代、商业化能力处于行业第一梯队，在后续的国内模型竞争中具备较强胜出概率。随着Agent应用持续普及，Token的商业化变现持续跑通，大模型公司收入端有望持续释放弹性，是 Token 工厂范式下不可忽视的核心资产。我们也认为算力租赁作为重要的算力载体，行业量价逻辑依旧成立，我们保留了具备强拿卡能力、存量算力储备扎实的算力租赁与算力基础设施标的。与此同时，随着AI硬件设备的升级，整个生产token的硬件设备也会跟着升级，这块也会涉及到液冷、新材料、电源等各方面的升级，我们会对这些方面也保持密切关注。</w:t>
        <w:br/>
      </w:r>
      <w:r>
        <w:rPr>
          <w:rFonts w:ascii="宋体" w:eastAsia="宋体" w:hAnsi="宋体" w:cs="宋体"/>
          <w:b w:val="0"/>
        </w:rPr>
        <w:t xml:space="preserve">    展望2026年第四季度，随着Rubin系列产品推出，B系列算力卡的供给紧张局面有望得到一定程度缓解。算力行业的结构性分化会进一步加剧，具备强大拿卡渠道能力的企业将优先受益于新卡的流入，能够扩充算力集群、承接爆发的 Token 需求；而前期已经积累较多存量高端算力卡的企业，一方面将直接享受算力资产的增值，另一方面在供不应求的市场环境中掌握更强的客户议价权，业绩兑现确定性更强。此外，在海外的高端卡流入紧张持续的情况下，国产算力卡也是有不小的机会的，这方面也值得关注。</w:t>
        <w:br/>
      </w:r>
      <w:r>
        <w:rPr>
          <w:rFonts w:ascii="宋体" w:eastAsia="宋体" w:hAnsi="宋体" w:cs="宋体"/>
          <w:b w:val="0"/>
        </w:rPr>
        <w:t xml:space="preserve">    中长期看，Agent驱动Token 需求持续爆发，数字经济、AI基础设施属于国家战略支持方向，中国拥有电力成本、大模型产品性价比的多重优势，未来有望诞生全球级别的超级Token工厂。后续本基金将继续深耕科技全产业链，持续跟踪算力供给、Agent应用落地、大模型商业化兑现的边际变化，优选产业链各个环节当中竞争壁垒扎实的公司，把握AI浪潮带来的投资机遇。</w:t>
      </w:r>
    </w:p>
    <w:p/>
    <w:p>
      <w:pPr>
        <w:pStyle w:val="Heading2"/>
        <w:jc w:val="left"/>
      </w:pPr>
      <w:r>
        <w:rPr>
          <w:rFonts w:ascii="宋体" w:eastAsia="宋体" w:hAnsi="宋体" w:cs="宋体"/>
        </w:rPr>
        <w:t>4.5 报告期内基金的业绩表现</w:t>
      </w:r>
    </w:p>
    <w:p>
      <w:r>
        <w:rPr>
          <w:rFonts w:ascii="宋体" w:eastAsia="宋体" w:hAnsi="宋体" w:cs="宋体"/>
          <w:b w:val="0"/>
        </w:rPr>
        <w:t xml:space="preserve">    截至报告期末东方阿尔法精选混合A基金份额净值为0.7779元，本报告期内，该类基金份额净值增长率为-34.07%，同期业绩比较基准收益率为-3.22%；截至报告期末东方阿尔法精选混合C基金份额净值为0.7455元，本报告期内，该类基金份额净值增长率为-34.16%，同期业绩比较基准收益率为-3.22%。</w:t>
      </w:r>
    </w:p>
    <w:p/>
    <w:p>
      <w:pPr>
        <w:pStyle w:val="Heading2"/>
        <w:jc w:val="left"/>
      </w:pPr>
      <w:r>
        <w:rPr>
          <w:rFonts w:ascii="宋体" w:eastAsia="宋体" w:hAnsi="宋体" w:cs="宋体"/>
        </w:rPr>
        <w:t>4.6 报告期内基金持有人数或基金资产净值预警说明</w:t>
      </w:r>
    </w:p>
    <w:p>
      <w:r>
        <w:rPr>
          <w:rFonts w:ascii="宋体" w:eastAsia="宋体" w:hAnsi="宋体" w:cs="宋体"/>
          <w:b w:val="0"/>
        </w:rPr>
        <w:t xml:space="preserve">    本报告期内，本基金未出现连续20个工作日基金份额持有人数量不满200人或者基金资产净值低于5000万的情形。</w:t>
      </w:r>
    </w:p>
    <w:p>
      <w:pPr>
        <w:pStyle w:val="Heading1"/>
        <w:jc w:val="center"/>
      </w:pPr>
      <w:r>
        <w:rPr>
          <w:rFonts w:ascii="宋体" w:eastAsia="宋体" w:hAnsi="宋体" w:cs="宋体"/>
        </w:rPr>
        <w:t>§5 投资组合报告</w:t>
      </w:r>
    </w:p>
    <w:p>
      <w:pPr>
        <w:pStyle w:val="Heading2"/>
        <w:jc w:val="left"/>
      </w:pPr>
      <w:r>
        <w:rPr>
          <w:rFonts w:ascii="宋体" w:eastAsia="宋体" w:hAnsi="宋体" w:cs="宋体"/>
        </w:rPr>
        <w:t>5.1 报告期末基金资产组合情况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Grid>
        <w:gridCol w:w="2266"/>
        <w:gridCol w:w="2266"/>
        <w:gridCol w:w="2266"/>
        <w:gridCol w:w="2266"/>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2" w:type="pct"/>
            <w:shd w:val="clear" w:color="auto" w:fill="D9D9D9"/>
            <w:vAlign w:val="center"/>
          </w:tcPr>
          <w:p>
            <w:pPr>
              <w:spacing w:line="240" w:lineRule="auto"/>
              <w:jc w:val="center"/>
            </w:pPr>
            <w:r>
              <w:rPr>
                <w:rFonts w:ascii="宋体" w:eastAsia="宋体" w:hAnsi="宋体" w:cs="宋体"/>
                <w:b w:val="0"/>
              </w:rPr>
              <w:t>序号</w:t>
            </w:r>
          </w:p>
        </w:tc>
        <w:tc>
          <w:tcPr>
            <w:tcW w:w="1538" w:type="pct"/>
            <w:shd w:val="clear" w:color="auto" w:fill="D9D9D9"/>
            <w:vAlign w:val="center"/>
          </w:tcPr>
          <w:p>
            <w:pPr>
              <w:spacing w:line="240" w:lineRule="auto"/>
              <w:jc w:val="center"/>
            </w:pPr>
            <w:r>
              <w:rPr>
                <w:rFonts w:ascii="宋体" w:eastAsia="宋体" w:hAnsi="宋体" w:cs="宋体"/>
                <w:b w:val="0"/>
              </w:rPr>
              <w:t>项目</w:t>
            </w:r>
          </w:p>
        </w:tc>
        <w:tc>
          <w:tcPr>
            <w:tcW w:w="1538" w:type="pct"/>
            <w:shd w:val="clear" w:color="auto" w:fill="D9D9D9"/>
            <w:vAlign w:val="center"/>
          </w:tcPr>
          <w:p>
            <w:pPr>
              <w:spacing w:line="240" w:lineRule="auto"/>
              <w:jc w:val="center"/>
            </w:pPr>
            <w:r>
              <w:rPr>
                <w:rFonts w:ascii="宋体" w:eastAsia="宋体" w:hAnsi="宋体" w:cs="宋体"/>
                <w:b w:val="0"/>
              </w:rPr>
              <w:t>金额(元)</w:t>
            </w:r>
          </w:p>
        </w:tc>
        <w:tc>
          <w:tcPr>
            <w:tcW w:w="1538" w:type="pct"/>
            <w:shd w:val="clear" w:color="auto" w:fill="D9D9D9"/>
            <w:vAlign w:val="center"/>
          </w:tcPr>
          <w:p>
            <w:pPr>
              <w:spacing w:line="240" w:lineRule="auto"/>
              <w:jc w:val="center"/>
            </w:pPr>
            <w:r>
              <w:rPr>
                <w:rFonts w:ascii="宋体" w:eastAsia="宋体" w:hAnsi="宋体" w:cs="宋体"/>
                <w:b w:val="0"/>
              </w:rPr>
              <w:t>占基金总资产的比例（%）</w:t>
            </w:r>
          </w:p>
        </w:tc>
      </w:tr>
      <w:tr>
        <w:tblPrEx>
          <w:tblW w:w="5000" w:type="pct"/>
        </w:tblPrEx>
        <w:tc>
          <w:tcPr>
            <w:tcW w:w="0" w:type="dxa"/>
            <w:vAlign w:val="center"/>
          </w:tcPr>
          <w:p>
            <w:pPr>
              <w:spacing w:line="240" w:lineRule="auto"/>
              <w:jc w:val="center"/>
            </w:pPr>
            <w:r>
              <w:rPr>
                <w:rFonts w:ascii="宋体" w:eastAsia="宋体" w:hAnsi="宋体" w:cs="宋体"/>
                <w:b w:val="0"/>
              </w:rPr>
              <w:t>1</w:t>
            </w:r>
          </w:p>
        </w:tc>
        <w:tc>
          <w:tcPr>
            <w:tcW w:w="0" w:type="dxa"/>
            <w:vAlign w:val="center"/>
          </w:tcPr>
          <w:p>
            <w:pPr>
              <w:spacing w:line="240" w:lineRule="auto"/>
              <w:jc w:val="left"/>
            </w:pPr>
            <w:r>
              <w:rPr>
                <w:rFonts w:ascii="宋体" w:eastAsia="宋体" w:hAnsi="宋体" w:cs="宋体"/>
                <w:b w:val="0"/>
              </w:rPr>
              <w:t>权益投资</w:t>
            </w:r>
          </w:p>
        </w:tc>
        <w:tc>
          <w:tcPr>
            <w:tcW w:w="0" w:type="dxa"/>
            <w:vAlign w:val="center"/>
          </w:tcPr>
          <w:p>
            <w:pPr>
              <w:spacing w:line="240" w:lineRule="auto"/>
              <w:jc w:val="right"/>
            </w:pPr>
            <w:r>
              <w:rPr>
                <w:rFonts w:ascii="宋体" w:eastAsia="宋体" w:hAnsi="宋体" w:cs="宋体"/>
                <w:b w:val="0"/>
              </w:rPr>
              <w:t>426,897,233.32</w:t>
            </w:r>
          </w:p>
        </w:tc>
        <w:tc>
          <w:tcPr>
            <w:tcW w:w="0" w:type="dxa"/>
            <w:vAlign w:val="center"/>
          </w:tcPr>
          <w:p>
            <w:pPr>
              <w:spacing w:line="240" w:lineRule="auto"/>
              <w:jc w:val="right"/>
            </w:pPr>
            <w:r>
              <w:rPr>
                <w:rFonts w:ascii="宋体" w:eastAsia="宋体" w:hAnsi="宋体" w:cs="宋体"/>
                <w:b w:val="0"/>
              </w:rPr>
              <w:t>87.28</w:t>
            </w:r>
          </w:p>
        </w:tc>
      </w:tr>
      <w:tr>
        <w:tblPrEx>
          <w:tblW w:w="5000" w:type="pct"/>
        </w:tblPrEx>
        <w:tc>
          <w:tcPr>
            <w:tcW w:w="0" w:type="dxa"/>
            <w:vAlign w:val="center"/>
          </w:tcPr>
          <w:p>
            <w:pPr>
              <w:spacing w:line="240" w:lineRule="auto"/>
              <w:jc w:val="center"/>
            </w:pPr>
          </w:p>
        </w:tc>
        <w:tc>
          <w:tcPr>
            <w:tcW w:w="0" w:type="dxa"/>
            <w:vAlign w:val="center"/>
          </w:tcPr>
          <w:p>
            <w:pPr>
              <w:spacing w:line="240" w:lineRule="auto"/>
              <w:jc w:val="left"/>
            </w:pPr>
            <w:r>
              <w:rPr>
                <w:rFonts w:ascii="宋体" w:eastAsia="宋体" w:hAnsi="宋体" w:cs="宋体"/>
                <w:b w:val="0"/>
              </w:rPr>
              <w:t>其中：股票</w:t>
            </w:r>
          </w:p>
        </w:tc>
        <w:tc>
          <w:tcPr>
            <w:tcW w:w="0" w:type="dxa"/>
            <w:vAlign w:val="center"/>
          </w:tcPr>
          <w:p>
            <w:pPr>
              <w:spacing w:line="240" w:lineRule="auto"/>
              <w:jc w:val="right"/>
            </w:pPr>
            <w:r>
              <w:rPr>
                <w:rFonts w:ascii="宋体" w:eastAsia="宋体" w:hAnsi="宋体" w:cs="宋体"/>
                <w:b w:val="0"/>
              </w:rPr>
              <w:t>426,897,233.32</w:t>
            </w:r>
          </w:p>
        </w:tc>
        <w:tc>
          <w:tcPr>
            <w:tcW w:w="0" w:type="dxa"/>
            <w:vAlign w:val="center"/>
          </w:tcPr>
          <w:p>
            <w:pPr>
              <w:spacing w:line="240" w:lineRule="auto"/>
              <w:jc w:val="right"/>
            </w:pPr>
            <w:r>
              <w:rPr>
                <w:rFonts w:ascii="宋体" w:eastAsia="宋体" w:hAnsi="宋体" w:cs="宋体"/>
                <w:b w:val="0"/>
              </w:rPr>
              <w:t>87.28</w:t>
            </w:r>
          </w:p>
        </w:tc>
      </w:tr>
      <w:tr>
        <w:tblPrEx>
          <w:tblW w:w="5000" w:type="pct"/>
        </w:tblPrEx>
        <w:tc>
          <w:tcPr>
            <w:tcW w:w="0" w:type="dxa"/>
            <w:vAlign w:val="center"/>
          </w:tcPr>
          <w:p>
            <w:pPr>
              <w:spacing w:line="240" w:lineRule="auto"/>
              <w:jc w:val="center"/>
            </w:pPr>
            <w:r>
              <w:rPr>
                <w:rFonts w:ascii="宋体" w:eastAsia="宋体" w:hAnsi="宋体" w:cs="宋体"/>
                <w:b w:val="0"/>
              </w:rPr>
              <w:t>2</w:t>
            </w:r>
          </w:p>
        </w:tc>
        <w:tc>
          <w:tcPr>
            <w:tcW w:w="0" w:type="dxa"/>
            <w:vAlign w:val="center"/>
          </w:tcPr>
          <w:p>
            <w:pPr>
              <w:spacing w:line="240" w:lineRule="auto"/>
              <w:jc w:val="left"/>
            </w:pPr>
            <w:r>
              <w:rPr>
                <w:rFonts w:ascii="宋体" w:eastAsia="宋体" w:hAnsi="宋体" w:cs="宋体"/>
                <w:b w:val="0"/>
              </w:rPr>
              <w:t>基金投资</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3</w:t>
            </w:r>
          </w:p>
        </w:tc>
        <w:tc>
          <w:tcPr>
            <w:tcW w:w="0" w:type="dxa"/>
            <w:vAlign w:val="center"/>
          </w:tcPr>
          <w:p>
            <w:pPr>
              <w:spacing w:line="240" w:lineRule="auto"/>
              <w:jc w:val="left"/>
            </w:pPr>
            <w:r>
              <w:rPr>
                <w:rFonts w:ascii="宋体" w:eastAsia="宋体" w:hAnsi="宋体" w:cs="宋体"/>
                <w:b w:val="0"/>
              </w:rPr>
              <w:t>固定收益投资</w:t>
            </w:r>
          </w:p>
        </w:tc>
        <w:tc>
          <w:tcPr>
            <w:tcW w:w="0" w:type="dxa"/>
            <w:vAlign w:val="center"/>
          </w:tcPr>
          <w:p>
            <w:pPr>
              <w:spacing w:line="240" w:lineRule="auto"/>
              <w:jc w:val="right"/>
            </w:pPr>
            <w:r>
              <w:rPr>
                <w:rFonts w:ascii="宋体" w:eastAsia="宋体" w:hAnsi="宋体" w:cs="宋体"/>
                <w:b w:val="0"/>
              </w:rPr>
              <w:t>48,903,353.20</w:t>
            </w:r>
          </w:p>
        </w:tc>
        <w:tc>
          <w:tcPr>
            <w:tcW w:w="0" w:type="dxa"/>
            <w:vAlign w:val="center"/>
          </w:tcPr>
          <w:p>
            <w:pPr>
              <w:spacing w:line="240" w:lineRule="auto"/>
              <w:jc w:val="right"/>
            </w:pPr>
            <w:r>
              <w:rPr>
                <w:rFonts w:ascii="宋体" w:eastAsia="宋体" w:hAnsi="宋体" w:cs="宋体"/>
                <w:b w:val="0"/>
              </w:rPr>
              <w:t>10.00</w:t>
            </w:r>
          </w:p>
        </w:tc>
      </w:tr>
      <w:tr>
        <w:tblPrEx>
          <w:tblW w:w="5000" w:type="pct"/>
        </w:tblPrEx>
        <w:tc>
          <w:tcPr>
            <w:tcW w:w="0" w:type="dxa"/>
            <w:vAlign w:val="center"/>
          </w:tcPr>
          <w:p>
            <w:pPr>
              <w:spacing w:line="240" w:lineRule="auto"/>
              <w:jc w:val="center"/>
            </w:pPr>
          </w:p>
        </w:tc>
        <w:tc>
          <w:tcPr>
            <w:tcW w:w="0" w:type="dxa"/>
            <w:vAlign w:val="center"/>
          </w:tcPr>
          <w:p>
            <w:pPr>
              <w:spacing w:line="240" w:lineRule="auto"/>
              <w:jc w:val="left"/>
            </w:pPr>
            <w:r>
              <w:rPr>
                <w:rFonts w:ascii="宋体" w:eastAsia="宋体" w:hAnsi="宋体" w:cs="宋体"/>
                <w:b w:val="0"/>
              </w:rPr>
              <w:t>其中：债券</w:t>
            </w:r>
          </w:p>
        </w:tc>
        <w:tc>
          <w:tcPr>
            <w:tcW w:w="0" w:type="dxa"/>
            <w:vAlign w:val="center"/>
          </w:tcPr>
          <w:p>
            <w:pPr>
              <w:spacing w:line="240" w:lineRule="auto"/>
              <w:jc w:val="right"/>
            </w:pPr>
            <w:r>
              <w:rPr>
                <w:rFonts w:ascii="宋体" w:eastAsia="宋体" w:hAnsi="宋体" w:cs="宋体"/>
                <w:b w:val="0"/>
              </w:rPr>
              <w:t>48,903,353.20</w:t>
            </w:r>
          </w:p>
        </w:tc>
        <w:tc>
          <w:tcPr>
            <w:tcW w:w="0" w:type="dxa"/>
            <w:vAlign w:val="center"/>
          </w:tcPr>
          <w:p>
            <w:pPr>
              <w:spacing w:line="240" w:lineRule="auto"/>
              <w:jc w:val="right"/>
            </w:pPr>
            <w:r>
              <w:rPr>
                <w:rFonts w:ascii="宋体" w:eastAsia="宋体" w:hAnsi="宋体" w:cs="宋体"/>
                <w:b w:val="0"/>
              </w:rPr>
              <w:t>10.00</w:t>
            </w:r>
          </w:p>
        </w:tc>
      </w:tr>
      <w:tr>
        <w:tblPrEx>
          <w:tblW w:w="5000" w:type="pct"/>
        </w:tblPrEx>
        <w:tc>
          <w:tcPr>
            <w:tcW w:w="0" w:type="dxa"/>
            <w:vAlign w:val="center"/>
          </w:tcPr>
          <w:p>
            <w:pPr>
              <w:spacing w:line="240" w:lineRule="auto"/>
              <w:jc w:val="center"/>
            </w:pPr>
          </w:p>
        </w:tc>
        <w:tc>
          <w:tcPr>
            <w:tcW w:w="0" w:type="dxa"/>
            <w:vAlign w:val="center"/>
          </w:tcPr>
          <w:p>
            <w:pPr>
              <w:spacing w:line="240" w:lineRule="auto"/>
              <w:jc w:val="left"/>
            </w:pPr>
            <w:r>
              <w:rPr>
                <w:rFonts w:ascii="宋体" w:eastAsia="宋体" w:hAnsi="宋体" w:cs="宋体"/>
                <w:b w:val="0"/>
              </w:rPr>
              <w:t xml:space="preserve">      资产支持证券</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4</w:t>
            </w:r>
          </w:p>
        </w:tc>
        <w:tc>
          <w:tcPr>
            <w:tcW w:w="0" w:type="dxa"/>
            <w:vAlign w:val="center"/>
          </w:tcPr>
          <w:p>
            <w:pPr>
              <w:spacing w:line="240" w:lineRule="auto"/>
            </w:pPr>
            <w:r>
              <w:rPr>
                <w:rFonts w:ascii="宋体" w:eastAsia="宋体" w:hAnsi="宋体" w:cs="宋体"/>
                <w:b w:val="0"/>
              </w:rPr>
              <w:t>贵金属投资</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5</w:t>
            </w:r>
          </w:p>
        </w:tc>
        <w:tc>
          <w:tcPr>
            <w:tcW w:w="0" w:type="dxa"/>
            <w:vAlign w:val="center"/>
          </w:tcPr>
          <w:p>
            <w:pPr>
              <w:spacing w:line="240" w:lineRule="auto"/>
              <w:jc w:val="left"/>
            </w:pPr>
            <w:r>
              <w:rPr>
                <w:rFonts w:ascii="宋体" w:eastAsia="宋体" w:hAnsi="宋体" w:cs="宋体"/>
                <w:b w:val="0"/>
              </w:rPr>
              <w:t>金融衍生品投资</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6</w:t>
            </w:r>
          </w:p>
        </w:tc>
        <w:tc>
          <w:tcPr>
            <w:tcW w:w="0" w:type="dxa"/>
            <w:vAlign w:val="center"/>
          </w:tcPr>
          <w:p>
            <w:pPr>
              <w:spacing w:line="240" w:lineRule="auto"/>
              <w:jc w:val="left"/>
            </w:pPr>
            <w:r>
              <w:rPr>
                <w:rFonts w:ascii="宋体" w:eastAsia="宋体" w:hAnsi="宋体" w:cs="宋体"/>
                <w:b w:val="0"/>
              </w:rPr>
              <w:t>买入返售金融资产</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p>
        </w:tc>
        <w:tc>
          <w:tcPr>
            <w:tcW w:w="0" w:type="dxa"/>
            <w:vAlign w:val="center"/>
          </w:tcPr>
          <w:p>
            <w:pPr>
              <w:spacing w:line="240" w:lineRule="auto"/>
              <w:jc w:val="left"/>
            </w:pPr>
            <w:r>
              <w:rPr>
                <w:rFonts w:ascii="宋体" w:eastAsia="宋体" w:hAnsi="宋体" w:cs="宋体"/>
                <w:b w:val="0"/>
              </w:rPr>
              <w:t>其中：买断式回购的买入返售金融资产</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7</w:t>
            </w:r>
          </w:p>
        </w:tc>
        <w:tc>
          <w:tcPr>
            <w:tcW w:w="0" w:type="dxa"/>
            <w:vAlign w:val="center"/>
          </w:tcPr>
          <w:p>
            <w:pPr>
              <w:spacing w:line="240" w:lineRule="auto"/>
              <w:jc w:val="left"/>
            </w:pPr>
            <w:r>
              <w:rPr>
                <w:rFonts w:ascii="宋体" w:eastAsia="宋体" w:hAnsi="宋体" w:cs="宋体"/>
                <w:b w:val="0"/>
              </w:rPr>
              <w:t>银行存款和结算备付金合计</w:t>
            </w:r>
          </w:p>
        </w:tc>
        <w:tc>
          <w:tcPr>
            <w:tcW w:w="0" w:type="dxa"/>
            <w:vAlign w:val="center"/>
          </w:tcPr>
          <w:p>
            <w:pPr>
              <w:spacing w:line="240" w:lineRule="auto"/>
              <w:jc w:val="right"/>
            </w:pPr>
            <w:r>
              <w:rPr>
                <w:rFonts w:ascii="宋体" w:eastAsia="宋体" w:hAnsi="宋体" w:cs="宋体"/>
                <w:b w:val="0"/>
              </w:rPr>
              <w:t>9,795,510.44</w:t>
            </w:r>
          </w:p>
        </w:tc>
        <w:tc>
          <w:tcPr>
            <w:tcW w:w="0" w:type="dxa"/>
            <w:vAlign w:val="center"/>
          </w:tcPr>
          <w:p>
            <w:pPr>
              <w:spacing w:line="240" w:lineRule="auto"/>
              <w:jc w:val="right"/>
            </w:pPr>
            <w:r>
              <w:rPr>
                <w:rFonts w:ascii="宋体" w:eastAsia="宋体" w:hAnsi="宋体" w:cs="宋体"/>
                <w:b w:val="0"/>
              </w:rPr>
              <w:t>2.00</w:t>
            </w:r>
          </w:p>
        </w:tc>
      </w:tr>
      <w:tr>
        <w:tblPrEx>
          <w:tblW w:w="5000" w:type="pct"/>
        </w:tblPrEx>
        <w:tc>
          <w:tcPr>
            <w:tcW w:w="0" w:type="dxa"/>
            <w:vAlign w:val="center"/>
          </w:tcPr>
          <w:p>
            <w:pPr>
              <w:spacing w:line="240" w:lineRule="auto"/>
              <w:jc w:val="center"/>
            </w:pPr>
            <w:r>
              <w:rPr>
                <w:rFonts w:ascii="宋体" w:eastAsia="宋体" w:hAnsi="宋体" w:cs="宋体"/>
                <w:b w:val="0"/>
              </w:rPr>
              <w:t>8</w:t>
            </w:r>
          </w:p>
        </w:tc>
        <w:tc>
          <w:tcPr>
            <w:tcW w:w="0" w:type="dxa"/>
            <w:vAlign w:val="center"/>
          </w:tcPr>
          <w:p>
            <w:pPr>
              <w:spacing w:line="240" w:lineRule="auto"/>
              <w:jc w:val="left"/>
            </w:pPr>
            <w:r>
              <w:rPr>
                <w:rFonts w:ascii="宋体" w:eastAsia="宋体" w:hAnsi="宋体" w:cs="宋体"/>
                <w:b w:val="0"/>
              </w:rPr>
              <w:t>其他资产</w:t>
            </w:r>
          </w:p>
        </w:tc>
        <w:tc>
          <w:tcPr>
            <w:tcW w:w="0" w:type="dxa"/>
            <w:vAlign w:val="center"/>
          </w:tcPr>
          <w:p>
            <w:pPr>
              <w:spacing w:line="240" w:lineRule="auto"/>
              <w:jc w:val="right"/>
            </w:pPr>
            <w:r>
              <w:rPr>
                <w:rFonts w:ascii="宋体" w:eastAsia="宋体" w:hAnsi="宋体" w:cs="宋体"/>
                <w:b w:val="0"/>
              </w:rPr>
              <w:t>3,504,848.17</w:t>
            </w:r>
          </w:p>
        </w:tc>
        <w:tc>
          <w:tcPr>
            <w:tcW w:w="0" w:type="dxa"/>
            <w:vAlign w:val="center"/>
          </w:tcPr>
          <w:p>
            <w:pPr>
              <w:spacing w:line="240" w:lineRule="auto"/>
              <w:jc w:val="right"/>
            </w:pPr>
            <w:r>
              <w:rPr>
                <w:rFonts w:ascii="宋体" w:eastAsia="宋体" w:hAnsi="宋体" w:cs="宋体"/>
                <w:b w:val="0"/>
              </w:rPr>
              <w:t>0.72</w:t>
            </w:r>
          </w:p>
        </w:tc>
      </w:tr>
      <w:tr>
        <w:tblPrEx>
          <w:tblW w:w="5000" w:type="pct"/>
        </w:tblPrEx>
        <w:tc>
          <w:tcPr>
            <w:tcW w:w="0" w:type="dxa"/>
            <w:vAlign w:val="center"/>
          </w:tcPr>
          <w:p>
            <w:pPr>
              <w:spacing w:line="240" w:lineRule="auto"/>
              <w:jc w:val="center"/>
            </w:pPr>
            <w:r>
              <w:rPr>
                <w:rFonts w:ascii="宋体" w:eastAsia="宋体" w:hAnsi="宋体" w:cs="宋体"/>
                <w:b w:val="0"/>
              </w:rPr>
              <w:t>9</w:t>
            </w:r>
          </w:p>
        </w:tc>
        <w:tc>
          <w:tcPr>
            <w:tcW w:w="0" w:type="dxa"/>
            <w:vAlign w:val="center"/>
          </w:tcPr>
          <w:p>
            <w:pPr>
              <w:spacing w:line="240" w:lineRule="auto"/>
              <w:jc w:val="left"/>
            </w:pPr>
            <w:r>
              <w:rPr>
                <w:rFonts w:ascii="宋体" w:eastAsia="宋体" w:hAnsi="宋体" w:cs="宋体"/>
                <w:b w:val="0"/>
              </w:rPr>
              <w:t>合计</w:t>
            </w:r>
          </w:p>
        </w:tc>
        <w:tc>
          <w:tcPr>
            <w:tcW w:w="0" w:type="dxa"/>
            <w:vAlign w:val="center"/>
          </w:tcPr>
          <w:p>
            <w:pPr>
              <w:spacing w:line="240" w:lineRule="auto"/>
              <w:jc w:val="right"/>
            </w:pPr>
            <w:r>
              <w:rPr>
                <w:rFonts w:ascii="宋体" w:eastAsia="宋体" w:hAnsi="宋体" w:cs="宋体"/>
                <w:b w:val="0"/>
              </w:rPr>
              <w:t>489,100,945.13</w:t>
            </w:r>
          </w:p>
        </w:tc>
        <w:tc>
          <w:tcPr>
            <w:tcW w:w="0" w:type="dxa"/>
            <w:vAlign w:val="center"/>
          </w:tcPr>
          <w:p>
            <w:pPr>
              <w:spacing w:line="240" w:lineRule="auto"/>
              <w:jc w:val="right"/>
            </w:pPr>
            <w:r>
              <w:rPr>
                <w:rFonts w:ascii="宋体" w:eastAsia="宋体" w:hAnsi="宋体" w:cs="宋体"/>
                <w:b w:val="0"/>
              </w:rPr>
              <w:t>100.00</w:t>
            </w:r>
          </w:p>
        </w:tc>
      </w:tr>
    </w:tbl>
    <w:p>
      <w:r>
        <w:rPr>
          <w:rFonts w:ascii="宋体" w:eastAsia="宋体" w:hAnsi="宋体" w:cs="宋体"/>
          <w:b w:val="0"/>
        </w:rPr>
        <w:t>注：报告期末本基金通过港股通交易机制投资的港股公允价值合计78,247,841.53元，占基金资产净值的比例为16.71%。</w:t>
      </w:r>
    </w:p>
    <w:p/>
    <w:p>
      <w:pPr>
        <w:pStyle w:val="Heading2"/>
        <w:jc w:val="left"/>
      </w:pPr>
      <w:r>
        <w:rPr>
          <w:rFonts w:ascii="宋体" w:eastAsia="宋体" w:hAnsi="宋体" w:cs="宋体"/>
        </w:rPr>
        <w:t>5.2 报告期末按行业分类的股票投资组合</w:t>
      </w:r>
    </w:p>
    <w:p>
      <w:pPr>
        <w:pStyle w:val="zhangjiep2"/>
      </w:pPr>
      <w:r>
        <w:rPr>
          <w:rStyle w:val="DefaultParagraphFont"/>
          <w:rFonts w:ascii="宋体" w:eastAsia="宋体" w:hAnsi="宋体" w:cs="宋体"/>
          <w:b/>
        </w:rPr>
        <w:t>5.2.1 报告期末按行业分类的境内股票投资组合</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Grid>
        <w:gridCol w:w="2266"/>
        <w:gridCol w:w="2266"/>
        <w:gridCol w:w="2266"/>
        <w:gridCol w:w="2266"/>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15" w:type="pct"/>
            <w:shd w:val="clear" w:color="auto" w:fill="D9D9D9"/>
            <w:vAlign w:val="center"/>
          </w:tcPr>
          <w:p>
            <w:pPr>
              <w:spacing w:line="240" w:lineRule="auto"/>
              <w:jc w:val="center"/>
            </w:pPr>
            <w:r>
              <w:rPr>
                <w:rFonts w:ascii="宋体" w:eastAsia="宋体" w:hAnsi="宋体" w:cs="宋体"/>
                <w:b w:val="0"/>
              </w:rPr>
              <w:t>代码</w:t>
            </w:r>
          </w:p>
        </w:tc>
        <w:tc>
          <w:tcPr>
            <w:tcW w:w="1538" w:type="pct"/>
            <w:shd w:val="clear" w:color="auto" w:fill="D9D9D9"/>
            <w:vAlign w:val="center"/>
          </w:tcPr>
          <w:p>
            <w:pPr>
              <w:spacing w:line="240" w:lineRule="auto"/>
              <w:jc w:val="center"/>
            </w:pPr>
            <w:r>
              <w:rPr>
                <w:rFonts w:ascii="宋体" w:eastAsia="宋体" w:hAnsi="宋体" w:cs="宋体"/>
                <w:b w:val="0"/>
              </w:rPr>
              <w:t>行业类别</w:t>
            </w:r>
          </w:p>
        </w:tc>
        <w:tc>
          <w:tcPr>
            <w:tcW w:w="923" w:type="pct"/>
            <w:shd w:val="clear" w:color="auto" w:fill="D9D9D9"/>
            <w:vAlign w:val="center"/>
          </w:tcPr>
          <w:p>
            <w:pPr>
              <w:spacing w:line="240" w:lineRule="auto"/>
              <w:jc w:val="center"/>
            </w:pPr>
            <w:r>
              <w:rPr>
                <w:rFonts w:ascii="宋体" w:eastAsia="宋体" w:hAnsi="宋体" w:cs="宋体"/>
                <w:b w:val="0"/>
              </w:rPr>
              <w:t>公允价值(元)</w:t>
            </w:r>
          </w:p>
        </w:tc>
        <w:tc>
          <w:tcPr>
            <w:tcW w:w="1538" w:type="pct"/>
            <w:shd w:val="clear" w:color="auto" w:fill="D9D9D9"/>
            <w:vAlign w:val="center"/>
          </w:tcPr>
          <w:p>
            <w:pPr>
              <w:spacing w:line="240" w:lineRule="auto"/>
              <w:jc w:val="center"/>
            </w:pPr>
            <w:r>
              <w:rPr>
                <w:rFonts w:ascii="宋体" w:eastAsia="宋体" w:hAnsi="宋体" w:cs="宋体"/>
                <w:b w:val="0"/>
              </w:rPr>
              <w:t>占基金资产净值比例（%）</w:t>
            </w:r>
          </w:p>
        </w:tc>
      </w:tr>
      <w:tr>
        <w:tblPrEx>
          <w:tblW w:w="5000" w:type="pct"/>
        </w:tblPrEx>
        <w:tc>
          <w:tcPr>
            <w:tcW w:w="0" w:type="dxa"/>
            <w:vAlign w:val="center"/>
          </w:tcPr>
          <w:p>
            <w:pPr>
              <w:spacing w:line="240" w:lineRule="auto"/>
              <w:jc w:val="center"/>
            </w:pPr>
            <w:r>
              <w:rPr>
                <w:rFonts w:ascii="宋体" w:eastAsia="宋体" w:hAnsi="宋体" w:cs="宋体"/>
                <w:b w:val="0"/>
              </w:rPr>
              <w:t>A</w:t>
            </w:r>
          </w:p>
        </w:tc>
        <w:tc>
          <w:tcPr>
            <w:tcW w:w="0" w:type="dxa"/>
            <w:vAlign w:val="center"/>
          </w:tcPr>
          <w:p>
            <w:pPr>
              <w:spacing w:line="240" w:lineRule="auto"/>
              <w:jc w:val="left"/>
            </w:pPr>
            <w:r>
              <w:rPr>
                <w:rFonts w:ascii="宋体" w:eastAsia="宋体" w:hAnsi="宋体" w:cs="宋体"/>
                <w:b w:val="0"/>
              </w:rPr>
              <w:t>农、林、牧、渔业</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B</w:t>
            </w:r>
          </w:p>
        </w:tc>
        <w:tc>
          <w:tcPr>
            <w:tcW w:w="0" w:type="dxa"/>
            <w:vAlign w:val="center"/>
          </w:tcPr>
          <w:p>
            <w:pPr>
              <w:spacing w:line="240" w:lineRule="auto"/>
              <w:jc w:val="left"/>
            </w:pPr>
            <w:r>
              <w:rPr>
                <w:rFonts w:ascii="宋体" w:eastAsia="宋体" w:hAnsi="宋体" w:cs="宋体"/>
                <w:b w:val="0"/>
              </w:rPr>
              <w:t>采矿业</w:t>
            </w:r>
          </w:p>
        </w:tc>
        <w:tc>
          <w:tcPr>
            <w:tcW w:w="0" w:type="dxa"/>
            <w:vAlign w:val="center"/>
          </w:tcPr>
          <w:p>
            <w:pPr>
              <w:spacing w:line="240" w:lineRule="auto"/>
              <w:jc w:val="right"/>
            </w:pPr>
            <w:r>
              <w:rPr>
                <w:rFonts w:ascii="宋体" w:eastAsia="宋体" w:hAnsi="宋体" w:cs="宋体"/>
                <w:b w:val="0"/>
              </w:rPr>
              <w:t>16,225.44</w:t>
            </w:r>
          </w:p>
        </w:tc>
        <w:tc>
          <w:tcPr>
            <w:tcW w:w="0" w:type="dxa"/>
            <w:vAlign w:val="center"/>
          </w:tcPr>
          <w:p>
            <w:pPr>
              <w:spacing w:line="240" w:lineRule="auto"/>
              <w:jc w:val="right"/>
            </w:pPr>
            <w:r>
              <w:rPr>
                <w:rFonts w:ascii="宋体" w:eastAsia="宋体" w:hAnsi="宋体" w:cs="宋体"/>
                <w:b w:val="0"/>
              </w:rPr>
              <w:t>0.00</w:t>
            </w:r>
          </w:p>
        </w:tc>
      </w:tr>
      <w:tr>
        <w:tblPrEx>
          <w:tblW w:w="5000" w:type="pct"/>
        </w:tblPrEx>
        <w:tc>
          <w:tcPr>
            <w:tcW w:w="0" w:type="dxa"/>
            <w:vAlign w:val="center"/>
          </w:tcPr>
          <w:p>
            <w:pPr>
              <w:spacing w:line="240" w:lineRule="auto"/>
              <w:jc w:val="center"/>
            </w:pPr>
            <w:r>
              <w:rPr>
                <w:rFonts w:ascii="宋体" w:eastAsia="宋体" w:hAnsi="宋体" w:cs="宋体"/>
                <w:b w:val="0"/>
              </w:rPr>
              <w:t>C</w:t>
            </w:r>
          </w:p>
        </w:tc>
        <w:tc>
          <w:tcPr>
            <w:tcW w:w="0" w:type="dxa"/>
            <w:vAlign w:val="center"/>
          </w:tcPr>
          <w:p>
            <w:pPr>
              <w:spacing w:line="240" w:lineRule="auto"/>
              <w:jc w:val="left"/>
            </w:pPr>
            <w:r>
              <w:rPr>
                <w:rFonts w:ascii="宋体" w:eastAsia="宋体" w:hAnsi="宋体" w:cs="宋体"/>
                <w:b w:val="0"/>
              </w:rPr>
              <w:t>制造业</w:t>
            </w:r>
          </w:p>
        </w:tc>
        <w:tc>
          <w:tcPr>
            <w:tcW w:w="0" w:type="dxa"/>
            <w:vAlign w:val="center"/>
          </w:tcPr>
          <w:p>
            <w:pPr>
              <w:spacing w:line="240" w:lineRule="auto"/>
              <w:jc w:val="right"/>
            </w:pPr>
            <w:r>
              <w:rPr>
                <w:rFonts w:ascii="宋体" w:eastAsia="宋体" w:hAnsi="宋体" w:cs="宋体"/>
                <w:b w:val="0"/>
              </w:rPr>
              <w:t>97,511,705.24</w:t>
            </w:r>
          </w:p>
        </w:tc>
        <w:tc>
          <w:tcPr>
            <w:tcW w:w="0" w:type="dxa"/>
            <w:vAlign w:val="center"/>
          </w:tcPr>
          <w:p>
            <w:pPr>
              <w:spacing w:line="240" w:lineRule="auto"/>
              <w:jc w:val="right"/>
            </w:pPr>
            <w:r>
              <w:rPr>
                <w:rFonts w:ascii="宋体" w:eastAsia="宋体" w:hAnsi="宋体" w:cs="宋体"/>
                <w:b w:val="0"/>
              </w:rPr>
              <w:t>20.83</w:t>
            </w:r>
          </w:p>
        </w:tc>
      </w:tr>
      <w:tr>
        <w:tblPrEx>
          <w:tblW w:w="5000" w:type="pct"/>
        </w:tblPrEx>
        <w:tc>
          <w:tcPr>
            <w:tcW w:w="0" w:type="dxa"/>
            <w:vAlign w:val="center"/>
          </w:tcPr>
          <w:p>
            <w:pPr>
              <w:spacing w:line="240" w:lineRule="auto"/>
              <w:jc w:val="center"/>
            </w:pPr>
            <w:r>
              <w:rPr>
                <w:rFonts w:ascii="宋体" w:eastAsia="宋体" w:hAnsi="宋体" w:cs="宋体"/>
                <w:b w:val="0"/>
              </w:rPr>
              <w:t>D</w:t>
            </w:r>
          </w:p>
        </w:tc>
        <w:tc>
          <w:tcPr>
            <w:tcW w:w="0" w:type="dxa"/>
            <w:vAlign w:val="center"/>
          </w:tcPr>
          <w:p>
            <w:pPr>
              <w:spacing w:line="240" w:lineRule="auto"/>
              <w:jc w:val="left"/>
            </w:pPr>
            <w:r>
              <w:rPr>
                <w:rFonts w:ascii="宋体" w:eastAsia="宋体" w:hAnsi="宋体" w:cs="宋体"/>
                <w:b w:val="0"/>
              </w:rPr>
              <w:t>电力、热力、燃气及水生产和供应业</w:t>
            </w:r>
          </w:p>
        </w:tc>
        <w:tc>
          <w:tcPr>
            <w:tcW w:w="0" w:type="dxa"/>
            <w:vAlign w:val="center"/>
          </w:tcPr>
          <w:p>
            <w:pPr>
              <w:spacing w:line="240" w:lineRule="auto"/>
              <w:jc w:val="right"/>
            </w:pPr>
            <w:r>
              <w:rPr>
                <w:rFonts w:ascii="宋体" w:eastAsia="宋体" w:hAnsi="宋体" w:cs="宋体"/>
                <w:b w:val="0"/>
              </w:rPr>
              <w:t>148,104.38</w:t>
            </w:r>
          </w:p>
        </w:tc>
        <w:tc>
          <w:tcPr>
            <w:tcW w:w="0" w:type="dxa"/>
            <w:vAlign w:val="center"/>
          </w:tcPr>
          <w:p>
            <w:pPr>
              <w:spacing w:line="240" w:lineRule="auto"/>
              <w:jc w:val="right"/>
            </w:pPr>
            <w:r>
              <w:rPr>
                <w:rFonts w:ascii="宋体" w:eastAsia="宋体" w:hAnsi="宋体" w:cs="宋体"/>
                <w:b w:val="0"/>
              </w:rPr>
              <w:t>0.03</w:t>
            </w:r>
          </w:p>
        </w:tc>
      </w:tr>
      <w:tr>
        <w:tblPrEx>
          <w:tblW w:w="5000" w:type="pct"/>
        </w:tblPrEx>
        <w:tc>
          <w:tcPr>
            <w:tcW w:w="0" w:type="dxa"/>
            <w:vAlign w:val="center"/>
          </w:tcPr>
          <w:p>
            <w:pPr>
              <w:spacing w:line="240" w:lineRule="auto"/>
              <w:jc w:val="center"/>
            </w:pPr>
            <w:r>
              <w:rPr>
                <w:rFonts w:ascii="宋体" w:eastAsia="宋体" w:hAnsi="宋体" w:cs="宋体"/>
                <w:b w:val="0"/>
              </w:rPr>
              <w:t>E</w:t>
            </w:r>
          </w:p>
        </w:tc>
        <w:tc>
          <w:tcPr>
            <w:tcW w:w="0" w:type="dxa"/>
            <w:vAlign w:val="center"/>
          </w:tcPr>
          <w:p>
            <w:pPr>
              <w:spacing w:line="240" w:lineRule="auto"/>
              <w:jc w:val="left"/>
            </w:pPr>
            <w:r>
              <w:rPr>
                <w:rFonts w:ascii="宋体" w:eastAsia="宋体" w:hAnsi="宋体" w:cs="宋体"/>
                <w:b w:val="0"/>
              </w:rPr>
              <w:t>建筑业</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F</w:t>
            </w:r>
          </w:p>
        </w:tc>
        <w:tc>
          <w:tcPr>
            <w:tcW w:w="0" w:type="dxa"/>
            <w:vAlign w:val="center"/>
          </w:tcPr>
          <w:p>
            <w:pPr>
              <w:spacing w:line="240" w:lineRule="auto"/>
              <w:jc w:val="left"/>
            </w:pPr>
            <w:r>
              <w:rPr>
                <w:rFonts w:ascii="宋体" w:eastAsia="宋体" w:hAnsi="宋体" w:cs="宋体"/>
                <w:b w:val="0"/>
              </w:rPr>
              <w:t>批发和零售业</w:t>
            </w:r>
          </w:p>
        </w:tc>
        <w:tc>
          <w:tcPr>
            <w:tcW w:w="0" w:type="dxa"/>
            <w:vAlign w:val="center"/>
          </w:tcPr>
          <w:p>
            <w:pPr>
              <w:spacing w:line="240" w:lineRule="auto"/>
              <w:jc w:val="right"/>
            </w:pPr>
            <w:r>
              <w:rPr>
                <w:rFonts w:ascii="宋体" w:eastAsia="宋体" w:hAnsi="宋体" w:cs="宋体"/>
                <w:b w:val="0"/>
              </w:rPr>
              <w:t>17,891,055.00</w:t>
            </w:r>
          </w:p>
        </w:tc>
        <w:tc>
          <w:tcPr>
            <w:tcW w:w="0" w:type="dxa"/>
            <w:vAlign w:val="center"/>
          </w:tcPr>
          <w:p>
            <w:pPr>
              <w:spacing w:line="240" w:lineRule="auto"/>
              <w:jc w:val="right"/>
            </w:pPr>
            <w:r>
              <w:rPr>
                <w:rFonts w:ascii="宋体" w:eastAsia="宋体" w:hAnsi="宋体" w:cs="宋体"/>
                <w:b w:val="0"/>
              </w:rPr>
              <w:t>3.82</w:t>
            </w:r>
          </w:p>
        </w:tc>
      </w:tr>
      <w:tr>
        <w:tblPrEx>
          <w:tblW w:w="5000" w:type="pct"/>
        </w:tblPrEx>
        <w:tc>
          <w:tcPr>
            <w:tcW w:w="0" w:type="dxa"/>
            <w:vAlign w:val="center"/>
          </w:tcPr>
          <w:p>
            <w:pPr>
              <w:spacing w:line="240" w:lineRule="auto"/>
              <w:jc w:val="center"/>
            </w:pPr>
            <w:r>
              <w:rPr>
                <w:rFonts w:ascii="宋体" w:eastAsia="宋体" w:hAnsi="宋体" w:cs="宋体"/>
                <w:b w:val="0"/>
              </w:rPr>
              <w:t>G</w:t>
            </w:r>
          </w:p>
        </w:tc>
        <w:tc>
          <w:tcPr>
            <w:tcW w:w="0" w:type="dxa"/>
            <w:vAlign w:val="center"/>
          </w:tcPr>
          <w:p>
            <w:pPr>
              <w:spacing w:line="240" w:lineRule="auto"/>
              <w:jc w:val="left"/>
            </w:pPr>
            <w:r>
              <w:rPr>
                <w:rFonts w:ascii="宋体" w:eastAsia="宋体" w:hAnsi="宋体" w:cs="宋体"/>
                <w:b w:val="0"/>
              </w:rPr>
              <w:t>交通运输、仓储和邮政业</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H</w:t>
            </w:r>
          </w:p>
        </w:tc>
        <w:tc>
          <w:tcPr>
            <w:tcW w:w="0" w:type="dxa"/>
            <w:vAlign w:val="center"/>
          </w:tcPr>
          <w:p>
            <w:pPr>
              <w:spacing w:line="240" w:lineRule="auto"/>
              <w:jc w:val="left"/>
            </w:pPr>
            <w:r>
              <w:rPr>
                <w:rFonts w:ascii="宋体" w:eastAsia="宋体" w:hAnsi="宋体" w:cs="宋体"/>
                <w:b w:val="0"/>
              </w:rPr>
              <w:t>住宿和餐饮业</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I</w:t>
            </w:r>
          </w:p>
        </w:tc>
        <w:tc>
          <w:tcPr>
            <w:tcW w:w="0" w:type="dxa"/>
            <w:vAlign w:val="center"/>
          </w:tcPr>
          <w:p>
            <w:pPr>
              <w:spacing w:line="240" w:lineRule="auto"/>
              <w:jc w:val="left"/>
            </w:pPr>
            <w:r>
              <w:rPr>
                <w:rFonts w:ascii="宋体" w:eastAsia="宋体" w:hAnsi="宋体" w:cs="宋体"/>
                <w:b w:val="0"/>
              </w:rPr>
              <w:t>信息传输、软件和信息技术服务业</w:t>
            </w:r>
          </w:p>
        </w:tc>
        <w:tc>
          <w:tcPr>
            <w:tcW w:w="0" w:type="dxa"/>
            <w:vAlign w:val="center"/>
          </w:tcPr>
          <w:p>
            <w:pPr>
              <w:spacing w:line="240" w:lineRule="auto"/>
              <w:jc w:val="right"/>
            </w:pPr>
            <w:r>
              <w:rPr>
                <w:rFonts w:ascii="宋体" w:eastAsia="宋体" w:hAnsi="宋体" w:cs="宋体"/>
                <w:b w:val="0"/>
              </w:rPr>
              <w:t>202,770,186.78</w:t>
            </w:r>
          </w:p>
        </w:tc>
        <w:tc>
          <w:tcPr>
            <w:tcW w:w="0" w:type="dxa"/>
            <w:vAlign w:val="center"/>
          </w:tcPr>
          <w:p>
            <w:pPr>
              <w:spacing w:line="240" w:lineRule="auto"/>
              <w:jc w:val="right"/>
            </w:pPr>
            <w:r>
              <w:rPr>
                <w:rFonts w:ascii="宋体" w:eastAsia="宋体" w:hAnsi="宋体" w:cs="宋体"/>
                <w:b w:val="0"/>
              </w:rPr>
              <w:t>43.31</w:t>
            </w:r>
          </w:p>
        </w:tc>
      </w:tr>
      <w:tr>
        <w:tblPrEx>
          <w:tblW w:w="5000" w:type="pct"/>
        </w:tblPrEx>
        <w:tc>
          <w:tcPr>
            <w:tcW w:w="0" w:type="dxa"/>
            <w:vAlign w:val="center"/>
          </w:tcPr>
          <w:p>
            <w:pPr>
              <w:spacing w:line="240" w:lineRule="auto"/>
              <w:jc w:val="center"/>
            </w:pPr>
            <w:r>
              <w:rPr>
                <w:rFonts w:ascii="宋体" w:eastAsia="宋体" w:hAnsi="宋体" w:cs="宋体"/>
                <w:b w:val="0"/>
              </w:rPr>
              <w:t>J</w:t>
            </w:r>
          </w:p>
        </w:tc>
        <w:tc>
          <w:tcPr>
            <w:tcW w:w="0" w:type="dxa"/>
            <w:vAlign w:val="center"/>
          </w:tcPr>
          <w:p>
            <w:pPr>
              <w:spacing w:line="240" w:lineRule="auto"/>
              <w:jc w:val="left"/>
            </w:pPr>
            <w:r>
              <w:rPr>
                <w:rFonts w:ascii="宋体" w:eastAsia="宋体" w:hAnsi="宋体" w:cs="宋体"/>
                <w:b w:val="0"/>
              </w:rPr>
              <w:t>金融业</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K</w:t>
            </w:r>
          </w:p>
        </w:tc>
        <w:tc>
          <w:tcPr>
            <w:tcW w:w="0" w:type="dxa"/>
            <w:vAlign w:val="center"/>
          </w:tcPr>
          <w:p>
            <w:pPr>
              <w:spacing w:line="240" w:lineRule="auto"/>
              <w:jc w:val="left"/>
            </w:pPr>
            <w:r>
              <w:rPr>
                <w:rFonts w:ascii="宋体" w:eastAsia="宋体" w:hAnsi="宋体" w:cs="宋体"/>
                <w:b w:val="0"/>
              </w:rPr>
              <w:t>房地产业</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L</w:t>
            </w:r>
          </w:p>
        </w:tc>
        <w:tc>
          <w:tcPr>
            <w:tcW w:w="0" w:type="dxa"/>
            <w:vAlign w:val="center"/>
          </w:tcPr>
          <w:p>
            <w:pPr>
              <w:spacing w:line="240" w:lineRule="auto"/>
              <w:jc w:val="left"/>
            </w:pPr>
            <w:r>
              <w:rPr>
                <w:rFonts w:ascii="宋体" w:eastAsia="宋体" w:hAnsi="宋体" w:cs="宋体"/>
                <w:b w:val="0"/>
              </w:rPr>
              <w:t>租赁和商务服务业</w:t>
            </w:r>
          </w:p>
        </w:tc>
        <w:tc>
          <w:tcPr>
            <w:tcW w:w="0" w:type="dxa"/>
            <w:vAlign w:val="center"/>
          </w:tcPr>
          <w:p>
            <w:pPr>
              <w:spacing w:line="240" w:lineRule="auto"/>
              <w:jc w:val="right"/>
            </w:pPr>
            <w:r>
              <w:rPr>
                <w:rFonts w:ascii="宋体" w:eastAsia="宋体" w:hAnsi="宋体" w:cs="宋体"/>
                <w:b w:val="0"/>
              </w:rPr>
              <w:t>8,763,504.95</w:t>
            </w:r>
          </w:p>
        </w:tc>
        <w:tc>
          <w:tcPr>
            <w:tcW w:w="0" w:type="dxa"/>
            <w:vAlign w:val="center"/>
          </w:tcPr>
          <w:p>
            <w:pPr>
              <w:spacing w:line="240" w:lineRule="auto"/>
              <w:jc w:val="right"/>
            </w:pPr>
            <w:r>
              <w:rPr>
                <w:rFonts w:ascii="宋体" w:eastAsia="宋体" w:hAnsi="宋体" w:cs="宋体"/>
                <w:b w:val="0"/>
              </w:rPr>
              <w:t>1.87</w:t>
            </w:r>
          </w:p>
        </w:tc>
      </w:tr>
      <w:tr>
        <w:tblPrEx>
          <w:tblW w:w="5000" w:type="pct"/>
        </w:tblPrEx>
        <w:tc>
          <w:tcPr>
            <w:tcW w:w="0" w:type="dxa"/>
            <w:vAlign w:val="center"/>
          </w:tcPr>
          <w:p>
            <w:pPr>
              <w:spacing w:line="240" w:lineRule="auto"/>
              <w:jc w:val="center"/>
            </w:pPr>
            <w:r>
              <w:rPr>
                <w:rFonts w:ascii="宋体" w:eastAsia="宋体" w:hAnsi="宋体" w:cs="宋体"/>
                <w:b w:val="0"/>
              </w:rPr>
              <w:t>M</w:t>
            </w:r>
          </w:p>
        </w:tc>
        <w:tc>
          <w:tcPr>
            <w:tcW w:w="0" w:type="dxa"/>
            <w:vAlign w:val="center"/>
          </w:tcPr>
          <w:p>
            <w:pPr>
              <w:spacing w:line="240" w:lineRule="auto"/>
              <w:jc w:val="left"/>
            </w:pPr>
            <w:r>
              <w:rPr>
                <w:rFonts w:ascii="宋体" w:eastAsia="宋体" w:hAnsi="宋体" w:cs="宋体"/>
                <w:b w:val="0"/>
              </w:rPr>
              <w:t>科学研究和技术服务业</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N</w:t>
            </w:r>
          </w:p>
        </w:tc>
        <w:tc>
          <w:tcPr>
            <w:tcW w:w="0" w:type="dxa"/>
            <w:vAlign w:val="center"/>
          </w:tcPr>
          <w:p>
            <w:pPr>
              <w:spacing w:line="240" w:lineRule="auto"/>
              <w:jc w:val="left"/>
            </w:pPr>
            <w:r>
              <w:rPr>
                <w:rFonts w:ascii="宋体" w:eastAsia="宋体" w:hAnsi="宋体" w:cs="宋体"/>
                <w:b w:val="0"/>
              </w:rPr>
              <w:t>水利、环境和公共设施管理业</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O</w:t>
            </w:r>
          </w:p>
        </w:tc>
        <w:tc>
          <w:tcPr>
            <w:tcW w:w="0" w:type="dxa"/>
            <w:vAlign w:val="center"/>
          </w:tcPr>
          <w:p>
            <w:pPr>
              <w:spacing w:line="240" w:lineRule="auto"/>
              <w:jc w:val="left"/>
            </w:pPr>
            <w:r>
              <w:rPr>
                <w:rFonts w:ascii="宋体" w:eastAsia="宋体" w:hAnsi="宋体" w:cs="宋体"/>
                <w:b w:val="0"/>
              </w:rPr>
              <w:t>居民服务、修理和其他服务业</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P</w:t>
            </w:r>
          </w:p>
        </w:tc>
        <w:tc>
          <w:tcPr>
            <w:tcW w:w="0" w:type="dxa"/>
            <w:vAlign w:val="center"/>
          </w:tcPr>
          <w:p>
            <w:pPr>
              <w:spacing w:line="240" w:lineRule="auto"/>
              <w:jc w:val="left"/>
            </w:pPr>
            <w:r>
              <w:rPr>
                <w:rFonts w:ascii="宋体" w:eastAsia="宋体" w:hAnsi="宋体" w:cs="宋体"/>
                <w:b w:val="0"/>
              </w:rPr>
              <w:t>教育</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Q</w:t>
            </w:r>
          </w:p>
        </w:tc>
        <w:tc>
          <w:tcPr>
            <w:tcW w:w="0" w:type="dxa"/>
            <w:vAlign w:val="center"/>
          </w:tcPr>
          <w:p>
            <w:pPr>
              <w:spacing w:line="240" w:lineRule="auto"/>
              <w:jc w:val="left"/>
            </w:pPr>
            <w:r>
              <w:rPr>
                <w:rFonts w:ascii="宋体" w:eastAsia="宋体" w:hAnsi="宋体" w:cs="宋体"/>
                <w:b w:val="0"/>
              </w:rPr>
              <w:t>卫生和社会工作</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R</w:t>
            </w:r>
          </w:p>
        </w:tc>
        <w:tc>
          <w:tcPr>
            <w:tcW w:w="0" w:type="dxa"/>
            <w:vAlign w:val="center"/>
          </w:tcPr>
          <w:p>
            <w:pPr>
              <w:spacing w:line="240" w:lineRule="auto"/>
              <w:jc w:val="left"/>
            </w:pPr>
            <w:r>
              <w:rPr>
                <w:rFonts w:ascii="宋体" w:eastAsia="宋体" w:hAnsi="宋体" w:cs="宋体"/>
                <w:b w:val="0"/>
              </w:rPr>
              <w:t>文化、体育和娱乐业</w:t>
            </w:r>
          </w:p>
        </w:tc>
        <w:tc>
          <w:tcPr>
            <w:tcW w:w="0" w:type="dxa"/>
            <w:vAlign w:val="center"/>
          </w:tcPr>
          <w:p>
            <w:pPr>
              <w:spacing w:line="240" w:lineRule="auto"/>
              <w:jc w:val="right"/>
            </w:pPr>
            <w:r>
              <w:rPr>
                <w:rFonts w:ascii="宋体" w:eastAsia="宋体" w:hAnsi="宋体" w:cs="宋体"/>
                <w:b w:val="0"/>
              </w:rPr>
              <w:t>2,379,066.00</w:t>
            </w:r>
          </w:p>
        </w:tc>
        <w:tc>
          <w:tcPr>
            <w:tcW w:w="0" w:type="dxa"/>
            <w:vAlign w:val="center"/>
          </w:tcPr>
          <w:p>
            <w:pPr>
              <w:spacing w:line="240" w:lineRule="auto"/>
              <w:jc w:val="right"/>
            </w:pPr>
            <w:r>
              <w:rPr>
                <w:rFonts w:ascii="宋体" w:eastAsia="宋体" w:hAnsi="宋体" w:cs="宋体"/>
                <w:b w:val="0"/>
              </w:rPr>
              <w:t>0.51</w:t>
            </w:r>
          </w:p>
        </w:tc>
      </w:tr>
      <w:tr>
        <w:tblPrEx>
          <w:tblW w:w="5000" w:type="pct"/>
        </w:tblPrEx>
        <w:tc>
          <w:tcPr>
            <w:tcW w:w="0" w:type="dxa"/>
            <w:vAlign w:val="center"/>
          </w:tcPr>
          <w:p>
            <w:pPr>
              <w:spacing w:line="240" w:lineRule="auto"/>
              <w:jc w:val="center"/>
            </w:pPr>
            <w:r>
              <w:rPr>
                <w:rFonts w:ascii="宋体" w:eastAsia="宋体" w:hAnsi="宋体" w:cs="宋体"/>
                <w:b w:val="0"/>
              </w:rPr>
              <w:t>S</w:t>
            </w:r>
          </w:p>
        </w:tc>
        <w:tc>
          <w:tcPr>
            <w:tcW w:w="0" w:type="dxa"/>
            <w:vAlign w:val="center"/>
          </w:tcPr>
          <w:p>
            <w:pPr>
              <w:spacing w:line="240" w:lineRule="auto"/>
              <w:jc w:val="left"/>
            </w:pPr>
            <w:r>
              <w:rPr>
                <w:rFonts w:ascii="宋体" w:eastAsia="宋体" w:hAnsi="宋体" w:cs="宋体"/>
                <w:b w:val="0"/>
              </w:rPr>
              <w:t>综合</w:t>
            </w:r>
          </w:p>
        </w:tc>
        <w:tc>
          <w:tcPr>
            <w:tcW w:w="0" w:type="dxa"/>
            <w:vAlign w:val="center"/>
          </w:tcPr>
          <w:p>
            <w:pPr>
              <w:spacing w:line="240" w:lineRule="auto"/>
              <w:jc w:val="right"/>
            </w:pPr>
            <w:r>
              <w:rPr>
                <w:rFonts w:ascii="宋体" w:eastAsia="宋体" w:hAnsi="宋体" w:cs="宋体"/>
                <w:b w:val="0"/>
              </w:rPr>
              <w:t>19,169,544.00</w:t>
            </w:r>
          </w:p>
        </w:tc>
        <w:tc>
          <w:tcPr>
            <w:tcW w:w="0" w:type="dxa"/>
            <w:vAlign w:val="center"/>
          </w:tcPr>
          <w:p>
            <w:pPr>
              <w:spacing w:line="240" w:lineRule="auto"/>
              <w:jc w:val="right"/>
            </w:pPr>
            <w:r>
              <w:rPr>
                <w:rFonts w:ascii="宋体" w:eastAsia="宋体" w:hAnsi="宋体" w:cs="宋体"/>
                <w:b w:val="0"/>
              </w:rPr>
              <w:t>4.09</w:t>
            </w:r>
          </w:p>
        </w:tc>
      </w:tr>
      <w:tr>
        <w:tblPrEx>
          <w:tblW w:w="5000" w:type="pct"/>
        </w:tblPrEx>
        <w:tc>
          <w:tcPr>
            <w:tcW w:w="0" w:type="dxa"/>
            <w:vAlign w:val="center"/>
          </w:tcPr>
          <w:p>
            <w:pPr>
              <w:spacing w:line="240" w:lineRule="auto"/>
              <w:jc w:val="center"/>
            </w:pPr>
          </w:p>
        </w:tc>
        <w:tc>
          <w:tcPr>
            <w:tcW w:w="0" w:type="dxa"/>
            <w:vAlign w:val="center"/>
          </w:tcPr>
          <w:p>
            <w:pPr>
              <w:spacing w:line="240" w:lineRule="auto"/>
              <w:jc w:val="left"/>
            </w:pPr>
            <w:r>
              <w:rPr>
                <w:rFonts w:ascii="宋体" w:eastAsia="宋体" w:hAnsi="宋体" w:cs="宋体"/>
                <w:b w:val="0"/>
              </w:rPr>
              <w:t>合计</w:t>
            </w:r>
          </w:p>
        </w:tc>
        <w:tc>
          <w:tcPr>
            <w:tcW w:w="0" w:type="dxa"/>
            <w:vAlign w:val="center"/>
          </w:tcPr>
          <w:p>
            <w:pPr>
              <w:spacing w:line="240" w:lineRule="auto"/>
              <w:jc w:val="right"/>
            </w:pPr>
            <w:r>
              <w:rPr>
                <w:rFonts w:ascii="宋体" w:eastAsia="宋体" w:hAnsi="宋体" w:cs="宋体"/>
                <w:b w:val="0"/>
              </w:rPr>
              <w:t>348,649,391.79</w:t>
            </w:r>
          </w:p>
        </w:tc>
        <w:tc>
          <w:tcPr>
            <w:tcW w:w="0" w:type="dxa"/>
            <w:vAlign w:val="center"/>
          </w:tcPr>
          <w:p>
            <w:pPr>
              <w:spacing w:line="240" w:lineRule="auto"/>
              <w:jc w:val="right"/>
            </w:pPr>
            <w:r>
              <w:rPr>
                <w:rFonts w:ascii="宋体" w:eastAsia="宋体" w:hAnsi="宋体" w:cs="宋体"/>
                <w:b w:val="0"/>
              </w:rPr>
              <w:t>74.46</w:t>
            </w:r>
          </w:p>
        </w:tc>
      </w:tr>
    </w:tbl>
    <w:p/>
    <w:p>
      <w:pPr>
        <w:pStyle w:val="zhangjiep2"/>
      </w:pPr>
      <w:r>
        <w:rPr>
          <w:rStyle w:val="DefaultParagraphFont"/>
          <w:rFonts w:ascii="宋体" w:eastAsia="宋体" w:hAnsi="宋体" w:cs="宋体"/>
          <w:b/>
        </w:rPr>
        <w:t>5.2.2 报告期末按行业分类的港股通投资股票投资组合</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Grid>
        <w:gridCol w:w="3021"/>
        <w:gridCol w:w="3021"/>
        <w:gridCol w:w="3021"/>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38" w:type="pct"/>
            <w:shd w:val="clear" w:color="auto" w:fill="D9D9D9"/>
            <w:vAlign w:val="center"/>
          </w:tcPr>
          <w:p>
            <w:pPr>
              <w:spacing w:line="240" w:lineRule="auto"/>
              <w:jc w:val="center"/>
            </w:pPr>
            <w:r>
              <w:rPr>
                <w:rFonts w:ascii="宋体" w:eastAsia="宋体" w:hAnsi="宋体" w:cs="宋体"/>
                <w:b w:val="0"/>
              </w:rPr>
              <w:t>行业类别</w:t>
            </w:r>
          </w:p>
        </w:tc>
        <w:tc>
          <w:tcPr>
            <w:tcW w:w="1538" w:type="pct"/>
            <w:shd w:val="clear" w:color="auto" w:fill="D9D9D9"/>
            <w:vAlign w:val="center"/>
          </w:tcPr>
          <w:p>
            <w:pPr>
              <w:spacing w:line="240" w:lineRule="auto"/>
              <w:jc w:val="center"/>
            </w:pPr>
            <w:r>
              <w:rPr>
                <w:rFonts w:ascii="宋体" w:eastAsia="宋体" w:hAnsi="宋体" w:cs="宋体"/>
                <w:b w:val="0"/>
              </w:rPr>
              <w:t>公允价值（人民币）</w:t>
            </w:r>
          </w:p>
        </w:tc>
        <w:tc>
          <w:tcPr>
            <w:tcW w:w="1538" w:type="pct"/>
            <w:shd w:val="clear" w:color="auto" w:fill="D9D9D9"/>
            <w:vAlign w:val="center"/>
          </w:tcPr>
          <w:p>
            <w:pPr>
              <w:spacing w:line="240" w:lineRule="auto"/>
              <w:jc w:val="center"/>
            </w:pPr>
            <w:r>
              <w:rPr>
                <w:rFonts w:ascii="宋体" w:eastAsia="宋体" w:hAnsi="宋体" w:cs="宋体"/>
                <w:b w:val="0"/>
              </w:rPr>
              <w:t>占基金资产净值比例（%）</w:t>
            </w:r>
          </w:p>
        </w:tc>
      </w:tr>
      <w:tr>
        <w:tblPrEx>
          <w:tblW w:w="5000" w:type="pct"/>
        </w:tblPrEx>
        <w:tc>
          <w:tcPr>
            <w:tcW w:w="0" w:type="dxa"/>
            <w:vAlign w:val="center"/>
          </w:tcPr>
          <w:p>
            <w:pPr>
              <w:spacing w:line="240" w:lineRule="auto"/>
              <w:jc w:val="left"/>
            </w:pPr>
            <w:r>
              <w:rPr>
                <w:rFonts w:ascii="宋体" w:eastAsia="宋体" w:hAnsi="宋体" w:cs="宋体"/>
                <w:b w:val="0"/>
              </w:rPr>
              <w:t>信息技术</w:t>
            </w:r>
          </w:p>
        </w:tc>
        <w:tc>
          <w:tcPr>
            <w:tcW w:w="0" w:type="dxa"/>
            <w:vAlign w:val="center"/>
          </w:tcPr>
          <w:p>
            <w:pPr>
              <w:spacing w:line="240" w:lineRule="auto"/>
              <w:jc w:val="right"/>
            </w:pPr>
            <w:r>
              <w:rPr>
                <w:rFonts w:ascii="宋体" w:eastAsia="宋体" w:hAnsi="宋体" w:cs="宋体"/>
                <w:b w:val="0"/>
              </w:rPr>
              <w:t>78,247,841.53</w:t>
            </w:r>
          </w:p>
        </w:tc>
        <w:tc>
          <w:tcPr>
            <w:tcW w:w="0" w:type="dxa"/>
            <w:vAlign w:val="center"/>
          </w:tcPr>
          <w:p>
            <w:pPr>
              <w:spacing w:line="240" w:lineRule="auto"/>
              <w:jc w:val="right"/>
            </w:pPr>
            <w:r>
              <w:rPr>
                <w:rFonts w:ascii="宋体" w:eastAsia="宋体" w:hAnsi="宋体" w:cs="宋体"/>
                <w:b w:val="0"/>
              </w:rPr>
              <w:t>16.71</w:t>
            </w:r>
          </w:p>
        </w:tc>
      </w:tr>
      <w:tr>
        <w:tblPrEx>
          <w:tblW w:w="5000" w:type="pct"/>
        </w:tblPrEx>
        <w:tc>
          <w:tcPr>
            <w:tcW w:w="0" w:type="dxa"/>
            <w:vAlign w:val="center"/>
          </w:tcPr>
          <w:p>
            <w:pPr>
              <w:spacing w:line="240" w:lineRule="auto"/>
              <w:jc w:val="left"/>
            </w:pPr>
            <w:r>
              <w:rPr>
                <w:rFonts w:ascii="宋体" w:eastAsia="宋体" w:hAnsi="宋体" w:cs="宋体"/>
                <w:b w:val="0"/>
              </w:rPr>
              <w:t>合计</w:t>
            </w:r>
          </w:p>
        </w:tc>
        <w:tc>
          <w:tcPr>
            <w:tcW w:w="0" w:type="dxa"/>
            <w:vAlign w:val="center"/>
          </w:tcPr>
          <w:p>
            <w:pPr>
              <w:spacing w:line="240" w:lineRule="auto"/>
              <w:jc w:val="right"/>
            </w:pPr>
            <w:r>
              <w:rPr>
                <w:rFonts w:ascii="宋体" w:eastAsia="宋体" w:hAnsi="宋体" w:cs="宋体"/>
                <w:b w:val="0"/>
              </w:rPr>
              <w:t>78,247,841.53</w:t>
            </w:r>
          </w:p>
        </w:tc>
        <w:tc>
          <w:tcPr>
            <w:tcW w:w="0" w:type="dxa"/>
            <w:vAlign w:val="center"/>
          </w:tcPr>
          <w:p>
            <w:pPr>
              <w:spacing w:line="240" w:lineRule="auto"/>
              <w:jc w:val="right"/>
            </w:pPr>
            <w:r>
              <w:rPr>
                <w:rFonts w:ascii="宋体" w:eastAsia="宋体" w:hAnsi="宋体" w:cs="宋体"/>
                <w:b w:val="0"/>
              </w:rPr>
              <w:t>16.71</w:t>
            </w:r>
          </w:p>
        </w:tc>
      </w:tr>
    </w:tbl>
    <w:p/>
    <w:p>
      <w:pPr>
        <w:pStyle w:val="Heading2"/>
        <w:jc w:val="left"/>
      </w:pPr>
      <w:r>
        <w:rPr>
          <w:rFonts w:ascii="宋体" w:eastAsia="宋体" w:hAnsi="宋体" w:cs="宋体"/>
        </w:rPr>
        <w:t>5.3 报告期末按公允价值占基金资产净值比例大小排序的前十名股票投资明细</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Grid>
        <w:gridCol w:w="1510"/>
        <w:gridCol w:w="1510"/>
        <w:gridCol w:w="1510"/>
        <w:gridCol w:w="1510"/>
        <w:gridCol w:w="1510"/>
        <w:gridCol w:w="1510"/>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15" w:type="pct"/>
            <w:shd w:val="clear" w:color="auto" w:fill="D9D9D9"/>
            <w:vAlign w:val="center"/>
          </w:tcPr>
          <w:p>
            <w:pPr>
              <w:spacing w:line="240" w:lineRule="auto"/>
              <w:jc w:val="center"/>
            </w:pPr>
            <w:r>
              <w:rPr>
                <w:rFonts w:ascii="宋体" w:eastAsia="宋体" w:hAnsi="宋体" w:cs="宋体"/>
                <w:b w:val="0"/>
              </w:rPr>
              <w:t>序号</w:t>
            </w:r>
          </w:p>
        </w:tc>
        <w:tc>
          <w:tcPr>
            <w:tcW w:w="769" w:type="pct"/>
            <w:shd w:val="clear" w:color="auto" w:fill="D9D9D9"/>
            <w:vAlign w:val="center"/>
          </w:tcPr>
          <w:p>
            <w:pPr>
              <w:spacing w:line="240" w:lineRule="auto"/>
              <w:jc w:val="center"/>
            </w:pPr>
            <w:r>
              <w:rPr>
                <w:rFonts w:ascii="宋体" w:eastAsia="宋体" w:hAnsi="宋体" w:cs="宋体"/>
                <w:b w:val="0"/>
              </w:rPr>
              <w:t>股票代码</w:t>
            </w:r>
          </w:p>
        </w:tc>
        <w:tc>
          <w:tcPr>
            <w:tcW w:w="769" w:type="pct"/>
            <w:shd w:val="clear" w:color="auto" w:fill="D9D9D9"/>
            <w:vAlign w:val="center"/>
          </w:tcPr>
          <w:p>
            <w:pPr>
              <w:spacing w:line="240" w:lineRule="auto"/>
              <w:jc w:val="center"/>
            </w:pPr>
            <w:r>
              <w:rPr>
                <w:rFonts w:ascii="宋体" w:eastAsia="宋体" w:hAnsi="宋体" w:cs="宋体"/>
                <w:b w:val="0"/>
              </w:rPr>
              <w:t>股票名称</w:t>
            </w:r>
          </w:p>
        </w:tc>
        <w:tc>
          <w:tcPr>
            <w:tcW w:w="615" w:type="pct"/>
            <w:shd w:val="clear" w:color="auto" w:fill="D9D9D9"/>
            <w:vAlign w:val="center"/>
          </w:tcPr>
          <w:p>
            <w:pPr>
              <w:spacing w:line="240" w:lineRule="auto"/>
              <w:jc w:val="center"/>
            </w:pPr>
            <w:r>
              <w:rPr>
                <w:rFonts w:ascii="宋体" w:eastAsia="宋体" w:hAnsi="宋体" w:cs="宋体"/>
                <w:b w:val="0"/>
              </w:rPr>
              <w:t>数量(股)</w:t>
            </w:r>
          </w:p>
        </w:tc>
        <w:tc>
          <w:tcPr>
            <w:tcW w:w="923" w:type="pct"/>
            <w:shd w:val="clear" w:color="auto" w:fill="D9D9D9"/>
            <w:vAlign w:val="center"/>
          </w:tcPr>
          <w:p>
            <w:pPr>
              <w:spacing w:line="240" w:lineRule="auto"/>
              <w:jc w:val="center"/>
            </w:pPr>
            <w:r>
              <w:rPr>
                <w:rFonts w:ascii="宋体" w:eastAsia="宋体" w:hAnsi="宋体" w:cs="宋体"/>
                <w:b w:val="0"/>
              </w:rPr>
              <w:t>公允价值(元)</w:t>
            </w:r>
          </w:p>
        </w:tc>
        <w:tc>
          <w:tcPr>
            <w:tcW w:w="923" w:type="pct"/>
            <w:shd w:val="clear" w:color="auto" w:fill="D9D9D9"/>
            <w:vAlign w:val="center"/>
          </w:tcPr>
          <w:p>
            <w:pPr>
              <w:spacing w:line="240" w:lineRule="auto"/>
              <w:jc w:val="center"/>
            </w:pPr>
            <w:r>
              <w:rPr>
                <w:rFonts w:ascii="宋体" w:eastAsia="宋体" w:hAnsi="宋体" w:cs="宋体"/>
                <w:b w:val="0"/>
              </w:rPr>
              <w:t>占基金资产净值比例(%)</w:t>
            </w:r>
          </w:p>
        </w:tc>
      </w:tr>
      <w:tr>
        <w:tblPrEx>
          <w:tblW w:w="5000" w:type="pct"/>
        </w:tblPrEx>
        <w:tc>
          <w:tcPr>
            <w:tcW w:w="0" w:type="dxa"/>
            <w:vAlign w:val="center"/>
          </w:tcPr>
          <w:p>
            <w:pPr>
              <w:spacing w:line="240" w:lineRule="auto"/>
              <w:jc w:val="center"/>
            </w:pPr>
            <w:r>
              <w:rPr>
                <w:rFonts w:ascii="宋体" w:eastAsia="宋体" w:hAnsi="宋体" w:cs="宋体"/>
                <w:b w:val="0"/>
              </w:rPr>
              <w:t>1</w:t>
            </w:r>
          </w:p>
        </w:tc>
        <w:tc>
          <w:tcPr>
            <w:tcW w:w="0" w:type="dxa"/>
            <w:vAlign w:val="center"/>
          </w:tcPr>
          <w:p>
            <w:pPr>
              <w:spacing w:line="240" w:lineRule="auto"/>
              <w:jc w:val="left"/>
            </w:pPr>
            <w:r>
              <w:rPr>
                <w:rFonts w:ascii="宋体" w:eastAsia="宋体" w:hAnsi="宋体" w:cs="宋体"/>
                <w:b w:val="0"/>
              </w:rPr>
              <w:t>00100</w:t>
            </w:r>
          </w:p>
        </w:tc>
        <w:tc>
          <w:tcPr>
            <w:tcW w:w="0" w:type="dxa"/>
            <w:vAlign w:val="center"/>
          </w:tcPr>
          <w:p>
            <w:pPr>
              <w:spacing w:line="240" w:lineRule="auto"/>
              <w:jc w:val="left"/>
            </w:pPr>
            <w:r>
              <w:rPr>
                <w:rFonts w:ascii="宋体" w:eastAsia="宋体" w:hAnsi="宋体" w:cs="宋体"/>
                <w:b w:val="0"/>
              </w:rPr>
              <w:t>MINIMAX-W</w:t>
            </w:r>
          </w:p>
        </w:tc>
        <w:tc>
          <w:tcPr>
            <w:tcW w:w="0" w:type="dxa"/>
            <w:vAlign w:val="center"/>
          </w:tcPr>
          <w:p>
            <w:pPr>
              <w:spacing w:line="240" w:lineRule="auto"/>
              <w:jc w:val="right"/>
            </w:pPr>
            <w:r>
              <w:rPr>
                <w:rFonts w:ascii="宋体" w:eastAsia="宋体" w:hAnsi="宋体" w:cs="宋体"/>
                <w:b w:val="0"/>
              </w:rPr>
              <w:t>181,600</w:t>
            </w:r>
          </w:p>
        </w:tc>
        <w:tc>
          <w:tcPr>
            <w:tcW w:w="0" w:type="dxa"/>
            <w:vAlign w:val="center"/>
          </w:tcPr>
          <w:p>
            <w:pPr>
              <w:spacing w:line="240" w:lineRule="auto"/>
              <w:jc w:val="right"/>
            </w:pPr>
            <w:r>
              <w:rPr>
                <w:rFonts w:ascii="宋体" w:eastAsia="宋体" w:hAnsi="宋体" w:cs="宋体"/>
                <w:b w:val="0"/>
              </w:rPr>
              <w:t>39,003,445.81</w:t>
            </w:r>
          </w:p>
        </w:tc>
        <w:tc>
          <w:tcPr>
            <w:tcW w:w="0" w:type="dxa"/>
            <w:vAlign w:val="center"/>
          </w:tcPr>
          <w:p>
            <w:pPr>
              <w:spacing w:line="240" w:lineRule="auto"/>
              <w:jc w:val="right"/>
            </w:pPr>
            <w:r>
              <w:rPr>
                <w:rFonts w:ascii="宋体" w:eastAsia="宋体" w:hAnsi="宋体" w:cs="宋体"/>
                <w:b w:val="0"/>
              </w:rPr>
              <w:t>8.33</w:t>
            </w:r>
          </w:p>
        </w:tc>
      </w:tr>
      <w:tr>
        <w:tblPrEx>
          <w:tblW w:w="5000" w:type="pct"/>
        </w:tblPrEx>
        <w:tc>
          <w:tcPr>
            <w:tcW w:w="0" w:type="dxa"/>
            <w:vAlign w:val="center"/>
          </w:tcPr>
          <w:p>
            <w:pPr>
              <w:spacing w:line="240" w:lineRule="auto"/>
              <w:jc w:val="center"/>
            </w:pPr>
            <w:r>
              <w:rPr>
                <w:rFonts w:ascii="宋体" w:eastAsia="宋体" w:hAnsi="宋体" w:cs="宋体"/>
                <w:b w:val="0"/>
              </w:rPr>
              <w:t>2</w:t>
            </w:r>
          </w:p>
        </w:tc>
        <w:tc>
          <w:tcPr>
            <w:tcW w:w="0" w:type="dxa"/>
            <w:vAlign w:val="center"/>
          </w:tcPr>
          <w:p>
            <w:pPr>
              <w:spacing w:line="240" w:lineRule="auto"/>
              <w:jc w:val="left"/>
            </w:pPr>
            <w:r>
              <w:rPr>
                <w:rFonts w:ascii="宋体" w:eastAsia="宋体" w:hAnsi="宋体" w:cs="宋体"/>
                <w:b w:val="0"/>
              </w:rPr>
              <w:t>300857</w:t>
            </w:r>
          </w:p>
        </w:tc>
        <w:tc>
          <w:tcPr>
            <w:tcW w:w="0" w:type="dxa"/>
            <w:vAlign w:val="center"/>
          </w:tcPr>
          <w:p>
            <w:pPr>
              <w:spacing w:line="240" w:lineRule="auto"/>
              <w:jc w:val="left"/>
            </w:pPr>
            <w:r>
              <w:rPr>
                <w:rFonts w:ascii="宋体" w:eastAsia="宋体" w:hAnsi="宋体" w:cs="宋体"/>
                <w:b w:val="0"/>
              </w:rPr>
              <w:t>协创数据</w:t>
            </w:r>
          </w:p>
        </w:tc>
        <w:tc>
          <w:tcPr>
            <w:tcW w:w="0" w:type="dxa"/>
            <w:vAlign w:val="center"/>
          </w:tcPr>
          <w:p>
            <w:pPr>
              <w:spacing w:line="240" w:lineRule="auto"/>
              <w:jc w:val="right"/>
            </w:pPr>
            <w:r>
              <w:rPr>
                <w:rFonts w:ascii="宋体" w:eastAsia="宋体" w:hAnsi="宋体" w:cs="宋体"/>
                <w:b w:val="0"/>
              </w:rPr>
              <w:t>151,980</w:t>
            </w:r>
          </w:p>
        </w:tc>
        <w:tc>
          <w:tcPr>
            <w:tcW w:w="0" w:type="dxa"/>
            <w:vAlign w:val="center"/>
          </w:tcPr>
          <w:p>
            <w:pPr>
              <w:spacing w:line="240" w:lineRule="auto"/>
              <w:jc w:val="right"/>
            </w:pPr>
            <w:r>
              <w:rPr>
                <w:rFonts w:ascii="宋体" w:eastAsia="宋体" w:hAnsi="宋体" w:cs="宋体"/>
                <w:b w:val="0"/>
              </w:rPr>
              <w:t>38,171,296.80</w:t>
            </w:r>
          </w:p>
        </w:tc>
        <w:tc>
          <w:tcPr>
            <w:tcW w:w="0" w:type="dxa"/>
            <w:vAlign w:val="center"/>
          </w:tcPr>
          <w:p>
            <w:pPr>
              <w:spacing w:line="240" w:lineRule="auto"/>
              <w:jc w:val="right"/>
            </w:pPr>
            <w:r>
              <w:rPr>
                <w:rFonts w:ascii="宋体" w:eastAsia="宋体" w:hAnsi="宋体" w:cs="宋体"/>
                <w:b w:val="0"/>
              </w:rPr>
              <w:t>8.15</w:t>
            </w:r>
          </w:p>
        </w:tc>
      </w:tr>
      <w:tr>
        <w:tblPrEx>
          <w:tblW w:w="5000" w:type="pct"/>
        </w:tblPrEx>
        <w:tc>
          <w:tcPr>
            <w:tcW w:w="0" w:type="dxa"/>
            <w:vAlign w:val="center"/>
          </w:tcPr>
          <w:p>
            <w:pPr>
              <w:spacing w:line="240" w:lineRule="auto"/>
              <w:jc w:val="center"/>
            </w:pPr>
            <w:r>
              <w:rPr>
                <w:rFonts w:ascii="宋体" w:eastAsia="宋体" w:hAnsi="宋体" w:cs="宋体"/>
                <w:b w:val="0"/>
              </w:rPr>
              <w:t>3</w:t>
            </w:r>
          </w:p>
        </w:tc>
        <w:tc>
          <w:tcPr>
            <w:tcW w:w="0" w:type="dxa"/>
            <w:vAlign w:val="center"/>
          </w:tcPr>
          <w:p>
            <w:pPr>
              <w:spacing w:line="240" w:lineRule="auto"/>
              <w:jc w:val="left"/>
            </w:pPr>
            <w:r>
              <w:rPr>
                <w:rFonts w:ascii="宋体" w:eastAsia="宋体" w:hAnsi="宋体" w:cs="宋体"/>
                <w:b w:val="0"/>
              </w:rPr>
              <w:t>301396</w:t>
            </w:r>
          </w:p>
        </w:tc>
        <w:tc>
          <w:tcPr>
            <w:tcW w:w="0" w:type="dxa"/>
            <w:vAlign w:val="center"/>
          </w:tcPr>
          <w:p>
            <w:pPr>
              <w:spacing w:line="240" w:lineRule="auto"/>
              <w:jc w:val="left"/>
            </w:pPr>
            <w:r>
              <w:rPr>
                <w:rFonts w:ascii="宋体" w:eastAsia="宋体" w:hAnsi="宋体" w:cs="宋体"/>
                <w:b w:val="0"/>
              </w:rPr>
              <w:t>宏景科技</w:t>
            </w:r>
          </w:p>
        </w:tc>
        <w:tc>
          <w:tcPr>
            <w:tcW w:w="0" w:type="dxa"/>
            <w:vAlign w:val="center"/>
          </w:tcPr>
          <w:p>
            <w:pPr>
              <w:spacing w:line="240" w:lineRule="auto"/>
              <w:jc w:val="right"/>
            </w:pPr>
            <w:r>
              <w:rPr>
                <w:rFonts w:ascii="宋体" w:eastAsia="宋体" w:hAnsi="宋体" w:cs="宋体"/>
                <w:b w:val="0"/>
              </w:rPr>
              <w:t>243,780</w:t>
            </w:r>
          </w:p>
        </w:tc>
        <w:tc>
          <w:tcPr>
            <w:tcW w:w="0" w:type="dxa"/>
            <w:vAlign w:val="center"/>
          </w:tcPr>
          <w:p>
            <w:pPr>
              <w:spacing w:line="240" w:lineRule="auto"/>
              <w:jc w:val="right"/>
            </w:pPr>
            <w:r>
              <w:rPr>
                <w:rFonts w:ascii="宋体" w:eastAsia="宋体" w:hAnsi="宋体" w:cs="宋体"/>
                <w:b w:val="0"/>
              </w:rPr>
              <w:t>38,010,177.60</w:t>
            </w:r>
          </w:p>
        </w:tc>
        <w:tc>
          <w:tcPr>
            <w:tcW w:w="0" w:type="dxa"/>
            <w:vAlign w:val="center"/>
          </w:tcPr>
          <w:p>
            <w:pPr>
              <w:spacing w:line="240" w:lineRule="auto"/>
              <w:jc w:val="right"/>
            </w:pPr>
            <w:r>
              <w:rPr>
                <w:rFonts w:ascii="宋体" w:eastAsia="宋体" w:hAnsi="宋体" w:cs="宋体"/>
                <w:b w:val="0"/>
              </w:rPr>
              <w:t>8.12</w:t>
            </w:r>
          </w:p>
        </w:tc>
      </w:tr>
      <w:tr>
        <w:tblPrEx>
          <w:tblW w:w="5000" w:type="pct"/>
        </w:tblPrEx>
        <w:tc>
          <w:tcPr>
            <w:tcW w:w="0" w:type="dxa"/>
            <w:vAlign w:val="center"/>
          </w:tcPr>
          <w:p>
            <w:pPr>
              <w:spacing w:line="240" w:lineRule="auto"/>
              <w:jc w:val="center"/>
            </w:pPr>
            <w:r>
              <w:rPr>
                <w:rFonts w:ascii="宋体" w:eastAsia="宋体" w:hAnsi="宋体" w:cs="宋体"/>
                <w:b w:val="0"/>
              </w:rPr>
              <w:t>4</w:t>
            </w:r>
          </w:p>
        </w:tc>
        <w:tc>
          <w:tcPr>
            <w:tcW w:w="0" w:type="dxa"/>
            <w:vAlign w:val="center"/>
          </w:tcPr>
          <w:p>
            <w:pPr>
              <w:spacing w:line="240" w:lineRule="auto"/>
              <w:jc w:val="left"/>
            </w:pPr>
            <w:r>
              <w:rPr>
                <w:rFonts w:ascii="宋体" w:eastAsia="宋体" w:hAnsi="宋体" w:cs="宋体"/>
                <w:b w:val="0"/>
              </w:rPr>
              <w:t>02513</w:t>
            </w:r>
          </w:p>
        </w:tc>
        <w:tc>
          <w:tcPr>
            <w:tcW w:w="0" w:type="dxa"/>
            <w:vAlign w:val="center"/>
          </w:tcPr>
          <w:p>
            <w:pPr>
              <w:spacing w:line="240" w:lineRule="auto"/>
              <w:jc w:val="left"/>
            </w:pPr>
            <w:r>
              <w:rPr>
                <w:rFonts w:ascii="宋体" w:eastAsia="宋体" w:hAnsi="宋体" w:cs="宋体"/>
                <w:b w:val="0"/>
              </w:rPr>
              <w:t>智谱</w:t>
            </w:r>
          </w:p>
        </w:tc>
        <w:tc>
          <w:tcPr>
            <w:tcW w:w="0" w:type="dxa"/>
            <w:vAlign w:val="center"/>
          </w:tcPr>
          <w:p>
            <w:pPr>
              <w:spacing w:line="240" w:lineRule="auto"/>
              <w:jc w:val="right"/>
            </w:pPr>
            <w:r>
              <w:rPr>
                <w:rFonts w:ascii="宋体" w:eastAsia="宋体" w:hAnsi="宋体" w:cs="宋体"/>
                <w:b w:val="0"/>
              </w:rPr>
              <w:t>66,000</w:t>
            </w:r>
          </w:p>
        </w:tc>
        <w:tc>
          <w:tcPr>
            <w:tcW w:w="0" w:type="dxa"/>
            <w:vAlign w:val="center"/>
          </w:tcPr>
          <w:p>
            <w:pPr>
              <w:spacing w:line="240" w:lineRule="auto"/>
              <w:jc w:val="right"/>
            </w:pPr>
            <w:r>
              <w:rPr>
                <w:rFonts w:ascii="宋体" w:eastAsia="宋体" w:hAnsi="宋体" w:cs="宋体"/>
                <w:b w:val="0"/>
              </w:rPr>
              <w:t>36,316,316.52</w:t>
            </w:r>
          </w:p>
        </w:tc>
        <w:tc>
          <w:tcPr>
            <w:tcW w:w="0" w:type="dxa"/>
            <w:vAlign w:val="center"/>
          </w:tcPr>
          <w:p>
            <w:pPr>
              <w:spacing w:line="240" w:lineRule="auto"/>
              <w:jc w:val="right"/>
            </w:pPr>
            <w:r>
              <w:rPr>
                <w:rFonts w:ascii="宋体" w:eastAsia="宋体" w:hAnsi="宋体" w:cs="宋体"/>
                <w:b w:val="0"/>
              </w:rPr>
              <w:t>7.76</w:t>
            </w:r>
          </w:p>
        </w:tc>
      </w:tr>
      <w:tr>
        <w:tblPrEx>
          <w:tblW w:w="5000" w:type="pct"/>
        </w:tblPrEx>
        <w:tc>
          <w:tcPr>
            <w:tcW w:w="0" w:type="dxa"/>
            <w:vAlign w:val="center"/>
          </w:tcPr>
          <w:p>
            <w:pPr>
              <w:spacing w:line="240" w:lineRule="auto"/>
              <w:jc w:val="center"/>
            </w:pPr>
            <w:r>
              <w:rPr>
                <w:rFonts w:ascii="宋体" w:eastAsia="宋体" w:hAnsi="宋体" w:cs="宋体"/>
                <w:b w:val="0"/>
              </w:rPr>
              <w:t>5</w:t>
            </w:r>
          </w:p>
        </w:tc>
        <w:tc>
          <w:tcPr>
            <w:tcW w:w="0" w:type="dxa"/>
            <w:vAlign w:val="center"/>
          </w:tcPr>
          <w:p>
            <w:pPr>
              <w:spacing w:line="240" w:lineRule="auto"/>
              <w:jc w:val="left"/>
            </w:pPr>
            <w:r>
              <w:rPr>
                <w:rFonts w:ascii="宋体" w:eastAsia="宋体" w:hAnsi="宋体" w:cs="宋体"/>
                <w:b w:val="0"/>
              </w:rPr>
              <w:t>688777</w:t>
            </w:r>
          </w:p>
        </w:tc>
        <w:tc>
          <w:tcPr>
            <w:tcW w:w="0" w:type="dxa"/>
            <w:vAlign w:val="center"/>
          </w:tcPr>
          <w:p>
            <w:pPr>
              <w:spacing w:line="240" w:lineRule="auto"/>
              <w:jc w:val="left"/>
            </w:pPr>
            <w:r>
              <w:rPr>
                <w:rFonts w:ascii="宋体" w:eastAsia="宋体" w:hAnsi="宋体" w:cs="宋体"/>
                <w:b w:val="0"/>
              </w:rPr>
              <w:t>中控技术</w:t>
            </w:r>
          </w:p>
        </w:tc>
        <w:tc>
          <w:tcPr>
            <w:tcW w:w="0" w:type="dxa"/>
            <w:vAlign w:val="center"/>
          </w:tcPr>
          <w:p>
            <w:pPr>
              <w:spacing w:line="240" w:lineRule="auto"/>
              <w:jc w:val="right"/>
            </w:pPr>
            <w:r>
              <w:rPr>
                <w:rFonts w:ascii="宋体" w:eastAsia="宋体" w:hAnsi="宋体" w:cs="宋体"/>
                <w:b w:val="0"/>
              </w:rPr>
              <w:t>330,223</w:t>
            </w:r>
          </w:p>
        </w:tc>
        <w:tc>
          <w:tcPr>
            <w:tcW w:w="0" w:type="dxa"/>
            <w:vAlign w:val="center"/>
          </w:tcPr>
          <w:p>
            <w:pPr>
              <w:spacing w:line="240" w:lineRule="auto"/>
              <w:jc w:val="right"/>
            </w:pPr>
            <w:r>
              <w:rPr>
                <w:rFonts w:ascii="宋体" w:eastAsia="宋体" w:hAnsi="宋体" w:cs="宋体"/>
                <w:b w:val="0"/>
              </w:rPr>
              <w:t>26,434,351.15</w:t>
            </w:r>
          </w:p>
        </w:tc>
        <w:tc>
          <w:tcPr>
            <w:tcW w:w="0" w:type="dxa"/>
            <w:vAlign w:val="center"/>
          </w:tcPr>
          <w:p>
            <w:pPr>
              <w:spacing w:line="240" w:lineRule="auto"/>
              <w:jc w:val="right"/>
            </w:pPr>
            <w:r>
              <w:rPr>
                <w:rFonts w:ascii="宋体" w:eastAsia="宋体" w:hAnsi="宋体" w:cs="宋体"/>
                <w:b w:val="0"/>
              </w:rPr>
              <w:t>5.65</w:t>
            </w:r>
          </w:p>
        </w:tc>
      </w:tr>
      <w:tr>
        <w:tblPrEx>
          <w:tblW w:w="5000" w:type="pct"/>
        </w:tblPrEx>
        <w:tc>
          <w:tcPr>
            <w:tcW w:w="0" w:type="dxa"/>
            <w:vAlign w:val="center"/>
          </w:tcPr>
          <w:p>
            <w:pPr>
              <w:spacing w:line="240" w:lineRule="auto"/>
              <w:jc w:val="center"/>
            </w:pPr>
            <w:r>
              <w:rPr>
                <w:rFonts w:ascii="宋体" w:eastAsia="宋体" w:hAnsi="宋体" w:cs="宋体"/>
                <w:b w:val="0"/>
              </w:rPr>
              <w:t>6</w:t>
            </w:r>
          </w:p>
        </w:tc>
        <w:tc>
          <w:tcPr>
            <w:tcW w:w="0" w:type="dxa"/>
            <w:vAlign w:val="center"/>
          </w:tcPr>
          <w:p>
            <w:pPr>
              <w:spacing w:line="240" w:lineRule="auto"/>
              <w:jc w:val="left"/>
            </w:pPr>
            <w:r>
              <w:rPr>
                <w:rFonts w:ascii="宋体" w:eastAsia="宋体" w:hAnsi="宋体" w:cs="宋体"/>
                <w:b w:val="0"/>
              </w:rPr>
              <w:t>300017</w:t>
            </w:r>
          </w:p>
        </w:tc>
        <w:tc>
          <w:tcPr>
            <w:tcW w:w="0" w:type="dxa"/>
            <w:vAlign w:val="center"/>
          </w:tcPr>
          <w:p>
            <w:pPr>
              <w:spacing w:line="240" w:lineRule="auto"/>
              <w:jc w:val="left"/>
            </w:pPr>
            <w:r>
              <w:rPr>
                <w:rFonts w:ascii="宋体" w:eastAsia="宋体" w:hAnsi="宋体" w:cs="宋体"/>
                <w:b w:val="0"/>
              </w:rPr>
              <w:t>网宿科技</w:t>
            </w:r>
          </w:p>
        </w:tc>
        <w:tc>
          <w:tcPr>
            <w:tcW w:w="0" w:type="dxa"/>
            <w:vAlign w:val="center"/>
          </w:tcPr>
          <w:p>
            <w:pPr>
              <w:spacing w:line="240" w:lineRule="auto"/>
              <w:jc w:val="right"/>
            </w:pPr>
            <w:r>
              <w:rPr>
                <w:rFonts w:ascii="宋体" w:eastAsia="宋体" w:hAnsi="宋体" w:cs="宋体"/>
                <w:b w:val="0"/>
              </w:rPr>
              <w:t>1,296,150</w:t>
            </w:r>
          </w:p>
        </w:tc>
        <w:tc>
          <w:tcPr>
            <w:tcW w:w="0" w:type="dxa"/>
            <w:vAlign w:val="center"/>
          </w:tcPr>
          <w:p>
            <w:pPr>
              <w:spacing w:line="240" w:lineRule="auto"/>
              <w:jc w:val="right"/>
            </w:pPr>
            <w:r>
              <w:rPr>
                <w:rFonts w:ascii="宋体" w:eastAsia="宋体" w:hAnsi="宋体" w:cs="宋体"/>
                <w:b w:val="0"/>
              </w:rPr>
              <w:t>19,312,635.00</w:t>
            </w:r>
          </w:p>
        </w:tc>
        <w:tc>
          <w:tcPr>
            <w:tcW w:w="0" w:type="dxa"/>
            <w:vAlign w:val="center"/>
          </w:tcPr>
          <w:p>
            <w:pPr>
              <w:spacing w:line="240" w:lineRule="auto"/>
              <w:jc w:val="right"/>
            </w:pPr>
            <w:r>
              <w:rPr>
                <w:rFonts w:ascii="宋体" w:eastAsia="宋体" w:hAnsi="宋体" w:cs="宋体"/>
                <w:b w:val="0"/>
              </w:rPr>
              <w:t>4.12</w:t>
            </w:r>
          </w:p>
        </w:tc>
      </w:tr>
      <w:tr>
        <w:tblPrEx>
          <w:tblW w:w="5000" w:type="pct"/>
        </w:tblPrEx>
        <w:tc>
          <w:tcPr>
            <w:tcW w:w="0" w:type="dxa"/>
            <w:vAlign w:val="center"/>
          </w:tcPr>
          <w:p>
            <w:pPr>
              <w:spacing w:line="240" w:lineRule="auto"/>
              <w:jc w:val="center"/>
            </w:pPr>
            <w:r>
              <w:rPr>
                <w:rFonts w:ascii="宋体" w:eastAsia="宋体" w:hAnsi="宋体" w:cs="宋体"/>
                <w:b w:val="0"/>
              </w:rPr>
              <w:t>7</w:t>
            </w:r>
          </w:p>
        </w:tc>
        <w:tc>
          <w:tcPr>
            <w:tcW w:w="0" w:type="dxa"/>
            <w:vAlign w:val="center"/>
          </w:tcPr>
          <w:p>
            <w:pPr>
              <w:spacing w:line="240" w:lineRule="auto"/>
              <w:jc w:val="left"/>
            </w:pPr>
            <w:r>
              <w:rPr>
                <w:rFonts w:ascii="宋体" w:eastAsia="宋体" w:hAnsi="宋体" w:cs="宋体"/>
                <w:b w:val="0"/>
              </w:rPr>
              <w:t>300442</w:t>
            </w:r>
          </w:p>
        </w:tc>
        <w:tc>
          <w:tcPr>
            <w:tcW w:w="0" w:type="dxa"/>
            <w:vAlign w:val="center"/>
          </w:tcPr>
          <w:p>
            <w:pPr>
              <w:spacing w:line="240" w:lineRule="auto"/>
              <w:jc w:val="left"/>
            </w:pPr>
            <w:r>
              <w:rPr>
                <w:rFonts w:ascii="宋体" w:eastAsia="宋体" w:hAnsi="宋体" w:cs="宋体"/>
                <w:b w:val="0"/>
              </w:rPr>
              <w:t>润泽科技</w:t>
            </w:r>
          </w:p>
        </w:tc>
        <w:tc>
          <w:tcPr>
            <w:tcW w:w="0" w:type="dxa"/>
            <w:vAlign w:val="center"/>
          </w:tcPr>
          <w:p>
            <w:pPr>
              <w:spacing w:line="240" w:lineRule="auto"/>
              <w:jc w:val="right"/>
            </w:pPr>
            <w:r>
              <w:rPr>
                <w:rFonts w:ascii="宋体" w:eastAsia="宋体" w:hAnsi="宋体" w:cs="宋体"/>
                <w:b w:val="0"/>
              </w:rPr>
              <w:t>301,000</w:t>
            </w:r>
          </w:p>
        </w:tc>
        <w:tc>
          <w:tcPr>
            <w:tcW w:w="0" w:type="dxa"/>
            <w:vAlign w:val="center"/>
          </w:tcPr>
          <w:p>
            <w:pPr>
              <w:spacing w:line="240" w:lineRule="auto"/>
              <w:jc w:val="right"/>
            </w:pPr>
            <w:r>
              <w:rPr>
                <w:rFonts w:ascii="宋体" w:eastAsia="宋体" w:hAnsi="宋体" w:cs="宋体"/>
                <w:b w:val="0"/>
              </w:rPr>
              <w:t>19,270,020.00</w:t>
            </w:r>
          </w:p>
        </w:tc>
        <w:tc>
          <w:tcPr>
            <w:tcW w:w="0" w:type="dxa"/>
            <w:vAlign w:val="center"/>
          </w:tcPr>
          <w:p>
            <w:pPr>
              <w:spacing w:line="240" w:lineRule="auto"/>
              <w:jc w:val="right"/>
            </w:pPr>
            <w:r>
              <w:rPr>
                <w:rFonts w:ascii="宋体" w:eastAsia="宋体" w:hAnsi="宋体" w:cs="宋体"/>
                <w:b w:val="0"/>
              </w:rPr>
              <w:t>4.12</w:t>
            </w:r>
          </w:p>
        </w:tc>
      </w:tr>
      <w:tr>
        <w:tblPrEx>
          <w:tblW w:w="5000" w:type="pct"/>
        </w:tblPrEx>
        <w:tc>
          <w:tcPr>
            <w:tcW w:w="0" w:type="dxa"/>
            <w:vAlign w:val="center"/>
          </w:tcPr>
          <w:p>
            <w:pPr>
              <w:spacing w:line="240" w:lineRule="auto"/>
              <w:jc w:val="center"/>
            </w:pPr>
            <w:r>
              <w:rPr>
                <w:rFonts w:ascii="宋体" w:eastAsia="宋体" w:hAnsi="宋体" w:cs="宋体"/>
                <w:b w:val="0"/>
              </w:rPr>
              <w:t>8</w:t>
            </w:r>
          </w:p>
        </w:tc>
        <w:tc>
          <w:tcPr>
            <w:tcW w:w="0" w:type="dxa"/>
            <w:vAlign w:val="center"/>
          </w:tcPr>
          <w:p>
            <w:pPr>
              <w:spacing w:line="240" w:lineRule="auto"/>
              <w:jc w:val="left"/>
            </w:pPr>
            <w:r>
              <w:rPr>
                <w:rFonts w:ascii="宋体" w:eastAsia="宋体" w:hAnsi="宋体" w:cs="宋体"/>
                <w:b w:val="0"/>
              </w:rPr>
              <w:t>600673</w:t>
            </w:r>
          </w:p>
        </w:tc>
        <w:tc>
          <w:tcPr>
            <w:tcW w:w="0" w:type="dxa"/>
            <w:vAlign w:val="center"/>
          </w:tcPr>
          <w:p>
            <w:pPr>
              <w:spacing w:line="240" w:lineRule="auto"/>
              <w:jc w:val="left"/>
            </w:pPr>
            <w:r>
              <w:rPr>
                <w:rFonts w:ascii="宋体" w:eastAsia="宋体" w:hAnsi="宋体" w:cs="宋体"/>
                <w:b w:val="0"/>
              </w:rPr>
              <w:t>东阳光</w:t>
            </w:r>
          </w:p>
        </w:tc>
        <w:tc>
          <w:tcPr>
            <w:tcW w:w="0" w:type="dxa"/>
            <w:vAlign w:val="center"/>
          </w:tcPr>
          <w:p>
            <w:pPr>
              <w:spacing w:line="240" w:lineRule="auto"/>
              <w:jc w:val="right"/>
            </w:pPr>
            <w:r>
              <w:rPr>
                <w:rFonts w:ascii="宋体" w:eastAsia="宋体" w:hAnsi="宋体" w:cs="宋体"/>
                <w:b w:val="0"/>
              </w:rPr>
              <w:t>631,200</w:t>
            </w:r>
          </w:p>
        </w:tc>
        <w:tc>
          <w:tcPr>
            <w:tcW w:w="0" w:type="dxa"/>
            <w:vAlign w:val="center"/>
          </w:tcPr>
          <w:p>
            <w:pPr>
              <w:spacing w:line="240" w:lineRule="auto"/>
              <w:jc w:val="right"/>
            </w:pPr>
            <w:r>
              <w:rPr>
                <w:rFonts w:ascii="宋体" w:eastAsia="宋体" w:hAnsi="宋体" w:cs="宋体"/>
                <w:b w:val="0"/>
              </w:rPr>
              <w:t>19,169,544.00</w:t>
            </w:r>
          </w:p>
        </w:tc>
        <w:tc>
          <w:tcPr>
            <w:tcW w:w="0" w:type="dxa"/>
            <w:vAlign w:val="center"/>
          </w:tcPr>
          <w:p>
            <w:pPr>
              <w:spacing w:line="240" w:lineRule="auto"/>
              <w:jc w:val="right"/>
            </w:pPr>
            <w:r>
              <w:rPr>
                <w:rFonts w:ascii="宋体" w:eastAsia="宋体" w:hAnsi="宋体" w:cs="宋体"/>
                <w:b w:val="0"/>
              </w:rPr>
              <w:t>4.09</w:t>
            </w:r>
          </w:p>
        </w:tc>
      </w:tr>
      <w:tr>
        <w:tblPrEx>
          <w:tblW w:w="5000" w:type="pct"/>
        </w:tblPrEx>
        <w:tc>
          <w:tcPr>
            <w:tcW w:w="0" w:type="dxa"/>
            <w:vAlign w:val="center"/>
          </w:tcPr>
          <w:p>
            <w:pPr>
              <w:spacing w:line="240" w:lineRule="auto"/>
              <w:jc w:val="center"/>
            </w:pPr>
            <w:r>
              <w:rPr>
                <w:rFonts w:ascii="宋体" w:eastAsia="宋体" w:hAnsi="宋体" w:cs="宋体"/>
                <w:b w:val="0"/>
              </w:rPr>
              <w:t>9</w:t>
            </w:r>
          </w:p>
        </w:tc>
        <w:tc>
          <w:tcPr>
            <w:tcW w:w="0" w:type="dxa"/>
            <w:vAlign w:val="center"/>
          </w:tcPr>
          <w:p>
            <w:pPr>
              <w:spacing w:line="240" w:lineRule="auto"/>
              <w:jc w:val="left"/>
            </w:pPr>
            <w:r>
              <w:rPr>
                <w:rFonts w:ascii="宋体" w:eastAsia="宋体" w:hAnsi="宋体" w:cs="宋体"/>
                <w:b w:val="0"/>
              </w:rPr>
              <w:t>300738</w:t>
            </w:r>
          </w:p>
        </w:tc>
        <w:tc>
          <w:tcPr>
            <w:tcW w:w="0" w:type="dxa"/>
            <w:vAlign w:val="center"/>
          </w:tcPr>
          <w:p>
            <w:pPr>
              <w:spacing w:line="240" w:lineRule="auto"/>
              <w:jc w:val="left"/>
            </w:pPr>
            <w:r>
              <w:rPr>
                <w:rFonts w:ascii="宋体" w:eastAsia="宋体" w:hAnsi="宋体" w:cs="宋体"/>
                <w:b w:val="0"/>
              </w:rPr>
              <w:t>奥飞数据</w:t>
            </w:r>
          </w:p>
        </w:tc>
        <w:tc>
          <w:tcPr>
            <w:tcW w:w="0" w:type="dxa"/>
            <w:vAlign w:val="center"/>
          </w:tcPr>
          <w:p>
            <w:pPr>
              <w:spacing w:line="240" w:lineRule="auto"/>
              <w:jc w:val="right"/>
            </w:pPr>
            <w:r>
              <w:rPr>
                <w:rFonts w:ascii="宋体" w:eastAsia="宋体" w:hAnsi="宋体" w:cs="宋体"/>
                <w:b w:val="0"/>
              </w:rPr>
              <w:t>1,027,000</w:t>
            </w:r>
          </w:p>
        </w:tc>
        <w:tc>
          <w:tcPr>
            <w:tcW w:w="0" w:type="dxa"/>
            <w:vAlign w:val="center"/>
          </w:tcPr>
          <w:p>
            <w:pPr>
              <w:spacing w:line="240" w:lineRule="auto"/>
              <w:jc w:val="right"/>
            </w:pPr>
            <w:r>
              <w:rPr>
                <w:rFonts w:ascii="宋体" w:eastAsia="宋体" w:hAnsi="宋体" w:cs="宋体"/>
                <w:b w:val="0"/>
              </w:rPr>
              <w:t>18,999,500.00</w:t>
            </w:r>
          </w:p>
        </w:tc>
        <w:tc>
          <w:tcPr>
            <w:tcW w:w="0" w:type="dxa"/>
            <w:vAlign w:val="center"/>
          </w:tcPr>
          <w:p>
            <w:pPr>
              <w:spacing w:line="240" w:lineRule="auto"/>
              <w:jc w:val="right"/>
            </w:pPr>
            <w:r>
              <w:rPr>
                <w:rFonts w:ascii="宋体" w:eastAsia="宋体" w:hAnsi="宋体" w:cs="宋体"/>
                <w:b w:val="0"/>
              </w:rPr>
              <w:t>4.06</w:t>
            </w:r>
          </w:p>
        </w:tc>
      </w:tr>
      <w:tr>
        <w:tblPrEx>
          <w:tblW w:w="5000" w:type="pct"/>
        </w:tblPrEx>
        <w:tc>
          <w:tcPr>
            <w:tcW w:w="0" w:type="dxa"/>
            <w:vAlign w:val="center"/>
          </w:tcPr>
          <w:p>
            <w:pPr>
              <w:spacing w:line="240" w:lineRule="auto"/>
              <w:jc w:val="center"/>
            </w:pPr>
            <w:r>
              <w:rPr>
                <w:rFonts w:ascii="宋体" w:eastAsia="宋体" w:hAnsi="宋体" w:cs="宋体"/>
                <w:b w:val="0"/>
              </w:rPr>
              <w:t>10</w:t>
            </w:r>
          </w:p>
        </w:tc>
        <w:tc>
          <w:tcPr>
            <w:tcW w:w="0" w:type="dxa"/>
            <w:vAlign w:val="center"/>
          </w:tcPr>
          <w:p>
            <w:pPr>
              <w:spacing w:line="240" w:lineRule="auto"/>
              <w:jc w:val="left"/>
            </w:pPr>
            <w:r>
              <w:rPr>
                <w:rFonts w:ascii="宋体" w:eastAsia="宋体" w:hAnsi="宋体" w:cs="宋体"/>
                <w:b w:val="0"/>
              </w:rPr>
              <w:t>603629</w:t>
            </w:r>
          </w:p>
        </w:tc>
        <w:tc>
          <w:tcPr>
            <w:tcW w:w="0" w:type="dxa"/>
            <w:vAlign w:val="center"/>
          </w:tcPr>
          <w:p>
            <w:pPr>
              <w:spacing w:line="240" w:lineRule="auto"/>
              <w:jc w:val="left"/>
            </w:pPr>
            <w:r>
              <w:rPr>
                <w:rFonts w:ascii="宋体" w:eastAsia="宋体" w:hAnsi="宋体" w:cs="宋体"/>
                <w:b w:val="0"/>
              </w:rPr>
              <w:t>利通电子</w:t>
            </w:r>
          </w:p>
        </w:tc>
        <w:tc>
          <w:tcPr>
            <w:tcW w:w="0" w:type="dxa"/>
            <w:vAlign w:val="center"/>
          </w:tcPr>
          <w:p>
            <w:pPr>
              <w:spacing w:line="240" w:lineRule="auto"/>
              <w:jc w:val="right"/>
            </w:pPr>
            <w:r>
              <w:rPr>
                <w:rFonts w:ascii="宋体" w:eastAsia="宋体" w:hAnsi="宋体" w:cs="宋体"/>
                <w:b w:val="0"/>
              </w:rPr>
              <w:t>196,240</w:t>
            </w:r>
          </w:p>
        </w:tc>
        <w:tc>
          <w:tcPr>
            <w:tcW w:w="0" w:type="dxa"/>
            <w:vAlign w:val="center"/>
          </w:tcPr>
          <w:p>
            <w:pPr>
              <w:spacing w:line="240" w:lineRule="auto"/>
              <w:jc w:val="right"/>
            </w:pPr>
            <w:r>
              <w:rPr>
                <w:rFonts w:ascii="宋体" w:eastAsia="宋体" w:hAnsi="宋体" w:cs="宋体"/>
                <w:b w:val="0"/>
              </w:rPr>
              <w:t>18,831,190.40</w:t>
            </w:r>
          </w:p>
        </w:tc>
        <w:tc>
          <w:tcPr>
            <w:tcW w:w="0" w:type="dxa"/>
            <w:vAlign w:val="center"/>
          </w:tcPr>
          <w:p>
            <w:pPr>
              <w:spacing w:line="240" w:lineRule="auto"/>
              <w:jc w:val="right"/>
            </w:pPr>
            <w:r>
              <w:rPr>
                <w:rFonts w:ascii="宋体" w:eastAsia="宋体" w:hAnsi="宋体" w:cs="宋体"/>
                <w:b w:val="0"/>
              </w:rPr>
              <w:t>4.02</w:t>
            </w:r>
          </w:p>
        </w:tc>
      </w:tr>
    </w:tbl>
    <w:p/>
    <w:p>
      <w:pPr>
        <w:pStyle w:val="Heading2"/>
        <w:jc w:val="left"/>
      </w:pPr>
      <w:r>
        <w:rPr>
          <w:rFonts w:ascii="宋体" w:eastAsia="宋体" w:hAnsi="宋体" w:cs="宋体"/>
        </w:rPr>
        <w:t>5.4 报告期末按债券品种分类的债券投资组合</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Grid>
        <w:gridCol w:w="2266"/>
        <w:gridCol w:w="2266"/>
        <w:gridCol w:w="2266"/>
        <w:gridCol w:w="2266"/>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15" w:type="pct"/>
            <w:shd w:val="clear" w:color="auto" w:fill="D9D9D9"/>
            <w:vAlign w:val="center"/>
          </w:tcPr>
          <w:p>
            <w:pPr>
              <w:spacing w:line="240" w:lineRule="auto"/>
              <w:jc w:val="center"/>
            </w:pPr>
            <w:r>
              <w:rPr>
                <w:rFonts w:ascii="宋体" w:eastAsia="宋体" w:hAnsi="宋体" w:cs="宋体"/>
                <w:b w:val="0"/>
              </w:rPr>
              <w:t>序号</w:t>
            </w:r>
          </w:p>
        </w:tc>
        <w:tc>
          <w:tcPr>
            <w:tcW w:w="1538" w:type="pct"/>
            <w:shd w:val="clear" w:color="auto" w:fill="D9D9D9"/>
            <w:vAlign w:val="center"/>
          </w:tcPr>
          <w:p>
            <w:pPr>
              <w:spacing w:line="240" w:lineRule="auto"/>
              <w:jc w:val="center"/>
            </w:pPr>
            <w:r>
              <w:rPr>
                <w:rFonts w:ascii="宋体" w:eastAsia="宋体" w:hAnsi="宋体" w:cs="宋体"/>
                <w:b w:val="0"/>
              </w:rPr>
              <w:t>债券品种</w:t>
            </w:r>
          </w:p>
        </w:tc>
        <w:tc>
          <w:tcPr>
            <w:tcW w:w="769" w:type="pct"/>
            <w:shd w:val="clear" w:color="auto" w:fill="D9D9D9"/>
            <w:vAlign w:val="center"/>
          </w:tcPr>
          <w:p>
            <w:pPr>
              <w:spacing w:line="240" w:lineRule="auto"/>
              <w:jc w:val="center"/>
            </w:pPr>
            <w:r>
              <w:rPr>
                <w:rFonts w:ascii="宋体" w:eastAsia="宋体" w:hAnsi="宋体" w:cs="宋体"/>
                <w:b w:val="0"/>
              </w:rPr>
              <w:t>公允价值(元)</w:t>
            </w:r>
          </w:p>
        </w:tc>
        <w:tc>
          <w:tcPr>
            <w:tcW w:w="1077" w:type="pct"/>
            <w:shd w:val="clear" w:color="auto" w:fill="D9D9D9"/>
            <w:vAlign w:val="center"/>
          </w:tcPr>
          <w:p>
            <w:pPr>
              <w:spacing w:line="240" w:lineRule="auto"/>
              <w:jc w:val="center"/>
            </w:pPr>
            <w:r>
              <w:rPr>
                <w:rFonts w:ascii="宋体" w:eastAsia="宋体" w:hAnsi="宋体" w:cs="宋体"/>
                <w:b w:val="0"/>
              </w:rPr>
              <w:t>占基金资产净值比例(％)</w:t>
            </w:r>
          </w:p>
        </w:tc>
      </w:tr>
      <w:tr>
        <w:tblPrEx>
          <w:tblW w:w="5000" w:type="pct"/>
        </w:tblPrEx>
        <w:tc>
          <w:tcPr>
            <w:tcW w:w="0" w:type="dxa"/>
            <w:vAlign w:val="center"/>
          </w:tcPr>
          <w:p>
            <w:pPr>
              <w:spacing w:line="240" w:lineRule="auto"/>
              <w:jc w:val="center"/>
            </w:pPr>
            <w:r>
              <w:rPr>
                <w:rFonts w:ascii="宋体" w:eastAsia="宋体" w:hAnsi="宋体" w:cs="宋体"/>
                <w:b w:val="0"/>
              </w:rPr>
              <w:t>1</w:t>
            </w:r>
          </w:p>
        </w:tc>
        <w:tc>
          <w:tcPr>
            <w:tcW w:w="0" w:type="dxa"/>
            <w:vAlign w:val="center"/>
          </w:tcPr>
          <w:p>
            <w:pPr>
              <w:spacing w:line="240" w:lineRule="auto"/>
              <w:jc w:val="left"/>
            </w:pPr>
            <w:r>
              <w:rPr>
                <w:rFonts w:ascii="宋体" w:eastAsia="宋体" w:hAnsi="宋体" w:cs="宋体"/>
                <w:b w:val="0"/>
              </w:rPr>
              <w:t>国家债券</w:t>
            </w:r>
          </w:p>
        </w:tc>
        <w:tc>
          <w:tcPr>
            <w:tcW w:w="0" w:type="dxa"/>
            <w:vAlign w:val="center"/>
          </w:tcPr>
          <w:p>
            <w:pPr>
              <w:spacing w:line="240" w:lineRule="auto"/>
              <w:jc w:val="right"/>
            </w:pPr>
            <w:r>
              <w:rPr>
                <w:rFonts w:ascii="宋体" w:eastAsia="宋体" w:hAnsi="宋体" w:cs="宋体"/>
                <w:b w:val="0"/>
              </w:rPr>
              <w:t>48,903,353.20</w:t>
            </w:r>
          </w:p>
        </w:tc>
        <w:tc>
          <w:tcPr>
            <w:tcW w:w="0" w:type="dxa"/>
            <w:vAlign w:val="center"/>
          </w:tcPr>
          <w:p>
            <w:pPr>
              <w:spacing w:line="240" w:lineRule="auto"/>
              <w:jc w:val="right"/>
            </w:pPr>
            <w:r>
              <w:rPr>
                <w:rFonts w:ascii="宋体" w:eastAsia="宋体" w:hAnsi="宋体" w:cs="宋体"/>
                <w:b w:val="0"/>
              </w:rPr>
              <w:t>10.44</w:t>
            </w:r>
          </w:p>
        </w:tc>
      </w:tr>
      <w:tr>
        <w:tblPrEx>
          <w:tblW w:w="5000" w:type="pct"/>
        </w:tblPrEx>
        <w:tc>
          <w:tcPr>
            <w:tcW w:w="0" w:type="dxa"/>
            <w:vAlign w:val="center"/>
          </w:tcPr>
          <w:p>
            <w:pPr>
              <w:spacing w:line="240" w:lineRule="auto"/>
              <w:jc w:val="center"/>
            </w:pPr>
            <w:r>
              <w:rPr>
                <w:rFonts w:ascii="宋体" w:eastAsia="宋体" w:hAnsi="宋体" w:cs="宋体"/>
                <w:b w:val="0"/>
              </w:rPr>
              <w:t>2</w:t>
            </w:r>
          </w:p>
        </w:tc>
        <w:tc>
          <w:tcPr>
            <w:tcW w:w="0" w:type="dxa"/>
            <w:vAlign w:val="center"/>
          </w:tcPr>
          <w:p>
            <w:pPr>
              <w:spacing w:line="240" w:lineRule="auto"/>
              <w:jc w:val="left"/>
            </w:pPr>
            <w:r>
              <w:rPr>
                <w:rFonts w:ascii="宋体" w:eastAsia="宋体" w:hAnsi="宋体" w:cs="宋体"/>
                <w:b w:val="0"/>
              </w:rPr>
              <w:t>央行票据</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3</w:t>
            </w:r>
          </w:p>
        </w:tc>
        <w:tc>
          <w:tcPr>
            <w:tcW w:w="0" w:type="dxa"/>
            <w:vAlign w:val="center"/>
          </w:tcPr>
          <w:p>
            <w:pPr>
              <w:spacing w:line="240" w:lineRule="auto"/>
              <w:jc w:val="left"/>
            </w:pPr>
            <w:r>
              <w:rPr>
                <w:rFonts w:ascii="宋体" w:eastAsia="宋体" w:hAnsi="宋体" w:cs="宋体"/>
                <w:b w:val="0"/>
              </w:rPr>
              <w:t>金融债券</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p>
        </w:tc>
        <w:tc>
          <w:tcPr>
            <w:tcW w:w="0" w:type="dxa"/>
            <w:vAlign w:val="center"/>
          </w:tcPr>
          <w:p>
            <w:pPr>
              <w:spacing w:line="240" w:lineRule="auto"/>
              <w:jc w:val="left"/>
            </w:pPr>
            <w:r>
              <w:rPr>
                <w:rFonts w:ascii="宋体" w:eastAsia="宋体" w:hAnsi="宋体" w:cs="宋体"/>
                <w:b w:val="0"/>
              </w:rPr>
              <w:t>其中：政策性金融债</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4</w:t>
            </w:r>
          </w:p>
        </w:tc>
        <w:tc>
          <w:tcPr>
            <w:tcW w:w="0" w:type="dxa"/>
            <w:vAlign w:val="center"/>
          </w:tcPr>
          <w:p>
            <w:pPr>
              <w:spacing w:line="240" w:lineRule="auto"/>
              <w:jc w:val="left"/>
            </w:pPr>
            <w:r>
              <w:rPr>
                <w:rFonts w:ascii="宋体" w:eastAsia="宋体" w:hAnsi="宋体" w:cs="宋体"/>
                <w:b w:val="0"/>
              </w:rPr>
              <w:t>企业债券</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5</w:t>
            </w:r>
          </w:p>
        </w:tc>
        <w:tc>
          <w:tcPr>
            <w:tcW w:w="0" w:type="dxa"/>
            <w:vAlign w:val="center"/>
          </w:tcPr>
          <w:p>
            <w:pPr>
              <w:spacing w:line="240" w:lineRule="auto"/>
              <w:jc w:val="left"/>
            </w:pPr>
            <w:r>
              <w:rPr>
                <w:rFonts w:ascii="宋体" w:eastAsia="宋体" w:hAnsi="宋体" w:cs="宋体"/>
                <w:b w:val="0"/>
              </w:rPr>
              <w:t>企业短期融资券</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6</w:t>
            </w:r>
          </w:p>
        </w:tc>
        <w:tc>
          <w:tcPr>
            <w:tcW w:w="0" w:type="dxa"/>
            <w:vAlign w:val="center"/>
          </w:tcPr>
          <w:p>
            <w:pPr>
              <w:spacing w:line="240" w:lineRule="auto"/>
              <w:jc w:val="left"/>
            </w:pPr>
            <w:r>
              <w:rPr>
                <w:rFonts w:ascii="宋体" w:eastAsia="宋体" w:hAnsi="宋体" w:cs="宋体"/>
                <w:b w:val="0"/>
              </w:rPr>
              <w:t>中期票据</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7</w:t>
            </w:r>
          </w:p>
        </w:tc>
        <w:tc>
          <w:tcPr>
            <w:tcW w:w="0" w:type="dxa"/>
            <w:vAlign w:val="center"/>
          </w:tcPr>
          <w:p>
            <w:pPr>
              <w:spacing w:line="240" w:lineRule="auto"/>
              <w:jc w:val="left"/>
            </w:pPr>
            <w:r>
              <w:rPr>
                <w:rFonts w:ascii="宋体" w:eastAsia="宋体" w:hAnsi="宋体" w:cs="宋体"/>
                <w:b w:val="0"/>
              </w:rPr>
              <w:t>可转债（可交换债）</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8</w:t>
            </w:r>
          </w:p>
        </w:tc>
        <w:tc>
          <w:tcPr>
            <w:tcW w:w="0" w:type="dxa"/>
            <w:vAlign w:val="center"/>
          </w:tcPr>
          <w:p>
            <w:pPr>
              <w:spacing w:line="240" w:lineRule="auto"/>
              <w:jc w:val="left"/>
            </w:pPr>
            <w:r>
              <w:rPr>
                <w:rFonts w:ascii="宋体" w:eastAsia="宋体" w:hAnsi="宋体" w:cs="宋体"/>
                <w:b w:val="0"/>
              </w:rPr>
              <w:t>同业存单</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9</w:t>
            </w:r>
          </w:p>
        </w:tc>
        <w:tc>
          <w:tcPr>
            <w:tcW w:w="0" w:type="dxa"/>
            <w:vAlign w:val="center"/>
          </w:tcPr>
          <w:p>
            <w:pPr>
              <w:spacing w:line="240" w:lineRule="auto"/>
              <w:jc w:val="left"/>
            </w:pPr>
            <w:r>
              <w:rPr>
                <w:rFonts w:ascii="宋体" w:eastAsia="宋体" w:hAnsi="宋体" w:cs="宋体"/>
                <w:b w:val="0"/>
              </w:rPr>
              <w:t>其他</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10</w:t>
            </w:r>
          </w:p>
        </w:tc>
        <w:tc>
          <w:tcPr>
            <w:tcW w:w="0" w:type="dxa"/>
            <w:vAlign w:val="center"/>
          </w:tcPr>
          <w:p>
            <w:pPr>
              <w:spacing w:line="240" w:lineRule="auto"/>
              <w:jc w:val="left"/>
            </w:pPr>
            <w:r>
              <w:rPr>
                <w:rFonts w:ascii="宋体" w:eastAsia="宋体" w:hAnsi="宋体" w:cs="宋体"/>
                <w:b w:val="0"/>
              </w:rPr>
              <w:t>合计</w:t>
            </w:r>
          </w:p>
        </w:tc>
        <w:tc>
          <w:tcPr>
            <w:tcW w:w="0" w:type="dxa"/>
            <w:vAlign w:val="center"/>
          </w:tcPr>
          <w:p>
            <w:pPr>
              <w:spacing w:line="240" w:lineRule="auto"/>
              <w:jc w:val="right"/>
            </w:pPr>
            <w:r>
              <w:rPr>
                <w:rFonts w:ascii="宋体" w:eastAsia="宋体" w:hAnsi="宋体" w:cs="宋体"/>
                <w:b w:val="0"/>
              </w:rPr>
              <w:t>48,903,353.20</w:t>
            </w:r>
          </w:p>
        </w:tc>
        <w:tc>
          <w:tcPr>
            <w:tcW w:w="0" w:type="dxa"/>
            <w:vAlign w:val="center"/>
          </w:tcPr>
          <w:p>
            <w:pPr>
              <w:spacing w:line="240" w:lineRule="auto"/>
              <w:jc w:val="right"/>
            </w:pPr>
            <w:r>
              <w:rPr>
                <w:rFonts w:ascii="宋体" w:eastAsia="宋体" w:hAnsi="宋体" w:cs="宋体"/>
                <w:b w:val="0"/>
              </w:rPr>
              <w:t>10.44</w:t>
            </w:r>
          </w:p>
        </w:tc>
      </w:tr>
    </w:tbl>
    <w:p/>
    <w:p>
      <w:pPr>
        <w:pStyle w:val="Heading2"/>
        <w:jc w:val="left"/>
      </w:pPr>
      <w:r>
        <w:rPr>
          <w:rFonts w:ascii="宋体" w:eastAsia="宋体" w:hAnsi="宋体" w:cs="宋体"/>
        </w:rPr>
        <w:t>5.5 报告期末按公允价值占基金资产净值比例大小排序的前五名债券投资明细</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Grid>
        <w:gridCol w:w="1510"/>
        <w:gridCol w:w="1510"/>
        <w:gridCol w:w="1510"/>
        <w:gridCol w:w="1510"/>
        <w:gridCol w:w="1510"/>
        <w:gridCol w:w="1510"/>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15" w:type="pct"/>
            <w:shd w:val="clear" w:color="auto" w:fill="D9D9D9"/>
            <w:vAlign w:val="center"/>
          </w:tcPr>
          <w:p>
            <w:pPr>
              <w:spacing w:line="240" w:lineRule="auto"/>
              <w:jc w:val="center"/>
            </w:pPr>
            <w:r>
              <w:rPr>
                <w:rFonts w:ascii="宋体" w:eastAsia="宋体" w:hAnsi="宋体" w:cs="宋体"/>
                <w:b w:val="0"/>
              </w:rPr>
              <w:t>序号</w:t>
            </w:r>
          </w:p>
        </w:tc>
        <w:tc>
          <w:tcPr>
            <w:tcW w:w="769" w:type="pct"/>
            <w:shd w:val="clear" w:color="auto" w:fill="D9D9D9"/>
            <w:vAlign w:val="center"/>
          </w:tcPr>
          <w:p>
            <w:pPr>
              <w:spacing w:line="240" w:lineRule="auto"/>
              <w:jc w:val="center"/>
            </w:pPr>
            <w:r>
              <w:rPr>
                <w:rFonts w:ascii="宋体" w:eastAsia="宋体" w:hAnsi="宋体" w:cs="宋体"/>
                <w:b w:val="0"/>
              </w:rPr>
              <w:t>债券代码</w:t>
            </w:r>
          </w:p>
        </w:tc>
        <w:tc>
          <w:tcPr>
            <w:tcW w:w="769" w:type="pct"/>
            <w:shd w:val="clear" w:color="auto" w:fill="D9D9D9"/>
            <w:vAlign w:val="center"/>
          </w:tcPr>
          <w:p>
            <w:pPr>
              <w:spacing w:line="240" w:lineRule="auto"/>
              <w:jc w:val="center"/>
            </w:pPr>
            <w:r>
              <w:rPr>
                <w:rFonts w:ascii="宋体" w:eastAsia="宋体" w:hAnsi="宋体" w:cs="宋体"/>
                <w:b w:val="0"/>
              </w:rPr>
              <w:t>债券名称</w:t>
            </w:r>
          </w:p>
        </w:tc>
        <w:tc>
          <w:tcPr>
            <w:tcW w:w="615" w:type="pct"/>
            <w:shd w:val="clear" w:color="auto" w:fill="D9D9D9"/>
            <w:vAlign w:val="center"/>
          </w:tcPr>
          <w:p>
            <w:pPr>
              <w:spacing w:line="240" w:lineRule="auto"/>
              <w:jc w:val="center"/>
            </w:pPr>
            <w:r>
              <w:rPr>
                <w:rFonts w:ascii="宋体" w:eastAsia="宋体" w:hAnsi="宋体" w:cs="宋体"/>
                <w:b w:val="0"/>
              </w:rPr>
              <w:t>数量(张)</w:t>
            </w:r>
          </w:p>
        </w:tc>
        <w:tc>
          <w:tcPr>
            <w:tcW w:w="923" w:type="pct"/>
            <w:shd w:val="clear" w:color="auto" w:fill="D9D9D9"/>
            <w:vAlign w:val="center"/>
          </w:tcPr>
          <w:p>
            <w:pPr>
              <w:spacing w:line="240" w:lineRule="auto"/>
              <w:jc w:val="center"/>
            </w:pPr>
            <w:r>
              <w:rPr>
                <w:rFonts w:ascii="宋体" w:eastAsia="宋体" w:hAnsi="宋体" w:cs="宋体"/>
                <w:b w:val="0"/>
              </w:rPr>
              <w:t>公允价值(元)</w:t>
            </w:r>
          </w:p>
        </w:tc>
        <w:tc>
          <w:tcPr>
            <w:tcW w:w="923" w:type="pct"/>
            <w:shd w:val="clear" w:color="auto" w:fill="D9D9D9"/>
            <w:vAlign w:val="center"/>
          </w:tcPr>
          <w:p>
            <w:pPr>
              <w:spacing w:line="240" w:lineRule="auto"/>
              <w:jc w:val="center"/>
            </w:pPr>
            <w:r>
              <w:rPr>
                <w:rFonts w:ascii="宋体" w:eastAsia="宋体" w:hAnsi="宋体" w:cs="宋体"/>
                <w:b w:val="0"/>
              </w:rPr>
              <w:t>占基金资产净值比例(%)</w:t>
            </w:r>
          </w:p>
        </w:tc>
      </w:tr>
      <w:tr>
        <w:tblPrEx>
          <w:tblW w:w="5000" w:type="pct"/>
        </w:tblPrEx>
        <w:tc>
          <w:tcPr>
            <w:tcW w:w="0" w:type="dxa"/>
            <w:vAlign w:val="center"/>
          </w:tcPr>
          <w:p>
            <w:pPr>
              <w:spacing w:line="240" w:lineRule="auto"/>
              <w:jc w:val="center"/>
            </w:pPr>
            <w:r>
              <w:rPr>
                <w:rFonts w:ascii="宋体" w:eastAsia="宋体" w:hAnsi="宋体" w:cs="宋体"/>
                <w:b w:val="0"/>
              </w:rPr>
              <w:t>1</w:t>
            </w:r>
          </w:p>
        </w:tc>
        <w:tc>
          <w:tcPr>
            <w:tcW w:w="0" w:type="dxa"/>
            <w:vAlign w:val="center"/>
          </w:tcPr>
          <w:p>
            <w:pPr>
              <w:spacing w:line="240" w:lineRule="auto"/>
              <w:jc w:val="left"/>
            </w:pPr>
            <w:r>
              <w:rPr>
                <w:rFonts w:ascii="宋体" w:eastAsia="宋体" w:hAnsi="宋体" w:cs="宋体"/>
                <w:b w:val="0"/>
              </w:rPr>
              <w:t>019792</w:t>
            </w:r>
          </w:p>
        </w:tc>
        <w:tc>
          <w:tcPr>
            <w:tcW w:w="0" w:type="dxa"/>
            <w:vAlign w:val="center"/>
          </w:tcPr>
          <w:p>
            <w:pPr>
              <w:spacing w:line="240" w:lineRule="auto"/>
              <w:jc w:val="left"/>
            </w:pPr>
            <w:r>
              <w:rPr>
                <w:rFonts w:ascii="宋体" w:eastAsia="宋体" w:hAnsi="宋体" w:cs="宋体"/>
                <w:b w:val="0"/>
              </w:rPr>
              <w:t>25国债19</w:t>
            </w:r>
          </w:p>
        </w:tc>
        <w:tc>
          <w:tcPr>
            <w:tcW w:w="0" w:type="dxa"/>
            <w:vAlign w:val="center"/>
          </w:tcPr>
          <w:p>
            <w:pPr>
              <w:spacing w:line="240" w:lineRule="auto"/>
              <w:jc w:val="right"/>
            </w:pPr>
            <w:r>
              <w:rPr>
                <w:rFonts w:ascii="宋体" w:eastAsia="宋体" w:hAnsi="宋体" w:cs="宋体"/>
                <w:b w:val="0"/>
              </w:rPr>
              <w:t>256,000</w:t>
            </w:r>
          </w:p>
        </w:tc>
        <w:tc>
          <w:tcPr>
            <w:tcW w:w="0" w:type="dxa"/>
            <w:vAlign w:val="center"/>
          </w:tcPr>
          <w:p>
            <w:pPr>
              <w:spacing w:line="240" w:lineRule="auto"/>
              <w:jc w:val="right"/>
            </w:pPr>
            <w:r>
              <w:rPr>
                <w:rFonts w:ascii="宋体" w:eastAsia="宋体" w:hAnsi="宋体" w:cs="宋体"/>
                <w:b w:val="0"/>
              </w:rPr>
              <w:t>25,942,289.53</w:t>
            </w:r>
          </w:p>
        </w:tc>
        <w:tc>
          <w:tcPr>
            <w:tcW w:w="0" w:type="dxa"/>
            <w:vAlign w:val="center"/>
          </w:tcPr>
          <w:p>
            <w:pPr>
              <w:spacing w:line="240" w:lineRule="auto"/>
              <w:jc w:val="right"/>
            </w:pPr>
            <w:r>
              <w:rPr>
                <w:rFonts w:ascii="宋体" w:eastAsia="宋体" w:hAnsi="宋体" w:cs="宋体"/>
                <w:b w:val="0"/>
              </w:rPr>
              <w:t>5.54</w:t>
            </w:r>
          </w:p>
        </w:tc>
      </w:tr>
      <w:tr>
        <w:tblPrEx>
          <w:tblW w:w="5000" w:type="pct"/>
        </w:tblPrEx>
        <w:tc>
          <w:tcPr>
            <w:tcW w:w="0" w:type="dxa"/>
            <w:vAlign w:val="center"/>
          </w:tcPr>
          <w:p>
            <w:pPr>
              <w:spacing w:line="240" w:lineRule="auto"/>
              <w:jc w:val="center"/>
            </w:pPr>
            <w:r>
              <w:rPr>
                <w:rFonts w:ascii="宋体" w:eastAsia="宋体" w:hAnsi="宋体" w:cs="宋体"/>
                <w:b w:val="0"/>
              </w:rPr>
              <w:t>2</w:t>
            </w:r>
          </w:p>
        </w:tc>
        <w:tc>
          <w:tcPr>
            <w:tcW w:w="0" w:type="dxa"/>
            <w:vAlign w:val="center"/>
          </w:tcPr>
          <w:p>
            <w:pPr>
              <w:spacing w:line="240" w:lineRule="auto"/>
              <w:jc w:val="left"/>
            </w:pPr>
            <w:r>
              <w:rPr>
                <w:rFonts w:ascii="宋体" w:eastAsia="宋体" w:hAnsi="宋体" w:cs="宋体"/>
                <w:b w:val="0"/>
              </w:rPr>
              <w:t>019827</w:t>
            </w:r>
          </w:p>
        </w:tc>
        <w:tc>
          <w:tcPr>
            <w:tcW w:w="0" w:type="dxa"/>
            <w:vAlign w:val="center"/>
          </w:tcPr>
          <w:p>
            <w:pPr>
              <w:spacing w:line="240" w:lineRule="auto"/>
              <w:jc w:val="left"/>
            </w:pPr>
            <w:r>
              <w:rPr>
                <w:rFonts w:ascii="宋体" w:eastAsia="宋体" w:hAnsi="宋体" w:cs="宋体"/>
                <w:b w:val="0"/>
              </w:rPr>
              <w:t>26国债01</w:t>
            </w:r>
          </w:p>
        </w:tc>
        <w:tc>
          <w:tcPr>
            <w:tcW w:w="0" w:type="dxa"/>
            <w:vAlign w:val="center"/>
          </w:tcPr>
          <w:p>
            <w:pPr>
              <w:spacing w:line="240" w:lineRule="auto"/>
              <w:jc w:val="right"/>
            </w:pPr>
            <w:r>
              <w:rPr>
                <w:rFonts w:ascii="宋体" w:eastAsia="宋体" w:hAnsi="宋体" w:cs="宋体"/>
                <w:b w:val="0"/>
              </w:rPr>
              <w:t>148,000</w:t>
            </w:r>
          </w:p>
        </w:tc>
        <w:tc>
          <w:tcPr>
            <w:tcW w:w="0" w:type="dxa"/>
            <w:vAlign w:val="center"/>
          </w:tcPr>
          <w:p>
            <w:pPr>
              <w:spacing w:line="240" w:lineRule="auto"/>
              <w:jc w:val="right"/>
            </w:pPr>
            <w:r>
              <w:rPr>
                <w:rFonts w:ascii="宋体" w:eastAsia="宋体" w:hAnsi="宋体" w:cs="宋体"/>
                <w:b w:val="0"/>
              </w:rPr>
              <w:t>14,928,123.40</w:t>
            </w:r>
          </w:p>
        </w:tc>
        <w:tc>
          <w:tcPr>
            <w:tcW w:w="0" w:type="dxa"/>
            <w:vAlign w:val="center"/>
          </w:tcPr>
          <w:p>
            <w:pPr>
              <w:spacing w:line="240" w:lineRule="auto"/>
              <w:jc w:val="right"/>
            </w:pPr>
            <w:r>
              <w:rPr>
                <w:rFonts w:ascii="宋体" w:eastAsia="宋体" w:hAnsi="宋体" w:cs="宋体"/>
                <w:b w:val="0"/>
              </w:rPr>
              <w:t>3.19</w:t>
            </w:r>
          </w:p>
        </w:tc>
      </w:tr>
      <w:tr>
        <w:tblPrEx>
          <w:tblW w:w="5000" w:type="pct"/>
        </w:tblPrEx>
        <w:tc>
          <w:tcPr>
            <w:tcW w:w="0" w:type="dxa"/>
            <w:vAlign w:val="center"/>
          </w:tcPr>
          <w:p>
            <w:pPr>
              <w:spacing w:line="240" w:lineRule="auto"/>
              <w:jc w:val="center"/>
            </w:pPr>
            <w:r>
              <w:rPr>
                <w:rFonts w:ascii="宋体" w:eastAsia="宋体" w:hAnsi="宋体" w:cs="宋体"/>
                <w:b w:val="0"/>
              </w:rPr>
              <w:t>3</w:t>
            </w:r>
          </w:p>
        </w:tc>
        <w:tc>
          <w:tcPr>
            <w:tcW w:w="0" w:type="dxa"/>
            <w:vAlign w:val="center"/>
          </w:tcPr>
          <w:p>
            <w:pPr>
              <w:spacing w:line="240" w:lineRule="auto"/>
              <w:jc w:val="left"/>
            </w:pPr>
            <w:r>
              <w:rPr>
                <w:rFonts w:ascii="宋体" w:eastAsia="宋体" w:hAnsi="宋体" w:cs="宋体"/>
                <w:b w:val="0"/>
              </w:rPr>
              <w:t>019835</w:t>
            </w:r>
          </w:p>
        </w:tc>
        <w:tc>
          <w:tcPr>
            <w:tcW w:w="0" w:type="dxa"/>
            <w:vAlign w:val="center"/>
          </w:tcPr>
          <w:p>
            <w:pPr>
              <w:spacing w:line="240" w:lineRule="auto"/>
              <w:jc w:val="left"/>
            </w:pPr>
            <w:r>
              <w:rPr>
                <w:rFonts w:ascii="宋体" w:eastAsia="宋体" w:hAnsi="宋体" w:cs="宋体"/>
                <w:b w:val="0"/>
              </w:rPr>
              <w:t>26国债09</w:t>
            </w:r>
          </w:p>
        </w:tc>
        <w:tc>
          <w:tcPr>
            <w:tcW w:w="0" w:type="dxa"/>
            <w:vAlign w:val="center"/>
          </w:tcPr>
          <w:p>
            <w:pPr>
              <w:spacing w:line="240" w:lineRule="auto"/>
              <w:jc w:val="right"/>
            </w:pPr>
            <w:r>
              <w:rPr>
                <w:rFonts w:ascii="宋体" w:eastAsia="宋体" w:hAnsi="宋体" w:cs="宋体"/>
                <w:b w:val="0"/>
              </w:rPr>
              <w:t>80,000</w:t>
            </w:r>
          </w:p>
        </w:tc>
        <w:tc>
          <w:tcPr>
            <w:tcW w:w="0" w:type="dxa"/>
            <w:vAlign w:val="center"/>
          </w:tcPr>
          <w:p>
            <w:pPr>
              <w:spacing w:line="240" w:lineRule="auto"/>
              <w:jc w:val="right"/>
            </w:pPr>
            <w:r>
              <w:rPr>
                <w:rFonts w:ascii="宋体" w:eastAsia="宋体" w:hAnsi="宋体" w:cs="宋体"/>
                <w:b w:val="0"/>
              </w:rPr>
              <w:t>8,032,940.27</w:t>
            </w:r>
          </w:p>
        </w:tc>
        <w:tc>
          <w:tcPr>
            <w:tcW w:w="0" w:type="dxa"/>
            <w:vAlign w:val="center"/>
          </w:tcPr>
          <w:p>
            <w:pPr>
              <w:spacing w:line="240" w:lineRule="auto"/>
              <w:jc w:val="right"/>
            </w:pPr>
            <w:r>
              <w:rPr>
                <w:rFonts w:ascii="宋体" w:eastAsia="宋体" w:hAnsi="宋体" w:cs="宋体"/>
                <w:b w:val="0"/>
              </w:rPr>
              <w:t>1.72</w:t>
            </w:r>
          </w:p>
        </w:tc>
      </w:tr>
    </w:tbl>
    <w:p>
      <w:r>
        <w:rPr>
          <w:rFonts w:ascii="宋体" w:eastAsia="宋体" w:hAnsi="宋体" w:cs="宋体"/>
          <w:b w:val="0"/>
        </w:rPr>
        <w:t>注：本基金本报告期末仅持有上述债券。</w:t>
      </w:r>
    </w:p>
    <w:p/>
    <w:p>
      <w:pPr>
        <w:pStyle w:val="Heading2"/>
        <w:jc w:val="left"/>
      </w:pPr>
      <w:r>
        <w:rPr>
          <w:rFonts w:ascii="宋体" w:eastAsia="宋体" w:hAnsi="宋体" w:cs="宋体"/>
        </w:rPr>
        <w:t>5.6 报告期末按公允价值占基金资产净值比例大小排序的前十名资产支持证券投资明细</w:t>
      </w:r>
    </w:p>
    <w:p>
      <w:r>
        <w:rPr>
          <w:rFonts w:ascii="宋体" w:eastAsia="宋体" w:hAnsi="宋体" w:cs="宋体"/>
          <w:b w:val="0"/>
        </w:rPr>
        <w:t xml:space="preserve">    本基金本报告期末未持有资产支持证券。</w:t>
      </w:r>
    </w:p>
    <w:p/>
    <w:p>
      <w:pPr>
        <w:pStyle w:val="Heading2"/>
        <w:jc w:val="left"/>
      </w:pPr>
      <w:r>
        <w:rPr>
          <w:rFonts w:ascii="宋体" w:eastAsia="宋体" w:hAnsi="宋体" w:cs="宋体"/>
        </w:rPr>
        <w:t>5.7 报告期末按公允价值占基金资产净值比例大小排序的前五名贵金属投资明细</w:t>
      </w:r>
    </w:p>
    <w:p>
      <w:r>
        <w:rPr>
          <w:rFonts w:ascii="宋体" w:eastAsia="宋体" w:hAnsi="宋体" w:cs="宋体"/>
          <w:b w:val="0"/>
        </w:rPr>
        <w:t xml:space="preserve">    本基金本报告期末未持有贵金属。</w:t>
      </w:r>
    </w:p>
    <w:p/>
    <w:p>
      <w:pPr>
        <w:pStyle w:val="Heading2"/>
        <w:jc w:val="left"/>
      </w:pPr>
      <w:r>
        <w:rPr>
          <w:rFonts w:ascii="宋体" w:eastAsia="宋体" w:hAnsi="宋体" w:cs="宋体"/>
        </w:rPr>
        <w:t>5.8 报告期末按公允价值占基金资产净值比例大小排序的前五名权证投资明细</w:t>
      </w:r>
    </w:p>
    <w:p>
      <w:r>
        <w:rPr>
          <w:rFonts w:ascii="宋体" w:eastAsia="宋体" w:hAnsi="宋体" w:cs="宋体"/>
          <w:b w:val="0"/>
        </w:rPr>
        <w:t xml:space="preserve">    本基金本报告期末未持有权证。</w:t>
      </w:r>
    </w:p>
    <w:p/>
    <w:p>
      <w:pPr>
        <w:pStyle w:val="Heading2"/>
        <w:jc w:val="left"/>
      </w:pPr>
      <w:r>
        <w:rPr>
          <w:rFonts w:ascii="宋体" w:eastAsia="宋体" w:hAnsi="宋体" w:cs="宋体"/>
        </w:rPr>
        <w:t>5.9 报告期末本基金投资的股指期货交易情况说明</w:t>
      </w:r>
    </w:p>
    <w:p>
      <w:r>
        <w:rPr>
          <w:rFonts w:ascii="宋体" w:eastAsia="宋体" w:hAnsi="宋体" w:cs="宋体"/>
          <w:b w:val="0"/>
        </w:rPr>
        <w:t xml:space="preserve">    本基金本报告期末未持有股指期货。</w:t>
      </w:r>
    </w:p>
    <w:p/>
    <w:p>
      <w:pPr>
        <w:pStyle w:val="Heading2"/>
        <w:jc w:val="left"/>
      </w:pPr>
      <w:r>
        <w:rPr>
          <w:rFonts w:ascii="宋体" w:eastAsia="宋体" w:hAnsi="宋体" w:cs="宋体"/>
        </w:rPr>
        <w:t>5.10 报告期末本基金投资的国债期货交易情况说明</w:t>
      </w:r>
    </w:p>
    <w:p>
      <w:r>
        <w:rPr>
          <w:rFonts w:ascii="宋体" w:eastAsia="宋体" w:hAnsi="宋体" w:cs="宋体"/>
          <w:b w:val="0"/>
        </w:rPr>
        <w:t xml:space="preserve">    本基金本报告期末未持有国债期货。</w:t>
      </w:r>
    </w:p>
    <w:p/>
    <w:p>
      <w:pPr>
        <w:pStyle w:val="Heading2"/>
        <w:jc w:val="left"/>
      </w:pPr>
      <w:r>
        <w:rPr>
          <w:rFonts w:ascii="宋体" w:eastAsia="宋体" w:hAnsi="宋体" w:cs="宋体"/>
        </w:rPr>
        <w:t>5.11 投资组合报告附注</w:t>
      </w:r>
    </w:p>
    <w:p>
      <w:pPr>
        <w:pStyle w:val="zhangjiep2"/>
      </w:pPr>
      <w:r>
        <w:rPr>
          <w:rStyle w:val="DefaultParagraphFont"/>
          <w:rFonts w:ascii="宋体" w:eastAsia="宋体" w:hAnsi="宋体" w:cs="宋体"/>
          <w:b/>
        </w:rPr>
        <w:t>5.11.1 本基金投资的前十名证券的发行主体本期受到监管部门立案调查或报告编制日前一年内受到公开谴责、处罚的情形说明</w:t>
      </w:r>
    </w:p>
    <w:p>
      <w:r>
        <w:rPr>
          <w:rFonts w:ascii="宋体" w:eastAsia="宋体" w:hAnsi="宋体" w:cs="宋体"/>
          <w:b w:val="0"/>
        </w:rPr>
        <w:t xml:space="preserve">    本基金投资的前十名证券的发行主体中，江苏利通电子股份有限公司在报告编制日前一年内因违反了《上海证券交易所股票上市规则》收到上海证券交易所的口头警示。本基金对上述证券的投资决策程序符合相关法规及公司制度要求。</w:t>
        <w:br/>
      </w:r>
      <w:r>
        <w:rPr>
          <w:rFonts w:ascii="宋体" w:eastAsia="宋体" w:hAnsi="宋体" w:cs="宋体"/>
          <w:b w:val="0"/>
        </w:rPr>
        <w:t xml:space="preserve">    本基金投资前十名的其余证券的发行主体本期未出现被监管部门立案调查，或在报告编制日前一年内受到公开谴责、处罚的情形。</w:t>
      </w:r>
    </w:p>
    <w:p/>
    <w:p>
      <w:pPr>
        <w:pStyle w:val="zhangjiep2"/>
      </w:pPr>
      <w:r>
        <w:rPr>
          <w:rStyle w:val="DefaultParagraphFont"/>
          <w:rFonts w:ascii="宋体" w:eastAsia="宋体" w:hAnsi="宋体" w:cs="宋体"/>
          <w:b/>
        </w:rPr>
        <w:t>5.11.2 基金投资的前十名股票超出基金合同约定的备选股票库情况的说明</w:t>
      </w:r>
    </w:p>
    <w:p>
      <w:r>
        <w:rPr>
          <w:rFonts w:ascii="宋体" w:eastAsia="宋体" w:hAnsi="宋体" w:cs="宋体"/>
          <w:b w:val="0"/>
        </w:rPr>
        <w:t xml:space="preserve">    基金投资的前十名股票，均为基金合同约定备选股票库之内的股票。</w:t>
      </w:r>
    </w:p>
    <w:p/>
    <w:p>
      <w:pPr>
        <w:pStyle w:val="zhangjiep2"/>
      </w:pPr>
      <w:r>
        <w:rPr>
          <w:rStyle w:val="DefaultParagraphFont"/>
          <w:rFonts w:ascii="宋体" w:eastAsia="宋体" w:hAnsi="宋体" w:cs="宋体"/>
          <w:b/>
        </w:rPr>
        <w:t>5.11.3 其他资产构成</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Grid>
        <w:gridCol w:w="3021"/>
        <w:gridCol w:w="3021"/>
        <w:gridCol w:w="3021"/>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15" w:type="pct"/>
            <w:shd w:val="clear" w:color="auto" w:fill="D9D9D9"/>
            <w:vAlign w:val="center"/>
          </w:tcPr>
          <w:p>
            <w:pPr>
              <w:spacing w:line="240" w:lineRule="auto"/>
              <w:jc w:val="center"/>
            </w:pPr>
            <w:r>
              <w:rPr>
                <w:rFonts w:ascii="宋体" w:eastAsia="宋体" w:hAnsi="宋体" w:cs="宋体"/>
                <w:b w:val="0"/>
              </w:rPr>
              <w:t>序号</w:t>
            </w:r>
          </w:p>
        </w:tc>
        <w:tc>
          <w:tcPr>
            <w:tcW w:w="2308" w:type="pct"/>
            <w:shd w:val="clear" w:color="auto" w:fill="D9D9D9"/>
            <w:vAlign w:val="center"/>
          </w:tcPr>
          <w:p>
            <w:pPr>
              <w:spacing w:line="240" w:lineRule="auto"/>
              <w:jc w:val="center"/>
            </w:pPr>
            <w:r>
              <w:rPr>
                <w:rFonts w:ascii="宋体" w:eastAsia="宋体" w:hAnsi="宋体" w:cs="宋体"/>
                <w:b w:val="0"/>
              </w:rPr>
              <w:t>名称</w:t>
            </w:r>
          </w:p>
        </w:tc>
        <w:tc>
          <w:tcPr>
            <w:tcW w:w="1538" w:type="pct"/>
            <w:shd w:val="clear" w:color="auto" w:fill="D9D9D9"/>
            <w:vAlign w:val="center"/>
          </w:tcPr>
          <w:p>
            <w:pPr>
              <w:spacing w:line="240" w:lineRule="auto"/>
              <w:jc w:val="center"/>
            </w:pPr>
            <w:r>
              <w:rPr>
                <w:rFonts w:ascii="宋体" w:eastAsia="宋体" w:hAnsi="宋体" w:cs="宋体"/>
                <w:b w:val="0"/>
              </w:rPr>
              <w:t>金额(元)</w:t>
            </w:r>
          </w:p>
        </w:tc>
      </w:tr>
      <w:tr>
        <w:tblPrEx>
          <w:tblW w:w="5000" w:type="pct"/>
        </w:tblPrEx>
        <w:tc>
          <w:tcPr>
            <w:tcW w:w="0" w:type="dxa"/>
            <w:vAlign w:val="center"/>
          </w:tcPr>
          <w:p>
            <w:pPr>
              <w:spacing w:line="240" w:lineRule="auto"/>
              <w:jc w:val="center"/>
            </w:pPr>
            <w:r>
              <w:rPr>
                <w:rFonts w:ascii="宋体" w:eastAsia="宋体" w:hAnsi="宋体" w:cs="宋体"/>
                <w:b w:val="0"/>
              </w:rPr>
              <w:t>1</w:t>
            </w:r>
          </w:p>
        </w:tc>
        <w:tc>
          <w:tcPr>
            <w:tcW w:w="0" w:type="dxa"/>
            <w:vAlign w:val="center"/>
          </w:tcPr>
          <w:p>
            <w:pPr>
              <w:spacing w:line="240" w:lineRule="auto"/>
              <w:jc w:val="left"/>
            </w:pPr>
            <w:r>
              <w:rPr>
                <w:rFonts w:ascii="宋体" w:eastAsia="宋体" w:hAnsi="宋体" w:cs="宋体"/>
                <w:b w:val="0"/>
              </w:rPr>
              <w:t>存出保证金</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2</w:t>
            </w:r>
          </w:p>
        </w:tc>
        <w:tc>
          <w:tcPr>
            <w:tcW w:w="0" w:type="dxa"/>
            <w:vAlign w:val="center"/>
          </w:tcPr>
          <w:p>
            <w:pPr>
              <w:spacing w:line="240" w:lineRule="auto"/>
              <w:jc w:val="left"/>
            </w:pPr>
            <w:r>
              <w:rPr>
                <w:rFonts w:ascii="宋体" w:eastAsia="宋体" w:hAnsi="宋体" w:cs="宋体"/>
                <w:b w:val="0"/>
              </w:rPr>
              <w:t>应收证券清算款</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3</w:t>
            </w:r>
          </w:p>
        </w:tc>
        <w:tc>
          <w:tcPr>
            <w:tcW w:w="0" w:type="dxa"/>
            <w:vAlign w:val="center"/>
          </w:tcPr>
          <w:p>
            <w:pPr>
              <w:spacing w:line="240" w:lineRule="auto"/>
              <w:jc w:val="left"/>
            </w:pPr>
            <w:r>
              <w:rPr>
                <w:rFonts w:ascii="宋体" w:eastAsia="宋体" w:hAnsi="宋体" w:cs="宋体"/>
                <w:b w:val="0"/>
              </w:rPr>
              <w:t>应收股利</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4</w:t>
            </w:r>
          </w:p>
        </w:tc>
        <w:tc>
          <w:tcPr>
            <w:tcW w:w="0" w:type="dxa"/>
            <w:vAlign w:val="center"/>
          </w:tcPr>
          <w:p>
            <w:pPr>
              <w:spacing w:line="240" w:lineRule="auto"/>
              <w:jc w:val="left"/>
            </w:pPr>
            <w:r>
              <w:rPr>
                <w:rFonts w:ascii="宋体" w:eastAsia="宋体" w:hAnsi="宋体" w:cs="宋体"/>
                <w:b w:val="0"/>
              </w:rPr>
              <w:t>应收利息</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5</w:t>
            </w:r>
          </w:p>
        </w:tc>
        <w:tc>
          <w:tcPr>
            <w:tcW w:w="0" w:type="dxa"/>
            <w:vAlign w:val="center"/>
          </w:tcPr>
          <w:p>
            <w:pPr>
              <w:spacing w:line="240" w:lineRule="auto"/>
              <w:jc w:val="left"/>
            </w:pPr>
            <w:r>
              <w:rPr>
                <w:rFonts w:ascii="宋体" w:eastAsia="宋体" w:hAnsi="宋体" w:cs="宋体"/>
                <w:b w:val="0"/>
              </w:rPr>
              <w:t>应收申购款</w:t>
            </w:r>
          </w:p>
        </w:tc>
        <w:tc>
          <w:tcPr>
            <w:tcW w:w="0" w:type="dxa"/>
            <w:vAlign w:val="center"/>
          </w:tcPr>
          <w:p>
            <w:pPr>
              <w:spacing w:line="240" w:lineRule="auto"/>
              <w:jc w:val="right"/>
            </w:pPr>
            <w:r>
              <w:rPr>
                <w:rFonts w:ascii="宋体" w:eastAsia="宋体" w:hAnsi="宋体" w:cs="宋体"/>
                <w:b w:val="0"/>
              </w:rPr>
              <w:t>3,504,848.17</w:t>
            </w:r>
          </w:p>
        </w:tc>
      </w:tr>
      <w:tr>
        <w:tblPrEx>
          <w:tblW w:w="5000" w:type="pct"/>
        </w:tblPrEx>
        <w:tc>
          <w:tcPr>
            <w:tcW w:w="0" w:type="dxa"/>
            <w:vAlign w:val="center"/>
          </w:tcPr>
          <w:p>
            <w:pPr>
              <w:spacing w:line="240" w:lineRule="auto"/>
              <w:jc w:val="center"/>
            </w:pPr>
            <w:r>
              <w:rPr>
                <w:rFonts w:ascii="宋体" w:eastAsia="宋体" w:hAnsi="宋体" w:cs="宋体"/>
                <w:b w:val="0"/>
              </w:rPr>
              <w:t>6</w:t>
            </w:r>
          </w:p>
        </w:tc>
        <w:tc>
          <w:tcPr>
            <w:tcW w:w="0" w:type="dxa"/>
            <w:vAlign w:val="center"/>
          </w:tcPr>
          <w:p>
            <w:pPr>
              <w:spacing w:line="240" w:lineRule="auto"/>
              <w:jc w:val="left"/>
            </w:pPr>
            <w:r>
              <w:rPr>
                <w:rFonts w:ascii="宋体" w:eastAsia="宋体" w:hAnsi="宋体" w:cs="宋体"/>
                <w:b w:val="0"/>
              </w:rPr>
              <w:t>其他应收款</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7</w:t>
            </w:r>
          </w:p>
        </w:tc>
        <w:tc>
          <w:tcPr>
            <w:tcW w:w="0" w:type="dxa"/>
            <w:vAlign w:val="center"/>
          </w:tcPr>
          <w:p>
            <w:pPr>
              <w:spacing w:line="240" w:lineRule="auto"/>
              <w:jc w:val="left"/>
            </w:pPr>
            <w:r>
              <w:rPr>
                <w:rFonts w:ascii="宋体" w:eastAsia="宋体" w:hAnsi="宋体" w:cs="宋体"/>
                <w:b w:val="0"/>
              </w:rPr>
              <w:t>其他</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8</w:t>
            </w:r>
          </w:p>
        </w:tc>
        <w:tc>
          <w:tcPr>
            <w:tcW w:w="0" w:type="dxa"/>
            <w:vAlign w:val="center"/>
          </w:tcPr>
          <w:p>
            <w:pPr>
              <w:spacing w:line="240" w:lineRule="auto"/>
              <w:jc w:val="left"/>
            </w:pPr>
            <w:r>
              <w:rPr>
                <w:rFonts w:ascii="宋体" w:eastAsia="宋体" w:hAnsi="宋体" w:cs="宋体"/>
                <w:b w:val="0"/>
              </w:rPr>
              <w:t>合计</w:t>
            </w:r>
          </w:p>
        </w:tc>
        <w:tc>
          <w:tcPr>
            <w:tcW w:w="0" w:type="dxa"/>
            <w:vAlign w:val="center"/>
          </w:tcPr>
          <w:p>
            <w:pPr>
              <w:spacing w:line="240" w:lineRule="auto"/>
              <w:jc w:val="right"/>
            </w:pPr>
            <w:r>
              <w:rPr>
                <w:rFonts w:ascii="宋体" w:eastAsia="宋体" w:hAnsi="宋体" w:cs="宋体"/>
                <w:b w:val="0"/>
              </w:rPr>
              <w:t>3,504,848.17</w:t>
            </w:r>
          </w:p>
        </w:tc>
      </w:tr>
    </w:tbl>
    <w:p/>
    <w:p>
      <w:pPr>
        <w:pStyle w:val="zhangjiep2"/>
      </w:pPr>
      <w:r>
        <w:rPr>
          <w:rStyle w:val="DefaultParagraphFont"/>
          <w:rFonts w:ascii="宋体" w:eastAsia="宋体" w:hAnsi="宋体" w:cs="宋体"/>
          <w:b/>
        </w:rPr>
        <w:t>5.11.4 报告期末持有的处于转股期的可转换债券明细</w:t>
      </w:r>
    </w:p>
    <w:p>
      <w:r>
        <w:rPr>
          <w:rFonts w:ascii="宋体" w:eastAsia="宋体" w:hAnsi="宋体" w:cs="宋体"/>
          <w:b w:val="0"/>
        </w:rPr>
        <w:t xml:space="preserve">    本基金本报告期末未持有处于转股期的可转换债券。</w:t>
      </w:r>
    </w:p>
    <w:p/>
    <w:p>
      <w:pPr>
        <w:pStyle w:val="zhangjiep2"/>
      </w:pPr>
      <w:r>
        <w:rPr>
          <w:rStyle w:val="DefaultParagraphFont"/>
          <w:rFonts w:ascii="宋体" w:eastAsia="宋体" w:hAnsi="宋体" w:cs="宋体"/>
          <w:b/>
        </w:rPr>
        <w:t>5.11.5 报告期末前十名股票中存在流通受限情况的说明</w:t>
      </w:r>
    </w:p>
    <w:p>
      <w:r>
        <w:rPr>
          <w:rFonts w:ascii="宋体" w:eastAsia="宋体" w:hAnsi="宋体" w:cs="宋体"/>
          <w:b w:val="0"/>
        </w:rPr>
        <w:t xml:space="preserve">    本基金本报告期末前十名股票中不存在流通受限的情况。</w:t>
      </w:r>
    </w:p>
    <w:p/>
    <w:p>
      <w:pPr>
        <w:pStyle w:val="zhangjiep2"/>
      </w:pPr>
      <w:r>
        <w:rPr>
          <w:rStyle w:val="DefaultParagraphFont"/>
          <w:rFonts w:ascii="宋体" w:eastAsia="宋体" w:hAnsi="宋体" w:cs="宋体"/>
          <w:b/>
        </w:rPr>
        <w:t>5.11.6 投资组合报告附注的其他文字描述部分</w:t>
      </w:r>
    </w:p>
    <w:p>
      <w:r>
        <w:rPr>
          <w:rFonts w:ascii="宋体" w:eastAsia="宋体" w:hAnsi="宋体" w:cs="宋体"/>
          <w:b w:val="0"/>
        </w:rPr>
        <w:t xml:space="preserve">    由于四舍五入原因，分项之和与合计项之间可能存在尾差。</w:t>
      </w:r>
    </w:p>
    <w:p>
      <w:pPr>
        <w:pStyle w:val="Heading1"/>
        <w:jc w:val="center"/>
      </w:pPr>
      <w:r>
        <w:rPr>
          <w:rFonts w:ascii="宋体" w:eastAsia="宋体" w:hAnsi="宋体" w:cs="宋体"/>
        </w:rPr>
        <w:t>§6 开放式基金份额变动</w:t>
      </w:r>
    </w:p>
    <w:p>
      <w:pPr>
        <w:jc w:val="right"/>
      </w:pPr>
      <w:r>
        <w:rPr>
          <w:rFonts w:ascii="宋体" w:eastAsia="宋体" w:hAnsi="宋体" w:cs="宋体"/>
          <w:b w:val="0"/>
        </w:rPr>
        <w:t>单位：份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Pr>
      <w:tblGrid>
        <w:gridCol w:w="4260"/>
        <w:gridCol w:w="2400"/>
        <w:gridCol w:w="2400"/>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PrEx>
        <w:tc>
          <w:tcPr>
            <w:tcW w:w="2308" w:type="pct"/>
            <w:vAlign w:val="center"/>
          </w:tcPr>
          <w:p>
            <w:pPr>
              <w:spacing w:line="240" w:lineRule="auto"/>
              <w:jc w:val="center"/>
            </w:pPr>
          </w:p>
        </w:tc>
        <w:tc>
          <w:tcPr>
            <w:tcW w:w="1300" w:type="pct"/>
            <w:vAlign w:val="center"/>
          </w:tcPr>
          <w:p>
            <w:pPr>
              <w:spacing w:line="240" w:lineRule="auto"/>
              <w:jc w:val="center"/>
            </w:pPr>
            <w:r>
              <w:rPr>
                <w:rFonts w:ascii="宋体" w:eastAsia="宋体" w:hAnsi="宋体" w:cs="宋体"/>
                <w:b w:val="0"/>
              </w:rPr>
              <w:t>东方阿尔法精选混合A</w:t>
            </w:r>
          </w:p>
        </w:tc>
        <w:tc>
          <w:tcPr>
            <w:tcW w:w="1300" w:type="pct"/>
            <w:vAlign w:val="center"/>
          </w:tcPr>
          <w:p>
            <w:pPr>
              <w:spacing w:line="240" w:lineRule="auto"/>
              <w:jc w:val="center"/>
            </w:pPr>
            <w:r>
              <w:rPr>
                <w:rFonts w:ascii="宋体" w:eastAsia="宋体" w:hAnsi="宋体" w:cs="宋体"/>
                <w:b w:val="0"/>
              </w:rPr>
              <w:t>东方阿尔法精选混合C</w:t>
            </w:r>
          </w:p>
        </w:tc>
      </w:tr>
      <w:tr>
        <w:tblPrEx>
          <w:tblW w:w="5000" w:type="pct"/>
          <w:tblLayout w:type="fixed"/>
        </w:tblPrEx>
        <w:tc>
          <w:tcPr>
            <w:tcW w:w="3021" w:type="dxa"/>
            <w:vAlign w:val="center"/>
          </w:tcPr>
          <w:p>
            <w:pPr>
              <w:spacing w:line="240" w:lineRule="auto"/>
              <w:jc w:val="left"/>
            </w:pPr>
            <w:r>
              <w:rPr>
                <w:rFonts w:ascii="宋体" w:eastAsia="宋体" w:hAnsi="宋体" w:cs="宋体"/>
                <w:b w:val="0"/>
              </w:rPr>
              <w:t>报告期期初基金份额总额</w:t>
            </w:r>
          </w:p>
        </w:tc>
        <w:tc>
          <w:tcPr>
            <w:tcW w:w="1300" w:type="pct"/>
            <w:vAlign w:val="center"/>
          </w:tcPr>
          <w:p>
            <w:pPr>
              <w:spacing w:line="240" w:lineRule="auto"/>
              <w:jc w:val="right"/>
            </w:pPr>
            <w:r>
              <w:rPr>
                <w:rFonts w:ascii="宋体" w:eastAsia="宋体" w:hAnsi="宋体" w:cs="宋体"/>
                <w:b w:val="0"/>
              </w:rPr>
              <w:t>135,962,096.29</w:t>
            </w:r>
          </w:p>
        </w:tc>
        <w:tc>
          <w:tcPr>
            <w:tcW w:w="1300" w:type="pct"/>
            <w:vAlign w:val="center"/>
          </w:tcPr>
          <w:p>
            <w:pPr>
              <w:spacing w:line="240" w:lineRule="auto"/>
              <w:jc w:val="right"/>
            </w:pPr>
            <w:r>
              <w:rPr>
                <w:rFonts w:ascii="宋体" w:eastAsia="宋体" w:hAnsi="宋体" w:cs="宋体"/>
                <w:b w:val="0"/>
              </w:rPr>
              <w:t>315,144,168.06</w:t>
            </w:r>
          </w:p>
        </w:tc>
      </w:tr>
      <w:tr>
        <w:tblPrEx>
          <w:tblW w:w="5000" w:type="pct"/>
          <w:tblLayout w:type="fixed"/>
        </w:tblPrEx>
        <w:tc>
          <w:tcPr>
            <w:tcW w:w="3021" w:type="dxa"/>
            <w:vAlign w:val="center"/>
          </w:tcPr>
          <w:p>
            <w:pPr>
              <w:spacing w:line="240" w:lineRule="auto"/>
              <w:jc w:val="left"/>
            </w:pPr>
            <w:r>
              <w:rPr>
                <w:rFonts w:ascii="宋体" w:eastAsia="宋体" w:hAnsi="宋体" w:cs="宋体"/>
                <w:b w:val="0"/>
              </w:rPr>
              <w:t>报告期期间基金总申购份额</w:t>
            </w:r>
          </w:p>
        </w:tc>
        <w:tc>
          <w:tcPr>
            <w:tcW w:w="1300" w:type="pct"/>
            <w:vAlign w:val="center"/>
          </w:tcPr>
          <w:p>
            <w:pPr>
              <w:spacing w:line="240" w:lineRule="auto"/>
              <w:jc w:val="right"/>
            </w:pPr>
            <w:r>
              <w:rPr>
                <w:rFonts w:ascii="宋体" w:eastAsia="宋体" w:hAnsi="宋体" w:cs="宋体"/>
                <w:b w:val="0"/>
              </w:rPr>
              <w:t>22,286,068.96</w:t>
            </w:r>
          </w:p>
        </w:tc>
        <w:tc>
          <w:tcPr>
            <w:tcW w:w="1300" w:type="pct"/>
            <w:vAlign w:val="center"/>
          </w:tcPr>
          <w:p>
            <w:pPr>
              <w:spacing w:line="240" w:lineRule="auto"/>
              <w:jc w:val="right"/>
            </w:pPr>
            <w:r>
              <w:rPr>
                <w:rFonts w:ascii="宋体" w:eastAsia="宋体" w:hAnsi="宋体" w:cs="宋体"/>
                <w:b w:val="0"/>
              </w:rPr>
              <w:t>1,184,002,762.45</w:t>
            </w:r>
          </w:p>
        </w:tc>
      </w:tr>
      <w:tr>
        <w:tblPrEx>
          <w:tblW w:w="5000" w:type="pct"/>
          <w:tblLayout w:type="fixed"/>
        </w:tblPrEx>
        <w:tc>
          <w:tcPr>
            <w:tcW w:w="3021" w:type="dxa"/>
            <w:vAlign w:val="center"/>
          </w:tcPr>
          <w:p>
            <w:pPr>
              <w:spacing w:line="240" w:lineRule="auto"/>
              <w:jc w:val="left"/>
            </w:pPr>
            <w:r>
              <w:rPr>
                <w:rFonts w:ascii="宋体" w:eastAsia="宋体" w:hAnsi="宋体" w:cs="宋体"/>
                <w:b w:val="0"/>
              </w:rPr>
              <w:t>减：报告期期间基金总赎回份额</w:t>
            </w:r>
          </w:p>
        </w:tc>
        <w:tc>
          <w:tcPr>
            <w:tcW w:w="1300" w:type="pct"/>
            <w:vAlign w:val="center"/>
          </w:tcPr>
          <w:p>
            <w:pPr>
              <w:spacing w:line="240" w:lineRule="auto"/>
              <w:jc w:val="right"/>
            </w:pPr>
            <w:r>
              <w:rPr>
                <w:rFonts w:ascii="宋体" w:eastAsia="宋体" w:hAnsi="宋体" w:cs="宋体"/>
                <w:b w:val="0"/>
              </w:rPr>
              <w:t>20,645,124.34</w:t>
            </w:r>
          </w:p>
        </w:tc>
        <w:tc>
          <w:tcPr>
            <w:tcW w:w="1300" w:type="pct"/>
            <w:vAlign w:val="center"/>
          </w:tcPr>
          <w:p>
            <w:pPr>
              <w:spacing w:line="240" w:lineRule="auto"/>
              <w:jc w:val="right"/>
            </w:pPr>
            <w:r>
              <w:rPr>
                <w:rFonts w:ascii="宋体" w:eastAsia="宋体" w:hAnsi="宋体" w:cs="宋体"/>
                <w:b w:val="0"/>
              </w:rPr>
              <w:t>1,014,679,003.13</w:t>
            </w:r>
          </w:p>
        </w:tc>
      </w:tr>
      <w:tr>
        <w:tblPrEx>
          <w:tblW w:w="5000" w:type="pct"/>
          <w:tblLayout w:type="fixed"/>
        </w:tblPrEx>
        <w:tc>
          <w:tcPr>
            <w:tcW w:w="3021" w:type="dxa"/>
            <w:vAlign w:val="center"/>
          </w:tcPr>
          <w:p>
            <w:pPr>
              <w:spacing w:line="240" w:lineRule="auto"/>
              <w:jc w:val="left"/>
            </w:pPr>
            <w:r>
              <w:rPr>
                <w:rFonts w:ascii="宋体" w:eastAsia="宋体" w:hAnsi="宋体" w:cs="宋体"/>
                <w:b w:val="0"/>
              </w:rPr>
              <w:t>报告期期间基金拆分变动份额（份额减少以“-”填列）</w:t>
            </w:r>
          </w:p>
        </w:tc>
        <w:tc>
          <w:tcPr>
            <w:tcW w:w="1300" w:type="pct"/>
            <w:vAlign w:val="center"/>
          </w:tcPr>
          <w:p>
            <w:pPr>
              <w:spacing w:line="240" w:lineRule="auto"/>
              <w:jc w:val="right"/>
            </w:pPr>
            <w:r>
              <w:rPr>
                <w:rFonts w:ascii="宋体" w:eastAsia="宋体" w:hAnsi="宋体" w:cs="宋体"/>
                <w:b w:val="0"/>
              </w:rPr>
              <w:t>-</w:t>
            </w:r>
          </w:p>
        </w:tc>
        <w:tc>
          <w:tcPr>
            <w:tcW w:w="1300" w:type="pct"/>
            <w:vAlign w:val="center"/>
          </w:tcPr>
          <w:p>
            <w:pPr>
              <w:spacing w:line="240" w:lineRule="auto"/>
              <w:jc w:val="right"/>
            </w:pPr>
            <w:r>
              <w:rPr>
                <w:rFonts w:ascii="宋体" w:eastAsia="宋体" w:hAnsi="宋体" w:cs="宋体"/>
                <w:b w:val="0"/>
              </w:rPr>
              <w:t>-</w:t>
            </w:r>
          </w:p>
        </w:tc>
      </w:tr>
      <w:tr>
        <w:tblPrEx>
          <w:tblW w:w="5000" w:type="pct"/>
          <w:tblLayout w:type="fixed"/>
        </w:tblPrEx>
        <w:tc>
          <w:tcPr>
            <w:tcW w:w="3021" w:type="dxa"/>
            <w:vAlign w:val="center"/>
          </w:tcPr>
          <w:p>
            <w:pPr>
              <w:spacing w:line="240" w:lineRule="auto"/>
              <w:jc w:val="left"/>
            </w:pPr>
            <w:r>
              <w:rPr>
                <w:rFonts w:ascii="宋体" w:eastAsia="宋体" w:hAnsi="宋体" w:cs="宋体"/>
                <w:b w:val="0"/>
              </w:rPr>
              <w:t>报告期期末基金份额总额</w:t>
            </w:r>
          </w:p>
        </w:tc>
        <w:tc>
          <w:tcPr>
            <w:tcW w:w="1300" w:type="pct"/>
            <w:vAlign w:val="center"/>
          </w:tcPr>
          <w:p>
            <w:pPr>
              <w:spacing w:line="240" w:lineRule="auto"/>
              <w:jc w:val="right"/>
            </w:pPr>
            <w:r>
              <w:rPr>
                <w:rFonts w:ascii="宋体" w:eastAsia="宋体" w:hAnsi="宋体" w:cs="宋体"/>
                <w:b w:val="0"/>
              </w:rPr>
              <w:t>137,603,040.91</w:t>
            </w:r>
          </w:p>
        </w:tc>
        <w:tc>
          <w:tcPr>
            <w:tcW w:w="1300" w:type="pct"/>
            <w:vAlign w:val="center"/>
          </w:tcPr>
          <w:p>
            <w:pPr>
              <w:spacing w:line="240" w:lineRule="auto"/>
              <w:jc w:val="right"/>
            </w:pPr>
            <w:r>
              <w:rPr>
                <w:rFonts w:ascii="宋体" w:eastAsia="宋体" w:hAnsi="宋体" w:cs="宋体"/>
                <w:b w:val="0"/>
              </w:rPr>
              <w:t>484,467,927.38</w:t>
            </w:r>
          </w:p>
        </w:tc>
      </w:tr>
    </w:tbl>
    <w:p>
      <w:pPr>
        <w:pStyle w:val="Heading1"/>
        <w:jc w:val="center"/>
      </w:pPr>
      <w:r>
        <w:rPr>
          <w:rFonts w:ascii="宋体" w:eastAsia="宋体" w:hAnsi="宋体" w:cs="宋体"/>
        </w:rPr>
        <w:t>§7 基金管理人运用固有资金投资本基金情况</w:t>
      </w:r>
    </w:p>
    <w:p>
      <w:pPr>
        <w:pStyle w:val="Heading2"/>
        <w:jc w:val="left"/>
      </w:pPr>
      <w:r>
        <w:rPr>
          <w:rFonts w:ascii="宋体" w:eastAsia="宋体" w:hAnsi="宋体" w:cs="宋体"/>
        </w:rPr>
        <w:t>7.1 基金管理人持有本基金份额变动情况</w:t>
      </w:r>
    </w:p>
    <w:p>
      <w:r>
        <w:rPr>
          <w:rFonts w:ascii="宋体" w:eastAsia="宋体" w:hAnsi="宋体" w:cs="宋体"/>
          <w:b w:val="0"/>
        </w:rPr>
        <w:t xml:space="preserve">    截至本报告期末，本基金管理人未持有本基金份额。</w:t>
      </w:r>
    </w:p>
    <w:p/>
    <w:p>
      <w:pPr>
        <w:pStyle w:val="Heading2"/>
        <w:jc w:val="left"/>
      </w:pPr>
      <w:r>
        <w:rPr>
          <w:rFonts w:ascii="宋体" w:eastAsia="宋体" w:hAnsi="宋体" w:cs="宋体"/>
        </w:rPr>
        <w:t>7.2 基金管理人运用固有资金投资本基金交易明细</w:t>
      </w:r>
    </w:p>
    <w:p>
      <w:r>
        <w:rPr>
          <w:rFonts w:ascii="宋体" w:eastAsia="宋体" w:hAnsi="宋体" w:cs="宋体"/>
          <w:b w:val="0"/>
        </w:rPr>
        <w:t xml:space="preserve">    本报告期内，本基金管理人未运用固有资金投资本基金。</w:t>
      </w:r>
    </w:p>
    <w:p>
      <w:pPr>
        <w:pStyle w:val="Heading1"/>
        <w:jc w:val="center"/>
      </w:pPr>
      <w:r>
        <w:rPr>
          <w:rFonts w:ascii="宋体" w:eastAsia="宋体" w:hAnsi="宋体" w:cs="宋体"/>
        </w:rPr>
        <w:t>§8 报告期末发起式基金发起资金持有份额情况</w:t>
      </w:r>
    </w:p>
    <w:p>
      <w:r>
        <w:rPr>
          <w:rFonts w:ascii="宋体" w:eastAsia="宋体" w:hAnsi="宋体" w:cs="宋体"/>
          <w:b w:val="0"/>
        </w:rPr>
        <w:t xml:space="preserve">    本基金基金合同于2018年02月08日生效。根据本基金基金合同的约定，发起资金认购本基金金额不少于1000万元，且发起资金认购的基金份额持有期限自基金合同生效日起不少于3年。自基金合同生效日起至本报告期末，发起资金认购的本基金基金份额持有期限已满3年。</w:t>
      </w:r>
    </w:p>
    <w:p>
      <w:pPr>
        <w:pStyle w:val="Heading1"/>
        <w:jc w:val="center"/>
      </w:pPr>
      <w:r>
        <w:rPr>
          <w:rFonts w:ascii="宋体" w:eastAsia="宋体" w:hAnsi="宋体" w:cs="宋体"/>
        </w:rPr>
        <w:t>§9 影响投资者决策的其他重要信息</w:t>
      </w:r>
    </w:p>
    <w:p>
      <w:pPr>
        <w:pStyle w:val="Heading2"/>
        <w:jc w:val="left"/>
      </w:pPr>
      <w:r>
        <w:rPr>
          <w:rFonts w:ascii="宋体" w:eastAsia="宋体" w:hAnsi="宋体" w:cs="宋体"/>
        </w:rPr>
        <w:t>9.1 报告期内单一投资者持有基金份额比例达到或超过20%的情况</w:t>
      </w:r>
    </w:p>
    <w:p>
      <w:r>
        <w:rPr>
          <w:rFonts w:ascii="宋体" w:eastAsia="宋体" w:hAnsi="宋体" w:cs="宋体"/>
          <w:b w:val="0"/>
        </w:rPr>
        <w:t xml:space="preserve">    本报告期内，本基金不存在单一投资者持有基金份额比例达到或超过20%的情况。</w:t>
      </w:r>
    </w:p>
    <w:p/>
    <w:p>
      <w:pPr>
        <w:pStyle w:val="Heading2"/>
        <w:jc w:val="left"/>
      </w:pPr>
      <w:r>
        <w:rPr>
          <w:rFonts w:ascii="宋体" w:eastAsia="宋体" w:hAnsi="宋体" w:cs="宋体"/>
        </w:rPr>
        <w:t>9.2 影响投资者决策的其他重要信息</w:t>
      </w:r>
    </w:p>
    <w:p>
      <w:r>
        <w:rPr>
          <w:rFonts w:ascii="宋体" w:eastAsia="宋体" w:hAnsi="宋体" w:cs="宋体"/>
          <w:b w:val="0"/>
        </w:rPr>
        <w:t xml:space="preserve">    无。</w:t>
      </w:r>
    </w:p>
    <w:p>
      <w:pPr>
        <w:pStyle w:val="Heading1"/>
        <w:jc w:val="center"/>
      </w:pPr>
      <w:r>
        <w:rPr>
          <w:rFonts w:ascii="宋体" w:eastAsia="宋体" w:hAnsi="宋体" w:cs="宋体"/>
        </w:rPr>
        <w:t>§10 备查文件目录</w:t>
      </w:r>
    </w:p>
    <w:p>
      <w:pPr>
        <w:pStyle w:val="Heading2"/>
        <w:jc w:val="left"/>
      </w:pPr>
      <w:r>
        <w:rPr>
          <w:rFonts w:ascii="宋体" w:eastAsia="宋体" w:hAnsi="宋体" w:cs="宋体"/>
        </w:rPr>
        <w:t>10.1 备查文件目录</w:t>
      </w:r>
    </w:p>
    <w:p>
      <w:r>
        <w:rPr>
          <w:rFonts w:ascii="宋体" w:eastAsia="宋体" w:hAnsi="宋体" w:cs="宋体"/>
          <w:b w:val="0"/>
        </w:rPr>
        <w:t xml:space="preserve">    1、中国证券监督管理委员会批准的东方阿尔法精选灵活配置混合型发起式证券投资基金设立的文件；</w:t>
        <w:br/>
      </w:r>
      <w:r>
        <w:rPr>
          <w:rFonts w:ascii="宋体" w:eastAsia="宋体" w:hAnsi="宋体" w:cs="宋体"/>
          <w:b w:val="0"/>
        </w:rPr>
        <w:t xml:space="preserve">    2、《东方阿尔法精选灵活配置混合型发起式证券投资基金基金合同》；</w:t>
        <w:br/>
      </w:r>
      <w:r>
        <w:rPr>
          <w:rFonts w:ascii="宋体" w:eastAsia="宋体" w:hAnsi="宋体" w:cs="宋体"/>
          <w:b w:val="0"/>
        </w:rPr>
        <w:t xml:space="preserve">    3、《东方阿尔法精选灵活配置混合型发起式证券投资基金托管协议》；</w:t>
        <w:br/>
      </w:r>
      <w:r>
        <w:rPr>
          <w:rFonts w:ascii="宋体" w:eastAsia="宋体" w:hAnsi="宋体" w:cs="宋体"/>
          <w:b w:val="0"/>
        </w:rPr>
        <w:t xml:space="preserve">    4、《东方阿尔法精选灵活配置混合型发起式证券投资基金招募说明书》（含更新）；</w:t>
        <w:br/>
      </w:r>
      <w:r>
        <w:rPr>
          <w:rFonts w:ascii="宋体" w:eastAsia="宋体" w:hAnsi="宋体" w:cs="宋体"/>
          <w:b w:val="0"/>
        </w:rPr>
        <w:t xml:space="preserve">    5、基金管理人业务资格批件和营业执照。</w:t>
      </w:r>
    </w:p>
    <w:p/>
    <w:p>
      <w:pPr>
        <w:pStyle w:val="Heading2"/>
        <w:jc w:val="left"/>
      </w:pPr>
      <w:r>
        <w:rPr>
          <w:rFonts w:ascii="宋体" w:eastAsia="宋体" w:hAnsi="宋体" w:cs="宋体"/>
        </w:rPr>
        <w:t>10.2 存放地点</w:t>
      </w:r>
    </w:p>
    <w:p>
      <w:r>
        <w:rPr>
          <w:rFonts w:ascii="宋体" w:eastAsia="宋体" w:hAnsi="宋体" w:cs="宋体"/>
          <w:b w:val="0"/>
        </w:rPr>
        <w:t xml:space="preserve">    广东省深圳市深南大道6008号深圳特区报业大厦23BC。</w:t>
      </w:r>
    </w:p>
    <w:p/>
    <w:p>
      <w:pPr>
        <w:pStyle w:val="Heading2"/>
        <w:jc w:val="left"/>
      </w:pPr>
      <w:r>
        <w:rPr>
          <w:rFonts w:ascii="宋体" w:eastAsia="宋体" w:hAnsi="宋体" w:cs="宋体"/>
        </w:rPr>
        <w:t>10.3 查阅方式</w:t>
      </w:r>
    </w:p>
    <w:p>
      <w:r>
        <w:rPr>
          <w:rFonts w:ascii="宋体" w:eastAsia="宋体" w:hAnsi="宋体" w:cs="宋体"/>
          <w:b w:val="0"/>
        </w:rPr>
        <w:t xml:space="preserve">    1、投资者可在营业时间免费查阅，也可按工本费购买复印件。</w:t>
        <w:br/>
      </w:r>
      <w:r>
        <w:rPr>
          <w:rFonts w:ascii="宋体" w:eastAsia="宋体" w:hAnsi="宋体" w:cs="宋体"/>
          <w:b w:val="0"/>
        </w:rPr>
        <w:t xml:space="preserve">    2、投资者对本报告书如有疑问，可咨询本基金管理人东方阿尔法基金管理有限公司，客户服务电话：400-930-6677（免长途话费）。</w:t>
        <w:br/>
      </w:r>
      <w:r>
        <w:rPr>
          <w:rFonts w:ascii="宋体" w:eastAsia="宋体" w:hAnsi="宋体" w:cs="宋体"/>
          <w:b w:val="0"/>
        </w:rPr>
        <w:t xml:space="preserve">    3、投资者可通过中国证监会基金电子披露网站（http://eid.csrc.gov.cn/fund/）和基金管理人网站（https://www.dfa66.com）查阅本报告书。</w:t>
      </w:r>
    </w:p>
    <w:p/>
    <w:p/>
    <w:p/>
    <w:p>
      <w:pPr>
        <w:jc w:val="right"/>
      </w:pPr>
      <w:r>
        <w:rPr>
          <w:rFonts w:ascii="宋体" w:eastAsia="宋体" w:hAnsi="宋体" w:cs="宋体"/>
          <w:b/>
        </w:rPr>
        <w:t>东方阿尔法基金管理有限公司</w:t>
      </w:r>
    </w:p>
    <w:p>
      <w:pPr>
        <w:jc w:val="right"/>
      </w:pPr>
      <w:r>
        <w:rPr>
          <w:rFonts w:ascii="宋体" w:eastAsia="宋体" w:hAnsi="宋体" w:cs="宋体"/>
          <w:b/>
        </w:rPr>
        <w:t>二〇二六年十月二十六日</w:t>
      </w:r>
    </w:p>
    <w:sectPr w:rsidSect="000B0ABB">
      <w:headerReference w:type="even" r:id="rId8"/>
      <w:headerReference w:type="default" r:id="rId9"/>
      <w:footerReference w:type="even" r:id="rId10"/>
      <w:footerReference w:type="default" r:id="rId11"/>
      <w:headerReference w:type="first" r:id="rId12"/>
      <w:footerReference w:type="first" r:id="rId13"/>
      <w:pgSz w:w="11906" w:h="16838"/>
      <w:pgMar w:top="1440" w:right="1418" w:bottom="1440" w:left="1418" w:header="851" w:footer="992" w:gutter="0"/>
      <w:pgNumType w:start="0"/>
      <w:cols w:space="425"/>
      <w:titlePg/>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0325" w14:paraId="4DC36F2E" w14:textId="77777777">
    <w:pPr>
      <w:pStyle w:val="Dat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6EB6" w:rsidRPr="00BB3931" w14:paraId="0C910235" w14:textId="1E8BACBC">
    <w:pPr>
      <w:pBdr>
        <w:top w:val="single" w:sz="2" w:space="0" w:color="auto"/>
      </w:pBdr>
      <w:tabs>
        <w:tab w:val="right" w:pos="8640"/>
      </w:tabs>
      <w:jc w:val="center"/>
      <w:textAlignment w:val="center"/>
      <w:rPr>
        <w:rFonts w:ascii="宋体" w:eastAsia="宋体" w:hAnsi="宋体"/>
        <w:sz w:val="20"/>
        <w:szCs w:val="20"/>
      </w:rPr>
    </w:pPr>
    <w:r w:rsidRPr="00BB3931">
      <w:rPr>
        <w:rFonts w:ascii="宋体" w:eastAsia="宋体" w:hAnsi="宋体" w:cs="宋体" w:hint="eastAsia"/>
        <w:sz w:val="20"/>
        <w:szCs w:val="20"/>
        <w:lang w:bidi="ar"/>
      </w:rPr>
      <w:t>第</w:t>
    </w:r>
    <w:r w:rsidRPr="00BB3931">
      <w:rPr>
        <w:rFonts w:ascii="宋体" w:eastAsia="宋体" w:hAnsi="宋体" w:cs="Times New Roman" w:hint="eastAsia"/>
        <w:sz w:val="20"/>
        <w:szCs w:val="20"/>
        <w:lang w:bidi="ar"/>
      </w:rPr>
      <w:fldChar w:fldCharType="begin"/>
    </w:r>
    <w:r w:rsidRPr="00BB3931">
      <w:rPr>
        <w:rFonts w:ascii="宋体" w:eastAsia="宋体" w:hAnsi="宋体" w:cs="宋体" w:hint="eastAsia"/>
        <w:sz w:val="20"/>
        <w:szCs w:val="20"/>
        <w:lang w:bidi="ar"/>
      </w:rPr>
      <w:instrText>PAGE  \* MERGEFORMAT</w:instrText>
    </w:r>
    <w:r w:rsidRPr="00BB3931">
      <w:rPr>
        <w:rFonts w:ascii="宋体" w:eastAsia="宋体" w:hAnsi="宋体" w:cs="Times New Roman" w:hint="eastAsia"/>
        <w:sz w:val="20"/>
        <w:szCs w:val="20"/>
        <w:lang w:bidi="ar"/>
      </w:rPr>
      <w:fldChar w:fldCharType="separate"/>
    </w:r>
    <w:r w:rsidRPr="00BB3931" w:rsidR="00421707">
      <w:rPr>
        <w:rFonts w:ascii="宋体" w:eastAsia="宋体" w:hAnsi="宋体" w:cs="宋体"/>
        <w:noProof/>
        <w:sz w:val="20"/>
        <w:szCs w:val="20"/>
        <w:lang w:bidi="ar"/>
      </w:rPr>
      <w:t>2</w:t>
    </w:r>
    <w:r w:rsidRPr="00BB3931">
      <w:rPr>
        <w:rFonts w:ascii="宋体" w:eastAsia="宋体" w:hAnsi="宋体" w:cs="宋体" w:hint="eastAsia"/>
        <w:sz w:val="20"/>
        <w:szCs w:val="20"/>
        <w:lang w:bidi="ar"/>
      </w:rPr>
      <w:fldChar w:fldCharType="end"/>
    </w:r>
    <w:r w:rsidRPr="00BB3931">
      <w:rPr>
        <w:rFonts w:ascii="宋体" w:eastAsia="宋体" w:hAnsi="宋体" w:cs="宋体" w:hint="eastAsia"/>
        <w:sz w:val="20"/>
        <w:szCs w:val="20"/>
        <w:lang w:bidi="ar"/>
      </w:rPr>
      <w:t>页</w:t>
    </w:r>
    <w:r w:rsidRPr="00BB3931" w:rsidR="00FA6399">
      <w:rPr>
        <w:rFonts w:ascii="宋体" w:eastAsia="宋体" w:hAnsi="宋体" w:cs="宋体" w:hint="eastAsia"/>
        <w:sz w:val="20"/>
        <w:szCs w:val="20"/>
        <w:lang w:bidi="ar"/>
      </w:rPr>
      <w:t>，</w:t>
    </w:r>
    <w:r w:rsidRPr="00BB3931">
      <w:rPr>
        <w:rFonts w:ascii="宋体" w:eastAsia="宋体" w:hAnsi="宋体" w:cs="宋体" w:hint="eastAsia"/>
        <w:sz w:val="20"/>
        <w:szCs w:val="20"/>
        <w:lang w:bidi="ar"/>
      </w:rPr>
      <w:t>共</w:t>
    </w:r>
    <w:r w:rsidRPr="00BB3931">
      <w:rPr>
        <w:rFonts w:ascii="宋体" w:eastAsia="宋体" w:hAnsi="宋体" w:cs="Times New Roman" w:hint="eastAsia"/>
        <w:sz w:val="20"/>
        <w:szCs w:val="20"/>
        <w:lang w:bidi="ar"/>
      </w:rPr>
      <w:fldChar w:fldCharType="begin"/>
    </w:r>
    <w:r w:rsidRPr="00BB3931" w:rsidR="00210325">
      <w:rPr>
        <w:rFonts w:ascii="宋体" w:eastAsia="宋体" w:hAnsi="宋体" w:cs="Times New Roman"/>
        <w:sz w:val="20"/>
        <w:szCs w:val="20"/>
        <w:lang w:bidi="ar"/>
      </w:rPr>
      <w:instrText>=</w:instrText>
    </w:r>
    <w:r w:rsidRPr="00BB3931" w:rsidR="00210325">
      <w:rPr>
        <w:rFonts w:ascii="宋体" w:eastAsia="宋体" w:hAnsi="宋体" w:cs="宋体"/>
        <w:sz w:val="20"/>
        <w:szCs w:val="20"/>
        <w:lang w:bidi="ar"/>
      </w:rPr>
      <w:fldChar w:fldCharType="begin"/>
    </w:r>
    <w:r w:rsidRPr="00BB3931" w:rsidR="00210325">
      <w:rPr>
        <w:rFonts w:ascii="宋体" w:eastAsia="宋体" w:hAnsi="宋体" w:cs="宋体"/>
        <w:sz w:val="20"/>
        <w:szCs w:val="20"/>
        <w:lang w:bidi="ar"/>
      </w:rPr>
      <w:instrText xml:space="preserve"> </w:instrText>
    </w:r>
    <w:r w:rsidRPr="00BB3931">
      <w:rPr>
        <w:rFonts w:ascii="宋体" w:eastAsia="宋体" w:hAnsi="宋体" w:cs="宋体" w:hint="eastAsia"/>
        <w:sz w:val="20"/>
        <w:szCs w:val="20"/>
        <w:lang w:bidi="ar"/>
      </w:rPr>
      <w:instrText>NUMPAGES</w:instrText>
    </w:r>
    <w:r w:rsidRPr="00BB3931" w:rsidR="00210325">
      <w:rPr>
        <w:rFonts w:ascii="宋体" w:eastAsia="宋体" w:hAnsi="宋体" w:cs="宋体"/>
        <w:sz w:val="20"/>
        <w:szCs w:val="20"/>
        <w:lang w:bidi="ar"/>
      </w:rPr>
      <w:instrText xml:space="preserve"> </w:instrText>
    </w:r>
    <w:r w:rsidRPr="00BB3931" w:rsidR="00210325">
      <w:rPr>
        <w:rFonts w:ascii="宋体" w:eastAsia="宋体" w:hAnsi="宋体" w:cs="宋体"/>
        <w:sz w:val="20"/>
        <w:szCs w:val="20"/>
        <w:lang w:bidi="ar"/>
      </w:rPr>
      <w:fldChar w:fldCharType="separate"/>
    </w:r>
    <w:r w:rsidR="00F07C93">
      <w:rPr>
        <w:rFonts w:ascii="宋体" w:eastAsia="宋体" w:hAnsi="宋体" w:cs="宋体"/>
        <w:noProof/>
        <w:sz w:val="20"/>
        <w:szCs w:val="20"/>
        <w:lang w:bidi="ar"/>
      </w:rPr>
      <w:instrText>2</w:instrText>
    </w:r>
    <w:r w:rsidRPr="00BB3931" w:rsidR="00210325">
      <w:rPr>
        <w:rFonts w:ascii="宋体" w:eastAsia="宋体" w:hAnsi="宋体" w:cs="宋体"/>
        <w:sz w:val="20"/>
        <w:szCs w:val="20"/>
        <w:lang w:bidi="ar"/>
      </w:rPr>
      <w:fldChar w:fldCharType="end"/>
    </w:r>
    <w:r w:rsidRPr="00BB3931" w:rsidR="00210325">
      <w:rPr>
        <w:rFonts w:ascii="宋体" w:eastAsia="宋体" w:hAnsi="宋体" w:cs="宋体"/>
        <w:sz w:val="20"/>
        <w:szCs w:val="20"/>
        <w:lang w:bidi="ar"/>
      </w:rPr>
      <w:instrText>-1</w:instrText>
    </w:r>
    <w:r w:rsidRPr="00BB3931">
      <w:rPr>
        <w:rFonts w:ascii="宋体" w:eastAsia="宋体" w:hAnsi="宋体" w:cs="Times New Roman" w:hint="eastAsia"/>
        <w:sz w:val="20"/>
        <w:szCs w:val="20"/>
        <w:lang w:bidi="ar"/>
      </w:rPr>
      <w:fldChar w:fldCharType="separate"/>
    </w:r>
    <w:r w:rsidR="00F07C93">
      <w:rPr>
        <w:rFonts w:ascii="宋体" w:eastAsia="宋体" w:hAnsi="宋体" w:cs="Times New Roman"/>
        <w:noProof/>
        <w:sz w:val="20"/>
        <w:szCs w:val="20"/>
        <w:lang w:bidi="ar"/>
      </w:rPr>
      <w:t>1</w:t>
    </w:r>
    <w:r w:rsidRPr="00BB3931">
      <w:rPr>
        <w:rFonts w:ascii="宋体" w:eastAsia="宋体" w:hAnsi="宋体" w:cs="宋体" w:hint="eastAsia"/>
        <w:sz w:val="20"/>
        <w:szCs w:val="20"/>
        <w:lang w:bidi="ar"/>
      </w:rPr>
      <w:fldChar w:fldCharType="end"/>
    </w:r>
    <w:r w:rsidRPr="00BB3931">
      <w:rPr>
        <w:rFonts w:ascii="宋体" w:eastAsia="宋体" w:hAnsi="宋体" w:cs="宋体" w:hint="eastAsia"/>
        <w:sz w:val="20"/>
        <w:szCs w:val="20"/>
        <w:lang w:bidi="ar"/>
      </w:rPr>
      <w:t>页</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0325" w14:paraId="26604EC9" w14:textId="77777777">
    <w:pPr>
      <w:pStyle w:val="Date"/>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0325" w14:paraId="4A3BB55B"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6EB6" w:rsidRPr="00A53CFE" w14:paraId="53998A64" w14:textId="77777777">
    <w:pPr>
      <w:pBdr>
        <w:bottom w:val="single" w:sz="4" w:space="1" w:color="auto"/>
      </w:pBdr>
      <w:jc w:val="right"/>
      <w:rPr>
        <w:rFonts w:ascii="宋体" w:eastAsia="宋体" w:hAnsi="宋体"/>
      </w:rPr>
    </w:pPr>
    <w:r w:rsidRPr="00A53CFE">
      <w:rPr>
        <w:rFonts w:ascii="宋体" w:eastAsia="宋体" w:hAnsi="宋体" w:hint="eastAsia"/>
        <w:sz w:val="18"/>
      </w:rPr>
      <w:t>东方阿尔法精选灵活配置混合型发起式证券投资基金2026年第3季度报告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0325" w14:paraId="0734E7EB" w14:textId="77777777"/>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14F1"/>
    <w:rsid w:val="00031D8B"/>
    <w:rsid w:val="00033BEA"/>
    <w:rsid w:val="00093312"/>
    <w:rsid w:val="000934BF"/>
    <w:rsid w:val="000B0ABB"/>
    <w:rsid w:val="000B14F1"/>
    <w:rsid w:val="000D44F1"/>
    <w:rsid w:val="000F65E0"/>
    <w:rsid w:val="001567AA"/>
    <w:rsid w:val="001663E4"/>
    <w:rsid w:val="001941F0"/>
    <w:rsid w:val="001A0694"/>
    <w:rsid w:val="001A6F82"/>
    <w:rsid w:val="001E49DE"/>
    <w:rsid w:val="001E604E"/>
    <w:rsid w:val="001E72DB"/>
    <w:rsid w:val="00210325"/>
    <w:rsid w:val="00217CEB"/>
    <w:rsid w:val="0026022A"/>
    <w:rsid w:val="00294812"/>
    <w:rsid w:val="002C6A0C"/>
    <w:rsid w:val="002D4665"/>
    <w:rsid w:val="00315609"/>
    <w:rsid w:val="00324653"/>
    <w:rsid w:val="0039693D"/>
    <w:rsid w:val="00396EB6"/>
    <w:rsid w:val="003B4810"/>
    <w:rsid w:val="00421707"/>
    <w:rsid w:val="004245F7"/>
    <w:rsid w:val="00435171"/>
    <w:rsid w:val="0048630B"/>
    <w:rsid w:val="004A5321"/>
    <w:rsid w:val="004F33D8"/>
    <w:rsid w:val="004F7772"/>
    <w:rsid w:val="005037A9"/>
    <w:rsid w:val="00514F66"/>
    <w:rsid w:val="00536F98"/>
    <w:rsid w:val="005370B1"/>
    <w:rsid w:val="0054091C"/>
    <w:rsid w:val="005826D5"/>
    <w:rsid w:val="005B565C"/>
    <w:rsid w:val="005D1F67"/>
    <w:rsid w:val="00657345"/>
    <w:rsid w:val="00686AE6"/>
    <w:rsid w:val="006935A0"/>
    <w:rsid w:val="00695511"/>
    <w:rsid w:val="006C560C"/>
    <w:rsid w:val="007A3B64"/>
    <w:rsid w:val="007B3AFF"/>
    <w:rsid w:val="007F3D78"/>
    <w:rsid w:val="00801225"/>
    <w:rsid w:val="00832DA1"/>
    <w:rsid w:val="008432E9"/>
    <w:rsid w:val="008F2779"/>
    <w:rsid w:val="00917A48"/>
    <w:rsid w:val="0092608A"/>
    <w:rsid w:val="00931CFE"/>
    <w:rsid w:val="009A04DF"/>
    <w:rsid w:val="009A27BD"/>
    <w:rsid w:val="009C2384"/>
    <w:rsid w:val="009C68F3"/>
    <w:rsid w:val="009F43BC"/>
    <w:rsid w:val="00A53CFE"/>
    <w:rsid w:val="00A76644"/>
    <w:rsid w:val="00AB695A"/>
    <w:rsid w:val="00B02205"/>
    <w:rsid w:val="00B659D3"/>
    <w:rsid w:val="00BA1D2B"/>
    <w:rsid w:val="00BB3931"/>
    <w:rsid w:val="00BB5499"/>
    <w:rsid w:val="00BD2190"/>
    <w:rsid w:val="00C05CA1"/>
    <w:rsid w:val="00C06BEF"/>
    <w:rsid w:val="00C1377F"/>
    <w:rsid w:val="00C370BD"/>
    <w:rsid w:val="00C86ED5"/>
    <w:rsid w:val="00CA50CC"/>
    <w:rsid w:val="00CF2DE6"/>
    <w:rsid w:val="00D155B6"/>
    <w:rsid w:val="00D91EBF"/>
    <w:rsid w:val="00DB110D"/>
    <w:rsid w:val="00DE3FE0"/>
    <w:rsid w:val="00E220FA"/>
    <w:rsid w:val="00E44EAD"/>
    <w:rsid w:val="00E6731E"/>
    <w:rsid w:val="00E67AEA"/>
    <w:rsid w:val="00E913D3"/>
    <w:rsid w:val="00EC2CEF"/>
    <w:rsid w:val="00EE18AB"/>
    <w:rsid w:val="00F07C93"/>
    <w:rsid w:val="00F1496B"/>
    <w:rsid w:val="00F32DCB"/>
    <w:rsid w:val="00FA0949"/>
    <w:rsid w:val="00FA22F7"/>
    <w:rsid w:val="00FA6399"/>
    <w:rsid w:val="00FE53D3"/>
    <w:rsid w:val="17FF4F08"/>
    <w:rsid w:val="312016A7"/>
    <w:rsid w:val="328572ED"/>
    <w:rsid w:val="3E9A1429"/>
    <w:rsid w:val="5EE34946"/>
    <w:rsid w:val="62671060"/>
    <w:rsid w:val="67517C74"/>
    <w:rsid w:val="791E22E2"/>
    <w:rsid w:val="7A382AC9"/>
    <w:rsid w:val="7F246E1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D3FFCBC"/>
  <w15:docId w15:val="{D89B03D2-9D7D-433E-9AEE-2EA6D7CF95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1"/>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rsid w:val="00882649"/>
    <w:pPr>
      <w:widowControl w:val="0"/>
      <w:spacing w:line="288" w:lineRule="auto"/>
      <w:jc w:val="both"/>
    </w:pPr>
    <w:rPr>
      <w:rFonts w:eastAsia="宋体"/>
    </w:rPr>
  </w:style>
  <w:style w:type="paragraph" w:styleId="Heading1">
    <w:name w:val="heading 1"/>
    <w:aliases w:val="1"/>
    <w:basedOn w:val="Normal"/>
    <w:next w:val="Normal"/>
    <w:link w:val="10"/>
    <w:uiPriority w:val="9"/>
    <w:qFormat/>
    <w:rsid w:val="001B05B3"/>
    <w:pPr>
      <w:spacing w:before="340" w:after="330" w:line="576" w:lineRule="auto"/>
      <w:jc w:val="center"/>
      <w:outlineLvl w:val="0"/>
    </w:pPr>
    <w:rPr>
      <w:b/>
      <w:bCs/>
      <w:kern w:val="44"/>
      <w:sz w:val="24"/>
      <w:szCs w:val="44"/>
    </w:rPr>
  </w:style>
  <w:style w:type="paragraph" w:styleId="Heading2">
    <w:name w:val="heading 2"/>
    <w:aliases w:val="2"/>
    <w:basedOn w:val="Normal"/>
    <w:next w:val="Normal"/>
    <w:link w:val="20"/>
    <w:uiPriority w:val="9"/>
    <w:unhideWhenUsed/>
    <w:qFormat/>
    <w:rsid w:val="00A5263B"/>
    <w:pPr>
      <w:adjustRightInd w:val="0"/>
      <w:spacing w:line="360" w:lineRule="auto"/>
      <w:jc w:val="left"/>
      <w:outlineLvl w:val="1"/>
    </w:pPr>
    <w:rPr>
      <w:rFonts w:asciiTheme="majorHAnsi" w:hAnsiTheme="majorHAnsi" w:cstheme="majorBidi"/>
      <w:b/>
      <w:bCs/>
      <w:sz w:val="24"/>
      <w:szCs w:val="32"/>
    </w:rPr>
  </w:style>
  <w:style w:type="paragraph" w:styleId="Heading3">
    <w:name w:val="heading 3"/>
    <w:aliases w:val="3"/>
    <w:basedOn w:val="Normal"/>
    <w:next w:val="Normal"/>
    <w:link w:val="30"/>
    <w:uiPriority w:val="9"/>
    <w:unhideWhenUsed/>
    <w:qFormat/>
    <w:rsid w:val="00A5263B"/>
    <w:pPr>
      <w:keepNext/>
      <w:keepLines/>
      <w:spacing w:line="360" w:lineRule="auto"/>
      <w:outlineLvl w:val="2"/>
    </w:pPr>
    <w:rPr>
      <w:b/>
      <w:bCs/>
      <w:sz w:val="24"/>
      <w:szCs w:val="32"/>
    </w:rPr>
  </w:style>
  <w:style w:type="paragraph" w:styleId="Heading4">
    <w:name w:val="heading 4"/>
    <w:basedOn w:val="Normal"/>
    <w:next w:val="Normal"/>
    <w:link w:val="4"/>
    <w:uiPriority w:val="9"/>
    <w:semiHidden/>
    <w:unhideWhenUsed/>
    <w:qFormat/>
    <w:rsid w:val="004A5321"/>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
    <w:name w:val="代码样式"/>
    <w:link w:val="Char"/>
    <w:qFormat/>
    <w:rsid w:val="004A5321"/>
    <w:pPr>
      <w:pBdr>
        <w:top w:val="single" w:sz="4" w:space="1" w:color="auto"/>
        <w:left w:val="single" w:sz="4" w:space="4" w:color="auto"/>
        <w:bottom w:val="single" w:sz="4" w:space="1" w:color="auto"/>
        <w:right w:val="single" w:sz="4" w:space="4" w:color="auto"/>
      </w:pBdr>
      <w:shd w:val="clear" w:color="auto" w:fill="A8D08D" w:themeFill="accent6" w:themeFillTint="99"/>
      <w:spacing w:beforeLines="50" w:afterLines="50"/>
      <w:ind w:left="50" w:right="50" w:leftChars="50" w:rightChars="50"/>
    </w:pPr>
  </w:style>
  <w:style w:type="character" w:customStyle="1" w:styleId="Char">
    <w:name w:val="代码样式 Char"/>
    <w:basedOn w:val="DefaultParagraphFont"/>
    <w:link w:val="a"/>
    <w:qFormat/>
    <w:rsid w:val="004A5321"/>
    <w:rPr>
      <w:shd w:val="clear" w:color="auto" w:fill="A8D08D" w:themeFill="accent6" w:themeFillTint="99"/>
    </w:rPr>
  </w:style>
  <w:style w:type="character" w:customStyle="1" w:styleId="10">
    <w:name w:val="标题 1 字符"/>
    <w:aliases w:val="1 字符"/>
    <w:basedOn w:val="DefaultParagraphFont"/>
    <w:link w:val="Heading1"/>
    <w:uiPriority w:val="9"/>
    <w:qFormat/>
    <w:rsid w:val="001B05B3"/>
    <w:rPr>
      <w:rFonts w:eastAsia="宋体"/>
      <w:b/>
      <w:bCs/>
      <w:kern w:val="44"/>
      <w:sz w:val="24"/>
      <w:szCs w:val="44"/>
    </w:rPr>
  </w:style>
  <w:style w:type="character" w:customStyle="1" w:styleId="20">
    <w:name w:val="标题 2 字符"/>
    <w:aliases w:val="2 字符"/>
    <w:basedOn w:val="DefaultParagraphFont"/>
    <w:link w:val="Heading2"/>
    <w:uiPriority w:val="9"/>
    <w:rsid w:val="00A5263B"/>
    <w:rPr>
      <w:rFonts w:eastAsia="宋体" w:asciiTheme="majorHAnsi" w:hAnsiTheme="majorHAnsi" w:cstheme="majorBidi"/>
      <w:b/>
      <w:bCs/>
      <w:sz w:val="24"/>
      <w:szCs w:val="32"/>
    </w:rPr>
  </w:style>
  <w:style w:type="character" w:customStyle="1" w:styleId="30">
    <w:name w:val="标题 3 字符"/>
    <w:aliases w:val="3 字符"/>
    <w:basedOn w:val="DefaultParagraphFont"/>
    <w:link w:val="Heading3"/>
    <w:uiPriority w:val="9"/>
    <w:rsid w:val="00A5263B"/>
    <w:rPr>
      <w:rFonts w:eastAsia="宋体"/>
      <w:b/>
      <w:bCs/>
      <w:sz w:val="24"/>
      <w:szCs w:val="32"/>
    </w:rPr>
  </w:style>
  <w:style w:type="character" w:customStyle="1" w:styleId="4">
    <w:name w:val="标题 4 字符"/>
    <w:basedOn w:val="DefaultParagraphFont"/>
    <w:link w:val="Heading4"/>
    <w:uiPriority w:val="9"/>
    <w:semiHidden/>
    <w:rsid w:val="004A5321"/>
    <w:rPr>
      <w:rFonts w:asciiTheme="majorHAnsi" w:eastAsiaTheme="majorEastAsia" w:hAnsiTheme="majorHAnsi" w:cstheme="majorBidi"/>
      <w:b/>
      <w:bCs/>
      <w:sz w:val="28"/>
      <w:szCs w:val="28"/>
    </w:rPr>
  </w:style>
  <w:style w:type="paragraph" w:styleId="TOC1">
    <w:name w:val="toc 1"/>
    <w:basedOn w:val="Normal"/>
    <w:next w:val="Normal"/>
    <w:autoRedefine/>
    <w:uiPriority w:val="39"/>
    <w:unhideWhenUsed/>
    <w:rsid w:val="00D309ED"/>
    <w:pPr>
      <w:tabs>
        <w:tab w:val="right" w:leader="dot" w:pos="9060"/>
      </w:tabs>
      <w:spacing w:line="240" w:lineRule="auto"/>
      <w:jc w:val="left"/>
    </w:pPr>
    <w:rPr>
      <w:b/>
      <w:bCs/>
      <w:caps/>
      <w:szCs w:val="20"/>
    </w:rPr>
  </w:style>
  <w:style w:type="paragraph" w:styleId="TOC2">
    <w:name w:val="toc 2"/>
    <w:basedOn w:val="Normal"/>
    <w:next w:val="Normal"/>
    <w:autoRedefine/>
    <w:uiPriority w:val="39"/>
    <w:unhideWhenUsed/>
    <w:rsid w:val="002E045B"/>
    <w:pPr>
      <w:spacing w:line="240" w:lineRule="auto"/>
      <w:ind w:left="210"/>
      <w:jc w:val="left"/>
    </w:pPr>
    <w:rPr>
      <w:smallCaps/>
      <w:szCs w:val="20"/>
    </w:rPr>
  </w:style>
  <w:style w:type="paragraph" w:styleId="TOC3">
    <w:name w:val="toc 3"/>
    <w:basedOn w:val="Normal"/>
    <w:next w:val="Normal"/>
    <w:autoRedefine/>
    <w:uiPriority w:val="39"/>
    <w:unhideWhenUsed/>
    <w:rsid w:val="002E045B"/>
    <w:pPr>
      <w:spacing w:line="240" w:lineRule="auto"/>
      <w:ind w:left="420"/>
      <w:jc w:val="left"/>
    </w:pPr>
    <w:rPr>
      <w:i/>
      <w:iCs/>
      <w:szCs w:val="20"/>
    </w:rPr>
  </w:style>
  <w:style w:type="paragraph" w:styleId="NormalIndent">
    <w:name w:val="Normal Indent"/>
    <w:basedOn w:val="Normal"/>
    <w:link w:val="a0"/>
    <w:uiPriority w:val="99"/>
    <w:semiHidden/>
    <w:unhideWhenUsed/>
    <w:rsid w:val="004A5321"/>
    <w:pPr>
      <w:ind w:firstLine="420" w:firstLineChars="200"/>
    </w:pPr>
  </w:style>
  <w:style w:type="character" w:customStyle="1" w:styleId="a0">
    <w:name w:val="正文缩进 字符"/>
    <w:link w:val="NormalIndent"/>
    <w:uiPriority w:val="99"/>
    <w:semiHidden/>
    <w:qFormat/>
    <w:rsid w:val="004A5321"/>
    <w:rPr>
      <w:rFonts w:asciiTheme="minorHAnsi" w:eastAsiaTheme="minorEastAsia" w:hAnsiTheme="minorHAnsi" w:cstheme="minorBidi"/>
      <w:sz w:val="21"/>
      <w:szCs w:val="22"/>
    </w:rPr>
  </w:style>
  <w:style w:type="paragraph" w:styleId="CommentText">
    <w:name w:val="annotation text"/>
    <w:basedOn w:val="Normal"/>
    <w:link w:val="a1"/>
    <w:uiPriority w:val="99"/>
    <w:semiHidden/>
    <w:unhideWhenUsed/>
    <w:rsid w:val="004A5321"/>
    <w:pPr>
      <w:jc w:val="left"/>
    </w:pPr>
  </w:style>
  <w:style w:type="character" w:customStyle="1" w:styleId="a1">
    <w:name w:val="批注文字 字符"/>
    <w:basedOn w:val="DefaultParagraphFont"/>
    <w:link w:val="CommentText"/>
    <w:uiPriority w:val="99"/>
    <w:semiHidden/>
    <w:rsid w:val="004A5321"/>
    <w:rPr>
      <w:rFonts w:asciiTheme="minorHAnsi" w:eastAsiaTheme="minorEastAsia" w:hAnsiTheme="minorHAnsi" w:cstheme="minorBidi"/>
      <w:sz w:val="21"/>
      <w:szCs w:val="22"/>
    </w:rPr>
  </w:style>
  <w:style w:type="paragraph" w:styleId="Header">
    <w:name w:val="header"/>
    <w:basedOn w:val="Normal"/>
    <w:link w:val="a2"/>
    <w:uiPriority w:val="99"/>
    <w:unhideWhenUsed/>
    <w:rsid w:val="004A5321"/>
    <w:pPr>
      <w:pBdr>
        <w:bottom w:val="single" w:sz="6" w:space="1" w:color="auto"/>
      </w:pBdr>
      <w:tabs>
        <w:tab w:val="center" w:pos="4153"/>
        <w:tab w:val="right" w:pos="8306"/>
      </w:tabs>
      <w:snapToGrid w:val="0"/>
      <w:jc w:val="center"/>
    </w:pPr>
    <w:rPr>
      <w:sz w:val="18"/>
      <w:szCs w:val="18"/>
    </w:rPr>
  </w:style>
  <w:style w:type="character" w:customStyle="1" w:styleId="a2">
    <w:name w:val="页眉 字符"/>
    <w:basedOn w:val="DefaultParagraphFont"/>
    <w:link w:val="Header"/>
    <w:uiPriority w:val="99"/>
    <w:rsid w:val="004A5321"/>
    <w:rPr>
      <w:rFonts w:asciiTheme="minorHAnsi" w:eastAsiaTheme="minorEastAsia" w:hAnsiTheme="minorHAnsi" w:cstheme="minorBidi"/>
      <w:sz w:val="18"/>
      <w:szCs w:val="18"/>
    </w:rPr>
  </w:style>
  <w:style w:type="paragraph" w:styleId="Footer">
    <w:name w:val="footer"/>
    <w:basedOn w:val="Normal"/>
    <w:link w:val="a3"/>
    <w:uiPriority w:val="99"/>
    <w:unhideWhenUsed/>
    <w:rsid w:val="004A5321"/>
    <w:pPr>
      <w:tabs>
        <w:tab w:val="center" w:pos="4153"/>
        <w:tab w:val="right" w:pos="8306"/>
      </w:tabs>
      <w:snapToGrid w:val="0"/>
      <w:jc w:val="left"/>
    </w:pPr>
    <w:rPr>
      <w:sz w:val="18"/>
      <w:szCs w:val="18"/>
    </w:rPr>
  </w:style>
  <w:style w:type="character" w:customStyle="1" w:styleId="a3">
    <w:name w:val="页脚 字符"/>
    <w:basedOn w:val="DefaultParagraphFont"/>
    <w:link w:val="Footer"/>
    <w:uiPriority w:val="99"/>
    <w:rsid w:val="004A5321"/>
    <w:rPr>
      <w:rFonts w:asciiTheme="minorHAnsi" w:eastAsiaTheme="minorEastAsia" w:hAnsiTheme="minorHAnsi" w:cstheme="minorBidi"/>
      <w:sz w:val="18"/>
      <w:szCs w:val="18"/>
    </w:rPr>
  </w:style>
  <w:style w:type="character" w:styleId="CommentReference">
    <w:name w:val="annotation reference"/>
    <w:basedOn w:val="DefaultParagraphFont"/>
    <w:uiPriority w:val="99"/>
    <w:semiHidden/>
    <w:unhideWhenUsed/>
    <w:rsid w:val="004A5321"/>
    <w:rPr>
      <w:sz w:val="21"/>
      <w:szCs w:val="21"/>
    </w:rPr>
  </w:style>
  <w:style w:type="paragraph" w:styleId="BodyText">
    <w:name w:val="Body Text"/>
    <w:basedOn w:val="Normal"/>
    <w:link w:val="a4"/>
    <w:uiPriority w:val="99"/>
    <w:semiHidden/>
    <w:unhideWhenUsed/>
    <w:rsid w:val="004A5321"/>
    <w:pPr>
      <w:spacing w:after="120"/>
    </w:pPr>
  </w:style>
  <w:style w:type="character" w:customStyle="1" w:styleId="a4">
    <w:name w:val="正文文本 字符"/>
    <w:basedOn w:val="DefaultParagraphFont"/>
    <w:link w:val="BodyText"/>
    <w:uiPriority w:val="99"/>
    <w:semiHidden/>
    <w:rsid w:val="004A5321"/>
    <w:rPr>
      <w:rFonts w:asciiTheme="minorHAnsi" w:eastAsiaTheme="minorEastAsia" w:hAnsiTheme="minorHAnsi" w:cstheme="minorBidi"/>
      <w:sz w:val="21"/>
      <w:szCs w:val="22"/>
    </w:rPr>
  </w:style>
  <w:style w:type="paragraph" w:styleId="Date">
    <w:name w:val="Date"/>
    <w:basedOn w:val="Normal"/>
    <w:next w:val="Normal"/>
    <w:link w:val="a5"/>
    <w:uiPriority w:val="99"/>
    <w:semiHidden/>
    <w:unhideWhenUsed/>
    <w:rsid w:val="004A5321"/>
    <w:pPr>
      <w:ind w:left="100" w:leftChars="2500"/>
    </w:pPr>
  </w:style>
  <w:style w:type="character" w:customStyle="1" w:styleId="a5">
    <w:name w:val="日期 字符"/>
    <w:basedOn w:val="DefaultParagraphFont"/>
    <w:link w:val="Date"/>
    <w:uiPriority w:val="99"/>
    <w:semiHidden/>
    <w:rsid w:val="004A5321"/>
    <w:rPr>
      <w:rFonts w:asciiTheme="minorHAnsi" w:eastAsiaTheme="minorEastAsia" w:hAnsiTheme="minorHAnsi" w:cstheme="minorBidi"/>
      <w:sz w:val="21"/>
      <w:szCs w:val="22"/>
    </w:rPr>
  </w:style>
  <w:style w:type="character" w:styleId="Hyperlink">
    <w:name w:val="Hyperlink"/>
    <w:basedOn w:val="DefaultParagraphFont"/>
    <w:uiPriority w:val="99"/>
    <w:unhideWhenUsed/>
    <w:rsid w:val="004A5321"/>
    <w:rPr>
      <w:color w:val="0000FF"/>
      <w:u w:val="single"/>
    </w:rPr>
  </w:style>
  <w:style w:type="character" w:styleId="Strong">
    <w:name w:val="Strong"/>
    <w:basedOn w:val="DefaultParagraphFont"/>
    <w:uiPriority w:val="22"/>
    <w:qFormat/>
    <w:rsid w:val="004A5321"/>
    <w:rPr>
      <w:b/>
      <w:bCs/>
    </w:rPr>
  </w:style>
  <w:style w:type="paragraph" w:styleId="PlainText">
    <w:name w:val="Plain Text"/>
    <w:basedOn w:val="Normal"/>
    <w:link w:val="a6"/>
    <w:uiPriority w:val="99"/>
    <w:semiHidden/>
    <w:unhideWhenUsed/>
    <w:rsid w:val="004A5321"/>
    <w:rPr>
      <w:rFonts w:hAnsi="Courier New" w:asciiTheme="minorEastAsia" w:cs="Courier New"/>
    </w:rPr>
  </w:style>
  <w:style w:type="character" w:customStyle="1" w:styleId="a6">
    <w:name w:val="纯文本 字符"/>
    <w:basedOn w:val="DefaultParagraphFont"/>
    <w:link w:val="PlainText"/>
    <w:uiPriority w:val="99"/>
    <w:semiHidden/>
    <w:rsid w:val="004A5321"/>
    <w:rPr>
      <w:rFonts w:hAnsi="Courier New" w:asciiTheme="minorEastAsia" w:eastAsiaTheme="minorEastAsia" w:cs="Courier New"/>
      <w:sz w:val="21"/>
      <w:szCs w:val="22"/>
    </w:rPr>
  </w:style>
  <w:style w:type="paragraph" w:styleId="NormalWeb">
    <w:name w:val="Normal (Web)"/>
    <w:basedOn w:val="Normal"/>
    <w:uiPriority w:val="99"/>
    <w:semiHidden/>
    <w:unhideWhenUsed/>
    <w:rsid w:val="004A5321"/>
    <w:rPr>
      <w:rFonts w:ascii="Times New Roman" w:hAnsi="Times New Roman" w:cs="宋体"/>
      <w:sz w:val="24"/>
      <w:szCs w:val="24"/>
    </w:rPr>
  </w:style>
  <w:style w:type="character" w:styleId="HTMLCode">
    <w:name w:val="HTML Code"/>
    <w:basedOn w:val="DefaultParagraphFont"/>
    <w:uiPriority w:val="99"/>
    <w:semiHidden/>
    <w:unhideWhenUsed/>
    <w:rsid w:val="004A5321"/>
    <w:rPr>
      <w:rFonts w:ascii="Courier New" w:hAnsi="Courier New" w:cs="Courier New"/>
      <w:sz w:val="20"/>
      <w:szCs w:val="20"/>
    </w:rPr>
  </w:style>
  <w:style w:type="paragraph" w:styleId="CommentSubject">
    <w:name w:val="annotation subject"/>
    <w:basedOn w:val="CommentText"/>
    <w:next w:val="CommentText"/>
    <w:link w:val="a7"/>
    <w:uiPriority w:val="99"/>
    <w:semiHidden/>
    <w:unhideWhenUsed/>
    <w:rsid w:val="004A5321"/>
    <w:rPr>
      <w:b/>
      <w:bCs/>
    </w:rPr>
  </w:style>
  <w:style w:type="character" w:customStyle="1" w:styleId="a7">
    <w:name w:val="批注主题 字符"/>
    <w:basedOn w:val="a1"/>
    <w:link w:val="CommentSubject"/>
    <w:uiPriority w:val="99"/>
    <w:semiHidden/>
    <w:rsid w:val="004A5321"/>
    <w:rPr>
      <w:rFonts w:asciiTheme="minorHAnsi" w:eastAsiaTheme="minorEastAsia" w:hAnsiTheme="minorHAnsi" w:cstheme="minorBidi"/>
      <w:b/>
      <w:bCs/>
      <w:sz w:val="21"/>
      <w:szCs w:val="22"/>
    </w:rPr>
  </w:style>
  <w:style w:type="paragraph" w:styleId="BalloonText">
    <w:name w:val="Balloon Text"/>
    <w:basedOn w:val="Normal"/>
    <w:link w:val="a8"/>
    <w:uiPriority w:val="99"/>
    <w:semiHidden/>
    <w:unhideWhenUsed/>
    <w:rsid w:val="004A5321"/>
    <w:rPr>
      <w:sz w:val="18"/>
      <w:szCs w:val="18"/>
    </w:rPr>
  </w:style>
  <w:style w:type="character" w:customStyle="1" w:styleId="a8">
    <w:name w:val="批注框文本 字符"/>
    <w:basedOn w:val="DefaultParagraphFont"/>
    <w:link w:val="BalloonText"/>
    <w:uiPriority w:val="99"/>
    <w:semiHidden/>
    <w:rsid w:val="004A5321"/>
    <w:rPr>
      <w:rFonts w:asciiTheme="minorHAnsi" w:eastAsiaTheme="minorEastAsia" w:hAnsiTheme="minorHAnsi" w:cstheme="minorBidi"/>
      <w:sz w:val="18"/>
      <w:szCs w:val="18"/>
    </w:rPr>
  </w:style>
  <w:style w:type="table" w:styleId="TableGrid">
    <w:name w:val="Table Grid"/>
    <w:basedOn w:val="TableNormal"/>
    <w:uiPriority w:val="39"/>
    <w:rsid w:val="004A5321"/>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ListAccent1">
    <w:name w:val="Light List Accent 1"/>
    <w:basedOn w:val="TableNormal"/>
    <w:uiPriority w:val="61"/>
    <w:semiHidden/>
    <w:unhideWhenUsed/>
    <w:rsid w:val="004A5321"/>
    <w:rPr>
      <w:rFonts w:ascii="Times New Roman" w:eastAsia="宋体" w:hAnsi="Times New Roman" w:cs="Times New Roman"/>
      <w:kern w:val="0"/>
      <w:sz w:val="20"/>
      <w:szCs w:val="20"/>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paragraph" w:styleId="ListParagraph">
    <w:name w:val="List Paragraph"/>
    <w:basedOn w:val="Normal"/>
    <w:uiPriority w:val="34"/>
    <w:qFormat/>
    <w:rsid w:val="004A5321"/>
    <w:pPr>
      <w:ind w:firstLine="420" w:firstLineChars="200"/>
    </w:pPr>
  </w:style>
  <w:style w:type="paragraph" w:styleId="Title">
    <w:name w:val="Title"/>
    <w:basedOn w:val="Normal"/>
    <w:next w:val="Normal"/>
    <w:link w:val="a9"/>
    <w:uiPriority w:val="10"/>
    <w:qFormat/>
    <w:rsid w:val="004A5321"/>
    <w:pPr>
      <w:spacing w:before="240" w:after="60"/>
      <w:jc w:val="center"/>
      <w:outlineLvl w:val="0"/>
    </w:pPr>
    <w:rPr>
      <w:rFonts w:asciiTheme="majorHAnsi" w:eastAsiaTheme="majorEastAsia" w:hAnsiTheme="majorHAnsi" w:cstheme="majorBidi"/>
      <w:b/>
      <w:bCs/>
      <w:sz w:val="32"/>
      <w:szCs w:val="32"/>
    </w:rPr>
  </w:style>
  <w:style w:type="character" w:customStyle="1" w:styleId="a9">
    <w:name w:val="标题 字符"/>
    <w:basedOn w:val="DefaultParagraphFont"/>
    <w:link w:val="Title"/>
    <w:uiPriority w:val="10"/>
    <w:rsid w:val="004A5321"/>
    <w:rPr>
      <w:rFonts w:asciiTheme="majorHAnsi" w:eastAsiaTheme="majorEastAsia" w:hAnsiTheme="majorHAnsi" w:cstheme="majorBidi"/>
      <w:b/>
      <w:bCs/>
      <w:sz w:val="32"/>
      <w:szCs w:val="32"/>
    </w:rPr>
  </w:style>
  <w:style w:type="paragraph" w:customStyle="1" w:styleId="biaogeleft">
    <w:name w:val="biaoge_left"/>
    <w:basedOn w:val="Normal"/>
    <w:rsid w:val="005C5A2D"/>
    <w:pPr>
      <w:widowControl/>
      <w:autoSpaceDE w:val="0"/>
      <w:autoSpaceDN w:val="0"/>
      <w:adjustRightInd w:val="0"/>
      <w:spacing w:before="29"/>
      <w:ind w:left="15"/>
      <w:jc w:val="left"/>
    </w:pPr>
    <w:rPr>
      <w:rFonts w:ascii="宋体" w:hAnsi="宋体" w:cs="宋体"/>
      <w:kern w:val="0"/>
      <w:szCs w:val="24"/>
    </w:rPr>
  </w:style>
  <w:style w:type="paragraph" w:customStyle="1" w:styleId="biaogecenter">
    <w:name w:val="biaoge_center"/>
    <w:basedOn w:val="Normal"/>
    <w:rsid w:val="005C5A2D"/>
    <w:pPr>
      <w:widowControl/>
      <w:autoSpaceDE w:val="0"/>
      <w:autoSpaceDN w:val="0"/>
      <w:adjustRightInd w:val="0"/>
      <w:spacing w:before="29"/>
      <w:ind w:left="15"/>
      <w:jc w:val="center"/>
    </w:pPr>
    <w:rPr>
      <w:rFonts w:ascii="宋体" w:hAnsi="宋体" w:cs="宋体"/>
      <w:kern w:val="0"/>
      <w:szCs w:val="24"/>
    </w:rPr>
  </w:style>
  <w:style w:type="paragraph" w:customStyle="1" w:styleId="biaogeright">
    <w:name w:val="biaoge_right"/>
    <w:basedOn w:val="Normal"/>
    <w:rsid w:val="005C5A2D"/>
    <w:pPr>
      <w:widowControl/>
      <w:autoSpaceDE w:val="0"/>
      <w:autoSpaceDN w:val="0"/>
      <w:adjustRightInd w:val="0"/>
      <w:spacing w:before="29"/>
      <w:ind w:left="15"/>
      <w:jc w:val="right"/>
    </w:pPr>
    <w:rPr>
      <w:rFonts w:ascii="宋体" w:hAnsi="宋体" w:cs="宋体"/>
      <w:kern w:val="0"/>
      <w:szCs w:val="24"/>
    </w:rPr>
  </w:style>
  <w:style w:type="character" w:customStyle="1" w:styleId="zw">
    <w:name w:val="zw"/>
    <w:basedOn w:val="DefaultParagraphFont"/>
    <w:uiPriority w:val="1"/>
    <w:qFormat/>
    <w:rsid w:val="00EA2BBA"/>
    <w:rPr>
      <w:rFonts w:ascii="宋体" w:eastAsia="宋体" w:hAnsi="宋体"/>
      <w:color w:val="000000" w:themeColor="text1"/>
      <w:sz w:val="21"/>
    </w:rPr>
  </w:style>
  <w:style w:type="paragraph" w:styleId="TOCHeading">
    <w:name w:val="TOC Heading"/>
    <w:basedOn w:val="Heading1"/>
    <w:next w:val="Normal"/>
    <w:uiPriority w:val="39"/>
    <w:unhideWhenUsed/>
    <w:qFormat/>
    <w:rsid w:val="006907AF"/>
    <w:pPr>
      <w:keepNext/>
      <w:keepLines/>
      <w:widowControl/>
      <w:spacing w:before="240" w:line="259" w:lineRule="auto"/>
      <w:jc w:val="left"/>
      <w:outlineLvl w:val="9"/>
    </w:pPr>
    <w:rPr>
      <w:rFonts w:asciiTheme="majorHAnsi" w:eastAsiaTheme="majorEastAsia" w:hAnsiTheme="majorHAnsi" w:cstheme="majorBidi"/>
      <w:b w:val="0"/>
      <w:bCs w:val="0"/>
      <w:color w:val="2E74B5" w:themeColor="accent1" w:themeShade="BF"/>
      <w:kern w:val="0"/>
      <w:sz w:val="32"/>
      <w:szCs w:val="32"/>
    </w:rPr>
  </w:style>
  <w:style w:type="paragraph" w:styleId="TOC4">
    <w:name w:val="toc 4"/>
    <w:basedOn w:val="Normal"/>
    <w:next w:val="Normal"/>
    <w:autoRedefine/>
    <w:uiPriority w:val="39"/>
    <w:unhideWhenUsed/>
    <w:rsid w:val="001A4FE5"/>
    <w:pPr>
      <w:ind w:left="630"/>
      <w:jc w:val="left"/>
    </w:pPr>
    <w:rPr>
      <w:sz w:val="18"/>
      <w:szCs w:val="18"/>
    </w:rPr>
  </w:style>
  <w:style w:type="paragraph" w:styleId="TOC5">
    <w:name w:val="toc 5"/>
    <w:basedOn w:val="Normal"/>
    <w:next w:val="Normal"/>
    <w:autoRedefine/>
    <w:uiPriority w:val="39"/>
    <w:unhideWhenUsed/>
    <w:rsid w:val="001A4FE5"/>
    <w:pPr>
      <w:ind w:left="840"/>
      <w:jc w:val="left"/>
    </w:pPr>
    <w:rPr>
      <w:sz w:val="18"/>
      <w:szCs w:val="18"/>
    </w:rPr>
  </w:style>
  <w:style w:type="paragraph" w:styleId="TOC6">
    <w:name w:val="toc 6"/>
    <w:basedOn w:val="Normal"/>
    <w:next w:val="Normal"/>
    <w:autoRedefine/>
    <w:uiPriority w:val="39"/>
    <w:unhideWhenUsed/>
    <w:rsid w:val="001A4FE5"/>
    <w:pPr>
      <w:ind w:left="1050"/>
      <w:jc w:val="left"/>
    </w:pPr>
    <w:rPr>
      <w:sz w:val="18"/>
      <w:szCs w:val="18"/>
    </w:rPr>
  </w:style>
  <w:style w:type="paragraph" w:styleId="TOC7">
    <w:name w:val="toc 7"/>
    <w:basedOn w:val="Normal"/>
    <w:next w:val="Normal"/>
    <w:autoRedefine/>
    <w:uiPriority w:val="39"/>
    <w:unhideWhenUsed/>
    <w:rsid w:val="001A4FE5"/>
    <w:pPr>
      <w:ind w:left="1260"/>
      <w:jc w:val="left"/>
    </w:pPr>
    <w:rPr>
      <w:sz w:val="18"/>
      <w:szCs w:val="18"/>
    </w:rPr>
  </w:style>
  <w:style w:type="paragraph" w:styleId="TOC8">
    <w:name w:val="toc 8"/>
    <w:basedOn w:val="Normal"/>
    <w:next w:val="Normal"/>
    <w:autoRedefine/>
    <w:uiPriority w:val="39"/>
    <w:unhideWhenUsed/>
    <w:rsid w:val="000160C2"/>
    <w:pPr>
      <w:ind w:left="1470"/>
      <w:jc w:val="left"/>
    </w:pPr>
    <w:rPr>
      <w:rFonts w:eastAsiaTheme="minorHAnsi"/>
      <w:sz w:val="18"/>
      <w:szCs w:val="18"/>
    </w:rPr>
  </w:style>
  <w:style w:type="paragraph" w:styleId="TOC9">
    <w:name w:val="toc 9"/>
    <w:basedOn w:val="Normal"/>
    <w:next w:val="Normal"/>
    <w:autoRedefine/>
    <w:uiPriority w:val="39"/>
    <w:unhideWhenUsed/>
    <w:rsid w:val="000160C2"/>
    <w:pPr>
      <w:ind w:left="1680"/>
      <w:jc w:val="left"/>
    </w:pPr>
    <w:rPr>
      <w:rFonts w:eastAsiaTheme="minorHAnsi"/>
      <w:sz w:val="18"/>
      <w:szCs w:val="18"/>
    </w:rPr>
  </w:style>
  <w:style w:type="paragraph" w:styleId="DocumentMap">
    <w:name w:val="Document Map"/>
    <w:basedOn w:val="Normal"/>
    <w:link w:val="a10"/>
    <w:uiPriority w:val="99"/>
    <w:semiHidden/>
    <w:unhideWhenUsed/>
    <w:rsid w:val="001A4FE5"/>
    <w:rPr>
      <w:rFonts w:ascii="宋体"/>
      <w:sz w:val="18"/>
      <w:szCs w:val="18"/>
    </w:rPr>
  </w:style>
  <w:style w:type="character" w:customStyle="1" w:styleId="a10">
    <w:name w:val="文档结构图 字符"/>
    <w:basedOn w:val="DefaultParagraphFont"/>
    <w:link w:val="DocumentMap"/>
    <w:uiPriority w:val="99"/>
    <w:semiHidden/>
    <w:rsid w:val="001A4FE5"/>
    <w:rPr>
      <w:rFonts w:ascii="宋体" w:eastAsia="宋体"/>
      <w:sz w:val="18"/>
      <w:szCs w:val="18"/>
    </w:rPr>
  </w:style>
  <w:style w:type="paragraph" w:customStyle="1" w:styleId="zhangjiep2">
    <w:name w:val="zhangjie_p2"/>
    <w:basedOn w:val="Heading3"/>
    <w:next w:val="Normal"/>
    <w:autoRedefine/>
    <w:qFormat/>
    <w:rsid w:val="005A2F39"/>
    <w:pPr>
      <w:spacing w:line="240" w:lineRule="auto"/>
      <w:jc w:val="left"/>
    </w:pPr>
    <w:rPr>
      <w:bCs w:val="0"/>
      <w:iCs/>
      <w:caps/>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image" Target="media/image1.jpeg" /><Relationship Id="rId7" Type="http://schemas.openxmlformats.org/officeDocument/2006/relationships/image" Target="media/image2.jpeg" /><Relationship Id="rId8" Type="http://schemas.openxmlformats.org/officeDocument/2006/relationships/header" Target="header1.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090AC41-F1FC-4D08-9FC0-94272FA532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TotalTime>
  <Pages>2</Pages>
  <Words>24</Words>
  <Characters>139</Characters>
  <Application>Microsoft Office Word</Application>
  <DocSecurity>0</DocSecurity>
  <Lines>1</Lines>
  <Paragraphs>1</Paragraphs>
  <ScaleCrop>false</ScaleCrop>
  <Company/>
  <LinksUpToDate>false</LinksUpToDate>
  <CharactersWithSpaces>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李思佳</cp:lastModifiedBy>
  <cp:revision>8</cp:revision>
  <dcterms:created xsi:type="dcterms:W3CDTF">2020-03-27T02:14:00Z</dcterms:created>
  <dcterms:modified xsi:type="dcterms:W3CDTF">2024-12-03T03:02:00Z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2052-11.1.0.9584</vt:lpwstr>
  </property>
</Properties>
</file>