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东方阿尔法优选混合型发起式证券投资基金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东方阿尔法优选混合</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007518</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2019年09月12日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382,457,163.83份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在严格控制风险的基础之上，通过深入研究、优选个股、主动的投资管理方式力求实现组合资产的稳健增值。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本基金的投资策略主要有以下8个方面内容：</w:t>
              <w:br/>
            </w:r>
            <w:r>
              <w:rPr>
                <w:rFonts w:ascii="宋体" w:eastAsia="宋体" w:hAnsi="宋体" w:cs="宋体"/>
                <w:b w:val="0"/>
              </w:rPr>
              <w:t>1、大类资产配置策略</w:t>
              <w:br/>
            </w:r>
            <w:r>
              <w:rPr>
                <w:rFonts w:ascii="宋体" w:eastAsia="宋体" w:hAnsi="宋体" w:cs="宋体"/>
                <w:b w:val="0"/>
              </w:rPr>
              <w:t>基金管理人将根据国内外宏观经济情况、国内外证券市场估值水平阶段性不断调整权益类资产和其他资产之间的大类资产配置比例。</w:t>
              <w:br/>
            </w:r>
            <w:r>
              <w:rPr>
                <w:rFonts w:ascii="宋体" w:eastAsia="宋体" w:hAnsi="宋体" w:cs="宋体"/>
                <w:b w:val="0"/>
              </w:rPr>
              <w:t>2、个股优选策略</w:t>
              <w:br/>
            </w:r>
            <w:r>
              <w:rPr>
                <w:rFonts w:ascii="宋体" w:eastAsia="宋体" w:hAnsi="宋体" w:cs="宋体"/>
                <w:b w:val="0"/>
              </w:rPr>
              <w:t>基金管理人将采用定量分析与定性分析相结合的方式对上市公司进行分析，建立备选股票池，并以备选股票池成份股未来两年的PE衡量动态性价比作为选择其进入投资组合的重要依据。</w:t>
              <w:br/>
            </w:r>
            <w:r>
              <w:rPr>
                <w:rFonts w:ascii="宋体" w:eastAsia="宋体" w:hAnsi="宋体" w:cs="宋体"/>
                <w:b w:val="0"/>
              </w:rPr>
              <w:t>3、港股投资策略</w:t>
              <w:br/>
            </w:r>
            <w:r>
              <w:rPr>
                <w:rFonts w:ascii="宋体" w:eastAsia="宋体" w:hAnsi="宋体" w:cs="宋体"/>
                <w:b w:val="0"/>
              </w:rPr>
              <w:t>本基金港股投资将重点关注A股稀缺性行业个股，包括优质中资公司、A股缺乏投资标的行业；具有持续领先优势或核心竞争力的企业；符合内地政策和投资逻辑的主题性行业个股；与A股同类公司相比具有估值优势的公司。</w:t>
              <w:br/>
            </w:r>
            <w:r>
              <w:rPr>
                <w:rFonts w:ascii="宋体" w:eastAsia="宋体" w:hAnsi="宋体" w:cs="宋体"/>
                <w:b w:val="0"/>
              </w:rPr>
              <w:t>4、存托凭证投资策略</w:t>
              <w:br/>
            </w:r>
            <w:r>
              <w:rPr>
                <w:rFonts w:ascii="宋体" w:eastAsia="宋体" w:hAnsi="宋体" w:cs="宋体"/>
                <w:b w:val="0"/>
              </w:rPr>
              <w:t>本基金可投资存托凭证，本基金将在深入研究的基础上，通过定性分析和定量分析相结合的方式，选择投资价值高的存托凭证进行投资。</w:t>
              <w:br/>
            </w:r>
            <w:r>
              <w:rPr>
                <w:rFonts w:ascii="宋体" w:eastAsia="宋体" w:hAnsi="宋体" w:cs="宋体"/>
                <w:b w:val="0"/>
              </w:rPr>
              <w:t>5、债券类资产投资策略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6、股指期货投资策略</w:t>
              <w:br/>
            </w:r>
            <w:r>
              <w:rPr>
                <w:rFonts w:ascii="宋体" w:eastAsia="宋体" w:hAnsi="宋体" w:cs="宋体"/>
                <w:b w:val="0"/>
              </w:rPr>
              <w:t>本基金投资股指期货将以投资组合避险和有效管理为目的，通过套期保值策略，对冲系统性风险，应对组合构建与调整中的流动性风险，力求风险收益的优化。</w:t>
              <w:br/>
            </w:r>
            <w:r>
              <w:rPr>
                <w:rFonts w:ascii="宋体" w:eastAsia="宋体" w:hAnsi="宋体" w:cs="宋体"/>
                <w:b w:val="0"/>
              </w:rPr>
              <w:t>7、融资业务的投资策略</w:t>
              <w:br/>
            </w:r>
            <w:r>
              <w:rPr>
                <w:rFonts w:ascii="宋体" w:eastAsia="宋体" w:hAnsi="宋体" w:cs="宋体"/>
                <w:b w:val="0"/>
              </w:rPr>
              <w:t>本基金参与融资业务，将综合考虑融资成本、保证金比例、冲抵保证金证券折算率、信用资质等条选择合适的交易对手方。同时，在保障基金投资组合充足流动性以及有效控制融资杠杆风险的前提下，确定融资比例。</w:t>
              <w:br/>
            </w:r>
            <w:r>
              <w:rPr>
                <w:rFonts w:ascii="宋体" w:eastAsia="宋体" w:hAnsi="宋体" w:cs="宋体"/>
                <w:b w:val="0"/>
              </w:rPr>
              <w:t>8、国债期货的投资策略</w:t>
              <w:br/>
            </w:r>
            <w:r>
              <w:rPr>
                <w:rFonts w:ascii="宋体" w:eastAsia="宋体" w:hAnsi="宋体" w:cs="宋体"/>
                <w:b w:val="0"/>
              </w:rPr>
              <w:t>基金管理人将结合对宏观经济形势和政策趋势的判断、对债券市场进行定性和定量分析，构建量化分析体系，在最大限度保证基金资产安全的基础上，力求实现所资产的长期稳定增值。</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中证800指数收益率×80%+中证综合债券指数收益率×10%+恒生指数收益率×10%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东方阿尔法优选混合A</w:t>
            </w:r>
          </w:p>
        </w:tc>
        <w:tc>
          <w:tcPr>
            <w:tcW w:w="1500" w:type="pct"/>
            <w:vAlign w:val="center"/>
          </w:tcPr>
          <w:p>
            <w:pPr>
              <w:spacing w:line="240" w:lineRule="auto"/>
              <w:jc w:val="left"/>
            </w:pPr>
            <w:r>
              <w:rPr>
                <w:rFonts w:ascii="宋体" w:eastAsia="宋体" w:hAnsi="宋体" w:cs="宋体"/>
                <w:b w:val="0"/>
              </w:rPr>
              <w:t>东方阿尔法优选混合C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007518</w:t>
            </w:r>
          </w:p>
        </w:tc>
        <w:tc>
          <w:tcPr>
            <w:tcW w:w="1500" w:type="pct"/>
            <w:vAlign w:val="center"/>
          </w:tcPr>
          <w:p>
            <w:pPr>
              <w:spacing w:line="240" w:lineRule="auto"/>
              <w:jc w:val="left"/>
            </w:pPr>
            <w:r>
              <w:rPr>
                <w:rFonts w:ascii="宋体" w:eastAsia="宋体" w:hAnsi="宋体" w:cs="宋体"/>
                <w:b w:val="0"/>
              </w:rPr>
              <w:t>007519</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51,698,247.35份</w:t>
            </w:r>
          </w:p>
        </w:tc>
        <w:tc>
          <w:tcPr>
            <w:tcW w:w="1500" w:type="pct"/>
            <w:vAlign w:val="center"/>
          </w:tcPr>
          <w:p>
            <w:pPr>
              <w:spacing w:line="240" w:lineRule="auto"/>
              <w:jc w:val="left"/>
            </w:pPr>
            <w:r>
              <w:rPr>
                <w:rFonts w:ascii="宋体" w:eastAsia="宋体" w:hAnsi="宋体" w:cs="宋体"/>
                <w:b w:val="0"/>
              </w:rPr>
              <w:t>330,758,916.48份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东方阿尔法优选混合A</w:t>
            </w:r>
          </w:p>
        </w:tc>
        <w:tc>
          <w:tcPr>
            <w:tcW w:w="1500" w:type="pct"/>
            <w:shd w:val="clear" w:color="auto" w:fill="D9D9D9"/>
            <w:vAlign w:val="center"/>
          </w:tcPr>
          <w:p>
            <w:pPr>
              <w:spacing w:line="240" w:lineRule="auto"/>
              <w:jc w:val="center"/>
            </w:pPr>
            <w:r>
              <w:rPr>
                <w:rFonts w:ascii="宋体" w:eastAsia="宋体" w:hAnsi="宋体" w:cs="宋体"/>
                <w:b w:val="0"/>
              </w:rPr>
              <w:t>东方阿尔法优选混合C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-12,351,294.46</w:t>
            </w:r>
          </w:p>
        </w:tc>
        <w:tc>
          <w:tcPr>
            <w:tcW w:w="1500" w:type="pct"/>
            <w:vAlign w:val="center"/>
          </w:tcPr>
          <w:p>
            <w:pPr>
              <w:spacing w:line="240" w:lineRule="auto"/>
              <w:jc w:val="right"/>
            </w:pPr>
            <w:r>
              <w:rPr>
                <w:rFonts w:ascii="宋体" w:eastAsia="宋体" w:hAnsi="宋体" w:cs="宋体"/>
                <w:b w:val="0"/>
              </w:rPr>
              <w:t>-76,647,344.21</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-16,938,166.39</w:t>
            </w:r>
          </w:p>
        </w:tc>
        <w:tc>
          <w:tcPr>
            <w:tcW w:w="1500" w:type="pct"/>
            <w:vAlign w:val="center"/>
          </w:tcPr>
          <w:p>
            <w:pPr>
              <w:spacing w:line="240" w:lineRule="auto"/>
              <w:jc w:val="right"/>
            </w:pPr>
            <w:r>
              <w:rPr>
                <w:rFonts w:ascii="宋体" w:eastAsia="宋体" w:hAnsi="宋体" w:cs="宋体"/>
                <w:b w:val="0"/>
              </w:rPr>
              <w:t>-107,559,571.39</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-0.3335</w:t>
            </w:r>
          </w:p>
        </w:tc>
        <w:tc>
          <w:tcPr>
            <w:tcW w:w="1500" w:type="pct"/>
            <w:vAlign w:val="center"/>
          </w:tcPr>
          <w:p>
            <w:pPr>
              <w:spacing w:line="240" w:lineRule="auto"/>
              <w:jc w:val="right"/>
            </w:pPr>
            <w:r>
              <w:rPr>
                <w:rFonts w:ascii="宋体" w:eastAsia="宋体" w:hAnsi="宋体" w:cs="宋体"/>
                <w:b w:val="0"/>
              </w:rPr>
              <w:t>-0.3224</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36,887,067.02</w:t>
            </w:r>
          </w:p>
        </w:tc>
        <w:tc>
          <w:tcPr>
            <w:tcW w:w="1500" w:type="pct"/>
            <w:vAlign w:val="center"/>
          </w:tcPr>
          <w:p>
            <w:pPr>
              <w:spacing w:line="240" w:lineRule="auto"/>
              <w:jc w:val="right"/>
            </w:pPr>
            <w:r>
              <w:rPr>
                <w:rFonts w:ascii="宋体" w:eastAsia="宋体" w:hAnsi="宋体" w:cs="宋体"/>
                <w:b w:val="0"/>
              </w:rPr>
              <w:t>227,827,413.53</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0.7135</w:t>
            </w:r>
          </w:p>
        </w:tc>
        <w:tc>
          <w:tcPr>
            <w:tcW w:w="1500" w:type="pct"/>
            <w:vAlign w:val="center"/>
          </w:tcPr>
          <w:p>
            <w:pPr>
              <w:spacing w:line="240" w:lineRule="auto"/>
              <w:jc w:val="right"/>
            </w:pPr>
            <w:r>
              <w:rPr>
                <w:rFonts w:ascii="宋体" w:eastAsia="宋体" w:hAnsi="宋体" w:cs="宋体"/>
                <w:b w:val="0"/>
              </w:rPr>
              <w:t>0.6888</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东方阿尔法优选混合A净值表现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-32.01%</w:t>
            </w:r>
          </w:p>
        </w:tc>
        <w:tc>
          <w:tcPr>
            <w:tcW w:w="0" w:type="dxa"/>
            <w:vAlign w:val="center"/>
          </w:tcPr>
          <w:p>
            <w:pPr>
              <w:spacing w:line="240" w:lineRule="auto"/>
              <w:jc w:val="right"/>
            </w:pPr>
            <w:r>
              <w:rPr>
                <w:rFonts w:ascii="宋体" w:eastAsia="宋体" w:hAnsi="宋体" w:cs="宋体"/>
                <w:b w:val="0"/>
              </w:rPr>
              <w:t>3.39%</w:t>
            </w:r>
          </w:p>
        </w:tc>
        <w:tc>
          <w:tcPr>
            <w:tcW w:w="0" w:type="dxa"/>
            <w:vAlign w:val="center"/>
          </w:tcPr>
          <w:p>
            <w:pPr>
              <w:spacing w:line="240" w:lineRule="auto"/>
              <w:jc w:val="right"/>
            </w:pPr>
            <w:r>
              <w:rPr>
                <w:rFonts w:ascii="宋体" w:eastAsia="宋体" w:hAnsi="宋体" w:cs="宋体"/>
                <w:b w:val="0"/>
              </w:rPr>
              <w:t>-10.48%</w:t>
            </w:r>
          </w:p>
        </w:tc>
        <w:tc>
          <w:tcPr>
            <w:tcW w:w="0" w:type="dxa"/>
            <w:vAlign w:val="center"/>
          </w:tcPr>
          <w:p>
            <w:pPr>
              <w:spacing w:line="240" w:lineRule="auto"/>
              <w:jc w:val="right"/>
            </w:pPr>
            <w:r>
              <w:rPr>
                <w:rFonts w:ascii="宋体" w:eastAsia="宋体" w:hAnsi="宋体" w:cs="宋体"/>
                <w:b w:val="0"/>
              </w:rPr>
              <w:t>1.18%</w:t>
            </w:r>
          </w:p>
        </w:tc>
        <w:tc>
          <w:tcPr>
            <w:tcW w:w="0" w:type="dxa"/>
            <w:vAlign w:val="center"/>
          </w:tcPr>
          <w:p>
            <w:pPr>
              <w:spacing w:line="240" w:lineRule="auto"/>
              <w:jc w:val="right"/>
            </w:pPr>
            <w:r>
              <w:rPr>
                <w:rFonts w:ascii="宋体" w:eastAsia="宋体" w:hAnsi="宋体" w:cs="宋体"/>
                <w:b w:val="0"/>
              </w:rPr>
              <w:t>-21.53%</w:t>
            </w:r>
          </w:p>
        </w:tc>
        <w:tc>
          <w:tcPr>
            <w:tcW w:w="0" w:type="dxa"/>
            <w:vAlign w:val="center"/>
          </w:tcPr>
          <w:p>
            <w:pPr>
              <w:spacing w:line="240" w:lineRule="auto"/>
              <w:jc w:val="right"/>
            </w:pPr>
            <w:r>
              <w:rPr>
                <w:rFonts w:ascii="宋体" w:eastAsia="宋体" w:hAnsi="宋体" w:cs="宋体"/>
                <w:b w:val="0"/>
              </w:rPr>
              <w:t>2.21%</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-24.91%</w:t>
            </w:r>
          </w:p>
        </w:tc>
        <w:tc>
          <w:tcPr>
            <w:tcW w:w="0" w:type="dxa"/>
            <w:vAlign w:val="center"/>
          </w:tcPr>
          <w:p>
            <w:pPr>
              <w:spacing w:line="240" w:lineRule="auto"/>
              <w:jc w:val="right"/>
            </w:pPr>
            <w:r>
              <w:rPr>
                <w:rFonts w:ascii="宋体" w:eastAsia="宋体" w:hAnsi="宋体" w:cs="宋体"/>
                <w:b w:val="0"/>
              </w:rPr>
              <w:t>2.94%</w:t>
            </w:r>
          </w:p>
        </w:tc>
        <w:tc>
          <w:tcPr>
            <w:tcW w:w="0" w:type="dxa"/>
            <w:vAlign w:val="center"/>
          </w:tcPr>
          <w:p>
            <w:pPr>
              <w:spacing w:line="240" w:lineRule="auto"/>
              <w:jc w:val="right"/>
            </w:pPr>
            <w:r>
              <w:rPr>
                <w:rFonts w:ascii="宋体" w:eastAsia="宋体" w:hAnsi="宋体" w:cs="宋体"/>
                <w:b w:val="0"/>
              </w:rPr>
              <w:t>-1.38%</w:t>
            </w:r>
          </w:p>
        </w:tc>
        <w:tc>
          <w:tcPr>
            <w:tcW w:w="0" w:type="dxa"/>
            <w:vAlign w:val="center"/>
          </w:tcPr>
          <w:p>
            <w:pPr>
              <w:spacing w:line="240" w:lineRule="auto"/>
              <w:jc w:val="right"/>
            </w:pPr>
            <w:r>
              <w:rPr>
                <w:rFonts w:ascii="宋体" w:eastAsia="宋体" w:hAnsi="宋体" w:cs="宋体"/>
                <w:b w:val="0"/>
              </w:rPr>
              <w:t>1.17%</w:t>
            </w:r>
          </w:p>
        </w:tc>
        <w:tc>
          <w:tcPr>
            <w:tcW w:w="0" w:type="dxa"/>
            <w:vAlign w:val="center"/>
          </w:tcPr>
          <w:p>
            <w:pPr>
              <w:spacing w:line="240" w:lineRule="auto"/>
              <w:jc w:val="right"/>
            </w:pPr>
            <w:r>
              <w:rPr>
                <w:rFonts w:ascii="宋体" w:eastAsia="宋体" w:hAnsi="宋体" w:cs="宋体"/>
                <w:b w:val="0"/>
              </w:rPr>
              <w:t>-23.53%</w:t>
            </w:r>
          </w:p>
        </w:tc>
        <w:tc>
          <w:tcPr>
            <w:tcW w:w="0" w:type="dxa"/>
            <w:vAlign w:val="center"/>
          </w:tcPr>
          <w:p>
            <w:pPr>
              <w:spacing w:line="240" w:lineRule="auto"/>
              <w:jc w:val="right"/>
            </w:pPr>
            <w:r>
              <w:rPr>
                <w:rFonts w:ascii="宋体" w:eastAsia="宋体" w:hAnsi="宋体" w:cs="宋体"/>
                <w:b w:val="0"/>
              </w:rPr>
              <w:t>1.77%</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-42.08%</w:t>
            </w:r>
          </w:p>
        </w:tc>
        <w:tc>
          <w:tcPr>
            <w:tcW w:w="0" w:type="dxa"/>
            <w:vAlign w:val="center"/>
          </w:tcPr>
          <w:p>
            <w:pPr>
              <w:spacing w:line="240" w:lineRule="auto"/>
              <w:jc w:val="right"/>
            </w:pPr>
            <w:r>
              <w:rPr>
                <w:rFonts w:ascii="宋体" w:eastAsia="宋体" w:hAnsi="宋体" w:cs="宋体"/>
                <w:b w:val="0"/>
              </w:rPr>
              <w:t>2.67%</w:t>
            </w:r>
          </w:p>
        </w:tc>
        <w:tc>
          <w:tcPr>
            <w:tcW w:w="0" w:type="dxa"/>
            <w:vAlign w:val="center"/>
          </w:tcPr>
          <w:p>
            <w:pPr>
              <w:spacing w:line="240" w:lineRule="auto"/>
              <w:jc w:val="right"/>
            </w:pPr>
            <w:r>
              <w:rPr>
                <w:rFonts w:ascii="宋体" w:eastAsia="宋体" w:hAnsi="宋体" w:cs="宋体"/>
                <w:b w:val="0"/>
              </w:rPr>
              <w:t>-3.72%</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-38.36%</w:t>
            </w:r>
          </w:p>
        </w:tc>
        <w:tc>
          <w:tcPr>
            <w:tcW w:w="0" w:type="dxa"/>
            <w:vAlign w:val="center"/>
          </w:tcPr>
          <w:p>
            <w:pPr>
              <w:spacing w:line="240" w:lineRule="auto"/>
              <w:jc w:val="right"/>
            </w:pPr>
            <w:r>
              <w:rPr>
                <w:rFonts w:ascii="宋体" w:eastAsia="宋体" w:hAnsi="宋体" w:cs="宋体"/>
                <w:b w:val="0"/>
              </w:rPr>
              <w:t>1.61%</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-2.50%</w:t>
            </w:r>
          </w:p>
        </w:tc>
        <w:tc>
          <w:tcPr>
            <w:tcW w:w="0" w:type="dxa"/>
            <w:vAlign w:val="center"/>
          </w:tcPr>
          <w:p>
            <w:pPr>
              <w:spacing w:line="240" w:lineRule="auto"/>
              <w:jc w:val="right"/>
            </w:pPr>
            <w:r>
              <w:rPr>
                <w:rFonts w:ascii="宋体" w:eastAsia="宋体" w:hAnsi="宋体" w:cs="宋体"/>
                <w:b w:val="0"/>
              </w:rPr>
              <w:t>2.45%</w:t>
            </w:r>
          </w:p>
        </w:tc>
        <w:tc>
          <w:tcPr>
            <w:tcW w:w="0" w:type="dxa"/>
            <w:vAlign w:val="center"/>
          </w:tcPr>
          <w:p>
            <w:pPr>
              <w:spacing w:line="240" w:lineRule="auto"/>
              <w:jc w:val="right"/>
            </w:pPr>
            <w:r>
              <w:rPr>
                <w:rFonts w:ascii="宋体" w:eastAsia="宋体" w:hAnsi="宋体" w:cs="宋体"/>
                <w:b w:val="0"/>
              </w:rPr>
              <w:t>23.35%</w:t>
            </w:r>
          </w:p>
        </w:tc>
        <w:tc>
          <w:tcPr>
            <w:tcW w:w="0" w:type="dxa"/>
            <w:vAlign w:val="center"/>
          </w:tcPr>
          <w:p>
            <w:pPr>
              <w:spacing w:line="240" w:lineRule="auto"/>
              <w:jc w:val="right"/>
            </w:pPr>
            <w:r>
              <w:rPr>
                <w:rFonts w:ascii="宋体" w:eastAsia="宋体" w:hAnsi="宋体" w:cs="宋体"/>
                <w:b w:val="0"/>
              </w:rPr>
              <w:t>1.07%</w:t>
            </w:r>
          </w:p>
        </w:tc>
        <w:tc>
          <w:tcPr>
            <w:tcW w:w="0" w:type="dxa"/>
            <w:vAlign w:val="center"/>
          </w:tcPr>
          <w:p>
            <w:pPr>
              <w:spacing w:line="240" w:lineRule="auto"/>
              <w:jc w:val="right"/>
            </w:pPr>
            <w:r>
              <w:rPr>
                <w:rFonts w:ascii="宋体" w:eastAsia="宋体" w:hAnsi="宋体" w:cs="宋体"/>
                <w:b w:val="0"/>
              </w:rPr>
              <w:t>-25.85%</w:t>
            </w:r>
          </w:p>
        </w:tc>
        <w:tc>
          <w:tcPr>
            <w:tcW w:w="0" w:type="dxa"/>
            <w:vAlign w:val="center"/>
          </w:tcPr>
          <w:p>
            <w:pPr>
              <w:spacing w:line="240" w:lineRule="auto"/>
              <w:jc w:val="right"/>
            </w:pPr>
            <w:r>
              <w:rPr>
                <w:rFonts w:ascii="宋体" w:eastAsia="宋体" w:hAnsi="宋体" w:cs="宋体"/>
                <w:b w:val="0"/>
              </w:rPr>
              <w:t>1.38%</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-46.91%</w:t>
            </w:r>
          </w:p>
        </w:tc>
        <w:tc>
          <w:tcPr>
            <w:tcW w:w="0" w:type="dxa"/>
            <w:vAlign w:val="center"/>
          </w:tcPr>
          <w:p>
            <w:pPr>
              <w:spacing w:line="240" w:lineRule="auto"/>
              <w:jc w:val="right"/>
            </w:pPr>
            <w:r>
              <w:rPr>
                <w:rFonts w:ascii="宋体" w:eastAsia="宋体" w:hAnsi="宋体" w:cs="宋体"/>
                <w:b w:val="0"/>
              </w:rPr>
              <w:t>2.06%</w:t>
            </w:r>
          </w:p>
        </w:tc>
        <w:tc>
          <w:tcPr>
            <w:tcW w:w="0" w:type="dxa"/>
            <w:vAlign w:val="center"/>
          </w:tcPr>
          <w:p>
            <w:pPr>
              <w:spacing w:line="240" w:lineRule="auto"/>
              <w:jc w:val="right"/>
            </w:pPr>
            <w:r>
              <w:rPr>
                <w:rFonts w:ascii="宋体" w:eastAsia="宋体" w:hAnsi="宋体" w:cs="宋体"/>
                <w:b w:val="0"/>
              </w:rPr>
              <w:t>-1.92%</w:t>
            </w:r>
          </w:p>
        </w:tc>
        <w:tc>
          <w:tcPr>
            <w:tcW w:w="0" w:type="dxa"/>
            <w:vAlign w:val="center"/>
          </w:tcPr>
          <w:p>
            <w:pPr>
              <w:spacing w:line="240" w:lineRule="auto"/>
              <w:jc w:val="right"/>
            </w:pPr>
            <w:r>
              <w:rPr>
                <w:rFonts w:ascii="宋体" w:eastAsia="宋体" w:hAnsi="宋体" w:cs="宋体"/>
                <w:b w:val="0"/>
              </w:rPr>
              <w:t>1.03%</w:t>
            </w:r>
          </w:p>
        </w:tc>
        <w:tc>
          <w:tcPr>
            <w:tcW w:w="0" w:type="dxa"/>
            <w:vAlign w:val="center"/>
          </w:tcPr>
          <w:p>
            <w:pPr>
              <w:spacing w:line="240" w:lineRule="auto"/>
              <w:jc w:val="right"/>
            </w:pPr>
            <w:r>
              <w:rPr>
                <w:rFonts w:ascii="宋体" w:eastAsia="宋体" w:hAnsi="宋体" w:cs="宋体"/>
                <w:b w:val="0"/>
              </w:rPr>
              <w:t>-44.99%</w:t>
            </w:r>
          </w:p>
        </w:tc>
        <w:tc>
          <w:tcPr>
            <w:tcW w:w="0" w:type="dxa"/>
            <w:vAlign w:val="center"/>
          </w:tcPr>
          <w:p>
            <w:pPr>
              <w:spacing w:line="240" w:lineRule="auto"/>
              <w:jc w:val="right"/>
            </w:pPr>
            <w:r>
              <w:rPr>
                <w:rFonts w:ascii="宋体" w:eastAsia="宋体" w:hAnsi="宋体" w:cs="宋体"/>
                <w:b w:val="0"/>
              </w:rPr>
              <w:t>1.03%</w:t>
            </w:r>
          </w:p>
        </w:tc>
      </w:tr>
      <w:tr>
        <w:tblPrEx>
          <w:tblW w:w="5000" w:type="pct"/>
        </w:tblPrEx>
        <w:tc>
          <w:tcPr>
            <w:tcW w:w="0" w:type="dxa"/>
            <w:vAlign w:val="center"/>
          </w:tcPr>
          <w:p>
            <w:pPr>
              <w:spacing w:line="240" w:lineRule="auto"/>
              <w:jc w:val="left"/>
            </w:pPr>
            <w:r>
              <w:rPr>
                <w:rFonts w:ascii="宋体" w:eastAsia="宋体" w:hAnsi="宋体" w:cs="宋体"/>
                <w:b w:val="0"/>
              </w:rPr>
              <w:t>过去七年</w:t>
            </w:r>
          </w:p>
        </w:tc>
        <w:tc>
          <w:tcPr>
            <w:tcW w:w="0" w:type="dxa"/>
            <w:vAlign w:val="center"/>
          </w:tcPr>
          <w:p>
            <w:pPr>
              <w:spacing w:line="240" w:lineRule="auto"/>
              <w:jc w:val="right"/>
            </w:pPr>
            <w:r>
              <w:rPr>
                <w:rFonts w:ascii="宋体" w:eastAsia="宋体" w:hAnsi="宋体" w:cs="宋体"/>
                <w:b w:val="0"/>
              </w:rPr>
              <w:t>-28.20%</w:t>
            </w:r>
          </w:p>
        </w:tc>
        <w:tc>
          <w:tcPr>
            <w:tcW w:w="0" w:type="dxa"/>
            <w:vAlign w:val="center"/>
          </w:tcPr>
          <w:p>
            <w:pPr>
              <w:spacing w:line="240" w:lineRule="auto"/>
              <w:jc w:val="right"/>
            </w:pPr>
            <w:r>
              <w:rPr>
                <w:rFonts w:ascii="宋体" w:eastAsia="宋体" w:hAnsi="宋体" w:cs="宋体"/>
                <w:b w:val="0"/>
              </w:rPr>
              <w:t>1.95%</w:t>
            </w:r>
          </w:p>
        </w:tc>
        <w:tc>
          <w:tcPr>
            <w:tcW w:w="0" w:type="dxa"/>
            <w:vAlign w:val="center"/>
          </w:tcPr>
          <w:p>
            <w:pPr>
              <w:spacing w:line="240" w:lineRule="auto"/>
              <w:jc w:val="right"/>
            </w:pPr>
            <w:r>
              <w:rPr>
                <w:rFonts w:ascii="宋体" w:eastAsia="宋体" w:hAnsi="宋体" w:cs="宋体"/>
                <w:b w:val="0"/>
              </w:rPr>
              <w:t>22.88%</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-51.08%</w:t>
            </w:r>
          </w:p>
        </w:tc>
        <w:tc>
          <w:tcPr>
            <w:tcW w:w="0" w:type="dxa"/>
            <w:vAlign w:val="center"/>
          </w:tcPr>
          <w:p>
            <w:pPr>
              <w:spacing w:line="240" w:lineRule="auto"/>
              <w:jc w:val="right"/>
            </w:pPr>
            <w:r>
              <w:rPr>
                <w:rFonts w:ascii="宋体" w:eastAsia="宋体" w:hAnsi="宋体" w:cs="宋体"/>
                <w:b w:val="0"/>
              </w:rPr>
              <w:t>0.89%</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-28.65%</w:t>
            </w:r>
          </w:p>
        </w:tc>
        <w:tc>
          <w:tcPr>
            <w:tcW w:w="0" w:type="dxa"/>
            <w:vAlign w:val="center"/>
          </w:tcPr>
          <w:p>
            <w:pPr>
              <w:spacing w:line="240" w:lineRule="auto"/>
              <w:jc w:val="right"/>
            </w:pPr>
            <w:r>
              <w:rPr>
                <w:rFonts w:ascii="宋体" w:eastAsia="宋体" w:hAnsi="宋体" w:cs="宋体"/>
                <w:b w:val="0"/>
              </w:rPr>
              <w:t>1.94%</w:t>
            </w:r>
          </w:p>
        </w:tc>
        <w:tc>
          <w:tcPr>
            <w:tcW w:w="0" w:type="dxa"/>
            <w:vAlign w:val="center"/>
          </w:tcPr>
          <w:p>
            <w:pPr>
              <w:spacing w:line="240" w:lineRule="auto"/>
              <w:jc w:val="right"/>
            </w:pPr>
            <w:r>
              <w:rPr>
                <w:rFonts w:ascii="宋体" w:eastAsia="宋体" w:hAnsi="宋体" w:cs="宋体"/>
                <w:b w:val="0"/>
              </w:rPr>
              <w:t>18.95%</w:t>
            </w:r>
          </w:p>
        </w:tc>
        <w:tc>
          <w:tcPr>
            <w:tcW w:w="0" w:type="dxa"/>
            <w:vAlign w:val="center"/>
          </w:tcPr>
          <w:p>
            <w:pPr>
              <w:spacing w:line="240" w:lineRule="auto"/>
              <w:jc w:val="right"/>
            </w:pPr>
            <w:r>
              <w:rPr>
                <w:rFonts w:ascii="宋体" w:eastAsia="宋体" w:hAnsi="宋体" w:cs="宋体"/>
                <w:b w:val="0"/>
              </w:rPr>
              <w:t>1.05%</w:t>
            </w:r>
          </w:p>
        </w:tc>
        <w:tc>
          <w:tcPr>
            <w:tcW w:w="0" w:type="dxa"/>
            <w:vAlign w:val="center"/>
          </w:tcPr>
          <w:p>
            <w:pPr>
              <w:spacing w:line="240" w:lineRule="auto"/>
              <w:jc w:val="right"/>
            </w:pPr>
            <w:r>
              <w:rPr>
                <w:rFonts w:ascii="宋体" w:eastAsia="宋体" w:hAnsi="宋体" w:cs="宋体"/>
                <w:b w:val="0"/>
              </w:rPr>
              <w:t>-47.60%</w:t>
            </w:r>
          </w:p>
        </w:tc>
        <w:tc>
          <w:tcPr>
            <w:tcW w:w="0" w:type="dxa"/>
            <w:vAlign w:val="center"/>
          </w:tcPr>
          <w:p>
            <w:pPr>
              <w:spacing w:line="240" w:lineRule="auto"/>
              <w:jc w:val="right"/>
            </w:pPr>
            <w:r>
              <w:rPr>
                <w:rFonts w:ascii="宋体" w:eastAsia="宋体" w:hAnsi="宋体" w:cs="宋体"/>
                <w:b w:val="0"/>
              </w:rPr>
              <w:t>0.89%</w:t>
            </w:r>
          </w:p>
        </w:tc>
      </w:tr>
    </w:tbl>
    <w:p>
      <w:pPr>
        <w:jc w:val="left"/>
      </w:pPr>
      <w:r>
        <w:rPr>
          <w:rFonts w:ascii="宋体" w:eastAsia="宋体" w:hAnsi="宋体" w:cs="宋体"/>
          <w:b/>
        </w:rPr>
        <w:t>东方阿尔法优选混合C净值表现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-32.09%</w:t>
            </w:r>
          </w:p>
        </w:tc>
        <w:tc>
          <w:tcPr>
            <w:tcW w:w="0" w:type="dxa"/>
            <w:vAlign w:val="center"/>
          </w:tcPr>
          <w:p>
            <w:pPr>
              <w:spacing w:line="240" w:lineRule="auto"/>
              <w:jc w:val="right"/>
            </w:pPr>
            <w:r>
              <w:rPr>
                <w:rFonts w:ascii="宋体" w:eastAsia="宋体" w:hAnsi="宋体" w:cs="宋体"/>
                <w:b w:val="0"/>
              </w:rPr>
              <w:t>3.39%</w:t>
            </w:r>
          </w:p>
        </w:tc>
        <w:tc>
          <w:tcPr>
            <w:tcW w:w="0" w:type="dxa"/>
            <w:vAlign w:val="center"/>
          </w:tcPr>
          <w:p>
            <w:pPr>
              <w:spacing w:line="240" w:lineRule="auto"/>
              <w:jc w:val="right"/>
            </w:pPr>
            <w:r>
              <w:rPr>
                <w:rFonts w:ascii="宋体" w:eastAsia="宋体" w:hAnsi="宋体" w:cs="宋体"/>
                <w:b w:val="0"/>
              </w:rPr>
              <w:t>-10.48%</w:t>
            </w:r>
          </w:p>
        </w:tc>
        <w:tc>
          <w:tcPr>
            <w:tcW w:w="0" w:type="dxa"/>
            <w:vAlign w:val="center"/>
          </w:tcPr>
          <w:p>
            <w:pPr>
              <w:spacing w:line="240" w:lineRule="auto"/>
              <w:jc w:val="right"/>
            </w:pPr>
            <w:r>
              <w:rPr>
                <w:rFonts w:ascii="宋体" w:eastAsia="宋体" w:hAnsi="宋体" w:cs="宋体"/>
                <w:b w:val="0"/>
              </w:rPr>
              <w:t>1.18%</w:t>
            </w:r>
          </w:p>
        </w:tc>
        <w:tc>
          <w:tcPr>
            <w:tcW w:w="0" w:type="dxa"/>
            <w:vAlign w:val="center"/>
          </w:tcPr>
          <w:p>
            <w:pPr>
              <w:spacing w:line="240" w:lineRule="auto"/>
              <w:jc w:val="right"/>
            </w:pPr>
            <w:r>
              <w:rPr>
                <w:rFonts w:ascii="宋体" w:eastAsia="宋体" w:hAnsi="宋体" w:cs="宋体"/>
                <w:b w:val="0"/>
              </w:rPr>
              <w:t>-21.61%</w:t>
            </w:r>
          </w:p>
        </w:tc>
        <w:tc>
          <w:tcPr>
            <w:tcW w:w="0" w:type="dxa"/>
            <w:vAlign w:val="center"/>
          </w:tcPr>
          <w:p>
            <w:pPr>
              <w:spacing w:line="240" w:lineRule="auto"/>
              <w:jc w:val="right"/>
            </w:pPr>
            <w:r>
              <w:rPr>
                <w:rFonts w:ascii="宋体" w:eastAsia="宋体" w:hAnsi="宋体" w:cs="宋体"/>
                <w:b w:val="0"/>
              </w:rPr>
              <w:t>2.21%</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-25.10%</w:t>
            </w:r>
          </w:p>
        </w:tc>
        <w:tc>
          <w:tcPr>
            <w:tcW w:w="0" w:type="dxa"/>
            <w:vAlign w:val="center"/>
          </w:tcPr>
          <w:p>
            <w:pPr>
              <w:spacing w:line="240" w:lineRule="auto"/>
              <w:jc w:val="right"/>
            </w:pPr>
            <w:r>
              <w:rPr>
                <w:rFonts w:ascii="宋体" w:eastAsia="宋体" w:hAnsi="宋体" w:cs="宋体"/>
                <w:b w:val="0"/>
              </w:rPr>
              <w:t>2.94%</w:t>
            </w:r>
          </w:p>
        </w:tc>
        <w:tc>
          <w:tcPr>
            <w:tcW w:w="0" w:type="dxa"/>
            <w:vAlign w:val="center"/>
          </w:tcPr>
          <w:p>
            <w:pPr>
              <w:spacing w:line="240" w:lineRule="auto"/>
              <w:jc w:val="right"/>
            </w:pPr>
            <w:r>
              <w:rPr>
                <w:rFonts w:ascii="宋体" w:eastAsia="宋体" w:hAnsi="宋体" w:cs="宋体"/>
                <w:b w:val="0"/>
              </w:rPr>
              <w:t>-1.38%</w:t>
            </w:r>
          </w:p>
        </w:tc>
        <w:tc>
          <w:tcPr>
            <w:tcW w:w="0" w:type="dxa"/>
            <w:vAlign w:val="center"/>
          </w:tcPr>
          <w:p>
            <w:pPr>
              <w:spacing w:line="240" w:lineRule="auto"/>
              <w:jc w:val="right"/>
            </w:pPr>
            <w:r>
              <w:rPr>
                <w:rFonts w:ascii="宋体" w:eastAsia="宋体" w:hAnsi="宋体" w:cs="宋体"/>
                <w:b w:val="0"/>
              </w:rPr>
              <w:t>1.17%</w:t>
            </w:r>
          </w:p>
        </w:tc>
        <w:tc>
          <w:tcPr>
            <w:tcW w:w="0" w:type="dxa"/>
            <w:vAlign w:val="center"/>
          </w:tcPr>
          <w:p>
            <w:pPr>
              <w:spacing w:line="240" w:lineRule="auto"/>
              <w:jc w:val="right"/>
            </w:pPr>
            <w:r>
              <w:rPr>
                <w:rFonts w:ascii="宋体" w:eastAsia="宋体" w:hAnsi="宋体" w:cs="宋体"/>
                <w:b w:val="0"/>
              </w:rPr>
              <w:t>-23.72%</w:t>
            </w:r>
          </w:p>
        </w:tc>
        <w:tc>
          <w:tcPr>
            <w:tcW w:w="0" w:type="dxa"/>
            <w:vAlign w:val="center"/>
          </w:tcPr>
          <w:p>
            <w:pPr>
              <w:spacing w:line="240" w:lineRule="auto"/>
              <w:jc w:val="right"/>
            </w:pPr>
            <w:r>
              <w:rPr>
                <w:rFonts w:ascii="宋体" w:eastAsia="宋体" w:hAnsi="宋体" w:cs="宋体"/>
                <w:b w:val="0"/>
              </w:rPr>
              <w:t>1.77%</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-42.36%</w:t>
            </w:r>
          </w:p>
        </w:tc>
        <w:tc>
          <w:tcPr>
            <w:tcW w:w="0" w:type="dxa"/>
            <w:vAlign w:val="center"/>
          </w:tcPr>
          <w:p>
            <w:pPr>
              <w:spacing w:line="240" w:lineRule="auto"/>
              <w:jc w:val="right"/>
            </w:pPr>
            <w:r>
              <w:rPr>
                <w:rFonts w:ascii="宋体" w:eastAsia="宋体" w:hAnsi="宋体" w:cs="宋体"/>
                <w:b w:val="0"/>
              </w:rPr>
              <w:t>2.67%</w:t>
            </w:r>
          </w:p>
        </w:tc>
        <w:tc>
          <w:tcPr>
            <w:tcW w:w="0" w:type="dxa"/>
            <w:vAlign w:val="center"/>
          </w:tcPr>
          <w:p>
            <w:pPr>
              <w:spacing w:line="240" w:lineRule="auto"/>
              <w:jc w:val="right"/>
            </w:pPr>
            <w:r>
              <w:rPr>
                <w:rFonts w:ascii="宋体" w:eastAsia="宋体" w:hAnsi="宋体" w:cs="宋体"/>
                <w:b w:val="0"/>
              </w:rPr>
              <w:t>-3.72%</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-38.64%</w:t>
            </w:r>
          </w:p>
        </w:tc>
        <w:tc>
          <w:tcPr>
            <w:tcW w:w="0" w:type="dxa"/>
            <w:vAlign w:val="center"/>
          </w:tcPr>
          <w:p>
            <w:pPr>
              <w:spacing w:line="240" w:lineRule="auto"/>
              <w:jc w:val="right"/>
            </w:pPr>
            <w:r>
              <w:rPr>
                <w:rFonts w:ascii="宋体" w:eastAsia="宋体" w:hAnsi="宋体" w:cs="宋体"/>
                <w:b w:val="0"/>
              </w:rPr>
              <w:t>1.61%</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-3.95%</w:t>
            </w:r>
          </w:p>
        </w:tc>
        <w:tc>
          <w:tcPr>
            <w:tcW w:w="0" w:type="dxa"/>
            <w:vAlign w:val="center"/>
          </w:tcPr>
          <w:p>
            <w:pPr>
              <w:spacing w:line="240" w:lineRule="auto"/>
              <w:jc w:val="right"/>
            </w:pPr>
            <w:r>
              <w:rPr>
                <w:rFonts w:ascii="宋体" w:eastAsia="宋体" w:hAnsi="宋体" w:cs="宋体"/>
                <w:b w:val="0"/>
              </w:rPr>
              <w:t>2.45%</w:t>
            </w:r>
          </w:p>
        </w:tc>
        <w:tc>
          <w:tcPr>
            <w:tcW w:w="0" w:type="dxa"/>
            <w:vAlign w:val="center"/>
          </w:tcPr>
          <w:p>
            <w:pPr>
              <w:spacing w:line="240" w:lineRule="auto"/>
              <w:jc w:val="right"/>
            </w:pPr>
            <w:r>
              <w:rPr>
                <w:rFonts w:ascii="宋体" w:eastAsia="宋体" w:hAnsi="宋体" w:cs="宋体"/>
                <w:b w:val="0"/>
              </w:rPr>
              <w:t>23.35%</w:t>
            </w:r>
          </w:p>
        </w:tc>
        <w:tc>
          <w:tcPr>
            <w:tcW w:w="0" w:type="dxa"/>
            <w:vAlign w:val="center"/>
          </w:tcPr>
          <w:p>
            <w:pPr>
              <w:spacing w:line="240" w:lineRule="auto"/>
              <w:jc w:val="right"/>
            </w:pPr>
            <w:r>
              <w:rPr>
                <w:rFonts w:ascii="宋体" w:eastAsia="宋体" w:hAnsi="宋体" w:cs="宋体"/>
                <w:b w:val="0"/>
              </w:rPr>
              <w:t>1.07%</w:t>
            </w:r>
          </w:p>
        </w:tc>
        <w:tc>
          <w:tcPr>
            <w:tcW w:w="0" w:type="dxa"/>
            <w:vAlign w:val="center"/>
          </w:tcPr>
          <w:p>
            <w:pPr>
              <w:spacing w:line="240" w:lineRule="auto"/>
              <w:jc w:val="right"/>
            </w:pPr>
            <w:r>
              <w:rPr>
                <w:rFonts w:ascii="宋体" w:eastAsia="宋体" w:hAnsi="宋体" w:cs="宋体"/>
                <w:b w:val="0"/>
              </w:rPr>
              <w:t>-27.30%</w:t>
            </w:r>
          </w:p>
        </w:tc>
        <w:tc>
          <w:tcPr>
            <w:tcW w:w="0" w:type="dxa"/>
            <w:vAlign w:val="center"/>
          </w:tcPr>
          <w:p>
            <w:pPr>
              <w:spacing w:line="240" w:lineRule="auto"/>
              <w:jc w:val="right"/>
            </w:pPr>
            <w:r>
              <w:rPr>
                <w:rFonts w:ascii="宋体" w:eastAsia="宋体" w:hAnsi="宋体" w:cs="宋体"/>
                <w:b w:val="0"/>
              </w:rPr>
              <w:t>1.38%</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-48.22%</w:t>
            </w:r>
          </w:p>
        </w:tc>
        <w:tc>
          <w:tcPr>
            <w:tcW w:w="0" w:type="dxa"/>
            <w:vAlign w:val="center"/>
          </w:tcPr>
          <w:p>
            <w:pPr>
              <w:spacing w:line="240" w:lineRule="auto"/>
              <w:jc w:val="right"/>
            </w:pPr>
            <w:r>
              <w:rPr>
                <w:rFonts w:ascii="宋体" w:eastAsia="宋体" w:hAnsi="宋体" w:cs="宋体"/>
                <w:b w:val="0"/>
              </w:rPr>
              <w:t>2.06%</w:t>
            </w:r>
          </w:p>
        </w:tc>
        <w:tc>
          <w:tcPr>
            <w:tcW w:w="0" w:type="dxa"/>
            <w:vAlign w:val="center"/>
          </w:tcPr>
          <w:p>
            <w:pPr>
              <w:spacing w:line="240" w:lineRule="auto"/>
              <w:jc w:val="right"/>
            </w:pPr>
            <w:r>
              <w:rPr>
                <w:rFonts w:ascii="宋体" w:eastAsia="宋体" w:hAnsi="宋体" w:cs="宋体"/>
                <w:b w:val="0"/>
              </w:rPr>
              <w:t>-1.92%</w:t>
            </w:r>
          </w:p>
        </w:tc>
        <w:tc>
          <w:tcPr>
            <w:tcW w:w="0" w:type="dxa"/>
            <w:vAlign w:val="center"/>
          </w:tcPr>
          <w:p>
            <w:pPr>
              <w:spacing w:line="240" w:lineRule="auto"/>
              <w:jc w:val="right"/>
            </w:pPr>
            <w:r>
              <w:rPr>
                <w:rFonts w:ascii="宋体" w:eastAsia="宋体" w:hAnsi="宋体" w:cs="宋体"/>
                <w:b w:val="0"/>
              </w:rPr>
              <w:t>1.03%</w:t>
            </w:r>
          </w:p>
        </w:tc>
        <w:tc>
          <w:tcPr>
            <w:tcW w:w="0" w:type="dxa"/>
            <w:vAlign w:val="center"/>
          </w:tcPr>
          <w:p>
            <w:pPr>
              <w:spacing w:line="240" w:lineRule="auto"/>
              <w:jc w:val="right"/>
            </w:pPr>
            <w:r>
              <w:rPr>
                <w:rFonts w:ascii="宋体" w:eastAsia="宋体" w:hAnsi="宋体" w:cs="宋体"/>
                <w:b w:val="0"/>
              </w:rPr>
              <w:t>-46.30%</w:t>
            </w:r>
          </w:p>
        </w:tc>
        <w:tc>
          <w:tcPr>
            <w:tcW w:w="0" w:type="dxa"/>
            <w:vAlign w:val="center"/>
          </w:tcPr>
          <w:p>
            <w:pPr>
              <w:spacing w:line="240" w:lineRule="auto"/>
              <w:jc w:val="right"/>
            </w:pPr>
            <w:r>
              <w:rPr>
                <w:rFonts w:ascii="宋体" w:eastAsia="宋体" w:hAnsi="宋体" w:cs="宋体"/>
                <w:b w:val="0"/>
              </w:rPr>
              <w:t>1.03%</w:t>
            </w:r>
          </w:p>
        </w:tc>
      </w:tr>
      <w:tr>
        <w:tblPrEx>
          <w:tblW w:w="5000" w:type="pct"/>
        </w:tblPrEx>
        <w:tc>
          <w:tcPr>
            <w:tcW w:w="0" w:type="dxa"/>
            <w:vAlign w:val="center"/>
          </w:tcPr>
          <w:p>
            <w:pPr>
              <w:spacing w:line="240" w:lineRule="auto"/>
              <w:jc w:val="left"/>
            </w:pPr>
            <w:r>
              <w:rPr>
                <w:rFonts w:ascii="宋体" w:eastAsia="宋体" w:hAnsi="宋体" w:cs="宋体"/>
                <w:b w:val="0"/>
              </w:rPr>
              <w:t>过去七年</w:t>
            </w:r>
          </w:p>
        </w:tc>
        <w:tc>
          <w:tcPr>
            <w:tcW w:w="0" w:type="dxa"/>
            <w:vAlign w:val="center"/>
          </w:tcPr>
          <w:p>
            <w:pPr>
              <w:spacing w:line="240" w:lineRule="auto"/>
              <w:jc w:val="right"/>
            </w:pPr>
            <w:r>
              <w:rPr>
                <w:rFonts w:ascii="宋体" w:eastAsia="宋体" w:hAnsi="宋体" w:cs="宋体"/>
                <w:b w:val="0"/>
              </w:rPr>
              <w:t>-30.67%</w:t>
            </w:r>
          </w:p>
        </w:tc>
        <w:tc>
          <w:tcPr>
            <w:tcW w:w="0" w:type="dxa"/>
            <w:vAlign w:val="center"/>
          </w:tcPr>
          <w:p>
            <w:pPr>
              <w:spacing w:line="240" w:lineRule="auto"/>
              <w:jc w:val="right"/>
            </w:pPr>
            <w:r>
              <w:rPr>
                <w:rFonts w:ascii="宋体" w:eastAsia="宋体" w:hAnsi="宋体" w:cs="宋体"/>
                <w:b w:val="0"/>
              </w:rPr>
              <w:t>1.95%</w:t>
            </w:r>
          </w:p>
        </w:tc>
        <w:tc>
          <w:tcPr>
            <w:tcW w:w="0" w:type="dxa"/>
            <w:vAlign w:val="center"/>
          </w:tcPr>
          <w:p>
            <w:pPr>
              <w:spacing w:line="240" w:lineRule="auto"/>
              <w:jc w:val="right"/>
            </w:pPr>
            <w:r>
              <w:rPr>
                <w:rFonts w:ascii="宋体" w:eastAsia="宋体" w:hAnsi="宋体" w:cs="宋体"/>
                <w:b w:val="0"/>
              </w:rPr>
              <w:t>22.88%</w:t>
            </w:r>
          </w:p>
        </w:tc>
        <w:tc>
          <w:tcPr>
            <w:tcW w:w="0" w:type="dxa"/>
            <w:vAlign w:val="center"/>
          </w:tcPr>
          <w:p>
            <w:pPr>
              <w:spacing w:line="240" w:lineRule="auto"/>
              <w:jc w:val="right"/>
            </w:pPr>
            <w:r>
              <w:rPr>
                <w:rFonts w:ascii="宋体" w:eastAsia="宋体" w:hAnsi="宋体" w:cs="宋体"/>
                <w:b w:val="0"/>
              </w:rPr>
              <w:t>1.06%</w:t>
            </w:r>
          </w:p>
        </w:tc>
        <w:tc>
          <w:tcPr>
            <w:tcW w:w="0" w:type="dxa"/>
            <w:vAlign w:val="center"/>
          </w:tcPr>
          <w:p>
            <w:pPr>
              <w:spacing w:line="240" w:lineRule="auto"/>
              <w:jc w:val="right"/>
            </w:pPr>
            <w:r>
              <w:rPr>
                <w:rFonts w:ascii="宋体" w:eastAsia="宋体" w:hAnsi="宋体" w:cs="宋体"/>
                <w:b w:val="0"/>
              </w:rPr>
              <w:t>-53.55%</w:t>
            </w:r>
          </w:p>
        </w:tc>
        <w:tc>
          <w:tcPr>
            <w:tcW w:w="0" w:type="dxa"/>
            <w:vAlign w:val="center"/>
          </w:tcPr>
          <w:p>
            <w:pPr>
              <w:spacing w:line="240" w:lineRule="auto"/>
              <w:jc w:val="right"/>
            </w:pPr>
            <w:r>
              <w:rPr>
                <w:rFonts w:ascii="宋体" w:eastAsia="宋体" w:hAnsi="宋体" w:cs="宋体"/>
                <w:b w:val="0"/>
              </w:rPr>
              <w:t>0.89%</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-31.12%</w:t>
            </w:r>
          </w:p>
        </w:tc>
        <w:tc>
          <w:tcPr>
            <w:tcW w:w="0" w:type="dxa"/>
            <w:vAlign w:val="center"/>
          </w:tcPr>
          <w:p>
            <w:pPr>
              <w:spacing w:line="240" w:lineRule="auto"/>
              <w:jc w:val="right"/>
            </w:pPr>
            <w:r>
              <w:rPr>
                <w:rFonts w:ascii="宋体" w:eastAsia="宋体" w:hAnsi="宋体" w:cs="宋体"/>
                <w:b w:val="0"/>
              </w:rPr>
              <w:t>1.94%</w:t>
            </w:r>
          </w:p>
        </w:tc>
        <w:tc>
          <w:tcPr>
            <w:tcW w:w="0" w:type="dxa"/>
            <w:vAlign w:val="center"/>
          </w:tcPr>
          <w:p>
            <w:pPr>
              <w:spacing w:line="240" w:lineRule="auto"/>
              <w:jc w:val="right"/>
            </w:pPr>
            <w:r>
              <w:rPr>
                <w:rFonts w:ascii="宋体" w:eastAsia="宋体" w:hAnsi="宋体" w:cs="宋体"/>
                <w:b w:val="0"/>
              </w:rPr>
              <w:t>18.95%</w:t>
            </w:r>
          </w:p>
        </w:tc>
        <w:tc>
          <w:tcPr>
            <w:tcW w:w="0" w:type="dxa"/>
            <w:vAlign w:val="center"/>
          </w:tcPr>
          <w:p>
            <w:pPr>
              <w:spacing w:line="240" w:lineRule="auto"/>
              <w:jc w:val="right"/>
            </w:pPr>
            <w:r>
              <w:rPr>
                <w:rFonts w:ascii="宋体" w:eastAsia="宋体" w:hAnsi="宋体" w:cs="宋体"/>
                <w:b w:val="0"/>
              </w:rPr>
              <w:t>1.05%</w:t>
            </w:r>
          </w:p>
        </w:tc>
        <w:tc>
          <w:tcPr>
            <w:tcW w:w="0" w:type="dxa"/>
            <w:vAlign w:val="center"/>
          </w:tcPr>
          <w:p>
            <w:pPr>
              <w:spacing w:line="240" w:lineRule="auto"/>
              <w:jc w:val="right"/>
            </w:pPr>
            <w:r>
              <w:rPr>
                <w:rFonts w:ascii="宋体" w:eastAsia="宋体" w:hAnsi="宋体" w:cs="宋体"/>
                <w:b w:val="0"/>
              </w:rPr>
              <w:t>-50.07%</w:t>
            </w:r>
          </w:p>
        </w:tc>
        <w:tc>
          <w:tcPr>
            <w:tcW w:w="0" w:type="dxa"/>
            <w:vAlign w:val="center"/>
          </w:tcPr>
          <w:p>
            <w:pPr>
              <w:spacing w:line="240" w:lineRule="auto"/>
              <w:jc w:val="right"/>
            </w:pPr>
            <w:r>
              <w:rPr>
                <w:rFonts w:ascii="宋体" w:eastAsia="宋体" w:hAnsi="宋体" w:cs="宋体"/>
                <w:b w:val="0"/>
              </w:rPr>
              <w:t>0.89%</w:t>
            </w:r>
          </w:p>
        </w:tc>
      </w:tr>
    </w:tbl>
    <w:p>
      <w:r>
        <w:rPr>
          <w:rFonts w:ascii="宋体" w:eastAsia="宋体" w:hAnsi="宋体" w:cs="宋体"/>
          <w:b w:val="0"/>
        </w:rPr>
        <w:t>注：本基金业绩比较基准为：中证800指数收益率×80%+中证综合债券指数收益率×10%+恒生指数收益率×10%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周谧</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2023-03-03</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16年</w:t>
            </w:r>
          </w:p>
        </w:tc>
        <w:tc>
          <w:tcPr>
            <w:tcW w:w="0" w:type="dxa"/>
            <w:vAlign w:val="center"/>
          </w:tcPr>
          <w:p>
            <w:pPr>
              <w:spacing w:line="240" w:lineRule="auto"/>
              <w:jc w:val="left"/>
            </w:pPr>
            <w:r>
              <w:rPr>
                <w:rFonts w:ascii="宋体" w:eastAsia="宋体" w:hAnsi="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2026年三季度宏观经济延续二季度“浅 V”修复的预判，二季度探底之后经济出现小幅回暖，GDP名义增速时隔三年首次高于实际增速，但内需修复力度偏弱，出口链条的高增长可持续性仍是主要风险点。政策层面以落地执行、推进既有项目为主，强刺激政策有限。</w:t>
        <w:br/>
      </w:r>
      <w:r>
        <w:rPr>
          <w:rFonts w:ascii="宋体" w:eastAsia="宋体" w:hAnsi="宋体" w:cs="宋体"/>
          <w:b w:val="0"/>
        </w:rPr>
        <w:t xml:space="preserve">    A 股出现明显的风格再平衡，前期领涨的科技成长板块迎来深度回调。二季度持续走强的人形机器人、物理AI板块普遍出现大幅回撤。背后主要多重因素共振导致：特斯拉机器人产业链进度整体不及预期，投资人对不断跳票缺少耐心；AI硬科技表现亮眼，使得缺少耐心的投资人转到了AI硬科技；具身智能相关公司的业绩不太理想，市场风险偏好下降使这个方向成为的重灾区。</w:t>
        <w:br/>
      </w:r>
      <w:r>
        <w:rPr>
          <w:rFonts w:ascii="宋体" w:eastAsia="宋体" w:hAnsi="宋体" w:cs="宋体"/>
          <w:b w:val="0"/>
        </w:rPr>
        <w:t xml:space="preserve">    本基金立足于科技、高端制造板块，坚持产业景气度投资。当前在科技板块中我们也关注过不少方向，比如AI应用、AI新材料、AI算力等环节，这些方向有些景气度很难再超越投资人的乐观预期。同时，当前我们捕捉到人形机器人板块的景气拐点。经过持续调研，特斯拉机器人订单逐步爬升，自7月起同比大幅上行，产业链企业对全年订单预期趋于乐观，市场预期今年特斯拉出货有望突破万台，这在前期是难以预期的。因此我们关注调研反馈中受益于特斯拉机器人下单增长的标的，这类企业是本轮特斯拉机器人零部件核心供应商，有望在明年特斯拉订单放量中充分获益。此外我们也会关注大模型公司和数据采集设备公司。一方面大模型厂商纷纷布局物理AI，依托自身规模与技术储备，相比独立物理 AI上市初创企业具备显著优势；另一方面当前物理 AI行业核心瓶颈在于数据稀缺，行业内主体都在加大数据采集设备投入，以获取足量数据用于模型训练。</w:t>
        <w:br/>
      </w:r>
      <w:r>
        <w:rPr>
          <w:rFonts w:ascii="宋体" w:eastAsia="宋体" w:hAnsi="宋体" w:cs="宋体"/>
          <w:b w:val="0"/>
        </w:rPr>
        <w:t xml:space="preserve">    展望2026年四季度，机器人作为AI应用和高端制造相结合的行业，并且其景气度也发生显著变化非常适合本基金的投资理念。人形机器人产业也迎来重要的验证窗口。来自特斯拉供应链的调研反馈显示，相关供应商订单数量出现显著增长，市场信息显示特斯拉机器人产能持续抬升，逐步向规模化量产靠近。这意味着，能够留在特斯拉供应体系内的企业，有望迎来从小到大的历史性成长机遇，产业链的订单传导会逐步落地到零部件、传感器等环节。</w:t>
        <w:br/>
      </w:r>
      <w:r>
        <w:rPr>
          <w:rFonts w:ascii="宋体" w:eastAsia="宋体" w:hAnsi="宋体" w:cs="宋体"/>
          <w:b w:val="0"/>
        </w:rPr>
        <w:t xml:space="preserve">    与此同时，国产人形机器人的产业力量同样不可忽视。多家国产机器人企业完成IPO，国产整机出货量继续保持快速增长，复刻新能源汽车产业发展路径的逻辑仍在演绎，本土本体厂商也会持续向上游释放零部件需求。世界模型、具身大模型持续迭代，传感器作为机器人感知物理世界的入口，依旧是行业高价值的通胀环节。</w:t>
        <w:br/>
      </w:r>
      <w:r>
        <w:rPr>
          <w:rFonts w:ascii="宋体" w:eastAsia="宋体" w:hAnsi="宋体" w:cs="宋体"/>
          <w:b w:val="0"/>
        </w:rPr>
        <w:t xml:space="preserve">    此外大模型厂商是Token工厂链条当中最核心的价值中枢，是Token的生产源头，本组合也配置了部分仓位以把握产业主线红利。当前国内已上市的几家大模型企业技术实力、产品迭代、商业化能力处于行业第一梯队，在后续的国内模型竞争中具备较强胜出概率。随着Agent应用持续普及，Token的商业化变现持续跑通，大模型公司收入端有望持续释放弹性，是Token工厂范式下不可忽视的核心资产。</w:t>
        <w:br/>
      </w:r>
      <w:r>
        <w:rPr>
          <w:rFonts w:ascii="宋体" w:eastAsia="宋体" w:hAnsi="宋体" w:cs="宋体"/>
          <w:b w:val="0"/>
        </w:rPr>
        <w:t xml:space="preserve">    本基金未来仍将立足于国家产业优势，优选科技、高端制造板块中的优秀公司，为投资人创造价值。</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优选混合A基金份额净值为0.7135元，本报告期内，该类基金份额净值增长率为-32.01%，同期业绩比较基准收益率为-10.48%；截至报告期末东方阿尔法优选混合C基金份额净值为0.6888元，本报告期内，该类基金份额净值增长率为-32.09%，同期业绩比较基准收益率为-10.48%。</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本报告期内，本基金未出现连续20个工作日基金份额持有人数量不满200人或者基金资产净值低于5000万的情形。</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241,317,714.94</w:t>
            </w:r>
          </w:p>
        </w:tc>
        <w:tc>
          <w:tcPr>
            <w:tcW w:w="0" w:type="dxa"/>
            <w:vAlign w:val="center"/>
          </w:tcPr>
          <w:p>
            <w:pPr>
              <w:spacing w:line="240" w:lineRule="auto"/>
              <w:jc w:val="right"/>
            </w:pPr>
            <w:r>
              <w:rPr>
                <w:rFonts w:ascii="宋体" w:eastAsia="宋体" w:hAnsi="宋体" w:cs="宋体"/>
                <w:b w:val="0"/>
              </w:rPr>
              <w:t>89.75</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241,317,714.94</w:t>
            </w:r>
          </w:p>
        </w:tc>
        <w:tc>
          <w:tcPr>
            <w:tcW w:w="0" w:type="dxa"/>
            <w:vAlign w:val="center"/>
          </w:tcPr>
          <w:p>
            <w:pPr>
              <w:spacing w:line="240" w:lineRule="auto"/>
              <w:jc w:val="right"/>
            </w:pPr>
            <w:r>
              <w:rPr>
                <w:rFonts w:ascii="宋体" w:eastAsia="宋体" w:hAnsi="宋体" w:cs="宋体"/>
                <w:b w:val="0"/>
              </w:rPr>
              <w:t>89.75</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17,398,561.29</w:t>
            </w:r>
          </w:p>
        </w:tc>
        <w:tc>
          <w:tcPr>
            <w:tcW w:w="0" w:type="dxa"/>
            <w:vAlign w:val="center"/>
          </w:tcPr>
          <w:p>
            <w:pPr>
              <w:spacing w:line="240" w:lineRule="auto"/>
              <w:jc w:val="right"/>
            </w:pPr>
            <w:r>
              <w:rPr>
                <w:rFonts w:ascii="宋体" w:eastAsia="宋体" w:hAnsi="宋体" w:cs="宋体"/>
                <w:b w:val="0"/>
              </w:rPr>
              <w:t>6.47</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17,398,561.29</w:t>
            </w:r>
          </w:p>
        </w:tc>
        <w:tc>
          <w:tcPr>
            <w:tcW w:w="0" w:type="dxa"/>
            <w:vAlign w:val="center"/>
          </w:tcPr>
          <w:p>
            <w:pPr>
              <w:spacing w:line="240" w:lineRule="auto"/>
              <w:jc w:val="right"/>
            </w:pPr>
            <w:r>
              <w:rPr>
                <w:rFonts w:ascii="宋体" w:eastAsia="宋体" w:hAnsi="宋体" w:cs="宋体"/>
                <w:b w:val="0"/>
              </w:rPr>
              <w:t>6.47</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2,714,539.96</w:t>
            </w:r>
          </w:p>
        </w:tc>
        <w:tc>
          <w:tcPr>
            <w:tcW w:w="0" w:type="dxa"/>
            <w:vAlign w:val="center"/>
          </w:tcPr>
          <w:p>
            <w:pPr>
              <w:spacing w:line="240" w:lineRule="auto"/>
              <w:jc w:val="right"/>
            </w:pPr>
            <w:r>
              <w:rPr>
                <w:rFonts w:ascii="宋体" w:eastAsia="宋体" w:hAnsi="宋体" w:cs="宋体"/>
                <w:b w:val="0"/>
              </w:rPr>
              <w:t>1.01</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7,458,962.43</w:t>
            </w:r>
          </w:p>
        </w:tc>
        <w:tc>
          <w:tcPr>
            <w:tcW w:w="0" w:type="dxa"/>
            <w:vAlign w:val="center"/>
          </w:tcPr>
          <w:p>
            <w:pPr>
              <w:spacing w:line="240" w:lineRule="auto"/>
              <w:jc w:val="right"/>
            </w:pPr>
            <w:r>
              <w:rPr>
                <w:rFonts w:ascii="宋体" w:eastAsia="宋体" w:hAnsi="宋体" w:cs="宋体"/>
                <w:b w:val="0"/>
              </w:rPr>
              <w:t>2.77</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268,889,778.62</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注：报告期末本基金通过港股通交易机制投资的港股公允价值合计33,628,311.63元，占基金资产净值的比例为12.70%。</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259,380.98</w:t>
            </w:r>
          </w:p>
        </w:tc>
        <w:tc>
          <w:tcPr>
            <w:tcW w:w="0" w:type="dxa"/>
            <w:vAlign w:val="center"/>
          </w:tcPr>
          <w:p>
            <w:pPr>
              <w:spacing w:line="240" w:lineRule="auto"/>
              <w:jc w:val="right"/>
            </w:pPr>
            <w:r>
              <w:rPr>
                <w:rFonts w:ascii="宋体" w:eastAsia="宋体" w:hAnsi="宋体" w:cs="宋体"/>
                <w:b w:val="0"/>
              </w:rPr>
              <w:t>0.10</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175,422,018.28</w:t>
            </w:r>
          </w:p>
        </w:tc>
        <w:tc>
          <w:tcPr>
            <w:tcW w:w="0" w:type="dxa"/>
            <w:vAlign w:val="center"/>
          </w:tcPr>
          <w:p>
            <w:pPr>
              <w:spacing w:line="240" w:lineRule="auto"/>
              <w:jc w:val="right"/>
            </w:pPr>
            <w:r>
              <w:rPr>
                <w:rFonts w:ascii="宋体" w:eastAsia="宋体" w:hAnsi="宋体" w:cs="宋体"/>
                <w:b w:val="0"/>
              </w:rPr>
              <w:t>66.27</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14,887,189.06</w:t>
            </w:r>
          </w:p>
        </w:tc>
        <w:tc>
          <w:tcPr>
            <w:tcW w:w="0" w:type="dxa"/>
            <w:vAlign w:val="center"/>
          </w:tcPr>
          <w:p>
            <w:pPr>
              <w:spacing w:line="240" w:lineRule="auto"/>
              <w:jc w:val="right"/>
            </w:pPr>
            <w:r>
              <w:rPr>
                <w:rFonts w:ascii="宋体" w:eastAsia="宋体" w:hAnsi="宋体" w:cs="宋体"/>
                <w:b w:val="0"/>
              </w:rPr>
              <w:t>5.62</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15,396,259.56</w:t>
            </w:r>
          </w:p>
        </w:tc>
        <w:tc>
          <w:tcPr>
            <w:tcW w:w="0" w:type="dxa"/>
            <w:vAlign w:val="center"/>
          </w:tcPr>
          <w:p>
            <w:pPr>
              <w:spacing w:line="240" w:lineRule="auto"/>
              <w:jc w:val="right"/>
            </w:pPr>
            <w:r>
              <w:rPr>
                <w:rFonts w:ascii="宋体" w:eastAsia="宋体" w:hAnsi="宋体" w:cs="宋体"/>
                <w:b w:val="0"/>
              </w:rPr>
              <w:t>5.82</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1,724,555.43</w:t>
            </w:r>
          </w:p>
        </w:tc>
        <w:tc>
          <w:tcPr>
            <w:tcW w:w="0" w:type="dxa"/>
            <w:vAlign w:val="center"/>
          </w:tcPr>
          <w:p>
            <w:pPr>
              <w:spacing w:line="240" w:lineRule="auto"/>
              <w:jc w:val="right"/>
            </w:pPr>
            <w:r>
              <w:rPr>
                <w:rFonts w:ascii="宋体" w:eastAsia="宋体" w:hAnsi="宋体" w:cs="宋体"/>
                <w:b w:val="0"/>
              </w:rPr>
              <w:t>0.65</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207,689,403.31</w:t>
            </w:r>
          </w:p>
        </w:tc>
        <w:tc>
          <w:tcPr>
            <w:tcW w:w="0" w:type="dxa"/>
            <w:vAlign w:val="center"/>
          </w:tcPr>
          <w:p>
            <w:pPr>
              <w:spacing w:line="240" w:lineRule="auto"/>
              <w:jc w:val="right"/>
            </w:pPr>
            <w:r>
              <w:rPr>
                <w:rFonts w:ascii="宋体" w:eastAsia="宋体" w:hAnsi="宋体" w:cs="宋体"/>
                <w:b w:val="0"/>
              </w:rPr>
              <w:t>78.46</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金融</w:t>
            </w:r>
          </w:p>
        </w:tc>
        <w:tc>
          <w:tcPr>
            <w:tcW w:w="0" w:type="dxa"/>
            <w:vAlign w:val="center"/>
          </w:tcPr>
          <w:p>
            <w:pPr>
              <w:spacing w:line="240" w:lineRule="auto"/>
              <w:jc w:val="right"/>
            </w:pPr>
            <w:r>
              <w:rPr>
                <w:rFonts w:ascii="宋体" w:eastAsia="宋体" w:hAnsi="宋体" w:cs="宋体"/>
                <w:b w:val="0"/>
              </w:rPr>
              <w:t>262,247.31</w:t>
            </w:r>
          </w:p>
        </w:tc>
        <w:tc>
          <w:tcPr>
            <w:tcW w:w="0" w:type="dxa"/>
            <w:vAlign w:val="center"/>
          </w:tcPr>
          <w:p>
            <w:pPr>
              <w:spacing w:line="240" w:lineRule="auto"/>
              <w:jc w:val="right"/>
            </w:pPr>
            <w:r>
              <w:rPr>
                <w:rFonts w:ascii="宋体" w:eastAsia="宋体" w:hAnsi="宋体" w:cs="宋体"/>
                <w:b w:val="0"/>
              </w:rPr>
              <w:t>0.10</w:t>
            </w:r>
          </w:p>
        </w:tc>
      </w:tr>
      <w:tr>
        <w:tblPrEx>
          <w:tblW w:w="5000" w:type="pct"/>
        </w:tblPrEx>
        <w:tc>
          <w:tcPr>
            <w:tcW w:w="0" w:type="dxa"/>
            <w:vAlign w:val="center"/>
          </w:tcPr>
          <w:p>
            <w:pPr>
              <w:spacing w:line="240" w:lineRule="auto"/>
              <w:jc w:val="left"/>
            </w:pPr>
            <w:r>
              <w:rPr>
                <w:rFonts w:ascii="宋体" w:eastAsia="宋体" w:hAnsi="宋体" w:cs="宋体"/>
                <w:b w:val="0"/>
              </w:rPr>
              <w:t>信息技术</w:t>
            </w:r>
          </w:p>
        </w:tc>
        <w:tc>
          <w:tcPr>
            <w:tcW w:w="0" w:type="dxa"/>
            <w:vAlign w:val="center"/>
          </w:tcPr>
          <w:p>
            <w:pPr>
              <w:spacing w:line="240" w:lineRule="auto"/>
              <w:jc w:val="right"/>
            </w:pPr>
            <w:r>
              <w:rPr>
                <w:rFonts w:ascii="宋体" w:eastAsia="宋体" w:hAnsi="宋体" w:cs="宋体"/>
                <w:b w:val="0"/>
              </w:rPr>
              <w:t>33,366,064.32</w:t>
            </w:r>
          </w:p>
        </w:tc>
        <w:tc>
          <w:tcPr>
            <w:tcW w:w="0" w:type="dxa"/>
            <w:vAlign w:val="center"/>
          </w:tcPr>
          <w:p>
            <w:pPr>
              <w:spacing w:line="240" w:lineRule="auto"/>
              <w:jc w:val="right"/>
            </w:pPr>
            <w:r>
              <w:rPr>
                <w:rFonts w:ascii="宋体" w:eastAsia="宋体" w:hAnsi="宋体" w:cs="宋体"/>
                <w:b w:val="0"/>
              </w:rPr>
              <w:t>12.60</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33,628,311.63</w:t>
            </w:r>
          </w:p>
        </w:tc>
        <w:tc>
          <w:tcPr>
            <w:tcW w:w="0" w:type="dxa"/>
            <w:vAlign w:val="center"/>
          </w:tcPr>
          <w:p>
            <w:pPr>
              <w:spacing w:line="240" w:lineRule="auto"/>
              <w:jc w:val="right"/>
            </w:pPr>
            <w:r>
              <w:rPr>
                <w:rFonts w:ascii="宋体" w:eastAsia="宋体" w:hAnsi="宋体" w:cs="宋体"/>
                <w:b w:val="0"/>
              </w:rPr>
              <w:t>12.70</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02513</w:t>
            </w:r>
          </w:p>
        </w:tc>
        <w:tc>
          <w:tcPr>
            <w:tcW w:w="0" w:type="dxa"/>
            <w:vAlign w:val="center"/>
          </w:tcPr>
          <w:p>
            <w:pPr>
              <w:spacing w:line="240" w:lineRule="auto"/>
              <w:jc w:val="left"/>
            </w:pPr>
            <w:r>
              <w:rPr>
                <w:rFonts w:ascii="宋体" w:eastAsia="宋体" w:hAnsi="宋体" w:cs="宋体"/>
                <w:b w:val="0"/>
              </w:rPr>
              <w:t>智谱</w:t>
            </w:r>
          </w:p>
        </w:tc>
        <w:tc>
          <w:tcPr>
            <w:tcW w:w="0" w:type="dxa"/>
            <w:vAlign w:val="center"/>
          </w:tcPr>
          <w:p>
            <w:pPr>
              <w:spacing w:line="240" w:lineRule="auto"/>
              <w:jc w:val="right"/>
            </w:pPr>
            <w:r>
              <w:rPr>
                <w:rFonts w:ascii="宋体" w:eastAsia="宋体" w:hAnsi="宋体" w:cs="宋体"/>
                <w:b w:val="0"/>
              </w:rPr>
              <w:t>29,800</w:t>
            </w:r>
          </w:p>
        </w:tc>
        <w:tc>
          <w:tcPr>
            <w:tcW w:w="0" w:type="dxa"/>
            <w:vAlign w:val="center"/>
          </w:tcPr>
          <w:p>
            <w:pPr>
              <w:spacing w:line="240" w:lineRule="auto"/>
              <w:jc w:val="right"/>
            </w:pPr>
            <w:r>
              <w:rPr>
                <w:rFonts w:ascii="宋体" w:eastAsia="宋体" w:hAnsi="宋体" w:cs="宋体"/>
                <w:b w:val="0"/>
              </w:rPr>
              <w:t>16,397,367.15</w:t>
            </w:r>
          </w:p>
        </w:tc>
        <w:tc>
          <w:tcPr>
            <w:tcW w:w="0" w:type="dxa"/>
            <w:vAlign w:val="center"/>
          </w:tcPr>
          <w:p>
            <w:pPr>
              <w:spacing w:line="240" w:lineRule="auto"/>
              <w:jc w:val="right"/>
            </w:pPr>
            <w:r>
              <w:rPr>
                <w:rFonts w:ascii="宋体" w:eastAsia="宋体" w:hAnsi="宋体" w:cs="宋体"/>
                <w:b w:val="0"/>
              </w:rPr>
              <w:t>6.19</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301550</w:t>
            </w:r>
          </w:p>
        </w:tc>
        <w:tc>
          <w:tcPr>
            <w:tcW w:w="0" w:type="dxa"/>
            <w:vAlign w:val="center"/>
          </w:tcPr>
          <w:p>
            <w:pPr>
              <w:spacing w:line="240" w:lineRule="auto"/>
              <w:jc w:val="left"/>
            </w:pPr>
            <w:r>
              <w:rPr>
                <w:rFonts w:ascii="宋体" w:eastAsia="宋体" w:hAnsi="宋体" w:cs="宋体"/>
                <w:b w:val="0"/>
              </w:rPr>
              <w:t>斯菱智驱</w:t>
            </w:r>
          </w:p>
        </w:tc>
        <w:tc>
          <w:tcPr>
            <w:tcW w:w="0" w:type="dxa"/>
            <w:vAlign w:val="center"/>
          </w:tcPr>
          <w:p>
            <w:pPr>
              <w:spacing w:line="240" w:lineRule="auto"/>
              <w:jc w:val="right"/>
            </w:pPr>
            <w:r>
              <w:rPr>
                <w:rFonts w:ascii="宋体" w:eastAsia="宋体" w:hAnsi="宋体" w:cs="宋体"/>
                <w:b w:val="0"/>
              </w:rPr>
              <w:t>159,900</w:t>
            </w:r>
          </w:p>
        </w:tc>
        <w:tc>
          <w:tcPr>
            <w:tcW w:w="0" w:type="dxa"/>
            <w:vAlign w:val="center"/>
          </w:tcPr>
          <w:p>
            <w:pPr>
              <w:spacing w:line="240" w:lineRule="auto"/>
              <w:jc w:val="right"/>
            </w:pPr>
            <w:r>
              <w:rPr>
                <w:rFonts w:ascii="宋体" w:eastAsia="宋体" w:hAnsi="宋体" w:cs="宋体"/>
                <w:b w:val="0"/>
              </w:rPr>
              <w:t>16,025,178.00</w:t>
            </w:r>
          </w:p>
        </w:tc>
        <w:tc>
          <w:tcPr>
            <w:tcW w:w="0" w:type="dxa"/>
            <w:vAlign w:val="center"/>
          </w:tcPr>
          <w:p>
            <w:pPr>
              <w:spacing w:line="240" w:lineRule="auto"/>
              <w:jc w:val="right"/>
            </w:pPr>
            <w:r>
              <w:rPr>
                <w:rFonts w:ascii="宋体" w:eastAsia="宋体" w:hAnsi="宋体" w:cs="宋体"/>
                <w:b w:val="0"/>
              </w:rPr>
              <w:t>6.05</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603179</w:t>
            </w:r>
          </w:p>
        </w:tc>
        <w:tc>
          <w:tcPr>
            <w:tcW w:w="0" w:type="dxa"/>
            <w:vAlign w:val="center"/>
          </w:tcPr>
          <w:p>
            <w:pPr>
              <w:spacing w:line="240" w:lineRule="auto"/>
              <w:jc w:val="left"/>
            </w:pPr>
            <w:r>
              <w:rPr>
                <w:rFonts w:ascii="宋体" w:eastAsia="宋体" w:hAnsi="宋体" w:cs="宋体"/>
                <w:b w:val="0"/>
              </w:rPr>
              <w:t>新泉股份</w:t>
            </w:r>
          </w:p>
        </w:tc>
        <w:tc>
          <w:tcPr>
            <w:tcW w:w="0" w:type="dxa"/>
            <w:vAlign w:val="center"/>
          </w:tcPr>
          <w:p>
            <w:pPr>
              <w:spacing w:line="240" w:lineRule="auto"/>
              <w:jc w:val="right"/>
            </w:pPr>
            <w:r>
              <w:rPr>
                <w:rFonts w:ascii="宋体" w:eastAsia="宋体" w:hAnsi="宋体" w:cs="宋体"/>
                <w:b w:val="0"/>
              </w:rPr>
              <w:t>386,800</w:t>
            </w:r>
          </w:p>
        </w:tc>
        <w:tc>
          <w:tcPr>
            <w:tcW w:w="0" w:type="dxa"/>
            <w:vAlign w:val="center"/>
          </w:tcPr>
          <w:p>
            <w:pPr>
              <w:spacing w:line="240" w:lineRule="auto"/>
              <w:jc w:val="right"/>
            </w:pPr>
            <w:r>
              <w:rPr>
                <w:rFonts w:ascii="宋体" w:eastAsia="宋体" w:hAnsi="宋体" w:cs="宋体"/>
                <w:b w:val="0"/>
              </w:rPr>
              <w:t>15,657,664.00</w:t>
            </w:r>
          </w:p>
        </w:tc>
        <w:tc>
          <w:tcPr>
            <w:tcW w:w="0" w:type="dxa"/>
            <w:vAlign w:val="center"/>
          </w:tcPr>
          <w:p>
            <w:pPr>
              <w:spacing w:line="240" w:lineRule="auto"/>
              <w:jc w:val="right"/>
            </w:pPr>
            <w:r>
              <w:rPr>
                <w:rFonts w:ascii="宋体" w:eastAsia="宋体" w:hAnsi="宋体" w:cs="宋体"/>
                <w:b w:val="0"/>
              </w:rPr>
              <w:t>5.91</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301310</w:t>
            </w:r>
          </w:p>
        </w:tc>
        <w:tc>
          <w:tcPr>
            <w:tcW w:w="0" w:type="dxa"/>
            <w:vAlign w:val="center"/>
          </w:tcPr>
          <w:p>
            <w:pPr>
              <w:spacing w:line="240" w:lineRule="auto"/>
              <w:jc w:val="left"/>
            </w:pPr>
            <w:r>
              <w:rPr>
                <w:rFonts w:ascii="宋体" w:eastAsia="宋体" w:hAnsi="宋体" w:cs="宋体"/>
                <w:b w:val="0"/>
              </w:rPr>
              <w:t>鑫宏业</w:t>
            </w:r>
          </w:p>
        </w:tc>
        <w:tc>
          <w:tcPr>
            <w:tcW w:w="0" w:type="dxa"/>
            <w:vAlign w:val="center"/>
          </w:tcPr>
          <w:p>
            <w:pPr>
              <w:spacing w:line="240" w:lineRule="auto"/>
              <w:jc w:val="right"/>
            </w:pPr>
            <w:r>
              <w:rPr>
                <w:rFonts w:ascii="宋体" w:eastAsia="宋体" w:hAnsi="宋体" w:cs="宋体"/>
                <w:b w:val="0"/>
              </w:rPr>
              <w:t>250,800</w:t>
            </w:r>
          </w:p>
        </w:tc>
        <w:tc>
          <w:tcPr>
            <w:tcW w:w="0" w:type="dxa"/>
            <w:vAlign w:val="center"/>
          </w:tcPr>
          <w:p>
            <w:pPr>
              <w:spacing w:line="240" w:lineRule="auto"/>
              <w:jc w:val="right"/>
            </w:pPr>
            <w:r>
              <w:rPr>
                <w:rFonts w:ascii="宋体" w:eastAsia="宋体" w:hAnsi="宋体" w:cs="宋体"/>
                <w:b w:val="0"/>
              </w:rPr>
              <w:t>15,449,280.00</w:t>
            </w:r>
          </w:p>
        </w:tc>
        <w:tc>
          <w:tcPr>
            <w:tcW w:w="0" w:type="dxa"/>
            <w:vAlign w:val="center"/>
          </w:tcPr>
          <w:p>
            <w:pPr>
              <w:spacing w:line="240" w:lineRule="auto"/>
              <w:jc w:val="right"/>
            </w:pPr>
            <w:r>
              <w:rPr>
                <w:rFonts w:ascii="宋体" w:eastAsia="宋体" w:hAnsi="宋体" w:cs="宋体"/>
                <w:b w:val="0"/>
              </w:rPr>
              <w:t>5.84</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301529</w:t>
            </w:r>
          </w:p>
        </w:tc>
        <w:tc>
          <w:tcPr>
            <w:tcW w:w="0" w:type="dxa"/>
            <w:vAlign w:val="center"/>
          </w:tcPr>
          <w:p>
            <w:pPr>
              <w:spacing w:line="240" w:lineRule="auto"/>
              <w:jc w:val="left"/>
            </w:pPr>
            <w:r>
              <w:rPr>
                <w:rFonts w:ascii="宋体" w:eastAsia="宋体" w:hAnsi="宋体" w:cs="宋体"/>
                <w:b w:val="0"/>
              </w:rPr>
              <w:t>福赛科技</w:t>
            </w:r>
          </w:p>
        </w:tc>
        <w:tc>
          <w:tcPr>
            <w:tcW w:w="0" w:type="dxa"/>
            <w:vAlign w:val="center"/>
          </w:tcPr>
          <w:p>
            <w:pPr>
              <w:spacing w:line="240" w:lineRule="auto"/>
              <w:jc w:val="right"/>
            </w:pPr>
            <w:r>
              <w:rPr>
                <w:rFonts w:ascii="宋体" w:eastAsia="宋体" w:hAnsi="宋体" w:cs="宋体"/>
                <w:b w:val="0"/>
              </w:rPr>
              <w:t>109,540</w:t>
            </w:r>
          </w:p>
        </w:tc>
        <w:tc>
          <w:tcPr>
            <w:tcW w:w="0" w:type="dxa"/>
            <w:vAlign w:val="center"/>
          </w:tcPr>
          <w:p>
            <w:pPr>
              <w:spacing w:line="240" w:lineRule="auto"/>
              <w:jc w:val="right"/>
            </w:pPr>
            <w:r>
              <w:rPr>
                <w:rFonts w:ascii="宋体" w:eastAsia="宋体" w:hAnsi="宋体" w:cs="宋体"/>
                <w:b w:val="0"/>
              </w:rPr>
              <w:t>15,401,324.00</w:t>
            </w:r>
          </w:p>
        </w:tc>
        <w:tc>
          <w:tcPr>
            <w:tcW w:w="0" w:type="dxa"/>
            <w:vAlign w:val="center"/>
          </w:tcPr>
          <w:p>
            <w:pPr>
              <w:spacing w:line="240" w:lineRule="auto"/>
              <w:jc w:val="right"/>
            </w:pPr>
            <w:r>
              <w:rPr>
                <w:rFonts w:ascii="宋体" w:eastAsia="宋体" w:hAnsi="宋体" w:cs="宋体"/>
                <w:b w:val="0"/>
              </w:rPr>
              <w:t>5.82</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000700</w:t>
            </w:r>
          </w:p>
        </w:tc>
        <w:tc>
          <w:tcPr>
            <w:tcW w:w="0" w:type="dxa"/>
            <w:vAlign w:val="center"/>
          </w:tcPr>
          <w:p>
            <w:pPr>
              <w:spacing w:line="240" w:lineRule="auto"/>
              <w:jc w:val="left"/>
            </w:pPr>
            <w:r>
              <w:rPr>
                <w:rFonts w:ascii="宋体" w:eastAsia="宋体" w:hAnsi="宋体" w:cs="宋体"/>
                <w:b w:val="0"/>
              </w:rPr>
              <w:t>模塑科技</w:t>
            </w:r>
          </w:p>
        </w:tc>
        <w:tc>
          <w:tcPr>
            <w:tcW w:w="0" w:type="dxa"/>
            <w:vAlign w:val="center"/>
          </w:tcPr>
          <w:p>
            <w:pPr>
              <w:spacing w:line="240" w:lineRule="auto"/>
              <w:jc w:val="right"/>
            </w:pPr>
            <w:r>
              <w:rPr>
                <w:rFonts w:ascii="宋体" w:eastAsia="宋体" w:hAnsi="宋体" w:cs="宋体"/>
                <w:b w:val="0"/>
              </w:rPr>
              <w:t>1,248,100</w:t>
            </w:r>
          </w:p>
        </w:tc>
        <w:tc>
          <w:tcPr>
            <w:tcW w:w="0" w:type="dxa"/>
            <w:vAlign w:val="center"/>
          </w:tcPr>
          <w:p>
            <w:pPr>
              <w:spacing w:line="240" w:lineRule="auto"/>
              <w:jc w:val="right"/>
            </w:pPr>
            <w:r>
              <w:rPr>
                <w:rFonts w:ascii="宋体" w:eastAsia="宋体" w:hAnsi="宋体" w:cs="宋体"/>
                <w:b w:val="0"/>
              </w:rPr>
              <w:t>15,326,668.00</w:t>
            </w:r>
          </w:p>
        </w:tc>
        <w:tc>
          <w:tcPr>
            <w:tcW w:w="0" w:type="dxa"/>
            <w:vAlign w:val="center"/>
          </w:tcPr>
          <w:p>
            <w:pPr>
              <w:spacing w:line="240" w:lineRule="auto"/>
              <w:jc w:val="right"/>
            </w:pPr>
            <w:r>
              <w:rPr>
                <w:rFonts w:ascii="宋体" w:eastAsia="宋体" w:hAnsi="宋体" w:cs="宋体"/>
                <w:b w:val="0"/>
              </w:rPr>
              <w:t>5.79</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603009</w:t>
            </w:r>
          </w:p>
        </w:tc>
        <w:tc>
          <w:tcPr>
            <w:tcW w:w="0" w:type="dxa"/>
            <w:vAlign w:val="center"/>
          </w:tcPr>
          <w:p>
            <w:pPr>
              <w:spacing w:line="240" w:lineRule="auto"/>
              <w:jc w:val="left"/>
            </w:pPr>
            <w:r>
              <w:rPr>
                <w:rFonts w:ascii="宋体" w:eastAsia="宋体" w:hAnsi="宋体" w:cs="宋体"/>
                <w:b w:val="0"/>
              </w:rPr>
              <w:t>北特科技</w:t>
            </w:r>
          </w:p>
        </w:tc>
        <w:tc>
          <w:tcPr>
            <w:tcW w:w="0" w:type="dxa"/>
            <w:vAlign w:val="center"/>
          </w:tcPr>
          <w:p>
            <w:pPr>
              <w:spacing w:line="240" w:lineRule="auto"/>
              <w:jc w:val="right"/>
            </w:pPr>
            <w:r>
              <w:rPr>
                <w:rFonts w:ascii="宋体" w:eastAsia="宋体" w:hAnsi="宋体" w:cs="宋体"/>
                <w:b w:val="0"/>
              </w:rPr>
              <w:t>331,700</w:t>
            </w:r>
          </w:p>
        </w:tc>
        <w:tc>
          <w:tcPr>
            <w:tcW w:w="0" w:type="dxa"/>
            <w:vAlign w:val="center"/>
          </w:tcPr>
          <w:p>
            <w:pPr>
              <w:spacing w:line="240" w:lineRule="auto"/>
              <w:jc w:val="right"/>
            </w:pPr>
            <w:r>
              <w:rPr>
                <w:rFonts w:ascii="宋体" w:eastAsia="宋体" w:hAnsi="宋体" w:cs="宋体"/>
                <w:b w:val="0"/>
              </w:rPr>
              <w:t>15,218,396.00</w:t>
            </w:r>
          </w:p>
        </w:tc>
        <w:tc>
          <w:tcPr>
            <w:tcW w:w="0" w:type="dxa"/>
            <w:vAlign w:val="center"/>
          </w:tcPr>
          <w:p>
            <w:pPr>
              <w:spacing w:line="240" w:lineRule="auto"/>
              <w:jc w:val="right"/>
            </w:pPr>
            <w:r>
              <w:rPr>
                <w:rFonts w:ascii="宋体" w:eastAsia="宋体" w:hAnsi="宋体" w:cs="宋体"/>
                <w:b w:val="0"/>
              </w:rPr>
              <w:t>5.75</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603608</w:t>
            </w:r>
          </w:p>
        </w:tc>
        <w:tc>
          <w:tcPr>
            <w:tcW w:w="0" w:type="dxa"/>
            <w:vAlign w:val="center"/>
          </w:tcPr>
          <w:p>
            <w:pPr>
              <w:spacing w:line="240" w:lineRule="auto"/>
              <w:jc w:val="left"/>
            </w:pPr>
            <w:r>
              <w:rPr>
                <w:rFonts w:ascii="宋体" w:eastAsia="宋体" w:hAnsi="宋体" w:cs="宋体"/>
                <w:b w:val="0"/>
              </w:rPr>
              <w:t>天创时尚</w:t>
            </w:r>
          </w:p>
        </w:tc>
        <w:tc>
          <w:tcPr>
            <w:tcW w:w="0" w:type="dxa"/>
            <w:vAlign w:val="center"/>
          </w:tcPr>
          <w:p>
            <w:pPr>
              <w:spacing w:line="240" w:lineRule="auto"/>
              <w:jc w:val="right"/>
            </w:pPr>
            <w:r>
              <w:rPr>
                <w:rFonts w:ascii="宋体" w:eastAsia="宋体" w:hAnsi="宋体" w:cs="宋体"/>
                <w:b w:val="0"/>
              </w:rPr>
              <w:t>775,600</w:t>
            </w:r>
          </w:p>
        </w:tc>
        <w:tc>
          <w:tcPr>
            <w:tcW w:w="0" w:type="dxa"/>
            <w:vAlign w:val="center"/>
          </w:tcPr>
          <w:p>
            <w:pPr>
              <w:spacing w:line="240" w:lineRule="auto"/>
              <w:jc w:val="right"/>
            </w:pPr>
            <w:r>
              <w:rPr>
                <w:rFonts w:ascii="宋体" w:eastAsia="宋体" w:hAnsi="宋体" w:cs="宋体"/>
                <w:b w:val="0"/>
              </w:rPr>
              <w:t>14,907,032.00</w:t>
            </w:r>
          </w:p>
        </w:tc>
        <w:tc>
          <w:tcPr>
            <w:tcW w:w="0" w:type="dxa"/>
            <w:vAlign w:val="center"/>
          </w:tcPr>
          <w:p>
            <w:pPr>
              <w:spacing w:line="240" w:lineRule="auto"/>
              <w:jc w:val="right"/>
            </w:pPr>
            <w:r>
              <w:rPr>
                <w:rFonts w:ascii="宋体" w:eastAsia="宋体" w:hAnsi="宋体" w:cs="宋体"/>
                <w:b w:val="0"/>
              </w:rPr>
              <w:t>5.63</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001331</w:t>
            </w:r>
          </w:p>
        </w:tc>
        <w:tc>
          <w:tcPr>
            <w:tcW w:w="0" w:type="dxa"/>
            <w:vAlign w:val="center"/>
          </w:tcPr>
          <w:p>
            <w:pPr>
              <w:spacing w:line="240" w:lineRule="auto"/>
              <w:jc w:val="left"/>
            </w:pPr>
            <w:r>
              <w:rPr>
                <w:rFonts w:ascii="宋体" w:eastAsia="宋体" w:hAnsi="宋体" w:cs="宋体"/>
                <w:b w:val="0"/>
              </w:rPr>
              <w:t>胜通能源</w:t>
            </w:r>
          </w:p>
        </w:tc>
        <w:tc>
          <w:tcPr>
            <w:tcW w:w="0" w:type="dxa"/>
            <w:vAlign w:val="center"/>
          </w:tcPr>
          <w:p>
            <w:pPr>
              <w:spacing w:line="240" w:lineRule="auto"/>
              <w:jc w:val="right"/>
            </w:pPr>
            <w:r>
              <w:rPr>
                <w:rFonts w:ascii="宋体" w:eastAsia="宋体" w:hAnsi="宋体" w:cs="宋体"/>
                <w:b w:val="0"/>
              </w:rPr>
              <w:t>378,000</w:t>
            </w:r>
          </w:p>
        </w:tc>
        <w:tc>
          <w:tcPr>
            <w:tcW w:w="0" w:type="dxa"/>
            <w:vAlign w:val="center"/>
          </w:tcPr>
          <w:p>
            <w:pPr>
              <w:spacing w:line="240" w:lineRule="auto"/>
              <w:jc w:val="right"/>
            </w:pPr>
            <w:r>
              <w:rPr>
                <w:rFonts w:ascii="宋体" w:eastAsia="宋体" w:hAnsi="宋体" w:cs="宋体"/>
                <w:b w:val="0"/>
              </w:rPr>
              <w:t>14,730,660.00</w:t>
            </w:r>
          </w:p>
        </w:tc>
        <w:tc>
          <w:tcPr>
            <w:tcW w:w="0" w:type="dxa"/>
            <w:vAlign w:val="center"/>
          </w:tcPr>
          <w:p>
            <w:pPr>
              <w:spacing w:line="240" w:lineRule="auto"/>
              <w:jc w:val="right"/>
            </w:pPr>
            <w:r>
              <w:rPr>
                <w:rFonts w:ascii="宋体" w:eastAsia="宋体" w:hAnsi="宋体" w:cs="宋体"/>
                <w:b w:val="0"/>
              </w:rPr>
              <w:t>5.56</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00100</w:t>
            </w:r>
          </w:p>
        </w:tc>
        <w:tc>
          <w:tcPr>
            <w:tcW w:w="0" w:type="dxa"/>
            <w:vAlign w:val="center"/>
          </w:tcPr>
          <w:p>
            <w:pPr>
              <w:spacing w:line="240" w:lineRule="auto"/>
              <w:jc w:val="left"/>
            </w:pPr>
            <w:r>
              <w:rPr>
                <w:rFonts w:ascii="宋体" w:eastAsia="宋体" w:hAnsi="宋体" w:cs="宋体"/>
                <w:b w:val="0"/>
              </w:rPr>
              <w:t>MINIMAX-W</w:t>
            </w:r>
          </w:p>
        </w:tc>
        <w:tc>
          <w:tcPr>
            <w:tcW w:w="0" w:type="dxa"/>
            <w:vAlign w:val="center"/>
          </w:tcPr>
          <w:p>
            <w:pPr>
              <w:spacing w:line="240" w:lineRule="auto"/>
              <w:jc w:val="right"/>
            </w:pPr>
            <w:r>
              <w:rPr>
                <w:rFonts w:ascii="宋体" w:eastAsia="宋体" w:hAnsi="宋体" w:cs="宋体"/>
                <w:b w:val="0"/>
              </w:rPr>
              <w:t>68,100</w:t>
            </w:r>
          </w:p>
        </w:tc>
        <w:tc>
          <w:tcPr>
            <w:tcW w:w="0" w:type="dxa"/>
            <w:vAlign w:val="center"/>
          </w:tcPr>
          <w:p>
            <w:pPr>
              <w:spacing w:line="240" w:lineRule="auto"/>
              <w:jc w:val="right"/>
            </w:pPr>
            <w:r>
              <w:rPr>
                <w:rFonts w:ascii="宋体" w:eastAsia="宋体" w:hAnsi="宋体" w:cs="宋体"/>
                <w:b w:val="0"/>
              </w:rPr>
              <w:t>14,626,292.18</w:t>
            </w:r>
          </w:p>
        </w:tc>
        <w:tc>
          <w:tcPr>
            <w:tcW w:w="0" w:type="dxa"/>
            <w:vAlign w:val="center"/>
          </w:tcPr>
          <w:p>
            <w:pPr>
              <w:spacing w:line="240" w:lineRule="auto"/>
              <w:jc w:val="right"/>
            </w:pPr>
            <w:r>
              <w:rPr>
                <w:rFonts w:ascii="宋体" w:eastAsia="宋体" w:hAnsi="宋体" w:cs="宋体"/>
                <w:b w:val="0"/>
              </w:rPr>
              <w:t>5.53</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17,398,561.29</w:t>
            </w:r>
          </w:p>
        </w:tc>
        <w:tc>
          <w:tcPr>
            <w:tcW w:w="0" w:type="dxa"/>
            <w:vAlign w:val="center"/>
          </w:tcPr>
          <w:p>
            <w:pPr>
              <w:spacing w:line="240" w:lineRule="auto"/>
              <w:jc w:val="right"/>
            </w:pPr>
            <w:r>
              <w:rPr>
                <w:rFonts w:ascii="宋体" w:eastAsia="宋体" w:hAnsi="宋体" w:cs="宋体"/>
                <w:b w:val="0"/>
              </w:rPr>
              <w:t>6.57</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17,398,561.29</w:t>
            </w:r>
          </w:p>
        </w:tc>
        <w:tc>
          <w:tcPr>
            <w:tcW w:w="0" w:type="dxa"/>
            <w:vAlign w:val="center"/>
          </w:tcPr>
          <w:p>
            <w:pPr>
              <w:spacing w:line="240" w:lineRule="auto"/>
              <w:jc w:val="right"/>
            </w:pPr>
            <w:r>
              <w:rPr>
                <w:rFonts w:ascii="宋体" w:eastAsia="宋体" w:hAnsi="宋体" w:cs="宋体"/>
                <w:b w:val="0"/>
              </w:rPr>
              <w:t>6.57</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019792</w:t>
            </w:r>
          </w:p>
        </w:tc>
        <w:tc>
          <w:tcPr>
            <w:tcW w:w="0" w:type="dxa"/>
            <w:vAlign w:val="center"/>
          </w:tcPr>
          <w:p>
            <w:pPr>
              <w:spacing w:line="240" w:lineRule="auto"/>
              <w:jc w:val="left"/>
            </w:pPr>
            <w:r>
              <w:rPr>
                <w:rFonts w:ascii="宋体" w:eastAsia="宋体" w:hAnsi="宋体" w:cs="宋体"/>
                <w:b w:val="0"/>
              </w:rPr>
              <w:t>25国债19</w:t>
            </w:r>
          </w:p>
        </w:tc>
        <w:tc>
          <w:tcPr>
            <w:tcW w:w="0" w:type="dxa"/>
            <w:vAlign w:val="center"/>
          </w:tcPr>
          <w:p>
            <w:pPr>
              <w:spacing w:line="240" w:lineRule="auto"/>
              <w:jc w:val="right"/>
            </w:pPr>
            <w:r>
              <w:rPr>
                <w:rFonts w:ascii="宋体" w:eastAsia="宋体" w:hAnsi="宋体" w:cs="宋体"/>
                <w:b w:val="0"/>
              </w:rPr>
              <w:t>171,690</w:t>
            </w:r>
          </w:p>
        </w:tc>
        <w:tc>
          <w:tcPr>
            <w:tcW w:w="0" w:type="dxa"/>
            <w:vAlign w:val="center"/>
          </w:tcPr>
          <w:p>
            <w:pPr>
              <w:spacing w:line="240" w:lineRule="auto"/>
              <w:jc w:val="right"/>
            </w:pPr>
            <w:r>
              <w:rPr>
                <w:rFonts w:ascii="宋体" w:eastAsia="宋体" w:hAnsi="宋体" w:cs="宋体"/>
                <w:b w:val="0"/>
              </w:rPr>
              <w:t>17,398,561.29</w:t>
            </w:r>
          </w:p>
        </w:tc>
        <w:tc>
          <w:tcPr>
            <w:tcW w:w="0" w:type="dxa"/>
            <w:vAlign w:val="center"/>
          </w:tcPr>
          <w:p>
            <w:pPr>
              <w:spacing w:line="240" w:lineRule="auto"/>
              <w:jc w:val="right"/>
            </w:pPr>
            <w:r>
              <w:rPr>
                <w:rFonts w:ascii="宋体" w:eastAsia="宋体" w:hAnsi="宋体" w:cs="宋体"/>
                <w:b w:val="0"/>
              </w:rPr>
              <w:t>6.57</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中,胜通能源股份有限公司在报告编制日前一年内因违反《上市公司信息披露管理办法》被中国证券监督管理委员会山东监管局要求责令改正。本基金对上述证券的投资决策程序符合相关法规及公司制度要求。</w:t>
        <w:br/>
      </w:r>
      <w:r>
        <w:rPr>
          <w:rFonts w:ascii="宋体" w:eastAsia="宋体" w:hAnsi="宋体" w:cs="宋体"/>
          <w:b w:val="0"/>
        </w:rPr>
        <w:t xml:space="preserve">    本基金投资前十名的其余证券的发行主体本期未出现被监管部门立案调查，或在报告编制日前一年内受到公开谴责、处罚的情形。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6,645,802.91</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813,159.52</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7,458,962.43</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东方阿尔法优选混合A</w:t>
            </w:r>
          </w:p>
        </w:tc>
        <w:tc>
          <w:tcPr>
            <w:tcW w:w="1300" w:type="pct"/>
            <w:vAlign w:val="center"/>
          </w:tcPr>
          <w:p>
            <w:pPr>
              <w:spacing w:line="240" w:lineRule="auto"/>
              <w:jc w:val="center"/>
            </w:pPr>
            <w:r>
              <w:rPr>
                <w:rFonts w:ascii="宋体" w:eastAsia="宋体" w:hAnsi="宋体" w:cs="宋体"/>
                <w:b w:val="0"/>
              </w:rPr>
              <w:t>东方阿尔法优选混合C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50,151,296.68</w:t>
            </w:r>
          </w:p>
        </w:tc>
        <w:tc>
          <w:tcPr>
            <w:tcW w:w="1300" w:type="pct"/>
            <w:vAlign w:val="center"/>
          </w:tcPr>
          <w:p>
            <w:pPr>
              <w:spacing w:line="240" w:lineRule="auto"/>
              <w:jc w:val="right"/>
            </w:pPr>
            <w:r>
              <w:rPr>
                <w:rFonts w:ascii="宋体" w:eastAsia="宋体" w:hAnsi="宋体" w:cs="宋体"/>
                <w:b w:val="0"/>
              </w:rPr>
              <w:t>356,871,257.38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7,435,024.17</w:t>
            </w:r>
          </w:p>
        </w:tc>
        <w:tc>
          <w:tcPr>
            <w:tcW w:w="1300" w:type="pct"/>
            <w:vAlign w:val="center"/>
          </w:tcPr>
          <w:p>
            <w:pPr>
              <w:spacing w:line="240" w:lineRule="auto"/>
              <w:jc w:val="right"/>
            </w:pPr>
            <w:r>
              <w:rPr>
                <w:rFonts w:ascii="宋体" w:eastAsia="宋体" w:hAnsi="宋体" w:cs="宋体"/>
                <w:b w:val="0"/>
              </w:rPr>
              <w:t>229,907,846.48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5,888,073.50</w:t>
            </w:r>
          </w:p>
        </w:tc>
        <w:tc>
          <w:tcPr>
            <w:tcW w:w="1300" w:type="pct"/>
            <w:vAlign w:val="center"/>
          </w:tcPr>
          <w:p>
            <w:pPr>
              <w:spacing w:line="240" w:lineRule="auto"/>
              <w:jc w:val="right"/>
            </w:pPr>
            <w:r>
              <w:rPr>
                <w:rFonts w:ascii="宋体" w:eastAsia="宋体" w:hAnsi="宋体" w:cs="宋体"/>
                <w:b w:val="0"/>
              </w:rPr>
              <w:t>256,020,187.38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51,698,247.35</w:t>
            </w:r>
          </w:p>
        </w:tc>
        <w:tc>
          <w:tcPr>
            <w:tcW w:w="1300" w:type="pct"/>
            <w:vAlign w:val="center"/>
          </w:tcPr>
          <w:p>
            <w:pPr>
              <w:spacing w:line="240" w:lineRule="auto"/>
              <w:jc w:val="right"/>
            </w:pPr>
            <w:r>
              <w:rPr>
                <w:rFonts w:ascii="宋体" w:eastAsia="宋体" w:hAnsi="宋体" w:cs="宋体"/>
                <w:b w:val="0"/>
              </w:rPr>
              <w:t>330,758,916.48</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p>
      <w:r>
        <w:rPr>
          <w:rFonts w:ascii="宋体" w:eastAsia="宋体" w:hAnsi="宋体" w:cs="宋体"/>
          <w:b w:val="0"/>
        </w:rPr>
        <w:t xml:space="preserve">    本基金基金合同于2019年09月12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1、中国证券监督管理委员会批准的东方阿尔法优选混合型发起式证券投资基金设立的文件；</w:t>
        <w:br/>
      </w:r>
      <w:r>
        <w:rPr>
          <w:rFonts w:ascii="宋体" w:eastAsia="宋体" w:hAnsi="宋体" w:cs="宋体"/>
          <w:b w:val="0"/>
        </w:rPr>
        <w:t xml:space="preserve">    2、《东方阿尔法优选混合型发起式证券投资基金基金合同》；</w:t>
        <w:br/>
      </w:r>
      <w:r>
        <w:rPr>
          <w:rFonts w:ascii="宋体" w:eastAsia="宋体" w:hAnsi="宋体" w:cs="宋体"/>
          <w:b w:val="0"/>
        </w:rPr>
        <w:t xml:space="preserve">    3、《东方阿尔法优选混合型发起式证券投资基金托管协议》；</w:t>
        <w:br/>
      </w:r>
      <w:r>
        <w:rPr>
          <w:rFonts w:ascii="宋体" w:eastAsia="宋体" w:hAnsi="宋体" w:cs="宋体"/>
          <w:b w:val="0"/>
        </w:rPr>
        <w:t xml:space="preserve">    4、《东方阿尔法优选混合型发起式证券投资基金招募说明书》（含更新）；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东方阿尔法优选混合型发起式证券投资基金2026年第3季度报告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朱燕婷</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