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东方阿尔法优势产业混合型发起式证券投资基金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东方阿尔法优势产业混合</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009644</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2020年06月28日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883,487,798.69份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本基金通过全面深入地研究分析上市公司基本面，投资于可能从宏观经济结构、产业结构升级以及技术创新等变化趋势中获益的质地优良的优势产业和上市公司，在严格控制风险的前提下，追求超越基金业绩比较基准的长期稳定资本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本基金的投资策略主要有以下8个方面内容：</w:t>
              <w:br/>
            </w:r>
            <w:r>
              <w:rPr>
                <w:rFonts w:ascii="宋体" w:eastAsia="宋体" w:hAnsi="宋体" w:cs="宋体"/>
                <w:b w:val="0"/>
              </w:rPr>
              <w:t>1、大类资产配置策略</w:t>
              <w:br/>
            </w:r>
            <w:r>
              <w:rPr>
                <w:rFonts w:ascii="宋体" w:eastAsia="宋体" w:hAnsi="宋体" w:cs="宋体"/>
                <w:b w:val="0"/>
              </w:rPr>
              <w:t>本基金采用自上而下的方法进行大类资产配置，通过对宏观经济、政策环境、证券市场走势的跟踪和综合分析，进行前瞻性的战略判断，合理确定基金在股票、债券、现金等各类别资产中的投资比例，并适时进行动态调整。</w:t>
              <w:br/>
            </w:r>
            <w:r>
              <w:rPr>
                <w:rFonts w:ascii="宋体" w:eastAsia="宋体" w:hAnsi="宋体" w:cs="宋体"/>
                <w:b w:val="0"/>
              </w:rPr>
              <w:t>2、股票投资策略</w:t>
              <w:br/>
            </w:r>
            <w:r>
              <w:rPr>
                <w:rFonts w:ascii="宋体" w:eastAsia="宋体" w:hAnsi="宋体" w:cs="宋体"/>
                <w:b w:val="0"/>
              </w:rPr>
              <w:t>本基金采用自上而下行业配置和自下而上个股精选相结合的股票投资策略，精选行业和公司。并通过深入研究宏观经济转型、产业结构转型背景下的产业升级与变革，对受益于国家经济转型和政策环境改变的相关产业中的上市公司进行系统分析，从定性和定量结合的角度综合分析其成长性和投资价值。</w:t>
              <w:br/>
            </w:r>
            <w:r>
              <w:rPr>
                <w:rFonts w:ascii="宋体" w:eastAsia="宋体" w:hAnsi="宋体" w:cs="宋体"/>
                <w:b w:val="0"/>
              </w:rPr>
              <w:t>3、存托凭证投资策略</w:t>
              <w:br/>
            </w:r>
            <w:r>
              <w:rPr>
                <w:rFonts w:ascii="宋体" w:eastAsia="宋体" w:hAnsi="宋体" w:cs="宋体"/>
                <w:b w:val="0"/>
              </w:rPr>
              <w:t>本基金可投资存托凭证，本基金将在深入研究的基础上，通过定性分析和定量分析相结合的方式，选择投资价值高的存托凭证进行投资。</w:t>
              <w:br/>
            </w:r>
            <w:r>
              <w:rPr>
                <w:rFonts w:ascii="宋体" w:eastAsia="宋体" w:hAnsi="宋体" w:cs="宋体"/>
                <w:b w:val="0"/>
              </w:rPr>
              <w:t>4、债券类资产投资策略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5、股指期货投资策略</w:t>
              <w:br/>
            </w:r>
            <w:r>
              <w:rPr>
                <w:rFonts w:ascii="宋体" w:eastAsia="宋体" w:hAnsi="宋体" w:cs="宋体"/>
                <w:b w:val="0"/>
              </w:rPr>
              <w:t>本基金投资股指期货将以投资组合避险和有效管理为目的，通过套期保值策略，对冲系统性风险，应对组合构建与调整中的流动性风险，力求风险收益的优化。</w:t>
              <w:br/>
            </w:r>
            <w:r>
              <w:rPr>
                <w:rFonts w:ascii="宋体" w:eastAsia="宋体" w:hAnsi="宋体" w:cs="宋体"/>
                <w:b w:val="0"/>
              </w:rPr>
              <w:t>6、融资业务的投资策略</w:t>
              <w:br/>
            </w:r>
            <w:r>
              <w:rPr>
                <w:rFonts w:ascii="宋体" w:eastAsia="宋体" w:hAnsi="宋体" w:cs="宋体"/>
                <w:b w:val="0"/>
              </w:rPr>
              <w:t>本基金将根据相关法律法规的规定参与融资业务。本基金参与融资业务，将综合考虑融资成本、保证金比例、冲抵保证金证券折算率、信用资质等条选择合适的交易对手方。同时，在保障基金投资组合充足流动性以及有效控制融资杠杆风险的前提下，确定融资比例。</w:t>
              <w:br/>
            </w:r>
            <w:r>
              <w:rPr>
                <w:rFonts w:ascii="宋体" w:eastAsia="宋体" w:hAnsi="宋体" w:cs="宋体"/>
                <w:b w:val="0"/>
              </w:rPr>
              <w:t>7、国债期货的投资策略</w:t>
              <w:br/>
            </w:r>
            <w:r>
              <w:rPr>
                <w:rFonts w:ascii="宋体" w:eastAsia="宋体" w:hAnsi="宋体" w:cs="宋体"/>
                <w:b w:val="0"/>
              </w:rPr>
              <w:t>基金管理人将结合对宏观经济形势和政策趋势的判断、对债券市场进行定性和定量分析，构建量化分析体系，在最大限度保证基金资产安全的基础上，力求实现所资产的长期稳定增值。</w:t>
              <w:br/>
            </w:r>
            <w:r>
              <w:rPr>
                <w:rFonts w:ascii="宋体" w:eastAsia="宋体" w:hAnsi="宋体" w:cs="宋体"/>
                <w:b w:val="0"/>
              </w:rPr>
              <w:t>8、资产支持证券投资策略</w:t>
              <w:br/>
            </w:r>
            <w:r>
              <w:rPr>
                <w:rFonts w:ascii="宋体" w:eastAsia="宋体" w:hAnsi="宋体" w:cs="宋体"/>
                <w:b w:val="0"/>
              </w:rPr>
              <w:t>本基金可以投资包括资产抵押贷款支持证券(ABS)、住房抵押贷款支持证券(MBS)等在内的资产支持证券。</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中证800指数收益率*90%+中证综合债（全价）指数收益率*10%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东方阿尔法优势产业混合A</w:t>
            </w:r>
          </w:p>
        </w:tc>
        <w:tc>
          <w:tcPr>
            <w:tcW w:w="1500" w:type="pct"/>
            <w:vAlign w:val="center"/>
          </w:tcPr>
          <w:p>
            <w:pPr>
              <w:spacing w:line="240" w:lineRule="auto"/>
              <w:jc w:val="left"/>
            </w:pPr>
            <w:r>
              <w:rPr>
                <w:rFonts w:ascii="宋体" w:eastAsia="宋体" w:hAnsi="宋体" w:cs="宋体"/>
                <w:b w:val="0"/>
              </w:rPr>
              <w:t>东方阿尔法优势产业混合C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009644</w:t>
            </w:r>
          </w:p>
        </w:tc>
        <w:tc>
          <w:tcPr>
            <w:tcW w:w="1500" w:type="pct"/>
            <w:vAlign w:val="center"/>
          </w:tcPr>
          <w:p>
            <w:pPr>
              <w:spacing w:line="240" w:lineRule="auto"/>
              <w:jc w:val="left"/>
            </w:pPr>
            <w:r>
              <w:rPr>
                <w:rFonts w:ascii="宋体" w:eastAsia="宋体" w:hAnsi="宋体" w:cs="宋体"/>
                <w:b w:val="0"/>
              </w:rPr>
              <w:t>009645</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435,931,946.10份</w:t>
            </w:r>
          </w:p>
        </w:tc>
        <w:tc>
          <w:tcPr>
            <w:tcW w:w="1500" w:type="pct"/>
            <w:vAlign w:val="center"/>
          </w:tcPr>
          <w:p>
            <w:pPr>
              <w:spacing w:line="240" w:lineRule="auto"/>
              <w:jc w:val="left"/>
            </w:pPr>
            <w:r>
              <w:rPr>
                <w:rFonts w:ascii="宋体" w:eastAsia="宋体" w:hAnsi="宋体" w:cs="宋体"/>
                <w:b w:val="0"/>
              </w:rPr>
              <w:t>447,555,852.59份</w:t>
            </w:r>
          </w:p>
        </w:tc>
      </w:tr>
    </w:tbl>
    <w:p>
      <w:r>
        <w:rPr>
          <w:rFonts w:ascii="宋体" w:eastAsia="宋体" w:hAnsi="宋体" w:cs="宋体"/>
          <w:b w:val="0"/>
        </w:rPr>
        <w:t>注：自 2026年9月21日起，本基金业绩比较基准由“中证800指数收益率×70%+中证综合债券指数收益率×30%”调整为“中证800指数收益率*90%+中证综合债（全价）指数收益率*10%”。</w:t>
      </w:r>
    </w:p>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东方阿尔法优势产业混合A</w:t>
            </w:r>
          </w:p>
        </w:tc>
        <w:tc>
          <w:tcPr>
            <w:tcW w:w="1500" w:type="pct"/>
            <w:shd w:val="clear" w:color="auto" w:fill="D9D9D9"/>
            <w:vAlign w:val="center"/>
          </w:tcPr>
          <w:p>
            <w:pPr>
              <w:spacing w:line="240" w:lineRule="auto"/>
              <w:jc w:val="center"/>
            </w:pPr>
            <w:r>
              <w:rPr>
                <w:rFonts w:ascii="宋体" w:eastAsia="宋体" w:hAnsi="宋体" w:cs="宋体"/>
                <w:b w:val="0"/>
              </w:rPr>
              <w:t>东方阿尔法优势产业混合C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-98,809,177.54</w:t>
            </w:r>
          </w:p>
        </w:tc>
        <w:tc>
          <w:tcPr>
            <w:tcW w:w="1500" w:type="pct"/>
            <w:vAlign w:val="center"/>
          </w:tcPr>
          <w:p>
            <w:pPr>
              <w:spacing w:line="240" w:lineRule="auto"/>
              <w:jc w:val="right"/>
            </w:pPr>
            <w:r>
              <w:rPr>
                <w:rFonts w:ascii="宋体" w:eastAsia="宋体" w:hAnsi="宋体" w:cs="宋体"/>
                <w:b w:val="0"/>
              </w:rPr>
              <w:t>-95,034,496.10</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-480,807,284.24</w:t>
            </w:r>
          </w:p>
        </w:tc>
        <w:tc>
          <w:tcPr>
            <w:tcW w:w="1500" w:type="pct"/>
            <w:vAlign w:val="center"/>
          </w:tcPr>
          <w:p>
            <w:pPr>
              <w:spacing w:line="240" w:lineRule="auto"/>
              <w:jc w:val="right"/>
            </w:pPr>
            <w:r>
              <w:rPr>
                <w:rFonts w:ascii="宋体" w:eastAsia="宋体" w:hAnsi="宋体" w:cs="宋体"/>
                <w:b w:val="0"/>
              </w:rPr>
              <w:t>-436,383,663.55</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-1.0833</w:t>
            </w:r>
          </w:p>
        </w:tc>
        <w:tc>
          <w:tcPr>
            <w:tcW w:w="1500" w:type="pct"/>
            <w:vAlign w:val="center"/>
          </w:tcPr>
          <w:p>
            <w:pPr>
              <w:spacing w:line="240" w:lineRule="auto"/>
              <w:jc w:val="right"/>
            </w:pPr>
            <w:r>
              <w:rPr>
                <w:rFonts w:ascii="宋体" w:eastAsia="宋体" w:hAnsi="宋体" w:cs="宋体"/>
                <w:b w:val="0"/>
              </w:rPr>
              <w:t>-1.0131</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1,144,074,252.98</w:t>
            </w:r>
          </w:p>
        </w:tc>
        <w:tc>
          <w:tcPr>
            <w:tcW w:w="1500" w:type="pct"/>
            <w:vAlign w:val="center"/>
          </w:tcPr>
          <w:p>
            <w:pPr>
              <w:spacing w:line="240" w:lineRule="auto"/>
              <w:jc w:val="right"/>
            </w:pPr>
            <w:r>
              <w:rPr>
                <w:rFonts w:ascii="宋体" w:eastAsia="宋体" w:hAnsi="宋体" w:cs="宋体"/>
                <w:b w:val="0"/>
              </w:rPr>
              <w:t>1,138,448,980.15</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2.6244</w:t>
            </w:r>
          </w:p>
        </w:tc>
        <w:tc>
          <w:tcPr>
            <w:tcW w:w="1500" w:type="pct"/>
            <w:vAlign w:val="center"/>
          </w:tcPr>
          <w:p>
            <w:pPr>
              <w:spacing w:line="240" w:lineRule="auto"/>
              <w:jc w:val="right"/>
            </w:pPr>
            <w:r>
              <w:rPr>
                <w:rFonts w:ascii="宋体" w:eastAsia="宋体" w:hAnsi="宋体" w:cs="宋体"/>
                <w:b w:val="0"/>
              </w:rPr>
              <w:t>2.5437</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东方阿尔法优势产业混合A净值表现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-28.53%</w:t>
            </w:r>
          </w:p>
        </w:tc>
        <w:tc>
          <w:tcPr>
            <w:tcW w:w="0" w:type="dxa"/>
            <w:vAlign w:val="center"/>
          </w:tcPr>
          <w:p>
            <w:pPr>
              <w:spacing w:line="240" w:lineRule="auto"/>
              <w:jc w:val="right"/>
            </w:pPr>
            <w:r>
              <w:rPr>
                <w:rFonts w:ascii="宋体" w:eastAsia="宋体" w:hAnsi="宋体" w:cs="宋体"/>
                <w:b w:val="0"/>
              </w:rPr>
              <w:t>4.57%</w:t>
            </w:r>
          </w:p>
        </w:tc>
        <w:tc>
          <w:tcPr>
            <w:tcW w:w="0" w:type="dxa"/>
            <w:vAlign w:val="center"/>
          </w:tcPr>
          <w:p>
            <w:pPr>
              <w:spacing w:line="240" w:lineRule="auto"/>
              <w:jc w:val="right"/>
            </w:pPr>
            <w:r>
              <w:rPr>
                <w:rFonts w:ascii="宋体" w:eastAsia="宋体" w:hAnsi="宋体" w:cs="宋体"/>
                <w:b w:val="0"/>
              </w:rPr>
              <w:t>-10.29%</w:t>
            </w:r>
          </w:p>
        </w:tc>
        <w:tc>
          <w:tcPr>
            <w:tcW w:w="0" w:type="dxa"/>
            <w:vAlign w:val="center"/>
          </w:tcPr>
          <w:p>
            <w:pPr>
              <w:spacing w:line="240" w:lineRule="auto"/>
              <w:jc w:val="right"/>
            </w:pPr>
            <w:r>
              <w:rPr>
                <w:rFonts w:ascii="宋体" w:eastAsia="宋体" w:hAnsi="宋体" w:cs="宋体"/>
                <w:b w:val="0"/>
              </w:rPr>
              <w:t>1.04%</w:t>
            </w:r>
          </w:p>
        </w:tc>
        <w:tc>
          <w:tcPr>
            <w:tcW w:w="0" w:type="dxa"/>
            <w:vAlign w:val="center"/>
          </w:tcPr>
          <w:p>
            <w:pPr>
              <w:spacing w:line="240" w:lineRule="auto"/>
              <w:jc w:val="right"/>
            </w:pPr>
            <w:r>
              <w:rPr>
                <w:rFonts w:ascii="宋体" w:eastAsia="宋体" w:hAnsi="宋体" w:cs="宋体"/>
                <w:b w:val="0"/>
              </w:rPr>
              <w:t>-18.24%</w:t>
            </w:r>
          </w:p>
        </w:tc>
        <w:tc>
          <w:tcPr>
            <w:tcW w:w="0" w:type="dxa"/>
            <w:vAlign w:val="center"/>
          </w:tcPr>
          <w:p>
            <w:pPr>
              <w:spacing w:line="240" w:lineRule="auto"/>
              <w:jc w:val="right"/>
            </w:pPr>
            <w:r>
              <w:rPr>
                <w:rFonts w:ascii="宋体" w:eastAsia="宋体" w:hAnsi="宋体" w:cs="宋体"/>
                <w:b w:val="0"/>
              </w:rPr>
              <w:t>3.53%</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26.94%</w:t>
            </w:r>
          </w:p>
        </w:tc>
        <w:tc>
          <w:tcPr>
            <w:tcW w:w="0" w:type="dxa"/>
            <w:vAlign w:val="center"/>
          </w:tcPr>
          <w:p>
            <w:pPr>
              <w:spacing w:line="240" w:lineRule="auto"/>
              <w:jc w:val="right"/>
            </w:pPr>
            <w:r>
              <w:rPr>
                <w:rFonts w:ascii="宋体" w:eastAsia="宋体" w:hAnsi="宋体" w:cs="宋体"/>
                <w:b w:val="0"/>
              </w:rPr>
              <w:t>4.10%</w:t>
            </w:r>
          </w:p>
        </w:tc>
        <w:tc>
          <w:tcPr>
            <w:tcW w:w="0" w:type="dxa"/>
            <w:vAlign w:val="center"/>
          </w:tcPr>
          <w:p>
            <w:pPr>
              <w:spacing w:line="240" w:lineRule="auto"/>
              <w:jc w:val="right"/>
            </w:pPr>
            <w:r>
              <w:rPr>
                <w:rFonts w:ascii="宋体" w:eastAsia="宋体" w:hAnsi="宋体" w:cs="宋体"/>
                <w:b w:val="0"/>
              </w:rPr>
              <w:t>-1.39%</w:t>
            </w:r>
          </w:p>
        </w:tc>
        <w:tc>
          <w:tcPr>
            <w:tcW w:w="0" w:type="dxa"/>
            <w:vAlign w:val="center"/>
          </w:tcPr>
          <w:p>
            <w:pPr>
              <w:spacing w:line="240" w:lineRule="auto"/>
              <w:jc w:val="right"/>
            </w:pPr>
            <w:r>
              <w:rPr>
                <w:rFonts w:ascii="宋体" w:eastAsia="宋体" w:hAnsi="宋体" w:cs="宋体"/>
                <w:b w:val="0"/>
              </w:rPr>
              <w:t>1.00%</w:t>
            </w:r>
          </w:p>
        </w:tc>
        <w:tc>
          <w:tcPr>
            <w:tcW w:w="0" w:type="dxa"/>
            <w:vAlign w:val="center"/>
          </w:tcPr>
          <w:p>
            <w:pPr>
              <w:spacing w:line="240" w:lineRule="auto"/>
              <w:jc w:val="right"/>
            </w:pPr>
            <w:r>
              <w:rPr>
                <w:rFonts w:ascii="宋体" w:eastAsia="宋体" w:hAnsi="宋体" w:cs="宋体"/>
                <w:b w:val="0"/>
              </w:rPr>
              <w:t>28.33%</w:t>
            </w:r>
          </w:p>
        </w:tc>
        <w:tc>
          <w:tcPr>
            <w:tcW w:w="0" w:type="dxa"/>
            <w:vAlign w:val="center"/>
          </w:tcPr>
          <w:p>
            <w:pPr>
              <w:spacing w:line="240" w:lineRule="auto"/>
              <w:jc w:val="right"/>
            </w:pPr>
            <w:r>
              <w:rPr>
                <w:rFonts w:ascii="宋体" w:eastAsia="宋体" w:hAnsi="宋体" w:cs="宋体"/>
                <w:b w:val="0"/>
              </w:rPr>
              <w:t>3.10%</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26.52%</w:t>
            </w:r>
          </w:p>
        </w:tc>
        <w:tc>
          <w:tcPr>
            <w:tcW w:w="0" w:type="dxa"/>
            <w:vAlign w:val="center"/>
          </w:tcPr>
          <w:p>
            <w:pPr>
              <w:spacing w:line="240" w:lineRule="auto"/>
              <w:jc w:val="right"/>
            </w:pPr>
            <w:r>
              <w:rPr>
                <w:rFonts w:ascii="宋体" w:eastAsia="宋体" w:hAnsi="宋体" w:cs="宋体"/>
                <w:b w:val="0"/>
              </w:rPr>
              <w:t>3.55%</w:t>
            </w:r>
          </w:p>
        </w:tc>
        <w:tc>
          <w:tcPr>
            <w:tcW w:w="0" w:type="dxa"/>
            <w:vAlign w:val="center"/>
          </w:tcPr>
          <w:p>
            <w:pPr>
              <w:spacing w:line="240" w:lineRule="auto"/>
              <w:jc w:val="right"/>
            </w:pPr>
            <w:r>
              <w:rPr>
                <w:rFonts w:ascii="宋体" w:eastAsia="宋体" w:hAnsi="宋体" w:cs="宋体"/>
                <w:b w:val="0"/>
              </w:rPr>
              <w:t>-2.42%</w:t>
            </w:r>
          </w:p>
        </w:tc>
        <w:tc>
          <w:tcPr>
            <w:tcW w:w="0" w:type="dxa"/>
            <w:vAlign w:val="center"/>
          </w:tcPr>
          <w:p>
            <w:pPr>
              <w:spacing w:line="240" w:lineRule="auto"/>
              <w:jc w:val="right"/>
            </w:pPr>
            <w:r>
              <w:rPr>
                <w:rFonts w:ascii="宋体" w:eastAsia="宋体" w:hAnsi="宋体" w:cs="宋体"/>
                <w:b w:val="0"/>
              </w:rPr>
              <w:t>0.88%</w:t>
            </w:r>
          </w:p>
        </w:tc>
        <w:tc>
          <w:tcPr>
            <w:tcW w:w="0" w:type="dxa"/>
            <w:vAlign w:val="center"/>
          </w:tcPr>
          <w:p>
            <w:pPr>
              <w:spacing w:line="240" w:lineRule="auto"/>
              <w:jc w:val="right"/>
            </w:pPr>
            <w:r>
              <w:rPr>
                <w:rFonts w:ascii="宋体" w:eastAsia="宋体" w:hAnsi="宋体" w:cs="宋体"/>
                <w:b w:val="0"/>
              </w:rPr>
              <w:t>28.94%</w:t>
            </w:r>
          </w:p>
        </w:tc>
        <w:tc>
          <w:tcPr>
            <w:tcW w:w="0" w:type="dxa"/>
            <w:vAlign w:val="center"/>
          </w:tcPr>
          <w:p>
            <w:pPr>
              <w:spacing w:line="240" w:lineRule="auto"/>
              <w:jc w:val="right"/>
            </w:pPr>
            <w:r>
              <w:rPr>
                <w:rFonts w:ascii="宋体" w:eastAsia="宋体" w:hAnsi="宋体" w:cs="宋体"/>
                <w:b w:val="0"/>
              </w:rPr>
              <w:t>2.67%</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125.66%</w:t>
            </w:r>
          </w:p>
        </w:tc>
        <w:tc>
          <w:tcPr>
            <w:tcW w:w="0" w:type="dxa"/>
            <w:vAlign w:val="center"/>
          </w:tcPr>
          <w:p>
            <w:pPr>
              <w:spacing w:line="240" w:lineRule="auto"/>
              <w:jc w:val="right"/>
            </w:pPr>
            <w:r>
              <w:rPr>
                <w:rFonts w:ascii="宋体" w:eastAsia="宋体" w:hAnsi="宋体" w:cs="宋体"/>
                <w:b w:val="0"/>
              </w:rPr>
              <w:t>2.89%</w:t>
            </w:r>
          </w:p>
        </w:tc>
        <w:tc>
          <w:tcPr>
            <w:tcW w:w="0" w:type="dxa"/>
            <w:vAlign w:val="center"/>
          </w:tcPr>
          <w:p>
            <w:pPr>
              <w:spacing w:line="240" w:lineRule="auto"/>
              <w:jc w:val="right"/>
            </w:pPr>
            <w:r>
              <w:rPr>
                <w:rFonts w:ascii="宋体" w:eastAsia="宋体" w:hAnsi="宋体" w:cs="宋体"/>
                <w:b w:val="0"/>
              </w:rPr>
              <w:t>19.46%</w:t>
            </w:r>
          </w:p>
        </w:tc>
        <w:tc>
          <w:tcPr>
            <w:tcW w:w="0" w:type="dxa"/>
            <w:vAlign w:val="center"/>
          </w:tcPr>
          <w:p>
            <w:pPr>
              <w:spacing w:line="240" w:lineRule="auto"/>
              <w:jc w:val="right"/>
            </w:pPr>
            <w:r>
              <w:rPr>
                <w:rFonts w:ascii="宋体" w:eastAsia="宋体" w:hAnsi="宋体" w:cs="宋体"/>
                <w:b w:val="0"/>
              </w:rPr>
              <w:t>0.86%</w:t>
            </w:r>
          </w:p>
        </w:tc>
        <w:tc>
          <w:tcPr>
            <w:tcW w:w="0" w:type="dxa"/>
            <w:vAlign w:val="center"/>
          </w:tcPr>
          <w:p>
            <w:pPr>
              <w:spacing w:line="240" w:lineRule="auto"/>
              <w:jc w:val="right"/>
            </w:pPr>
            <w:r>
              <w:rPr>
                <w:rFonts w:ascii="宋体" w:eastAsia="宋体" w:hAnsi="宋体" w:cs="宋体"/>
                <w:b w:val="0"/>
              </w:rPr>
              <w:t>106.20%</w:t>
            </w:r>
          </w:p>
        </w:tc>
        <w:tc>
          <w:tcPr>
            <w:tcW w:w="0" w:type="dxa"/>
            <w:vAlign w:val="center"/>
          </w:tcPr>
          <w:p>
            <w:pPr>
              <w:spacing w:line="240" w:lineRule="auto"/>
              <w:jc w:val="right"/>
            </w:pPr>
            <w:r>
              <w:rPr>
                <w:rFonts w:ascii="宋体" w:eastAsia="宋体" w:hAnsi="宋体" w:cs="宋体"/>
                <w:b w:val="0"/>
              </w:rPr>
              <w:t>2.03%</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15.13%</w:t>
            </w:r>
          </w:p>
        </w:tc>
        <w:tc>
          <w:tcPr>
            <w:tcW w:w="0" w:type="dxa"/>
            <w:vAlign w:val="center"/>
          </w:tcPr>
          <w:p>
            <w:pPr>
              <w:spacing w:line="240" w:lineRule="auto"/>
              <w:jc w:val="right"/>
            </w:pPr>
            <w:r>
              <w:rPr>
                <w:rFonts w:ascii="宋体" w:eastAsia="宋体" w:hAnsi="宋体" w:cs="宋体"/>
                <w:b w:val="0"/>
              </w:rPr>
              <w:t>2.64%</w:t>
            </w:r>
          </w:p>
        </w:tc>
        <w:tc>
          <w:tcPr>
            <w:tcW w:w="0" w:type="dxa"/>
            <w:vAlign w:val="center"/>
          </w:tcPr>
          <w:p>
            <w:pPr>
              <w:spacing w:line="240" w:lineRule="auto"/>
              <w:jc w:val="right"/>
            </w:pPr>
            <w:r>
              <w:rPr>
                <w:rFonts w:ascii="宋体" w:eastAsia="宋体" w:hAnsi="宋体" w:cs="宋体"/>
                <w:b w:val="0"/>
              </w:rPr>
              <w:t>2.32%</w:t>
            </w:r>
          </w:p>
        </w:tc>
        <w:tc>
          <w:tcPr>
            <w:tcW w:w="0" w:type="dxa"/>
            <w:vAlign w:val="center"/>
          </w:tcPr>
          <w:p>
            <w:pPr>
              <w:spacing w:line="240" w:lineRule="auto"/>
              <w:jc w:val="right"/>
            </w:pPr>
            <w:r>
              <w:rPr>
                <w:rFonts w:ascii="宋体" w:eastAsia="宋体" w:hAnsi="宋体" w:cs="宋体"/>
                <w:b w:val="0"/>
              </w:rPr>
              <w:t>0.81%</w:t>
            </w:r>
          </w:p>
        </w:tc>
        <w:tc>
          <w:tcPr>
            <w:tcW w:w="0" w:type="dxa"/>
            <w:vAlign w:val="center"/>
          </w:tcPr>
          <w:p>
            <w:pPr>
              <w:spacing w:line="240" w:lineRule="auto"/>
              <w:jc w:val="right"/>
            </w:pPr>
            <w:r>
              <w:rPr>
                <w:rFonts w:ascii="宋体" w:eastAsia="宋体" w:hAnsi="宋体" w:cs="宋体"/>
                <w:b w:val="0"/>
              </w:rPr>
              <w:t>12.81%</w:t>
            </w:r>
          </w:p>
        </w:tc>
        <w:tc>
          <w:tcPr>
            <w:tcW w:w="0" w:type="dxa"/>
            <w:vAlign w:val="center"/>
          </w:tcPr>
          <w:p>
            <w:pPr>
              <w:spacing w:line="240" w:lineRule="auto"/>
              <w:jc w:val="right"/>
            </w:pPr>
            <w:r>
              <w:rPr>
                <w:rFonts w:ascii="宋体" w:eastAsia="宋体" w:hAnsi="宋体" w:cs="宋体"/>
                <w:b w:val="0"/>
              </w:rPr>
              <w:t>1.83%</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162.44%</w:t>
            </w:r>
          </w:p>
        </w:tc>
        <w:tc>
          <w:tcPr>
            <w:tcW w:w="0" w:type="dxa"/>
            <w:vAlign w:val="center"/>
          </w:tcPr>
          <w:p>
            <w:pPr>
              <w:spacing w:line="240" w:lineRule="auto"/>
              <w:jc w:val="right"/>
            </w:pPr>
            <w:r>
              <w:rPr>
                <w:rFonts w:ascii="宋体" w:eastAsia="宋体" w:hAnsi="宋体" w:cs="宋体"/>
                <w:b w:val="0"/>
              </w:rPr>
              <w:t>2.64%</w:t>
            </w:r>
          </w:p>
        </w:tc>
        <w:tc>
          <w:tcPr>
            <w:tcW w:w="0" w:type="dxa"/>
            <w:vAlign w:val="center"/>
          </w:tcPr>
          <w:p>
            <w:pPr>
              <w:spacing w:line="240" w:lineRule="auto"/>
              <w:jc w:val="right"/>
            </w:pPr>
            <w:r>
              <w:rPr>
                <w:rFonts w:ascii="宋体" w:eastAsia="宋体" w:hAnsi="宋体" w:cs="宋体"/>
                <w:b w:val="0"/>
              </w:rPr>
              <w:t>17.56%</w:t>
            </w:r>
          </w:p>
        </w:tc>
        <w:tc>
          <w:tcPr>
            <w:tcW w:w="0" w:type="dxa"/>
            <w:vAlign w:val="center"/>
          </w:tcPr>
          <w:p>
            <w:pPr>
              <w:spacing w:line="240" w:lineRule="auto"/>
              <w:jc w:val="right"/>
            </w:pPr>
            <w:r>
              <w:rPr>
                <w:rFonts w:ascii="宋体" w:eastAsia="宋体" w:hAnsi="宋体" w:cs="宋体"/>
                <w:b w:val="0"/>
              </w:rPr>
              <w:t>0.83%</w:t>
            </w:r>
          </w:p>
        </w:tc>
        <w:tc>
          <w:tcPr>
            <w:tcW w:w="0" w:type="dxa"/>
            <w:vAlign w:val="center"/>
          </w:tcPr>
          <w:p>
            <w:pPr>
              <w:spacing w:line="240" w:lineRule="auto"/>
              <w:jc w:val="right"/>
            </w:pPr>
            <w:r>
              <w:rPr>
                <w:rFonts w:ascii="宋体" w:eastAsia="宋体" w:hAnsi="宋体" w:cs="宋体"/>
                <w:b w:val="0"/>
              </w:rPr>
              <w:t>144.88%</w:t>
            </w:r>
          </w:p>
        </w:tc>
        <w:tc>
          <w:tcPr>
            <w:tcW w:w="0" w:type="dxa"/>
            <w:vAlign w:val="center"/>
          </w:tcPr>
          <w:p>
            <w:pPr>
              <w:spacing w:line="240" w:lineRule="auto"/>
              <w:jc w:val="right"/>
            </w:pPr>
            <w:r>
              <w:rPr>
                <w:rFonts w:ascii="宋体" w:eastAsia="宋体" w:hAnsi="宋体" w:cs="宋体"/>
                <w:b w:val="0"/>
              </w:rPr>
              <w:t>1.81%</w:t>
            </w:r>
          </w:p>
        </w:tc>
      </w:tr>
    </w:tbl>
    <w:p>
      <w:pPr>
        <w:jc w:val="left"/>
      </w:pPr>
      <w:r>
        <w:rPr>
          <w:rFonts w:ascii="宋体" w:eastAsia="宋体" w:hAnsi="宋体" w:cs="宋体"/>
          <w:b/>
        </w:rPr>
        <w:t>东方阿尔法优势产业混合C净值表现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-28.62%</w:t>
            </w:r>
          </w:p>
        </w:tc>
        <w:tc>
          <w:tcPr>
            <w:tcW w:w="0" w:type="dxa"/>
            <w:vAlign w:val="center"/>
          </w:tcPr>
          <w:p>
            <w:pPr>
              <w:spacing w:line="240" w:lineRule="auto"/>
              <w:jc w:val="right"/>
            </w:pPr>
            <w:r>
              <w:rPr>
                <w:rFonts w:ascii="宋体" w:eastAsia="宋体" w:hAnsi="宋体" w:cs="宋体"/>
                <w:b w:val="0"/>
              </w:rPr>
              <w:t>4.57%</w:t>
            </w:r>
          </w:p>
        </w:tc>
        <w:tc>
          <w:tcPr>
            <w:tcW w:w="0" w:type="dxa"/>
            <w:vAlign w:val="center"/>
          </w:tcPr>
          <w:p>
            <w:pPr>
              <w:spacing w:line="240" w:lineRule="auto"/>
              <w:jc w:val="right"/>
            </w:pPr>
            <w:r>
              <w:rPr>
                <w:rFonts w:ascii="宋体" w:eastAsia="宋体" w:hAnsi="宋体" w:cs="宋体"/>
                <w:b w:val="0"/>
              </w:rPr>
              <w:t>-10.29%</w:t>
            </w:r>
          </w:p>
        </w:tc>
        <w:tc>
          <w:tcPr>
            <w:tcW w:w="0" w:type="dxa"/>
            <w:vAlign w:val="center"/>
          </w:tcPr>
          <w:p>
            <w:pPr>
              <w:spacing w:line="240" w:lineRule="auto"/>
              <w:jc w:val="right"/>
            </w:pPr>
            <w:r>
              <w:rPr>
                <w:rFonts w:ascii="宋体" w:eastAsia="宋体" w:hAnsi="宋体" w:cs="宋体"/>
                <w:b w:val="0"/>
              </w:rPr>
              <w:t>1.04%</w:t>
            </w:r>
          </w:p>
        </w:tc>
        <w:tc>
          <w:tcPr>
            <w:tcW w:w="0" w:type="dxa"/>
            <w:vAlign w:val="center"/>
          </w:tcPr>
          <w:p>
            <w:pPr>
              <w:spacing w:line="240" w:lineRule="auto"/>
              <w:jc w:val="right"/>
            </w:pPr>
            <w:r>
              <w:rPr>
                <w:rFonts w:ascii="宋体" w:eastAsia="宋体" w:hAnsi="宋体" w:cs="宋体"/>
                <w:b w:val="0"/>
              </w:rPr>
              <w:t>-18.33%</w:t>
            </w:r>
          </w:p>
        </w:tc>
        <w:tc>
          <w:tcPr>
            <w:tcW w:w="0" w:type="dxa"/>
            <w:vAlign w:val="center"/>
          </w:tcPr>
          <w:p>
            <w:pPr>
              <w:spacing w:line="240" w:lineRule="auto"/>
              <w:jc w:val="right"/>
            </w:pPr>
            <w:r>
              <w:rPr>
                <w:rFonts w:ascii="宋体" w:eastAsia="宋体" w:hAnsi="宋体" w:cs="宋体"/>
                <w:b w:val="0"/>
              </w:rPr>
              <w:t>3.53%</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26.63%</w:t>
            </w:r>
          </w:p>
        </w:tc>
        <w:tc>
          <w:tcPr>
            <w:tcW w:w="0" w:type="dxa"/>
            <w:vAlign w:val="center"/>
          </w:tcPr>
          <w:p>
            <w:pPr>
              <w:spacing w:line="240" w:lineRule="auto"/>
              <w:jc w:val="right"/>
            </w:pPr>
            <w:r>
              <w:rPr>
                <w:rFonts w:ascii="宋体" w:eastAsia="宋体" w:hAnsi="宋体" w:cs="宋体"/>
                <w:b w:val="0"/>
              </w:rPr>
              <w:t>4.10%</w:t>
            </w:r>
          </w:p>
        </w:tc>
        <w:tc>
          <w:tcPr>
            <w:tcW w:w="0" w:type="dxa"/>
            <w:vAlign w:val="center"/>
          </w:tcPr>
          <w:p>
            <w:pPr>
              <w:spacing w:line="240" w:lineRule="auto"/>
              <w:jc w:val="right"/>
            </w:pPr>
            <w:r>
              <w:rPr>
                <w:rFonts w:ascii="宋体" w:eastAsia="宋体" w:hAnsi="宋体" w:cs="宋体"/>
                <w:b w:val="0"/>
              </w:rPr>
              <w:t>-1.39%</w:t>
            </w:r>
          </w:p>
        </w:tc>
        <w:tc>
          <w:tcPr>
            <w:tcW w:w="0" w:type="dxa"/>
            <w:vAlign w:val="center"/>
          </w:tcPr>
          <w:p>
            <w:pPr>
              <w:spacing w:line="240" w:lineRule="auto"/>
              <w:jc w:val="right"/>
            </w:pPr>
            <w:r>
              <w:rPr>
                <w:rFonts w:ascii="宋体" w:eastAsia="宋体" w:hAnsi="宋体" w:cs="宋体"/>
                <w:b w:val="0"/>
              </w:rPr>
              <w:t>1.00%</w:t>
            </w:r>
          </w:p>
        </w:tc>
        <w:tc>
          <w:tcPr>
            <w:tcW w:w="0" w:type="dxa"/>
            <w:vAlign w:val="center"/>
          </w:tcPr>
          <w:p>
            <w:pPr>
              <w:spacing w:line="240" w:lineRule="auto"/>
              <w:jc w:val="right"/>
            </w:pPr>
            <w:r>
              <w:rPr>
                <w:rFonts w:ascii="宋体" w:eastAsia="宋体" w:hAnsi="宋体" w:cs="宋体"/>
                <w:b w:val="0"/>
              </w:rPr>
              <w:t>28.02%</w:t>
            </w:r>
          </w:p>
        </w:tc>
        <w:tc>
          <w:tcPr>
            <w:tcW w:w="0" w:type="dxa"/>
            <w:vAlign w:val="center"/>
          </w:tcPr>
          <w:p>
            <w:pPr>
              <w:spacing w:line="240" w:lineRule="auto"/>
              <w:jc w:val="right"/>
            </w:pPr>
            <w:r>
              <w:rPr>
                <w:rFonts w:ascii="宋体" w:eastAsia="宋体" w:hAnsi="宋体" w:cs="宋体"/>
                <w:b w:val="0"/>
              </w:rPr>
              <w:t>3.10%</w:t>
            </w:r>
          </w:p>
        </w:tc>
      </w:tr>
      <w:tr>
        <w:tblPrEx>
          <w:tblW w:w="5000" w:type="pct"/>
        </w:tblPrEx>
        <w:tc>
          <w:tcPr>
            <w:tcW w:w="0" w:type="dxa"/>
            <w:vAlign w:val="center"/>
          </w:tcPr>
          <w:p>
            <w:pPr>
              <w:spacing w:line="240" w:lineRule="auto"/>
              <w:jc w:val="left"/>
            </w:pPr>
            <w:r>
              <w:rPr>
                <w:rFonts w:ascii="宋体" w:eastAsia="宋体" w:hAnsi="宋体" w:cs="宋体"/>
                <w:b w:val="0"/>
              </w:rPr>
              <w:t>过去一年</w:t>
            </w:r>
          </w:p>
        </w:tc>
        <w:tc>
          <w:tcPr>
            <w:tcW w:w="0" w:type="dxa"/>
            <w:vAlign w:val="center"/>
          </w:tcPr>
          <w:p>
            <w:pPr>
              <w:spacing w:line="240" w:lineRule="auto"/>
              <w:jc w:val="right"/>
            </w:pPr>
            <w:r>
              <w:rPr>
                <w:rFonts w:ascii="宋体" w:eastAsia="宋体" w:hAnsi="宋体" w:cs="宋体"/>
                <w:b w:val="0"/>
              </w:rPr>
              <w:t>25.89%</w:t>
            </w:r>
          </w:p>
        </w:tc>
        <w:tc>
          <w:tcPr>
            <w:tcW w:w="0" w:type="dxa"/>
            <w:vAlign w:val="center"/>
          </w:tcPr>
          <w:p>
            <w:pPr>
              <w:spacing w:line="240" w:lineRule="auto"/>
              <w:jc w:val="right"/>
            </w:pPr>
            <w:r>
              <w:rPr>
                <w:rFonts w:ascii="宋体" w:eastAsia="宋体" w:hAnsi="宋体" w:cs="宋体"/>
                <w:b w:val="0"/>
              </w:rPr>
              <w:t>3.55%</w:t>
            </w:r>
          </w:p>
        </w:tc>
        <w:tc>
          <w:tcPr>
            <w:tcW w:w="0" w:type="dxa"/>
            <w:vAlign w:val="center"/>
          </w:tcPr>
          <w:p>
            <w:pPr>
              <w:spacing w:line="240" w:lineRule="auto"/>
              <w:jc w:val="right"/>
            </w:pPr>
            <w:r>
              <w:rPr>
                <w:rFonts w:ascii="宋体" w:eastAsia="宋体" w:hAnsi="宋体" w:cs="宋体"/>
                <w:b w:val="0"/>
              </w:rPr>
              <w:t>-2.42%</w:t>
            </w:r>
          </w:p>
        </w:tc>
        <w:tc>
          <w:tcPr>
            <w:tcW w:w="0" w:type="dxa"/>
            <w:vAlign w:val="center"/>
          </w:tcPr>
          <w:p>
            <w:pPr>
              <w:spacing w:line="240" w:lineRule="auto"/>
              <w:jc w:val="right"/>
            </w:pPr>
            <w:r>
              <w:rPr>
                <w:rFonts w:ascii="宋体" w:eastAsia="宋体" w:hAnsi="宋体" w:cs="宋体"/>
                <w:b w:val="0"/>
              </w:rPr>
              <w:t>0.88%</w:t>
            </w:r>
          </w:p>
        </w:tc>
        <w:tc>
          <w:tcPr>
            <w:tcW w:w="0" w:type="dxa"/>
            <w:vAlign w:val="center"/>
          </w:tcPr>
          <w:p>
            <w:pPr>
              <w:spacing w:line="240" w:lineRule="auto"/>
              <w:jc w:val="right"/>
            </w:pPr>
            <w:r>
              <w:rPr>
                <w:rFonts w:ascii="宋体" w:eastAsia="宋体" w:hAnsi="宋体" w:cs="宋体"/>
                <w:b w:val="0"/>
              </w:rPr>
              <w:t>28.31%</w:t>
            </w:r>
          </w:p>
        </w:tc>
        <w:tc>
          <w:tcPr>
            <w:tcW w:w="0" w:type="dxa"/>
            <w:vAlign w:val="center"/>
          </w:tcPr>
          <w:p>
            <w:pPr>
              <w:spacing w:line="240" w:lineRule="auto"/>
              <w:jc w:val="right"/>
            </w:pPr>
            <w:r>
              <w:rPr>
                <w:rFonts w:ascii="宋体" w:eastAsia="宋体" w:hAnsi="宋体" w:cs="宋体"/>
                <w:b w:val="0"/>
              </w:rPr>
              <w:t>2.67%</w:t>
            </w:r>
          </w:p>
        </w:tc>
      </w:tr>
      <w:tr>
        <w:tblPrEx>
          <w:tblW w:w="5000" w:type="pct"/>
        </w:tblPrEx>
        <w:tc>
          <w:tcPr>
            <w:tcW w:w="0" w:type="dxa"/>
            <w:vAlign w:val="center"/>
          </w:tcPr>
          <w:p>
            <w:pPr>
              <w:spacing w:line="240" w:lineRule="auto"/>
              <w:jc w:val="left"/>
            </w:pPr>
            <w:r>
              <w:rPr>
                <w:rFonts w:ascii="宋体" w:eastAsia="宋体" w:hAnsi="宋体" w:cs="宋体"/>
                <w:b w:val="0"/>
              </w:rPr>
              <w:t>过去三年</w:t>
            </w:r>
          </w:p>
        </w:tc>
        <w:tc>
          <w:tcPr>
            <w:tcW w:w="0" w:type="dxa"/>
            <w:vAlign w:val="center"/>
          </w:tcPr>
          <w:p>
            <w:pPr>
              <w:spacing w:line="240" w:lineRule="auto"/>
              <w:jc w:val="right"/>
            </w:pPr>
            <w:r>
              <w:rPr>
                <w:rFonts w:ascii="宋体" w:eastAsia="宋体" w:hAnsi="宋体" w:cs="宋体"/>
                <w:b w:val="0"/>
              </w:rPr>
              <w:t>122.29%</w:t>
            </w:r>
          </w:p>
        </w:tc>
        <w:tc>
          <w:tcPr>
            <w:tcW w:w="0" w:type="dxa"/>
            <w:vAlign w:val="center"/>
          </w:tcPr>
          <w:p>
            <w:pPr>
              <w:spacing w:line="240" w:lineRule="auto"/>
              <w:jc w:val="right"/>
            </w:pPr>
            <w:r>
              <w:rPr>
                <w:rFonts w:ascii="宋体" w:eastAsia="宋体" w:hAnsi="宋体" w:cs="宋体"/>
                <w:b w:val="0"/>
              </w:rPr>
              <w:t>2.89%</w:t>
            </w:r>
          </w:p>
        </w:tc>
        <w:tc>
          <w:tcPr>
            <w:tcW w:w="0" w:type="dxa"/>
            <w:vAlign w:val="center"/>
          </w:tcPr>
          <w:p>
            <w:pPr>
              <w:spacing w:line="240" w:lineRule="auto"/>
              <w:jc w:val="right"/>
            </w:pPr>
            <w:r>
              <w:rPr>
                <w:rFonts w:ascii="宋体" w:eastAsia="宋体" w:hAnsi="宋体" w:cs="宋体"/>
                <w:b w:val="0"/>
              </w:rPr>
              <w:t>19.46%</w:t>
            </w:r>
          </w:p>
        </w:tc>
        <w:tc>
          <w:tcPr>
            <w:tcW w:w="0" w:type="dxa"/>
            <w:vAlign w:val="center"/>
          </w:tcPr>
          <w:p>
            <w:pPr>
              <w:spacing w:line="240" w:lineRule="auto"/>
              <w:jc w:val="right"/>
            </w:pPr>
            <w:r>
              <w:rPr>
                <w:rFonts w:ascii="宋体" w:eastAsia="宋体" w:hAnsi="宋体" w:cs="宋体"/>
                <w:b w:val="0"/>
              </w:rPr>
              <w:t>0.86%</w:t>
            </w:r>
          </w:p>
        </w:tc>
        <w:tc>
          <w:tcPr>
            <w:tcW w:w="0" w:type="dxa"/>
            <w:vAlign w:val="center"/>
          </w:tcPr>
          <w:p>
            <w:pPr>
              <w:spacing w:line="240" w:lineRule="auto"/>
              <w:jc w:val="right"/>
            </w:pPr>
            <w:r>
              <w:rPr>
                <w:rFonts w:ascii="宋体" w:eastAsia="宋体" w:hAnsi="宋体" w:cs="宋体"/>
                <w:b w:val="0"/>
              </w:rPr>
              <w:t>102.83%</w:t>
            </w:r>
          </w:p>
        </w:tc>
        <w:tc>
          <w:tcPr>
            <w:tcW w:w="0" w:type="dxa"/>
            <w:vAlign w:val="center"/>
          </w:tcPr>
          <w:p>
            <w:pPr>
              <w:spacing w:line="240" w:lineRule="auto"/>
              <w:jc w:val="right"/>
            </w:pPr>
            <w:r>
              <w:rPr>
                <w:rFonts w:ascii="宋体" w:eastAsia="宋体" w:hAnsi="宋体" w:cs="宋体"/>
                <w:b w:val="0"/>
              </w:rPr>
              <w:t>2.03%</w:t>
            </w:r>
          </w:p>
        </w:tc>
      </w:tr>
      <w:tr>
        <w:tblPrEx>
          <w:tblW w:w="5000" w:type="pct"/>
        </w:tblPrEx>
        <w:tc>
          <w:tcPr>
            <w:tcW w:w="0" w:type="dxa"/>
            <w:vAlign w:val="center"/>
          </w:tcPr>
          <w:p>
            <w:pPr>
              <w:spacing w:line="240" w:lineRule="auto"/>
              <w:jc w:val="left"/>
            </w:pPr>
            <w:r>
              <w:rPr>
                <w:rFonts w:ascii="宋体" w:eastAsia="宋体" w:hAnsi="宋体" w:cs="宋体"/>
                <w:b w:val="0"/>
              </w:rPr>
              <w:t>过去五年</w:t>
            </w:r>
          </w:p>
        </w:tc>
        <w:tc>
          <w:tcPr>
            <w:tcW w:w="0" w:type="dxa"/>
            <w:vAlign w:val="center"/>
          </w:tcPr>
          <w:p>
            <w:pPr>
              <w:spacing w:line="240" w:lineRule="auto"/>
              <w:jc w:val="right"/>
            </w:pPr>
            <w:r>
              <w:rPr>
                <w:rFonts w:ascii="宋体" w:eastAsia="宋体" w:hAnsi="宋体" w:cs="宋体"/>
                <w:b w:val="0"/>
              </w:rPr>
              <w:t>12.28%</w:t>
            </w:r>
          </w:p>
        </w:tc>
        <w:tc>
          <w:tcPr>
            <w:tcW w:w="0" w:type="dxa"/>
            <w:vAlign w:val="center"/>
          </w:tcPr>
          <w:p>
            <w:pPr>
              <w:spacing w:line="240" w:lineRule="auto"/>
              <w:jc w:val="right"/>
            </w:pPr>
            <w:r>
              <w:rPr>
                <w:rFonts w:ascii="宋体" w:eastAsia="宋体" w:hAnsi="宋体" w:cs="宋体"/>
                <w:b w:val="0"/>
              </w:rPr>
              <w:t>2.64%</w:t>
            </w:r>
          </w:p>
        </w:tc>
        <w:tc>
          <w:tcPr>
            <w:tcW w:w="0" w:type="dxa"/>
            <w:vAlign w:val="center"/>
          </w:tcPr>
          <w:p>
            <w:pPr>
              <w:spacing w:line="240" w:lineRule="auto"/>
              <w:jc w:val="right"/>
            </w:pPr>
            <w:r>
              <w:rPr>
                <w:rFonts w:ascii="宋体" w:eastAsia="宋体" w:hAnsi="宋体" w:cs="宋体"/>
                <w:b w:val="0"/>
              </w:rPr>
              <w:t>2.32%</w:t>
            </w:r>
          </w:p>
        </w:tc>
        <w:tc>
          <w:tcPr>
            <w:tcW w:w="0" w:type="dxa"/>
            <w:vAlign w:val="center"/>
          </w:tcPr>
          <w:p>
            <w:pPr>
              <w:spacing w:line="240" w:lineRule="auto"/>
              <w:jc w:val="right"/>
            </w:pPr>
            <w:r>
              <w:rPr>
                <w:rFonts w:ascii="宋体" w:eastAsia="宋体" w:hAnsi="宋体" w:cs="宋体"/>
                <w:b w:val="0"/>
              </w:rPr>
              <w:t>0.81%</w:t>
            </w:r>
          </w:p>
        </w:tc>
        <w:tc>
          <w:tcPr>
            <w:tcW w:w="0" w:type="dxa"/>
            <w:vAlign w:val="center"/>
          </w:tcPr>
          <w:p>
            <w:pPr>
              <w:spacing w:line="240" w:lineRule="auto"/>
              <w:jc w:val="right"/>
            </w:pPr>
            <w:r>
              <w:rPr>
                <w:rFonts w:ascii="宋体" w:eastAsia="宋体" w:hAnsi="宋体" w:cs="宋体"/>
                <w:b w:val="0"/>
              </w:rPr>
              <w:t>9.96%</w:t>
            </w:r>
          </w:p>
        </w:tc>
        <w:tc>
          <w:tcPr>
            <w:tcW w:w="0" w:type="dxa"/>
            <w:vAlign w:val="center"/>
          </w:tcPr>
          <w:p>
            <w:pPr>
              <w:spacing w:line="240" w:lineRule="auto"/>
              <w:jc w:val="right"/>
            </w:pPr>
            <w:r>
              <w:rPr>
                <w:rFonts w:ascii="宋体" w:eastAsia="宋体" w:hAnsi="宋体" w:cs="宋体"/>
                <w:b w:val="0"/>
              </w:rPr>
              <w:t>1.83%</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154.37%</w:t>
            </w:r>
          </w:p>
        </w:tc>
        <w:tc>
          <w:tcPr>
            <w:tcW w:w="0" w:type="dxa"/>
            <w:vAlign w:val="center"/>
          </w:tcPr>
          <w:p>
            <w:pPr>
              <w:spacing w:line="240" w:lineRule="auto"/>
              <w:jc w:val="right"/>
            </w:pPr>
            <w:r>
              <w:rPr>
                <w:rFonts w:ascii="宋体" w:eastAsia="宋体" w:hAnsi="宋体" w:cs="宋体"/>
                <w:b w:val="0"/>
              </w:rPr>
              <w:t>2.64%</w:t>
            </w:r>
          </w:p>
        </w:tc>
        <w:tc>
          <w:tcPr>
            <w:tcW w:w="0" w:type="dxa"/>
            <w:vAlign w:val="center"/>
          </w:tcPr>
          <w:p>
            <w:pPr>
              <w:spacing w:line="240" w:lineRule="auto"/>
              <w:jc w:val="right"/>
            </w:pPr>
            <w:r>
              <w:rPr>
                <w:rFonts w:ascii="宋体" w:eastAsia="宋体" w:hAnsi="宋体" w:cs="宋体"/>
                <w:b w:val="0"/>
              </w:rPr>
              <w:t>17.56%</w:t>
            </w:r>
          </w:p>
        </w:tc>
        <w:tc>
          <w:tcPr>
            <w:tcW w:w="0" w:type="dxa"/>
            <w:vAlign w:val="center"/>
          </w:tcPr>
          <w:p>
            <w:pPr>
              <w:spacing w:line="240" w:lineRule="auto"/>
              <w:jc w:val="right"/>
            </w:pPr>
            <w:r>
              <w:rPr>
                <w:rFonts w:ascii="宋体" w:eastAsia="宋体" w:hAnsi="宋体" w:cs="宋体"/>
                <w:b w:val="0"/>
              </w:rPr>
              <w:t>0.83%</w:t>
            </w:r>
          </w:p>
        </w:tc>
        <w:tc>
          <w:tcPr>
            <w:tcW w:w="0" w:type="dxa"/>
            <w:vAlign w:val="center"/>
          </w:tcPr>
          <w:p>
            <w:pPr>
              <w:spacing w:line="240" w:lineRule="auto"/>
              <w:jc w:val="right"/>
            </w:pPr>
            <w:r>
              <w:rPr>
                <w:rFonts w:ascii="宋体" w:eastAsia="宋体" w:hAnsi="宋体" w:cs="宋体"/>
                <w:b w:val="0"/>
              </w:rPr>
              <w:t>136.81%</w:t>
            </w:r>
          </w:p>
        </w:tc>
        <w:tc>
          <w:tcPr>
            <w:tcW w:w="0" w:type="dxa"/>
            <w:vAlign w:val="center"/>
          </w:tcPr>
          <w:p>
            <w:pPr>
              <w:spacing w:line="240" w:lineRule="auto"/>
              <w:jc w:val="right"/>
            </w:pPr>
            <w:r>
              <w:rPr>
                <w:rFonts w:ascii="宋体" w:eastAsia="宋体" w:hAnsi="宋体" w:cs="宋体"/>
                <w:b w:val="0"/>
              </w:rPr>
              <w:t>1.81%</w:t>
            </w:r>
          </w:p>
        </w:tc>
      </w:tr>
    </w:tbl>
    <w:p>
      <w:r>
        <w:rPr>
          <w:rFonts w:ascii="宋体" w:eastAsia="宋体" w:hAnsi="宋体" w:cs="宋体"/>
          <w:b w:val="0"/>
        </w:rPr>
        <w:t>注：自 2026年9月21日起，本基金业绩比较基准由“中证800指数收益率×70%+中证综合债券指数收益率×30%”调整为“中证800指数收益率*90%+中证综合债（全价）指数收益率*10%”。此次本基金业绩比较基准调整同时涉及更换业绩比较基准要素和调整业绩比较基准的要素权重。本基金的债券资产采用全市场策略，主要通过类属配置与券种选择进行投资管理。原业绩比较基准中，中证综合债券指数（指数代码H11009）选取在沪深交易所或银行间市场上市的BBB及以上、且剩余期限1个月及以上的国债、金融债、企业债等债券作为成份券，该指数旨在更全面地反映我国债券市场的整体价格变动趋势。调整后的新业绩比较基准中，中证综合债（全价）指数（指数代码H11009CNY030）为中证综合债券指数的全价算法衍生指数，适合作为本基金债券部分的业绩比较基准要素。此外，基于本基金历史持仓，并结合基金合同约定的投资比例限制以及本基金预期的资产配置比例中枢，将业绩比较基准中的股票资产所对应的基准要素权重从70%提高至90%，将业绩比较基准中的债券资产所对应的基准要素权重从30%降低至10%，从而使得新业绩比较基准中各大资产类别所对应的基准要素权重与基金投资策略和基金过往实际投资运作等相匹配。本次调整业绩比较基准旨在提高基金业绩表现与业绩比较基准的可比性，更加清晰反映基金的风险收益特征，不会对产品投资运作、持有人利益产生实质性不利影响。基金业绩比较基准收益率在调整前后期间分别根据相应的指标计算。</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r>
        <w:rPr>
          <w:rFonts w:ascii="宋体" w:eastAsia="宋体" w:hAnsi="宋体" w:cs="宋体"/>
          <w:b w:val="0"/>
        </w:rPr>
        <w:t>注：自 2026年9月21日起，本基金业绩比较基准由“中证800指数收益率×70%+中证综合债券指数收益率×30%”调整为“中证800指数收益率*90%+中证综合债（全价）指数收益率*10%”。基金业绩比较基准收益率在调整前后期间分别根据相应的指标计算。</w:t>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周谧</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2025-11-05</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16年</w:t>
            </w:r>
          </w:p>
        </w:tc>
        <w:tc>
          <w:tcPr>
            <w:tcW w:w="0" w:type="dxa"/>
            <w:vAlign w:val="center"/>
          </w:tcPr>
          <w:p>
            <w:pPr>
              <w:spacing w:line="240" w:lineRule="auto"/>
              <w:jc w:val="left"/>
            </w:pPr>
            <w:r>
              <w:rPr>
                <w:rFonts w:ascii="宋体" w:eastAsia="宋体" w:hAnsi="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r>
        <w:tblPrEx>
          <w:tblW w:w="5000" w:type="pct"/>
        </w:tblPrEx>
        <w:tc>
          <w:tcPr>
            <w:tcW w:w="0" w:type="dxa"/>
            <w:vAlign w:val="center"/>
          </w:tcPr>
          <w:p>
            <w:pPr>
              <w:spacing w:line="240" w:lineRule="auto"/>
              <w:jc w:val="left"/>
            </w:pPr>
            <w:r>
              <w:rPr>
                <w:rFonts w:ascii="宋体" w:eastAsia="宋体" w:hAnsi="宋体" w:cs="宋体"/>
                <w:b w:val="0"/>
              </w:rPr>
              <w:t>吴秋松</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2026-01-28</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10年</w:t>
            </w:r>
          </w:p>
        </w:tc>
        <w:tc>
          <w:tcPr>
            <w:tcW w:w="0" w:type="dxa"/>
            <w:vAlign w:val="center"/>
          </w:tcPr>
          <w:p>
            <w:pPr>
              <w:spacing w:line="240" w:lineRule="auto"/>
              <w:jc w:val="left"/>
            </w:pPr>
            <w:r>
              <w:rPr>
                <w:rFonts w:ascii="宋体" w:eastAsia="宋体" w:hAnsi="宋体" w:cs="宋体"/>
                <w:b w:val="0"/>
              </w:rPr>
              <w:t>吴秋松先生，哈尔滨工业大学工学学士， 复旦大学管理学硕士。多年证券行业投研经验，曾任职于君证资本管理有限公司、银泰证券有限责任公司。2017年10月至2024年9月，在红塔红土基金管理有限公司工作，历任研究部研究员 、投资部基金经理助理、基金经理。现担任东方阿尔法基金管理有限公司基金经理。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2026年第三季度，国内7-9月制造业PMI分别为49.2%、49.8%、50.1%，大致符合季节性特征。2026年7、8月国内规模以上工业增加值分别同比增长4.5%、5.2%，同比增速较2026年第二季度保持稳定。2026年7、8月固定资产投资分别同比下滑12.9%、11.0%，社会消费品零售总额分别同比增长0.6%、0.4%，而出口（以美元计价）分别同比增长23.9%、25.0%，仍是拉动国内制造业增长的主要贡献项。</w:t>
        <w:br/>
      </w:r>
      <w:r>
        <w:rPr>
          <w:rFonts w:ascii="宋体" w:eastAsia="宋体" w:hAnsi="宋体" w:cs="宋体"/>
          <w:b w:val="0"/>
        </w:rPr>
        <w:t xml:space="preserve">    经济基本面仍呈K型分化，A股市场主要宽基指数在2026年第三季度整体呈现震荡回调的走势，结构性特征较第二季度有明显变化。其中上证指数下跌6.16%、沪深300下跌12.49%、中证500下跌17.67%、创业板指下跌27.80%、科创50下跌30.70%。具体申万一级行业方面，行业指数表现差异明显，煤炭、石油石化、农林牧渔行业指数涨幅领先，涨幅都超过了15%，而电子、通信行业指数跌幅靠前，跌幅均在30%左右。</w:t>
        <w:br/>
      </w:r>
      <w:r>
        <w:rPr>
          <w:rFonts w:ascii="宋体" w:eastAsia="宋体" w:hAnsi="宋体" w:cs="宋体"/>
          <w:b w:val="0"/>
        </w:rPr>
        <w:t xml:space="preserve">    报告期内，本基金始终锚定科技产业升级核心，以 AI 产业链为核心布局方向。我们仍然看好AI产业，尤其是PCB、光通信、液冷、电源等需要中国科技制造能力的产业，相关的国内企业将有望继续在全球AI算力供应链中发挥关键作用，产业景气度有望在2026年持续提升，相关公司的业绩也有望保持高增长的态势。同时，我们会保持对新科技产品的紧密跟踪，争取把握其中从0到1、从1到N的投资机会，努力为持有人带来超额收益。</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优势产业混合A基金份额净值为2.6244元，本报告期内，该类基金份额净值增长率为-28.53%，同期业绩比较基准收益率为-10.29%；截至报告期末东方阿尔法优势产业混合C基金份额净值为2.5437元，本报告期内，该类基金份额净值增长率为-28.62%，同期业绩比较基准收益率为-10.29%。</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本报告期内，本基金未出现连续20个工作日基金份额持有人数量不满200人或者基金资产净值低于5000万的情形。</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2,109,648,170.64</w:t>
            </w:r>
          </w:p>
        </w:tc>
        <w:tc>
          <w:tcPr>
            <w:tcW w:w="0" w:type="dxa"/>
            <w:vAlign w:val="center"/>
          </w:tcPr>
          <w:p>
            <w:pPr>
              <w:spacing w:line="240" w:lineRule="auto"/>
              <w:jc w:val="right"/>
            </w:pPr>
            <w:r>
              <w:rPr>
                <w:rFonts w:ascii="宋体" w:eastAsia="宋体" w:hAnsi="宋体" w:cs="宋体"/>
                <w:b w:val="0"/>
              </w:rPr>
              <w:t>92.09</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2,109,648,170.64</w:t>
            </w:r>
          </w:p>
        </w:tc>
        <w:tc>
          <w:tcPr>
            <w:tcW w:w="0" w:type="dxa"/>
            <w:vAlign w:val="center"/>
          </w:tcPr>
          <w:p>
            <w:pPr>
              <w:spacing w:line="240" w:lineRule="auto"/>
              <w:jc w:val="right"/>
            </w:pPr>
            <w:r>
              <w:rPr>
                <w:rFonts w:ascii="宋体" w:eastAsia="宋体" w:hAnsi="宋体" w:cs="宋体"/>
                <w:b w:val="0"/>
              </w:rPr>
              <w:t>92.09</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127,927,144.30</w:t>
            </w:r>
          </w:p>
        </w:tc>
        <w:tc>
          <w:tcPr>
            <w:tcW w:w="0" w:type="dxa"/>
            <w:vAlign w:val="center"/>
          </w:tcPr>
          <w:p>
            <w:pPr>
              <w:spacing w:line="240" w:lineRule="auto"/>
              <w:jc w:val="right"/>
            </w:pPr>
            <w:r>
              <w:rPr>
                <w:rFonts w:ascii="宋体" w:eastAsia="宋体" w:hAnsi="宋体" w:cs="宋体"/>
                <w:b w:val="0"/>
              </w:rPr>
              <w:t>5.58</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127,927,144.30</w:t>
            </w:r>
          </w:p>
        </w:tc>
        <w:tc>
          <w:tcPr>
            <w:tcW w:w="0" w:type="dxa"/>
            <w:vAlign w:val="center"/>
          </w:tcPr>
          <w:p>
            <w:pPr>
              <w:spacing w:line="240" w:lineRule="auto"/>
              <w:jc w:val="right"/>
            </w:pPr>
            <w:r>
              <w:rPr>
                <w:rFonts w:ascii="宋体" w:eastAsia="宋体" w:hAnsi="宋体" w:cs="宋体"/>
                <w:b w:val="0"/>
              </w:rPr>
              <w:t>5.58</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41,042,510.70</w:t>
            </w:r>
          </w:p>
        </w:tc>
        <w:tc>
          <w:tcPr>
            <w:tcW w:w="0" w:type="dxa"/>
            <w:vAlign w:val="center"/>
          </w:tcPr>
          <w:p>
            <w:pPr>
              <w:spacing w:line="240" w:lineRule="auto"/>
              <w:jc w:val="right"/>
            </w:pPr>
            <w:r>
              <w:rPr>
                <w:rFonts w:ascii="宋体" w:eastAsia="宋体" w:hAnsi="宋体" w:cs="宋体"/>
                <w:b w:val="0"/>
              </w:rPr>
              <w:t>1.79</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12,335,048.06</w:t>
            </w:r>
          </w:p>
        </w:tc>
        <w:tc>
          <w:tcPr>
            <w:tcW w:w="0" w:type="dxa"/>
            <w:vAlign w:val="center"/>
          </w:tcPr>
          <w:p>
            <w:pPr>
              <w:spacing w:line="240" w:lineRule="auto"/>
              <w:jc w:val="right"/>
            </w:pPr>
            <w:r>
              <w:rPr>
                <w:rFonts w:ascii="宋体" w:eastAsia="宋体" w:hAnsi="宋体" w:cs="宋体"/>
                <w:b w:val="0"/>
              </w:rPr>
              <w:t>0.54</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2,290,952,873.70</w:t>
            </w:r>
          </w:p>
        </w:tc>
        <w:tc>
          <w:tcPr>
            <w:tcW w:w="0" w:type="dxa"/>
            <w:vAlign w:val="center"/>
          </w:tcPr>
          <w:p>
            <w:pPr>
              <w:spacing w:line="240" w:lineRule="auto"/>
              <w:jc w:val="right"/>
            </w:pPr>
            <w:r>
              <w:rPr>
                <w:rFonts w:ascii="宋体" w:eastAsia="宋体" w:hAnsi="宋体" w:cs="宋体"/>
                <w:b w:val="0"/>
              </w:rPr>
              <w:t>100.00</w:t>
            </w:r>
          </w:p>
        </w:tc>
      </w:tr>
    </w:tbl>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39,069.96</w:t>
            </w:r>
          </w:p>
        </w:tc>
        <w:tc>
          <w:tcPr>
            <w:tcW w:w="0" w:type="dxa"/>
            <w:vAlign w:val="center"/>
          </w:tcPr>
          <w:p>
            <w:pPr>
              <w:spacing w:line="240" w:lineRule="auto"/>
              <w:jc w:val="right"/>
            </w:pPr>
            <w:r>
              <w:rPr>
                <w:rFonts w:ascii="宋体" w:eastAsia="宋体" w:hAnsi="宋体" w:cs="宋体"/>
                <w:b w:val="0"/>
              </w:rPr>
              <w:t>0.00</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2,109,023,299.37</w:t>
            </w:r>
          </w:p>
        </w:tc>
        <w:tc>
          <w:tcPr>
            <w:tcW w:w="0" w:type="dxa"/>
            <w:vAlign w:val="center"/>
          </w:tcPr>
          <w:p>
            <w:pPr>
              <w:spacing w:line="240" w:lineRule="auto"/>
              <w:jc w:val="right"/>
            </w:pPr>
            <w:r>
              <w:rPr>
                <w:rFonts w:ascii="宋体" w:eastAsia="宋体" w:hAnsi="宋体" w:cs="宋体"/>
                <w:b w:val="0"/>
              </w:rPr>
              <w:t>92.40</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549,873.82</w:t>
            </w:r>
          </w:p>
        </w:tc>
        <w:tc>
          <w:tcPr>
            <w:tcW w:w="0" w:type="dxa"/>
            <w:vAlign w:val="center"/>
          </w:tcPr>
          <w:p>
            <w:pPr>
              <w:spacing w:line="240" w:lineRule="auto"/>
              <w:jc w:val="right"/>
            </w:pPr>
            <w:r>
              <w:rPr>
                <w:rFonts w:ascii="宋体" w:eastAsia="宋体" w:hAnsi="宋体" w:cs="宋体"/>
                <w:b w:val="0"/>
              </w:rPr>
              <w:t>0.02</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35,927.49</w:t>
            </w:r>
          </w:p>
        </w:tc>
        <w:tc>
          <w:tcPr>
            <w:tcW w:w="0" w:type="dxa"/>
            <w:vAlign w:val="center"/>
          </w:tcPr>
          <w:p>
            <w:pPr>
              <w:spacing w:line="240" w:lineRule="auto"/>
              <w:jc w:val="right"/>
            </w:pPr>
            <w:r>
              <w:rPr>
                <w:rFonts w:ascii="宋体" w:eastAsia="宋体" w:hAnsi="宋体" w:cs="宋体"/>
                <w:b w:val="0"/>
              </w:rPr>
              <w:t>0.00</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2,109,648,170.64</w:t>
            </w:r>
          </w:p>
        </w:tc>
        <w:tc>
          <w:tcPr>
            <w:tcW w:w="0" w:type="dxa"/>
            <w:vAlign w:val="center"/>
          </w:tcPr>
          <w:p>
            <w:pPr>
              <w:spacing w:line="240" w:lineRule="auto"/>
              <w:jc w:val="right"/>
            </w:pPr>
            <w:r>
              <w:rPr>
                <w:rFonts w:ascii="宋体" w:eastAsia="宋体" w:hAnsi="宋体" w:cs="宋体"/>
                <w:b w:val="0"/>
              </w:rPr>
              <w:t>92.43</w:t>
            </w:r>
          </w:p>
        </w:tc>
      </w:tr>
    </w:tbl>
    <w:p/>
    <w:p>
      <w:pPr>
        <w:pStyle w:val="zhangjiep2"/>
      </w:pPr>
      <w:r>
        <w:rPr>
          <w:rStyle w:val="DefaultParagraphFont"/>
          <w:rFonts w:ascii="宋体" w:eastAsia="宋体" w:hAnsi="宋体" w:cs="宋体"/>
          <w:b/>
        </w:rPr>
        <w:t>5.2.2 报告期末按行业分类的港股通投资股票投资组合</w:t>
      </w:r>
    </w:p>
    <w:p>
      <w:r>
        <w:rPr>
          <w:rFonts w:ascii="宋体" w:eastAsia="宋体" w:hAnsi="宋体" w:cs="宋体"/>
          <w:b w:val="0"/>
        </w:rPr>
        <w:t xml:space="preserve">    本基金本报告期末未持有港股通投资股票投资组合。</w:t>
      </w:r>
    </w:p>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688025</w:t>
            </w:r>
          </w:p>
        </w:tc>
        <w:tc>
          <w:tcPr>
            <w:tcW w:w="0" w:type="dxa"/>
            <w:vAlign w:val="center"/>
          </w:tcPr>
          <w:p>
            <w:pPr>
              <w:spacing w:line="240" w:lineRule="auto"/>
              <w:jc w:val="left"/>
            </w:pPr>
            <w:r>
              <w:rPr>
                <w:rFonts w:ascii="宋体" w:eastAsia="宋体" w:hAnsi="宋体" w:cs="宋体"/>
                <w:b w:val="0"/>
              </w:rPr>
              <w:t>杰普特</w:t>
            </w:r>
          </w:p>
        </w:tc>
        <w:tc>
          <w:tcPr>
            <w:tcW w:w="0" w:type="dxa"/>
            <w:vAlign w:val="center"/>
          </w:tcPr>
          <w:p>
            <w:pPr>
              <w:spacing w:line="240" w:lineRule="auto"/>
              <w:jc w:val="right"/>
            </w:pPr>
            <w:r>
              <w:rPr>
                <w:rFonts w:ascii="宋体" w:eastAsia="宋体" w:hAnsi="宋体" w:cs="宋体"/>
                <w:b w:val="0"/>
              </w:rPr>
              <w:t>514,510</w:t>
            </w:r>
          </w:p>
        </w:tc>
        <w:tc>
          <w:tcPr>
            <w:tcW w:w="0" w:type="dxa"/>
            <w:vAlign w:val="center"/>
          </w:tcPr>
          <w:p>
            <w:pPr>
              <w:spacing w:line="240" w:lineRule="auto"/>
              <w:jc w:val="right"/>
            </w:pPr>
            <w:r>
              <w:rPr>
                <w:rFonts w:ascii="宋体" w:eastAsia="宋体" w:hAnsi="宋体" w:cs="宋体"/>
                <w:b w:val="0"/>
              </w:rPr>
              <w:t>215,811,219.50</w:t>
            </w:r>
          </w:p>
        </w:tc>
        <w:tc>
          <w:tcPr>
            <w:tcW w:w="0" w:type="dxa"/>
            <w:vAlign w:val="center"/>
          </w:tcPr>
          <w:p>
            <w:pPr>
              <w:spacing w:line="240" w:lineRule="auto"/>
              <w:jc w:val="right"/>
            </w:pPr>
            <w:r>
              <w:rPr>
                <w:rFonts w:ascii="宋体" w:eastAsia="宋体" w:hAnsi="宋体" w:cs="宋体"/>
                <w:b w:val="0"/>
              </w:rPr>
              <w:t>9.45</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002436</w:t>
            </w:r>
          </w:p>
        </w:tc>
        <w:tc>
          <w:tcPr>
            <w:tcW w:w="0" w:type="dxa"/>
            <w:vAlign w:val="center"/>
          </w:tcPr>
          <w:p>
            <w:pPr>
              <w:spacing w:line="240" w:lineRule="auto"/>
              <w:jc w:val="left"/>
            </w:pPr>
            <w:r>
              <w:rPr>
                <w:rFonts w:ascii="宋体" w:eastAsia="宋体" w:hAnsi="宋体" w:cs="宋体"/>
                <w:b w:val="0"/>
              </w:rPr>
              <w:t>兴森科技</w:t>
            </w:r>
          </w:p>
        </w:tc>
        <w:tc>
          <w:tcPr>
            <w:tcW w:w="0" w:type="dxa"/>
            <w:vAlign w:val="center"/>
          </w:tcPr>
          <w:p>
            <w:pPr>
              <w:spacing w:line="240" w:lineRule="auto"/>
              <w:jc w:val="right"/>
            </w:pPr>
            <w:r>
              <w:rPr>
                <w:rFonts w:ascii="宋体" w:eastAsia="宋体" w:hAnsi="宋体" w:cs="宋体"/>
                <w:b w:val="0"/>
              </w:rPr>
              <w:t>5,126,887</w:t>
            </w:r>
          </w:p>
        </w:tc>
        <w:tc>
          <w:tcPr>
            <w:tcW w:w="0" w:type="dxa"/>
            <w:vAlign w:val="center"/>
          </w:tcPr>
          <w:p>
            <w:pPr>
              <w:spacing w:line="240" w:lineRule="auto"/>
              <w:jc w:val="right"/>
            </w:pPr>
            <w:r>
              <w:rPr>
                <w:rFonts w:ascii="宋体" w:eastAsia="宋体" w:hAnsi="宋体" w:cs="宋体"/>
                <w:b w:val="0"/>
              </w:rPr>
              <w:t>209,894,753.78</w:t>
            </w:r>
          </w:p>
        </w:tc>
        <w:tc>
          <w:tcPr>
            <w:tcW w:w="0" w:type="dxa"/>
            <w:vAlign w:val="center"/>
          </w:tcPr>
          <w:p>
            <w:pPr>
              <w:spacing w:line="240" w:lineRule="auto"/>
              <w:jc w:val="right"/>
            </w:pPr>
            <w:r>
              <w:rPr>
                <w:rFonts w:ascii="宋体" w:eastAsia="宋体" w:hAnsi="宋体" w:cs="宋体"/>
                <w:b w:val="0"/>
              </w:rPr>
              <w:t>9.20</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603228</w:t>
            </w:r>
          </w:p>
        </w:tc>
        <w:tc>
          <w:tcPr>
            <w:tcW w:w="0" w:type="dxa"/>
            <w:vAlign w:val="center"/>
          </w:tcPr>
          <w:p>
            <w:pPr>
              <w:spacing w:line="240" w:lineRule="auto"/>
              <w:jc w:val="left"/>
            </w:pPr>
            <w:r>
              <w:rPr>
                <w:rFonts w:ascii="宋体" w:eastAsia="宋体" w:hAnsi="宋体" w:cs="宋体"/>
                <w:b w:val="0"/>
              </w:rPr>
              <w:t>景旺电子</w:t>
            </w:r>
          </w:p>
        </w:tc>
        <w:tc>
          <w:tcPr>
            <w:tcW w:w="0" w:type="dxa"/>
            <w:vAlign w:val="center"/>
          </w:tcPr>
          <w:p>
            <w:pPr>
              <w:spacing w:line="240" w:lineRule="auto"/>
              <w:jc w:val="right"/>
            </w:pPr>
            <w:r>
              <w:rPr>
                <w:rFonts w:ascii="宋体" w:eastAsia="宋体" w:hAnsi="宋体" w:cs="宋体"/>
                <w:b w:val="0"/>
              </w:rPr>
              <w:t>2,067,500</w:t>
            </w:r>
          </w:p>
        </w:tc>
        <w:tc>
          <w:tcPr>
            <w:tcW w:w="0" w:type="dxa"/>
            <w:vAlign w:val="center"/>
          </w:tcPr>
          <w:p>
            <w:pPr>
              <w:spacing w:line="240" w:lineRule="auto"/>
              <w:jc w:val="right"/>
            </w:pPr>
            <w:r>
              <w:rPr>
                <w:rFonts w:ascii="宋体" w:eastAsia="宋体" w:hAnsi="宋体" w:cs="宋体"/>
                <w:b w:val="0"/>
              </w:rPr>
              <w:t>209,251,675.00</w:t>
            </w:r>
          </w:p>
        </w:tc>
        <w:tc>
          <w:tcPr>
            <w:tcW w:w="0" w:type="dxa"/>
            <w:vAlign w:val="center"/>
          </w:tcPr>
          <w:p>
            <w:pPr>
              <w:spacing w:line="240" w:lineRule="auto"/>
              <w:jc w:val="right"/>
            </w:pPr>
            <w:r>
              <w:rPr>
                <w:rFonts w:ascii="宋体" w:eastAsia="宋体" w:hAnsi="宋体" w:cs="宋体"/>
                <w:b w:val="0"/>
              </w:rPr>
              <w:t>9.17</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688519</w:t>
            </w:r>
          </w:p>
        </w:tc>
        <w:tc>
          <w:tcPr>
            <w:tcW w:w="0" w:type="dxa"/>
            <w:vAlign w:val="center"/>
          </w:tcPr>
          <w:p>
            <w:pPr>
              <w:spacing w:line="240" w:lineRule="auto"/>
              <w:jc w:val="left"/>
            </w:pPr>
            <w:r>
              <w:rPr>
                <w:rFonts w:ascii="宋体" w:eastAsia="宋体" w:hAnsi="宋体" w:cs="宋体"/>
                <w:b w:val="0"/>
              </w:rPr>
              <w:t>南亚新材</w:t>
            </w:r>
          </w:p>
        </w:tc>
        <w:tc>
          <w:tcPr>
            <w:tcW w:w="0" w:type="dxa"/>
            <w:vAlign w:val="center"/>
          </w:tcPr>
          <w:p>
            <w:pPr>
              <w:spacing w:line="240" w:lineRule="auto"/>
              <w:jc w:val="right"/>
            </w:pPr>
            <w:r>
              <w:rPr>
                <w:rFonts w:ascii="宋体" w:eastAsia="宋体" w:hAnsi="宋体" w:cs="宋体"/>
                <w:b w:val="0"/>
              </w:rPr>
              <w:t>669,989</w:t>
            </w:r>
          </w:p>
        </w:tc>
        <w:tc>
          <w:tcPr>
            <w:tcW w:w="0" w:type="dxa"/>
            <w:vAlign w:val="center"/>
          </w:tcPr>
          <w:p>
            <w:pPr>
              <w:spacing w:line="240" w:lineRule="auto"/>
              <w:jc w:val="right"/>
            </w:pPr>
            <w:r>
              <w:rPr>
                <w:rFonts w:ascii="宋体" w:eastAsia="宋体" w:hAnsi="宋体" w:cs="宋体"/>
                <w:b w:val="0"/>
              </w:rPr>
              <w:t>182,672,500.85</w:t>
            </w:r>
          </w:p>
        </w:tc>
        <w:tc>
          <w:tcPr>
            <w:tcW w:w="0" w:type="dxa"/>
            <w:vAlign w:val="center"/>
          </w:tcPr>
          <w:p>
            <w:pPr>
              <w:spacing w:line="240" w:lineRule="auto"/>
              <w:jc w:val="right"/>
            </w:pPr>
            <w:r>
              <w:rPr>
                <w:rFonts w:ascii="宋体" w:eastAsia="宋体" w:hAnsi="宋体" w:cs="宋体"/>
                <w:b w:val="0"/>
              </w:rPr>
              <w:t>8.00</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301021</w:t>
            </w:r>
          </w:p>
        </w:tc>
        <w:tc>
          <w:tcPr>
            <w:tcW w:w="0" w:type="dxa"/>
            <w:vAlign w:val="center"/>
          </w:tcPr>
          <w:p>
            <w:pPr>
              <w:spacing w:line="240" w:lineRule="auto"/>
              <w:jc w:val="left"/>
            </w:pPr>
            <w:r>
              <w:rPr>
                <w:rFonts w:ascii="宋体" w:eastAsia="宋体" w:hAnsi="宋体" w:cs="宋体"/>
                <w:b w:val="0"/>
              </w:rPr>
              <w:t>英诺激光</w:t>
            </w:r>
          </w:p>
        </w:tc>
        <w:tc>
          <w:tcPr>
            <w:tcW w:w="0" w:type="dxa"/>
            <w:vAlign w:val="center"/>
          </w:tcPr>
          <w:p>
            <w:pPr>
              <w:spacing w:line="240" w:lineRule="auto"/>
              <w:jc w:val="right"/>
            </w:pPr>
            <w:r>
              <w:rPr>
                <w:rFonts w:ascii="宋体" w:eastAsia="宋体" w:hAnsi="宋体" w:cs="宋体"/>
                <w:b w:val="0"/>
              </w:rPr>
              <w:t>1,822,697</w:t>
            </w:r>
          </w:p>
        </w:tc>
        <w:tc>
          <w:tcPr>
            <w:tcW w:w="0" w:type="dxa"/>
            <w:vAlign w:val="center"/>
          </w:tcPr>
          <w:p>
            <w:pPr>
              <w:spacing w:line="240" w:lineRule="auto"/>
              <w:jc w:val="right"/>
            </w:pPr>
            <w:r>
              <w:rPr>
                <w:rFonts w:ascii="宋体" w:eastAsia="宋体" w:hAnsi="宋体" w:cs="宋体"/>
                <w:b w:val="0"/>
              </w:rPr>
              <w:t>139,217,596.86</w:t>
            </w:r>
          </w:p>
        </w:tc>
        <w:tc>
          <w:tcPr>
            <w:tcW w:w="0" w:type="dxa"/>
            <w:vAlign w:val="center"/>
          </w:tcPr>
          <w:p>
            <w:pPr>
              <w:spacing w:line="240" w:lineRule="auto"/>
              <w:jc w:val="right"/>
            </w:pPr>
            <w:r>
              <w:rPr>
                <w:rFonts w:ascii="宋体" w:eastAsia="宋体" w:hAnsi="宋体" w:cs="宋体"/>
                <w:b w:val="0"/>
              </w:rPr>
              <w:t>6.10</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300814</w:t>
            </w:r>
          </w:p>
        </w:tc>
        <w:tc>
          <w:tcPr>
            <w:tcW w:w="0" w:type="dxa"/>
            <w:vAlign w:val="center"/>
          </w:tcPr>
          <w:p>
            <w:pPr>
              <w:spacing w:line="240" w:lineRule="auto"/>
              <w:jc w:val="left"/>
            </w:pPr>
            <w:r>
              <w:rPr>
                <w:rFonts w:ascii="宋体" w:eastAsia="宋体" w:hAnsi="宋体" w:cs="宋体"/>
                <w:b w:val="0"/>
              </w:rPr>
              <w:t>中富电路</w:t>
            </w:r>
          </w:p>
        </w:tc>
        <w:tc>
          <w:tcPr>
            <w:tcW w:w="0" w:type="dxa"/>
            <w:vAlign w:val="center"/>
          </w:tcPr>
          <w:p>
            <w:pPr>
              <w:spacing w:line="240" w:lineRule="auto"/>
              <w:jc w:val="right"/>
            </w:pPr>
            <w:r>
              <w:rPr>
                <w:rFonts w:ascii="宋体" w:eastAsia="宋体" w:hAnsi="宋体" w:cs="宋体"/>
                <w:b w:val="0"/>
              </w:rPr>
              <w:t>1,089,451</w:t>
            </w:r>
          </w:p>
        </w:tc>
        <w:tc>
          <w:tcPr>
            <w:tcW w:w="0" w:type="dxa"/>
            <w:vAlign w:val="center"/>
          </w:tcPr>
          <w:p>
            <w:pPr>
              <w:spacing w:line="240" w:lineRule="auto"/>
              <w:jc w:val="right"/>
            </w:pPr>
            <w:r>
              <w:rPr>
                <w:rFonts w:ascii="宋体" w:eastAsia="宋体" w:hAnsi="宋体" w:cs="宋体"/>
                <w:b w:val="0"/>
              </w:rPr>
              <w:t>132,760,498.86</w:t>
            </w:r>
          </w:p>
        </w:tc>
        <w:tc>
          <w:tcPr>
            <w:tcW w:w="0" w:type="dxa"/>
            <w:vAlign w:val="center"/>
          </w:tcPr>
          <w:p>
            <w:pPr>
              <w:spacing w:line="240" w:lineRule="auto"/>
              <w:jc w:val="right"/>
            </w:pPr>
            <w:r>
              <w:rPr>
                <w:rFonts w:ascii="宋体" w:eastAsia="宋体" w:hAnsi="宋体" w:cs="宋体"/>
                <w:b w:val="0"/>
              </w:rPr>
              <w:t>5.82</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688630</w:t>
            </w:r>
          </w:p>
        </w:tc>
        <w:tc>
          <w:tcPr>
            <w:tcW w:w="0" w:type="dxa"/>
            <w:vAlign w:val="center"/>
          </w:tcPr>
          <w:p>
            <w:pPr>
              <w:spacing w:line="240" w:lineRule="auto"/>
              <w:jc w:val="left"/>
            </w:pPr>
            <w:r>
              <w:rPr>
                <w:rFonts w:ascii="宋体" w:eastAsia="宋体" w:hAnsi="宋体" w:cs="宋体"/>
                <w:b w:val="0"/>
              </w:rPr>
              <w:t>芯碁微装</w:t>
            </w:r>
          </w:p>
        </w:tc>
        <w:tc>
          <w:tcPr>
            <w:tcW w:w="0" w:type="dxa"/>
            <w:vAlign w:val="center"/>
          </w:tcPr>
          <w:p>
            <w:pPr>
              <w:spacing w:line="240" w:lineRule="auto"/>
              <w:jc w:val="right"/>
            </w:pPr>
            <w:r>
              <w:rPr>
                <w:rFonts w:ascii="宋体" w:eastAsia="宋体" w:hAnsi="宋体" w:cs="宋体"/>
                <w:b w:val="0"/>
              </w:rPr>
              <w:t>330,757</w:t>
            </w:r>
          </w:p>
        </w:tc>
        <w:tc>
          <w:tcPr>
            <w:tcW w:w="0" w:type="dxa"/>
            <w:vAlign w:val="center"/>
          </w:tcPr>
          <w:p>
            <w:pPr>
              <w:spacing w:line="240" w:lineRule="auto"/>
              <w:jc w:val="right"/>
            </w:pPr>
            <w:r>
              <w:rPr>
                <w:rFonts w:ascii="宋体" w:eastAsia="宋体" w:hAnsi="宋体" w:cs="宋体"/>
                <w:b w:val="0"/>
              </w:rPr>
              <w:t>128,558,630.76</w:t>
            </w:r>
          </w:p>
        </w:tc>
        <w:tc>
          <w:tcPr>
            <w:tcW w:w="0" w:type="dxa"/>
            <w:vAlign w:val="center"/>
          </w:tcPr>
          <w:p>
            <w:pPr>
              <w:spacing w:line="240" w:lineRule="auto"/>
              <w:jc w:val="right"/>
            </w:pPr>
            <w:r>
              <w:rPr>
                <w:rFonts w:ascii="宋体" w:eastAsia="宋体" w:hAnsi="宋体" w:cs="宋体"/>
                <w:b w:val="0"/>
              </w:rPr>
              <w:t>5.63</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002916</w:t>
            </w:r>
          </w:p>
        </w:tc>
        <w:tc>
          <w:tcPr>
            <w:tcW w:w="0" w:type="dxa"/>
            <w:vAlign w:val="center"/>
          </w:tcPr>
          <w:p>
            <w:pPr>
              <w:spacing w:line="240" w:lineRule="auto"/>
              <w:jc w:val="left"/>
            </w:pPr>
            <w:r>
              <w:rPr>
                <w:rFonts w:ascii="宋体" w:eastAsia="宋体" w:hAnsi="宋体" w:cs="宋体"/>
                <w:b w:val="0"/>
              </w:rPr>
              <w:t>深南电路</w:t>
            </w:r>
          </w:p>
        </w:tc>
        <w:tc>
          <w:tcPr>
            <w:tcW w:w="0" w:type="dxa"/>
            <w:vAlign w:val="center"/>
          </w:tcPr>
          <w:p>
            <w:pPr>
              <w:spacing w:line="240" w:lineRule="auto"/>
              <w:jc w:val="right"/>
            </w:pPr>
            <w:r>
              <w:rPr>
                <w:rFonts w:ascii="宋体" w:eastAsia="宋体" w:hAnsi="宋体" w:cs="宋体"/>
                <w:b w:val="0"/>
              </w:rPr>
              <w:t>308,500</w:t>
            </w:r>
          </w:p>
        </w:tc>
        <w:tc>
          <w:tcPr>
            <w:tcW w:w="0" w:type="dxa"/>
            <w:vAlign w:val="center"/>
          </w:tcPr>
          <w:p>
            <w:pPr>
              <w:spacing w:line="240" w:lineRule="auto"/>
              <w:jc w:val="right"/>
            </w:pPr>
            <w:r>
              <w:rPr>
                <w:rFonts w:ascii="宋体" w:eastAsia="宋体" w:hAnsi="宋体" w:cs="宋体"/>
                <w:b w:val="0"/>
              </w:rPr>
              <w:t>115,073,585.00</w:t>
            </w:r>
          </w:p>
        </w:tc>
        <w:tc>
          <w:tcPr>
            <w:tcW w:w="0" w:type="dxa"/>
            <w:vAlign w:val="center"/>
          </w:tcPr>
          <w:p>
            <w:pPr>
              <w:spacing w:line="240" w:lineRule="auto"/>
              <w:jc w:val="right"/>
            </w:pPr>
            <w:r>
              <w:rPr>
                <w:rFonts w:ascii="宋体" w:eastAsia="宋体" w:hAnsi="宋体" w:cs="宋体"/>
                <w:b w:val="0"/>
              </w:rPr>
              <w:t>5.04</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600183</w:t>
            </w:r>
          </w:p>
        </w:tc>
        <w:tc>
          <w:tcPr>
            <w:tcW w:w="0" w:type="dxa"/>
            <w:vAlign w:val="center"/>
          </w:tcPr>
          <w:p>
            <w:pPr>
              <w:spacing w:line="240" w:lineRule="auto"/>
              <w:jc w:val="left"/>
            </w:pPr>
            <w:r>
              <w:rPr>
                <w:rFonts w:ascii="宋体" w:eastAsia="宋体" w:hAnsi="宋体" w:cs="宋体"/>
                <w:b w:val="0"/>
              </w:rPr>
              <w:t>生益科技</w:t>
            </w:r>
          </w:p>
        </w:tc>
        <w:tc>
          <w:tcPr>
            <w:tcW w:w="0" w:type="dxa"/>
            <w:vAlign w:val="center"/>
          </w:tcPr>
          <w:p>
            <w:pPr>
              <w:spacing w:line="240" w:lineRule="auto"/>
              <w:jc w:val="right"/>
            </w:pPr>
            <w:r>
              <w:rPr>
                <w:rFonts w:ascii="宋体" w:eastAsia="宋体" w:hAnsi="宋体" w:cs="宋体"/>
                <w:b w:val="0"/>
              </w:rPr>
              <w:t>878,394</w:t>
            </w:r>
          </w:p>
        </w:tc>
        <w:tc>
          <w:tcPr>
            <w:tcW w:w="0" w:type="dxa"/>
            <w:vAlign w:val="center"/>
          </w:tcPr>
          <w:p>
            <w:pPr>
              <w:spacing w:line="240" w:lineRule="auto"/>
              <w:jc w:val="right"/>
            </w:pPr>
            <w:r>
              <w:rPr>
                <w:rFonts w:ascii="宋体" w:eastAsia="宋体" w:hAnsi="宋体" w:cs="宋体"/>
                <w:b w:val="0"/>
              </w:rPr>
              <w:t>114,156,084.24</w:t>
            </w:r>
          </w:p>
        </w:tc>
        <w:tc>
          <w:tcPr>
            <w:tcW w:w="0" w:type="dxa"/>
            <w:vAlign w:val="center"/>
          </w:tcPr>
          <w:p>
            <w:pPr>
              <w:spacing w:line="240" w:lineRule="auto"/>
              <w:jc w:val="right"/>
            </w:pPr>
            <w:r>
              <w:rPr>
                <w:rFonts w:ascii="宋体" w:eastAsia="宋体" w:hAnsi="宋体" w:cs="宋体"/>
                <w:b w:val="0"/>
              </w:rPr>
              <w:t>5.00</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300903</w:t>
            </w:r>
          </w:p>
        </w:tc>
        <w:tc>
          <w:tcPr>
            <w:tcW w:w="0" w:type="dxa"/>
            <w:vAlign w:val="center"/>
          </w:tcPr>
          <w:p>
            <w:pPr>
              <w:spacing w:line="240" w:lineRule="auto"/>
              <w:jc w:val="left"/>
            </w:pPr>
            <w:r>
              <w:rPr>
                <w:rFonts w:ascii="宋体" w:eastAsia="宋体" w:hAnsi="宋体" w:cs="宋体"/>
                <w:b w:val="0"/>
              </w:rPr>
              <w:t>科翔股份</w:t>
            </w:r>
          </w:p>
        </w:tc>
        <w:tc>
          <w:tcPr>
            <w:tcW w:w="0" w:type="dxa"/>
            <w:vAlign w:val="center"/>
          </w:tcPr>
          <w:p>
            <w:pPr>
              <w:spacing w:line="240" w:lineRule="auto"/>
              <w:jc w:val="right"/>
            </w:pPr>
            <w:r>
              <w:rPr>
                <w:rFonts w:ascii="宋体" w:eastAsia="宋体" w:hAnsi="宋体" w:cs="宋体"/>
                <w:b w:val="0"/>
              </w:rPr>
              <w:t>1,187,700</w:t>
            </w:r>
          </w:p>
        </w:tc>
        <w:tc>
          <w:tcPr>
            <w:tcW w:w="0" w:type="dxa"/>
            <w:vAlign w:val="center"/>
          </w:tcPr>
          <w:p>
            <w:pPr>
              <w:spacing w:line="240" w:lineRule="auto"/>
              <w:jc w:val="right"/>
            </w:pPr>
            <w:r>
              <w:rPr>
                <w:rFonts w:ascii="宋体" w:eastAsia="宋体" w:hAnsi="宋体" w:cs="宋体"/>
                <w:b w:val="0"/>
              </w:rPr>
              <w:t>109,612,833.00</w:t>
            </w:r>
          </w:p>
        </w:tc>
        <w:tc>
          <w:tcPr>
            <w:tcW w:w="0" w:type="dxa"/>
            <w:vAlign w:val="center"/>
          </w:tcPr>
          <w:p>
            <w:pPr>
              <w:spacing w:line="240" w:lineRule="auto"/>
              <w:jc w:val="right"/>
            </w:pPr>
            <w:r>
              <w:rPr>
                <w:rFonts w:ascii="宋体" w:eastAsia="宋体" w:hAnsi="宋体" w:cs="宋体"/>
                <w:b w:val="0"/>
              </w:rPr>
              <w:t>4.80</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127,927,144.30</w:t>
            </w:r>
          </w:p>
        </w:tc>
        <w:tc>
          <w:tcPr>
            <w:tcW w:w="0" w:type="dxa"/>
            <w:vAlign w:val="center"/>
          </w:tcPr>
          <w:p>
            <w:pPr>
              <w:spacing w:line="240" w:lineRule="auto"/>
              <w:jc w:val="right"/>
            </w:pPr>
            <w:r>
              <w:rPr>
                <w:rFonts w:ascii="宋体" w:eastAsia="宋体" w:hAnsi="宋体" w:cs="宋体"/>
                <w:b w:val="0"/>
              </w:rPr>
              <w:t>5.60</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127,927,144.30</w:t>
            </w:r>
          </w:p>
        </w:tc>
        <w:tc>
          <w:tcPr>
            <w:tcW w:w="0" w:type="dxa"/>
            <w:vAlign w:val="center"/>
          </w:tcPr>
          <w:p>
            <w:pPr>
              <w:spacing w:line="240" w:lineRule="auto"/>
              <w:jc w:val="right"/>
            </w:pPr>
            <w:r>
              <w:rPr>
                <w:rFonts w:ascii="宋体" w:eastAsia="宋体" w:hAnsi="宋体" w:cs="宋体"/>
                <w:b w:val="0"/>
              </w:rPr>
              <w:t>5.60</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019827</w:t>
            </w:r>
          </w:p>
        </w:tc>
        <w:tc>
          <w:tcPr>
            <w:tcW w:w="0" w:type="dxa"/>
            <w:vAlign w:val="center"/>
          </w:tcPr>
          <w:p>
            <w:pPr>
              <w:spacing w:line="240" w:lineRule="auto"/>
              <w:jc w:val="left"/>
            </w:pPr>
            <w:r>
              <w:rPr>
                <w:rFonts w:ascii="宋体" w:eastAsia="宋体" w:hAnsi="宋体" w:cs="宋体"/>
                <w:b w:val="0"/>
              </w:rPr>
              <w:t>26国债01</w:t>
            </w:r>
          </w:p>
        </w:tc>
        <w:tc>
          <w:tcPr>
            <w:tcW w:w="0" w:type="dxa"/>
            <w:vAlign w:val="center"/>
          </w:tcPr>
          <w:p>
            <w:pPr>
              <w:spacing w:line="240" w:lineRule="auto"/>
              <w:jc w:val="right"/>
            </w:pPr>
            <w:r>
              <w:rPr>
                <w:rFonts w:ascii="宋体" w:eastAsia="宋体" w:hAnsi="宋体" w:cs="宋体"/>
                <w:b w:val="0"/>
              </w:rPr>
              <w:t>882,000</w:t>
            </w:r>
          </w:p>
        </w:tc>
        <w:tc>
          <w:tcPr>
            <w:tcW w:w="0" w:type="dxa"/>
            <w:vAlign w:val="center"/>
          </w:tcPr>
          <w:p>
            <w:pPr>
              <w:spacing w:line="240" w:lineRule="auto"/>
              <w:jc w:val="right"/>
            </w:pPr>
            <w:r>
              <w:rPr>
                <w:rFonts w:ascii="宋体" w:eastAsia="宋体" w:hAnsi="宋体" w:cs="宋体"/>
                <w:b w:val="0"/>
              </w:rPr>
              <w:t>88,963,546.19</w:t>
            </w:r>
          </w:p>
        </w:tc>
        <w:tc>
          <w:tcPr>
            <w:tcW w:w="0" w:type="dxa"/>
            <w:vAlign w:val="center"/>
          </w:tcPr>
          <w:p>
            <w:pPr>
              <w:spacing w:line="240" w:lineRule="auto"/>
              <w:jc w:val="right"/>
            </w:pPr>
            <w:r>
              <w:rPr>
                <w:rFonts w:ascii="宋体" w:eastAsia="宋体" w:hAnsi="宋体" w:cs="宋体"/>
                <w:b w:val="0"/>
              </w:rPr>
              <w:t>3.90</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019792</w:t>
            </w:r>
          </w:p>
        </w:tc>
        <w:tc>
          <w:tcPr>
            <w:tcW w:w="0" w:type="dxa"/>
            <w:vAlign w:val="center"/>
          </w:tcPr>
          <w:p>
            <w:pPr>
              <w:spacing w:line="240" w:lineRule="auto"/>
              <w:jc w:val="left"/>
            </w:pPr>
            <w:r>
              <w:rPr>
                <w:rFonts w:ascii="宋体" w:eastAsia="宋体" w:hAnsi="宋体" w:cs="宋体"/>
                <w:b w:val="0"/>
              </w:rPr>
              <w:t>25国债19</w:t>
            </w:r>
          </w:p>
        </w:tc>
        <w:tc>
          <w:tcPr>
            <w:tcW w:w="0" w:type="dxa"/>
            <w:vAlign w:val="center"/>
          </w:tcPr>
          <w:p>
            <w:pPr>
              <w:spacing w:line="240" w:lineRule="auto"/>
              <w:jc w:val="right"/>
            </w:pPr>
            <w:r>
              <w:rPr>
                <w:rFonts w:ascii="宋体" w:eastAsia="宋体" w:hAnsi="宋体" w:cs="宋体"/>
                <w:b w:val="0"/>
              </w:rPr>
              <w:t>343,000</w:t>
            </w:r>
          </w:p>
        </w:tc>
        <w:tc>
          <w:tcPr>
            <w:tcW w:w="0" w:type="dxa"/>
            <w:vAlign w:val="center"/>
          </w:tcPr>
          <w:p>
            <w:pPr>
              <w:spacing w:line="240" w:lineRule="auto"/>
              <w:jc w:val="right"/>
            </w:pPr>
            <w:r>
              <w:rPr>
                <w:rFonts w:ascii="宋体" w:eastAsia="宋体" w:hAnsi="宋体" w:cs="宋体"/>
                <w:b w:val="0"/>
              </w:rPr>
              <w:t>34,758,614.49</w:t>
            </w:r>
          </w:p>
        </w:tc>
        <w:tc>
          <w:tcPr>
            <w:tcW w:w="0" w:type="dxa"/>
            <w:vAlign w:val="center"/>
          </w:tcPr>
          <w:p>
            <w:pPr>
              <w:spacing w:line="240" w:lineRule="auto"/>
              <w:jc w:val="right"/>
            </w:pPr>
            <w:r>
              <w:rPr>
                <w:rFonts w:ascii="宋体" w:eastAsia="宋体" w:hAnsi="宋体" w:cs="宋体"/>
                <w:b w:val="0"/>
              </w:rPr>
              <w:t>1.52</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019846</w:t>
            </w:r>
          </w:p>
        </w:tc>
        <w:tc>
          <w:tcPr>
            <w:tcW w:w="0" w:type="dxa"/>
            <w:vAlign w:val="center"/>
          </w:tcPr>
          <w:p>
            <w:pPr>
              <w:spacing w:line="240" w:lineRule="auto"/>
              <w:jc w:val="left"/>
            </w:pPr>
            <w:r>
              <w:rPr>
                <w:rFonts w:ascii="宋体" w:eastAsia="宋体" w:hAnsi="宋体" w:cs="宋体"/>
                <w:b w:val="0"/>
              </w:rPr>
              <w:t>26国债14</w:t>
            </w:r>
          </w:p>
        </w:tc>
        <w:tc>
          <w:tcPr>
            <w:tcW w:w="0" w:type="dxa"/>
            <w:vAlign w:val="center"/>
          </w:tcPr>
          <w:p>
            <w:pPr>
              <w:spacing w:line="240" w:lineRule="auto"/>
              <w:jc w:val="right"/>
            </w:pPr>
            <w:r>
              <w:rPr>
                <w:rFonts w:ascii="宋体" w:eastAsia="宋体" w:hAnsi="宋体" w:cs="宋体"/>
                <w:b w:val="0"/>
              </w:rPr>
              <w:t>42,000</w:t>
            </w:r>
          </w:p>
        </w:tc>
        <w:tc>
          <w:tcPr>
            <w:tcW w:w="0" w:type="dxa"/>
            <w:vAlign w:val="center"/>
          </w:tcPr>
          <w:p>
            <w:pPr>
              <w:spacing w:line="240" w:lineRule="auto"/>
              <w:jc w:val="right"/>
            </w:pPr>
            <w:r>
              <w:rPr>
                <w:rFonts w:ascii="宋体" w:eastAsia="宋体" w:hAnsi="宋体" w:cs="宋体"/>
                <w:b w:val="0"/>
              </w:rPr>
              <w:t>4,204,983.62</w:t>
            </w:r>
          </w:p>
        </w:tc>
        <w:tc>
          <w:tcPr>
            <w:tcW w:w="0" w:type="dxa"/>
            <w:vAlign w:val="center"/>
          </w:tcPr>
          <w:p>
            <w:pPr>
              <w:spacing w:line="240" w:lineRule="auto"/>
              <w:jc w:val="right"/>
            </w:pPr>
            <w:r>
              <w:rPr>
                <w:rFonts w:ascii="宋体" w:eastAsia="宋体" w:hAnsi="宋体" w:cs="宋体"/>
                <w:b w:val="0"/>
              </w:rPr>
              <w:t>0.18</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12,335,048.06</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12,335,048.06</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东方阿尔法优势产业混合A</w:t>
            </w:r>
          </w:p>
        </w:tc>
        <w:tc>
          <w:tcPr>
            <w:tcW w:w="1300" w:type="pct"/>
            <w:vAlign w:val="center"/>
          </w:tcPr>
          <w:p>
            <w:pPr>
              <w:spacing w:line="240" w:lineRule="auto"/>
              <w:jc w:val="center"/>
            </w:pPr>
            <w:r>
              <w:rPr>
                <w:rFonts w:ascii="宋体" w:eastAsia="宋体" w:hAnsi="宋体" w:cs="宋体"/>
                <w:b w:val="0"/>
              </w:rPr>
              <w:t>东方阿尔法优势产业混合C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469,676,539.90</w:t>
            </w:r>
          </w:p>
        </w:tc>
        <w:tc>
          <w:tcPr>
            <w:tcW w:w="1300" w:type="pct"/>
            <w:vAlign w:val="center"/>
          </w:tcPr>
          <w:p>
            <w:pPr>
              <w:spacing w:line="240" w:lineRule="auto"/>
              <w:jc w:val="right"/>
            </w:pPr>
            <w:r>
              <w:rPr>
                <w:rFonts w:ascii="宋体" w:eastAsia="宋体" w:hAnsi="宋体" w:cs="宋体"/>
                <w:b w:val="0"/>
              </w:rPr>
              <w:t>418,912,499.88</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96,914,390.31</w:t>
            </w:r>
          </w:p>
        </w:tc>
        <w:tc>
          <w:tcPr>
            <w:tcW w:w="1300" w:type="pct"/>
            <w:vAlign w:val="center"/>
          </w:tcPr>
          <w:p>
            <w:pPr>
              <w:spacing w:line="240" w:lineRule="auto"/>
              <w:jc w:val="right"/>
            </w:pPr>
            <w:r>
              <w:rPr>
                <w:rFonts w:ascii="宋体" w:eastAsia="宋体" w:hAnsi="宋体" w:cs="宋体"/>
                <w:b w:val="0"/>
              </w:rPr>
              <w:t>299,195,664.84</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130,658,984.11</w:t>
            </w:r>
          </w:p>
        </w:tc>
        <w:tc>
          <w:tcPr>
            <w:tcW w:w="1300" w:type="pct"/>
            <w:vAlign w:val="center"/>
          </w:tcPr>
          <w:p>
            <w:pPr>
              <w:spacing w:line="240" w:lineRule="auto"/>
              <w:jc w:val="right"/>
            </w:pPr>
            <w:r>
              <w:rPr>
                <w:rFonts w:ascii="宋体" w:eastAsia="宋体" w:hAnsi="宋体" w:cs="宋体"/>
                <w:b w:val="0"/>
              </w:rPr>
              <w:t>270,552,312.13</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435,931,946.10</w:t>
            </w:r>
          </w:p>
        </w:tc>
        <w:tc>
          <w:tcPr>
            <w:tcW w:w="1300" w:type="pct"/>
            <w:vAlign w:val="center"/>
          </w:tcPr>
          <w:p>
            <w:pPr>
              <w:spacing w:line="240" w:lineRule="auto"/>
              <w:jc w:val="right"/>
            </w:pPr>
            <w:r>
              <w:rPr>
                <w:rFonts w:ascii="宋体" w:eastAsia="宋体" w:hAnsi="宋体" w:cs="宋体"/>
                <w:b w:val="0"/>
              </w:rPr>
              <w:t>447,555,852.59</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r>
        <w:rPr>
          <w:rFonts w:ascii="宋体" w:eastAsia="宋体" w:hAnsi="宋体" w:cs="宋体"/>
          <w:b w:val="0"/>
        </w:rPr>
        <w:t xml:space="preserve">    截至本报告期末，本基金管理人未持有本基金份额。</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p>
      <w:r>
        <w:rPr>
          <w:rFonts w:ascii="宋体" w:eastAsia="宋体" w:hAnsi="宋体" w:cs="宋体"/>
          <w:b w:val="0"/>
        </w:rPr>
        <w:t xml:space="preserve">    本基金基金合同于2020年06月28日生效。根据本基金基金合同的约定，发起资金认购本基金金额不少于1000万元，且发起资金认购的基金份额持有期限自基金合同生效日起不少于3年。自基金合同生效日起至本报告期末，发起资金认购的本基金基金份额持有期限已满3年。</w:t>
      </w:r>
    </w:p>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p>
      <w:r>
        <w:rPr>
          <w:rFonts w:ascii="宋体" w:eastAsia="宋体" w:hAnsi="宋体" w:cs="宋体"/>
          <w:b w:val="0"/>
        </w:rPr>
        <w:t xml:space="preserve">    本报告期内，本基金不存在单一投资者持有基金份额比例达到或超过20%的情况。</w:t>
      </w:r>
    </w:p>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1、中国证券监督管理委员会批准的东方阿尔法优势产业混合型发起式证券投资基金设立的文件；</w:t>
        <w:br/>
      </w:r>
      <w:r>
        <w:rPr>
          <w:rFonts w:ascii="宋体" w:eastAsia="宋体" w:hAnsi="宋体" w:cs="宋体"/>
          <w:b w:val="0"/>
        </w:rPr>
        <w:t xml:space="preserve">    2、《东方阿尔法优势产业混合型发起式证券投资基金基金合同》；</w:t>
        <w:br/>
      </w:r>
      <w:r>
        <w:rPr>
          <w:rFonts w:ascii="宋体" w:eastAsia="宋体" w:hAnsi="宋体" w:cs="宋体"/>
          <w:b w:val="0"/>
        </w:rPr>
        <w:t xml:space="preserve">    3、《东方阿尔法优势产业混合型发起式证券投资基金托管协议》；</w:t>
        <w:br/>
      </w:r>
      <w:r>
        <w:rPr>
          <w:rFonts w:ascii="宋体" w:eastAsia="宋体" w:hAnsi="宋体" w:cs="宋体"/>
          <w:b w:val="0"/>
        </w:rPr>
        <w:t xml:space="preserve">    4、《东方阿尔法优势产业混合型发起式证券投资基金招募说明书》（含更新）；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东方阿尔法优势产业混合型发起式证券投资基金2026年第3季度报告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